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92E385">
      <w:pPr>
        <w:rPr>
          <w:rFonts w:ascii="宋体" w:hAnsi="宋体"/>
          <w:color w:val="auto"/>
          <w:sz w:val="44"/>
          <w:szCs w:val="20"/>
          <w:highlight w:val="none"/>
        </w:rPr>
      </w:pPr>
    </w:p>
    <w:p w14:paraId="4F487D35">
      <w:pPr>
        <w:rPr>
          <w:rFonts w:ascii="宋体" w:hAnsi="宋体"/>
          <w:color w:val="auto"/>
          <w:sz w:val="52"/>
          <w:szCs w:val="52"/>
          <w:highlight w:val="none"/>
        </w:rPr>
      </w:pPr>
    </w:p>
    <w:p w14:paraId="63C1E403">
      <w:pPr>
        <w:spacing w:line="360" w:lineRule="auto"/>
        <w:jc w:val="distribute"/>
        <w:rPr>
          <w:rFonts w:hint="eastAsia" w:ascii="宋体" w:hAnsi="宋体" w:cs="宋体"/>
          <w:b/>
          <w:bCs w:val="0"/>
          <w:color w:val="auto"/>
          <w:sz w:val="48"/>
          <w:szCs w:val="48"/>
          <w:highlight w:val="none"/>
          <w:lang w:eastAsia="zh-CN"/>
        </w:rPr>
      </w:pPr>
      <w:r>
        <w:rPr>
          <w:rFonts w:hint="eastAsia" w:ascii="宋体" w:hAnsi="宋体" w:cs="宋体"/>
          <w:b/>
          <w:bCs w:val="0"/>
          <w:color w:val="auto"/>
          <w:sz w:val="48"/>
          <w:szCs w:val="48"/>
          <w:highlight w:val="none"/>
          <w:lang w:eastAsia="zh-CN"/>
        </w:rPr>
        <w:t>宁波市海曙区古林镇中心小学</w:t>
      </w:r>
    </w:p>
    <w:p w14:paraId="62BD549F">
      <w:pPr>
        <w:spacing w:line="360" w:lineRule="auto"/>
        <w:jc w:val="distribute"/>
        <w:rPr>
          <w:rFonts w:hint="eastAsia" w:ascii="宋体" w:hAnsi="宋体" w:eastAsia="宋体" w:cs="宋体"/>
          <w:b/>
          <w:bCs w:val="0"/>
          <w:color w:val="auto"/>
          <w:sz w:val="48"/>
          <w:szCs w:val="48"/>
          <w:highlight w:val="none"/>
          <w:lang w:eastAsia="zh-CN"/>
        </w:rPr>
      </w:pPr>
      <w:r>
        <w:rPr>
          <w:rFonts w:hint="eastAsia" w:ascii="宋体" w:hAnsi="宋体" w:eastAsia="宋体" w:cs="宋体"/>
          <w:b/>
          <w:bCs w:val="0"/>
          <w:color w:val="auto"/>
          <w:sz w:val="48"/>
          <w:szCs w:val="48"/>
          <w:highlight w:val="none"/>
          <w:lang w:eastAsia="zh-CN"/>
        </w:rPr>
        <w:t>2025年年度教职工疗休养</w:t>
      </w:r>
    </w:p>
    <w:p w14:paraId="743AFC41">
      <w:pPr>
        <w:spacing w:line="360" w:lineRule="auto"/>
        <w:jc w:val="left"/>
        <w:rPr>
          <w:rFonts w:hint="eastAsia" w:ascii="宋体" w:hAnsi="宋体" w:eastAsia="宋体" w:cs="宋体"/>
          <w:color w:val="auto"/>
          <w:sz w:val="40"/>
          <w:szCs w:val="40"/>
          <w:highlight w:val="none"/>
        </w:rPr>
      </w:pPr>
    </w:p>
    <w:p w14:paraId="48B61E5B">
      <w:pPr>
        <w:spacing w:before="156" w:beforeLines="50"/>
        <w:jc w:val="center"/>
        <w:rPr>
          <w:rFonts w:hint="eastAsia" w:ascii="宋体" w:hAnsi="宋体" w:eastAsia="宋体" w:cs="宋体"/>
          <w:b/>
          <w:bCs/>
          <w:color w:val="auto"/>
          <w:sz w:val="52"/>
          <w:szCs w:val="52"/>
          <w:highlight w:val="none"/>
        </w:rPr>
      </w:pPr>
    </w:p>
    <w:p w14:paraId="74F96644">
      <w:pPr>
        <w:spacing w:before="156" w:beforeLines="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竞争性磋商采购文件</w:t>
      </w:r>
    </w:p>
    <w:p w14:paraId="40ABE5EF">
      <w:pPr>
        <w:pStyle w:val="2"/>
        <w:ind w:firstLine="210"/>
        <w:rPr>
          <w:rFonts w:hint="eastAsia" w:ascii="宋体" w:hAnsi="宋体" w:eastAsia="宋体" w:cs="宋体"/>
          <w:b/>
          <w:bCs/>
          <w:color w:val="auto"/>
          <w:highlight w:val="none"/>
        </w:rPr>
      </w:pPr>
    </w:p>
    <w:p w14:paraId="47966AD2">
      <w:pPr>
        <w:snapToGrid w:val="0"/>
        <w:spacing w:before="120" w:after="120"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2"/>
          <w:szCs w:val="32"/>
          <w:highlight w:val="none"/>
          <w:lang w:eastAsia="zh-CN"/>
        </w:rPr>
        <w:t>2025NBHSWCS302</w:t>
      </w:r>
    </w:p>
    <w:p w14:paraId="6A10ACB8">
      <w:pPr>
        <w:spacing w:line="360" w:lineRule="auto"/>
        <w:rPr>
          <w:rFonts w:hint="eastAsia" w:ascii="宋体" w:hAnsi="宋体" w:eastAsia="宋体" w:cs="宋体"/>
          <w:b/>
          <w:bCs/>
          <w:color w:val="auto"/>
          <w:sz w:val="28"/>
          <w:szCs w:val="28"/>
          <w:highlight w:val="none"/>
        </w:rPr>
      </w:pPr>
    </w:p>
    <w:p w14:paraId="55AAC51B">
      <w:pPr>
        <w:spacing w:line="360" w:lineRule="auto"/>
        <w:rPr>
          <w:rFonts w:hint="eastAsia" w:ascii="宋体" w:hAnsi="宋体" w:eastAsia="宋体" w:cs="宋体"/>
          <w:b/>
          <w:bCs/>
          <w:color w:val="auto"/>
          <w:sz w:val="28"/>
          <w:szCs w:val="28"/>
          <w:highlight w:val="none"/>
        </w:rPr>
      </w:pPr>
    </w:p>
    <w:p w14:paraId="77EFC489">
      <w:pPr>
        <w:spacing w:line="360" w:lineRule="auto"/>
        <w:rPr>
          <w:rFonts w:hint="eastAsia" w:ascii="宋体" w:hAnsi="宋体" w:eastAsia="宋体" w:cs="宋体"/>
          <w:b/>
          <w:bCs/>
          <w:color w:val="auto"/>
          <w:sz w:val="28"/>
          <w:szCs w:val="28"/>
          <w:highlight w:val="none"/>
        </w:rPr>
      </w:pPr>
    </w:p>
    <w:p w14:paraId="0AED26EB">
      <w:pPr>
        <w:spacing w:line="480" w:lineRule="auto"/>
        <w:jc w:val="left"/>
        <w:rPr>
          <w:rFonts w:hint="eastAsia" w:ascii="宋体" w:hAnsi="宋体" w:eastAsia="宋体" w:cs="宋体"/>
          <w:b/>
          <w:bCs/>
          <w:color w:val="auto"/>
          <w:sz w:val="28"/>
          <w:szCs w:val="28"/>
          <w:highlight w:val="none"/>
        </w:rPr>
      </w:pPr>
    </w:p>
    <w:p w14:paraId="56FC67D3">
      <w:pPr>
        <w:snapToGrid w:val="0"/>
        <w:spacing w:line="480" w:lineRule="auto"/>
        <w:ind w:left="1260" w:leftChars="60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ascii="宋体" w:hAnsi="宋体" w:cs="宋体"/>
          <w:b/>
          <w:bCs/>
          <w:color w:val="auto"/>
          <w:sz w:val="30"/>
          <w:szCs w:val="30"/>
          <w:highlight w:val="none"/>
          <w:lang w:eastAsia="zh-CN"/>
        </w:rPr>
        <w:t>宁波市海曙区古林镇中心小学</w:t>
      </w:r>
    </w:p>
    <w:p w14:paraId="06A97B02">
      <w:pPr>
        <w:snapToGrid w:val="0"/>
        <w:spacing w:line="480" w:lineRule="auto"/>
        <w:ind w:left="1260" w:leftChars="60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代理机构：宁波之新招标咨询有限公司</w:t>
      </w:r>
    </w:p>
    <w:p w14:paraId="74D47F01">
      <w:pPr>
        <w:snapToGrid w:val="0"/>
        <w:spacing w:line="480" w:lineRule="auto"/>
        <w:ind w:left="1260" w:leftChars="600"/>
        <w:jc w:val="left"/>
        <w:rPr>
          <w:rFonts w:hint="eastAsia" w:ascii="宋体" w:hAnsi="宋体" w:eastAsia="宋体" w:cs="宋体"/>
          <w:b/>
          <w:bCs/>
          <w:color w:val="auto"/>
          <w:w w:val="95"/>
          <w:sz w:val="30"/>
          <w:szCs w:val="30"/>
          <w:highlight w:val="none"/>
        </w:rPr>
      </w:pPr>
      <w:r>
        <w:rPr>
          <w:rFonts w:hint="eastAsia" w:ascii="宋体" w:hAnsi="宋体" w:eastAsia="宋体" w:cs="宋体"/>
          <w:b/>
          <w:bCs/>
          <w:color w:val="auto"/>
          <w:sz w:val="30"/>
          <w:szCs w:val="30"/>
          <w:highlight w:val="none"/>
        </w:rPr>
        <w:t>编制日期：</w:t>
      </w:r>
      <w:r>
        <w:rPr>
          <w:rFonts w:hint="eastAsia" w:ascii="宋体" w:hAnsi="宋体" w:eastAsia="宋体" w:cs="宋体"/>
          <w:b/>
          <w:bCs/>
          <w:color w:val="auto"/>
          <w:w w:val="95"/>
          <w:sz w:val="30"/>
          <w:szCs w:val="30"/>
          <w:highlight w:val="none"/>
        </w:rPr>
        <w:t>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rPr>
        <w:t>月</w:t>
      </w:r>
    </w:p>
    <w:p w14:paraId="492BEC5C">
      <w:pPr>
        <w:pStyle w:val="2"/>
        <w:ind w:firstLine="210"/>
        <w:rPr>
          <w:color w:val="auto"/>
          <w:highlight w:val="none"/>
        </w:rPr>
      </w:pPr>
    </w:p>
    <w:p w14:paraId="5AD1C7D4">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720" w:num="1"/>
          <w:titlePg/>
          <w:docGrid w:type="lines" w:linePitch="312" w:charSpace="0"/>
        </w:sectPr>
      </w:pPr>
    </w:p>
    <w:p w14:paraId="6FAC4412">
      <w:pPr>
        <w:rPr>
          <w:color w:val="auto"/>
          <w:highlight w:val="none"/>
        </w:rPr>
      </w:pPr>
    </w:p>
    <w:sdt>
      <w:sdtPr>
        <w:rPr>
          <w:rFonts w:ascii="宋体" w:hAnsi="宋体"/>
          <w:b/>
          <w:bCs/>
          <w:color w:val="auto"/>
          <w:sz w:val="52"/>
          <w:szCs w:val="52"/>
          <w:highlight w:val="none"/>
        </w:rPr>
        <w:id w:val="147471738"/>
        <w15:color w:val="DBDBDB"/>
        <w:docPartObj>
          <w:docPartGallery w:val="Table of Contents"/>
          <w:docPartUnique/>
        </w:docPartObj>
      </w:sdtPr>
      <w:sdtEndPr>
        <w:rPr>
          <w:rFonts w:ascii="Times New Roman" w:hAnsi="Times New Roman"/>
          <w:b/>
          <w:bCs/>
          <w:color w:val="auto"/>
          <w:sz w:val="21"/>
          <w:szCs w:val="24"/>
          <w:highlight w:val="none"/>
        </w:rPr>
      </w:sdtEndPr>
      <w:sdtContent>
        <w:p w14:paraId="7E9FF0B6">
          <w:pPr>
            <w:spacing w:line="360" w:lineRule="auto"/>
            <w:jc w:val="center"/>
            <w:rPr>
              <w:rFonts w:ascii="宋体" w:hAnsi="宋体" w:cs="宋体"/>
              <w:color w:val="auto"/>
              <w:sz w:val="28"/>
              <w:szCs w:val="28"/>
              <w:highlight w:val="none"/>
            </w:rPr>
          </w:pPr>
          <w:r>
            <w:rPr>
              <w:rFonts w:ascii="宋体" w:hAnsi="宋体"/>
              <w:b/>
              <w:bCs/>
              <w:color w:val="auto"/>
              <w:sz w:val="52"/>
              <w:szCs w:val="52"/>
              <w:highlight w:val="none"/>
            </w:rPr>
            <w:t>目</w:t>
          </w:r>
          <w:r>
            <w:rPr>
              <w:rFonts w:hint="eastAsia" w:ascii="宋体" w:hAnsi="宋体"/>
              <w:b/>
              <w:bCs/>
              <w:color w:val="auto"/>
              <w:sz w:val="52"/>
              <w:szCs w:val="52"/>
              <w:highlight w:val="none"/>
            </w:rPr>
            <w:t xml:space="preserve">   </w:t>
          </w:r>
          <w:r>
            <w:rPr>
              <w:rFonts w:ascii="宋体" w:hAnsi="宋体"/>
              <w:b/>
              <w:bCs/>
              <w:color w:val="auto"/>
              <w:sz w:val="52"/>
              <w:szCs w:val="52"/>
              <w:highlight w:val="none"/>
            </w:rPr>
            <w:t>录</w:t>
          </w:r>
        </w:p>
        <w:p w14:paraId="20CD473B">
          <w:pPr>
            <w:pStyle w:val="34"/>
            <w:tabs>
              <w:tab w:val="right" w:leader="dot" w:pos="8504"/>
            </w:tabs>
            <w:rPr>
              <w:color w:val="auto"/>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"_Toc2487" </w:instrText>
          </w:r>
          <w:r>
            <w:rPr>
              <w:color w:val="auto"/>
              <w:highlight w:val="none"/>
            </w:rPr>
            <w:fldChar w:fldCharType="separate"/>
          </w:r>
          <w:r>
            <w:rPr>
              <w:rFonts w:asciiTheme="majorEastAsia" w:hAnsiTheme="majorEastAsia" w:eastAsiaTheme="majorEastAsia"/>
              <w:bCs/>
              <w:color w:val="auto"/>
              <w:szCs w:val="40"/>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_Toc2487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E86CCDD">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"_Toc16919" </w:instrText>
          </w:r>
          <w:r>
            <w:rPr>
              <w:color w:val="auto"/>
              <w:highlight w:val="none"/>
            </w:rPr>
            <w:fldChar w:fldCharType="separate"/>
          </w:r>
          <w:r>
            <w:rPr>
              <w:rFonts w:asciiTheme="majorEastAsia" w:hAnsiTheme="majorEastAsia" w:eastAsiaTheme="majorEastAsia"/>
              <w:bCs/>
              <w:color w:val="auto"/>
              <w:szCs w:val="4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_Toc16919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53E8D2F">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"_Toc27001" </w:instrText>
          </w:r>
          <w:r>
            <w:rPr>
              <w:color w:val="auto"/>
              <w:highlight w:val="none"/>
            </w:rPr>
            <w:fldChar w:fldCharType="separate"/>
          </w:r>
          <w:r>
            <w:rPr>
              <w:rFonts w:asciiTheme="majorEastAsia" w:hAnsiTheme="majorEastAsia" w:eastAsiaTheme="majorEastAsia"/>
              <w:bCs/>
              <w:color w:val="auto"/>
              <w:szCs w:val="40"/>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_Toc27001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5D1CA2F">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"_Toc29249" </w:instrText>
          </w:r>
          <w:r>
            <w:rPr>
              <w:color w:val="auto"/>
              <w:highlight w:val="none"/>
            </w:rPr>
            <w:fldChar w:fldCharType="separate"/>
          </w:r>
          <w:r>
            <w:rPr>
              <w:rFonts w:asciiTheme="majorEastAsia" w:hAnsiTheme="majorEastAsia" w:eastAsiaTheme="majorEastAsia"/>
              <w:bCs/>
              <w:color w:val="auto"/>
              <w:szCs w:val="40"/>
              <w:highlight w:val="none"/>
            </w:rPr>
            <w:t>第四章  评审办法及评分标准</w:t>
          </w:r>
          <w:r>
            <w:rPr>
              <w:color w:val="auto"/>
              <w:highlight w:val="none"/>
            </w:rPr>
            <w:tab/>
          </w:r>
          <w:r>
            <w:rPr>
              <w:color w:val="auto"/>
              <w:highlight w:val="none"/>
            </w:rPr>
            <w:fldChar w:fldCharType="begin"/>
          </w:r>
          <w:r>
            <w:rPr>
              <w:color w:val="auto"/>
              <w:highlight w:val="none"/>
            </w:rPr>
            <w:instrText xml:space="preserve"> PAGEREF _Toc29249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B802889">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"_Toc18899" </w:instrText>
          </w:r>
          <w:r>
            <w:rPr>
              <w:color w:val="auto"/>
              <w:highlight w:val="none"/>
            </w:rPr>
            <w:fldChar w:fldCharType="separate"/>
          </w:r>
          <w:r>
            <w:rPr>
              <w:rFonts w:asciiTheme="majorEastAsia" w:hAnsiTheme="majorEastAsia" w:eastAsiaTheme="majorEastAsia"/>
              <w:bCs/>
              <w:color w:val="auto"/>
              <w:szCs w:val="40"/>
              <w:highlight w:val="none"/>
            </w:rPr>
            <w:t xml:space="preserve">第五章  </w:t>
          </w:r>
          <w:r>
            <w:rPr>
              <w:rFonts w:hint="eastAsia" w:asciiTheme="majorEastAsia" w:hAnsiTheme="majorEastAsia" w:eastAsiaTheme="majorEastAsia"/>
              <w:bCs/>
              <w:color w:val="auto"/>
              <w:szCs w:val="4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_Toc18899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A902929">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"_Toc24904" </w:instrText>
          </w:r>
          <w:r>
            <w:rPr>
              <w:color w:val="auto"/>
              <w:highlight w:val="none"/>
            </w:rPr>
            <w:fldChar w:fldCharType="separate"/>
          </w:r>
          <w:r>
            <w:rPr>
              <w:rFonts w:asciiTheme="majorEastAsia" w:hAnsiTheme="majorEastAsia" w:eastAsiaTheme="majorEastAsia"/>
              <w:bCs/>
              <w:color w:val="auto"/>
              <w:szCs w:val="40"/>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_Toc24904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AFD410B">
          <w:pPr>
            <w:snapToGrid w:val="0"/>
            <w:ind w:left="1260" w:leftChars="600"/>
            <w:jc w:val="left"/>
            <w:rPr>
              <w:color w:val="auto"/>
              <w:highlight w:val="none"/>
            </w:rPr>
          </w:pPr>
          <w:r>
            <w:rPr>
              <w:rFonts w:hint="eastAsia" w:ascii="宋体" w:hAnsi="宋体" w:cs="宋体"/>
              <w:color w:val="auto"/>
              <w:szCs w:val="28"/>
              <w:highlight w:val="none"/>
            </w:rPr>
            <w:fldChar w:fldCharType="end"/>
          </w:r>
        </w:p>
      </w:sdtContent>
    </w:sdt>
    <w:p w14:paraId="650BB590">
      <w:pPr>
        <w:snapToGrid w:val="0"/>
        <w:spacing w:line="480" w:lineRule="auto"/>
        <w:jc w:val="center"/>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NumType w:fmt="numberInDash" w:start="1"/>
          <w:cols w:space="720" w:num="1"/>
          <w:docGrid w:type="lines" w:linePitch="312" w:charSpace="0"/>
        </w:sectPr>
      </w:pPr>
      <w:bookmarkStart w:id="0" w:name="_Toc522013502"/>
      <w:bookmarkStart w:id="1" w:name="_Toc10077"/>
    </w:p>
    <w:p w14:paraId="43C87CAD">
      <w:pPr>
        <w:spacing w:after="330" w:line="480" w:lineRule="auto"/>
        <w:jc w:val="center"/>
        <w:outlineLvl w:val="0"/>
        <w:rPr>
          <w:rFonts w:asciiTheme="majorEastAsia" w:hAnsiTheme="majorEastAsia" w:eastAsiaTheme="majorEastAsia"/>
          <w:b/>
          <w:bCs/>
          <w:color w:val="auto"/>
          <w:sz w:val="32"/>
          <w:szCs w:val="32"/>
          <w:highlight w:val="none"/>
        </w:rPr>
      </w:pPr>
      <w:bookmarkStart w:id="2" w:name="_Toc2487"/>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8F1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739760C">
            <w:pPr>
              <w:spacing w:line="360" w:lineRule="auto"/>
              <w:jc w:val="left"/>
              <w:rPr>
                <w:rFonts w:ascii="宋体" w:hAnsi="宋体" w:cs="宋体"/>
                <w:color w:val="auto"/>
                <w:kern w:val="0"/>
                <w:szCs w:val="21"/>
                <w:highlight w:val="none"/>
                <w:lang w:bidi="ar"/>
              </w:rPr>
            </w:pPr>
            <w:bookmarkStart w:id="3" w:name="_Toc522013503"/>
            <w:r>
              <w:rPr>
                <w:rFonts w:hint="eastAsia" w:ascii="宋体" w:hAnsi="宋体" w:cs="宋体"/>
                <w:color w:val="auto"/>
                <w:kern w:val="0"/>
                <w:szCs w:val="21"/>
                <w:highlight w:val="none"/>
                <w:lang w:bidi="ar"/>
              </w:rPr>
              <w:t>项目概况</w:t>
            </w:r>
          </w:p>
          <w:p w14:paraId="57E75E9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宁波市海曙区古林镇中心小学2025年年度教职工疗休养</w:t>
            </w:r>
            <w:r>
              <w:rPr>
                <w:rFonts w:hint="eastAsia" w:ascii="宋体" w:hAnsi="宋体" w:cs="宋体"/>
                <w:color w:val="auto"/>
                <w:kern w:val="0"/>
                <w:szCs w:val="21"/>
                <w:highlight w:val="none"/>
                <w:lang w:bidi="ar"/>
              </w:rPr>
              <w:t>的潜在供应商应在浙江政府采购云平台（http://www.zcygov.cn/）获取（下载）采购文件，并于</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日</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0（北京时间）前提交（上传）响应文件。</w:t>
            </w:r>
          </w:p>
        </w:tc>
      </w:tr>
    </w:tbl>
    <w:p w14:paraId="49988A6F">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一、项目基本情况</w:t>
      </w:r>
    </w:p>
    <w:p w14:paraId="407EF8C1">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项目编号：</w:t>
      </w:r>
      <w:r>
        <w:rPr>
          <w:rFonts w:hint="eastAsia" w:ascii="宋体" w:hAnsi="宋体" w:cs="宋体"/>
          <w:color w:val="auto"/>
          <w:kern w:val="0"/>
          <w:szCs w:val="21"/>
          <w:highlight w:val="none"/>
          <w:lang w:eastAsia="zh-CN" w:bidi="ar"/>
        </w:rPr>
        <w:t>2025NBHSWCS302</w:t>
      </w:r>
    </w:p>
    <w:p w14:paraId="553CF443">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项目名称：</w:t>
      </w:r>
      <w:r>
        <w:rPr>
          <w:rFonts w:hint="eastAsia" w:ascii="宋体" w:hAnsi="宋体" w:cs="宋体"/>
          <w:color w:val="auto"/>
          <w:kern w:val="0"/>
          <w:szCs w:val="21"/>
          <w:highlight w:val="none"/>
          <w:lang w:eastAsia="zh-CN" w:bidi="ar"/>
        </w:rPr>
        <w:t>宁波市海曙区古林镇中心小学2025年年度教职工疗休养</w:t>
      </w:r>
    </w:p>
    <w:p w14:paraId="195C1E0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采购方式：竞争性磋商</w:t>
      </w:r>
    </w:p>
    <w:p w14:paraId="71D2EEC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w:t>
      </w:r>
      <w:r>
        <w:rPr>
          <w:rFonts w:hint="eastAsia" w:ascii="宋体" w:hAnsi="宋体" w:cs="宋体"/>
          <w:color w:val="auto"/>
          <w:kern w:val="0"/>
          <w:szCs w:val="21"/>
          <w:highlight w:val="none"/>
          <w:lang w:val="en-US" w:eastAsia="zh-CN" w:bidi="ar"/>
        </w:rPr>
        <w:t>405000</w:t>
      </w:r>
      <w:r>
        <w:rPr>
          <w:rFonts w:hint="eastAsia" w:ascii="宋体" w:hAnsi="宋体" w:cs="宋体"/>
          <w:color w:val="auto"/>
          <w:kern w:val="0"/>
          <w:szCs w:val="21"/>
          <w:highlight w:val="none"/>
          <w:lang w:bidi="ar"/>
        </w:rPr>
        <w:t>元</w:t>
      </w:r>
    </w:p>
    <w:p w14:paraId="076A95A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最高限价：</w:t>
      </w:r>
      <w:r>
        <w:rPr>
          <w:rFonts w:hint="eastAsia" w:ascii="宋体" w:hAnsi="宋体" w:cs="宋体"/>
          <w:color w:val="auto"/>
          <w:kern w:val="0"/>
          <w:szCs w:val="21"/>
          <w:highlight w:val="none"/>
          <w:lang w:val="en-US" w:eastAsia="zh-CN" w:bidi="ar"/>
        </w:rPr>
        <w:t>405000</w:t>
      </w:r>
      <w:r>
        <w:rPr>
          <w:rFonts w:hint="eastAsia" w:ascii="宋体" w:hAnsi="宋体" w:cs="宋体"/>
          <w:color w:val="auto"/>
          <w:kern w:val="0"/>
          <w:szCs w:val="21"/>
          <w:highlight w:val="none"/>
          <w:lang w:bidi="ar"/>
        </w:rPr>
        <w:t>元</w:t>
      </w:r>
    </w:p>
    <w:p w14:paraId="3314C92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采购需求：</w:t>
      </w:r>
    </w:p>
    <w:p w14:paraId="27CD42B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数量：不限</w:t>
      </w:r>
    </w:p>
    <w:p w14:paraId="153E697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预算金额（元）：</w:t>
      </w:r>
      <w:r>
        <w:rPr>
          <w:rFonts w:hint="eastAsia" w:ascii="宋体" w:hAnsi="宋体" w:cs="宋体"/>
          <w:color w:val="auto"/>
          <w:kern w:val="0"/>
          <w:szCs w:val="21"/>
          <w:highlight w:val="none"/>
          <w:lang w:val="en-US" w:eastAsia="zh-CN" w:bidi="ar"/>
        </w:rPr>
        <w:t>405000</w:t>
      </w:r>
      <w:r>
        <w:rPr>
          <w:rFonts w:hint="eastAsia" w:ascii="宋体" w:hAnsi="宋体" w:cs="宋体"/>
          <w:color w:val="auto"/>
          <w:kern w:val="0"/>
          <w:szCs w:val="21"/>
          <w:highlight w:val="none"/>
          <w:lang w:bidi="ar"/>
        </w:rPr>
        <w:t>元</w:t>
      </w:r>
    </w:p>
    <w:p w14:paraId="26B9651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单位：个</w:t>
      </w:r>
    </w:p>
    <w:p w14:paraId="18ACB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简要规格描述：提供教职工疗休养策划、线路安排、服务保障、费用控制等一系列相关服务。详见竞争性磋商文件第二章</w:t>
      </w:r>
    </w:p>
    <w:p w14:paraId="726E3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备注：预算金额为本次疗休养财政资金部分，各线路的报价中，3000元/人的部分由本次采购预算支付，超出部分由疗休养出行人自行承担。</w:t>
      </w:r>
    </w:p>
    <w:p w14:paraId="4E553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合同履约期限：标项一，自合同生效之日至合同全部权利义务履行完毕之日止。</w:t>
      </w:r>
    </w:p>
    <w:p w14:paraId="28A6C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本项目（否）接受联合体投标。</w:t>
      </w:r>
    </w:p>
    <w:p w14:paraId="22342B25">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二、申请人的资格要求：</w:t>
      </w:r>
    </w:p>
    <w:p w14:paraId="2049BFC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符合《中华人民共和国政府采购法》第二十二条规定；未被“信用中国”（www.creditchina.gov.cn)、中国政府采购网（www.ccgp.gov.cn）列入失信被执行人、重大税收违法案件当事人名单、政府采购严重违法失信行为记录名单。</w:t>
      </w:r>
    </w:p>
    <w:p w14:paraId="64943A6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2.落实政府采购政策需满足的资格要求：</w:t>
      </w:r>
      <w:r>
        <w:rPr>
          <w:rFonts w:hint="eastAsia" w:ascii="宋体" w:hAnsi="宋体" w:cs="宋体"/>
          <w:color w:val="auto"/>
          <w:kern w:val="0"/>
          <w:szCs w:val="21"/>
          <w:highlight w:val="none"/>
          <w:lang w:val="en-US" w:eastAsia="zh-CN" w:bidi="ar"/>
        </w:rPr>
        <w:t>标项一：本项目属于专门面向中小企业采购的项目，供应商应为符合《政府采购促进中小企业发展管理办法》（财库﹝2020﹞46 号）规定的中小企业（其中，小微企业包括视同为小型、微型企业的监狱企业、残疾人福利性单位）。</w:t>
      </w:r>
    </w:p>
    <w:p w14:paraId="65E4B4AB">
      <w:pPr>
        <w:spacing w:line="360" w:lineRule="auto"/>
        <w:ind w:left="420" w:leftChars="200"/>
        <w:jc w:val="left"/>
        <w:rPr>
          <w:color w:val="auto"/>
          <w:highlight w:val="none"/>
        </w:rPr>
      </w:pPr>
      <w:r>
        <w:rPr>
          <w:rFonts w:hint="eastAsia" w:ascii="宋体" w:hAnsi="宋体" w:cs="宋体"/>
          <w:color w:val="auto"/>
          <w:kern w:val="0"/>
          <w:szCs w:val="21"/>
          <w:highlight w:val="none"/>
          <w:lang w:bidi="ar"/>
        </w:rPr>
        <w:t>3.本项目的特定资格要求：标项一：</w:t>
      </w:r>
      <w:r>
        <w:rPr>
          <w:rFonts w:hint="eastAsia" w:ascii="宋体" w:hAnsi="宋体" w:cs="宋体"/>
          <w:color w:val="auto"/>
          <w:kern w:val="0"/>
          <w:szCs w:val="21"/>
          <w:highlight w:val="none"/>
          <w:lang w:val="en-US" w:eastAsia="zh-CN" w:bidi="ar"/>
        </w:rPr>
        <w:t>供应商具备有效的《旅行社业务经营许可证》</w:t>
      </w:r>
      <w:r>
        <w:rPr>
          <w:rFonts w:hint="eastAsia" w:ascii="宋体" w:hAnsi="宋体" w:cs="宋体"/>
          <w:color w:val="auto"/>
          <w:kern w:val="0"/>
          <w:szCs w:val="21"/>
          <w:highlight w:val="none"/>
          <w:lang w:bidi="ar"/>
        </w:rPr>
        <w:t>。</w:t>
      </w:r>
    </w:p>
    <w:p w14:paraId="65F89776">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三、获取（下载）采购文件</w:t>
      </w:r>
    </w:p>
    <w:p w14:paraId="4A77009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时间：</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20</w:t>
      </w:r>
      <w:r>
        <w:rPr>
          <w:rFonts w:hint="eastAsia" w:ascii="宋体" w:hAnsi="宋体" w:cs="宋体"/>
          <w:color w:val="auto"/>
          <w:kern w:val="0"/>
          <w:szCs w:val="21"/>
          <w:highlight w:val="none"/>
          <w:lang w:bidi="ar"/>
        </w:rPr>
        <w:t>日至</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27</w:t>
      </w:r>
      <w:r>
        <w:rPr>
          <w:rFonts w:hint="eastAsia" w:ascii="宋体" w:hAnsi="宋体" w:cs="宋体"/>
          <w:color w:val="auto"/>
          <w:kern w:val="0"/>
          <w:szCs w:val="21"/>
          <w:highlight w:val="none"/>
          <w:lang w:bidi="ar"/>
        </w:rPr>
        <w:t>日，每天上午00:00至12:00，下午12:00至23:59（北京时间，线上获取法定节假日均可，线下获取文件法定节假日除外）</w:t>
      </w:r>
    </w:p>
    <w:p w14:paraId="364BE76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地点（网址）：浙江政府采购云平台（http://www.zcygov.cn/）</w:t>
      </w:r>
    </w:p>
    <w:p w14:paraId="62A2400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方式：（1）本项目采购文件实行“政府采购云平台”在线获取，不提供采购文件纸质版。供应商获取采购文件前应先完成“政府采购云平台”的账号注册；</w:t>
      </w:r>
    </w:p>
    <w:p w14:paraId="4C88B3F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7408865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276B9AC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注：请供应商按上述要求获取采购文件，未依法获取采购文件的供应商不得对本项目提起质疑；如未在“政采云”系统内完成相关流程，引起的响应无效责任自负。</w:t>
      </w:r>
    </w:p>
    <w:p w14:paraId="39B3FFF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售价（元）：0</w:t>
      </w:r>
    </w:p>
    <w:p w14:paraId="06FB4741">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四、响应文件提交（上传）</w:t>
      </w:r>
    </w:p>
    <w:p w14:paraId="6B5E72F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截止时间：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0</w:t>
      </w:r>
      <w:r>
        <w:rPr>
          <w:rFonts w:hint="eastAsia" w:ascii="宋体" w:hAnsi="宋体" w:cs="宋体"/>
          <w:color w:val="auto"/>
          <w:kern w:val="0"/>
          <w:szCs w:val="21"/>
          <w:highlight w:val="none"/>
          <w:lang w:bidi="ar"/>
        </w:rPr>
        <w:t>（北京时间）</w:t>
      </w:r>
    </w:p>
    <w:p w14:paraId="4551376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val="en-US" w:eastAsia="zh-CN" w:bidi="ar"/>
        </w:rPr>
        <w:t>六</w:t>
      </w:r>
      <w:r>
        <w:rPr>
          <w:rFonts w:hint="eastAsia" w:ascii="宋体" w:hAnsi="宋体" w:cs="宋体"/>
          <w:color w:val="auto"/>
          <w:kern w:val="0"/>
          <w:szCs w:val="21"/>
          <w:highlight w:val="none"/>
          <w:lang w:bidi="ar"/>
        </w:rPr>
        <w:t>）（南门上，宁波市海曙区气象路58号）：政采云平台（www.zcygov.cn）在线提交）</w:t>
      </w:r>
    </w:p>
    <w:p w14:paraId="1477B7EE">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五、响应文件开启</w:t>
      </w:r>
    </w:p>
    <w:p w14:paraId="4541856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开启时间：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0</w:t>
      </w:r>
      <w:r>
        <w:rPr>
          <w:rFonts w:hint="eastAsia" w:ascii="宋体" w:hAnsi="宋体" w:cs="宋体"/>
          <w:color w:val="auto"/>
          <w:kern w:val="0"/>
          <w:szCs w:val="21"/>
          <w:highlight w:val="none"/>
          <w:lang w:bidi="ar"/>
        </w:rPr>
        <w:t>（北京时间）</w:t>
      </w:r>
    </w:p>
    <w:p w14:paraId="568A11B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val="en-US" w:eastAsia="zh-CN" w:bidi="ar"/>
        </w:rPr>
        <w:t>六</w:t>
      </w:r>
      <w:r>
        <w:rPr>
          <w:rFonts w:hint="eastAsia" w:ascii="宋体" w:hAnsi="宋体" w:cs="宋体"/>
          <w:color w:val="auto"/>
          <w:kern w:val="0"/>
          <w:szCs w:val="21"/>
          <w:highlight w:val="none"/>
          <w:lang w:bidi="ar"/>
        </w:rPr>
        <w:t>）（南门上，宁波市海曙区气象路58号）（线上开启：政采云平台（www.zcygov.cn））</w:t>
      </w:r>
    </w:p>
    <w:p w14:paraId="3109768B">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六、公告期限</w:t>
      </w:r>
    </w:p>
    <w:p w14:paraId="3DCBE88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自本公告发布之日起3个工作日。</w:t>
      </w:r>
    </w:p>
    <w:p w14:paraId="7D1DBB86">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七、其他补充事宜</w:t>
      </w:r>
    </w:p>
    <w:p w14:paraId="39AB033B">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8F54EAA">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B08A2B">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FB1B9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.其他事项：</w:t>
      </w:r>
    </w:p>
    <w:p w14:paraId="76D6284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01EEEE4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.2供应商须提供政府采购领域商业贿赂行为承诺书（响应文件中须提供《政府采购领域商业贿赂行为承诺书》，详见响应文件格式）。</w:t>
      </w:r>
    </w:p>
    <w:p w14:paraId="51AE7603">
      <w:pPr>
        <w:spacing w:line="336"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.3采购项目需要落实的政府采购政策：</w:t>
      </w:r>
    </w:p>
    <w:p w14:paraId="77347878">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.3.1对小微企业的产品给予价格优惠（监狱企业、残疾人福利性单位视同小微企业；残疾人福利性单位属于小型、微型企业的，不重复享受政策）；</w:t>
      </w:r>
    </w:p>
    <w:p w14:paraId="4A1D1E8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3A182C5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.4中小企业信用融资</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230F0E8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73F3D27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.6响应与开标注意事项</w:t>
      </w:r>
    </w:p>
    <w:p w14:paraId="4038271C">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.6.1本项目实行网上响应，采用电子响应文件。若供应商参与响应，自行承担响应一切费用。</w:t>
      </w:r>
    </w:p>
    <w:p w14:paraId="088A856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36DB0B07">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.6.3响应文件制作：</w:t>
      </w:r>
    </w:p>
    <w:p w14:paraId="156E2481">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szCs w:val="21"/>
          <w:highlight w:val="none"/>
        </w:rPr>
        <w:t>。</w:t>
      </w:r>
    </w:p>
    <w:p w14:paraId="736BE8EA">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7D26D54C">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.6.3.3供应商可自愿提交以U盘存储的电子备份响应文件1份，按政府采购云平台要求制作的电子备份文件，以用于异常情况处理。</w:t>
      </w:r>
    </w:p>
    <w:p w14:paraId="1FD0D8F0">
      <w:pPr>
        <w:spacing w:line="336" w:lineRule="auto"/>
        <w:ind w:firstLine="420"/>
        <w:rPr>
          <w:rFonts w:ascii="宋体" w:hAnsi="宋体" w:cs="宋体"/>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1FAE1AE2">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.8供应商应于响应截止时间前将电子响应文件上传到政府采购云平台www.zcygov.cn，未上传电子响应文件，视为供应商放弃响应。</w:t>
      </w:r>
    </w:p>
    <w:p w14:paraId="297AB52E">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234AA78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285CB565">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.11供应商可采用邮寄（含快递）方式或现场方式递交备份响应文件。</w:t>
      </w:r>
    </w:p>
    <w:p w14:paraId="5AE7E3F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.11.1采用邮寄方式递交备份响应文件，需按以下要求递交：</w:t>
      </w:r>
    </w:p>
    <w:p w14:paraId="45C12E85">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之前到件的邮寄地址为：宁波市海曙区高桥镇秀丰路755号；拟在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0</w:t>
      </w:r>
      <w:r>
        <w:rPr>
          <w:rFonts w:hint="eastAsia" w:ascii="宋体" w:hAnsi="宋体" w:cs="宋体"/>
          <w:color w:val="auto"/>
          <w:szCs w:val="21"/>
          <w:highlight w:val="none"/>
        </w:rPr>
        <w:t>之前到件的邮寄地址为：[宁波市海曙区营商环境服务中心（原海曙区公共资源交易中心）开标室（</w:t>
      </w:r>
      <w:r>
        <w:rPr>
          <w:rFonts w:hint="eastAsia" w:ascii="宋体" w:hAnsi="宋体" w:cs="宋体"/>
          <w:color w:val="auto"/>
          <w:szCs w:val="21"/>
          <w:highlight w:val="none"/>
          <w:lang w:eastAsia="zh-CN"/>
        </w:rPr>
        <w:t>六</w:t>
      </w:r>
      <w:r>
        <w:rPr>
          <w:rFonts w:hint="eastAsia" w:ascii="宋体" w:hAnsi="宋体" w:cs="宋体"/>
          <w:color w:val="auto"/>
          <w:szCs w:val="21"/>
          <w:highlight w:val="none"/>
        </w:rPr>
        <w:t>）[宁波市海曙区气象路58号（南门上）]；</w:t>
      </w:r>
    </w:p>
    <w:p w14:paraId="352E529B">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288C0FB1">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.11.2采用现场方式送达备份响应文件，需按以下要求递交：供应商可安排相关人员在响应截止时间前将备份响应文件送至响应地点。</w:t>
      </w:r>
    </w:p>
    <w:p w14:paraId="16A2AE26">
      <w:pPr>
        <w:spacing w:line="336" w:lineRule="auto"/>
        <w:ind w:firstLine="420"/>
        <w:rPr>
          <w:rFonts w:ascii="宋体" w:hAnsi="宋体" w:cs="宋体"/>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55A88FB0">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八、凡对本次招标提出询问、质疑、投诉，请按以下方式联系</w:t>
      </w:r>
    </w:p>
    <w:p w14:paraId="23FF8EAD">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1.采购人信息</w:t>
      </w:r>
    </w:p>
    <w:p w14:paraId="106E09AC">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名称：宁波市海曙区古林镇中心小学</w:t>
      </w:r>
    </w:p>
    <w:p w14:paraId="673E658E">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地址：宁波市海曙区古林镇文卫路128号</w:t>
      </w:r>
    </w:p>
    <w:p w14:paraId="4636ADE0">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联系人：陈老师</w:t>
      </w:r>
    </w:p>
    <w:p w14:paraId="125DB2B6">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联系方式：0574-55011499</w:t>
      </w:r>
    </w:p>
    <w:p w14:paraId="44B4C9B0">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质疑联系人：周老师</w:t>
      </w:r>
    </w:p>
    <w:p w14:paraId="6A515C4F">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质疑联系方式：0574-55011499</w:t>
      </w:r>
    </w:p>
    <w:p w14:paraId="46C50DF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2.采购代理机构信息</w:t>
      </w:r>
    </w:p>
    <w:p w14:paraId="4156441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名称：宁波之新招标咨询有限公司</w:t>
      </w:r>
    </w:p>
    <w:p w14:paraId="7C29587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    址：宁波市海曙区高桥镇秀丰路755号3楼</w:t>
      </w:r>
    </w:p>
    <w:p w14:paraId="0FA5567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 系 人：姜梅、邓平、徐斌</w:t>
      </w:r>
    </w:p>
    <w:p w14:paraId="6052D11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联系电话：0574-87208638</w:t>
      </w:r>
    </w:p>
    <w:p w14:paraId="7A5FF98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质疑联系人：江华波</w:t>
      </w:r>
    </w:p>
    <w:p w14:paraId="009EFFC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联系电话：0574-87208639</w:t>
      </w:r>
    </w:p>
    <w:p w14:paraId="3DFC228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3.同级政府采购监督管理部门</w:t>
      </w:r>
    </w:p>
    <w:p w14:paraId="5377E8DB">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名称：宁波市海曙区采购管理办公室</w:t>
      </w:r>
    </w:p>
    <w:p w14:paraId="194F9960">
      <w:pPr>
        <w:adjustRightInd w:val="0"/>
        <w:spacing w:line="360" w:lineRule="auto"/>
        <w:ind w:firstLine="420" w:firstLineChars="200"/>
        <w:jc w:val="left"/>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地址：宁波市海曙区大梁街48号</w:t>
      </w:r>
    </w:p>
    <w:p w14:paraId="347D634E">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传真：/</w:t>
      </w:r>
    </w:p>
    <w:p w14:paraId="01518FE6">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联系人：王老师</w:t>
      </w:r>
    </w:p>
    <w:p w14:paraId="30505154">
      <w:pPr>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监督投诉电话：0574-87297540</w:t>
      </w:r>
    </w:p>
    <w:p w14:paraId="1266DF3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kern w:val="0"/>
          <w:szCs w:val="21"/>
          <w:highlight w:val="none"/>
          <w:lang w:bidi="ar"/>
        </w:rPr>
        <w:t>获取热线服务帮助。</w:t>
      </w:r>
    </w:p>
    <w:p w14:paraId="20474E5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CA问题联系电话（人工）：汇信CA400-888-4636；天谷CA400-087-8198。</w:t>
      </w:r>
    </w:p>
    <w:p w14:paraId="6E793A2D">
      <w:pPr>
        <w:spacing w:after="330" w:line="360" w:lineRule="auto"/>
        <w:jc w:val="center"/>
        <w:outlineLvl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5961"/>
      <w:bookmarkStart w:id="5" w:name="_Toc16919"/>
      <w:r>
        <w:rPr>
          <w:rFonts w:asciiTheme="majorEastAsia" w:hAnsiTheme="majorEastAsia" w:eastAsiaTheme="majorEastAsia"/>
          <w:b/>
          <w:bCs/>
          <w:color w:val="auto"/>
          <w:sz w:val="32"/>
          <w:szCs w:val="40"/>
          <w:highlight w:val="none"/>
        </w:rPr>
        <w:t>第二章  采购需求</w:t>
      </w:r>
      <w:bookmarkEnd w:id="3"/>
      <w:bookmarkEnd w:id="4"/>
      <w:bookmarkEnd w:id="5"/>
    </w:p>
    <w:p w14:paraId="0A72E84B">
      <w:pPr>
        <w:keepNext w:val="0"/>
        <w:keepLines w:val="0"/>
        <w:pageBreakBefore w:val="0"/>
        <w:widowControl w:val="0"/>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color w:val="auto"/>
          <w:sz w:val="21"/>
          <w:szCs w:val="21"/>
          <w:highlight w:val="none"/>
        </w:rPr>
      </w:pPr>
      <w:bookmarkStart w:id="6" w:name="_Toc522013504"/>
      <w:r>
        <w:rPr>
          <w:rFonts w:hint="eastAsia" w:ascii="宋体" w:hAnsi="宋体" w:eastAsia="宋体" w:cs="宋体"/>
          <w:b/>
          <w:color w:val="auto"/>
          <w:sz w:val="21"/>
          <w:szCs w:val="21"/>
          <w:highlight w:val="none"/>
        </w:rPr>
        <w:t>一、商务条款：</w:t>
      </w:r>
    </w:p>
    <w:tbl>
      <w:tblPr>
        <w:tblStyle w:val="45"/>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2"/>
        <w:gridCol w:w="7362"/>
      </w:tblGrid>
      <w:tr w14:paraId="58933B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09838EC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362" w:type="dxa"/>
            <w:noWrap w:val="0"/>
            <w:vAlign w:val="center"/>
          </w:tcPr>
          <w:p w14:paraId="77246C4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服务地点：按采购人采购的</w:t>
            </w:r>
            <w:r>
              <w:rPr>
                <w:rFonts w:hint="eastAsia" w:ascii="宋体" w:hAnsi="宋体" w:eastAsia="宋体" w:cs="宋体"/>
                <w:color w:val="auto"/>
                <w:sz w:val="21"/>
                <w:szCs w:val="21"/>
                <w:highlight w:val="none"/>
                <w:lang w:eastAsia="zh-CN"/>
              </w:rPr>
              <w:t>教职工疗休养</w:t>
            </w:r>
            <w:r>
              <w:rPr>
                <w:rFonts w:hint="eastAsia" w:ascii="宋体" w:hAnsi="宋体" w:eastAsia="宋体" w:cs="宋体"/>
                <w:color w:val="auto"/>
                <w:sz w:val="21"/>
                <w:szCs w:val="21"/>
                <w:highlight w:val="none"/>
              </w:rPr>
              <w:t>路线要求。</w:t>
            </w:r>
          </w:p>
        </w:tc>
      </w:tr>
      <w:tr w14:paraId="315C9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73B453DC">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服务时间</w:t>
            </w:r>
          </w:p>
        </w:tc>
        <w:tc>
          <w:tcPr>
            <w:tcW w:w="7362" w:type="dxa"/>
            <w:noWrap w:val="0"/>
            <w:vAlign w:val="center"/>
          </w:tcPr>
          <w:p w14:paraId="319411F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自合同签订生效后开始至双方合同义务完全履行后截止，具体根据采购人组织出行计划安排</w:t>
            </w:r>
            <w:r>
              <w:rPr>
                <w:rFonts w:hint="eastAsia" w:ascii="宋体" w:hAnsi="宋体" w:eastAsia="宋体" w:cs="宋体"/>
                <w:bCs/>
                <w:color w:val="auto"/>
                <w:sz w:val="21"/>
                <w:szCs w:val="21"/>
                <w:highlight w:val="none"/>
                <w:shd w:val="clear" w:color="auto" w:fill="FFFFFF"/>
              </w:rPr>
              <w:t>。</w:t>
            </w:r>
          </w:p>
        </w:tc>
      </w:tr>
      <w:tr w14:paraId="4F332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7F6B53C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362" w:type="dxa"/>
            <w:noWrap w:val="0"/>
            <w:vAlign w:val="center"/>
          </w:tcPr>
          <w:p w14:paraId="22401B2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cs="Times New Roman"/>
                <w:b/>
                <w:bCs w:val="0"/>
                <w:color w:val="auto"/>
                <w:szCs w:val="28"/>
                <w:highlight w:val="none"/>
                <w:lang w:val="en-US" w:eastAsia="zh-CN"/>
              </w:rPr>
            </w:pPr>
            <w:r>
              <w:rPr>
                <w:rFonts w:hint="eastAsia" w:ascii="Arial" w:hAnsi="Arial" w:eastAsia="宋体" w:cs="Times New Roman"/>
                <w:b/>
                <w:bCs w:val="0"/>
                <w:color w:val="auto"/>
                <w:szCs w:val="28"/>
                <w:highlight w:val="none"/>
              </w:rPr>
              <w:t>本项目采用单价报价，报价不做竞争，供应商在响应文件统一填</w:t>
            </w:r>
            <w:r>
              <w:rPr>
                <w:rFonts w:hint="eastAsia" w:ascii="Arial" w:hAnsi="Arial" w:eastAsia="宋体" w:cs="Times New Roman"/>
                <w:b/>
                <w:bCs w:val="0"/>
                <w:color w:val="auto"/>
                <w:szCs w:val="28"/>
                <w:highlight w:val="none"/>
                <w:lang w:val="en-US" w:eastAsia="zh-CN"/>
              </w:rPr>
              <w:t>报：</w:t>
            </w:r>
            <w:r>
              <w:rPr>
                <w:rFonts w:hint="eastAsia" w:ascii="Arial" w:hAnsi="Arial" w:cs="Times New Roman"/>
                <w:b/>
                <w:bCs w:val="0"/>
                <w:color w:val="auto"/>
                <w:szCs w:val="28"/>
                <w:highlight w:val="none"/>
                <w:lang w:val="en-US" w:eastAsia="zh-CN"/>
              </w:rPr>
              <w:t>江西</w:t>
            </w:r>
            <w:r>
              <w:rPr>
                <w:rFonts w:hint="eastAsia" w:ascii="Arial" w:hAnsi="Arial" w:eastAsia="宋体" w:cs="Times New Roman"/>
                <w:b/>
                <w:bCs w:val="0"/>
                <w:color w:val="auto"/>
                <w:szCs w:val="28"/>
                <w:highlight w:val="none"/>
                <w:lang w:val="en-US" w:eastAsia="zh-CN"/>
              </w:rPr>
              <w:t>：</w:t>
            </w:r>
            <w:r>
              <w:rPr>
                <w:rFonts w:hint="eastAsia" w:ascii="Arial" w:hAnsi="Arial" w:cs="Times New Roman"/>
                <w:b/>
                <w:bCs w:val="0"/>
                <w:color w:val="auto"/>
                <w:szCs w:val="28"/>
                <w:highlight w:val="none"/>
                <w:lang w:val="en-US" w:eastAsia="zh-CN"/>
              </w:rPr>
              <w:t>3000</w:t>
            </w:r>
            <w:r>
              <w:rPr>
                <w:rFonts w:hint="eastAsia" w:ascii="Arial" w:hAnsi="Arial" w:eastAsia="宋体" w:cs="Times New Roman"/>
                <w:b/>
                <w:bCs w:val="0"/>
                <w:color w:val="auto"/>
                <w:szCs w:val="28"/>
                <w:highlight w:val="none"/>
                <w:lang w:val="en-US" w:eastAsia="zh-CN"/>
              </w:rPr>
              <w:t>元/人、</w:t>
            </w:r>
            <w:r>
              <w:rPr>
                <w:rFonts w:hint="eastAsia" w:ascii="Arial" w:hAnsi="Arial" w:cs="Times New Roman"/>
                <w:b/>
                <w:bCs w:val="0"/>
                <w:color w:val="auto"/>
                <w:szCs w:val="28"/>
                <w:highlight w:val="none"/>
                <w:lang w:val="en-US" w:eastAsia="zh-CN"/>
              </w:rPr>
              <w:t>江苏</w:t>
            </w:r>
            <w:r>
              <w:rPr>
                <w:rFonts w:hint="eastAsia" w:ascii="Arial" w:hAnsi="Arial" w:eastAsia="宋体" w:cs="Times New Roman"/>
                <w:b/>
                <w:bCs w:val="0"/>
                <w:color w:val="auto"/>
                <w:szCs w:val="28"/>
                <w:highlight w:val="none"/>
                <w:lang w:val="en-US" w:eastAsia="zh-CN"/>
              </w:rPr>
              <w:t>：3000元/人。</w:t>
            </w:r>
            <w:r>
              <w:rPr>
                <w:rFonts w:hint="eastAsia" w:ascii="Arial" w:hAnsi="Arial" w:eastAsia="宋体" w:cs="Times New Roman"/>
                <w:b/>
                <w:bCs w:val="0"/>
                <w:color w:val="auto"/>
                <w:szCs w:val="28"/>
                <w:highlight w:val="none"/>
              </w:rPr>
              <w:t>政采云系统</w:t>
            </w:r>
            <w:r>
              <w:rPr>
                <w:rFonts w:hint="eastAsia" w:ascii="Arial" w:hAnsi="Arial" w:eastAsia="宋体" w:cs="Times New Roman"/>
                <w:b/>
                <w:bCs w:val="0"/>
                <w:color w:val="auto"/>
                <w:szCs w:val="28"/>
                <w:highlight w:val="none"/>
                <w:lang w:val="en-US" w:eastAsia="zh-CN"/>
              </w:rPr>
              <w:t>上统一填报总价</w:t>
            </w:r>
            <w:r>
              <w:rPr>
                <w:rFonts w:hint="eastAsia" w:ascii="Arial" w:hAnsi="Arial" w:cs="Times New Roman"/>
                <w:b/>
                <w:bCs w:val="0"/>
                <w:color w:val="auto"/>
                <w:szCs w:val="28"/>
                <w:highlight w:val="none"/>
                <w:lang w:val="en-US" w:eastAsia="zh-CN"/>
              </w:rPr>
              <w:t>405000</w:t>
            </w:r>
            <w:r>
              <w:rPr>
                <w:rFonts w:hint="eastAsia" w:ascii="Arial" w:hAnsi="Arial" w:eastAsia="宋体" w:cs="Times New Roman"/>
                <w:b/>
                <w:bCs w:val="0"/>
                <w:color w:val="auto"/>
                <w:szCs w:val="28"/>
                <w:highlight w:val="none"/>
                <w:lang w:val="en-US" w:eastAsia="zh-CN"/>
              </w:rPr>
              <w:t>元。</w:t>
            </w:r>
            <w:r>
              <w:rPr>
                <w:rFonts w:hint="eastAsia" w:ascii="Arial" w:hAnsi="Arial" w:eastAsia="宋体" w:cs="Times New Roman"/>
                <w:b/>
                <w:bCs w:val="0"/>
                <w:color w:val="auto"/>
                <w:szCs w:val="28"/>
                <w:highlight w:val="none"/>
              </w:rPr>
              <w:t>如未按要求填报，由评标委员会进行修正，</w:t>
            </w:r>
            <w:r>
              <w:rPr>
                <w:rFonts w:hint="eastAsia" w:ascii="Arial" w:hAnsi="Arial" w:eastAsia="宋体" w:cs="Times New Roman"/>
                <w:b/>
                <w:bCs w:val="0"/>
                <w:color w:val="auto"/>
                <w:szCs w:val="28"/>
                <w:highlight w:val="none"/>
                <w:lang w:eastAsia="zh-CN"/>
              </w:rPr>
              <w:t>投标人</w:t>
            </w:r>
            <w:r>
              <w:rPr>
                <w:rFonts w:hint="eastAsia" w:ascii="Arial" w:hAnsi="Arial" w:eastAsia="宋体" w:cs="Times New Roman"/>
                <w:b/>
                <w:bCs w:val="0"/>
                <w:color w:val="auto"/>
                <w:szCs w:val="28"/>
                <w:highlight w:val="none"/>
              </w:rPr>
              <w:t>不接受修正的，做无效标处理。</w:t>
            </w:r>
          </w:p>
          <w:p w14:paraId="61B45AA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cs="Times New Roman"/>
                <w:b/>
                <w:bCs w:val="0"/>
                <w:color w:val="auto"/>
                <w:szCs w:val="28"/>
                <w:highlight w:val="none"/>
                <w:lang w:val="en-US" w:eastAsia="zh-CN"/>
              </w:rPr>
            </w:pPr>
            <w:r>
              <w:rPr>
                <w:rFonts w:hint="eastAsia" w:ascii="Arial" w:hAnsi="Arial" w:eastAsia="宋体" w:cs="Times New Roman"/>
                <w:b/>
                <w:bCs w:val="0"/>
                <w:color w:val="auto"/>
                <w:szCs w:val="28"/>
                <w:highlight w:val="none"/>
                <w:lang w:val="en-US" w:eastAsia="zh-CN"/>
              </w:rPr>
              <w:t>备注：以上线路的报价中，3000元/人的部分由本次采购预算支付，超出部分由疗休养出行人自行承担，最终每人结算金额将根据出行时最终确定的价格为准。</w:t>
            </w:r>
          </w:p>
          <w:p w14:paraId="38C314C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（注：所有报价均包含</w:t>
            </w:r>
            <w:r>
              <w:rPr>
                <w:rFonts w:hint="eastAsia" w:ascii="Times New Roman" w:hAnsi="宋体" w:eastAsia="宋体" w:cs="宋体"/>
                <w:color w:val="auto"/>
                <w:kern w:val="2"/>
                <w:sz w:val="21"/>
                <w:highlight w:val="none"/>
              </w:rPr>
              <w:t>完成疗休养的交通费、住宿费、餐饮费、人身意外保险费，各旅游景点的所有门票、导游、领队的经费、司机的费用、服务费、保险、税费等完成疗休养的所有费用。</w:t>
            </w:r>
            <w:r>
              <w:rPr>
                <w:rFonts w:hint="eastAsia" w:ascii="宋体" w:hAnsi="宋体" w:eastAsia="宋体" w:cs="宋体"/>
                <w:color w:val="auto"/>
                <w:sz w:val="21"/>
                <w:szCs w:val="21"/>
                <w:highlight w:val="none"/>
              </w:rPr>
              <w:t>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p>
        </w:tc>
      </w:tr>
      <w:tr w14:paraId="26E33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7DBEDC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付款方式和条件</w:t>
            </w:r>
          </w:p>
        </w:tc>
        <w:tc>
          <w:tcPr>
            <w:tcW w:w="7362" w:type="dxa"/>
            <w:noWrap w:val="0"/>
            <w:vAlign w:val="center"/>
          </w:tcPr>
          <w:p w14:paraId="641D696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0FE77CE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42E0FC3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15C632B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6EC69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0885146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362" w:type="dxa"/>
            <w:noWrap w:val="0"/>
            <w:vAlign w:val="center"/>
          </w:tcPr>
          <w:p w14:paraId="787A6A7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w:t>
            </w:r>
            <w:r>
              <w:rPr>
                <w:rFonts w:hint="eastAsia" w:ascii="宋体" w:hAnsi="宋体" w:eastAsia="宋体" w:cs="宋体"/>
                <w:color w:val="auto"/>
                <w:sz w:val="21"/>
                <w:szCs w:val="21"/>
                <w:highlight w:val="none"/>
                <w:lang w:eastAsia="zh-CN"/>
              </w:rPr>
              <w:t>确定成交</w:t>
            </w:r>
            <w:r>
              <w:rPr>
                <w:rFonts w:hint="eastAsia" w:ascii="宋体" w:hAnsi="宋体" w:eastAsia="宋体" w:cs="宋体"/>
                <w:color w:val="auto"/>
                <w:sz w:val="21"/>
                <w:szCs w:val="21"/>
                <w:highlight w:val="none"/>
              </w:rPr>
              <w:t>供应商的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响应及</w:t>
            </w:r>
            <w:r>
              <w:rPr>
                <w:rFonts w:hint="eastAsia" w:ascii="宋体" w:hAnsi="宋体" w:eastAsia="宋体" w:cs="宋体"/>
                <w:color w:val="auto"/>
                <w:sz w:val="21"/>
                <w:szCs w:val="21"/>
                <w:highlight w:val="none"/>
                <w:lang w:eastAsia="zh-CN"/>
              </w:rPr>
              <w:t>确定成交</w:t>
            </w:r>
            <w:r>
              <w:rPr>
                <w:rFonts w:hint="eastAsia" w:ascii="宋体" w:hAnsi="宋体" w:eastAsia="宋体" w:cs="宋体"/>
                <w:color w:val="auto"/>
                <w:sz w:val="21"/>
                <w:szCs w:val="21"/>
                <w:highlight w:val="none"/>
              </w:rPr>
              <w:t>通知书确定的金额签订合同。</w:t>
            </w:r>
          </w:p>
        </w:tc>
      </w:tr>
      <w:tr w14:paraId="570BA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738F30A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362" w:type="dxa"/>
            <w:noWrap w:val="0"/>
            <w:vAlign w:val="center"/>
          </w:tcPr>
          <w:p w14:paraId="2146169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确定成交通知书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天内签订合同。</w:t>
            </w:r>
          </w:p>
        </w:tc>
      </w:tr>
      <w:tr w14:paraId="173B4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5C0C936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7362" w:type="dxa"/>
            <w:noWrap w:val="0"/>
            <w:vAlign w:val="center"/>
          </w:tcPr>
          <w:p w14:paraId="10868DC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1、参加教职工疗休养人员名单和个人信息不得外泄。</w:t>
            </w:r>
          </w:p>
          <w:p w14:paraId="0AA02DF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2、项目履行过程中，成交人的教职工发生的一切安全事故（包括由于出行受伤等引起的全部事故内容），全部责任由成交人自行承担，自主负责处理解决并承担相关费用。</w:t>
            </w:r>
          </w:p>
        </w:tc>
      </w:tr>
    </w:tbl>
    <w:p w14:paraId="638C88D2">
      <w:pPr>
        <w:keepNext w:val="0"/>
        <w:keepLines w:val="0"/>
        <w:pageBreakBefore w:val="0"/>
        <w:widowControl w:val="0"/>
        <w:shd w:val="clear"/>
        <w:kinsoku/>
        <w:wordWrap/>
        <w:overflowPunct/>
        <w:topLinePunct w:val="0"/>
        <w:bidi w:val="0"/>
        <w:spacing w:line="360"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br w:type="page"/>
      </w:r>
    </w:p>
    <w:p w14:paraId="0C352ECB">
      <w:pPr>
        <w:keepNext w:val="0"/>
        <w:keepLines w:val="0"/>
        <w:pageBreakBefore w:val="0"/>
        <w:widowControl w:val="0"/>
        <w:numPr>
          <w:ilvl w:val="0"/>
          <w:numId w:val="2"/>
        </w:numPr>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采购内容：</w:t>
      </w:r>
    </w:p>
    <w:p w14:paraId="29A7281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7" w:name="二、项目要求"/>
      <w:bookmarkEnd w:id="7"/>
      <w:r>
        <w:rPr>
          <w:rFonts w:hint="eastAsia" w:ascii="宋体" w:hAnsi="宋体" w:eastAsia="宋体" w:cs="Times New Roman"/>
          <w:b w:val="0"/>
          <w:bCs/>
          <w:color w:val="auto"/>
          <w:szCs w:val="21"/>
          <w:highlight w:val="none"/>
          <w:lang w:val="zh-CN" w:eastAsia="zh-CN"/>
        </w:rPr>
        <w:t>为进一步满足广大教职工对美好生活的需求，维护教职工基本权利，激发广大教职工的工作热情，严格落实疗休养工作有关文件规定，结合采购人实际情况，进行</w:t>
      </w:r>
      <w:r>
        <w:rPr>
          <w:rFonts w:hint="eastAsia" w:ascii="宋体" w:hAnsi="宋体" w:cs="宋体"/>
          <w:i w:val="0"/>
          <w:iCs w:val="0"/>
          <w:caps w:val="0"/>
          <w:color w:val="auto"/>
          <w:spacing w:val="0"/>
          <w:kern w:val="0"/>
          <w:sz w:val="21"/>
          <w:szCs w:val="21"/>
          <w:highlight w:val="none"/>
          <w:lang w:val="en-US" w:eastAsia="zh-CN" w:bidi="ar"/>
        </w:rPr>
        <w:t>宁波市海曙区古林镇中心小学2025年年度教职工疗休养</w:t>
      </w:r>
      <w:r>
        <w:rPr>
          <w:rFonts w:hint="eastAsia" w:ascii="宋体" w:hAnsi="宋体" w:eastAsia="宋体" w:cs="宋体"/>
          <w:i w:val="0"/>
          <w:iCs w:val="0"/>
          <w:caps w:val="0"/>
          <w:color w:val="auto"/>
          <w:spacing w:val="0"/>
          <w:kern w:val="0"/>
          <w:sz w:val="21"/>
          <w:szCs w:val="21"/>
          <w:highlight w:val="none"/>
          <w:lang w:val="en-US" w:eastAsia="zh-CN" w:bidi="ar"/>
        </w:rPr>
        <w:t>采购</w:t>
      </w:r>
      <w:r>
        <w:rPr>
          <w:rFonts w:hint="eastAsia" w:ascii="宋体" w:hAnsi="宋体" w:eastAsia="宋体" w:cs="Times New Roman"/>
          <w:b w:val="0"/>
          <w:bCs/>
          <w:color w:val="auto"/>
          <w:szCs w:val="21"/>
          <w:highlight w:val="none"/>
          <w:lang w:val="zh-CN" w:eastAsia="zh-CN"/>
        </w:rPr>
        <w:t>，基本情况如下：</w:t>
      </w:r>
    </w:p>
    <w:p w14:paraId="0CFB107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1、疗休养参加人数：参加教职工人数约</w:t>
      </w:r>
      <w:r>
        <w:rPr>
          <w:rFonts w:hint="eastAsia" w:ascii="宋体" w:hAnsi="宋体" w:cs="Times New Roman"/>
          <w:b w:val="0"/>
          <w:bCs/>
          <w:color w:val="auto"/>
          <w:szCs w:val="21"/>
          <w:highlight w:val="none"/>
          <w:lang w:val="en-US" w:eastAsia="zh-CN"/>
        </w:rPr>
        <w:t>135</w:t>
      </w:r>
      <w:r>
        <w:rPr>
          <w:rFonts w:hint="eastAsia" w:ascii="宋体" w:hAnsi="宋体" w:eastAsia="宋体" w:cs="Times New Roman"/>
          <w:b w:val="0"/>
          <w:bCs/>
          <w:color w:val="auto"/>
          <w:szCs w:val="21"/>
          <w:highlight w:val="none"/>
          <w:lang w:val="zh-CN" w:eastAsia="zh-CN"/>
        </w:rPr>
        <w:t>人（实际人数以参加人数为准，据实结算）。职工可携带家属，但职工家属的全部费用由职工自行负责，不在此项目的预算范围内，合同由职工家属与成交供应商另行签订。</w:t>
      </w:r>
    </w:p>
    <w:p w14:paraId="77177C3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2、疗休养出行地点、费用标准上限、时间说明如下：</w:t>
      </w:r>
    </w:p>
    <w:tbl>
      <w:tblPr>
        <w:tblStyle w:val="45"/>
        <w:tblW w:w="8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7005"/>
      </w:tblGrid>
      <w:tr w14:paraId="3A84C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798" w:type="dxa"/>
            <w:noWrap w:val="0"/>
            <w:vAlign w:val="center"/>
          </w:tcPr>
          <w:p w14:paraId="327DA9DA">
            <w:pPr>
              <w:widowControl w:val="0"/>
              <w:autoSpaceDE w:val="0"/>
              <w:autoSpaceDN w:val="0"/>
              <w:spacing w:before="0" w:after="0" w:line="240" w:lineRule="auto"/>
              <w:ind w:left="96"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类别</w:t>
            </w:r>
          </w:p>
        </w:tc>
        <w:tc>
          <w:tcPr>
            <w:tcW w:w="7005" w:type="dxa"/>
            <w:noWrap w:val="0"/>
            <w:vAlign w:val="center"/>
          </w:tcPr>
          <w:p w14:paraId="27D39584">
            <w:pPr>
              <w:widowControl w:val="0"/>
              <w:autoSpaceDE w:val="0"/>
              <w:autoSpaceDN w:val="0"/>
              <w:spacing w:before="0" w:after="0" w:line="240" w:lineRule="auto"/>
              <w:ind w:left="903" w:right="892"/>
              <w:jc w:val="center"/>
              <w:rPr>
                <w:rFonts w:ascii="宋体" w:hAnsi="宋体" w:eastAsia="宋体" w:cs="宋体"/>
                <w:color w:val="auto"/>
                <w:sz w:val="21"/>
                <w:szCs w:val="22"/>
                <w:highlight w:val="none"/>
                <w:lang w:val="zh-CN" w:eastAsia="zh-CN" w:bidi="zh-CN"/>
              </w:rPr>
            </w:pPr>
            <w:r>
              <w:rPr>
                <w:rFonts w:hint="eastAsia" w:ascii="宋体" w:hAnsi="宋体" w:cs="宋体"/>
                <w:color w:val="auto"/>
                <w:spacing w:val="3"/>
                <w:w w:val="100"/>
                <w:sz w:val="21"/>
                <w:szCs w:val="21"/>
                <w:highlight w:val="none"/>
                <w:lang w:val="zh-CN" w:eastAsia="zh-CN" w:bidi="zh-CN"/>
              </w:rPr>
              <w:t>2025</w:t>
            </w:r>
            <w:r>
              <w:rPr>
                <w:rFonts w:hint="eastAsia" w:ascii="宋体" w:hAnsi="宋体" w:eastAsia="宋体" w:cs="宋体"/>
                <w:color w:val="auto"/>
                <w:spacing w:val="3"/>
                <w:w w:val="100"/>
                <w:sz w:val="21"/>
                <w:szCs w:val="21"/>
                <w:highlight w:val="none"/>
                <w:lang w:val="zh-CN" w:eastAsia="zh-CN" w:bidi="zh-CN"/>
              </w:rPr>
              <w:t>年度暑期（</w:t>
            </w:r>
            <w:r>
              <w:rPr>
                <w:rFonts w:hint="eastAsia" w:ascii="宋体" w:hAnsi="宋体" w:eastAsia="宋体" w:cs="宋体"/>
                <w:color w:val="auto"/>
                <w:spacing w:val="3"/>
                <w:w w:val="100"/>
                <w:sz w:val="21"/>
                <w:szCs w:val="21"/>
                <w:highlight w:val="none"/>
                <w:lang w:val="en-US" w:eastAsia="zh-CN" w:bidi="zh-CN"/>
              </w:rPr>
              <w:t>7月-8月</w:t>
            </w:r>
            <w:r>
              <w:rPr>
                <w:rFonts w:hint="eastAsia" w:ascii="宋体" w:hAnsi="宋体" w:eastAsia="宋体" w:cs="宋体"/>
                <w:color w:val="auto"/>
                <w:spacing w:val="3"/>
                <w:w w:val="100"/>
                <w:sz w:val="21"/>
                <w:szCs w:val="21"/>
                <w:highlight w:val="none"/>
                <w:lang w:val="zh-CN" w:eastAsia="zh-CN" w:bidi="zh-CN"/>
              </w:rPr>
              <w:t>）教职工疗休养</w:t>
            </w:r>
          </w:p>
        </w:tc>
      </w:tr>
      <w:tr w14:paraId="0A46F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98" w:type="dxa"/>
            <w:noWrap w:val="0"/>
            <w:vAlign w:val="center"/>
          </w:tcPr>
          <w:p w14:paraId="40A144DE">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出行地点</w:t>
            </w:r>
          </w:p>
        </w:tc>
        <w:tc>
          <w:tcPr>
            <w:tcW w:w="7005" w:type="dxa"/>
            <w:noWrap w:val="0"/>
            <w:vAlign w:val="center"/>
          </w:tcPr>
          <w:p w14:paraId="17BAFEEB">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cs="宋体"/>
                <w:color w:val="auto"/>
                <w:spacing w:val="3"/>
                <w:w w:val="100"/>
                <w:sz w:val="21"/>
                <w:szCs w:val="21"/>
                <w:highlight w:val="none"/>
                <w:lang w:val="en-US" w:eastAsia="zh-CN" w:bidi="zh-CN"/>
              </w:rPr>
              <w:t>2</w:t>
            </w:r>
            <w:r>
              <w:rPr>
                <w:rFonts w:hint="eastAsia" w:ascii="宋体" w:hAnsi="宋体" w:eastAsia="宋体" w:cs="宋体"/>
                <w:color w:val="auto"/>
                <w:spacing w:val="3"/>
                <w:w w:val="100"/>
                <w:sz w:val="21"/>
                <w:szCs w:val="21"/>
                <w:highlight w:val="none"/>
                <w:lang w:val="en-US" w:eastAsia="zh-CN" w:bidi="zh-CN"/>
              </w:rPr>
              <w:t>条路线，暂定</w:t>
            </w:r>
            <w:r>
              <w:rPr>
                <w:rFonts w:hint="eastAsia" w:ascii="宋体" w:hAnsi="宋体" w:cs="宋体"/>
                <w:b/>
                <w:bCs/>
                <w:color w:val="auto"/>
                <w:spacing w:val="3"/>
                <w:w w:val="100"/>
                <w:sz w:val="21"/>
                <w:szCs w:val="21"/>
                <w:highlight w:val="none"/>
                <w:lang w:val="en-US" w:eastAsia="zh-CN" w:bidi="zh-CN"/>
              </w:rPr>
              <w:t>江西线、江苏线</w:t>
            </w:r>
            <w:r>
              <w:rPr>
                <w:rFonts w:hint="eastAsia" w:ascii="宋体" w:hAnsi="宋体" w:eastAsia="宋体" w:cs="宋体"/>
                <w:color w:val="auto"/>
                <w:spacing w:val="3"/>
                <w:w w:val="100"/>
                <w:sz w:val="21"/>
                <w:szCs w:val="21"/>
                <w:highlight w:val="none"/>
                <w:lang w:val="zh-CN" w:eastAsia="zh-CN" w:bidi="zh-CN"/>
              </w:rPr>
              <w:t>，</w:t>
            </w:r>
          </w:p>
          <w:p w14:paraId="304F22F4">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根据疗休养工作有关文件规定路线，由采购人最终确定；</w:t>
            </w:r>
          </w:p>
        </w:tc>
      </w:tr>
      <w:tr w14:paraId="143F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798" w:type="dxa"/>
            <w:noWrap w:val="0"/>
            <w:vAlign w:val="center"/>
          </w:tcPr>
          <w:p w14:paraId="4D393C97">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出行时长</w:t>
            </w:r>
          </w:p>
        </w:tc>
        <w:tc>
          <w:tcPr>
            <w:tcW w:w="7005" w:type="dxa"/>
            <w:noWrap w:val="0"/>
            <w:vAlign w:val="center"/>
          </w:tcPr>
          <w:p w14:paraId="768E1B8D">
            <w:pPr>
              <w:widowControl w:val="0"/>
              <w:autoSpaceDE w:val="0"/>
              <w:autoSpaceDN w:val="0"/>
              <w:spacing w:before="0" w:after="0" w:line="240" w:lineRule="auto"/>
              <w:ind w:left="903" w:right="892"/>
              <w:jc w:val="center"/>
              <w:rPr>
                <w:rFonts w:hint="eastAsia" w:ascii="宋体" w:hAnsi="宋体" w:eastAsia="宋体" w:cs="宋体"/>
                <w:color w:val="auto"/>
                <w:spacing w:val="3"/>
                <w:w w:val="100"/>
                <w:sz w:val="21"/>
                <w:szCs w:val="21"/>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根据采购人最终确定的出行方案确定</w:t>
            </w:r>
          </w:p>
        </w:tc>
      </w:tr>
      <w:tr w14:paraId="2313E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798" w:type="dxa"/>
            <w:noWrap w:val="0"/>
            <w:vAlign w:val="center"/>
          </w:tcPr>
          <w:p w14:paraId="4DBD7470">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费用标准（上限）</w:t>
            </w:r>
          </w:p>
        </w:tc>
        <w:tc>
          <w:tcPr>
            <w:tcW w:w="7005" w:type="dxa"/>
            <w:noWrap w:val="0"/>
            <w:vAlign w:val="center"/>
          </w:tcPr>
          <w:p w14:paraId="2F792D03">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cs="宋体"/>
                <w:color w:val="auto"/>
                <w:spacing w:val="3"/>
                <w:w w:val="100"/>
                <w:sz w:val="21"/>
                <w:szCs w:val="21"/>
                <w:highlight w:val="none"/>
                <w:lang w:val="en-US" w:eastAsia="zh-CN" w:bidi="zh-CN"/>
              </w:rPr>
              <w:t>江西</w:t>
            </w:r>
            <w:r>
              <w:rPr>
                <w:rFonts w:hint="eastAsia" w:ascii="宋体" w:hAnsi="宋体" w:eastAsia="宋体" w:cs="宋体"/>
                <w:color w:val="auto"/>
                <w:spacing w:val="3"/>
                <w:w w:val="100"/>
                <w:sz w:val="21"/>
                <w:szCs w:val="21"/>
                <w:highlight w:val="none"/>
                <w:lang w:val="en-US" w:eastAsia="zh-CN" w:bidi="zh-CN"/>
              </w:rPr>
              <w:t>线：3000元/人、</w:t>
            </w:r>
            <w:r>
              <w:rPr>
                <w:rFonts w:hint="eastAsia" w:ascii="宋体" w:hAnsi="宋体" w:cs="宋体"/>
                <w:color w:val="auto"/>
                <w:spacing w:val="3"/>
                <w:w w:val="100"/>
                <w:sz w:val="21"/>
                <w:szCs w:val="21"/>
                <w:highlight w:val="none"/>
                <w:lang w:val="en-US" w:eastAsia="zh-CN" w:bidi="zh-CN"/>
              </w:rPr>
              <w:t>江苏</w:t>
            </w:r>
            <w:r>
              <w:rPr>
                <w:rFonts w:hint="eastAsia" w:ascii="宋体" w:hAnsi="宋体" w:eastAsia="宋体" w:cs="宋体"/>
                <w:color w:val="auto"/>
                <w:spacing w:val="3"/>
                <w:w w:val="100"/>
                <w:sz w:val="21"/>
                <w:szCs w:val="21"/>
                <w:highlight w:val="none"/>
                <w:lang w:val="en-US" w:eastAsia="zh-CN" w:bidi="zh-CN"/>
              </w:rPr>
              <w:t>线：3000元/人</w:t>
            </w:r>
          </w:p>
        </w:tc>
      </w:tr>
    </w:tbl>
    <w:p w14:paraId="186BAD4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注：本项目费用标准为行程安排服务标准，供应商在响应报价时填报的报价作为评标及结算依据，但提供的服务不得低于行程的费用标准；合同履约期间，按最新发布的文件要求执行（供应商须考虑项目不确定因素，并自行承担该风险产生的费用和责任，中标后不能以此作为拒绝履行本项目的理由，否则采购人有权追究其法律及经济责任）。</w:t>
      </w:r>
    </w:p>
    <w:p w14:paraId="3882EFCE">
      <w:pPr>
        <w:autoSpaceDE w:val="0"/>
        <w:autoSpaceDN w:val="0"/>
        <w:spacing w:before="0" w:after="0" w:line="360" w:lineRule="auto"/>
        <w:ind w:right="483"/>
        <w:jc w:val="left"/>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本次项目采购通过竞争性磋商采购方式确定</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家服务单位。</w:t>
      </w:r>
    </w:p>
    <w:p w14:paraId="6336287E">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三、项目要求</w:t>
      </w:r>
    </w:p>
    <w:p w14:paraId="1E46AAD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1、供应商投标时须提供</w:t>
      </w:r>
      <w:r>
        <w:rPr>
          <w:rFonts w:hint="eastAsia" w:ascii="宋体" w:hAnsi="宋体" w:cs="Times New Roman"/>
          <w:b w:val="0"/>
          <w:bCs/>
          <w:color w:val="auto"/>
          <w:szCs w:val="21"/>
          <w:highlight w:val="none"/>
          <w:lang w:val="en-US" w:eastAsia="zh-CN"/>
        </w:rPr>
        <w:t>各</w:t>
      </w:r>
      <w:r>
        <w:rPr>
          <w:rFonts w:hint="eastAsia" w:ascii="宋体" w:hAnsi="宋体" w:eastAsia="宋体" w:cs="Times New Roman"/>
          <w:b w:val="0"/>
          <w:bCs/>
          <w:color w:val="auto"/>
          <w:szCs w:val="21"/>
          <w:highlight w:val="none"/>
          <w:lang w:val="en-US" w:eastAsia="zh-CN"/>
        </w:rPr>
        <w:t>条路线的</w:t>
      </w:r>
      <w:r>
        <w:rPr>
          <w:rFonts w:hint="eastAsia" w:ascii="宋体" w:hAnsi="宋体" w:eastAsia="宋体" w:cs="Times New Roman"/>
          <w:b w:val="0"/>
          <w:bCs/>
          <w:color w:val="auto"/>
          <w:szCs w:val="21"/>
          <w:highlight w:val="none"/>
          <w:lang w:val="zh-CN" w:eastAsia="zh-CN"/>
        </w:rPr>
        <w:t>行程安排方案，如建议出行时间、旅游行程（亮点、行程安排）、接待标准（交通、住宿、车辆、用餐、景点门票、导服、保险、购物安排）、建议成团人数等，方案供专家评审及采购人参考。采购人可选择供应商投标时提供的行程路线，也可选择其他路线，最终路线及行程安排由采购人决定。</w:t>
      </w:r>
    </w:p>
    <w:p w14:paraId="0159DB0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2、采购人自行选择行程路线，成交人不得以任何理由拒绝，否则视为违约。</w:t>
      </w:r>
    </w:p>
    <w:p w14:paraId="3E27F7E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3、最低组团人数不低于</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0人。（已报名成团的，因临时退团不足</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的，该团继续出行。在距离出发日≥5天（不含出发当日）临时退团的，大交通（飞机、动车、高铁）在已经出票的情况下，按退票当天实际产生的损失，由采购人承担，采购人不再支付其他任何损失费用；若距离出发日＜5天（不含出发当日）临时退团，按实际发生造成损失的凭证，由采购人承担。</w:t>
      </w:r>
    </w:p>
    <w:p w14:paraId="5CD09C5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4、教职工参加疗休养按照旅游线路进行报名（具体报名方式由双方协商决定），由采购人统一与中标旅行社签订国家旅游局最新版旅游合同。</w:t>
      </w:r>
    </w:p>
    <w:p w14:paraId="0F6BB92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5、遇上级政策变化，原定方案根据政策要求作及时调整，双方协商后实施。</w:t>
      </w:r>
      <w:bookmarkStart w:id="8" w:name="三、服务承诺"/>
      <w:bookmarkEnd w:id="8"/>
    </w:p>
    <w:p w14:paraId="04C7CE84">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四、服务标准</w:t>
      </w:r>
    </w:p>
    <w:p w14:paraId="448CC4D9">
      <w:pPr>
        <w:keepNext w:val="0"/>
        <w:keepLines w:val="0"/>
        <w:pageBreakBefore w:val="0"/>
        <w:widowControl w:val="0"/>
        <w:kinsoku/>
        <w:overflowPunct/>
        <w:topLinePunct w:val="0"/>
        <w:autoSpaceDE/>
        <w:autoSpaceDN/>
        <w:bidi w:val="0"/>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交通：交通方式视情况可选择飞机、汽车或高铁。含当地旅游车指定地点到疗养地点接送、景区交通等全过程交通出行工具。旅游车车龄不超过</w:t>
      </w:r>
      <w:r>
        <w:rPr>
          <w:rFonts w:hint="eastAsia" w:ascii="宋体" w:hAnsi="宋体" w:eastAsia="宋体" w:cs="Times New Roman"/>
          <w:b w:val="0"/>
          <w:bCs/>
          <w:color w:val="auto"/>
          <w:szCs w:val="21"/>
          <w:highlight w:val="none"/>
          <w:lang w:val="en-US" w:eastAsia="zh-CN"/>
        </w:rPr>
        <w:t>3年，驾驶员驾龄不少于5年。</w:t>
      </w:r>
    </w:p>
    <w:p w14:paraId="186AB36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住宿：交通便利、环境较好、干净卫生、服务优质，有较强的接待能力，同时配套设施齐全、使用安全方便。住宿标准为两人一间，主要安排标准间，另外若团队中出现单男单女，个人不补住房差价，由成交供应商安排并承担；个人要求单住房，需要补交个人房差价。</w:t>
      </w:r>
    </w:p>
    <w:p w14:paraId="36564D5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lang w:val="zh-CN" w:eastAsia="zh-CN"/>
        </w:rPr>
        <w:t>时间：按采购人计划实施，具体出团及返回时间根据经采购人认可的方案为准。</w:t>
      </w:r>
    </w:p>
    <w:p w14:paraId="48166C5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zh-CN" w:eastAsia="zh-CN"/>
        </w:rPr>
        <w:t>餐标：食物要求新鲜、安全，适合职工口味。要求菜品多样，餐厅交通便利，环境较好。</w:t>
      </w:r>
    </w:p>
    <w:p w14:paraId="7A6026A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val="zh-CN" w:eastAsia="zh-CN"/>
        </w:rPr>
        <w:t>景点：行程单上要进园参观的景点必须包含大门票。行程单里出现的自费项目必须注明价格，并且自动默认非强迫性。</w:t>
      </w:r>
    </w:p>
    <w:p w14:paraId="5C9B5C2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val="zh-CN" w:eastAsia="zh-CN"/>
        </w:rPr>
        <w:t>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36B99A6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lang w:val="zh-CN" w:eastAsia="zh-CN"/>
        </w:rPr>
        <w:t>导游：有导游资格的专业导游讲解服务。</w:t>
      </w:r>
    </w:p>
    <w:p w14:paraId="32D1EC0B">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五、服务承诺</w:t>
      </w:r>
    </w:p>
    <w:p w14:paraId="4282B17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供应商必须对本次教职工疗休养的有关服务内容做出服务承诺，包括：</w:t>
      </w:r>
    </w:p>
    <w:p w14:paraId="67AE39B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1、经营质量方面的承诺：</w:t>
      </w:r>
    </w:p>
    <w:p w14:paraId="79DACD7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向教职工提供的旅游服务信息必须真实可靠，不得作虚假宣传。因旅行社原因不能成行，未经教职工同意擅自转团、拼团，一经核实，承诺支付该批次疗休养费用总额的50%比例违约金，情节严重的采购人有权终止合同，取消其承办资格。</w:t>
      </w:r>
    </w:p>
    <w:p w14:paraId="6AC7FD9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②未经教职工同意，旅行社不得在旅游合同约定之外提供其他有偿服务。一经核实，承诺支付该批次疗休养费用总额的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6B4514D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③疗休养线路不得安排购物点或强制购物。一经核实，承诺支付该批次疗休养费用总额的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4F45E70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④旅行社必须严格兑现响应文件内承诺的所有服务标准和内容，若发现为教职工提供的服务与响应文件不符，一经查实，承诺支付该批次疗休养费用总额的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7848BFB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⑤旅行社为教职工安排或者介绍的旅游活动不得含有违反有关法律、法规规定的内容。一经核实，承诺支付该批次疗休养费用总额的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14B4042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⑥中标旅行社应当按照合同约定履行义务完成项目，不得将项目转让(转包)给其他旅行社，一经查实，取消其承办资格。</w:t>
      </w:r>
    </w:p>
    <w:p w14:paraId="06A5802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2、经营服务方面的承诺：</w:t>
      </w:r>
    </w:p>
    <w:p w14:paraId="3D78E61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旅行社为教职工提供服务，应当与教职工签订国家旅游局新版旅游合同（最新版）并载明下列事项:</w:t>
      </w:r>
    </w:p>
    <w:p w14:paraId="2950AE3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①旅行社的名称及其经营范围、地址、联系电话和旅行社业务经营许可证编号；</w:t>
      </w:r>
    </w:p>
    <w:p w14:paraId="47282F6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②旅行社经办人的姓名、联系电话；</w:t>
      </w:r>
    </w:p>
    <w:p w14:paraId="030F157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③签约地点和日期；</w:t>
      </w:r>
    </w:p>
    <w:p w14:paraId="0636E3D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④旅游行程的出发地、途经地和目的地；</w:t>
      </w:r>
    </w:p>
    <w:p w14:paraId="0B61EBB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⑤旅游行程中交通、住宿、餐饮服务安排及其标准；</w:t>
      </w:r>
    </w:p>
    <w:p w14:paraId="05F165B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9" w:name="第五章  评标办法及评分标准"/>
      <w:bookmarkEnd w:id="9"/>
      <w:r>
        <w:rPr>
          <w:rFonts w:hint="eastAsia" w:ascii="宋体" w:hAnsi="宋体" w:eastAsia="宋体" w:cs="Times New Roman"/>
          <w:b w:val="0"/>
          <w:bCs/>
          <w:color w:val="auto"/>
          <w:szCs w:val="21"/>
          <w:highlight w:val="none"/>
          <w:lang w:val="zh-CN" w:eastAsia="zh-CN"/>
        </w:rPr>
        <w:t>⑥教职工另行付费的游览项目及价格；</w:t>
      </w:r>
    </w:p>
    <w:p w14:paraId="5398161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⑦解除或者变更合同的条件和提前通知的期限；</w:t>
      </w:r>
    </w:p>
    <w:p w14:paraId="7439630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⑧违反合同的</w:t>
      </w:r>
      <w:r>
        <w:rPr>
          <w:rFonts w:hint="eastAsia" w:ascii="宋体" w:hAnsi="宋体" w:eastAsia="宋体" w:cs="Times New Roman"/>
          <w:b w:val="0"/>
          <w:bCs/>
          <w:color w:val="auto"/>
          <w:szCs w:val="21"/>
          <w:highlight w:val="none"/>
          <w:lang w:val="zh-CN" w:eastAsia="zh-CN"/>
        </w:rPr>
        <w:fldChar w:fldCharType="begin"/>
      </w:r>
      <w:r>
        <w:rPr>
          <w:rFonts w:hint="eastAsia" w:ascii="宋体" w:hAnsi="宋体" w:eastAsia="宋体" w:cs="Times New Roman"/>
          <w:b w:val="0"/>
          <w:bCs/>
          <w:color w:val="auto"/>
          <w:szCs w:val="21"/>
          <w:highlight w:val="none"/>
          <w:lang w:val="zh-CN" w:eastAsia="zh-CN"/>
        </w:rPr>
        <w:instrText xml:space="preserve"> HYPERLINK "http://baike.baidu.com/view/3798199.htm" \h </w:instrText>
      </w:r>
      <w:r>
        <w:rPr>
          <w:rFonts w:hint="eastAsia" w:ascii="宋体" w:hAnsi="宋体" w:eastAsia="宋体" w:cs="Times New Roman"/>
          <w:b w:val="0"/>
          <w:bCs/>
          <w:color w:val="auto"/>
          <w:szCs w:val="21"/>
          <w:highlight w:val="none"/>
          <w:lang w:val="zh-CN" w:eastAsia="zh-CN"/>
        </w:rPr>
        <w:fldChar w:fldCharType="separate"/>
      </w:r>
      <w:r>
        <w:rPr>
          <w:rFonts w:hint="eastAsia" w:ascii="宋体" w:hAnsi="宋体" w:eastAsia="宋体" w:cs="Times New Roman"/>
          <w:b w:val="0"/>
          <w:bCs/>
          <w:color w:val="auto"/>
          <w:szCs w:val="21"/>
          <w:highlight w:val="none"/>
          <w:lang w:val="zh-CN" w:eastAsia="zh-CN"/>
        </w:rPr>
        <w:t>纠纷解决</w:t>
      </w:r>
      <w:r>
        <w:rPr>
          <w:rFonts w:hint="eastAsia" w:ascii="宋体" w:hAnsi="宋体" w:eastAsia="宋体" w:cs="Times New Roman"/>
          <w:b w:val="0"/>
          <w:bCs/>
          <w:color w:val="auto"/>
          <w:szCs w:val="21"/>
          <w:highlight w:val="none"/>
          <w:lang w:val="zh-CN" w:eastAsia="zh-CN"/>
        </w:rPr>
        <w:fldChar w:fldCharType="end"/>
      </w:r>
      <w:r>
        <w:rPr>
          <w:rFonts w:hint="eastAsia" w:ascii="宋体" w:hAnsi="宋体" w:eastAsia="宋体" w:cs="Times New Roman"/>
          <w:b w:val="0"/>
          <w:bCs/>
          <w:color w:val="auto"/>
          <w:szCs w:val="21"/>
          <w:highlight w:val="none"/>
          <w:lang w:val="zh-CN" w:eastAsia="zh-CN"/>
        </w:rPr>
        <w:t>机制及应当承担的责任；</w:t>
      </w:r>
    </w:p>
    <w:p w14:paraId="38077CC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⑨旅游服务监督、投诉电话；</w:t>
      </w:r>
    </w:p>
    <w:p w14:paraId="2BF9496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⑩双方协商一致的其他内容。</w:t>
      </w:r>
      <w:bookmarkStart w:id="10" w:name="四、购买保险"/>
      <w:bookmarkEnd w:id="10"/>
    </w:p>
    <w:p w14:paraId="18C73EA1">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六、购买保险</w:t>
      </w:r>
    </w:p>
    <w:p w14:paraId="14CF30A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bCs w:val="0"/>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旅行社必须为参加疗休养的教职工购买</w:t>
      </w:r>
      <w:r>
        <w:rPr>
          <w:rFonts w:hint="eastAsia" w:ascii="宋体" w:hAnsi="宋体" w:eastAsia="宋体" w:cs="Times New Roman"/>
          <w:b/>
          <w:bCs w:val="0"/>
          <w:color w:val="auto"/>
          <w:szCs w:val="21"/>
          <w:highlight w:val="none"/>
          <w:lang w:val="zh-CN" w:eastAsia="zh-CN"/>
        </w:rPr>
        <w:t>旅行社责任险和人身意外保险（保额不低于100万/人（其中医疗部分不少于10万元），费用含在报价中；合同履约期间，按最新发布的文件要求执行）。</w:t>
      </w:r>
    </w:p>
    <w:p w14:paraId="4FCAF2DF">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七、合同签订及执行</w:t>
      </w:r>
    </w:p>
    <w:p w14:paraId="3372026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1、中标旅行社根据投标招标文件要求及投标文件响应有关条款，与采购人签订合同，由双方共同严格遵守执行。</w:t>
      </w:r>
    </w:p>
    <w:p w14:paraId="64E5E2FD">
      <w:pPr>
        <w:autoSpaceDE w:val="0"/>
        <w:autoSpaceDN w:val="0"/>
        <w:adjustRightInd w:val="0"/>
        <w:spacing w:before="62" w:beforeLines="20" w:after="62" w:afterLines="20"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、遇有双方不能协商解决的问题时，任何一方都有权向采购人所在地人民法院提起诉讼，由所在地人民法院依法裁决。</w:t>
      </w:r>
    </w:p>
    <w:p w14:paraId="5FFDBE1B">
      <w:pPr>
        <w:autoSpaceDE w:val="0"/>
        <w:autoSpaceDN w:val="0"/>
        <w:adjustRightInd w:val="0"/>
        <w:spacing w:before="62" w:beforeLines="20" w:after="62" w:afterLines="20" w:line="360" w:lineRule="auto"/>
        <w:rPr>
          <w:rFonts w:ascii="宋体" w:hAnsi="宋体" w:cs="宋体"/>
          <w:color w:val="auto"/>
          <w:kern w:val="24"/>
          <w:szCs w:val="21"/>
          <w:highlight w:val="none"/>
        </w:rPr>
      </w:pPr>
      <w:r>
        <w:rPr>
          <w:rFonts w:hint="eastAsia" w:ascii="宋体" w:hAnsi="宋体" w:cs="宋体"/>
          <w:color w:val="auto"/>
          <w:kern w:val="24"/>
          <w:szCs w:val="21"/>
          <w:highlight w:val="none"/>
        </w:rPr>
        <w:br w:type="page"/>
      </w:r>
    </w:p>
    <w:p w14:paraId="18A50D1E">
      <w:pPr>
        <w:spacing w:after="330" w:line="360" w:lineRule="auto"/>
        <w:jc w:val="center"/>
        <w:outlineLvl w:val="0"/>
        <w:rPr>
          <w:rFonts w:asciiTheme="majorEastAsia" w:hAnsiTheme="majorEastAsia" w:eastAsiaTheme="majorEastAsia"/>
          <w:b/>
          <w:bCs/>
          <w:color w:val="auto"/>
          <w:sz w:val="32"/>
          <w:szCs w:val="40"/>
          <w:highlight w:val="none"/>
        </w:rPr>
      </w:pPr>
      <w:bookmarkStart w:id="11" w:name="_Toc27001"/>
      <w:bookmarkStart w:id="12" w:name="_Toc21677"/>
      <w:r>
        <w:rPr>
          <w:rFonts w:asciiTheme="majorEastAsia" w:hAnsiTheme="majorEastAsia" w:eastAsiaTheme="majorEastAsia"/>
          <w:b/>
          <w:bCs/>
          <w:color w:val="auto"/>
          <w:sz w:val="32"/>
          <w:szCs w:val="40"/>
          <w:highlight w:val="none"/>
        </w:rPr>
        <w:t>第三章  供应商须知</w:t>
      </w:r>
      <w:bookmarkEnd w:id="6"/>
      <w:bookmarkEnd w:id="11"/>
      <w:bookmarkEnd w:id="12"/>
    </w:p>
    <w:p w14:paraId="14DC142F">
      <w:pPr>
        <w:spacing w:line="360" w:lineRule="auto"/>
        <w:jc w:val="center"/>
        <w:rPr>
          <w:rFonts w:ascii="宋体" w:hAnsi="宋体" w:cs="宋体"/>
          <w:color w:val="auto"/>
          <w:highlight w:val="none"/>
        </w:rPr>
      </w:pPr>
      <w:r>
        <w:rPr>
          <w:rFonts w:hint="eastAsia" w:ascii="宋体" w:hAnsi="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52129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BD8226E">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639C3EE9">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7109A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679CB17">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641F3EB4">
            <w:pPr>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宁波市海曙区古林镇中心小学2025年年度教职工疗休养</w:t>
            </w:r>
          </w:p>
        </w:tc>
      </w:tr>
      <w:tr w14:paraId="4D6D2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86FB76">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25669FB1">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报价要求及其他费用：</w:t>
            </w:r>
          </w:p>
          <w:p w14:paraId="6CE73C5E">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val="zh-CN"/>
              </w:rPr>
            </w:pPr>
            <w:bookmarkStart w:id="13" w:name="_Hlk20081732"/>
            <w:r>
              <w:rPr>
                <w:rFonts w:hint="eastAsia" w:ascii="宋体" w:hAnsi="宋体" w:eastAsia="宋体" w:cs="宋体"/>
                <w:color w:val="auto"/>
                <w:sz w:val="21"/>
                <w:szCs w:val="21"/>
                <w:highlight w:val="none"/>
              </w:rPr>
              <w:t>报价要求：报价须包含完成疗休养的交通费、住宿费、餐饮费、人身意外保险费，各旅游景点的所有门票、导游、领队的经费、司机的费用、服务费、保险、税费等完成疗休养的所有费用。。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r>
              <w:rPr>
                <w:rFonts w:hint="eastAsia" w:ascii="宋体" w:hAnsi="宋体" w:eastAsia="宋体" w:cs="宋体"/>
                <w:color w:val="auto"/>
                <w:sz w:val="21"/>
                <w:szCs w:val="21"/>
                <w:highlight w:val="none"/>
                <w:lang w:eastAsia="zh-CN"/>
              </w:rPr>
              <w:t>。</w:t>
            </w:r>
          </w:p>
          <w:p w14:paraId="21D1CC95">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eastAsia="宋体" w:cs="宋体"/>
                <w:color w:val="auto"/>
                <w:sz w:val="21"/>
                <w:szCs w:val="21"/>
                <w:highlight w:val="none"/>
                <w:lang w:val="zh-CN" w:eastAsia="zh-CN"/>
              </w:rPr>
              <w:t>江西：</w:t>
            </w:r>
            <w:r>
              <w:rPr>
                <w:rFonts w:hint="eastAsia" w:ascii="宋体" w:hAnsi="宋体" w:cs="宋体"/>
                <w:bCs/>
                <w:color w:val="auto"/>
                <w:szCs w:val="21"/>
                <w:highlight w:val="none"/>
                <w:lang w:val="en-US" w:eastAsia="zh-CN"/>
              </w:rPr>
              <w:t>3000</w:t>
            </w:r>
            <w:r>
              <w:rPr>
                <w:rFonts w:hint="eastAsia" w:ascii="宋体" w:hAnsi="宋体" w:eastAsia="宋体" w:cs="宋体"/>
                <w:bCs/>
                <w:color w:val="auto"/>
                <w:szCs w:val="21"/>
                <w:highlight w:val="none"/>
                <w:lang w:val="en-US" w:eastAsia="zh-CN"/>
              </w:rPr>
              <w:t>元/人、</w:t>
            </w:r>
            <w:r>
              <w:rPr>
                <w:rFonts w:hint="eastAsia" w:ascii="宋体" w:hAnsi="宋体" w:cs="宋体"/>
                <w:bCs/>
                <w:color w:val="auto"/>
                <w:szCs w:val="21"/>
                <w:highlight w:val="none"/>
                <w:lang w:val="en-US" w:eastAsia="zh-CN"/>
              </w:rPr>
              <w:t>江苏</w:t>
            </w:r>
            <w:r>
              <w:rPr>
                <w:rFonts w:hint="eastAsia" w:ascii="宋体" w:hAnsi="宋体" w:eastAsia="宋体" w:cs="宋体"/>
                <w:bCs/>
                <w:color w:val="auto"/>
                <w:szCs w:val="21"/>
                <w:highlight w:val="none"/>
                <w:lang w:val="en-US" w:eastAsia="zh-CN"/>
              </w:rPr>
              <w:t>：3000元/人</w:t>
            </w:r>
            <w:r>
              <w:rPr>
                <w:rFonts w:hint="eastAsia" w:ascii="宋体" w:hAnsi="宋体" w:eastAsia="宋体" w:cs="宋体"/>
                <w:color w:val="auto"/>
                <w:sz w:val="21"/>
                <w:szCs w:val="21"/>
                <w:highlight w:val="none"/>
              </w:rPr>
              <w:t>。政采云系统上统一填报总价</w:t>
            </w:r>
            <w:r>
              <w:rPr>
                <w:rFonts w:hint="eastAsia" w:ascii="宋体" w:hAnsi="宋体" w:cs="宋体"/>
                <w:color w:val="auto"/>
                <w:sz w:val="21"/>
                <w:szCs w:val="21"/>
                <w:highlight w:val="none"/>
                <w:lang w:eastAsia="zh-CN"/>
              </w:rPr>
              <w:t>405000</w:t>
            </w:r>
            <w:r>
              <w:rPr>
                <w:rFonts w:hint="eastAsia" w:ascii="宋体" w:hAnsi="宋体" w:eastAsia="宋体" w:cs="宋体"/>
                <w:color w:val="auto"/>
                <w:sz w:val="21"/>
                <w:szCs w:val="21"/>
                <w:highlight w:val="none"/>
              </w:rPr>
              <w:t>元。如未按要求填报，由评标委员会进行修正，投标人不接受修正的，做无效标处理。备注：以上线路的报价中，3000元/人的部分由本次采购预算支付，超出部分由疗休养出行人自行承担，最终每人结算金额将根据出行时最终确定的价格为准。</w:t>
            </w:r>
          </w:p>
          <w:bookmarkEnd w:id="13"/>
          <w:p w14:paraId="3176B03B">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不论成交结果如何，供应商均应自行承担所有与采购有关的全部费用。</w:t>
            </w:r>
          </w:p>
          <w:p w14:paraId="4CFF9B24">
            <w:pPr>
              <w:numPr>
                <w:ilvl w:val="0"/>
                <w:numId w:val="3"/>
              </w:numPr>
              <w:spacing w:line="440" w:lineRule="exact"/>
              <w:rPr>
                <w:rFonts w:ascii="宋体" w:hAnsi="宋体" w:cs="宋体"/>
                <w:color w:val="auto"/>
                <w:szCs w:val="21"/>
                <w:highlight w:val="none"/>
              </w:rPr>
            </w:pPr>
            <w:r>
              <w:rPr>
                <w:rFonts w:hint="eastAsia" w:ascii="宋体" w:hAnsi="宋体" w:cs="宋体"/>
                <w:color w:val="auto"/>
                <w:szCs w:val="21"/>
                <w:highlight w:val="none"/>
              </w:rPr>
              <w:t>成交服务费：招标代理机构</w:t>
            </w:r>
            <w:r>
              <w:rPr>
                <w:rFonts w:hint="eastAsia" w:ascii="宋体" w:hAnsi="宋体" w:cs="宋体"/>
                <w:color w:val="auto"/>
                <w:szCs w:val="21"/>
                <w:highlight w:val="none"/>
                <w:lang w:eastAsia="zh-CN"/>
              </w:rPr>
              <w:t>根据宁波市中介超市网比选结果，向中标人收取招标服务费。</w:t>
            </w:r>
          </w:p>
        </w:tc>
      </w:tr>
      <w:tr w14:paraId="0E5E2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504D044">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5FF312C1">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并将以公告形式发布于采购公告发布网站，请供应商自行查看。</w:t>
            </w:r>
          </w:p>
        </w:tc>
      </w:tr>
      <w:tr w14:paraId="7C84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86277FD">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0F791E76">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2CE8C606">
            <w:pPr>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4D04A9B1">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（2）以U盘存储的电子备份响应文件（含资信技术文件、报价文件）1份（自愿提供）。</w:t>
            </w:r>
          </w:p>
        </w:tc>
      </w:tr>
      <w:tr w14:paraId="596D1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1595F7">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36471DD0">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0F206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09F153D">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09BE48D6">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0A305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0D487F">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6EA7395F">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5029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DEB547">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57E94FC5">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经采购人确认，成交结果公示于采购</w:t>
            </w:r>
            <w:r>
              <w:rPr>
                <w:rFonts w:hint="eastAsia" w:asciiTheme="majorEastAsia" w:hAnsiTheme="majorEastAsia" w:eastAsiaTheme="majorEastAsia"/>
                <w:color w:val="auto"/>
                <w:highlight w:val="none"/>
              </w:rPr>
              <w:t>公告发布网站</w:t>
            </w:r>
          </w:p>
        </w:tc>
      </w:tr>
      <w:tr w14:paraId="599A8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EF6FB1">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279E200E">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rPr>
              <w:t>预算资金</w:t>
            </w:r>
          </w:p>
        </w:tc>
      </w:tr>
      <w:tr w14:paraId="767B6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DE09E30">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1C6EDCFA">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rPr>
              <w:t>90</w:t>
            </w:r>
            <w:r>
              <w:rPr>
                <w:rFonts w:asciiTheme="majorEastAsia" w:hAnsiTheme="majorEastAsia" w:eastAsiaTheme="majorEastAsia"/>
                <w:color w:val="auto"/>
                <w:highlight w:val="none"/>
              </w:rPr>
              <w:t>天</w:t>
            </w:r>
          </w:p>
        </w:tc>
      </w:tr>
      <w:tr w14:paraId="283D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EAEAED0">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419B6B98">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履约保证金：无</w:t>
            </w:r>
          </w:p>
        </w:tc>
      </w:tr>
      <w:tr w14:paraId="7E68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350A61C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481EF793">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rPr>
              <w:t>20</w:t>
            </w:r>
            <w:r>
              <w:rPr>
                <w:rFonts w:hint="eastAsia" w:ascii="宋体" w:hAnsi="宋体" w:cs="宋体"/>
                <w:color w:val="auto"/>
                <w:szCs w:val="21"/>
                <w:highlight w:val="none"/>
              </w:rPr>
              <w:t>个工作日内</w:t>
            </w:r>
          </w:p>
        </w:tc>
      </w:tr>
      <w:tr w14:paraId="0E02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8C8BA33">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5F429F68">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448F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7FE5FD15">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316C6EC3">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0EA2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0" w:type="dxa"/>
            <w:vAlign w:val="center"/>
          </w:tcPr>
          <w:p w14:paraId="2B76CF2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2FE219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付款方式：</w:t>
            </w:r>
          </w:p>
          <w:p w14:paraId="73161E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合同签订后</w:t>
            </w:r>
            <w:r>
              <w:rPr>
                <w:rFonts w:hint="eastAsia" w:ascii="宋体" w:hAnsi="宋体" w:cs="宋体"/>
                <w:color w:val="auto"/>
                <w:szCs w:val="21"/>
                <w:highlight w:val="none"/>
                <w:lang w:val="en-US" w:eastAsia="zh-CN"/>
              </w:rPr>
              <w:t>以及</w:t>
            </w:r>
            <w:r>
              <w:rPr>
                <w:rFonts w:hint="eastAsia" w:ascii="宋体" w:hAnsi="宋体" w:cs="宋体"/>
                <w:color w:val="auto"/>
                <w:szCs w:val="21"/>
                <w:highlight w:val="none"/>
              </w:rPr>
              <w:t>具备实施条件后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向</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支付</w:t>
            </w:r>
            <w:r>
              <w:rPr>
                <w:rFonts w:hint="eastAsia" w:ascii="宋体" w:hAnsi="宋体" w:cs="宋体"/>
                <w:color w:val="auto"/>
                <w:szCs w:val="21"/>
                <w:highlight w:val="none"/>
                <w:lang w:val="en-US"/>
              </w:rPr>
              <w:t>合同</w:t>
            </w:r>
            <w:r>
              <w:rPr>
                <w:rFonts w:hint="eastAsia" w:ascii="宋体" w:hAnsi="宋体" w:cs="宋体"/>
                <w:color w:val="auto"/>
                <w:szCs w:val="21"/>
                <w:highlight w:val="none"/>
              </w:rPr>
              <w:t>总额</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r>
              <w:rPr>
                <w:rFonts w:hint="eastAsia" w:ascii="宋体" w:hAnsi="宋体" w:cs="宋体"/>
                <w:color w:val="auto"/>
                <w:szCs w:val="21"/>
                <w:highlight w:val="none"/>
                <w:lang w:eastAsia="zh-CN"/>
              </w:rPr>
              <w:t>（在签订合同时，供应商明确表示无需预付款或者主动要求降低预付款比例的，采购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lang w:eastAsia="zh-CN"/>
              </w:rPr>
              <w:t>可不适用</w:t>
            </w:r>
            <w:r>
              <w:rPr>
                <w:rFonts w:hint="eastAsia" w:ascii="宋体" w:hAnsi="宋体" w:cs="宋体"/>
                <w:color w:val="auto"/>
                <w:szCs w:val="21"/>
                <w:highlight w:val="none"/>
                <w:lang w:val="en-US" w:eastAsia="zh-CN"/>
              </w:rPr>
              <w:t>此条预付</w:t>
            </w:r>
            <w:r>
              <w:rPr>
                <w:rFonts w:hint="eastAsia" w:ascii="宋体" w:hAnsi="宋体" w:cs="宋体"/>
                <w:color w:val="auto"/>
                <w:szCs w:val="21"/>
                <w:highlight w:val="none"/>
                <w:lang w:eastAsia="zh-CN"/>
              </w:rPr>
              <w:t>规定）；</w:t>
            </w:r>
          </w:p>
          <w:p w14:paraId="28E15D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无预付款的，在成交人</w:t>
            </w:r>
            <w:r>
              <w:rPr>
                <w:rFonts w:hint="eastAsia" w:ascii="宋体" w:hAnsi="宋体" w:cs="宋体"/>
                <w:color w:val="auto"/>
                <w:szCs w:val="21"/>
                <w:highlight w:val="none"/>
                <w:lang w:val="en-US" w:eastAsia="zh-CN"/>
              </w:rPr>
              <w:t>订完</w:t>
            </w:r>
            <w:r>
              <w:rPr>
                <w:rFonts w:hint="eastAsia" w:ascii="宋体" w:hAnsi="宋体" w:cs="宋体"/>
                <w:color w:val="auto"/>
                <w:szCs w:val="21"/>
                <w:highlight w:val="none"/>
              </w:rPr>
              <w:t>第一批机票（</w:t>
            </w:r>
            <w:r>
              <w:rPr>
                <w:rFonts w:hint="eastAsia" w:ascii="宋体" w:hAnsi="宋体" w:cs="宋体"/>
                <w:color w:val="auto"/>
                <w:szCs w:val="21"/>
                <w:highlight w:val="none"/>
                <w:lang w:eastAsia="zh-CN"/>
              </w:rPr>
              <w:t>或高铁或大巴</w:t>
            </w:r>
            <w:r>
              <w:rPr>
                <w:rFonts w:hint="eastAsia" w:ascii="宋体" w:hAnsi="宋体" w:cs="宋体"/>
                <w:color w:val="auto"/>
                <w:szCs w:val="21"/>
                <w:highlight w:val="none"/>
              </w:rPr>
              <w:t>）后，采购人向成交人支付合同总价的40%。</w:t>
            </w:r>
          </w:p>
          <w:p w14:paraId="2E3D32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3、成交人在完成教职工疗休养承办业务后，无有效投诉和质量问题，成交人凭正规有效发票原件、旅游合同、名单、身份证及保险复印件结清服务款项。</w:t>
            </w:r>
          </w:p>
          <w:p w14:paraId="2DCB8C31">
            <w:pPr>
              <w:spacing w:line="360" w:lineRule="auto"/>
              <w:rPr>
                <w:color w:val="auto"/>
                <w:highlight w:val="none"/>
              </w:rPr>
            </w:pPr>
            <w:r>
              <w:rPr>
                <w:rFonts w:hint="eastAsia" w:ascii="宋体" w:hAnsi="宋体" w:cs="宋体"/>
                <w:color w:val="auto"/>
                <w:szCs w:val="21"/>
                <w:highlight w:val="none"/>
              </w:rPr>
              <w:t>注：每次付款前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预付款除外</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，中标供应商必须开具等额的正规税务发票给采购人。</w:t>
            </w:r>
          </w:p>
        </w:tc>
      </w:tr>
      <w:tr w14:paraId="19BED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35EF0E8">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w:t>
            </w:r>
          </w:p>
        </w:tc>
        <w:tc>
          <w:tcPr>
            <w:tcW w:w="8474" w:type="dxa"/>
            <w:tcBorders>
              <w:top w:val="single" w:color="auto" w:sz="4" w:space="0"/>
              <w:left w:val="single" w:color="auto" w:sz="4" w:space="0"/>
              <w:bottom w:val="single" w:color="auto" w:sz="4" w:space="0"/>
              <w:right w:val="single" w:color="auto" w:sz="4" w:space="0"/>
            </w:tcBorders>
            <w:vAlign w:val="center"/>
          </w:tcPr>
          <w:p w14:paraId="424DC780">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6926CD79">
      <w:pPr>
        <w:rPr>
          <w:rFonts w:asciiTheme="majorEastAsia" w:hAnsiTheme="majorEastAsia" w:eastAsiaTheme="majorEastAsia"/>
          <w:color w:val="auto"/>
          <w:highlight w:val="none"/>
        </w:rPr>
      </w:pPr>
    </w:p>
    <w:p w14:paraId="254BE78C">
      <w:pPr>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2D1A8DA2">
      <w:pPr>
        <w:pStyle w:val="14"/>
        <w:widowControl w:val="0"/>
        <w:tabs>
          <w:tab w:val="clear" w:pos="454"/>
        </w:tabs>
        <w:spacing w:afterLines="0" w:line="360" w:lineRule="auto"/>
        <w:ind w:left="0" w:firstLine="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总则</w:t>
      </w:r>
    </w:p>
    <w:p w14:paraId="2FE4C27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74A791B6">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宁波市海曙区古林镇中心小学2025年年度教职工疗休养</w:t>
      </w:r>
      <w:r>
        <w:rPr>
          <w:rFonts w:asciiTheme="majorEastAsia" w:hAnsiTheme="majorEastAsia" w:eastAsiaTheme="majorEastAsia"/>
          <w:color w:val="auto"/>
          <w:highlight w:val="none"/>
        </w:rPr>
        <w:t>的磋商公告、响应、评审、验收、合同履约、付款等行为（法律、法规另有规定的，从其规定）。</w:t>
      </w:r>
    </w:p>
    <w:p w14:paraId="4B3A119A">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240CB081">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宁波市海曙区古林镇中心小学</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53BFA1C7">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2340B50D">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3F4AC464">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宁波市海曙区古林镇中心小学2025年年度教职工疗休养</w:t>
      </w:r>
      <w:r>
        <w:rPr>
          <w:rFonts w:asciiTheme="majorEastAsia" w:hAnsiTheme="majorEastAsia" w:eastAsiaTheme="majorEastAsia"/>
          <w:color w:val="auto"/>
          <w:highlight w:val="none"/>
        </w:rPr>
        <w:t>。</w:t>
      </w:r>
    </w:p>
    <w:p w14:paraId="2343CB2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51074122">
      <w:pPr>
        <w:pStyle w:val="26"/>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745E89E6">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0D640E8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5EA8D33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106CE712">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09EC08D7">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0FB2973D">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1CFB43E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37BCCB16">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2017DE1B">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09493001">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01D061B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47FFF6E6">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757158C7">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523AF7E3">
      <w:pPr>
        <w:pStyle w:val="26"/>
        <w:spacing w:beforeLines="0" w:afterLines="0" w:line="360" w:lineRule="auto"/>
        <w:ind w:firstLine="413" w:firstLineChars="196"/>
        <w:contextualSpacing/>
        <w:rPr>
          <w:rFonts w:asciiTheme="majorEastAsia" w:hAnsiTheme="majorEastAsia" w:eastAsiaTheme="majorEastAsia"/>
          <w:b/>
          <w:bCs/>
          <w:color w:val="auto"/>
          <w:highlight w:val="none"/>
        </w:rPr>
      </w:pPr>
      <w:bookmarkStart w:id="14" w:name="_Toc13650"/>
      <w:bookmarkStart w:id="15" w:name="_Toc14318"/>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3FE315B0">
      <w:pPr>
        <w:pStyle w:val="26"/>
        <w:spacing w:beforeLines="0" w:afterLines="0" w:line="360" w:lineRule="auto"/>
        <w:ind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64E5F692">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1BBE303F">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36B390EE">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49BE6380">
      <w:pPr>
        <w:pStyle w:val="14"/>
        <w:widowControl w:val="0"/>
        <w:tabs>
          <w:tab w:val="clear" w:pos="454"/>
        </w:tabs>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4"/>
      <w:bookmarkEnd w:id="15"/>
    </w:p>
    <w:p w14:paraId="2BA827BC">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44124476">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磋商文件</w:t>
      </w:r>
    </w:p>
    <w:p w14:paraId="6DD82F4F">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7ED3251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1BC8E312">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2C632961">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6745FCDE">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0778A84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1CA170ED">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4D96AED4">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151D32A4">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10B5466A">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0F5007A5">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362A18CA">
      <w:pPr>
        <w:pStyle w:val="39"/>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以公告形式发布于采购公告发布网站，请供应商自行查看。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74C4CAA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312BD332">
      <w:pPr>
        <w:pStyle w:val="14"/>
        <w:widowControl w:val="0"/>
        <w:tabs>
          <w:tab w:val="clear" w:pos="454"/>
        </w:tabs>
        <w:spacing w:afterLines="0" w:line="360" w:lineRule="auto"/>
        <w:contextualSpacing/>
        <w:rPr>
          <w:rFonts w:asciiTheme="majorEastAsia" w:hAnsiTheme="majorEastAsia" w:eastAsiaTheme="majorEastAsia"/>
          <w:b/>
          <w:color w:val="auto"/>
          <w:sz w:val="21"/>
          <w:szCs w:val="21"/>
          <w:highlight w:val="none"/>
        </w:rPr>
      </w:pPr>
    </w:p>
    <w:p w14:paraId="765063C5">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3625AE2F">
      <w:pPr>
        <w:spacing w:line="360" w:lineRule="auto"/>
        <w:ind w:left="238" w:firstLine="105" w:firstLineChars="50"/>
        <w:contextualSpacing/>
        <w:rPr>
          <w:rFonts w:asciiTheme="majorEastAsia" w:hAnsiTheme="majorEastAsia" w:eastAsiaTheme="majorEastAsia"/>
          <w:b/>
          <w:color w:val="auto"/>
          <w:szCs w:val="21"/>
          <w:highlight w:val="none"/>
        </w:rPr>
      </w:pPr>
      <w:bookmarkStart w:id="16"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500E3BC4">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1、响应文件分为电子响应文件以及备份响应文件（自愿提供），备份响应文件为以介质存储的数据电文形式的备份响应文件。</w:t>
      </w:r>
    </w:p>
    <w:p w14:paraId="176F4270">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78BE5959">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505D2B6F">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4、响应文件的效力</w:t>
      </w:r>
    </w:p>
    <w:p w14:paraId="0E6E74AA">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7F37B98A">
      <w:pPr>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3D7232BA">
      <w:pPr>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6"/>
    </w:p>
    <w:p w14:paraId="0C190501">
      <w:pPr>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651B7C19">
      <w:pPr>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7C41843E">
      <w:pPr>
        <w:spacing w:line="360" w:lineRule="auto"/>
        <w:ind w:left="4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1.1资格证明文件：</w:t>
      </w:r>
    </w:p>
    <w:p w14:paraId="0192C5D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cs="Times New Roman"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55B50C8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2</w:t>
      </w:r>
      <w:r>
        <w:rPr>
          <w:rFonts w:hint="eastAsia" w:cs="Times New Roman" w:asciiTheme="majorEastAsia" w:hAnsiTheme="majorEastAsia" w:eastAsiaTheme="majorEastAsia"/>
          <w:color w:val="auto"/>
          <w:szCs w:val="21"/>
          <w:highlight w:val="none"/>
        </w:rPr>
        <w:t>）供应商资格声明函（格式附后）；</w:t>
      </w:r>
    </w:p>
    <w:p w14:paraId="6B164D9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3</w:t>
      </w:r>
      <w:r>
        <w:rPr>
          <w:rFonts w:hint="eastAsia" w:cs="Times New Roman"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192E1E4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（4）①中小企业声明函（格式见附件）；</w:t>
      </w:r>
    </w:p>
    <w:p w14:paraId="60F795A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或②供应商为监狱企业的证明文件：省级以上监狱管理局、戒毒管理局（含新疆生产建设兵团）出具（如是，请提供。格式自拟）；</w:t>
      </w:r>
    </w:p>
    <w:p w14:paraId="08D7ABC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或③残疾人福利性单位声明函（如是，请提供。格式见附件）</w:t>
      </w:r>
    </w:p>
    <w:p w14:paraId="2B5E753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5</w:t>
      </w:r>
      <w:r>
        <w:rPr>
          <w:rFonts w:hint="eastAsia" w:cs="Times New Roman" w:asciiTheme="majorEastAsia" w:hAnsiTheme="majorEastAsia" w:eastAsiaTheme="majorEastAsia"/>
          <w:color w:val="auto"/>
          <w:szCs w:val="21"/>
          <w:highlight w:val="none"/>
        </w:rPr>
        <w:t>）供应商特定资格条件的证明文件：</w:t>
      </w:r>
      <w:r>
        <w:rPr>
          <w:rFonts w:hint="eastAsia" w:cs="Times New Roman" w:asciiTheme="majorEastAsia" w:hAnsiTheme="majorEastAsia" w:eastAsiaTheme="majorEastAsia"/>
          <w:color w:val="auto"/>
          <w:szCs w:val="21"/>
          <w:highlight w:val="none"/>
          <w:lang w:val="zh-CN" w:eastAsia="zh-CN"/>
        </w:rPr>
        <w:t>有效的《旅行社业务经营许可证》</w:t>
      </w:r>
      <w:r>
        <w:rPr>
          <w:rFonts w:hint="eastAsia" w:cs="Times New Roman" w:asciiTheme="majorEastAsia" w:hAnsiTheme="majorEastAsia" w:eastAsiaTheme="majorEastAsia"/>
          <w:color w:val="auto"/>
          <w:szCs w:val="21"/>
          <w:highlight w:val="none"/>
          <w:lang w:val="en-US" w:eastAsia="zh-CN"/>
        </w:rPr>
        <w:t>证书复印件</w:t>
      </w:r>
      <w:r>
        <w:rPr>
          <w:rFonts w:hint="eastAsia" w:cs="Times New Roman" w:asciiTheme="majorEastAsia" w:hAnsiTheme="majorEastAsia" w:eastAsiaTheme="majorEastAsia"/>
          <w:color w:val="auto"/>
          <w:szCs w:val="21"/>
          <w:highlight w:val="none"/>
        </w:rPr>
        <w:t>；</w:t>
      </w:r>
    </w:p>
    <w:p w14:paraId="0BA88BB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6</w:t>
      </w:r>
      <w:r>
        <w:rPr>
          <w:rFonts w:hint="eastAsia" w:cs="Times New Roman" w:asciiTheme="majorEastAsia" w:hAnsiTheme="majorEastAsia" w:eastAsiaTheme="majorEastAsia"/>
          <w:color w:val="auto"/>
          <w:szCs w:val="21"/>
          <w:highlight w:val="none"/>
        </w:rPr>
        <w:t>）磋商文件要求的其他资格条件证明材料（如有）</w:t>
      </w:r>
    </w:p>
    <w:p w14:paraId="61B3C68A">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1775F2D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（1）符合性自查表（格式附后）；</w:t>
      </w:r>
    </w:p>
    <w:p w14:paraId="3687827C">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（2）响应函（格式附后）；</w:t>
      </w:r>
    </w:p>
    <w:p w14:paraId="5A4D911B">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（3）法定代表人身份证明及法定代表人授权委托书（如为法定代表人参加磋商，则只需提供法定代表人身份证明，格式附后）；</w:t>
      </w:r>
    </w:p>
    <w:p w14:paraId="54F1D628">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（4）磋商声明书</w:t>
      </w:r>
    </w:p>
    <w:p w14:paraId="1E237454">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（5）采购需求响应（偏离）表；</w:t>
      </w:r>
    </w:p>
    <w:p w14:paraId="440A1C57">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（6）技术部分：针对本项目项目需求和评审标准中的条款拟定完整方案，格式自拟；</w:t>
      </w:r>
    </w:p>
    <w:p w14:paraId="7435654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（7）业绩一览表（格式附后）；</w:t>
      </w:r>
    </w:p>
    <w:p w14:paraId="24D0E00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（8）政府采购领域商业贿赂行为承诺书（格式附后）</w:t>
      </w:r>
    </w:p>
    <w:p w14:paraId="59BE28A1">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（9）评审标准要求提供的其他资料；</w:t>
      </w:r>
    </w:p>
    <w:p w14:paraId="7F5032E1">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宋体" w:hAnsi="宋体" w:cs="宋体"/>
          <w:bCs/>
          <w:color w:val="auto"/>
          <w:szCs w:val="21"/>
          <w:highlight w:val="none"/>
        </w:rPr>
        <w:t>（10）供应商认为有需要提供的其它有关证明资料。</w:t>
      </w:r>
    </w:p>
    <w:p w14:paraId="23989FFB">
      <w:pPr>
        <w:spacing w:line="360" w:lineRule="auto"/>
        <w:ind w:firstLine="422" w:firstLineChars="200"/>
        <w:contextualSpacing/>
        <w:jc w:val="lef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2580D4F5">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（1）初次报价表</w:t>
      </w:r>
      <w:r>
        <w:rPr>
          <w:rFonts w:asciiTheme="majorEastAsia" w:hAnsiTheme="majorEastAsia" w:eastAsiaTheme="majorEastAsia"/>
          <w:color w:val="auto"/>
          <w:szCs w:val="21"/>
          <w:highlight w:val="none"/>
        </w:rPr>
        <w:t>（格式附后）；</w:t>
      </w:r>
    </w:p>
    <w:p w14:paraId="3F206E14">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）供应商针对报价需要说明的其他文件和说明（格式自拟）。</w:t>
      </w:r>
    </w:p>
    <w:p w14:paraId="47F1989D">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7"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7"/>
    </w:p>
    <w:p w14:paraId="10D5166B">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1D9F5E4A">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32D3D9C3">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8"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8"/>
      <w:r>
        <w:rPr>
          <w:rFonts w:asciiTheme="majorEastAsia" w:hAnsiTheme="majorEastAsia" w:eastAsiaTheme="majorEastAsia"/>
          <w:b/>
          <w:color w:val="auto"/>
          <w:szCs w:val="21"/>
          <w:highlight w:val="none"/>
        </w:rPr>
        <w:t>要求</w:t>
      </w:r>
    </w:p>
    <w:p w14:paraId="3FA967D2">
      <w:pPr>
        <w:pStyle w:val="26"/>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0EE2C12C">
      <w:pPr>
        <w:pStyle w:val="26"/>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47552E4B">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3E270CD0">
      <w:pPr>
        <w:pStyle w:val="14"/>
        <w:widowControl w:val="0"/>
        <w:tabs>
          <w:tab w:val="clear" w:pos="454"/>
        </w:tabs>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4979BA48">
      <w:pPr>
        <w:pStyle w:val="14"/>
        <w:widowControl w:val="0"/>
        <w:tabs>
          <w:tab w:val="clear" w:pos="454"/>
        </w:tabs>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1BA21CFF">
      <w:pPr>
        <w:spacing w:line="360" w:lineRule="auto"/>
        <w:ind w:firstLine="420" w:firstLineChars="200"/>
        <w:contextualSpacing/>
        <w:jc w:val="left"/>
        <w:rPr>
          <w:rFonts w:asciiTheme="majorEastAsia" w:hAnsiTheme="majorEastAsia" w:eastAsiaTheme="majorEastAsia"/>
          <w:b/>
          <w:color w:val="auto"/>
          <w:szCs w:val="21"/>
          <w:highlight w:val="none"/>
        </w:rPr>
      </w:pPr>
      <w:bookmarkStart w:id="19"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9"/>
      <w:r>
        <w:rPr>
          <w:rFonts w:asciiTheme="majorEastAsia" w:hAnsiTheme="majorEastAsia" w:eastAsiaTheme="majorEastAsia"/>
          <w:b/>
          <w:color w:val="auto"/>
          <w:szCs w:val="21"/>
          <w:highlight w:val="none"/>
        </w:rPr>
        <w:t xml:space="preserve"> </w:t>
      </w:r>
    </w:p>
    <w:p w14:paraId="53C2B7AE">
      <w:pPr>
        <w:spacing w:line="360" w:lineRule="auto"/>
        <w:ind w:firstLine="420" w:firstLineChars="200"/>
        <w:contextualSpacing/>
        <w:jc w:val="left"/>
        <w:rPr>
          <w:rFonts w:asciiTheme="majorEastAsia" w:hAnsiTheme="majorEastAsia" w:eastAsiaTheme="majorEastAsia"/>
          <w:b/>
          <w:color w:val="auto"/>
          <w:szCs w:val="21"/>
          <w:highlight w:val="none"/>
        </w:rPr>
      </w:pPr>
      <w:bookmarkStart w:id="20"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20"/>
    </w:p>
    <w:p w14:paraId="7C201F28">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0966F900">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48D094FF">
      <w:pPr>
        <w:snapToGrid w:val="0"/>
        <w:spacing w:before="156" w:beforeLines="50" w:line="360" w:lineRule="auto"/>
        <w:ind w:firstLine="422" w:firstLineChars="200"/>
        <w:jc w:val="left"/>
        <w:rPr>
          <w:rFonts w:ascii="宋体" w:hAnsi="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cs="宋体"/>
          <w:color w:val="auto"/>
          <w:szCs w:val="21"/>
          <w:highlight w:val="none"/>
        </w:rPr>
        <w:t>2.供应商须在响应文件递交截止时间前将电子响应文件上传“政采云”平台。</w:t>
      </w:r>
    </w:p>
    <w:p w14:paraId="50991C7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可自愿提交电子文本一份（以介质存储的数据电文形式的备份响应文件）：供应商应根据“政采云供应商项目采购-电子招投标操作指南”及本磋商文件规定的格式和顺序编制电子响应文件并进行关联定位。以U盘形式存储，并单独密封递交。</w:t>
      </w:r>
    </w:p>
    <w:p w14:paraId="5AECF26D">
      <w:pPr>
        <w:snapToGrid w:val="0"/>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t>4.如供应商自愿递交备份响应文件，供应商应当在磋商文件要求提交响应文件的截止时间前，将备份响应文件密封送达磋商地点。采购人或者采购代理机构收到备份响应文件后，应当如实记载备份响应文件的送达时间和密封情况，签收保存，并向供应商出具签收回执。任何单位和个人不得在开标前开启备份响应文件。</w:t>
      </w:r>
    </w:p>
    <w:p w14:paraId="3C94E8E7">
      <w:pPr>
        <w:snapToGrid w:val="0"/>
        <w:spacing w:line="360" w:lineRule="auto"/>
        <w:ind w:firstLine="420"/>
        <w:jc w:val="left"/>
        <w:rPr>
          <w:rFonts w:asciiTheme="majorEastAsia" w:hAnsiTheme="majorEastAsia" w:eastAsiaTheme="majorEastAsia"/>
          <w:color w:val="auto"/>
          <w:szCs w:val="21"/>
          <w:highlight w:val="none"/>
        </w:rPr>
      </w:pPr>
      <w:r>
        <w:rPr>
          <w:rFonts w:hint="eastAsia" w:ascii="宋体" w:hAnsi="宋体" w:cs="宋体"/>
          <w:b/>
          <w:color w:val="auto"/>
          <w:szCs w:val="21"/>
          <w:highlight w:val="none"/>
        </w:rPr>
        <w:t>5.逾期送达或者未按照采购文件要求密封的响应文件，采购人、采购代理机构应当拒收。</w:t>
      </w:r>
    </w:p>
    <w:p w14:paraId="21B13569">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6FEFE949">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16E6DC9D">
      <w:pPr>
        <w:pStyle w:val="20"/>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rPr>
        <w:t>8.供应商递交的企业宣传册、产品宣传册不属于响应文件有效组成资料的不作为评审依据。</w:t>
      </w:r>
    </w:p>
    <w:p w14:paraId="017DE54F">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1E450255">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3BE551FB">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如供应商自愿递交备份响应文件，备份响应文件须单独包封，外包装封面上应注明供应商名称、供应商地址、项目名称、项目编号、响应文件名称（电子响应文件的备份文件），并加盖供应商公章。</w:t>
      </w:r>
    </w:p>
    <w:p w14:paraId="587ADE24">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292F0156">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00F24B4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223DD01B">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35E7BF3B">
      <w:pPr>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100A2E97">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4174F6A5">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55F2DBEA">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2E568CD8">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55E87D5A">
      <w:pPr>
        <w:pStyle w:val="20"/>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2828A475">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7D9BD2F8">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24000C26">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76C1009B">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1DC5FD6E">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66A3990A">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3132947C">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1F90FAB7">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058FCC35">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41AAC3BF">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797990F5">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4063007F">
      <w:pPr>
        <w:pStyle w:val="20"/>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7898A37A">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4967EB42">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12A8ADF8">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635F1E9A">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7B22689C">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687BE492">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70D4266F">
      <w:pPr>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3EBD5B3B">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76EEA0E0">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首次递交响应文件截止时间后，供应商登录政府采购云平台，用“项目采购-开标评标”功能对电子响应文件进行在线解密，在线解密电子响应文件时间为首次提交响应文件截止后30分钟内。</w:t>
      </w:r>
    </w:p>
    <w:p w14:paraId="7799C8B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0ECCADA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4AAD6E7F">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0471142E">
      <w:pPr>
        <w:numPr>
          <w:ilvl w:val="0"/>
          <w:numId w:val="4"/>
        </w:numPr>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7FC41835">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p>
    <w:p w14:paraId="5AFFF40C">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3名及以上成交候选供应商，并编写评审报告。若评审得分相同，则报价低者排名在前；评审得分且最终报价相同的则由抽签决定成交候选人，先抽中者排名在前。</w:t>
      </w:r>
    </w:p>
    <w:p w14:paraId="4C3ED63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2AB3CE9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2816F73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（8）采购人从评审报告提出的成交候选供应商中，按照得分排序由高到低的原则确定排名第一的成交候选供应商为成交供应商。采购代理机构在采购公告发布网站上公布成交结果。</w:t>
      </w:r>
    </w:p>
    <w:p w14:paraId="44C6D0CA">
      <w:pPr>
        <w:numPr>
          <w:ilvl w:val="0"/>
          <w:numId w:val="5"/>
        </w:numPr>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7EE5963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0E664A8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267A715E">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1"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21"/>
    </w:p>
    <w:p w14:paraId="2C33CD19">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2" w:name="_Toc396115157"/>
      <w:r>
        <w:rPr>
          <w:rFonts w:hint="eastAsia" w:cs="宋体" w:asciiTheme="majorEastAsia" w:hAnsiTheme="majorEastAsia" w:eastAsiaTheme="majorEastAsia"/>
          <w:color w:val="auto"/>
          <w:szCs w:val="21"/>
          <w:highlight w:val="none"/>
        </w:rPr>
        <w:t>（4）</w:t>
      </w:r>
      <w:bookmarkEnd w:id="22"/>
      <w:bookmarkStart w:id="23"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23"/>
    <w:p w14:paraId="7E81F7B8">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4" w:name="_Toc396115159"/>
      <w:r>
        <w:rPr>
          <w:rFonts w:hint="eastAsia" w:cs="宋体" w:asciiTheme="majorEastAsia" w:hAnsiTheme="majorEastAsia" w:eastAsiaTheme="majorEastAsia"/>
          <w:color w:val="auto"/>
          <w:szCs w:val="21"/>
          <w:highlight w:val="none"/>
        </w:rPr>
        <w:t>响应文件评审：</w:t>
      </w:r>
    </w:p>
    <w:bookmarkEnd w:id="24"/>
    <w:p w14:paraId="7990F74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7439D9CA">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62083059">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2033C623">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71453C3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18820A4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5ED2AF1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4E9A41D1">
      <w:pPr>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72450F7E">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（8）采购人从评审报告提出的成交候选供应商中，按照得分排序由高到低的原则确定排名第一的成交候选供应商为成交供应商。采购代理机构在采购公告发布网站公布成交结果。</w:t>
      </w:r>
    </w:p>
    <w:p w14:paraId="2B0BBF8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35074D7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40429020">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0B43234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11277B7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15B6C2B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2516DDCF">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3AB434E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1893D4C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63FC9223">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7F95DE4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33463C1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2ACFC8BC">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25AEAEE2">
      <w:pPr>
        <w:pStyle w:val="26"/>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207EFCB7">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52CCFFAF">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1346A058">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45528F38">
      <w:pPr>
        <w:pStyle w:val="26"/>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45CE99DA">
      <w:pPr>
        <w:pStyle w:val="26"/>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69CC6104">
      <w:pPr>
        <w:pStyle w:val="26"/>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7886B9FC">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0C3F5C5A">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136A4858">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7657DD6C">
      <w:pPr>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717C542A">
      <w:pPr>
        <w:pStyle w:val="29"/>
        <w:numPr>
          <w:ilvl w:val="0"/>
          <w:numId w:val="6"/>
        </w:numPr>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3927A065">
      <w:pPr>
        <w:pStyle w:val="29"/>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6F318B1A">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13A18D0C">
      <w:pPr>
        <w:pStyle w:val="29"/>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3E83815E">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3B253D6A">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2D0272E9">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66D84E89">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0B42A883">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6764F228">
      <w:pPr>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13FD30B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03A78260">
      <w:pPr>
        <w:spacing w:line="360" w:lineRule="auto"/>
        <w:ind w:left="237" w:leftChars="113" w:firstLine="103" w:firstLineChars="49"/>
        <w:contextualSpacing/>
        <w:rPr>
          <w:rFonts w:asciiTheme="majorEastAsia" w:hAnsiTheme="majorEastAsia" w:eastAsiaTheme="majorEastAsia"/>
          <w:b/>
          <w:color w:val="auto"/>
          <w:szCs w:val="28"/>
          <w:highlight w:val="none"/>
        </w:rPr>
      </w:pPr>
      <w:bookmarkStart w:id="25" w:name="_Toc523820682"/>
      <w:bookmarkStart w:id="26" w:name="_Toc317685588"/>
      <w:bookmarkStart w:id="27" w:name="_Toc354490630"/>
      <w:bookmarkStart w:id="28" w:name="_Toc5857"/>
      <w:bookmarkStart w:id="29" w:name="_Toc523820791"/>
      <w:bookmarkStart w:id="30" w:name="_Toc354495806"/>
      <w:bookmarkStart w:id="31" w:name="_Toc523820930"/>
      <w:r>
        <w:rPr>
          <w:rFonts w:asciiTheme="majorEastAsia" w:hAnsiTheme="majorEastAsia" w:eastAsiaTheme="majorEastAsia"/>
          <w:b/>
          <w:color w:val="auto"/>
          <w:szCs w:val="28"/>
          <w:highlight w:val="none"/>
        </w:rPr>
        <w:t>（五）错误修正</w:t>
      </w:r>
      <w:bookmarkEnd w:id="25"/>
      <w:bookmarkEnd w:id="26"/>
      <w:bookmarkEnd w:id="27"/>
      <w:bookmarkEnd w:id="28"/>
      <w:bookmarkEnd w:id="29"/>
      <w:bookmarkEnd w:id="30"/>
      <w:bookmarkEnd w:id="31"/>
    </w:p>
    <w:p w14:paraId="4F3B2BD2">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0FF80411">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3D656A74">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70C07BCB">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6E31634C">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2717DCD0">
      <w:pPr>
        <w:pStyle w:val="26"/>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028EA2EE">
      <w:pPr>
        <w:pStyle w:val="26"/>
        <w:tabs>
          <w:tab w:val="left" w:pos="630"/>
        </w:tabs>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66EEB08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362C11C">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7299D55A">
      <w:pPr>
        <w:pStyle w:val="26"/>
        <w:spacing w:beforeLines="0" w:afterLines="0" w:line="360" w:lineRule="auto"/>
        <w:contextualSpacing/>
        <w:rPr>
          <w:rFonts w:asciiTheme="majorEastAsia" w:hAnsiTheme="majorEastAsia" w:eastAsiaTheme="majorEastAsia"/>
          <w:b/>
          <w:color w:val="auto"/>
          <w:highlight w:val="none"/>
        </w:rPr>
      </w:pPr>
    </w:p>
    <w:p w14:paraId="3B7A1DB4">
      <w:pPr>
        <w:pStyle w:val="26"/>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六</w:t>
      </w:r>
      <w:r>
        <w:rPr>
          <w:rFonts w:asciiTheme="majorEastAsia" w:hAnsiTheme="majorEastAsia" w:eastAsiaTheme="majorEastAsia"/>
          <w:b/>
          <w:color w:val="auto"/>
          <w:highlight w:val="none"/>
        </w:rPr>
        <w:t>、确定成交</w:t>
      </w:r>
    </w:p>
    <w:p w14:paraId="2C7B4270">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rPr>
        <w:t>1名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20A2D4F0">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4986EEF5">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625E7A77">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6645F42F">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05297FE4">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561DA977">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6DDBF382">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3E0B9052">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0757BBAB">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080369C2">
      <w:pPr>
        <w:spacing w:line="360" w:lineRule="auto"/>
        <w:contextualSpacing/>
        <w:rPr>
          <w:rFonts w:asciiTheme="majorEastAsia" w:hAnsiTheme="majorEastAsia" w:eastAsiaTheme="majorEastAsia"/>
          <w:b/>
          <w:color w:val="auto"/>
          <w:szCs w:val="21"/>
          <w:highlight w:val="none"/>
        </w:rPr>
      </w:pPr>
    </w:p>
    <w:p w14:paraId="193E1833">
      <w:pPr>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38D888B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31E8C14D">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3E2CD3AE">
      <w:pPr>
        <w:pStyle w:val="26"/>
        <w:spacing w:beforeLines="0" w:afterLines="0" w:line="360" w:lineRule="auto"/>
        <w:contextualSpacing/>
        <w:rPr>
          <w:rFonts w:asciiTheme="majorEastAsia" w:hAnsiTheme="majorEastAsia" w:eastAsiaTheme="majorEastAsia"/>
          <w:b/>
          <w:color w:val="auto"/>
          <w:highlight w:val="none"/>
        </w:rPr>
      </w:pPr>
    </w:p>
    <w:p w14:paraId="421B4AA4">
      <w:pPr>
        <w:pStyle w:val="26"/>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5BF0C47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rPr>
        <w:t>2</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10C04DB3">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66BE77DA">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59352B63">
      <w:pPr>
        <w:spacing w:line="360" w:lineRule="auto"/>
        <w:contextualSpacing/>
        <w:jc w:val="left"/>
        <w:rPr>
          <w:rFonts w:asciiTheme="majorEastAsia" w:hAnsiTheme="majorEastAsia" w:eastAsiaTheme="majorEastAsia"/>
          <w:b/>
          <w:color w:val="auto"/>
          <w:szCs w:val="21"/>
          <w:highlight w:val="none"/>
        </w:rPr>
      </w:pPr>
    </w:p>
    <w:p w14:paraId="760B220A">
      <w:pPr>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017A9EEF">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53451279">
      <w:pPr>
        <w:spacing w:line="360" w:lineRule="auto"/>
        <w:contextualSpacing/>
        <w:rPr>
          <w:rFonts w:asciiTheme="majorEastAsia" w:hAnsiTheme="majorEastAsia" w:eastAsiaTheme="majorEastAsia"/>
          <w:b/>
          <w:bCs/>
          <w:color w:val="auto"/>
          <w:szCs w:val="21"/>
          <w:highlight w:val="none"/>
        </w:rPr>
      </w:pPr>
    </w:p>
    <w:p w14:paraId="70958065">
      <w:pPr>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18EE0530">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1、政府采购活动中有关中小企业的相关规定</w:t>
      </w:r>
    </w:p>
    <w:p w14:paraId="3736BF0A">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1.1本项目</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u w:val="single"/>
          <w:shd w:val="clear" w:color="auto" w:fill="FFFFFF"/>
          <w:lang w:eastAsia="zh-CN"/>
        </w:rPr>
        <w:t>是</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shd w:val="clear" w:color="auto" w:fill="FFFFFF"/>
        </w:rPr>
        <w:t>专门面向中小企业采购。</w:t>
      </w:r>
    </w:p>
    <w:p w14:paraId="04FE461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0E9E075">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符合中小企业划分标准的个体工商户，在政府采购活动中视同中小企业。</w:t>
      </w:r>
    </w:p>
    <w:p w14:paraId="25049532">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中小企业划分标准详见工信部联企业[2011]300号。</w:t>
      </w:r>
    </w:p>
    <w:p w14:paraId="1BFEB43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0F87BEF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（一）在货物采购项目中，货物由中小企业制造，即货物由中小企业生产且使用该中小企业商号或者注册商标；</w:t>
      </w:r>
    </w:p>
    <w:p w14:paraId="3534A37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（二）在工程采购项目中，工程由中小企业承建，即工程施工单位为中小企业；</w:t>
      </w:r>
    </w:p>
    <w:p w14:paraId="1F634EC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（三）在服务采购项目中，服务由中小企业承接，即提供服务的人员为中小企业依照《中华人民共和国劳动合同法》订立劳动合同的从业人员。</w:t>
      </w:r>
    </w:p>
    <w:p w14:paraId="667CDFF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在货物采购项目中，供应商提供的货物既有中小企业制造货物，也有大型企业制造货物的，不享受本办法规定的中小企业扶持政策。</w:t>
      </w:r>
    </w:p>
    <w:p w14:paraId="15D8D7A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以联合体形式参加政府采购活动，联合体各方均为中小企业的，联合体视同中小企业。其中，联合体各方均为小微企业的，联合体视同小微企业。</w:t>
      </w:r>
    </w:p>
    <w:p w14:paraId="0D788898">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CB46FCF">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7DA3CCE">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价格扣除比例或者价格分加分比例对小型企业和微型企业同等对待，不作区分。</w:t>
      </w:r>
    </w:p>
    <w:p w14:paraId="7556BFF7">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本项目具体扣除比例见本采购文件 第四章 评标办法及评分标准。</w:t>
      </w:r>
    </w:p>
    <w:p w14:paraId="6134A05E">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4145ED67">
      <w:pPr>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703CC0D8">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1.7</w:t>
      </w:r>
      <w:r>
        <w:rPr>
          <w:rFonts w:ascii="宋体" w:hAnsi="宋体"/>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olor w:val="auto"/>
          <w:szCs w:val="21"/>
          <w:highlight w:val="none"/>
          <w:lang w:bidi="ar"/>
        </w:rPr>
        <w:t>。</w:t>
      </w:r>
    </w:p>
    <w:p w14:paraId="2ABFA42C">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1.8</w:t>
      </w:r>
      <w:r>
        <w:rPr>
          <w:rFonts w:ascii="宋体" w:hAnsi="宋体"/>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0E31232E">
      <w:pPr>
        <w:spacing w:line="360" w:lineRule="auto"/>
        <w:ind w:firstLine="420" w:firstLineChars="200"/>
        <w:contextualSpacing/>
        <w:jc w:val="left"/>
        <w:rPr>
          <w:rFonts w:ascii="宋体" w:hAnsi="宋体"/>
          <w:color w:val="auto"/>
          <w:szCs w:val="21"/>
          <w:highlight w:val="none"/>
          <w:lang w:bidi="ar"/>
        </w:rPr>
      </w:pPr>
      <w:r>
        <w:rPr>
          <w:rFonts w:hint="eastAsia" w:ascii="宋体" w:hAnsi="宋体"/>
          <w:color w:val="auto"/>
          <w:szCs w:val="21"/>
          <w:highlight w:val="none"/>
          <w:lang w:bidi="ar"/>
        </w:rPr>
        <w:t>2、本项目为政府采购</w:t>
      </w:r>
      <w:r>
        <w:rPr>
          <w:rFonts w:hint="eastAsia" w:ascii="宋体" w:hAnsi="宋体"/>
          <w:b/>
          <w:bCs/>
          <w:color w:val="auto"/>
          <w:szCs w:val="21"/>
          <w:highlight w:val="none"/>
          <w:u w:val="single"/>
          <w:lang w:bidi="ar"/>
        </w:rPr>
        <w:t xml:space="preserve"> 服务 </w:t>
      </w:r>
      <w:r>
        <w:rPr>
          <w:rFonts w:hint="eastAsia" w:ascii="宋体" w:hAnsi="宋体"/>
          <w:color w:val="auto"/>
          <w:szCs w:val="21"/>
          <w:highlight w:val="none"/>
          <w:lang w:bidi="ar"/>
        </w:rPr>
        <w:t>项目，属于</w:t>
      </w:r>
      <w:r>
        <w:rPr>
          <w:rFonts w:hint="eastAsia" w:ascii="宋体" w:hAnsi="宋体" w:cs="宋体"/>
          <w:color w:val="auto"/>
          <w:szCs w:val="21"/>
          <w:highlight w:val="none"/>
          <w:shd w:val="clear" w:color="auto" w:fill="FFFFFF"/>
        </w:rPr>
        <w:t>工信部联企业[2011]300号规定</w:t>
      </w:r>
      <w:r>
        <w:rPr>
          <w:rFonts w:hint="eastAsia" w:ascii="宋体" w:hAnsi="宋体"/>
          <w:color w:val="auto"/>
          <w:szCs w:val="21"/>
          <w:highlight w:val="none"/>
          <w:u w:val="single"/>
          <w:lang w:bidi="ar"/>
        </w:rPr>
        <w:t xml:space="preserve"> </w:t>
      </w:r>
      <w:r>
        <w:rPr>
          <w:rFonts w:hint="eastAsia" w:ascii="宋体" w:hAnsi="宋体"/>
          <w:b/>
          <w:bCs/>
          <w:color w:val="auto"/>
          <w:szCs w:val="21"/>
          <w:highlight w:val="none"/>
          <w:u w:val="single"/>
          <w:lang w:bidi="ar"/>
        </w:rPr>
        <w:t>其他未列明行业</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p>
    <w:p w14:paraId="1639659F">
      <w:pPr>
        <w:rPr>
          <w:rFonts w:cs="Arial" w:asciiTheme="minorEastAsia" w:hAnsiTheme="minorEastAsia" w:eastAsiaTheme="minorEastAsia"/>
          <w:color w:val="auto"/>
          <w:szCs w:val="21"/>
          <w:highlight w:val="none"/>
        </w:rPr>
      </w:pPr>
      <w:r>
        <w:rPr>
          <w:rFonts w:hint="eastAsia" w:ascii="宋体" w:hAnsi="宋体"/>
          <w:b/>
          <w:bCs/>
          <w:color w:val="auto"/>
          <w:szCs w:val="21"/>
          <w:highlight w:val="none"/>
          <w:lang w:bidi="ar"/>
        </w:rPr>
        <w:t>3、供应商按照《政府采购促进中小企业发展管理办法》（财库[2020]46号）规定提供声明函内容不实的，属于提供虚假材料谋取中标、成交，依照《中华人民共和国政府采购法》等国家有关规定追究相应责任。</w:t>
      </w:r>
    </w:p>
    <w:p w14:paraId="58DEA8A4">
      <w:pPr>
        <w:rPr>
          <w:color w:val="auto"/>
          <w:highlight w:val="none"/>
        </w:rPr>
      </w:pPr>
    </w:p>
    <w:p w14:paraId="2F09347B">
      <w:pPr>
        <w:pStyle w:val="2"/>
        <w:rPr>
          <w:highlight w:val="none"/>
        </w:rPr>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p>
    <w:p w14:paraId="10BE2B26">
      <w:pPr>
        <w:spacing w:after="330" w:line="360" w:lineRule="auto"/>
        <w:jc w:val="center"/>
        <w:outlineLvl w:val="0"/>
        <w:rPr>
          <w:rFonts w:asciiTheme="majorEastAsia" w:hAnsiTheme="majorEastAsia" w:eastAsiaTheme="majorEastAsia"/>
          <w:b/>
          <w:bCs/>
          <w:color w:val="auto"/>
          <w:sz w:val="32"/>
          <w:szCs w:val="40"/>
          <w:highlight w:val="none"/>
        </w:rPr>
      </w:pPr>
      <w:bookmarkStart w:id="32" w:name="_Toc29249"/>
      <w:bookmarkStart w:id="33" w:name="_Toc522013505"/>
      <w:bookmarkStart w:id="34" w:name="_Toc12813"/>
      <w:r>
        <w:rPr>
          <w:rFonts w:asciiTheme="majorEastAsia" w:hAnsiTheme="majorEastAsia" w:eastAsiaTheme="majorEastAsia"/>
          <w:b/>
          <w:bCs/>
          <w:color w:val="auto"/>
          <w:sz w:val="32"/>
          <w:szCs w:val="40"/>
          <w:highlight w:val="none"/>
        </w:rPr>
        <w:t>第四章  评审办法及评分标准</w:t>
      </w:r>
      <w:bookmarkEnd w:id="32"/>
      <w:bookmarkEnd w:id="33"/>
      <w:bookmarkEnd w:id="34"/>
    </w:p>
    <w:p w14:paraId="56E088F6">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5C05D4E3">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407611AE">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1D41494C">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5988345B">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66E4DC32">
      <w:pPr>
        <w:pStyle w:val="14"/>
        <w:widowControl w:val="0"/>
        <w:tabs>
          <w:tab w:val="clear" w:pos="454"/>
        </w:tabs>
        <w:snapToGrid w:val="0"/>
        <w:spacing w:afterLines="0" w:line="360" w:lineRule="auto"/>
        <w:ind w:left="0" w:firstLine="411" w:firstLineChars="196"/>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7606FD7A">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71CCBD6D">
      <w:pPr>
        <w:pStyle w:val="29"/>
        <w:spacing w:line="360" w:lineRule="auto"/>
        <w:ind w:firstLine="473"/>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7F0F29D8">
      <w:pPr>
        <w:numPr>
          <w:ilvl w:val="0"/>
          <w:numId w:val="8"/>
        </w:numPr>
        <w:spacing w:before="240" w:line="360" w:lineRule="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39"/>
      </w:tblGrid>
      <w:tr w14:paraId="4BC0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14:paraId="6F75D9E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439" w:type="dxa"/>
            <w:tcBorders>
              <w:top w:val="single" w:color="auto" w:sz="4" w:space="0"/>
              <w:left w:val="single" w:color="auto" w:sz="4" w:space="0"/>
              <w:bottom w:val="single" w:color="auto" w:sz="4" w:space="0"/>
              <w:right w:val="single" w:color="auto" w:sz="4" w:space="0"/>
            </w:tcBorders>
            <w:vAlign w:val="center"/>
          </w:tcPr>
          <w:p w14:paraId="76C63E6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5A53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restart"/>
            <w:tcBorders>
              <w:top w:val="single" w:color="auto" w:sz="4" w:space="0"/>
              <w:left w:val="single" w:color="auto" w:sz="4" w:space="0"/>
              <w:right w:val="single" w:color="auto" w:sz="4" w:space="0"/>
            </w:tcBorders>
            <w:vAlign w:val="center"/>
          </w:tcPr>
          <w:p w14:paraId="4C6878E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资信技术分</w:t>
            </w:r>
          </w:p>
          <w:p w14:paraId="3EF3AA81">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85</w:t>
            </w:r>
            <w:r>
              <w:rPr>
                <w:rFonts w:hint="eastAsia" w:ascii="宋体" w:hAnsi="宋体" w:eastAsia="宋体" w:cs="宋体"/>
                <w:b/>
                <w:bCs/>
                <w:color w:val="auto"/>
                <w:szCs w:val="21"/>
                <w:highlight w:val="none"/>
              </w:rPr>
              <w:t>分</w:t>
            </w:r>
          </w:p>
        </w:tc>
        <w:tc>
          <w:tcPr>
            <w:tcW w:w="8439" w:type="dxa"/>
            <w:tcBorders>
              <w:top w:val="single" w:color="auto" w:sz="4" w:space="0"/>
              <w:left w:val="single" w:color="auto" w:sz="4" w:space="0"/>
              <w:right w:val="single" w:color="auto" w:sz="4" w:space="0"/>
            </w:tcBorders>
            <w:vAlign w:val="center"/>
          </w:tcPr>
          <w:p w14:paraId="3C938AC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kern w:val="0"/>
                <w:highlight w:val="none"/>
              </w:rPr>
              <w:t>磋商响应情况（</w:t>
            </w:r>
            <w:r>
              <w:rPr>
                <w:rFonts w:hint="eastAsia" w:ascii="宋体" w:hAnsi="宋体" w:eastAsia="宋体" w:cs="宋体"/>
                <w:b/>
                <w:bCs/>
                <w:color w:val="auto"/>
                <w:kern w:val="0"/>
                <w:highlight w:val="none"/>
                <w:lang w:val="en-US" w:eastAsia="zh-CN"/>
              </w:rPr>
              <w:t>10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eastAsia="zh-CN"/>
              </w:rPr>
              <w:t>：</w:t>
            </w:r>
          </w:p>
          <w:p w14:paraId="0DB23BD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根据供应商对磋商文件《第二章采购需求》条款要求的响应情况进行评议，每负偏离或未响应1条非实质性要求的</w:t>
            </w:r>
            <w:r>
              <w:rPr>
                <w:rFonts w:hint="eastAsia" w:ascii="宋体" w:hAnsi="宋体" w:eastAsia="宋体" w:cs="宋体"/>
                <w:color w:val="auto"/>
                <w:highlight w:val="none"/>
                <w:u w:val="single"/>
              </w:rPr>
              <w:t>扣</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分</w:t>
            </w:r>
            <w:r>
              <w:rPr>
                <w:rFonts w:hint="eastAsia" w:ascii="宋体" w:hAnsi="宋体" w:eastAsia="宋体" w:cs="宋体"/>
                <w:color w:val="auto"/>
                <w:highlight w:val="none"/>
              </w:rPr>
              <w:t>，扣完为止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负偏离超过6条（含6条）的作无效标处理</w:t>
            </w:r>
            <w:r>
              <w:rPr>
                <w:rFonts w:hint="eastAsia" w:ascii="宋体" w:hAnsi="宋体" w:eastAsia="宋体" w:cs="宋体"/>
                <w:color w:val="auto"/>
                <w:highlight w:val="none"/>
              </w:rPr>
              <w:t>。</w:t>
            </w:r>
          </w:p>
          <w:p w14:paraId="228DB78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注：根据采购需求响应表响应情况评议。</w:t>
            </w:r>
          </w:p>
        </w:tc>
      </w:tr>
      <w:tr w14:paraId="0BB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D804A8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67F655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行程安排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6F4E854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A0F252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16B19E8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151DE74">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tc>
      </w:tr>
      <w:tr w14:paraId="6EEE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6B17D56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B6520F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住宿安排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2413D6C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B630CC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482B5EB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62C698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方案完整，地理位置便捷、周边环境好、酒店内部环境好、档次标准高、店内配套设施完善的得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分；方案完整合理，地理位置比较便捷、周边环境较为一般、酒店内部环境一般，档次标准基本满足项目需求的的得3.9-2分；方案不完整、地理位置比较偏僻、周边环境较差、酒店内部环境较差、或档次很低的得1.9-0分。</w:t>
            </w:r>
          </w:p>
        </w:tc>
      </w:tr>
      <w:tr w14:paraId="4CC6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79A48C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7CAADB1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就餐安排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35B4437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0199DA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就餐的时间地点安排合理、科学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分；就餐的时间地点安排大致合理科学但有几处略需调整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人均餐饮标准一般，菜单搭配比较合理的得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分；就餐的时间地点安排存在明显不合理、或不科学之处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餐饮标准不达标、或菜单搭配</w:t>
            </w:r>
            <w:r>
              <w:rPr>
                <w:rFonts w:hint="eastAsia" w:ascii="宋体" w:hAnsi="宋体" w:eastAsia="宋体" w:cs="宋体"/>
                <w:color w:val="auto"/>
                <w:sz w:val="21"/>
                <w:szCs w:val="21"/>
                <w:highlight w:val="none"/>
                <w:lang w:val="en-US" w:eastAsia="zh-CN"/>
              </w:rPr>
              <w:t>有瑕疵</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43E8A64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180F81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分；就餐的时间地点安排大致合理科学但有几处略需调整、人均餐饮标准一般，菜单搭配比较合理的得3.9-2分；就餐的时间地点安排存在明显不合理、或不科学之处、餐饮标准不达标、或菜单搭配有瑕疵的得1.9-0分。</w:t>
            </w:r>
          </w:p>
        </w:tc>
      </w:tr>
      <w:tr w14:paraId="7811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1AE25F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A33EBC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交通出行安排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62ED313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w:t>
            </w:r>
            <w:r>
              <w:rPr>
                <w:rFonts w:hint="eastAsia" w:ascii="宋体" w:hAnsi="宋体" w:cs="宋体"/>
                <w:color w:val="auto"/>
                <w:sz w:val="21"/>
                <w:szCs w:val="21"/>
                <w:highlight w:val="none"/>
                <w:lang w:val="en-US" w:eastAsia="zh-CN"/>
              </w:rPr>
              <w:t>江西</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978271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w:t>
            </w:r>
          </w:p>
          <w:p w14:paraId="4B213AE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w:t>
            </w:r>
            <w:r>
              <w:rPr>
                <w:rFonts w:hint="eastAsia" w:ascii="宋体" w:hAnsi="宋体" w:eastAsia="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2C8C43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zh-CN" w:eastAsia="zh-CN"/>
              </w:rPr>
              <w:t>6-4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zh-CN" w:eastAsia="zh-CN"/>
              </w:rPr>
              <w:t>3.9-0</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zh-CN" w:eastAsia="zh-CN"/>
              </w:rPr>
              <w:t>1.9-0</w:t>
            </w:r>
            <w:r>
              <w:rPr>
                <w:rFonts w:hint="eastAsia" w:ascii="宋体" w:hAnsi="宋体" w:eastAsia="宋体" w:cs="宋体"/>
                <w:color w:val="auto"/>
                <w:sz w:val="21"/>
                <w:szCs w:val="21"/>
                <w:highlight w:val="none"/>
                <w:lang w:val="zh-CN"/>
              </w:rPr>
              <w:t>分。</w:t>
            </w:r>
            <w:bookmarkStart w:id="48" w:name="_GoBack"/>
            <w:bookmarkEnd w:id="48"/>
          </w:p>
        </w:tc>
      </w:tr>
      <w:tr w14:paraId="14AB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394883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157BE8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、项目服务人员的配置情况（5分）</w:t>
            </w:r>
          </w:p>
          <w:p w14:paraId="5A17FEF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投入到本项目的导游：每有一人具有高级导游资质的得2分，每有一人具有中级导游资质的得1分，每有一人具有初级导游资质的得0.5分，本项最多得5分。</w:t>
            </w:r>
          </w:p>
          <w:p w14:paraId="6DC83E4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highlight w:val="none"/>
              </w:rPr>
              <w:t>【磋商响应文件中须提供导游资质证明及供应商单位在</w:t>
            </w:r>
            <w:r>
              <w:rPr>
                <w:rFonts w:hint="eastAsia" w:ascii="宋体" w:hAnsi="宋体" w:eastAsia="宋体" w:cs="宋体"/>
                <w:color w:val="auto"/>
                <w:highlight w:val="none"/>
                <w:lang w:val="en-US" w:eastAsia="zh-CN"/>
              </w:rPr>
              <w:t>开标前近3个</w:t>
            </w:r>
            <w:r>
              <w:rPr>
                <w:rFonts w:hint="eastAsia" w:ascii="宋体" w:hAnsi="宋体" w:eastAsia="宋体" w:cs="宋体"/>
                <w:color w:val="auto"/>
                <w:highlight w:val="none"/>
              </w:rPr>
              <w:t>月为其缴纳社保证明复印件加盖磋商响应方公章。】</w:t>
            </w:r>
          </w:p>
        </w:tc>
      </w:tr>
      <w:tr w14:paraId="32B8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111770CF">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E9FB41B">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服务</w:t>
            </w:r>
            <w:r>
              <w:rPr>
                <w:rFonts w:hint="eastAsia" w:ascii="宋体" w:hAnsi="宋体" w:eastAsia="宋体" w:cs="宋体"/>
                <w:b/>
                <w:bCs/>
                <w:color w:val="auto"/>
                <w:highlight w:val="none"/>
                <w:lang w:val="en-US" w:eastAsia="zh-CN"/>
              </w:rPr>
              <w:t>保障</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3DFA31EF">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根据供应商服务响应速度承诺及便利性保障措施、可行性、配合服务便捷程度等进行综合评议，最高得6分。</w:t>
            </w:r>
          </w:p>
          <w:p w14:paraId="48F07EF7">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方案内容完善、措施得力、可行性高、配合服务便捷的得6-4分；方案内容较完善、措施适当、配合服务较为便捷的得3.9-2分；方案内容不完善、措施不力、配合服务较不便利的得1.9-0分。</w:t>
            </w:r>
          </w:p>
        </w:tc>
      </w:tr>
      <w:tr w14:paraId="0435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9968FC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24E7BF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应急保障预案（</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3BAABD84">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根据供应商针对本项目的安全保障计划</w:t>
            </w:r>
            <w:r>
              <w:rPr>
                <w:rFonts w:hint="eastAsia" w:ascii="宋体" w:hAnsi="宋体" w:eastAsia="宋体" w:cs="宋体"/>
                <w:bCs/>
                <w:color w:val="auto"/>
                <w:highlight w:val="none"/>
                <w:lang w:val="zh-CN" w:eastAsia="zh-CN"/>
              </w:rPr>
              <w:t>、应急预案、保障措施、紧急措施等方案是否全面、合理、科学、具备可操作性等</w:t>
            </w:r>
            <w:r>
              <w:rPr>
                <w:rFonts w:hint="eastAsia" w:ascii="宋体" w:hAnsi="宋体" w:eastAsia="宋体" w:cs="宋体"/>
                <w:bCs/>
                <w:color w:val="auto"/>
                <w:highlight w:val="none"/>
                <w:lang w:val="zh-CN"/>
              </w:rPr>
              <w:t>进行评议，最高得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lang w:val="zh-CN"/>
              </w:rPr>
              <w:t>分；</w:t>
            </w:r>
          </w:p>
          <w:p w14:paraId="190B1C6F">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highlight w:val="none"/>
                <w:lang w:val="zh-CN" w:eastAsia="zh-CN"/>
              </w:rPr>
              <w:t>方案内容完善、措施得力、可行性高的得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lang w:val="zh-CN" w:eastAsia="zh-CN"/>
              </w:rPr>
              <w:t>-4分；方案内容较完善、措施适当的得3.9-2分；方案内容不完善、措施不力的得1.9-0分。</w:t>
            </w:r>
          </w:p>
        </w:tc>
      </w:tr>
      <w:tr w14:paraId="414C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8249648">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D76598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项目分析（</w:t>
            </w:r>
            <w:r>
              <w:rPr>
                <w:rFonts w:hint="eastAsia" w:ascii="宋体" w:hAnsi="宋体" w:eastAsia="宋体" w:cs="宋体"/>
                <w:b/>
                <w:bCs/>
                <w:color w:val="auto"/>
                <w:highlight w:val="none"/>
                <w:lang w:val="en-US" w:eastAsia="zh-CN"/>
              </w:rPr>
              <w:t>5分</w:t>
            </w:r>
            <w:r>
              <w:rPr>
                <w:rFonts w:hint="eastAsia" w:ascii="宋体" w:hAnsi="宋体" w:eastAsia="宋体" w:cs="宋体"/>
                <w:b/>
                <w:bCs/>
                <w:color w:val="auto"/>
                <w:highlight w:val="none"/>
                <w:lang w:eastAsia="zh-CN"/>
              </w:rPr>
              <w:t>）</w:t>
            </w:r>
          </w:p>
          <w:p w14:paraId="489BF6BC">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根据供应商对本次疗休养实施工作程序和步骤、管理和协调方法以及关键步骤和要点等进行综合评议，最高得5分。</w:t>
            </w:r>
          </w:p>
          <w:p w14:paraId="50F9EC1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符合实际情况、工作程序和步骤严谨有序、对关键步骤和要点分析精准、管理和协调方法具体详尽、针对性强的得5-4分；在细节上略有欠缺、但能满足本项目需求的得3.9-2分；</w:t>
            </w:r>
          </w:p>
          <w:p w14:paraId="3245B886">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eastAsia="zh-CN"/>
              </w:rPr>
            </w:pPr>
            <w:r>
              <w:rPr>
                <w:rFonts w:hint="eastAsia" w:ascii="宋体" w:hAnsi="宋体" w:eastAsia="宋体" w:cs="宋体"/>
                <w:color w:val="auto"/>
                <w:sz w:val="21"/>
                <w:szCs w:val="21"/>
                <w:highlight w:val="none"/>
                <w:lang w:val="en-US" w:eastAsia="zh-CN"/>
              </w:rPr>
              <w:t>了解片面、与实际情况存在一定偏差的得1.9-0分。</w:t>
            </w:r>
          </w:p>
        </w:tc>
      </w:tr>
      <w:tr w14:paraId="3192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0966A13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6CE0D2AD">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10、管理制度（4分）</w:t>
            </w:r>
          </w:p>
          <w:p w14:paraId="10651402">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根据供应商的经营管理制度、日常管理制度、投诉管理机制是否完善等进行综合评议，最高得4分。</w:t>
            </w:r>
          </w:p>
          <w:p w14:paraId="14132BE3">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eastAsia="zh-CN"/>
              </w:rPr>
            </w:pPr>
            <w:r>
              <w:rPr>
                <w:rFonts w:hint="eastAsia" w:ascii="宋体" w:hAnsi="宋体" w:eastAsia="宋体" w:cs="宋体"/>
                <w:color w:val="auto"/>
                <w:sz w:val="21"/>
                <w:szCs w:val="21"/>
                <w:highlight w:val="none"/>
                <w:lang w:val="en-US" w:eastAsia="zh-CN"/>
              </w:rPr>
              <w:t>制度内容全面完整，台帐建立齐全的得4-3分；制度内容比较全面，可操作性较强的得2.9-1分；制度内容比较笼统，细化程度不足，可操作性一般的得0.9-0分。</w:t>
            </w:r>
          </w:p>
        </w:tc>
      </w:tr>
      <w:tr w14:paraId="4030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94375E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1715F9E">
            <w:pPr>
              <w:keepNext w:val="0"/>
              <w:keepLines w:val="0"/>
              <w:pageBreakBefore w:val="0"/>
              <w:widowControl w:val="0"/>
              <w:numPr>
                <w:ilvl w:val="0"/>
                <w:numId w:val="0"/>
              </w:numPr>
              <w:shd w:val="clea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11</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同类业绩（</w:t>
            </w:r>
            <w:r>
              <w:rPr>
                <w:rFonts w:hint="eastAsia" w:ascii="宋体" w:hAnsi="宋体" w:eastAsia="宋体" w:cs="宋体"/>
                <w:b/>
                <w:bCs/>
                <w:color w:val="auto"/>
                <w:highlight w:val="none"/>
                <w:lang w:val="en-US" w:eastAsia="zh-CN"/>
              </w:rPr>
              <w:t>1分</w:t>
            </w:r>
            <w:r>
              <w:rPr>
                <w:rFonts w:hint="eastAsia" w:ascii="宋体" w:hAnsi="宋体" w:eastAsia="宋体" w:cs="宋体"/>
                <w:b/>
                <w:bCs/>
                <w:color w:val="auto"/>
                <w:highlight w:val="none"/>
                <w:lang w:eastAsia="zh-CN"/>
              </w:rPr>
              <w:t>）</w:t>
            </w:r>
          </w:p>
          <w:p w14:paraId="5965BE0B">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对供应商2022年至今具有的类似项目业绩进行评议（1分）。</w:t>
            </w:r>
          </w:p>
          <w:p w14:paraId="57E22ABE">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2022年1月1日至今承办过同类项目的每个得0.2分，最高1分。</w:t>
            </w:r>
          </w:p>
          <w:p w14:paraId="7812796E">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【提供合同（协议）的复印件，合同（协议）的签订日期为2022年1月1日及以后，不符合要求的不予计分。】</w:t>
            </w:r>
          </w:p>
        </w:tc>
      </w:tr>
      <w:tr w14:paraId="1B6A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15" w:type="dxa"/>
            <w:tcBorders>
              <w:left w:val="single" w:color="auto" w:sz="4" w:space="0"/>
              <w:right w:val="single" w:color="auto" w:sz="4" w:space="0"/>
            </w:tcBorders>
            <w:vAlign w:val="center"/>
          </w:tcPr>
          <w:p w14:paraId="721E242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3A4DF62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rPr>
              <w:t>分</w:t>
            </w:r>
          </w:p>
        </w:tc>
        <w:tc>
          <w:tcPr>
            <w:tcW w:w="8439" w:type="dxa"/>
            <w:tcBorders>
              <w:left w:val="single" w:color="auto" w:sz="4" w:space="0"/>
              <w:right w:val="single" w:color="auto" w:sz="4" w:space="0"/>
            </w:tcBorders>
            <w:vAlign w:val="center"/>
          </w:tcPr>
          <w:p w14:paraId="574FFD3F">
            <w:pPr>
              <w:keepNext w:val="0"/>
              <w:keepLines w:val="0"/>
              <w:pageBreakBefore w:val="0"/>
              <w:widowControl w:val="0"/>
              <w:shd w:val="clear"/>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供应商承诺</w:t>
            </w:r>
            <w:r>
              <w:rPr>
                <w:rFonts w:hint="eastAsia" w:ascii="宋体" w:hAnsi="宋体" w:cs="宋体"/>
                <w:bCs/>
                <w:color w:val="auto"/>
                <w:szCs w:val="21"/>
                <w:highlight w:val="none"/>
                <w:lang w:val="en-US" w:eastAsia="zh-CN"/>
              </w:rPr>
              <w:t>江西</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3000</w:t>
            </w:r>
            <w:r>
              <w:rPr>
                <w:rFonts w:hint="eastAsia" w:ascii="宋体" w:hAnsi="宋体" w:eastAsia="宋体" w:cs="宋体"/>
                <w:bCs/>
                <w:color w:val="auto"/>
                <w:szCs w:val="21"/>
                <w:highlight w:val="none"/>
                <w:lang w:val="en-US" w:eastAsia="zh-CN"/>
              </w:rPr>
              <w:t>元/人、</w:t>
            </w:r>
            <w:r>
              <w:rPr>
                <w:rFonts w:hint="eastAsia" w:ascii="宋体" w:hAnsi="宋体" w:cs="宋体"/>
                <w:bCs/>
                <w:color w:val="auto"/>
                <w:szCs w:val="21"/>
                <w:highlight w:val="none"/>
                <w:lang w:val="en-US" w:eastAsia="zh-CN"/>
              </w:rPr>
              <w:t>江苏</w:t>
            </w:r>
            <w:r>
              <w:rPr>
                <w:rFonts w:hint="eastAsia" w:ascii="宋体" w:hAnsi="宋体" w:eastAsia="宋体" w:cs="宋体"/>
                <w:bCs/>
                <w:color w:val="auto"/>
                <w:szCs w:val="21"/>
                <w:highlight w:val="none"/>
                <w:lang w:val="en-US" w:eastAsia="zh-CN"/>
              </w:rPr>
              <w:t>：3000元/人</w:t>
            </w:r>
            <w:r>
              <w:rPr>
                <w:rFonts w:hint="eastAsia" w:ascii="宋体" w:hAnsi="宋体" w:eastAsia="宋体" w:cs="宋体"/>
                <w:bCs/>
                <w:color w:val="auto"/>
                <w:szCs w:val="21"/>
                <w:highlight w:val="none"/>
              </w:rPr>
              <w:t>执行的得</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分，否则作无效标处理。</w:t>
            </w:r>
          </w:p>
        </w:tc>
      </w:tr>
    </w:tbl>
    <w:p w14:paraId="30F33F4F">
      <w:pPr>
        <w:rPr>
          <w:color w:val="auto"/>
          <w:highlight w:val="none"/>
        </w:rPr>
      </w:pPr>
    </w:p>
    <w:p w14:paraId="6FA9B497">
      <w:pPr>
        <w:rPr>
          <w:rFonts w:asciiTheme="majorEastAsia" w:hAnsiTheme="majorEastAsia" w:eastAsiaTheme="majorEastAsia"/>
          <w:color w:val="auto"/>
          <w:highlight w:val="none"/>
        </w:rPr>
      </w:pPr>
      <w:bookmarkStart w:id="35" w:name="_Toc522013506"/>
      <w:bookmarkStart w:id="36" w:name="_Toc20990"/>
      <w:r>
        <w:rPr>
          <w:rFonts w:asciiTheme="majorEastAsia" w:hAnsiTheme="majorEastAsia" w:eastAsiaTheme="majorEastAsia"/>
          <w:color w:val="auto"/>
          <w:highlight w:val="none"/>
        </w:rPr>
        <w:br w:type="page"/>
      </w:r>
    </w:p>
    <w:p w14:paraId="7C45118F">
      <w:pPr>
        <w:spacing w:after="330" w:line="360" w:lineRule="auto"/>
        <w:jc w:val="center"/>
        <w:outlineLvl w:val="0"/>
        <w:rPr>
          <w:rFonts w:asciiTheme="majorEastAsia" w:hAnsiTheme="majorEastAsia" w:eastAsiaTheme="majorEastAsia"/>
          <w:b/>
          <w:bCs/>
          <w:color w:val="auto"/>
          <w:sz w:val="32"/>
          <w:szCs w:val="40"/>
          <w:highlight w:val="none"/>
        </w:rPr>
      </w:pPr>
      <w:bookmarkStart w:id="37" w:name="_Toc25161"/>
      <w:bookmarkStart w:id="38" w:name="_Toc18899"/>
      <w:r>
        <w:rPr>
          <w:rFonts w:asciiTheme="majorEastAsia" w:hAnsiTheme="majorEastAsia" w:eastAsiaTheme="majorEastAsia"/>
          <w:b/>
          <w:bCs/>
          <w:color w:val="auto"/>
          <w:sz w:val="32"/>
          <w:szCs w:val="40"/>
          <w:highlight w:val="none"/>
        </w:rPr>
        <w:t xml:space="preserve">第五章  </w:t>
      </w:r>
      <w:bookmarkEnd w:id="35"/>
      <w:bookmarkEnd w:id="36"/>
      <w:bookmarkEnd w:id="37"/>
      <w:r>
        <w:rPr>
          <w:rFonts w:hint="eastAsia" w:asciiTheme="majorEastAsia" w:hAnsiTheme="majorEastAsia" w:eastAsiaTheme="majorEastAsia"/>
          <w:b/>
          <w:bCs/>
          <w:color w:val="auto"/>
          <w:sz w:val="32"/>
          <w:szCs w:val="40"/>
          <w:highlight w:val="none"/>
        </w:rPr>
        <w:t>合同条款及格式</w:t>
      </w:r>
      <w:bookmarkEnd w:id="38"/>
      <w:bookmarkStart w:id="39" w:name="_Toc364002702"/>
    </w:p>
    <w:bookmarkEnd w:id="39"/>
    <w:p w14:paraId="0F232070">
      <w:pPr>
        <w:pageBreakBefore w:val="0"/>
        <w:widowControl w:val="0"/>
        <w:shd w:val="clear"/>
        <w:kinsoku/>
        <w:wordWrap/>
        <w:overflowPunct/>
        <w:topLinePunct w:val="0"/>
        <w:autoSpaceDE/>
        <w:autoSpaceDN/>
        <w:bidi w:val="0"/>
        <w:spacing w:before="240" w:line="360" w:lineRule="auto"/>
        <w:ind w:left="0" w:leftChars="0" w:right="0" w:rightChars="0"/>
        <w:jc w:val="center"/>
        <w:outlineLvl w:val="9"/>
        <w:rPr>
          <w:rFonts w:hint="eastAsia" w:ascii="宋体" w:hAnsi="宋体" w:eastAsia="宋体" w:cs="宋体"/>
          <w:i/>
          <w:color w:val="auto"/>
          <w:szCs w:val="21"/>
          <w:highlight w:val="none"/>
        </w:rPr>
      </w:pPr>
      <w:bookmarkStart w:id="40" w:name="_Toc15404"/>
      <w:bookmarkStart w:id="41" w:name="_Toc522013507"/>
      <w:r>
        <w:rPr>
          <w:rFonts w:hint="eastAsia" w:ascii="宋体" w:hAnsi="宋体" w:eastAsia="宋体" w:cs="宋体"/>
          <w:i/>
          <w:color w:val="auto"/>
          <w:szCs w:val="21"/>
          <w:highlight w:val="none"/>
        </w:rPr>
        <w:t>（仅供参考；本合同为合同样稿，最终稿由甲乙双方协商后确定）</w:t>
      </w:r>
    </w:p>
    <w:p w14:paraId="61159C2C">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项目名称：                   项目编号：               </w:t>
      </w:r>
    </w:p>
    <w:p w14:paraId="3A9194C3">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甲方（采购人）：</w:t>
      </w:r>
    </w:p>
    <w:p w14:paraId="10F619FC">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乙方（旅行社）：</w:t>
      </w:r>
    </w:p>
    <w:p w14:paraId="6FE8AA34">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旅游者：____________等_____人（名单可附页，需旅行社和旅游者代表签字盖章确认）；</w:t>
      </w:r>
    </w:p>
    <w:p w14:paraId="12A2F45E">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432F19">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旅行社业务经营许可证编号：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AB6A3F">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开户行及帐号：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AA9A92">
      <w:pPr>
        <w:adjustRightInd w:val="0"/>
        <w:spacing w:line="360" w:lineRule="auto"/>
        <w:ind w:firstLine="420" w:firstLineChars="200"/>
        <w:jc w:val="left"/>
        <w:textAlignment w:val="baseline"/>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乙方委托以下地接社提供地接服务：</w:t>
      </w:r>
    </w:p>
    <w:p w14:paraId="29AEDCE6">
      <w:pPr>
        <w:adjustRightInd w:val="0"/>
        <w:snapToGri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地接社名称：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p>
    <w:p w14:paraId="2B0D9368">
      <w:pPr>
        <w:widowControl/>
        <w:tabs>
          <w:tab w:val="left" w:pos="477"/>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p>
    <w:p w14:paraId="65027CCA">
      <w:pPr>
        <w:widowControl/>
        <w:tabs>
          <w:tab w:val="left" w:pos="477"/>
        </w:tabs>
        <w:adjustRightInd w:val="0"/>
        <w:spacing w:line="360" w:lineRule="auto"/>
        <w:ind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协议条款</w:t>
      </w:r>
      <w:r>
        <w:rPr>
          <w:rFonts w:hint="eastAsia" w:ascii="宋体" w:hAnsi="宋体" w:eastAsia="宋体" w:cs="宋体"/>
          <w:color w:val="auto"/>
          <w:kern w:val="0"/>
          <w:sz w:val="21"/>
          <w:szCs w:val="21"/>
          <w:highlight w:val="none"/>
        </w:rPr>
        <w:t xml:space="preserve"> </w:t>
      </w:r>
    </w:p>
    <w:p w14:paraId="12C00C82">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线路行程时间</w:t>
      </w:r>
    </w:p>
    <w:p w14:paraId="76D94D69">
      <w:pPr>
        <w:tabs>
          <w:tab w:val="left" w:pos="5565"/>
        </w:tabs>
        <w:adjustRightInd w:val="0"/>
        <w:snapToGri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线路行程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8015F7">
      <w:pPr>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出发时间________年____月____日____时，结束时间________年____月____日____时；共_____天，饭店住宿_____夜。</w:t>
      </w:r>
    </w:p>
    <w:p w14:paraId="0ED9F787">
      <w:pPr>
        <w:tabs>
          <w:tab w:val="left" w:pos="5565"/>
        </w:tabs>
        <w:adjustRightInd w:val="0"/>
        <w:snapToGrid w:val="0"/>
        <w:spacing w:line="360" w:lineRule="auto"/>
        <w:ind w:firstLine="406"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4"/>
          <w:kern w:val="0"/>
          <w:sz w:val="21"/>
          <w:szCs w:val="21"/>
          <w:highlight w:val="none"/>
        </w:rPr>
        <w:t xml:space="preserve">第二条  </w:t>
      </w:r>
      <w:r>
        <w:rPr>
          <w:rFonts w:hint="eastAsia" w:ascii="宋体" w:hAnsi="宋体" w:eastAsia="宋体" w:cs="宋体"/>
          <w:b/>
          <w:bCs/>
          <w:color w:val="auto"/>
          <w:kern w:val="0"/>
          <w:sz w:val="21"/>
          <w:szCs w:val="21"/>
          <w:highlight w:val="none"/>
        </w:rPr>
        <w:t>旅游费用及支付（以人民币为计算单位）</w:t>
      </w:r>
    </w:p>
    <w:p w14:paraId="23248A91">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成人：_____元/人，儿童（不满12岁）：_____元/人；其中，导游服务费：_____元/人；</w:t>
      </w:r>
    </w:p>
    <w:p w14:paraId="3FFCD24B">
      <w:pPr>
        <w:tabs>
          <w:tab w:val="left" w:pos="5565"/>
        </w:tabs>
        <w:adjustRightInd w:val="0"/>
        <w:spacing w:line="360" w:lineRule="auto"/>
        <w:ind w:firstLine="420" w:firstLineChars="200"/>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旅游费用合计：_______________元。</w:t>
      </w:r>
    </w:p>
    <w:p w14:paraId="12600788">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旅游费用支付方式：_______________。旅游费用支付时间：_________________。</w:t>
      </w:r>
    </w:p>
    <w:p w14:paraId="37BA2BD8">
      <w:pPr>
        <w:adjustRightIn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人身意外伤害保险</w:t>
      </w:r>
    </w:p>
    <w:p w14:paraId="6BFAD0C1">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1、旅行社</w:t>
      </w:r>
      <w:r>
        <w:rPr>
          <w:rFonts w:hint="eastAsia" w:ascii="宋体" w:hAnsi="宋体" w:eastAsia="宋体" w:cs="宋体"/>
          <w:color w:val="auto"/>
          <w:kern w:val="0"/>
          <w:sz w:val="21"/>
          <w:szCs w:val="21"/>
          <w:highlight w:val="none"/>
          <w:lang w:val="en-US" w:eastAsia="zh-CN"/>
        </w:rPr>
        <w:t>为</w:t>
      </w:r>
      <w:r>
        <w:rPr>
          <w:rFonts w:hint="eastAsia" w:ascii="宋体" w:hAnsi="宋体" w:eastAsia="宋体" w:cs="宋体"/>
          <w:color w:val="auto"/>
          <w:kern w:val="0"/>
          <w:sz w:val="21"/>
          <w:szCs w:val="21"/>
          <w:highlight w:val="none"/>
        </w:rPr>
        <w:t>旅游者购买旅游全程保险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保障金额不低于100万元的人身意外保险（其中医疗部分不少于10万元）</w:t>
      </w:r>
      <w:r>
        <w:rPr>
          <w:rFonts w:hint="eastAsia" w:ascii="宋体" w:hAnsi="宋体" w:eastAsia="宋体" w:cs="宋体"/>
          <w:color w:val="auto"/>
          <w:kern w:val="0"/>
          <w:sz w:val="21"/>
          <w:szCs w:val="21"/>
          <w:highlight w:val="none"/>
          <w:lang w:eastAsia="zh-CN"/>
        </w:rPr>
        <w:t>（保险费用包含在投标报价中）</w:t>
      </w:r>
      <w:r>
        <w:rPr>
          <w:rFonts w:hint="eastAsia" w:ascii="宋体" w:hAnsi="宋体" w:eastAsia="宋体" w:cs="宋体"/>
          <w:color w:val="auto"/>
          <w:kern w:val="0"/>
          <w:sz w:val="21"/>
          <w:szCs w:val="21"/>
          <w:highlight w:val="none"/>
        </w:rPr>
        <w:t>；</w:t>
      </w:r>
    </w:p>
    <w:p w14:paraId="0842F8E1">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kern w:val="0"/>
          <w:sz w:val="21"/>
          <w:szCs w:val="21"/>
          <w:highlight w:val="none"/>
        </w:rPr>
        <w:t>第四条</w:t>
      </w:r>
      <w:r>
        <w:rPr>
          <w:rFonts w:hint="eastAsia" w:ascii="宋体" w:hAnsi="宋体" w:eastAsia="宋体" w:cs="宋体"/>
          <w:b/>
          <w:bCs/>
          <w:color w:val="auto"/>
          <w:spacing w:val="-4"/>
          <w:kern w:val="0"/>
          <w:sz w:val="21"/>
          <w:szCs w:val="21"/>
          <w:highlight w:val="none"/>
        </w:rPr>
        <w:t xml:space="preserve">  成团人数与不成团的约定</w:t>
      </w:r>
    </w:p>
    <w:p w14:paraId="2704A7B8">
      <w:pPr>
        <w:tabs>
          <w:tab w:val="left" w:pos="5565"/>
        </w:tabs>
        <w:adjustRightInd w:val="0"/>
        <w:spacing w:line="360" w:lineRule="auto"/>
        <w:ind w:firstLine="404"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iCs/>
          <w:color w:val="auto"/>
          <w:spacing w:val="-4"/>
          <w:kern w:val="0"/>
          <w:sz w:val="21"/>
          <w:szCs w:val="21"/>
          <w:highlight w:val="none"/>
        </w:rPr>
        <w:t>成团的最低人数</w:t>
      </w:r>
      <w:r>
        <w:rPr>
          <w:rFonts w:hint="eastAsia" w:ascii="宋体" w:hAnsi="宋体" w:eastAsia="宋体" w:cs="宋体"/>
          <w:color w:val="auto"/>
          <w:spacing w:val="-4"/>
          <w:kern w:val="0"/>
          <w:sz w:val="21"/>
          <w:szCs w:val="21"/>
          <w:highlight w:val="none"/>
        </w:rPr>
        <w:t>：__________人。</w:t>
      </w:r>
      <w:r>
        <w:rPr>
          <w:rFonts w:hint="eastAsia" w:ascii="宋体" w:hAnsi="宋体" w:eastAsia="宋体" w:cs="宋体"/>
          <w:color w:val="auto"/>
          <w:kern w:val="0"/>
          <w:sz w:val="21"/>
          <w:szCs w:val="21"/>
          <w:highlight w:val="none"/>
        </w:rPr>
        <w:t>如不能成团，旅游者是否同意按下列方式解决：</w:t>
      </w:r>
    </w:p>
    <w:p w14:paraId="0B3BA3ED">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1、________（同意或者不同意，打勾无效）旅行社委托__________________________旅行社履行合同；</w:t>
      </w:r>
    </w:p>
    <w:p w14:paraId="6A79384C">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2、________（同意或者不同意，打勾无效）延期出团；</w:t>
      </w:r>
    </w:p>
    <w:p w14:paraId="1E6D840E">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3、________（同意或者不同意，打勾无效）改变其他线路出团；</w:t>
      </w:r>
    </w:p>
    <w:p w14:paraId="6638636F">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4、________（同意或者不同意，打勾无效）解除合同。</w:t>
      </w:r>
    </w:p>
    <w:p w14:paraId="3FB546C5">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第五条  拼团约定</w:t>
      </w:r>
    </w:p>
    <w:p w14:paraId="470E567D">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旅游者________（同意或者不同意，打勾无效）采用拼团方式拼至__________________________________________________________旅行社成团。</w:t>
      </w:r>
    </w:p>
    <w:p w14:paraId="3359ADA3">
      <w:pPr>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第六条  参加另行付费旅游项目约定</w:t>
      </w:r>
    </w:p>
    <w:p w14:paraId="5AE7546A">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1、旅游者可以自主决定是否参加旅行社安排的另行付费旅游项目；</w:t>
      </w:r>
    </w:p>
    <w:p w14:paraId="77458877">
      <w:pPr>
        <w:adjustRightInd w:val="0"/>
        <w:spacing w:line="360" w:lineRule="auto"/>
        <w:ind w:firstLine="420" w:firstLineChars="200"/>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旅行社可以在不以不合理的低价组织旅游活动、不诱骗旅游者、不获取回扣等不正当利益，且不影响其他旅游者行程安排的前提下，按照平等自愿、诚实信用的原则，与旅游者协商一致达成另行付费旅游项目协议；</w:t>
      </w:r>
      <w:r>
        <w:rPr>
          <w:rFonts w:hint="eastAsia" w:ascii="宋体" w:hAnsi="宋体" w:eastAsia="宋体" w:cs="宋体"/>
          <w:color w:val="auto"/>
          <w:kern w:val="0"/>
          <w:sz w:val="21"/>
          <w:szCs w:val="21"/>
          <w:highlight w:val="none"/>
          <w:lang w:val="en-US" w:eastAsia="zh-CN"/>
        </w:rPr>
        <w:t>本次旅游全程不得安排购物活动。</w:t>
      </w:r>
    </w:p>
    <w:p w14:paraId="05E064D4">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color w:val="auto"/>
          <w:kern w:val="0"/>
          <w:sz w:val="21"/>
          <w:szCs w:val="21"/>
          <w:highlight w:val="none"/>
        </w:rPr>
        <w:t>3、另行付费旅游项目</w:t>
      </w:r>
      <w:r>
        <w:rPr>
          <w:rFonts w:hint="eastAsia" w:ascii="宋体" w:hAnsi="宋体" w:eastAsia="宋体" w:cs="宋体"/>
          <w:iCs/>
          <w:color w:val="auto"/>
          <w:kern w:val="0"/>
          <w:sz w:val="21"/>
          <w:szCs w:val="21"/>
          <w:highlight w:val="none"/>
        </w:rPr>
        <w:t>安排应不与《行程单》冲突；</w:t>
      </w:r>
    </w:p>
    <w:p w14:paraId="015A8269">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4、地接社及其从业人员在行程中安排另</w:t>
      </w:r>
      <w:r>
        <w:rPr>
          <w:rFonts w:hint="eastAsia" w:ascii="宋体" w:hAnsi="宋体" w:eastAsia="宋体" w:cs="宋体"/>
          <w:color w:val="auto"/>
          <w:kern w:val="0"/>
          <w:sz w:val="21"/>
          <w:szCs w:val="21"/>
          <w:highlight w:val="none"/>
        </w:rPr>
        <w:t>行付费旅游项目</w:t>
      </w:r>
      <w:r>
        <w:rPr>
          <w:rFonts w:hint="eastAsia" w:ascii="宋体" w:hAnsi="宋体" w:eastAsia="宋体" w:cs="宋体"/>
          <w:iCs/>
          <w:color w:val="auto"/>
          <w:kern w:val="0"/>
          <w:sz w:val="21"/>
          <w:szCs w:val="21"/>
          <w:highlight w:val="none"/>
        </w:rPr>
        <w:t>的，责任由订立本合同的旅行社承担；</w:t>
      </w:r>
    </w:p>
    <w:p w14:paraId="54E0EBC8">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iCs/>
          <w:color w:val="auto"/>
          <w:kern w:val="0"/>
          <w:sz w:val="21"/>
          <w:szCs w:val="21"/>
          <w:highlight w:val="none"/>
        </w:rPr>
        <w:t>5、另</w:t>
      </w:r>
      <w:r>
        <w:rPr>
          <w:rFonts w:hint="eastAsia" w:ascii="宋体" w:hAnsi="宋体" w:eastAsia="宋体" w:cs="宋体"/>
          <w:color w:val="auto"/>
          <w:kern w:val="0"/>
          <w:sz w:val="21"/>
          <w:szCs w:val="21"/>
          <w:highlight w:val="none"/>
        </w:rPr>
        <w:t>行</w:t>
      </w:r>
      <w:r>
        <w:rPr>
          <w:rFonts w:hint="eastAsia" w:ascii="宋体" w:hAnsi="宋体" w:eastAsia="宋体" w:cs="宋体"/>
          <w:iCs/>
          <w:color w:val="auto"/>
          <w:kern w:val="0"/>
          <w:sz w:val="21"/>
          <w:szCs w:val="21"/>
          <w:highlight w:val="none"/>
        </w:rPr>
        <w:t>付费旅游项目具体约定见《自愿参加另行付费旅游项目补充协议》。</w:t>
      </w:r>
    </w:p>
    <w:p w14:paraId="002861A5">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第七条  争议的解决方式</w:t>
      </w:r>
    </w:p>
    <w:p w14:paraId="43ED6781">
      <w:pPr>
        <w:tabs>
          <w:tab w:val="left" w:pos="5565"/>
        </w:tabs>
        <w:adjustRightInd w:val="0"/>
        <w:snapToGri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本合同履行过程中发生争议，由双方协商解决；亦可向合同签订地的旅游质监执法机构、消费者协会、有关的调解组织等有关部门或者机构申请调解。协商或者调解不成的，按下列第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种方式解决：</w:t>
      </w:r>
    </w:p>
    <w:p w14:paraId="129314A4">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kern w:val="0"/>
          <w:sz w:val="21"/>
          <w:szCs w:val="21"/>
          <w:highlight w:val="none"/>
          <w:u w:val="single"/>
        </w:rPr>
        <w:t>宁波市</w:t>
      </w:r>
      <w:r>
        <w:rPr>
          <w:rFonts w:hint="eastAsia" w:ascii="宋体" w:hAnsi="宋体" w:eastAsia="宋体" w:cs="宋体"/>
          <w:color w:val="auto"/>
          <w:kern w:val="0"/>
          <w:sz w:val="21"/>
          <w:szCs w:val="21"/>
          <w:highlight w:val="none"/>
        </w:rPr>
        <w:t>仲裁委员会仲裁；</w:t>
      </w:r>
    </w:p>
    <w:p w14:paraId="33395621">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2、依法向人民法院起诉。</w:t>
      </w:r>
    </w:p>
    <w:p w14:paraId="40F12E16">
      <w:pPr>
        <w:tabs>
          <w:tab w:val="left" w:pos="5565"/>
        </w:tabs>
        <w:adjustRightInd w:val="0"/>
        <w:spacing w:line="360" w:lineRule="auto"/>
        <w:ind w:firstLine="422" w:firstLineChars="200"/>
        <w:jc w:val="left"/>
        <w:textAlignment w:val="baseline"/>
        <w:rPr>
          <w:rFonts w:hint="eastAsia" w:ascii="宋体" w:hAnsi="宋体" w:eastAsia="宋体" w:cs="宋体"/>
          <w:b/>
          <w:iCs/>
          <w:color w:val="auto"/>
          <w:kern w:val="0"/>
          <w:sz w:val="21"/>
          <w:szCs w:val="21"/>
          <w:highlight w:val="none"/>
        </w:rPr>
      </w:pPr>
      <w:r>
        <w:rPr>
          <w:rFonts w:hint="eastAsia" w:ascii="宋体" w:hAnsi="宋体" w:eastAsia="宋体" w:cs="宋体"/>
          <w:b/>
          <w:color w:val="auto"/>
          <w:kern w:val="0"/>
          <w:sz w:val="21"/>
          <w:szCs w:val="21"/>
          <w:highlight w:val="none"/>
        </w:rPr>
        <w:t xml:space="preserve">第八条  </w:t>
      </w:r>
      <w:r>
        <w:rPr>
          <w:rFonts w:hint="eastAsia" w:ascii="宋体" w:hAnsi="宋体" w:eastAsia="宋体" w:cs="宋体"/>
          <w:b/>
          <w:iCs/>
          <w:color w:val="auto"/>
          <w:kern w:val="0"/>
          <w:sz w:val="21"/>
          <w:szCs w:val="21"/>
          <w:highlight w:val="none"/>
        </w:rPr>
        <w:t>其他约定事项</w:t>
      </w:r>
    </w:p>
    <w:p w14:paraId="41FD7323">
      <w:pPr>
        <w:tabs>
          <w:tab w:val="left" w:pos="5565"/>
        </w:tabs>
        <w:adjustRightInd w:val="0"/>
        <w:snapToGrid w:val="0"/>
        <w:spacing w:line="360" w:lineRule="auto"/>
        <w:ind w:firstLine="411" w:firstLineChars="196"/>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未尽事宜，经旅游者和旅行社双方协商一致，可以列入补充条款。（如合同空间不够，可以另附纸张，由双方签字或者盖章确认。）</w:t>
      </w:r>
    </w:p>
    <w:p w14:paraId="26F27C76">
      <w:pPr>
        <w:adjustRightInd w:val="0"/>
        <w:spacing w:line="360" w:lineRule="auto"/>
        <w:textAlignment w:val="baseline"/>
        <w:rPr>
          <w:rFonts w:hint="eastAsia" w:ascii="宋体" w:hAnsi="宋体" w:eastAsia="宋体" w:cs="宋体"/>
          <w:color w:val="auto"/>
          <w:kern w:val="0"/>
          <w:sz w:val="21"/>
          <w:szCs w:val="21"/>
          <w:highlight w:val="none"/>
        </w:rPr>
      </w:pPr>
    </w:p>
    <w:p w14:paraId="4D26F235">
      <w:pPr>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_____________________________公司就旅游合同、行程须知中的特别提醒、警示以及合同中对旅行社责任免除等约定，贵公司已提醒我注意并向我作了充分的说明，对此内容我已知悉，根据我目前的健康状况，我适宜参加本次旅游。</w:t>
      </w:r>
    </w:p>
    <w:p w14:paraId="76FDB73E">
      <w:pPr>
        <w:adjustRightInd w:val="0"/>
        <w:spacing w:line="360" w:lineRule="auto"/>
        <w:ind w:firstLine="420" w:firstLineChars="199"/>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第九条  合同效力</w:t>
      </w:r>
    </w:p>
    <w:p w14:paraId="4FE6A50B">
      <w:pPr>
        <w:widowControl/>
        <w:tabs>
          <w:tab w:val="left" w:pos="5565"/>
        </w:tabs>
        <w:adjustRightInd w:val="0"/>
        <w:spacing w:line="360" w:lineRule="auto"/>
        <w:ind w:firstLine="210" w:firstLineChars="1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份，双方各持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份，具有同等法律效力，自双方当事人签字或者盖章之日起生效。</w:t>
      </w:r>
    </w:p>
    <w:p w14:paraId="7D6E01A9">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旅游者代表签字（盖章）：_____________    旅行社盖章：________________________</w:t>
      </w:r>
    </w:p>
    <w:p w14:paraId="6ED0B321">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证件号码：</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签约代表签字（盖章）：______________</w:t>
      </w:r>
    </w:p>
    <w:p w14:paraId="5E5C4B58">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    址：</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营业地址（网点）：____________________</w:t>
      </w:r>
    </w:p>
    <w:p w14:paraId="3EA621CE">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i/>
          <w:iCs/>
          <w:color w:val="auto"/>
          <w:kern w:val="0"/>
          <w:sz w:val="21"/>
          <w:szCs w:val="21"/>
          <w:highlight w:val="none"/>
          <w:u w:val="single"/>
        </w:rPr>
        <w:t xml:space="preserve">                          </w:t>
      </w:r>
    </w:p>
    <w:p w14:paraId="2C989E38">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签约日期：__________年______月______日   签约日期：_________年______月______日</w:t>
      </w:r>
    </w:p>
    <w:p w14:paraId="7454C77B">
      <w:pPr>
        <w:keepNext w:val="0"/>
        <w:keepLines w:val="0"/>
        <w:pageBreakBefore w:val="0"/>
        <w:shd w:val="clear"/>
        <w:kinsoku/>
        <w:overflowPunct/>
        <w:topLinePunct w:val="0"/>
        <w:autoSpaceDE/>
        <w:autoSpaceDN/>
        <w:bidi w:val="0"/>
        <w:adjustRightInd/>
        <w:spacing w:line="408" w:lineRule="auto"/>
        <w:jc w:val="left"/>
        <w:textAlignment w:val="auto"/>
        <w:outlineLvl w:val="9"/>
        <w:rPr>
          <w:rFonts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签约地点：                             旅行社监督、投诉电话：  </w:t>
      </w:r>
    </w:p>
    <w:p w14:paraId="64B23F2D">
      <w:pPr>
        <w:spacing w:line="400" w:lineRule="exact"/>
        <w:jc w:val="right"/>
        <w:outlineLvl w:val="0"/>
        <w:rPr>
          <w:rFonts w:ascii="宋体" w:hAnsi="宋体" w:cs="宋体"/>
          <w:color w:val="auto"/>
          <w:szCs w:val="21"/>
          <w:highlight w:val="none"/>
        </w:rPr>
      </w:pPr>
    </w:p>
    <w:p w14:paraId="5B69C446">
      <w:pPr>
        <w:snapToGrid w:val="0"/>
        <w:spacing w:line="360" w:lineRule="auto"/>
        <w:ind w:firstLine="420" w:firstLineChars="200"/>
        <w:rPr>
          <w:rFonts w:ascii="宋体" w:hAnsi="宋体" w:cs="宋体"/>
          <w:color w:val="auto"/>
          <w:szCs w:val="21"/>
          <w:highlight w:val="none"/>
        </w:rPr>
      </w:pPr>
    </w:p>
    <w:p w14:paraId="13DC790B">
      <w:pPr>
        <w:rPr>
          <w:rFonts w:ascii="宋体" w:hAnsi="宋体" w:cs="宋体"/>
          <w:color w:val="auto"/>
          <w:spacing w:val="-4"/>
          <w:szCs w:val="21"/>
          <w:highlight w:val="none"/>
        </w:rPr>
      </w:pPr>
      <w:r>
        <w:rPr>
          <w:rFonts w:hint="eastAsia" w:ascii="宋体" w:hAnsi="宋体" w:cs="宋体"/>
          <w:color w:val="auto"/>
          <w:spacing w:val="-4"/>
          <w:szCs w:val="21"/>
          <w:highlight w:val="none"/>
        </w:rPr>
        <w:br w:type="page"/>
      </w:r>
    </w:p>
    <w:p w14:paraId="4C375077">
      <w:pPr>
        <w:spacing w:after="330"/>
        <w:jc w:val="center"/>
        <w:outlineLvl w:val="0"/>
        <w:rPr>
          <w:rFonts w:asciiTheme="majorEastAsia" w:hAnsiTheme="majorEastAsia" w:eastAsiaTheme="majorEastAsia"/>
          <w:color w:val="auto"/>
          <w:highlight w:val="none"/>
        </w:rPr>
      </w:pPr>
      <w:bookmarkStart w:id="42" w:name="_Toc24904"/>
      <w:r>
        <w:rPr>
          <w:rFonts w:asciiTheme="majorEastAsia" w:hAnsiTheme="majorEastAsia" w:eastAsiaTheme="majorEastAsia"/>
          <w:b/>
          <w:bCs/>
          <w:color w:val="auto"/>
          <w:sz w:val="32"/>
          <w:szCs w:val="40"/>
          <w:highlight w:val="none"/>
        </w:rPr>
        <w:t>第六章  响应文件格式</w:t>
      </w:r>
      <w:bookmarkEnd w:id="40"/>
      <w:bookmarkEnd w:id="41"/>
      <w:bookmarkEnd w:id="42"/>
    </w:p>
    <w:p w14:paraId="120E8F86">
      <w:pPr>
        <w:snapToGrid w:val="0"/>
        <w:spacing w:line="440" w:lineRule="exact"/>
        <w:rPr>
          <w:rFonts w:asciiTheme="majorEastAsia" w:hAnsiTheme="majorEastAsia" w:eastAsiaTheme="majorEastAsia"/>
          <w:b/>
          <w:bCs/>
          <w:color w:val="auto"/>
          <w:szCs w:val="21"/>
          <w:highlight w:val="none"/>
        </w:rPr>
      </w:pPr>
      <w:bookmarkStart w:id="43"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备份响应文件</w:t>
      </w:r>
      <w:r>
        <w:rPr>
          <w:rFonts w:asciiTheme="majorEastAsia" w:hAnsiTheme="majorEastAsia" w:eastAsiaTheme="majorEastAsia"/>
          <w:b/>
          <w:bCs/>
          <w:color w:val="auto"/>
          <w:szCs w:val="21"/>
          <w:highlight w:val="none"/>
        </w:rPr>
        <w:t>外层包装封面格式</w:t>
      </w:r>
      <w:bookmarkEnd w:id="43"/>
    </w:p>
    <w:p w14:paraId="3DF356F9">
      <w:pPr>
        <w:snapToGrid w:val="0"/>
        <w:spacing w:line="440" w:lineRule="exact"/>
        <w:jc w:val="center"/>
        <w:rPr>
          <w:rFonts w:asciiTheme="majorEastAsia" w:hAnsiTheme="majorEastAsia" w:eastAsiaTheme="majorEastAsia"/>
          <w:color w:val="auto"/>
          <w:szCs w:val="21"/>
          <w:highlight w:val="none"/>
        </w:rPr>
      </w:pPr>
    </w:p>
    <w:p w14:paraId="62D04795">
      <w:pPr>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38A6CE48">
      <w:pPr>
        <w:snapToGrid w:val="0"/>
        <w:spacing w:line="440" w:lineRule="exact"/>
        <w:rPr>
          <w:rFonts w:asciiTheme="majorEastAsia" w:hAnsiTheme="majorEastAsia" w:eastAsiaTheme="majorEastAsia"/>
          <w:bCs/>
          <w:color w:val="auto"/>
          <w:szCs w:val="21"/>
          <w:highlight w:val="none"/>
        </w:rPr>
      </w:pPr>
    </w:p>
    <w:p w14:paraId="0A1A0D27">
      <w:pPr>
        <w:snapToGrid w:val="0"/>
        <w:spacing w:line="440" w:lineRule="exact"/>
        <w:rPr>
          <w:rFonts w:asciiTheme="majorEastAsia" w:hAnsiTheme="majorEastAsia" w:eastAsiaTheme="majorEastAsia"/>
          <w:bCs/>
          <w:color w:val="auto"/>
          <w:szCs w:val="21"/>
          <w:highlight w:val="none"/>
        </w:rPr>
      </w:pPr>
    </w:p>
    <w:p w14:paraId="4F8B4362">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3E66534D">
      <w:pPr>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2DFE1024">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5E550322">
      <w:pPr>
        <w:pStyle w:val="15"/>
        <w:snapToGrid w:val="0"/>
        <w:spacing w:line="440" w:lineRule="exact"/>
        <w:ind w:firstLine="0"/>
        <w:rPr>
          <w:rFonts w:asciiTheme="majorEastAsia" w:hAnsiTheme="majorEastAsia" w:eastAsiaTheme="majorEastAsia"/>
          <w:bCs/>
          <w:color w:val="auto"/>
          <w:szCs w:val="21"/>
          <w:highlight w:val="none"/>
        </w:rPr>
      </w:pPr>
    </w:p>
    <w:p w14:paraId="263DE103">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4A0CEF17">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0106552E">
      <w:pPr>
        <w:pStyle w:val="15"/>
        <w:snapToGrid w:val="0"/>
        <w:spacing w:line="440" w:lineRule="exact"/>
        <w:ind w:firstLine="932" w:firstLineChars="444"/>
        <w:jc w:val="center"/>
        <w:rPr>
          <w:rFonts w:asciiTheme="majorEastAsia" w:hAnsiTheme="majorEastAsia" w:eastAsiaTheme="majorEastAsia"/>
          <w:bCs/>
          <w:color w:val="auto"/>
          <w:szCs w:val="21"/>
          <w:highlight w:val="none"/>
        </w:rPr>
      </w:pPr>
    </w:p>
    <w:p w14:paraId="358CBD8F">
      <w:pPr>
        <w:pStyle w:val="15"/>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3AE16FB7">
      <w:pPr>
        <w:snapToGrid w:val="0"/>
        <w:spacing w:line="440" w:lineRule="exact"/>
        <w:ind w:firstLine="3570" w:firstLineChars="1700"/>
        <w:rPr>
          <w:rFonts w:asciiTheme="majorEastAsia" w:hAnsiTheme="majorEastAsia" w:eastAsiaTheme="majorEastAsia"/>
          <w:bCs/>
          <w:color w:val="auto"/>
          <w:szCs w:val="21"/>
          <w:highlight w:val="none"/>
        </w:rPr>
      </w:pPr>
    </w:p>
    <w:p w14:paraId="1F17C378">
      <w:pPr>
        <w:pStyle w:val="15"/>
        <w:snapToGrid w:val="0"/>
        <w:spacing w:line="440" w:lineRule="exact"/>
        <w:ind w:firstLine="873" w:firstLineChars="416"/>
        <w:rPr>
          <w:rFonts w:asciiTheme="majorEastAsia" w:hAnsiTheme="majorEastAsia" w:eastAsiaTheme="majorEastAsia"/>
          <w:color w:val="auto"/>
          <w:szCs w:val="21"/>
          <w:highlight w:val="none"/>
        </w:rPr>
      </w:pPr>
    </w:p>
    <w:p w14:paraId="4C52649E">
      <w:pPr>
        <w:pStyle w:val="15"/>
        <w:snapToGrid w:val="0"/>
        <w:spacing w:line="440" w:lineRule="exact"/>
        <w:ind w:firstLine="873" w:firstLineChars="416"/>
        <w:rPr>
          <w:rFonts w:asciiTheme="majorEastAsia" w:hAnsiTheme="majorEastAsia" w:eastAsiaTheme="majorEastAsia"/>
          <w:color w:val="auto"/>
          <w:szCs w:val="21"/>
          <w:highlight w:val="none"/>
        </w:rPr>
      </w:pPr>
    </w:p>
    <w:p w14:paraId="57FF727E">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C23B343">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2E046D51">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1F13849">
      <w:pPr>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05826C25">
      <w:pPr>
        <w:spacing w:line="440" w:lineRule="exact"/>
        <w:jc w:val="center"/>
        <w:rPr>
          <w:rFonts w:asciiTheme="majorEastAsia" w:hAnsiTheme="majorEastAsia" w:eastAsiaTheme="majorEastAsia"/>
          <w:color w:val="auto"/>
          <w:szCs w:val="21"/>
          <w:highlight w:val="none"/>
        </w:rPr>
      </w:pPr>
    </w:p>
    <w:p w14:paraId="1613E7DB">
      <w:pPr>
        <w:spacing w:line="440" w:lineRule="exact"/>
        <w:rPr>
          <w:rFonts w:asciiTheme="majorEastAsia" w:hAnsiTheme="majorEastAsia" w:eastAsiaTheme="majorEastAsia"/>
          <w:b/>
          <w:bCs/>
          <w:color w:val="auto"/>
          <w:szCs w:val="21"/>
          <w:highlight w:val="none"/>
        </w:rPr>
      </w:pPr>
    </w:p>
    <w:p w14:paraId="474E128F">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1DB85945">
      <w:pPr>
        <w:spacing w:line="440" w:lineRule="exact"/>
        <w:rPr>
          <w:rFonts w:asciiTheme="majorEastAsia" w:hAnsiTheme="majorEastAsia" w:eastAsiaTheme="majorEastAsia"/>
          <w:color w:val="auto"/>
          <w:szCs w:val="21"/>
          <w:highlight w:val="none"/>
        </w:rPr>
      </w:pPr>
    </w:p>
    <w:p w14:paraId="43E0CFB2">
      <w:pPr>
        <w:spacing w:line="440" w:lineRule="exact"/>
        <w:rPr>
          <w:rFonts w:asciiTheme="majorEastAsia" w:hAnsiTheme="majorEastAsia" w:eastAsiaTheme="majorEastAsia"/>
          <w:color w:val="auto"/>
          <w:szCs w:val="21"/>
          <w:highlight w:val="none"/>
        </w:rPr>
      </w:pPr>
    </w:p>
    <w:p w14:paraId="0899D6C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6BBB35F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5038D2DD">
      <w:pPr>
        <w:pStyle w:val="15"/>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1BF25AA7">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2DAFB02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5F6D0E4D">
      <w:pPr>
        <w:spacing w:line="440" w:lineRule="exact"/>
        <w:jc w:val="center"/>
        <w:rPr>
          <w:rFonts w:asciiTheme="majorEastAsia" w:hAnsiTheme="majorEastAsia" w:eastAsiaTheme="majorEastAsia"/>
          <w:color w:val="auto"/>
          <w:szCs w:val="21"/>
          <w:highlight w:val="none"/>
        </w:rPr>
      </w:pPr>
    </w:p>
    <w:p w14:paraId="20BA50FC">
      <w:pPr>
        <w:spacing w:line="440" w:lineRule="exact"/>
        <w:jc w:val="center"/>
        <w:rPr>
          <w:rFonts w:asciiTheme="majorEastAsia" w:hAnsiTheme="majorEastAsia" w:eastAsiaTheme="majorEastAsia"/>
          <w:color w:val="auto"/>
          <w:szCs w:val="21"/>
          <w:highlight w:val="none"/>
        </w:rPr>
      </w:pPr>
    </w:p>
    <w:p w14:paraId="6DABDD36">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0961B26D">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0DA15721">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C33EDC6">
      <w:pPr>
        <w:spacing w:line="440" w:lineRule="exact"/>
        <w:jc w:val="center"/>
        <w:rPr>
          <w:rFonts w:asciiTheme="majorEastAsia" w:hAnsiTheme="majorEastAsia" w:eastAsiaTheme="majorEastAsia"/>
          <w:color w:val="auto"/>
          <w:szCs w:val="21"/>
          <w:highlight w:val="none"/>
        </w:rPr>
      </w:pPr>
    </w:p>
    <w:p w14:paraId="6904CB5A">
      <w:pPr>
        <w:spacing w:line="440" w:lineRule="exact"/>
        <w:jc w:val="center"/>
        <w:rPr>
          <w:rFonts w:asciiTheme="majorEastAsia" w:hAnsiTheme="majorEastAsia" w:eastAsiaTheme="majorEastAsia"/>
          <w:color w:val="auto"/>
          <w:szCs w:val="21"/>
          <w:highlight w:val="none"/>
        </w:rPr>
      </w:pPr>
    </w:p>
    <w:p w14:paraId="03BCA8E6">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4E583444">
      <w:pPr>
        <w:spacing w:line="440" w:lineRule="exact"/>
        <w:jc w:val="center"/>
        <w:rPr>
          <w:rFonts w:asciiTheme="majorEastAsia" w:hAnsiTheme="majorEastAsia" w:eastAsiaTheme="majorEastAsia"/>
          <w:color w:val="auto"/>
          <w:szCs w:val="21"/>
          <w:highlight w:val="none"/>
        </w:rPr>
      </w:pPr>
    </w:p>
    <w:p w14:paraId="7E9C1810">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3CFA1A72">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7A631502">
      <w:pPr>
        <w:pStyle w:val="2"/>
        <w:ind w:firstLine="210"/>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39CA1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35287E9C">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Style w:val="48"/>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评审</w:t>
            </w:r>
          </w:p>
          <w:p w14:paraId="6EC6BC5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内容</w:t>
            </w:r>
          </w:p>
        </w:tc>
        <w:tc>
          <w:tcPr>
            <w:tcW w:w="5687" w:type="dxa"/>
            <w:vAlign w:val="center"/>
          </w:tcPr>
          <w:p w14:paraId="4748D794">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磋商文件要求</w:t>
            </w:r>
          </w:p>
        </w:tc>
        <w:tc>
          <w:tcPr>
            <w:tcW w:w="1282" w:type="dxa"/>
            <w:vAlign w:val="center"/>
          </w:tcPr>
          <w:p w14:paraId="49A57CA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自查结论</w:t>
            </w:r>
          </w:p>
        </w:tc>
        <w:tc>
          <w:tcPr>
            <w:tcW w:w="1607" w:type="dxa"/>
            <w:vAlign w:val="center"/>
          </w:tcPr>
          <w:p w14:paraId="62A1436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证明资料页码</w:t>
            </w:r>
          </w:p>
        </w:tc>
      </w:tr>
      <w:tr w14:paraId="7DE32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6A86366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资</w:t>
            </w:r>
          </w:p>
          <w:p w14:paraId="2DB756C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格</w:t>
            </w:r>
          </w:p>
          <w:p w14:paraId="50FF9CD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性</w:t>
            </w:r>
          </w:p>
          <w:p w14:paraId="427B7AF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审</w:t>
            </w:r>
          </w:p>
          <w:p w14:paraId="5947D0E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查</w:t>
            </w:r>
          </w:p>
        </w:tc>
        <w:tc>
          <w:tcPr>
            <w:tcW w:w="5687" w:type="dxa"/>
            <w:vAlign w:val="center"/>
          </w:tcPr>
          <w:p w14:paraId="0D2A62C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eastAsia="zh-CN"/>
              </w:rPr>
              <w:t>（一）供应商资格声明函</w:t>
            </w:r>
            <w:r>
              <w:rPr>
                <w:rFonts w:hint="eastAsia" w:cs="Times New Roman" w:asciiTheme="majorEastAsia" w:hAnsiTheme="majorEastAsia" w:eastAsiaTheme="majorEastAsia"/>
                <w:color w:val="auto"/>
                <w:szCs w:val="21"/>
                <w:highlight w:val="none"/>
              </w:rPr>
              <w:t>；</w:t>
            </w:r>
          </w:p>
        </w:tc>
        <w:tc>
          <w:tcPr>
            <w:tcW w:w="1282" w:type="dxa"/>
            <w:vAlign w:val="center"/>
          </w:tcPr>
          <w:p w14:paraId="6FA50A0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□通过</w:t>
            </w:r>
          </w:p>
          <w:p w14:paraId="0222C57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□不通过</w:t>
            </w:r>
          </w:p>
        </w:tc>
        <w:tc>
          <w:tcPr>
            <w:tcW w:w="1607" w:type="dxa"/>
            <w:vAlign w:val="center"/>
          </w:tcPr>
          <w:p w14:paraId="304676E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6731C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405E58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0AC7B04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7E83787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3D8D37A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596EA06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14F38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323BBEE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1AF24CA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（三）①中小企业声明函（格式见附件）；</w:t>
            </w:r>
          </w:p>
          <w:p w14:paraId="36F5577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或②供应商为监狱企业的证明文件：省级以上监狱管理局、戒毒管理局（含新疆生产建设兵团）出具（如是，请提供。格式自拟）；</w:t>
            </w:r>
          </w:p>
          <w:p w14:paraId="6638FE7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或③残疾人福利性单位声明函（如是，请提供。格式见附件）</w:t>
            </w:r>
          </w:p>
        </w:tc>
        <w:tc>
          <w:tcPr>
            <w:tcW w:w="1282" w:type="dxa"/>
            <w:vAlign w:val="center"/>
          </w:tcPr>
          <w:p w14:paraId="7505631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p>
        </w:tc>
        <w:tc>
          <w:tcPr>
            <w:tcW w:w="1607" w:type="dxa"/>
            <w:vAlign w:val="center"/>
          </w:tcPr>
          <w:p w14:paraId="1BC19A2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highlight w:val="none"/>
              </w:rPr>
            </w:pPr>
          </w:p>
        </w:tc>
      </w:tr>
      <w:tr w14:paraId="4E055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7E48BE0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6F2FF8A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（四）</w:t>
            </w:r>
            <w:r>
              <w:rPr>
                <w:rFonts w:hint="eastAsia" w:cs="Times New Roman" w:asciiTheme="majorEastAsia" w:hAnsiTheme="majorEastAsia" w:eastAsiaTheme="majorEastAsia"/>
                <w:bCs/>
                <w:color w:val="auto"/>
                <w:szCs w:val="21"/>
                <w:highlight w:val="none"/>
                <w:lang w:val="en-US" w:eastAsia="zh-CN"/>
              </w:rPr>
              <w:t>有效的《旅行社业务经营许可证》</w:t>
            </w:r>
            <w:r>
              <w:rPr>
                <w:rFonts w:hint="eastAsia" w:cs="Times New Roman" w:asciiTheme="majorEastAsia" w:hAnsiTheme="majorEastAsia" w:eastAsiaTheme="majorEastAsia"/>
                <w:bCs/>
                <w:color w:val="auto"/>
                <w:szCs w:val="21"/>
                <w:highlight w:val="none"/>
              </w:rPr>
              <w:t>；</w:t>
            </w:r>
          </w:p>
        </w:tc>
        <w:tc>
          <w:tcPr>
            <w:tcW w:w="1282" w:type="dxa"/>
            <w:vAlign w:val="center"/>
          </w:tcPr>
          <w:p w14:paraId="4787615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0B3F5EF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60C7DBF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4EEB0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2554EAA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6BC118A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投标人需提供相关证明资料）；</w:t>
            </w:r>
          </w:p>
        </w:tc>
        <w:tc>
          <w:tcPr>
            <w:tcW w:w="1282" w:type="dxa"/>
            <w:vAlign w:val="center"/>
          </w:tcPr>
          <w:p w14:paraId="4F00C74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0A03A07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76AA705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cs="Times New Roman" w:asciiTheme="majorEastAsia" w:hAnsiTheme="majorEastAsia" w:eastAsiaTheme="majorEastAsia"/>
                <w:color w:val="auto"/>
                <w:szCs w:val="21"/>
                <w:highlight w:val="none"/>
              </w:rPr>
              <w:t>第（ ）页</w:t>
            </w:r>
          </w:p>
        </w:tc>
      </w:tr>
      <w:tr w14:paraId="7B085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2D5F0C5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329F17B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（六）</w:t>
            </w:r>
            <w:r>
              <w:rPr>
                <w:rFonts w:cs="Times New Roman" w:asciiTheme="majorEastAsia" w:hAnsiTheme="majorEastAsia" w:eastAsiaTheme="majorEastAsia"/>
                <w:color w:val="auto"/>
                <w:szCs w:val="21"/>
                <w:highlight w:val="none"/>
              </w:rPr>
              <w:t>本项目</w:t>
            </w:r>
            <w:r>
              <w:rPr>
                <w:rFonts w:hint="eastAsia" w:cs="Times New Roman" w:asciiTheme="majorEastAsia" w:hAnsiTheme="majorEastAsia" w:eastAsiaTheme="majorEastAsia"/>
                <w:color w:val="auto"/>
                <w:szCs w:val="21"/>
                <w:highlight w:val="none"/>
                <w:lang w:eastAsia="zh-CN"/>
              </w:rPr>
              <w:t>不</w:t>
            </w:r>
            <w:r>
              <w:rPr>
                <w:rFonts w:cs="Times New Roman" w:asciiTheme="majorEastAsia" w:hAnsiTheme="majorEastAsia" w:eastAsiaTheme="majorEastAsia"/>
                <w:color w:val="auto"/>
                <w:szCs w:val="21"/>
                <w:highlight w:val="none"/>
              </w:rPr>
              <w:t>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6FF3926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6B45B47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ascii="Times New Roman" w:hAnsi="Times New Roman" w:eastAsia="宋体" w:cs="Times New Roman"/>
                <w:color w:val="auto"/>
                <w:highlight w:val="none"/>
              </w:rPr>
              <w:t>□不通过</w:t>
            </w:r>
          </w:p>
        </w:tc>
        <w:tc>
          <w:tcPr>
            <w:tcW w:w="1607" w:type="dxa"/>
            <w:vAlign w:val="center"/>
          </w:tcPr>
          <w:p w14:paraId="2439F9F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rPr>
              <w:t>第（ ）页</w:t>
            </w:r>
          </w:p>
        </w:tc>
      </w:tr>
    </w:tbl>
    <w:p w14:paraId="2C712A1B">
      <w:pPr>
        <w:adjustRightInd w:val="0"/>
        <w:spacing w:line="440" w:lineRule="exact"/>
        <w:rPr>
          <w:rFonts w:asciiTheme="majorEastAsia" w:hAnsiTheme="majorEastAsia" w:eastAsiaTheme="majorEastAsia"/>
          <w:b/>
          <w:color w:val="auto"/>
          <w:szCs w:val="21"/>
          <w:highlight w:val="none"/>
        </w:rPr>
      </w:pPr>
    </w:p>
    <w:p w14:paraId="7C8CAAFF">
      <w:pPr>
        <w:adjustRightInd w:val="0"/>
        <w:spacing w:line="440" w:lineRule="exact"/>
        <w:jc w:val="center"/>
        <w:rPr>
          <w:rFonts w:asciiTheme="majorEastAsia" w:hAnsiTheme="majorEastAsia" w:eastAsiaTheme="majorEastAsia"/>
          <w:b/>
          <w:color w:val="auto"/>
          <w:szCs w:val="21"/>
          <w:highlight w:val="none"/>
        </w:rPr>
      </w:pPr>
    </w:p>
    <w:p w14:paraId="345AF150">
      <w:pPr>
        <w:widowControl/>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239A074C">
      <w:pPr>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6A6421EA">
      <w:pPr>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472A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Align w:val="center"/>
          </w:tcPr>
          <w:p w14:paraId="2A0B5506">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w:t>
            </w:r>
          </w:p>
          <w:p w14:paraId="2C334F7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4175" w:type="dxa"/>
            <w:vAlign w:val="center"/>
          </w:tcPr>
          <w:p w14:paraId="6CD6CDDF">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磋商文件要求</w:t>
            </w:r>
          </w:p>
        </w:tc>
        <w:tc>
          <w:tcPr>
            <w:tcW w:w="1410" w:type="dxa"/>
            <w:vAlign w:val="center"/>
          </w:tcPr>
          <w:p w14:paraId="2578780F">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自查结论</w:t>
            </w:r>
          </w:p>
        </w:tc>
        <w:tc>
          <w:tcPr>
            <w:tcW w:w="2192" w:type="dxa"/>
            <w:vAlign w:val="center"/>
          </w:tcPr>
          <w:p w14:paraId="3967A3E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证明资料页码</w:t>
            </w:r>
          </w:p>
        </w:tc>
      </w:tr>
      <w:tr w14:paraId="5B69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vAlign w:val="center"/>
          </w:tcPr>
          <w:p w14:paraId="1373621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符</w:t>
            </w:r>
          </w:p>
          <w:p w14:paraId="415A8756">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合</w:t>
            </w:r>
          </w:p>
          <w:p w14:paraId="146AA827">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性</w:t>
            </w:r>
          </w:p>
          <w:p w14:paraId="29A2A3BE">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w:t>
            </w:r>
          </w:p>
          <w:p w14:paraId="6BFF4D29">
            <w:pPr>
              <w:spacing w:line="280" w:lineRule="exact"/>
              <w:jc w:val="center"/>
              <w:rPr>
                <w:rFonts w:ascii="宋体" w:hAnsi="宋体" w:cs="宋体"/>
                <w:color w:val="auto"/>
                <w:szCs w:val="21"/>
                <w:highlight w:val="none"/>
              </w:rPr>
            </w:pPr>
            <w:r>
              <w:rPr>
                <w:rFonts w:hint="eastAsia" w:ascii="宋体" w:hAnsi="宋体" w:cs="宋体"/>
                <w:b/>
                <w:bCs/>
                <w:color w:val="auto"/>
                <w:szCs w:val="21"/>
                <w:highlight w:val="none"/>
              </w:rPr>
              <w:t>查</w:t>
            </w:r>
          </w:p>
        </w:tc>
        <w:tc>
          <w:tcPr>
            <w:tcW w:w="4175" w:type="dxa"/>
            <w:vAlign w:val="center"/>
          </w:tcPr>
          <w:p w14:paraId="25F37C1B">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（一）响应函已提交并符合磋商文件要求；</w:t>
            </w:r>
          </w:p>
        </w:tc>
        <w:tc>
          <w:tcPr>
            <w:tcW w:w="1410" w:type="dxa"/>
            <w:vAlign w:val="center"/>
          </w:tcPr>
          <w:p w14:paraId="3C55261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EEE54E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2807C78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35B6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E4F0EC8">
            <w:pPr>
              <w:spacing w:line="280" w:lineRule="exact"/>
              <w:jc w:val="center"/>
              <w:rPr>
                <w:rFonts w:ascii="宋体" w:hAnsi="宋体" w:cs="宋体"/>
                <w:color w:val="auto"/>
                <w:szCs w:val="21"/>
                <w:highlight w:val="none"/>
              </w:rPr>
            </w:pPr>
          </w:p>
        </w:tc>
        <w:tc>
          <w:tcPr>
            <w:tcW w:w="4175" w:type="dxa"/>
            <w:vAlign w:val="center"/>
          </w:tcPr>
          <w:p w14:paraId="2C79D5FD">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（二）按照磋商文件规定要求签署或盖章；</w:t>
            </w:r>
          </w:p>
        </w:tc>
        <w:tc>
          <w:tcPr>
            <w:tcW w:w="1410" w:type="dxa"/>
            <w:vAlign w:val="center"/>
          </w:tcPr>
          <w:p w14:paraId="5DD93D7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36E4DFF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5DB86B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3EBF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3F16CAD">
            <w:pPr>
              <w:spacing w:line="280" w:lineRule="exact"/>
              <w:jc w:val="center"/>
              <w:rPr>
                <w:rFonts w:ascii="宋体" w:hAnsi="宋体" w:cs="宋体"/>
                <w:color w:val="auto"/>
                <w:szCs w:val="21"/>
                <w:highlight w:val="none"/>
              </w:rPr>
            </w:pPr>
          </w:p>
        </w:tc>
        <w:tc>
          <w:tcPr>
            <w:tcW w:w="4175" w:type="dxa"/>
            <w:vAlign w:val="center"/>
          </w:tcPr>
          <w:p w14:paraId="42C5AB53">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（三）响应文件规定部分有法定代表人签署本人姓名（或印盖本人姓名章），或签署人提供有效的法定代表人授权委托书且授权委托书填写项目齐全的；</w:t>
            </w:r>
          </w:p>
        </w:tc>
        <w:tc>
          <w:tcPr>
            <w:tcW w:w="1410" w:type="dxa"/>
            <w:vAlign w:val="center"/>
          </w:tcPr>
          <w:p w14:paraId="1B73DC2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E8154D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7786485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35F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4649C98F">
            <w:pPr>
              <w:spacing w:line="280" w:lineRule="exact"/>
              <w:jc w:val="center"/>
              <w:rPr>
                <w:rFonts w:ascii="宋体" w:hAnsi="宋体" w:cs="宋体"/>
                <w:color w:val="auto"/>
                <w:szCs w:val="21"/>
                <w:highlight w:val="none"/>
              </w:rPr>
            </w:pPr>
          </w:p>
        </w:tc>
        <w:tc>
          <w:tcPr>
            <w:tcW w:w="4175" w:type="dxa"/>
            <w:vAlign w:val="center"/>
          </w:tcPr>
          <w:p w14:paraId="2A987042">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（四）响应文件标明的响应或偏离与事实相符且无虚假投标的；</w:t>
            </w:r>
          </w:p>
        </w:tc>
        <w:tc>
          <w:tcPr>
            <w:tcW w:w="1410" w:type="dxa"/>
            <w:vAlign w:val="center"/>
          </w:tcPr>
          <w:p w14:paraId="280DE5F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39615DB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49A63B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F9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C2C16BF">
            <w:pPr>
              <w:spacing w:line="280" w:lineRule="exact"/>
              <w:jc w:val="center"/>
              <w:rPr>
                <w:rFonts w:ascii="宋体" w:hAnsi="宋体" w:cs="宋体"/>
                <w:color w:val="auto"/>
                <w:szCs w:val="21"/>
                <w:highlight w:val="none"/>
              </w:rPr>
            </w:pPr>
          </w:p>
        </w:tc>
        <w:tc>
          <w:tcPr>
            <w:tcW w:w="4175" w:type="dxa"/>
            <w:vAlign w:val="center"/>
          </w:tcPr>
          <w:p w14:paraId="58413383">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（五）响应文件的实质性内容使用中文表述且意思表述明确，前后无矛盾且使用计量单位符合磋商文件要求的；</w:t>
            </w:r>
          </w:p>
        </w:tc>
        <w:tc>
          <w:tcPr>
            <w:tcW w:w="1410" w:type="dxa"/>
            <w:vAlign w:val="center"/>
          </w:tcPr>
          <w:p w14:paraId="7F047BF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69E79B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6BE8BDB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35E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vAlign w:val="center"/>
          </w:tcPr>
          <w:p w14:paraId="66146430">
            <w:pPr>
              <w:spacing w:line="280" w:lineRule="exact"/>
              <w:jc w:val="center"/>
              <w:rPr>
                <w:rFonts w:ascii="宋体" w:hAnsi="宋体" w:cs="宋体"/>
                <w:color w:val="auto"/>
                <w:szCs w:val="21"/>
                <w:highlight w:val="none"/>
              </w:rPr>
            </w:pPr>
          </w:p>
        </w:tc>
        <w:tc>
          <w:tcPr>
            <w:tcW w:w="4175" w:type="dxa"/>
            <w:vAlign w:val="center"/>
          </w:tcPr>
          <w:p w14:paraId="74BAC2C5">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（六）带“*”的条款满足磋商文件要求、已实质性响应磋商文件要求且响应文件无采购人不能接受的附加条件的；</w:t>
            </w:r>
          </w:p>
        </w:tc>
        <w:tc>
          <w:tcPr>
            <w:tcW w:w="1410" w:type="dxa"/>
            <w:vAlign w:val="center"/>
          </w:tcPr>
          <w:p w14:paraId="587514E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95FCC5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2687066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C4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24F74620">
            <w:pPr>
              <w:spacing w:line="280" w:lineRule="exact"/>
              <w:jc w:val="center"/>
              <w:rPr>
                <w:rFonts w:ascii="宋体" w:hAnsi="宋体" w:cs="宋体"/>
                <w:color w:val="auto"/>
                <w:szCs w:val="21"/>
                <w:highlight w:val="none"/>
              </w:rPr>
            </w:pPr>
          </w:p>
        </w:tc>
        <w:tc>
          <w:tcPr>
            <w:tcW w:w="4175" w:type="dxa"/>
            <w:vAlign w:val="center"/>
          </w:tcPr>
          <w:p w14:paraId="1D65AF3F">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 xml:space="preserve">（七）允许偏离的技术、性能指标或者辅助功能项目发生负偏离未达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项（含）以上的</w:t>
            </w:r>
          </w:p>
        </w:tc>
        <w:tc>
          <w:tcPr>
            <w:tcW w:w="1410" w:type="dxa"/>
            <w:vAlign w:val="center"/>
          </w:tcPr>
          <w:p w14:paraId="172F7CF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194132A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F6492B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EF2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0461C4B">
            <w:pPr>
              <w:spacing w:line="280" w:lineRule="exact"/>
              <w:jc w:val="center"/>
              <w:rPr>
                <w:rFonts w:ascii="宋体" w:hAnsi="宋体" w:cs="宋体"/>
                <w:color w:val="auto"/>
                <w:szCs w:val="21"/>
                <w:highlight w:val="none"/>
              </w:rPr>
            </w:pPr>
          </w:p>
        </w:tc>
        <w:tc>
          <w:tcPr>
            <w:tcW w:w="4175" w:type="dxa"/>
            <w:vAlign w:val="center"/>
          </w:tcPr>
          <w:p w14:paraId="5BD127B5">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c>
          <w:tcPr>
            <w:tcW w:w="1410" w:type="dxa"/>
            <w:vAlign w:val="center"/>
          </w:tcPr>
          <w:p w14:paraId="58C0AE20">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79E5077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56E4A7D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4D44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E9CC23B">
            <w:pPr>
              <w:spacing w:line="280" w:lineRule="exact"/>
              <w:jc w:val="center"/>
              <w:rPr>
                <w:rFonts w:ascii="宋体" w:hAnsi="宋体" w:cs="宋体"/>
                <w:color w:val="auto"/>
                <w:szCs w:val="21"/>
                <w:highlight w:val="none"/>
              </w:rPr>
            </w:pPr>
          </w:p>
        </w:tc>
        <w:tc>
          <w:tcPr>
            <w:tcW w:w="4175" w:type="dxa"/>
            <w:vAlign w:val="center"/>
          </w:tcPr>
          <w:p w14:paraId="301A86E9">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（九）不存在法律、法规和磋商文件规定的其他无效情形；</w:t>
            </w:r>
          </w:p>
        </w:tc>
        <w:tc>
          <w:tcPr>
            <w:tcW w:w="1410" w:type="dxa"/>
            <w:vAlign w:val="center"/>
          </w:tcPr>
          <w:p w14:paraId="2E319FF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9618A46">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5AD03BC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24C9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7DFA6A9B">
            <w:pPr>
              <w:spacing w:line="280" w:lineRule="exact"/>
              <w:jc w:val="center"/>
              <w:rPr>
                <w:rFonts w:ascii="宋体" w:hAnsi="宋体" w:cs="宋体"/>
                <w:color w:val="auto"/>
                <w:szCs w:val="21"/>
                <w:highlight w:val="none"/>
              </w:rPr>
            </w:pPr>
          </w:p>
        </w:tc>
        <w:tc>
          <w:tcPr>
            <w:tcW w:w="4175" w:type="dxa"/>
            <w:vAlign w:val="center"/>
          </w:tcPr>
          <w:p w14:paraId="385E70DF">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（十）不存在响应文件的有效期不满足磋商文件要求情形。</w:t>
            </w:r>
          </w:p>
        </w:tc>
        <w:tc>
          <w:tcPr>
            <w:tcW w:w="1410" w:type="dxa"/>
            <w:vAlign w:val="center"/>
          </w:tcPr>
          <w:p w14:paraId="10441AF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F1F782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828783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6EEAE859">
      <w:pPr>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4" w:name="_Toc381615432"/>
      <w:bookmarkStart w:id="45" w:name="_Toc51889706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4"/>
      <w:bookmarkEnd w:id="45"/>
    </w:p>
    <w:p w14:paraId="57A781E2">
      <w:pPr>
        <w:rPr>
          <w:color w:val="auto"/>
          <w:highlight w:val="none"/>
        </w:rPr>
      </w:pPr>
    </w:p>
    <w:p w14:paraId="3EFCCEDC">
      <w:pPr>
        <w:jc w:val="center"/>
        <w:rPr>
          <w:color w:val="auto"/>
          <w:sz w:val="28"/>
          <w:highlight w:val="none"/>
        </w:rPr>
      </w:pPr>
      <w:r>
        <w:rPr>
          <w:rFonts w:hint="eastAsia"/>
          <w:color w:val="auto"/>
          <w:sz w:val="28"/>
          <w:highlight w:val="none"/>
        </w:rPr>
        <w:t>（一）磋商响应函</w:t>
      </w:r>
    </w:p>
    <w:p w14:paraId="67331900">
      <w:pPr>
        <w:spacing w:line="360" w:lineRule="auto"/>
        <w:ind w:firstLine="420" w:firstLineChars="200"/>
        <w:rPr>
          <w:rFonts w:ascii="宋体" w:hAnsi="宋体"/>
          <w:color w:val="auto"/>
          <w:szCs w:val="21"/>
          <w:highlight w:val="none"/>
        </w:rPr>
      </w:pPr>
    </w:p>
    <w:p w14:paraId="3FFD380A">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2DC78C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元</w:t>
      </w:r>
      <w:r>
        <w:rPr>
          <w:rFonts w:hint="eastAsia" w:ascii="宋体" w:hAnsi="宋体"/>
          <w:color w:val="auto"/>
          <w:szCs w:val="21"/>
          <w:highlight w:val="none"/>
        </w:rPr>
        <w:t>）的磋商总报价，按合同约定实施和完成相关服务。</w:t>
      </w:r>
    </w:p>
    <w:p w14:paraId="3F4244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3B45C3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20E97E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7A120A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2592BD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4．我方在此声明，所递交的响应文件及有关资料内容完整、真实和准确，且不存在第二章“供应商须知”规定的任何一种情形。</w:t>
      </w:r>
    </w:p>
    <w:p w14:paraId="0F5547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575ABCE">
      <w:pPr>
        <w:spacing w:line="360" w:lineRule="auto"/>
        <w:ind w:firstLine="420" w:firstLineChars="200"/>
        <w:rPr>
          <w:rFonts w:ascii="宋体" w:hAnsi="宋体"/>
          <w:color w:val="auto"/>
          <w:szCs w:val="21"/>
          <w:highlight w:val="none"/>
        </w:rPr>
      </w:pPr>
    </w:p>
    <w:p w14:paraId="380AAB7D">
      <w:pPr>
        <w:spacing w:line="360" w:lineRule="auto"/>
        <w:ind w:firstLine="420" w:firstLineChars="200"/>
        <w:rPr>
          <w:rFonts w:ascii="宋体" w:hAnsi="宋体"/>
          <w:color w:val="auto"/>
          <w:szCs w:val="21"/>
          <w:highlight w:val="none"/>
        </w:rPr>
      </w:pPr>
    </w:p>
    <w:p w14:paraId="58ACD369">
      <w:pPr>
        <w:spacing w:line="360" w:lineRule="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29D04D17">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59358C64">
      <w:pPr>
        <w:spacing w:line="360" w:lineRule="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33681FC3">
      <w:pPr>
        <w:spacing w:line="360" w:lineRule="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0FFC395D">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2CE639A">
      <w:pPr>
        <w:spacing w:line="360" w:lineRule="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467C06F0">
      <w:pPr>
        <w:spacing w:line="360" w:lineRule="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07B89542">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44FA6F">
      <w:pPr>
        <w:pStyle w:val="2"/>
        <w:ind w:firstLine="0" w:firstLineChars="0"/>
        <w:rPr>
          <w:color w:val="auto"/>
          <w:highlight w:val="none"/>
        </w:rPr>
      </w:pPr>
    </w:p>
    <w:p w14:paraId="4462CF26">
      <w:pPr>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6EC35F3C">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765343AB">
      <w:pPr>
        <w:spacing w:line="440" w:lineRule="exact"/>
        <w:jc w:val="center"/>
        <w:rPr>
          <w:rFonts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6F42E8B5">
      <w:pPr>
        <w:pStyle w:val="2"/>
        <w:ind w:firstLine="210"/>
        <w:rPr>
          <w:color w:val="auto"/>
          <w:highlight w:val="none"/>
        </w:rPr>
      </w:pPr>
    </w:p>
    <w:p w14:paraId="1E149FA3">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lang w:eastAsia="zh-CN"/>
        </w:rPr>
        <w:t>宁波市海曙区古林镇中心小学</w:t>
      </w:r>
      <w:r>
        <w:rPr>
          <w:rFonts w:hint="eastAsia" w:ascii="宋体" w:hAnsi="宋体"/>
          <w:color w:val="auto"/>
          <w:szCs w:val="21"/>
          <w:highlight w:val="none"/>
          <w:u w:val="single"/>
        </w:rPr>
        <w:t>、宁波之新招标咨询有限公司</w:t>
      </w:r>
    </w:p>
    <w:p w14:paraId="5C13D8D0">
      <w:pPr>
        <w:spacing w:line="360" w:lineRule="auto"/>
        <w:ind w:firstLine="424"/>
        <w:rPr>
          <w:rFonts w:ascii="宋体" w:hAnsi="宋体" w:cs="宋体"/>
          <w:b/>
          <w:bCs/>
          <w:color w:val="auto"/>
          <w:kern w:val="1"/>
          <w:szCs w:val="21"/>
          <w:highlight w:val="none"/>
        </w:rPr>
      </w:pPr>
      <w:r>
        <w:rPr>
          <w:rFonts w:ascii="宋体" w:hAnsi="宋体" w:cs="宋体"/>
          <w:b/>
          <w:color w:val="auto"/>
          <w:kern w:val="1"/>
          <w:szCs w:val="21"/>
          <w:highlight w:val="none"/>
        </w:rPr>
        <w:t>本单位</w:t>
      </w:r>
      <w:r>
        <w:rPr>
          <w:rFonts w:hint="eastAsia" w:ascii="宋体" w:hAnsi="宋体" w:cs="宋体"/>
          <w:b/>
          <w:color w:val="auto"/>
          <w:kern w:val="1"/>
          <w:szCs w:val="21"/>
          <w:highlight w:val="none"/>
        </w:rPr>
        <w:t>自愿</w:t>
      </w:r>
      <w:r>
        <w:rPr>
          <w:rFonts w:ascii="宋体" w:hAnsi="宋体" w:cs="宋体"/>
          <w:b/>
          <w:color w:val="auto"/>
          <w:kern w:val="1"/>
          <w:szCs w:val="21"/>
          <w:highlight w:val="none"/>
        </w:rPr>
        <w:t>参加</w:t>
      </w:r>
      <w:r>
        <w:rPr>
          <w:rFonts w:hint="eastAsia" w:ascii="宋体" w:hAnsi="宋体" w:cs="宋体"/>
          <w:b/>
          <w:color w:val="auto"/>
          <w:kern w:val="1"/>
          <w:szCs w:val="21"/>
          <w:highlight w:val="none"/>
        </w:rPr>
        <w:t>磋商</w:t>
      </w:r>
      <w:r>
        <w:rPr>
          <w:rFonts w:ascii="宋体" w:hAnsi="宋体" w:cs="宋体"/>
          <w:b/>
          <w:color w:val="auto"/>
          <w:kern w:val="1"/>
          <w:szCs w:val="21"/>
          <w:highlight w:val="none"/>
        </w:rPr>
        <w:t>并声明</w:t>
      </w:r>
      <w:r>
        <w:rPr>
          <w:rFonts w:hint="eastAsia" w:ascii="宋体" w:hAnsi="宋体" w:cs="宋体"/>
          <w:b/>
          <w:bCs/>
          <w:color w:val="auto"/>
          <w:kern w:val="1"/>
          <w:szCs w:val="21"/>
          <w:highlight w:val="none"/>
        </w:rPr>
        <w:t>：</w:t>
      </w:r>
    </w:p>
    <w:p w14:paraId="2C35785F">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1、具有独立承担民事责任的能力；</w:t>
      </w:r>
    </w:p>
    <w:p w14:paraId="158321C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2、具有良好的商业信誉和健全的财务会计制度；</w:t>
      </w:r>
    </w:p>
    <w:p w14:paraId="0AD7C4CC">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3、具有履行本项目合同所必需的设备和专业技术能力；</w:t>
      </w:r>
    </w:p>
    <w:p w14:paraId="65643667">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4、已依法缴纳了税收和社会保障资金；</w:t>
      </w:r>
    </w:p>
    <w:p w14:paraId="63BE5B9A">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44F51646">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6、</w:t>
      </w:r>
      <w:r>
        <w:rPr>
          <w:rFonts w:ascii="宋体" w:hAnsi="宋体" w:cs="Arial"/>
          <w:color w:val="auto"/>
          <w:szCs w:val="21"/>
          <w:highlight w:val="none"/>
        </w:rPr>
        <w:t>本单位</w:t>
      </w:r>
      <w:r>
        <w:rPr>
          <w:rFonts w:hint="eastAsia" w:ascii="宋体" w:hAnsi="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195FCC0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7、具有</w:t>
      </w:r>
      <w:r>
        <w:rPr>
          <w:rFonts w:ascii="宋体" w:hAnsi="宋体" w:cs="Arial"/>
          <w:color w:val="auto"/>
          <w:szCs w:val="21"/>
          <w:highlight w:val="none"/>
        </w:rPr>
        <w:t>法律、行政法规规定的其他条件</w:t>
      </w:r>
      <w:r>
        <w:rPr>
          <w:rFonts w:hint="eastAsia" w:ascii="宋体" w:hAnsi="宋体" w:cs="Arial"/>
          <w:color w:val="auto"/>
          <w:szCs w:val="21"/>
          <w:highlight w:val="none"/>
        </w:rPr>
        <w:t>；</w:t>
      </w:r>
    </w:p>
    <w:p w14:paraId="643ADDE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8、</w:t>
      </w:r>
      <w:r>
        <w:rPr>
          <w:rFonts w:ascii="宋体" w:hAnsi="宋体" w:cs="Arial"/>
          <w:color w:val="auto"/>
          <w:szCs w:val="21"/>
          <w:highlight w:val="none"/>
        </w:rPr>
        <w:t>本单位的法定代表人或单位负责人与所参</w:t>
      </w:r>
      <w:r>
        <w:rPr>
          <w:rFonts w:hint="eastAsia" w:ascii="宋体" w:hAnsi="宋体" w:cs="Arial"/>
          <w:color w:val="auto"/>
          <w:szCs w:val="21"/>
          <w:highlight w:val="none"/>
        </w:rPr>
        <w:t>与</w:t>
      </w:r>
      <w:r>
        <w:rPr>
          <w:rFonts w:ascii="宋体" w:hAnsi="宋体" w:cs="Arial"/>
          <w:color w:val="auto"/>
          <w:szCs w:val="21"/>
          <w:highlight w:val="none"/>
        </w:rPr>
        <w:t>本项目</w:t>
      </w:r>
      <w:r>
        <w:rPr>
          <w:rFonts w:hint="eastAsia" w:ascii="宋体" w:hAnsi="宋体" w:cs="Arial"/>
          <w:color w:val="auto"/>
          <w:szCs w:val="21"/>
          <w:highlight w:val="none"/>
        </w:rPr>
        <w:t>磋商</w:t>
      </w:r>
      <w:r>
        <w:rPr>
          <w:rFonts w:ascii="宋体" w:hAnsi="宋体" w:cs="Arial"/>
          <w:color w:val="auto"/>
          <w:szCs w:val="21"/>
          <w:highlight w:val="none"/>
        </w:rPr>
        <w:t>的其他</w:t>
      </w:r>
      <w:r>
        <w:rPr>
          <w:rFonts w:hint="eastAsia" w:ascii="宋体" w:hAnsi="宋体" w:cs="Arial"/>
          <w:color w:val="auto"/>
          <w:szCs w:val="21"/>
          <w:highlight w:val="none"/>
        </w:rPr>
        <w:t>供应商</w:t>
      </w:r>
      <w:r>
        <w:rPr>
          <w:rFonts w:ascii="宋体" w:hAnsi="宋体" w:cs="Arial"/>
          <w:color w:val="auto"/>
          <w:szCs w:val="21"/>
          <w:highlight w:val="none"/>
        </w:rPr>
        <w:t>的法定代表人或单位负责人不为同一人且与其他</w:t>
      </w:r>
      <w:r>
        <w:rPr>
          <w:rFonts w:hint="eastAsia" w:ascii="宋体" w:hAnsi="宋体" w:cs="Arial"/>
          <w:color w:val="auto"/>
          <w:szCs w:val="21"/>
          <w:highlight w:val="none"/>
        </w:rPr>
        <w:t>供应商</w:t>
      </w:r>
      <w:r>
        <w:rPr>
          <w:rFonts w:ascii="宋体" w:hAnsi="宋体" w:cs="Arial"/>
          <w:color w:val="auto"/>
          <w:szCs w:val="21"/>
          <w:highlight w:val="none"/>
        </w:rPr>
        <w:t>之间不存在直接控股、管理关系</w:t>
      </w:r>
      <w:r>
        <w:rPr>
          <w:rFonts w:hint="eastAsia" w:ascii="宋体" w:hAnsi="宋体" w:cs="Arial"/>
          <w:color w:val="auto"/>
          <w:szCs w:val="21"/>
          <w:highlight w:val="none"/>
        </w:rPr>
        <w:t>；</w:t>
      </w:r>
    </w:p>
    <w:p w14:paraId="7FD758C8">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9、</w:t>
      </w:r>
      <w:r>
        <w:rPr>
          <w:rFonts w:ascii="宋体" w:hAnsi="宋体" w:cs="Arial"/>
          <w:color w:val="auto"/>
          <w:szCs w:val="21"/>
          <w:highlight w:val="none"/>
        </w:rPr>
        <w:t>本单位</w:t>
      </w:r>
      <w:r>
        <w:rPr>
          <w:rFonts w:hint="eastAsia" w:ascii="宋体" w:hAnsi="宋体" w:cs="Arial"/>
          <w:color w:val="auto"/>
          <w:szCs w:val="21"/>
          <w:highlight w:val="none"/>
        </w:rPr>
        <w:t>不是</w:t>
      </w:r>
      <w:r>
        <w:rPr>
          <w:rFonts w:ascii="宋体" w:hAnsi="宋体" w:cs="Arial"/>
          <w:color w:val="auto"/>
          <w:szCs w:val="21"/>
          <w:highlight w:val="none"/>
        </w:rPr>
        <w:t>为本项目提供整体设计、规范编制或者项目管理、监理、检测等服务的</w:t>
      </w:r>
      <w:r>
        <w:rPr>
          <w:rFonts w:hint="eastAsia" w:ascii="宋体" w:hAnsi="宋体" w:cs="Arial"/>
          <w:color w:val="auto"/>
          <w:szCs w:val="21"/>
          <w:highlight w:val="none"/>
        </w:rPr>
        <w:t>供应商。</w:t>
      </w:r>
    </w:p>
    <w:p w14:paraId="67A75692">
      <w:pPr>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2D61FB22">
      <w:pPr>
        <w:spacing w:line="440" w:lineRule="exact"/>
        <w:ind w:right="159" w:firstLine="420" w:firstLineChars="200"/>
        <w:jc w:val="left"/>
        <w:rPr>
          <w:rFonts w:asciiTheme="majorEastAsia" w:hAnsiTheme="majorEastAsia" w:eastAsiaTheme="majorEastAsia"/>
          <w:color w:val="auto"/>
          <w:kern w:val="0"/>
          <w:szCs w:val="21"/>
          <w:highlight w:val="none"/>
        </w:rPr>
      </w:pPr>
    </w:p>
    <w:p w14:paraId="703C1517">
      <w:pPr>
        <w:spacing w:line="440" w:lineRule="exact"/>
        <w:rPr>
          <w:rFonts w:asciiTheme="majorEastAsia" w:hAnsiTheme="majorEastAsia" w:eastAsiaTheme="majorEastAsia"/>
          <w:color w:val="auto"/>
          <w:szCs w:val="21"/>
          <w:highlight w:val="none"/>
        </w:rPr>
      </w:pPr>
    </w:p>
    <w:p w14:paraId="7641883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1ED58FA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3923B15C">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1AACDE99">
      <w:pPr>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2C6E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0E762161">
            <w:pPr>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52BD8BA7">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513241C0">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551CA1BB">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0B2F0772">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3F07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798C3F62">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4ACCC501">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4D58EEFD">
            <w:pPr>
              <w:contextualSpacing/>
              <w:jc w:val="left"/>
              <w:rPr>
                <w:rFonts w:asciiTheme="majorEastAsia" w:hAnsiTheme="majorEastAsia" w:eastAsiaTheme="majorEastAsia"/>
                <w:bCs/>
                <w:color w:val="auto"/>
                <w:szCs w:val="21"/>
                <w:highlight w:val="none"/>
              </w:rPr>
            </w:pPr>
          </w:p>
        </w:tc>
        <w:tc>
          <w:tcPr>
            <w:tcW w:w="778" w:type="pct"/>
            <w:vAlign w:val="center"/>
          </w:tcPr>
          <w:p w14:paraId="0DE9136C">
            <w:pPr>
              <w:contextualSpacing/>
              <w:jc w:val="left"/>
              <w:rPr>
                <w:rFonts w:asciiTheme="majorEastAsia" w:hAnsiTheme="majorEastAsia" w:eastAsiaTheme="majorEastAsia"/>
                <w:bCs/>
                <w:color w:val="auto"/>
                <w:szCs w:val="21"/>
                <w:highlight w:val="none"/>
              </w:rPr>
            </w:pPr>
          </w:p>
        </w:tc>
        <w:tc>
          <w:tcPr>
            <w:tcW w:w="711" w:type="pct"/>
            <w:vAlign w:val="center"/>
          </w:tcPr>
          <w:p w14:paraId="641993AF">
            <w:pPr>
              <w:contextualSpacing/>
              <w:jc w:val="left"/>
              <w:rPr>
                <w:rFonts w:asciiTheme="majorEastAsia" w:hAnsiTheme="majorEastAsia" w:eastAsiaTheme="majorEastAsia"/>
                <w:bCs/>
                <w:color w:val="auto"/>
                <w:szCs w:val="21"/>
                <w:highlight w:val="none"/>
              </w:rPr>
            </w:pPr>
          </w:p>
        </w:tc>
      </w:tr>
      <w:tr w14:paraId="69F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55055DAB">
            <w:pPr>
              <w:contextualSpacing/>
              <w:jc w:val="center"/>
              <w:rPr>
                <w:rFonts w:asciiTheme="majorEastAsia" w:hAnsiTheme="majorEastAsia" w:eastAsiaTheme="majorEastAsia"/>
                <w:b/>
                <w:color w:val="auto"/>
                <w:szCs w:val="21"/>
                <w:highlight w:val="none"/>
              </w:rPr>
            </w:pPr>
          </w:p>
        </w:tc>
        <w:tc>
          <w:tcPr>
            <w:tcW w:w="2960" w:type="pct"/>
            <w:vAlign w:val="center"/>
          </w:tcPr>
          <w:p w14:paraId="6D621C97">
            <w:pPr>
              <w:contextualSpacing/>
              <w:jc w:val="left"/>
              <w:rPr>
                <w:rFonts w:asciiTheme="majorEastAsia" w:hAnsiTheme="majorEastAsia" w:eastAsiaTheme="majorEastAsia"/>
                <w:color w:val="auto"/>
                <w:szCs w:val="21"/>
                <w:highlight w:val="none"/>
              </w:rPr>
            </w:pPr>
          </w:p>
        </w:tc>
        <w:tc>
          <w:tcPr>
            <w:tcW w:w="778" w:type="pct"/>
            <w:vAlign w:val="center"/>
          </w:tcPr>
          <w:p w14:paraId="152A0A7A">
            <w:pPr>
              <w:contextualSpacing/>
              <w:jc w:val="left"/>
              <w:rPr>
                <w:rFonts w:asciiTheme="majorEastAsia" w:hAnsiTheme="majorEastAsia" w:eastAsiaTheme="majorEastAsia"/>
                <w:color w:val="auto"/>
                <w:szCs w:val="21"/>
                <w:highlight w:val="none"/>
              </w:rPr>
            </w:pPr>
          </w:p>
        </w:tc>
        <w:tc>
          <w:tcPr>
            <w:tcW w:w="711" w:type="pct"/>
            <w:vAlign w:val="center"/>
          </w:tcPr>
          <w:p w14:paraId="14696344">
            <w:pPr>
              <w:contextualSpacing/>
              <w:jc w:val="left"/>
              <w:rPr>
                <w:rFonts w:asciiTheme="majorEastAsia" w:hAnsiTheme="majorEastAsia" w:eastAsiaTheme="majorEastAsia"/>
                <w:color w:val="auto"/>
                <w:szCs w:val="21"/>
                <w:highlight w:val="none"/>
              </w:rPr>
            </w:pPr>
          </w:p>
        </w:tc>
      </w:tr>
      <w:tr w14:paraId="4BBA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AFB8ACB">
            <w:pPr>
              <w:contextualSpacing/>
              <w:jc w:val="center"/>
              <w:rPr>
                <w:rFonts w:asciiTheme="majorEastAsia" w:hAnsiTheme="majorEastAsia" w:eastAsiaTheme="majorEastAsia"/>
                <w:b/>
                <w:color w:val="auto"/>
                <w:szCs w:val="21"/>
                <w:highlight w:val="none"/>
              </w:rPr>
            </w:pPr>
          </w:p>
        </w:tc>
        <w:tc>
          <w:tcPr>
            <w:tcW w:w="2960" w:type="pct"/>
            <w:vAlign w:val="center"/>
          </w:tcPr>
          <w:p w14:paraId="3A264F27">
            <w:pPr>
              <w:rPr>
                <w:rFonts w:asciiTheme="majorEastAsia" w:hAnsiTheme="majorEastAsia" w:eastAsiaTheme="majorEastAsia"/>
                <w:color w:val="auto"/>
                <w:szCs w:val="21"/>
                <w:highlight w:val="none"/>
              </w:rPr>
            </w:pPr>
          </w:p>
        </w:tc>
        <w:tc>
          <w:tcPr>
            <w:tcW w:w="778" w:type="pct"/>
            <w:vAlign w:val="center"/>
          </w:tcPr>
          <w:p w14:paraId="22049C76">
            <w:pPr>
              <w:rPr>
                <w:rFonts w:asciiTheme="majorEastAsia" w:hAnsiTheme="majorEastAsia" w:eastAsiaTheme="majorEastAsia"/>
                <w:color w:val="auto"/>
                <w:szCs w:val="21"/>
                <w:highlight w:val="none"/>
              </w:rPr>
            </w:pPr>
          </w:p>
        </w:tc>
        <w:tc>
          <w:tcPr>
            <w:tcW w:w="711" w:type="pct"/>
            <w:vAlign w:val="center"/>
          </w:tcPr>
          <w:p w14:paraId="4AE91EB4">
            <w:pPr>
              <w:rPr>
                <w:rFonts w:asciiTheme="majorEastAsia" w:hAnsiTheme="majorEastAsia" w:eastAsiaTheme="majorEastAsia"/>
                <w:color w:val="auto"/>
                <w:szCs w:val="21"/>
                <w:highlight w:val="none"/>
              </w:rPr>
            </w:pPr>
          </w:p>
        </w:tc>
      </w:tr>
      <w:tr w14:paraId="57A3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182AD19">
            <w:pPr>
              <w:contextualSpacing/>
              <w:jc w:val="center"/>
              <w:rPr>
                <w:rFonts w:asciiTheme="majorEastAsia" w:hAnsiTheme="majorEastAsia" w:eastAsiaTheme="majorEastAsia"/>
                <w:b/>
                <w:color w:val="auto"/>
                <w:szCs w:val="21"/>
                <w:highlight w:val="none"/>
              </w:rPr>
            </w:pPr>
          </w:p>
        </w:tc>
        <w:tc>
          <w:tcPr>
            <w:tcW w:w="2960" w:type="pct"/>
            <w:vAlign w:val="center"/>
          </w:tcPr>
          <w:p w14:paraId="2F38BE7B">
            <w:pPr>
              <w:rPr>
                <w:rFonts w:asciiTheme="majorEastAsia" w:hAnsiTheme="majorEastAsia" w:eastAsiaTheme="majorEastAsia"/>
                <w:color w:val="auto"/>
                <w:szCs w:val="21"/>
                <w:highlight w:val="none"/>
              </w:rPr>
            </w:pPr>
          </w:p>
        </w:tc>
        <w:tc>
          <w:tcPr>
            <w:tcW w:w="778" w:type="pct"/>
            <w:vAlign w:val="center"/>
          </w:tcPr>
          <w:p w14:paraId="216EE242">
            <w:pPr>
              <w:rPr>
                <w:rFonts w:cs="新宋体" w:asciiTheme="majorEastAsia" w:hAnsiTheme="majorEastAsia" w:eastAsiaTheme="majorEastAsia"/>
                <w:color w:val="auto"/>
                <w:szCs w:val="21"/>
                <w:highlight w:val="none"/>
              </w:rPr>
            </w:pPr>
          </w:p>
        </w:tc>
        <w:tc>
          <w:tcPr>
            <w:tcW w:w="711" w:type="pct"/>
            <w:vAlign w:val="center"/>
          </w:tcPr>
          <w:p w14:paraId="5FF98EF4">
            <w:pPr>
              <w:rPr>
                <w:rFonts w:cs="新宋体" w:asciiTheme="majorEastAsia" w:hAnsiTheme="majorEastAsia" w:eastAsiaTheme="majorEastAsia"/>
                <w:color w:val="auto"/>
                <w:szCs w:val="21"/>
                <w:highlight w:val="none"/>
              </w:rPr>
            </w:pPr>
          </w:p>
        </w:tc>
      </w:tr>
      <w:tr w14:paraId="6302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1825D07">
            <w:pPr>
              <w:contextualSpacing/>
              <w:jc w:val="center"/>
              <w:rPr>
                <w:rFonts w:asciiTheme="majorEastAsia" w:hAnsiTheme="majorEastAsia" w:eastAsiaTheme="majorEastAsia"/>
                <w:b/>
                <w:color w:val="auto"/>
                <w:szCs w:val="21"/>
                <w:highlight w:val="none"/>
              </w:rPr>
            </w:pPr>
          </w:p>
        </w:tc>
        <w:tc>
          <w:tcPr>
            <w:tcW w:w="2960" w:type="pct"/>
            <w:vAlign w:val="center"/>
          </w:tcPr>
          <w:p w14:paraId="5A932A02">
            <w:pPr>
              <w:contextualSpacing/>
              <w:jc w:val="left"/>
              <w:rPr>
                <w:rFonts w:asciiTheme="majorEastAsia" w:hAnsiTheme="majorEastAsia" w:eastAsiaTheme="majorEastAsia"/>
                <w:color w:val="auto"/>
                <w:szCs w:val="21"/>
                <w:highlight w:val="none"/>
              </w:rPr>
            </w:pPr>
          </w:p>
        </w:tc>
        <w:tc>
          <w:tcPr>
            <w:tcW w:w="778" w:type="pct"/>
            <w:vAlign w:val="center"/>
          </w:tcPr>
          <w:p w14:paraId="6F013217">
            <w:pPr>
              <w:contextualSpacing/>
              <w:jc w:val="left"/>
              <w:rPr>
                <w:rFonts w:asciiTheme="majorEastAsia" w:hAnsiTheme="majorEastAsia" w:eastAsiaTheme="majorEastAsia"/>
                <w:color w:val="auto"/>
                <w:szCs w:val="21"/>
                <w:highlight w:val="none"/>
              </w:rPr>
            </w:pPr>
          </w:p>
        </w:tc>
        <w:tc>
          <w:tcPr>
            <w:tcW w:w="711" w:type="pct"/>
            <w:vAlign w:val="center"/>
          </w:tcPr>
          <w:p w14:paraId="7FECB0B3">
            <w:pPr>
              <w:contextualSpacing/>
              <w:jc w:val="left"/>
              <w:rPr>
                <w:rFonts w:asciiTheme="majorEastAsia" w:hAnsiTheme="majorEastAsia" w:eastAsiaTheme="majorEastAsia"/>
                <w:color w:val="auto"/>
                <w:szCs w:val="21"/>
                <w:highlight w:val="none"/>
              </w:rPr>
            </w:pPr>
          </w:p>
        </w:tc>
      </w:tr>
      <w:tr w14:paraId="16CA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10C1820">
            <w:pPr>
              <w:contextualSpacing/>
              <w:jc w:val="center"/>
              <w:rPr>
                <w:rFonts w:asciiTheme="majorEastAsia" w:hAnsiTheme="majorEastAsia" w:eastAsiaTheme="majorEastAsia"/>
                <w:b/>
                <w:color w:val="auto"/>
                <w:szCs w:val="21"/>
                <w:highlight w:val="none"/>
              </w:rPr>
            </w:pPr>
          </w:p>
        </w:tc>
        <w:tc>
          <w:tcPr>
            <w:tcW w:w="2960" w:type="pct"/>
            <w:vAlign w:val="center"/>
          </w:tcPr>
          <w:p w14:paraId="0A3A37B1">
            <w:pPr>
              <w:contextualSpacing/>
              <w:jc w:val="left"/>
              <w:rPr>
                <w:rFonts w:asciiTheme="majorEastAsia" w:hAnsiTheme="majorEastAsia" w:eastAsiaTheme="majorEastAsia"/>
                <w:color w:val="auto"/>
                <w:szCs w:val="21"/>
                <w:highlight w:val="none"/>
              </w:rPr>
            </w:pPr>
          </w:p>
        </w:tc>
        <w:tc>
          <w:tcPr>
            <w:tcW w:w="778" w:type="pct"/>
            <w:vAlign w:val="center"/>
          </w:tcPr>
          <w:p w14:paraId="3F469836">
            <w:pPr>
              <w:contextualSpacing/>
              <w:jc w:val="left"/>
              <w:rPr>
                <w:rFonts w:asciiTheme="majorEastAsia" w:hAnsiTheme="majorEastAsia" w:eastAsiaTheme="majorEastAsia"/>
                <w:color w:val="auto"/>
                <w:szCs w:val="21"/>
                <w:highlight w:val="none"/>
              </w:rPr>
            </w:pPr>
          </w:p>
        </w:tc>
        <w:tc>
          <w:tcPr>
            <w:tcW w:w="711" w:type="pct"/>
            <w:vAlign w:val="center"/>
          </w:tcPr>
          <w:p w14:paraId="05F48D3A">
            <w:pPr>
              <w:contextualSpacing/>
              <w:jc w:val="left"/>
              <w:rPr>
                <w:rFonts w:asciiTheme="majorEastAsia" w:hAnsiTheme="majorEastAsia" w:eastAsiaTheme="majorEastAsia"/>
                <w:color w:val="auto"/>
                <w:szCs w:val="21"/>
                <w:highlight w:val="none"/>
              </w:rPr>
            </w:pPr>
          </w:p>
        </w:tc>
      </w:tr>
      <w:tr w14:paraId="5DB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CE9A1EE">
            <w:pPr>
              <w:contextualSpacing/>
              <w:jc w:val="center"/>
              <w:rPr>
                <w:rFonts w:asciiTheme="majorEastAsia" w:hAnsiTheme="majorEastAsia" w:eastAsiaTheme="majorEastAsia"/>
                <w:b/>
                <w:color w:val="auto"/>
                <w:szCs w:val="21"/>
                <w:highlight w:val="none"/>
              </w:rPr>
            </w:pPr>
          </w:p>
        </w:tc>
        <w:tc>
          <w:tcPr>
            <w:tcW w:w="2960" w:type="pct"/>
            <w:vAlign w:val="center"/>
          </w:tcPr>
          <w:p w14:paraId="7C556EB4">
            <w:pPr>
              <w:contextualSpacing/>
              <w:jc w:val="left"/>
              <w:rPr>
                <w:rFonts w:asciiTheme="majorEastAsia" w:hAnsiTheme="majorEastAsia" w:eastAsiaTheme="majorEastAsia"/>
                <w:color w:val="auto"/>
                <w:szCs w:val="21"/>
                <w:highlight w:val="none"/>
              </w:rPr>
            </w:pPr>
          </w:p>
        </w:tc>
        <w:tc>
          <w:tcPr>
            <w:tcW w:w="778" w:type="pct"/>
            <w:vAlign w:val="center"/>
          </w:tcPr>
          <w:p w14:paraId="0024E7DD">
            <w:pPr>
              <w:contextualSpacing/>
              <w:jc w:val="left"/>
              <w:rPr>
                <w:rFonts w:asciiTheme="majorEastAsia" w:hAnsiTheme="majorEastAsia" w:eastAsiaTheme="majorEastAsia"/>
                <w:color w:val="auto"/>
                <w:szCs w:val="21"/>
                <w:highlight w:val="none"/>
              </w:rPr>
            </w:pPr>
          </w:p>
        </w:tc>
        <w:tc>
          <w:tcPr>
            <w:tcW w:w="711" w:type="pct"/>
            <w:vAlign w:val="center"/>
          </w:tcPr>
          <w:p w14:paraId="1C466AE1">
            <w:pPr>
              <w:contextualSpacing/>
              <w:jc w:val="left"/>
              <w:rPr>
                <w:rFonts w:asciiTheme="majorEastAsia" w:hAnsiTheme="majorEastAsia" w:eastAsiaTheme="majorEastAsia"/>
                <w:color w:val="auto"/>
                <w:szCs w:val="21"/>
                <w:highlight w:val="none"/>
              </w:rPr>
            </w:pPr>
          </w:p>
        </w:tc>
      </w:tr>
      <w:tr w14:paraId="2C41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60D4F12">
            <w:pPr>
              <w:contextualSpacing/>
              <w:jc w:val="center"/>
              <w:rPr>
                <w:rFonts w:asciiTheme="majorEastAsia" w:hAnsiTheme="majorEastAsia" w:eastAsiaTheme="majorEastAsia"/>
                <w:b/>
                <w:color w:val="auto"/>
                <w:szCs w:val="21"/>
                <w:highlight w:val="none"/>
              </w:rPr>
            </w:pPr>
          </w:p>
        </w:tc>
        <w:tc>
          <w:tcPr>
            <w:tcW w:w="2960" w:type="pct"/>
            <w:vAlign w:val="center"/>
          </w:tcPr>
          <w:p w14:paraId="1262798F">
            <w:pPr>
              <w:contextualSpacing/>
              <w:jc w:val="left"/>
              <w:rPr>
                <w:rFonts w:asciiTheme="majorEastAsia" w:hAnsiTheme="majorEastAsia" w:eastAsiaTheme="majorEastAsia"/>
                <w:color w:val="auto"/>
                <w:szCs w:val="21"/>
                <w:highlight w:val="none"/>
              </w:rPr>
            </w:pPr>
          </w:p>
        </w:tc>
        <w:tc>
          <w:tcPr>
            <w:tcW w:w="778" w:type="pct"/>
            <w:vAlign w:val="center"/>
          </w:tcPr>
          <w:p w14:paraId="12CFF269">
            <w:pPr>
              <w:contextualSpacing/>
              <w:jc w:val="left"/>
              <w:rPr>
                <w:rFonts w:asciiTheme="majorEastAsia" w:hAnsiTheme="majorEastAsia" w:eastAsiaTheme="majorEastAsia"/>
                <w:color w:val="auto"/>
                <w:szCs w:val="21"/>
                <w:highlight w:val="none"/>
              </w:rPr>
            </w:pPr>
          </w:p>
        </w:tc>
        <w:tc>
          <w:tcPr>
            <w:tcW w:w="711" w:type="pct"/>
            <w:vAlign w:val="center"/>
          </w:tcPr>
          <w:p w14:paraId="7BE3800C">
            <w:pPr>
              <w:contextualSpacing/>
              <w:jc w:val="left"/>
              <w:rPr>
                <w:rFonts w:asciiTheme="majorEastAsia" w:hAnsiTheme="majorEastAsia" w:eastAsiaTheme="majorEastAsia"/>
                <w:color w:val="auto"/>
                <w:szCs w:val="21"/>
                <w:highlight w:val="none"/>
              </w:rPr>
            </w:pPr>
          </w:p>
        </w:tc>
      </w:tr>
      <w:tr w14:paraId="7A48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70E7206">
            <w:pPr>
              <w:contextualSpacing/>
              <w:jc w:val="center"/>
              <w:rPr>
                <w:rFonts w:asciiTheme="majorEastAsia" w:hAnsiTheme="majorEastAsia" w:eastAsiaTheme="majorEastAsia"/>
                <w:b/>
                <w:color w:val="auto"/>
                <w:szCs w:val="21"/>
                <w:highlight w:val="none"/>
              </w:rPr>
            </w:pPr>
          </w:p>
        </w:tc>
        <w:tc>
          <w:tcPr>
            <w:tcW w:w="2960" w:type="pct"/>
            <w:vAlign w:val="center"/>
          </w:tcPr>
          <w:p w14:paraId="4E863765">
            <w:pPr>
              <w:contextualSpacing/>
              <w:jc w:val="left"/>
              <w:rPr>
                <w:rFonts w:asciiTheme="majorEastAsia" w:hAnsiTheme="majorEastAsia" w:eastAsiaTheme="majorEastAsia"/>
                <w:color w:val="auto"/>
                <w:szCs w:val="21"/>
                <w:highlight w:val="none"/>
              </w:rPr>
            </w:pPr>
          </w:p>
        </w:tc>
        <w:tc>
          <w:tcPr>
            <w:tcW w:w="778" w:type="pct"/>
            <w:vAlign w:val="center"/>
          </w:tcPr>
          <w:p w14:paraId="43E10690">
            <w:pPr>
              <w:contextualSpacing/>
              <w:jc w:val="left"/>
              <w:rPr>
                <w:rFonts w:asciiTheme="majorEastAsia" w:hAnsiTheme="majorEastAsia" w:eastAsiaTheme="majorEastAsia"/>
                <w:color w:val="auto"/>
                <w:szCs w:val="21"/>
                <w:highlight w:val="none"/>
              </w:rPr>
            </w:pPr>
          </w:p>
        </w:tc>
        <w:tc>
          <w:tcPr>
            <w:tcW w:w="711" w:type="pct"/>
            <w:vAlign w:val="center"/>
          </w:tcPr>
          <w:p w14:paraId="08AC5B99">
            <w:pPr>
              <w:contextualSpacing/>
              <w:jc w:val="left"/>
              <w:rPr>
                <w:rFonts w:asciiTheme="majorEastAsia" w:hAnsiTheme="majorEastAsia" w:eastAsiaTheme="majorEastAsia"/>
                <w:color w:val="auto"/>
                <w:szCs w:val="21"/>
                <w:highlight w:val="none"/>
              </w:rPr>
            </w:pPr>
          </w:p>
        </w:tc>
      </w:tr>
      <w:tr w14:paraId="2D57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B429662">
            <w:pPr>
              <w:contextualSpacing/>
              <w:jc w:val="center"/>
              <w:rPr>
                <w:rFonts w:asciiTheme="majorEastAsia" w:hAnsiTheme="majorEastAsia" w:eastAsiaTheme="majorEastAsia"/>
                <w:b/>
                <w:color w:val="auto"/>
                <w:szCs w:val="21"/>
                <w:highlight w:val="none"/>
              </w:rPr>
            </w:pPr>
          </w:p>
        </w:tc>
        <w:tc>
          <w:tcPr>
            <w:tcW w:w="2960" w:type="pct"/>
            <w:vAlign w:val="center"/>
          </w:tcPr>
          <w:p w14:paraId="247EFE35">
            <w:pPr>
              <w:contextualSpacing/>
              <w:jc w:val="left"/>
              <w:rPr>
                <w:rFonts w:asciiTheme="majorEastAsia" w:hAnsiTheme="majorEastAsia" w:eastAsiaTheme="majorEastAsia"/>
                <w:color w:val="auto"/>
                <w:szCs w:val="21"/>
                <w:highlight w:val="none"/>
              </w:rPr>
            </w:pPr>
          </w:p>
        </w:tc>
        <w:tc>
          <w:tcPr>
            <w:tcW w:w="778" w:type="pct"/>
            <w:vAlign w:val="center"/>
          </w:tcPr>
          <w:p w14:paraId="625A3A48">
            <w:pPr>
              <w:contextualSpacing/>
              <w:jc w:val="left"/>
              <w:rPr>
                <w:rFonts w:asciiTheme="majorEastAsia" w:hAnsiTheme="majorEastAsia" w:eastAsiaTheme="majorEastAsia"/>
                <w:color w:val="auto"/>
                <w:szCs w:val="21"/>
                <w:highlight w:val="none"/>
              </w:rPr>
            </w:pPr>
          </w:p>
        </w:tc>
        <w:tc>
          <w:tcPr>
            <w:tcW w:w="711" w:type="pct"/>
            <w:vAlign w:val="center"/>
          </w:tcPr>
          <w:p w14:paraId="4375F030">
            <w:pPr>
              <w:contextualSpacing/>
              <w:jc w:val="left"/>
              <w:rPr>
                <w:rFonts w:asciiTheme="majorEastAsia" w:hAnsiTheme="majorEastAsia" w:eastAsiaTheme="majorEastAsia"/>
                <w:color w:val="auto"/>
                <w:szCs w:val="21"/>
                <w:highlight w:val="none"/>
              </w:rPr>
            </w:pPr>
          </w:p>
        </w:tc>
      </w:tr>
      <w:tr w14:paraId="1864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0383A35">
            <w:pPr>
              <w:contextualSpacing/>
              <w:jc w:val="center"/>
              <w:rPr>
                <w:rFonts w:asciiTheme="majorEastAsia" w:hAnsiTheme="majorEastAsia" w:eastAsiaTheme="majorEastAsia"/>
                <w:b/>
                <w:color w:val="auto"/>
                <w:szCs w:val="21"/>
                <w:highlight w:val="none"/>
              </w:rPr>
            </w:pPr>
          </w:p>
        </w:tc>
        <w:tc>
          <w:tcPr>
            <w:tcW w:w="2960" w:type="pct"/>
            <w:vAlign w:val="center"/>
          </w:tcPr>
          <w:p w14:paraId="616A7D1C">
            <w:pPr>
              <w:contextualSpacing/>
              <w:jc w:val="left"/>
              <w:rPr>
                <w:rFonts w:asciiTheme="majorEastAsia" w:hAnsiTheme="majorEastAsia" w:eastAsiaTheme="majorEastAsia"/>
                <w:color w:val="auto"/>
                <w:szCs w:val="21"/>
                <w:highlight w:val="none"/>
              </w:rPr>
            </w:pPr>
          </w:p>
        </w:tc>
        <w:tc>
          <w:tcPr>
            <w:tcW w:w="778" w:type="pct"/>
            <w:vAlign w:val="center"/>
          </w:tcPr>
          <w:p w14:paraId="387A8E64">
            <w:pPr>
              <w:contextualSpacing/>
              <w:jc w:val="left"/>
              <w:rPr>
                <w:rFonts w:asciiTheme="majorEastAsia" w:hAnsiTheme="majorEastAsia" w:eastAsiaTheme="majorEastAsia"/>
                <w:color w:val="auto"/>
                <w:szCs w:val="21"/>
                <w:highlight w:val="none"/>
              </w:rPr>
            </w:pPr>
          </w:p>
        </w:tc>
        <w:tc>
          <w:tcPr>
            <w:tcW w:w="711" w:type="pct"/>
            <w:vAlign w:val="center"/>
          </w:tcPr>
          <w:p w14:paraId="3C6F6BC3">
            <w:pPr>
              <w:contextualSpacing/>
              <w:jc w:val="left"/>
              <w:rPr>
                <w:rFonts w:asciiTheme="majorEastAsia" w:hAnsiTheme="majorEastAsia" w:eastAsiaTheme="majorEastAsia"/>
                <w:color w:val="auto"/>
                <w:szCs w:val="21"/>
                <w:highlight w:val="none"/>
              </w:rPr>
            </w:pPr>
          </w:p>
        </w:tc>
      </w:tr>
    </w:tbl>
    <w:p w14:paraId="56D792E2">
      <w:pPr>
        <w:pStyle w:val="20"/>
        <w:spacing w:line="440" w:lineRule="exact"/>
        <w:ind w:firstLine="0"/>
        <w:rPr>
          <w:rFonts w:asciiTheme="majorEastAsia" w:hAnsiTheme="majorEastAsia" w:eastAsiaTheme="majorEastAsia"/>
          <w:b/>
          <w:color w:val="auto"/>
          <w:sz w:val="21"/>
          <w:szCs w:val="21"/>
          <w:highlight w:val="none"/>
        </w:rPr>
      </w:pPr>
    </w:p>
    <w:p w14:paraId="29DF0F20">
      <w:pPr>
        <w:pStyle w:val="20"/>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7A8488A2">
      <w:pPr>
        <w:pStyle w:val="2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4B287794">
      <w:pPr>
        <w:adjustRightInd w:val="0"/>
        <w:spacing w:line="440" w:lineRule="exact"/>
        <w:jc w:val="left"/>
        <w:rPr>
          <w:rFonts w:asciiTheme="majorEastAsia" w:hAnsiTheme="majorEastAsia" w:eastAsiaTheme="majorEastAsia"/>
          <w:b/>
          <w:color w:val="auto"/>
          <w:szCs w:val="21"/>
          <w:highlight w:val="none"/>
        </w:rPr>
      </w:pPr>
    </w:p>
    <w:p w14:paraId="6DB7A78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u w:val="single"/>
        </w:rPr>
        <w:t xml:space="preserve">       </w:t>
      </w:r>
    </w:p>
    <w:p w14:paraId="7C3AA4A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4E4C204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1B37093F">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18918BA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44AE96BC">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1A41F2BD">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6AD22F4B">
      <w:pPr>
        <w:spacing w:line="440" w:lineRule="exact"/>
        <w:rPr>
          <w:rFonts w:asciiTheme="majorEastAsia" w:hAnsiTheme="majorEastAsia" w:eastAsiaTheme="majorEastAsia"/>
          <w:color w:val="auto"/>
          <w:szCs w:val="21"/>
          <w:highlight w:val="none"/>
        </w:rPr>
      </w:pPr>
    </w:p>
    <w:p w14:paraId="02CC556A">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67042D31">
      <w:pPr>
        <w:spacing w:line="440" w:lineRule="exact"/>
        <w:rPr>
          <w:rFonts w:asciiTheme="majorEastAsia" w:hAnsiTheme="majorEastAsia" w:eastAsiaTheme="majorEastAsia"/>
          <w:color w:val="auto"/>
          <w:szCs w:val="21"/>
          <w:highlight w:val="none"/>
        </w:rPr>
      </w:pPr>
    </w:p>
    <w:p w14:paraId="277A06D0">
      <w:pPr>
        <w:spacing w:line="440" w:lineRule="exact"/>
        <w:rPr>
          <w:rFonts w:asciiTheme="majorEastAsia" w:hAnsiTheme="majorEastAsia" w:eastAsiaTheme="majorEastAsia"/>
          <w:color w:val="auto"/>
          <w:szCs w:val="21"/>
          <w:highlight w:val="none"/>
        </w:rPr>
      </w:pPr>
    </w:p>
    <w:p w14:paraId="3955A6DB">
      <w:pPr>
        <w:spacing w:line="440" w:lineRule="exact"/>
        <w:rPr>
          <w:rFonts w:asciiTheme="majorEastAsia" w:hAnsiTheme="majorEastAsia" w:eastAsiaTheme="majorEastAsia"/>
          <w:color w:val="auto"/>
          <w:szCs w:val="21"/>
          <w:highlight w:val="none"/>
        </w:rPr>
      </w:pPr>
    </w:p>
    <w:p w14:paraId="69C6944E">
      <w:pPr>
        <w:spacing w:line="440" w:lineRule="exact"/>
        <w:rPr>
          <w:rFonts w:asciiTheme="majorEastAsia" w:hAnsiTheme="majorEastAsia" w:eastAsiaTheme="majorEastAsia"/>
          <w:color w:val="auto"/>
          <w:szCs w:val="21"/>
          <w:highlight w:val="none"/>
        </w:rPr>
      </w:pPr>
    </w:p>
    <w:p w14:paraId="0C395326">
      <w:pPr>
        <w:spacing w:line="440" w:lineRule="exact"/>
        <w:rPr>
          <w:rFonts w:asciiTheme="majorEastAsia" w:hAnsiTheme="majorEastAsia" w:eastAsiaTheme="majorEastAsia"/>
          <w:color w:val="auto"/>
          <w:szCs w:val="21"/>
          <w:highlight w:val="none"/>
        </w:rPr>
      </w:pPr>
    </w:p>
    <w:p w14:paraId="319471D7">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F09920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094C5FC4">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559A8375">
      <w:pPr>
        <w:adjustRightInd w:val="0"/>
        <w:spacing w:line="440" w:lineRule="exact"/>
        <w:jc w:val="left"/>
        <w:rPr>
          <w:rFonts w:asciiTheme="majorEastAsia" w:hAnsiTheme="majorEastAsia" w:eastAsiaTheme="majorEastAsia"/>
          <w:color w:val="auto"/>
          <w:szCs w:val="21"/>
          <w:highlight w:val="none"/>
        </w:rPr>
      </w:pPr>
    </w:p>
    <w:p w14:paraId="0278AEB2">
      <w:pPr>
        <w:adjustRightInd w:val="0"/>
        <w:spacing w:line="440" w:lineRule="exact"/>
        <w:jc w:val="left"/>
        <w:rPr>
          <w:rFonts w:asciiTheme="majorEastAsia" w:hAnsiTheme="majorEastAsia" w:eastAsiaTheme="majorEastAsia"/>
          <w:color w:val="auto"/>
          <w:szCs w:val="21"/>
          <w:highlight w:val="none"/>
        </w:rPr>
      </w:pPr>
    </w:p>
    <w:p w14:paraId="572BB0EF">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48C54F13">
      <w:pPr>
        <w:spacing w:line="440" w:lineRule="exact"/>
        <w:jc w:val="center"/>
        <w:rPr>
          <w:rFonts w:asciiTheme="majorEastAsia" w:hAnsiTheme="majorEastAsia" w:eastAsiaTheme="majorEastAsia"/>
          <w:b/>
          <w:color w:val="auto"/>
          <w:sz w:val="18"/>
          <w:szCs w:val="18"/>
          <w:highlight w:val="none"/>
        </w:rPr>
      </w:pPr>
      <w:r>
        <w:rPr>
          <w:rFonts w:asciiTheme="majorEastAsia" w:hAnsiTheme="majorEastAsia" w:eastAsiaTheme="majorEastAsia"/>
          <w:b/>
          <w:color w:val="auto"/>
          <w:sz w:val="18"/>
          <w:szCs w:val="18"/>
          <w:highlight w:val="none"/>
        </w:rPr>
        <w:t>法定代表人（负责人）授权委托书</w:t>
      </w:r>
    </w:p>
    <w:p w14:paraId="17EDD8EF">
      <w:pPr>
        <w:pStyle w:val="20"/>
        <w:spacing w:line="440" w:lineRule="exact"/>
        <w:jc w:val="center"/>
        <w:rPr>
          <w:rFonts w:asciiTheme="majorEastAsia" w:hAnsiTheme="majorEastAsia" w:eastAsiaTheme="majorEastAsia"/>
          <w:color w:val="auto"/>
          <w:szCs w:val="18"/>
          <w:highlight w:val="none"/>
        </w:rPr>
      </w:pPr>
    </w:p>
    <w:p w14:paraId="549C1941">
      <w:pPr>
        <w:pStyle w:val="20"/>
        <w:spacing w:line="440" w:lineRule="exact"/>
        <w:ind w:firstLine="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致       </w:t>
      </w:r>
      <w:r>
        <w:rPr>
          <w:rFonts w:asciiTheme="majorEastAsia" w:hAnsiTheme="majorEastAsia" w:eastAsiaTheme="majorEastAsia"/>
          <w:color w:val="auto"/>
          <w:szCs w:val="18"/>
          <w:highlight w:val="none"/>
        </w:rPr>
        <w:t>（采购人名称）：</w:t>
      </w:r>
    </w:p>
    <w:p w14:paraId="6E95CEE3">
      <w:pPr>
        <w:pStyle w:val="20"/>
        <w:spacing w:line="440" w:lineRule="exact"/>
        <w:rPr>
          <w:rFonts w:asciiTheme="majorEastAsia" w:hAnsiTheme="majorEastAsia" w:eastAsiaTheme="majorEastAsia"/>
          <w:color w:val="auto"/>
          <w:szCs w:val="18"/>
          <w:highlight w:val="none"/>
        </w:rPr>
      </w:pPr>
    </w:p>
    <w:p w14:paraId="5D555EEB">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（供应商全称）法定代表人（负责人）</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（姓名、职务）授权</w:t>
      </w:r>
      <w:r>
        <w:rPr>
          <w:rFonts w:asciiTheme="majorEastAsia" w:hAnsiTheme="majorEastAsia" w:eastAsiaTheme="majorEastAsia"/>
          <w:color w:val="auto"/>
          <w:szCs w:val="18"/>
          <w:highlight w:val="none"/>
          <w:u w:val="single"/>
        </w:rPr>
        <w:t xml:space="preserve">           </w:t>
      </w:r>
      <w:r>
        <w:rPr>
          <w:rFonts w:hint="eastAsia"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（授权代表姓名、职务）为本公司合法代理人，参加贵方组织的</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（项目编号、项目名称）项目的采购活动，代表本公司处理采购活动中的一切事宜。</w:t>
      </w:r>
    </w:p>
    <w:p w14:paraId="3FF8988A">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rPr>
        <w:t>本授权书于</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年</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月</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日签字生效，特此声明。</w:t>
      </w:r>
    </w:p>
    <w:p w14:paraId="0C2B1BAA">
      <w:pPr>
        <w:pStyle w:val="20"/>
        <w:spacing w:line="440" w:lineRule="exact"/>
        <w:rPr>
          <w:rFonts w:asciiTheme="majorEastAsia" w:hAnsiTheme="majorEastAsia" w:eastAsiaTheme="majorEastAsia"/>
          <w:color w:val="auto"/>
          <w:szCs w:val="18"/>
          <w:highlight w:val="none"/>
        </w:rPr>
      </w:pPr>
    </w:p>
    <w:p w14:paraId="67713C7A">
      <w:pPr>
        <w:pStyle w:val="20"/>
        <w:spacing w:line="440" w:lineRule="exact"/>
        <w:rPr>
          <w:rFonts w:asciiTheme="majorEastAsia" w:hAnsiTheme="majorEastAsia" w:eastAsiaTheme="majorEastAsia"/>
          <w:color w:val="auto"/>
          <w:szCs w:val="18"/>
          <w:highlight w:val="none"/>
        </w:rPr>
      </w:pPr>
    </w:p>
    <w:p w14:paraId="03E35856">
      <w:pPr>
        <w:pStyle w:val="20"/>
        <w:spacing w:line="440" w:lineRule="exact"/>
        <w:ind w:firstLine="345" w:firstLineChars="200"/>
        <w:rPr>
          <w:rFonts w:asciiTheme="majorEastAsia" w:hAnsiTheme="majorEastAsia" w:eastAsiaTheme="majorEastAsia"/>
          <w:b/>
          <w:color w:val="auto"/>
          <w:szCs w:val="18"/>
          <w:highlight w:val="none"/>
        </w:rPr>
      </w:pPr>
      <w:r>
        <w:rPr>
          <w:rFonts w:asciiTheme="majorEastAsia" w:hAnsiTheme="majorEastAsia" w:eastAsiaTheme="majorEastAsia"/>
          <w:b/>
          <w:color w:val="auto"/>
          <w:szCs w:val="18"/>
          <w:highlight w:val="none"/>
        </w:rPr>
        <w:t>后附授权代表身份证正反面复印件。</w:t>
      </w:r>
    </w:p>
    <w:p w14:paraId="6F2CCDFB">
      <w:pPr>
        <w:pStyle w:val="20"/>
        <w:spacing w:line="440" w:lineRule="exact"/>
        <w:rPr>
          <w:rFonts w:asciiTheme="majorEastAsia" w:hAnsiTheme="majorEastAsia" w:eastAsiaTheme="majorEastAsia"/>
          <w:color w:val="auto"/>
          <w:szCs w:val="18"/>
          <w:highlight w:val="none"/>
        </w:rPr>
      </w:pPr>
    </w:p>
    <w:p w14:paraId="7BF9A8A2">
      <w:pPr>
        <w:pStyle w:val="20"/>
        <w:spacing w:line="440" w:lineRule="exact"/>
        <w:rPr>
          <w:rFonts w:asciiTheme="majorEastAsia" w:hAnsiTheme="majorEastAsia" w:eastAsiaTheme="majorEastAsia"/>
          <w:color w:val="auto"/>
          <w:sz w:val="21"/>
          <w:szCs w:val="21"/>
          <w:highlight w:val="none"/>
        </w:rPr>
      </w:pPr>
    </w:p>
    <w:p w14:paraId="7ACED5B6">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5FCBFF5A">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59B7165E">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382CAC07">
      <w:pPr>
        <w:pStyle w:val="20"/>
        <w:spacing w:line="440" w:lineRule="exact"/>
        <w:rPr>
          <w:rFonts w:asciiTheme="majorEastAsia" w:hAnsiTheme="majorEastAsia" w:eastAsiaTheme="majorEastAsia"/>
          <w:color w:val="auto"/>
          <w:sz w:val="21"/>
          <w:szCs w:val="21"/>
          <w:highlight w:val="none"/>
        </w:rPr>
      </w:pPr>
    </w:p>
    <w:p w14:paraId="3B1B61C6">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471B089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1FED8018">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54F52780">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68C59D84">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3D92E13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2AB4DCDE">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32A1A96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0DD9AEAB">
      <w:pPr>
        <w:pStyle w:val="20"/>
        <w:spacing w:line="440" w:lineRule="exact"/>
        <w:rPr>
          <w:rFonts w:asciiTheme="majorEastAsia" w:hAnsiTheme="majorEastAsia" w:eastAsiaTheme="majorEastAsia"/>
          <w:color w:val="auto"/>
          <w:sz w:val="21"/>
          <w:szCs w:val="21"/>
          <w:highlight w:val="none"/>
        </w:rPr>
      </w:pPr>
    </w:p>
    <w:p w14:paraId="392771CE">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70C91257">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09B3257B">
      <w:pPr>
        <w:spacing w:line="440" w:lineRule="exact"/>
        <w:jc w:val="center"/>
        <w:rPr>
          <w:rFonts w:asciiTheme="majorEastAsia" w:hAnsiTheme="majorEastAsia" w:eastAsiaTheme="majorEastAsia"/>
          <w:b/>
          <w:color w:val="auto"/>
          <w:szCs w:val="21"/>
          <w:highlight w:val="none"/>
        </w:rPr>
      </w:pPr>
    </w:p>
    <w:p w14:paraId="3ADE2DE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13F7FA8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w:t>
      </w:r>
      <w:r>
        <w:rPr>
          <w:rFonts w:asciiTheme="majorEastAsia" w:hAnsiTheme="majorEastAsia" w:eastAsiaTheme="majorEastAsia"/>
          <w:color w:val="auto"/>
          <w:szCs w:val="21"/>
          <w:highlight w:val="none"/>
        </w:rPr>
        <w:t>。</w:t>
      </w:r>
    </w:p>
    <w:p w14:paraId="2F113C91">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482A9D1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2C0A4AA">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626C52C0">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rPr>
        <w:t>天</w:t>
      </w:r>
      <w:r>
        <w:rPr>
          <w:rFonts w:asciiTheme="majorEastAsia" w:hAnsiTheme="majorEastAsia" w:eastAsiaTheme="majorEastAsia"/>
          <w:color w:val="auto"/>
          <w:szCs w:val="21"/>
          <w:highlight w:val="none"/>
        </w:rPr>
        <w:t>。</w:t>
      </w:r>
    </w:p>
    <w:p w14:paraId="0D9FD0E9">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4C461218">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72D7AB3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612F0ED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36D2C8F">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74C45199">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D82B63C">
      <w:pPr>
        <w:spacing w:line="440" w:lineRule="exact"/>
        <w:rPr>
          <w:rFonts w:asciiTheme="majorEastAsia" w:hAnsiTheme="majorEastAsia" w:eastAsiaTheme="majorEastAsia"/>
          <w:color w:val="auto"/>
          <w:szCs w:val="21"/>
          <w:highlight w:val="none"/>
        </w:rPr>
      </w:pPr>
    </w:p>
    <w:p w14:paraId="7CBA751B">
      <w:pPr>
        <w:spacing w:line="440" w:lineRule="exact"/>
        <w:rPr>
          <w:rFonts w:asciiTheme="majorEastAsia" w:hAnsiTheme="majorEastAsia" w:eastAsiaTheme="majorEastAsia"/>
          <w:color w:val="auto"/>
          <w:szCs w:val="21"/>
          <w:highlight w:val="none"/>
        </w:rPr>
      </w:pPr>
    </w:p>
    <w:p w14:paraId="3E10D450">
      <w:pPr>
        <w:spacing w:line="440" w:lineRule="exact"/>
        <w:rPr>
          <w:rFonts w:asciiTheme="majorEastAsia" w:hAnsiTheme="majorEastAsia" w:eastAsiaTheme="majorEastAsia"/>
          <w:color w:val="auto"/>
          <w:szCs w:val="21"/>
          <w:highlight w:val="none"/>
        </w:rPr>
      </w:pPr>
    </w:p>
    <w:p w14:paraId="509B526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C1993E1">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686FA3F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0A446E2">
      <w:pPr>
        <w:spacing w:line="440" w:lineRule="exact"/>
        <w:rPr>
          <w:rFonts w:asciiTheme="majorEastAsia" w:hAnsiTheme="majorEastAsia" w:eastAsiaTheme="majorEastAsia"/>
          <w:color w:val="auto"/>
          <w:szCs w:val="21"/>
          <w:highlight w:val="none"/>
        </w:rPr>
      </w:pPr>
    </w:p>
    <w:p w14:paraId="1A93E6C4">
      <w:pP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35DF30EE">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七</w:t>
      </w:r>
      <w:r>
        <w:rPr>
          <w:rFonts w:asciiTheme="majorEastAsia" w:hAnsiTheme="majorEastAsia" w:eastAsiaTheme="majorEastAsia"/>
          <w:b/>
          <w:color w:val="auto"/>
          <w:szCs w:val="21"/>
          <w:highlight w:val="none"/>
        </w:rPr>
        <w:t>：</w:t>
      </w:r>
    </w:p>
    <w:p w14:paraId="19F6253D">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5914F50F">
      <w:pPr>
        <w:spacing w:line="440" w:lineRule="exact"/>
        <w:ind w:firstLine="3089"/>
        <w:rPr>
          <w:rFonts w:asciiTheme="majorEastAsia" w:hAnsiTheme="majorEastAsia" w:eastAsiaTheme="majorEastAsia"/>
          <w:b/>
          <w:color w:val="auto"/>
          <w:szCs w:val="21"/>
          <w:highlight w:val="none"/>
        </w:rPr>
      </w:pPr>
    </w:p>
    <w:p w14:paraId="1B75292E">
      <w:pPr>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53FFB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5EF527C4">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7B9811DF">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57322D41">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28F71087">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6273536A">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6DD999E9">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3FDDA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9C49558">
            <w:pPr>
              <w:snapToGrid w:val="0"/>
              <w:jc w:val="center"/>
              <w:rPr>
                <w:rFonts w:asciiTheme="majorEastAsia" w:hAnsiTheme="majorEastAsia" w:eastAsiaTheme="majorEastAsia"/>
                <w:color w:val="auto"/>
                <w:szCs w:val="21"/>
                <w:highlight w:val="none"/>
              </w:rPr>
            </w:pPr>
          </w:p>
        </w:tc>
        <w:tc>
          <w:tcPr>
            <w:tcW w:w="4738" w:type="dxa"/>
            <w:vAlign w:val="center"/>
          </w:tcPr>
          <w:p w14:paraId="1F7257AE">
            <w:pPr>
              <w:jc w:val="center"/>
              <w:rPr>
                <w:rFonts w:asciiTheme="majorEastAsia" w:hAnsiTheme="majorEastAsia" w:eastAsiaTheme="majorEastAsia"/>
                <w:color w:val="auto"/>
                <w:szCs w:val="21"/>
                <w:highlight w:val="none"/>
              </w:rPr>
            </w:pPr>
          </w:p>
        </w:tc>
        <w:tc>
          <w:tcPr>
            <w:tcW w:w="900" w:type="dxa"/>
            <w:vAlign w:val="center"/>
          </w:tcPr>
          <w:p w14:paraId="4AC581D7">
            <w:pPr>
              <w:snapToGrid w:val="0"/>
              <w:jc w:val="center"/>
              <w:rPr>
                <w:rFonts w:asciiTheme="majorEastAsia" w:hAnsiTheme="majorEastAsia" w:eastAsiaTheme="majorEastAsia"/>
                <w:color w:val="auto"/>
                <w:szCs w:val="21"/>
                <w:highlight w:val="none"/>
              </w:rPr>
            </w:pPr>
          </w:p>
        </w:tc>
        <w:tc>
          <w:tcPr>
            <w:tcW w:w="1426" w:type="dxa"/>
            <w:vAlign w:val="center"/>
          </w:tcPr>
          <w:p w14:paraId="4C8FE98C">
            <w:pPr>
              <w:snapToGrid w:val="0"/>
              <w:jc w:val="center"/>
              <w:rPr>
                <w:rFonts w:asciiTheme="majorEastAsia" w:hAnsiTheme="majorEastAsia" w:eastAsiaTheme="majorEastAsia"/>
                <w:color w:val="auto"/>
                <w:szCs w:val="21"/>
                <w:highlight w:val="none"/>
              </w:rPr>
            </w:pPr>
          </w:p>
        </w:tc>
      </w:tr>
      <w:tr w14:paraId="3FA0E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9F3E697">
            <w:pPr>
              <w:jc w:val="center"/>
              <w:rPr>
                <w:rFonts w:asciiTheme="majorEastAsia" w:hAnsiTheme="majorEastAsia" w:eastAsiaTheme="majorEastAsia"/>
                <w:color w:val="auto"/>
                <w:szCs w:val="21"/>
                <w:highlight w:val="none"/>
              </w:rPr>
            </w:pPr>
          </w:p>
        </w:tc>
        <w:tc>
          <w:tcPr>
            <w:tcW w:w="4738" w:type="dxa"/>
            <w:vAlign w:val="center"/>
          </w:tcPr>
          <w:p w14:paraId="6FACC9EB">
            <w:pPr>
              <w:jc w:val="center"/>
              <w:rPr>
                <w:rFonts w:asciiTheme="majorEastAsia" w:hAnsiTheme="majorEastAsia" w:eastAsiaTheme="majorEastAsia"/>
                <w:color w:val="auto"/>
                <w:szCs w:val="21"/>
                <w:highlight w:val="none"/>
              </w:rPr>
            </w:pPr>
          </w:p>
        </w:tc>
        <w:tc>
          <w:tcPr>
            <w:tcW w:w="900" w:type="dxa"/>
            <w:vAlign w:val="center"/>
          </w:tcPr>
          <w:p w14:paraId="1F931E6C">
            <w:pPr>
              <w:snapToGrid w:val="0"/>
              <w:jc w:val="center"/>
              <w:rPr>
                <w:rFonts w:asciiTheme="majorEastAsia" w:hAnsiTheme="majorEastAsia" w:eastAsiaTheme="majorEastAsia"/>
                <w:color w:val="auto"/>
                <w:szCs w:val="21"/>
                <w:highlight w:val="none"/>
              </w:rPr>
            </w:pPr>
          </w:p>
        </w:tc>
        <w:tc>
          <w:tcPr>
            <w:tcW w:w="1426" w:type="dxa"/>
            <w:vAlign w:val="center"/>
          </w:tcPr>
          <w:p w14:paraId="6EE7F9B8">
            <w:pPr>
              <w:snapToGrid w:val="0"/>
              <w:jc w:val="center"/>
              <w:rPr>
                <w:rFonts w:asciiTheme="majorEastAsia" w:hAnsiTheme="majorEastAsia" w:eastAsiaTheme="majorEastAsia"/>
                <w:color w:val="auto"/>
                <w:szCs w:val="21"/>
                <w:highlight w:val="none"/>
              </w:rPr>
            </w:pPr>
          </w:p>
        </w:tc>
      </w:tr>
      <w:tr w14:paraId="3F08D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B607899">
            <w:pPr>
              <w:snapToGrid w:val="0"/>
              <w:jc w:val="center"/>
              <w:rPr>
                <w:rFonts w:asciiTheme="majorEastAsia" w:hAnsiTheme="majorEastAsia" w:eastAsiaTheme="majorEastAsia"/>
                <w:color w:val="auto"/>
                <w:szCs w:val="21"/>
                <w:highlight w:val="none"/>
              </w:rPr>
            </w:pPr>
          </w:p>
        </w:tc>
        <w:tc>
          <w:tcPr>
            <w:tcW w:w="4738" w:type="dxa"/>
            <w:vAlign w:val="center"/>
          </w:tcPr>
          <w:p w14:paraId="00E60963">
            <w:pPr>
              <w:jc w:val="center"/>
              <w:rPr>
                <w:rFonts w:asciiTheme="majorEastAsia" w:hAnsiTheme="majorEastAsia" w:eastAsiaTheme="majorEastAsia"/>
                <w:color w:val="auto"/>
                <w:szCs w:val="21"/>
                <w:highlight w:val="none"/>
              </w:rPr>
            </w:pPr>
          </w:p>
        </w:tc>
        <w:tc>
          <w:tcPr>
            <w:tcW w:w="900" w:type="dxa"/>
            <w:vAlign w:val="center"/>
          </w:tcPr>
          <w:p w14:paraId="638F5CF0">
            <w:pPr>
              <w:jc w:val="center"/>
              <w:rPr>
                <w:rFonts w:asciiTheme="majorEastAsia" w:hAnsiTheme="majorEastAsia" w:eastAsiaTheme="majorEastAsia"/>
                <w:color w:val="auto"/>
                <w:szCs w:val="21"/>
                <w:highlight w:val="none"/>
              </w:rPr>
            </w:pPr>
          </w:p>
        </w:tc>
        <w:tc>
          <w:tcPr>
            <w:tcW w:w="1426" w:type="dxa"/>
            <w:vAlign w:val="center"/>
          </w:tcPr>
          <w:p w14:paraId="26B1B448">
            <w:pPr>
              <w:jc w:val="center"/>
              <w:rPr>
                <w:rFonts w:asciiTheme="majorEastAsia" w:hAnsiTheme="majorEastAsia" w:eastAsiaTheme="majorEastAsia"/>
                <w:color w:val="auto"/>
                <w:szCs w:val="21"/>
                <w:highlight w:val="none"/>
              </w:rPr>
            </w:pPr>
          </w:p>
        </w:tc>
      </w:tr>
      <w:tr w14:paraId="68148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E8AF658">
            <w:pPr>
              <w:snapToGrid w:val="0"/>
              <w:jc w:val="center"/>
              <w:rPr>
                <w:rFonts w:asciiTheme="majorEastAsia" w:hAnsiTheme="majorEastAsia" w:eastAsiaTheme="majorEastAsia"/>
                <w:color w:val="auto"/>
                <w:szCs w:val="21"/>
                <w:highlight w:val="none"/>
              </w:rPr>
            </w:pPr>
          </w:p>
        </w:tc>
        <w:tc>
          <w:tcPr>
            <w:tcW w:w="4738" w:type="dxa"/>
            <w:vAlign w:val="center"/>
          </w:tcPr>
          <w:p w14:paraId="4242D276">
            <w:pPr>
              <w:jc w:val="center"/>
              <w:rPr>
                <w:rFonts w:asciiTheme="majorEastAsia" w:hAnsiTheme="majorEastAsia" w:eastAsiaTheme="majorEastAsia"/>
                <w:color w:val="auto"/>
                <w:szCs w:val="21"/>
                <w:highlight w:val="none"/>
              </w:rPr>
            </w:pPr>
          </w:p>
        </w:tc>
        <w:tc>
          <w:tcPr>
            <w:tcW w:w="900" w:type="dxa"/>
            <w:vAlign w:val="center"/>
          </w:tcPr>
          <w:p w14:paraId="5B1467A9">
            <w:pPr>
              <w:snapToGrid w:val="0"/>
              <w:jc w:val="center"/>
              <w:rPr>
                <w:rFonts w:asciiTheme="majorEastAsia" w:hAnsiTheme="majorEastAsia" w:eastAsiaTheme="majorEastAsia"/>
                <w:color w:val="auto"/>
                <w:szCs w:val="21"/>
                <w:highlight w:val="none"/>
              </w:rPr>
            </w:pPr>
          </w:p>
        </w:tc>
        <w:tc>
          <w:tcPr>
            <w:tcW w:w="1426" w:type="dxa"/>
            <w:vAlign w:val="center"/>
          </w:tcPr>
          <w:p w14:paraId="2E26A183">
            <w:pPr>
              <w:jc w:val="center"/>
              <w:rPr>
                <w:rFonts w:asciiTheme="majorEastAsia" w:hAnsiTheme="majorEastAsia" w:eastAsiaTheme="majorEastAsia"/>
                <w:color w:val="auto"/>
                <w:szCs w:val="21"/>
                <w:highlight w:val="none"/>
              </w:rPr>
            </w:pPr>
          </w:p>
        </w:tc>
      </w:tr>
      <w:tr w14:paraId="3E312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FD4971E">
            <w:pPr>
              <w:snapToGrid w:val="0"/>
              <w:jc w:val="center"/>
              <w:rPr>
                <w:rFonts w:asciiTheme="majorEastAsia" w:hAnsiTheme="majorEastAsia" w:eastAsiaTheme="majorEastAsia"/>
                <w:color w:val="auto"/>
                <w:szCs w:val="21"/>
                <w:highlight w:val="none"/>
              </w:rPr>
            </w:pPr>
          </w:p>
        </w:tc>
        <w:tc>
          <w:tcPr>
            <w:tcW w:w="4738" w:type="dxa"/>
            <w:vAlign w:val="center"/>
          </w:tcPr>
          <w:p w14:paraId="15F535E3">
            <w:pPr>
              <w:jc w:val="center"/>
              <w:rPr>
                <w:rFonts w:asciiTheme="majorEastAsia" w:hAnsiTheme="majorEastAsia" w:eastAsiaTheme="majorEastAsia"/>
                <w:color w:val="auto"/>
                <w:szCs w:val="21"/>
                <w:highlight w:val="none"/>
              </w:rPr>
            </w:pPr>
          </w:p>
        </w:tc>
        <w:tc>
          <w:tcPr>
            <w:tcW w:w="900" w:type="dxa"/>
            <w:vAlign w:val="center"/>
          </w:tcPr>
          <w:p w14:paraId="125BB7E2">
            <w:pPr>
              <w:snapToGrid w:val="0"/>
              <w:jc w:val="center"/>
              <w:rPr>
                <w:rFonts w:asciiTheme="majorEastAsia" w:hAnsiTheme="majorEastAsia" w:eastAsiaTheme="majorEastAsia"/>
                <w:color w:val="auto"/>
                <w:szCs w:val="21"/>
                <w:highlight w:val="none"/>
              </w:rPr>
            </w:pPr>
          </w:p>
        </w:tc>
        <w:tc>
          <w:tcPr>
            <w:tcW w:w="1426" w:type="dxa"/>
            <w:vAlign w:val="center"/>
          </w:tcPr>
          <w:p w14:paraId="6C959DBD">
            <w:pPr>
              <w:jc w:val="center"/>
              <w:rPr>
                <w:rFonts w:asciiTheme="majorEastAsia" w:hAnsiTheme="majorEastAsia" w:eastAsiaTheme="majorEastAsia"/>
                <w:color w:val="auto"/>
                <w:szCs w:val="21"/>
                <w:highlight w:val="none"/>
              </w:rPr>
            </w:pPr>
          </w:p>
        </w:tc>
      </w:tr>
      <w:tr w14:paraId="221FE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8A20844">
            <w:pPr>
              <w:snapToGrid w:val="0"/>
              <w:jc w:val="center"/>
              <w:rPr>
                <w:rFonts w:asciiTheme="majorEastAsia" w:hAnsiTheme="majorEastAsia" w:eastAsiaTheme="majorEastAsia"/>
                <w:color w:val="auto"/>
                <w:szCs w:val="21"/>
                <w:highlight w:val="none"/>
              </w:rPr>
            </w:pPr>
          </w:p>
        </w:tc>
        <w:tc>
          <w:tcPr>
            <w:tcW w:w="4738" w:type="dxa"/>
            <w:vAlign w:val="center"/>
          </w:tcPr>
          <w:p w14:paraId="1E44E19C">
            <w:pPr>
              <w:jc w:val="center"/>
              <w:rPr>
                <w:rFonts w:asciiTheme="majorEastAsia" w:hAnsiTheme="majorEastAsia" w:eastAsiaTheme="majorEastAsia"/>
                <w:color w:val="auto"/>
                <w:szCs w:val="21"/>
                <w:highlight w:val="none"/>
              </w:rPr>
            </w:pPr>
          </w:p>
        </w:tc>
        <w:tc>
          <w:tcPr>
            <w:tcW w:w="900" w:type="dxa"/>
            <w:vAlign w:val="center"/>
          </w:tcPr>
          <w:p w14:paraId="4FE4A976">
            <w:pPr>
              <w:snapToGrid w:val="0"/>
              <w:jc w:val="center"/>
              <w:rPr>
                <w:rFonts w:asciiTheme="majorEastAsia" w:hAnsiTheme="majorEastAsia" w:eastAsiaTheme="majorEastAsia"/>
                <w:color w:val="auto"/>
                <w:szCs w:val="21"/>
                <w:highlight w:val="none"/>
              </w:rPr>
            </w:pPr>
          </w:p>
        </w:tc>
        <w:tc>
          <w:tcPr>
            <w:tcW w:w="1426" w:type="dxa"/>
            <w:vAlign w:val="center"/>
          </w:tcPr>
          <w:p w14:paraId="1C069A40">
            <w:pPr>
              <w:jc w:val="center"/>
              <w:rPr>
                <w:rFonts w:asciiTheme="majorEastAsia" w:hAnsiTheme="majorEastAsia" w:eastAsiaTheme="majorEastAsia"/>
                <w:color w:val="auto"/>
                <w:szCs w:val="21"/>
                <w:highlight w:val="none"/>
              </w:rPr>
            </w:pPr>
          </w:p>
        </w:tc>
      </w:tr>
      <w:tr w14:paraId="2B904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1900346">
            <w:pPr>
              <w:snapToGrid w:val="0"/>
              <w:jc w:val="center"/>
              <w:rPr>
                <w:rFonts w:asciiTheme="majorEastAsia" w:hAnsiTheme="majorEastAsia" w:eastAsiaTheme="majorEastAsia"/>
                <w:color w:val="auto"/>
                <w:szCs w:val="21"/>
                <w:highlight w:val="none"/>
              </w:rPr>
            </w:pPr>
          </w:p>
        </w:tc>
        <w:tc>
          <w:tcPr>
            <w:tcW w:w="4738" w:type="dxa"/>
            <w:vAlign w:val="center"/>
          </w:tcPr>
          <w:p w14:paraId="29965849">
            <w:pPr>
              <w:jc w:val="center"/>
              <w:rPr>
                <w:rFonts w:asciiTheme="majorEastAsia" w:hAnsiTheme="majorEastAsia" w:eastAsiaTheme="majorEastAsia"/>
                <w:color w:val="auto"/>
                <w:szCs w:val="21"/>
                <w:highlight w:val="none"/>
              </w:rPr>
            </w:pPr>
          </w:p>
        </w:tc>
        <w:tc>
          <w:tcPr>
            <w:tcW w:w="900" w:type="dxa"/>
            <w:vAlign w:val="center"/>
          </w:tcPr>
          <w:p w14:paraId="508C9B56">
            <w:pPr>
              <w:jc w:val="center"/>
              <w:rPr>
                <w:rFonts w:asciiTheme="majorEastAsia" w:hAnsiTheme="majorEastAsia" w:eastAsiaTheme="majorEastAsia"/>
                <w:color w:val="auto"/>
                <w:szCs w:val="21"/>
                <w:highlight w:val="none"/>
              </w:rPr>
            </w:pPr>
          </w:p>
        </w:tc>
        <w:tc>
          <w:tcPr>
            <w:tcW w:w="1426" w:type="dxa"/>
            <w:vAlign w:val="center"/>
          </w:tcPr>
          <w:p w14:paraId="610ED564">
            <w:pPr>
              <w:jc w:val="center"/>
              <w:rPr>
                <w:rFonts w:asciiTheme="majorEastAsia" w:hAnsiTheme="majorEastAsia" w:eastAsiaTheme="majorEastAsia"/>
                <w:color w:val="auto"/>
                <w:szCs w:val="21"/>
                <w:highlight w:val="none"/>
              </w:rPr>
            </w:pPr>
          </w:p>
        </w:tc>
      </w:tr>
      <w:tr w14:paraId="69EE3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97D67C2">
            <w:pPr>
              <w:jc w:val="center"/>
              <w:rPr>
                <w:rFonts w:asciiTheme="majorEastAsia" w:hAnsiTheme="majorEastAsia" w:eastAsiaTheme="majorEastAsia"/>
                <w:color w:val="auto"/>
                <w:szCs w:val="21"/>
                <w:highlight w:val="none"/>
              </w:rPr>
            </w:pPr>
          </w:p>
        </w:tc>
        <w:tc>
          <w:tcPr>
            <w:tcW w:w="4738" w:type="dxa"/>
            <w:vAlign w:val="center"/>
          </w:tcPr>
          <w:p w14:paraId="2D708867">
            <w:pPr>
              <w:jc w:val="center"/>
              <w:rPr>
                <w:rFonts w:asciiTheme="majorEastAsia" w:hAnsiTheme="majorEastAsia" w:eastAsiaTheme="majorEastAsia"/>
                <w:color w:val="auto"/>
                <w:szCs w:val="21"/>
                <w:highlight w:val="none"/>
              </w:rPr>
            </w:pPr>
          </w:p>
        </w:tc>
        <w:tc>
          <w:tcPr>
            <w:tcW w:w="900" w:type="dxa"/>
            <w:vAlign w:val="center"/>
          </w:tcPr>
          <w:p w14:paraId="3C6A996E">
            <w:pPr>
              <w:jc w:val="center"/>
              <w:rPr>
                <w:rFonts w:asciiTheme="majorEastAsia" w:hAnsiTheme="majorEastAsia" w:eastAsiaTheme="majorEastAsia"/>
                <w:color w:val="auto"/>
                <w:szCs w:val="21"/>
                <w:highlight w:val="none"/>
              </w:rPr>
            </w:pPr>
          </w:p>
        </w:tc>
        <w:tc>
          <w:tcPr>
            <w:tcW w:w="1426" w:type="dxa"/>
            <w:vAlign w:val="center"/>
          </w:tcPr>
          <w:p w14:paraId="0140F447">
            <w:pPr>
              <w:jc w:val="center"/>
              <w:rPr>
                <w:rFonts w:asciiTheme="majorEastAsia" w:hAnsiTheme="majorEastAsia" w:eastAsiaTheme="majorEastAsia"/>
                <w:color w:val="auto"/>
                <w:szCs w:val="21"/>
                <w:highlight w:val="none"/>
              </w:rPr>
            </w:pPr>
          </w:p>
        </w:tc>
      </w:tr>
    </w:tbl>
    <w:p w14:paraId="10D0534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269032AB">
      <w:pPr>
        <w:spacing w:line="440" w:lineRule="exact"/>
        <w:rPr>
          <w:rFonts w:asciiTheme="majorEastAsia" w:hAnsiTheme="majorEastAsia" w:eastAsiaTheme="majorEastAsia"/>
          <w:color w:val="auto"/>
          <w:szCs w:val="21"/>
          <w:highlight w:val="none"/>
        </w:rPr>
      </w:pPr>
    </w:p>
    <w:p w14:paraId="45AF7D43">
      <w:pPr>
        <w:spacing w:line="440" w:lineRule="exact"/>
        <w:rPr>
          <w:rFonts w:asciiTheme="majorEastAsia" w:hAnsiTheme="majorEastAsia" w:eastAsiaTheme="majorEastAsia"/>
          <w:color w:val="auto"/>
          <w:spacing w:val="-4"/>
          <w:szCs w:val="21"/>
          <w:highlight w:val="none"/>
        </w:rPr>
      </w:pPr>
    </w:p>
    <w:p w14:paraId="5B16BA91">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21D4549">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1722B9BE">
      <w:pPr>
        <w:pStyle w:val="2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683C4119">
      <w:pPr>
        <w:spacing w:line="440" w:lineRule="exact"/>
        <w:rPr>
          <w:rFonts w:asciiTheme="majorEastAsia" w:hAnsiTheme="majorEastAsia" w:eastAsiaTheme="majorEastAsia"/>
          <w:color w:val="auto"/>
          <w:szCs w:val="21"/>
          <w:highlight w:val="none"/>
        </w:rPr>
      </w:pPr>
    </w:p>
    <w:p w14:paraId="2518B124">
      <w:pPr>
        <w:spacing w:line="440" w:lineRule="exact"/>
        <w:rPr>
          <w:rFonts w:asciiTheme="majorEastAsia" w:hAnsiTheme="majorEastAsia" w:eastAsiaTheme="majorEastAsia"/>
          <w:color w:val="auto"/>
          <w:szCs w:val="21"/>
          <w:highlight w:val="none"/>
        </w:rPr>
      </w:pPr>
    </w:p>
    <w:p w14:paraId="37F1C8CF">
      <w:pPr>
        <w:pStyle w:val="20"/>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344A5701">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八</w:t>
      </w:r>
      <w:r>
        <w:rPr>
          <w:rFonts w:asciiTheme="majorEastAsia" w:hAnsiTheme="majorEastAsia" w:eastAsiaTheme="majorEastAsia"/>
          <w:b/>
          <w:color w:val="auto"/>
          <w:szCs w:val="21"/>
          <w:highlight w:val="none"/>
        </w:rPr>
        <w:t>：</w:t>
      </w:r>
    </w:p>
    <w:p w14:paraId="6FA92B33">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2B590F43">
      <w:pPr>
        <w:spacing w:line="440" w:lineRule="exact"/>
        <w:jc w:val="center"/>
        <w:rPr>
          <w:rFonts w:asciiTheme="majorEastAsia" w:hAnsiTheme="majorEastAsia" w:eastAsiaTheme="majorEastAsia"/>
          <w:b/>
          <w:color w:val="auto"/>
          <w:szCs w:val="21"/>
          <w:highlight w:val="none"/>
        </w:rPr>
      </w:pPr>
    </w:p>
    <w:p w14:paraId="1784BC6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714DD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7FA49D3E">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2DD363FC">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7BC5AF66">
            <w:pPr>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32F04193">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57BC9330">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61652F3B">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424A612F">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73A93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673EC46">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12A6660D">
            <w:pPr>
              <w:spacing w:line="440" w:lineRule="exact"/>
              <w:rPr>
                <w:rFonts w:asciiTheme="majorEastAsia" w:hAnsiTheme="majorEastAsia" w:eastAsiaTheme="majorEastAsia"/>
                <w:color w:val="auto"/>
                <w:kern w:val="0"/>
                <w:szCs w:val="21"/>
                <w:highlight w:val="none"/>
              </w:rPr>
            </w:pPr>
          </w:p>
        </w:tc>
        <w:tc>
          <w:tcPr>
            <w:tcW w:w="1234" w:type="dxa"/>
            <w:vAlign w:val="center"/>
          </w:tcPr>
          <w:p w14:paraId="5F2EEAB3">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7EA508F">
            <w:pPr>
              <w:spacing w:line="440" w:lineRule="exact"/>
              <w:jc w:val="center"/>
              <w:rPr>
                <w:rFonts w:asciiTheme="majorEastAsia" w:hAnsiTheme="majorEastAsia" w:eastAsiaTheme="majorEastAsia"/>
                <w:color w:val="auto"/>
                <w:kern w:val="0"/>
                <w:szCs w:val="21"/>
                <w:highlight w:val="none"/>
              </w:rPr>
            </w:pPr>
          </w:p>
        </w:tc>
        <w:tc>
          <w:tcPr>
            <w:tcW w:w="1710" w:type="dxa"/>
          </w:tcPr>
          <w:p w14:paraId="6CBA96AE">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79DFBF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69204F8">
            <w:pPr>
              <w:spacing w:line="440" w:lineRule="exact"/>
              <w:jc w:val="center"/>
              <w:rPr>
                <w:rFonts w:asciiTheme="majorEastAsia" w:hAnsiTheme="majorEastAsia" w:eastAsiaTheme="majorEastAsia"/>
                <w:color w:val="auto"/>
                <w:kern w:val="0"/>
                <w:szCs w:val="21"/>
                <w:highlight w:val="none"/>
              </w:rPr>
            </w:pPr>
          </w:p>
        </w:tc>
      </w:tr>
      <w:tr w14:paraId="4AE10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0F08BC6">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78790211">
            <w:pPr>
              <w:spacing w:line="440" w:lineRule="exact"/>
              <w:rPr>
                <w:rFonts w:asciiTheme="majorEastAsia" w:hAnsiTheme="majorEastAsia" w:eastAsiaTheme="majorEastAsia"/>
                <w:color w:val="auto"/>
                <w:kern w:val="0"/>
                <w:szCs w:val="21"/>
                <w:highlight w:val="none"/>
              </w:rPr>
            </w:pPr>
          </w:p>
        </w:tc>
        <w:tc>
          <w:tcPr>
            <w:tcW w:w="1234" w:type="dxa"/>
            <w:vAlign w:val="center"/>
          </w:tcPr>
          <w:p w14:paraId="6343E858">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CDD9831">
            <w:pPr>
              <w:spacing w:line="440" w:lineRule="exact"/>
              <w:jc w:val="center"/>
              <w:rPr>
                <w:rFonts w:asciiTheme="majorEastAsia" w:hAnsiTheme="majorEastAsia" w:eastAsiaTheme="majorEastAsia"/>
                <w:color w:val="auto"/>
                <w:kern w:val="0"/>
                <w:szCs w:val="21"/>
                <w:highlight w:val="none"/>
              </w:rPr>
            </w:pPr>
          </w:p>
        </w:tc>
        <w:tc>
          <w:tcPr>
            <w:tcW w:w="1710" w:type="dxa"/>
          </w:tcPr>
          <w:p w14:paraId="252083A6">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0ACB936">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36BBC39">
            <w:pPr>
              <w:spacing w:line="440" w:lineRule="exact"/>
              <w:jc w:val="center"/>
              <w:rPr>
                <w:rFonts w:asciiTheme="majorEastAsia" w:hAnsiTheme="majorEastAsia" w:eastAsiaTheme="majorEastAsia"/>
                <w:color w:val="auto"/>
                <w:kern w:val="0"/>
                <w:szCs w:val="21"/>
                <w:highlight w:val="none"/>
              </w:rPr>
            </w:pPr>
          </w:p>
        </w:tc>
      </w:tr>
      <w:tr w14:paraId="580B3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21F73CA">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4ED85C44">
            <w:pPr>
              <w:spacing w:line="440" w:lineRule="exact"/>
              <w:rPr>
                <w:rFonts w:asciiTheme="majorEastAsia" w:hAnsiTheme="majorEastAsia" w:eastAsiaTheme="majorEastAsia"/>
                <w:color w:val="auto"/>
                <w:kern w:val="0"/>
                <w:szCs w:val="21"/>
                <w:highlight w:val="none"/>
              </w:rPr>
            </w:pPr>
          </w:p>
        </w:tc>
        <w:tc>
          <w:tcPr>
            <w:tcW w:w="1234" w:type="dxa"/>
            <w:vAlign w:val="center"/>
          </w:tcPr>
          <w:p w14:paraId="529302EC">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9FF8B40">
            <w:pPr>
              <w:spacing w:line="440" w:lineRule="exact"/>
              <w:jc w:val="center"/>
              <w:rPr>
                <w:rFonts w:asciiTheme="majorEastAsia" w:hAnsiTheme="majorEastAsia" w:eastAsiaTheme="majorEastAsia"/>
                <w:color w:val="auto"/>
                <w:kern w:val="0"/>
                <w:szCs w:val="21"/>
                <w:highlight w:val="none"/>
              </w:rPr>
            </w:pPr>
          </w:p>
        </w:tc>
        <w:tc>
          <w:tcPr>
            <w:tcW w:w="1710" w:type="dxa"/>
          </w:tcPr>
          <w:p w14:paraId="2763F5FB">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740D8D1D">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1E38270">
            <w:pPr>
              <w:spacing w:line="440" w:lineRule="exact"/>
              <w:jc w:val="center"/>
              <w:rPr>
                <w:rFonts w:asciiTheme="majorEastAsia" w:hAnsiTheme="majorEastAsia" w:eastAsiaTheme="majorEastAsia"/>
                <w:color w:val="auto"/>
                <w:kern w:val="0"/>
                <w:szCs w:val="21"/>
                <w:highlight w:val="none"/>
              </w:rPr>
            </w:pPr>
          </w:p>
        </w:tc>
      </w:tr>
      <w:tr w14:paraId="12899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3A0F96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1C2A1A96">
            <w:pPr>
              <w:spacing w:line="440" w:lineRule="exact"/>
              <w:rPr>
                <w:rFonts w:asciiTheme="majorEastAsia" w:hAnsiTheme="majorEastAsia" w:eastAsiaTheme="majorEastAsia"/>
                <w:color w:val="auto"/>
                <w:kern w:val="0"/>
                <w:szCs w:val="21"/>
                <w:highlight w:val="none"/>
              </w:rPr>
            </w:pPr>
          </w:p>
        </w:tc>
        <w:tc>
          <w:tcPr>
            <w:tcW w:w="1234" w:type="dxa"/>
            <w:vAlign w:val="center"/>
          </w:tcPr>
          <w:p w14:paraId="3EDCAF3A">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B752E98">
            <w:pPr>
              <w:spacing w:line="440" w:lineRule="exact"/>
              <w:jc w:val="center"/>
              <w:rPr>
                <w:rFonts w:asciiTheme="majorEastAsia" w:hAnsiTheme="majorEastAsia" w:eastAsiaTheme="majorEastAsia"/>
                <w:color w:val="auto"/>
                <w:kern w:val="0"/>
                <w:szCs w:val="21"/>
                <w:highlight w:val="none"/>
              </w:rPr>
            </w:pPr>
          </w:p>
        </w:tc>
        <w:tc>
          <w:tcPr>
            <w:tcW w:w="1710" w:type="dxa"/>
          </w:tcPr>
          <w:p w14:paraId="26791ECB">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417C6A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B1951B6">
            <w:pPr>
              <w:spacing w:line="440" w:lineRule="exact"/>
              <w:jc w:val="center"/>
              <w:rPr>
                <w:rFonts w:asciiTheme="majorEastAsia" w:hAnsiTheme="majorEastAsia" w:eastAsiaTheme="majorEastAsia"/>
                <w:color w:val="auto"/>
                <w:kern w:val="0"/>
                <w:szCs w:val="21"/>
                <w:highlight w:val="none"/>
              </w:rPr>
            </w:pPr>
          </w:p>
        </w:tc>
      </w:tr>
      <w:tr w14:paraId="70976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FF860C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4B6995AB">
            <w:pPr>
              <w:spacing w:line="440" w:lineRule="exact"/>
              <w:rPr>
                <w:rFonts w:asciiTheme="majorEastAsia" w:hAnsiTheme="majorEastAsia" w:eastAsiaTheme="majorEastAsia"/>
                <w:color w:val="auto"/>
                <w:kern w:val="0"/>
                <w:szCs w:val="21"/>
                <w:highlight w:val="none"/>
              </w:rPr>
            </w:pPr>
          </w:p>
        </w:tc>
        <w:tc>
          <w:tcPr>
            <w:tcW w:w="1234" w:type="dxa"/>
            <w:vAlign w:val="center"/>
          </w:tcPr>
          <w:p w14:paraId="428F49E1">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4FF4F62">
            <w:pPr>
              <w:spacing w:line="440" w:lineRule="exact"/>
              <w:jc w:val="center"/>
              <w:rPr>
                <w:rFonts w:asciiTheme="majorEastAsia" w:hAnsiTheme="majorEastAsia" w:eastAsiaTheme="majorEastAsia"/>
                <w:color w:val="auto"/>
                <w:kern w:val="0"/>
                <w:szCs w:val="21"/>
                <w:highlight w:val="none"/>
              </w:rPr>
            </w:pPr>
          </w:p>
        </w:tc>
        <w:tc>
          <w:tcPr>
            <w:tcW w:w="1710" w:type="dxa"/>
          </w:tcPr>
          <w:p w14:paraId="6BC074C0">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BC0B0BD">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72B1E0C">
            <w:pPr>
              <w:spacing w:line="440" w:lineRule="exact"/>
              <w:jc w:val="center"/>
              <w:rPr>
                <w:rFonts w:asciiTheme="majorEastAsia" w:hAnsiTheme="majorEastAsia" w:eastAsiaTheme="majorEastAsia"/>
                <w:color w:val="auto"/>
                <w:kern w:val="0"/>
                <w:szCs w:val="21"/>
                <w:highlight w:val="none"/>
              </w:rPr>
            </w:pPr>
          </w:p>
        </w:tc>
      </w:tr>
      <w:tr w14:paraId="1E2CB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5F656D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5AE02D05">
            <w:pPr>
              <w:spacing w:line="440" w:lineRule="exact"/>
              <w:rPr>
                <w:rFonts w:asciiTheme="majorEastAsia" w:hAnsiTheme="majorEastAsia" w:eastAsiaTheme="majorEastAsia"/>
                <w:color w:val="auto"/>
                <w:kern w:val="0"/>
                <w:szCs w:val="21"/>
                <w:highlight w:val="none"/>
              </w:rPr>
            </w:pPr>
          </w:p>
        </w:tc>
        <w:tc>
          <w:tcPr>
            <w:tcW w:w="1234" w:type="dxa"/>
            <w:vAlign w:val="center"/>
          </w:tcPr>
          <w:p w14:paraId="0FCB44E4">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09C3101">
            <w:pPr>
              <w:spacing w:line="440" w:lineRule="exact"/>
              <w:jc w:val="center"/>
              <w:rPr>
                <w:rFonts w:asciiTheme="majorEastAsia" w:hAnsiTheme="majorEastAsia" w:eastAsiaTheme="majorEastAsia"/>
                <w:color w:val="auto"/>
                <w:kern w:val="0"/>
                <w:szCs w:val="21"/>
                <w:highlight w:val="none"/>
              </w:rPr>
            </w:pPr>
          </w:p>
        </w:tc>
        <w:tc>
          <w:tcPr>
            <w:tcW w:w="1710" w:type="dxa"/>
          </w:tcPr>
          <w:p w14:paraId="3B87DDD9">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DA89C60">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332420A">
            <w:pPr>
              <w:spacing w:line="440" w:lineRule="exact"/>
              <w:jc w:val="center"/>
              <w:rPr>
                <w:rFonts w:asciiTheme="majorEastAsia" w:hAnsiTheme="majorEastAsia" w:eastAsiaTheme="majorEastAsia"/>
                <w:color w:val="auto"/>
                <w:kern w:val="0"/>
                <w:szCs w:val="21"/>
                <w:highlight w:val="none"/>
              </w:rPr>
            </w:pPr>
          </w:p>
        </w:tc>
      </w:tr>
      <w:tr w14:paraId="4DA93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F3DCDC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21D407A8">
            <w:pPr>
              <w:spacing w:line="440" w:lineRule="exact"/>
              <w:rPr>
                <w:rFonts w:asciiTheme="majorEastAsia" w:hAnsiTheme="majorEastAsia" w:eastAsiaTheme="majorEastAsia"/>
                <w:color w:val="auto"/>
                <w:kern w:val="0"/>
                <w:szCs w:val="21"/>
                <w:highlight w:val="none"/>
              </w:rPr>
            </w:pPr>
          </w:p>
        </w:tc>
        <w:tc>
          <w:tcPr>
            <w:tcW w:w="1234" w:type="dxa"/>
            <w:vAlign w:val="center"/>
          </w:tcPr>
          <w:p w14:paraId="28C2107B">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5B8A7EA">
            <w:pPr>
              <w:spacing w:line="440" w:lineRule="exact"/>
              <w:jc w:val="center"/>
              <w:rPr>
                <w:rFonts w:asciiTheme="majorEastAsia" w:hAnsiTheme="majorEastAsia" w:eastAsiaTheme="majorEastAsia"/>
                <w:color w:val="auto"/>
                <w:kern w:val="0"/>
                <w:szCs w:val="21"/>
                <w:highlight w:val="none"/>
              </w:rPr>
            </w:pPr>
          </w:p>
        </w:tc>
        <w:tc>
          <w:tcPr>
            <w:tcW w:w="1710" w:type="dxa"/>
          </w:tcPr>
          <w:p w14:paraId="7896052E">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449C6AD3">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5062116">
            <w:pPr>
              <w:spacing w:line="440" w:lineRule="exact"/>
              <w:jc w:val="center"/>
              <w:rPr>
                <w:rFonts w:asciiTheme="majorEastAsia" w:hAnsiTheme="majorEastAsia" w:eastAsiaTheme="majorEastAsia"/>
                <w:color w:val="auto"/>
                <w:kern w:val="0"/>
                <w:szCs w:val="21"/>
                <w:highlight w:val="none"/>
              </w:rPr>
            </w:pPr>
          </w:p>
        </w:tc>
      </w:tr>
      <w:tr w14:paraId="0DB5D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0F407515">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4B2DCFC0">
            <w:pPr>
              <w:spacing w:line="440" w:lineRule="exact"/>
              <w:rPr>
                <w:rFonts w:asciiTheme="majorEastAsia" w:hAnsiTheme="majorEastAsia" w:eastAsiaTheme="majorEastAsia"/>
                <w:color w:val="auto"/>
                <w:kern w:val="0"/>
                <w:szCs w:val="21"/>
                <w:highlight w:val="none"/>
              </w:rPr>
            </w:pPr>
          </w:p>
        </w:tc>
        <w:tc>
          <w:tcPr>
            <w:tcW w:w="1234" w:type="dxa"/>
            <w:vAlign w:val="center"/>
          </w:tcPr>
          <w:p w14:paraId="7BC744F4">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378F1001">
            <w:pPr>
              <w:spacing w:line="440" w:lineRule="exact"/>
              <w:jc w:val="center"/>
              <w:rPr>
                <w:rFonts w:asciiTheme="majorEastAsia" w:hAnsiTheme="majorEastAsia" w:eastAsiaTheme="majorEastAsia"/>
                <w:color w:val="auto"/>
                <w:kern w:val="0"/>
                <w:szCs w:val="21"/>
                <w:highlight w:val="none"/>
              </w:rPr>
            </w:pPr>
          </w:p>
        </w:tc>
        <w:tc>
          <w:tcPr>
            <w:tcW w:w="1710" w:type="dxa"/>
          </w:tcPr>
          <w:p w14:paraId="0670E953">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0CF21E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9B09A29">
            <w:pPr>
              <w:spacing w:line="440" w:lineRule="exact"/>
              <w:jc w:val="center"/>
              <w:rPr>
                <w:rFonts w:asciiTheme="majorEastAsia" w:hAnsiTheme="majorEastAsia" w:eastAsiaTheme="majorEastAsia"/>
                <w:color w:val="auto"/>
                <w:kern w:val="0"/>
                <w:szCs w:val="21"/>
                <w:highlight w:val="none"/>
              </w:rPr>
            </w:pPr>
          </w:p>
        </w:tc>
      </w:tr>
      <w:tr w14:paraId="7EA6A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04BBC82">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1B952593">
            <w:pPr>
              <w:spacing w:line="440" w:lineRule="exact"/>
              <w:rPr>
                <w:rFonts w:asciiTheme="majorEastAsia" w:hAnsiTheme="majorEastAsia" w:eastAsiaTheme="majorEastAsia"/>
                <w:color w:val="auto"/>
                <w:kern w:val="0"/>
                <w:szCs w:val="21"/>
                <w:highlight w:val="none"/>
              </w:rPr>
            </w:pPr>
          </w:p>
        </w:tc>
        <w:tc>
          <w:tcPr>
            <w:tcW w:w="1234" w:type="dxa"/>
            <w:vAlign w:val="center"/>
          </w:tcPr>
          <w:p w14:paraId="786ACEC8">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F9EF400">
            <w:pPr>
              <w:spacing w:line="440" w:lineRule="exact"/>
              <w:jc w:val="center"/>
              <w:rPr>
                <w:rFonts w:asciiTheme="majorEastAsia" w:hAnsiTheme="majorEastAsia" w:eastAsiaTheme="majorEastAsia"/>
                <w:color w:val="auto"/>
                <w:kern w:val="0"/>
                <w:szCs w:val="21"/>
                <w:highlight w:val="none"/>
              </w:rPr>
            </w:pPr>
          </w:p>
        </w:tc>
        <w:tc>
          <w:tcPr>
            <w:tcW w:w="1710" w:type="dxa"/>
          </w:tcPr>
          <w:p w14:paraId="2D3A71EC">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A454B2B">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C199D18">
            <w:pPr>
              <w:spacing w:line="440" w:lineRule="exact"/>
              <w:jc w:val="center"/>
              <w:rPr>
                <w:rFonts w:asciiTheme="majorEastAsia" w:hAnsiTheme="majorEastAsia" w:eastAsiaTheme="majorEastAsia"/>
                <w:color w:val="auto"/>
                <w:kern w:val="0"/>
                <w:szCs w:val="21"/>
                <w:highlight w:val="none"/>
              </w:rPr>
            </w:pPr>
          </w:p>
        </w:tc>
      </w:tr>
      <w:tr w14:paraId="5549D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622566D">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3E7DF907">
            <w:pPr>
              <w:spacing w:line="440" w:lineRule="exact"/>
              <w:rPr>
                <w:rFonts w:asciiTheme="majorEastAsia" w:hAnsiTheme="majorEastAsia" w:eastAsiaTheme="majorEastAsia"/>
                <w:color w:val="auto"/>
                <w:kern w:val="0"/>
                <w:szCs w:val="21"/>
                <w:highlight w:val="none"/>
              </w:rPr>
            </w:pPr>
          </w:p>
        </w:tc>
        <w:tc>
          <w:tcPr>
            <w:tcW w:w="1234" w:type="dxa"/>
            <w:vAlign w:val="center"/>
          </w:tcPr>
          <w:p w14:paraId="5274B89D">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1F40ABB">
            <w:pPr>
              <w:spacing w:line="440" w:lineRule="exact"/>
              <w:jc w:val="center"/>
              <w:rPr>
                <w:rFonts w:asciiTheme="majorEastAsia" w:hAnsiTheme="majorEastAsia" w:eastAsiaTheme="majorEastAsia"/>
                <w:color w:val="auto"/>
                <w:kern w:val="0"/>
                <w:szCs w:val="21"/>
                <w:highlight w:val="none"/>
              </w:rPr>
            </w:pPr>
          </w:p>
        </w:tc>
        <w:tc>
          <w:tcPr>
            <w:tcW w:w="1710" w:type="dxa"/>
          </w:tcPr>
          <w:p w14:paraId="76CFF8D0">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BCC7799">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EDC96D8">
            <w:pPr>
              <w:spacing w:line="440" w:lineRule="exact"/>
              <w:jc w:val="center"/>
              <w:rPr>
                <w:rFonts w:asciiTheme="majorEastAsia" w:hAnsiTheme="majorEastAsia" w:eastAsiaTheme="majorEastAsia"/>
                <w:color w:val="auto"/>
                <w:kern w:val="0"/>
                <w:szCs w:val="21"/>
                <w:highlight w:val="none"/>
              </w:rPr>
            </w:pPr>
          </w:p>
        </w:tc>
      </w:tr>
      <w:tr w14:paraId="2AFC8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78EE64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7FF226E0">
            <w:pPr>
              <w:spacing w:line="440" w:lineRule="exact"/>
              <w:rPr>
                <w:rFonts w:asciiTheme="majorEastAsia" w:hAnsiTheme="majorEastAsia" w:eastAsiaTheme="majorEastAsia"/>
                <w:color w:val="auto"/>
                <w:kern w:val="0"/>
                <w:szCs w:val="21"/>
                <w:highlight w:val="none"/>
              </w:rPr>
            </w:pPr>
          </w:p>
        </w:tc>
        <w:tc>
          <w:tcPr>
            <w:tcW w:w="1234" w:type="dxa"/>
            <w:vAlign w:val="center"/>
          </w:tcPr>
          <w:p w14:paraId="758B4862">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48E54C03">
            <w:pPr>
              <w:spacing w:line="440" w:lineRule="exact"/>
              <w:jc w:val="center"/>
              <w:rPr>
                <w:rFonts w:asciiTheme="majorEastAsia" w:hAnsiTheme="majorEastAsia" w:eastAsiaTheme="majorEastAsia"/>
                <w:color w:val="auto"/>
                <w:kern w:val="0"/>
                <w:szCs w:val="21"/>
                <w:highlight w:val="none"/>
              </w:rPr>
            </w:pPr>
          </w:p>
        </w:tc>
        <w:tc>
          <w:tcPr>
            <w:tcW w:w="1710" w:type="dxa"/>
          </w:tcPr>
          <w:p w14:paraId="77579F29">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C1E2589">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E828AAA">
            <w:pPr>
              <w:spacing w:line="440" w:lineRule="exact"/>
              <w:jc w:val="center"/>
              <w:rPr>
                <w:rFonts w:asciiTheme="majorEastAsia" w:hAnsiTheme="majorEastAsia" w:eastAsiaTheme="majorEastAsia"/>
                <w:color w:val="auto"/>
                <w:kern w:val="0"/>
                <w:szCs w:val="21"/>
                <w:highlight w:val="none"/>
              </w:rPr>
            </w:pPr>
          </w:p>
        </w:tc>
      </w:tr>
    </w:tbl>
    <w:p w14:paraId="206DF1C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596E639C">
      <w:pPr>
        <w:spacing w:line="440" w:lineRule="exact"/>
        <w:rPr>
          <w:rFonts w:asciiTheme="majorEastAsia" w:hAnsiTheme="majorEastAsia" w:eastAsiaTheme="majorEastAsia"/>
          <w:color w:val="auto"/>
          <w:szCs w:val="21"/>
          <w:highlight w:val="none"/>
        </w:rPr>
      </w:pPr>
    </w:p>
    <w:p w14:paraId="25F32611">
      <w:pPr>
        <w:spacing w:line="440" w:lineRule="exact"/>
        <w:rPr>
          <w:rFonts w:asciiTheme="majorEastAsia" w:hAnsiTheme="majorEastAsia" w:eastAsiaTheme="majorEastAsia"/>
          <w:color w:val="auto"/>
          <w:szCs w:val="21"/>
          <w:highlight w:val="none"/>
        </w:rPr>
      </w:pPr>
    </w:p>
    <w:p w14:paraId="19C1BC2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2E17670">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690A5983">
      <w:pPr>
        <w:adjustRightInd w:val="0"/>
        <w:spacing w:line="440" w:lineRule="exact"/>
        <w:jc w:val="left"/>
        <w:rPr>
          <w:rFonts w:asciiTheme="majorEastAsia" w:hAnsiTheme="majorEastAsia" w:eastAsiaTheme="majorEastAsia"/>
          <w:color w:val="auto"/>
          <w:szCs w:val="21"/>
          <w:highlight w:val="none"/>
        </w:rPr>
      </w:pPr>
    </w:p>
    <w:p w14:paraId="303A9BB5">
      <w:pPr>
        <w:adjustRightInd w:val="0"/>
        <w:spacing w:line="440" w:lineRule="exact"/>
        <w:jc w:val="left"/>
        <w:rPr>
          <w:rFonts w:asciiTheme="majorEastAsia" w:hAnsiTheme="majorEastAsia" w:eastAsiaTheme="majorEastAsia"/>
          <w:color w:val="auto"/>
          <w:szCs w:val="21"/>
          <w:highlight w:val="none"/>
        </w:rPr>
      </w:pPr>
    </w:p>
    <w:p w14:paraId="78F4FAB0">
      <w:pPr>
        <w:adjustRightInd w:val="0"/>
        <w:spacing w:line="440" w:lineRule="exact"/>
        <w:jc w:val="left"/>
        <w:rPr>
          <w:rFonts w:asciiTheme="majorEastAsia" w:hAnsiTheme="majorEastAsia" w:eastAsiaTheme="majorEastAsia"/>
          <w:color w:val="auto"/>
          <w:szCs w:val="21"/>
          <w:highlight w:val="none"/>
        </w:rPr>
      </w:pPr>
    </w:p>
    <w:p w14:paraId="73F1516F">
      <w:pPr>
        <w:adjustRightInd w:val="0"/>
        <w:spacing w:line="440" w:lineRule="exact"/>
        <w:jc w:val="left"/>
        <w:rPr>
          <w:rFonts w:asciiTheme="majorEastAsia" w:hAnsiTheme="majorEastAsia" w:eastAsiaTheme="majorEastAsia"/>
          <w:color w:val="auto"/>
          <w:szCs w:val="21"/>
          <w:highlight w:val="none"/>
        </w:rPr>
      </w:pPr>
    </w:p>
    <w:p w14:paraId="50BD6F8F">
      <w:pPr>
        <w:adjustRightInd w:val="0"/>
        <w:spacing w:line="440" w:lineRule="exact"/>
        <w:jc w:val="left"/>
        <w:rPr>
          <w:rFonts w:asciiTheme="majorEastAsia" w:hAnsiTheme="majorEastAsia" w:eastAsiaTheme="majorEastAsia"/>
          <w:color w:val="auto"/>
          <w:szCs w:val="21"/>
          <w:highlight w:val="none"/>
        </w:rPr>
      </w:pPr>
    </w:p>
    <w:p w14:paraId="37863CCE">
      <w:pPr>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43C1B607">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九</w:t>
      </w:r>
      <w:r>
        <w:rPr>
          <w:rFonts w:asciiTheme="majorEastAsia" w:hAnsiTheme="majorEastAsia" w:eastAsiaTheme="majorEastAsia"/>
          <w:b/>
          <w:color w:val="auto"/>
          <w:szCs w:val="21"/>
          <w:highlight w:val="none"/>
        </w:rPr>
        <w:t>：</w:t>
      </w:r>
    </w:p>
    <w:p w14:paraId="3863ED8C">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11A2B325">
      <w:pPr>
        <w:spacing w:line="440" w:lineRule="exact"/>
        <w:ind w:firstLine="3089"/>
        <w:rPr>
          <w:rFonts w:asciiTheme="majorEastAsia" w:hAnsiTheme="majorEastAsia" w:eastAsiaTheme="majorEastAsia"/>
          <w:b/>
          <w:color w:val="auto"/>
          <w:szCs w:val="21"/>
          <w:highlight w:val="none"/>
        </w:rPr>
      </w:pPr>
    </w:p>
    <w:p w14:paraId="44C2E712">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2A20B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1EE5ADD">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14C8C786">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47B2D854">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372E6E8B">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647ABD53">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07886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ECEC063">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73AB2DFC">
            <w:pPr>
              <w:spacing w:line="440" w:lineRule="exact"/>
              <w:rPr>
                <w:rFonts w:asciiTheme="majorEastAsia" w:hAnsiTheme="majorEastAsia" w:eastAsiaTheme="majorEastAsia"/>
                <w:color w:val="auto"/>
                <w:szCs w:val="21"/>
                <w:highlight w:val="none"/>
              </w:rPr>
            </w:pPr>
          </w:p>
        </w:tc>
        <w:tc>
          <w:tcPr>
            <w:tcW w:w="2160" w:type="dxa"/>
            <w:vAlign w:val="center"/>
          </w:tcPr>
          <w:p w14:paraId="09B3B0B1">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2252F90E">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03289339">
            <w:pPr>
              <w:snapToGrid w:val="0"/>
              <w:spacing w:line="440" w:lineRule="exact"/>
              <w:rPr>
                <w:rFonts w:asciiTheme="majorEastAsia" w:hAnsiTheme="majorEastAsia" w:eastAsiaTheme="majorEastAsia"/>
                <w:color w:val="auto"/>
                <w:szCs w:val="21"/>
                <w:highlight w:val="none"/>
              </w:rPr>
            </w:pPr>
          </w:p>
        </w:tc>
      </w:tr>
      <w:tr w14:paraId="45159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732F207">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53212D3A">
            <w:pPr>
              <w:spacing w:line="440" w:lineRule="exact"/>
              <w:rPr>
                <w:rFonts w:asciiTheme="majorEastAsia" w:hAnsiTheme="majorEastAsia" w:eastAsiaTheme="majorEastAsia"/>
                <w:color w:val="auto"/>
                <w:szCs w:val="21"/>
                <w:highlight w:val="none"/>
              </w:rPr>
            </w:pPr>
          </w:p>
        </w:tc>
        <w:tc>
          <w:tcPr>
            <w:tcW w:w="2160" w:type="dxa"/>
            <w:vAlign w:val="center"/>
          </w:tcPr>
          <w:p w14:paraId="0711198A">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7C8323BA">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10058EBE">
            <w:pPr>
              <w:snapToGrid w:val="0"/>
              <w:spacing w:line="440" w:lineRule="exact"/>
              <w:rPr>
                <w:rFonts w:asciiTheme="majorEastAsia" w:hAnsiTheme="majorEastAsia" w:eastAsiaTheme="majorEastAsia"/>
                <w:color w:val="auto"/>
                <w:szCs w:val="21"/>
                <w:highlight w:val="none"/>
              </w:rPr>
            </w:pPr>
          </w:p>
        </w:tc>
      </w:tr>
      <w:tr w14:paraId="5075A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D5B551C">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3870DF63">
            <w:pPr>
              <w:spacing w:line="440" w:lineRule="exact"/>
              <w:rPr>
                <w:rFonts w:asciiTheme="majorEastAsia" w:hAnsiTheme="majorEastAsia" w:eastAsiaTheme="majorEastAsia"/>
                <w:color w:val="auto"/>
                <w:szCs w:val="21"/>
                <w:highlight w:val="none"/>
              </w:rPr>
            </w:pPr>
          </w:p>
        </w:tc>
        <w:tc>
          <w:tcPr>
            <w:tcW w:w="2160" w:type="dxa"/>
            <w:vAlign w:val="center"/>
          </w:tcPr>
          <w:p w14:paraId="2915BAC9">
            <w:pPr>
              <w:spacing w:line="440" w:lineRule="exact"/>
              <w:jc w:val="center"/>
              <w:rPr>
                <w:rFonts w:asciiTheme="majorEastAsia" w:hAnsiTheme="majorEastAsia" w:eastAsiaTheme="majorEastAsia"/>
                <w:color w:val="auto"/>
                <w:szCs w:val="21"/>
                <w:highlight w:val="none"/>
              </w:rPr>
            </w:pPr>
          </w:p>
        </w:tc>
        <w:tc>
          <w:tcPr>
            <w:tcW w:w="1625" w:type="dxa"/>
            <w:vAlign w:val="center"/>
          </w:tcPr>
          <w:p w14:paraId="4EF69C27">
            <w:pPr>
              <w:spacing w:line="440" w:lineRule="exact"/>
              <w:jc w:val="center"/>
              <w:rPr>
                <w:rFonts w:asciiTheme="majorEastAsia" w:hAnsiTheme="majorEastAsia" w:eastAsiaTheme="majorEastAsia"/>
                <w:color w:val="auto"/>
                <w:szCs w:val="21"/>
                <w:highlight w:val="none"/>
              </w:rPr>
            </w:pPr>
          </w:p>
        </w:tc>
        <w:tc>
          <w:tcPr>
            <w:tcW w:w="1956" w:type="dxa"/>
            <w:vAlign w:val="center"/>
          </w:tcPr>
          <w:p w14:paraId="1754144A">
            <w:pPr>
              <w:spacing w:line="440" w:lineRule="exact"/>
              <w:jc w:val="center"/>
              <w:rPr>
                <w:rFonts w:asciiTheme="majorEastAsia" w:hAnsiTheme="majorEastAsia" w:eastAsiaTheme="majorEastAsia"/>
                <w:color w:val="auto"/>
                <w:szCs w:val="21"/>
                <w:highlight w:val="none"/>
              </w:rPr>
            </w:pPr>
          </w:p>
        </w:tc>
      </w:tr>
      <w:tr w14:paraId="550B3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70BCE95">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2C0239BD">
            <w:pPr>
              <w:spacing w:line="440" w:lineRule="exact"/>
              <w:rPr>
                <w:rFonts w:asciiTheme="majorEastAsia" w:hAnsiTheme="majorEastAsia" w:eastAsiaTheme="majorEastAsia"/>
                <w:color w:val="auto"/>
                <w:szCs w:val="21"/>
                <w:highlight w:val="none"/>
              </w:rPr>
            </w:pPr>
          </w:p>
        </w:tc>
        <w:tc>
          <w:tcPr>
            <w:tcW w:w="2160" w:type="dxa"/>
            <w:vAlign w:val="center"/>
          </w:tcPr>
          <w:p w14:paraId="75B1A7FC">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36C5548C">
            <w:pPr>
              <w:spacing w:line="440" w:lineRule="exact"/>
              <w:rPr>
                <w:rFonts w:asciiTheme="majorEastAsia" w:hAnsiTheme="majorEastAsia" w:eastAsiaTheme="majorEastAsia"/>
                <w:color w:val="auto"/>
                <w:szCs w:val="21"/>
                <w:highlight w:val="none"/>
              </w:rPr>
            </w:pPr>
          </w:p>
        </w:tc>
        <w:tc>
          <w:tcPr>
            <w:tcW w:w="1956" w:type="dxa"/>
            <w:vAlign w:val="center"/>
          </w:tcPr>
          <w:p w14:paraId="0F764015">
            <w:pPr>
              <w:spacing w:line="440" w:lineRule="exact"/>
              <w:rPr>
                <w:rFonts w:asciiTheme="majorEastAsia" w:hAnsiTheme="majorEastAsia" w:eastAsiaTheme="majorEastAsia"/>
                <w:color w:val="auto"/>
                <w:szCs w:val="21"/>
                <w:highlight w:val="none"/>
              </w:rPr>
            </w:pPr>
          </w:p>
        </w:tc>
      </w:tr>
      <w:tr w14:paraId="0455B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6D64325">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1131EC0A">
            <w:pPr>
              <w:spacing w:line="440" w:lineRule="exact"/>
              <w:rPr>
                <w:rFonts w:asciiTheme="majorEastAsia" w:hAnsiTheme="majorEastAsia" w:eastAsiaTheme="majorEastAsia"/>
                <w:color w:val="auto"/>
                <w:szCs w:val="21"/>
                <w:highlight w:val="none"/>
              </w:rPr>
            </w:pPr>
          </w:p>
        </w:tc>
        <w:tc>
          <w:tcPr>
            <w:tcW w:w="2160" w:type="dxa"/>
            <w:vAlign w:val="center"/>
          </w:tcPr>
          <w:p w14:paraId="7CCBB4BA">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472B8735">
            <w:pPr>
              <w:spacing w:line="440" w:lineRule="exact"/>
              <w:rPr>
                <w:rFonts w:asciiTheme="majorEastAsia" w:hAnsiTheme="majorEastAsia" w:eastAsiaTheme="majorEastAsia"/>
                <w:color w:val="auto"/>
                <w:szCs w:val="21"/>
                <w:highlight w:val="none"/>
              </w:rPr>
            </w:pPr>
          </w:p>
        </w:tc>
        <w:tc>
          <w:tcPr>
            <w:tcW w:w="1956" w:type="dxa"/>
            <w:vAlign w:val="center"/>
          </w:tcPr>
          <w:p w14:paraId="723AD020">
            <w:pPr>
              <w:spacing w:line="440" w:lineRule="exact"/>
              <w:rPr>
                <w:rFonts w:asciiTheme="majorEastAsia" w:hAnsiTheme="majorEastAsia" w:eastAsiaTheme="majorEastAsia"/>
                <w:color w:val="auto"/>
                <w:szCs w:val="21"/>
                <w:highlight w:val="none"/>
              </w:rPr>
            </w:pPr>
          </w:p>
        </w:tc>
      </w:tr>
      <w:tr w14:paraId="24001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186E944">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568F379A">
            <w:pPr>
              <w:spacing w:line="440" w:lineRule="exact"/>
              <w:rPr>
                <w:rFonts w:asciiTheme="majorEastAsia" w:hAnsiTheme="majorEastAsia" w:eastAsiaTheme="majorEastAsia"/>
                <w:color w:val="auto"/>
                <w:szCs w:val="21"/>
                <w:highlight w:val="none"/>
              </w:rPr>
            </w:pPr>
          </w:p>
        </w:tc>
        <w:tc>
          <w:tcPr>
            <w:tcW w:w="2160" w:type="dxa"/>
            <w:vAlign w:val="center"/>
          </w:tcPr>
          <w:p w14:paraId="6D775DF8">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4E6AE734">
            <w:pPr>
              <w:spacing w:line="440" w:lineRule="exact"/>
              <w:rPr>
                <w:rFonts w:asciiTheme="majorEastAsia" w:hAnsiTheme="majorEastAsia" w:eastAsiaTheme="majorEastAsia"/>
                <w:color w:val="auto"/>
                <w:szCs w:val="21"/>
                <w:highlight w:val="none"/>
              </w:rPr>
            </w:pPr>
          </w:p>
        </w:tc>
        <w:tc>
          <w:tcPr>
            <w:tcW w:w="1956" w:type="dxa"/>
            <w:vAlign w:val="center"/>
          </w:tcPr>
          <w:p w14:paraId="5313F083">
            <w:pPr>
              <w:spacing w:line="440" w:lineRule="exact"/>
              <w:rPr>
                <w:rFonts w:asciiTheme="majorEastAsia" w:hAnsiTheme="majorEastAsia" w:eastAsiaTheme="majorEastAsia"/>
                <w:color w:val="auto"/>
                <w:szCs w:val="21"/>
                <w:highlight w:val="none"/>
              </w:rPr>
            </w:pPr>
          </w:p>
        </w:tc>
      </w:tr>
      <w:tr w14:paraId="065CE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0DFA5BD">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0D039A02">
            <w:pPr>
              <w:spacing w:line="440" w:lineRule="exact"/>
              <w:rPr>
                <w:rFonts w:asciiTheme="majorEastAsia" w:hAnsiTheme="majorEastAsia" w:eastAsiaTheme="majorEastAsia"/>
                <w:color w:val="auto"/>
                <w:szCs w:val="21"/>
                <w:highlight w:val="none"/>
              </w:rPr>
            </w:pPr>
          </w:p>
        </w:tc>
        <w:tc>
          <w:tcPr>
            <w:tcW w:w="2160" w:type="dxa"/>
            <w:vAlign w:val="center"/>
          </w:tcPr>
          <w:p w14:paraId="58915155">
            <w:pPr>
              <w:spacing w:line="440" w:lineRule="exact"/>
              <w:jc w:val="center"/>
              <w:rPr>
                <w:rFonts w:asciiTheme="majorEastAsia" w:hAnsiTheme="majorEastAsia" w:eastAsiaTheme="majorEastAsia"/>
                <w:color w:val="auto"/>
                <w:szCs w:val="21"/>
                <w:highlight w:val="none"/>
              </w:rPr>
            </w:pPr>
          </w:p>
        </w:tc>
        <w:tc>
          <w:tcPr>
            <w:tcW w:w="1625" w:type="dxa"/>
            <w:vAlign w:val="center"/>
          </w:tcPr>
          <w:p w14:paraId="1768B0F0">
            <w:pPr>
              <w:spacing w:line="440" w:lineRule="exact"/>
              <w:jc w:val="center"/>
              <w:rPr>
                <w:rFonts w:asciiTheme="majorEastAsia" w:hAnsiTheme="majorEastAsia" w:eastAsiaTheme="majorEastAsia"/>
                <w:color w:val="auto"/>
                <w:szCs w:val="21"/>
                <w:highlight w:val="none"/>
              </w:rPr>
            </w:pPr>
          </w:p>
        </w:tc>
        <w:tc>
          <w:tcPr>
            <w:tcW w:w="1956" w:type="dxa"/>
            <w:vAlign w:val="center"/>
          </w:tcPr>
          <w:p w14:paraId="301C7340">
            <w:pPr>
              <w:spacing w:line="440" w:lineRule="exact"/>
              <w:jc w:val="center"/>
              <w:rPr>
                <w:rFonts w:asciiTheme="majorEastAsia" w:hAnsiTheme="majorEastAsia" w:eastAsiaTheme="majorEastAsia"/>
                <w:color w:val="auto"/>
                <w:szCs w:val="21"/>
                <w:highlight w:val="none"/>
              </w:rPr>
            </w:pPr>
          </w:p>
        </w:tc>
      </w:tr>
      <w:tr w14:paraId="2D290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1E7FA84">
            <w:pPr>
              <w:spacing w:line="440" w:lineRule="exact"/>
              <w:rPr>
                <w:rFonts w:asciiTheme="majorEastAsia" w:hAnsiTheme="majorEastAsia" w:eastAsiaTheme="majorEastAsia"/>
                <w:color w:val="auto"/>
                <w:szCs w:val="21"/>
                <w:highlight w:val="none"/>
              </w:rPr>
            </w:pPr>
          </w:p>
        </w:tc>
        <w:tc>
          <w:tcPr>
            <w:tcW w:w="2355" w:type="dxa"/>
            <w:vAlign w:val="center"/>
          </w:tcPr>
          <w:p w14:paraId="09884B56">
            <w:pPr>
              <w:spacing w:line="440" w:lineRule="exact"/>
              <w:rPr>
                <w:rFonts w:asciiTheme="majorEastAsia" w:hAnsiTheme="majorEastAsia" w:eastAsiaTheme="majorEastAsia"/>
                <w:color w:val="auto"/>
                <w:szCs w:val="21"/>
                <w:highlight w:val="none"/>
              </w:rPr>
            </w:pPr>
          </w:p>
        </w:tc>
        <w:tc>
          <w:tcPr>
            <w:tcW w:w="2160" w:type="dxa"/>
            <w:vAlign w:val="center"/>
          </w:tcPr>
          <w:p w14:paraId="795CE405">
            <w:pPr>
              <w:spacing w:line="440" w:lineRule="exact"/>
              <w:jc w:val="center"/>
              <w:rPr>
                <w:rFonts w:asciiTheme="majorEastAsia" w:hAnsiTheme="majorEastAsia" w:eastAsiaTheme="majorEastAsia"/>
                <w:color w:val="auto"/>
                <w:szCs w:val="21"/>
                <w:highlight w:val="none"/>
              </w:rPr>
            </w:pPr>
          </w:p>
        </w:tc>
        <w:tc>
          <w:tcPr>
            <w:tcW w:w="1625" w:type="dxa"/>
            <w:vAlign w:val="center"/>
          </w:tcPr>
          <w:p w14:paraId="7DFC96A6">
            <w:pPr>
              <w:spacing w:line="440" w:lineRule="exact"/>
              <w:jc w:val="center"/>
              <w:rPr>
                <w:rFonts w:asciiTheme="majorEastAsia" w:hAnsiTheme="majorEastAsia" w:eastAsiaTheme="majorEastAsia"/>
                <w:color w:val="auto"/>
                <w:szCs w:val="21"/>
                <w:highlight w:val="none"/>
              </w:rPr>
            </w:pPr>
          </w:p>
        </w:tc>
        <w:tc>
          <w:tcPr>
            <w:tcW w:w="1956" w:type="dxa"/>
            <w:vAlign w:val="center"/>
          </w:tcPr>
          <w:p w14:paraId="75E46058">
            <w:pPr>
              <w:spacing w:line="440" w:lineRule="exact"/>
              <w:jc w:val="center"/>
              <w:rPr>
                <w:rFonts w:asciiTheme="majorEastAsia" w:hAnsiTheme="majorEastAsia" w:eastAsiaTheme="majorEastAsia"/>
                <w:color w:val="auto"/>
                <w:szCs w:val="21"/>
                <w:highlight w:val="none"/>
              </w:rPr>
            </w:pPr>
          </w:p>
        </w:tc>
      </w:tr>
      <w:tr w14:paraId="25B3F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BF1C4FD">
            <w:pPr>
              <w:spacing w:line="440" w:lineRule="exact"/>
              <w:rPr>
                <w:rFonts w:asciiTheme="majorEastAsia" w:hAnsiTheme="majorEastAsia" w:eastAsiaTheme="majorEastAsia"/>
                <w:color w:val="auto"/>
                <w:szCs w:val="21"/>
                <w:highlight w:val="none"/>
              </w:rPr>
            </w:pPr>
          </w:p>
        </w:tc>
        <w:tc>
          <w:tcPr>
            <w:tcW w:w="2355" w:type="dxa"/>
            <w:vAlign w:val="center"/>
          </w:tcPr>
          <w:p w14:paraId="4BBFD954">
            <w:pPr>
              <w:spacing w:line="440" w:lineRule="exact"/>
              <w:rPr>
                <w:rFonts w:asciiTheme="majorEastAsia" w:hAnsiTheme="majorEastAsia" w:eastAsiaTheme="majorEastAsia"/>
                <w:color w:val="auto"/>
                <w:szCs w:val="21"/>
                <w:highlight w:val="none"/>
              </w:rPr>
            </w:pPr>
          </w:p>
        </w:tc>
        <w:tc>
          <w:tcPr>
            <w:tcW w:w="2160" w:type="dxa"/>
            <w:vAlign w:val="center"/>
          </w:tcPr>
          <w:p w14:paraId="1AD68DB2">
            <w:pPr>
              <w:spacing w:line="440" w:lineRule="exact"/>
              <w:jc w:val="center"/>
              <w:rPr>
                <w:rFonts w:asciiTheme="majorEastAsia" w:hAnsiTheme="majorEastAsia" w:eastAsiaTheme="majorEastAsia"/>
                <w:color w:val="auto"/>
                <w:szCs w:val="21"/>
                <w:highlight w:val="none"/>
              </w:rPr>
            </w:pPr>
          </w:p>
        </w:tc>
        <w:tc>
          <w:tcPr>
            <w:tcW w:w="1625" w:type="dxa"/>
            <w:vAlign w:val="center"/>
          </w:tcPr>
          <w:p w14:paraId="4FC65ED7">
            <w:pPr>
              <w:spacing w:line="440" w:lineRule="exact"/>
              <w:jc w:val="center"/>
              <w:rPr>
                <w:rFonts w:asciiTheme="majorEastAsia" w:hAnsiTheme="majorEastAsia" w:eastAsiaTheme="majorEastAsia"/>
                <w:color w:val="auto"/>
                <w:szCs w:val="21"/>
                <w:highlight w:val="none"/>
              </w:rPr>
            </w:pPr>
          </w:p>
        </w:tc>
        <w:tc>
          <w:tcPr>
            <w:tcW w:w="1956" w:type="dxa"/>
            <w:vAlign w:val="center"/>
          </w:tcPr>
          <w:p w14:paraId="15F656E1">
            <w:pPr>
              <w:spacing w:line="440" w:lineRule="exact"/>
              <w:jc w:val="center"/>
              <w:rPr>
                <w:rFonts w:asciiTheme="majorEastAsia" w:hAnsiTheme="majorEastAsia" w:eastAsiaTheme="majorEastAsia"/>
                <w:color w:val="auto"/>
                <w:szCs w:val="21"/>
                <w:highlight w:val="none"/>
              </w:rPr>
            </w:pPr>
          </w:p>
        </w:tc>
      </w:tr>
    </w:tbl>
    <w:p w14:paraId="1D0585D0">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3CBC8375">
      <w:pPr>
        <w:spacing w:line="440" w:lineRule="exact"/>
        <w:rPr>
          <w:rFonts w:asciiTheme="majorEastAsia" w:hAnsiTheme="majorEastAsia" w:eastAsiaTheme="majorEastAsia"/>
          <w:color w:val="auto"/>
          <w:szCs w:val="21"/>
          <w:highlight w:val="none"/>
        </w:rPr>
      </w:pPr>
    </w:p>
    <w:p w14:paraId="054FF037">
      <w:pPr>
        <w:spacing w:line="440" w:lineRule="exact"/>
        <w:rPr>
          <w:rFonts w:asciiTheme="majorEastAsia" w:hAnsiTheme="majorEastAsia" w:eastAsiaTheme="majorEastAsia"/>
          <w:color w:val="auto"/>
          <w:szCs w:val="21"/>
          <w:highlight w:val="none"/>
        </w:rPr>
      </w:pPr>
    </w:p>
    <w:p w14:paraId="6DE25771">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70741A0">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3C47CE3C">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5C72DABB">
      <w:pPr>
        <w:spacing w:line="360" w:lineRule="auto"/>
        <w:jc w:val="center"/>
        <w:rPr>
          <w:rFonts w:ascii="宋体" w:hAnsi="宋体"/>
          <w:b/>
          <w:color w:val="auto"/>
          <w:szCs w:val="21"/>
          <w:highlight w:val="none"/>
        </w:rPr>
      </w:pPr>
      <w:r>
        <w:rPr>
          <w:rFonts w:hint="eastAsia" w:ascii="宋体" w:hAnsi="宋体"/>
          <w:b/>
          <w:color w:val="auto"/>
          <w:szCs w:val="21"/>
          <w:highlight w:val="none"/>
        </w:rPr>
        <w:t>初次报价表</w:t>
      </w:r>
    </w:p>
    <w:p w14:paraId="2DEF9419">
      <w:pPr>
        <w:pStyle w:val="26"/>
        <w:spacing w:before="120" w:after="1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宁波市海曙区古林镇中心小学2025年年度教职工疗休养</w:t>
      </w:r>
    </w:p>
    <w:p w14:paraId="03F06ADD">
      <w:pPr>
        <w:pStyle w:val="26"/>
        <w:spacing w:before="120" w:after="120"/>
        <w:rPr>
          <w:color w:val="auto"/>
          <w:highlight w:val="none"/>
        </w:rPr>
      </w:pPr>
      <w:r>
        <w:rPr>
          <w:rFonts w:hint="eastAsia"/>
          <w:color w:val="auto"/>
          <w:highlight w:val="none"/>
        </w:rPr>
        <w:t>项目编号:</w:t>
      </w:r>
      <w:r>
        <w:rPr>
          <w:rFonts w:hint="eastAsia"/>
          <w:color w:val="auto"/>
          <w:highlight w:val="none"/>
          <w:lang w:eastAsia="zh-CN"/>
        </w:rPr>
        <w:t>2025NBHSWCS302</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18"/>
        <w:gridCol w:w="5463"/>
      </w:tblGrid>
      <w:tr w14:paraId="36E4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4862B2A3">
            <w:pPr>
              <w:keepNext w:val="0"/>
              <w:keepLines w:val="0"/>
              <w:pageBreakBefore w:val="0"/>
              <w:widowControl w:val="0"/>
              <w:kinsoku/>
              <w:wordWrap/>
              <w:overflowPunct/>
              <w:topLinePunct w:val="0"/>
              <w:autoSpaceDE/>
              <w:autoSpaceDN/>
              <w:bidi w:val="0"/>
              <w:snapToGrid w:val="0"/>
              <w:spacing w:before="143" w:beforeLines="50" w:after="143" w:afterLines="50" w:line="240" w:lineRule="auto"/>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序号</w:t>
            </w:r>
          </w:p>
        </w:tc>
        <w:tc>
          <w:tcPr>
            <w:tcW w:w="2918" w:type="dxa"/>
            <w:vAlign w:val="center"/>
          </w:tcPr>
          <w:p w14:paraId="4E5142B4">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仿宋"/>
                <w:color w:val="auto"/>
                <w:szCs w:val="21"/>
                <w:highlight w:val="none"/>
                <w:lang w:val="en-US" w:eastAsia="zh-CN"/>
              </w:rPr>
              <w:t>路线名称</w:t>
            </w:r>
          </w:p>
        </w:tc>
        <w:tc>
          <w:tcPr>
            <w:tcW w:w="5463" w:type="dxa"/>
            <w:vAlign w:val="center"/>
          </w:tcPr>
          <w:p w14:paraId="4429ADE8">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磋商报价（初次报价）</w:t>
            </w:r>
          </w:p>
        </w:tc>
      </w:tr>
      <w:tr w14:paraId="6411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5A349A05">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2918" w:type="dxa"/>
            <w:vAlign w:val="center"/>
          </w:tcPr>
          <w:p w14:paraId="6CC79563">
            <w:pPr>
              <w:widowControl/>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cs="宋体"/>
                <w:color w:val="auto"/>
                <w:sz w:val="21"/>
                <w:szCs w:val="21"/>
                <w:highlight w:val="none"/>
                <w:lang w:eastAsia="zh-CN"/>
              </w:rPr>
              <w:t>江西</w:t>
            </w:r>
          </w:p>
        </w:tc>
        <w:tc>
          <w:tcPr>
            <w:tcW w:w="5463" w:type="dxa"/>
            <w:vAlign w:val="center"/>
          </w:tcPr>
          <w:p w14:paraId="777559A2">
            <w:pPr>
              <w:widowControl/>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1722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1749FDA2">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w:t>
            </w:r>
          </w:p>
        </w:tc>
        <w:tc>
          <w:tcPr>
            <w:tcW w:w="2918" w:type="dxa"/>
            <w:vAlign w:val="center"/>
          </w:tcPr>
          <w:p w14:paraId="73EA30F4">
            <w:pPr>
              <w:widowControl/>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lang w:eastAsia="zh-CN"/>
              </w:rPr>
              <w:t>江苏</w:t>
            </w:r>
          </w:p>
        </w:tc>
        <w:tc>
          <w:tcPr>
            <w:tcW w:w="5463" w:type="dxa"/>
            <w:vAlign w:val="center"/>
          </w:tcPr>
          <w:p w14:paraId="39BB7005">
            <w:pPr>
              <w:widowControl/>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645B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3"/>
            <w:vAlign w:val="center"/>
          </w:tcPr>
          <w:p w14:paraId="1BAF648D">
            <w:pPr>
              <w:widowControl/>
              <w:spacing w:line="360" w:lineRule="exact"/>
              <w:jc w:val="both"/>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报价声明：</w:t>
            </w:r>
          </w:p>
        </w:tc>
      </w:tr>
    </w:tbl>
    <w:p w14:paraId="101938E3">
      <w:pPr>
        <w:snapToGrid w:val="0"/>
        <w:spacing w:before="50" w:after="50" w:line="360" w:lineRule="auto"/>
        <w:ind w:left="-23" w:leftChars="-11" w:right="27" w:rightChars="13" w:firstLine="21" w:firstLineChars="10"/>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ascii="宋体" w:hAnsi="宋体" w:eastAsia="宋体" w:cs="宋体"/>
          <w:bCs/>
          <w:color w:val="auto"/>
          <w:szCs w:val="21"/>
          <w:highlight w:val="none"/>
        </w:rPr>
        <w:t>:</w:t>
      </w:r>
    </w:p>
    <w:p w14:paraId="7110E9D8">
      <w:pPr>
        <w:snapToGrid w:val="0"/>
        <w:spacing w:before="50" w:after="50" w:line="360" w:lineRule="auto"/>
        <w:ind w:left="-23" w:leftChars="-11" w:right="27" w:rightChars="13" w:firstLine="21" w:firstLineChars="1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b w:val="0"/>
          <w:bCs/>
          <w:color w:val="auto"/>
          <w:szCs w:val="21"/>
          <w:highlight w:val="none"/>
          <w:lang w:eastAsia="zh-CN"/>
        </w:rPr>
        <w:t>报价均包含完成疗休养的交通费、住宿费、餐饮费、人身意外保险费，各旅游景点的所有门票、导游、领队的经费、司机的费用、服务费、保险、税费等完成疗休养的所有费用。如遇工作等原因有调整可能，房价等因素因季节性涨价的，请各供应商报价时自行掌握考虑，采购人不再进行调整任何费用</w:t>
      </w:r>
    </w:p>
    <w:p w14:paraId="00F57E70">
      <w:pPr>
        <w:keepNext w:val="0"/>
        <w:keepLines w:val="0"/>
        <w:pageBreakBefore w:val="0"/>
        <w:widowControl w:val="0"/>
        <w:shd w:val="clear"/>
        <w:kinsoku/>
        <w:wordWrap/>
        <w:overflowPunct/>
        <w:topLinePunct w:val="0"/>
        <w:bidi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报价一经涂改，应在涂改处加盖供应商公章或者由法定代表人（负责人）或授权代表签字或盖章。</w:t>
      </w:r>
    </w:p>
    <w:p w14:paraId="70C1BA00">
      <w:pPr>
        <w:spacing w:line="440" w:lineRule="exact"/>
        <w:rPr>
          <w:rFonts w:asciiTheme="majorEastAsia" w:hAnsiTheme="majorEastAsia" w:eastAsiaTheme="majorEastAsia"/>
          <w:color w:val="auto"/>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cs="宋体"/>
          <w:color w:val="auto"/>
          <w:highlight w:val="none"/>
          <w:lang w:val="zh-CN" w:eastAsia="zh-CN"/>
        </w:rPr>
        <w:t>江西</w:t>
      </w:r>
      <w:r>
        <w:rPr>
          <w:rFonts w:hint="eastAsia" w:ascii="宋体" w:hAnsi="宋体" w:eastAsia="宋体" w:cs="宋体"/>
          <w:color w:val="auto"/>
          <w:highlight w:val="none"/>
          <w:lang w:val="zh-CN" w:eastAsia="zh-CN"/>
        </w:rPr>
        <w:t>：</w:t>
      </w:r>
      <w:r>
        <w:rPr>
          <w:rFonts w:hint="eastAsia" w:ascii="宋体" w:hAnsi="宋体" w:cs="宋体"/>
          <w:color w:val="auto"/>
          <w:highlight w:val="none"/>
          <w:lang w:val="en-US" w:eastAsia="zh-CN"/>
        </w:rPr>
        <w:t>30</w:t>
      </w:r>
      <w:r>
        <w:rPr>
          <w:rFonts w:hint="eastAsia" w:ascii="宋体" w:hAnsi="宋体" w:cs="宋体"/>
          <w:color w:val="auto"/>
          <w:highlight w:val="none"/>
          <w:lang w:val="zh-CN" w:eastAsia="zh-CN"/>
        </w:rPr>
        <w:t>00</w:t>
      </w:r>
      <w:r>
        <w:rPr>
          <w:rFonts w:hint="eastAsia" w:ascii="宋体" w:hAnsi="宋体" w:eastAsia="宋体" w:cs="宋体"/>
          <w:color w:val="auto"/>
          <w:highlight w:val="none"/>
          <w:lang w:val="zh-CN" w:eastAsia="zh-CN"/>
        </w:rPr>
        <w:t>元/人、</w:t>
      </w:r>
      <w:r>
        <w:rPr>
          <w:rFonts w:hint="eastAsia" w:ascii="宋体" w:hAnsi="宋体" w:cs="宋体"/>
          <w:color w:val="auto"/>
          <w:highlight w:val="none"/>
          <w:lang w:val="zh-CN" w:eastAsia="zh-CN"/>
        </w:rPr>
        <w:t>江苏</w:t>
      </w:r>
      <w:r>
        <w:rPr>
          <w:rFonts w:hint="eastAsia" w:ascii="宋体" w:hAnsi="宋体" w:eastAsia="宋体" w:cs="宋体"/>
          <w:color w:val="auto"/>
          <w:highlight w:val="none"/>
          <w:lang w:val="zh-CN" w:eastAsia="zh-CN"/>
        </w:rPr>
        <w:t>：3000元/人。政采云系统上统一填报总价</w:t>
      </w:r>
      <w:r>
        <w:rPr>
          <w:rFonts w:hint="eastAsia" w:ascii="宋体" w:hAnsi="宋体" w:cs="宋体"/>
          <w:color w:val="auto"/>
          <w:highlight w:val="none"/>
          <w:lang w:val="zh-CN" w:eastAsia="zh-CN"/>
        </w:rPr>
        <w:t>405000</w:t>
      </w:r>
      <w:r>
        <w:rPr>
          <w:rFonts w:hint="eastAsia" w:ascii="宋体" w:hAnsi="宋体" w:eastAsia="宋体" w:cs="宋体"/>
          <w:color w:val="auto"/>
          <w:highlight w:val="none"/>
          <w:lang w:val="zh-CN" w:eastAsia="zh-CN"/>
        </w:rPr>
        <w:t>元。如未按要求填报，由评标委员会进行修正，投标人不接受修正的，做无效标处理</w:t>
      </w:r>
      <w:r>
        <w:rPr>
          <w:rFonts w:hint="eastAsia" w:ascii="宋体" w:hAnsi="宋体" w:eastAsia="宋体" w:cs="宋体"/>
          <w:color w:val="auto"/>
          <w:sz w:val="21"/>
          <w:szCs w:val="21"/>
          <w:highlight w:val="none"/>
        </w:rPr>
        <w:t>。备注：以上线路的报价中，3000元/人的部分由本次采购预算支付，超出部分由疗休养出行人自行承担，最终每人结算金额将根据出行时最终确定的价格为准。</w:t>
      </w:r>
    </w:p>
    <w:p w14:paraId="13CA59A4">
      <w:pPr>
        <w:spacing w:line="440" w:lineRule="exact"/>
        <w:rPr>
          <w:rFonts w:asciiTheme="majorEastAsia" w:hAnsiTheme="majorEastAsia" w:eastAsiaTheme="majorEastAsia"/>
          <w:color w:val="auto"/>
          <w:szCs w:val="21"/>
          <w:highlight w:val="none"/>
        </w:rPr>
      </w:pPr>
    </w:p>
    <w:p w14:paraId="0C2F8E9D">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497DAD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16EE733E">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B4E2DF9">
      <w:pPr>
        <w:pStyle w:val="15"/>
        <w:ind w:firstLine="0"/>
        <w:rPr>
          <w:rFonts w:asciiTheme="majorEastAsia" w:hAnsiTheme="majorEastAsia" w:eastAsiaTheme="majorEastAsia"/>
          <w:color w:val="auto"/>
          <w:szCs w:val="21"/>
          <w:highlight w:val="none"/>
        </w:rPr>
      </w:pPr>
    </w:p>
    <w:p w14:paraId="098E3979">
      <w:pPr>
        <w:pStyle w:val="15"/>
        <w:ind w:firstLine="0"/>
        <w:rPr>
          <w:rFonts w:asciiTheme="majorEastAsia" w:hAnsiTheme="majorEastAsia" w:eastAsiaTheme="majorEastAsia"/>
          <w:color w:val="auto"/>
          <w:szCs w:val="21"/>
          <w:highlight w:val="none"/>
        </w:rPr>
        <w:sectPr>
          <w:headerReference r:id="rId13" w:type="default"/>
          <w:footerReference r:id="rId14" w:type="default"/>
          <w:footerReference r:id="rId15" w:type="even"/>
          <w:pgSz w:w="11906" w:h="16838"/>
          <w:pgMar w:top="1440" w:right="1800" w:bottom="1440" w:left="1800" w:header="851" w:footer="992" w:gutter="0"/>
          <w:cols w:space="720" w:num="1"/>
          <w:docGrid w:linePitch="602" w:charSpace="-1675"/>
        </w:sectPr>
      </w:pPr>
    </w:p>
    <w:p w14:paraId="4B648FCF">
      <w:pPr>
        <w:spacing w:line="440" w:lineRule="exact"/>
        <w:jc w:val="left"/>
        <w:rPr>
          <w:rFonts w:asciiTheme="majorEastAsia" w:hAnsiTheme="majorEastAsia" w:eastAsiaTheme="majorEastAsia"/>
          <w:b/>
          <w:color w:val="auto"/>
          <w:szCs w:val="21"/>
          <w:highlight w:val="none"/>
        </w:rPr>
      </w:pPr>
      <w:bookmarkStart w:id="46" w:name="_Toc476585060"/>
      <w:bookmarkStart w:id="47"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rPr>
        <w:t>一</w:t>
      </w:r>
      <w:r>
        <w:rPr>
          <w:rFonts w:asciiTheme="majorEastAsia" w:hAnsiTheme="majorEastAsia" w:eastAsiaTheme="majorEastAsia"/>
          <w:b/>
          <w:bCs/>
          <w:color w:val="auto"/>
          <w:szCs w:val="21"/>
          <w:highlight w:val="none"/>
        </w:rPr>
        <w:t>：</w:t>
      </w:r>
      <w:bookmarkEnd w:id="46"/>
    </w:p>
    <w:bookmarkEnd w:id="47"/>
    <w:p w14:paraId="6BBCF63D">
      <w:pPr>
        <w:pStyle w:val="20"/>
        <w:spacing w:line="360" w:lineRule="auto"/>
        <w:ind w:firstLine="0"/>
        <w:contextualSpacing/>
        <w:jc w:val="center"/>
        <w:rPr>
          <w:rFonts w:hAnsi="宋体"/>
          <w:b/>
          <w:color w:val="auto"/>
          <w:sz w:val="21"/>
          <w:szCs w:val="21"/>
          <w:highlight w:val="none"/>
        </w:rPr>
      </w:pPr>
      <w:r>
        <w:rPr>
          <w:rFonts w:hint="eastAsia" w:hAnsi="宋体"/>
          <w:b/>
          <w:color w:val="auto"/>
          <w:sz w:val="21"/>
          <w:szCs w:val="21"/>
          <w:highlight w:val="none"/>
        </w:rPr>
        <w:t>中小企业声明函</w:t>
      </w:r>
    </w:p>
    <w:p w14:paraId="027DAFC9">
      <w:pPr>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宁波市海曙区古林镇中心小学</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宁波市海曙区古林镇中心小学2025年年度教职工疗休养</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119452F2">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教职工疗休养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rPr>
        <w:t xml:space="preserve"> </w:t>
      </w:r>
      <w:r>
        <w:rPr>
          <w:rFonts w:hint="eastAsia" w:ascii="宋体" w:hAnsi="宋体"/>
          <w:b/>
          <w:bCs/>
          <w:color w:val="auto"/>
          <w:szCs w:val="21"/>
          <w:highlight w:val="none"/>
          <w:u w:val="single"/>
          <w:lang w:bidi="ar"/>
        </w:rPr>
        <w:t>其他未列明行业</w:t>
      </w:r>
      <w:r>
        <w:rPr>
          <w:rFonts w:hint="eastAsia"/>
          <w:color w:val="auto"/>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6D0ABF48">
      <w:pPr>
        <w:pStyle w:val="2"/>
        <w:spacing w:after="0" w:line="360" w:lineRule="auto"/>
        <w:ind w:firstLine="422"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45EE1FE2">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10D6AA86">
      <w:pPr>
        <w:pStyle w:val="2"/>
        <w:spacing w:after="0" w:line="360" w:lineRule="auto"/>
        <w:ind w:firstLine="210"/>
        <w:contextualSpacing/>
        <w:rPr>
          <w:rFonts w:ascii="宋体" w:hAnsi="宋体" w:cs="宋体"/>
          <w:color w:val="auto"/>
          <w:kern w:val="0"/>
          <w:szCs w:val="21"/>
          <w:highlight w:val="none"/>
        </w:rPr>
      </w:pPr>
    </w:p>
    <w:p w14:paraId="424406C7">
      <w:pPr>
        <w:pStyle w:val="2"/>
        <w:spacing w:after="0" w:line="360" w:lineRule="auto"/>
        <w:ind w:firstLine="210"/>
        <w:contextualSpacing/>
        <w:rPr>
          <w:rFonts w:ascii="宋体" w:hAnsi="宋体" w:cs="宋体"/>
          <w:color w:val="auto"/>
          <w:kern w:val="0"/>
          <w:szCs w:val="21"/>
          <w:highlight w:val="none"/>
        </w:rPr>
      </w:pPr>
    </w:p>
    <w:p w14:paraId="3BE9A104">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046B5C58">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7E69679B">
      <w:pPr>
        <w:pStyle w:val="2"/>
        <w:spacing w:after="0" w:line="360" w:lineRule="auto"/>
        <w:ind w:firstLine="210"/>
        <w:contextualSpacing/>
        <w:rPr>
          <w:rFonts w:ascii="宋体" w:hAnsi="宋体" w:cs="宋体"/>
          <w:color w:val="auto"/>
          <w:kern w:val="0"/>
          <w:szCs w:val="21"/>
          <w:highlight w:val="none"/>
        </w:rPr>
      </w:pPr>
    </w:p>
    <w:p w14:paraId="68720935">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6EF66AEB">
      <w:pPr>
        <w:spacing w:line="440" w:lineRule="exact"/>
        <w:rPr>
          <w:rFonts w:asciiTheme="majorEastAsia" w:hAnsiTheme="majorEastAsia" w:eastAsiaTheme="majorEastAsia"/>
          <w:b/>
          <w:bCs/>
          <w:color w:val="auto"/>
          <w:szCs w:val="21"/>
          <w:highlight w:val="none"/>
        </w:rPr>
      </w:pPr>
    </w:p>
    <w:p w14:paraId="2C548139">
      <w:pPr>
        <w:spacing w:line="440" w:lineRule="exact"/>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06B685C0">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1、《中小企业声明函》由参加投标的供应商提交并对其真实性负责。</w:t>
      </w:r>
    </w:p>
    <w:p w14:paraId="5F5005B4">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color w:val="auto"/>
          <w:sz w:val="18"/>
          <w:szCs w:val="18"/>
          <w:highlight w:val="none"/>
        </w:rPr>
        <w:t>。</w:t>
      </w:r>
    </w:p>
    <w:p w14:paraId="2C6C0589">
      <w:pPr>
        <w:spacing w:line="440" w:lineRule="exact"/>
        <w:ind w:firstLine="360" w:firstLineChars="200"/>
        <w:rPr>
          <w:rFonts w:eastAsiaTheme="majorEastAsia"/>
          <w:color w:val="auto"/>
          <w:sz w:val="18"/>
          <w:szCs w:val="18"/>
          <w:highlight w:val="none"/>
        </w:rPr>
      </w:pPr>
      <w:r>
        <w:rPr>
          <w:rFonts w:hint="eastAsia" w:asciiTheme="majorEastAsia" w:hAnsiTheme="majorEastAsia" w:eastAsiaTheme="majorEastAsia"/>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color w:val="auto"/>
          <w:sz w:val="18"/>
          <w:szCs w:val="18"/>
          <w:highlight w:val="none"/>
        </w:rPr>
        <w:t>，依照《中华人民共和国政府采购法》等国家有关规定追究相应责任。</w:t>
      </w:r>
    </w:p>
    <w:p w14:paraId="46D025A8">
      <w:pPr>
        <w:rPr>
          <w:rFonts w:hAnsi="宋体"/>
          <w:b/>
          <w:color w:val="auto"/>
          <w:szCs w:val="21"/>
          <w:highlight w:val="none"/>
        </w:rPr>
      </w:pPr>
      <w:r>
        <w:rPr>
          <w:rFonts w:hint="eastAsia" w:hAnsi="宋体"/>
          <w:b/>
          <w:color w:val="auto"/>
          <w:szCs w:val="21"/>
          <w:highlight w:val="none"/>
        </w:rPr>
        <w:br w:type="page"/>
      </w:r>
    </w:p>
    <w:p w14:paraId="385F7165">
      <w:pPr>
        <w:spacing w:line="440" w:lineRule="exact"/>
        <w:rPr>
          <w:rFonts w:ascii="宋体" w:hAnsi="宋体"/>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rPr>
        <w:t>二：政府采购领域商业贿赂行为承诺书</w:t>
      </w:r>
    </w:p>
    <w:p w14:paraId="5F3E2513">
      <w:pPr>
        <w:spacing w:line="440" w:lineRule="exact"/>
        <w:rPr>
          <w:rFonts w:ascii="宋体" w:hAnsi="宋体"/>
          <w:color w:val="auto"/>
          <w:szCs w:val="21"/>
          <w:highlight w:val="none"/>
        </w:rPr>
      </w:pPr>
    </w:p>
    <w:p w14:paraId="2D2E083B">
      <w:pPr>
        <w:spacing w:line="440" w:lineRule="exact"/>
        <w:jc w:val="center"/>
        <w:rPr>
          <w:rFonts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15BD176A">
      <w:pPr>
        <w:spacing w:line="360" w:lineRule="auto"/>
        <w:textAlignment w:val="baseline"/>
        <w:rPr>
          <w:rFonts w:ascii="宋体" w:hAnsi="宋体" w:cs="宋体"/>
          <w:b/>
          <w:bCs/>
          <w:color w:val="auto"/>
          <w:kern w:val="0"/>
          <w:szCs w:val="21"/>
          <w:highlight w:val="none"/>
        </w:rPr>
      </w:pPr>
      <w:r>
        <w:rPr>
          <w:rFonts w:hint="eastAsia" w:ascii="宋体" w:hAnsi="宋体" w:cs="宋体"/>
          <w:b/>
          <w:color w:val="auto"/>
          <w:kern w:val="0"/>
          <w:szCs w:val="21"/>
          <w:highlight w:val="none"/>
        </w:rPr>
        <w:t>致：宁波之新招标咨询有限公司</w:t>
      </w:r>
    </w:p>
    <w:p w14:paraId="1EA884EC">
      <w:pPr>
        <w:spacing w:line="360" w:lineRule="auto"/>
        <w:ind w:firstLine="420" w:firstLineChars="200"/>
        <w:textAlignment w:val="baseline"/>
        <w:rPr>
          <w:rFonts w:ascii="宋体" w:hAnsi="宋体" w:cs="宋体"/>
          <w:color w:val="auto"/>
          <w:kern w:val="0"/>
          <w:szCs w:val="21"/>
          <w:highlight w:val="none"/>
          <w:lang w:eastAsia="zh-TW"/>
        </w:rPr>
      </w:pPr>
      <w:r>
        <w:rPr>
          <w:rFonts w:hint="eastAsia" w:ascii="宋体" w:hAnsi="宋体" w:cs="宋体"/>
          <w:color w:val="auto"/>
          <w:kern w:val="0"/>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38A14C7A">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一、依法参与政府采购活动，遵纪守法，诚信经营，公平竞争。</w:t>
      </w:r>
    </w:p>
    <w:p w14:paraId="5B4798BF">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二、不向采购单位、采购代理机构和政府采购评审专家提供任何形式的商业贿赂；对索取或接受商业贿赂的单位和个人，及时向财政部门和纪检监察机关举报。</w:t>
      </w:r>
    </w:p>
    <w:p w14:paraId="5059C247">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三、不以提供虚假资质文件等形式参与政府采购活动，不以虚假材料谋取中标。</w:t>
      </w:r>
    </w:p>
    <w:p w14:paraId="1EB01247">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四、不采取不正当手段诋毁、排挤其他供应商，与其他参与政府采购活动供应商保持良性的竞争关系。</w:t>
      </w:r>
    </w:p>
    <w:p w14:paraId="6874C29B">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五、不与采购单位、采购代理机构和政府采购评审专家恶意串通，自觉维护政府采购公平竞争的市场秩序。</w:t>
      </w:r>
    </w:p>
    <w:p w14:paraId="110E0BB5">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六、不与其他供应商串通采取围标、陪标等商业欺诈手段谋取中标，积极维护国家利益、社会公共利益和采购单位的合法权益。</w:t>
      </w:r>
    </w:p>
    <w:p w14:paraId="262E4077">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七、严格履行政府采购合同约定义务，不在政府采购合同执行过程中采取降低质量或标准、减少数量、拖延交付时间等方式损害采购单位的利益，并自觉承担违约责任。</w:t>
      </w:r>
    </w:p>
    <w:p w14:paraId="1FBD3555">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八、自觉接受并积极配合财政部门和纪检监察机关依法实施的监督检查，如实反映情况，及时提供有关证明材料。</w:t>
      </w:r>
    </w:p>
    <w:p w14:paraId="2C63E353">
      <w:pPr>
        <w:pStyle w:val="132"/>
        <w:adjustRightInd/>
        <w:spacing w:line="360" w:lineRule="auto"/>
        <w:ind w:left="0"/>
        <w:rPr>
          <w:color w:val="auto"/>
          <w:highlight w:val="none"/>
        </w:rPr>
      </w:pPr>
    </w:p>
    <w:p w14:paraId="7C7A445C">
      <w:pPr>
        <w:spacing w:line="360" w:lineRule="auto"/>
        <w:ind w:firstLine="420" w:firstLineChars="200"/>
        <w:textAlignment w:val="baseline"/>
        <w:rPr>
          <w:rFonts w:ascii="宋体" w:hAnsi="宋体" w:cs="宋体"/>
          <w:color w:val="auto"/>
          <w:szCs w:val="21"/>
          <w:highlight w:val="none"/>
          <w:u w:val="single"/>
        </w:rPr>
      </w:pPr>
      <w:r>
        <w:rPr>
          <w:rFonts w:hint="eastAsia" w:ascii="宋体" w:hAnsi="宋体" w:cs="宋体"/>
          <w:color w:val="auto"/>
          <w:szCs w:val="21"/>
          <w:highlight w:val="none"/>
        </w:rPr>
        <w:t>供应商名称（并加盖公章）：</w:t>
      </w:r>
      <w:r>
        <w:rPr>
          <w:rFonts w:hint="eastAsia" w:ascii="宋体" w:hAnsi="宋体" w:cs="宋体"/>
          <w:color w:val="auto"/>
          <w:szCs w:val="21"/>
          <w:highlight w:val="none"/>
          <w:u w:val="single"/>
        </w:rPr>
        <w:t xml:space="preserve">                             </w:t>
      </w:r>
    </w:p>
    <w:p w14:paraId="1AA6A8B7">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法定代表人或其授权代表（签名或印章）：</w:t>
      </w:r>
      <w:r>
        <w:rPr>
          <w:rFonts w:hint="eastAsia" w:ascii="宋体" w:hAnsi="宋体" w:cs="宋体"/>
          <w:color w:val="auto"/>
          <w:szCs w:val="21"/>
          <w:highlight w:val="none"/>
          <w:u w:val="single"/>
        </w:rPr>
        <w:t xml:space="preserve">                   </w:t>
      </w:r>
    </w:p>
    <w:p w14:paraId="63966896">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9E2EE76">
      <w:pPr>
        <w:spacing w:line="440" w:lineRule="exact"/>
        <w:rPr>
          <w:rFonts w:ascii="宋体" w:hAnsi="宋体"/>
          <w:color w:val="auto"/>
          <w:szCs w:val="21"/>
          <w:highlight w:val="none"/>
        </w:rPr>
      </w:pPr>
    </w:p>
    <w:p w14:paraId="7DBA938D">
      <w:pPr>
        <w:pStyle w:val="21"/>
        <w:ind w:firstLine="344"/>
        <w:rPr>
          <w:color w:val="auto"/>
          <w:highlight w:val="none"/>
        </w:rPr>
        <w:sectPr>
          <w:pgSz w:w="11907" w:h="16840"/>
          <w:pgMar w:top="1440" w:right="1800" w:bottom="1440" w:left="1800" w:header="709" w:footer="1134" w:gutter="0"/>
          <w:cols w:space="720" w:num="1"/>
          <w:docGrid w:linePitch="285" w:charSpace="0"/>
        </w:sectPr>
      </w:pPr>
    </w:p>
    <w:tbl>
      <w:tblPr>
        <w:tblStyle w:val="45"/>
        <w:tblpPr w:leftFromText="180" w:rightFromText="180" w:vertAnchor="page" w:horzAnchor="margin" w:tblpXSpec="center" w:tblpY="886"/>
        <w:tblW w:w="15318" w:type="dxa"/>
        <w:tblInd w:w="0" w:type="dxa"/>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0A6E587D">
        <w:tblPrEx>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vAlign w:val="bottom"/>
          </w:tcPr>
          <w:p w14:paraId="71484E70">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中小微行业划型标准规定（根据工信部联企业〔2011〕300号制定）【以文件规定为准】</w:t>
            </w:r>
          </w:p>
        </w:tc>
      </w:tr>
      <w:tr w14:paraId="17FB724A">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vAlign w:val="center"/>
          </w:tcPr>
          <w:p w14:paraId="1D745CA9">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vAlign w:val="bottom"/>
          </w:tcPr>
          <w:p w14:paraId="78F1A755">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vAlign w:val="bottom"/>
          </w:tcPr>
          <w:p w14:paraId="2FFB777C">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vAlign w:val="bottom"/>
          </w:tcPr>
          <w:p w14:paraId="4CBB0518">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14:paraId="607E484D">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vAlign w:val="center"/>
          </w:tcPr>
          <w:p w14:paraId="6EBE4EC6">
            <w:pPr>
              <w:jc w:val="left"/>
              <w:rPr>
                <w:rFonts w:ascii="宋体" w:hAnsi="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vAlign w:val="bottom"/>
          </w:tcPr>
          <w:p w14:paraId="5103B3B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vAlign w:val="bottom"/>
          </w:tcPr>
          <w:p w14:paraId="2AE96BE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5EB3F13E">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vAlign w:val="bottom"/>
          </w:tcPr>
          <w:p w14:paraId="42C7547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6767CF8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vAlign w:val="bottom"/>
          </w:tcPr>
          <w:p w14:paraId="63E6A202">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vAlign w:val="bottom"/>
          </w:tcPr>
          <w:p w14:paraId="57FFAACA">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752A4B6A">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vAlign w:val="bottom"/>
          </w:tcPr>
          <w:p w14:paraId="5D27D85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4AA97366">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vAlign w:val="bottom"/>
          </w:tcPr>
          <w:p w14:paraId="4AF204D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vAlign w:val="bottom"/>
          </w:tcPr>
          <w:p w14:paraId="2312788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vAlign w:val="bottom"/>
          </w:tcPr>
          <w:p w14:paraId="676AA4C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14:paraId="5FD1649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6F3A09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vAlign w:val="bottom"/>
          </w:tcPr>
          <w:p w14:paraId="5B6AA2CC">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4DB16DC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67B6328D">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B550E07">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3936B79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vAlign w:val="bottom"/>
          </w:tcPr>
          <w:p w14:paraId="3667C34E">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719B4CC">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43BADEF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48E60083">
            <w:pPr>
              <w:jc w:val="left"/>
              <w:rPr>
                <w:rFonts w:ascii="宋体" w:hAnsi="宋体" w:cs="宋体"/>
                <w:color w:val="auto"/>
                <w:kern w:val="0"/>
                <w:sz w:val="18"/>
                <w:szCs w:val="18"/>
                <w:highlight w:val="none"/>
              </w:rPr>
            </w:pPr>
          </w:p>
        </w:tc>
      </w:tr>
      <w:tr w14:paraId="4CAC152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2CB79C3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vAlign w:val="bottom"/>
          </w:tcPr>
          <w:p w14:paraId="2F7B451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2502548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vAlign w:val="bottom"/>
          </w:tcPr>
          <w:p w14:paraId="5B77CC68">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009A79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3E22215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vAlign w:val="bottom"/>
          </w:tcPr>
          <w:p w14:paraId="41CE44F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E8BC60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25E730E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0556DC35">
            <w:pPr>
              <w:jc w:val="left"/>
              <w:rPr>
                <w:rFonts w:ascii="宋体" w:hAnsi="宋体" w:cs="宋体"/>
                <w:color w:val="auto"/>
                <w:kern w:val="0"/>
                <w:sz w:val="18"/>
                <w:szCs w:val="18"/>
                <w:highlight w:val="none"/>
              </w:rPr>
            </w:pPr>
          </w:p>
        </w:tc>
      </w:tr>
      <w:tr w14:paraId="304804F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2E057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vAlign w:val="bottom"/>
          </w:tcPr>
          <w:p w14:paraId="6D74710B">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1AE8039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vAlign w:val="bottom"/>
          </w:tcPr>
          <w:p w14:paraId="4E62B35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vAlign w:val="bottom"/>
          </w:tcPr>
          <w:p w14:paraId="5165F163">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79DD70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vAlign w:val="bottom"/>
          </w:tcPr>
          <w:p w14:paraId="59BCF4E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vAlign w:val="bottom"/>
          </w:tcPr>
          <w:p w14:paraId="38604B67">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46819D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63393B3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7CCBE3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54AE80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vAlign w:val="bottom"/>
          </w:tcPr>
          <w:p w14:paraId="7B0AA9D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vAlign w:val="bottom"/>
          </w:tcPr>
          <w:p w14:paraId="445E50B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vAlign w:val="bottom"/>
          </w:tcPr>
          <w:p w14:paraId="61577E6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3372D79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vAlign w:val="bottom"/>
          </w:tcPr>
          <w:p w14:paraId="06E9AF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vAlign w:val="bottom"/>
          </w:tcPr>
          <w:p w14:paraId="4E8D2CF5">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1C59B9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vAlign w:val="bottom"/>
          </w:tcPr>
          <w:p w14:paraId="79D5A24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vAlign w:val="bottom"/>
          </w:tcPr>
          <w:p w14:paraId="32CF6B37">
            <w:pPr>
              <w:jc w:val="left"/>
              <w:rPr>
                <w:rFonts w:ascii="宋体" w:hAnsi="宋体" w:cs="宋体"/>
                <w:color w:val="auto"/>
                <w:kern w:val="0"/>
                <w:sz w:val="18"/>
                <w:szCs w:val="18"/>
                <w:highlight w:val="none"/>
              </w:rPr>
            </w:pPr>
          </w:p>
        </w:tc>
      </w:tr>
      <w:tr w14:paraId="00F3D60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70BAF6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vAlign w:val="bottom"/>
          </w:tcPr>
          <w:p w14:paraId="1A45611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vAlign w:val="bottom"/>
          </w:tcPr>
          <w:p w14:paraId="164BA7B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4BE7CF0C">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798C4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vAlign w:val="bottom"/>
          </w:tcPr>
          <w:p w14:paraId="05A870E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vAlign w:val="bottom"/>
          </w:tcPr>
          <w:p w14:paraId="1D2AAC2E">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7EEE924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407376C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C9A3299">
            <w:pPr>
              <w:jc w:val="left"/>
              <w:rPr>
                <w:rFonts w:ascii="宋体" w:hAnsi="宋体" w:cs="宋体"/>
                <w:color w:val="auto"/>
                <w:kern w:val="0"/>
                <w:sz w:val="18"/>
                <w:szCs w:val="18"/>
                <w:highlight w:val="none"/>
              </w:rPr>
            </w:pPr>
          </w:p>
        </w:tc>
      </w:tr>
      <w:tr w14:paraId="5A08E11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F2CFF2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vAlign w:val="bottom"/>
          </w:tcPr>
          <w:p w14:paraId="7AD5626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53AB360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vAlign w:val="bottom"/>
          </w:tcPr>
          <w:p w14:paraId="3B40487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42713B9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55A75CA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vAlign w:val="bottom"/>
          </w:tcPr>
          <w:p w14:paraId="76D6A63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0E4763B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70ADBE0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vAlign w:val="bottom"/>
          </w:tcPr>
          <w:p w14:paraId="0CF4FE66">
            <w:pPr>
              <w:jc w:val="left"/>
              <w:rPr>
                <w:rFonts w:ascii="宋体" w:hAnsi="宋体" w:cs="宋体"/>
                <w:color w:val="auto"/>
                <w:kern w:val="0"/>
                <w:sz w:val="18"/>
                <w:szCs w:val="18"/>
                <w:highlight w:val="none"/>
              </w:rPr>
            </w:pPr>
          </w:p>
        </w:tc>
      </w:tr>
      <w:tr w14:paraId="266A582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C307D7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vAlign w:val="bottom"/>
          </w:tcPr>
          <w:p w14:paraId="039777B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vAlign w:val="bottom"/>
          </w:tcPr>
          <w:p w14:paraId="0A86F9E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vAlign w:val="bottom"/>
          </w:tcPr>
          <w:p w14:paraId="51CCF3DE">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5902AC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vAlign w:val="bottom"/>
          </w:tcPr>
          <w:p w14:paraId="6879D12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1D767C69">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ED4E34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5C0CD9B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4E5EA2FB">
            <w:pPr>
              <w:jc w:val="left"/>
              <w:rPr>
                <w:rFonts w:ascii="宋体" w:hAnsi="宋体" w:cs="宋体"/>
                <w:color w:val="auto"/>
                <w:kern w:val="0"/>
                <w:sz w:val="18"/>
                <w:szCs w:val="18"/>
                <w:highlight w:val="none"/>
              </w:rPr>
            </w:pPr>
          </w:p>
        </w:tc>
      </w:tr>
      <w:tr w14:paraId="535F04F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FE0DC6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vAlign w:val="bottom"/>
          </w:tcPr>
          <w:p w14:paraId="6BFEDC0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080E6FF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vAlign w:val="bottom"/>
          </w:tcPr>
          <w:p w14:paraId="11302DAE">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838505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17ED09B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7EA6E208">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10F1339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32E2692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B3A1DCB">
            <w:pPr>
              <w:jc w:val="left"/>
              <w:rPr>
                <w:rFonts w:ascii="宋体" w:hAnsi="宋体" w:cs="宋体"/>
                <w:color w:val="auto"/>
                <w:kern w:val="0"/>
                <w:sz w:val="18"/>
                <w:szCs w:val="18"/>
                <w:highlight w:val="none"/>
              </w:rPr>
            </w:pPr>
          </w:p>
        </w:tc>
      </w:tr>
      <w:tr w14:paraId="0C4FD9E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E78343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vAlign w:val="bottom"/>
          </w:tcPr>
          <w:p w14:paraId="514A980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23F1AEB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7F4A871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BD18C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737408C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6B080E2A">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DBEC81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17D5A1E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556A36AE">
            <w:pPr>
              <w:jc w:val="left"/>
              <w:rPr>
                <w:rFonts w:ascii="宋体" w:hAnsi="宋体" w:cs="宋体"/>
                <w:color w:val="auto"/>
                <w:kern w:val="0"/>
                <w:sz w:val="18"/>
                <w:szCs w:val="18"/>
                <w:highlight w:val="none"/>
              </w:rPr>
            </w:pPr>
          </w:p>
        </w:tc>
      </w:tr>
      <w:tr w14:paraId="442BB05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209835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vAlign w:val="bottom"/>
          </w:tcPr>
          <w:p w14:paraId="0A28AF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4DCCFB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362FF77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61D2013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48FA7E1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15592D3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AB8876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0C8C4F2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vAlign w:val="bottom"/>
          </w:tcPr>
          <w:p w14:paraId="2EBC17C3">
            <w:pPr>
              <w:jc w:val="left"/>
              <w:rPr>
                <w:rFonts w:ascii="宋体" w:hAnsi="宋体" w:cs="宋体"/>
                <w:color w:val="auto"/>
                <w:kern w:val="0"/>
                <w:sz w:val="18"/>
                <w:szCs w:val="18"/>
                <w:highlight w:val="none"/>
              </w:rPr>
            </w:pPr>
          </w:p>
        </w:tc>
      </w:tr>
      <w:tr w14:paraId="089018C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124B0C7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vAlign w:val="bottom"/>
          </w:tcPr>
          <w:p w14:paraId="0B336CF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vAlign w:val="bottom"/>
          </w:tcPr>
          <w:p w14:paraId="24F6A4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vAlign w:val="bottom"/>
          </w:tcPr>
          <w:p w14:paraId="6933331E">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75A8743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6473099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431D58BA">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9402CD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55B0D33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3DF06485">
            <w:pPr>
              <w:jc w:val="left"/>
              <w:rPr>
                <w:rFonts w:ascii="宋体" w:hAnsi="宋体" w:cs="宋体"/>
                <w:color w:val="auto"/>
                <w:kern w:val="0"/>
                <w:sz w:val="18"/>
                <w:szCs w:val="18"/>
                <w:highlight w:val="none"/>
              </w:rPr>
            </w:pPr>
          </w:p>
        </w:tc>
      </w:tr>
      <w:tr w14:paraId="6346BEAD">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4D66EF8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vAlign w:val="bottom"/>
          </w:tcPr>
          <w:p w14:paraId="77DFBB8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3A8ACF7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vAlign w:val="bottom"/>
          </w:tcPr>
          <w:p w14:paraId="435FE7F3">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6A30299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4DF4E04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vAlign w:val="bottom"/>
          </w:tcPr>
          <w:p w14:paraId="4FDC2374">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2B3C8F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29F2DE0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2506C855">
            <w:pPr>
              <w:jc w:val="left"/>
              <w:rPr>
                <w:rFonts w:ascii="宋体" w:hAnsi="宋体" w:cs="宋体"/>
                <w:color w:val="auto"/>
                <w:kern w:val="0"/>
                <w:sz w:val="18"/>
                <w:szCs w:val="18"/>
                <w:highlight w:val="none"/>
              </w:rPr>
            </w:pPr>
          </w:p>
        </w:tc>
      </w:tr>
      <w:tr w14:paraId="0D624B2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037754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vAlign w:val="bottom"/>
          </w:tcPr>
          <w:p w14:paraId="035B355B">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47F0BC3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vAlign w:val="bottom"/>
          </w:tcPr>
          <w:p w14:paraId="73CD13B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vAlign w:val="bottom"/>
          </w:tcPr>
          <w:p w14:paraId="4645BC36">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329808D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479F4AA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vAlign w:val="bottom"/>
          </w:tcPr>
          <w:p w14:paraId="4750291C">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22EDF66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2FDB987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9136F7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55DCF6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vAlign w:val="bottom"/>
          </w:tcPr>
          <w:p w14:paraId="1495DDD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584EE53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vAlign w:val="bottom"/>
          </w:tcPr>
          <w:p w14:paraId="5D7868B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FCE0D0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vAlign w:val="bottom"/>
          </w:tcPr>
          <w:p w14:paraId="4DA60C8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vAlign w:val="bottom"/>
          </w:tcPr>
          <w:p w14:paraId="347492D2">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63CCA9F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vAlign w:val="bottom"/>
          </w:tcPr>
          <w:p w14:paraId="6D602D2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vAlign w:val="bottom"/>
          </w:tcPr>
          <w:p w14:paraId="3A807D30">
            <w:pPr>
              <w:jc w:val="left"/>
              <w:rPr>
                <w:rFonts w:ascii="宋体" w:hAnsi="宋体" w:cs="宋体"/>
                <w:color w:val="auto"/>
                <w:kern w:val="0"/>
                <w:sz w:val="18"/>
                <w:szCs w:val="18"/>
                <w:highlight w:val="none"/>
              </w:rPr>
            </w:pPr>
          </w:p>
        </w:tc>
      </w:tr>
      <w:tr w14:paraId="2BDCBF5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6BC48A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vAlign w:val="bottom"/>
          </w:tcPr>
          <w:p w14:paraId="29FC259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58F3E470">
            <w:pPr>
              <w:jc w:val="left"/>
              <w:rPr>
                <w:rFonts w:ascii="宋体" w:hAnsi="宋体" w:cs="宋体"/>
                <w:color w:val="auto"/>
                <w:kern w:val="0"/>
                <w:sz w:val="18"/>
                <w:szCs w:val="18"/>
                <w:highlight w:val="none"/>
              </w:rPr>
            </w:pPr>
          </w:p>
        </w:tc>
        <w:tc>
          <w:tcPr>
            <w:tcW w:w="1660" w:type="dxa"/>
            <w:tcBorders>
              <w:top w:val="nil"/>
              <w:left w:val="nil"/>
              <w:bottom w:val="single" w:color="auto" w:sz="4" w:space="0"/>
              <w:right w:val="single" w:color="auto" w:sz="8" w:space="0"/>
            </w:tcBorders>
            <w:shd w:val="clear" w:color="auto" w:fill="auto"/>
            <w:vAlign w:val="bottom"/>
          </w:tcPr>
          <w:p w14:paraId="5014A1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vAlign w:val="bottom"/>
          </w:tcPr>
          <w:p w14:paraId="33B9E51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5563BC6A">
            <w:pPr>
              <w:jc w:val="left"/>
              <w:rPr>
                <w:rFonts w:ascii="宋体" w:hAnsi="宋体" w:cs="宋体"/>
                <w:color w:val="auto"/>
                <w:kern w:val="0"/>
                <w:sz w:val="18"/>
                <w:szCs w:val="18"/>
                <w:highlight w:val="none"/>
              </w:rPr>
            </w:pPr>
          </w:p>
        </w:tc>
        <w:tc>
          <w:tcPr>
            <w:tcW w:w="1520" w:type="dxa"/>
            <w:tcBorders>
              <w:top w:val="nil"/>
              <w:left w:val="nil"/>
              <w:bottom w:val="single" w:color="auto" w:sz="4" w:space="0"/>
              <w:right w:val="single" w:color="auto" w:sz="8" w:space="0"/>
            </w:tcBorders>
            <w:shd w:val="clear" w:color="auto" w:fill="auto"/>
            <w:vAlign w:val="bottom"/>
          </w:tcPr>
          <w:p w14:paraId="2770C65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vAlign w:val="bottom"/>
          </w:tcPr>
          <w:p w14:paraId="3506FE0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6CD65931">
            <w:pPr>
              <w:jc w:val="left"/>
              <w:rPr>
                <w:rFonts w:ascii="宋体" w:hAnsi="宋体" w:cs="宋体"/>
                <w:color w:val="auto"/>
                <w:kern w:val="0"/>
                <w:sz w:val="18"/>
                <w:szCs w:val="18"/>
                <w:highlight w:val="none"/>
              </w:rPr>
            </w:pPr>
          </w:p>
        </w:tc>
        <w:tc>
          <w:tcPr>
            <w:tcW w:w="1221" w:type="dxa"/>
            <w:tcBorders>
              <w:top w:val="nil"/>
              <w:left w:val="nil"/>
              <w:bottom w:val="single" w:color="auto" w:sz="4" w:space="0"/>
              <w:right w:val="single" w:color="auto" w:sz="8" w:space="0"/>
            </w:tcBorders>
            <w:shd w:val="clear" w:color="auto" w:fill="auto"/>
            <w:vAlign w:val="bottom"/>
          </w:tcPr>
          <w:p w14:paraId="251C6C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DB88BEB">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vAlign w:val="bottom"/>
          </w:tcPr>
          <w:p w14:paraId="608FECAF">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vAlign w:val="bottom"/>
          </w:tcPr>
          <w:p w14:paraId="07D38845">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vAlign w:val="bottom"/>
          </w:tcPr>
          <w:p w14:paraId="71959FF2">
            <w:pPr>
              <w:jc w:val="left"/>
              <w:rPr>
                <w:rFonts w:ascii="宋体" w:hAnsi="宋体" w:cs="宋体"/>
                <w:b/>
                <w:bCs/>
                <w:color w:val="auto"/>
                <w:kern w:val="0"/>
                <w:sz w:val="18"/>
                <w:szCs w:val="18"/>
                <w:highlight w:val="none"/>
              </w:rPr>
            </w:pPr>
          </w:p>
        </w:tc>
        <w:tc>
          <w:tcPr>
            <w:tcW w:w="1660" w:type="dxa"/>
            <w:tcBorders>
              <w:top w:val="nil"/>
              <w:left w:val="nil"/>
              <w:bottom w:val="single" w:color="auto" w:sz="8" w:space="0"/>
              <w:right w:val="single" w:color="auto" w:sz="8" w:space="0"/>
            </w:tcBorders>
            <w:shd w:val="clear" w:color="auto" w:fill="auto"/>
            <w:vAlign w:val="bottom"/>
          </w:tcPr>
          <w:p w14:paraId="6A9029E4">
            <w:pPr>
              <w:jc w:val="left"/>
              <w:rPr>
                <w:rFonts w:ascii="宋体" w:hAnsi="宋体" w:cs="宋体"/>
                <w:b/>
                <w:bCs/>
                <w:color w:val="auto"/>
                <w:kern w:val="0"/>
                <w:sz w:val="18"/>
                <w:szCs w:val="18"/>
                <w:highlight w:val="none"/>
              </w:rPr>
            </w:pPr>
          </w:p>
        </w:tc>
        <w:tc>
          <w:tcPr>
            <w:tcW w:w="1240" w:type="dxa"/>
            <w:tcBorders>
              <w:top w:val="nil"/>
              <w:left w:val="nil"/>
              <w:bottom w:val="single" w:color="auto" w:sz="8" w:space="0"/>
              <w:right w:val="single" w:color="auto" w:sz="4" w:space="0"/>
            </w:tcBorders>
            <w:shd w:val="clear" w:color="auto" w:fill="auto"/>
            <w:vAlign w:val="bottom"/>
          </w:tcPr>
          <w:p w14:paraId="74A3348B">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vAlign w:val="bottom"/>
          </w:tcPr>
          <w:p w14:paraId="4AE7B4CE">
            <w:pPr>
              <w:jc w:val="left"/>
              <w:rPr>
                <w:rFonts w:ascii="宋体" w:hAnsi="宋体" w:cs="宋体"/>
                <w:b/>
                <w:bCs/>
                <w:color w:val="auto"/>
                <w:kern w:val="0"/>
                <w:sz w:val="18"/>
                <w:szCs w:val="18"/>
                <w:highlight w:val="none"/>
              </w:rPr>
            </w:pPr>
          </w:p>
        </w:tc>
        <w:tc>
          <w:tcPr>
            <w:tcW w:w="1520" w:type="dxa"/>
            <w:tcBorders>
              <w:top w:val="nil"/>
              <w:left w:val="nil"/>
              <w:bottom w:val="single" w:color="auto" w:sz="8" w:space="0"/>
              <w:right w:val="single" w:color="auto" w:sz="8" w:space="0"/>
            </w:tcBorders>
            <w:shd w:val="clear" w:color="auto" w:fill="auto"/>
            <w:vAlign w:val="bottom"/>
          </w:tcPr>
          <w:p w14:paraId="62ACD024">
            <w:pPr>
              <w:jc w:val="left"/>
              <w:rPr>
                <w:rFonts w:ascii="宋体" w:hAnsi="宋体" w:cs="宋体"/>
                <w:b/>
                <w:bCs/>
                <w:color w:val="auto"/>
                <w:kern w:val="0"/>
                <w:sz w:val="18"/>
                <w:szCs w:val="18"/>
                <w:highlight w:val="none"/>
              </w:rPr>
            </w:pPr>
          </w:p>
        </w:tc>
        <w:tc>
          <w:tcPr>
            <w:tcW w:w="1285" w:type="dxa"/>
            <w:tcBorders>
              <w:top w:val="nil"/>
              <w:left w:val="nil"/>
              <w:bottom w:val="single" w:color="auto" w:sz="8" w:space="0"/>
              <w:right w:val="single" w:color="auto" w:sz="4" w:space="0"/>
            </w:tcBorders>
            <w:shd w:val="clear" w:color="auto" w:fill="auto"/>
            <w:vAlign w:val="bottom"/>
          </w:tcPr>
          <w:p w14:paraId="4912077E">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vAlign w:val="bottom"/>
          </w:tcPr>
          <w:p w14:paraId="3B84EAB5">
            <w:pPr>
              <w:jc w:val="left"/>
              <w:rPr>
                <w:rFonts w:ascii="宋体" w:hAnsi="宋体" w:cs="宋体"/>
                <w:b/>
                <w:bCs/>
                <w:color w:val="auto"/>
                <w:kern w:val="0"/>
                <w:sz w:val="18"/>
                <w:szCs w:val="18"/>
                <w:highlight w:val="none"/>
              </w:rPr>
            </w:pPr>
          </w:p>
        </w:tc>
        <w:tc>
          <w:tcPr>
            <w:tcW w:w="1221" w:type="dxa"/>
            <w:tcBorders>
              <w:top w:val="nil"/>
              <w:left w:val="nil"/>
              <w:bottom w:val="single" w:color="auto" w:sz="8" w:space="0"/>
              <w:right w:val="single" w:color="auto" w:sz="8" w:space="0"/>
            </w:tcBorders>
            <w:shd w:val="clear" w:color="auto" w:fill="auto"/>
            <w:vAlign w:val="bottom"/>
          </w:tcPr>
          <w:p w14:paraId="3354B4A0">
            <w:pPr>
              <w:jc w:val="left"/>
              <w:rPr>
                <w:rFonts w:ascii="宋体" w:hAnsi="宋体" w:cs="宋体"/>
                <w:b/>
                <w:bCs/>
                <w:color w:val="auto"/>
                <w:kern w:val="0"/>
                <w:sz w:val="18"/>
                <w:szCs w:val="18"/>
                <w:highlight w:val="none"/>
              </w:rPr>
            </w:pPr>
          </w:p>
        </w:tc>
      </w:tr>
      <w:tr w14:paraId="78AE5CDB">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vAlign w:val="bottom"/>
          </w:tcPr>
          <w:p w14:paraId="0D878F94">
            <w:pPr>
              <w:jc w:val="left"/>
              <w:rPr>
                <w:rFonts w:ascii="宋体" w:hAnsi="宋体" w:cs="宋体"/>
                <w:color w:val="auto"/>
                <w:sz w:val="18"/>
                <w:szCs w:val="18"/>
                <w:highlight w:val="none"/>
              </w:rPr>
            </w:pPr>
            <w:r>
              <w:rPr>
                <w:rFonts w:hint="eastAsia" w:ascii="宋体" w:hAnsi="宋体" w:cs="宋体"/>
                <w:color w:val="auto"/>
                <w:sz w:val="18"/>
                <w:szCs w:val="18"/>
                <w:highlight w:val="none"/>
              </w:rPr>
              <w:t>说明：1、企业类型的划分以统计部门的统计数据为依据。</w:t>
            </w:r>
          </w:p>
          <w:p w14:paraId="291C74A0">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2、个体工商户和本规定以外的行业，参照本规定进行划型。</w:t>
            </w:r>
          </w:p>
          <w:p w14:paraId="5FAFFF90">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3、本规定的中型企业标准上限即为大型企业标准的下限。</w:t>
            </w:r>
          </w:p>
        </w:tc>
      </w:tr>
    </w:tbl>
    <w:p w14:paraId="07554499">
      <w:pPr>
        <w:pStyle w:val="2"/>
        <w:ind w:firstLine="211"/>
        <w:rPr>
          <w:b/>
          <w:bCs/>
          <w:color w:val="auto"/>
          <w:highlight w:val="none"/>
        </w:rPr>
      </w:pPr>
    </w:p>
    <w:sectPr>
      <w:headerReference r:id="rId16" w:type="default"/>
      <w:footerReference r:id="rId17" w:type="default"/>
      <w:pgSz w:w="16838" w:h="11906" w:orient="landscape"/>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0566A1A-AF19-498D-9000-0ADAE20308D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638795E-937D-4165-9B7C-0815100B4AA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003F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embedRegular r:id="rId3" w:fontKey="{D6A86A57-923B-471A-992F-390C23960F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3BC2">
    <w:pPr>
      <w:pStyle w:val="3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F008">
    <w:pPr>
      <w:pStyle w:val="3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65342D">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1665342D">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13CE">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29C0">
    <w:pPr>
      <w:pStyle w:val="32"/>
      <w:tabs>
        <w:tab w:val="center" w:pos="4312"/>
        <w:tab w:val="left" w:pos="489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8A67">
    <w:pPr>
      <w:pStyle w:val="3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5069919D">
                              <w:pPr>
                                <w:pStyle w:val="32"/>
                                <w:jc w:val="center"/>
                              </w:pPr>
                              <w:r>
                                <w:fldChar w:fldCharType="begin"/>
                              </w:r>
                              <w:r>
                                <w:instrText xml:space="preserve">PAGE   \* MERGEFORMAT</w:instrText>
                              </w:r>
                              <w:r>
                                <w:fldChar w:fldCharType="separate"/>
                              </w:r>
                              <w:r>
                                <w:rPr>
                                  <w:lang w:val="zh-CN"/>
                                </w:rPr>
                                <w:t>26</w:t>
                              </w:r>
                              <w:r>
                                <w:fldChar w:fldCharType="end"/>
                              </w:r>
                            </w:p>
                          </w:sdtContent>
                        </w:sdt>
                        <w:p w14:paraId="623E1F2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412364011"/>
                    </w:sdtPr>
                    <w:sdtContent>
                      <w:p w14:paraId="5069919D">
                        <w:pPr>
                          <w:pStyle w:val="32"/>
                          <w:jc w:val="center"/>
                        </w:pPr>
                        <w:r>
                          <w:fldChar w:fldCharType="begin"/>
                        </w:r>
                        <w:r>
                          <w:instrText xml:space="preserve">PAGE   \* MERGEFORMAT</w:instrText>
                        </w:r>
                        <w:r>
                          <w:fldChar w:fldCharType="separate"/>
                        </w:r>
                        <w:r>
                          <w:rPr>
                            <w:lang w:val="zh-CN"/>
                          </w:rPr>
                          <w:t>26</w:t>
                        </w:r>
                        <w:r>
                          <w:fldChar w:fldCharType="end"/>
                        </w:r>
                      </w:p>
                    </w:sdtContent>
                  </w:sdt>
                  <w:p w14:paraId="623E1F2F">
                    <w:pPr>
                      <w:pStyle w:val="2"/>
                      <w:ind w:firstLine="2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44F5">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34261CA9">
                              <w:pPr>
                                <w:pStyle w:val="32"/>
                                <w:jc w:val="center"/>
                              </w:pPr>
                              <w:r>
                                <w:fldChar w:fldCharType="begin"/>
                              </w:r>
                              <w:r>
                                <w:instrText xml:space="preserve">PAGE   \* MERGEFORMAT</w:instrText>
                              </w:r>
                              <w:r>
                                <w:fldChar w:fldCharType="separate"/>
                              </w:r>
                              <w:r>
                                <w:rPr>
                                  <w:lang w:val="zh-CN"/>
                                </w:rPr>
                                <w:t>25</w:t>
                              </w:r>
                              <w:r>
                                <w:fldChar w:fldCharType="end"/>
                              </w:r>
                            </w:p>
                          </w:sdtContent>
                        </w:sdt>
                        <w:p w14:paraId="4C4C043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512804531"/>
                    </w:sdtPr>
                    <w:sdtContent>
                      <w:p w14:paraId="34261CA9">
                        <w:pPr>
                          <w:pStyle w:val="32"/>
                          <w:jc w:val="center"/>
                        </w:pPr>
                        <w:r>
                          <w:fldChar w:fldCharType="begin"/>
                        </w:r>
                        <w:r>
                          <w:instrText xml:space="preserve">PAGE   \* MERGEFORMAT</w:instrText>
                        </w:r>
                        <w:r>
                          <w:fldChar w:fldCharType="separate"/>
                        </w:r>
                        <w:r>
                          <w:rPr>
                            <w:lang w:val="zh-CN"/>
                          </w:rPr>
                          <w:t>25</w:t>
                        </w:r>
                        <w:r>
                          <w:fldChar w:fldCharType="end"/>
                        </w:r>
                      </w:p>
                    </w:sdtContent>
                  </w:sdt>
                  <w:p w14:paraId="4C4C043F">
                    <w:pPr>
                      <w:pStyle w:val="2"/>
                      <w:ind w:firstLine="2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3A04">
    <w:pPr>
      <w:pStyle w:val="3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3440643"/>
                          </w:sdtPr>
                          <w:sdtContent>
                            <w:p w14:paraId="68FC812A">
                              <w:pPr>
                                <w:pStyle w:val="32"/>
                                <w:jc w:val="center"/>
                              </w:pPr>
                              <w:r>
                                <w:fldChar w:fldCharType="begin"/>
                              </w:r>
                              <w:r>
                                <w:instrText xml:space="preserve">PAGE   \* MERGEFORMAT</w:instrText>
                              </w:r>
                              <w:r>
                                <w:fldChar w:fldCharType="separate"/>
                              </w:r>
                              <w:r>
                                <w:rPr>
                                  <w:lang w:val="zh-CN"/>
                                </w:rPr>
                                <w:t>26</w:t>
                              </w:r>
                              <w:r>
                                <w:fldChar w:fldCharType="end"/>
                              </w:r>
                            </w:p>
                          </w:sdtContent>
                        </w:sdt>
                        <w:p w14:paraId="41BD255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743440643"/>
                    </w:sdtPr>
                    <w:sdtContent>
                      <w:p w14:paraId="68FC812A">
                        <w:pPr>
                          <w:pStyle w:val="32"/>
                          <w:jc w:val="center"/>
                        </w:pPr>
                        <w:r>
                          <w:fldChar w:fldCharType="begin"/>
                        </w:r>
                        <w:r>
                          <w:instrText xml:space="preserve">PAGE   \* MERGEFORMAT</w:instrText>
                        </w:r>
                        <w:r>
                          <w:fldChar w:fldCharType="separate"/>
                        </w:r>
                        <w:r>
                          <w:rPr>
                            <w:lang w:val="zh-CN"/>
                          </w:rPr>
                          <w:t>26</w:t>
                        </w:r>
                        <w:r>
                          <w:fldChar w:fldCharType="end"/>
                        </w:r>
                      </w:p>
                    </w:sdtContent>
                  </w:sdt>
                  <w:p w14:paraId="41BD255F">
                    <w:pPr>
                      <w:pStyle w:val="2"/>
                      <w:ind w:firstLine="2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FF1B">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76370">
                          <w:pPr>
                            <w:pStyle w:val="32"/>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D876370">
                    <w:pPr>
                      <w:pStyle w:val="32"/>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1100">
    <w:pPr>
      <w:pStyle w:val="3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A1AD3B">
                          <w:pPr>
                            <w:pStyle w:val="32"/>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1CA1AD3B">
                    <w:pPr>
                      <w:pStyle w:val="32"/>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F111">
    <w:pPr>
      <w:pStyle w:val="32"/>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1B688D59">
    <w:pPr>
      <w:pStyle w:val="3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0894">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0F74">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C297">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CB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E37B">
    <w:pPr>
      <w:pStyle w:val="3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2"/>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29D120CC"/>
    <w:multiLevelType w:val="singleLevel"/>
    <w:tmpl w:val="29D120CC"/>
    <w:lvl w:ilvl="0" w:tentative="0">
      <w:start w:val="1"/>
      <w:numFmt w:val="decimal"/>
      <w:suff w:val="nothing"/>
      <w:lvlText w:val="（%1）"/>
      <w:lvlJc w:val="left"/>
      <w:pPr>
        <w:ind w:left="-2"/>
      </w:pPr>
    </w:lvl>
  </w:abstractNum>
  <w:abstractNum w:abstractNumId="4">
    <w:nsid w:val="3FA65839"/>
    <w:multiLevelType w:val="singleLevel"/>
    <w:tmpl w:val="3FA65839"/>
    <w:lvl w:ilvl="0" w:tentative="0">
      <w:start w:val="2"/>
      <w:numFmt w:val="chineseCounting"/>
      <w:suff w:val="nothing"/>
      <w:lvlText w:val="%1、"/>
      <w:lvlJc w:val="left"/>
      <w:rPr>
        <w:rFonts w:hint="eastAsia"/>
      </w:rPr>
    </w:lvl>
  </w:abstractNum>
  <w:abstractNum w:abstractNumId="5">
    <w:nsid w:val="5950E9B0"/>
    <w:multiLevelType w:val="singleLevel"/>
    <w:tmpl w:val="5950E9B0"/>
    <w:lvl w:ilvl="0" w:tentative="0">
      <w:start w:val="2"/>
      <w:numFmt w:val="decimal"/>
      <w:suff w:val="nothing"/>
      <w:lvlText w:val="%1、"/>
      <w:lvlJc w:val="left"/>
    </w:lvl>
  </w:abstractNum>
  <w:abstractNum w:abstractNumId="6">
    <w:nsid w:val="5C9C1424"/>
    <w:multiLevelType w:val="singleLevel"/>
    <w:tmpl w:val="5C9C1424"/>
    <w:lvl w:ilvl="0" w:tentative="0">
      <w:start w:val="1"/>
      <w:numFmt w:val="decimal"/>
      <w:suff w:val="nothing"/>
      <w:lvlText w:val="（%1）"/>
      <w:lvlJc w:val="left"/>
    </w:lvl>
  </w:abstractNum>
  <w:abstractNum w:abstractNumId="7">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f5041266-02ca-4d4e-a480-12c5701251e8"/>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88C"/>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0D64"/>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6453"/>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11A4"/>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346"/>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2791"/>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3C0007"/>
    <w:rsid w:val="0162159B"/>
    <w:rsid w:val="01B85939"/>
    <w:rsid w:val="01BB61BD"/>
    <w:rsid w:val="01D21907"/>
    <w:rsid w:val="01EB45F2"/>
    <w:rsid w:val="020625FB"/>
    <w:rsid w:val="02385327"/>
    <w:rsid w:val="02620527"/>
    <w:rsid w:val="02795380"/>
    <w:rsid w:val="02C96DB0"/>
    <w:rsid w:val="02FF6845"/>
    <w:rsid w:val="03C84E21"/>
    <w:rsid w:val="04022639"/>
    <w:rsid w:val="044A5EDE"/>
    <w:rsid w:val="04AA5F08"/>
    <w:rsid w:val="04D96AB8"/>
    <w:rsid w:val="050B40DD"/>
    <w:rsid w:val="050E40F8"/>
    <w:rsid w:val="062F2669"/>
    <w:rsid w:val="06A25EEE"/>
    <w:rsid w:val="06C03CAC"/>
    <w:rsid w:val="06D95264"/>
    <w:rsid w:val="07394DD0"/>
    <w:rsid w:val="07996087"/>
    <w:rsid w:val="08932267"/>
    <w:rsid w:val="08A22BF8"/>
    <w:rsid w:val="08C259F6"/>
    <w:rsid w:val="08D23882"/>
    <w:rsid w:val="08FA03DC"/>
    <w:rsid w:val="090E1FF0"/>
    <w:rsid w:val="09212C58"/>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EA51D38"/>
    <w:rsid w:val="0F051957"/>
    <w:rsid w:val="0F0A008A"/>
    <w:rsid w:val="0F1B3632"/>
    <w:rsid w:val="0F301163"/>
    <w:rsid w:val="0F334C38"/>
    <w:rsid w:val="0F642CF8"/>
    <w:rsid w:val="0FB73D2F"/>
    <w:rsid w:val="0FC758F8"/>
    <w:rsid w:val="0FF06A88"/>
    <w:rsid w:val="10147E0F"/>
    <w:rsid w:val="10266D7B"/>
    <w:rsid w:val="102B5060"/>
    <w:rsid w:val="10406177"/>
    <w:rsid w:val="10FB3C80"/>
    <w:rsid w:val="113809F6"/>
    <w:rsid w:val="119D01C8"/>
    <w:rsid w:val="12207515"/>
    <w:rsid w:val="123546C8"/>
    <w:rsid w:val="12BF5DF8"/>
    <w:rsid w:val="13216104"/>
    <w:rsid w:val="133A6CC1"/>
    <w:rsid w:val="137F4200"/>
    <w:rsid w:val="139C13BB"/>
    <w:rsid w:val="13A75DAC"/>
    <w:rsid w:val="13CA09F7"/>
    <w:rsid w:val="13D939C8"/>
    <w:rsid w:val="13DF413D"/>
    <w:rsid w:val="143B4022"/>
    <w:rsid w:val="144A2B13"/>
    <w:rsid w:val="144C4A34"/>
    <w:rsid w:val="14692254"/>
    <w:rsid w:val="146E6FF5"/>
    <w:rsid w:val="14AB35FB"/>
    <w:rsid w:val="14BB34A7"/>
    <w:rsid w:val="14F50F46"/>
    <w:rsid w:val="15327CA7"/>
    <w:rsid w:val="157732FC"/>
    <w:rsid w:val="15FE6B6D"/>
    <w:rsid w:val="16047B0A"/>
    <w:rsid w:val="16221E39"/>
    <w:rsid w:val="16236A1C"/>
    <w:rsid w:val="1665050A"/>
    <w:rsid w:val="168F3FC1"/>
    <w:rsid w:val="169D0AD8"/>
    <w:rsid w:val="172F259E"/>
    <w:rsid w:val="174906AB"/>
    <w:rsid w:val="174F5E14"/>
    <w:rsid w:val="182F2EB5"/>
    <w:rsid w:val="18305A48"/>
    <w:rsid w:val="187015C3"/>
    <w:rsid w:val="189A6EC9"/>
    <w:rsid w:val="18CB5AC6"/>
    <w:rsid w:val="18EF2867"/>
    <w:rsid w:val="19055902"/>
    <w:rsid w:val="192C6C17"/>
    <w:rsid w:val="19FB778E"/>
    <w:rsid w:val="1A0845CE"/>
    <w:rsid w:val="1A5A653E"/>
    <w:rsid w:val="1AA12791"/>
    <w:rsid w:val="1AC934B7"/>
    <w:rsid w:val="1AF81FEE"/>
    <w:rsid w:val="1B1A3F56"/>
    <w:rsid w:val="1B39508C"/>
    <w:rsid w:val="1B3F29C7"/>
    <w:rsid w:val="1BA1188B"/>
    <w:rsid w:val="1BCE0761"/>
    <w:rsid w:val="1C0F2E9C"/>
    <w:rsid w:val="1C612F73"/>
    <w:rsid w:val="1C7D70BD"/>
    <w:rsid w:val="1CAF5EA6"/>
    <w:rsid w:val="1CC506F8"/>
    <w:rsid w:val="1CF2415D"/>
    <w:rsid w:val="1D640B2F"/>
    <w:rsid w:val="1E307161"/>
    <w:rsid w:val="1E8459D7"/>
    <w:rsid w:val="1ECE5B24"/>
    <w:rsid w:val="1F1D2A14"/>
    <w:rsid w:val="1F2148E7"/>
    <w:rsid w:val="1F3C5FFF"/>
    <w:rsid w:val="1F3D1604"/>
    <w:rsid w:val="1F5D0D59"/>
    <w:rsid w:val="1F787A0A"/>
    <w:rsid w:val="1F9F6779"/>
    <w:rsid w:val="1FCF0E22"/>
    <w:rsid w:val="20077526"/>
    <w:rsid w:val="203A33BA"/>
    <w:rsid w:val="20F25437"/>
    <w:rsid w:val="212F64BC"/>
    <w:rsid w:val="214B6E00"/>
    <w:rsid w:val="21692707"/>
    <w:rsid w:val="219730D1"/>
    <w:rsid w:val="21B345B5"/>
    <w:rsid w:val="21C51DFB"/>
    <w:rsid w:val="21D700B7"/>
    <w:rsid w:val="21D963BE"/>
    <w:rsid w:val="22322BE0"/>
    <w:rsid w:val="22764F96"/>
    <w:rsid w:val="22A5481F"/>
    <w:rsid w:val="22AF2762"/>
    <w:rsid w:val="22BA496D"/>
    <w:rsid w:val="230C2EF7"/>
    <w:rsid w:val="23134F76"/>
    <w:rsid w:val="233F546C"/>
    <w:rsid w:val="23871813"/>
    <w:rsid w:val="23E94CB0"/>
    <w:rsid w:val="24140310"/>
    <w:rsid w:val="243C5887"/>
    <w:rsid w:val="245851F6"/>
    <w:rsid w:val="25764DB6"/>
    <w:rsid w:val="25A33F10"/>
    <w:rsid w:val="25DB5C14"/>
    <w:rsid w:val="25F52650"/>
    <w:rsid w:val="266A0EB5"/>
    <w:rsid w:val="268649AB"/>
    <w:rsid w:val="269C7711"/>
    <w:rsid w:val="26C9458B"/>
    <w:rsid w:val="26F0310B"/>
    <w:rsid w:val="2781724E"/>
    <w:rsid w:val="27A71B32"/>
    <w:rsid w:val="27FB5E50"/>
    <w:rsid w:val="27FD0101"/>
    <w:rsid w:val="28251848"/>
    <w:rsid w:val="2829057B"/>
    <w:rsid w:val="288B6F3E"/>
    <w:rsid w:val="288D19A1"/>
    <w:rsid w:val="28EB2EE5"/>
    <w:rsid w:val="29124F7B"/>
    <w:rsid w:val="293C0FF3"/>
    <w:rsid w:val="293D1A07"/>
    <w:rsid w:val="29611443"/>
    <w:rsid w:val="297A2260"/>
    <w:rsid w:val="29CF7159"/>
    <w:rsid w:val="2A550833"/>
    <w:rsid w:val="2A5E0991"/>
    <w:rsid w:val="2A616496"/>
    <w:rsid w:val="2A67344C"/>
    <w:rsid w:val="2AA25D4B"/>
    <w:rsid w:val="2AC25681"/>
    <w:rsid w:val="2AE15F6D"/>
    <w:rsid w:val="2B28535F"/>
    <w:rsid w:val="2B324AEE"/>
    <w:rsid w:val="2B366D72"/>
    <w:rsid w:val="2BBA2A4D"/>
    <w:rsid w:val="2BE4228F"/>
    <w:rsid w:val="2BEA19B8"/>
    <w:rsid w:val="2C2B327B"/>
    <w:rsid w:val="2CBD4E08"/>
    <w:rsid w:val="2D6459B8"/>
    <w:rsid w:val="2D900F1E"/>
    <w:rsid w:val="2D90548E"/>
    <w:rsid w:val="2DCE7877"/>
    <w:rsid w:val="2E426D24"/>
    <w:rsid w:val="2E503288"/>
    <w:rsid w:val="2E8E1FA8"/>
    <w:rsid w:val="2EE76A63"/>
    <w:rsid w:val="2F53333C"/>
    <w:rsid w:val="2FCF38F4"/>
    <w:rsid w:val="2FF479A2"/>
    <w:rsid w:val="2FFE0506"/>
    <w:rsid w:val="300B243D"/>
    <w:rsid w:val="302F785C"/>
    <w:rsid w:val="30901F3D"/>
    <w:rsid w:val="309B7C47"/>
    <w:rsid w:val="31CF4FB5"/>
    <w:rsid w:val="32134BBA"/>
    <w:rsid w:val="328C5A54"/>
    <w:rsid w:val="32A10A97"/>
    <w:rsid w:val="32AB6ADD"/>
    <w:rsid w:val="32BC5610"/>
    <w:rsid w:val="33A043AE"/>
    <w:rsid w:val="33AE4AA0"/>
    <w:rsid w:val="345A52C4"/>
    <w:rsid w:val="347B7798"/>
    <w:rsid w:val="34953230"/>
    <w:rsid w:val="34BD5638"/>
    <w:rsid w:val="34F35160"/>
    <w:rsid w:val="35090AC8"/>
    <w:rsid w:val="35102141"/>
    <w:rsid w:val="35193004"/>
    <w:rsid w:val="354030ED"/>
    <w:rsid w:val="35A93573"/>
    <w:rsid w:val="3627310D"/>
    <w:rsid w:val="36941E25"/>
    <w:rsid w:val="36D264D8"/>
    <w:rsid w:val="36E653D5"/>
    <w:rsid w:val="376D2DA2"/>
    <w:rsid w:val="37B07A7B"/>
    <w:rsid w:val="38530109"/>
    <w:rsid w:val="38A731D0"/>
    <w:rsid w:val="390B273E"/>
    <w:rsid w:val="39136190"/>
    <w:rsid w:val="394A5C9D"/>
    <w:rsid w:val="397270FA"/>
    <w:rsid w:val="39BC7D90"/>
    <w:rsid w:val="39D7038C"/>
    <w:rsid w:val="3A2A4EC5"/>
    <w:rsid w:val="3A6E06A9"/>
    <w:rsid w:val="3A745EF5"/>
    <w:rsid w:val="3A9659C1"/>
    <w:rsid w:val="3AE617DC"/>
    <w:rsid w:val="3B115D13"/>
    <w:rsid w:val="3B3F20D2"/>
    <w:rsid w:val="3B597A59"/>
    <w:rsid w:val="3B5B643B"/>
    <w:rsid w:val="3B820508"/>
    <w:rsid w:val="3B9B1F32"/>
    <w:rsid w:val="3C1E28EE"/>
    <w:rsid w:val="3C4166B2"/>
    <w:rsid w:val="3C69438A"/>
    <w:rsid w:val="3C914884"/>
    <w:rsid w:val="3C980B6F"/>
    <w:rsid w:val="3CBD19FA"/>
    <w:rsid w:val="3DD41933"/>
    <w:rsid w:val="3DD72946"/>
    <w:rsid w:val="3E3D2177"/>
    <w:rsid w:val="3E4D2DB7"/>
    <w:rsid w:val="3E4E6376"/>
    <w:rsid w:val="3E6B1947"/>
    <w:rsid w:val="3E8D6B21"/>
    <w:rsid w:val="3F06752F"/>
    <w:rsid w:val="3F6119DD"/>
    <w:rsid w:val="4021710D"/>
    <w:rsid w:val="40311F9D"/>
    <w:rsid w:val="405A550A"/>
    <w:rsid w:val="40D63E2B"/>
    <w:rsid w:val="40E43DC9"/>
    <w:rsid w:val="40E75D7E"/>
    <w:rsid w:val="41CB0627"/>
    <w:rsid w:val="41DC429C"/>
    <w:rsid w:val="41EB5CB5"/>
    <w:rsid w:val="421551E2"/>
    <w:rsid w:val="42254899"/>
    <w:rsid w:val="422A1A07"/>
    <w:rsid w:val="42CF3FC4"/>
    <w:rsid w:val="42FA721C"/>
    <w:rsid w:val="43665216"/>
    <w:rsid w:val="44070728"/>
    <w:rsid w:val="44090311"/>
    <w:rsid w:val="441B2E6A"/>
    <w:rsid w:val="444572E8"/>
    <w:rsid w:val="44714970"/>
    <w:rsid w:val="44825B98"/>
    <w:rsid w:val="448B6CF5"/>
    <w:rsid w:val="44D81AAD"/>
    <w:rsid w:val="452774EC"/>
    <w:rsid w:val="452B0731"/>
    <w:rsid w:val="457148DF"/>
    <w:rsid w:val="457C0C7E"/>
    <w:rsid w:val="45E8304E"/>
    <w:rsid w:val="45EC17B9"/>
    <w:rsid w:val="45F76490"/>
    <w:rsid w:val="45F861E1"/>
    <w:rsid w:val="463830AB"/>
    <w:rsid w:val="46896661"/>
    <w:rsid w:val="46BC6216"/>
    <w:rsid w:val="47117CF1"/>
    <w:rsid w:val="472B4AD7"/>
    <w:rsid w:val="478551BE"/>
    <w:rsid w:val="47907D9B"/>
    <w:rsid w:val="47B8315F"/>
    <w:rsid w:val="47E57A2C"/>
    <w:rsid w:val="48330165"/>
    <w:rsid w:val="48667CC5"/>
    <w:rsid w:val="4885166B"/>
    <w:rsid w:val="48AA518C"/>
    <w:rsid w:val="48E40CC7"/>
    <w:rsid w:val="48E45884"/>
    <w:rsid w:val="48EB62D2"/>
    <w:rsid w:val="492C67CC"/>
    <w:rsid w:val="493E5B0B"/>
    <w:rsid w:val="495D5F7E"/>
    <w:rsid w:val="49790378"/>
    <w:rsid w:val="49EB0E4B"/>
    <w:rsid w:val="4A4F1A3A"/>
    <w:rsid w:val="4A6358AE"/>
    <w:rsid w:val="4A8318E3"/>
    <w:rsid w:val="4AE93D30"/>
    <w:rsid w:val="4AFF1B0B"/>
    <w:rsid w:val="4BB12033"/>
    <w:rsid w:val="4BF06B03"/>
    <w:rsid w:val="4BFD5ED1"/>
    <w:rsid w:val="4C192CCB"/>
    <w:rsid w:val="4C1E6B76"/>
    <w:rsid w:val="4C202877"/>
    <w:rsid w:val="4C266296"/>
    <w:rsid w:val="4C4216B0"/>
    <w:rsid w:val="4C484B4B"/>
    <w:rsid w:val="4C85486A"/>
    <w:rsid w:val="4CDB125F"/>
    <w:rsid w:val="4CEC703E"/>
    <w:rsid w:val="4CFC3529"/>
    <w:rsid w:val="4D064BEB"/>
    <w:rsid w:val="4D66163C"/>
    <w:rsid w:val="4DA15E9C"/>
    <w:rsid w:val="4DA64CC3"/>
    <w:rsid w:val="4DF139E3"/>
    <w:rsid w:val="4DFB65D5"/>
    <w:rsid w:val="4E4B66B0"/>
    <w:rsid w:val="4E8D6872"/>
    <w:rsid w:val="4E93668F"/>
    <w:rsid w:val="4ED35B25"/>
    <w:rsid w:val="4ED91D06"/>
    <w:rsid w:val="4EE40DC8"/>
    <w:rsid w:val="4EF16C79"/>
    <w:rsid w:val="4F26303D"/>
    <w:rsid w:val="4F6E7DA9"/>
    <w:rsid w:val="4F905051"/>
    <w:rsid w:val="4FAA6CD7"/>
    <w:rsid w:val="4FFD171F"/>
    <w:rsid w:val="502A51AB"/>
    <w:rsid w:val="5091315F"/>
    <w:rsid w:val="5124375A"/>
    <w:rsid w:val="51521769"/>
    <w:rsid w:val="519C1341"/>
    <w:rsid w:val="519F6507"/>
    <w:rsid w:val="51A27095"/>
    <w:rsid w:val="51B15B98"/>
    <w:rsid w:val="51E12C52"/>
    <w:rsid w:val="51E4049B"/>
    <w:rsid w:val="52734E7B"/>
    <w:rsid w:val="52997281"/>
    <w:rsid w:val="529F66D1"/>
    <w:rsid w:val="53EA1EA1"/>
    <w:rsid w:val="53FF452E"/>
    <w:rsid w:val="54594012"/>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8F505D4"/>
    <w:rsid w:val="590644CD"/>
    <w:rsid w:val="590C69EC"/>
    <w:rsid w:val="59B870AC"/>
    <w:rsid w:val="59FC5E38"/>
    <w:rsid w:val="5A3C32B3"/>
    <w:rsid w:val="5A4D3B1B"/>
    <w:rsid w:val="5AA10B25"/>
    <w:rsid w:val="5B045A8D"/>
    <w:rsid w:val="5B754435"/>
    <w:rsid w:val="5B7B3EE4"/>
    <w:rsid w:val="5BC546AB"/>
    <w:rsid w:val="5C243BD7"/>
    <w:rsid w:val="5C491078"/>
    <w:rsid w:val="5CD61264"/>
    <w:rsid w:val="5CE31AF3"/>
    <w:rsid w:val="5D073E02"/>
    <w:rsid w:val="5D371976"/>
    <w:rsid w:val="5D5B684D"/>
    <w:rsid w:val="5D9246F5"/>
    <w:rsid w:val="5DC51066"/>
    <w:rsid w:val="5DF47B6B"/>
    <w:rsid w:val="5E4E3EED"/>
    <w:rsid w:val="5E5653E7"/>
    <w:rsid w:val="5E645268"/>
    <w:rsid w:val="5E885B1B"/>
    <w:rsid w:val="5EC44A50"/>
    <w:rsid w:val="5EDB322A"/>
    <w:rsid w:val="5EE240B6"/>
    <w:rsid w:val="5F427FDD"/>
    <w:rsid w:val="6015514F"/>
    <w:rsid w:val="60481EFD"/>
    <w:rsid w:val="604F334E"/>
    <w:rsid w:val="60A40A49"/>
    <w:rsid w:val="60E467FB"/>
    <w:rsid w:val="612E0F45"/>
    <w:rsid w:val="61501B8A"/>
    <w:rsid w:val="61564143"/>
    <w:rsid w:val="617C0E30"/>
    <w:rsid w:val="617C33F9"/>
    <w:rsid w:val="617F54AD"/>
    <w:rsid w:val="61907A39"/>
    <w:rsid w:val="62514446"/>
    <w:rsid w:val="62555481"/>
    <w:rsid w:val="627F5760"/>
    <w:rsid w:val="62E47405"/>
    <w:rsid w:val="63641231"/>
    <w:rsid w:val="63956584"/>
    <w:rsid w:val="64520456"/>
    <w:rsid w:val="64881A93"/>
    <w:rsid w:val="64A77F63"/>
    <w:rsid w:val="64BD5A8C"/>
    <w:rsid w:val="64D8306F"/>
    <w:rsid w:val="650631E7"/>
    <w:rsid w:val="650679A9"/>
    <w:rsid w:val="653C0988"/>
    <w:rsid w:val="653D0CAF"/>
    <w:rsid w:val="6557469C"/>
    <w:rsid w:val="65645EFA"/>
    <w:rsid w:val="656A2AE6"/>
    <w:rsid w:val="657A309B"/>
    <w:rsid w:val="665105B6"/>
    <w:rsid w:val="66834D76"/>
    <w:rsid w:val="66B44F24"/>
    <w:rsid w:val="67011D77"/>
    <w:rsid w:val="67125365"/>
    <w:rsid w:val="676A4BA2"/>
    <w:rsid w:val="679503FD"/>
    <w:rsid w:val="67D33415"/>
    <w:rsid w:val="688750A2"/>
    <w:rsid w:val="68A730EA"/>
    <w:rsid w:val="69595208"/>
    <w:rsid w:val="698E1E86"/>
    <w:rsid w:val="6A5D4326"/>
    <w:rsid w:val="6A6D0618"/>
    <w:rsid w:val="6A7449B2"/>
    <w:rsid w:val="6AC43F09"/>
    <w:rsid w:val="6B0C7886"/>
    <w:rsid w:val="6B113535"/>
    <w:rsid w:val="6B154DDE"/>
    <w:rsid w:val="6B196C1B"/>
    <w:rsid w:val="6B247CEA"/>
    <w:rsid w:val="6C7A0F7D"/>
    <w:rsid w:val="6C7B14DC"/>
    <w:rsid w:val="6CAC58B6"/>
    <w:rsid w:val="6CE7029A"/>
    <w:rsid w:val="6D4551AE"/>
    <w:rsid w:val="6D6305A2"/>
    <w:rsid w:val="6DA06C1D"/>
    <w:rsid w:val="6E5C3553"/>
    <w:rsid w:val="6E9A5C7F"/>
    <w:rsid w:val="6E9C4161"/>
    <w:rsid w:val="6EE64456"/>
    <w:rsid w:val="6EEF0261"/>
    <w:rsid w:val="6EFF15C2"/>
    <w:rsid w:val="6F9C4EF8"/>
    <w:rsid w:val="6FC93450"/>
    <w:rsid w:val="700D68C2"/>
    <w:rsid w:val="703C2D18"/>
    <w:rsid w:val="705160B5"/>
    <w:rsid w:val="70965124"/>
    <w:rsid w:val="70A455FA"/>
    <w:rsid w:val="70C97E1B"/>
    <w:rsid w:val="70F23E30"/>
    <w:rsid w:val="711F0AED"/>
    <w:rsid w:val="713549AA"/>
    <w:rsid w:val="713B0273"/>
    <w:rsid w:val="71742B40"/>
    <w:rsid w:val="717A2D6D"/>
    <w:rsid w:val="71B50F1F"/>
    <w:rsid w:val="71C00E88"/>
    <w:rsid w:val="71CF7886"/>
    <w:rsid w:val="72163527"/>
    <w:rsid w:val="72212A38"/>
    <w:rsid w:val="727F77CE"/>
    <w:rsid w:val="72B30178"/>
    <w:rsid w:val="72E160B4"/>
    <w:rsid w:val="72E61592"/>
    <w:rsid w:val="730E1962"/>
    <w:rsid w:val="73512B07"/>
    <w:rsid w:val="73A2366D"/>
    <w:rsid w:val="73B00F6E"/>
    <w:rsid w:val="73FC791E"/>
    <w:rsid w:val="74556E28"/>
    <w:rsid w:val="74B319D4"/>
    <w:rsid w:val="74D16F93"/>
    <w:rsid w:val="74FC356E"/>
    <w:rsid w:val="755A0912"/>
    <w:rsid w:val="77391286"/>
    <w:rsid w:val="77483CB0"/>
    <w:rsid w:val="776912B5"/>
    <w:rsid w:val="778F29C9"/>
    <w:rsid w:val="77C12254"/>
    <w:rsid w:val="77EC50F0"/>
    <w:rsid w:val="78036F78"/>
    <w:rsid w:val="785A6DF1"/>
    <w:rsid w:val="78734786"/>
    <w:rsid w:val="78CB4B0D"/>
    <w:rsid w:val="78D11849"/>
    <w:rsid w:val="78F47BF9"/>
    <w:rsid w:val="794E04F6"/>
    <w:rsid w:val="79D73A37"/>
    <w:rsid w:val="79E66C8C"/>
    <w:rsid w:val="79FF5D52"/>
    <w:rsid w:val="7A435AF2"/>
    <w:rsid w:val="7AC14E8D"/>
    <w:rsid w:val="7AD6607C"/>
    <w:rsid w:val="7AF1422A"/>
    <w:rsid w:val="7B490FC0"/>
    <w:rsid w:val="7BC55802"/>
    <w:rsid w:val="7BE03D3F"/>
    <w:rsid w:val="7BE31255"/>
    <w:rsid w:val="7C446192"/>
    <w:rsid w:val="7C581800"/>
    <w:rsid w:val="7CA56902"/>
    <w:rsid w:val="7CE50B11"/>
    <w:rsid w:val="7D1F5DBB"/>
    <w:rsid w:val="7D6B2213"/>
    <w:rsid w:val="7DB67961"/>
    <w:rsid w:val="7DE51DC0"/>
    <w:rsid w:val="7DF8570A"/>
    <w:rsid w:val="7E2C1CF7"/>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1"/>
    <w:semiHidden/>
    <w:unhideWhenUsed/>
    <w:qFormat/>
    <w:uiPriority w:val="99"/>
    <w:pPr>
      <w:ind w:firstLine="420" w:firstLineChars="100"/>
    </w:pPr>
    <w:rPr>
      <w:sz w:val="21"/>
    </w:rPr>
  </w:style>
  <w:style w:type="paragraph" w:styleId="3">
    <w:name w:val="Body Text"/>
    <w:basedOn w:val="1"/>
    <w:next w:val="2"/>
    <w:link w:val="118"/>
    <w:qFormat/>
    <w:uiPriority w:val="0"/>
    <w:pPr>
      <w:spacing w:after="120"/>
    </w:pPr>
    <w:rPr>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117"/>
    <w:qFormat/>
    <w:uiPriority w:val="99"/>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21"/>
    <w:qFormat/>
    <w:uiPriority w:val="0"/>
    <w:pPr>
      <w:spacing w:line="200" w:lineRule="exact"/>
      <w:ind w:firstLine="301"/>
    </w:pPr>
    <w:rPr>
      <w:rFonts w:ascii="宋体"/>
      <w:spacing w:val="-4"/>
      <w:sz w:val="18"/>
      <w:szCs w:val="20"/>
    </w:rPr>
  </w:style>
  <w:style w:type="paragraph" w:styleId="21">
    <w:name w:val="Body Text First Indent 2"/>
    <w:basedOn w:val="20"/>
    <w:next w:val="2"/>
    <w:qFormat/>
    <w:uiPriority w:val="0"/>
    <w:pPr>
      <w:ind w:firstLine="420" w:firstLineChars="200"/>
    </w:pPr>
  </w:style>
  <w:style w:type="paragraph" w:styleId="22">
    <w:name w:val="List Number 3"/>
    <w:basedOn w:val="1"/>
    <w:qFormat/>
    <w:uiPriority w:val="0"/>
    <w:pPr>
      <w:numPr>
        <w:ilvl w:val="0"/>
        <w:numId w:val="1"/>
      </w:numPr>
    </w:pPr>
  </w:style>
  <w:style w:type="paragraph" w:styleId="23">
    <w:name w:val="List 2"/>
    <w:basedOn w:val="1"/>
    <w:qFormat/>
    <w:uiPriority w:val="0"/>
    <w:pPr>
      <w:ind w:left="400" w:leftChars="200" w:hanging="200" w:hangingChars="200"/>
    </w:pPr>
    <w:rPr>
      <w:sz w:val="28"/>
    </w:rPr>
  </w:style>
  <w:style w:type="paragraph" w:styleId="24">
    <w:name w:val="toc 5"/>
    <w:basedOn w:val="1"/>
    <w:next w:val="1"/>
    <w:qFormat/>
    <w:uiPriority w:val="0"/>
    <w:pPr>
      <w:ind w:left="840"/>
      <w:jc w:val="left"/>
    </w:pPr>
    <w:rPr>
      <w:rFonts w:ascii="Calibri" w:hAnsi="Calibri" w:cs="Calibri"/>
      <w:sz w:val="18"/>
      <w:szCs w:val="18"/>
    </w:rPr>
  </w:style>
  <w:style w:type="paragraph" w:styleId="25">
    <w:name w:val="toc 3"/>
    <w:basedOn w:val="1"/>
    <w:next w:val="1"/>
    <w:qFormat/>
    <w:uiPriority w:val="0"/>
    <w:pPr>
      <w:ind w:left="400" w:leftChars="400"/>
    </w:pPr>
  </w:style>
  <w:style w:type="paragraph" w:styleId="26">
    <w:name w:val="Plain Text"/>
    <w:basedOn w:val="1"/>
    <w:qFormat/>
    <w:uiPriority w:val="0"/>
    <w:pPr>
      <w:spacing w:beforeLines="50" w:afterLines="50" w:line="400" w:lineRule="exact"/>
    </w:pPr>
    <w:rPr>
      <w:rFonts w:ascii="宋体"/>
      <w:szCs w:val="21"/>
    </w:rPr>
  </w:style>
  <w:style w:type="paragraph" w:styleId="27">
    <w:name w:val="toc 8"/>
    <w:basedOn w:val="1"/>
    <w:next w:val="1"/>
    <w:qFormat/>
    <w:uiPriority w:val="0"/>
    <w:pPr>
      <w:ind w:left="1470"/>
      <w:jc w:val="left"/>
    </w:pPr>
    <w:rPr>
      <w:rFonts w:ascii="Calibri" w:hAnsi="Calibri" w:cs="Calibri"/>
      <w:sz w:val="18"/>
      <w:szCs w:val="18"/>
    </w:rPr>
  </w:style>
  <w:style w:type="paragraph" w:styleId="28">
    <w:name w:val="Date"/>
    <w:basedOn w:val="1"/>
    <w:next w:val="1"/>
    <w:link w:val="120"/>
    <w:qFormat/>
    <w:uiPriority w:val="0"/>
    <w:pPr>
      <w:ind w:left="2500" w:leftChars="2500"/>
    </w:pPr>
    <w:rPr>
      <w:rFonts w:eastAsia="楷体_GB2312"/>
      <w:sz w:val="32"/>
      <w:szCs w:val="20"/>
    </w:rPr>
  </w:style>
  <w:style w:type="paragraph" w:styleId="29">
    <w:name w:val="Body Text Indent 2"/>
    <w:basedOn w:val="1"/>
    <w:qFormat/>
    <w:uiPriority w:val="0"/>
    <w:pPr>
      <w:snapToGrid w:val="0"/>
      <w:ind w:firstLine="225" w:firstLineChars="225"/>
    </w:pPr>
    <w:rPr>
      <w:rFonts w:ascii="仿宋_GB2312" w:hAnsi="仿宋_GB2312"/>
      <w:b/>
      <w:bCs/>
      <w:color w:val="000000"/>
      <w:sz w:val="24"/>
    </w:rPr>
  </w:style>
  <w:style w:type="paragraph" w:styleId="30">
    <w:name w:val="endnote text"/>
    <w:basedOn w:val="1"/>
    <w:qFormat/>
    <w:uiPriority w:val="0"/>
    <w:pPr>
      <w:snapToGrid w:val="0"/>
      <w:jc w:val="left"/>
    </w:pPr>
  </w:style>
  <w:style w:type="paragraph" w:styleId="31">
    <w:name w:val="Balloon Text"/>
    <w:basedOn w:val="1"/>
    <w:qFormat/>
    <w:uiPriority w:val="0"/>
    <w:rPr>
      <w:sz w:val="18"/>
      <w:szCs w:val="18"/>
    </w:rPr>
  </w:style>
  <w:style w:type="paragraph" w:styleId="32">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3">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qFormat/>
    <w:uiPriority w:val="39"/>
    <w:pPr>
      <w:spacing w:before="600" w:after="600"/>
    </w:pPr>
    <w:rPr>
      <w:b/>
      <w:sz w:val="32"/>
    </w:rPr>
  </w:style>
  <w:style w:type="paragraph" w:styleId="35">
    <w:name w:val="toc 4"/>
    <w:basedOn w:val="1"/>
    <w:next w:val="1"/>
    <w:qFormat/>
    <w:uiPriority w:val="0"/>
    <w:pPr>
      <w:ind w:left="630"/>
      <w:jc w:val="left"/>
    </w:pPr>
    <w:rPr>
      <w:rFonts w:ascii="Calibri" w:hAnsi="Calibri" w:cs="Calibri"/>
      <w:sz w:val="18"/>
      <w:szCs w:val="18"/>
    </w:rPr>
  </w:style>
  <w:style w:type="paragraph" w:styleId="36">
    <w:name w:val="List"/>
    <w:basedOn w:val="1"/>
    <w:qFormat/>
    <w:uiPriority w:val="0"/>
    <w:pPr>
      <w:ind w:left="200" w:hanging="200" w:hangingChars="200"/>
    </w:pPr>
    <w:rPr>
      <w:sz w:val="28"/>
    </w:rPr>
  </w:style>
  <w:style w:type="paragraph" w:styleId="37">
    <w:name w:val="footnote text"/>
    <w:basedOn w:val="1"/>
    <w:qFormat/>
    <w:uiPriority w:val="0"/>
    <w:pPr>
      <w:snapToGrid w:val="0"/>
      <w:jc w:val="left"/>
    </w:pPr>
    <w:rPr>
      <w:sz w:val="18"/>
      <w:szCs w:val="18"/>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qFormat/>
    <w:uiPriority w:val="0"/>
    <w:pPr>
      <w:snapToGrid w:val="0"/>
      <w:ind w:firstLine="200" w:firstLineChars="200"/>
      <w:jc w:val="left"/>
    </w:pPr>
    <w:rPr>
      <w:sz w:val="16"/>
      <w:szCs w:val="16"/>
    </w:rPr>
  </w:style>
  <w:style w:type="paragraph" w:styleId="40">
    <w:name w:val="toc 2"/>
    <w:basedOn w:val="1"/>
    <w:next w:val="1"/>
    <w:qFormat/>
    <w:uiPriority w:val="39"/>
    <w:pPr>
      <w:ind w:left="200" w:leftChars="200"/>
    </w:pPr>
  </w:style>
  <w:style w:type="paragraph" w:styleId="41">
    <w:name w:val="toc 9"/>
    <w:basedOn w:val="1"/>
    <w:next w:val="1"/>
    <w:qFormat/>
    <w:uiPriority w:val="0"/>
    <w:pPr>
      <w:ind w:left="1680"/>
      <w:jc w:val="left"/>
    </w:pPr>
    <w:rPr>
      <w:rFonts w:ascii="Calibri" w:hAnsi="Calibri" w:cs="Calibri"/>
      <w:sz w:val="18"/>
      <w:szCs w:val="18"/>
    </w:rPr>
  </w:style>
  <w:style w:type="paragraph" w:styleId="42">
    <w:name w:val="Body Text 2"/>
    <w:basedOn w:val="1"/>
    <w:qFormat/>
    <w:uiPriority w:val="0"/>
    <w:pPr>
      <w:widowControl/>
      <w:snapToGrid w:val="0"/>
      <w:spacing w:before="50" w:afterLines="50" w:line="400" w:lineRule="exact"/>
      <w:jc w:val="left"/>
    </w:pPr>
    <w:rPr>
      <w:rFonts w:ascii="宋体"/>
      <w:color w:val="000000"/>
      <w:sz w:val="24"/>
    </w:rPr>
  </w:style>
  <w:style w:type="paragraph" w:styleId="43">
    <w:name w:val="Normal (Web)"/>
    <w:basedOn w:val="1"/>
    <w:link w:val="119"/>
    <w:qFormat/>
    <w:uiPriority w:val="99"/>
    <w:pPr>
      <w:widowControl/>
      <w:spacing w:before="100" w:beforeAutospacing="1" w:after="100" w:afterAutospacing="1"/>
      <w:jc w:val="left"/>
    </w:pPr>
    <w:rPr>
      <w:kern w:val="0"/>
      <w:sz w:val="24"/>
    </w:rPr>
  </w:style>
  <w:style w:type="paragraph" w:styleId="44">
    <w:name w:val="annotation subject"/>
    <w:basedOn w:val="18"/>
    <w:next w:val="18"/>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7"/>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6"/>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6"/>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7"/>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字符"/>
    <w:link w:val="32"/>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字符"/>
    <w:link w:val="10"/>
    <w:qFormat/>
    <w:uiPriority w:val="0"/>
    <w:rPr>
      <w:b/>
      <w:kern w:val="2"/>
      <w:sz w:val="21"/>
    </w:rPr>
  </w:style>
  <w:style w:type="character" w:customStyle="1" w:styleId="117">
    <w:name w:val="批注文字 字符"/>
    <w:link w:val="18"/>
    <w:qFormat/>
    <w:uiPriority w:val="0"/>
    <w:rPr>
      <w:kern w:val="2"/>
      <w:sz w:val="21"/>
      <w:szCs w:val="24"/>
    </w:rPr>
  </w:style>
  <w:style w:type="character" w:customStyle="1" w:styleId="118">
    <w:name w:val="正文文本 字符"/>
    <w:basedOn w:val="47"/>
    <w:link w:val="3"/>
    <w:qFormat/>
    <w:uiPriority w:val="0"/>
    <w:rPr>
      <w:kern w:val="2"/>
      <w:sz w:val="28"/>
      <w:szCs w:val="24"/>
    </w:rPr>
  </w:style>
  <w:style w:type="character" w:customStyle="1" w:styleId="119">
    <w:name w:val="普通(网站) 字符"/>
    <w:link w:val="43"/>
    <w:qFormat/>
    <w:uiPriority w:val="0"/>
    <w:rPr>
      <w:sz w:val="24"/>
      <w:szCs w:val="24"/>
    </w:rPr>
  </w:style>
  <w:style w:type="character" w:customStyle="1" w:styleId="120">
    <w:name w:val="日期 字符"/>
    <w:basedOn w:val="47"/>
    <w:link w:val="28"/>
    <w:qFormat/>
    <w:uiPriority w:val="0"/>
    <w:rPr>
      <w:rFonts w:eastAsia="楷体_GB2312"/>
      <w:kern w:val="2"/>
      <w:sz w:val="32"/>
    </w:rPr>
  </w:style>
  <w:style w:type="character" w:customStyle="1" w:styleId="121">
    <w:name w:val="正文文本首行缩进 字符"/>
    <w:basedOn w:val="118"/>
    <w:link w:val="2"/>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表段落 字符"/>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lang w:val="en-US" w:eastAsia="zh-CN" w:bidi="ar-SA"/>
    </w:rPr>
  </w:style>
  <w:style w:type="paragraph" w:customStyle="1" w:styleId="133">
    <w:name w:val="正文缩进1"/>
    <w:qFormat/>
    <w:uiPriority w:val="0"/>
    <w:pPr>
      <w:ind w:firstLine="420"/>
    </w:pPr>
    <w:rPr>
      <w:rFonts w:ascii="Times New Roman" w:hAnsi="Times New Roman" w:eastAsiaTheme="minorEastAsia" w:cstheme="minorBidi"/>
      <w:sz w:val="21"/>
      <w:lang w:val="en-US" w:eastAsia="zh-CN" w:bidi="ar-SA"/>
    </w:rPr>
  </w:style>
  <w:style w:type="paragraph" w:customStyle="1" w:styleId="134">
    <w:name w:val="正文缩进2"/>
    <w:qFormat/>
    <w:uiPriority w:val="0"/>
    <w:pPr>
      <w:ind w:firstLine="420"/>
    </w:pPr>
    <w:rPr>
      <w:rFonts w:ascii="Times New Roman" w:hAnsi="Times New Roman" w:eastAsiaTheme="minorEastAsia" w:cstheme="minorBidi"/>
      <w:sz w:val="21"/>
      <w:lang w:val="en-US" w:eastAsia="zh-CN" w:bidi="ar-SA"/>
    </w:rPr>
  </w:style>
  <w:style w:type="paragraph" w:customStyle="1" w:styleId="135">
    <w:name w:val="文章正文"/>
    <w:basedOn w:val="1"/>
    <w:qFormat/>
    <w:uiPriority w:val="99"/>
    <w:pPr>
      <w:spacing w:line="360" w:lineRule="auto"/>
      <w:ind w:firstLine="200" w:firstLineChars="200"/>
    </w:pPr>
    <w:rPr>
      <w:sz w:val="24"/>
    </w:rPr>
  </w:style>
  <w:style w:type="paragraph" w:customStyle="1" w:styleId="1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54</Pages>
  <Words>19496</Words>
  <Characters>20334</Characters>
  <Lines>243</Lines>
  <Paragraphs>68</Paragraphs>
  <TotalTime>8</TotalTime>
  <ScaleCrop>false</ScaleCrop>
  <LinksUpToDate>false</LinksUpToDate>
  <CharactersWithSpaces>20383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2025-06-09T02:22:00Z</cp:lastPrinted>
  <dcterms:modified xsi:type="dcterms:W3CDTF">2025-06-25T06:16:46Z</dcterms:modified>
  <dc:title>宁波市鄞州区城区内河管理处工程项目设计单位年度资格入围</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1DCFEFA890924D7890A72ADE6B43454D_13</vt:lpwstr>
  </property>
  <property fmtid="{D5CDD505-2E9C-101B-9397-08002B2CF9AE}" pid="4" name="KSOTemplateDocerSaveRecord">
    <vt:lpwstr>eyJoZGlkIjoiNzY3MWZhZWQ0NzIyMDJmOTFiMWM5YWI5NDkzMDUwMmEiLCJ1c2VySWQiOiIyMzIwMTE0NjkifQ==</vt:lpwstr>
  </property>
</Properties>
</file>