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CF3E872">
      <w:pPr>
        <w:keepNext w:val="0"/>
        <w:keepLines w:val="0"/>
        <w:pageBreakBefore w:val="0"/>
        <w:widowControl w:val="0"/>
        <w:shd w:val="clear"/>
        <w:kinsoku/>
        <w:wordWrap/>
        <w:overflowPunct/>
        <w:topLinePunct w:val="0"/>
        <w:bidi w:val="0"/>
        <w:rPr>
          <w:rFonts w:ascii="宋体" w:hAnsi="宋体"/>
          <w:color w:val="auto"/>
          <w:sz w:val="44"/>
          <w:szCs w:val="20"/>
          <w:highlight w:val="none"/>
        </w:rPr>
      </w:pPr>
    </w:p>
    <w:p w14:paraId="36CE1003">
      <w:pPr>
        <w:keepNext w:val="0"/>
        <w:keepLines w:val="0"/>
        <w:pageBreakBefore w:val="0"/>
        <w:widowControl w:val="0"/>
        <w:shd w:val="clear"/>
        <w:kinsoku/>
        <w:wordWrap/>
        <w:overflowPunct/>
        <w:topLinePunct w:val="0"/>
        <w:bidi w:val="0"/>
        <w:rPr>
          <w:rFonts w:ascii="宋体" w:hAnsi="宋体"/>
          <w:color w:val="auto"/>
          <w:sz w:val="52"/>
          <w:szCs w:val="52"/>
          <w:highlight w:val="none"/>
        </w:rPr>
      </w:pPr>
    </w:p>
    <w:p w14:paraId="74557C84">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方正小标宋简体" w:hAnsi="宋体" w:eastAsia="方正小标宋简体"/>
          <w:color w:val="auto"/>
          <w:sz w:val="40"/>
          <w:szCs w:val="40"/>
          <w:highlight w:val="none"/>
        </w:rPr>
      </w:pPr>
      <w:r>
        <w:rPr>
          <w:rFonts w:hint="eastAsia" w:ascii="方正小标宋简体" w:hAnsi="宋体" w:eastAsia="方正小标宋简体"/>
          <w:bCs/>
          <w:color w:val="auto"/>
          <w:sz w:val="48"/>
          <w:szCs w:val="48"/>
          <w:highlight w:val="none"/>
          <w:lang w:val="en-US" w:eastAsia="zh-CN"/>
        </w:rPr>
        <w:fldChar w:fldCharType="begin"/>
      </w:r>
      <w:r>
        <w:rPr>
          <w:rFonts w:hint="eastAsia" w:ascii="方正小标宋简体" w:hAnsi="宋体" w:eastAsia="方正小标宋简体"/>
          <w:bCs/>
          <w:color w:val="auto"/>
          <w:sz w:val="48"/>
          <w:szCs w:val="48"/>
          <w:highlight w:val="none"/>
          <w:lang w:val="en-US" w:eastAsia="zh-CN"/>
        </w:rPr>
        <w:instrText xml:space="preserve"> HYPERLINK "https://middle.zcygov.cn/web-user/" \l "/institution/detail?tenantCode=330203&amp;institutionId=10005067733&amp;category=01" \t "https://pay.zcygov.cn/purchaseplan_front/" \l "/plan/list/_blank" </w:instrText>
      </w:r>
      <w:r>
        <w:rPr>
          <w:rFonts w:hint="eastAsia" w:ascii="方正小标宋简体" w:hAnsi="宋体" w:eastAsia="方正小标宋简体"/>
          <w:bCs/>
          <w:color w:val="auto"/>
          <w:sz w:val="48"/>
          <w:szCs w:val="48"/>
          <w:highlight w:val="none"/>
          <w:lang w:val="en-US" w:eastAsia="zh-CN"/>
        </w:rPr>
        <w:fldChar w:fldCharType="separate"/>
      </w:r>
      <w:r>
        <w:rPr>
          <w:rFonts w:hint="eastAsia" w:ascii="方正小标宋简体" w:hAnsi="宋体" w:eastAsia="方正小标宋简体"/>
          <w:bCs/>
          <w:color w:val="auto"/>
          <w:sz w:val="48"/>
          <w:szCs w:val="48"/>
          <w:highlight w:val="none"/>
          <w:lang w:val="en-US" w:eastAsia="zh-CN"/>
        </w:rPr>
        <w:t>宁波市海曙区古林镇布政小学</w:t>
      </w:r>
      <w:r>
        <w:rPr>
          <w:rFonts w:hint="eastAsia" w:ascii="方正小标宋简体" w:hAnsi="宋体" w:eastAsia="方正小标宋简体"/>
          <w:bCs/>
          <w:color w:val="auto"/>
          <w:sz w:val="48"/>
          <w:szCs w:val="48"/>
          <w:highlight w:val="none"/>
          <w:lang w:val="en-US" w:eastAsia="zh-CN"/>
        </w:rPr>
        <w:fldChar w:fldCharType="end"/>
      </w:r>
      <w:r>
        <w:rPr>
          <w:rFonts w:hint="eastAsia" w:ascii="方正小标宋简体" w:hAnsi="宋体" w:eastAsia="方正小标宋简体"/>
          <w:bCs/>
          <w:color w:val="auto"/>
          <w:sz w:val="48"/>
          <w:szCs w:val="48"/>
          <w:highlight w:val="none"/>
          <w:lang w:val="en-US" w:eastAsia="zh-CN"/>
        </w:rPr>
        <w:t>2025年年度教职工疗休养</w:t>
      </w:r>
    </w:p>
    <w:p w14:paraId="789A6967">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方正小标宋简体" w:hAnsi="宋体" w:eastAsia="方正小标宋简体"/>
          <w:color w:val="auto"/>
          <w:sz w:val="40"/>
          <w:szCs w:val="40"/>
          <w:highlight w:val="none"/>
        </w:rPr>
      </w:pPr>
    </w:p>
    <w:p w14:paraId="54E0BEE7">
      <w:pPr>
        <w:keepNext w:val="0"/>
        <w:keepLines w:val="0"/>
        <w:pageBreakBefore w:val="0"/>
        <w:widowControl w:val="0"/>
        <w:shd w:val="clear"/>
        <w:kinsoku/>
        <w:wordWrap/>
        <w:overflowPunct/>
        <w:topLinePunct w:val="0"/>
        <w:bidi w:val="0"/>
        <w:spacing w:before="156" w:beforeLines="50"/>
        <w:jc w:val="center"/>
        <w:rPr>
          <w:rFonts w:hint="eastAsia" w:ascii="方正小标宋简体" w:hAnsi="宋体" w:eastAsia="方正小标宋简体"/>
          <w:color w:val="auto"/>
          <w:sz w:val="52"/>
          <w:szCs w:val="52"/>
          <w:highlight w:val="none"/>
        </w:rPr>
      </w:pPr>
      <w:r>
        <w:rPr>
          <w:rFonts w:hint="eastAsia" w:ascii="方正小标宋简体" w:hAnsi="宋体" w:eastAsia="方正小标宋简体"/>
          <w:color w:val="auto"/>
          <w:sz w:val="52"/>
          <w:szCs w:val="52"/>
          <w:highlight w:val="none"/>
        </w:rPr>
        <w:t>竞争性磋商采购文件</w:t>
      </w:r>
    </w:p>
    <w:p w14:paraId="365BF99A">
      <w:pPr>
        <w:pStyle w:val="2"/>
        <w:keepNext w:val="0"/>
        <w:keepLines w:val="0"/>
        <w:pageBreakBefore w:val="0"/>
        <w:widowControl w:val="0"/>
        <w:kinsoku/>
        <w:wordWrap/>
        <w:overflowPunct/>
        <w:topLinePunct w:val="0"/>
        <w:bidi w:val="0"/>
        <w:rPr>
          <w:color w:val="auto"/>
          <w:highlight w:val="none"/>
        </w:rPr>
      </w:pPr>
    </w:p>
    <w:p w14:paraId="10A4E2EF">
      <w:pPr>
        <w:keepNext w:val="0"/>
        <w:keepLines w:val="0"/>
        <w:pageBreakBefore w:val="0"/>
        <w:widowControl w:val="0"/>
        <w:shd w:val="clear"/>
        <w:kinsoku/>
        <w:wordWrap/>
        <w:overflowPunct/>
        <w:topLinePunct w:val="0"/>
        <w:bidi w:val="0"/>
        <w:snapToGrid w:val="0"/>
        <w:spacing w:before="120" w:after="120" w:line="360" w:lineRule="auto"/>
        <w:jc w:val="center"/>
        <w:rPr>
          <w:rFonts w:hint="default" w:ascii="方正小标宋简体" w:hAnsi="宋体" w:eastAsia="方正小标宋简体" w:cs="Arial"/>
          <w:bCs/>
          <w:color w:val="auto"/>
          <w:sz w:val="32"/>
          <w:szCs w:val="32"/>
          <w:highlight w:val="none"/>
          <w:lang w:val="en-US" w:eastAsia="zh-CN"/>
        </w:rPr>
      </w:pPr>
      <w:r>
        <w:rPr>
          <w:rFonts w:hint="eastAsia" w:ascii="方正小标宋简体" w:hAnsi="宋体" w:eastAsia="方正小标宋简体"/>
          <w:bCs/>
          <w:color w:val="auto"/>
          <w:sz w:val="30"/>
          <w:szCs w:val="30"/>
          <w:highlight w:val="none"/>
        </w:rPr>
        <w:t>项目编号：</w:t>
      </w:r>
      <w:r>
        <w:rPr>
          <w:rFonts w:hint="eastAsia" w:ascii="方正小标宋简体" w:hAnsi="宋体" w:eastAsia="方正小标宋简体" w:cs="Arial"/>
          <w:bCs/>
          <w:color w:val="auto"/>
          <w:sz w:val="32"/>
          <w:szCs w:val="32"/>
          <w:highlight w:val="none"/>
          <w:lang w:eastAsia="zh-CN"/>
        </w:rPr>
        <w:t>2025NBHSWCS301</w:t>
      </w:r>
    </w:p>
    <w:p w14:paraId="35B1D370">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rPr>
          <w:rFonts w:ascii="宋体" w:hAnsi="宋体" w:cs="Arial"/>
          <w:bCs/>
          <w:color w:val="auto"/>
          <w:sz w:val="28"/>
          <w:szCs w:val="28"/>
          <w:highlight w:val="none"/>
        </w:rPr>
      </w:pPr>
    </w:p>
    <w:p w14:paraId="00EA0B0E">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rPr>
          <w:rFonts w:ascii="宋体" w:hAnsi="宋体" w:cs="Arial"/>
          <w:bCs/>
          <w:color w:val="auto"/>
          <w:sz w:val="28"/>
          <w:szCs w:val="28"/>
          <w:highlight w:val="none"/>
        </w:rPr>
      </w:pPr>
    </w:p>
    <w:p w14:paraId="7572834C">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rPr>
          <w:rFonts w:ascii="宋体" w:hAnsi="宋体"/>
          <w:bCs/>
          <w:color w:val="auto"/>
          <w:sz w:val="28"/>
          <w:szCs w:val="28"/>
          <w:highlight w:val="none"/>
        </w:rPr>
      </w:pPr>
    </w:p>
    <w:p w14:paraId="3A247CD0">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rPr>
          <w:rFonts w:ascii="宋体" w:hAnsi="宋体"/>
          <w:bCs/>
          <w:color w:val="auto"/>
          <w:sz w:val="28"/>
          <w:szCs w:val="28"/>
          <w:highlight w:val="none"/>
        </w:rPr>
      </w:pPr>
    </w:p>
    <w:p w14:paraId="4769E2E7">
      <w:pPr>
        <w:keepNext w:val="0"/>
        <w:keepLines w:val="0"/>
        <w:pageBreakBefore w:val="0"/>
        <w:widowControl w:val="0"/>
        <w:shd w:val="clear"/>
        <w:kinsoku/>
        <w:wordWrap/>
        <w:overflowPunct/>
        <w:topLinePunct w:val="0"/>
        <w:autoSpaceDE/>
        <w:autoSpaceDN/>
        <w:bidi w:val="0"/>
        <w:adjustRightInd/>
        <w:snapToGrid/>
        <w:spacing w:line="480" w:lineRule="auto"/>
        <w:jc w:val="left"/>
        <w:textAlignment w:val="auto"/>
        <w:rPr>
          <w:rFonts w:hint="eastAsia" w:ascii="方正小标宋简体" w:hAnsi="宋体" w:eastAsia="方正小标宋简体"/>
          <w:bCs/>
          <w:color w:val="auto"/>
          <w:sz w:val="28"/>
          <w:szCs w:val="28"/>
          <w:highlight w:val="none"/>
        </w:rPr>
      </w:pPr>
    </w:p>
    <w:p w14:paraId="46062542">
      <w:pPr>
        <w:keepNext w:val="0"/>
        <w:keepLines w:val="0"/>
        <w:pageBreakBefore w:val="0"/>
        <w:widowControl w:val="0"/>
        <w:shd w:val="clear"/>
        <w:kinsoku/>
        <w:wordWrap/>
        <w:overflowPunct/>
        <w:topLinePunct w:val="0"/>
        <w:autoSpaceDE/>
        <w:autoSpaceDN/>
        <w:bidi w:val="0"/>
        <w:adjustRightInd/>
        <w:snapToGrid w:val="0"/>
        <w:spacing w:line="480" w:lineRule="auto"/>
        <w:ind w:left="1260" w:leftChars="600"/>
        <w:jc w:val="left"/>
        <w:textAlignment w:val="auto"/>
        <w:rPr>
          <w:rFonts w:hint="eastAsia" w:ascii="方正小标宋简体" w:hAnsi="宋体" w:eastAsia="方正小标宋简体"/>
          <w:bCs/>
          <w:color w:val="auto"/>
          <w:sz w:val="30"/>
          <w:szCs w:val="30"/>
          <w:highlight w:val="none"/>
          <w:lang w:eastAsia="zh-CN"/>
        </w:rPr>
      </w:pPr>
      <w:r>
        <w:rPr>
          <w:rFonts w:hint="eastAsia" w:ascii="方正小标宋简体" w:hAnsi="宋体" w:eastAsia="方正小标宋简体"/>
          <w:bCs/>
          <w:color w:val="auto"/>
          <w:sz w:val="30"/>
          <w:szCs w:val="30"/>
          <w:highlight w:val="none"/>
        </w:rPr>
        <w:t>采购单位：</w:t>
      </w:r>
      <w:r>
        <w:rPr>
          <w:rFonts w:hint="eastAsia" w:ascii="方正小标宋简体" w:hAnsi="宋体" w:eastAsia="方正小标宋简体"/>
          <w:bCs/>
          <w:color w:val="auto"/>
          <w:sz w:val="30"/>
          <w:szCs w:val="30"/>
          <w:highlight w:val="none"/>
          <w:lang w:eastAsia="zh-CN"/>
        </w:rPr>
        <w:t>宁波市海曙区古林镇布政小学</w:t>
      </w:r>
    </w:p>
    <w:p w14:paraId="6F020A85">
      <w:pPr>
        <w:keepNext w:val="0"/>
        <w:keepLines w:val="0"/>
        <w:pageBreakBefore w:val="0"/>
        <w:widowControl w:val="0"/>
        <w:shd w:val="clear"/>
        <w:kinsoku/>
        <w:wordWrap/>
        <w:overflowPunct/>
        <w:topLinePunct w:val="0"/>
        <w:autoSpaceDE/>
        <w:autoSpaceDN/>
        <w:bidi w:val="0"/>
        <w:adjustRightInd/>
        <w:snapToGrid w:val="0"/>
        <w:spacing w:line="480" w:lineRule="auto"/>
        <w:ind w:left="1260" w:leftChars="600"/>
        <w:jc w:val="left"/>
        <w:textAlignment w:val="auto"/>
        <w:rPr>
          <w:rFonts w:hint="eastAsia" w:ascii="方正小标宋简体" w:hAnsi="宋体" w:eastAsia="方正小标宋简体"/>
          <w:bCs/>
          <w:color w:val="auto"/>
          <w:sz w:val="30"/>
          <w:szCs w:val="30"/>
          <w:highlight w:val="none"/>
          <w:lang w:eastAsia="zh-CN"/>
        </w:rPr>
      </w:pPr>
      <w:r>
        <w:rPr>
          <w:rFonts w:hint="eastAsia" w:ascii="方正小标宋简体" w:hAnsi="宋体" w:eastAsia="方正小标宋简体"/>
          <w:bCs/>
          <w:color w:val="auto"/>
          <w:sz w:val="30"/>
          <w:szCs w:val="30"/>
          <w:highlight w:val="none"/>
        </w:rPr>
        <w:t>代理机构：</w:t>
      </w:r>
      <w:r>
        <w:rPr>
          <w:rFonts w:hint="eastAsia" w:ascii="方正小标宋简体" w:hAnsi="宋体" w:eastAsia="方正小标宋简体"/>
          <w:bCs/>
          <w:color w:val="auto"/>
          <w:sz w:val="30"/>
          <w:szCs w:val="30"/>
          <w:highlight w:val="none"/>
          <w:lang w:eastAsia="zh-CN"/>
        </w:rPr>
        <w:t>宁波之新招标咨询有限公司</w:t>
      </w:r>
    </w:p>
    <w:p w14:paraId="2BB05E26">
      <w:pPr>
        <w:keepNext w:val="0"/>
        <w:keepLines w:val="0"/>
        <w:pageBreakBefore w:val="0"/>
        <w:widowControl w:val="0"/>
        <w:shd w:val="clear"/>
        <w:kinsoku/>
        <w:wordWrap/>
        <w:overflowPunct/>
        <w:topLinePunct w:val="0"/>
        <w:autoSpaceDE/>
        <w:autoSpaceDN/>
        <w:bidi w:val="0"/>
        <w:adjustRightInd/>
        <w:snapToGrid w:val="0"/>
        <w:spacing w:line="480" w:lineRule="auto"/>
        <w:ind w:left="1260" w:leftChars="600"/>
        <w:jc w:val="left"/>
        <w:textAlignment w:val="auto"/>
        <w:rPr>
          <w:rFonts w:hint="eastAsia" w:ascii="方正小标宋简体" w:hAnsi="宋体" w:eastAsia="方正小标宋简体"/>
          <w:bCs/>
          <w:color w:val="auto"/>
          <w:w w:val="95"/>
          <w:sz w:val="30"/>
          <w:szCs w:val="30"/>
          <w:highlight w:val="none"/>
        </w:rPr>
      </w:pPr>
      <w:r>
        <w:rPr>
          <w:rFonts w:hint="eastAsia" w:ascii="方正小标宋简体" w:hAnsi="宋体" w:eastAsia="方正小标宋简体"/>
          <w:bCs/>
          <w:color w:val="auto"/>
          <w:sz w:val="30"/>
          <w:szCs w:val="30"/>
          <w:highlight w:val="none"/>
        </w:rPr>
        <w:t>编制日期：</w:t>
      </w:r>
      <w:r>
        <w:rPr>
          <w:rFonts w:hint="eastAsia" w:ascii="方正小标宋简体" w:hAnsi="宋体" w:eastAsia="方正小标宋简体"/>
          <w:bCs/>
          <w:color w:val="auto"/>
          <w:w w:val="95"/>
          <w:sz w:val="30"/>
          <w:szCs w:val="30"/>
          <w:highlight w:val="none"/>
          <w:lang w:eastAsia="zh-CN"/>
        </w:rPr>
        <w:t>2025年</w:t>
      </w:r>
      <w:r>
        <w:rPr>
          <w:rFonts w:hint="eastAsia" w:ascii="方正小标宋简体" w:hAnsi="宋体" w:eastAsia="方正小标宋简体"/>
          <w:bCs/>
          <w:color w:val="auto"/>
          <w:w w:val="95"/>
          <w:sz w:val="30"/>
          <w:szCs w:val="30"/>
          <w:highlight w:val="none"/>
        </w:rPr>
        <w:t>0</w:t>
      </w:r>
      <w:r>
        <w:rPr>
          <w:rFonts w:hint="eastAsia" w:ascii="方正小标宋简体" w:hAnsi="宋体" w:eastAsia="方正小标宋简体"/>
          <w:bCs/>
          <w:color w:val="auto"/>
          <w:w w:val="95"/>
          <w:sz w:val="30"/>
          <w:szCs w:val="30"/>
          <w:highlight w:val="none"/>
          <w:lang w:val="en-US" w:eastAsia="zh-CN"/>
        </w:rPr>
        <w:t>6</w:t>
      </w:r>
      <w:r>
        <w:rPr>
          <w:rFonts w:hint="eastAsia" w:ascii="方正小标宋简体" w:hAnsi="宋体" w:eastAsia="方正小标宋简体"/>
          <w:bCs/>
          <w:color w:val="auto"/>
          <w:w w:val="95"/>
          <w:sz w:val="30"/>
          <w:szCs w:val="30"/>
          <w:highlight w:val="none"/>
        </w:rPr>
        <w:t>月</w:t>
      </w:r>
    </w:p>
    <w:p w14:paraId="27BDD417">
      <w:pPr>
        <w:pStyle w:val="2"/>
        <w:rPr>
          <w:rFonts w:hint="eastAsia"/>
          <w:color w:val="auto"/>
          <w:highlight w:val="none"/>
        </w:rPr>
      </w:pPr>
    </w:p>
    <w:p w14:paraId="3D2F9A6F">
      <w:pPr>
        <w:rPr>
          <w:color w:val="auto"/>
          <w:highlight w:val="none"/>
        </w:rPr>
        <w:sectPr>
          <w:headerReference r:id="rId4" w:type="first"/>
          <w:footerReference r:id="rId6" w:type="first"/>
          <w:headerReference r:id="rId3"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720" w:num="1"/>
          <w:titlePg/>
          <w:docGrid w:type="lines" w:linePitch="312" w:charSpace="0"/>
        </w:sectPr>
      </w:pPr>
    </w:p>
    <w:p w14:paraId="60A0609B">
      <w:pPr>
        <w:rPr>
          <w:color w:val="auto"/>
          <w:highlight w:val="none"/>
        </w:rPr>
      </w:pPr>
    </w:p>
    <w:sdt>
      <w:sdtPr>
        <w:rPr>
          <w:rFonts w:ascii="宋体" w:hAnsi="宋体" w:eastAsia="宋体" w:cs="Times New Roman"/>
          <w:b/>
          <w:bCs/>
          <w:color w:val="auto"/>
          <w:kern w:val="2"/>
          <w:sz w:val="52"/>
          <w:szCs w:val="52"/>
          <w:highlight w:val="none"/>
          <w:lang w:val="en-US" w:eastAsia="zh-CN" w:bidi="ar-SA"/>
        </w:rPr>
        <w:id w:val="147471738"/>
        <w15:color w:val="DBDBDB"/>
        <w:docPartObj>
          <w:docPartGallery w:val="Table of Contents"/>
          <w:docPartUnique/>
        </w:docPartObj>
      </w:sdtPr>
      <w:sdtEndPr>
        <w:rPr>
          <w:rFonts w:ascii="Times New Roman" w:hAnsi="Times New Roman" w:eastAsia="宋体" w:cs="Times New Roman"/>
          <w:b/>
          <w:bCs/>
          <w:color w:val="auto"/>
          <w:kern w:val="2"/>
          <w:sz w:val="21"/>
          <w:szCs w:val="24"/>
          <w:highlight w:val="none"/>
          <w:lang w:val="en-US" w:eastAsia="zh-CN" w:bidi="ar-SA"/>
        </w:rPr>
      </w:sdtEndPr>
      <w:sdtContent>
        <w:p w14:paraId="5BE6DC30">
          <w:pPr>
            <w:keepNext w:val="0"/>
            <w:keepLines w:val="0"/>
            <w:pageBreakBefore w:val="0"/>
            <w:widowControl w:val="0"/>
            <w:kinsoku/>
            <w:wordWrap/>
            <w:overflowPunct/>
            <w:topLinePunct w:val="0"/>
            <w:autoSpaceDE/>
            <w:autoSpaceDN/>
            <w:bidi w:val="0"/>
            <w:adjustRightInd/>
            <w:snapToGrid/>
            <w:spacing w:before="0" w:beforeLines="0" w:line="360" w:lineRule="auto"/>
            <w:ind w:left="0" w:leftChars="0" w:right="0" w:rightChars="0" w:firstLine="0" w:firstLineChars="0"/>
            <w:jc w:val="center"/>
            <w:textAlignment w:val="auto"/>
            <w:rPr>
              <w:b/>
              <w:bCs/>
              <w:color w:val="auto"/>
              <w:sz w:val="52"/>
              <w:szCs w:val="52"/>
              <w:highlight w:val="none"/>
            </w:rPr>
          </w:pPr>
          <w:r>
            <w:rPr>
              <w:rFonts w:ascii="宋体" w:hAnsi="宋体" w:eastAsia="宋体"/>
              <w:b/>
              <w:bCs/>
              <w:color w:val="auto"/>
              <w:sz w:val="52"/>
              <w:szCs w:val="52"/>
              <w:highlight w:val="none"/>
            </w:rPr>
            <w:t>目</w:t>
          </w:r>
          <w:r>
            <w:rPr>
              <w:rFonts w:hint="eastAsia" w:ascii="宋体" w:hAnsi="宋体"/>
              <w:b/>
              <w:bCs/>
              <w:color w:val="auto"/>
              <w:sz w:val="52"/>
              <w:szCs w:val="52"/>
              <w:highlight w:val="none"/>
              <w:lang w:val="en-US" w:eastAsia="zh-CN"/>
            </w:rPr>
            <w:t xml:space="preserve">   </w:t>
          </w:r>
          <w:r>
            <w:rPr>
              <w:rFonts w:ascii="宋体" w:hAnsi="宋体" w:eastAsia="宋体"/>
              <w:b/>
              <w:bCs/>
              <w:color w:val="auto"/>
              <w:sz w:val="52"/>
              <w:szCs w:val="52"/>
              <w:highlight w:val="none"/>
            </w:rPr>
            <w:t>录</w:t>
          </w:r>
        </w:p>
        <w:p w14:paraId="63088768">
          <w:pPr>
            <w:pStyle w:val="131"/>
            <w:keepNext w:val="0"/>
            <w:keepLines w:val="0"/>
            <w:pageBreakBefore w:val="0"/>
            <w:widowControl w:val="0"/>
            <w:tabs>
              <w:tab w:val="right" w:leader="dot" w:pos="8306"/>
            </w:tabs>
            <w:kinsoku/>
            <w:wordWrap/>
            <w:overflowPunct/>
            <w:topLinePunct w:val="0"/>
            <w:bidi w:val="0"/>
            <w:spacing w:line="600" w:lineRule="auto"/>
            <w:rPr>
              <w:rFonts w:hint="eastAsia" w:ascii="宋体" w:hAnsi="宋体" w:eastAsia="宋体" w:cs="宋体"/>
              <w:color w:val="auto"/>
              <w:sz w:val="28"/>
              <w:szCs w:val="28"/>
              <w:highlight w:val="none"/>
            </w:rPr>
          </w:pPr>
        </w:p>
        <w:p w14:paraId="03C21FE4">
          <w:pPr>
            <w:pStyle w:val="131"/>
            <w:keepNext w:val="0"/>
            <w:keepLines w:val="0"/>
            <w:pageBreakBefore w:val="0"/>
            <w:widowControl w:val="0"/>
            <w:tabs>
              <w:tab w:val="right" w:leader="dot" w:pos="8306"/>
            </w:tabs>
            <w:kinsoku/>
            <w:wordWrap/>
            <w:overflowPunct/>
            <w:topLinePunct w:val="0"/>
            <w:bidi w:val="0"/>
            <w:spacing w:line="72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"1-1"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_Toc10514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第一章  竞争性磋商采购公告</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 xml:space="preserve"> 0</w:t>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_Toc10514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687C180">
          <w:pPr>
            <w:pStyle w:val="131"/>
            <w:keepNext w:val="0"/>
            <w:keepLines w:val="0"/>
            <w:pageBreakBefore w:val="0"/>
            <w:widowControl w:val="0"/>
            <w:tabs>
              <w:tab w:val="right" w:leader="dot" w:pos="8306"/>
            </w:tabs>
            <w:kinsoku/>
            <w:wordWrap/>
            <w:overflowPunct/>
            <w:topLinePunct w:val="0"/>
            <w:bidi w:val="0"/>
            <w:spacing w:line="72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_Toc16256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第二章  采购需求</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 xml:space="preserve"> 0</w:t>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_Toc16256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FB0C56B">
          <w:pPr>
            <w:pStyle w:val="131"/>
            <w:keepNext w:val="0"/>
            <w:keepLines w:val="0"/>
            <w:pageBreakBefore w:val="0"/>
            <w:widowControl w:val="0"/>
            <w:tabs>
              <w:tab w:val="right" w:leader="dot" w:pos="8306"/>
            </w:tabs>
            <w:kinsoku/>
            <w:wordWrap/>
            <w:overflowPunct/>
            <w:topLinePunct w:val="0"/>
            <w:bidi w:val="0"/>
            <w:spacing w:line="72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_Toc21431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第三章  供应商须知</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_Toc21431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FD4329C">
          <w:pPr>
            <w:pStyle w:val="131"/>
            <w:keepNext w:val="0"/>
            <w:keepLines w:val="0"/>
            <w:pageBreakBefore w:val="0"/>
            <w:widowControl w:val="0"/>
            <w:tabs>
              <w:tab w:val="right" w:leader="dot" w:pos="8306"/>
            </w:tabs>
            <w:kinsoku/>
            <w:wordWrap/>
            <w:overflowPunct/>
            <w:topLinePunct w:val="0"/>
            <w:bidi w:val="0"/>
            <w:spacing w:line="72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_Toc11644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第四章  评审办法及评分标准</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_Toc11644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9DECF97">
          <w:pPr>
            <w:pStyle w:val="131"/>
            <w:keepNext w:val="0"/>
            <w:keepLines w:val="0"/>
            <w:pageBreakBefore w:val="0"/>
            <w:widowControl w:val="0"/>
            <w:tabs>
              <w:tab w:val="right" w:leader="dot" w:pos="8306"/>
            </w:tabs>
            <w:kinsoku/>
            <w:wordWrap/>
            <w:overflowPunct/>
            <w:topLinePunct w:val="0"/>
            <w:bidi w:val="0"/>
            <w:spacing w:line="72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_Toc17955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第五章  采购合同条款</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_Toc17955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01352A1">
          <w:pPr>
            <w:pStyle w:val="131"/>
            <w:keepNext w:val="0"/>
            <w:keepLines w:val="0"/>
            <w:pageBreakBefore w:val="0"/>
            <w:widowControl w:val="0"/>
            <w:tabs>
              <w:tab w:val="right" w:leader="dot" w:pos="8306"/>
            </w:tabs>
            <w:kinsoku/>
            <w:wordWrap/>
            <w:overflowPunct/>
            <w:topLinePunct w:val="0"/>
            <w:bidi w:val="0"/>
            <w:spacing w:line="72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_Toc3770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第六章  响应文件格式</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_Toc3770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2EB3BDC">
          <w:pPr>
            <w:keepNext w:val="0"/>
            <w:keepLines w:val="0"/>
            <w:pageBreakBefore w:val="0"/>
            <w:widowControl w:val="0"/>
            <w:shd w:val="clear"/>
            <w:kinsoku/>
            <w:wordWrap/>
            <w:overflowPunct/>
            <w:topLinePunct w:val="0"/>
            <w:autoSpaceDE/>
            <w:autoSpaceDN/>
            <w:bidi w:val="0"/>
            <w:adjustRightInd/>
            <w:snapToGrid w:val="0"/>
            <w:spacing w:line="720" w:lineRule="auto"/>
            <w:ind w:left="1260" w:leftChars="600"/>
            <w:jc w:val="left"/>
            <w:textAlignment w:val="auto"/>
            <w:rPr>
              <w:color w:val="auto"/>
              <w:highlight w:val="none"/>
            </w:rPr>
          </w:pPr>
          <w:r>
            <w:rPr>
              <w:rFonts w:hint="eastAsia" w:ascii="宋体" w:hAnsi="宋体" w:eastAsia="宋体" w:cs="宋体"/>
              <w:color w:val="auto"/>
              <w:sz w:val="28"/>
              <w:szCs w:val="28"/>
              <w:highlight w:val="none"/>
            </w:rPr>
            <w:fldChar w:fldCharType="end"/>
          </w:r>
          <w:bookmarkStart w:id="0" w:name="_Toc522013502"/>
          <w:bookmarkStart w:id="1" w:name="_Toc10077"/>
          <w:bookmarkStart w:id="2" w:name="_Toc10514"/>
        </w:p>
      </w:sdtContent>
    </w:sdt>
    <w:p w14:paraId="77B4E551">
      <w:pPr>
        <w:keepNext w:val="0"/>
        <w:keepLines w:val="0"/>
        <w:pageBreakBefore w:val="0"/>
        <w:widowControl w:val="0"/>
        <w:shd w:val="clear"/>
        <w:kinsoku/>
        <w:wordWrap/>
        <w:overflowPunct/>
        <w:topLinePunct w:val="0"/>
        <w:autoSpaceDE/>
        <w:autoSpaceDN/>
        <w:bidi w:val="0"/>
        <w:adjustRightInd/>
        <w:snapToGrid w:val="0"/>
        <w:spacing w:line="480" w:lineRule="auto"/>
        <w:jc w:val="center"/>
        <w:textAlignment w:val="auto"/>
        <w:rPr>
          <w:rFonts w:asciiTheme="majorEastAsia" w:hAnsiTheme="majorEastAsia" w:eastAsiaTheme="majorEastAsia"/>
          <w:color w:val="auto"/>
          <w:sz w:val="28"/>
          <w:szCs w:val="36"/>
          <w:highlight w:val="none"/>
        </w:rPr>
        <w:sectPr>
          <w:footerReference r:id="rId8" w:type="first"/>
          <w:footerReference r:id="rId7" w:type="default"/>
          <w:pgSz w:w="11906" w:h="16838"/>
          <w:pgMar w:top="1440" w:right="1701" w:bottom="1440" w:left="1701"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p>
    <w:p w14:paraId="56A8B28D">
      <w:pPr>
        <w:keepNext w:val="0"/>
        <w:keepLines w:val="0"/>
        <w:pageBreakBefore w:val="0"/>
        <w:widowControl w:val="0"/>
        <w:shd w:val="clear"/>
        <w:kinsoku/>
        <w:wordWrap/>
        <w:overflowPunct/>
        <w:topLinePunct w:val="0"/>
        <w:autoSpaceDE/>
        <w:autoSpaceDN/>
        <w:bidi w:val="0"/>
        <w:adjustRightInd/>
        <w:snapToGrid/>
        <w:spacing w:after="330" w:line="480" w:lineRule="auto"/>
        <w:jc w:val="center"/>
        <w:textAlignment w:val="auto"/>
        <w:outlineLvl w:val="0"/>
        <w:rPr>
          <w:rFonts w:asciiTheme="majorEastAsia" w:hAnsiTheme="majorEastAsia" w:eastAsiaTheme="majorEastAsia"/>
          <w:b/>
          <w:bCs/>
          <w:color w:val="auto"/>
          <w:sz w:val="32"/>
          <w:szCs w:val="32"/>
          <w:highlight w:val="none"/>
        </w:rPr>
      </w:pPr>
      <w:r>
        <w:rPr>
          <w:rFonts w:asciiTheme="majorEastAsia" w:hAnsiTheme="majorEastAsia" w:eastAsiaTheme="majorEastAsia"/>
          <w:b/>
          <w:bCs/>
          <w:color w:val="auto"/>
          <w:sz w:val="32"/>
          <w:szCs w:val="40"/>
          <w:highlight w:val="none"/>
        </w:rPr>
        <w:t>第一章  竞争性磋商采购公告</w:t>
      </w:r>
      <w:bookmarkEnd w:id="0"/>
      <w:bookmarkEnd w:id="1"/>
      <w:bookmarkEnd w:id="2"/>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7107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9FB6F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kern w:val="0"/>
                <w:sz w:val="21"/>
                <w:szCs w:val="21"/>
                <w:highlight w:val="none"/>
                <w:lang w:val="en-US" w:eastAsia="zh-CN" w:bidi="ar"/>
              </w:rPr>
            </w:pPr>
            <w:bookmarkStart w:id="3" w:name="_Toc522013503"/>
            <w:r>
              <w:rPr>
                <w:rFonts w:hint="eastAsia" w:ascii="宋体" w:hAnsi="宋体" w:eastAsia="宋体" w:cs="宋体"/>
                <w:i w:val="0"/>
                <w:iCs w:val="0"/>
                <w:caps w:val="0"/>
                <w:color w:val="auto"/>
                <w:spacing w:val="0"/>
                <w:kern w:val="0"/>
                <w:sz w:val="21"/>
                <w:szCs w:val="21"/>
                <w:highlight w:val="none"/>
                <w:lang w:val="en-US" w:eastAsia="zh-CN" w:bidi="ar"/>
              </w:rPr>
              <w:t>项目概况</w:t>
            </w:r>
          </w:p>
          <w:p w14:paraId="4F61E8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vertAlign w:val="baseline"/>
                <w:lang w:val="en-US" w:eastAsia="zh-CN" w:bidi="ar"/>
              </w:rPr>
            </w:pPr>
            <w:r>
              <w:rPr>
                <w:rFonts w:hint="eastAsia" w:ascii="宋体" w:hAnsi="宋体" w:cs="宋体"/>
                <w:i w:val="0"/>
                <w:iCs w:val="0"/>
                <w:caps w:val="0"/>
                <w:color w:val="auto"/>
                <w:spacing w:val="0"/>
                <w:kern w:val="0"/>
                <w:sz w:val="21"/>
                <w:szCs w:val="21"/>
                <w:highlight w:val="none"/>
                <w:lang w:val="en-US" w:eastAsia="zh-CN" w:bidi="ar"/>
              </w:rPr>
              <w:t>宁波市海曙区古林镇布政小学2025年年度教职工疗休养项目</w:t>
            </w:r>
            <w:r>
              <w:rPr>
                <w:rFonts w:hint="eastAsia" w:ascii="宋体" w:hAnsi="宋体" w:eastAsia="宋体" w:cs="宋体"/>
                <w:i w:val="0"/>
                <w:iCs w:val="0"/>
                <w:caps w:val="0"/>
                <w:color w:val="auto"/>
                <w:spacing w:val="0"/>
                <w:kern w:val="0"/>
                <w:sz w:val="21"/>
                <w:szCs w:val="21"/>
                <w:highlight w:val="none"/>
                <w:lang w:val="en-US" w:eastAsia="zh-CN" w:bidi="ar"/>
              </w:rPr>
              <w:t>的潜在供应商应在浙江政府采购云平台（http://www.zcygov.cn/）获取（下载）采购文件，并于2025年 7 月 1 日9:30（北京时间）前提交（上传）响应文件。</w:t>
            </w:r>
          </w:p>
        </w:tc>
      </w:tr>
    </w:tbl>
    <w:p w14:paraId="2FDC60CD">
      <w:pPr>
        <w:keepNext w:val="0"/>
        <w:keepLines w:val="0"/>
        <w:pageBreakBefore w:val="0"/>
        <w:widowControl w:val="0"/>
        <w:suppressLineNumbers w:val="0"/>
        <w:kinsoku/>
        <w:wordWrap/>
        <w:overflowPunct/>
        <w:topLinePunct w:val="0"/>
        <w:autoSpaceDE/>
        <w:autoSpaceDN/>
        <w:bidi w:val="0"/>
        <w:adjustRightInd/>
        <w:snapToGrid/>
        <w:spacing w:before="240" w:beforeAutospacing="0" w:after="0" w:afterAutospacing="0" w:line="360" w:lineRule="auto"/>
        <w:ind w:left="0" w:right="0" w:firstLine="0" w:firstLineChars="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i w:val="0"/>
          <w:iCs w:val="0"/>
          <w:caps w:val="0"/>
          <w:color w:val="auto"/>
          <w:spacing w:val="0"/>
          <w:kern w:val="0"/>
          <w:sz w:val="21"/>
          <w:szCs w:val="21"/>
          <w:highlight w:val="none"/>
          <w:lang w:val="en-US" w:eastAsia="zh-CN" w:bidi="ar"/>
        </w:rPr>
        <w:t>一、项目基本情况</w:t>
      </w:r>
    </w:p>
    <w:p w14:paraId="35682B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项目编号：</w:t>
      </w:r>
      <w:r>
        <w:rPr>
          <w:rFonts w:hint="eastAsia" w:ascii="宋体" w:hAnsi="宋体" w:cs="宋体"/>
          <w:i w:val="0"/>
          <w:iCs w:val="0"/>
          <w:caps w:val="0"/>
          <w:color w:val="auto"/>
          <w:spacing w:val="0"/>
          <w:kern w:val="0"/>
          <w:sz w:val="21"/>
          <w:szCs w:val="21"/>
          <w:highlight w:val="none"/>
          <w:lang w:val="en-US" w:eastAsia="zh-CN" w:bidi="ar"/>
        </w:rPr>
        <w:t>2025NBHSWCS301</w:t>
      </w:r>
    </w:p>
    <w:p w14:paraId="7A8FC4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项目名称：</w:t>
      </w:r>
      <w:r>
        <w:rPr>
          <w:rFonts w:hint="eastAsia" w:ascii="宋体" w:hAnsi="宋体" w:cs="宋体"/>
          <w:i w:val="0"/>
          <w:iCs w:val="0"/>
          <w:caps w:val="0"/>
          <w:color w:val="auto"/>
          <w:spacing w:val="0"/>
          <w:kern w:val="0"/>
          <w:sz w:val="21"/>
          <w:szCs w:val="21"/>
          <w:highlight w:val="none"/>
          <w:lang w:val="en-US" w:eastAsia="zh-CN" w:bidi="ar"/>
        </w:rPr>
        <w:t>宁波市海曙区古林镇布政小学2025年年度教职工疗休养项目</w:t>
      </w:r>
    </w:p>
    <w:p w14:paraId="7F2D43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采购方式：竞争性磋商</w:t>
      </w:r>
    </w:p>
    <w:p w14:paraId="376204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预算金额：</w:t>
      </w:r>
      <w:r>
        <w:rPr>
          <w:rFonts w:hint="eastAsia" w:ascii="宋体" w:hAnsi="宋体" w:cs="宋体"/>
          <w:i w:val="0"/>
          <w:iCs w:val="0"/>
          <w:caps w:val="0"/>
          <w:color w:val="auto"/>
          <w:spacing w:val="0"/>
          <w:kern w:val="0"/>
          <w:sz w:val="21"/>
          <w:szCs w:val="21"/>
          <w:highlight w:val="none"/>
          <w:lang w:val="en-US" w:eastAsia="zh-CN" w:bidi="ar"/>
        </w:rPr>
        <w:t>390000元</w:t>
      </w:r>
    </w:p>
    <w:p w14:paraId="085D87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最高限价：</w:t>
      </w:r>
      <w:r>
        <w:rPr>
          <w:rFonts w:hint="eastAsia" w:ascii="宋体" w:hAnsi="宋体" w:cs="宋体"/>
          <w:i w:val="0"/>
          <w:iCs w:val="0"/>
          <w:caps w:val="0"/>
          <w:color w:val="auto"/>
          <w:spacing w:val="0"/>
          <w:kern w:val="0"/>
          <w:sz w:val="21"/>
          <w:szCs w:val="21"/>
          <w:highlight w:val="none"/>
          <w:lang w:val="en-US" w:eastAsia="zh-CN" w:bidi="ar"/>
        </w:rPr>
        <w:t>390000元</w:t>
      </w:r>
    </w:p>
    <w:p w14:paraId="48B188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采购需求：</w:t>
      </w:r>
    </w:p>
    <w:p w14:paraId="22D6E93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lang w:val="en-US" w:eastAsia="zh-CN" w:bidi="ar"/>
        </w:rPr>
        <w:t>数量：</w:t>
      </w:r>
      <w:r>
        <w:rPr>
          <w:rFonts w:hint="eastAsia" w:ascii="宋体" w:hAnsi="宋体" w:cs="宋体"/>
          <w:i w:val="0"/>
          <w:iCs w:val="0"/>
          <w:caps w:val="0"/>
          <w:color w:val="auto"/>
          <w:spacing w:val="0"/>
          <w:kern w:val="0"/>
          <w:sz w:val="21"/>
          <w:szCs w:val="21"/>
          <w:highlight w:val="none"/>
          <w:lang w:val="en-US" w:eastAsia="zh-CN" w:bidi="ar"/>
        </w:rPr>
        <w:t>不限</w:t>
      </w:r>
    </w:p>
    <w:p w14:paraId="1F77F2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预算金额（元）：</w:t>
      </w:r>
      <w:r>
        <w:rPr>
          <w:rFonts w:hint="eastAsia" w:ascii="宋体" w:hAnsi="宋体" w:cs="宋体"/>
          <w:i w:val="0"/>
          <w:iCs w:val="0"/>
          <w:caps w:val="0"/>
          <w:color w:val="auto"/>
          <w:spacing w:val="0"/>
          <w:kern w:val="0"/>
          <w:sz w:val="21"/>
          <w:szCs w:val="21"/>
          <w:highlight w:val="none"/>
          <w:lang w:val="en-US" w:eastAsia="zh-CN" w:bidi="ar"/>
        </w:rPr>
        <w:t>390000元</w:t>
      </w:r>
    </w:p>
    <w:p w14:paraId="7BDCA5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单位：</w:t>
      </w:r>
      <w:r>
        <w:rPr>
          <w:rFonts w:hint="eastAsia" w:ascii="宋体" w:hAnsi="宋体" w:cs="宋体"/>
          <w:i w:val="0"/>
          <w:iCs w:val="0"/>
          <w:caps w:val="0"/>
          <w:color w:val="auto"/>
          <w:spacing w:val="0"/>
          <w:kern w:val="0"/>
          <w:sz w:val="21"/>
          <w:szCs w:val="21"/>
          <w:highlight w:val="none"/>
          <w:lang w:val="en-US" w:eastAsia="zh-CN" w:bidi="ar"/>
        </w:rPr>
        <w:t>个</w:t>
      </w:r>
    </w:p>
    <w:p w14:paraId="658267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简要规格描述：提供教职工疗休养策划、线路安排、服务保障、费用控制等一系列相关服务。详见竞争性磋商文件第二章</w:t>
      </w:r>
    </w:p>
    <w:p w14:paraId="2E5019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备注：</w:t>
      </w:r>
      <w:r>
        <w:rPr>
          <w:rFonts w:hint="eastAsia" w:ascii="宋体" w:hAnsi="宋体" w:cs="宋体"/>
          <w:i w:val="0"/>
          <w:iCs w:val="0"/>
          <w:caps w:val="0"/>
          <w:color w:val="auto"/>
          <w:spacing w:val="0"/>
          <w:kern w:val="0"/>
          <w:sz w:val="21"/>
          <w:szCs w:val="21"/>
          <w:highlight w:val="none"/>
          <w:lang w:val="en-US" w:eastAsia="zh-CN" w:bidi="ar"/>
        </w:rPr>
        <w:t>/</w:t>
      </w:r>
    </w:p>
    <w:p w14:paraId="5B7CA3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合同履约期限：标项一，自合同生效之日至合同全部权利义务履行完毕之日止</w:t>
      </w:r>
      <w:r>
        <w:rPr>
          <w:rFonts w:hint="eastAsia" w:ascii="宋体" w:hAnsi="宋体" w:cs="宋体"/>
          <w:i w:val="0"/>
          <w:iCs w:val="0"/>
          <w:caps w:val="0"/>
          <w:color w:val="auto"/>
          <w:spacing w:val="0"/>
          <w:kern w:val="0"/>
          <w:sz w:val="21"/>
          <w:szCs w:val="21"/>
          <w:highlight w:val="none"/>
          <w:lang w:val="en-US" w:eastAsia="zh-CN" w:bidi="ar"/>
        </w:rPr>
        <w:t>。</w:t>
      </w:r>
    </w:p>
    <w:p w14:paraId="7CF425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本项目（否）接受联合体投标。</w:t>
      </w:r>
    </w:p>
    <w:p w14:paraId="4FC18A9F">
      <w:pPr>
        <w:keepNext w:val="0"/>
        <w:keepLines w:val="0"/>
        <w:pageBreakBefore w:val="0"/>
        <w:widowControl w:val="0"/>
        <w:suppressLineNumbers w:val="0"/>
        <w:kinsoku/>
        <w:wordWrap/>
        <w:overflowPunct/>
        <w:topLinePunct w:val="0"/>
        <w:autoSpaceDE/>
        <w:autoSpaceDN/>
        <w:bidi w:val="0"/>
        <w:adjustRightInd/>
        <w:snapToGrid/>
        <w:spacing w:before="240" w:beforeAutospacing="0" w:after="0" w:afterAutospacing="0" w:line="360" w:lineRule="auto"/>
        <w:ind w:left="0" w:right="0" w:firstLine="0" w:firstLineChars="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i w:val="0"/>
          <w:iCs w:val="0"/>
          <w:caps w:val="0"/>
          <w:color w:val="auto"/>
          <w:spacing w:val="0"/>
          <w:kern w:val="0"/>
          <w:sz w:val="21"/>
          <w:szCs w:val="21"/>
          <w:highlight w:val="none"/>
          <w:lang w:val="en-US" w:eastAsia="zh-CN" w:bidi="ar"/>
        </w:rPr>
        <w:t>二、申请人的资格要求：</w:t>
      </w:r>
    </w:p>
    <w:p w14:paraId="59DAF8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1.满足《中华人民共和国政府采购法》第二十二条规定；未被“信用中国”（www.creditchina.gov.cn)、中国政府采购网（www.ccgp.gov.cn）列入失信被执行人、重大税收违法案件当事人名单、政府采购严重违法失信行为记录名单。</w:t>
      </w:r>
    </w:p>
    <w:p w14:paraId="6B73D9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2.落实政府采购政策需满足的资格要求：标项一</w:t>
      </w:r>
      <w:r>
        <w:rPr>
          <w:rFonts w:hint="eastAsia" w:ascii="宋体" w:hAnsi="宋体" w:cs="宋体"/>
          <w:i w:val="0"/>
          <w:iCs w:val="0"/>
          <w:caps w:val="0"/>
          <w:color w:val="auto"/>
          <w:spacing w:val="0"/>
          <w:kern w:val="0"/>
          <w:sz w:val="21"/>
          <w:szCs w:val="21"/>
          <w:highlight w:val="none"/>
          <w:lang w:val="en-US" w:eastAsia="zh-CN" w:bidi="ar"/>
        </w:rPr>
        <w:t>：</w:t>
      </w:r>
      <w:r>
        <w:rPr>
          <w:rFonts w:hint="eastAsia" w:ascii="宋体" w:hAnsi="宋体" w:eastAsia="宋体" w:cs="宋体"/>
          <w:i w:val="0"/>
          <w:iCs w:val="0"/>
          <w:caps w:val="0"/>
          <w:color w:val="auto"/>
          <w:spacing w:val="0"/>
          <w:kern w:val="0"/>
          <w:sz w:val="21"/>
          <w:szCs w:val="21"/>
          <w:highlight w:val="none"/>
          <w:lang w:val="en-US" w:eastAsia="zh-CN" w:bidi="ar"/>
        </w:rPr>
        <w:t>本项目属于专门面向中小企业采购的项目，供应商应为符合《政府采购促进中小企业发展管理办法》（财库﹝2020﹞46 号）规定的中小企业（其中，小微企业包括视同为小型、微型企业的监狱企业、残疾人福利性单位）。</w:t>
      </w:r>
    </w:p>
    <w:p w14:paraId="35DA4FA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200" w:right="0" w:rightChars="0"/>
        <w:jc w:val="left"/>
        <w:textAlignment w:val="auto"/>
        <w:rPr>
          <w:rFonts w:hint="eastAsia"/>
          <w:color w:val="auto"/>
          <w:highlight w:val="none"/>
          <w:lang w:val="en-US" w:eastAsia="zh-CN"/>
        </w:rPr>
      </w:pPr>
      <w:r>
        <w:rPr>
          <w:rFonts w:hint="eastAsia" w:ascii="宋体" w:hAnsi="宋体" w:cs="宋体"/>
          <w:i w:val="0"/>
          <w:iCs w:val="0"/>
          <w:caps w:val="0"/>
          <w:color w:val="auto"/>
          <w:spacing w:val="0"/>
          <w:kern w:val="0"/>
          <w:sz w:val="21"/>
          <w:szCs w:val="21"/>
          <w:highlight w:val="none"/>
          <w:lang w:val="en-US" w:eastAsia="zh-CN" w:bidi="ar"/>
        </w:rPr>
        <w:t>3.</w:t>
      </w:r>
      <w:r>
        <w:rPr>
          <w:rFonts w:hint="eastAsia" w:ascii="宋体" w:hAnsi="宋体" w:eastAsia="宋体" w:cs="宋体"/>
          <w:i w:val="0"/>
          <w:iCs w:val="0"/>
          <w:caps w:val="0"/>
          <w:color w:val="auto"/>
          <w:spacing w:val="0"/>
          <w:kern w:val="0"/>
          <w:sz w:val="21"/>
          <w:szCs w:val="21"/>
          <w:highlight w:val="none"/>
          <w:lang w:val="en-US" w:eastAsia="zh-CN" w:bidi="ar"/>
        </w:rPr>
        <w:t>本项目的特定资格要求：【标项1】供应商具备有效的《旅行社业务经营许可证》</w:t>
      </w:r>
    </w:p>
    <w:p w14:paraId="2AD4D891">
      <w:pPr>
        <w:keepNext w:val="0"/>
        <w:keepLines w:val="0"/>
        <w:pageBreakBefore w:val="0"/>
        <w:widowControl w:val="0"/>
        <w:suppressLineNumbers w:val="0"/>
        <w:kinsoku/>
        <w:wordWrap/>
        <w:overflowPunct/>
        <w:topLinePunct w:val="0"/>
        <w:autoSpaceDE/>
        <w:autoSpaceDN/>
        <w:bidi w:val="0"/>
        <w:adjustRightInd/>
        <w:snapToGrid/>
        <w:spacing w:before="240" w:beforeAutospacing="0" w:after="0" w:afterAutospacing="0" w:line="360" w:lineRule="auto"/>
        <w:ind w:left="0" w:right="0" w:firstLine="0" w:firstLineChars="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i w:val="0"/>
          <w:iCs w:val="0"/>
          <w:caps w:val="0"/>
          <w:color w:val="auto"/>
          <w:spacing w:val="0"/>
          <w:kern w:val="0"/>
          <w:sz w:val="21"/>
          <w:szCs w:val="21"/>
          <w:highlight w:val="none"/>
          <w:lang w:val="en-US" w:eastAsia="zh-CN" w:bidi="ar"/>
        </w:rPr>
        <w:t>三、获取（下载）采购文件</w:t>
      </w:r>
    </w:p>
    <w:p w14:paraId="0D062F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u w:val="none"/>
          <w:lang w:val="en-US" w:eastAsia="zh-CN" w:bidi="ar"/>
        </w:rPr>
        <w:t>时间：</w:t>
      </w:r>
      <w:r>
        <w:rPr>
          <w:rFonts w:hint="eastAsia" w:ascii="宋体" w:hAnsi="宋体" w:cs="宋体"/>
          <w:i w:val="0"/>
          <w:iCs w:val="0"/>
          <w:caps w:val="0"/>
          <w:color w:val="auto"/>
          <w:spacing w:val="0"/>
          <w:kern w:val="0"/>
          <w:sz w:val="21"/>
          <w:szCs w:val="21"/>
          <w:highlight w:val="none"/>
          <w:u w:val="none"/>
          <w:lang w:val="en-US" w:eastAsia="zh-CN" w:bidi="ar"/>
        </w:rPr>
        <w:t>2025年6月20</w:t>
      </w:r>
      <w:r>
        <w:rPr>
          <w:rFonts w:hint="eastAsia" w:ascii="宋体" w:hAnsi="宋体" w:eastAsia="宋体" w:cs="宋体"/>
          <w:i w:val="0"/>
          <w:iCs w:val="0"/>
          <w:caps w:val="0"/>
          <w:color w:val="auto"/>
          <w:spacing w:val="0"/>
          <w:kern w:val="0"/>
          <w:sz w:val="21"/>
          <w:szCs w:val="21"/>
          <w:highlight w:val="none"/>
          <w:u w:val="none"/>
          <w:lang w:val="en-US" w:eastAsia="zh-CN" w:bidi="ar"/>
        </w:rPr>
        <w:t>日至</w:t>
      </w:r>
      <w:r>
        <w:rPr>
          <w:rFonts w:hint="eastAsia" w:ascii="宋体" w:hAnsi="宋体" w:cs="宋体"/>
          <w:i w:val="0"/>
          <w:iCs w:val="0"/>
          <w:caps w:val="0"/>
          <w:color w:val="auto"/>
          <w:spacing w:val="0"/>
          <w:kern w:val="0"/>
          <w:sz w:val="21"/>
          <w:szCs w:val="21"/>
          <w:highlight w:val="none"/>
          <w:u w:val="none"/>
          <w:lang w:val="en-US" w:eastAsia="zh-CN" w:bidi="ar"/>
        </w:rPr>
        <w:t>2025年6月27</w:t>
      </w:r>
      <w:r>
        <w:rPr>
          <w:rFonts w:hint="eastAsia" w:ascii="宋体" w:hAnsi="宋体" w:eastAsia="宋体" w:cs="宋体"/>
          <w:i w:val="0"/>
          <w:iCs w:val="0"/>
          <w:caps w:val="0"/>
          <w:color w:val="auto"/>
          <w:spacing w:val="0"/>
          <w:kern w:val="0"/>
          <w:sz w:val="21"/>
          <w:szCs w:val="21"/>
          <w:highlight w:val="none"/>
          <w:u w:val="none"/>
          <w:lang w:val="en-US" w:eastAsia="zh-CN" w:bidi="ar"/>
        </w:rPr>
        <w:t>日，每天上午00:00至12:00，下午12:00至23:59（北京时间，线上获取法定节假日均可，线下获取文件法定节假日除外）</w:t>
      </w:r>
    </w:p>
    <w:p w14:paraId="346C23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地点（网址）：浙江政府采购云平台（http://www.zcygov.cn/）</w:t>
      </w:r>
    </w:p>
    <w:p w14:paraId="39605F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方式：（1）本项目采购文件实行“政府采购云平台”在线获取，不提供采购文件纸质版。供应商获取采购文件前应先完成“政府采购云平台”的账号注册；</w:t>
      </w:r>
    </w:p>
    <w:p w14:paraId="7CB0C6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2）潜在供应商登陆政采云平台，在线申请获取采购文件（进入“项目采购”应用，在获取采购文件菜单中选择项目，申请获取采购文件；仅需浏览采购文件的供应商可点击“游客，浏览采购文件”直接下载采购文件浏览）；</w:t>
      </w:r>
    </w:p>
    <w:p w14:paraId="4D258F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3）采购公告附件内的采购文件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14:paraId="0BF4AF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注：请供应商按上述要求获取采购文件，未依法获取采购文件的供应商不得对本项目提起质疑；如未在“政采云”系统内完成相关流程，引起的响应无效责任自负。</w:t>
      </w:r>
    </w:p>
    <w:p w14:paraId="37B529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售价（元）：0</w:t>
      </w:r>
    </w:p>
    <w:p w14:paraId="3D43F8AF">
      <w:pPr>
        <w:keepNext w:val="0"/>
        <w:keepLines w:val="0"/>
        <w:pageBreakBefore w:val="0"/>
        <w:widowControl w:val="0"/>
        <w:suppressLineNumbers w:val="0"/>
        <w:kinsoku/>
        <w:wordWrap/>
        <w:overflowPunct/>
        <w:topLinePunct w:val="0"/>
        <w:autoSpaceDE/>
        <w:autoSpaceDN/>
        <w:bidi w:val="0"/>
        <w:adjustRightInd/>
        <w:snapToGrid/>
        <w:spacing w:before="240" w:beforeAutospacing="0" w:after="0" w:afterAutospacing="0" w:line="360" w:lineRule="auto"/>
        <w:ind w:left="0" w:right="0" w:firstLine="0" w:firstLineChars="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i w:val="0"/>
          <w:iCs w:val="0"/>
          <w:caps w:val="0"/>
          <w:color w:val="auto"/>
          <w:spacing w:val="0"/>
          <w:kern w:val="0"/>
          <w:sz w:val="21"/>
          <w:szCs w:val="21"/>
          <w:highlight w:val="none"/>
          <w:lang w:val="en-US" w:eastAsia="zh-CN" w:bidi="ar"/>
        </w:rPr>
        <w:t>四、响应文件提交（上传）</w:t>
      </w:r>
    </w:p>
    <w:p w14:paraId="4AEF05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截止时间：</w:t>
      </w:r>
      <w:r>
        <w:rPr>
          <w:rFonts w:hint="eastAsia" w:ascii="宋体" w:hAnsi="宋体" w:cs="宋体"/>
          <w:i w:val="0"/>
          <w:iCs w:val="0"/>
          <w:caps w:val="0"/>
          <w:color w:val="auto"/>
          <w:spacing w:val="0"/>
          <w:kern w:val="0"/>
          <w:sz w:val="21"/>
          <w:szCs w:val="21"/>
          <w:highlight w:val="none"/>
          <w:lang w:val="en-US" w:eastAsia="zh-CN" w:bidi="ar"/>
        </w:rPr>
        <w:t>2025年 7 月 3 日9:30</w:t>
      </w:r>
      <w:r>
        <w:rPr>
          <w:rFonts w:hint="eastAsia" w:ascii="宋体" w:hAnsi="宋体" w:eastAsia="宋体" w:cs="宋体"/>
          <w:i w:val="0"/>
          <w:iCs w:val="0"/>
          <w:caps w:val="0"/>
          <w:color w:val="auto"/>
          <w:spacing w:val="0"/>
          <w:kern w:val="0"/>
          <w:sz w:val="21"/>
          <w:szCs w:val="21"/>
          <w:highlight w:val="none"/>
          <w:lang w:val="en-US" w:eastAsia="zh-CN" w:bidi="ar"/>
        </w:rPr>
        <w:t>（北京时间）</w:t>
      </w:r>
    </w:p>
    <w:p w14:paraId="3A4DD4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地点（网址）：</w:t>
      </w:r>
      <w:r>
        <w:rPr>
          <w:rFonts w:hint="eastAsia" w:ascii="宋体" w:hAnsi="宋体" w:cs="宋体"/>
          <w:i w:val="0"/>
          <w:iCs w:val="0"/>
          <w:caps w:val="0"/>
          <w:color w:val="auto"/>
          <w:spacing w:val="0"/>
          <w:kern w:val="0"/>
          <w:sz w:val="21"/>
          <w:szCs w:val="21"/>
          <w:highlight w:val="none"/>
          <w:lang w:val="en-US" w:eastAsia="zh-CN" w:bidi="ar"/>
        </w:rPr>
        <w:t>宁波市海曙区公共资源交易中心二楼开标室（六）（南门上，宁波市海曙区气象路58号）</w:t>
      </w:r>
      <w:r>
        <w:rPr>
          <w:rFonts w:hint="eastAsia" w:ascii="宋体" w:hAnsi="宋体" w:eastAsia="宋体" w:cs="宋体"/>
          <w:i w:val="0"/>
          <w:iCs w:val="0"/>
          <w:caps w:val="0"/>
          <w:color w:val="auto"/>
          <w:spacing w:val="0"/>
          <w:kern w:val="0"/>
          <w:sz w:val="21"/>
          <w:szCs w:val="21"/>
          <w:highlight w:val="none"/>
          <w:lang w:val="en-US" w:eastAsia="zh-CN" w:bidi="ar"/>
        </w:rPr>
        <w:t>：政采云平台（www.zcygov.cn）在线提交）</w:t>
      </w:r>
    </w:p>
    <w:p w14:paraId="1091FB14">
      <w:pPr>
        <w:keepNext w:val="0"/>
        <w:keepLines w:val="0"/>
        <w:pageBreakBefore w:val="0"/>
        <w:widowControl w:val="0"/>
        <w:suppressLineNumbers w:val="0"/>
        <w:kinsoku/>
        <w:wordWrap/>
        <w:overflowPunct/>
        <w:topLinePunct w:val="0"/>
        <w:autoSpaceDE/>
        <w:autoSpaceDN/>
        <w:bidi w:val="0"/>
        <w:adjustRightInd/>
        <w:snapToGrid/>
        <w:spacing w:before="240" w:beforeAutospacing="0" w:after="0" w:afterAutospacing="0" w:line="360" w:lineRule="auto"/>
        <w:ind w:left="0" w:right="0" w:firstLine="0" w:firstLineChars="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i w:val="0"/>
          <w:iCs w:val="0"/>
          <w:caps w:val="0"/>
          <w:color w:val="auto"/>
          <w:spacing w:val="0"/>
          <w:kern w:val="0"/>
          <w:sz w:val="21"/>
          <w:szCs w:val="21"/>
          <w:highlight w:val="none"/>
          <w:lang w:val="en-US" w:eastAsia="zh-CN" w:bidi="ar"/>
        </w:rPr>
        <w:t>五、响应文件开启</w:t>
      </w:r>
    </w:p>
    <w:p w14:paraId="71308D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开启时间：</w:t>
      </w:r>
      <w:r>
        <w:rPr>
          <w:rFonts w:hint="eastAsia" w:ascii="宋体" w:hAnsi="宋体" w:cs="宋体"/>
          <w:i w:val="0"/>
          <w:iCs w:val="0"/>
          <w:caps w:val="0"/>
          <w:color w:val="auto"/>
          <w:spacing w:val="0"/>
          <w:kern w:val="0"/>
          <w:sz w:val="21"/>
          <w:szCs w:val="21"/>
          <w:highlight w:val="none"/>
          <w:lang w:val="en-US" w:eastAsia="zh-CN" w:bidi="ar"/>
        </w:rPr>
        <w:t>2025年 7 月 3 日9:30</w:t>
      </w:r>
      <w:r>
        <w:rPr>
          <w:rFonts w:hint="eastAsia" w:ascii="宋体" w:hAnsi="宋体" w:eastAsia="宋体" w:cs="宋体"/>
          <w:i w:val="0"/>
          <w:iCs w:val="0"/>
          <w:caps w:val="0"/>
          <w:color w:val="auto"/>
          <w:spacing w:val="0"/>
          <w:kern w:val="0"/>
          <w:sz w:val="21"/>
          <w:szCs w:val="21"/>
          <w:highlight w:val="none"/>
          <w:lang w:val="en-US" w:eastAsia="zh-CN" w:bidi="ar"/>
        </w:rPr>
        <w:t>（北京时间）</w:t>
      </w:r>
    </w:p>
    <w:p w14:paraId="1E4AD3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地点（网址）：</w:t>
      </w:r>
      <w:r>
        <w:rPr>
          <w:rFonts w:hint="eastAsia" w:ascii="宋体" w:hAnsi="宋体" w:cs="宋体"/>
          <w:i w:val="0"/>
          <w:iCs w:val="0"/>
          <w:caps w:val="0"/>
          <w:color w:val="auto"/>
          <w:spacing w:val="0"/>
          <w:kern w:val="0"/>
          <w:sz w:val="21"/>
          <w:szCs w:val="21"/>
          <w:highlight w:val="none"/>
          <w:lang w:val="en-US" w:eastAsia="zh-CN" w:bidi="ar"/>
        </w:rPr>
        <w:t>宁波市海曙区公共资源交易中心二楼开标室（六）（南门上，宁波市海曙区气象路58号）</w:t>
      </w:r>
      <w:r>
        <w:rPr>
          <w:rFonts w:hint="eastAsia" w:ascii="宋体" w:hAnsi="宋体" w:eastAsia="宋体" w:cs="宋体"/>
          <w:i w:val="0"/>
          <w:iCs w:val="0"/>
          <w:caps w:val="0"/>
          <w:color w:val="auto"/>
          <w:spacing w:val="0"/>
          <w:kern w:val="0"/>
          <w:sz w:val="21"/>
          <w:szCs w:val="21"/>
          <w:highlight w:val="none"/>
          <w:lang w:val="en-US" w:eastAsia="zh-CN" w:bidi="ar"/>
        </w:rPr>
        <w:t>（线上开启：政采云平台（www.zcygov.cn））</w:t>
      </w:r>
    </w:p>
    <w:p w14:paraId="43C780A2">
      <w:pPr>
        <w:keepNext w:val="0"/>
        <w:keepLines w:val="0"/>
        <w:pageBreakBefore w:val="0"/>
        <w:widowControl w:val="0"/>
        <w:suppressLineNumbers w:val="0"/>
        <w:kinsoku/>
        <w:wordWrap/>
        <w:overflowPunct/>
        <w:topLinePunct w:val="0"/>
        <w:autoSpaceDE/>
        <w:autoSpaceDN/>
        <w:bidi w:val="0"/>
        <w:adjustRightInd/>
        <w:snapToGrid/>
        <w:spacing w:before="240" w:beforeAutospacing="0" w:after="0" w:afterAutospacing="0" w:line="360" w:lineRule="auto"/>
        <w:ind w:left="0" w:right="0" w:firstLine="0" w:firstLineChars="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i w:val="0"/>
          <w:iCs w:val="0"/>
          <w:caps w:val="0"/>
          <w:color w:val="auto"/>
          <w:spacing w:val="0"/>
          <w:kern w:val="0"/>
          <w:sz w:val="21"/>
          <w:szCs w:val="21"/>
          <w:highlight w:val="none"/>
          <w:lang w:val="en-US" w:eastAsia="zh-CN" w:bidi="ar"/>
        </w:rPr>
        <w:t>六、公告期限</w:t>
      </w:r>
    </w:p>
    <w:p w14:paraId="7DFF88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自本公告发布之日起3个工作日。</w:t>
      </w:r>
    </w:p>
    <w:p w14:paraId="10BD54B5">
      <w:pPr>
        <w:keepNext w:val="0"/>
        <w:keepLines w:val="0"/>
        <w:pageBreakBefore w:val="0"/>
        <w:widowControl w:val="0"/>
        <w:suppressLineNumbers w:val="0"/>
        <w:kinsoku/>
        <w:wordWrap/>
        <w:overflowPunct/>
        <w:topLinePunct w:val="0"/>
        <w:autoSpaceDE/>
        <w:autoSpaceDN/>
        <w:bidi w:val="0"/>
        <w:adjustRightInd/>
        <w:snapToGrid/>
        <w:spacing w:before="240" w:beforeAutospacing="0" w:after="0" w:afterAutospacing="0" w:line="360" w:lineRule="auto"/>
        <w:ind w:left="0" w:right="0" w:firstLine="0" w:firstLineChars="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i w:val="0"/>
          <w:iCs w:val="0"/>
          <w:caps w:val="0"/>
          <w:color w:val="auto"/>
          <w:spacing w:val="0"/>
          <w:kern w:val="0"/>
          <w:sz w:val="21"/>
          <w:szCs w:val="21"/>
          <w:highlight w:val="none"/>
          <w:lang w:val="en-US" w:eastAsia="zh-CN" w:bidi="ar"/>
        </w:rPr>
        <w:t>七、</w:t>
      </w:r>
      <w:bookmarkStart w:id="48" w:name="_GoBack"/>
      <w:r>
        <w:rPr>
          <w:rFonts w:hint="eastAsia" w:ascii="宋体" w:hAnsi="宋体" w:eastAsia="宋体" w:cs="宋体"/>
          <w:b/>
          <w:i w:val="0"/>
          <w:iCs w:val="0"/>
          <w:caps w:val="0"/>
          <w:color w:val="auto"/>
          <w:spacing w:val="0"/>
          <w:kern w:val="0"/>
          <w:sz w:val="21"/>
          <w:szCs w:val="21"/>
          <w:highlight w:val="none"/>
          <w:lang w:val="en-US" w:eastAsia="zh-CN" w:bidi="ar"/>
        </w:rPr>
        <w:t>其他补充事宜</w:t>
      </w:r>
      <w:bookmarkEnd w:id="48"/>
    </w:p>
    <w:p w14:paraId="3A4D9819">
      <w:pPr>
        <w:spacing w:line="360" w:lineRule="auto"/>
        <w:ind w:firstLine="420" w:firstLineChars="200"/>
        <w:jc w:val="left"/>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C4ED3AE">
      <w:pPr>
        <w:spacing w:line="360" w:lineRule="auto"/>
        <w:ind w:firstLine="420" w:firstLineChars="200"/>
        <w:jc w:val="left"/>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A987CEA">
      <w:pPr>
        <w:spacing w:line="360" w:lineRule="auto"/>
        <w:ind w:firstLine="420" w:firstLineChars="200"/>
        <w:jc w:val="left"/>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8CD4027">
      <w:pPr>
        <w:spacing w:line="360" w:lineRule="auto"/>
        <w:ind w:firstLine="420" w:firstLineChars="200"/>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4</w:t>
      </w:r>
      <w:r>
        <w:rPr>
          <w:rFonts w:hint="eastAsia" w:ascii="宋体" w:hAnsi="宋体" w:eastAsia="宋体" w:cs="宋体"/>
          <w:color w:val="auto"/>
          <w:kern w:val="0"/>
          <w:szCs w:val="21"/>
          <w:highlight w:val="none"/>
          <w:lang w:bidi="ar"/>
        </w:rPr>
        <w:t>.其他事项：</w:t>
      </w:r>
    </w:p>
    <w:p w14:paraId="6936AF89">
      <w:pPr>
        <w:spacing w:line="360" w:lineRule="auto"/>
        <w:ind w:firstLine="420" w:firstLineChars="200"/>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4</w:t>
      </w:r>
      <w:r>
        <w:rPr>
          <w:rFonts w:hint="eastAsia" w:ascii="宋体" w:hAnsi="宋体" w:eastAsia="宋体" w:cs="宋体"/>
          <w:color w:val="auto"/>
          <w:kern w:val="0"/>
          <w:szCs w:val="21"/>
          <w:highlight w:val="none"/>
          <w:lang w:bidi="ar"/>
        </w:rPr>
        <w:t>.1单位负责人为同一人或者存在直接控股、管理关系的不同供应商，不得参加同一标项项下的政府采购活动。除单一来源采购项目外，为采购项目提供整体设计、规范编制或者项目管理、监理、检测等服务的供应商，不得再参加该采购项目的其他采购活动。</w:t>
      </w:r>
    </w:p>
    <w:p w14:paraId="694BF568">
      <w:pPr>
        <w:spacing w:line="360" w:lineRule="auto"/>
        <w:ind w:firstLine="420" w:firstLineChars="200"/>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4</w:t>
      </w:r>
      <w:r>
        <w:rPr>
          <w:rFonts w:hint="eastAsia" w:ascii="宋体" w:hAnsi="宋体" w:eastAsia="宋体" w:cs="宋体"/>
          <w:color w:val="auto"/>
          <w:kern w:val="0"/>
          <w:szCs w:val="21"/>
          <w:highlight w:val="none"/>
          <w:lang w:bidi="ar"/>
        </w:rPr>
        <w:t>.2供应商须提供政府采购领域商业贿赂行为承诺书（响应文件中须提供《政府采购领域商业贿赂行为承诺书》，详见响应文件格式）。</w:t>
      </w:r>
    </w:p>
    <w:p w14:paraId="57D58739">
      <w:pPr>
        <w:spacing w:line="336" w:lineRule="auto"/>
        <w:ind w:firstLine="420" w:firstLineChars="200"/>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4</w:t>
      </w:r>
      <w:r>
        <w:rPr>
          <w:rFonts w:hint="eastAsia" w:ascii="宋体" w:hAnsi="宋体" w:eastAsia="宋体" w:cs="宋体"/>
          <w:color w:val="auto"/>
          <w:kern w:val="0"/>
          <w:szCs w:val="21"/>
          <w:highlight w:val="none"/>
          <w:lang w:bidi="ar"/>
        </w:rPr>
        <w:t>.3采购项目需要落实的政府采购政策：</w:t>
      </w:r>
    </w:p>
    <w:p w14:paraId="1F4BEF54">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.3.1对小微企业的产品给予价格优惠（监狱企业、残疾人福利性单位视同小微企业；残疾人福利性单位属于小型、微型企业的，不重复享受政策）；</w:t>
      </w:r>
    </w:p>
    <w:p w14:paraId="3D34F814">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.3.2优先采购节能环保产品（注：所采购的货物在政府采购节能产品、环境标志产品实施品目清单范围内，且具有国家确定的认证机构出具的、处于有效期之内的节能产品、环境标志产品认证证书）。</w:t>
      </w:r>
    </w:p>
    <w:p w14:paraId="0DE36FEB">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.4中小企业信用融资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供应商中标后可在“政采云”平台申请政采贷：操作路径：登录政采云平台-金融服务中心-【融资服务】，可在热门申请中选择产品直接申请，也可点击云智贷匹配适合产品进行申请，或者在可申请项目中根据该项目进行申请。</w:t>
      </w:r>
    </w:p>
    <w:p w14:paraId="3F72D611">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.5供应商需按照《浙江省政府采购供应商注册及诚信管理暂行办法》的规定在“浙江政府采购网”政采云平台注册登记的，成为浙江省政府采购注册供应商。如未注册的供应商，请注意注册所需时间。</w:t>
      </w:r>
    </w:p>
    <w:p w14:paraId="582496AF">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.6响应与开标注意事项</w:t>
      </w:r>
    </w:p>
    <w:p w14:paraId="2354EBF6">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.6.1本项目实行网上响应，采用电子响应文件。若供应商参与响应，自行承担响应一切费用。</w:t>
      </w:r>
    </w:p>
    <w:p w14:paraId="6CB5B6A9">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.6.2标前准备：各供应商应在开标前确保成为浙江政府采购网正式注册入库供应商，并完成CA数字证书办理。因未注册入库、未办理CA数字证书等原因造成无法响应或响应失败等后果由供应商自行承担。</w:t>
      </w:r>
    </w:p>
    <w:p w14:paraId="64E7849D">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.6.3响应文件制作：</w:t>
      </w:r>
    </w:p>
    <w:p w14:paraId="04E4D64D">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.6.3.1应按照本项目采购文件和政府采购云平台的要求编制、加密并递交响应文件。供应商在使用系统进行响应的过程中遇到涉及平台使用的任何问题，可致电政府采购云平台技术支持热线咨询，联系方式：</w:t>
      </w:r>
      <w:r>
        <w:rPr>
          <w:rFonts w:hint="eastAsia" w:ascii="宋体" w:hAnsi="宋体" w:eastAsia="宋体" w:cs="宋体"/>
          <w:color w:val="auto"/>
          <w:kern w:val="0"/>
          <w:szCs w:val="21"/>
          <w:highlight w:val="none"/>
          <w:shd w:val="clear" w:color="auto" w:fill="FFFFFF"/>
          <w:lang w:bidi="ar"/>
        </w:rPr>
        <w:t>95763</w:t>
      </w:r>
      <w:r>
        <w:rPr>
          <w:rFonts w:hint="eastAsia" w:ascii="宋体" w:hAnsi="宋体" w:eastAsia="宋体" w:cs="宋体"/>
          <w:color w:val="auto"/>
          <w:szCs w:val="21"/>
          <w:highlight w:val="none"/>
        </w:rPr>
        <w:t>。</w:t>
      </w:r>
    </w:p>
    <w:p w14:paraId="00183456">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.6.3.2供应商通过政府采购云平台电子投标工具制作响应文件，电子投标工具请供应商自行前往浙江政府采购网下载并安装，响应文件制作具体流程详见政府采购云平台。</w:t>
      </w:r>
    </w:p>
    <w:p w14:paraId="5CB330A1">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.6.3.3供应商可自愿提交以U盘存储的电子备份响应文件1份，按政府采购云平台要求制作的电子备份文件，以用于异常情况处理。</w:t>
      </w:r>
    </w:p>
    <w:p w14:paraId="45F9F5B2">
      <w:pPr>
        <w:spacing w:line="336" w:lineRule="auto"/>
        <w:ind w:firstLine="420"/>
        <w:rPr>
          <w:rFonts w:ascii="宋体" w:hAnsi="宋体" w:eastAsia="宋体" w:cs="宋体"/>
          <w:bCs/>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.7本招标公告附件中的采购文件仅供阅览使用，供应商应在规定的采购文件获取期限内在政采云平台登录供应商注册的账号后获取采购文件，未按上述方式获取采购文件的，不得对采购文件提起质疑投诉。</w:t>
      </w:r>
    </w:p>
    <w:p w14:paraId="40A03FEF">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.8供应商应于响应截止时间前将电子响应文件上传到政府采购云平台www.zcygov.cn，未上传电子响应文件，视为供应商放弃响应。</w:t>
      </w:r>
    </w:p>
    <w:p w14:paraId="1894D360">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9供应商如提供备份响应文件的，应于提交响应文件截止时间前，将以U盘存储的电子备份响应文件密封，递交至响应地点，逾期送达或未密封将予以拒收。供应商仅提供备份响应文件（以U盘存储的电子备份响应文件）的，响应无效。</w:t>
      </w:r>
    </w:p>
    <w:p w14:paraId="21A5319E">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10采购代理机构将在采购文件规定的开标时间通过政府采购云平台组织开标、开启响应文件，所有供应商均应准时在线参加。开标时间后30分钟内供应商可以登录政府采购云平台www.zcygov.cn，用“项目采购-开标评标”功能进行解密响应文件。</w:t>
      </w:r>
    </w:p>
    <w:p w14:paraId="64E9FB2B">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.11供应商可采用邮寄（含快递）方式或现场方式递交备份响应文件。</w:t>
      </w:r>
    </w:p>
    <w:p w14:paraId="7A8219CA">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.11.1采用邮寄方式递交备份响应文件，需按以下要求递交：</w:t>
      </w:r>
    </w:p>
    <w:p w14:paraId="775A01E7">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拟在</w:t>
      </w:r>
      <w:r>
        <w:rPr>
          <w:rFonts w:hint="eastAsia" w:ascii="宋体" w:hAnsi="宋体" w:eastAsia="宋体" w:cs="宋体"/>
          <w:color w:val="auto"/>
          <w:szCs w:val="21"/>
          <w:highlight w:val="none"/>
          <w:lang w:eastAsia="zh-CN"/>
        </w:rPr>
        <w:t>2025年</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eastAsia="zh-CN"/>
        </w:rPr>
        <w:t>月</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eastAsia="zh-CN"/>
        </w:rPr>
        <w:t>日</w:t>
      </w:r>
      <w:r>
        <w:rPr>
          <w:rFonts w:hint="eastAsia" w:ascii="宋体" w:hAnsi="宋体" w:eastAsia="宋体" w:cs="宋体"/>
          <w:color w:val="auto"/>
          <w:szCs w:val="21"/>
          <w:highlight w:val="none"/>
          <w:lang w:val="en-US" w:eastAsia="zh-CN"/>
        </w:rPr>
        <w:t>16</w:t>
      </w:r>
      <w:r>
        <w:rPr>
          <w:rFonts w:hint="eastAsia" w:ascii="宋体" w:hAnsi="宋体" w:eastAsia="宋体" w:cs="宋体"/>
          <w:color w:val="auto"/>
          <w:szCs w:val="21"/>
          <w:highlight w:val="none"/>
          <w:lang w:eastAsia="zh-CN"/>
        </w:rPr>
        <w:t>:00</w:t>
      </w:r>
      <w:r>
        <w:rPr>
          <w:rFonts w:hint="eastAsia" w:ascii="宋体" w:hAnsi="宋体" w:eastAsia="宋体" w:cs="宋体"/>
          <w:color w:val="auto"/>
          <w:szCs w:val="21"/>
          <w:highlight w:val="none"/>
        </w:rPr>
        <w:t>之前到件的邮寄地址为：宁波市海曙区高桥镇秀丰路755号；拟在</w:t>
      </w:r>
      <w:r>
        <w:rPr>
          <w:rFonts w:hint="eastAsia" w:ascii="宋体" w:hAnsi="宋体" w:eastAsia="宋体" w:cs="宋体"/>
          <w:color w:val="auto"/>
          <w:szCs w:val="21"/>
          <w:highlight w:val="none"/>
          <w:lang w:eastAsia="zh-CN"/>
        </w:rPr>
        <w:t>2025年</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eastAsia="zh-CN"/>
        </w:rPr>
        <w:t>月</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eastAsia="zh-CN"/>
        </w:rPr>
        <w:t>日</w:t>
      </w:r>
      <w:r>
        <w:rPr>
          <w:rFonts w:hint="eastAsia" w:ascii="宋体" w:hAnsi="宋体" w:eastAsia="宋体" w:cs="宋体"/>
          <w:color w:val="auto"/>
          <w:szCs w:val="21"/>
          <w:highlight w:val="none"/>
          <w:lang w:val="en-US" w:eastAsia="zh-CN"/>
        </w:rPr>
        <w:t>16</w:t>
      </w:r>
      <w:r>
        <w:rPr>
          <w:rFonts w:hint="eastAsia" w:ascii="宋体" w:hAnsi="宋体" w:eastAsia="宋体" w:cs="宋体"/>
          <w:color w:val="auto"/>
          <w:szCs w:val="21"/>
          <w:highlight w:val="none"/>
          <w:lang w:eastAsia="zh-CN"/>
        </w:rPr>
        <w:t>:00</w:t>
      </w:r>
      <w:r>
        <w:rPr>
          <w:rFonts w:hint="eastAsia" w:ascii="宋体" w:hAnsi="宋体" w:eastAsia="宋体" w:cs="宋体"/>
          <w:color w:val="auto"/>
          <w:szCs w:val="21"/>
          <w:highlight w:val="none"/>
        </w:rPr>
        <w:t>之后，</w:t>
      </w:r>
      <w:r>
        <w:rPr>
          <w:rFonts w:hint="eastAsia" w:ascii="宋体" w:hAnsi="宋体" w:eastAsia="宋体" w:cs="宋体"/>
          <w:color w:val="auto"/>
          <w:szCs w:val="21"/>
          <w:highlight w:val="none"/>
          <w:lang w:eastAsia="zh-CN"/>
        </w:rPr>
        <w:t>2025年</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eastAsia="zh-CN"/>
        </w:rPr>
        <w:t>月</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eastAsia="zh-CN"/>
        </w:rPr>
        <w:t>日</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0</w:t>
      </w:r>
      <w:r>
        <w:rPr>
          <w:rFonts w:hint="eastAsia" w:ascii="宋体" w:hAnsi="宋体" w:eastAsia="宋体" w:cs="宋体"/>
          <w:color w:val="auto"/>
          <w:szCs w:val="21"/>
          <w:highlight w:val="none"/>
        </w:rPr>
        <w:t>之前到件的邮寄地址为：[宁波市海曙区营商环境服务中心（原海曙区公共资源交易中心）开标室（</w:t>
      </w:r>
      <w:r>
        <w:rPr>
          <w:rFonts w:hint="eastAsia" w:ascii="宋体" w:hAnsi="宋体" w:eastAsia="宋体" w:cs="宋体"/>
          <w:color w:val="auto"/>
          <w:szCs w:val="21"/>
          <w:highlight w:val="none"/>
          <w:lang w:eastAsia="zh-CN"/>
        </w:rPr>
        <w:t>六</w:t>
      </w:r>
      <w:r>
        <w:rPr>
          <w:rFonts w:hint="eastAsia" w:ascii="宋体" w:hAnsi="宋体" w:eastAsia="宋体" w:cs="宋体"/>
          <w:color w:val="auto"/>
          <w:szCs w:val="21"/>
          <w:highlight w:val="none"/>
        </w:rPr>
        <w:t>）[宁波市海曙区气象路58号（南门上）]；</w:t>
      </w:r>
    </w:p>
    <w:p w14:paraId="0E069040">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收件人：邓平，联系方式：0574-87208638。由采购代理工作人员进行签收，各供应商自行考虑邮寄在途时间，邮寄过程中无论何种因素导致备份响应文件未按时递交的后果，均由供应商自行负责。备份响应文件递交时间以采购代理实际收到备份响应文件的时间为准。</w:t>
      </w:r>
    </w:p>
    <w:p w14:paraId="14B07799">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.11.2采用现场方式送达备份响应文件，需按以下要求递交：供应商可安排相关人员在响应截止时间前将备份响应文件送至响应地点。</w:t>
      </w:r>
    </w:p>
    <w:p w14:paraId="6AF94411">
      <w:pPr>
        <w:pageBreakBefore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szCs w:val="21"/>
          <w:highlight w:val="none"/>
          <w:lang w:val="en-US" w:eastAsia="zh-CN"/>
        </w:rPr>
      </w:pP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rPr>
        <w:t>.12本公告发布媒体：中国政府采购网（www.ccgp.gov.cn）、浙江政府采购网（www.zjzfcg.gov.cn）、宁波政府采购网（www.nbzfcg.cn）、浙江省公共资源交易服务平台（ggzy.zj.gov.cn）、宁波市公共资源交易电子服务系统（甬易阳光）（jyxt.zwb.ningbo.gov.cn:4011/website/home），公布信息视同送达所有潜在供应商。</w:t>
      </w:r>
    </w:p>
    <w:p w14:paraId="06F69240">
      <w:pPr>
        <w:keepNext w:val="0"/>
        <w:keepLines w:val="0"/>
        <w:pageBreakBefore w:val="0"/>
        <w:widowControl w:val="0"/>
        <w:suppressLineNumbers w:val="0"/>
        <w:kinsoku/>
        <w:wordWrap/>
        <w:overflowPunct/>
        <w:topLinePunct w:val="0"/>
        <w:autoSpaceDE/>
        <w:autoSpaceDN/>
        <w:bidi w:val="0"/>
        <w:adjustRightInd/>
        <w:snapToGrid/>
        <w:spacing w:before="240" w:beforeAutospacing="0" w:after="0" w:afterAutospacing="0" w:line="360" w:lineRule="auto"/>
        <w:ind w:left="0" w:right="0" w:firstLine="0" w:firstLineChars="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i w:val="0"/>
          <w:iCs w:val="0"/>
          <w:caps w:val="0"/>
          <w:color w:val="auto"/>
          <w:spacing w:val="0"/>
          <w:kern w:val="0"/>
          <w:sz w:val="21"/>
          <w:szCs w:val="21"/>
          <w:highlight w:val="none"/>
          <w:lang w:val="en-US" w:eastAsia="zh-CN" w:bidi="ar"/>
        </w:rPr>
        <w:t>八、凡对本次招标提出询问、质疑、投诉，请按以下方式联系</w:t>
      </w:r>
    </w:p>
    <w:p w14:paraId="4A7207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1.采购人信息</w:t>
      </w:r>
    </w:p>
    <w:p w14:paraId="7C5C91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名称：宁波市海曙区古林镇布政小学</w:t>
      </w:r>
    </w:p>
    <w:p w14:paraId="1CFD30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地址：宁波市海曙区古林镇布政小学</w:t>
      </w:r>
    </w:p>
    <w:p w14:paraId="156BC1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联系人：</w:t>
      </w:r>
      <w:r>
        <w:rPr>
          <w:rFonts w:hint="eastAsia" w:ascii="宋体" w:hAnsi="宋体" w:cs="宋体"/>
          <w:i w:val="0"/>
          <w:iCs w:val="0"/>
          <w:caps w:val="0"/>
          <w:color w:val="auto"/>
          <w:spacing w:val="0"/>
          <w:kern w:val="0"/>
          <w:sz w:val="21"/>
          <w:szCs w:val="21"/>
          <w:highlight w:val="none"/>
          <w:lang w:val="en-US" w:eastAsia="zh-CN" w:bidi="ar"/>
        </w:rPr>
        <w:t>陈</w:t>
      </w:r>
      <w:r>
        <w:rPr>
          <w:rFonts w:hint="eastAsia" w:ascii="宋体" w:hAnsi="宋体" w:eastAsia="宋体" w:cs="宋体"/>
          <w:i w:val="0"/>
          <w:iCs w:val="0"/>
          <w:caps w:val="0"/>
          <w:color w:val="auto"/>
          <w:spacing w:val="0"/>
          <w:kern w:val="0"/>
          <w:sz w:val="21"/>
          <w:szCs w:val="21"/>
          <w:highlight w:val="none"/>
          <w:lang w:val="en-US" w:eastAsia="zh-CN" w:bidi="ar"/>
        </w:rPr>
        <w:t>老师</w:t>
      </w:r>
    </w:p>
    <w:p w14:paraId="63D2DE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联系方式：0574-55017221</w:t>
      </w:r>
    </w:p>
    <w:p w14:paraId="1A83E8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质疑联系人：</w:t>
      </w:r>
      <w:r>
        <w:rPr>
          <w:rFonts w:hint="eastAsia" w:ascii="宋体" w:hAnsi="宋体" w:cs="宋体"/>
          <w:i w:val="0"/>
          <w:iCs w:val="0"/>
          <w:caps w:val="0"/>
          <w:color w:val="auto"/>
          <w:spacing w:val="0"/>
          <w:kern w:val="0"/>
          <w:sz w:val="21"/>
          <w:szCs w:val="21"/>
          <w:highlight w:val="none"/>
          <w:lang w:val="en-US" w:eastAsia="zh-CN" w:bidi="ar"/>
        </w:rPr>
        <w:t>周</w:t>
      </w:r>
      <w:r>
        <w:rPr>
          <w:rFonts w:hint="eastAsia" w:ascii="宋体" w:hAnsi="宋体" w:eastAsia="宋体" w:cs="宋体"/>
          <w:i w:val="0"/>
          <w:iCs w:val="0"/>
          <w:caps w:val="0"/>
          <w:color w:val="auto"/>
          <w:spacing w:val="0"/>
          <w:kern w:val="0"/>
          <w:sz w:val="21"/>
          <w:szCs w:val="21"/>
          <w:highlight w:val="none"/>
          <w:lang w:val="en-US" w:eastAsia="zh-CN" w:bidi="ar"/>
        </w:rPr>
        <w:t>老师</w:t>
      </w:r>
    </w:p>
    <w:p w14:paraId="323D61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质疑联系方式：0574-55017221</w:t>
      </w:r>
    </w:p>
    <w:p w14:paraId="74B330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2.采购代理机构信息</w:t>
      </w:r>
    </w:p>
    <w:p w14:paraId="6BA031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名称：宁波之新招标咨询有限公司</w:t>
      </w:r>
    </w:p>
    <w:p w14:paraId="4ABBD4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地    址：宁波市海曙区高桥镇秀丰路755号3楼</w:t>
      </w:r>
    </w:p>
    <w:p w14:paraId="0A400C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联 系 人：</w:t>
      </w:r>
      <w:r>
        <w:rPr>
          <w:rFonts w:hint="eastAsia" w:ascii="宋体" w:hAnsi="宋体" w:cs="宋体"/>
          <w:i w:val="0"/>
          <w:iCs w:val="0"/>
          <w:caps w:val="0"/>
          <w:color w:val="auto"/>
          <w:spacing w:val="0"/>
          <w:kern w:val="0"/>
          <w:sz w:val="21"/>
          <w:szCs w:val="21"/>
          <w:highlight w:val="none"/>
          <w:lang w:val="en-US" w:eastAsia="zh-CN" w:bidi="ar"/>
        </w:rPr>
        <w:t>姜梅、</w:t>
      </w:r>
      <w:r>
        <w:rPr>
          <w:rFonts w:hint="eastAsia" w:ascii="宋体" w:hAnsi="宋体" w:eastAsia="宋体" w:cs="宋体"/>
          <w:i w:val="0"/>
          <w:iCs w:val="0"/>
          <w:caps w:val="0"/>
          <w:color w:val="auto"/>
          <w:spacing w:val="0"/>
          <w:kern w:val="0"/>
          <w:sz w:val="21"/>
          <w:szCs w:val="21"/>
          <w:highlight w:val="none"/>
          <w:lang w:val="en-US" w:eastAsia="zh-CN" w:bidi="ar"/>
        </w:rPr>
        <w:t>邓平、徐斌</w:t>
      </w:r>
    </w:p>
    <w:p w14:paraId="64F0BE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联系电话：0574-87208638、87208639</w:t>
      </w:r>
    </w:p>
    <w:p w14:paraId="381B3A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质疑联系人：江华波</w:t>
      </w:r>
    </w:p>
    <w:p w14:paraId="5F11FF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联系电话：0574-87208639</w:t>
      </w:r>
    </w:p>
    <w:p w14:paraId="25D60F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3.同级政府采购监督管理部门</w:t>
      </w:r>
    </w:p>
    <w:p w14:paraId="1DED0D7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名称：宁波市海曙区采购管理办公室</w:t>
      </w:r>
    </w:p>
    <w:p w14:paraId="31A48D2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i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地址：宁波市海曙区大梁街48号</w:t>
      </w:r>
    </w:p>
    <w:p w14:paraId="75652C4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传真：/</w:t>
      </w:r>
    </w:p>
    <w:p w14:paraId="3D97FDF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联系人：</w:t>
      </w:r>
      <w:r>
        <w:rPr>
          <w:rFonts w:hint="eastAsia" w:ascii="宋体" w:hAnsi="宋体" w:cs="宋体"/>
          <w:i w:val="0"/>
          <w:caps w:val="0"/>
          <w:color w:val="auto"/>
          <w:spacing w:val="0"/>
          <w:kern w:val="0"/>
          <w:sz w:val="21"/>
          <w:szCs w:val="21"/>
          <w:highlight w:val="none"/>
          <w:shd w:val="clear" w:color="auto" w:fill="FFFFFF"/>
          <w:lang w:val="en-US" w:eastAsia="zh-CN" w:bidi="ar"/>
        </w:rPr>
        <w:t>王</w:t>
      </w:r>
      <w:r>
        <w:rPr>
          <w:rFonts w:hint="eastAsia" w:ascii="宋体" w:hAnsi="宋体" w:eastAsia="宋体" w:cs="宋体"/>
          <w:i w:val="0"/>
          <w:caps w:val="0"/>
          <w:color w:val="auto"/>
          <w:spacing w:val="0"/>
          <w:kern w:val="0"/>
          <w:sz w:val="21"/>
          <w:szCs w:val="21"/>
          <w:highlight w:val="none"/>
          <w:shd w:val="clear" w:color="auto" w:fill="FFFFFF"/>
          <w:lang w:val="en-US" w:eastAsia="zh-CN" w:bidi="ar"/>
        </w:rPr>
        <w:t>老师</w:t>
      </w:r>
    </w:p>
    <w:p w14:paraId="3DB6B7C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Autospacing="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i w:val="0"/>
          <w:caps w:val="0"/>
          <w:color w:val="auto"/>
          <w:spacing w:val="0"/>
          <w:kern w:val="0"/>
          <w:sz w:val="21"/>
          <w:szCs w:val="21"/>
          <w:highlight w:val="none"/>
          <w:shd w:val="clear" w:color="auto" w:fill="FFFFFF"/>
        </w:rPr>
        <w:t>监督投诉电话：0574-87297540</w:t>
      </w:r>
    </w:p>
    <w:p w14:paraId="77B017A0">
      <w:pPr>
        <w:keepNext w:val="0"/>
        <w:keepLines w:val="0"/>
        <w:pageBreakBefore w:val="0"/>
        <w:widowControl w:val="0"/>
        <w:suppressLineNumbers w:val="0"/>
        <w:kinsoku/>
        <w:wordWrap/>
        <w:overflowPunct/>
        <w:topLinePunct w:val="0"/>
        <w:autoSpaceDE/>
        <w:autoSpaceDN/>
        <w:bidi w:val="0"/>
        <w:adjustRightInd/>
        <w:snapToGrid/>
        <w:spacing w:afterAutospacing="0" w:line="360" w:lineRule="auto"/>
        <w:ind w:firstLine="420" w:firstLineChars="200"/>
        <w:jc w:val="left"/>
        <w:textAlignment w:val="auto"/>
        <w:rPr>
          <w:rFonts w:hint="eastAsia" w:ascii="宋体" w:hAnsi="宋体" w:eastAsia="宋体" w:cs="宋体"/>
          <w:color w:val="auto"/>
          <w:sz w:val="21"/>
          <w:szCs w:val="21"/>
          <w:highlight w:val="none"/>
        </w:rPr>
      </w:pPr>
    </w:p>
    <w:p w14:paraId="6C4022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若对项目采购电子交易系统操作有疑问，可登录政采云（https://www.zcygov.cn/），点击右侧咨询小采，获取采小蜜智能服务管家帮助，或拨打政采云服务热线</w:t>
      </w:r>
      <w:r>
        <w:rPr>
          <w:rFonts w:hint="eastAsia" w:ascii="宋体" w:hAnsi="宋体" w:eastAsia="宋体" w:cs="宋体"/>
          <w:i w:val="0"/>
          <w:caps w:val="0"/>
          <w:color w:val="auto"/>
          <w:spacing w:val="0"/>
          <w:kern w:val="0"/>
          <w:sz w:val="21"/>
          <w:szCs w:val="21"/>
          <w:highlight w:val="none"/>
          <w:shd w:val="clear" w:color="auto" w:fill="FFFFFF"/>
          <w:lang w:val="en-US" w:eastAsia="zh-CN" w:bidi="ar"/>
        </w:rPr>
        <w:t>95763</w:t>
      </w:r>
      <w:r>
        <w:rPr>
          <w:rFonts w:hint="eastAsia" w:ascii="宋体" w:hAnsi="宋体" w:eastAsia="宋体" w:cs="宋体"/>
          <w:i w:val="0"/>
          <w:iCs w:val="0"/>
          <w:caps w:val="0"/>
          <w:color w:val="auto"/>
          <w:spacing w:val="0"/>
          <w:kern w:val="0"/>
          <w:sz w:val="21"/>
          <w:szCs w:val="21"/>
          <w:highlight w:val="none"/>
          <w:lang w:val="en-US" w:eastAsia="zh-CN" w:bidi="ar"/>
        </w:rPr>
        <w:t>获取热线服务帮助。</w:t>
      </w:r>
    </w:p>
    <w:p w14:paraId="2D4300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CA问题联系电话（人工）：汇信CA400-888-4636；天谷CA400-087-8198。</w:t>
      </w:r>
    </w:p>
    <w:p w14:paraId="14C404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p>
    <w:p w14:paraId="097AA241">
      <w:pPr>
        <w:pStyle w:val="4"/>
        <w:keepNext w:val="0"/>
        <w:keepLines w:val="0"/>
        <w:pageBreakBefore w:val="0"/>
        <w:widowControl w:val="0"/>
        <w:shd w:val="clear"/>
        <w:kinsoku/>
        <w:wordWrap/>
        <w:overflowPunct/>
        <w:topLinePunct w:val="0"/>
        <w:autoSpaceDE/>
        <w:autoSpaceDN/>
        <w:bidi w:val="0"/>
        <w:adjustRightInd/>
        <w:snapToGrid/>
        <w:spacing w:before="0" w:after="330" w:line="360" w:lineRule="auto"/>
        <w:textAlignment w:val="auto"/>
        <w:rPr>
          <w:rFonts w:asciiTheme="majorEastAsia" w:hAnsiTheme="majorEastAsia" w:eastAsiaTheme="majorEastAsia"/>
          <w:color w:val="auto"/>
          <w:highlight w:val="none"/>
        </w:rPr>
      </w:pPr>
      <w:r>
        <w:rPr>
          <w:rFonts w:asciiTheme="majorEastAsia" w:hAnsiTheme="majorEastAsia" w:eastAsiaTheme="majorEastAsia"/>
          <w:color w:val="auto"/>
          <w:highlight w:val="none"/>
        </w:rPr>
        <w:br w:type="page"/>
      </w:r>
      <w:bookmarkStart w:id="4" w:name="_Toc15961"/>
      <w:bookmarkStart w:id="5" w:name="_Toc16256"/>
      <w:r>
        <w:rPr>
          <w:rFonts w:asciiTheme="majorEastAsia" w:hAnsiTheme="majorEastAsia" w:eastAsiaTheme="majorEastAsia"/>
          <w:color w:val="auto"/>
          <w:highlight w:val="none"/>
        </w:rPr>
        <w:t>第二章  采购需求</w:t>
      </w:r>
      <w:bookmarkEnd w:id="3"/>
      <w:bookmarkEnd w:id="4"/>
      <w:bookmarkEnd w:id="5"/>
    </w:p>
    <w:p w14:paraId="38B62AAC">
      <w:pPr>
        <w:keepNext w:val="0"/>
        <w:keepLines w:val="0"/>
        <w:pageBreakBefore w:val="0"/>
        <w:widowControl w:val="0"/>
        <w:shd w:val="clear"/>
        <w:kinsoku/>
        <w:wordWrap/>
        <w:overflowPunct/>
        <w:topLinePunct w:val="0"/>
        <w:autoSpaceDE/>
        <w:autoSpaceDN/>
        <w:bidi w:val="0"/>
        <w:adjustRightInd/>
        <w:snapToGrid/>
        <w:spacing w:before="240" w:line="360" w:lineRule="auto"/>
        <w:textAlignment w:val="auto"/>
        <w:rPr>
          <w:rFonts w:hint="eastAsia" w:ascii="宋体" w:hAnsi="宋体" w:eastAsia="宋体" w:cs="宋体"/>
          <w:b/>
          <w:color w:val="auto"/>
          <w:sz w:val="21"/>
          <w:szCs w:val="21"/>
          <w:highlight w:val="none"/>
        </w:rPr>
      </w:pPr>
      <w:bookmarkStart w:id="6" w:name="_Toc522013504"/>
      <w:r>
        <w:rPr>
          <w:rFonts w:hint="eastAsia" w:ascii="宋体" w:hAnsi="宋体" w:eastAsia="宋体" w:cs="宋体"/>
          <w:b/>
          <w:color w:val="auto"/>
          <w:sz w:val="21"/>
          <w:szCs w:val="21"/>
          <w:highlight w:val="none"/>
        </w:rPr>
        <w:t>一、商务条款：</w:t>
      </w:r>
    </w:p>
    <w:tbl>
      <w:tblPr>
        <w:tblStyle w:val="45"/>
        <w:tblW w:w="935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92"/>
        <w:gridCol w:w="7362"/>
      </w:tblGrid>
      <w:tr w14:paraId="5A10C1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36" w:hRule="atLeast"/>
          <w:jc w:val="center"/>
        </w:trPr>
        <w:tc>
          <w:tcPr>
            <w:tcW w:w="1992" w:type="dxa"/>
            <w:noWrap w:val="0"/>
            <w:vAlign w:val="center"/>
          </w:tcPr>
          <w:p w14:paraId="7918D362">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服务地点</w:t>
            </w:r>
          </w:p>
        </w:tc>
        <w:tc>
          <w:tcPr>
            <w:tcW w:w="7362" w:type="dxa"/>
            <w:noWrap w:val="0"/>
            <w:vAlign w:val="center"/>
          </w:tcPr>
          <w:p w14:paraId="752E66E6">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服务地点：按采购人采购的</w:t>
            </w:r>
            <w:r>
              <w:rPr>
                <w:rFonts w:hint="eastAsia" w:ascii="宋体" w:hAnsi="宋体" w:cs="宋体"/>
                <w:color w:val="auto"/>
                <w:sz w:val="21"/>
                <w:szCs w:val="21"/>
                <w:highlight w:val="none"/>
                <w:lang w:eastAsia="zh-CN"/>
              </w:rPr>
              <w:t>教职工疗休养</w:t>
            </w:r>
            <w:r>
              <w:rPr>
                <w:rFonts w:hint="eastAsia" w:ascii="宋体" w:hAnsi="宋体" w:eastAsia="宋体" w:cs="宋体"/>
                <w:color w:val="auto"/>
                <w:sz w:val="21"/>
                <w:szCs w:val="21"/>
                <w:highlight w:val="none"/>
              </w:rPr>
              <w:t>路线要求。</w:t>
            </w:r>
          </w:p>
        </w:tc>
      </w:tr>
      <w:tr w14:paraId="1596E6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36" w:hRule="atLeast"/>
          <w:jc w:val="center"/>
        </w:trPr>
        <w:tc>
          <w:tcPr>
            <w:tcW w:w="1992" w:type="dxa"/>
            <w:noWrap w:val="0"/>
            <w:vAlign w:val="center"/>
          </w:tcPr>
          <w:p w14:paraId="66DB25C1">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服务时间</w:t>
            </w:r>
          </w:p>
        </w:tc>
        <w:tc>
          <w:tcPr>
            <w:tcW w:w="7362" w:type="dxa"/>
            <w:noWrap w:val="0"/>
            <w:vAlign w:val="center"/>
          </w:tcPr>
          <w:p w14:paraId="0B3CEFAA">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自合同签订生效后开始至双方合同义务完全履行后截止，具体根据采购人组织出行计划安排</w:t>
            </w:r>
            <w:r>
              <w:rPr>
                <w:rFonts w:hint="eastAsia" w:ascii="宋体" w:hAnsi="宋体" w:eastAsia="宋体" w:cs="宋体"/>
                <w:bCs/>
                <w:color w:val="auto"/>
                <w:sz w:val="21"/>
                <w:szCs w:val="21"/>
                <w:highlight w:val="none"/>
                <w:shd w:val="clear" w:color="auto" w:fill="FFFFFF"/>
              </w:rPr>
              <w:t>。</w:t>
            </w:r>
          </w:p>
        </w:tc>
      </w:tr>
      <w:tr w14:paraId="35C2CE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992" w:type="dxa"/>
            <w:noWrap w:val="0"/>
            <w:vAlign w:val="center"/>
          </w:tcPr>
          <w:p w14:paraId="17102033">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w:t>
            </w:r>
          </w:p>
        </w:tc>
        <w:tc>
          <w:tcPr>
            <w:tcW w:w="7362" w:type="dxa"/>
            <w:noWrap w:val="0"/>
            <w:vAlign w:val="center"/>
          </w:tcPr>
          <w:p w14:paraId="49FFCDC2">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Arial" w:hAnsi="Arial" w:eastAsia="宋体"/>
                <w:b/>
                <w:bCs w:val="0"/>
                <w:color w:val="auto"/>
                <w:szCs w:val="28"/>
                <w:highlight w:val="none"/>
              </w:rPr>
            </w:pPr>
            <w:r>
              <w:rPr>
                <w:rFonts w:hint="eastAsia" w:ascii="Arial" w:hAnsi="Arial" w:eastAsia="宋体"/>
                <w:b/>
                <w:bCs w:val="0"/>
                <w:color w:val="auto"/>
                <w:szCs w:val="28"/>
                <w:highlight w:val="none"/>
              </w:rPr>
              <w:t>本项目采用单价报价，报价不做竞争，供应商在响应文件及政采云系统统一填</w:t>
            </w:r>
            <w:r>
              <w:rPr>
                <w:rFonts w:hint="eastAsia" w:ascii="Arial" w:hAnsi="Arial" w:eastAsia="宋体"/>
                <w:b/>
                <w:bCs w:val="0"/>
                <w:color w:val="auto"/>
                <w:szCs w:val="28"/>
                <w:highlight w:val="none"/>
                <w:lang w:val="en-US" w:eastAsia="zh-CN"/>
              </w:rPr>
              <w:t>报：</w:t>
            </w:r>
            <w:r>
              <w:rPr>
                <w:rFonts w:hint="eastAsia" w:ascii="Arial" w:hAnsi="Arial"/>
                <w:b/>
                <w:bCs w:val="0"/>
                <w:color w:val="auto"/>
                <w:szCs w:val="28"/>
                <w:highlight w:val="none"/>
                <w:lang w:val="en-US" w:eastAsia="zh-CN"/>
              </w:rPr>
              <w:t>江西线：3000元/人、湖州线：3000元/人</w:t>
            </w:r>
            <w:r>
              <w:rPr>
                <w:rFonts w:hint="eastAsia" w:ascii="Arial" w:hAnsi="Arial" w:eastAsia="宋体"/>
                <w:b/>
                <w:bCs w:val="0"/>
                <w:color w:val="auto"/>
                <w:szCs w:val="28"/>
                <w:highlight w:val="none"/>
                <w:lang w:val="en-US" w:eastAsia="zh-CN"/>
              </w:rPr>
              <w:t>。政采云系统上统一填报总价</w:t>
            </w:r>
            <w:r>
              <w:rPr>
                <w:rFonts w:hint="eastAsia" w:ascii="Arial" w:hAnsi="Arial"/>
                <w:b/>
                <w:bCs w:val="0"/>
                <w:color w:val="auto"/>
                <w:szCs w:val="28"/>
                <w:highlight w:val="none"/>
                <w:lang w:val="en-US" w:eastAsia="zh-CN"/>
              </w:rPr>
              <w:t>390000</w:t>
            </w:r>
            <w:r>
              <w:rPr>
                <w:rFonts w:hint="eastAsia" w:ascii="Arial" w:hAnsi="Arial" w:eastAsia="宋体"/>
                <w:b/>
                <w:bCs w:val="0"/>
                <w:color w:val="auto"/>
                <w:szCs w:val="28"/>
                <w:highlight w:val="none"/>
                <w:lang w:val="en-US" w:eastAsia="zh-CN"/>
              </w:rPr>
              <w:t>元。</w:t>
            </w:r>
            <w:r>
              <w:rPr>
                <w:rFonts w:hint="eastAsia" w:ascii="Arial" w:hAnsi="Arial" w:eastAsia="宋体"/>
                <w:b/>
                <w:bCs w:val="0"/>
                <w:color w:val="auto"/>
                <w:szCs w:val="28"/>
                <w:highlight w:val="none"/>
              </w:rPr>
              <w:t>如未按要求填报，由评标委员会进行修正，</w:t>
            </w:r>
            <w:r>
              <w:rPr>
                <w:rFonts w:hint="eastAsia" w:ascii="Arial" w:hAnsi="Arial" w:eastAsia="宋体"/>
                <w:b/>
                <w:bCs w:val="0"/>
                <w:color w:val="auto"/>
                <w:szCs w:val="28"/>
                <w:highlight w:val="none"/>
                <w:lang w:eastAsia="zh-CN"/>
              </w:rPr>
              <w:t>投标人</w:t>
            </w:r>
            <w:r>
              <w:rPr>
                <w:rFonts w:hint="eastAsia" w:ascii="Arial" w:hAnsi="Arial" w:eastAsia="宋体"/>
                <w:b/>
                <w:bCs w:val="0"/>
                <w:color w:val="auto"/>
                <w:szCs w:val="28"/>
                <w:highlight w:val="none"/>
              </w:rPr>
              <w:t>不接受修正的，做无效标处理。</w:t>
            </w:r>
          </w:p>
          <w:p w14:paraId="1DFE90BF">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（注：所有报价均包含</w:t>
            </w:r>
            <w:r>
              <w:rPr>
                <w:rFonts w:hint="eastAsia" w:hAnsi="宋体" w:eastAsia="宋体" w:cs="宋体"/>
                <w:color w:val="auto"/>
                <w:kern w:val="2"/>
                <w:sz w:val="21"/>
                <w:highlight w:val="none"/>
              </w:rPr>
              <w:t>完成疗休养的交通费、住宿费、餐饮费、人身意外保险费，各旅游景点的所有门票、导游、领队的经费、司机的费用、服务费、保险、税费等完成疗休养的所有费用。</w:t>
            </w:r>
            <w:r>
              <w:rPr>
                <w:rFonts w:hint="eastAsia" w:ascii="宋体" w:hAnsi="宋体" w:eastAsia="宋体" w:cs="宋体"/>
                <w:color w:val="auto"/>
                <w:sz w:val="21"/>
                <w:szCs w:val="21"/>
                <w:highlight w:val="none"/>
              </w:rPr>
              <w:t>如遇工作等原因有调整可能，房价等因素因季节性涨价的，请各</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报价时自行掌握考虑，采购人不再进行调整任何费用）。</w:t>
            </w:r>
          </w:p>
        </w:tc>
      </w:tr>
      <w:tr w14:paraId="0ED12D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992" w:type="dxa"/>
            <w:noWrap w:val="0"/>
            <w:vAlign w:val="center"/>
          </w:tcPr>
          <w:p w14:paraId="109B00A8">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付款方式和条件</w:t>
            </w:r>
          </w:p>
        </w:tc>
        <w:tc>
          <w:tcPr>
            <w:tcW w:w="7362" w:type="dxa"/>
            <w:noWrap w:val="0"/>
            <w:vAlign w:val="center"/>
          </w:tcPr>
          <w:p w14:paraId="526E1E21">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合同签订后</w:t>
            </w:r>
            <w:r>
              <w:rPr>
                <w:rFonts w:hint="eastAsia" w:ascii="宋体" w:hAnsi="宋体" w:eastAsia="宋体" w:cs="宋体"/>
                <w:color w:val="auto"/>
                <w:sz w:val="21"/>
                <w:szCs w:val="21"/>
                <w:highlight w:val="none"/>
                <w:lang w:val="en-US" w:eastAsia="zh-CN"/>
              </w:rPr>
              <w:t>以及</w:t>
            </w:r>
            <w:r>
              <w:rPr>
                <w:rFonts w:hint="eastAsia" w:ascii="宋体" w:hAnsi="宋体" w:eastAsia="宋体" w:cs="宋体"/>
                <w:color w:val="auto"/>
                <w:sz w:val="21"/>
                <w:szCs w:val="21"/>
                <w:highlight w:val="none"/>
              </w:rPr>
              <w:t>具备实施条件后</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个工作日内，</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向</w:t>
            </w:r>
            <w:r>
              <w:rPr>
                <w:rFonts w:hint="eastAsia" w:ascii="宋体" w:hAnsi="宋体" w:eastAsia="宋体" w:cs="宋体"/>
                <w:color w:val="auto"/>
                <w:sz w:val="21"/>
                <w:szCs w:val="21"/>
                <w:highlight w:val="none"/>
                <w:lang w:val="en-US" w:eastAsia="zh-CN"/>
              </w:rPr>
              <w:t>中标供应商</w:t>
            </w:r>
            <w:r>
              <w:rPr>
                <w:rFonts w:hint="eastAsia" w:ascii="宋体" w:hAnsi="宋体" w:eastAsia="宋体" w:cs="宋体"/>
                <w:color w:val="auto"/>
                <w:sz w:val="21"/>
                <w:szCs w:val="21"/>
                <w:highlight w:val="none"/>
              </w:rPr>
              <w:t>支付</w:t>
            </w:r>
            <w:r>
              <w:rPr>
                <w:rFonts w:hint="default" w:ascii="宋体" w:hAnsi="宋体" w:eastAsia="宋体" w:cs="宋体"/>
                <w:color w:val="auto"/>
                <w:sz w:val="21"/>
                <w:szCs w:val="21"/>
                <w:highlight w:val="none"/>
                <w:lang w:val="en-US"/>
              </w:rPr>
              <w:t>合同</w:t>
            </w:r>
            <w:r>
              <w:rPr>
                <w:rFonts w:hint="eastAsia" w:ascii="宋体" w:hAnsi="宋体" w:eastAsia="宋体" w:cs="宋体"/>
                <w:color w:val="auto"/>
                <w:sz w:val="21"/>
                <w:szCs w:val="21"/>
                <w:highlight w:val="none"/>
              </w:rPr>
              <w:t>总额</w:t>
            </w:r>
            <w:r>
              <w:rPr>
                <w:rFonts w:hint="eastAsia" w:ascii="宋体" w:hAnsi="宋体" w:eastAsia="宋体" w:cs="宋体"/>
                <w:color w:val="auto"/>
                <w:sz w:val="21"/>
                <w:szCs w:val="21"/>
                <w:highlight w:val="none"/>
                <w:lang w:val="en-US" w:eastAsia="zh-CN"/>
              </w:rPr>
              <w:t>40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（在签订合同时，供应商明确表示无需预付款或者主动要求降低预付款比例的，采购</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lang w:eastAsia="zh-CN"/>
              </w:rPr>
              <w:t>可不适用</w:t>
            </w:r>
            <w:r>
              <w:rPr>
                <w:rFonts w:hint="eastAsia" w:ascii="宋体" w:hAnsi="宋体" w:eastAsia="宋体" w:cs="宋体"/>
                <w:color w:val="auto"/>
                <w:sz w:val="21"/>
                <w:szCs w:val="21"/>
                <w:highlight w:val="none"/>
                <w:lang w:val="en-US" w:eastAsia="zh-CN"/>
              </w:rPr>
              <w:t>此条预付</w:t>
            </w:r>
            <w:r>
              <w:rPr>
                <w:rFonts w:hint="eastAsia" w:ascii="宋体" w:hAnsi="宋体" w:eastAsia="宋体" w:cs="宋体"/>
                <w:color w:val="auto"/>
                <w:sz w:val="21"/>
                <w:szCs w:val="21"/>
                <w:highlight w:val="none"/>
                <w:lang w:eastAsia="zh-CN"/>
              </w:rPr>
              <w:t>规定）；</w:t>
            </w:r>
          </w:p>
          <w:p w14:paraId="49787F8F">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如</w:t>
            </w:r>
            <w:r>
              <w:rPr>
                <w:rFonts w:hint="eastAsia" w:ascii="宋体" w:hAnsi="宋体" w:eastAsia="宋体" w:cs="宋体"/>
                <w:color w:val="auto"/>
                <w:sz w:val="21"/>
                <w:szCs w:val="21"/>
                <w:highlight w:val="none"/>
              </w:rPr>
              <w:t>无预付款的，在成交人</w:t>
            </w:r>
            <w:r>
              <w:rPr>
                <w:rFonts w:hint="eastAsia" w:ascii="宋体" w:hAnsi="宋体" w:eastAsia="宋体" w:cs="宋体"/>
                <w:color w:val="auto"/>
                <w:sz w:val="21"/>
                <w:szCs w:val="21"/>
                <w:highlight w:val="none"/>
                <w:lang w:val="en-US" w:eastAsia="zh-CN"/>
              </w:rPr>
              <w:t>订完</w:t>
            </w:r>
            <w:r>
              <w:rPr>
                <w:rFonts w:hint="eastAsia" w:ascii="宋体" w:hAnsi="宋体" w:eastAsia="宋体" w:cs="宋体"/>
                <w:color w:val="auto"/>
                <w:sz w:val="21"/>
                <w:szCs w:val="21"/>
                <w:highlight w:val="none"/>
              </w:rPr>
              <w:t>第一批机票（</w:t>
            </w:r>
            <w:r>
              <w:rPr>
                <w:rFonts w:hint="eastAsia" w:ascii="宋体" w:hAnsi="宋体" w:eastAsia="宋体" w:cs="宋体"/>
                <w:color w:val="auto"/>
                <w:sz w:val="21"/>
                <w:szCs w:val="21"/>
                <w:highlight w:val="none"/>
                <w:lang w:eastAsia="zh-CN"/>
              </w:rPr>
              <w:t>或高铁或大巴</w:t>
            </w:r>
            <w:r>
              <w:rPr>
                <w:rFonts w:hint="eastAsia" w:ascii="宋体" w:hAnsi="宋体" w:eastAsia="宋体" w:cs="宋体"/>
                <w:color w:val="auto"/>
                <w:sz w:val="21"/>
                <w:szCs w:val="21"/>
                <w:highlight w:val="none"/>
              </w:rPr>
              <w:t>）后，采购人向成交人支付合同总价的40%。</w:t>
            </w:r>
          </w:p>
          <w:p w14:paraId="5CA822F9">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3、成交人在完成教职工疗休养承办业务后，无有效投诉和质量问题，成交人凭正规有效发票原件、旅游合同、名单、身份证及保险复印件结清服务款项。</w:t>
            </w:r>
          </w:p>
          <w:p w14:paraId="7DD9181A">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注：每次付款前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预付款除外</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，中标供应商必须开具等额的正规税务发票给采购人。</w:t>
            </w:r>
          </w:p>
        </w:tc>
      </w:tr>
      <w:tr w14:paraId="465309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992" w:type="dxa"/>
            <w:noWrap w:val="0"/>
            <w:vAlign w:val="center"/>
          </w:tcPr>
          <w:p w14:paraId="425CB3E8">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授予合同</w:t>
            </w:r>
          </w:p>
        </w:tc>
        <w:tc>
          <w:tcPr>
            <w:tcW w:w="7362" w:type="dxa"/>
            <w:noWrap w:val="0"/>
            <w:vAlign w:val="center"/>
          </w:tcPr>
          <w:p w14:paraId="0109803B">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文件的规定、</w:t>
            </w:r>
            <w:r>
              <w:rPr>
                <w:rFonts w:hint="eastAsia" w:ascii="宋体" w:hAnsi="宋体" w:cs="宋体"/>
                <w:color w:val="auto"/>
                <w:sz w:val="21"/>
                <w:szCs w:val="21"/>
                <w:highlight w:val="none"/>
                <w:lang w:eastAsia="zh-CN"/>
              </w:rPr>
              <w:t>确定成交</w:t>
            </w:r>
            <w:r>
              <w:rPr>
                <w:rFonts w:hint="eastAsia" w:ascii="宋体" w:hAnsi="宋体" w:eastAsia="宋体" w:cs="宋体"/>
                <w:color w:val="auto"/>
                <w:sz w:val="21"/>
                <w:szCs w:val="21"/>
                <w:highlight w:val="none"/>
              </w:rPr>
              <w:t>供应商的</w:t>
            </w:r>
            <w:r>
              <w:rPr>
                <w:rFonts w:hint="eastAsia" w:ascii="宋体" w:hAnsi="宋体" w:cs="宋体"/>
                <w:color w:val="auto"/>
                <w:sz w:val="21"/>
                <w:szCs w:val="21"/>
                <w:highlight w:val="none"/>
                <w:lang w:eastAsia="zh-CN"/>
              </w:rPr>
              <w:t>磋商</w:t>
            </w:r>
            <w:r>
              <w:rPr>
                <w:rFonts w:hint="eastAsia" w:ascii="宋体" w:hAnsi="宋体" w:eastAsia="宋体" w:cs="宋体"/>
                <w:color w:val="auto"/>
                <w:sz w:val="21"/>
                <w:szCs w:val="21"/>
                <w:highlight w:val="none"/>
              </w:rPr>
              <w:t>响应及</w:t>
            </w:r>
            <w:r>
              <w:rPr>
                <w:rFonts w:hint="eastAsia" w:ascii="宋体" w:hAnsi="宋体" w:cs="宋体"/>
                <w:color w:val="auto"/>
                <w:sz w:val="21"/>
                <w:szCs w:val="21"/>
                <w:highlight w:val="none"/>
                <w:lang w:eastAsia="zh-CN"/>
              </w:rPr>
              <w:t>确定成交</w:t>
            </w:r>
            <w:r>
              <w:rPr>
                <w:rFonts w:hint="eastAsia" w:ascii="宋体" w:hAnsi="宋体" w:eastAsia="宋体" w:cs="宋体"/>
                <w:color w:val="auto"/>
                <w:sz w:val="21"/>
                <w:szCs w:val="21"/>
                <w:highlight w:val="none"/>
              </w:rPr>
              <w:t>通知书确定的金额签订合同。</w:t>
            </w:r>
          </w:p>
        </w:tc>
      </w:tr>
      <w:tr w14:paraId="432870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992" w:type="dxa"/>
            <w:noWrap w:val="0"/>
            <w:vAlign w:val="center"/>
          </w:tcPr>
          <w:p w14:paraId="368F8C8A">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合同签订时间</w:t>
            </w:r>
          </w:p>
        </w:tc>
        <w:tc>
          <w:tcPr>
            <w:tcW w:w="7362" w:type="dxa"/>
            <w:noWrap w:val="0"/>
            <w:vAlign w:val="center"/>
          </w:tcPr>
          <w:p w14:paraId="2BC4AEE1">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确定成交通知书</w:t>
            </w:r>
            <w:r>
              <w:rPr>
                <w:rFonts w:hint="eastAsia" w:ascii="宋体" w:hAnsi="宋体" w:eastAsia="宋体" w:cs="宋体"/>
                <w:color w:val="auto"/>
                <w:sz w:val="21"/>
                <w:szCs w:val="21"/>
                <w:highlight w:val="none"/>
              </w:rPr>
              <w:t>发出之日起</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天内签订合同。</w:t>
            </w:r>
          </w:p>
        </w:tc>
      </w:tr>
      <w:tr w14:paraId="715E4B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992" w:type="dxa"/>
            <w:noWrap w:val="0"/>
            <w:vAlign w:val="center"/>
          </w:tcPr>
          <w:p w14:paraId="4B6A8DFE">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其他说明</w:t>
            </w:r>
          </w:p>
        </w:tc>
        <w:tc>
          <w:tcPr>
            <w:tcW w:w="7362" w:type="dxa"/>
            <w:noWrap w:val="0"/>
            <w:vAlign w:val="center"/>
          </w:tcPr>
          <w:p w14:paraId="563AAA74">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1、参加教职工疗休养人员名单和个人信息不得外泄。</w:t>
            </w:r>
          </w:p>
          <w:p w14:paraId="0FB1AC43">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2、项目履行过程中，成交人的教职工发生的一切安全事故（包括由于出行受伤等引起的全部事故内容），全部责任由成交人自行承担，自主负责处理解决并承担相关费用。</w:t>
            </w:r>
          </w:p>
        </w:tc>
      </w:tr>
    </w:tbl>
    <w:p w14:paraId="7E5A2941">
      <w:pPr>
        <w:keepNext w:val="0"/>
        <w:keepLines w:val="0"/>
        <w:pageBreakBefore w:val="0"/>
        <w:widowControl w:val="0"/>
        <w:shd w:val="clear"/>
        <w:kinsoku/>
        <w:wordWrap/>
        <w:overflowPunct/>
        <w:topLinePunct w:val="0"/>
        <w:bidi w:val="0"/>
        <w:spacing w:line="360" w:lineRule="auto"/>
        <w:rPr>
          <w:rFonts w:hint="eastAsia" w:ascii="宋体" w:hAnsi="宋体" w:eastAsia="宋体" w:cs="宋体"/>
          <w:b/>
          <w:bCs/>
          <w:color w:val="auto"/>
          <w:sz w:val="21"/>
          <w:szCs w:val="21"/>
          <w:highlight w:val="none"/>
          <w:lang w:bidi="ar"/>
        </w:rPr>
      </w:pPr>
      <w:r>
        <w:rPr>
          <w:rFonts w:hint="eastAsia" w:ascii="宋体" w:hAnsi="宋体" w:eastAsia="宋体" w:cs="宋体"/>
          <w:b/>
          <w:bCs/>
          <w:color w:val="auto"/>
          <w:sz w:val="21"/>
          <w:szCs w:val="21"/>
          <w:highlight w:val="none"/>
          <w:lang w:bidi="ar"/>
        </w:rPr>
        <w:br w:type="page"/>
      </w:r>
    </w:p>
    <w:p w14:paraId="62156A33">
      <w:pPr>
        <w:keepNext w:val="0"/>
        <w:keepLines w:val="0"/>
        <w:pageBreakBefore w:val="0"/>
        <w:widowControl w:val="0"/>
        <w:numPr>
          <w:ilvl w:val="0"/>
          <w:numId w:val="2"/>
        </w:numPr>
        <w:shd w:val="clear"/>
        <w:kinsoku/>
        <w:wordWrap/>
        <w:overflowPunct/>
        <w:topLinePunct w:val="0"/>
        <w:autoSpaceDE/>
        <w:autoSpaceDN/>
        <w:bidi w:val="0"/>
        <w:adjustRightInd/>
        <w:snapToGrid/>
        <w:spacing w:before="240" w:line="360" w:lineRule="auto"/>
        <w:textAlignment w:val="auto"/>
        <w:rPr>
          <w:rFonts w:hint="eastAsia" w:ascii="宋体" w:hAnsi="宋体" w:eastAsia="宋体" w:cs="宋体"/>
          <w:b/>
          <w:bCs/>
          <w:color w:val="auto"/>
          <w:sz w:val="21"/>
          <w:szCs w:val="21"/>
          <w:highlight w:val="none"/>
          <w:lang w:bidi="ar"/>
        </w:rPr>
      </w:pPr>
      <w:r>
        <w:rPr>
          <w:rFonts w:hint="eastAsia" w:ascii="宋体" w:hAnsi="宋体" w:eastAsia="宋体" w:cs="宋体"/>
          <w:b/>
          <w:bCs/>
          <w:color w:val="auto"/>
          <w:sz w:val="21"/>
          <w:szCs w:val="21"/>
          <w:highlight w:val="none"/>
          <w:lang w:bidi="ar"/>
        </w:rPr>
        <w:t>采购内容：</w:t>
      </w:r>
    </w:p>
    <w:p w14:paraId="238141AC">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为进一步满足广大教职工对美好生活的需求，维护教职工基本权利，激发广大教职工的工作热情，严格落实疗休养工作有关文件规定，结合采购人实际情况，进行</w:t>
      </w:r>
      <w:r>
        <w:rPr>
          <w:rFonts w:hint="eastAsia" w:ascii="宋体" w:hAnsi="宋体" w:cs="宋体"/>
          <w:i w:val="0"/>
          <w:iCs w:val="0"/>
          <w:caps w:val="0"/>
          <w:color w:val="auto"/>
          <w:spacing w:val="0"/>
          <w:kern w:val="0"/>
          <w:sz w:val="21"/>
          <w:szCs w:val="21"/>
          <w:highlight w:val="none"/>
          <w:lang w:val="en-US" w:eastAsia="zh-CN" w:bidi="ar"/>
        </w:rPr>
        <w:t>宁波市海曙区古林镇布政小学2025年年度教职工疗休养项目</w:t>
      </w:r>
      <w:r>
        <w:rPr>
          <w:rFonts w:hint="eastAsia" w:ascii="宋体" w:hAnsi="宋体" w:eastAsia="宋体" w:cs="宋体"/>
          <w:i w:val="0"/>
          <w:iCs w:val="0"/>
          <w:caps w:val="0"/>
          <w:color w:val="auto"/>
          <w:spacing w:val="0"/>
          <w:kern w:val="0"/>
          <w:sz w:val="21"/>
          <w:szCs w:val="21"/>
          <w:highlight w:val="none"/>
          <w:lang w:val="en-US" w:eastAsia="zh-CN" w:bidi="ar"/>
        </w:rPr>
        <w:t>采购</w:t>
      </w:r>
      <w:r>
        <w:rPr>
          <w:rFonts w:hint="eastAsia" w:ascii="宋体" w:hAnsi="宋体" w:eastAsia="宋体" w:cs="Times New Roman"/>
          <w:b w:val="0"/>
          <w:bCs/>
          <w:color w:val="auto"/>
          <w:szCs w:val="21"/>
          <w:highlight w:val="none"/>
          <w:lang w:val="zh-CN" w:eastAsia="zh-CN"/>
        </w:rPr>
        <w:t>，基本情况如下：</w:t>
      </w:r>
    </w:p>
    <w:p w14:paraId="189AC608">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1、疗休养参加人数：参加教职工人数约</w:t>
      </w:r>
      <w:r>
        <w:rPr>
          <w:rFonts w:hint="eastAsia" w:ascii="宋体" w:hAnsi="宋体" w:cs="Times New Roman"/>
          <w:b w:val="0"/>
          <w:bCs/>
          <w:color w:val="auto"/>
          <w:szCs w:val="21"/>
          <w:highlight w:val="none"/>
          <w:lang w:val="en-US" w:eastAsia="zh-CN"/>
        </w:rPr>
        <w:t>130</w:t>
      </w:r>
      <w:r>
        <w:rPr>
          <w:rFonts w:hint="eastAsia" w:ascii="宋体" w:hAnsi="宋体" w:eastAsia="宋体" w:cs="Times New Roman"/>
          <w:b w:val="0"/>
          <w:bCs/>
          <w:color w:val="auto"/>
          <w:szCs w:val="21"/>
          <w:highlight w:val="none"/>
          <w:lang w:val="zh-CN" w:eastAsia="zh-CN"/>
        </w:rPr>
        <w:t>人（实际人数以参加人数为准，据实结算）。职工可携带家属，但职工家属的全部费用由职工自行负责，不在此项目的预算范围内，合同由职工家属与成交供应商另行签订。</w:t>
      </w:r>
    </w:p>
    <w:p w14:paraId="2EC94FC0">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2、疗休养出行地点、费用标准上限、时间说明如下：</w:t>
      </w:r>
    </w:p>
    <w:tbl>
      <w:tblPr>
        <w:tblStyle w:val="45"/>
        <w:tblW w:w="880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18"/>
        <w:gridCol w:w="6885"/>
      </w:tblGrid>
      <w:tr w14:paraId="26E44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0" w:hRule="atLeast"/>
        </w:trPr>
        <w:tc>
          <w:tcPr>
            <w:tcW w:w="1918" w:type="dxa"/>
            <w:noWrap w:val="0"/>
            <w:vAlign w:val="center"/>
          </w:tcPr>
          <w:p w14:paraId="797DDF53">
            <w:pPr>
              <w:widowControl w:val="0"/>
              <w:autoSpaceDE w:val="0"/>
              <w:autoSpaceDN w:val="0"/>
              <w:spacing w:before="0" w:after="0" w:line="240" w:lineRule="auto"/>
              <w:ind w:left="96" w:right="90"/>
              <w:jc w:val="center"/>
              <w:rPr>
                <w:rFonts w:ascii="宋体" w:hAnsi="宋体" w:eastAsia="宋体" w:cs="宋体"/>
                <w:color w:val="auto"/>
                <w:sz w:val="21"/>
                <w:szCs w:val="22"/>
                <w:highlight w:val="none"/>
                <w:lang w:val="zh-CN" w:eastAsia="zh-CN" w:bidi="zh-CN"/>
              </w:rPr>
            </w:pPr>
            <w:r>
              <w:rPr>
                <w:rFonts w:ascii="宋体" w:hAnsi="宋体" w:eastAsia="宋体" w:cs="宋体"/>
                <w:color w:val="auto"/>
                <w:sz w:val="21"/>
                <w:szCs w:val="22"/>
                <w:highlight w:val="none"/>
                <w:lang w:val="zh-CN" w:eastAsia="zh-CN" w:bidi="zh-CN"/>
              </w:rPr>
              <w:t>类别</w:t>
            </w:r>
          </w:p>
        </w:tc>
        <w:tc>
          <w:tcPr>
            <w:tcW w:w="6885" w:type="dxa"/>
            <w:noWrap w:val="0"/>
            <w:vAlign w:val="center"/>
          </w:tcPr>
          <w:p w14:paraId="5E9A140B">
            <w:pPr>
              <w:widowControl w:val="0"/>
              <w:autoSpaceDE w:val="0"/>
              <w:autoSpaceDN w:val="0"/>
              <w:spacing w:before="0" w:after="0" w:line="240" w:lineRule="auto"/>
              <w:ind w:left="903" w:right="892"/>
              <w:jc w:val="center"/>
              <w:rPr>
                <w:rFonts w:ascii="宋体" w:hAnsi="宋体" w:eastAsia="宋体" w:cs="宋体"/>
                <w:color w:val="auto"/>
                <w:sz w:val="21"/>
                <w:szCs w:val="22"/>
                <w:highlight w:val="none"/>
                <w:lang w:val="zh-CN" w:eastAsia="zh-CN" w:bidi="zh-CN"/>
              </w:rPr>
            </w:pPr>
            <w:r>
              <w:rPr>
                <w:rFonts w:hint="eastAsia" w:ascii="宋体" w:hAnsi="宋体" w:cs="宋体"/>
                <w:color w:val="auto"/>
                <w:spacing w:val="3"/>
                <w:w w:val="100"/>
                <w:sz w:val="21"/>
                <w:szCs w:val="21"/>
                <w:highlight w:val="none"/>
                <w:lang w:val="zh-CN" w:eastAsia="zh-CN" w:bidi="zh-CN"/>
              </w:rPr>
              <w:t>2025年</w:t>
            </w:r>
            <w:r>
              <w:rPr>
                <w:rFonts w:hint="eastAsia" w:ascii="宋体" w:hAnsi="宋体" w:eastAsia="宋体" w:cs="宋体"/>
                <w:color w:val="auto"/>
                <w:spacing w:val="3"/>
                <w:w w:val="100"/>
                <w:sz w:val="21"/>
                <w:szCs w:val="21"/>
                <w:highlight w:val="none"/>
                <w:lang w:val="zh-CN" w:eastAsia="zh-CN" w:bidi="zh-CN"/>
              </w:rPr>
              <w:t>度暑期（</w:t>
            </w:r>
            <w:r>
              <w:rPr>
                <w:rFonts w:hint="eastAsia" w:ascii="宋体" w:hAnsi="宋体" w:eastAsia="宋体" w:cs="宋体"/>
                <w:color w:val="auto"/>
                <w:spacing w:val="3"/>
                <w:w w:val="100"/>
                <w:sz w:val="21"/>
                <w:szCs w:val="21"/>
                <w:highlight w:val="none"/>
                <w:lang w:val="en-US" w:eastAsia="zh-CN" w:bidi="zh-CN"/>
              </w:rPr>
              <w:t>7月-8月</w:t>
            </w:r>
            <w:r>
              <w:rPr>
                <w:rFonts w:hint="eastAsia" w:ascii="宋体" w:hAnsi="宋体" w:eastAsia="宋体" w:cs="宋体"/>
                <w:color w:val="auto"/>
                <w:spacing w:val="3"/>
                <w:w w:val="100"/>
                <w:sz w:val="21"/>
                <w:szCs w:val="21"/>
                <w:highlight w:val="none"/>
                <w:lang w:val="zh-CN" w:eastAsia="zh-CN" w:bidi="zh-CN"/>
              </w:rPr>
              <w:t>）教职工疗休养</w:t>
            </w:r>
          </w:p>
        </w:tc>
      </w:tr>
      <w:tr w14:paraId="661D5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1918" w:type="dxa"/>
            <w:noWrap w:val="0"/>
            <w:vAlign w:val="center"/>
          </w:tcPr>
          <w:p w14:paraId="1890E7B3">
            <w:pPr>
              <w:widowControl w:val="0"/>
              <w:autoSpaceDE w:val="0"/>
              <w:autoSpaceDN w:val="0"/>
              <w:spacing w:before="0" w:after="0" w:line="240" w:lineRule="auto"/>
              <w:ind w:left="98" w:right="90"/>
              <w:jc w:val="center"/>
              <w:rPr>
                <w:rFonts w:ascii="宋体" w:hAnsi="宋体" w:eastAsia="宋体" w:cs="宋体"/>
                <w:color w:val="auto"/>
                <w:sz w:val="21"/>
                <w:szCs w:val="22"/>
                <w:highlight w:val="none"/>
                <w:lang w:val="zh-CN" w:eastAsia="zh-CN" w:bidi="zh-CN"/>
              </w:rPr>
            </w:pPr>
            <w:r>
              <w:rPr>
                <w:rFonts w:ascii="宋体" w:hAnsi="宋体" w:eastAsia="宋体" w:cs="宋体"/>
                <w:color w:val="auto"/>
                <w:sz w:val="21"/>
                <w:szCs w:val="22"/>
                <w:highlight w:val="none"/>
                <w:lang w:val="zh-CN" w:eastAsia="zh-CN" w:bidi="zh-CN"/>
              </w:rPr>
              <w:t>出行地点</w:t>
            </w:r>
          </w:p>
        </w:tc>
        <w:tc>
          <w:tcPr>
            <w:tcW w:w="6885" w:type="dxa"/>
            <w:noWrap w:val="0"/>
            <w:vAlign w:val="center"/>
          </w:tcPr>
          <w:p w14:paraId="5183D039">
            <w:pPr>
              <w:widowControl w:val="0"/>
              <w:autoSpaceDE w:val="0"/>
              <w:autoSpaceDN w:val="0"/>
              <w:spacing w:before="0" w:after="0" w:line="240" w:lineRule="auto"/>
              <w:ind w:left="898" w:right="892"/>
              <w:jc w:val="center"/>
              <w:rPr>
                <w:rFonts w:ascii="宋体" w:hAnsi="宋体" w:eastAsia="宋体" w:cs="宋体"/>
                <w:color w:val="auto"/>
                <w:sz w:val="21"/>
                <w:szCs w:val="22"/>
                <w:highlight w:val="none"/>
                <w:lang w:val="zh-CN" w:eastAsia="zh-CN" w:bidi="zh-CN"/>
              </w:rPr>
            </w:pPr>
            <w:r>
              <w:rPr>
                <w:rFonts w:hint="eastAsia" w:ascii="Arial" w:hAnsi="Arial"/>
                <w:b/>
                <w:bCs w:val="0"/>
                <w:color w:val="auto"/>
                <w:szCs w:val="28"/>
                <w:highlight w:val="none"/>
                <w:lang w:val="en-US" w:eastAsia="zh-CN"/>
              </w:rPr>
              <w:t>2条路线，暂定江西线、湖州线</w:t>
            </w:r>
            <w:r>
              <w:rPr>
                <w:rFonts w:hint="eastAsia" w:ascii="宋体" w:hAnsi="宋体" w:eastAsia="宋体" w:cs="宋体"/>
                <w:color w:val="auto"/>
                <w:spacing w:val="3"/>
                <w:w w:val="100"/>
                <w:sz w:val="21"/>
                <w:szCs w:val="21"/>
                <w:highlight w:val="none"/>
                <w:lang w:val="zh-CN" w:eastAsia="zh-CN" w:bidi="zh-CN"/>
              </w:rPr>
              <w:t>，根据疗休养工作有关文件规定路线，由采购人最终确定；</w:t>
            </w:r>
          </w:p>
        </w:tc>
      </w:tr>
      <w:tr w14:paraId="7D21A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1918" w:type="dxa"/>
            <w:noWrap w:val="0"/>
            <w:vAlign w:val="center"/>
          </w:tcPr>
          <w:p w14:paraId="4CB6491B">
            <w:pPr>
              <w:widowControl w:val="0"/>
              <w:autoSpaceDE w:val="0"/>
              <w:autoSpaceDN w:val="0"/>
              <w:spacing w:before="0" w:after="0" w:line="240" w:lineRule="auto"/>
              <w:ind w:left="98" w:right="90"/>
              <w:jc w:val="center"/>
              <w:rPr>
                <w:rFonts w:ascii="宋体" w:hAnsi="宋体" w:eastAsia="宋体" w:cs="宋体"/>
                <w:color w:val="auto"/>
                <w:sz w:val="21"/>
                <w:szCs w:val="22"/>
                <w:highlight w:val="none"/>
                <w:lang w:val="zh-CN" w:eastAsia="zh-CN" w:bidi="zh-CN"/>
              </w:rPr>
            </w:pPr>
            <w:r>
              <w:rPr>
                <w:rFonts w:ascii="宋体" w:hAnsi="宋体" w:eastAsia="宋体" w:cs="宋体"/>
                <w:color w:val="auto"/>
                <w:sz w:val="21"/>
                <w:szCs w:val="22"/>
                <w:highlight w:val="none"/>
                <w:lang w:val="zh-CN" w:eastAsia="zh-CN" w:bidi="zh-CN"/>
              </w:rPr>
              <w:t>出行时长</w:t>
            </w:r>
          </w:p>
        </w:tc>
        <w:tc>
          <w:tcPr>
            <w:tcW w:w="6885" w:type="dxa"/>
            <w:noWrap w:val="0"/>
            <w:vAlign w:val="center"/>
          </w:tcPr>
          <w:p w14:paraId="1EB00C77">
            <w:pPr>
              <w:widowControl w:val="0"/>
              <w:autoSpaceDE w:val="0"/>
              <w:autoSpaceDN w:val="0"/>
              <w:spacing w:before="0" w:after="0" w:line="240" w:lineRule="auto"/>
              <w:ind w:left="896" w:right="892"/>
              <w:jc w:val="center"/>
              <w:rPr>
                <w:rFonts w:ascii="宋体" w:hAnsi="宋体" w:eastAsia="宋体" w:cs="宋体"/>
                <w:color w:val="auto"/>
                <w:sz w:val="21"/>
                <w:szCs w:val="22"/>
                <w:highlight w:val="none"/>
                <w:lang w:val="zh-CN" w:eastAsia="zh-CN" w:bidi="zh-CN"/>
              </w:rPr>
            </w:pPr>
            <w:r>
              <w:rPr>
                <w:rFonts w:ascii="宋体" w:hAnsi="宋体" w:eastAsia="宋体" w:cs="宋体"/>
                <w:color w:val="auto"/>
                <w:sz w:val="21"/>
                <w:szCs w:val="22"/>
                <w:highlight w:val="none"/>
                <w:lang w:val="zh-CN" w:eastAsia="zh-CN" w:bidi="zh-CN"/>
              </w:rPr>
              <w:t>根据</w:t>
            </w:r>
            <w:r>
              <w:rPr>
                <w:rFonts w:hint="eastAsia" w:ascii="宋体" w:hAnsi="宋体" w:eastAsia="宋体" w:cs="宋体"/>
                <w:color w:val="auto"/>
                <w:sz w:val="21"/>
                <w:szCs w:val="22"/>
                <w:highlight w:val="none"/>
                <w:lang w:val="zh-CN" w:eastAsia="zh-CN" w:bidi="zh-CN"/>
              </w:rPr>
              <w:t>采购人最终确定的</w:t>
            </w:r>
            <w:r>
              <w:rPr>
                <w:rFonts w:ascii="宋体" w:hAnsi="宋体" w:eastAsia="宋体" w:cs="宋体"/>
                <w:color w:val="auto"/>
                <w:sz w:val="21"/>
                <w:szCs w:val="22"/>
                <w:highlight w:val="none"/>
                <w:lang w:val="zh-CN" w:eastAsia="zh-CN" w:bidi="zh-CN"/>
              </w:rPr>
              <w:t>出行方案确定</w:t>
            </w:r>
          </w:p>
        </w:tc>
      </w:tr>
      <w:tr w14:paraId="29BD8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1918" w:type="dxa"/>
            <w:noWrap w:val="0"/>
            <w:vAlign w:val="center"/>
          </w:tcPr>
          <w:p w14:paraId="6DA95587">
            <w:pPr>
              <w:widowControl w:val="0"/>
              <w:autoSpaceDE w:val="0"/>
              <w:autoSpaceDN w:val="0"/>
              <w:spacing w:before="0" w:after="0" w:line="240" w:lineRule="auto"/>
              <w:ind w:left="98" w:right="90"/>
              <w:jc w:val="center"/>
              <w:rPr>
                <w:rFonts w:ascii="宋体" w:hAnsi="宋体" w:eastAsia="宋体" w:cs="宋体"/>
                <w:color w:val="auto"/>
                <w:sz w:val="21"/>
                <w:szCs w:val="22"/>
                <w:highlight w:val="none"/>
                <w:lang w:val="zh-CN" w:eastAsia="zh-CN" w:bidi="zh-CN"/>
              </w:rPr>
            </w:pPr>
            <w:r>
              <w:rPr>
                <w:rFonts w:ascii="宋体" w:hAnsi="宋体" w:eastAsia="宋体" w:cs="宋体"/>
                <w:color w:val="auto"/>
                <w:sz w:val="21"/>
                <w:szCs w:val="22"/>
                <w:highlight w:val="none"/>
                <w:lang w:val="zh-CN" w:eastAsia="zh-CN" w:bidi="zh-CN"/>
              </w:rPr>
              <w:t>费用标准（上限）</w:t>
            </w:r>
          </w:p>
        </w:tc>
        <w:tc>
          <w:tcPr>
            <w:tcW w:w="6885" w:type="dxa"/>
            <w:noWrap w:val="0"/>
            <w:vAlign w:val="center"/>
          </w:tcPr>
          <w:p w14:paraId="7874102E">
            <w:pPr>
              <w:widowControl w:val="0"/>
              <w:autoSpaceDE w:val="0"/>
              <w:autoSpaceDN w:val="0"/>
              <w:spacing w:before="0" w:after="0" w:line="240" w:lineRule="auto"/>
              <w:ind w:left="898" w:right="892"/>
              <w:jc w:val="center"/>
              <w:rPr>
                <w:rFonts w:hint="eastAsia" w:ascii="Calibri" w:hAnsi="Calibri" w:eastAsia="宋体" w:cs="Times New Roman"/>
                <w:color w:val="auto"/>
                <w:highlight w:val="none"/>
                <w:lang w:val="en-US" w:eastAsia="zh-CN"/>
              </w:rPr>
            </w:pPr>
            <w:r>
              <w:rPr>
                <w:rFonts w:hint="eastAsia" w:ascii="Arial" w:hAnsi="Arial" w:cs="Times New Roman"/>
                <w:b/>
                <w:bCs w:val="0"/>
                <w:color w:val="auto"/>
                <w:szCs w:val="28"/>
                <w:highlight w:val="none"/>
                <w:lang w:val="en-US" w:eastAsia="zh-CN"/>
              </w:rPr>
              <w:t>江西线：3000元/人、湖州线：3000元/人</w:t>
            </w:r>
          </w:p>
        </w:tc>
      </w:tr>
    </w:tbl>
    <w:p w14:paraId="39673465">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bookmarkStart w:id="7" w:name="二、项目要求"/>
      <w:bookmarkEnd w:id="7"/>
      <w:r>
        <w:rPr>
          <w:rFonts w:hint="eastAsia" w:ascii="宋体" w:hAnsi="宋体" w:cs="Times New Roman"/>
          <w:b w:val="0"/>
          <w:bCs/>
          <w:color w:val="auto"/>
          <w:szCs w:val="21"/>
          <w:highlight w:val="none"/>
          <w:lang w:val="zh-CN" w:eastAsia="zh-CN"/>
        </w:rPr>
        <w:t>*</w:t>
      </w:r>
      <w:r>
        <w:rPr>
          <w:rFonts w:hint="eastAsia" w:ascii="宋体" w:hAnsi="宋体" w:eastAsia="宋体" w:cs="Times New Roman"/>
          <w:b w:val="0"/>
          <w:bCs/>
          <w:color w:val="auto"/>
          <w:szCs w:val="21"/>
          <w:highlight w:val="none"/>
          <w:lang w:val="zh-CN" w:eastAsia="zh-CN"/>
        </w:rPr>
        <w:t>注：本项目费用标准为行程安排服务标准，供应商在响应报价时填报的报价作为评标及结算依据，但提供的服务不得低于行程的费用标准；合同履约期间，按最新发布的文件要求执行（供应商须考虑项目不确定因素，并自行承担该风险产生的费用和责任，中标后不能以此作为拒绝履行本项目的理由，否则采购人有权追究其法律及经济责任）。</w:t>
      </w:r>
    </w:p>
    <w:p w14:paraId="726C7B81">
      <w:pPr>
        <w:autoSpaceDE w:val="0"/>
        <w:autoSpaceDN w:val="0"/>
        <w:spacing w:before="0" w:after="0" w:line="360" w:lineRule="auto"/>
        <w:ind w:right="483"/>
        <w:jc w:val="left"/>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本次项目采购通过竞争性磋商采购方式确定</w:t>
      </w:r>
      <w:r>
        <w:rPr>
          <w:rFonts w:hint="eastAsia" w:ascii="宋体" w:hAnsi="宋体" w:eastAsia="宋体" w:cs="Times New Roman"/>
          <w:b w:val="0"/>
          <w:bCs/>
          <w:color w:val="auto"/>
          <w:szCs w:val="21"/>
          <w:highlight w:val="none"/>
          <w:lang w:val="en-US" w:eastAsia="zh-CN"/>
        </w:rPr>
        <w:t>1</w:t>
      </w:r>
      <w:r>
        <w:rPr>
          <w:rFonts w:hint="eastAsia" w:ascii="宋体" w:hAnsi="宋体" w:eastAsia="宋体" w:cs="Times New Roman"/>
          <w:b w:val="0"/>
          <w:bCs/>
          <w:color w:val="auto"/>
          <w:szCs w:val="21"/>
          <w:highlight w:val="none"/>
          <w:lang w:val="zh-CN" w:eastAsia="zh-CN"/>
        </w:rPr>
        <w:t>家服务单位。</w:t>
      </w:r>
    </w:p>
    <w:p w14:paraId="13109EAE">
      <w:pPr>
        <w:autoSpaceDE w:val="0"/>
        <w:autoSpaceDN w:val="0"/>
        <w:spacing w:before="0" w:after="0" w:line="360" w:lineRule="auto"/>
        <w:ind w:right="483"/>
        <w:jc w:val="left"/>
        <w:rPr>
          <w:rFonts w:hint="eastAsia" w:ascii="宋体" w:hAnsi="宋体" w:eastAsia="宋体" w:cs="宋体"/>
          <w:b/>
          <w:color w:val="auto"/>
          <w:w w:val="100"/>
          <w:sz w:val="21"/>
          <w:szCs w:val="21"/>
          <w:highlight w:val="none"/>
          <w:lang w:val="zh-CN" w:eastAsia="zh-CN" w:bidi="zh-CN"/>
        </w:rPr>
      </w:pPr>
      <w:r>
        <w:rPr>
          <w:rFonts w:hint="eastAsia" w:ascii="宋体" w:hAnsi="宋体" w:eastAsia="宋体" w:cs="宋体"/>
          <w:b/>
          <w:color w:val="auto"/>
          <w:w w:val="100"/>
          <w:sz w:val="21"/>
          <w:szCs w:val="21"/>
          <w:highlight w:val="none"/>
          <w:lang w:val="zh-CN" w:eastAsia="zh-CN" w:bidi="zh-CN"/>
        </w:rPr>
        <w:t>三、项目要求</w:t>
      </w:r>
    </w:p>
    <w:p w14:paraId="3F2E270A">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1、供应商投标时须提供</w:t>
      </w:r>
      <w:r>
        <w:rPr>
          <w:rFonts w:hint="eastAsia" w:ascii="宋体" w:hAnsi="宋体" w:cs="Times New Roman"/>
          <w:b w:val="0"/>
          <w:bCs/>
          <w:color w:val="auto"/>
          <w:szCs w:val="21"/>
          <w:highlight w:val="none"/>
          <w:lang w:val="en-US" w:eastAsia="zh-CN"/>
        </w:rPr>
        <w:t>各</w:t>
      </w:r>
      <w:r>
        <w:rPr>
          <w:rFonts w:hint="eastAsia" w:ascii="宋体" w:hAnsi="宋体" w:eastAsia="宋体" w:cs="Times New Roman"/>
          <w:b w:val="0"/>
          <w:bCs/>
          <w:color w:val="auto"/>
          <w:szCs w:val="21"/>
          <w:highlight w:val="none"/>
          <w:lang w:val="en-US" w:eastAsia="zh-CN"/>
        </w:rPr>
        <w:t>条路线的</w:t>
      </w:r>
      <w:r>
        <w:rPr>
          <w:rFonts w:hint="eastAsia" w:ascii="宋体" w:hAnsi="宋体" w:eastAsia="宋体" w:cs="Times New Roman"/>
          <w:b w:val="0"/>
          <w:bCs/>
          <w:color w:val="auto"/>
          <w:szCs w:val="21"/>
          <w:highlight w:val="none"/>
          <w:lang w:val="zh-CN" w:eastAsia="zh-CN"/>
        </w:rPr>
        <w:t>行程安排方案，如建议出行时间、旅游行程（亮点、行程安排）、接待标准（交通、住宿、车辆、用餐、景点门票、导服、保险、购物安排）、建议成团人数等，方案供专家评审及采购人参考。采购人可选择供应商投标时提供的行程路线，也可选择其他路线，最终路线及行程安排由采购人决定。</w:t>
      </w:r>
    </w:p>
    <w:p w14:paraId="6B78546F">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2、采购人自行选择行程路线，成交人不得以任何理由拒绝，否则视为违约。</w:t>
      </w:r>
    </w:p>
    <w:p w14:paraId="61EDB4A8">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3、最低组团人数不低于</w:t>
      </w:r>
      <w:r>
        <w:rPr>
          <w:rFonts w:hint="eastAsia" w:ascii="宋体" w:hAnsi="宋体" w:eastAsia="宋体" w:cs="Times New Roman"/>
          <w:b w:val="0"/>
          <w:bCs/>
          <w:color w:val="auto"/>
          <w:szCs w:val="21"/>
          <w:highlight w:val="none"/>
          <w:lang w:val="en-US" w:eastAsia="zh-CN"/>
        </w:rPr>
        <w:t>2</w:t>
      </w:r>
      <w:r>
        <w:rPr>
          <w:rFonts w:hint="eastAsia" w:ascii="宋体" w:hAnsi="宋体" w:eastAsia="宋体" w:cs="Times New Roman"/>
          <w:b w:val="0"/>
          <w:bCs/>
          <w:color w:val="auto"/>
          <w:szCs w:val="21"/>
          <w:highlight w:val="none"/>
          <w:lang w:val="zh-CN" w:eastAsia="zh-CN"/>
        </w:rPr>
        <w:t>0人。（已报名成团的，因临时退团不足</w:t>
      </w:r>
      <w:r>
        <w:rPr>
          <w:rFonts w:hint="eastAsia" w:ascii="宋体" w:hAnsi="宋体" w:eastAsia="宋体" w:cs="Times New Roman"/>
          <w:b w:val="0"/>
          <w:bCs/>
          <w:color w:val="auto"/>
          <w:szCs w:val="21"/>
          <w:highlight w:val="none"/>
          <w:lang w:val="en-US" w:eastAsia="zh-CN"/>
        </w:rPr>
        <w:t>2</w:t>
      </w:r>
      <w:r>
        <w:rPr>
          <w:rFonts w:hint="eastAsia" w:ascii="宋体" w:hAnsi="宋体" w:eastAsia="宋体" w:cs="Times New Roman"/>
          <w:b w:val="0"/>
          <w:bCs/>
          <w:color w:val="auto"/>
          <w:szCs w:val="21"/>
          <w:highlight w:val="none"/>
          <w:lang w:val="zh-CN" w:eastAsia="zh-CN"/>
        </w:rPr>
        <w:t>0人的，该团继续出行。在距离出发日≥5天（不含出发当日）临时退团的，大交通（飞机、动车、高铁）在已经出票的情况下，按退票当天实际产生的损失，由采购人承担，采购人不再支付其他任何损失费用；若距离出发日＜5天（不含出发当日）临时退团，按实际发生造成损失的凭证，由采购人承担。</w:t>
      </w:r>
    </w:p>
    <w:p w14:paraId="39B9F1E4">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4、教职工参加疗休养按照旅游线路进行报名（具体报名方式由双方协商决定），由采购人统一与中标旅行社签订国家旅游局最新版旅游合同。</w:t>
      </w:r>
    </w:p>
    <w:p w14:paraId="63500413">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5、遇上级政策变化，原定方案根据政策要求作及时调整，双方协商后实施。</w:t>
      </w:r>
      <w:bookmarkStart w:id="8" w:name="三、服务承诺"/>
      <w:bookmarkEnd w:id="8"/>
    </w:p>
    <w:p w14:paraId="6A7393A3">
      <w:pPr>
        <w:autoSpaceDE w:val="0"/>
        <w:autoSpaceDN w:val="0"/>
        <w:spacing w:before="0" w:after="0" w:line="360" w:lineRule="auto"/>
        <w:ind w:right="483"/>
        <w:jc w:val="left"/>
        <w:rPr>
          <w:rFonts w:hint="eastAsia" w:ascii="宋体" w:hAnsi="宋体" w:eastAsia="宋体" w:cs="宋体"/>
          <w:b/>
          <w:color w:val="auto"/>
          <w:w w:val="100"/>
          <w:sz w:val="21"/>
          <w:szCs w:val="21"/>
          <w:highlight w:val="none"/>
          <w:lang w:val="zh-CN" w:eastAsia="zh-CN" w:bidi="zh-CN"/>
        </w:rPr>
      </w:pPr>
      <w:r>
        <w:rPr>
          <w:rFonts w:hint="eastAsia" w:ascii="宋体" w:hAnsi="宋体" w:eastAsia="宋体" w:cs="宋体"/>
          <w:b/>
          <w:color w:val="auto"/>
          <w:w w:val="100"/>
          <w:sz w:val="21"/>
          <w:szCs w:val="21"/>
          <w:highlight w:val="none"/>
          <w:lang w:val="zh-CN" w:eastAsia="zh-CN" w:bidi="zh-CN"/>
        </w:rPr>
        <w:t>四、服务标准</w:t>
      </w:r>
    </w:p>
    <w:p w14:paraId="51C5F44F">
      <w:pPr>
        <w:keepNext w:val="0"/>
        <w:keepLines w:val="0"/>
        <w:pageBreakBefore w:val="0"/>
        <w:widowControl w:val="0"/>
        <w:kinsoku/>
        <w:overflowPunct/>
        <w:topLinePunct w:val="0"/>
        <w:autoSpaceDE/>
        <w:autoSpaceDN/>
        <w:bidi w:val="0"/>
        <w:spacing w:line="360" w:lineRule="auto"/>
        <w:ind w:firstLine="420" w:firstLineChars="200"/>
        <w:rPr>
          <w:rFonts w:hint="default" w:ascii="宋体" w:hAnsi="宋体" w:eastAsia="宋体" w:cs="Times New Roman"/>
          <w:b w:val="0"/>
          <w:bCs/>
          <w:color w:val="auto"/>
          <w:szCs w:val="21"/>
          <w:highlight w:val="none"/>
          <w:lang w:val="en-US" w:eastAsia="zh-CN"/>
        </w:rPr>
      </w:pPr>
      <w:r>
        <w:rPr>
          <w:rFonts w:hint="eastAsia" w:ascii="宋体" w:hAnsi="宋体" w:eastAsia="宋体" w:cs="Times New Roman"/>
          <w:b w:val="0"/>
          <w:bCs/>
          <w:color w:val="auto"/>
          <w:szCs w:val="21"/>
          <w:highlight w:val="none"/>
          <w:lang w:val="en-US" w:eastAsia="zh-CN"/>
        </w:rPr>
        <w:t>1、</w:t>
      </w:r>
      <w:r>
        <w:rPr>
          <w:rFonts w:hint="eastAsia" w:ascii="宋体" w:hAnsi="宋体" w:eastAsia="宋体" w:cs="Times New Roman"/>
          <w:b w:val="0"/>
          <w:bCs/>
          <w:color w:val="auto"/>
          <w:szCs w:val="21"/>
          <w:highlight w:val="none"/>
          <w:lang w:val="zh-CN" w:eastAsia="zh-CN"/>
        </w:rPr>
        <w:t>交通：交通方式视情况可选择飞机、汽车或高铁。含当地旅游车指定地点到疗养地点接送、景区交通等全过程交通出行工具。旅游车车龄不超过</w:t>
      </w:r>
      <w:r>
        <w:rPr>
          <w:rFonts w:hint="eastAsia" w:ascii="宋体" w:hAnsi="宋体" w:eastAsia="宋体" w:cs="Times New Roman"/>
          <w:b w:val="0"/>
          <w:bCs/>
          <w:color w:val="auto"/>
          <w:szCs w:val="21"/>
          <w:highlight w:val="none"/>
          <w:lang w:val="en-US" w:eastAsia="zh-CN"/>
        </w:rPr>
        <w:t>3年，驾驶员驾龄不少于5年。</w:t>
      </w:r>
    </w:p>
    <w:p w14:paraId="364DEAFC">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en-US" w:eastAsia="zh-CN"/>
        </w:rPr>
        <w:t>2、</w:t>
      </w:r>
      <w:r>
        <w:rPr>
          <w:rFonts w:hint="eastAsia" w:ascii="宋体" w:hAnsi="宋体" w:eastAsia="宋体" w:cs="Times New Roman"/>
          <w:b w:val="0"/>
          <w:bCs/>
          <w:color w:val="auto"/>
          <w:szCs w:val="21"/>
          <w:highlight w:val="none"/>
          <w:lang w:val="zh-CN" w:eastAsia="zh-CN"/>
        </w:rPr>
        <w:t>住宿：交通便利、环境较好、干净卫生、服务优质，有较强的接待能力，同时配套设施齐全、使用安全方便。住宿标准为两人一间，主要安排标准间，另外若团队中出现单男单女，个人不补住房差价，由成交供应商安排并承担；个人要求单住房，需要补交个人房差价。</w:t>
      </w:r>
    </w:p>
    <w:p w14:paraId="5B14CF1D">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en-US" w:eastAsia="zh-CN"/>
        </w:rPr>
        <w:t>3、</w:t>
      </w:r>
      <w:r>
        <w:rPr>
          <w:rFonts w:hint="eastAsia" w:ascii="宋体" w:hAnsi="宋体" w:eastAsia="宋体" w:cs="Times New Roman"/>
          <w:b w:val="0"/>
          <w:bCs/>
          <w:color w:val="auto"/>
          <w:szCs w:val="21"/>
          <w:highlight w:val="none"/>
          <w:lang w:val="zh-CN" w:eastAsia="zh-CN"/>
        </w:rPr>
        <w:t>时间：按采购人计划实施，具体出团及返回时间根据经采购人认可的方案为准。</w:t>
      </w:r>
    </w:p>
    <w:p w14:paraId="0EE0D472">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en-US" w:eastAsia="zh-CN"/>
        </w:rPr>
        <w:t>4、</w:t>
      </w:r>
      <w:r>
        <w:rPr>
          <w:rFonts w:hint="eastAsia" w:ascii="宋体" w:hAnsi="宋体" w:eastAsia="宋体" w:cs="Times New Roman"/>
          <w:b w:val="0"/>
          <w:bCs/>
          <w:color w:val="auto"/>
          <w:szCs w:val="21"/>
          <w:highlight w:val="none"/>
          <w:lang w:val="zh-CN" w:eastAsia="zh-CN"/>
        </w:rPr>
        <w:t>餐标：食物要求新鲜、安全，适合职工口味。要求菜品多样，餐厅交通便利，环境较好。</w:t>
      </w:r>
    </w:p>
    <w:p w14:paraId="795B80A1">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en-US" w:eastAsia="zh-CN"/>
        </w:rPr>
        <w:t>5、</w:t>
      </w:r>
      <w:r>
        <w:rPr>
          <w:rFonts w:hint="eastAsia" w:ascii="宋体" w:hAnsi="宋体" w:eastAsia="宋体" w:cs="Times New Roman"/>
          <w:b w:val="0"/>
          <w:bCs/>
          <w:color w:val="auto"/>
          <w:szCs w:val="21"/>
          <w:highlight w:val="none"/>
          <w:lang w:val="zh-CN" w:eastAsia="zh-CN"/>
        </w:rPr>
        <w:t>景点：行程单上要进园参观的景点必须包含大门票。行程单里出现的自费项目必须注明价格，并且自动默认非强迫性。</w:t>
      </w:r>
    </w:p>
    <w:p w14:paraId="0ABC854C">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en-US" w:eastAsia="zh-CN"/>
        </w:rPr>
        <w:t>6、</w:t>
      </w:r>
      <w:r>
        <w:rPr>
          <w:rFonts w:hint="eastAsia" w:ascii="宋体" w:hAnsi="宋体" w:eastAsia="宋体" w:cs="Times New Roman"/>
          <w:b w:val="0"/>
          <w:bCs/>
          <w:color w:val="auto"/>
          <w:szCs w:val="21"/>
          <w:highlight w:val="none"/>
          <w:lang w:val="zh-CN" w:eastAsia="zh-CN"/>
        </w:rPr>
        <w:t>服务人员：设本项目服务专员（项目负责人），要求具备一定的资历资格和丰富的从业经验，加强双方沟通，根据采购人要求及时调整方案并获得采购人认可，应急处理相关事务等。具体出团全程（高铁除外）配导游（地陪），要求不少于三年导游经验，引导、讲解景点山水、典故等，解决旅途中可能出现的突发事件，并给予游客食、宿、行等方面的帮助。</w:t>
      </w:r>
    </w:p>
    <w:p w14:paraId="1A1A2204">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en-US" w:eastAsia="zh-CN"/>
        </w:rPr>
        <w:t>7、</w:t>
      </w:r>
      <w:r>
        <w:rPr>
          <w:rFonts w:hint="eastAsia" w:ascii="宋体" w:hAnsi="宋体" w:eastAsia="宋体" w:cs="Times New Roman"/>
          <w:b w:val="0"/>
          <w:bCs/>
          <w:color w:val="auto"/>
          <w:szCs w:val="21"/>
          <w:highlight w:val="none"/>
          <w:lang w:val="zh-CN" w:eastAsia="zh-CN"/>
        </w:rPr>
        <w:t>导游：有导游资格的专业导游讲解服务。</w:t>
      </w:r>
    </w:p>
    <w:p w14:paraId="594732CE">
      <w:pPr>
        <w:autoSpaceDE w:val="0"/>
        <w:autoSpaceDN w:val="0"/>
        <w:spacing w:before="0" w:after="0" w:line="360" w:lineRule="auto"/>
        <w:ind w:right="483"/>
        <w:jc w:val="left"/>
        <w:rPr>
          <w:rFonts w:hint="eastAsia" w:ascii="宋体" w:hAnsi="宋体" w:eastAsia="宋体" w:cs="宋体"/>
          <w:b/>
          <w:color w:val="auto"/>
          <w:w w:val="100"/>
          <w:sz w:val="21"/>
          <w:szCs w:val="21"/>
          <w:highlight w:val="none"/>
          <w:lang w:val="zh-CN" w:eastAsia="zh-CN" w:bidi="zh-CN"/>
        </w:rPr>
      </w:pPr>
      <w:r>
        <w:rPr>
          <w:rFonts w:hint="eastAsia" w:ascii="宋体" w:hAnsi="宋体" w:eastAsia="宋体" w:cs="宋体"/>
          <w:b/>
          <w:color w:val="auto"/>
          <w:w w:val="100"/>
          <w:sz w:val="21"/>
          <w:szCs w:val="21"/>
          <w:highlight w:val="none"/>
          <w:lang w:val="zh-CN" w:eastAsia="zh-CN" w:bidi="zh-CN"/>
        </w:rPr>
        <w:t>五、服务承诺</w:t>
      </w:r>
    </w:p>
    <w:p w14:paraId="05C141F0">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供应商必须对本次教职工疗休养的有关服务内容做出服务承诺，包括：</w:t>
      </w:r>
    </w:p>
    <w:p w14:paraId="6E81A8EB">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1、经营质量方面的承诺：</w:t>
      </w:r>
    </w:p>
    <w:p w14:paraId="53EED3F8">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①旅行社向教职工提供的旅游服务信息必须真实可靠，不得作虚假宣传。因旅行社原因不能成行，未经教职工同意擅自转团、拼团，一经核实，承诺支付该批次疗休养费用总额的50%比例违约金，情节严重的采购人有权终止合同，取消其承办资格。</w:t>
      </w:r>
    </w:p>
    <w:p w14:paraId="578716BB">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②未经教职工同意，旅行社不得在旅游合同约定之外提供其他有偿服务。一经核实，承诺支付该批次疗休养费用总额的</w:t>
      </w:r>
      <w:r>
        <w:rPr>
          <w:rFonts w:hint="eastAsia" w:ascii="宋体" w:hAnsi="宋体" w:eastAsia="宋体" w:cs="Times New Roman"/>
          <w:b w:val="0"/>
          <w:bCs/>
          <w:color w:val="auto"/>
          <w:szCs w:val="21"/>
          <w:highlight w:val="none"/>
          <w:lang w:val="en-US" w:eastAsia="zh-CN"/>
        </w:rPr>
        <w:t>2</w:t>
      </w:r>
      <w:r>
        <w:rPr>
          <w:rFonts w:hint="eastAsia" w:ascii="宋体" w:hAnsi="宋体" w:eastAsia="宋体" w:cs="Times New Roman"/>
          <w:b w:val="0"/>
          <w:bCs/>
          <w:color w:val="auto"/>
          <w:szCs w:val="21"/>
          <w:highlight w:val="none"/>
          <w:lang w:val="zh-CN" w:eastAsia="zh-CN"/>
        </w:rPr>
        <w:t>0%比例违约金，情节严重的采购人有权终止合同，取消其承办资格。</w:t>
      </w:r>
    </w:p>
    <w:p w14:paraId="3CCD48C2">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③疗休养线路不得安排购物点或强制购物。一经核实，承诺支付该批次疗休养费用总额的</w:t>
      </w:r>
      <w:r>
        <w:rPr>
          <w:rFonts w:hint="eastAsia" w:ascii="宋体" w:hAnsi="宋体" w:eastAsia="宋体" w:cs="Times New Roman"/>
          <w:b w:val="0"/>
          <w:bCs/>
          <w:color w:val="auto"/>
          <w:szCs w:val="21"/>
          <w:highlight w:val="none"/>
          <w:lang w:val="en-US" w:eastAsia="zh-CN"/>
        </w:rPr>
        <w:t>2</w:t>
      </w:r>
      <w:r>
        <w:rPr>
          <w:rFonts w:hint="eastAsia" w:ascii="宋体" w:hAnsi="宋体" w:eastAsia="宋体" w:cs="Times New Roman"/>
          <w:b w:val="0"/>
          <w:bCs/>
          <w:color w:val="auto"/>
          <w:szCs w:val="21"/>
          <w:highlight w:val="none"/>
          <w:lang w:val="zh-CN" w:eastAsia="zh-CN"/>
        </w:rPr>
        <w:t>0%比例违约金，情节严重的采购人有权终止合同，取消其承办资格。</w:t>
      </w:r>
    </w:p>
    <w:p w14:paraId="263BF720">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④旅行社必须严格兑现响应文件内承诺的所有服务标准和内容，若发现为教职工提供的服务与响应文件不符，一经查实，承诺支付该批次疗休养费用总额的</w:t>
      </w:r>
      <w:r>
        <w:rPr>
          <w:rFonts w:hint="eastAsia" w:ascii="宋体" w:hAnsi="宋体" w:eastAsia="宋体" w:cs="Times New Roman"/>
          <w:b w:val="0"/>
          <w:bCs/>
          <w:color w:val="auto"/>
          <w:szCs w:val="21"/>
          <w:highlight w:val="none"/>
          <w:lang w:val="en-US" w:eastAsia="zh-CN"/>
        </w:rPr>
        <w:t>2</w:t>
      </w:r>
      <w:r>
        <w:rPr>
          <w:rFonts w:hint="eastAsia" w:ascii="宋体" w:hAnsi="宋体" w:eastAsia="宋体" w:cs="Times New Roman"/>
          <w:b w:val="0"/>
          <w:bCs/>
          <w:color w:val="auto"/>
          <w:szCs w:val="21"/>
          <w:highlight w:val="none"/>
          <w:lang w:val="zh-CN" w:eastAsia="zh-CN"/>
        </w:rPr>
        <w:t>0%比例违约金，情节严重的采购人有权终止合同，取消其承办资格。</w:t>
      </w:r>
    </w:p>
    <w:p w14:paraId="443D99CC">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⑤旅行社为教职工安排或者介绍的旅游活动不得含有违反有关法律、法规规定的内容。一经核实，承诺支付该批次疗休养费用总额的</w:t>
      </w:r>
      <w:r>
        <w:rPr>
          <w:rFonts w:hint="eastAsia" w:ascii="宋体" w:hAnsi="宋体" w:eastAsia="宋体" w:cs="Times New Roman"/>
          <w:b w:val="0"/>
          <w:bCs/>
          <w:color w:val="auto"/>
          <w:szCs w:val="21"/>
          <w:highlight w:val="none"/>
          <w:lang w:val="en-US" w:eastAsia="zh-CN"/>
        </w:rPr>
        <w:t>2</w:t>
      </w:r>
      <w:r>
        <w:rPr>
          <w:rFonts w:hint="eastAsia" w:ascii="宋体" w:hAnsi="宋体" w:eastAsia="宋体" w:cs="Times New Roman"/>
          <w:b w:val="0"/>
          <w:bCs/>
          <w:color w:val="auto"/>
          <w:szCs w:val="21"/>
          <w:highlight w:val="none"/>
          <w:lang w:val="zh-CN" w:eastAsia="zh-CN"/>
        </w:rPr>
        <w:t>0%比例违约金，情节严重的采购人有权终止合同，取消其承办资格。</w:t>
      </w:r>
    </w:p>
    <w:p w14:paraId="68A8EC93">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⑥中标旅行社应当按照合同约定履行义务完成项目，不得将项目转让(转包)给其他旅行社，一经查实，取消其承办资格。</w:t>
      </w:r>
    </w:p>
    <w:p w14:paraId="6682FA96">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2、经营服务方面的承诺：</w:t>
      </w:r>
    </w:p>
    <w:p w14:paraId="005431AF">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旅行社为教职工提供服务，应当与教职工签订国家旅游局新版旅游合同（最新版）并载明下列事项:</w:t>
      </w:r>
    </w:p>
    <w:p w14:paraId="3490B271">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①旅行社的名称及其经营范围、地址、联系电话和旅行社业务经营许可证编号；</w:t>
      </w:r>
    </w:p>
    <w:p w14:paraId="5EFE3182">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②旅行社经办人的姓名、联系电话；</w:t>
      </w:r>
    </w:p>
    <w:p w14:paraId="2080F654">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③签约地点和日期；</w:t>
      </w:r>
    </w:p>
    <w:p w14:paraId="387B63D8">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④旅游行程的出发地、途经地和目的地；</w:t>
      </w:r>
    </w:p>
    <w:p w14:paraId="3E1BC3D6">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⑤旅游行程中交通、住宿、餐饮服务安排及其标准；</w:t>
      </w:r>
    </w:p>
    <w:p w14:paraId="5E80F82B">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bookmarkStart w:id="9" w:name="第五章  评标办法及评分标准"/>
      <w:bookmarkEnd w:id="9"/>
      <w:r>
        <w:rPr>
          <w:rFonts w:hint="eastAsia" w:ascii="宋体" w:hAnsi="宋体" w:eastAsia="宋体" w:cs="Times New Roman"/>
          <w:b w:val="0"/>
          <w:bCs/>
          <w:color w:val="auto"/>
          <w:szCs w:val="21"/>
          <w:highlight w:val="none"/>
          <w:lang w:val="zh-CN" w:eastAsia="zh-CN"/>
        </w:rPr>
        <w:t>⑥教职工另行付费的游览项目及价格；</w:t>
      </w:r>
    </w:p>
    <w:p w14:paraId="161D9FFE">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⑦解除或者变更合同的条件和提前通知的期限；</w:t>
      </w:r>
    </w:p>
    <w:p w14:paraId="39361F1C">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⑧违反合同的</w:t>
      </w:r>
      <w:r>
        <w:rPr>
          <w:rFonts w:hint="eastAsia" w:ascii="宋体" w:hAnsi="宋体" w:eastAsia="宋体" w:cs="Times New Roman"/>
          <w:b w:val="0"/>
          <w:bCs/>
          <w:color w:val="auto"/>
          <w:szCs w:val="21"/>
          <w:highlight w:val="none"/>
          <w:lang w:val="zh-CN" w:eastAsia="zh-CN"/>
        </w:rPr>
        <w:fldChar w:fldCharType="begin"/>
      </w:r>
      <w:r>
        <w:rPr>
          <w:rFonts w:hint="eastAsia" w:ascii="宋体" w:hAnsi="宋体" w:eastAsia="宋体" w:cs="Times New Roman"/>
          <w:b w:val="0"/>
          <w:bCs/>
          <w:color w:val="auto"/>
          <w:szCs w:val="21"/>
          <w:highlight w:val="none"/>
          <w:lang w:val="zh-CN" w:eastAsia="zh-CN"/>
        </w:rPr>
        <w:instrText xml:space="preserve"> HYPERLINK "http://baike.baidu.com/view/3798199.htm" \h </w:instrText>
      </w:r>
      <w:r>
        <w:rPr>
          <w:rFonts w:hint="eastAsia" w:ascii="宋体" w:hAnsi="宋体" w:eastAsia="宋体" w:cs="Times New Roman"/>
          <w:b w:val="0"/>
          <w:bCs/>
          <w:color w:val="auto"/>
          <w:szCs w:val="21"/>
          <w:highlight w:val="none"/>
          <w:lang w:val="zh-CN" w:eastAsia="zh-CN"/>
        </w:rPr>
        <w:fldChar w:fldCharType="separate"/>
      </w:r>
      <w:r>
        <w:rPr>
          <w:rFonts w:hint="eastAsia" w:ascii="宋体" w:hAnsi="宋体" w:eastAsia="宋体" w:cs="Times New Roman"/>
          <w:b w:val="0"/>
          <w:bCs/>
          <w:color w:val="auto"/>
          <w:szCs w:val="21"/>
          <w:highlight w:val="none"/>
          <w:lang w:val="zh-CN" w:eastAsia="zh-CN"/>
        </w:rPr>
        <w:t>纠纷解决</w:t>
      </w:r>
      <w:r>
        <w:rPr>
          <w:rFonts w:hint="eastAsia" w:ascii="宋体" w:hAnsi="宋体" w:eastAsia="宋体" w:cs="Times New Roman"/>
          <w:b w:val="0"/>
          <w:bCs/>
          <w:color w:val="auto"/>
          <w:szCs w:val="21"/>
          <w:highlight w:val="none"/>
          <w:lang w:val="zh-CN" w:eastAsia="zh-CN"/>
        </w:rPr>
        <w:fldChar w:fldCharType="end"/>
      </w:r>
      <w:r>
        <w:rPr>
          <w:rFonts w:hint="eastAsia" w:ascii="宋体" w:hAnsi="宋体" w:eastAsia="宋体" w:cs="Times New Roman"/>
          <w:b w:val="0"/>
          <w:bCs/>
          <w:color w:val="auto"/>
          <w:szCs w:val="21"/>
          <w:highlight w:val="none"/>
          <w:lang w:val="zh-CN" w:eastAsia="zh-CN"/>
        </w:rPr>
        <w:t>机制及应当承担的责任；</w:t>
      </w:r>
    </w:p>
    <w:p w14:paraId="33CD2F44">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⑨旅游服务监督、投诉电话；</w:t>
      </w:r>
    </w:p>
    <w:p w14:paraId="33177C00">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⑩双方协商一致的其他内容。</w:t>
      </w:r>
      <w:bookmarkStart w:id="10" w:name="四、购买保险"/>
      <w:bookmarkEnd w:id="10"/>
    </w:p>
    <w:p w14:paraId="461B3E3C">
      <w:pPr>
        <w:autoSpaceDE w:val="0"/>
        <w:autoSpaceDN w:val="0"/>
        <w:spacing w:before="0" w:after="0" w:line="360" w:lineRule="auto"/>
        <w:ind w:right="483"/>
        <w:jc w:val="left"/>
        <w:rPr>
          <w:rFonts w:hint="eastAsia" w:ascii="宋体" w:hAnsi="宋体" w:eastAsia="宋体" w:cs="宋体"/>
          <w:b/>
          <w:color w:val="auto"/>
          <w:w w:val="100"/>
          <w:sz w:val="21"/>
          <w:szCs w:val="21"/>
          <w:highlight w:val="none"/>
          <w:lang w:val="zh-CN" w:eastAsia="zh-CN" w:bidi="zh-CN"/>
        </w:rPr>
      </w:pPr>
      <w:r>
        <w:rPr>
          <w:rFonts w:hint="eastAsia" w:ascii="宋体" w:hAnsi="宋体" w:eastAsia="宋体" w:cs="宋体"/>
          <w:b/>
          <w:color w:val="auto"/>
          <w:w w:val="100"/>
          <w:sz w:val="21"/>
          <w:szCs w:val="21"/>
          <w:highlight w:val="none"/>
          <w:lang w:val="zh-CN" w:eastAsia="zh-CN" w:bidi="zh-CN"/>
        </w:rPr>
        <w:t>六、购买保险</w:t>
      </w:r>
    </w:p>
    <w:p w14:paraId="2B29850F">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bCs w:val="0"/>
          <w:color w:val="auto"/>
          <w:szCs w:val="21"/>
          <w:highlight w:val="none"/>
          <w:lang w:val="zh-CN" w:eastAsia="zh-CN"/>
        </w:rPr>
      </w:pPr>
      <w:r>
        <w:rPr>
          <w:rFonts w:hint="eastAsia" w:ascii="宋体" w:hAnsi="宋体" w:eastAsia="宋体" w:cs="Times New Roman"/>
          <w:b w:val="0"/>
          <w:bCs/>
          <w:color w:val="auto"/>
          <w:szCs w:val="21"/>
          <w:highlight w:val="none"/>
          <w:lang w:val="zh-CN" w:eastAsia="zh-CN"/>
        </w:rPr>
        <w:t>旅行社必须为参加疗休养的教职工购买</w:t>
      </w:r>
      <w:r>
        <w:rPr>
          <w:rFonts w:hint="eastAsia" w:ascii="宋体" w:hAnsi="宋体" w:eastAsia="宋体" w:cs="Times New Roman"/>
          <w:b/>
          <w:bCs w:val="0"/>
          <w:color w:val="auto"/>
          <w:szCs w:val="21"/>
          <w:highlight w:val="none"/>
          <w:lang w:val="zh-CN" w:eastAsia="zh-CN"/>
        </w:rPr>
        <w:t>旅行社责任险和人身意外保险（保额不低于100万/人（其中医疗部分不少于10万元），费用含在报价中；合同履约期间，按最新发布的文件要求执行）。</w:t>
      </w:r>
    </w:p>
    <w:p w14:paraId="707A1F6A">
      <w:pPr>
        <w:autoSpaceDE w:val="0"/>
        <w:autoSpaceDN w:val="0"/>
        <w:spacing w:before="0" w:after="0" w:line="360" w:lineRule="auto"/>
        <w:ind w:right="483"/>
        <w:jc w:val="left"/>
        <w:rPr>
          <w:rFonts w:hint="eastAsia" w:ascii="宋体" w:hAnsi="宋体" w:eastAsia="宋体" w:cs="宋体"/>
          <w:b/>
          <w:color w:val="auto"/>
          <w:w w:val="100"/>
          <w:sz w:val="21"/>
          <w:szCs w:val="21"/>
          <w:highlight w:val="none"/>
          <w:lang w:val="zh-CN" w:eastAsia="zh-CN" w:bidi="zh-CN"/>
        </w:rPr>
      </w:pPr>
      <w:r>
        <w:rPr>
          <w:rFonts w:hint="eastAsia" w:ascii="宋体" w:hAnsi="宋体" w:eastAsia="宋体" w:cs="宋体"/>
          <w:b/>
          <w:color w:val="auto"/>
          <w:w w:val="100"/>
          <w:sz w:val="21"/>
          <w:szCs w:val="21"/>
          <w:highlight w:val="none"/>
          <w:lang w:val="zh-CN" w:eastAsia="zh-CN" w:bidi="zh-CN"/>
        </w:rPr>
        <w:t>七、合同签订及执行</w:t>
      </w:r>
    </w:p>
    <w:p w14:paraId="496723FF">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1、中标旅行社根据投标招标文件要求及投标文件响应有关条款，与采购人签订合同，由双方共同严格遵守执行。</w:t>
      </w:r>
    </w:p>
    <w:p w14:paraId="33B9C431">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en-US" w:eastAsia="zh-CN"/>
        </w:rPr>
        <w:t>2</w:t>
      </w:r>
      <w:r>
        <w:rPr>
          <w:rFonts w:hint="eastAsia" w:ascii="宋体" w:hAnsi="宋体" w:eastAsia="宋体" w:cs="Times New Roman"/>
          <w:b w:val="0"/>
          <w:bCs/>
          <w:color w:val="auto"/>
          <w:szCs w:val="21"/>
          <w:highlight w:val="none"/>
          <w:lang w:val="zh-CN" w:eastAsia="zh-CN"/>
        </w:rPr>
        <w:t>、遇有双方不能协商解决的问题时，任何一方都有权向采购人所在地人民法院提起诉讼，由所在地人民法院依法裁决。</w:t>
      </w:r>
    </w:p>
    <w:p w14:paraId="36BFDE08">
      <w:pPr>
        <w:keepNext w:val="0"/>
        <w:keepLines w:val="0"/>
        <w:pageBreakBefore w:val="0"/>
        <w:widowControl w:val="0"/>
        <w:shd w:val="clear"/>
        <w:kinsoku/>
        <w:wordWrap/>
        <w:overflowPunct/>
        <w:topLinePunct w:val="0"/>
        <w:autoSpaceDE w:val="0"/>
        <w:autoSpaceDN w:val="0"/>
        <w:bidi w:val="0"/>
        <w:adjustRightInd w:val="0"/>
        <w:spacing w:before="62" w:beforeLines="20" w:after="62" w:afterLines="20" w:line="360" w:lineRule="auto"/>
        <w:rPr>
          <w:rFonts w:asciiTheme="minorEastAsia" w:hAnsiTheme="minorEastAsia" w:eastAsiaTheme="minorEastAsia" w:cstheme="minorEastAsia"/>
          <w:color w:val="auto"/>
          <w:kern w:val="24"/>
          <w:szCs w:val="21"/>
          <w:highlight w:val="none"/>
        </w:rPr>
      </w:pPr>
      <w:r>
        <w:rPr>
          <w:rFonts w:hint="eastAsia" w:asciiTheme="minorEastAsia" w:hAnsiTheme="minorEastAsia" w:eastAsiaTheme="minorEastAsia" w:cstheme="minorEastAsia"/>
          <w:color w:val="auto"/>
          <w:kern w:val="24"/>
          <w:szCs w:val="21"/>
          <w:highlight w:val="none"/>
        </w:rPr>
        <w:br w:type="page"/>
      </w:r>
    </w:p>
    <w:p w14:paraId="434B52F6">
      <w:pPr>
        <w:pStyle w:val="4"/>
        <w:keepNext w:val="0"/>
        <w:keepLines w:val="0"/>
        <w:pageBreakBefore w:val="0"/>
        <w:widowControl w:val="0"/>
        <w:shd w:val="clear"/>
        <w:kinsoku/>
        <w:wordWrap/>
        <w:overflowPunct/>
        <w:topLinePunct w:val="0"/>
        <w:autoSpaceDE/>
        <w:autoSpaceDN/>
        <w:bidi w:val="0"/>
        <w:adjustRightInd/>
        <w:snapToGrid/>
        <w:spacing w:before="0" w:after="330" w:line="360" w:lineRule="auto"/>
        <w:contextualSpacing/>
        <w:textAlignment w:val="auto"/>
        <w:rPr>
          <w:rFonts w:asciiTheme="majorEastAsia" w:hAnsiTheme="majorEastAsia" w:eastAsiaTheme="majorEastAsia"/>
          <w:color w:val="auto"/>
          <w:highlight w:val="none"/>
        </w:rPr>
      </w:pPr>
      <w:bookmarkStart w:id="11" w:name="_Toc21677"/>
      <w:bookmarkStart w:id="12" w:name="_Toc21431"/>
      <w:r>
        <w:rPr>
          <w:rFonts w:asciiTheme="majorEastAsia" w:hAnsiTheme="majorEastAsia" w:eastAsiaTheme="majorEastAsia"/>
          <w:color w:val="auto"/>
          <w:highlight w:val="none"/>
        </w:rPr>
        <w:t>第三章  供应商须知</w:t>
      </w:r>
      <w:bookmarkEnd w:id="6"/>
      <w:bookmarkEnd w:id="11"/>
      <w:bookmarkEnd w:id="12"/>
    </w:p>
    <w:p w14:paraId="7506E41E">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前附表一</w:t>
      </w:r>
    </w:p>
    <w:tbl>
      <w:tblPr>
        <w:tblStyle w:val="45"/>
        <w:tblW w:w="93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0"/>
        <w:gridCol w:w="8474"/>
      </w:tblGrid>
      <w:tr w14:paraId="00FE46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7BAB82E0">
            <w:pPr>
              <w:keepNext w:val="0"/>
              <w:keepLines w:val="0"/>
              <w:pageBreakBefore w:val="0"/>
              <w:widowControl w:val="0"/>
              <w:shd w:val="clear"/>
              <w:kinsoku/>
              <w:wordWrap/>
              <w:overflowPunct/>
              <w:topLinePunct w:val="0"/>
              <w:bidi w:val="0"/>
              <w:spacing w:line="240" w:lineRule="auto"/>
              <w:jc w:val="center"/>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序号</w:t>
            </w:r>
          </w:p>
        </w:tc>
        <w:tc>
          <w:tcPr>
            <w:tcW w:w="8474" w:type="dxa"/>
            <w:tcBorders>
              <w:top w:val="single" w:color="auto" w:sz="4" w:space="0"/>
              <w:left w:val="single" w:color="auto" w:sz="4" w:space="0"/>
              <w:bottom w:val="single" w:color="auto" w:sz="4" w:space="0"/>
              <w:right w:val="single" w:color="auto" w:sz="4" w:space="0"/>
            </w:tcBorders>
            <w:vAlign w:val="center"/>
          </w:tcPr>
          <w:p w14:paraId="5DD5ADBD">
            <w:pPr>
              <w:keepNext w:val="0"/>
              <w:keepLines w:val="0"/>
              <w:pageBreakBefore w:val="0"/>
              <w:widowControl w:val="0"/>
              <w:shd w:val="clear"/>
              <w:kinsoku/>
              <w:wordWrap/>
              <w:overflowPunct/>
              <w:topLinePunct w:val="0"/>
              <w:bidi w:val="0"/>
              <w:spacing w:line="240" w:lineRule="auto"/>
              <w:jc w:val="center"/>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内容、要求</w:t>
            </w:r>
          </w:p>
        </w:tc>
      </w:tr>
      <w:tr w14:paraId="6EF9AC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5E5FEEB5">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highlight w:val="none"/>
              </w:rPr>
            </w:pPr>
            <w:r>
              <w:rPr>
                <w:rFonts w:asciiTheme="majorEastAsia" w:hAnsiTheme="majorEastAsia" w:eastAsiaTheme="majorEastAsia"/>
                <w:color w:val="auto"/>
                <w:highlight w:val="none"/>
              </w:rPr>
              <w:t>1</w:t>
            </w:r>
          </w:p>
        </w:tc>
        <w:tc>
          <w:tcPr>
            <w:tcW w:w="8474" w:type="dxa"/>
            <w:tcBorders>
              <w:top w:val="single" w:color="auto" w:sz="4" w:space="0"/>
              <w:left w:val="single" w:color="auto" w:sz="4" w:space="0"/>
              <w:bottom w:val="single" w:color="auto" w:sz="4" w:space="0"/>
              <w:right w:val="single" w:color="auto" w:sz="4" w:space="0"/>
            </w:tcBorders>
            <w:vAlign w:val="center"/>
          </w:tcPr>
          <w:p w14:paraId="13C25A69">
            <w:pPr>
              <w:keepNext w:val="0"/>
              <w:keepLines w:val="0"/>
              <w:pageBreakBefore w:val="0"/>
              <w:widowControl w:val="0"/>
              <w:shd w:val="clear"/>
              <w:kinsoku/>
              <w:wordWrap/>
              <w:overflowPunct/>
              <w:topLinePunct w:val="0"/>
              <w:bidi w:val="0"/>
              <w:spacing w:line="440" w:lineRule="exact"/>
              <w:rPr>
                <w:rFonts w:hint="eastAsia" w:asciiTheme="majorEastAsia" w:hAnsiTheme="majorEastAsia" w:eastAsiaTheme="majorEastAsia"/>
                <w:color w:val="auto"/>
                <w:highlight w:val="none"/>
                <w:lang w:eastAsia="zh-CN"/>
              </w:rPr>
            </w:pPr>
            <w:r>
              <w:rPr>
                <w:rFonts w:asciiTheme="majorEastAsia" w:hAnsiTheme="majorEastAsia" w:eastAsiaTheme="majorEastAsia"/>
                <w:color w:val="auto"/>
                <w:highlight w:val="none"/>
              </w:rPr>
              <w:t>项目名称：</w:t>
            </w:r>
            <w:r>
              <w:rPr>
                <w:rFonts w:hint="eastAsia" w:asciiTheme="majorEastAsia" w:hAnsiTheme="majorEastAsia" w:eastAsiaTheme="majorEastAsia"/>
                <w:color w:val="auto"/>
                <w:szCs w:val="21"/>
                <w:highlight w:val="none"/>
                <w:lang w:eastAsia="zh-CN"/>
              </w:rPr>
              <w:t>宁波市海曙区古林镇布政小学2025年年度教职工疗休养项目</w:t>
            </w:r>
          </w:p>
        </w:tc>
      </w:tr>
      <w:tr w14:paraId="636D57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53"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68862779">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highlight w:val="none"/>
              </w:rPr>
            </w:pPr>
            <w:r>
              <w:rPr>
                <w:rFonts w:asciiTheme="majorEastAsia" w:hAnsiTheme="majorEastAsia" w:eastAsiaTheme="majorEastAsia"/>
                <w:b/>
                <w:color w:val="auto"/>
                <w:highlight w:val="none"/>
              </w:rPr>
              <w:t>*</w:t>
            </w:r>
            <w:r>
              <w:rPr>
                <w:rFonts w:asciiTheme="majorEastAsia" w:hAnsiTheme="majorEastAsia" w:eastAsiaTheme="majorEastAsia"/>
                <w:color w:val="auto"/>
                <w:highlight w:val="none"/>
              </w:rPr>
              <w:t>2</w:t>
            </w:r>
          </w:p>
        </w:tc>
        <w:tc>
          <w:tcPr>
            <w:tcW w:w="8474" w:type="dxa"/>
            <w:tcBorders>
              <w:top w:val="single" w:color="auto" w:sz="4" w:space="0"/>
              <w:left w:val="single" w:color="auto" w:sz="4" w:space="0"/>
              <w:bottom w:val="single" w:color="auto" w:sz="4" w:space="0"/>
              <w:right w:val="single" w:color="auto" w:sz="4" w:space="0"/>
            </w:tcBorders>
            <w:vAlign w:val="center"/>
          </w:tcPr>
          <w:p w14:paraId="43BD38D2">
            <w:pPr>
              <w:keepNext w:val="0"/>
              <w:keepLines w:val="0"/>
              <w:pageBreakBefore w:val="0"/>
              <w:widowControl w:val="0"/>
              <w:numPr>
                <w:ilvl w:val="0"/>
                <w:numId w:val="3"/>
              </w:numPr>
              <w:shd w:val="clear"/>
              <w:kinsoku/>
              <w:wordWrap/>
              <w:overflowPunct/>
              <w:topLinePunct w:val="0"/>
              <w:bidi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报价要求及其他费用：</w:t>
            </w:r>
          </w:p>
          <w:p w14:paraId="6C1DC659">
            <w:pPr>
              <w:keepNext w:val="0"/>
              <w:keepLines w:val="0"/>
              <w:pageBreakBefore w:val="0"/>
              <w:widowControl w:val="0"/>
              <w:numPr>
                <w:ilvl w:val="0"/>
                <w:numId w:val="3"/>
              </w:numPr>
              <w:shd w:val="clear"/>
              <w:kinsoku/>
              <w:wordWrap/>
              <w:overflowPunct/>
              <w:topLinePunct w:val="0"/>
              <w:bidi w:val="0"/>
              <w:spacing w:line="440" w:lineRule="exact"/>
              <w:rPr>
                <w:rFonts w:hint="eastAsia" w:ascii="宋体" w:hAnsi="宋体" w:eastAsia="宋体" w:cs="宋体"/>
                <w:color w:val="auto"/>
                <w:sz w:val="21"/>
                <w:szCs w:val="21"/>
                <w:highlight w:val="none"/>
                <w:lang w:val="zh-CN"/>
              </w:rPr>
            </w:pPr>
            <w:bookmarkStart w:id="13" w:name="_Hlk20081732"/>
            <w:r>
              <w:rPr>
                <w:rFonts w:hint="eastAsia" w:ascii="宋体" w:hAnsi="宋体" w:eastAsia="宋体" w:cs="宋体"/>
                <w:color w:val="auto"/>
                <w:sz w:val="21"/>
                <w:szCs w:val="21"/>
                <w:highlight w:val="none"/>
              </w:rPr>
              <w:t>报价要求：报价须包含完成疗休养的交通费、住宿费、餐饮费、人身意外保险费，各旅游景点的所有门票、导游、领队的经费、司机的费用、服务费、保险、税费等完成疗休养的所有费用。。如遇工作等原因有调整可能，房价等因素因季节性涨价的，请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报价时自行掌握考虑，采购人不再进行调整任何费用</w:t>
            </w:r>
            <w:r>
              <w:rPr>
                <w:rFonts w:hint="eastAsia" w:ascii="宋体" w:hAnsi="宋体" w:eastAsia="宋体" w:cs="宋体"/>
                <w:color w:val="auto"/>
                <w:sz w:val="21"/>
                <w:szCs w:val="21"/>
                <w:highlight w:val="none"/>
                <w:lang w:eastAsia="zh-CN"/>
              </w:rPr>
              <w:t>。</w:t>
            </w:r>
          </w:p>
          <w:p w14:paraId="7F98D882">
            <w:pPr>
              <w:keepNext w:val="0"/>
              <w:keepLines w:val="0"/>
              <w:pageBreakBefore w:val="0"/>
              <w:widowControl w:val="0"/>
              <w:numPr>
                <w:ilvl w:val="0"/>
                <w:numId w:val="3"/>
              </w:numPr>
              <w:shd w:val="clear"/>
              <w:kinsoku/>
              <w:wordWrap/>
              <w:overflowPunct/>
              <w:topLinePunct w:val="0"/>
              <w:bidi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本项目采用单价报价，报价不做竞争，供应商在响应文件及政采云系统统一填报：</w:t>
            </w:r>
            <w:r>
              <w:rPr>
                <w:rFonts w:hint="eastAsia" w:ascii="宋体" w:hAnsi="宋体" w:cs="宋体"/>
                <w:color w:val="auto"/>
                <w:sz w:val="21"/>
                <w:szCs w:val="21"/>
                <w:highlight w:val="none"/>
                <w:lang w:val="en-US" w:eastAsia="zh-CN"/>
              </w:rPr>
              <w:t>江西线：3000元/人、湖州线：3000元/人</w:t>
            </w:r>
            <w:r>
              <w:rPr>
                <w:rFonts w:hint="eastAsia" w:ascii="宋体" w:hAnsi="宋体" w:eastAsia="宋体" w:cs="宋体"/>
                <w:color w:val="auto"/>
                <w:sz w:val="21"/>
                <w:szCs w:val="21"/>
                <w:highlight w:val="none"/>
              </w:rPr>
              <w:t>。如未按要求填报，由评标委员会进行修正，投标人不接受修正的，做无效标处理。</w:t>
            </w:r>
          </w:p>
          <w:bookmarkEnd w:id="13"/>
          <w:p w14:paraId="763F3313">
            <w:pPr>
              <w:keepNext w:val="0"/>
              <w:keepLines w:val="0"/>
              <w:pageBreakBefore w:val="0"/>
              <w:widowControl w:val="0"/>
              <w:numPr>
                <w:ilvl w:val="0"/>
                <w:numId w:val="3"/>
              </w:numPr>
              <w:shd w:val="clear"/>
              <w:kinsoku/>
              <w:wordWrap/>
              <w:overflowPunct/>
              <w:topLinePunct w:val="0"/>
              <w:bidi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不论成交结果如何，供应商均应自行承担所有与采购有关的全部费用。</w:t>
            </w:r>
          </w:p>
          <w:p w14:paraId="12A29D9C">
            <w:pPr>
              <w:keepNext w:val="0"/>
              <w:keepLines w:val="0"/>
              <w:pageBreakBefore w:val="0"/>
              <w:widowControl w:val="0"/>
              <w:numPr>
                <w:ilvl w:val="0"/>
                <w:numId w:val="3"/>
              </w:numPr>
              <w:shd w:val="clear"/>
              <w:kinsoku/>
              <w:wordWrap/>
              <w:overflowPunct/>
              <w:topLinePunct w:val="0"/>
              <w:bidi w:val="0"/>
              <w:spacing w:line="44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成交服务费：招标代理机构</w:t>
            </w:r>
            <w:r>
              <w:rPr>
                <w:rFonts w:hint="eastAsia" w:ascii="宋体" w:hAnsi="宋体" w:eastAsia="宋体" w:cs="宋体"/>
                <w:color w:val="auto"/>
                <w:sz w:val="21"/>
                <w:szCs w:val="21"/>
                <w:highlight w:val="none"/>
                <w:lang w:eastAsia="zh-CN"/>
              </w:rPr>
              <w:t>根据宁波市中介超市网比选结果，向中标人收取招标服务费。</w:t>
            </w:r>
          </w:p>
        </w:tc>
      </w:tr>
      <w:tr w14:paraId="032EC7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36"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07910A72">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highlight w:val="none"/>
              </w:rPr>
            </w:pPr>
            <w:r>
              <w:rPr>
                <w:rFonts w:asciiTheme="majorEastAsia" w:hAnsiTheme="majorEastAsia" w:eastAsiaTheme="majorEastAsia"/>
                <w:color w:val="auto"/>
                <w:highlight w:val="none"/>
              </w:rPr>
              <w:t>3</w:t>
            </w:r>
          </w:p>
        </w:tc>
        <w:tc>
          <w:tcPr>
            <w:tcW w:w="8474" w:type="dxa"/>
            <w:tcBorders>
              <w:top w:val="single" w:color="auto" w:sz="4" w:space="0"/>
              <w:left w:val="single" w:color="auto" w:sz="4" w:space="0"/>
              <w:bottom w:val="single" w:color="auto" w:sz="4" w:space="0"/>
              <w:right w:val="single" w:color="auto" w:sz="4" w:space="0"/>
            </w:tcBorders>
            <w:vAlign w:val="center"/>
          </w:tcPr>
          <w:p w14:paraId="2F1F420C">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highlight w:val="none"/>
              </w:rPr>
            </w:pPr>
            <w:r>
              <w:rPr>
                <w:rFonts w:asciiTheme="majorEastAsia" w:hAnsiTheme="majorEastAsia" w:eastAsiaTheme="majorEastAsia"/>
                <w:color w:val="auto"/>
                <w:highlight w:val="none"/>
              </w:rPr>
              <w:t>答疑与澄清：供应商如认为磋商文件表述不清晰、存在歧视性、排他性或者其他违法内容的，应知其权益受到损害之日起七个工作日内，以书面形式要求</w:t>
            </w:r>
            <w:r>
              <w:rPr>
                <w:rFonts w:hint="eastAsia" w:asciiTheme="majorEastAsia" w:hAnsiTheme="majorEastAsia" w:eastAsiaTheme="majorEastAsia"/>
                <w:color w:val="auto"/>
                <w:highlight w:val="none"/>
              </w:rPr>
              <w:t>采购人</w:t>
            </w:r>
            <w:r>
              <w:rPr>
                <w:rFonts w:asciiTheme="majorEastAsia" w:hAnsiTheme="majorEastAsia" w:eastAsiaTheme="majorEastAsia"/>
                <w:color w:val="auto"/>
                <w:highlight w:val="none"/>
              </w:rPr>
              <w:t>作出书面解释、澄清或者向</w:t>
            </w:r>
            <w:r>
              <w:rPr>
                <w:rFonts w:hint="eastAsia" w:asciiTheme="majorEastAsia" w:hAnsiTheme="majorEastAsia" w:eastAsiaTheme="majorEastAsia"/>
                <w:color w:val="auto"/>
                <w:highlight w:val="none"/>
              </w:rPr>
              <w:t>采购人</w:t>
            </w:r>
            <w:r>
              <w:rPr>
                <w:rFonts w:asciiTheme="majorEastAsia" w:hAnsiTheme="majorEastAsia" w:eastAsiaTheme="majorEastAsia"/>
                <w:color w:val="auto"/>
                <w:highlight w:val="none"/>
              </w:rPr>
              <w:t>提出书面质疑，逾期不予受理；</w:t>
            </w:r>
            <w:r>
              <w:rPr>
                <w:rFonts w:hint="eastAsia" w:asciiTheme="majorEastAsia" w:hAnsiTheme="majorEastAsia" w:eastAsiaTheme="majorEastAsia"/>
                <w:color w:val="auto"/>
                <w:highlight w:val="none"/>
              </w:rPr>
              <w:t>采购人</w:t>
            </w:r>
            <w:r>
              <w:rPr>
                <w:rFonts w:asciiTheme="majorEastAsia" w:hAnsiTheme="majorEastAsia" w:eastAsiaTheme="majorEastAsia"/>
                <w:color w:val="auto"/>
                <w:highlight w:val="none"/>
              </w:rPr>
              <w:t>不专门组织答疑；如有答疑，答疑内容是磋商文件的组成部分，</w:t>
            </w:r>
            <w:r>
              <w:rPr>
                <w:rFonts w:hint="eastAsia" w:asciiTheme="majorEastAsia" w:hAnsiTheme="majorEastAsia" w:eastAsiaTheme="majorEastAsia"/>
                <w:color w:val="auto"/>
                <w:highlight w:val="none"/>
              </w:rPr>
              <w:t>并将以公告形式发布于</w:t>
            </w:r>
            <w:r>
              <w:rPr>
                <w:rFonts w:hint="eastAsia" w:asciiTheme="majorEastAsia" w:hAnsiTheme="majorEastAsia" w:eastAsiaTheme="majorEastAsia"/>
                <w:color w:val="auto"/>
                <w:highlight w:val="none"/>
                <w:lang w:eastAsia="zh-CN"/>
              </w:rPr>
              <w:t>采购公告发布</w:t>
            </w:r>
            <w:r>
              <w:rPr>
                <w:rFonts w:hint="eastAsia" w:asciiTheme="majorEastAsia" w:hAnsiTheme="majorEastAsia" w:eastAsiaTheme="majorEastAsia"/>
                <w:color w:val="auto"/>
                <w:highlight w:val="none"/>
              </w:rPr>
              <w:t>网站，请供应商自行查看。</w:t>
            </w:r>
          </w:p>
        </w:tc>
      </w:tr>
      <w:tr w14:paraId="4AE134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59"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0B31915B">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highlight w:val="none"/>
              </w:rPr>
            </w:pPr>
            <w:r>
              <w:rPr>
                <w:rFonts w:asciiTheme="majorEastAsia" w:hAnsiTheme="majorEastAsia" w:eastAsiaTheme="majorEastAsia"/>
                <w:color w:val="auto"/>
                <w:highlight w:val="none"/>
              </w:rPr>
              <w:t>4</w:t>
            </w:r>
          </w:p>
        </w:tc>
        <w:tc>
          <w:tcPr>
            <w:tcW w:w="8474" w:type="dxa"/>
            <w:tcBorders>
              <w:top w:val="single" w:color="auto" w:sz="4" w:space="0"/>
              <w:left w:val="single" w:color="auto" w:sz="4" w:space="0"/>
              <w:bottom w:val="single" w:color="auto" w:sz="4" w:space="0"/>
              <w:right w:val="single" w:color="auto" w:sz="4" w:space="0"/>
            </w:tcBorders>
            <w:vAlign w:val="center"/>
          </w:tcPr>
          <w:p w14:paraId="613AB54E">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响应文件组成与份数：</w:t>
            </w:r>
          </w:p>
          <w:p w14:paraId="1706B441">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highlight w:val="none"/>
              </w:rPr>
            </w:pPr>
            <w:r>
              <w:rPr>
                <w:rFonts w:asciiTheme="majorEastAsia" w:hAnsiTheme="majorEastAsia" w:eastAsiaTheme="majorEastAsia"/>
                <w:bCs/>
                <w:color w:val="auto"/>
                <w:highlight w:val="none"/>
              </w:rPr>
              <w:t>*</w:t>
            </w:r>
            <w:r>
              <w:rPr>
                <w:rFonts w:hint="eastAsia" w:asciiTheme="majorEastAsia" w:hAnsiTheme="majorEastAsia" w:eastAsiaTheme="majorEastAsia"/>
                <w:bCs/>
                <w:color w:val="auto"/>
                <w:highlight w:val="none"/>
              </w:rPr>
              <w:t>（1）</w:t>
            </w:r>
            <w:r>
              <w:rPr>
                <w:rFonts w:hint="eastAsia" w:asciiTheme="majorEastAsia" w:hAnsiTheme="majorEastAsia" w:eastAsiaTheme="majorEastAsia"/>
                <w:color w:val="auto"/>
                <w:highlight w:val="none"/>
              </w:rPr>
              <w:t>上传到政府采购云平台的电子响应文件（含资信技术文件、报价文件）1份。</w:t>
            </w:r>
          </w:p>
          <w:p w14:paraId="4D280D70">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（2）以U盘存储的电子备份响应文件（含资信技术文件、报价文件）1份</w:t>
            </w:r>
            <w:r>
              <w:rPr>
                <w:rFonts w:hint="eastAsia" w:asciiTheme="majorEastAsia" w:hAnsiTheme="majorEastAsia" w:eastAsiaTheme="majorEastAsia"/>
                <w:color w:val="auto"/>
                <w:highlight w:val="none"/>
                <w:lang w:eastAsia="zh-CN"/>
              </w:rPr>
              <w:t>（</w:t>
            </w:r>
            <w:r>
              <w:rPr>
                <w:rFonts w:hint="eastAsia" w:asciiTheme="majorEastAsia" w:hAnsiTheme="majorEastAsia" w:eastAsiaTheme="majorEastAsia"/>
                <w:color w:val="auto"/>
                <w:highlight w:val="none"/>
                <w:lang w:val="en-US" w:eastAsia="zh-CN"/>
              </w:rPr>
              <w:t>自愿提供</w:t>
            </w:r>
            <w:r>
              <w:rPr>
                <w:rFonts w:hint="eastAsia" w:asciiTheme="majorEastAsia" w:hAnsiTheme="majorEastAsia" w:eastAsiaTheme="majorEastAsia"/>
                <w:color w:val="auto"/>
                <w:highlight w:val="none"/>
                <w:lang w:eastAsia="zh-CN"/>
              </w:rPr>
              <w:t>）</w:t>
            </w:r>
            <w:r>
              <w:rPr>
                <w:rFonts w:hint="eastAsia" w:asciiTheme="majorEastAsia" w:hAnsiTheme="majorEastAsia" w:eastAsiaTheme="majorEastAsia"/>
                <w:color w:val="auto"/>
                <w:highlight w:val="none"/>
              </w:rPr>
              <w:t>。</w:t>
            </w:r>
          </w:p>
        </w:tc>
      </w:tr>
      <w:tr w14:paraId="7D4F35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0C256E6C">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highlight w:val="none"/>
              </w:rPr>
            </w:pPr>
            <w:r>
              <w:rPr>
                <w:rFonts w:asciiTheme="majorEastAsia" w:hAnsiTheme="majorEastAsia" w:eastAsiaTheme="majorEastAsia"/>
                <w:b/>
                <w:color w:val="auto"/>
                <w:highlight w:val="none"/>
              </w:rPr>
              <w:t>*</w:t>
            </w:r>
            <w:r>
              <w:rPr>
                <w:rFonts w:asciiTheme="majorEastAsia" w:hAnsiTheme="majorEastAsia" w:eastAsiaTheme="majorEastAsia"/>
                <w:color w:val="auto"/>
                <w:highlight w:val="none"/>
              </w:rPr>
              <w:t>5</w:t>
            </w:r>
          </w:p>
        </w:tc>
        <w:tc>
          <w:tcPr>
            <w:tcW w:w="8474" w:type="dxa"/>
            <w:tcBorders>
              <w:top w:val="single" w:color="auto" w:sz="4" w:space="0"/>
              <w:left w:val="single" w:color="auto" w:sz="4" w:space="0"/>
              <w:bottom w:val="single" w:color="auto" w:sz="4" w:space="0"/>
              <w:right w:val="single" w:color="auto" w:sz="4" w:space="0"/>
            </w:tcBorders>
            <w:vAlign w:val="center"/>
          </w:tcPr>
          <w:p w14:paraId="35CE795E">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highlight w:val="none"/>
              </w:rPr>
            </w:pPr>
            <w:r>
              <w:rPr>
                <w:rFonts w:asciiTheme="majorEastAsia" w:hAnsiTheme="majorEastAsia" w:eastAsiaTheme="majorEastAsia"/>
                <w:color w:val="auto"/>
                <w:highlight w:val="none"/>
              </w:rPr>
              <w:t>首次提交</w:t>
            </w:r>
            <w:r>
              <w:rPr>
                <w:rFonts w:hint="eastAsia" w:asciiTheme="majorEastAsia" w:hAnsiTheme="majorEastAsia" w:eastAsiaTheme="majorEastAsia"/>
                <w:color w:val="auto"/>
                <w:highlight w:val="none"/>
              </w:rPr>
              <w:t>（上传）</w:t>
            </w:r>
            <w:r>
              <w:rPr>
                <w:rFonts w:asciiTheme="majorEastAsia" w:hAnsiTheme="majorEastAsia" w:eastAsiaTheme="majorEastAsia"/>
                <w:color w:val="auto"/>
                <w:highlight w:val="none"/>
              </w:rPr>
              <w:t>响应文件截止时间和地点：详见第一章</w:t>
            </w:r>
          </w:p>
        </w:tc>
      </w:tr>
      <w:tr w14:paraId="4DFD56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7268C31B">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highlight w:val="none"/>
              </w:rPr>
            </w:pPr>
            <w:r>
              <w:rPr>
                <w:rFonts w:asciiTheme="majorEastAsia" w:hAnsiTheme="majorEastAsia" w:eastAsiaTheme="majorEastAsia"/>
                <w:b/>
                <w:color w:val="auto"/>
                <w:highlight w:val="none"/>
              </w:rPr>
              <w:t>*</w:t>
            </w:r>
            <w:r>
              <w:rPr>
                <w:rFonts w:asciiTheme="majorEastAsia" w:hAnsiTheme="majorEastAsia" w:eastAsiaTheme="majorEastAsia"/>
                <w:color w:val="auto"/>
                <w:highlight w:val="none"/>
              </w:rPr>
              <w:t>6</w:t>
            </w:r>
          </w:p>
        </w:tc>
        <w:tc>
          <w:tcPr>
            <w:tcW w:w="8474" w:type="dxa"/>
            <w:tcBorders>
              <w:top w:val="single" w:color="auto" w:sz="4" w:space="0"/>
              <w:left w:val="single" w:color="auto" w:sz="4" w:space="0"/>
              <w:bottom w:val="single" w:color="auto" w:sz="4" w:space="0"/>
              <w:right w:val="single" w:color="auto" w:sz="4" w:space="0"/>
            </w:tcBorders>
            <w:vAlign w:val="center"/>
          </w:tcPr>
          <w:p w14:paraId="42F7636A">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highlight w:val="none"/>
              </w:rPr>
            </w:pPr>
            <w:r>
              <w:rPr>
                <w:rFonts w:asciiTheme="majorEastAsia" w:hAnsiTheme="majorEastAsia" w:eastAsiaTheme="majorEastAsia"/>
                <w:color w:val="auto"/>
                <w:highlight w:val="none"/>
              </w:rPr>
              <w:t>首次提交</w:t>
            </w:r>
            <w:r>
              <w:rPr>
                <w:rFonts w:hint="eastAsia" w:asciiTheme="majorEastAsia" w:hAnsiTheme="majorEastAsia" w:eastAsiaTheme="majorEastAsia"/>
                <w:color w:val="auto"/>
                <w:highlight w:val="none"/>
              </w:rPr>
              <w:t>（上传）响应文件开启</w:t>
            </w:r>
            <w:r>
              <w:rPr>
                <w:rFonts w:asciiTheme="majorEastAsia" w:hAnsiTheme="majorEastAsia" w:eastAsiaTheme="majorEastAsia"/>
                <w:color w:val="auto"/>
                <w:highlight w:val="none"/>
              </w:rPr>
              <w:t>时间及地点：详见第一章</w:t>
            </w:r>
          </w:p>
        </w:tc>
      </w:tr>
      <w:tr w14:paraId="3E6B3F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2C786C40">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highlight w:val="none"/>
              </w:rPr>
            </w:pPr>
            <w:r>
              <w:rPr>
                <w:rFonts w:asciiTheme="majorEastAsia" w:hAnsiTheme="majorEastAsia" w:eastAsiaTheme="majorEastAsia"/>
                <w:color w:val="auto"/>
                <w:highlight w:val="none"/>
              </w:rPr>
              <w:t>7</w:t>
            </w:r>
          </w:p>
        </w:tc>
        <w:tc>
          <w:tcPr>
            <w:tcW w:w="8474" w:type="dxa"/>
            <w:tcBorders>
              <w:top w:val="single" w:color="auto" w:sz="4" w:space="0"/>
              <w:left w:val="single" w:color="auto" w:sz="4" w:space="0"/>
              <w:bottom w:val="single" w:color="auto" w:sz="4" w:space="0"/>
              <w:right w:val="single" w:color="auto" w:sz="4" w:space="0"/>
            </w:tcBorders>
            <w:vAlign w:val="center"/>
          </w:tcPr>
          <w:p w14:paraId="65F99D9C">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highlight w:val="none"/>
              </w:rPr>
            </w:pPr>
            <w:r>
              <w:rPr>
                <w:rFonts w:asciiTheme="majorEastAsia" w:hAnsiTheme="majorEastAsia" w:eastAsiaTheme="majorEastAsia"/>
                <w:color w:val="auto"/>
                <w:highlight w:val="none"/>
              </w:rPr>
              <w:t>评审办法及评审标准：详见第四章</w:t>
            </w:r>
          </w:p>
        </w:tc>
      </w:tr>
      <w:tr w14:paraId="4E1E81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22D704DF">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highlight w:val="none"/>
              </w:rPr>
            </w:pPr>
            <w:r>
              <w:rPr>
                <w:rFonts w:asciiTheme="majorEastAsia" w:hAnsiTheme="majorEastAsia" w:eastAsiaTheme="majorEastAsia"/>
                <w:color w:val="auto"/>
                <w:highlight w:val="none"/>
              </w:rPr>
              <w:t>8</w:t>
            </w:r>
          </w:p>
        </w:tc>
        <w:tc>
          <w:tcPr>
            <w:tcW w:w="8474" w:type="dxa"/>
            <w:tcBorders>
              <w:top w:val="single" w:color="auto" w:sz="4" w:space="0"/>
              <w:left w:val="single" w:color="auto" w:sz="4" w:space="0"/>
              <w:bottom w:val="single" w:color="auto" w:sz="4" w:space="0"/>
              <w:right w:val="single" w:color="auto" w:sz="4" w:space="0"/>
            </w:tcBorders>
            <w:vAlign w:val="center"/>
          </w:tcPr>
          <w:p w14:paraId="6686A23D">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highlight w:val="none"/>
              </w:rPr>
            </w:pPr>
            <w:r>
              <w:rPr>
                <w:rFonts w:asciiTheme="majorEastAsia" w:hAnsiTheme="majorEastAsia" w:eastAsiaTheme="majorEastAsia"/>
                <w:color w:val="auto"/>
                <w:highlight w:val="none"/>
              </w:rPr>
              <w:t>成交结果公示网站：</w:t>
            </w:r>
            <w:r>
              <w:rPr>
                <w:rFonts w:hint="eastAsia" w:asciiTheme="majorEastAsia" w:hAnsiTheme="majorEastAsia" w:eastAsiaTheme="majorEastAsia"/>
                <w:color w:val="auto"/>
                <w:highlight w:val="none"/>
              </w:rPr>
              <w:t>评审结束后，</w:t>
            </w:r>
            <w:r>
              <w:rPr>
                <w:rFonts w:hint="eastAsia" w:cs="宋体" w:asciiTheme="majorEastAsia" w:hAnsiTheme="majorEastAsia" w:eastAsiaTheme="majorEastAsia"/>
                <w:color w:val="auto"/>
                <w:szCs w:val="21"/>
                <w:highlight w:val="none"/>
              </w:rPr>
              <w:t>经采购人确认，成交结果公示于</w:t>
            </w:r>
            <w:r>
              <w:rPr>
                <w:rFonts w:hint="eastAsia" w:cs="宋体" w:asciiTheme="majorEastAsia" w:hAnsiTheme="majorEastAsia" w:eastAsiaTheme="majorEastAsia"/>
                <w:color w:val="auto"/>
                <w:szCs w:val="21"/>
                <w:highlight w:val="none"/>
                <w:lang w:eastAsia="zh-CN"/>
              </w:rPr>
              <w:t>采购</w:t>
            </w:r>
            <w:r>
              <w:rPr>
                <w:rFonts w:hint="eastAsia" w:asciiTheme="majorEastAsia" w:hAnsiTheme="majorEastAsia" w:eastAsiaTheme="majorEastAsia"/>
                <w:color w:val="auto"/>
                <w:highlight w:val="none"/>
                <w:lang w:eastAsia="zh-CN"/>
              </w:rPr>
              <w:t>公告发布</w:t>
            </w:r>
            <w:r>
              <w:rPr>
                <w:rFonts w:hint="eastAsia" w:asciiTheme="majorEastAsia" w:hAnsiTheme="majorEastAsia" w:eastAsiaTheme="majorEastAsia"/>
                <w:color w:val="auto"/>
                <w:highlight w:val="none"/>
              </w:rPr>
              <w:t>网站</w:t>
            </w:r>
          </w:p>
        </w:tc>
      </w:tr>
      <w:tr w14:paraId="7D4F16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3CD235D5">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9</w:t>
            </w:r>
          </w:p>
        </w:tc>
        <w:tc>
          <w:tcPr>
            <w:tcW w:w="8474" w:type="dxa"/>
            <w:tcBorders>
              <w:top w:val="single" w:color="auto" w:sz="4" w:space="0"/>
              <w:left w:val="single" w:color="auto" w:sz="4" w:space="0"/>
              <w:bottom w:val="single" w:color="auto" w:sz="4" w:space="0"/>
              <w:right w:val="single" w:color="auto" w:sz="4" w:space="0"/>
            </w:tcBorders>
            <w:vAlign w:val="center"/>
          </w:tcPr>
          <w:p w14:paraId="64A7B274">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highlight w:val="none"/>
              </w:rPr>
            </w:pPr>
            <w:r>
              <w:rPr>
                <w:rFonts w:asciiTheme="majorEastAsia" w:hAnsiTheme="majorEastAsia" w:eastAsiaTheme="majorEastAsia"/>
                <w:color w:val="auto"/>
                <w:highlight w:val="none"/>
              </w:rPr>
              <w:t>采购资金来源：</w:t>
            </w:r>
            <w:r>
              <w:rPr>
                <w:rFonts w:hint="eastAsia" w:asciiTheme="majorEastAsia" w:hAnsiTheme="majorEastAsia" w:eastAsiaTheme="majorEastAsia"/>
                <w:color w:val="auto"/>
                <w:highlight w:val="none"/>
                <w:lang w:eastAsia="zh-CN"/>
              </w:rPr>
              <w:t>预算资金</w:t>
            </w:r>
          </w:p>
        </w:tc>
      </w:tr>
      <w:tr w14:paraId="67B6E8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66FEA391">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highlight w:val="none"/>
              </w:rPr>
            </w:pPr>
            <w:r>
              <w:rPr>
                <w:rFonts w:asciiTheme="majorEastAsia" w:hAnsiTheme="majorEastAsia" w:eastAsiaTheme="majorEastAsia"/>
                <w:color w:val="auto"/>
                <w:highlight w:val="none"/>
              </w:rPr>
              <w:t>1</w:t>
            </w:r>
            <w:r>
              <w:rPr>
                <w:rFonts w:hint="eastAsia" w:asciiTheme="majorEastAsia" w:hAnsiTheme="majorEastAsia" w:eastAsiaTheme="majorEastAsia"/>
                <w:color w:val="auto"/>
                <w:highlight w:val="none"/>
              </w:rPr>
              <w:t>0</w:t>
            </w:r>
          </w:p>
        </w:tc>
        <w:tc>
          <w:tcPr>
            <w:tcW w:w="8474" w:type="dxa"/>
            <w:tcBorders>
              <w:top w:val="single" w:color="auto" w:sz="4" w:space="0"/>
              <w:left w:val="single" w:color="auto" w:sz="4" w:space="0"/>
              <w:bottom w:val="single" w:color="auto" w:sz="4" w:space="0"/>
              <w:right w:val="single" w:color="auto" w:sz="4" w:space="0"/>
            </w:tcBorders>
            <w:vAlign w:val="center"/>
          </w:tcPr>
          <w:p w14:paraId="43E098FE">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highlight w:val="none"/>
              </w:rPr>
            </w:pPr>
            <w:r>
              <w:rPr>
                <w:rFonts w:asciiTheme="majorEastAsia" w:hAnsiTheme="majorEastAsia" w:eastAsiaTheme="majorEastAsia"/>
                <w:color w:val="auto"/>
                <w:highlight w:val="none"/>
              </w:rPr>
              <w:t>响应文件有效期：</w:t>
            </w:r>
            <w:r>
              <w:rPr>
                <w:rFonts w:asciiTheme="majorEastAsia" w:hAnsiTheme="majorEastAsia" w:eastAsiaTheme="majorEastAsia"/>
                <w:bCs/>
                <w:color w:val="auto"/>
                <w:szCs w:val="21"/>
                <w:highlight w:val="none"/>
              </w:rPr>
              <w:t>提交首次响应文件截止日起</w:t>
            </w:r>
            <w:r>
              <w:rPr>
                <w:rFonts w:hint="eastAsia" w:asciiTheme="majorEastAsia" w:hAnsiTheme="majorEastAsia" w:eastAsiaTheme="majorEastAsia"/>
                <w:color w:val="auto"/>
                <w:highlight w:val="none"/>
                <w:lang w:val="en-US" w:eastAsia="zh-CN"/>
              </w:rPr>
              <w:t>9</w:t>
            </w:r>
            <w:r>
              <w:rPr>
                <w:rFonts w:hint="eastAsia" w:asciiTheme="majorEastAsia" w:hAnsiTheme="majorEastAsia" w:eastAsiaTheme="majorEastAsia"/>
                <w:color w:val="auto"/>
                <w:highlight w:val="none"/>
              </w:rPr>
              <w:t>0</w:t>
            </w:r>
            <w:r>
              <w:rPr>
                <w:rFonts w:asciiTheme="majorEastAsia" w:hAnsiTheme="majorEastAsia" w:eastAsiaTheme="majorEastAsia"/>
                <w:color w:val="auto"/>
                <w:highlight w:val="none"/>
              </w:rPr>
              <w:t>天</w:t>
            </w:r>
          </w:p>
        </w:tc>
      </w:tr>
      <w:tr w14:paraId="04804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Align w:val="center"/>
          </w:tcPr>
          <w:p w14:paraId="1C349C78">
            <w:pPr>
              <w:keepNext w:val="0"/>
              <w:keepLines w:val="0"/>
              <w:pageBreakBefore w:val="0"/>
              <w:widowControl w:val="0"/>
              <w:shd w:val="clear"/>
              <w:kinsoku/>
              <w:wordWrap/>
              <w:overflowPunct/>
              <w:topLinePunct w:val="0"/>
              <w:bidi w:val="0"/>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8474" w:type="dxa"/>
            <w:vAlign w:val="center"/>
          </w:tcPr>
          <w:p w14:paraId="1781C859">
            <w:pPr>
              <w:keepNext w:val="0"/>
              <w:keepLines w:val="0"/>
              <w:pageBreakBefore w:val="0"/>
              <w:widowControl w:val="0"/>
              <w:shd w:val="clear"/>
              <w:kinsoku/>
              <w:wordWrap/>
              <w:overflowPunct/>
              <w:topLinePunct w:val="0"/>
              <w:bidi w:val="0"/>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履约保证金：</w:t>
            </w:r>
            <w:r>
              <w:rPr>
                <w:rFonts w:hint="eastAsia" w:ascii="宋体" w:hAnsi="宋体" w:cs="宋体"/>
                <w:color w:val="auto"/>
                <w:szCs w:val="21"/>
                <w:highlight w:val="none"/>
                <w:lang w:eastAsia="zh-CN"/>
              </w:rPr>
              <w:t>无</w:t>
            </w:r>
          </w:p>
        </w:tc>
      </w:tr>
      <w:tr w14:paraId="6BA5E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Align w:val="center"/>
          </w:tcPr>
          <w:p w14:paraId="78D174AC">
            <w:pPr>
              <w:keepNext w:val="0"/>
              <w:keepLines w:val="0"/>
              <w:pageBreakBefore w:val="0"/>
              <w:widowControl w:val="0"/>
              <w:shd w:val="clear"/>
              <w:kinsoku/>
              <w:wordWrap/>
              <w:overflowPunct/>
              <w:topLinePunct w:val="0"/>
              <w:bidi w:val="0"/>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12</w:t>
            </w:r>
          </w:p>
        </w:tc>
        <w:tc>
          <w:tcPr>
            <w:tcW w:w="8474" w:type="dxa"/>
            <w:vAlign w:val="center"/>
          </w:tcPr>
          <w:p w14:paraId="1BCBFE2C">
            <w:pPr>
              <w:keepNext w:val="0"/>
              <w:keepLines w:val="0"/>
              <w:pageBreakBefore w:val="0"/>
              <w:widowControl w:val="0"/>
              <w:shd w:val="clear"/>
              <w:kinsoku/>
              <w:wordWrap/>
              <w:overflowPunct/>
              <w:topLinePunct w:val="0"/>
              <w:bidi w:val="0"/>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合同签订时间：成交通知书发出后</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rPr>
              <w:t>天内</w:t>
            </w:r>
          </w:p>
        </w:tc>
      </w:tr>
      <w:tr w14:paraId="19EFC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Align w:val="center"/>
          </w:tcPr>
          <w:p w14:paraId="1B325CB4">
            <w:pPr>
              <w:keepNext w:val="0"/>
              <w:keepLines w:val="0"/>
              <w:pageBreakBefore w:val="0"/>
              <w:widowControl w:val="0"/>
              <w:shd w:val="clear"/>
              <w:kinsoku/>
              <w:wordWrap/>
              <w:overflowPunct/>
              <w:topLinePunct w:val="0"/>
              <w:bidi w:val="0"/>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13</w:t>
            </w:r>
          </w:p>
        </w:tc>
        <w:tc>
          <w:tcPr>
            <w:tcW w:w="8474" w:type="dxa"/>
            <w:vAlign w:val="center"/>
          </w:tcPr>
          <w:p w14:paraId="11974705">
            <w:pPr>
              <w:keepNext w:val="0"/>
              <w:keepLines w:val="0"/>
              <w:pageBreakBefore w:val="0"/>
              <w:widowControl w:val="0"/>
              <w:shd w:val="clear"/>
              <w:kinsoku/>
              <w:wordWrap/>
              <w:overflowPunct/>
              <w:topLinePunct w:val="0"/>
              <w:bidi w:val="0"/>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合同地点：采购人指定地点</w:t>
            </w:r>
          </w:p>
        </w:tc>
      </w:tr>
      <w:tr w14:paraId="74375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Align w:val="center"/>
          </w:tcPr>
          <w:p w14:paraId="4959673E">
            <w:pPr>
              <w:keepNext w:val="0"/>
              <w:keepLines w:val="0"/>
              <w:pageBreakBefore w:val="0"/>
              <w:widowControl w:val="0"/>
              <w:shd w:val="clear"/>
              <w:kinsoku/>
              <w:wordWrap/>
              <w:overflowPunct/>
              <w:topLinePunct w:val="0"/>
              <w:bidi w:val="0"/>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14</w:t>
            </w:r>
          </w:p>
        </w:tc>
        <w:tc>
          <w:tcPr>
            <w:tcW w:w="8474" w:type="dxa"/>
            <w:vAlign w:val="center"/>
          </w:tcPr>
          <w:p w14:paraId="2206DC88">
            <w:pPr>
              <w:keepNext w:val="0"/>
              <w:keepLines w:val="0"/>
              <w:pageBreakBefore w:val="0"/>
              <w:widowControl w:val="0"/>
              <w:shd w:val="clear"/>
              <w:kinsoku/>
              <w:wordWrap/>
              <w:overflowPunct/>
              <w:topLinePunct w:val="0"/>
              <w:bidi w:val="0"/>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预付款：详见付款方式</w:t>
            </w:r>
          </w:p>
        </w:tc>
      </w:tr>
      <w:tr w14:paraId="6502A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880" w:type="dxa"/>
            <w:vAlign w:val="center"/>
          </w:tcPr>
          <w:p w14:paraId="6D12A527">
            <w:pPr>
              <w:keepNext w:val="0"/>
              <w:keepLines w:val="0"/>
              <w:pageBreakBefore w:val="0"/>
              <w:widowControl w:val="0"/>
              <w:shd w:val="clear"/>
              <w:kinsoku/>
              <w:wordWrap/>
              <w:overflowPunct/>
              <w:topLinePunct w:val="0"/>
              <w:bidi w:val="0"/>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15</w:t>
            </w:r>
          </w:p>
        </w:tc>
        <w:tc>
          <w:tcPr>
            <w:tcW w:w="8474" w:type="dxa"/>
            <w:vAlign w:val="center"/>
          </w:tcPr>
          <w:p w14:paraId="1E24FD83">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付款方式：</w:t>
            </w:r>
          </w:p>
          <w:p w14:paraId="4AC644BE">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合同签订后</w:t>
            </w:r>
            <w:r>
              <w:rPr>
                <w:rFonts w:hint="eastAsia" w:ascii="宋体" w:hAnsi="宋体" w:eastAsia="宋体" w:cs="宋体"/>
                <w:color w:val="auto"/>
                <w:sz w:val="21"/>
                <w:szCs w:val="21"/>
                <w:highlight w:val="none"/>
                <w:lang w:val="en-US" w:eastAsia="zh-CN"/>
              </w:rPr>
              <w:t>以及</w:t>
            </w:r>
            <w:r>
              <w:rPr>
                <w:rFonts w:hint="eastAsia" w:ascii="宋体" w:hAnsi="宋体" w:eastAsia="宋体" w:cs="宋体"/>
                <w:color w:val="auto"/>
                <w:sz w:val="21"/>
                <w:szCs w:val="21"/>
                <w:highlight w:val="none"/>
              </w:rPr>
              <w:t>具备实施条件后</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个工作日内，</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向</w:t>
            </w:r>
            <w:r>
              <w:rPr>
                <w:rFonts w:hint="eastAsia" w:ascii="宋体" w:hAnsi="宋体" w:eastAsia="宋体" w:cs="宋体"/>
                <w:color w:val="auto"/>
                <w:sz w:val="21"/>
                <w:szCs w:val="21"/>
                <w:highlight w:val="none"/>
                <w:lang w:val="en-US" w:eastAsia="zh-CN"/>
              </w:rPr>
              <w:t>中标供应商</w:t>
            </w:r>
            <w:r>
              <w:rPr>
                <w:rFonts w:hint="eastAsia" w:ascii="宋体" w:hAnsi="宋体" w:eastAsia="宋体" w:cs="宋体"/>
                <w:color w:val="auto"/>
                <w:sz w:val="21"/>
                <w:szCs w:val="21"/>
                <w:highlight w:val="none"/>
              </w:rPr>
              <w:t>支付</w:t>
            </w:r>
            <w:r>
              <w:rPr>
                <w:rFonts w:hint="default" w:ascii="宋体" w:hAnsi="宋体" w:eastAsia="宋体" w:cs="宋体"/>
                <w:color w:val="auto"/>
                <w:sz w:val="21"/>
                <w:szCs w:val="21"/>
                <w:highlight w:val="none"/>
                <w:lang w:val="en-US"/>
              </w:rPr>
              <w:t>合同</w:t>
            </w:r>
            <w:r>
              <w:rPr>
                <w:rFonts w:hint="eastAsia" w:ascii="宋体" w:hAnsi="宋体" w:eastAsia="宋体" w:cs="宋体"/>
                <w:color w:val="auto"/>
                <w:sz w:val="21"/>
                <w:szCs w:val="21"/>
                <w:highlight w:val="none"/>
              </w:rPr>
              <w:t>总额</w:t>
            </w:r>
            <w:r>
              <w:rPr>
                <w:rFonts w:hint="eastAsia" w:ascii="宋体" w:hAnsi="宋体" w:eastAsia="宋体" w:cs="宋体"/>
                <w:color w:val="auto"/>
                <w:sz w:val="21"/>
                <w:szCs w:val="21"/>
                <w:highlight w:val="none"/>
                <w:lang w:val="en-US" w:eastAsia="zh-CN"/>
              </w:rPr>
              <w:t>40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（在签订合同时，供应商明确表示无需预付款或者主动要求降低预付款比例的，采购</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lang w:eastAsia="zh-CN"/>
              </w:rPr>
              <w:t>可不适用</w:t>
            </w:r>
            <w:r>
              <w:rPr>
                <w:rFonts w:hint="eastAsia" w:ascii="宋体" w:hAnsi="宋体" w:eastAsia="宋体" w:cs="宋体"/>
                <w:color w:val="auto"/>
                <w:sz w:val="21"/>
                <w:szCs w:val="21"/>
                <w:highlight w:val="none"/>
                <w:lang w:val="en-US" w:eastAsia="zh-CN"/>
              </w:rPr>
              <w:t>此条预付</w:t>
            </w:r>
            <w:r>
              <w:rPr>
                <w:rFonts w:hint="eastAsia" w:ascii="宋体" w:hAnsi="宋体" w:eastAsia="宋体" w:cs="宋体"/>
                <w:color w:val="auto"/>
                <w:sz w:val="21"/>
                <w:szCs w:val="21"/>
                <w:highlight w:val="none"/>
                <w:lang w:eastAsia="zh-CN"/>
              </w:rPr>
              <w:t>规定）；</w:t>
            </w:r>
          </w:p>
          <w:p w14:paraId="67942A59">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如</w:t>
            </w:r>
            <w:r>
              <w:rPr>
                <w:rFonts w:hint="eastAsia" w:ascii="宋体" w:hAnsi="宋体" w:eastAsia="宋体" w:cs="宋体"/>
                <w:color w:val="auto"/>
                <w:sz w:val="21"/>
                <w:szCs w:val="21"/>
                <w:highlight w:val="none"/>
              </w:rPr>
              <w:t>无预付款的，在成交人</w:t>
            </w:r>
            <w:r>
              <w:rPr>
                <w:rFonts w:hint="eastAsia" w:ascii="宋体" w:hAnsi="宋体" w:eastAsia="宋体" w:cs="宋体"/>
                <w:color w:val="auto"/>
                <w:sz w:val="21"/>
                <w:szCs w:val="21"/>
                <w:highlight w:val="none"/>
                <w:lang w:val="en-US" w:eastAsia="zh-CN"/>
              </w:rPr>
              <w:t>订完</w:t>
            </w:r>
            <w:r>
              <w:rPr>
                <w:rFonts w:hint="eastAsia" w:ascii="宋体" w:hAnsi="宋体" w:eastAsia="宋体" w:cs="宋体"/>
                <w:color w:val="auto"/>
                <w:sz w:val="21"/>
                <w:szCs w:val="21"/>
                <w:highlight w:val="none"/>
              </w:rPr>
              <w:t>第一批机票（</w:t>
            </w:r>
            <w:r>
              <w:rPr>
                <w:rFonts w:hint="eastAsia" w:ascii="宋体" w:hAnsi="宋体" w:eastAsia="宋体" w:cs="宋体"/>
                <w:color w:val="auto"/>
                <w:sz w:val="21"/>
                <w:szCs w:val="21"/>
                <w:highlight w:val="none"/>
                <w:lang w:eastAsia="zh-CN"/>
              </w:rPr>
              <w:t>或高铁或大巴</w:t>
            </w:r>
            <w:r>
              <w:rPr>
                <w:rFonts w:hint="eastAsia" w:ascii="宋体" w:hAnsi="宋体" w:eastAsia="宋体" w:cs="宋体"/>
                <w:color w:val="auto"/>
                <w:sz w:val="21"/>
                <w:szCs w:val="21"/>
                <w:highlight w:val="none"/>
              </w:rPr>
              <w:t>）后，采购人向成交人支付合同总价的40%。</w:t>
            </w:r>
          </w:p>
          <w:p w14:paraId="0F61E225">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3、成交人在完成教职工疗休养承办业务后，无有效投诉和质量问题，成交人凭正规有效发票原件、旅游合同、名单、身份证及保险复印件结清服务款项。</w:t>
            </w:r>
          </w:p>
          <w:p w14:paraId="77E32CA4">
            <w:pPr>
              <w:keepNext w:val="0"/>
              <w:keepLines w:val="0"/>
              <w:pageBreakBefore w:val="0"/>
              <w:widowControl w:val="0"/>
              <w:shd w:val="clear"/>
              <w:kinsoku/>
              <w:wordWrap/>
              <w:overflowPunct/>
              <w:topLinePunct w:val="0"/>
              <w:bidi w:val="0"/>
              <w:adjustRightInd/>
              <w:snapToGrid/>
              <w:spacing w:line="360" w:lineRule="auto"/>
              <w:rPr>
                <w:color w:val="auto"/>
                <w:highlight w:val="none"/>
              </w:rPr>
            </w:pPr>
            <w:r>
              <w:rPr>
                <w:rFonts w:hint="eastAsia" w:ascii="宋体" w:hAnsi="宋体" w:eastAsia="宋体" w:cs="宋体"/>
                <w:color w:val="auto"/>
                <w:sz w:val="21"/>
                <w:szCs w:val="21"/>
                <w:highlight w:val="none"/>
              </w:rPr>
              <w:t>注：每次付款前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预付款除外</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，中标供应商必须开具等额的正规税务发票给采购人。</w:t>
            </w:r>
          </w:p>
        </w:tc>
      </w:tr>
      <w:tr w14:paraId="527C16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8"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46EC60B0">
            <w:pPr>
              <w:keepNext w:val="0"/>
              <w:keepLines w:val="0"/>
              <w:pageBreakBefore w:val="0"/>
              <w:widowControl w:val="0"/>
              <w:shd w:val="clear"/>
              <w:kinsoku/>
              <w:wordWrap/>
              <w:overflowPunct/>
              <w:topLinePunct w:val="0"/>
              <w:bidi w:val="0"/>
              <w:spacing w:line="440" w:lineRule="exact"/>
              <w:jc w:val="center"/>
              <w:rPr>
                <w:rFonts w:hint="default" w:asciiTheme="majorEastAsia" w:hAnsiTheme="majorEastAsia" w:eastAsiaTheme="majorEastAsia"/>
                <w:color w:val="auto"/>
                <w:highlight w:val="none"/>
                <w:lang w:val="en-US" w:eastAsia="zh-CN"/>
              </w:rPr>
            </w:pPr>
            <w:r>
              <w:rPr>
                <w:rFonts w:hint="eastAsia" w:asciiTheme="majorEastAsia" w:hAnsiTheme="majorEastAsia" w:eastAsiaTheme="majorEastAsia"/>
                <w:color w:val="auto"/>
                <w:highlight w:val="none"/>
                <w:lang w:val="en-US" w:eastAsia="zh-CN"/>
              </w:rPr>
              <w:t>16</w:t>
            </w:r>
          </w:p>
        </w:tc>
        <w:tc>
          <w:tcPr>
            <w:tcW w:w="8474" w:type="dxa"/>
            <w:tcBorders>
              <w:top w:val="single" w:color="auto" w:sz="4" w:space="0"/>
              <w:left w:val="single" w:color="auto" w:sz="4" w:space="0"/>
              <w:bottom w:val="single" w:color="auto" w:sz="4" w:space="0"/>
              <w:right w:val="single" w:color="auto" w:sz="4" w:space="0"/>
            </w:tcBorders>
            <w:vAlign w:val="center"/>
          </w:tcPr>
          <w:p w14:paraId="037B32FE">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highlight w:val="none"/>
              </w:rPr>
            </w:pPr>
            <w:r>
              <w:rPr>
                <w:rFonts w:asciiTheme="majorEastAsia" w:hAnsiTheme="majorEastAsia" w:eastAsiaTheme="majorEastAsia"/>
                <w:color w:val="auto"/>
                <w:highlight w:val="none"/>
              </w:rPr>
              <w:t>解释：本磋商文件的解释权属于</w:t>
            </w:r>
            <w:r>
              <w:rPr>
                <w:rFonts w:hint="eastAsia" w:asciiTheme="majorEastAsia" w:hAnsiTheme="majorEastAsia" w:eastAsiaTheme="majorEastAsia"/>
                <w:color w:val="auto"/>
                <w:highlight w:val="none"/>
              </w:rPr>
              <w:t>采购人和采购代理机构。</w:t>
            </w:r>
            <w:r>
              <w:rPr>
                <w:rFonts w:hint="eastAsia" w:ascii="宋体" w:hAnsi="宋体" w:cs="宋体"/>
                <w:color w:val="auto"/>
                <w:szCs w:val="21"/>
                <w:highlight w:val="none"/>
              </w:rPr>
              <w:t>项目名称、公告标题等不影响对项目性质的认定；构成本采购文件的各个组成文件应互为解释，互为说明；如有不明确或不一致，构成合同文件组成内容的，以合同文件约定内容为准，且以专用合同条款约定的合同文件优先顺序解释；除采购文件中有特别规定外，仅适用于磋商阶段的规定，按采购公告、供应商须知前附表、供应商须知、评审办法、响应文件格式的先后顺序解释；同一组成文件中就同一事项的规定或约定不一致的，以编排顺序在后者为准；同一组成文件不同版本之间有不一致的，以形成时间在后者为准。按本款前述规定仍不能形成结论的，由招标采购单位负责解释。</w:t>
            </w:r>
          </w:p>
        </w:tc>
      </w:tr>
    </w:tbl>
    <w:p w14:paraId="69DB5812">
      <w:pPr>
        <w:keepNext w:val="0"/>
        <w:keepLines w:val="0"/>
        <w:pageBreakBefore w:val="0"/>
        <w:widowControl w:val="0"/>
        <w:shd w:val="clear"/>
        <w:kinsoku/>
        <w:wordWrap/>
        <w:overflowPunct/>
        <w:topLinePunct w:val="0"/>
        <w:bidi w:val="0"/>
        <w:rPr>
          <w:rFonts w:asciiTheme="majorEastAsia" w:hAnsiTheme="majorEastAsia" w:eastAsiaTheme="majorEastAsia"/>
          <w:color w:val="auto"/>
          <w:highlight w:val="none"/>
        </w:rPr>
      </w:pPr>
    </w:p>
    <w:p w14:paraId="40EA9E3C">
      <w:pPr>
        <w:keepNext w:val="0"/>
        <w:keepLines w:val="0"/>
        <w:pageBreakBefore w:val="0"/>
        <w:widowControl w:val="0"/>
        <w:shd w:val="clear"/>
        <w:kinsoku/>
        <w:wordWrap/>
        <w:overflowPunct/>
        <w:topLinePunct w:val="0"/>
        <w:bidi w:val="0"/>
        <w:rPr>
          <w:rFonts w:asciiTheme="majorEastAsia" w:hAnsiTheme="majorEastAsia" w:eastAsiaTheme="majorEastAsia"/>
          <w:color w:val="auto"/>
          <w:highlight w:val="none"/>
        </w:rPr>
      </w:pPr>
      <w:r>
        <w:rPr>
          <w:rFonts w:asciiTheme="majorEastAsia" w:hAnsiTheme="majorEastAsia" w:eastAsiaTheme="majorEastAsia"/>
          <w:color w:val="auto"/>
          <w:highlight w:val="none"/>
        </w:rPr>
        <w:br w:type="page"/>
      </w:r>
    </w:p>
    <w:p w14:paraId="4AD23720">
      <w:pPr>
        <w:pStyle w:val="14"/>
        <w:keepNext w:val="0"/>
        <w:keepLines w:val="0"/>
        <w:pageBreakBefore w:val="0"/>
        <w:widowControl w:val="0"/>
        <w:shd w:val="clear"/>
        <w:tabs>
          <w:tab w:val="clear" w:pos="454"/>
        </w:tabs>
        <w:kinsoku/>
        <w:wordWrap/>
        <w:overflowPunct/>
        <w:topLinePunct w:val="0"/>
        <w:bidi w:val="0"/>
        <w:spacing w:afterLines="0" w:line="360" w:lineRule="auto"/>
        <w:ind w:left="0" w:leftChars="0" w:firstLine="0" w:firstLineChars="0"/>
        <w:contextualSpacing/>
        <w:rPr>
          <w:rFonts w:asciiTheme="majorEastAsia" w:hAnsiTheme="majorEastAsia" w:eastAsiaTheme="majorEastAsia"/>
          <w:color w:val="auto"/>
          <w:sz w:val="21"/>
          <w:szCs w:val="21"/>
          <w:highlight w:val="none"/>
        </w:rPr>
      </w:pPr>
      <w:r>
        <w:rPr>
          <w:rFonts w:asciiTheme="majorEastAsia" w:hAnsiTheme="majorEastAsia" w:eastAsiaTheme="majorEastAsia"/>
          <w:b/>
          <w:color w:val="auto"/>
          <w:sz w:val="21"/>
          <w:szCs w:val="21"/>
          <w:highlight w:val="none"/>
        </w:rPr>
        <w:t>一</w:t>
      </w:r>
      <w:r>
        <w:rPr>
          <w:rFonts w:hint="eastAsia" w:asciiTheme="majorEastAsia" w:hAnsiTheme="majorEastAsia" w:eastAsiaTheme="majorEastAsia"/>
          <w:b/>
          <w:color w:val="auto"/>
          <w:sz w:val="21"/>
          <w:szCs w:val="21"/>
          <w:highlight w:val="none"/>
          <w:lang w:eastAsia="zh-CN"/>
        </w:rPr>
        <w:t>、</w:t>
      </w:r>
      <w:r>
        <w:rPr>
          <w:rFonts w:asciiTheme="majorEastAsia" w:hAnsiTheme="majorEastAsia" w:eastAsiaTheme="majorEastAsia"/>
          <w:b/>
          <w:color w:val="auto"/>
          <w:sz w:val="21"/>
          <w:szCs w:val="21"/>
          <w:highlight w:val="none"/>
        </w:rPr>
        <w:t>总则</w:t>
      </w:r>
    </w:p>
    <w:p w14:paraId="00066320">
      <w:pPr>
        <w:pStyle w:val="14"/>
        <w:keepNext w:val="0"/>
        <w:keepLines w:val="0"/>
        <w:pageBreakBefore w:val="0"/>
        <w:widowControl w:val="0"/>
        <w:shd w:val="clear"/>
        <w:tabs>
          <w:tab w:val="clear" w:pos="454"/>
        </w:tabs>
        <w:kinsoku/>
        <w:wordWrap/>
        <w:overflowPunct/>
        <w:topLinePunct w:val="0"/>
        <w:bidi w:val="0"/>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（一） 适用范围</w:t>
      </w:r>
    </w:p>
    <w:p w14:paraId="104900EB">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本磋商文件适用于</w:t>
      </w:r>
      <w:r>
        <w:rPr>
          <w:rFonts w:hint="eastAsia" w:asciiTheme="majorEastAsia" w:hAnsiTheme="majorEastAsia" w:eastAsiaTheme="majorEastAsia"/>
          <w:color w:val="auto"/>
          <w:highlight w:val="none"/>
          <w:lang w:eastAsia="zh-CN"/>
        </w:rPr>
        <w:t>宁波市海曙区古林镇布政小学2025年年度教职工疗休养项目</w:t>
      </w:r>
      <w:r>
        <w:rPr>
          <w:rFonts w:asciiTheme="majorEastAsia" w:hAnsiTheme="majorEastAsia" w:eastAsiaTheme="majorEastAsia"/>
          <w:color w:val="auto"/>
          <w:highlight w:val="none"/>
        </w:rPr>
        <w:t>的磋商公告、响应、评审、验收、合同履约、付款等行为（法律、法规另有规定的，从其规定）。</w:t>
      </w:r>
    </w:p>
    <w:p w14:paraId="7BF4F7FC">
      <w:pPr>
        <w:pStyle w:val="14"/>
        <w:keepNext w:val="0"/>
        <w:keepLines w:val="0"/>
        <w:pageBreakBefore w:val="0"/>
        <w:widowControl w:val="0"/>
        <w:shd w:val="clear"/>
        <w:tabs>
          <w:tab w:val="clear" w:pos="454"/>
        </w:tabs>
        <w:kinsoku/>
        <w:wordWrap/>
        <w:overflowPunct/>
        <w:topLinePunct w:val="0"/>
        <w:bidi w:val="0"/>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（二）定义</w:t>
      </w:r>
    </w:p>
    <w:p w14:paraId="05809B9C">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1.“采购</w:t>
      </w:r>
      <w:r>
        <w:rPr>
          <w:rFonts w:hint="eastAsia" w:asciiTheme="majorEastAsia" w:hAnsiTheme="majorEastAsia" w:eastAsiaTheme="majorEastAsia"/>
          <w:color w:val="auto"/>
          <w:highlight w:val="none"/>
        </w:rPr>
        <w:t>人</w:t>
      </w:r>
      <w:r>
        <w:rPr>
          <w:rFonts w:asciiTheme="majorEastAsia" w:hAnsiTheme="majorEastAsia" w:eastAsiaTheme="majorEastAsia"/>
          <w:color w:val="auto"/>
          <w:highlight w:val="none"/>
        </w:rPr>
        <w:t>”系指组织本次磋商的</w:t>
      </w:r>
      <w:r>
        <w:rPr>
          <w:rFonts w:hint="eastAsia" w:asciiTheme="majorEastAsia" w:hAnsiTheme="majorEastAsia" w:eastAsiaTheme="majorEastAsia"/>
          <w:color w:val="auto"/>
          <w:highlight w:val="none"/>
        </w:rPr>
        <w:t>“</w:t>
      </w:r>
      <w:r>
        <w:rPr>
          <w:rFonts w:hint="eastAsia" w:asciiTheme="majorEastAsia" w:hAnsiTheme="majorEastAsia" w:eastAsiaTheme="majorEastAsia"/>
          <w:color w:val="auto"/>
          <w:highlight w:val="none"/>
          <w:lang w:eastAsia="zh-CN"/>
        </w:rPr>
        <w:t>宁波市海曙区古林镇布政小学</w:t>
      </w:r>
      <w:r>
        <w:rPr>
          <w:rFonts w:hint="eastAsia" w:asciiTheme="majorEastAsia" w:hAnsiTheme="majorEastAsia" w:eastAsiaTheme="majorEastAsia"/>
          <w:color w:val="auto"/>
          <w:highlight w:val="none"/>
        </w:rPr>
        <w:t>”</w:t>
      </w:r>
      <w:r>
        <w:rPr>
          <w:rFonts w:asciiTheme="majorEastAsia" w:hAnsiTheme="majorEastAsia" w:eastAsiaTheme="majorEastAsia"/>
          <w:color w:val="auto"/>
          <w:highlight w:val="none"/>
        </w:rPr>
        <w:t>。</w:t>
      </w:r>
    </w:p>
    <w:p w14:paraId="46871BAB">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2.“供应商”系指向</w:t>
      </w:r>
      <w:r>
        <w:rPr>
          <w:rFonts w:hint="eastAsia" w:asciiTheme="majorEastAsia" w:hAnsiTheme="majorEastAsia" w:eastAsiaTheme="majorEastAsia"/>
          <w:color w:val="auto"/>
          <w:highlight w:val="none"/>
        </w:rPr>
        <w:t>采购人</w:t>
      </w:r>
      <w:r>
        <w:rPr>
          <w:rFonts w:asciiTheme="majorEastAsia" w:hAnsiTheme="majorEastAsia" w:eastAsiaTheme="majorEastAsia"/>
          <w:color w:val="auto"/>
          <w:highlight w:val="none"/>
        </w:rPr>
        <w:t>提交响应文件的单位或个人。</w:t>
      </w:r>
    </w:p>
    <w:p w14:paraId="7199D956">
      <w:pPr>
        <w:keepNext w:val="0"/>
        <w:keepLines w:val="0"/>
        <w:pageBreakBefore w:val="0"/>
        <w:widowControl w:val="0"/>
        <w:shd w:val="clear"/>
        <w:kinsoku/>
        <w:wordWrap/>
        <w:overflowPunct/>
        <w:topLinePunct w:val="0"/>
        <w:bidi w:val="0"/>
        <w:spacing w:line="360" w:lineRule="auto"/>
        <w:ind w:firstLine="420" w:firstLineChars="200"/>
        <w:contextualSpacing/>
        <w:jc w:val="lef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3.“服务”系指磋商文件规定供应商须承担的与本项目相关的服务。</w:t>
      </w:r>
    </w:p>
    <w:p w14:paraId="0CDD728E">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4.“项目”系指</w:t>
      </w:r>
      <w:r>
        <w:rPr>
          <w:rFonts w:hint="eastAsia" w:asciiTheme="majorEastAsia" w:hAnsiTheme="majorEastAsia" w:eastAsiaTheme="majorEastAsia"/>
          <w:color w:val="auto"/>
          <w:highlight w:val="none"/>
          <w:lang w:eastAsia="zh-CN"/>
        </w:rPr>
        <w:t>宁波市海曙区古林镇布政小学2025年年度教职工疗休养项目</w:t>
      </w:r>
      <w:r>
        <w:rPr>
          <w:rFonts w:asciiTheme="majorEastAsia" w:hAnsiTheme="majorEastAsia" w:eastAsiaTheme="majorEastAsia"/>
          <w:color w:val="auto"/>
          <w:highlight w:val="none"/>
        </w:rPr>
        <w:t>。</w:t>
      </w:r>
    </w:p>
    <w:p w14:paraId="6D89EE11">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5.“书面形式”包括信函、传真、电报等。</w:t>
      </w:r>
    </w:p>
    <w:p w14:paraId="65EA4D3F">
      <w:pPr>
        <w:pStyle w:val="25"/>
        <w:keepNext w:val="0"/>
        <w:keepLines w:val="0"/>
        <w:pageBreakBefore w:val="0"/>
        <w:widowControl w:val="0"/>
        <w:shd w:val="clear"/>
        <w:kinsoku/>
        <w:wordWrap/>
        <w:overflowPunct/>
        <w:topLinePunct w:val="0"/>
        <w:bidi w:val="0"/>
        <w:spacing w:beforeLines="0" w:afterLines="0" w:line="360" w:lineRule="auto"/>
        <w:ind w:firstLine="422" w:firstLineChars="200"/>
        <w:contextualSpacing/>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6.“*”系指实质性要求条款，</w:t>
      </w:r>
      <w:r>
        <w:rPr>
          <w:rFonts w:asciiTheme="majorEastAsia" w:hAnsiTheme="majorEastAsia" w:eastAsiaTheme="majorEastAsia"/>
          <w:color w:val="auto"/>
          <w:highlight w:val="none"/>
        </w:rPr>
        <w:t>供应商的响应对任何带“*”号的重要商务和技术条款的</w:t>
      </w:r>
      <w:r>
        <w:rPr>
          <w:rFonts w:hint="eastAsia" w:asciiTheme="majorEastAsia" w:hAnsiTheme="majorEastAsia" w:eastAsiaTheme="majorEastAsia"/>
          <w:color w:val="auto"/>
          <w:highlight w:val="none"/>
        </w:rPr>
        <w:t>负</w:t>
      </w:r>
      <w:r>
        <w:rPr>
          <w:rFonts w:asciiTheme="majorEastAsia" w:hAnsiTheme="majorEastAsia" w:eastAsiaTheme="majorEastAsia"/>
          <w:color w:val="auto"/>
          <w:highlight w:val="none"/>
        </w:rPr>
        <w:t>偏离和未作实质性响应都将直接导致响应文件无效</w:t>
      </w:r>
      <w:r>
        <w:rPr>
          <w:rFonts w:asciiTheme="majorEastAsia" w:hAnsiTheme="majorEastAsia" w:eastAsiaTheme="majorEastAsia"/>
          <w:b/>
          <w:color w:val="auto"/>
          <w:highlight w:val="none"/>
        </w:rPr>
        <w:t>。</w:t>
      </w:r>
    </w:p>
    <w:p w14:paraId="73900C84">
      <w:pPr>
        <w:pStyle w:val="14"/>
        <w:keepNext w:val="0"/>
        <w:keepLines w:val="0"/>
        <w:pageBreakBefore w:val="0"/>
        <w:widowControl w:val="0"/>
        <w:shd w:val="clear"/>
        <w:tabs>
          <w:tab w:val="clear" w:pos="454"/>
        </w:tabs>
        <w:kinsoku/>
        <w:wordWrap/>
        <w:overflowPunct/>
        <w:topLinePunct w:val="0"/>
        <w:bidi w:val="0"/>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（三）采购方式</w:t>
      </w:r>
    </w:p>
    <w:p w14:paraId="16FBD991">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本次采购采用竞争性磋商方式进行。</w:t>
      </w:r>
    </w:p>
    <w:p w14:paraId="5A78B024">
      <w:pPr>
        <w:pStyle w:val="14"/>
        <w:keepNext w:val="0"/>
        <w:keepLines w:val="0"/>
        <w:pageBreakBefore w:val="0"/>
        <w:widowControl w:val="0"/>
        <w:shd w:val="clear"/>
        <w:tabs>
          <w:tab w:val="clear" w:pos="454"/>
        </w:tabs>
        <w:kinsoku/>
        <w:wordWrap/>
        <w:overflowPunct/>
        <w:topLinePunct w:val="0"/>
        <w:bidi w:val="0"/>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（四）磋商委托</w:t>
      </w:r>
    </w:p>
    <w:p w14:paraId="1EFB7222">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供应商代表须携带有效身份证件。如供应商代表不是法定代表人（负责人），须有法定代表人（负责人）出具的授权委托书（响应文件正本用原件，格式见第六章）。</w:t>
      </w:r>
    </w:p>
    <w:p w14:paraId="0384517D">
      <w:pPr>
        <w:pStyle w:val="14"/>
        <w:keepNext w:val="0"/>
        <w:keepLines w:val="0"/>
        <w:pageBreakBefore w:val="0"/>
        <w:widowControl w:val="0"/>
        <w:shd w:val="clear"/>
        <w:tabs>
          <w:tab w:val="clear" w:pos="454"/>
        </w:tabs>
        <w:kinsoku/>
        <w:wordWrap/>
        <w:overflowPunct/>
        <w:topLinePunct w:val="0"/>
        <w:bidi w:val="0"/>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（五）磋商费用</w:t>
      </w:r>
    </w:p>
    <w:p w14:paraId="5DFE94DF">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不论采购结果如何，供应商均应自行承担所有与采购有关的全部费用（磋商文件有相关规定除外）。</w:t>
      </w:r>
    </w:p>
    <w:p w14:paraId="660004FC">
      <w:pPr>
        <w:pStyle w:val="14"/>
        <w:keepNext w:val="0"/>
        <w:keepLines w:val="0"/>
        <w:pageBreakBefore w:val="0"/>
        <w:widowControl w:val="0"/>
        <w:shd w:val="clear"/>
        <w:tabs>
          <w:tab w:val="clear" w:pos="454"/>
        </w:tabs>
        <w:kinsoku/>
        <w:wordWrap/>
        <w:overflowPunct/>
        <w:topLinePunct w:val="0"/>
        <w:bidi w:val="0"/>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（六）联合体</w:t>
      </w:r>
      <w:r>
        <w:rPr>
          <w:rFonts w:hint="eastAsia" w:asciiTheme="majorEastAsia" w:hAnsiTheme="majorEastAsia" w:eastAsiaTheme="majorEastAsia"/>
          <w:b/>
          <w:color w:val="auto"/>
          <w:sz w:val="21"/>
          <w:szCs w:val="21"/>
          <w:highlight w:val="none"/>
        </w:rPr>
        <w:t>磋商</w:t>
      </w:r>
    </w:p>
    <w:p w14:paraId="0017E099">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bCs/>
          <w:color w:val="auto"/>
          <w:highlight w:val="none"/>
        </w:rPr>
      </w:pPr>
      <w:r>
        <w:rPr>
          <w:rFonts w:asciiTheme="majorEastAsia" w:hAnsiTheme="majorEastAsia" w:eastAsiaTheme="majorEastAsia"/>
          <w:bCs/>
          <w:color w:val="auto"/>
          <w:highlight w:val="none"/>
        </w:rPr>
        <w:t>本项目</w:t>
      </w:r>
      <w:r>
        <w:rPr>
          <w:rFonts w:hint="eastAsia" w:asciiTheme="majorEastAsia" w:hAnsiTheme="majorEastAsia" w:eastAsiaTheme="majorEastAsia"/>
          <w:bCs/>
          <w:color w:val="auto"/>
          <w:highlight w:val="none"/>
          <w:lang w:eastAsia="zh-CN"/>
        </w:rPr>
        <w:t>不</w:t>
      </w:r>
      <w:r>
        <w:rPr>
          <w:rFonts w:asciiTheme="majorEastAsia" w:hAnsiTheme="majorEastAsia" w:eastAsiaTheme="majorEastAsia"/>
          <w:bCs/>
          <w:color w:val="auto"/>
          <w:highlight w:val="none"/>
        </w:rPr>
        <w:t>接受联合体</w:t>
      </w:r>
      <w:r>
        <w:rPr>
          <w:rFonts w:hint="eastAsia" w:asciiTheme="majorEastAsia" w:hAnsiTheme="majorEastAsia" w:eastAsiaTheme="majorEastAsia"/>
          <w:bCs/>
          <w:color w:val="auto"/>
          <w:highlight w:val="none"/>
        </w:rPr>
        <w:t>参加磋商活动</w:t>
      </w:r>
      <w:r>
        <w:rPr>
          <w:rFonts w:asciiTheme="majorEastAsia" w:hAnsiTheme="majorEastAsia" w:eastAsiaTheme="majorEastAsia"/>
          <w:bCs/>
          <w:color w:val="auto"/>
          <w:highlight w:val="none"/>
        </w:rPr>
        <w:t>。</w:t>
      </w:r>
    </w:p>
    <w:p w14:paraId="45A38640">
      <w:pPr>
        <w:pStyle w:val="14"/>
        <w:keepNext w:val="0"/>
        <w:keepLines w:val="0"/>
        <w:pageBreakBefore w:val="0"/>
        <w:widowControl w:val="0"/>
        <w:shd w:val="clear"/>
        <w:tabs>
          <w:tab w:val="clear" w:pos="454"/>
        </w:tabs>
        <w:kinsoku/>
        <w:wordWrap/>
        <w:overflowPunct/>
        <w:topLinePunct w:val="0"/>
        <w:bidi w:val="0"/>
        <w:spacing w:afterLines="0" w:line="360" w:lineRule="auto"/>
        <w:ind w:left="0" w:firstLine="413" w:firstLineChars="196"/>
        <w:contextualSpacing/>
        <w:rPr>
          <w:rFonts w:asciiTheme="majorEastAsia" w:hAnsiTheme="majorEastAsia" w:eastAsiaTheme="majorEastAsia"/>
          <w:b/>
          <w:bCs/>
          <w:color w:val="auto"/>
          <w:sz w:val="21"/>
          <w:szCs w:val="21"/>
          <w:highlight w:val="none"/>
        </w:rPr>
      </w:pPr>
      <w:r>
        <w:rPr>
          <w:rFonts w:asciiTheme="majorEastAsia" w:hAnsiTheme="majorEastAsia" w:eastAsiaTheme="majorEastAsia"/>
          <w:b/>
          <w:bCs/>
          <w:color w:val="auto"/>
          <w:sz w:val="21"/>
          <w:szCs w:val="21"/>
          <w:highlight w:val="none"/>
        </w:rPr>
        <w:t>（七）转包与分包</w:t>
      </w:r>
    </w:p>
    <w:p w14:paraId="11AF5B94">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bCs/>
          <w:color w:val="auto"/>
          <w:highlight w:val="none"/>
        </w:rPr>
      </w:pPr>
      <w:r>
        <w:rPr>
          <w:rFonts w:asciiTheme="majorEastAsia" w:hAnsiTheme="majorEastAsia" w:eastAsiaTheme="majorEastAsia"/>
          <w:bCs/>
          <w:color w:val="auto"/>
          <w:highlight w:val="none"/>
        </w:rPr>
        <w:t>本项目不允许转包，未经采购人同意，不得分包。</w:t>
      </w:r>
    </w:p>
    <w:p w14:paraId="117E4255">
      <w:pPr>
        <w:pStyle w:val="14"/>
        <w:keepNext w:val="0"/>
        <w:keepLines w:val="0"/>
        <w:pageBreakBefore w:val="0"/>
        <w:widowControl w:val="0"/>
        <w:shd w:val="clear"/>
        <w:tabs>
          <w:tab w:val="clear" w:pos="454"/>
        </w:tabs>
        <w:kinsoku/>
        <w:wordWrap/>
        <w:overflowPunct/>
        <w:topLinePunct w:val="0"/>
        <w:bidi w:val="0"/>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（八）特别说明：</w:t>
      </w:r>
    </w:p>
    <w:p w14:paraId="04D8F0DD">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*1.供应商应仔细阅读磋商文件的所有内容，按照磋商文件的要求提交响应文件，并对所提供的全部资料的真实性承担法律责任。</w:t>
      </w:r>
    </w:p>
    <w:p w14:paraId="59F5A742">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*2.供应商在采购活动中提供任何虚假材料,其响应文件无效，并报监管部门查处；成交后发现的,</w:t>
      </w:r>
      <w:r>
        <w:rPr>
          <w:rFonts w:hint="eastAsia" w:asciiTheme="majorEastAsia" w:hAnsiTheme="majorEastAsia" w:eastAsiaTheme="majorEastAsia"/>
          <w:color w:val="auto"/>
          <w:highlight w:val="none"/>
        </w:rPr>
        <w:t>取消成交资格，对采购人造成的损失由供应商负责</w:t>
      </w:r>
      <w:r>
        <w:rPr>
          <w:rFonts w:asciiTheme="majorEastAsia" w:hAnsiTheme="majorEastAsia" w:eastAsiaTheme="majorEastAsia"/>
          <w:color w:val="auto"/>
          <w:highlight w:val="none"/>
        </w:rPr>
        <w:t>。</w:t>
      </w:r>
    </w:p>
    <w:p w14:paraId="3BE66A49">
      <w:pPr>
        <w:pStyle w:val="25"/>
        <w:keepNext w:val="0"/>
        <w:keepLines w:val="0"/>
        <w:pageBreakBefore w:val="0"/>
        <w:widowControl w:val="0"/>
        <w:shd w:val="clear"/>
        <w:kinsoku/>
        <w:wordWrap/>
        <w:overflowPunct/>
        <w:topLinePunct w:val="0"/>
        <w:bidi w:val="0"/>
        <w:spacing w:beforeLines="0" w:afterLines="0" w:line="360" w:lineRule="auto"/>
        <w:ind w:firstLine="413" w:firstLineChars="196"/>
        <w:contextualSpacing/>
        <w:outlineLvl w:val="1"/>
        <w:rPr>
          <w:rFonts w:asciiTheme="majorEastAsia" w:hAnsiTheme="majorEastAsia" w:eastAsiaTheme="majorEastAsia"/>
          <w:b/>
          <w:bCs/>
          <w:color w:val="auto"/>
          <w:highlight w:val="none"/>
        </w:rPr>
      </w:pPr>
      <w:bookmarkStart w:id="14" w:name="_Toc14318"/>
      <w:bookmarkStart w:id="15" w:name="_Toc13650"/>
      <w:r>
        <w:rPr>
          <w:rFonts w:hint="eastAsia" w:asciiTheme="majorEastAsia" w:hAnsiTheme="majorEastAsia" w:eastAsiaTheme="majorEastAsia"/>
          <w:b/>
          <w:bCs/>
          <w:color w:val="auto"/>
          <w:highlight w:val="none"/>
        </w:rPr>
        <w:t>*</w:t>
      </w:r>
      <w:r>
        <w:rPr>
          <w:rFonts w:asciiTheme="majorEastAsia" w:hAnsiTheme="majorEastAsia" w:eastAsiaTheme="majorEastAsia"/>
          <w:b/>
          <w:bCs/>
          <w:color w:val="auto"/>
          <w:highlight w:val="none"/>
        </w:rPr>
        <w:t>（九）关于分公司参加磋商</w:t>
      </w:r>
    </w:p>
    <w:p w14:paraId="2BF597F6">
      <w:pPr>
        <w:pStyle w:val="25"/>
        <w:keepNext w:val="0"/>
        <w:keepLines w:val="0"/>
        <w:pageBreakBefore w:val="0"/>
        <w:widowControl w:val="0"/>
        <w:shd w:val="clear"/>
        <w:kinsoku/>
        <w:wordWrap/>
        <w:overflowPunct/>
        <w:topLinePunct w:val="0"/>
        <w:bidi w:val="0"/>
        <w:spacing w:beforeLines="0" w:afterLines="0" w:line="360" w:lineRule="auto"/>
        <w:ind w:firstLine="411" w:firstLineChars="196"/>
        <w:contextualSpacing/>
        <w:outlineLvl w:val="1"/>
        <w:rPr>
          <w:rFonts w:asciiTheme="majorEastAsia" w:hAnsiTheme="majorEastAsia" w:eastAsiaTheme="majorEastAsia"/>
          <w:color w:val="auto"/>
          <w:highlight w:val="none"/>
        </w:rPr>
      </w:pPr>
      <w:r>
        <w:rPr>
          <w:rFonts w:asciiTheme="majorEastAsia" w:hAnsiTheme="majorEastAsia" w:eastAsiaTheme="majorEastAsia"/>
          <w:color w:val="auto"/>
          <w:highlight w:val="none"/>
        </w:rPr>
        <w:t>除银行、保险、石油石化、电力、电信、移动、联通等行业外，不允许</w:t>
      </w:r>
      <w:r>
        <w:rPr>
          <w:rFonts w:hint="eastAsia" w:asciiTheme="majorEastAsia" w:hAnsiTheme="majorEastAsia" w:eastAsiaTheme="majorEastAsia"/>
          <w:color w:val="auto"/>
          <w:highlight w:val="none"/>
        </w:rPr>
        <w:t>其他</w:t>
      </w:r>
      <w:r>
        <w:rPr>
          <w:rFonts w:asciiTheme="majorEastAsia" w:hAnsiTheme="majorEastAsia" w:eastAsiaTheme="majorEastAsia"/>
          <w:color w:val="auto"/>
          <w:highlight w:val="none"/>
        </w:rPr>
        <w:t>分公司参加本次采购活动。</w:t>
      </w:r>
      <w:r>
        <w:rPr>
          <w:rFonts w:hint="eastAsia" w:asciiTheme="majorEastAsia" w:hAnsiTheme="majorEastAsia" w:eastAsiaTheme="majorEastAsia"/>
          <w:color w:val="auto"/>
          <w:highlight w:val="none"/>
        </w:rPr>
        <w:t>分公司参加的，需提供总公司营业执照及授权书，如为复印件需加盖公章。</w:t>
      </w:r>
    </w:p>
    <w:p w14:paraId="32ED7AD5">
      <w:pPr>
        <w:pStyle w:val="25"/>
        <w:keepNext w:val="0"/>
        <w:keepLines w:val="0"/>
        <w:pageBreakBefore w:val="0"/>
        <w:widowControl w:val="0"/>
        <w:shd w:val="clear"/>
        <w:kinsoku/>
        <w:wordWrap/>
        <w:overflowPunct/>
        <w:topLinePunct w:val="0"/>
        <w:bidi w:val="0"/>
        <w:spacing w:beforeLines="0" w:afterLines="0" w:line="360" w:lineRule="auto"/>
        <w:ind w:firstLine="413" w:firstLineChars="196"/>
        <w:contextualSpacing/>
        <w:outlineLvl w:val="1"/>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（十）关于知识产权</w:t>
      </w:r>
    </w:p>
    <w:p w14:paraId="28816ACB">
      <w:pPr>
        <w:keepNext w:val="0"/>
        <w:keepLines w:val="0"/>
        <w:pageBreakBefore w:val="0"/>
        <w:widowControl w:val="0"/>
        <w:shd w:val="clear"/>
        <w:kinsoku/>
        <w:wordWrap/>
        <w:overflowPunct/>
        <w:topLinePunct w:val="0"/>
        <w:bidi w:val="0"/>
        <w:spacing w:line="360" w:lineRule="auto"/>
        <w:ind w:firstLine="420" w:firstLineChars="200"/>
        <w:contextualSpacing/>
        <w:jc w:val="left"/>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1、供应商必须保证，采购人在中华人民共和国境内使用磋商货物、资料、技术、服务或其任何一部分时，享有不受限制的无偿使用权，如有第三方向采购人提出侵犯其专利权、商标权或其它知识产权的主张，该责任应由供应商承担。</w:t>
      </w:r>
    </w:p>
    <w:p w14:paraId="7D305B18">
      <w:pPr>
        <w:keepNext w:val="0"/>
        <w:keepLines w:val="0"/>
        <w:pageBreakBefore w:val="0"/>
        <w:widowControl w:val="0"/>
        <w:shd w:val="clear"/>
        <w:kinsoku/>
        <w:wordWrap/>
        <w:overflowPunct/>
        <w:topLinePunct w:val="0"/>
        <w:bidi w:val="0"/>
        <w:spacing w:line="360" w:lineRule="auto"/>
        <w:ind w:firstLine="420" w:firstLineChars="200"/>
        <w:contextualSpacing/>
        <w:jc w:val="left"/>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2、总报价应包含所有应向所有权人支付的专利权、商标权或其它知识产权的一切相关费用。</w:t>
      </w:r>
    </w:p>
    <w:p w14:paraId="680964BF">
      <w:pPr>
        <w:pStyle w:val="14"/>
        <w:keepNext w:val="0"/>
        <w:keepLines w:val="0"/>
        <w:pageBreakBefore w:val="0"/>
        <w:widowControl w:val="0"/>
        <w:shd w:val="clear"/>
        <w:tabs>
          <w:tab w:val="clear" w:pos="454"/>
        </w:tabs>
        <w:kinsoku/>
        <w:wordWrap/>
        <w:overflowPunct/>
        <w:topLinePunct w:val="0"/>
        <w:bidi w:val="0"/>
        <w:spacing w:afterLines="0" w:line="360" w:lineRule="auto"/>
        <w:ind w:left="0" w:firstLine="411" w:firstLineChars="196"/>
        <w:contextualSpacing/>
        <w:rPr>
          <w:rFonts w:asciiTheme="majorEastAsia" w:hAnsiTheme="majorEastAsia" w:eastAsiaTheme="majorEastAsia"/>
          <w:color w:val="auto"/>
          <w:highlight w:val="none"/>
        </w:rPr>
      </w:pPr>
      <w:r>
        <w:rPr>
          <w:rFonts w:asciiTheme="majorEastAsia" w:hAnsiTheme="majorEastAsia" w:eastAsiaTheme="majorEastAsia"/>
          <w:bCs/>
          <w:color w:val="auto"/>
          <w:sz w:val="21"/>
          <w:szCs w:val="21"/>
          <w:highlight w:val="none"/>
        </w:rPr>
        <w:t>3、系统软件、通用软件必须是具有在中国境内的合法使用权或版权的正版软件，涉及到第三方提出侵权或知识产权的起诉及支付版税等费用由供应商承担所有责任及费用。</w:t>
      </w:r>
      <w:bookmarkEnd w:id="14"/>
      <w:bookmarkEnd w:id="15"/>
    </w:p>
    <w:p w14:paraId="4A58D317">
      <w:pPr>
        <w:pStyle w:val="14"/>
        <w:keepNext w:val="0"/>
        <w:keepLines w:val="0"/>
        <w:pageBreakBefore w:val="0"/>
        <w:widowControl w:val="0"/>
        <w:shd w:val="clear"/>
        <w:tabs>
          <w:tab w:val="clear" w:pos="454"/>
        </w:tabs>
        <w:kinsoku/>
        <w:wordWrap/>
        <w:overflowPunct/>
        <w:topLinePunct w:val="0"/>
        <w:bidi w:val="0"/>
        <w:spacing w:afterLines="0" w:line="360" w:lineRule="auto"/>
        <w:ind w:left="0" w:leftChars="0" w:firstLine="0" w:firstLineChars="0"/>
        <w:contextualSpacing/>
        <w:rPr>
          <w:rFonts w:asciiTheme="majorEastAsia" w:hAnsiTheme="majorEastAsia" w:eastAsiaTheme="majorEastAsia"/>
          <w:b/>
          <w:color w:val="auto"/>
          <w:sz w:val="21"/>
          <w:szCs w:val="21"/>
          <w:highlight w:val="none"/>
        </w:rPr>
      </w:pPr>
    </w:p>
    <w:p w14:paraId="59F11E30">
      <w:pPr>
        <w:pStyle w:val="14"/>
        <w:keepNext w:val="0"/>
        <w:keepLines w:val="0"/>
        <w:pageBreakBefore w:val="0"/>
        <w:widowControl w:val="0"/>
        <w:shd w:val="clear"/>
        <w:tabs>
          <w:tab w:val="clear" w:pos="454"/>
        </w:tabs>
        <w:kinsoku/>
        <w:wordWrap/>
        <w:overflowPunct/>
        <w:topLinePunct w:val="0"/>
        <w:bidi w:val="0"/>
        <w:spacing w:afterLines="0" w:line="360" w:lineRule="auto"/>
        <w:ind w:left="0" w:leftChars="0" w:firstLine="0" w:firstLineChars="0"/>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二</w:t>
      </w:r>
      <w:r>
        <w:rPr>
          <w:rFonts w:hint="eastAsia" w:asciiTheme="majorEastAsia" w:hAnsiTheme="majorEastAsia" w:eastAsiaTheme="majorEastAsia"/>
          <w:b/>
          <w:color w:val="auto"/>
          <w:sz w:val="21"/>
          <w:szCs w:val="21"/>
          <w:highlight w:val="none"/>
          <w:lang w:eastAsia="zh-CN"/>
        </w:rPr>
        <w:t>、</w:t>
      </w:r>
      <w:r>
        <w:rPr>
          <w:rFonts w:asciiTheme="majorEastAsia" w:hAnsiTheme="majorEastAsia" w:eastAsiaTheme="majorEastAsia"/>
          <w:b/>
          <w:color w:val="auto"/>
          <w:sz w:val="21"/>
          <w:szCs w:val="21"/>
          <w:highlight w:val="none"/>
        </w:rPr>
        <w:t>磋商文件</w:t>
      </w:r>
    </w:p>
    <w:p w14:paraId="77F5111C">
      <w:pPr>
        <w:pStyle w:val="14"/>
        <w:keepNext w:val="0"/>
        <w:keepLines w:val="0"/>
        <w:pageBreakBefore w:val="0"/>
        <w:widowControl w:val="0"/>
        <w:shd w:val="clear"/>
        <w:tabs>
          <w:tab w:val="clear" w:pos="454"/>
        </w:tabs>
        <w:kinsoku/>
        <w:wordWrap/>
        <w:overflowPunct/>
        <w:topLinePunct w:val="0"/>
        <w:bidi w:val="0"/>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（一）磋商文件的构成。本磋商文件由以下部分组成：</w:t>
      </w:r>
    </w:p>
    <w:p w14:paraId="0E7E4312">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1.竞争性磋商采购公告</w:t>
      </w:r>
    </w:p>
    <w:p w14:paraId="567CE867">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2.采购需求</w:t>
      </w:r>
    </w:p>
    <w:p w14:paraId="7D304F5F">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3.供应商须知</w:t>
      </w:r>
    </w:p>
    <w:p w14:paraId="681E13DB">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4.评审办法及标准</w:t>
      </w:r>
    </w:p>
    <w:p w14:paraId="3A6DF2E1">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5.合同主要条款</w:t>
      </w:r>
    </w:p>
    <w:p w14:paraId="20024E94">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6.响应文件格式</w:t>
      </w:r>
    </w:p>
    <w:p w14:paraId="78897899">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7.本项目磋商文件的澄清、答复、修改、补充的内容</w:t>
      </w:r>
    </w:p>
    <w:p w14:paraId="0FB0AFFD">
      <w:pPr>
        <w:pStyle w:val="14"/>
        <w:keepNext w:val="0"/>
        <w:keepLines w:val="0"/>
        <w:pageBreakBefore w:val="0"/>
        <w:widowControl w:val="0"/>
        <w:shd w:val="clear"/>
        <w:tabs>
          <w:tab w:val="clear" w:pos="454"/>
        </w:tabs>
        <w:kinsoku/>
        <w:wordWrap/>
        <w:overflowPunct/>
        <w:topLinePunct w:val="0"/>
        <w:bidi w:val="0"/>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（二）供应商的风险</w:t>
      </w:r>
    </w:p>
    <w:p w14:paraId="373145F2">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供应商没有按照磋商文件要求提供全部资料，或者供应商没有对磋商文件在各方面作出实质性响应是供应商的风险，并可能导致其响应文件被拒绝。</w:t>
      </w:r>
    </w:p>
    <w:p w14:paraId="7DA68AEA">
      <w:pPr>
        <w:pStyle w:val="14"/>
        <w:keepNext w:val="0"/>
        <w:keepLines w:val="0"/>
        <w:pageBreakBefore w:val="0"/>
        <w:widowControl w:val="0"/>
        <w:shd w:val="clear"/>
        <w:tabs>
          <w:tab w:val="clear" w:pos="454"/>
        </w:tabs>
        <w:kinsoku/>
        <w:wordWrap/>
        <w:overflowPunct/>
        <w:topLinePunct w:val="0"/>
        <w:bidi w:val="0"/>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 xml:space="preserve">（三）磋商文件的澄清与修改 </w:t>
      </w:r>
    </w:p>
    <w:p w14:paraId="63F540F3">
      <w:pPr>
        <w:pStyle w:val="38"/>
        <w:keepNext w:val="0"/>
        <w:keepLines w:val="0"/>
        <w:pageBreakBefore w:val="0"/>
        <w:widowControl w:val="0"/>
        <w:shd w:val="clear"/>
        <w:kinsoku/>
        <w:wordWrap/>
        <w:overflowPunct/>
        <w:topLinePunct w:val="0"/>
        <w:bidi w:val="0"/>
        <w:snapToGrid/>
        <w:spacing w:line="360" w:lineRule="auto"/>
        <w:ind w:firstLine="420"/>
        <w:contextualSpacing/>
        <w:rPr>
          <w:rFonts w:asciiTheme="majorEastAsia" w:hAnsiTheme="majorEastAsia" w:eastAsiaTheme="majorEastAsia"/>
          <w:color w:val="auto"/>
          <w:highlight w:val="none"/>
        </w:rPr>
      </w:pPr>
      <w:r>
        <w:rPr>
          <w:rFonts w:asciiTheme="majorEastAsia" w:hAnsiTheme="majorEastAsia" w:eastAsiaTheme="majorEastAsia"/>
          <w:bCs/>
          <w:color w:val="auto"/>
          <w:sz w:val="21"/>
          <w:szCs w:val="21"/>
          <w:highlight w:val="none"/>
        </w:rPr>
        <w:t>1、提交首次响应文件截止之日前，采购人、采购代理机构可以对已发出的磋商文件进行必要的澄清或修改，澄清或修改的内容作为磋商文件的组成部分。澄清或修改的内容可能影响响应文件编制的，采购人、采购代理机构应当在提交首次响应文件截止时间至少5日前，</w:t>
      </w:r>
      <w:r>
        <w:rPr>
          <w:rFonts w:hint="eastAsia" w:asciiTheme="majorEastAsia" w:hAnsiTheme="majorEastAsia" w:eastAsiaTheme="majorEastAsia"/>
          <w:bCs/>
          <w:color w:val="auto"/>
          <w:sz w:val="21"/>
          <w:szCs w:val="21"/>
          <w:highlight w:val="none"/>
        </w:rPr>
        <w:t>以公告形式发布于</w:t>
      </w:r>
      <w:r>
        <w:rPr>
          <w:rFonts w:hint="eastAsia" w:asciiTheme="majorEastAsia" w:hAnsiTheme="majorEastAsia" w:eastAsiaTheme="majorEastAsia"/>
          <w:bCs/>
          <w:color w:val="auto"/>
          <w:sz w:val="21"/>
          <w:szCs w:val="21"/>
          <w:highlight w:val="none"/>
          <w:lang w:eastAsia="zh-CN"/>
        </w:rPr>
        <w:t>采购公告发布</w:t>
      </w:r>
      <w:r>
        <w:rPr>
          <w:rFonts w:hint="eastAsia" w:asciiTheme="majorEastAsia" w:hAnsiTheme="majorEastAsia" w:eastAsiaTheme="majorEastAsia"/>
          <w:bCs/>
          <w:color w:val="auto"/>
          <w:sz w:val="21"/>
          <w:szCs w:val="21"/>
          <w:highlight w:val="none"/>
        </w:rPr>
        <w:t>网站，请供应商自行查看。</w:t>
      </w:r>
      <w:r>
        <w:rPr>
          <w:rFonts w:asciiTheme="majorEastAsia" w:hAnsiTheme="majorEastAsia" w:eastAsiaTheme="majorEastAsia"/>
          <w:bCs/>
          <w:color w:val="auto"/>
          <w:sz w:val="21"/>
          <w:szCs w:val="21"/>
          <w:highlight w:val="none"/>
        </w:rPr>
        <w:t>不足5日的，采购人、采购代理机构应当顺延提交首次响应文件截止时间。</w:t>
      </w:r>
    </w:p>
    <w:p w14:paraId="4A6E778F">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2、供应商在规定的时间内未对磋商文件提出疑问、质疑或要求澄清的，将视其为无异议。对磋商文件中描述有歧义或前后不一致的地方，磋商小组有权进行评判，但对同一条款的评判应适用于每个供应商。</w:t>
      </w:r>
    </w:p>
    <w:p w14:paraId="30437EFF">
      <w:pPr>
        <w:pStyle w:val="14"/>
        <w:keepNext w:val="0"/>
        <w:keepLines w:val="0"/>
        <w:pageBreakBefore w:val="0"/>
        <w:widowControl w:val="0"/>
        <w:shd w:val="clear"/>
        <w:tabs>
          <w:tab w:val="clear" w:pos="454"/>
        </w:tabs>
        <w:kinsoku/>
        <w:wordWrap/>
        <w:overflowPunct/>
        <w:topLinePunct w:val="0"/>
        <w:bidi w:val="0"/>
        <w:spacing w:afterLines="0" w:line="360" w:lineRule="auto"/>
        <w:contextualSpacing/>
        <w:rPr>
          <w:rFonts w:asciiTheme="majorEastAsia" w:hAnsiTheme="majorEastAsia" w:eastAsiaTheme="majorEastAsia"/>
          <w:b/>
          <w:color w:val="auto"/>
          <w:sz w:val="21"/>
          <w:szCs w:val="21"/>
          <w:highlight w:val="none"/>
        </w:rPr>
      </w:pPr>
    </w:p>
    <w:p w14:paraId="647E2FC5">
      <w:pPr>
        <w:pStyle w:val="14"/>
        <w:keepNext w:val="0"/>
        <w:keepLines w:val="0"/>
        <w:pageBreakBefore w:val="0"/>
        <w:widowControl w:val="0"/>
        <w:shd w:val="clear"/>
        <w:tabs>
          <w:tab w:val="clear" w:pos="454"/>
        </w:tabs>
        <w:kinsoku/>
        <w:wordWrap/>
        <w:overflowPunct/>
        <w:topLinePunct w:val="0"/>
        <w:bidi w:val="0"/>
        <w:spacing w:afterLines="0" w:line="360" w:lineRule="auto"/>
        <w:ind w:left="0" w:leftChars="0" w:firstLine="0" w:firstLineChars="0"/>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三、响应文件的编制</w:t>
      </w:r>
    </w:p>
    <w:p w14:paraId="0FBF0963">
      <w:pPr>
        <w:keepNext w:val="0"/>
        <w:keepLines w:val="0"/>
        <w:pageBreakBefore w:val="0"/>
        <w:widowControl w:val="0"/>
        <w:shd w:val="clear"/>
        <w:kinsoku/>
        <w:wordWrap/>
        <w:overflowPunct/>
        <w:topLinePunct w:val="0"/>
        <w:bidi w:val="0"/>
        <w:spacing w:line="360" w:lineRule="auto"/>
        <w:ind w:left="238" w:firstLine="105" w:firstLineChars="50"/>
        <w:contextualSpacing/>
        <w:outlineLvl w:val="1"/>
        <w:rPr>
          <w:rFonts w:asciiTheme="majorEastAsia" w:hAnsiTheme="majorEastAsia" w:eastAsiaTheme="majorEastAsia"/>
          <w:b/>
          <w:color w:val="auto"/>
          <w:szCs w:val="21"/>
          <w:highlight w:val="none"/>
        </w:rPr>
      </w:pPr>
      <w:bookmarkStart w:id="16" w:name="_Toc16622"/>
      <w:r>
        <w:rPr>
          <w:rFonts w:hint="eastAsia" w:cs="宋体" w:asciiTheme="majorEastAsia" w:hAnsiTheme="majorEastAsia" w:eastAsiaTheme="majorEastAsia"/>
          <w:b/>
          <w:color w:val="auto"/>
          <w:szCs w:val="21"/>
          <w:highlight w:val="none"/>
        </w:rPr>
        <w:t>（一）</w:t>
      </w:r>
      <w:r>
        <w:rPr>
          <w:rFonts w:hint="eastAsia" w:asciiTheme="majorEastAsia" w:hAnsiTheme="majorEastAsia" w:eastAsiaTheme="majorEastAsia"/>
          <w:b/>
          <w:color w:val="auto"/>
          <w:szCs w:val="21"/>
          <w:highlight w:val="none"/>
        </w:rPr>
        <w:t>响应文件的形式和效力</w:t>
      </w:r>
    </w:p>
    <w:p w14:paraId="51BC85FD">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1、响应文件分为电子响应文件以及备份响应文件</w:t>
      </w:r>
      <w:r>
        <w:rPr>
          <w:rFonts w:hint="eastAsia" w:asciiTheme="majorEastAsia" w:hAnsiTheme="majorEastAsia" w:eastAsiaTheme="majorEastAsia"/>
          <w:color w:val="auto"/>
          <w:highlight w:val="none"/>
          <w:lang w:eastAsia="zh-CN"/>
        </w:rPr>
        <w:t>（自愿提供）</w:t>
      </w:r>
      <w:r>
        <w:rPr>
          <w:rFonts w:hint="eastAsia" w:asciiTheme="majorEastAsia" w:hAnsiTheme="majorEastAsia" w:eastAsiaTheme="majorEastAsia"/>
          <w:color w:val="auto"/>
          <w:highlight w:val="none"/>
        </w:rPr>
        <w:t>，备份响应文件为以介质存储的数据电文形式的备份响应文件。</w:t>
      </w:r>
    </w:p>
    <w:p w14:paraId="2E919F53">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2、电子响应文件，按“政采云供应商项目采购-电子招投标操作指南”及本采购文件要求制作、加密并递交。</w:t>
      </w:r>
    </w:p>
    <w:p w14:paraId="005FD8D7">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3、以介质存储的数据电文形式的备份响应文件，即电子响应文件按“政采云供应商项目采购-电子招投标操作指南”制作的备份文件。</w:t>
      </w:r>
    </w:p>
    <w:p w14:paraId="430029A5">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lang w:val="en-US" w:eastAsia="zh-CN"/>
        </w:rPr>
        <w:t>4</w:t>
      </w:r>
      <w:r>
        <w:rPr>
          <w:rFonts w:hint="eastAsia" w:asciiTheme="majorEastAsia" w:hAnsiTheme="majorEastAsia" w:eastAsiaTheme="majorEastAsia"/>
          <w:color w:val="auto"/>
          <w:highlight w:val="none"/>
        </w:rPr>
        <w:t>、响应文件的效力</w:t>
      </w:r>
    </w:p>
    <w:p w14:paraId="48ACA506">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响应文件的启用，按先后顺位分别为电子响应文件、以介质存储的数据电文形式的备份文件。在下一顺位的响应文件启用时，前一顺位的响应文件自动失效。</w:t>
      </w:r>
    </w:p>
    <w:p w14:paraId="560B907B">
      <w:pPr>
        <w:keepNext w:val="0"/>
        <w:keepLines w:val="0"/>
        <w:pageBreakBefore w:val="0"/>
        <w:widowControl w:val="0"/>
        <w:shd w:val="clear"/>
        <w:kinsoku/>
        <w:wordWrap/>
        <w:overflowPunct/>
        <w:topLinePunct w:val="0"/>
        <w:bidi w:val="0"/>
        <w:spacing w:line="360" w:lineRule="auto"/>
        <w:ind w:firstLine="411" w:firstLineChars="196"/>
        <w:contextualSpacing/>
        <w:jc w:val="left"/>
        <w:rPr>
          <w:rFonts w:cs="宋体" w:asciiTheme="majorEastAsia" w:hAnsiTheme="majorEastAsia" w:eastAsiaTheme="majorEastAsia"/>
          <w:b/>
          <w:color w:val="auto"/>
          <w:szCs w:val="21"/>
          <w:highlight w:val="none"/>
        </w:rPr>
      </w:pPr>
      <w:r>
        <w:rPr>
          <w:rFonts w:hint="eastAsia" w:asciiTheme="majorEastAsia" w:hAnsiTheme="majorEastAsia" w:eastAsiaTheme="majorEastAsia"/>
          <w:color w:val="auto"/>
          <w:highlight w:val="none"/>
        </w:rPr>
        <w:t>响应文件未按时解密，供应商提供了备份响应文件的，以备份响应文件作为依据，否则视为响应文件撤回。响应文件已按时解密的，备份响应文件自动失效。</w:t>
      </w:r>
    </w:p>
    <w:p w14:paraId="2F148620">
      <w:pPr>
        <w:keepNext w:val="0"/>
        <w:keepLines w:val="0"/>
        <w:pageBreakBefore w:val="0"/>
        <w:widowControl w:val="0"/>
        <w:shd w:val="clear"/>
        <w:kinsoku/>
        <w:wordWrap/>
        <w:overflowPunct/>
        <w:topLinePunct w:val="0"/>
        <w:bidi w:val="0"/>
        <w:spacing w:line="360" w:lineRule="auto"/>
        <w:ind w:firstLine="413" w:firstLineChars="196"/>
        <w:contextualSpacing/>
        <w:jc w:val="left"/>
        <w:rPr>
          <w:rFonts w:cs="宋体" w:asciiTheme="majorEastAsia" w:hAnsiTheme="majorEastAsia" w:eastAsiaTheme="majorEastAsia"/>
          <w:b/>
          <w:color w:val="auto"/>
          <w:szCs w:val="21"/>
          <w:highlight w:val="none"/>
        </w:rPr>
      </w:pPr>
      <w:r>
        <w:rPr>
          <w:rFonts w:hint="eastAsia" w:cs="宋体" w:asciiTheme="majorEastAsia" w:hAnsiTheme="majorEastAsia" w:eastAsiaTheme="majorEastAsia"/>
          <w:b/>
          <w:color w:val="auto"/>
          <w:szCs w:val="21"/>
          <w:highlight w:val="none"/>
        </w:rPr>
        <w:t>（二）响应文件的组成</w:t>
      </w:r>
      <w:bookmarkEnd w:id="16"/>
    </w:p>
    <w:p w14:paraId="0C72F2CF">
      <w:pPr>
        <w:keepNext w:val="0"/>
        <w:keepLines w:val="0"/>
        <w:pageBreakBefore w:val="0"/>
        <w:widowControl w:val="0"/>
        <w:shd w:val="clear"/>
        <w:kinsoku/>
        <w:wordWrap/>
        <w:overflowPunct/>
        <w:topLinePunct w:val="0"/>
        <w:bidi w:val="0"/>
        <w:spacing w:line="360" w:lineRule="auto"/>
        <w:ind w:firstLine="411" w:firstLineChars="196"/>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响应文件由资信技术文件和报价文件组成（</w:t>
      </w:r>
      <w:r>
        <w:rPr>
          <w:rFonts w:hint="eastAsia" w:asciiTheme="majorEastAsia" w:hAnsiTheme="majorEastAsia" w:eastAsiaTheme="majorEastAsia"/>
          <w:b/>
          <w:bCs/>
          <w:color w:val="auto"/>
          <w:highlight w:val="none"/>
        </w:rPr>
        <w:t>电子响应文件中所须加盖公章部分均采用CA签章</w:t>
      </w:r>
      <w:r>
        <w:rPr>
          <w:rFonts w:hint="eastAsia" w:cs="宋体" w:asciiTheme="majorEastAsia" w:hAnsiTheme="majorEastAsia" w:eastAsiaTheme="majorEastAsia"/>
          <w:color w:val="auto"/>
          <w:szCs w:val="21"/>
          <w:highlight w:val="none"/>
        </w:rPr>
        <w:t>）。</w:t>
      </w:r>
    </w:p>
    <w:p w14:paraId="1846D7A3">
      <w:pPr>
        <w:keepNext w:val="0"/>
        <w:keepLines w:val="0"/>
        <w:pageBreakBefore w:val="0"/>
        <w:widowControl w:val="0"/>
        <w:shd w:val="clear"/>
        <w:kinsoku/>
        <w:wordWrap/>
        <w:overflowPunct/>
        <w:topLinePunct w:val="0"/>
        <w:bidi w:val="0"/>
        <w:spacing w:line="360" w:lineRule="auto"/>
        <w:ind w:firstLine="413" w:firstLineChars="196"/>
        <w:contextualSpacing/>
        <w:jc w:val="lef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1.资信技术文件：</w:t>
      </w:r>
    </w:p>
    <w:p w14:paraId="7AE656D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400" w:leftChars="0"/>
        <w:contextualSpacing/>
        <w:jc w:val="left"/>
        <w:textAlignment w:val="auto"/>
        <w:outlineLvl w:val="9"/>
        <w:rPr>
          <w:rFonts w:hint="eastAsia" w:cs="Times New Roman" w:asciiTheme="majorEastAsia" w:hAnsiTheme="majorEastAsia" w:eastAsiaTheme="majorEastAsia"/>
          <w:color w:val="auto"/>
          <w:szCs w:val="21"/>
          <w:highlight w:val="none"/>
        </w:rPr>
      </w:pPr>
      <w:r>
        <w:rPr>
          <w:rFonts w:hint="eastAsia" w:cs="Times New Roman" w:asciiTheme="majorEastAsia" w:hAnsiTheme="majorEastAsia" w:eastAsiaTheme="majorEastAsia"/>
          <w:b/>
          <w:bCs/>
          <w:color w:val="auto"/>
          <w:szCs w:val="21"/>
          <w:highlight w:val="none"/>
        </w:rPr>
        <w:t>1.1资格证明文件：</w:t>
      </w:r>
    </w:p>
    <w:p w14:paraId="1038ACD9">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20" w:firstLineChars="200"/>
        <w:contextualSpacing/>
        <w:jc w:val="left"/>
        <w:textAlignment w:val="auto"/>
        <w:outlineLvl w:val="9"/>
        <w:rPr>
          <w:rFonts w:hint="eastAsia" w:asciiTheme="majorEastAsia" w:hAnsiTheme="majorEastAsia" w:eastAsiaTheme="majorEastAsia"/>
          <w:b/>
          <w:color w:val="auto"/>
          <w:szCs w:val="21"/>
          <w:highlight w:val="none"/>
          <w:lang w:eastAsia="zh-CN"/>
        </w:rPr>
      </w:pPr>
      <w:r>
        <w:rPr>
          <w:rFonts w:hint="eastAsia" w:cs="Times New Roman" w:asciiTheme="majorEastAsia" w:hAnsiTheme="majorEastAsia" w:eastAsiaTheme="majorEastAsia"/>
          <w:color w:val="auto"/>
          <w:szCs w:val="21"/>
          <w:highlight w:val="none"/>
          <w:lang w:eastAsia="zh-CN"/>
        </w:rPr>
        <w:t>（</w:t>
      </w:r>
      <w:r>
        <w:rPr>
          <w:rFonts w:hint="eastAsia" w:cs="Times New Roman" w:asciiTheme="majorEastAsia" w:hAnsiTheme="majorEastAsia" w:eastAsiaTheme="majorEastAsia"/>
          <w:color w:val="auto"/>
          <w:szCs w:val="21"/>
          <w:highlight w:val="none"/>
          <w:lang w:val="en-US" w:eastAsia="zh-CN"/>
        </w:rPr>
        <w:t>1</w:t>
      </w:r>
      <w:r>
        <w:rPr>
          <w:rFonts w:hint="eastAsia" w:cs="Times New Roman" w:asciiTheme="majorEastAsia" w:hAnsiTheme="majorEastAsia" w:eastAsiaTheme="majorEastAsia"/>
          <w:color w:val="auto"/>
          <w:szCs w:val="21"/>
          <w:highlight w:val="none"/>
          <w:lang w:eastAsia="zh-CN"/>
        </w:rPr>
        <w:t>）资格条件自查表</w:t>
      </w:r>
    </w:p>
    <w:p w14:paraId="1D9D8B53">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400" w:leftChars="0"/>
        <w:contextualSpacing/>
        <w:jc w:val="left"/>
        <w:textAlignment w:val="auto"/>
        <w:outlineLvl w:val="9"/>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w:t>
      </w:r>
      <w:r>
        <w:rPr>
          <w:rFonts w:hint="eastAsia" w:asciiTheme="majorEastAsia" w:hAnsiTheme="majorEastAsia" w:eastAsiaTheme="majorEastAsia"/>
          <w:color w:val="auto"/>
          <w:szCs w:val="21"/>
          <w:highlight w:val="none"/>
          <w:lang w:val="en-US" w:eastAsia="zh-CN"/>
        </w:rPr>
        <w:t>2</w:t>
      </w:r>
      <w:r>
        <w:rPr>
          <w:rFonts w:hint="eastAsia" w:asciiTheme="majorEastAsia" w:hAnsiTheme="majorEastAsia" w:eastAsiaTheme="majorEastAsia"/>
          <w:color w:val="auto"/>
          <w:szCs w:val="21"/>
          <w:highlight w:val="none"/>
        </w:rPr>
        <w:t>）供应商资格声明函（格式附后）；</w:t>
      </w:r>
    </w:p>
    <w:p w14:paraId="3B5AEC67">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400" w:leftChars="0"/>
        <w:contextualSpacing/>
        <w:jc w:val="left"/>
        <w:textAlignment w:val="auto"/>
        <w:outlineLvl w:val="9"/>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w:t>
      </w:r>
      <w:r>
        <w:rPr>
          <w:rFonts w:hint="eastAsia" w:asciiTheme="majorEastAsia" w:hAnsiTheme="majorEastAsia" w:eastAsiaTheme="majorEastAsia"/>
          <w:color w:val="auto"/>
          <w:szCs w:val="21"/>
          <w:highlight w:val="none"/>
          <w:lang w:val="en-US" w:eastAsia="zh-CN"/>
        </w:rPr>
        <w:t>3</w:t>
      </w:r>
      <w:r>
        <w:rPr>
          <w:rFonts w:hint="eastAsia" w:asciiTheme="majorEastAsia" w:hAnsiTheme="majorEastAsia" w:eastAsiaTheme="majorEastAsia"/>
          <w:color w:val="auto"/>
          <w:szCs w:val="21"/>
          <w:highlight w:val="none"/>
        </w:rPr>
        <w:t>）提供有效的营业执照副本原件扫描件或者电子营业执照加盖供应商公章；响应供应商如果有名称变更的，应提供由行政主管部门出具的变更证明文件；</w:t>
      </w:r>
    </w:p>
    <w:p w14:paraId="22D374CC">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400" w:leftChars="0"/>
        <w:contextualSpacing/>
        <w:jc w:val="left"/>
        <w:textAlignment w:val="auto"/>
        <w:outlineLvl w:val="9"/>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w:t>
      </w:r>
      <w:r>
        <w:rPr>
          <w:rFonts w:hint="eastAsia" w:asciiTheme="majorEastAsia" w:hAnsiTheme="majorEastAsia" w:eastAsiaTheme="majorEastAsia"/>
          <w:color w:val="auto"/>
          <w:szCs w:val="21"/>
          <w:highlight w:val="none"/>
          <w:lang w:val="en-US" w:eastAsia="zh-CN"/>
        </w:rPr>
        <w:t>4</w:t>
      </w:r>
      <w:r>
        <w:rPr>
          <w:rFonts w:hint="eastAsia" w:asciiTheme="majorEastAsia" w:hAnsiTheme="majorEastAsia" w:eastAsiaTheme="majorEastAsia"/>
          <w:color w:val="auto"/>
          <w:szCs w:val="21"/>
          <w:highlight w:val="none"/>
        </w:rPr>
        <w:t>）本项目专门面向中小企业采购（监狱企业及残疾人福利性单位视同小型、微型企业）</w:t>
      </w:r>
    </w:p>
    <w:p w14:paraId="32EB4812">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400" w:leftChars="0"/>
        <w:contextualSpacing/>
        <w:jc w:val="left"/>
        <w:textAlignment w:val="auto"/>
        <w:outlineLvl w:val="9"/>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①中小企业声明函（如是，请提供。格式附后）；</w:t>
      </w:r>
    </w:p>
    <w:p w14:paraId="4E271550">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400" w:leftChars="0"/>
        <w:contextualSpacing/>
        <w:jc w:val="left"/>
        <w:textAlignment w:val="auto"/>
        <w:outlineLvl w:val="9"/>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②供应商为监狱企业的证明文件：省级以上监狱管理局、戒毒管理局（含新疆生产建设兵团）出具（如是，请提供</w:t>
      </w:r>
      <w:r>
        <w:rPr>
          <w:rFonts w:hint="eastAsia" w:asciiTheme="majorEastAsia" w:hAnsiTheme="majorEastAsia" w:eastAsiaTheme="majorEastAsia"/>
          <w:color w:val="auto"/>
          <w:szCs w:val="21"/>
          <w:highlight w:val="none"/>
          <w:lang w:eastAsia="zh-CN"/>
        </w:rPr>
        <w:t>。</w:t>
      </w:r>
      <w:r>
        <w:rPr>
          <w:rFonts w:hint="eastAsia" w:asciiTheme="majorEastAsia" w:hAnsiTheme="majorEastAsia" w:eastAsiaTheme="majorEastAsia"/>
          <w:color w:val="auto"/>
          <w:szCs w:val="21"/>
          <w:highlight w:val="none"/>
        </w:rPr>
        <w:t>格式附后）；</w:t>
      </w:r>
    </w:p>
    <w:p w14:paraId="5D7219D4">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400" w:leftChars="0"/>
        <w:contextualSpacing/>
        <w:jc w:val="left"/>
        <w:textAlignment w:val="auto"/>
        <w:outlineLvl w:val="9"/>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 xml:space="preserve">③残疾人福利性单位声明函（如是，请提供。格式附后）。 </w:t>
      </w:r>
    </w:p>
    <w:p w14:paraId="13A1D9AC">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400" w:leftChars="0"/>
        <w:contextualSpacing/>
        <w:jc w:val="left"/>
        <w:textAlignment w:val="auto"/>
        <w:outlineLvl w:val="9"/>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（4）供应商特定资格条件的证明文件：供应商具有有效的《旅行社业务经营许可证》（注：响应文件中须提供有效的《旅行社业务经营许可证》复印件）；</w:t>
      </w:r>
    </w:p>
    <w:p w14:paraId="36A8C8BA">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20" w:firstLineChars="200"/>
        <w:contextualSpacing/>
        <w:jc w:val="left"/>
        <w:textAlignment w:val="auto"/>
        <w:outlineLvl w:val="9"/>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w:t>
      </w:r>
      <w:r>
        <w:rPr>
          <w:rFonts w:hint="eastAsia" w:asciiTheme="majorEastAsia" w:hAnsiTheme="majorEastAsia" w:eastAsiaTheme="majorEastAsia"/>
          <w:color w:val="auto"/>
          <w:szCs w:val="21"/>
          <w:highlight w:val="none"/>
          <w:lang w:val="en-US" w:eastAsia="zh-CN"/>
        </w:rPr>
        <w:t>5</w:t>
      </w:r>
      <w:r>
        <w:rPr>
          <w:rFonts w:hint="eastAsia" w:asciiTheme="majorEastAsia" w:hAnsiTheme="majorEastAsia" w:eastAsiaTheme="majorEastAsia"/>
          <w:color w:val="auto"/>
          <w:szCs w:val="21"/>
          <w:highlight w:val="none"/>
        </w:rPr>
        <w:t>）磋商文件要求的其他资格条件证明材料（如有）</w:t>
      </w:r>
    </w:p>
    <w:p w14:paraId="7D6898E7">
      <w:pPr>
        <w:keepNext w:val="0"/>
        <w:keepLines w:val="0"/>
        <w:pageBreakBefore w:val="0"/>
        <w:widowControl w:val="0"/>
        <w:shd w:val="clear"/>
        <w:kinsoku/>
        <w:wordWrap/>
        <w:overflowPunct/>
        <w:topLinePunct w:val="0"/>
        <w:autoSpaceDE/>
        <w:autoSpaceDN/>
        <w:bidi w:val="0"/>
        <w:adjustRightInd/>
        <w:snapToGrid/>
        <w:spacing w:line="360" w:lineRule="auto"/>
        <w:ind w:firstLine="422" w:firstLineChars="200"/>
        <w:contextualSpacing/>
        <w:jc w:val="left"/>
        <w:textAlignment w:val="auto"/>
        <w:outlineLvl w:val="9"/>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2.2其他资信技术文件：</w:t>
      </w:r>
    </w:p>
    <w:p w14:paraId="4E2CDAB3">
      <w:pPr>
        <w:widowControl w:val="0"/>
        <w:numPr>
          <w:ilvl w:val="0"/>
          <w:numId w:val="0"/>
        </w:numPr>
        <w:tabs>
          <w:tab w:val="left" w:pos="720"/>
        </w:tabs>
        <w:adjustRightInd/>
        <w:spacing w:line="348" w:lineRule="auto"/>
        <w:ind w:firstLine="420" w:firstLineChars="200"/>
        <w:jc w:val="both"/>
        <w:textAlignment w:val="baseline"/>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（1）符合性自查表（格式附后）；</w:t>
      </w:r>
    </w:p>
    <w:p w14:paraId="65D53861">
      <w:pPr>
        <w:widowControl w:val="0"/>
        <w:numPr>
          <w:ilvl w:val="0"/>
          <w:numId w:val="0"/>
        </w:numPr>
        <w:tabs>
          <w:tab w:val="left" w:pos="720"/>
        </w:tabs>
        <w:adjustRightInd/>
        <w:spacing w:line="348" w:lineRule="auto"/>
        <w:ind w:firstLine="420" w:firstLineChars="200"/>
        <w:jc w:val="both"/>
        <w:textAlignment w:val="baseline"/>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（2）响应函（格式附后）；</w:t>
      </w:r>
    </w:p>
    <w:p w14:paraId="205B563E">
      <w:pPr>
        <w:widowControl w:val="0"/>
        <w:numPr>
          <w:ilvl w:val="0"/>
          <w:numId w:val="0"/>
        </w:numPr>
        <w:tabs>
          <w:tab w:val="left" w:pos="720"/>
        </w:tabs>
        <w:adjustRightInd/>
        <w:spacing w:line="348" w:lineRule="auto"/>
        <w:ind w:firstLine="420" w:firstLineChars="200"/>
        <w:jc w:val="both"/>
        <w:textAlignment w:val="baseline"/>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（3）法定代表人身份证明及法定代表人授权委托书（如为法定代表人参加磋商，则只需提供法定代表人身份证明，格式附后）；</w:t>
      </w:r>
    </w:p>
    <w:p w14:paraId="46E8019F">
      <w:pPr>
        <w:widowControl w:val="0"/>
        <w:numPr>
          <w:ilvl w:val="0"/>
          <w:numId w:val="0"/>
        </w:numPr>
        <w:tabs>
          <w:tab w:val="left" w:pos="720"/>
        </w:tabs>
        <w:adjustRightInd/>
        <w:spacing w:line="348" w:lineRule="auto"/>
        <w:ind w:firstLine="420" w:firstLineChars="200"/>
        <w:jc w:val="both"/>
        <w:textAlignment w:val="baseline"/>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w:t>
      </w:r>
      <w:r>
        <w:rPr>
          <w:rFonts w:hint="eastAsia" w:ascii="宋体" w:hAnsi="宋体" w:cs="宋体"/>
          <w:bCs/>
          <w:color w:val="auto"/>
          <w:sz w:val="21"/>
          <w:szCs w:val="21"/>
          <w:highlight w:val="none"/>
          <w:lang w:val="en-US" w:eastAsia="zh-CN" w:bidi="ar-SA"/>
        </w:rPr>
        <w:t>4</w:t>
      </w:r>
      <w:r>
        <w:rPr>
          <w:rFonts w:hint="eastAsia" w:ascii="宋体" w:hAnsi="宋体" w:eastAsia="宋体" w:cs="宋体"/>
          <w:bCs/>
          <w:color w:val="auto"/>
          <w:sz w:val="21"/>
          <w:szCs w:val="21"/>
          <w:highlight w:val="none"/>
          <w:lang w:val="en-US" w:eastAsia="zh-CN" w:bidi="ar-SA"/>
        </w:rPr>
        <w:t>）磋商声明书（格式附后）；</w:t>
      </w:r>
    </w:p>
    <w:p w14:paraId="37597728">
      <w:pPr>
        <w:widowControl w:val="0"/>
        <w:numPr>
          <w:ilvl w:val="0"/>
          <w:numId w:val="0"/>
        </w:numPr>
        <w:tabs>
          <w:tab w:val="left" w:pos="720"/>
        </w:tabs>
        <w:adjustRightInd/>
        <w:spacing w:line="348" w:lineRule="auto"/>
        <w:ind w:firstLine="420" w:firstLineChars="200"/>
        <w:jc w:val="both"/>
        <w:textAlignment w:val="baseline"/>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w:t>
      </w:r>
      <w:r>
        <w:rPr>
          <w:rFonts w:hint="eastAsia" w:ascii="宋体" w:hAnsi="宋体" w:cs="宋体"/>
          <w:bCs/>
          <w:color w:val="auto"/>
          <w:sz w:val="21"/>
          <w:szCs w:val="21"/>
          <w:highlight w:val="none"/>
          <w:lang w:val="en-US" w:eastAsia="zh-CN" w:bidi="ar-SA"/>
        </w:rPr>
        <w:t>5</w:t>
      </w:r>
      <w:r>
        <w:rPr>
          <w:rFonts w:hint="eastAsia" w:ascii="宋体" w:hAnsi="宋体" w:eastAsia="宋体" w:cs="宋体"/>
          <w:bCs/>
          <w:color w:val="auto"/>
          <w:sz w:val="21"/>
          <w:szCs w:val="21"/>
          <w:highlight w:val="none"/>
          <w:lang w:val="en-US" w:eastAsia="zh-CN" w:bidi="ar-SA"/>
        </w:rPr>
        <w:t>）采购需求响应（偏离）表；</w:t>
      </w:r>
    </w:p>
    <w:p w14:paraId="666C6EE3">
      <w:pPr>
        <w:widowControl w:val="0"/>
        <w:numPr>
          <w:ilvl w:val="0"/>
          <w:numId w:val="0"/>
        </w:numPr>
        <w:tabs>
          <w:tab w:val="left" w:pos="720"/>
        </w:tabs>
        <w:adjustRightInd/>
        <w:spacing w:line="348" w:lineRule="auto"/>
        <w:ind w:firstLine="420" w:firstLineChars="200"/>
        <w:jc w:val="both"/>
        <w:textAlignment w:val="baseline"/>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w:t>
      </w:r>
      <w:r>
        <w:rPr>
          <w:rFonts w:hint="eastAsia" w:ascii="宋体" w:hAnsi="宋体" w:cs="宋体"/>
          <w:bCs/>
          <w:color w:val="auto"/>
          <w:sz w:val="21"/>
          <w:szCs w:val="21"/>
          <w:highlight w:val="none"/>
          <w:lang w:val="en-US" w:eastAsia="zh-CN" w:bidi="ar-SA"/>
        </w:rPr>
        <w:t>6</w:t>
      </w:r>
      <w:r>
        <w:rPr>
          <w:rFonts w:hint="eastAsia" w:ascii="宋体" w:hAnsi="宋体" w:eastAsia="宋体" w:cs="宋体"/>
          <w:bCs/>
          <w:color w:val="auto"/>
          <w:sz w:val="21"/>
          <w:szCs w:val="21"/>
          <w:highlight w:val="none"/>
          <w:lang w:val="en-US" w:eastAsia="zh-CN" w:bidi="ar-SA"/>
        </w:rPr>
        <w:t>）技术部分：针对本项目项目需求和评审标准中的条款拟定完整方案，格式自拟；</w:t>
      </w:r>
    </w:p>
    <w:p w14:paraId="1EC086FB">
      <w:pPr>
        <w:widowControl w:val="0"/>
        <w:numPr>
          <w:ilvl w:val="0"/>
          <w:numId w:val="0"/>
        </w:numPr>
        <w:tabs>
          <w:tab w:val="left" w:pos="720"/>
        </w:tabs>
        <w:adjustRightInd/>
        <w:spacing w:line="348" w:lineRule="auto"/>
        <w:ind w:firstLine="420" w:firstLineChars="200"/>
        <w:jc w:val="both"/>
        <w:textAlignment w:val="baseline"/>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w:t>
      </w:r>
      <w:r>
        <w:rPr>
          <w:rFonts w:hint="eastAsia" w:ascii="宋体" w:hAnsi="宋体" w:cs="宋体"/>
          <w:bCs/>
          <w:color w:val="auto"/>
          <w:sz w:val="21"/>
          <w:szCs w:val="21"/>
          <w:highlight w:val="none"/>
          <w:lang w:val="en-US" w:eastAsia="zh-CN" w:bidi="ar-SA"/>
        </w:rPr>
        <w:t>7</w:t>
      </w:r>
      <w:r>
        <w:rPr>
          <w:rFonts w:hint="eastAsia" w:ascii="宋体" w:hAnsi="宋体" w:eastAsia="宋体" w:cs="宋体"/>
          <w:bCs/>
          <w:color w:val="auto"/>
          <w:sz w:val="21"/>
          <w:szCs w:val="21"/>
          <w:highlight w:val="none"/>
          <w:lang w:val="en-US" w:eastAsia="zh-CN" w:bidi="ar-SA"/>
        </w:rPr>
        <w:t>）业绩一览表（格式附后）；</w:t>
      </w:r>
    </w:p>
    <w:p w14:paraId="7F4044AE">
      <w:pPr>
        <w:widowControl w:val="0"/>
        <w:numPr>
          <w:ilvl w:val="0"/>
          <w:numId w:val="0"/>
        </w:numPr>
        <w:tabs>
          <w:tab w:val="left" w:pos="720"/>
        </w:tabs>
        <w:adjustRightInd/>
        <w:spacing w:line="348" w:lineRule="auto"/>
        <w:ind w:firstLine="420" w:firstLineChars="200"/>
        <w:jc w:val="both"/>
        <w:textAlignment w:val="baseline"/>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w:t>
      </w:r>
      <w:r>
        <w:rPr>
          <w:rFonts w:hint="eastAsia" w:ascii="宋体" w:hAnsi="宋体" w:cs="宋体"/>
          <w:bCs/>
          <w:color w:val="auto"/>
          <w:sz w:val="21"/>
          <w:szCs w:val="21"/>
          <w:highlight w:val="none"/>
          <w:lang w:val="en-US" w:eastAsia="zh-CN" w:bidi="ar-SA"/>
        </w:rPr>
        <w:t>8</w:t>
      </w:r>
      <w:r>
        <w:rPr>
          <w:rFonts w:hint="eastAsia" w:ascii="宋体" w:hAnsi="宋体" w:eastAsia="宋体" w:cs="宋体"/>
          <w:bCs/>
          <w:color w:val="auto"/>
          <w:sz w:val="21"/>
          <w:szCs w:val="21"/>
          <w:highlight w:val="none"/>
          <w:lang w:val="en-US" w:eastAsia="zh-CN" w:bidi="ar-SA"/>
        </w:rPr>
        <w:t>）政府采购领域商业贿赂行为承诺书（格式附后）</w:t>
      </w:r>
    </w:p>
    <w:p w14:paraId="0241CC77">
      <w:pPr>
        <w:widowControl w:val="0"/>
        <w:numPr>
          <w:ilvl w:val="0"/>
          <w:numId w:val="0"/>
        </w:numPr>
        <w:tabs>
          <w:tab w:val="left" w:pos="720"/>
        </w:tabs>
        <w:adjustRightInd/>
        <w:spacing w:line="348" w:lineRule="auto"/>
        <w:ind w:firstLine="420" w:firstLineChars="200"/>
        <w:jc w:val="both"/>
        <w:textAlignment w:val="baseline"/>
        <w:rPr>
          <w:rFonts w:hint="default"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w:t>
      </w:r>
      <w:r>
        <w:rPr>
          <w:rFonts w:hint="eastAsia" w:ascii="宋体" w:hAnsi="宋体" w:cs="宋体"/>
          <w:bCs/>
          <w:color w:val="auto"/>
          <w:sz w:val="21"/>
          <w:szCs w:val="21"/>
          <w:highlight w:val="none"/>
          <w:lang w:val="en-US" w:eastAsia="zh-CN" w:bidi="ar-SA"/>
        </w:rPr>
        <w:t>9</w:t>
      </w:r>
      <w:r>
        <w:rPr>
          <w:rFonts w:hint="eastAsia" w:ascii="宋体" w:hAnsi="宋体" w:eastAsia="宋体" w:cs="宋体"/>
          <w:bCs/>
          <w:color w:val="auto"/>
          <w:sz w:val="21"/>
          <w:szCs w:val="21"/>
          <w:highlight w:val="none"/>
          <w:lang w:val="en-US" w:eastAsia="zh-CN" w:bidi="ar-SA"/>
        </w:rPr>
        <w:t>）评审标准要求提供的其他资料；</w:t>
      </w:r>
    </w:p>
    <w:p w14:paraId="737C9D5D">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20" w:firstLineChars="200"/>
        <w:contextualSpacing/>
        <w:jc w:val="left"/>
        <w:textAlignment w:val="auto"/>
        <w:outlineLvl w:val="9"/>
        <w:rPr>
          <w:rFonts w:asciiTheme="majorEastAsia" w:hAnsiTheme="majorEastAsia" w:eastAsiaTheme="majorEastAsia"/>
          <w:color w:val="auto"/>
          <w:szCs w:val="21"/>
          <w:highlight w:val="none"/>
        </w:rPr>
      </w:pPr>
      <w:r>
        <w:rPr>
          <w:rFonts w:hint="eastAsia" w:ascii="宋体" w:hAnsi="宋体" w:eastAsia="宋体" w:cs="宋体"/>
          <w:bCs/>
          <w:color w:val="auto"/>
          <w:sz w:val="21"/>
          <w:szCs w:val="21"/>
          <w:highlight w:val="none"/>
          <w:lang w:val="en-US" w:eastAsia="zh-CN" w:bidi="ar-SA"/>
        </w:rPr>
        <w:t>（</w:t>
      </w:r>
      <w:r>
        <w:rPr>
          <w:rFonts w:hint="eastAsia" w:ascii="宋体" w:hAnsi="宋体" w:cs="宋体"/>
          <w:bCs/>
          <w:color w:val="auto"/>
          <w:sz w:val="21"/>
          <w:szCs w:val="21"/>
          <w:highlight w:val="none"/>
          <w:lang w:val="en-US" w:eastAsia="zh-CN" w:bidi="ar-SA"/>
        </w:rPr>
        <w:t>10</w:t>
      </w:r>
      <w:r>
        <w:rPr>
          <w:rFonts w:hint="eastAsia" w:ascii="宋体" w:hAnsi="宋体" w:eastAsia="宋体" w:cs="宋体"/>
          <w:bCs/>
          <w:color w:val="auto"/>
          <w:sz w:val="21"/>
          <w:szCs w:val="21"/>
          <w:highlight w:val="none"/>
          <w:lang w:val="en-US" w:eastAsia="zh-CN" w:bidi="ar-SA"/>
        </w:rPr>
        <w:t>）供应商认为有需要提供的其它有关证明资料。</w:t>
      </w:r>
    </w:p>
    <w:p w14:paraId="11D8C825">
      <w:pPr>
        <w:keepNext w:val="0"/>
        <w:keepLines w:val="0"/>
        <w:pageBreakBefore w:val="0"/>
        <w:widowControl w:val="0"/>
        <w:shd w:val="clear"/>
        <w:kinsoku/>
        <w:wordWrap/>
        <w:overflowPunct/>
        <w:topLinePunct w:val="0"/>
        <w:autoSpaceDE/>
        <w:autoSpaceDN/>
        <w:bidi w:val="0"/>
        <w:adjustRightInd/>
        <w:snapToGrid/>
        <w:spacing w:line="360" w:lineRule="auto"/>
        <w:ind w:firstLine="422" w:firstLineChars="200"/>
        <w:contextualSpacing/>
        <w:jc w:val="left"/>
        <w:textAlignment w:val="auto"/>
        <w:outlineLvl w:val="9"/>
        <w:rPr>
          <w:rFonts w:asciiTheme="majorEastAsia" w:hAnsiTheme="majorEastAsia" w:eastAsiaTheme="majorEastAsia"/>
          <w:b/>
          <w:bCs/>
          <w:color w:val="auto"/>
          <w:szCs w:val="21"/>
          <w:highlight w:val="none"/>
        </w:rPr>
      </w:pPr>
      <w:r>
        <w:rPr>
          <w:rFonts w:asciiTheme="majorEastAsia" w:hAnsiTheme="majorEastAsia" w:eastAsiaTheme="majorEastAsia"/>
          <w:b/>
          <w:bCs/>
          <w:color w:val="auto"/>
          <w:szCs w:val="21"/>
          <w:highlight w:val="none"/>
        </w:rPr>
        <w:t>2.报价文件：</w:t>
      </w:r>
    </w:p>
    <w:p w14:paraId="470505A1">
      <w:pPr>
        <w:keepNext w:val="0"/>
        <w:keepLines w:val="0"/>
        <w:pageBreakBefore w:val="0"/>
        <w:widowControl w:val="0"/>
        <w:numPr>
          <w:ilvl w:val="0"/>
          <w:numId w:val="4"/>
        </w:numPr>
        <w:shd w:val="clear"/>
        <w:kinsoku/>
        <w:wordWrap/>
        <w:overflowPunct/>
        <w:topLinePunct w:val="0"/>
        <w:autoSpaceDE/>
        <w:autoSpaceDN/>
        <w:bidi w:val="0"/>
        <w:adjustRightInd/>
        <w:snapToGrid/>
        <w:spacing w:line="360" w:lineRule="auto"/>
        <w:ind w:firstLine="420" w:firstLineChars="200"/>
        <w:contextualSpacing/>
        <w:jc w:val="left"/>
        <w:textAlignment w:val="auto"/>
        <w:outlineLvl w:val="9"/>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初次报价表</w:t>
      </w:r>
      <w:r>
        <w:rPr>
          <w:rFonts w:asciiTheme="majorEastAsia" w:hAnsiTheme="majorEastAsia" w:eastAsiaTheme="majorEastAsia"/>
          <w:color w:val="auto"/>
          <w:szCs w:val="21"/>
          <w:highlight w:val="none"/>
        </w:rPr>
        <w:t>（格式附后）；</w:t>
      </w:r>
    </w:p>
    <w:p w14:paraId="268A73E2">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contextualSpacing/>
        <w:jc w:val="left"/>
        <w:textAlignment w:val="auto"/>
        <w:outlineLvl w:val="9"/>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w:t>
      </w:r>
      <w:r>
        <w:rPr>
          <w:rFonts w:hint="eastAsia" w:asciiTheme="majorEastAsia" w:hAnsiTheme="majorEastAsia" w:eastAsiaTheme="majorEastAsia"/>
          <w:color w:val="auto"/>
          <w:szCs w:val="21"/>
          <w:highlight w:val="none"/>
          <w:lang w:val="en-US" w:eastAsia="zh-CN"/>
        </w:rPr>
        <w:t>2</w:t>
      </w:r>
      <w:r>
        <w:rPr>
          <w:rFonts w:asciiTheme="majorEastAsia" w:hAnsiTheme="majorEastAsia" w:eastAsiaTheme="majorEastAsia"/>
          <w:color w:val="auto"/>
          <w:szCs w:val="21"/>
          <w:highlight w:val="none"/>
        </w:rPr>
        <w:t>）供应商针对报价需要说明的其他文件和说明（格式自拟）。</w:t>
      </w:r>
    </w:p>
    <w:p w14:paraId="051D7B35">
      <w:pPr>
        <w:keepNext w:val="0"/>
        <w:keepLines w:val="0"/>
        <w:pageBreakBefore w:val="0"/>
        <w:widowControl w:val="0"/>
        <w:shd w:val="clear"/>
        <w:kinsoku/>
        <w:wordWrap/>
        <w:overflowPunct/>
        <w:topLinePunct w:val="0"/>
        <w:autoSpaceDE/>
        <w:autoSpaceDN/>
        <w:bidi w:val="0"/>
        <w:adjustRightInd/>
        <w:snapToGrid/>
        <w:spacing w:line="360" w:lineRule="auto"/>
        <w:ind w:firstLine="413" w:firstLineChars="196"/>
        <w:contextualSpacing/>
        <w:jc w:val="left"/>
        <w:textAlignment w:val="auto"/>
        <w:outlineLvl w:val="9"/>
        <w:rPr>
          <w:rFonts w:asciiTheme="majorEastAsia" w:hAnsiTheme="majorEastAsia" w:eastAsiaTheme="majorEastAsia"/>
          <w:b/>
          <w:color w:val="auto"/>
          <w:szCs w:val="21"/>
          <w:highlight w:val="none"/>
        </w:rPr>
      </w:pPr>
      <w:bookmarkStart w:id="17" w:name="_Toc10734"/>
      <w:r>
        <w:rPr>
          <w:rFonts w:asciiTheme="majorEastAsia" w:hAnsiTheme="majorEastAsia" w:eastAsiaTheme="majorEastAsia"/>
          <w:b/>
          <w:color w:val="auto"/>
          <w:szCs w:val="21"/>
          <w:highlight w:val="none"/>
        </w:rPr>
        <w:t>（</w:t>
      </w:r>
      <w:r>
        <w:rPr>
          <w:rFonts w:hint="eastAsia" w:asciiTheme="majorEastAsia" w:hAnsiTheme="majorEastAsia" w:eastAsiaTheme="majorEastAsia"/>
          <w:b/>
          <w:color w:val="auto"/>
          <w:szCs w:val="21"/>
          <w:highlight w:val="none"/>
        </w:rPr>
        <w:t>三</w:t>
      </w:r>
      <w:r>
        <w:rPr>
          <w:rFonts w:asciiTheme="majorEastAsia" w:hAnsiTheme="majorEastAsia" w:eastAsiaTheme="majorEastAsia"/>
          <w:b/>
          <w:color w:val="auto"/>
          <w:szCs w:val="21"/>
          <w:highlight w:val="none"/>
        </w:rPr>
        <w:t>）响应文件的语言及计量</w:t>
      </w:r>
      <w:bookmarkEnd w:id="17"/>
    </w:p>
    <w:p w14:paraId="362C3DE8">
      <w:pPr>
        <w:keepNext w:val="0"/>
        <w:keepLines w:val="0"/>
        <w:pageBreakBefore w:val="0"/>
        <w:widowControl w:val="0"/>
        <w:shd w:val="clear"/>
        <w:kinsoku/>
        <w:wordWrap/>
        <w:overflowPunct/>
        <w:topLinePunct w:val="0"/>
        <w:autoSpaceDE/>
        <w:autoSpaceDN/>
        <w:bidi w:val="0"/>
        <w:adjustRightInd/>
        <w:snapToGrid/>
        <w:spacing w:line="360" w:lineRule="auto"/>
        <w:ind w:firstLine="422" w:firstLineChars="200"/>
        <w:contextualSpacing/>
        <w:jc w:val="left"/>
        <w:textAlignment w:val="auto"/>
        <w:outlineLvl w:val="9"/>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*1响应文件以及供应商与采购人就有关磋商事宜的所有来往函电，均应以中文汉语书写。除签名、盖章、专用名称等特殊情形外，以中文汉语以外的文字表述的响应文件视同未提供。</w:t>
      </w:r>
    </w:p>
    <w:p w14:paraId="3C751D79">
      <w:pPr>
        <w:keepNext w:val="0"/>
        <w:keepLines w:val="0"/>
        <w:pageBreakBefore w:val="0"/>
        <w:widowControl w:val="0"/>
        <w:shd w:val="clear"/>
        <w:kinsoku/>
        <w:wordWrap/>
        <w:overflowPunct/>
        <w:topLinePunct w:val="0"/>
        <w:autoSpaceDE/>
        <w:autoSpaceDN/>
        <w:bidi w:val="0"/>
        <w:adjustRightInd/>
        <w:snapToGrid/>
        <w:spacing w:line="360" w:lineRule="auto"/>
        <w:ind w:firstLine="422" w:firstLineChars="200"/>
        <w:contextualSpacing/>
        <w:jc w:val="left"/>
        <w:textAlignment w:val="auto"/>
        <w:outlineLvl w:val="9"/>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*2报价计量单位，磋商文件已有明确规定的，使用磋商文件规定的计量单位；磋商文件没有规定的，应采用中华人民共和国法定计量单位（货币单位：人民币元），否则视同未响应。</w:t>
      </w:r>
    </w:p>
    <w:p w14:paraId="7F49DA09">
      <w:pPr>
        <w:keepNext w:val="0"/>
        <w:keepLines w:val="0"/>
        <w:pageBreakBefore w:val="0"/>
        <w:widowControl w:val="0"/>
        <w:shd w:val="clear"/>
        <w:kinsoku/>
        <w:wordWrap/>
        <w:overflowPunct/>
        <w:topLinePunct w:val="0"/>
        <w:bidi w:val="0"/>
        <w:spacing w:line="360" w:lineRule="auto"/>
        <w:ind w:firstLine="413" w:firstLineChars="196"/>
        <w:contextualSpacing/>
        <w:jc w:val="left"/>
        <w:rPr>
          <w:rFonts w:asciiTheme="majorEastAsia" w:hAnsiTheme="majorEastAsia" w:eastAsiaTheme="majorEastAsia"/>
          <w:b/>
          <w:color w:val="auto"/>
          <w:szCs w:val="21"/>
          <w:highlight w:val="none"/>
        </w:rPr>
      </w:pPr>
      <w:bookmarkStart w:id="18" w:name="_Toc3681"/>
      <w:r>
        <w:rPr>
          <w:rFonts w:asciiTheme="majorEastAsia" w:hAnsiTheme="majorEastAsia" w:eastAsiaTheme="majorEastAsia"/>
          <w:b/>
          <w:color w:val="auto"/>
          <w:szCs w:val="21"/>
          <w:highlight w:val="none"/>
        </w:rPr>
        <w:t>（</w:t>
      </w:r>
      <w:r>
        <w:rPr>
          <w:rFonts w:hint="eastAsia" w:asciiTheme="majorEastAsia" w:hAnsiTheme="majorEastAsia" w:eastAsiaTheme="majorEastAsia"/>
          <w:b/>
          <w:color w:val="auto"/>
          <w:szCs w:val="21"/>
          <w:highlight w:val="none"/>
        </w:rPr>
        <w:t>四</w:t>
      </w:r>
      <w:r>
        <w:rPr>
          <w:rFonts w:asciiTheme="majorEastAsia" w:hAnsiTheme="majorEastAsia" w:eastAsiaTheme="majorEastAsia"/>
          <w:b/>
          <w:color w:val="auto"/>
          <w:szCs w:val="21"/>
          <w:highlight w:val="none"/>
        </w:rPr>
        <w:t>）报价</w:t>
      </w:r>
      <w:bookmarkEnd w:id="18"/>
      <w:r>
        <w:rPr>
          <w:rFonts w:asciiTheme="majorEastAsia" w:hAnsiTheme="majorEastAsia" w:eastAsiaTheme="majorEastAsia"/>
          <w:b/>
          <w:color w:val="auto"/>
          <w:szCs w:val="21"/>
          <w:highlight w:val="none"/>
        </w:rPr>
        <w:t>要求</w:t>
      </w:r>
    </w:p>
    <w:p w14:paraId="70F9EB93">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jc w:val="left"/>
        <w:rPr>
          <w:rFonts w:asciiTheme="majorEastAsia" w:hAnsiTheme="majorEastAsia" w:eastAsiaTheme="majorEastAsia"/>
          <w:color w:val="auto"/>
          <w:highlight w:val="none"/>
        </w:rPr>
      </w:pPr>
      <w:r>
        <w:rPr>
          <w:rFonts w:asciiTheme="majorEastAsia" w:hAnsiTheme="majorEastAsia" w:eastAsiaTheme="majorEastAsia"/>
          <w:color w:val="auto"/>
          <w:highlight w:val="none"/>
        </w:rPr>
        <w:t>1.报价应按磋商文件中相关附表格式填写。</w:t>
      </w:r>
    </w:p>
    <w:p w14:paraId="52E85700">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jc w:val="left"/>
        <w:rPr>
          <w:rFonts w:asciiTheme="majorEastAsia" w:hAnsiTheme="majorEastAsia" w:eastAsiaTheme="majorEastAsia"/>
          <w:color w:val="auto"/>
          <w:highlight w:val="none"/>
        </w:rPr>
      </w:pPr>
      <w:r>
        <w:rPr>
          <w:rFonts w:asciiTheme="majorEastAsia" w:hAnsiTheme="majorEastAsia" w:eastAsiaTheme="majorEastAsia"/>
          <w:color w:val="auto"/>
          <w:highlight w:val="none"/>
        </w:rPr>
        <w:t>*2.响应文件只允许有一个报价，有选择的或有条件的报价将不予接受。</w:t>
      </w:r>
    </w:p>
    <w:p w14:paraId="188B7521">
      <w:pPr>
        <w:pStyle w:val="14"/>
        <w:keepNext w:val="0"/>
        <w:keepLines w:val="0"/>
        <w:pageBreakBefore w:val="0"/>
        <w:widowControl w:val="0"/>
        <w:shd w:val="clear"/>
        <w:tabs>
          <w:tab w:val="clear" w:pos="454"/>
        </w:tabs>
        <w:kinsoku/>
        <w:wordWrap/>
        <w:overflowPunct/>
        <w:topLinePunct w:val="0"/>
        <w:bidi w:val="0"/>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w:t>
      </w:r>
      <w:r>
        <w:rPr>
          <w:rFonts w:hint="eastAsia" w:asciiTheme="majorEastAsia" w:hAnsiTheme="majorEastAsia" w:eastAsiaTheme="majorEastAsia"/>
          <w:b/>
          <w:color w:val="auto"/>
          <w:sz w:val="21"/>
          <w:szCs w:val="21"/>
          <w:highlight w:val="none"/>
        </w:rPr>
        <w:t>五</w:t>
      </w:r>
      <w:r>
        <w:rPr>
          <w:rFonts w:asciiTheme="majorEastAsia" w:hAnsiTheme="majorEastAsia" w:eastAsiaTheme="majorEastAsia"/>
          <w:b/>
          <w:color w:val="auto"/>
          <w:sz w:val="21"/>
          <w:szCs w:val="21"/>
          <w:highlight w:val="none"/>
        </w:rPr>
        <w:t>）响应文件的有效期</w:t>
      </w:r>
    </w:p>
    <w:p w14:paraId="1507DD98">
      <w:pPr>
        <w:pStyle w:val="14"/>
        <w:keepNext w:val="0"/>
        <w:keepLines w:val="0"/>
        <w:pageBreakBefore w:val="0"/>
        <w:widowControl w:val="0"/>
        <w:shd w:val="clear"/>
        <w:tabs>
          <w:tab w:val="clear" w:pos="454"/>
        </w:tabs>
        <w:kinsoku/>
        <w:wordWrap/>
        <w:overflowPunct/>
        <w:topLinePunct w:val="0"/>
        <w:bidi w:val="0"/>
        <w:spacing w:afterLines="0" w:line="360" w:lineRule="auto"/>
        <w:ind w:left="0" w:firstLine="422" w:firstLineChars="200"/>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*1.自首次提交响应文件截止日起</w:t>
      </w:r>
      <w:r>
        <w:rPr>
          <w:rFonts w:asciiTheme="majorEastAsia" w:hAnsiTheme="majorEastAsia" w:eastAsiaTheme="majorEastAsia"/>
          <w:b/>
          <w:color w:val="auto"/>
          <w:sz w:val="21"/>
          <w:szCs w:val="21"/>
          <w:highlight w:val="none"/>
          <w:u w:val="single"/>
        </w:rPr>
        <w:t xml:space="preserve">90 </w:t>
      </w:r>
      <w:r>
        <w:rPr>
          <w:rFonts w:asciiTheme="majorEastAsia" w:hAnsiTheme="majorEastAsia" w:eastAsiaTheme="majorEastAsia"/>
          <w:b/>
          <w:color w:val="auto"/>
          <w:sz w:val="21"/>
          <w:szCs w:val="21"/>
          <w:highlight w:val="none"/>
        </w:rPr>
        <w:t>天响应文件应保持有效。有效期不足的响应文件将被拒绝。</w:t>
      </w:r>
    </w:p>
    <w:p w14:paraId="0E421C9D">
      <w:pPr>
        <w:pStyle w:val="14"/>
        <w:keepNext w:val="0"/>
        <w:keepLines w:val="0"/>
        <w:pageBreakBefore w:val="0"/>
        <w:widowControl w:val="0"/>
        <w:shd w:val="clear"/>
        <w:tabs>
          <w:tab w:val="clear" w:pos="454"/>
        </w:tabs>
        <w:kinsoku/>
        <w:wordWrap/>
        <w:overflowPunct/>
        <w:topLinePunct w:val="0"/>
        <w:bidi w:val="0"/>
        <w:spacing w:afterLines="0" w:line="360" w:lineRule="auto"/>
        <w:ind w:left="0" w:firstLine="420" w:firstLineChars="200"/>
        <w:contextualSpacing/>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2.在特殊情况下，采购人可与供应商协商延长响应文件的有效期，这种要求和答复均以书面形式进行。</w:t>
      </w:r>
    </w:p>
    <w:p w14:paraId="4F48E902">
      <w:pPr>
        <w:keepNext w:val="0"/>
        <w:keepLines w:val="0"/>
        <w:pageBreakBefore w:val="0"/>
        <w:widowControl w:val="0"/>
        <w:shd w:val="clear"/>
        <w:kinsoku/>
        <w:wordWrap/>
        <w:overflowPunct/>
        <w:topLinePunct w:val="0"/>
        <w:bidi w:val="0"/>
        <w:spacing w:line="360" w:lineRule="auto"/>
        <w:ind w:firstLine="420" w:firstLineChars="200"/>
        <w:contextualSpacing/>
        <w:jc w:val="left"/>
        <w:rPr>
          <w:rFonts w:asciiTheme="majorEastAsia" w:hAnsiTheme="majorEastAsia" w:eastAsiaTheme="majorEastAsia"/>
          <w:b/>
          <w:color w:val="auto"/>
          <w:szCs w:val="21"/>
          <w:highlight w:val="none"/>
        </w:rPr>
      </w:pPr>
      <w:bookmarkStart w:id="19" w:name="_Toc24481"/>
      <w:r>
        <w:rPr>
          <w:rFonts w:asciiTheme="majorEastAsia" w:hAnsiTheme="majorEastAsia" w:eastAsiaTheme="majorEastAsia"/>
          <w:color w:val="auto"/>
          <w:szCs w:val="21"/>
          <w:highlight w:val="none"/>
        </w:rPr>
        <w:t>3.供应商可拒绝接受延期要求。同意延长有效期的供应商不能修改响应文件。</w:t>
      </w:r>
      <w:bookmarkEnd w:id="19"/>
      <w:r>
        <w:rPr>
          <w:rFonts w:asciiTheme="majorEastAsia" w:hAnsiTheme="majorEastAsia" w:eastAsiaTheme="majorEastAsia"/>
          <w:b/>
          <w:color w:val="auto"/>
          <w:szCs w:val="21"/>
          <w:highlight w:val="none"/>
        </w:rPr>
        <w:t xml:space="preserve"> </w:t>
      </w:r>
    </w:p>
    <w:p w14:paraId="150406F2">
      <w:pPr>
        <w:keepNext w:val="0"/>
        <w:keepLines w:val="0"/>
        <w:pageBreakBefore w:val="0"/>
        <w:widowControl w:val="0"/>
        <w:shd w:val="clear"/>
        <w:kinsoku/>
        <w:wordWrap/>
        <w:overflowPunct/>
        <w:topLinePunct w:val="0"/>
        <w:bidi w:val="0"/>
        <w:spacing w:line="360" w:lineRule="auto"/>
        <w:ind w:firstLine="420" w:firstLineChars="200"/>
        <w:contextualSpacing/>
        <w:jc w:val="left"/>
        <w:rPr>
          <w:rFonts w:asciiTheme="majorEastAsia" w:hAnsiTheme="majorEastAsia" w:eastAsiaTheme="majorEastAsia"/>
          <w:b/>
          <w:color w:val="auto"/>
          <w:szCs w:val="21"/>
          <w:highlight w:val="none"/>
        </w:rPr>
      </w:pPr>
      <w:bookmarkStart w:id="20" w:name="_Toc6471"/>
      <w:r>
        <w:rPr>
          <w:rFonts w:asciiTheme="majorEastAsia" w:hAnsiTheme="majorEastAsia" w:eastAsiaTheme="majorEastAsia"/>
          <w:color w:val="auto"/>
          <w:szCs w:val="21"/>
          <w:highlight w:val="none"/>
        </w:rPr>
        <w:t>4.成交供应商的响应文件自首次提交响应文件截止日起至合同履行完毕止均应保持有效。</w:t>
      </w:r>
      <w:bookmarkEnd w:id="20"/>
    </w:p>
    <w:p w14:paraId="49E3EE56">
      <w:pPr>
        <w:pStyle w:val="14"/>
        <w:keepNext w:val="0"/>
        <w:keepLines w:val="0"/>
        <w:pageBreakBefore w:val="0"/>
        <w:widowControl w:val="0"/>
        <w:shd w:val="clear"/>
        <w:tabs>
          <w:tab w:val="clear" w:pos="454"/>
        </w:tabs>
        <w:kinsoku/>
        <w:wordWrap/>
        <w:overflowPunct/>
        <w:topLinePunct w:val="0"/>
        <w:bidi w:val="0"/>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w:t>
      </w:r>
      <w:r>
        <w:rPr>
          <w:rFonts w:hint="eastAsia" w:asciiTheme="majorEastAsia" w:hAnsiTheme="majorEastAsia" w:eastAsiaTheme="majorEastAsia"/>
          <w:b/>
          <w:color w:val="auto"/>
          <w:sz w:val="21"/>
          <w:szCs w:val="21"/>
          <w:highlight w:val="none"/>
        </w:rPr>
        <w:t>六</w:t>
      </w:r>
      <w:r>
        <w:rPr>
          <w:rFonts w:asciiTheme="majorEastAsia" w:hAnsiTheme="majorEastAsia" w:eastAsiaTheme="majorEastAsia"/>
          <w:b/>
          <w:color w:val="auto"/>
          <w:sz w:val="21"/>
          <w:szCs w:val="21"/>
          <w:highlight w:val="none"/>
        </w:rPr>
        <w:t>）响应文件的签署和份数</w:t>
      </w:r>
    </w:p>
    <w:p w14:paraId="1BA2465F">
      <w:pPr>
        <w:pStyle w:val="20"/>
        <w:keepNext w:val="0"/>
        <w:keepLines w:val="0"/>
        <w:pageBreakBefore w:val="0"/>
        <w:widowControl w:val="0"/>
        <w:shd w:val="clear"/>
        <w:kinsoku/>
        <w:wordWrap/>
        <w:overflowPunct/>
        <w:topLinePunct w:val="0"/>
        <w:bidi w:val="0"/>
        <w:spacing w:line="360" w:lineRule="auto"/>
        <w:ind w:firstLine="395" w:firstLineChars="196"/>
        <w:contextualSpacing/>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1.供应商应按本磋商文件规定的格式和顺序编制响应文件并标注页码，响应文件内容不完整、编排混乱导致响应文件被误读、漏读或者查找不到相关内容的，是供应商的责任。</w:t>
      </w:r>
    </w:p>
    <w:p w14:paraId="658A5EAE">
      <w:pPr>
        <w:pageBreakBefore w:val="0"/>
        <w:widowControl w:val="0"/>
        <w:kinsoku/>
        <w:wordWrap/>
        <w:overflowPunct/>
        <w:topLinePunct w:val="0"/>
        <w:autoSpaceDE/>
        <w:autoSpaceDN/>
        <w:bidi w:val="0"/>
        <w:snapToGrid w:val="0"/>
        <w:spacing w:before="120" w:beforeLines="50" w:line="360" w:lineRule="auto"/>
        <w:ind w:right="0" w:rightChars="0" w:firstLine="422" w:firstLineChars="200"/>
        <w:jc w:val="left"/>
        <w:outlineLvl w:val="9"/>
        <w:rPr>
          <w:rFonts w:hint="eastAsia" w:ascii="宋体" w:hAnsi="宋体" w:eastAsia="宋体" w:cs="宋体"/>
          <w:b/>
          <w:color w:val="auto"/>
          <w:szCs w:val="21"/>
          <w:highlight w:val="none"/>
        </w:rPr>
      </w:pPr>
      <w:r>
        <w:rPr>
          <w:rFonts w:asciiTheme="majorEastAsia" w:hAnsiTheme="majorEastAsia" w:eastAsiaTheme="majorEastAsia"/>
          <w:b/>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须在</w:t>
      </w:r>
      <w:r>
        <w:rPr>
          <w:rFonts w:hint="eastAsia" w:ascii="宋体" w:hAnsi="宋体" w:eastAsia="宋体" w:cs="宋体"/>
          <w:color w:val="auto"/>
          <w:szCs w:val="21"/>
          <w:highlight w:val="none"/>
          <w:lang w:eastAsia="zh-CN"/>
        </w:rPr>
        <w:t>响应文件递交</w:t>
      </w:r>
      <w:r>
        <w:rPr>
          <w:rFonts w:hint="eastAsia" w:ascii="宋体" w:hAnsi="宋体" w:eastAsia="宋体" w:cs="宋体"/>
          <w:color w:val="auto"/>
          <w:szCs w:val="21"/>
          <w:highlight w:val="none"/>
        </w:rPr>
        <w:t>截止时间前将电子</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文件上传“政采云”平台。</w:t>
      </w:r>
    </w:p>
    <w:p w14:paraId="1D9DAE49">
      <w:pPr>
        <w:pageBreakBefore w:val="0"/>
        <w:widowControl w:val="0"/>
        <w:kinsoku/>
        <w:wordWrap/>
        <w:overflowPunct/>
        <w:topLinePunct w:val="0"/>
        <w:autoSpaceDE/>
        <w:autoSpaceDN/>
        <w:bidi w:val="0"/>
        <w:spacing w:line="360" w:lineRule="auto"/>
        <w:ind w:right="0" w:rightChars="0"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rPr>
        <w:t>供应商可自愿提交电子文本一份（以介质存储的数据电文形式的备份</w:t>
      </w:r>
      <w:r>
        <w:rPr>
          <w:rFonts w:hint="eastAsia" w:ascii="宋体" w:hAnsi="宋体" w:eastAsia="宋体" w:cs="宋体"/>
          <w:b/>
          <w:bCs/>
          <w:color w:val="auto"/>
          <w:szCs w:val="21"/>
          <w:highlight w:val="none"/>
          <w:lang w:eastAsia="zh-CN"/>
        </w:rPr>
        <w:t>响应</w:t>
      </w:r>
      <w:r>
        <w:rPr>
          <w:rFonts w:hint="eastAsia" w:ascii="宋体" w:hAnsi="宋体" w:eastAsia="宋体" w:cs="宋体"/>
          <w:b/>
          <w:bCs/>
          <w:color w:val="auto"/>
          <w:szCs w:val="21"/>
          <w:highlight w:val="none"/>
        </w:rPr>
        <w:t>文件）：供应商应根据“政采云供应商项目采购-电子招投标操作指南”及本</w:t>
      </w:r>
      <w:r>
        <w:rPr>
          <w:rFonts w:hint="eastAsia" w:ascii="宋体" w:hAnsi="宋体" w:eastAsia="宋体" w:cs="宋体"/>
          <w:b/>
          <w:bCs/>
          <w:color w:val="auto"/>
          <w:szCs w:val="21"/>
          <w:highlight w:val="none"/>
          <w:lang w:eastAsia="zh-CN"/>
        </w:rPr>
        <w:t>磋商</w:t>
      </w:r>
      <w:r>
        <w:rPr>
          <w:rFonts w:hint="eastAsia" w:ascii="宋体" w:hAnsi="宋体" w:eastAsia="宋体" w:cs="宋体"/>
          <w:b/>
          <w:bCs/>
          <w:color w:val="auto"/>
          <w:szCs w:val="21"/>
          <w:highlight w:val="none"/>
        </w:rPr>
        <w:t>文件规定的格式和顺序编制电子</w:t>
      </w:r>
      <w:r>
        <w:rPr>
          <w:rFonts w:hint="eastAsia" w:ascii="宋体" w:hAnsi="宋体" w:eastAsia="宋体" w:cs="宋体"/>
          <w:b/>
          <w:bCs/>
          <w:color w:val="auto"/>
          <w:szCs w:val="21"/>
          <w:highlight w:val="none"/>
          <w:lang w:eastAsia="zh-CN"/>
        </w:rPr>
        <w:t>响应</w:t>
      </w:r>
      <w:r>
        <w:rPr>
          <w:rFonts w:hint="eastAsia" w:ascii="宋体" w:hAnsi="宋体" w:eastAsia="宋体" w:cs="宋体"/>
          <w:b/>
          <w:bCs/>
          <w:color w:val="auto"/>
          <w:szCs w:val="21"/>
          <w:highlight w:val="none"/>
        </w:rPr>
        <w:t>文件并进行关联定位。以U盘形式存储，并单独密封递交。</w:t>
      </w:r>
    </w:p>
    <w:p w14:paraId="2C19B73B">
      <w:pPr>
        <w:pageBreakBefore w:val="0"/>
        <w:widowControl w:val="0"/>
        <w:kinsoku/>
        <w:wordWrap/>
        <w:overflowPunct/>
        <w:topLinePunct w:val="0"/>
        <w:autoSpaceDE/>
        <w:autoSpaceDN/>
        <w:bidi w:val="0"/>
        <w:snapToGrid w:val="0"/>
        <w:spacing w:line="360" w:lineRule="auto"/>
        <w:ind w:left="0" w:leftChars="0" w:right="0" w:rightChars="0" w:firstLine="420"/>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4</w:t>
      </w: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eastAsia="zh-CN"/>
        </w:rPr>
        <w:t>如供应商自愿递交备份响应文件，供应商</w:t>
      </w:r>
      <w:r>
        <w:rPr>
          <w:rFonts w:hint="eastAsia" w:ascii="宋体" w:hAnsi="宋体" w:eastAsia="宋体" w:cs="宋体"/>
          <w:b/>
          <w:color w:val="auto"/>
          <w:szCs w:val="21"/>
          <w:highlight w:val="none"/>
        </w:rPr>
        <w:t>应当在</w:t>
      </w:r>
      <w:r>
        <w:rPr>
          <w:rFonts w:hint="eastAsia" w:ascii="宋体" w:hAnsi="宋体" w:eastAsia="宋体" w:cs="宋体"/>
          <w:b/>
          <w:color w:val="auto"/>
          <w:szCs w:val="21"/>
          <w:highlight w:val="none"/>
          <w:lang w:eastAsia="zh-CN"/>
        </w:rPr>
        <w:t>磋商</w:t>
      </w:r>
      <w:r>
        <w:rPr>
          <w:rFonts w:hint="eastAsia" w:ascii="宋体" w:hAnsi="宋体" w:eastAsia="宋体" w:cs="宋体"/>
          <w:b/>
          <w:color w:val="auto"/>
          <w:szCs w:val="21"/>
          <w:highlight w:val="none"/>
        </w:rPr>
        <w:t>文件要求提交</w:t>
      </w:r>
      <w:r>
        <w:rPr>
          <w:rFonts w:hint="eastAsia" w:ascii="宋体" w:hAnsi="宋体" w:eastAsia="宋体" w:cs="宋体"/>
          <w:b/>
          <w:color w:val="auto"/>
          <w:szCs w:val="21"/>
          <w:highlight w:val="none"/>
          <w:lang w:eastAsia="zh-CN"/>
        </w:rPr>
        <w:t>响应</w:t>
      </w:r>
      <w:r>
        <w:rPr>
          <w:rFonts w:hint="eastAsia" w:ascii="宋体" w:hAnsi="宋体" w:eastAsia="宋体" w:cs="宋体"/>
          <w:b/>
          <w:color w:val="auto"/>
          <w:szCs w:val="21"/>
          <w:highlight w:val="none"/>
        </w:rPr>
        <w:t>文件的截止时间前，将</w:t>
      </w:r>
      <w:r>
        <w:rPr>
          <w:rFonts w:hint="eastAsia" w:ascii="宋体" w:hAnsi="宋体" w:eastAsia="宋体" w:cs="宋体"/>
          <w:b/>
          <w:color w:val="auto"/>
          <w:szCs w:val="21"/>
          <w:highlight w:val="none"/>
          <w:lang w:eastAsia="zh-CN"/>
        </w:rPr>
        <w:t>备份响应</w:t>
      </w:r>
      <w:r>
        <w:rPr>
          <w:rFonts w:hint="eastAsia" w:ascii="宋体" w:hAnsi="宋体" w:eastAsia="宋体" w:cs="宋体"/>
          <w:b/>
          <w:color w:val="auto"/>
          <w:szCs w:val="21"/>
          <w:highlight w:val="none"/>
        </w:rPr>
        <w:t>文件密封送达</w:t>
      </w:r>
      <w:r>
        <w:rPr>
          <w:rFonts w:hint="eastAsia" w:ascii="宋体" w:hAnsi="宋体" w:eastAsia="宋体" w:cs="宋体"/>
          <w:b/>
          <w:color w:val="auto"/>
          <w:szCs w:val="21"/>
          <w:highlight w:val="none"/>
          <w:lang w:eastAsia="zh-CN"/>
        </w:rPr>
        <w:t>磋商</w:t>
      </w:r>
      <w:r>
        <w:rPr>
          <w:rFonts w:hint="eastAsia" w:ascii="宋体" w:hAnsi="宋体" w:eastAsia="宋体" w:cs="宋体"/>
          <w:b/>
          <w:color w:val="auto"/>
          <w:szCs w:val="21"/>
          <w:highlight w:val="none"/>
        </w:rPr>
        <w:t>地点。采购人或者采购代理机构收到</w:t>
      </w:r>
      <w:r>
        <w:rPr>
          <w:rFonts w:hint="eastAsia" w:ascii="宋体" w:hAnsi="宋体" w:eastAsia="宋体" w:cs="宋体"/>
          <w:b/>
          <w:color w:val="auto"/>
          <w:szCs w:val="21"/>
          <w:highlight w:val="none"/>
          <w:lang w:eastAsia="zh-CN"/>
        </w:rPr>
        <w:t>备份响应</w:t>
      </w:r>
      <w:r>
        <w:rPr>
          <w:rFonts w:hint="eastAsia" w:ascii="宋体" w:hAnsi="宋体" w:eastAsia="宋体" w:cs="宋体"/>
          <w:b/>
          <w:color w:val="auto"/>
          <w:szCs w:val="21"/>
          <w:highlight w:val="none"/>
        </w:rPr>
        <w:t>文件后，应当如实记载</w:t>
      </w:r>
      <w:r>
        <w:rPr>
          <w:rFonts w:hint="eastAsia" w:ascii="宋体" w:hAnsi="宋体" w:eastAsia="宋体" w:cs="宋体"/>
          <w:b/>
          <w:color w:val="auto"/>
          <w:szCs w:val="21"/>
          <w:highlight w:val="none"/>
          <w:lang w:eastAsia="zh-CN"/>
        </w:rPr>
        <w:t>备份</w:t>
      </w:r>
      <w:r>
        <w:rPr>
          <w:rFonts w:hint="eastAsia" w:ascii="宋体" w:hAnsi="宋体" w:eastAsia="宋体" w:cs="宋体"/>
          <w:b/>
          <w:color w:val="auto"/>
          <w:szCs w:val="21"/>
          <w:highlight w:val="none"/>
        </w:rPr>
        <w:t>响应文件的送达时间和密封情况，签收保存，并向</w:t>
      </w:r>
      <w:r>
        <w:rPr>
          <w:rFonts w:hint="eastAsia" w:ascii="宋体" w:hAnsi="宋体" w:eastAsia="宋体" w:cs="宋体"/>
          <w:b/>
          <w:color w:val="auto"/>
          <w:szCs w:val="21"/>
          <w:highlight w:val="none"/>
          <w:lang w:eastAsia="zh-CN"/>
        </w:rPr>
        <w:t>供应商</w:t>
      </w:r>
      <w:r>
        <w:rPr>
          <w:rFonts w:hint="eastAsia" w:ascii="宋体" w:hAnsi="宋体" w:eastAsia="宋体" w:cs="宋体"/>
          <w:b/>
          <w:color w:val="auto"/>
          <w:szCs w:val="21"/>
          <w:highlight w:val="none"/>
        </w:rPr>
        <w:t>出具签收回执。任何单位和个人不得在开标前开启</w:t>
      </w:r>
      <w:r>
        <w:rPr>
          <w:rFonts w:hint="eastAsia" w:ascii="宋体" w:hAnsi="宋体" w:eastAsia="宋体" w:cs="宋体"/>
          <w:b/>
          <w:color w:val="auto"/>
          <w:szCs w:val="21"/>
          <w:highlight w:val="none"/>
          <w:lang w:eastAsia="zh-CN"/>
        </w:rPr>
        <w:t>备份响应</w:t>
      </w:r>
      <w:r>
        <w:rPr>
          <w:rFonts w:hint="eastAsia" w:ascii="宋体" w:hAnsi="宋体" w:eastAsia="宋体" w:cs="宋体"/>
          <w:b/>
          <w:color w:val="auto"/>
          <w:szCs w:val="21"/>
          <w:highlight w:val="none"/>
        </w:rPr>
        <w:t>文件。</w:t>
      </w:r>
    </w:p>
    <w:p w14:paraId="0E19DB04">
      <w:pPr>
        <w:pageBreakBefore w:val="0"/>
        <w:widowControl w:val="0"/>
        <w:kinsoku/>
        <w:wordWrap/>
        <w:overflowPunct/>
        <w:topLinePunct w:val="0"/>
        <w:autoSpaceDE/>
        <w:autoSpaceDN/>
        <w:bidi w:val="0"/>
        <w:snapToGrid w:val="0"/>
        <w:spacing w:line="360" w:lineRule="auto"/>
        <w:ind w:left="0" w:leftChars="0" w:right="0" w:rightChars="0" w:firstLine="420"/>
        <w:jc w:val="left"/>
        <w:outlineLvl w:val="9"/>
        <w:rPr>
          <w:rFonts w:asciiTheme="majorEastAsia" w:hAnsiTheme="majorEastAsia" w:eastAsiaTheme="majorEastAsia"/>
          <w:color w:val="auto"/>
          <w:sz w:val="21"/>
          <w:szCs w:val="21"/>
          <w:highlight w:val="none"/>
        </w:rPr>
      </w:pPr>
      <w:r>
        <w:rPr>
          <w:rFonts w:hint="eastAsia" w:ascii="宋体" w:hAnsi="宋体" w:eastAsia="宋体" w:cs="宋体"/>
          <w:b/>
          <w:color w:val="auto"/>
          <w:szCs w:val="21"/>
          <w:highlight w:val="none"/>
          <w:lang w:val="en-US" w:eastAsia="zh-CN"/>
        </w:rPr>
        <w:t>5</w:t>
      </w:r>
      <w:r>
        <w:rPr>
          <w:rFonts w:hint="eastAsia" w:ascii="宋体" w:hAnsi="宋体" w:eastAsia="宋体" w:cs="宋体"/>
          <w:b/>
          <w:color w:val="auto"/>
          <w:szCs w:val="21"/>
          <w:highlight w:val="none"/>
        </w:rPr>
        <w:t>.逾期送达或者未按照采购文件要求密封的</w:t>
      </w:r>
      <w:r>
        <w:rPr>
          <w:rFonts w:hint="eastAsia" w:ascii="宋体" w:hAnsi="宋体" w:eastAsia="宋体" w:cs="宋体"/>
          <w:b/>
          <w:color w:val="auto"/>
          <w:szCs w:val="21"/>
          <w:highlight w:val="none"/>
          <w:lang w:eastAsia="zh-CN"/>
        </w:rPr>
        <w:t>响应</w:t>
      </w:r>
      <w:r>
        <w:rPr>
          <w:rFonts w:hint="eastAsia" w:ascii="宋体" w:hAnsi="宋体" w:eastAsia="宋体" w:cs="宋体"/>
          <w:b/>
          <w:color w:val="auto"/>
          <w:szCs w:val="21"/>
          <w:highlight w:val="none"/>
        </w:rPr>
        <w:t>文件，采购人、采购代理机构应当拒收。</w:t>
      </w:r>
    </w:p>
    <w:p w14:paraId="16D398EC">
      <w:pPr>
        <w:pStyle w:val="20"/>
        <w:keepNext w:val="0"/>
        <w:keepLines w:val="0"/>
        <w:pageBreakBefore w:val="0"/>
        <w:widowControl w:val="0"/>
        <w:shd w:val="clear"/>
        <w:kinsoku/>
        <w:wordWrap/>
        <w:overflowPunct/>
        <w:topLinePunct w:val="0"/>
        <w:bidi w:val="0"/>
        <w:spacing w:line="360" w:lineRule="auto"/>
        <w:ind w:firstLine="395" w:firstLineChars="196"/>
        <w:contextualSpacing/>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lang w:val="en-US" w:eastAsia="zh-CN"/>
        </w:rPr>
        <w:t>6</w:t>
      </w:r>
      <w:r>
        <w:rPr>
          <w:rFonts w:asciiTheme="majorEastAsia" w:hAnsiTheme="majorEastAsia" w:eastAsiaTheme="majorEastAsia"/>
          <w:color w:val="auto"/>
          <w:sz w:val="21"/>
          <w:szCs w:val="21"/>
          <w:highlight w:val="none"/>
        </w:rPr>
        <w:t>.响应文件须由供应商在规定位置盖章并由法定代表人（负责人）或法定代表人（负责人）的授权委托人签署，供应商应写全称。</w:t>
      </w:r>
    </w:p>
    <w:p w14:paraId="33004CC1">
      <w:pPr>
        <w:pStyle w:val="20"/>
        <w:keepNext w:val="0"/>
        <w:keepLines w:val="0"/>
        <w:pageBreakBefore w:val="0"/>
        <w:widowControl w:val="0"/>
        <w:shd w:val="clear"/>
        <w:kinsoku/>
        <w:wordWrap/>
        <w:overflowPunct/>
        <w:topLinePunct w:val="0"/>
        <w:bidi w:val="0"/>
        <w:spacing w:line="360" w:lineRule="auto"/>
        <w:ind w:firstLine="395" w:firstLineChars="196"/>
        <w:contextualSpacing/>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lang w:val="en-US" w:eastAsia="zh-CN"/>
        </w:rPr>
        <w:t>7</w:t>
      </w:r>
      <w:r>
        <w:rPr>
          <w:rFonts w:asciiTheme="majorEastAsia" w:hAnsiTheme="majorEastAsia" w:eastAsiaTheme="majorEastAsia"/>
          <w:color w:val="auto"/>
          <w:sz w:val="21"/>
          <w:szCs w:val="21"/>
          <w:highlight w:val="none"/>
        </w:rPr>
        <w:t>.响应文件不得涂改，若有修改错漏处，须加盖单位公章或者法定代表人（负责人）或授权委托人签字或盖章。响应文件因字迹潦草或表达不清所引起的后果由供应商负责。</w:t>
      </w:r>
    </w:p>
    <w:p w14:paraId="371918C0">
      <w:pPr>
        <w:pStyle w:val="20"/>
        <w:keepNext w:val="0"/>
        <w:keepLines w:val="0"/>
        <w:pageBreakBefore w:val="0"/>
        <w:widowControl w:val="0"/>
        <w:shd w:val="clear"/>
        <w:kinsoku/>
        <w:wordWrap/>
        <w:overflowPunct/>
        <w:topLinePunct w:val="0"/>
        <w:bidi w:val="0"/>
        <w:spacing w:line="360" w:lineRule="auto"/>
        <w:ind w:firstLine="395" w:firstLineChars="196"/>
        <w:contextualSpacing/>
        <w:rPr>
          <w:rFonts w:asciiTheme="majorEastAsia" w:hAnsiTheme="majorEastAsia" w:eastAsiaTheme="majorEastAsia"/>
          <w:b/>
          <w:bCs/>
          <w:color w:val="auto"/>
          <w:spacing w:val="0"/>
          <w:sz w:val="21"/>
          <w:highlight w:val="none"/>
        </w:rPr>
      </w:pPr>
      <w:r>
        <w:rPr>
          <w:rFonts w:hint="eastAsia" w:asciiTheme="majorEastAsia" w:hAnsiTheme="majorEastAsia" w:eastAsiaTheme="majorEastAsia"/>
          <w:color w:val="auto"/>
          <w:sz w:val="21"/>
          <w:szCs w:val="21"/>
          <w:highlight w:val="none"/>
          <w:lang w:val="en-US" w:eastAsia="zh-CN"/>
        </w:rPr>
        <w:t>8</w:t>
      </w:r>
      <w:r>
        <w:rPr>
          <w:rFonts w:hint="eastAsia" w:asciiTheme="majorEastAsia" w:hAnsiTheme="majorEastAsia" w:eastAsiaTheme="majorEastAsia"/>
          <w:color w:val="auto"/>
          <w:sz w:val="21"/>
          <w:szCs w:val="21"/>
          <w:highlight w:val="none"/>
        </w:rPr>
        <w:t>.供应商递交的企业宣传册、产品宣传册不属于响应文件有效组成资料的不作为评审依据。</w:t>
      </w:r>
    </w:p>
    <w:p w14:paraId="36D8E995">
      <w:pPr>
        <w:pStyle w:val="14"/>
        <w:keepNext w:val="0"/>
        <w:keepLines w:val="0"/>
        <w:pageBreakBefore w:val="0"/>
        <w:widowControl w:val="0"/>
        <w:shd w:val="clear"/>
        <w:tabs>
          <w:tab w:val="clear" w:pos="454"/>
        </w:tabs>
        <w:kinsoku/>
        <w:wordWrap/>
        <w:overflowPunct/>
        <w:topLinePunct w:val="0"/>
        <w:bidi w:val="0"/>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w:t>
      </w:r>
      <w:r>
        <w:rPr>
          <w:rFonts w:hint="eastAsia" w:asciiTheme="majorEastAsia" w:hAnsiTheme="majorEastAsia" w:eastAsiaTheme="majorEastAsia"/>
          <w:b/>
          <w:color w:val="auto"/>
          <w:sz w:val="21"/>
          <w:szCs w:val="21"/>
          <w:highlight w:val="none"/>
        </w:rPr>
        <w:t>七</w:t>
      </w:r>
      <w:r>
        <w:rPr>
          <w:rFonts w:asciiTheme="majorEastAsia" w:hAnsiTheme="majorEastAsia" w:eastAsiaTheme="majorEastAsia"/>
          <w:b/>
          <w:color w:val="auto"/>
          <w:sz w:val="21"/>
          <w:szCs w:val="21"/>
          <w:highlight w:val="none"/>
        </w:rPr>
        <w:t>）响应文件的递交、修改和撤回</w:t>
      </w:r>
    </w:p>
    <w:p w14:paraId="06F63F86">
      <w:pPr>
        <w:pStyle w:val="20"/>
        <w:keepNext w:val="0"/>
        <w:keepLines w:val="0"/>
        <w:pageBreakBefore w:val="0"/>
        <w:widowControl w:val="0"/>
        <w:shd w:val="clear"/>
        <w:kinsoku/>
        <w:wordWrap/>
        <w:overflowPunct/>
        <w:topLinePunct w:val="0"/>
        <w:bidi w:val="0"/>
        <w:spacing w:line="360" w:lineRule="auto"/>
        <w:ind w:firstLine="398" w:firstLineChars="196"/>
        <w:contextualSpacing/>
        <w:rPr>
          <w:rFonts w:asciiTheme="majorEastAsia" w:hAnsiTheme="majorEastAsia" w:eastAsiaTheme="majorEastAsia"/>
          <w:color w:val="auto"/>
          <w:sz w:val="21"/>
          <w:szCs w:val="21"/>
          <w:highlight w:val="none"/>
        </w:rPr>
      </w:pPr>
      <w:r>
        <w:rPr>
          <w:rFonts w:asciiTheme="majorEastAsia" w:hAnsiTheme="majorEastAsia" w:eastAsiaTheme="majorEastAsia"/>
          <w:b/>
          <w:color w:val="auto"/>
          <w:sz w:val="21"/>
          <w:szCs w:val="21"/>
          <w:highlight w:val="none"/>
        </w:rPr>
        <w:t>1.</w:t>
      </w:r>
      <w:r>
        <w:rPr>
          <w:rFonts w:hint="eastAsia" w:asciiTheme="majorEastAsia" w:hAnsiTheme="majorEastAsia" w:eastAsiaTheme="majorEastAsia"/>
          <w:color w:val="auto"/>
          <w:sz w:val="21"/>
          <w:szCs w:val="21"/>
          <w:highlight w:val="none"/>
        </w:rPr>
        <w:t>响应文件的封面上均应分别注明投标项目名称、项目编号、供应商名称、供应商地址等内容，并加盖供应商公章。</w:t>
      </w:r>
    </w:p>
    <w:p w14:paraId="4F2995FC">
      <w:pPr>
        <w:pStyle w:val="20"/>
        <w:keepNext w:val="0"/>
        <w:keepLines w:val="0"/>
        <w:pageBreakBefore w:val="0"/>
        <w:widowControl w:val="0"/>
        <w:shd w:val="clear"/>
        <w:kinsoku/>
        <w:wordWrap/>
        <w:overflowPunct/>
        <w:topLinePunct w:val="0"/>
        <w:bidi w:val="0"/>
        <w:spacing w:line="360" w:lineRule="auto"/>
        <w:ind w:firstLine="398" w:firstLineChars="196"/>
        <w:contextualSpacing/>
        <w:rPr>
          <w:rFonts w:asciiTheme="majorEastAsia" w:hAnsiTheme="majorEastAsia" w:eastAsiaTheme="majorEastAsia"/>
          <w:color w:val="auto"/>
          <w:sz w:val="21"/>
          <w:szCs w:val="21"/>
          <w:highlight w:val="none"/>
        </w:rPr>
      </w:pPr>
      <w:r>
        <w:rPr>
          <w:rFonts w:hint="eastAsia" w:asciiTheme="majorEastAsia" w:hAnsiTheme="majorEastAsia" w:eastAsiaTheme="majorEastAsia"/>
          <w:b/>
          <w:bCs/>
          <w:color w:val="auto"/>
          <w:sz w:val="21"/>
          <w:szCs w:val="21"/>
          <w:highlight w:val="none"/>
        </w:rPr>
        <w:t>如</w:t>
      </w:r>
      <w:r>
        <w:rPr>
          <w:rFonts w:hint="eastAsia" w:asciiTheme="majorEastAsia" w:hAnsiTheme="majorEastAsia" w:eastAsiaTheme="majorEastAsia"/>
          <w:b/>
          <w:bCs/>
          <w:color w:val="auto"/>
          <w:sz w:val="21"/>
          <w:szCs w:val="21"/>
          <w:highlight w:val="none"/>
          <w:lang w:eastAsia="zh-CN"/>
        </w:rPr>
        <w:t>供应商</w:t>
      </w:r>
      <w:r>
        <w:rPr>
          <w:rFonts w:hint="eastAsia" w:asciiTheme="majorEastAsia" w:hAnsiTheme="majorEastAsia" w:eastAsiaTheme="majorEastAsia"/>
          <w:b/>
          <w:bCs/>
          <w:color w:val="auto"/>
          <w:sz w:val="21"/>
          <w:szCs w:val="21"/>
          <w:highlight w:val="none"/>
        </w:rPr>
        <w:t>自愿递交备份</w:t>
      </w:r>
      <w:r>
        <w:rPr>
          <w:rFonts w:hint="eastAsia" w:asciiTheme="majorEastAsia" w:hAnsiTheme="majorEastAsia" w:eastAsiaTheme="majorEastAsia"/>
          <w:b/>
          <w:bCs/>
          <w:color w:val="auto"/>
          <w:sz w:val="21"/>
          <w:szCs w:val="21"/>
          <w:highlight w:val="none"/>
          <w:lang w:eastAsia="zh-CN"/>
        </w:rPr>
        <w:t>响应</w:t>
      </w:r>
      <w:r>
        <w:rPr>
          <w:rFonts w:hint="eastAsia" w:asciiTheme="majorEastAsia" w:hAnsiTheme="majorEastAsia" w:eastAsiaTheme="majorEastAsia"/>
          <w:b/>
          <w:bCs/>
          <w:color w:val="auto"/>
          <w:sz w:val="21"/>
          <w:szCs w:val="21"/>
          <w:highlight w:val="none"/>
        </w:rPr>
        <w:t>文件</w:t>
      </w:r>
      <w:r>
        <w:rPr>
          <w:rFonts w:hint="eastAsia" w:asciiTheme="majorEastAsia" w:hAnsiTheme="majorEastAsia" w:eastAsiaTheme="majorEastAsia"/>
          <w:b/>
          <w:bCs/>
          <w:color w:val="auto"/>
          <w:sz w:val="21"/>
          <w:szCs w:val="21"/>
          <w:highlight w:val="none"/>
          <w:lang w:eastAsia="zh-CN"/>
        </w:rPr>
        <w:t>，</w:t>
      </w:r>
      <w:r>
        <w:rPr>
          <w:rFonts w:hint="eastAsia" w:asciiTheme="majorEastAsia" w:hAnsiTheme="majorEastAsia" w:eastAsiaTheme="majorEastAsia"/>
          <w:b/>
          <w:bCs/>
          <w:color w:val="auto"/>
          <w:sz w:val="21"/>
          <w:szCs w:val="21"/>
          <w:highlight w:val="none"/>
        </w:rPr>
        <w:t>备份响应文件</w:t>
      </w:r>
      <w:r>
        <w:rPr>
          <w:rFonts w:hint="eastAsia" w:asciiTheme="majorEastAsia" w:hAnsiTheme="majorEastAsia" w:eastAsiaTheme="majorEastAsia"/>
          <w:b/>
          <w:bCs/>
          <w:color w:val="auto"/>
          <w:sz w:val="21"/>
          <w:szCs w:val="21"/>
          <w:highlight w:val="none"/>
          <w:lang w:eastAsia="zh-CN"/>
        </w:rPr>
        <w:t>须</w:t>
      </w:r>
      <w:r>
        <w:rPr>
          <w:rFonts w:hint="eastAsia" w:asciiTheme="majorEastAsia" w:hAnsiTheme="majorEastAsia" w:eastAsiaTheme="majorEastAsia"/>
          <w:b/>
          <w:bCs/>
          <w:color w:val="auto"/>
          <w:sz w:val="21"/>
          <w:szCs w:val="21"/>
          <w:highlight w:val="none"/>
        </w:rPr>
        <w:t>单独包封，外包装封面上应注明供应商名称、供应商地址、项目名称、项目编号、响应文件名称（电子响应文件的备份文件），并加盖供应商公章。</w:t>
      </w:r>
    </w:p>
    <w:p w14:paraId="1F4878FE">
      <w:pPr>
        <w:pStyle w:val="20"/>
        <w:keepNext w:val="0"/>
        <w:keepLines w:val="0"/>
        <w:pageBreakBefore w:val="0"/>
        <w:widowControl w:val="0"/>
        <w:shd w:val="clear"/>
        <w:kinsoku/>
        <w:wordWrap/>
        <w:overflowPunct/>
        <w:topLinePunct w:val="0"/>
        <w:bidi w:val="0"/>
        <w:spacing w:line="360" w:lineRule="auto"/>
        <w:ind w:firstLine="395" w:firstLineChars="196"/>
        <w:contextualSpacing/>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2.未按规定密封或标记的响应文件将被拒绝，由此造成响应文件被误投或提前拆封的风险由供应商承担。</w:t>
      </w:r>
    </w:p>
    <w:p w14:paraId="741EFFD5">
      <w:pPr>
        <w:pStyle w:val="20"/>
        <w:keepNext w:val="0"/>
        <w:keepLines w:val="0"/>
        <w:pageBreakBefore w:val="0"/>
        <w:widowControl w:val="0"/>
        <w:shd w:val="clear"/>
        <w:kinsoku/>
        <w:wordWrap/>
        <w:overflowPunct/>
        <w:topLinePunct w:val="0"/>
        <w:bidi w:val="0"/>
        <w:spacing w:line="360" w:lineRule="auto"/>
        <w:ind w:firstLine="395" w:firstLineChars="196"/>
        <w:contextualSpacing/>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3.供应商在提交首次响应文件截止时间之前，可以对已提交的响应文件进行修改或撤回，并书面通知采购人；首次响应文件截止时间后，供应商不得撤回、修改响应文件。修改后重新递交的响应文件应当按本磋商文件的要求签署、盖章和密封。</w:t>
      </w:r>
    </w:p>
    <w:p w14:paraId="34E24138">
      <w:pPr>
        <w:pStyle w:val="14"/>
        <w:keepNext w:val="0"/>
        <w:keepLines w:val="0"/>
        <w:pageBreakBefore w:val="0"/>
        <w:widowControl w:val="0"/>
        <w:shd w:val="clear"/>
        <w:tabs>
          <w:tab w:val="clear" w:pos="454"/>
        </w:tabs>
        <w:kinsoku/>
        <w:wordWrap/>
        <w:overflowPunct/>
        <w:topLinePunct w:val="0"/>
        <w:bidi w:val="0"/>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w:t>
      </w:r>
      <w:r>
        <w:rPr>
          <w:rFonts w:hint="eastAsia" w:asciiTheme="majorEastAsia" w:hAnsiTheme="majorEastAsia" w:eastAsiaTheme="majorEastAsia"/>
          <w:b/>
          <w:color w:val="auto"/>
          <w:sz w:val="21"/>
          <w:szCs w:val="21"/>
          <w:highlight w:val="none"/>
        </w:rPr>
        <w:t>八</w:t>
      </w:r>
      <w:r>
        <w:rPr>
          <w:rFonts w:asciiTheme="majorEastAsia" w:hAnsiTheme="majorEastAsia" w:eastAsiaTheme="majorEastAsia"/>
          <w:b/>
          <w:color w:val="auto"/>
          <w:sz w:val="21"/>
          <w:szCs w:val="21"/>
          <w:highlight w:val="none"/>
        </w:rPr>
        <w:t>）响应无效的情形</w:t>
      </w:r>
    </w:p>
    <w:p w14:paraId="2EAA342E">
      <w:pPr>
        <w:pStyle w:val="20"/>
        <w:keepNext w:val="0"/>
        <w:keepLines w:val="0"/>
        <w:pageBreakBefore w:val="0"/>
        <w:widowControl w:val="0"/>
        <w:shd w:val="clear"/>
        <w:kinsoku/>
        <w:wordWrap/>
        <w:overflowPunct/>
        <w:topLinePunct w:val="0"/>
        <w:bidi w:val="0"/>
        <w:spacing w:line="360" w:lineRule="auto"/>
        <w:ind w:firstLine="395" w:firstLineChars="196"/>
        <w:contextualSpacing/>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1.</w:t>
      </w:r>
      <w:r>
        <w:rPr>
          <w:rFonts w:asciiTheme="majorEastAsia" w:hAnsiTheme="majorEastAsia" w:eastAsiaTheme="majorEastAsia"/>
          <w:color w:val="auto"/>
          <w:sz w:val="21"/>
          <w:szCs w:val="21"/>
          <w:highlight w:val="none"/>
        </w:rPr>
        <w:t>实质上没有响应磋商文件要求的响应文件将被视为无效响应。供应商不得通过修正或撤消不合要求的偏离或保留从而使其成为实质上响应的文件。</w:t>
      </w:r>
    </w:p>
    <w:p w14:paraId="1877158D">
      <w:pPr>
        <w:keepNext w:val="0"/>
        <w:keepLines w:val="0"/>
        <w:pageBreakBefore w:val="0"/>
        <w:widowControl w:val="0"/>
        <w:shd w:val="clear"/>
        <w:kinsoku/>
        <w:wordWrap/>
        <w:overflowPunct/>
        <w:topLinePunct w:val="0"/>
        <w:bidi w:val="0"/>
        <w:spacing w:line="360" w:lineRule="auto"/>
        <w:ind w:firstLine="413" w:firstLineChars="196"/>
        <w:contextualSpacing/>
        <w:jc w:val="left"/>
        <w:rPr>
          <w:rFonts w:asciiTheme="majorEastAsia" w:hAnsiTheme="majorEastAsia" w:eastAsiaTheme="majorEastAsia"/>
          <w:b/>
          <w:bCs/>
          <w:color w:val="auto"/>
          <w:szCs w:val="21"/>
          <w:highlight w:val="none"/>
          <w:shd w:val="clear" w:color="auto" w:fill="FFFFFF"/>
        </w:rPr>
      </w:pPr>
      <w:r>
        <w:rPr>
          <w:rFonts w:hint="eastAsia" w:asciiTheme="majorEastAsia" w:hAnsiTheme="majorEastAsia" w:eastAsiaTheme="majorEastAsia"/>
          <w:b/>
          <w:color w:val="auto"/>
          <w:highlight w:val="none"/>
          <w:shd w:val="clear" w:color="auto" w:fill="FFFFFF"/>
        </w:rPr>
        <w:t>2</w:t>
      </w:r>
      <w:r>
        <w:rPr>
          <w:rFonts w:asciiTheme="majorEastAsia" w:hAnsiTheme="majorEastAsia" w:eastAsiaTheme="majorEastAsia"/>
          <w:b/>
          <w:color w:val="auto"/>
          <w:highlight w:val="none"/>
          <w:shd w:val="clear" w:color="auto" w:fill="FFFFFF"/>
        </w:rPr>
        <w:t>.在资格审查时，不具备磋商文件中规定的资格要求的，或者资格证明文件不全的，响应文件将被视为无效；</w:t>
      </w:r>
    </w:p>
    <w:p w14:paraId="02CB4515">
      <w:pPr>
        <w:pStyle w:val="20"/>
        <w:keepNext w:val="0"/>
        <w:keepLines w:val="0"/>
        <w:pageBreakBefore w:val="0"/>
        <w:widowControl w:val="0"/>
        <w:shd w:val="clear"/>
        <w:kinsoku/>
        <w:wordWrap/>
        <w:overflowPunct/>
        <w:topLinePunct w:val="0"/>
        <w:bidi w:val="0"/>
        <w:spacing w:line="360" w:lineRule="auto"/>
        <w:ind w:firstLine="398" w:firstLineChars="196"/>
        <w:contextualSpacing/>
        <w:rPr>
          <w:rFonts w:asciiTheme="majorEastAsia" w:hAnsiTheme="majorEastAsia" w:eastAsiaTheme="majorEastAsia"/>
          <w:b/>
          <w:bCs/>
          <w:color w:val="auto"/>
          <w:sz w:val="21"/>
          <w:szCs w:val="21"/>
          <w:highlight w:val="none"/>
        </w:rPr>
      </w:pPr>
      <w:r>
        <w:rPr>
          <w:rFonts w:hint="eastAsia" w:asciiTheme="majorEastAsia" w:hAnsiTheme="majorEastAsia" w:eastAsiaTheme="majorEastAsia"/>
          <w:b/>
          <w:bCs/>
          <w:color w:val="auto"/>
          <w:sz w:val="21"/>
          <w:szCs w:val="21"/>
          <w:highlight w:val="none"/>
        </w:rPr>
        <w:t>3</w:t>
      </w:r>
      <w:r>
        <w:rPr>
          <w:rFonts w:asciiTheme="majorEastAsia" w:hAnsiTheme="majorEastAsia" w:eastAsiaTheme="majorEastAsia"/>
          <w:b/>
          <w:bCs/>
          <w:color w:val="auto"/>
          <w:sz w:val="21"/>
          <w:szCs w:val="21"/>
          <w:highlight w:val="none"/>
        </w:rPr>
        <w:t>.在符合性审查和资信评审时，如发现下列情形之一的，响应文件将被视为无效：</w:t>
      </w:r>
    </w:p>
    <w:p w14:paraId="3723CABE">
      <w:pPr>
        <w:pStyle w:val="20"/>
        <w:keepNext w:val="0"/>
        <w:keepLines w:val="0"/>
        <w:pageBreakBefore w:val="0"/>
        <w:widowControl w:val="0"/>
        <w:shd w:val="clear"/>
        <w:kinsoku/>
        <w:wordWrap/>
        <w:overflowPunct/>
        <w:topLinePunct w:val="0"/>
        <w:bidi w:val="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（1）响应文件无法定代表人（负责人）签字，或未提供法定代表人（负责人）授权委托书、</w:t>
      </w:r>
      <w:r>
        <w:rPr>
          <w:rFonts w:hint="eastAsia" w:asciiTheme="majorEastAsia" w:hAnsiTheme="majorEastAsia" w:eastAsiaTheme="majorEastAsia"/>
          <w:bCs/>
          <w:color w:val="auto"/>
          <w:sz w:val="21"/>
          <w:szCs w:val="21"/>
          <w:highlight w:val="none"/>
        </w:rPr>
        <w:t>磋商</w:t>
      </w:r>
      <w:r>
        <w:rPr>
          <w:rFonts w:asciiTheme="majorEastAsia" w:hAnsiTheme="majorEastAsia" w:eastAsiaTheme="majorEastAsia"/>
          <w:bCs/>
          <w:color w:val="auto"/>
          <w:sz w:val="21"/>
          <w:szCs w:val="21"/>
          <w:highlight w:val="none"/>
        </w:rPr>
        <w:t>声明书或者填写项目不齐全的；</w:t>
      </w:r>
    </w:p>
    <w:p w14:paraId="5561DFD5">
      <w:pPr>
        <w:pStyle w:val="20"/>
        <w:keepNext w:val="0"/>
        <w:keepLines w:val="0"/>
        <w:pageBreakBefore w:val="0"/>
        <w:widowControl w:val="0"/>
        <w:shd w:val="clear"/>
        <w:kinsoku/>
        <w:wordWrap/>
        <w:overflowPunct/>
        <w:topLinePunct w:val="0"/>
        <w:bidi w:val="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（2）响应文件格式不规范、项目不齐全或者内容虚假的；</w:t>
      </w:r>
    </w:p>
    <w:p w14:paraId="26568A55">
      <w:pPr>
        <w:pStyle w:val="20"/>
        <w:keepNext w:val="0"/>
        <w:keepLines w:val="0"/>
        <w:pageBreakBefore w:val="0"/>
        <w:widowControl w:val="0"/>
        <w:shd w:val="clear"/>
        <w:kinsoku/>
        <w:wordWrap/>
        <w:overflowPunct/>
        <w:topLinePunct w:val="0"/>
        <w:bidi w:val="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（3）响应文件的实质性内容未使用中文表述、意思表述不明确、前后矛盾或者使用计量单位不符合磋商文件要求的（经磋商小组认定并允许其当场更正的笔误除外）；</w:t>
      </w:r>
    </w:p>
    <w:p w14:paraId="3DFE0DCF">
      <w:pPr>
        <w:pStyle w:val="20"/>
        <w:keepNext w:val="0"/>
        <w:keepLines w:val="0"/>
        <w:pageBreakBefore w:val="0"/>
        <w:widowControl w:val="0"/>
        <w:shd w:val="clear"/>
        <w:kinsoku/>
        <w:wordWrap/>
        <w:overflowPunct/>
        <w:topLinePunct w:val="0"/>
        <w:bidi w:val="0"/>
        <w:spacing w:line="360" w:lineRule="auto"/>
        <w:ind w:firstLine="395" w:firstLineChars="196"/>
        <w:contextualSpacing/>
        <w:rPr>
          <w:rFonts w:asciiTheme="majorEastAsia" w:hAnsiTheme="majorEastAsia" w:eastAsiaTheme="majorEastAsia"/>
          <w:bCs/>
          <w:snapToGrid w:val="0"/>
          <w:color w:val="auto"/>
          <w:sz w:val="21"/>
          <w:szCs w:val="21"/>
          <w:highlight w:val="none"/>
        </w:rPr>
      </w:pPr>
      <w:r>
        <w:rPr>
          <w:rFonts w:asciiTheme="majorEastAsia" w:hAnsiTheme="majorEastAsia" w:eastAsiaTheme="majorEastAsia"/>
          <w:bCs/>
          <w:color w:val="auto"/>
          <w:sz w:val="21"/>
          <w:szCs w:val="21"/>
          <w:highlight w:val="none"/>
        </w:rPr>
        <w:t>（</w:t>
      </w:r>
      <w:r>
        <w:rPr>
          <w:rFonts w:asciiTheme="majorEastAsia" w:hAnsiTheme="majorEastAsia" w:eastAsiaTheme="majorEastAsia"/>
          <w:bCs/>
          <w:snapToGrid w:val="0"/>
          <w:color w:val="auto"/>
          <w:sz w:val="21"/>
          <w:szCs w:val="21"/>
          <w:highlight w:val="none"/>
        </w:rPr>
        <w:t>4）响应文件有效期不能满足磋商文件要求的；</w:t>
      </w:r>
    </w:p>
    <w:p w14:paraId="7FA2BBDE">
      <w:pPr>
        <w:pStyle w:val="20"/>
        <w:keepNext w:val="0"/>
        <w:keepLines w:val="0"/>
        <w:pageBreakBefore w:val="0"/>
        <w:widowControl w:val="0"/>
        <w:shd w:val="clear"/>
        <w:kinsoku/>
        <w:wordWrap/>
        <w:overflowPunct/>
        <w:topLinePunct w:val="0"/>
        <w:bidi w:val="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（5）未实质性响应磋商文件要求，</w:t>
      </w:r>
      <w:r>
        <w:rPr>
          <w:rFonts w:asciiTheme="majorEastAsia" w:hAnsiTheme="majorEastAsia" w:eastAsiaTheme="majorEastAsia"/>
          <w:bCs/>
          <w:snapToGrid w:val="0"/>
          <w:color w:val="auto"/>
          <w:sz w:val="21"/>
          <w:szCs w:val="21"/>
          <w:highlight w:val="none"/>
        </w:rPr>
        <w:t>或者与</w:t>
      </w:r>
      <w:r>
        <w:rPr>
          <w:rFonts w:asciiTheme="majorEastAsia" w:hAnsiTheme="majorEastAsia" w:eastAsiaTheme="majorEastAsia"/>
          <w:bCs/>
          <w:color w:val="auto"/>
          <w:sz w:val="21"/>
          <w:szCs w:val="21"/>
          <w:highlight w:val="none"/>
        </w:rPr>
        <w:t>磋商文件</w:t>
      </w:r>
      <w:r>
        <w:rPr>
          <w:rFonts w:hint="eastAsia" w:asciiTheme="majorEastAsia" w:hAnsiTheme="majorEastAsia" w:eastAsiaTheme="majorEastAsia"/>
          <w:bCs/>
          <w:color w:val="auto"/>
          <w:sz w:val="21"/>
          <w:szCs w:val="21"/>
          <w:highlight w:val="none"/>
        </w:rPr>
        <w:t>确定成交</w:t>
      </w:r>
      <w:r>
        <w:rPr>
          <w:rFonts w:asciiTheme="majorEastAsia" w:hAnsiTheme="majorEastAsia" w:eastAsiaTheme="majorEastAsia"/>
          <w:bCs/>
          <w:color w:val="auto"/>
          <w:sz w:val="21"/>
          <w:szCs w:val="21"/>
          <w:highlight w:val="none"/>
        </w:rPr>
        <w:t>“*”的商务条款发生实质性偏离的，或者响应文件有采购人不能接受的附加条件的；</w:t>
      </w:r>
    </w:p>
    <w:p w14:paraId="4360A16D">
      <w:pPr>
        <w:pStyle w:val="20"/>
        <w:keepNext w:val="0"/>
        <w:keepLines w:val="0"/>
        <w:pageBreakBefore w:val="0"/>
        <w:widowControl w:val="0"/>
        <w:shd w:val="clear"/>
        <w:kinsoku/>
        <w:wordWrap/>
        <w:overflowPunct/>
        <w:topLinePunct w:val="0"/>
        <w:bidi w:val="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（6）超过</w:t>
      </w:r>
      <w:r>
        <w:rPr>
          <w:rFonts w:asciiTheme="majorEastAsia" w:hAnsiTheme="majorEastAsia" w:eastAsiaTheme="majorEastAsia"/>
          <w:color w:val="auto"/>
          <w:sz w:val="21"/>
          <w:szCs w:val="21"/>
          <w:highlight w:val="none"/>
        </w:rPr>
        <w:t>首次响应文件截止时间</w:t>
      </w:r>
      <w:r>
        <w:rPr>
          <w:rFonts w:hint="eastAsia" w:asciiTheme="majorEastAsia" w:hAnsiTheme="majorEastAsia" w:eastAsiaTheme="majorEastAsia"/>
          <w:bCs/>
          <w:color w:val="auto"/>
          <w:sz w:val="21"/>
          <w:szCs w:val="21"/>
          <w:highlight w:val="none"/>
        </w:rPr>
        <w:t>上传（递交）</w:t>
      </w:r>
      <w:r>
        <w:rPr>
          <w:rFonts w:asciiTheme="majorEastAsia" w:hAnsiTheme="majorEastAsia" w:eastAsiaTheme="majorEastAsia"/>
          <w:bCs/>
          <w:color w:val="auto"/>
          <w:sz w:val="21"/>
          <w:szCs w:val="21"/>
          <w:highlight w:val="none"/>
        </w:rPr>
        <w:t>的；</w:t>
      </w:r>
    </w:p>
    <w:p w14:paraId="433B8908">
      <w:pPr>
        <w:pStyle w:val="20"/>
        <w:keepNext w:val="0"/>
        <w:keepLines w:val="0"/>
        <w:pageBreakBefore w:val="0"/>
        <w:widowControl w:val="0"/>
        <w:shd w:val="clear"/>
        <w:kinsoku/>
        <w:wordWrap/>
        <w:overflowPunct/>
        <w:topLinePunct w:val="0"/>
        <w:bidi w:val="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（7）未按规定密封、签章的；</w:t>
      </w:r>
    </w:p>
    <w:p w14:paraId="5547BDB0">
      <w:pPr>
        <w:pStyle w:val="20"/>
        <w:keepNext w:val="0"/>
        <w:keepLines w:val="0"/>
        <w:pageBreakBefore w:val="0"/>
        <w:widowControl w:val="0"/>
        <w:shd w:val="clear"/>
        <w:kinsoku/>
        <w:wordWrap/>
        <w:overflowPunct/>
        <w:topLinePunct w:val="0"/>
        <w:bidi w:val="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 xml:space="preserve">（8）响应文件的关键内容字迹模糊、无法辨认的,或者响应文件中经修正的内容字迹模糊难以辩认或者修改处未按规定签名盖章的； </w:t>
      </w:r>
    </w:p>
    <w:p w14:paraId="62EE3152">
      <w:pPr>
        <w:pStyle w:val="20"/>
        <w:keepNext w:val="0"/>
        <w:keepLines w:val="0"/>
        <w:pageBreakBefore w:val="0"/>
        <w:widowControl w:val="0"/>
        <w:shd w:val="clear"/>
        <w:kinsoku/>
        <w:wordWrap/>
        <w:overflowPunct/>
        <w:topLinePunct w:val="0"/>
        <w:bidi w:val="0"/>
        <w:spacing w:line="360" w:lineRule="auto"/>
        <w:ind w:firstLine="398" w:firstLineChars="196"/>
        <w:contextualSpacing/>
        <w:rPr>
          <w:rFonts w:asciiTheme="majorEastAsia" w:hAnsiTheme="majorEastAsia" w:eastAsiaTheme="majorEastAsia"/>
          <w:b/>
          <w:bCs/>
          <w:color w:val="auto"/>
          <w:sz w:val="21"/>
          <w:szCs w:val="21"/>
          <w:highlight w:val="none"/>
        </w:rPr>
      </w:pPr>
      <w:r>
        <w:rPr>
          <w:rFonts w:hint="eastAsia" w:asciiTheme="majorEastAsia" w:hAnsiTheme="majorEastAsia" w:eastAsiaTheme="majorEastAsia"/>
          <w:b/>
          <w:bCs/>
          <w:color w:val="auto"/>
          <w:sz w:val="21"/>
          <w:szCs w:val="21"/>
          <w:highlight w:val="none"/>
        </w:rPr>
        <w:t>4</w:t>
      </w:r>
      <w:r>
        <w:rPr>
          <w:rFonts w:asciiTheme="majorEastAsia" w:hAnsiTheme="majorEastAsia" w:eastAsiaTheme="majorEastAsia"/>
          <w:b/>
          <w:bCs/>
          <w:color w:val="auto"/>
          <w:sz w:val="21"/>
          <w:szCs w:val="21"/>
          <w:highlight w:val="none"/>
        </w:rPr>
        <w:t>.在技术评审时，如发现下列情形之一的，响应文件将被视为无效：</w:t>
      </w:r>
    </w:p>
    <w:p w14:paraId="6F935369">
      <w:pPr>
        <w:pStyle w:val="20"/>
        <w:keepNext w:val="0"/>
        <w:keepLines w:val="0"/>
        <w:pageBreakBefore w:val="0"/>
        <w:widowControl w:val="0"/>
        <w:shd w:val="clear"/>
        <w:kinsoku/>
        <w:wordWrap/>
        <w:overflowPunct/>
        <w:topLinePunct w:val="0"/>
        <w:bidi w:val="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（1）响应文件标明的响应或偏离与事实不符或虚假响应的；</w:t>
      </w:r>
    </w:p>
    <w:p w14:paraId="37A25612">
      <w:pPr>
        <w:pStyle w:val="20"/>
        <w:keepNext w:val="0"/>
        <w:keepLines w:val="0"/>
        <w:pageBreakBefore w:val="0"/>
        <w:widowControl w:val="0"/>
        <w:shd w:val="clear"/>
        <w:kinsoku/>
        <w:wordWrap/>
        <w:overflowPunct/>
        <w:topLinePunct w:val="0"/>
        <w:bidi w:val="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（2）</w:t>
      </w:r>
      <w:r>
        <w:rPr>
          <w:rFonts w:asciiTheme="majorEastAsia" w:hAnsiTheme="majorEastAsia" w:eastAsiaTheme="majorEastAsia"/>
          <w:bCs/>
          <w:snapToGrid w:val="0"/>
          <w:color w:val="auto"/>
          <w:sz w:val="21"/>
          <w:szCs w:val="21"/>
          <w:highlight w:val="none"/>
        </w:rPr>
        <w:t>明显不符合磋商文件要求的，或者与</w:t>
      </w:r>
      <w:r>
        <w:rPr>
          <w:rFonts w:asciiTheme="majorEastAsia" w:hAnsiTheme="majorEastAsia" w:eastAsiaTheme="majorEastAsia"/>
          <w:bCs/>
          <w:color w:val="auto"/>
          <w:sz w:val="21"/>
          <w:szCs w:val="21"/>
          <w:highlight w:val="none"/>
        </w:rPr>
        <w:t>磋商文件</w:t>
      </w:r>
      <w:r>
        <w:rPr>
          <w:rFonts w:hint="eastAsia" w:asciiTheme="majorEastAsia" w:hAnsiTheme="majorEastAsia" w:eastAsiaTheme="majorEastAsia"/>
          <w:bCs/>
          <w:color w:val="auto"/>
          <w:sz w:val="21"/>
          <w:szCs w:val="21"/>
          <w:highlight w:val="none"/>
        </w:rPr>
        <w:t>确定成交</w:t>
      </w:r>
      <w:r>
        <w:rPr>
          <w:rFonts w:asciiTheme="majorEastAsia" w:hAnsiTheme="majorEastAsia" w:eastAsiaTheme="majorEastAsia"/>
          <w:bCs/>
          <w:color w:val="auto"/>
          <w:sz w:val="21"/>
          <w:szCs w:val="21"/>
          <w:highlight w:val="none"/>
        </w:rPr>
        <w:t>“*”的技术条款发生实质性偏离的；</w:t>
      </w:r>
    </w:p>
    <w:p w14:paraId="6EF44599">
      <w:pPr>
        <w:pStyle w:val="20"/>
        <w:keepNext w:val="0"/>
        <w:keepLines w:val="0"/>
        <w:pageBreakBefore w:val="0"/>
        <w:widowControl w:val="0"/>
        <w:shd w:val="clear"/>
        <w:kinsoku/>
        <w:wordWrap/>
        <w:overflowPunct/>
        <w:topLinePunct w:val="0"/>
        <w:bidi w:val="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（3）技术方案不明确，存在一个或一个以上备选（替代）方案的；</w:t>
      </w:r>
    </w:p>
    <w:p w14:paraId="09B1DFAA">
      <w:pPr>
        <w:pStyle w:val="20"/>
        <w:keepNext w:val="0"/>
        <w:keepLines w:val="0"/>
        <w:pageBreakBefore w:val="0"/>
        <w:widowControl w:val="0"/>
        <w:shd w:val="clear"/>
        <w:kinsoku/>
        <w:wordWrap/>
        <w:overflowPunct/>
        <w:topLinePunct w:val="0"/>
        <w:bidi w:val="0"/>
        <w:spacing w:line="360" w:lineRule="auto"/>
        <w:ind w:firstLine="398" w:firstLineChars="196"/>
        <w:contextualSpacing/>
        <w:rPr>
          <w:rFonts w:asciiTheme="majorEastAsia" w:hAnsiTheme="majorEastAsia" w:eastAsiaTheme="majorEastAsia"/>
          <w:b/>
          <w:bCs/>
          <w:color w:val="auto"/>
          <w:sz w:val="21"/>
          <w:szCs w:val="21"/>
          <w:highlight w:val="none"/>
        </w:rPr>
      </w:pPr>
      <w:r>
        <w:rPr>
          <w:rFonts w:hint="eastAsia" w:asciiTheme="majorEastAsia" w:hAnsiTheme="majorEastAsia" w:eastAsiaTheme="majorEastAsia"/>
          <w:b/>
          <w:bCs/>
          <w:color w:val="auto"/>
          <w:sz w:val="21"/>
          <w:szCs w:val="21"/>
          <w:highlight w:val="none"/>
        </w:rPr>
        <w:t>5</w:t>
      </w:r>
      <w:r>
        <w:rPr>
          <w:rFonts w:asciiTheme="majorEastAsia" w:hAnsiTheme="majorEastAsia" w:eastAsiaTheme="majorEastAsia"/>
          <w:b/>
          <w:bCs/>
          <w:color w:val="auto"/>
          <w:sz w:val="21"/>
          <w:szCs w:val="21"/>
          <w:highlight w:val="none"/>
        </w:rPr>
        <w:t>.在报价评审时，如发现下列情形之一的，响应文件将被视为无效：</w:t>
      </w:r>
    </w:p>
    <w:p w14:paraId="6C40A956">
      <w:pPr>
        <w:pStyle w:val="20"/>
        <w:keepNext w:val="0"/>
        <w:keepLines w:val="0"/>
        <w:pageBreakBefore w:val="0"/>
        <w:widowControl w:val="0"/>
        <w:shd w:val="clear"/>
        <w:kinsoku/>
        <w:wordWrap/>
        <w:overflowPunct/>
        <w:topLinePunct w:val="0"/>
        <w:bidi w:val="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（1）未采用响应文件要求的报价形式报价的，或报价超过采购预算/最高限价的；</w:t>
      </w:r>
    </w:p>
    <w:p w14:paraId="3E1D4C7F">
      <w:pPr>
        <w:pStyle w:val="20"/>
        <w:keepNext w:val="0"/>
        <w:keepLines w:val="0"/>
        <w:pageBreakBefore w:val="0"/>
        <w:widowControl w:val="0"/>
        <w:shd w:val="clear"/>
        <w:kinsoku/>
        <w:wordWrap/>
        <w:overflowPunct/>
        <w:topLinePunct w:val="0"/>
        <w:bidi w:val="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（2）报价具有选择性；</w:t>
      </w:r>
    </w:p>
    <w:p w14:paraId="3B8DEECE">
      <w:pPr>
        <w:pStyle w:val="20"/>
        <w:keepNext w:val="0"/>
        <w:keepLines w:val="0"/>
        <w:pageBreakBefore w:val="0"/>
        <w:widowControl w:val="0"/>
        <w:shd w:val="clear"/>
        <w:kinsoku/>
        <w:wordWrap/>
        <w:overflowPunct/>
        <w:topLinePunct w:val="0"/>
        <w:bidi w:val="0"/>
        <w:spacing w:line="360" w:lineRule="auto"/>
        <w:ind w:firstLine="395" w:firstLineChars="196"/>
        <w:contextualSpacing/>
        <w:rPr>
          <w:rFonts w:asciiTheme="majorEastAsia" w:hAnsiTheme="majorEastAsia" w:eastAsiaTheme="majorEastAsia"/>
          <w:b/>
          <w:bCs/>
          <w:color w:val="auto"/>
          <w:sz w:val="21"/>
          <w:szCs w:val="21"/>
          <w:highlight w:val="none"/>
        </w:rPr>
      </w:pPr>
      <w:r>
        <w:rPr>
          <w:rFonts w:asciiTheme="majorEastAsia" w:hAnsiTheme="majorEastAsia" w:eastAsiaTheme="majorEastAsia"/>
          <w:bCs/>
          <w:color w:val="auto"/>
          <w:sz w:val="21"/>
          <w:szCs w:val="21"/>
          <w:highlight w:val="none"/>
        </w:rPr>
        <w:t>（3）</w:t>
      </w:r>
      <w:r>
        <w:rPr>
          <w:rFonts w:asciiTheme="majorEastAsia" w:hAnsiTheme="majorEastAsia" w:eastAsiaTheme="majorEastAsia"/>
          <w:color w:val="auto"/>
          <w:sz w:val="21"/>
          <w:szCs w:val="21"/>
          <w:highlight w:val="none"/>
        </w:rPr>
        <w:t>磋商小组认为供应商的报价明显低于其他通过符合性审查供应商的报价，有可能影响产品质量或者不能诚信履约的，</w:t>
      </w:r>
      <w:r>
        <w:rPr>
          <w:rFonts w:hint="eastAsia" w:asciiTheme="majorEastAsia" w:hAnsiTheme="majorEastAsia" w:eastAsiaTheme="majorEastAsia"/>
          <w:bCs/>
          <w:color w:val="auto"/>
          <w:sz w:val="21"/>
          <w:szCs w:val="21"/>
          <w:highlight w:val="none"/>
        </w:rPr>
        <w:t>可要求其在评审现场合理的时间内提供书面说明，必要时提交相关证明材料；供应商不能证明其报价合理性的，磋商小组应当将其作为无效响应处理</w:t>
      </w:r>
      <w:r>
        <w:rPr>
          <w:rFonts w:asciiTheme="majorEastAsia" w:hAnsiTheme="majorEastAsia" w:eastAsiaTheme="majorEastAsia"/>
          <w:color w:val="auto"/>
          <w:sz w:val="21"/>
          <w:szCs w:val="21"/>
          <w:highlight w:val="none"/>
        </w:rPr>
        <w:t>。</w:t>
      </w:r>
    </w:p>
    <w:p w14:paraId="74E9379D">
      <w:pPr>
        <w:pStyle w:val="20"/>
        <w:keepNext w:val="0"/>
        <w:keepLines w:val="0"/>
        <w:pageBreakBefore w:val="0"/>
        <w:widowControl w:val="0"/>
        <w:shd w:val="clear"/>
        <w:kinsoku/>
        <w:wordWrap/>
        <w:overflowPunct/>
        <w:topLinePunct w:val="0"/>
        <w:bidi w:val="0"/>
        <w:spacing w:line="360" w:lineRule="auto"/>
        <w:ind w:firstLine="398" w:firstLineChars="196"/>
        <w:contextualSpacing/>
        <w:rPr>
          <w:rFonts w:asciiTheme="majorEastAsia" w:hAnsiTheme="majorEastAsia" w:eastAsiaTheme="majorEastAsia"/>
          <w:b/>
          <w:bCs/>
          <w:color w:val="auto"/>
          <w:sz w:val="21"/>
          <w:szCs w:val="21"/>
          <w:highlight w:val="none"/>
        </w:rPr>
      </w:pPr>
      <w:r>
        <w:rPr>
          <w:rFonts w:hint="eastAsia" w:asciiTheme="majorEastAsia" w:hAnsiTheme="majorEastAsia" w:eastAsiaTheme="majorEastAsia"/>
          <w:b/>
          <w:bCs/>
          <w:color w:val="auto"/>
          <w:sz w:val="21"/>
          <w:szCs w:val="21"/>
          <w:highlight w:val="none"/>
        </w:rPr>
        <w:t>6</w:t>
      </w:r>
      <w:r>
        <w:rPr>
          <w:rFonts w:asciiTheme="majorEastAsia" w:hAnsiTheme="majorEastAsia" w:eastAsiaTheme="majorEastAsia"/>
          <w:b/>
          <w:bCs/>
          <w:color w:val="auto"/>
          <w:sz w:val="21"/>
          <w:szCs w:val="21"/>
          <w:highlight w:val="none"/>
        </w:rPr>
        <w:t>.被拒绝的响应文件为无效。</w:t>
      </w:r>
    </w:p>
    <w:p w14:paraId="632FA572">
      <w:pPr>
        <w:pStyle w:val="14"/>
        <w:keepNext w:val="0"/>
        <w:keepLines w:val="0"/>
        <w:pageBreakBefore w:val="0"/>
        <w:widowControl w:val="0"/>
        <w:shd w:val="clear"/>
        <w:tabs>
          <w:tab w:val="clear" w:pos="454"/>
        </w:tabs>
        <w:kinsoku/>
        <w:wordWrap/>
        <w:overflowPunct/>
        <w:topLinePunct w:val="0"/>
        <w:bidi w:val="0"/>
        <w:spacing w:afterLines="0" w:line="360" w:lineRule="auto"/>
        <w:ind w:left="0" w:leftChars="0" w:firstLine="0" w:firstLineChars="0"/>
        <w:contextualSpacing/>
        <w:rPr>
          <w:rFonts w:asciiTheme="majorEastAsia" w:hAnsiTheme="majorEastAsia" w:eastAsiaTheme="majorEastAsia"/>
          <w:b/>
          <w:color w:val="auto"/>
          <w:sz w:val="21"/>
          <w:szCs w:val="21"/>
          <w:highlight w:val="none"/>
        </w:rPr>
      </w:pPr>
    </w:p>
    <w:p w14:paraId="7C4177FE">
      <w:pPr>
        <w:pStyle w:val="14"/>
        <w:keepNext w:val="0"/>
        <w:keepLines w:val="0"/>
        <w:pageBreakBefore w:val="0"/>
        <w:widowControl w:val="0"/>
        <w:shd w:val="clear"/>
        <w:tabs>
          <w:tab w:val="clear" w:pos="454"/>
        </w:tabs>
        <w:kinsoku/>
        <w:wordWrap/>
        <w:overflowPunct/>
        <w:topLinePunct w:val="0"/>
        <w:bidi w:val="0"/>
        <w:spacing w:afterLines="0" w:line="360" w:lineRule="auto"/>
        <w:ind w:left="0" w:leftChars="0" w:firstLine="0" w:firstLineChars="0"/>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四、磋商程序</w:t>
      </w:r>
    </w:p>
    <w:p w14:paraId="6B2E8760">
      <w:pPr>
        <w:pStyle w:val="25"/>
        <w:keepNext w:val="0"/>
        <w:keepLines w:val="0"/>
        <w:pageBreakBefore w:val="0"/>
        <w:widowControl w:val="0"/>
        <w:shd w:val="clear"/>
        <w:kinsoku/>
        <w:wordWrap/>
        <w:overflowPunct/>
        <w:topLinePunct w:val="0"/>
        <w:bidi w:val="0"/>
        <w:spacing w:beforeLines="0" w:afterLines="0" w:line="360" w:lineRule="auto"/>
        <w:ind w:firstLine="413" w:firstLineChars="196"/>
        <w:contextualSpacing/>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（一）磋商准备</w:t>
      </w:r>
    </w:p>
    <w:p w14:paraId="1C9EBCB0">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bCs/>
          <w:color w:val="auto"/>
          <w:highlight w:val="none"/>
        </w:rPr>
      </w:pPr>
      <w:r>
        <w:rPr>
          <w:rFonts w:asciiTheme="majorEastAsia" w:hAnsiTheme="majorEastAsia" w:eastAsiaTheme="majorEastAsia"/>
          <w:bCs/>
          <w:color w:val="auto"/>
          <w:highlight w:val="none"/>
        </w:rPr>
        <w:t>采购代理机构将在规定的时间和地点进行磋商，供应商的法定代表人（负责人）或其授权代表应参加磋商并签到。供应商的法定代表人（负责人）或其授权代表未按时签到的，视同放弃磋商权利、认可磋商结果。</w:t>
      </w:r>
    </w:p>
    <w:p w14:paraId="5AEEAB5C">
      <w:pPr>
        <w:pStyle w:val="25"/>
        <w:keepNext w:val="0"/>
        <w:keepLines w:val="0"/>
        <w:pageBreakBefore w:val="0"/>
        <w:widowControl w:val="0"/>
        <w:shd w:val="clear"/>
        <w:kinsoku/>
        <w:wordWrap/>
        <w:overflowPunct/>
        <w:topLinePunct w:val="0"/>
        <w:bidi w:val="0"/>
        <w:spacing w:beforeLines="0" w:afterLines="0" w:line="360" w:lineRule="auto"/>
        <w:ind w:firstLine="413" w:firstLineChars="196"/>
        <w:contextualSpacing/>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（二）磋商程序：</w:t>
      </w:r>
    </w:p>
    <w:p w14:paraId="6C2834B5">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bCs/>
          <w:color w:val="auto"/>
          <w:szCs w:val="21"/>
          <w:highlight w:val="none"/>
        </w:rPr>
      </w:pPr>
      <w:r>
        <w:rPr>
          <w:rFonts w:hint="eastAsia" w:cs="宋体" w:asciiTheme="majorEastAsia" w:hAnsiTheme="majorEastAsia" w:eastAsiaTheme="majorEastAsia"/>
          <w:bCs/>
          <w:color w:val="auto"/>
          <w:szCs w:val="21"/>
          <w:highlight w:val="none"/>
        </w:rPr>
        <w:t>1、电子招投标开标程序：</w:t>
      </w:r>
    </w:p>
    <w:p w14:paraId="2E2DA4FF">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响应文件在线解密：</w:t>
      </w:r>
    </w:p>
    <w:p w14:paraId="4ED31F42">
      <w:pPr>
        <w:keepNext w:val="0"/>
        <w:keepLines w:val="0"/>
        <w:pageBreakBefore w:val="0"/>
        <w:widowControl w:val="0"/>
        <w:numPr>
          <w:ilvl w:val="0"/>
          <w:numId w:val="5"/>
        </w:numPr>
        <w:shd w:val="clear"/>
        <w:kinsoku/>
        <w:wordWrap/>
        <w:overflowPunct/>
        <w:topLinePunct w:val="0"/>
        <w:bidi w:val="0"/>
        <w:adjustRightInd w:val="0"/>
        <w:spacing w:line="360" w:lineRule="auto"/>
        <w:ind w:firstLine="420"/>
        <w:contextualSpacing/>
        <w:jc w:val="left"/>
        <w:textAlignment w:val="baseline"/>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首次递交响应文件截止时间后，供应商登录政府采购云平台，用“项目采购-开标评标”功能对电子响应文件进行在线解密，在线解密电子响应文件时间为首次提交响应文件截止后</w:t>
      </w:r>
      <w:r>
        <w:rPr>
          <w:rFonts w:hint="eastAsia" w:cs="宋体" w:asciiTheme="majorEastAsia" w:hAnsiTheme="majorEastAsia" w:eastAsiaTheme="majorEastAsia"/>
          <w:color w:val="auto"/>
          <w:szCs w:val="21"/>
          <w:highlight w:val="none"/>
          <w:lang w:val="en-US" w:eastAsia="zh-CN"/>
        </w:rPr>
        <w:t>30</w:t>
      </w:r>
      <w:r>
        <w:rPr>
          <w:rFonts w:hint="eastAsia" w:cs="宋体" w:asciiTheme="majorEastAsia" w:hAnsiTheme="majorEastAsia" w:eastAsiaTheme="majorEastAsia"/>
          <w:color w:val="auto"/>
          <w:szCs w:val="21"/>
          <w:highlight w:val="none"/>
          <w:lang w:eastAsia="zh-CN"/>
        </w:rPr>
        <w:t>分钟</w:t>
      </w:r>
      <w:r>
        <w:rPr>
          <w:rFonts w:hint="eastAsia" w:cs="宋体" w:asciiTheme="majorEastAsia" w:hAnsiTheme="majorEastAsia" w:eastAsiaTheme="majorEastAsia"/>
          <w:color w:val="auto"/>
          <w:szCs w:val="21"/>
          <w:highlight w:val="none"/>
        </w:rPr>
        <w:t>内。</w:t>
      </w:r>
    </w:p>
    <w:p w14:paraId="2F9E23B3">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响应文件评审：</w:t>
      </w:r>
    </w:p>
    <w:p w14:paraId="64AB875A">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bCs/>
          <w:color w:val="auto"/>
          <w:kern w:val="0"/>
          <w:szCs w:val="21"/>
          <w:highlight w:val="none"/>
        </w:rPr>
        <w:t>（</w:t>
      </w:r>
      <w:r>
        <w:rPr>
          <w:rFonts w:hint="eastAsia" w:cs="宋体" w:asciiTheme="majorEastAsia" w:hAnsiTheme="majorEastAsia" w:eastAsiaTheme="majorEastAsia"/>
          <w:color w:val="auto"/>
          <w:szCs w:val="21"/>
          <w:highlight w:val="none"/>
        </w:rPr>
        <w:t>1）磋商小组查阅响应文件，不符合资格审查的供应商将被拒绝。</w:t>
      </w:r>
    </w:p>
    <w:p w14:paraId="1DD8D6D8">
      <w:pPr>
        <w:keepNext w:val="0"/>
        <w:keepLines w:val="0"/>
        <w:pageBreakBefore w:val="0"/>
        <w:widowControl w:val="0"/>
        <w:numPr>
          <w:ilvl w:val="0"/>
          <w:numId w:val="5"/>
        </w:numPr>
        <w:shd w:val="clear"/>
        <w:kinsoku/>
        <w:wordWrap/>
        <w:overflowPunct/>
        <w:topLinePunct w:val="0"/>
        <w:bidi w:val="0"/>
        <w:adjustRightInd w:val="0"/>
        <w:spacing w:line="360" w:lineRule="auto"/>
        <w:ind w:firstLine="420"/>
        <w:contextualSpacing/>
        <w:jc w:val="left"/>
        <w:textAlignment w:val="baseline"/>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如磋商小组对响应文件有疑义，将向响应供应商在线发送询标函，供应商应在规定的时间内对在线询标函做出询标澄清。逾期澄清或未澄清的供应商视同认可磋商结果。</w:t>
      </w:r>
    </w:p>
    <w:p w14:paraId="67064F55">
      <w:pPr>
        <w:keepNext w:val="0"/>
        <w:keepLines w:val="0"/>
        <w:pageBreakBefore w:val="0"/>
        <w:widowControl w:val="0"/>
        <w:numPr>
          <w:ilvl w:val="0"/>
          <w:numId w:val="5"/>
        </w:numPr>
        <w:shd w:val="clear"/>
        <w:kinsoku/>
        <w:wordWrap/>
        <w:overflowPunct/>
        <w:topLinePunct w:val="0"/>
        <w:bidi w:val="0"/>
        <w:adjustRightInd w:val="0"/>
        <w:spacing w:line="360" w:lineRule="auto"/>
        <w:ind w:firstLine="422"/>
        <w:contextualSpacing/>
        <w:jc w:val="left"/>
        <w:textAlignment w:val="baseline"/>
        <w:rPr>
          <w:rFonts w:cs="宋体" w:asciiTheme="majorEastAsia" w:hAnsiTheme="majorEastAsia" w:eastAsiaTheme="majorEastAsia"/>
          <w:b/>
          <w:bCs/>
          <w:color w:val="auto"/>
          <w:szCs w:val="21"/>
          <w:highlight w:val="none"/>
        </w:rPr>
      </w:pPr>
      <w:r>
        <w:rPr>
          <w:rFonts w:hint="eastAsia" w:cs="宋体" w:asciiTheme="majorEastAsia" w:hAnsiTheme="majorEastAsia" w:eastAsiaTheme="majorEastAsia"/>
          <w:b/>
          <w:bCs/>
          <w:color w:val="auto"/>
          <w:szCs w:val="21"/>
          <w:highlight w:val="none"/>
        </w:rPr>
        <w:t>在磋商过程中，磋商小组可以根据磋商文件和磋商情况实质性变动采购需求中的技术、服务要求以及合同草案条款；对磋商文件作出的实质性变动是磋商文件的有效组成部分，磋商小组以在线询标的形式同时通知所有参加磋商的供应商。供应商按照磋商文件的变动情况和磋商小组的要求在规定时间内提交响应文件（或补充文件），并由其法定代表人（负责人）或授权代表签字或加盖公章。递交的响应文件（或补充文件）具有相应的法律效力；磋商结束后，磋商小组要求所有实质性响应的供应商在规定时间内在线提交最终报价。最终报价是供应商响应文件的有效组成部分。</w:t>
      </w:r>
    </w:p>
    <w:p w14:paraId="151A0E23">
      <w:pPr>
        <w:keepNext w:val="0"/>
        <w:keepLines w:val="0"/>
        <w:pageBreakBefore w:val="0"/>
        <w:widowControl w:val="0"/>
        <w:numPr>
          <w:ilvl w:val="0"/>
          <w:numId w:val="5"/>
        </w:numPr>
        <w:shd w:val="clear"/>
        <w:kinsoku/>
        <w:wordWrap/>
        <w:overflowPunct/>
        <w:topLinePunct w:val="0"/>
        <w:bidi w:val="0"/>
        <w:adjustRightInd w:val="0"/>
        <w:spacing w:line="360" w:lineRule="auto"/>
        <w:ind w:firstLine="420"/>
        <w:contextualSpacing/>
        <w:jc w:val="left"/>
        <w:textAlignment w:val="baseline"/>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经磋商确定最终采购需求和提交最终报价的供应商后，由磋商小组采用综合评分法对提交最终报价的供应商的响应文件和最终报价进行综合评分</w:t>
      </w:r>
      <w:r>
        <w:rPr>
          <w:rFonts w:hint="eastAsia" w:cs="宋体" w:asciiTheme="majorEastAsia" w:hAnsiTheme="majorEastAsia" w:eastAsiaTheme="majorEastAsia"/>
          <w:color w:val="auto"/>
          <w:szCs w:val="21"/>
          <w:highlight w:val="none"/>
          <w:lang w:eastAsia="zh-CN"/>
        </w:rPr>
        <w:t>。</w:t>
      </w:r>
    </w:p>
    <w:p w14:paraId="6E59002A">
      <w:pPr>
        <w:keepNext w:val="0"/>
        <w:keepLines w:val="0"/>
        <w:pageBreakBefore w:val="0"/>
        <w:widowControl w:val="0"/>
        <w:numPr>
          <w:ilvl w:val="0"/>
          <w:numId w:val="5"/>
        </w:numPr>
        <w:shd w:val="clear"/>
        <w:kinsoku/>
        <w:wordWrap/>
        <w:overflowPunct/>
        <w:topLinePunct w:val="0"/>
        <w:bidi w:val="0"/>
        <w:adjustRightInd w:val="0"/>
        <w:spacing w:line="360" w:lineRule="auto"/>
        <w:ind w:firstLine="420"/>
        <w:contextualSpacing/>
        <w:jc w:val="left"/>
        <w:textAlignment w:val="baseline"/>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磋商小组根据综合评分情况，按照评审得分由高到低顺序推荐3名及以上成交候选供应商，并编写评审报告。若评审得分相同，则报价低者</w:t>
      </w:r>
      <w:r>
        <w:rPr>
          <w:rFonts w:hint="eastAsia" w:cs="宋体" w:asciiTheme="majorEastAsia" w:hAnsiTheme="majorEastAsia" w:eastAsiaTheme="majorEastAsia"/>
          <w:color w:val="auto"/>
          <w:szCs w:val="21"/>
          <w:highlight w:val="none"/>
          <w:lang w:eastAsia="zh-CN"/>
        </w:rPr>
        <w:t>排名在前</w:t>
      </w:r>
      <w:r>
        <w:rPr>
          <w:rFonts w:hint="eastAsia" w:cs="宋体" w:asciiTheme="majorEastAsia" w:hAnsiTheme="majorEastAsia" w:eastAsiaTheme="majorEastAsia"/>
          <w:color w:val="auto"/>
          <w:szCs w:val="21"/>
          <w:highlight w:val="none"/>
        </w:rPr>
        <w:t>；评审得分且最终报价相同的则由抽签决定成交候选人</w:t>
      </w:r>
      <w:r>
        <w:rPr>
          <w:rFonts w:hint="eastAsia" w:cs="宋体" w:asciiTheme="majorEastAsia" w:hAnsiTheme="majorEastAsia" w:eastAsiaTheme="majorEastAsia"/>
          <w:color w:val="auto"/>
          <w:szCs w:val="21"/>
          <w:highlight w:val="none"/>
          <w:lang w:eastAsia="zh-CN"/>
        </w:rPr>
        <w:t>，先抽中者排名在前</w:t>
      </w:r>
      <w:r>
        <w:rPr>
          <w:rFonts w:hint="eastAsia" w:cs="宋体" w:asciiTheme="majorEastAsia" w:hAnsiTheme="majorEastAsia" w:eastAsiaTheme="majorEastAsia"/>
          <w:color w:val="auto"/>
          <w:szCs w:val="21"/>
          <w:highlight w:val="none"/>
        </w:rPr>
        <w:t>。</w:t>
      </w:r>
    </w:p>
    <w:p w14:paraId="3C89C18A">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（6）在</w:t>
      </w:r>
      <w:r>
        <w:rPr>
          <w:rFonts w:hint="eastAsia" w:cs="宋体" w:asciiTheme="majorEastAsia" w:hAnsiTheme="majorEastAsia" w:eastAsiaTheme="majorEastAsia"/>
          <w:color w:val="auto"/>
          <w:kern w:val="0"/>
          <w:szCs w:val="21"/>
          <w:highlight w:val="none"/>
        </w:rPr>
        <w:t>政府采购云平台</w:t>
      </w:r>
      <w:r>
        <w:rPr>
          <w:rFonts w:hint="eastAsia" w:cs="宋体" w:asciiTheme="majorEastAsia" w:hAnsiTheme="majorEastAsia" w:eastAsiaTheme="majorEastAsia"/>
          <w:color w:val="auto"/>
          <w:szCs w:val="21"/>
          <w:highlight w:val="none"/>
        </w:rPr>
        <w:t>公布评审结果。</w:t>
      </w:r>
    </w:p>
    <w:p w14:paraId="5A380717">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（7）磋商会议结束。</w:t>
      </w:r>
    </w:p>
    <w:p w14:paraId="62EB19D0">
      <w:pPr>
        <w:keepNext w:val="0"/>
        <w:keepLines w:val="0"/>
        <w:pageBreakBefore w:val="0"/>
        <w:widowControl w:val="0"/>
        <w:shd w:val="clear"/>
        <w:kinsoku/>
        <w:wordWrap/>
        <w:overflowPunct/>
        <w:topLinePunct w:val="0"/>
        <w:bidi w:val="0"/>
        <w:spacing w:line="360" w:lineRule="auto"/>
        <w:ind w:firstLine="420" w:firstLineChars="200"/>
        <w:contextualSpacing/>
        <w:jc w:val="left"/>
        <w:rPr>
          <w:rFonts w:hint="eastAsia"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（8）采购人从评审报告提出的成交候选供应商中，按照得分排序由高到低的原则确定排名第一的成交候选供应商为成交供应商。采购代理机构在</w:t>
      </w:r>
      <w:r>
        <w:rPr>
          <w:rFonts w:hint="eastAsia" w:cs="宋体" w:asciiTheme="majorEastAsia" w:hAnsiTheme="majorEastAsia" w:eastAsiaTheme="majorEastAsia"/>
          <w:color w:val="auto"/>
          <w:szCs w:val="21"/>
          <w:highlight w:val="none"/>
          <w:lang w:eastAsia="zh-CN"/>
        </w:rPr>
        <w:t>采购公告发布网站</w:t>
      </w:r>
      <w:r>
        <w:rPr>
          <w:rFonts w:hint="eastAsia" w:cs="宋体" w:asciiTheme="majorEastAsia" w:hAnsiTheme="majorEastAsia" w:eastAsiaTheme="majorEastAsia"/>
          <w:color w:val="auto"/>
          <w:szCs w:val="21"/>
          <w:highlight w:val="none"/>
        </w:rPr>
        <w:t>上公布成交结果。</w:t>
      </w:r>
    </w:p>
    <w:p w14:paraId="1BA23E3C">
      <w:pPr>
        <w:keepNext w:val="0"/>
        <w:keepLines w:val="0"/>
        <w:pageBreakBefore w:val="0"/>
        <w:widowControl w:val="0"/>
        <w:numPr>
          <w:ilvl w:val="0"/>
          <w:numId w:val="6"/>
        </w:numPr>
        <w:shd w:val="clear"/>
        <w:kinsoku/>
        <w:wordWrap/>
        <w:overflowPunct/>
        <w:topLinePunct w:val="0"/>
        <w:bidi w:val="0"/>
        <w:adjustRightInd w:val="0"/>
        <w:spacing w:line="360" w:lineRule="auto"/>
        <w:ind w:firstLine="420" w:firstLineChars="200"/>
        <w:contextualSpacing/>
        <w:jc w:val="left"/>
        <w:textAlignment w:val="baseline"/>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线下开标程序：</w:t>
      </w:r>
    </w:p>
    <w:p w14:paraId="7327A469">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响应文件开启：</w:t>
      </w:r>
    </w:p>
    <w:p w14:paraId="1D2DD513">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（1）磋商会议由采购代理机构主持，主持人宣布磋商会议开始；</w:t>
      </w:r>
    </w:p>
    <w:p w14:paraId="39E77D71">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bookmarkStart w:id="21" w:name="_Toc396115156"/>
      <w:r>
        <w:rPr>
          <w:rFonts w:hint="eastAsia" w:cs="宋体" w:asciiTheme="majorEastAsia" w:hAnsiTheme="majorEastAsia" w:eastAsiaTheme="majorEastAsia"/>
          <w:color w:val="auto"/>
          <w:szCs w:val="21"/>
          <w:highlight w:val="none"/>
        </w:rPr>
        <w:t>（2）主持人宣布评标期间的有关事项，告知应当回避的情形,提请有关人员回避；</w:t>
      </w:r>
      <w:bookmarkEnd w:id="21"/>
    </w:p>
    <w:p w14:paraId="7ADB3C2A">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bookmarkStart w:id="22" w:name="_Toc396115157"/>
      <w:r>
        <w:rPr>
          <w:rFonts w:hint="eastAsia" w:cs="宋体" w:asciiTheme="majorEastAsia" w:hAnsiTheme="majorEastAsia" w:eastAsiaTheme="majorEastAsia"/>
          <w:color w:val="auto"/>
          <w:szCs w:val="21"/>
          <w:highlight w:val="none"/>
        </w:rPr>
        <w:t>（4）</w:t>
      </w:r>
      <w:bookmarkEnd w:id="22"/>
      <w:bookmarkStart w:id="23" w:name="_Toc396115158"/>
      <w:r>
        <w:rPr>
          <w:rFonts w:hint="eastAsia" w:cs="宋体" w:asciiTheme="majorEastAsia" w:hAnsiTheme="majorEastAsia" w:eastAsiaTheme="majorEastAsia"/>
          <w:color w:val="auto"/>
          <w:szCs w:val="21"/>
          <w:highlight w:val="none"/>
        </w:rPr>
        <w:t>由供应商或其当场推荐的代表检查磋商文件密封的完整性；</w:t>
      </w:r>
    </w:p>
    <w:bookmarkEnd w:id="23"/>
    <w:p w14:paraId="7AA43D0C">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bookmarkStart w:id="24" w:name="_Toc396115159"/>
      <w:r>
        <w:rPr>
          <w:rFonts w:hint="eastAsia" w:cs="宋体" w:asciiTheme="majorEastAsia" w:hAnsiTheme="majorEastAsia" w:eastAsiaTheme="majorEastAsia"/>
          <w:color w:val="auto"/>
          <w:szCs w:val="21"/>
          <w:highlight w:val="none"/>
        </w:rPr>
        <w:t>响应文件评审：</w:t>
      </w:r>
    </w:p>
    <w:bookmarkEnd w:id="24"/>
    <w:p w14:paraId="7D047141">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（1）磋商小组查阅响应文件，不符合资格审查的供应商将被拒绝。</w:t>
      </w:r>
    </w:p>
    <w:p w14:paraId="2E873605">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（2）磋商小组依照顺序与进入磋商的单一供应商分别进行磋商。</w:t>
      </w:r>
    </w:p>
    <w:p w14:paraId="23EE4A6F">
      <w:pPr>
        <w:keepNext w:val="0"/>
        <w:keepLines w:val="0"/>
        <w:pageBreakBefore w:val="0"/>
        <w:widowControl w:val="0"/>
        <w:shd w:val="clear"/>
        <w:kinsoku/>
        <w:wordWrap/>
        <w:overflowPunct/>
        <w:topLinePunct w:val="0"/>
        <w:bidi w:val="0"/>
        <w:spacing w:line="360" w:lineRule="auto"/>
        <w:ind w:firstLine="422" w:firstLineChars="200"/>
        <w:contextualSpacing/>
        <w:jc w:val="left"/>
        <w:rPr>
          <w:rFonts w:cs="宋体" w:asciiTheme="majorEastAsia" w:hAnsiTheme="majorEastAsia" w:eastAsiaTheme="majorEastAsia"/>
          <w:b/>
          <w:bCs/>
          <w:color w:val="auto"/>
          <w:szCs w:val="21"/>
          <w:highlight w:val="none"/>
        </w:rPr>
      </w:pPr>
      <w:r>
        <w:rPr>
          <w:rFonts w:hint="eastAsia" w:cs="宋体" w:asciiTheme="majorEastAsia" w:hAnsiTheme="majorEastAsia" w:eastAsiaTheme="majorEastAsia"/>
          <w:b/>
          <w:bCs/>
          <w:color w:val="auto"/>
          <w:szCs w:val="21"/>
          <w:highlight w:val="none"/>
        </w:rPr>
        <w:t>（3）在磋商过程中，磋商小组可以根据磋商文件和磋商情况实质性变动采购需求中的技术、服务要求以及合同草案条款；对磋商文件作出的实质性变动是磋商文件的有效组成部分，磋商小组将通过书面形式同时通知所有参加磋商的供应商。供应商按照磋商文件的变动情况和磋商小组的要求在规定时间内重新提交响应文件（或补充文件），并由其法定代表人（负责人）或授权代表签字或加盖公章。重新递交的响应文件（或补充文件）具有相应的法律效力；磋商结束后，磋商小组要求所有实质性响应的供应商在规定时间内提交最终报价。最终报价是供应商响应文件的有效组成部分。</w:t>
      </w:r>
    </w:p>
    <w:p w14:paraId="634BAE87">
      <w:pPr>
        <w:keepNext w:val="0"/>
        <w:keepLines w:val="0"/>
        <w:pageBreakBefore w:val="0"/>
        <w:widowControl w:val="0"/>
        <w:shd w:val="clear"/>
        <w:kinsoku/>
        <w:wordWrap/>
        <w:overflowPunct/>
        <w:topLinePunct w:val="0"/>
        <w:bidi w:val="0"/>
        <w:spacing w:line="360" w:lineRule="auto"/>
        <w:ind w:firstLine="422" w:firstLineChars="200"/>
        <w:contextualSpacing/>
        <w:jc w:val="left"/>
        <w:rPr>
          <w:rFonts w:cs="宋体" w:asciiTheme="majorEastAsia" w:hAnsiTheme="majorEastAsia" w:eastAsiaTheme="majorEastAsia"/>
          <w:b/>
          <w:bCs/>
          <w:color w:val="auto"/>
          <w:szCs w:val="21"/>
          <w:highlight w:val="none"/>
        </w:rPr>
      </w:pPr>
      <w:r>
        <w:rPr>
          <w:rFonts w:hint="eastAsia" w:cs="宋体" w:asciiTheme="majorEastAsia" w:hAnsiTheme="majorEastAsia" w:eastAsiaTheme="majorEastAsia"/>
          <w:b/>
          <w:bCs/>
          <w:color w:val="auto"/>
          <w:szCs w:val="21"/>
          <w:highlight w:val="none"/>
        </w:rPr>
        <w:t>注：如供应商未到现场，则磋商小组将通过邮件形式进行通知。如供应商未按照磋商文件的变动情况和磋商小组的要求在规定时间内重新提交响应文件（或补充文件）且未在规定时间内提交最终报价的；视同认可磋商文件的变动情况且响应文件中的报价作为最终报价。请未到场的供应商务必保持联络畅通。</w:t>
      </w:r>
    </w:p>
    <w:p w14:paraId="1740CF65">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（4）经磋商确定最终采购需求和提交最终报价的供应商后，由磋商小组采用综合评分法对提交最终报价的供应商的响应文件和最终报价进行综合评分；</w:t>
      </w:r>
    </w:p>
    <w:p w14:paraId="265B1E77">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5）磋商小组根据综合评分情况，按照评审得分由高到低顺序推荐3名及以上成交候选供应商，并编写评审报告。若评审得分相同，则报价低者为成交候选人；评审得分且最终报价相同的则由抽签决定成交候选人。</w:t>
      </w:r>
    </w:p>
    <w:p w14:paraId="6553062B">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（6）在</w:t>
      </w:r>
      <w:r>
        <w:rPr>
          <w:rFonts w:hint="eastAsia" w:cs="宋体" w:asciiTheme="majorEastAsia" w:hAnsiTheme="majorEastAsia" w:eastAsiaTheme="majorEastAsia"/>
          <w:color w:val="auto"/>
          <w:kern w:val="0"/>
          <w:szCs w:val="21"/>
          <w:highlight w:val="none"/>
        </w:rPr>
        <w:t>开标室</w:t>
      </w:r>
      <w:r>
        <w:rPr>
          <w:rFonts w:hint="eastAsia" w:cs="宋体" w:asciiTheme="majorEastAsia" w:hAnsiTheme="majorEastAsia" w:eastAsiaTheme="majorEastAsia"/>
          <w:color w:val="auto"/>
          <w:szCs w:val="21"/>
          <w:highlight w:val="none"/>
        </w:rPr>
        <w:t>公布评审结果。</w:t>
      </w:r>
    </w:p>
    <w:p w14:paraId="326EFFB3">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b/>
          <w:bCs/>
          <w:color w:val="auto"/>
          <w:szCs w:val="21"/>
          <w:highlight w:val="none"/>
        </w:rPr>
      </w:pPr>
      <w:r>
        <w:rPr>
          <w:rFonts w:hint="eastAsia" w:cs="宋体" w:asciiTheme="majorEastAsia" w:hAnsiTheme="majorEastAsia" w:eastAsiaTheme="majorEastAsia"/>
          <w:color w:val="auto"/>
          <w:szCs w:val="21"/>
          <w:highlight w:val="none"/>
        </w:rPr>
        <w:t>（7）磋商会议结束。</w:t>
      </w:r>
    </w:p>
    <w:p w14:paraId="5F93157F">
      <w:pPr>
        <w:keepNext w:val="0"/>
        <w:keepLines w:val="0"/>
        <w:pageBreakBefore w:val="0"/>
        <w:widowControl w:val="0"/>
        <w:shd w:val="clear"/>
        <w:kinsoku/>
        <w:wordWrap/>
        <w:overflowPunct/>
        <w:topLinePunct w:val="0"/>
        <w:bidi w:val="0"/>
        <w:spacing w:line="360" w:lineRule="auto"/>
        <w:ind w:firstLine="422" w:firstLineChars="200"/>
        <w:contextualSpacing/>
        <w:jc w:val="left"/>
        <w:rPr>
          <w:rFonts w:hint="eastAsia" w:cs="宋体" w:asciiTheme="majorEastAsia" w:hAnsiTheme="majorEastAsia" w:eastAsiaTheme="majorEastAsia"/>
          <w:b/>
          <w:bCs/>
          <w:color w:val="auto"/>
          <w:szCs w:val="21"/>
          <w:highlight w:val="none"/>
        </w:rPr>
      </w:pPr>
      <w:r>
        <w:rPr>
          <w:rFonts w:hint="eastAsia" w:cs="宋体" w:asciiTheme="majorEastAsia" w:hAnsiTheme="majorEastAsia" w:eastAsiaTheme="majorEastAsia"/>
          <w:b/>
          <w:bCs/>
          <w:color w:val="auto"/>
          <w:szCs w:val="21"/>
          <w:highlight w:val="none"/>
        </w:rPr>
        <w:t>（8）采购人从评审报告提出的成交候选供应商中，按照得分排序由高到低的原则确定排名第一的成交候选供应商为成交供应商。采购代理机构在</w:t>
      </w:r>
      <w:r>
        <w:rPr>
          <w:rFonts w:hint="eastAsia" w:cs="宋体" w:asciiTheme="majorEastAsia" w:hAnsiTheme="majorEastAsia" w:eastAsiaTheme="majorEastAsia"/>
          <w:b/>
          <w:bCs/>
          <w:color w:val="auto"/>
          <w:szCs w:val="21"/>
          <w:highlight w:val="none"/>
          <w:lang w:eastAsia="zh-CN"/>
        </w:rPr>
        <w:t>采购公告发布网站</w:t>
      </w:r>
      <w:r>
        <w:rPr>
          <w:rFonts w:hint="eastAsia" w:cs="宋体" w:asciiTheme="majorEastAsia" w:hAnsiTheme="majorEastAsia" w:eastAsiaTheme="majorEastAsia"/>
          <w:b/>
          <w:bCs/>
          <w:color w:val="auto"/>
          <w:szCs w:val="21"/>
          <w:highlight w:val="none"/>
        </w:rPr>
        <w:t>公布成交结果。</w:t>
      </w:r>
    </w:p>
    <w:p w14:paraId="5886F6A0">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3、特别说明：</w:t>
      </w:r>
      <w:r>
        <w:rPr>
          <w:rFonts w:hint="eastAsia" w:cs="宋体" w:asciiTheme="majorEastAsia" w:hAnsiTheme="majorEastAsia" w:eastAsiaTheme="majorEastAsia"/>
          <w:color w:val="auto"/>
          <w:kern w:val="0"/>
          <w:szCs w:val="21"/>
          <w:highlight w:val="none"/>
        </w:rPr>
        <w:t>政府采购云平台</w:t>
      </w:r>
      <w:r>
        <w:rPr>
          <w:rFonts w:hint="eastAsia" w:cs="宋体" w:asciiTheme="majorEastAsia" w:hAnsiTheme="majorEastAsia" w:eastAsiaTheme="majorEastAsia"/>
          <w:color w:val="auto"/>
          <w:szCs w:val="21"/>
          <w:highlight w:val="none"/>
        </w:rPr>
        <w:t>如对电子化开标及评审程序有调整的，按调整后的程序操作。</w:t>
      </w:r>
    </w:p>
    <w:p w14:paraId="78F62A19">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本项目原则上采用政采云</w:t>
      </w:r>
      <w:r>
        <w:rPr>
          <w:rFonts w:hint="eastAsia" w:cs="宋体" w:asciiTheme="majorEastAsia" w:hAnsiTheme="majorEastAsia" w:eastAsiaTheme="majorEastAsia"/>
          <w:bCs/>
          <w:color w:val="auto"/>
          <w:szCs w:val="21"/>
          <w:highlight w:val="none"/>
        </w:rPr>
        <w:t>电子招投标开标程序</w:t>
      </w:r>
      <w:r>
        <w:rPr>
          <w:rFonts w:hint="eastAsia" w:cs="宋体" w:asciiTheme="majorEastAsia" w:hAnsiTheme="majorEastAsia" w:eastAsiaTheme="majorEastAsia"/>
          <w:color w:val="auto"/>
          <w:szCs w:val="21"/>
          <w:highlight w:val="none"/>
        </w:rPr>
        <w:t>，但有下情形之一的，按以下情况处理：</w:t>
      </w:r>
    </w:p>
    <w:p w14:paraId="0DD876BA">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（1）若供应商在规定时间内无法解密或解密失败，代理机构将开启解密失败供应商递交的</w:t>
      </w:r>
      <w:r>
        <w:rPr>
          <w:rFonts w:hint="eastAsia" w:cs="宋体" w:asciiTheme="majorEastAsia" w:hAnsiTheme="majorEastAsia" w:eastAsiaTheme="majorEastAsia"/>
          <w:color w:val="auto"/>
          <w:kern w:val="0"/>
          <w:szCs w:val="21"/>
          <w:highlight w:val="none"/>
        </w:rPr>
        <w:t>以U盘存储的电子备份响应文件</w:t>
      </w:r>
      <w:r>
        <w:rPr>
          <w:rFonts w:hint="eastAsia" w:cs="宋体" w:asciiTheme="majorEastAsia" w:hAnsiTheme="majorEastAsia" w:eastAsiaTheme="majorEastAsia"/>
          <w:color w:val="auto"/>
          <w:szCs w:val="21"/>
          <w:highlight w:val="none"/>
        </w:rPr>
        <w:t>，上传至政采云平台项目采购模块，电子响应文件自动失效。</w:t>
      </w:r>
    </w:p>
    <w:p w14:paraId="2B3A7041">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（2）若因</w:t>
      </w:r>
      <w:r>
        <w:rPr>
          <w:rFonts w:hint="eastAsia" w:cs="宋体" w:asciiTheme="majorEastAsia" w:hAnsiTheme="majorEastAsia" w:eastAsiaTheme="majorEastAsia"/>
          <w:color w:val="auto"/>
          <w:kern w:val="0"/>
          <w:szCs w:val="21"/>
          <w:highlight w:val="none"/>
        </w:rPr>
        <w:t>政府采购云平台</w:t>
      </w:r>
      <w:r>
        <w:rPr>
          <w:rFonts w:hint="eastAsia" w:cs="宋体" w:asciiTheme="majorEastAsia" w:hAnsiTheme="majorEastAsia" w:eastAsiaTheme="majorEastAsia"/>
          <w:color w:val="auto"/>
          <w:szCs w:val="21"/>
          <w:highlight w:val="none"/>
        </w:rPr>
        <w:t>原因无法读取或电子开评标无法正常进行，代理机构将开启所有供应商递交的备份响应文件，，以完成开标。</w:t>
      </w:r>
    </w:p>
    <w:p w14:paraId="61D97EBE">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（3）采购过程中出现以下情形，导致电子交易平台无法正常运行，或者无法保证电子交易的公平、公正和安全时，采购人（或代理机构）可中止电子交易活动：</w:t>
      </w:r>
    </w:p>
    <w:p w14:paraId="6316F10B">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 xml:space="preserve">3.1电子交易平台发生故障而无法登录访问的； </w:t>
      </w:r>
    </w:p>
    <w:p w14:paraId="24A05653">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3.2电子交易平台应用或数据库出现错误，不能进行正常操作的；</w:t>
      </w:r>
    </w:p>
    <w:p w14:paraId="4F5E943B">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3.3电子交易平台发现严重安全漏洞，有潜在泄密危险的；</w:t>
      </w:r>
    </w:p>
    <w:p w14:paraId="1577FB38">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 xml:space="preserve">3.4病毒发作导致不能进行正常操作的； </w:t>
      </w:r>
    </w:p>
    <w:p w14:paraId="6B4BA497">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3.5其他无法保证电子交易的公平、公正和安全的情况。</w:t>
      </w:r>
    </w:p>
    <w:p w14:paraId="185D204E">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出现前款规定情形，不影响采购公平、公正性的，采购人（或代理机构）可以待上述情形消除后继续组织电子交易活动，也可以决定某些环节以纸质形式进行。</w:t>
      </w:r>
    </w:p>
    <w:p w14:paraId="779F49BB">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（4）未开启的备份响应文件现场予以退还。</w:t>
      </w:r>
    </w:p>
    <w:p w14:paraId="3399981B">
      <w:pPr>
        <w:pStyle w:val="14"/>
        <w:keepNext w:val="0"/>
        <w:keepLines w:val="0"/>
        <w:pageBreakBefore w:val="0"/>
        <w:widowControl w:val="0"/>
        <w:shd w:val="clear"/>
        <w:tabs>
          <w:tab w:val="clear" w:pos="454"/>
        </w:tabs>
        <w:kinsoku/>
        <w:wordWrap/>
        <w:overflowPunct/>
        <w:topLinePunct w:val="0"/>
        <w:bidi w:val="0"/>
        <w:spacing w:afterLines="0" w:line="360" w:lineRule="auto"/>
        <w:ind w:left="0" w:leftChars="0" w:firstLine="0" w:firstLineChars="0"/>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五、评审</w:t>
      </w:r>
    </w:p>
    <w:p w14:paraId="1E25ADC8">
      <w:pPr>
        <w:pStyle w:val="25"/>
        <w:keepNext w:val="0"/>
        <w:keepLines w:val="0"/>
        <w:pageBreakBefore w:val="0"/>
        <w:widowControl w:val="0"/>
        <w:shd w:val="clear"/>
        <w:kinsoku/>
        <w:wordWrap/>
        <w:overflowPunct/>
        <w:topLinePunct w:val="0"/>
        <w:bidi w:val="0"/>
        <w:spacing w:beforeLines="0" w:afterLines="0" w:line="360" w:lineRule="auto"/>
        <w:ind w:left="690" w:leftChars="228" w:hanging="211" w:hangingChars="100"/>
        <w:contextualSpacing/>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（一）组建磋商小组</w:t>
      </w:r>
    </w:p>
    <w:p w14:paraId="0AE8B852">
      <w:pPr>
        <w:keepNext w:val="0"/>
        <w:keepLines w:val="0"/>
        <w:pageBreakBefore w:val="0"/>
        <w:widowControl w:val="0"/>
        <w:shd w:val="clear"/>
        <w:kinsoku/>
        <w:wordWrap/>
        <w:overflowPunct/>
        <w:topLinePunct w:val="0"/>
        <w:bidi w:val="0"/>
        <w:spacing w:line="360" w:lineRule="auto"/>
        <w:ind w:firstLine="420" w:firstLineChars="200"/>
        <w:contextualSpacing/>
        <w:jc w:val="lef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本项目磋商小组依法组建。</w:t>
      </w:r>
    </w:p>
    <w:p w14:paraId="0DA836F0">
      <w:pPr>
        <w:keepNext w:val="0"/>
        <w:keepLines w:val="0"/>
        <w:pageBreakBefore w:val="0"/>
        <w:widowControl w:val="0"/>
        <w:shd w:val="clear"/>
        <w:kinsoku/>
        <w:wordWrap/>
        <w:overflowPunct/>
        <w:topLinePunct w:val="0"/>
        <w:bidi w:val="0"/>
        <w:spacing w:line="360" w:lineRule="auto"/>
        <w:ind w:firstLine="420" w:firstLineChars="200"/>
        <w:contextualSpacing/>
        <w:jc w:val="lef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评审中因磋商小组成员缺席、回避或健康等特殊原因导致磋商小组组成不符合规定的，采购人或者采购代理机构应当依法补足后继续评审。被更换的磋商小组成员所作出的评审意见无效。</w:t>
      </w:r>
    </w:p>
    <w:p w14:paraId="388C393B">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无法及时补足磋商小组成员的，采购人或者采购代理机构停止评审活动，封存所有响应文件和开标、评审资料，依法重新组建磋商小组进行评审。原磋商小组作出的评审意见无效。</w:t>
      </w:r>
    </w:p>
    <w:p w14:paraId="1B73DE11">
      <w:pPr>
        <w:pStyle w:val="25"/>
        <w:keepNext w:val="0"/>
        <w:keepLines w:val="0"/>
        <w:pageBreakBefore w:val="0"/>
        <w:widowControl w:val="0"/>
        <w:shd w:val="clear"/>
        <w:kinsoku/>
        <w:wordWrap/>
        <w:overflowPunct/>
        <w:topLinePunct w:val="0"/>
        <w:bidi w:val="0"/>
        <w:spacing w:beforeLines="0" w:afterLines="0" w:line="360" w:lineRule="auto"/>
        <w:ind w:left="690" w:leftChars="228" w:hanging="211" w:hangingChars="100"/>
        <w:contextualSpacing/>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（二）评审的方式</w:t>
      </w:r>
    </w:p>
    <w:p w14:paraId="401851A1">
      <w:pPr>
        <w:pStyle w:val="25"/>
        <w:keepNext w:val="0"/>
        <w:keepLines w:val="0"/>
        <w:pageBreakBefore w:val="0"/>
        <w:widowControl w:val="0"/>
        <w:shd w:val="clear"/>
        <w:kinsoku/>
        <w:wordWrap/>
        <w:overflowPunct/>
        <w:topLinePunct w:val="0"/>
        <w:bidi w:val="0"/>
        <w:spacing w:beforeLines="0" w:afterLines="0" w:line="360" w:lineRule="auto"/>
        <w:ind w:left="689" w:leftChars="228" w:hanging="210" w:hangingChars="1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本项目采用不公开方式评审，评审的依据为磋商文件和响应文件。</w:t>
      </w:r>
    </w:p>
    <w:p w14:paraId="2A4591A1">
      <w:pPr>
        <w:pStyle w:val="25"/>
        <w:keepNext w:val="0"/>
        <w:keepLines w:val="0"/>
        <w:pageBreakBefore w:val="0"/>
        <w:widowControl w:val="0"/>
        <w:shd w:val="clear"/>
        <w:kinsoku/>
        <w:wordWrap/>
        <w:overflowPunct/>
        <w:topLinePunct w:val="0"/>
        <w:bidi w:val="0"/>
        <w:spacing w:beforeLines="0" w:afterLines="0" w:line="360" w:lineRule="auto"/>
        <w:ind w:left="690" w:leftChars="228" w:hanging="211" w:hangingChars="100"/>
        <w:contextualSpacing/>
        <w:rPr>
          <w:rFonts w:asciiTheme="majorEastAsia" w:hAnsiTheme="majorEastAsia" w:eastAsiaTheme="majorEastAsia"/>
          <w:b/>
          <w:bCs/>
          <w:color w:val="auto"/>
          <w:highlight w:val="none"/>
        </w:rPr>
      </w:pPr>
      <w:r>
        <w:rPr>
          <w:rFonts w:asciiTheme="majorEastAsia" w:hAnsiTheme="majorEastAsia" w:eastAsiaTheme="majorEastAsia"/>
          <w:b/>
          <w:color w:val="auto"/>
          <w:highlight w:val="none"/>
        </w:rPr>
        <w:t>（三）</w:t>
      </w:r>
      <w:r>
        <w:rPr>
          <w:rFonts w:asciiTheme="majorEastAsia" w:hAnsiTheme="majorEastAsia" w:eastAsiaTheme="majorEastAsia"/>
          <w:b/>
          <w:bCs/>
          <w:color w:val="auto"/>
          <w:highlight w:val="none"/>
        </w:rPr>
        <w:t>评审程序</w:t>
      </w:r>
    </w:p>
    <w:p w14:paraId="7DF907B0">
      <w:pPr>
        <w:pStyle w:val="28"/>
        <w:keepNext w:val="0"/>
        <w:keepLines w:val="0"/>
        <w:pageBreakBefore w:val="0"/>
        <w:widowControl w:val="0"/>
        <w:shd w:val="clear"/>
        <w:kinsoku/>
        <w:wordWrap/>
        <w:overflowPunct/>
        <w:topLinePunct w:val="0"/>
        <w:bidi w:val="0"/>
        <w:snapToGrid/>
        <w:spacing w:line="360" w:lineRule="auto"/>
        <w:ind w:firstLine="420" w:firstLineChars="200"/>
        <w:contextualSpacing/>
        <w:rPr>
          <w:rFonts w:asciiTheme="majorEastAsia" w:hAnsiTheme="majorEastAsia" w:eastAsiaTheme="majorEastAsia"/>
          <w:b w:val="0"/>
          <w:bCs w:val="0"/>
          <w:color w:val="auto"/>
          <w:sz w:val="21"/>
          <w:szCs w:val="21"/>
          <w:highlight w:val="none"/>
        </w:rPr>
      </w:pPr>
      <w:r>
        <w:rPr>
          <w:rFonts w:asciiTheme="majorEastAsia" w:hAnsiTheme="majorEastAsia" w:eastAsiaTheme="majorEastAsia"/>
          <w:b w:val="0"/>
          <w:bCs w:val="0"/>
          <w:color w:val="auto"/>
          <w:sz w:val="21"/>
          <w:szCs w:val="21"/>
          <w:highlight w:val="none"/>
        </w:rPr>
        <w:t>1.资格审查</w:t>
      </w:r>
    </w:p>
    <w:p w14:paraId="20135EB4">
      <w:pPr>
        <w:pStyle w:val="28"/>
        <w:keepNext w:val="0"/>
        <w:keepLines w:val="0"/>
        <w:pageBreakBefore w:val="0"/>
        <w:widowControl w:val="0"/>
        <w:shd w:val="clear"/>
        <w:kinsoku/>
        <w:wordWrap/>
        <w:overflowPunct/>
        <w:topLinePunct w:val="0"/>
        <w:bidi w:val="0"/>
        <w:snapToGrid/>
        <w:spacing w:line="360" w:lineRule="auto"/>
        <w:ind w:firstLine="420" w:firstLineChars="200"/>
        <w:contextualSpacing/>
        <w:rPr>
          <w:rFonts w:asciiTheme="majorEastAsia" w:hAnsiTheme="majorEastAsia" w:eastAsiaTheme="majorEastAsia"/>
          <w:b w:val="0"/>
          <w:bCs w:val="0"/>
          <w:color w:val="auto"/>
          <w:sz w:val="21"/>
          <w:szCs w:val="21"/>
          <w:highlight w:val="none"/>
        </w:rPr>
      </w:pPr>
      <w:r>
        <w:rPr>
          <w:rFonts w:hint="eastAsia" w:asciiTheme="majorEastAsia" w:hAnsiTheme="majorEastAsia" w:eastAsiaTheme="majorEastAsia"/>
          <w:b w:val="0"/>
          <w:bCs w:val="0"/>
          <w:color w:val="auto"/>
          <w:sz w:val="21"/>
          <w:szCs w:val="21"/>
          <w:highlight w:val="none"/>
        </w:rPr>
        <w:t>磋商小组</w:t>
      </w:r>
      <w:r>
        <w:rPr>
          <w:rFonts w:asciiTheme="majorEastAsia" w:hAnsiTheme="majorEastAsia" w:eastAsiaTheme="majorEastAsia"/>
          <w:b w:val="0"/>
          <w:bCs w:val="0"/>
          <w:color w:val="auto"/>
          <w:sz w:val="21"/>
          <w:szCs w:val="21"/>
          <w:highlight w:val="none"/>
        </w:rPr>
        <w:t>对供应商的资格进行审查。依据法律法规和磋商文件的规定，对响应文件中的资格证明进行审查，以确定供应商是否具备磋商资格。</w:t>
      </w:r>
    </w:p>
    <w:p w14:paraId="00142C37">
      <w:pPr>
        <w:pStyle w:val="28"/>
        <w:keepNext w:val="0"/>
        <w:keepLines w:val="0"/>
        <w:pageBreakBefore w:val="0"/>
        <w:widowControl w:val="0"/>
        <w:shd w:val="clear"/>
        <w:kinsoku/>
        <w:wordWrap/>
        <w:overflowPunct/>
        <w:topLinePunct w:val="0"/>
        <w:bidi w:val="0"/>
        <w:snapToGrid/>
        <w:spacing w:line="360" w:lineRule="auto"/>
        <w:ind w:firstLine="420" w:firstLineChars="200"/>
        <w:contextualSpacing/>
        <w:rPr>
          <w:rFonts w:asciiTheme="majorEastAsia" w:hAnsiTheme="majorEastAsia" w:eastAsiaTheme="majorEastAsia"/>
          <w:b w:val="0"/>
          <w:bCs w:val="0"/>
          <w:color w:val="auto"/>
          <w:sz w:val="21"/>
          <w:szCs w:val="21"/>
          <w:highlight w:val="none"/>
        </w:rPr>
      </w:pPr>
      <w:r>
        <w:rPr>
          <w:rFonts w:asciiTheme="majorEastAsia" w:hAnsiTheme="majorEastAsia" w:eastAsiaTheme="majorEastAsia"/>
          <w:b w:val="0"/>
          <w:bCs w:val="0"/>
          <w:color w:val="auto"/>
          <w:sz w:val="21"/>
          <w:szCs w:val="21"/>
          <w:highlight w:val="none"/>
        </w:rPr>
        <w:t>2.符合性审查</w:t>
      </w:r>
    </w:p>
    <w:p w14:paraId="1B54062D">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磋商小组</w:t>
      </w:r>
      <w:r>
        <w:rPr>
          <w:rFonts w:asciiTheme="majorEastAsia" w:hAnsiTheme="majorEastAsia" w:eastAsiaTheme="majorEastAsia"/>
          <w:color w:val="auto"/>
          <w:szCs w:val="21"/>
          <w:highlight w:val="none"/>
        </w:rPr>
        <w:t>依据磋商文件的规定，从供应商响应文件的有效性、完整性和对磋商文件的响应程度进行审查，以确定是否对磋商文件的实质性要求作出响应。</w:t>
      </w:r>
    </w:p>
    <w:p w14:paraId="312646AD">
      <w:pPr>
        <w:pStyle w:val="28"/>
        <w:keepNext w:val="0"/>
        <w:keepLines w:val="0"/>
        <w:pageBreakBefore w:val="0"/>
        <w:widowControl w:val="0"/>
        <w:numPr>
          <w:ilvl w:val="0"/>
          <w:numId w:val="7"/>
        </w:numPr>
        <w:shd w:val="clear"/>
        <w:kinsoku/>
        <w:wordWrap/>
        <w:overflowPunct/>
        <w:topLinePunct w:val="0"/>
        <w:bidi w:val="0"/>
        <w:snapToGrid/>
        <w:spacing w:line="360" w:lineRule="auto"/>
        <w:ind w:firstLine="473"/>
        <w:contextualSpacing/>
        <w:rPr>
          <w:rFonts w:asciiTheme="majorEastAsia" w:hAnsiTheme="majorEastAsia" w:eastAsiaTheme="majorEastAsia"/>
          <w:b w:val="0"/>
          <w:bCs w:val="0"/>
          <w:color w:val="auto"/>
          <w:sz w:val="21"/>
          <w:szCs w:val="21"/>
          <w:highlight w:val="none"/>
        </w:rPr>
      </w:pPr>
      <w:r>
        <w:rPr>
          <w:rFonts w:asciiTheme="majorEastAsia" w:hAnsiTheme="majorEastAsia" w:eastAsiaTheme="majorEastAsia"/>
          <w:b w:val="0"/>
          <w:bCs w:val="0"/>
          <w:color w:val="auto"/>
          <w:sz w:val="21"/>
          <w:szCs w:val="21"/>
          <w:highlight w:val="none"/>
        </w:rPr>
        <w:t>澄清问题</w:t>
      </w:r>
    </w:p>
    <w:p w14:paraId="15137BE6">
      <w:pPr>
        <w:pStyle w:val="28"/>
        <w:keepNext w:val="0"/>
        <w:keepLines w:val="0"/>
        <w:pageBreakBefore w:val="0"/>
        <w:widowControl w:val="0"/>
        <w:shd w:val="clear"/>
        <w:kinsoku/>
        <w:wordWrap/>
        <w:overflowPunct/>
        <w:topLinePunct w:val="0"/>
        <w:bidi w:val="0"/>
        <w:snapToGrid/>
        <w:spacing w:line="360" w:lineRule="auto"/>
        <w:ind w:firstLine="420" w:firstLineChars="0"/>
        <w:contextualSpacing/>
        <w:rPr>
          <w:rFonts w:asciiTheme="majorEastAsia" w:hAnsiTheme="majorEastAsia" w:eastAsiaTheme="majorEastAsia"/>
          <w:b w:val="0"/>
          <w:bCs w:val="0"/>
          <w:color w:val="auto"/>
          <w:sz w:val="21"/>
          <w:szCs w:val="21"/>
          <w:highlight w:val="none"/>
        </w:rPr>
      </w:pPr>
      <w:r>
        <w:rPr>
          <w:rFonts w:asciiTheme="majorEastAsia" w:hAnsiTheme="majorEastAsia" w:eastAsiaTheme="majorEastAsia"/>
          <w:b w:val="0"/>
          <w:bCs w:val="0"/>
          <w:color w:val="auto"/>
          <w:sz w:val="21"/>
          <w:szCs w:val="21"/>
          <w:highlight w:val="none"/>
        </w:rPr>
        <w:t>对于响应文件中含义不明确、同类问题表述不一致或者有明显文字和计算错误的内容，磋商小组可要求供应商以书面形式作出必要的澄清、说明或者补正。</w:t>
      </w:r>
    </w:p>
    <w:p w14:paraId="269D117D">
      <w:pPr>
        <w:pStyle w:val="28"/>
        <w:keepNext w:val="0"/>
        <w:keepLines w:val="0"/>
        <w:pageBreakBefore w:val="0"/>
        <w:widowControl w:val="0"/>
        <w:shd w:val="clear"/>
        <w:kinsoku/>
        <w:wordWrap/>
        <w:overflowPunct/>
        <w:topLinePunct w:val="0"/>
        <w:bidi w:val="0"/>
        <w:snapToGrid/>
        <w:spacing w:line="360" w:lineRule="auto"/>
        <w:ind w:firstLine="420" w:firstLineChars="200"/>
        <w:contextualSpacing/>
        <w:rPr>
          <w:rFonts w:asciiTheme="majorEastAsia" w:hAnsiTheme="majorEastAsia" w:eastAsiaTheme="majorEastAsia"/>
          <w:b w:val="0"/>
          <w:bCs w:val="0"/>
          <w:color w:val="auto"/>
          <w:sz w:val="21"/>
          <w:szCs w:val="21"/>
          <w:highlight w:val="none"/>
        </w:rPr>
      </w:pPr>
      <w:r>
        <w:rPr>
          <w:rFonts w:asciiTheme="majorEastAsia" w:hAnsiTheme="majorEastAsia" w:eastAsiaTheme="majorEastAsia"/>
          <w:b w:val="0"/>
          <w:bCs w:val="0"/>
          <w:color w:val="auto"/>
          <w:sz w:val="21"/>
          <w:szCs w:val="21"/>
          <w:highlight w:val="none"/>
        </w:rPr>
        <w:t>供应商的澄清、说明或者补正应当采用书面形式，并加盖公章，或者由法定代表人（负责人）或其授权代表签字确认，供应商的澄清、说明或者补正不得超出响应文件的范围或者改变响应文件的实质性内容。</w:t>
      </w:r>
    </w:p>
    <w:p w14:paraId="48E2DD72">
      <w:pPr>
        <w:pStyle w:val="28"/>
        <w:keepNext w:val="0"/>
        <w:keepLines w:val="0"/>
        <w:pageBreakBefore w:val="0"/>
        <w:widowControl w:val="0"/>
        <w:shd w:val="clear"/>
        <w:kinsoku/>
        <w:wordWrap/>
        <w:overflowPunct/>
        <w:topLinePunct w:val="0"/>
        <w:bidi w:val="0"/>
        <w:snapToGrid/>
        <w:spacing w:line="360" w:lineRule="auto"/>
        <w:ind w:firstLine="473"/>
        <w:contextualSpacing/>
        <w:rPr>
          <w:rFonts w:asciiTheme="majorEastAsia" w:hAnsiTheme="majorEastAsia" w:eastAsiaTheme="majorEastAsia"/>
          <w:b w:val="0"/>
          <w:bCs w:val="0"/>
          <w:color w:val="auto"/>
          <w:sz w:val="21"/>
          <w:szCs w:val="21"/>
          <w:highlight w:val="none"/>
        </w:rPr>
      </w:pPr>
      <w:r>
        <w:rPr>
          <w:rFonts w:asciiTheme="majorEastAsia" w:hAnsiTheme="majorEastAsia" w:eastAsiaTheme="majorEastAsia"/>
          <w:b w:val="0"/>
          <w:bCs w:val="0"/>
          <w:color w:val="auto"/>
          <w:sz w:val="21"/>
          <w:szCs w:val="21"/>
          <w:highlight w:val="none"/>
        </w:rPr>
        <w:t>4.详细评审</w:t>
      </w:r>
    </w:p>
    <w:p w14:paraId="4819288B">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磋商小组对初步评审合格的响应文件，依照本办法对响应文件作进一步评审、比较。磋商小组成员经过阅标、审标、询标和磋商，</w:t>
      </w:r>
      <w:r>
        <w:rPr>
          <w:rFonts w:asciiTheme="majorEastAsia" w:hAnsiTheme="majorEastAsia" w:eastAsiaTheme="majorEastAsia"/>
          <w:bCs/>
          <w:color w:val="auto"/>
          <w:szCs w:val="21"/>
          <w:highlight w:val="none"/>
        </w:rPr>
        <w:t>经磋商确定最终采购需求和提交最后报价的供应商后，由磋商小组采用综合评分法对提交最后报价的供应商的响应文件和最后报价进行综合评分</w:t>
      </w:r>
      <w:r>
        <w:rPr>
          <w:rFonts w:asciiTheme="majorEastAsia" w:hAnsiTheme="majorEastAsia" w:eastAsiaTheme="majorEastAsia"/>
          <w:color w:val="auto"/>
          <w:szCs w:val="21"/>
          <w:highlight w:val="none"/>
        </w:rPr>
        <w:t>。</w:t>
      </w:r>
    </w:p>
    <w:p w14:paraId="0D83FCED">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评委打分参照本章 五、评分标准。资信技术分由各磋商小组成员打分，根据供应商的响应文件及相关澄清文件，进行独立打分。价格分由磋商小组统一核算。评委打分采用记名方式，取所有评委汇总得分的算术平均分（小数点后保留二位小数）。</w:t>
      </w:r>
    </w:p>
    <w:p w14:paraId="04A37F97">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注：1）磋商小组对拟认定为响应文件无效的，应组织相关供应商代表进行陈述、澄清或申辩；</w:t>
      </w:r>
    </w:p>
    <w:p w14:paraId="1B9552E4">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2）代理机构可协助磋商小组主任评委对打分结果进行校对、核对并汇总统计；对明显畸高、畸低的评分（其总评分偏离平均分30%以上的），磋商小组组长应提醒相关磋商小组成员进行复核或书面说明理由，磋商小组成员拒绝说明的，由现场监督员据实记录；磋商小组成员的评审、修改记录应保留原件，随项目其他资料一并存档；</w:t>
      </w:r>
    </w:p>
    <w:p w14:paraId="743B920C">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3）在报价文件的评审过程中，磋商小组认为供应商的最终报价明显低于其他通过符合性审查供应商的最终报价，有可能影响产品质量或者不能诚信履约的，应当要求其在评审现场合理的时间内提供书面说明，必要时提交相关证明材料；供应商不能证明其报价合理性的，磋商小组应当将其作为无效响应处理。</w:t>
      </w:r>
    </w:p>
    <w:p w14:paraId="2034B5BF">
      <w:pPr>
        <w:keepNext w:val="0"/>
        <w:keepLines w:val="0"/>
        <w:pageBreakBefore w:val="0"/>
        <w:widowControl w:val="0"/>
        <w:shd w:val="clear"/>
        <w:kinsoku/>
        <w:wordWrap/>
        <w:overflowPunct/>
        <w:topLinePunct w:val="0"/>
        <w:bidi w:val="0"/>
        <w:spacing w:line="360" w:lineRule="auto"/>
        <w:ind w:firstLine="422" w:firstLineChars="200"/>
        <w:contextualSpacing/>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（四）澄清问题的形式</w:t>
      </w:r>
    </w:p>
    <w:p w14:paraId="34554A98">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对响应文件中含义不明确、同类问题表述不一致或者有明显文字和计算错误的内容，磋商小组可要求供应商作出必要的澄清、说明或者纠正。供应商的澄清、说明或者补正应当采用书面形式，由其授权代表签字或盖章确认，并不得超出响应文件的范围或者改变响应文件的实质性内容。</w:t>
      </w:r>
    </w:p>
    <w:p w14:paraId="7DD89D5B">
      <w:pPr>
        <w:keepNext w:val="0"/>
        <w:keepLines w:val="0"/>
        <w:pageBreakBefore w:val="0"/>
        <w:widowControl w:val="0"/>
        <w:shd w:val="clear"/>
        <w:kinsoku/>
        <w:wordWrap/>
        <w:overflowPunct/>
        <w:topLinePunct w:val="0"/>
        <w:bidi w:val="0"/>
        <w:spacing w:line="360" w:lineRule="auto"/>
        <w:ind w:left="237" w:leftChars="113" w:firstLine="103" w:firstLineChars="49"/>
        <w:contextualSpacing/>
        <w:outlineLvl w:val="1"/>
        <w:rPr>
          <w:rFonts w:asciiTheme="majorEastAsia" w:hAnsiTheme="majorEastAsia" w:eastAsiaTheme="majorEastAsia"/>
          <w:b/>
          <w:color w:val="auto"/>
          <w:szCs w:val="28"/>
          <w:highlight w:val="none"/>
        </w:rPr>
      </w:pPr>
      <w:bookmarkStart w:id="25" w:name="_Toc523820682"/>
      <w:bookmarkStart w:id="26" w:name="_Toc317685588"/>
      <w:bookmarkStart w:id="27" w:name="_Toc354495806"/>
      <w:bookmarkStart w:id="28" w:name="_Toc5857"/>
      <w:bookmarkStart w:id="29" w:name="_Toc523820791"/>
      <w:bookmarkStart w:id="30" w:name="_Toc354490630"/>
      <w:bookmarkStart w:id="31" w:name="_Toc523820930"/>
      <w:r>
        <w:rPr>
          <w:rFonts w:asciiTheme="majorEastAsia" w:hAnsiTheme="majorEastAsia" w:eastAsiaTheme="majorEastAsia"/>
          <w:b/>
          <w:color w:val="auto"/>
          <w:szCs w:val="28"/>
          <w:highlight w:val="none"/>
        </w:rPr>
        <w:t>（五）错误修正</w:t>
      </w:r>
      <w:bookmarkEnd w:id="25"/>
      <w:bookmarkEnd w:id="26"/>
      <w:bookmarkEnd w:id="27"/>
      <w:bookmarkEnd w:id="28"/>
      <w:bookmarkEnd w:id="29"/>
      <w:bookmarkEnd w:id="30"/>
      <w:bookmarkEnd w:id="31"/>
    </w:p>
    <w:p w14:paraId="03E551BA">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响应文件如果出现计算或表达上的错误，修正错误的原则如下：</w:t>
      </w:r>
    </w:p>
    <w:p w14:paraId="070ADDEE">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1、响应文件中报价一览表内容与响应文件中相应内容不一致的，以报价一览表为准；</w:t>
      </w:r>
    </w:p>
    <w:p w14:paraId="4624C1CF">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2、大写金额和小写金额不一致的，以大写金额为准；</w:t>
      </w:r>
    </w:p>
    <w:p w14:paraId="1DE6ECBC">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3、单价金额小数点或者百分比有明显错位的，以开标一览表的总价为准，并修改单价；</w:t>
      </w:r>
    </w:p>
    <w:p w14:paraId="441B46C6">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4、总价金额与按单价汇总金额不一致的，以单价金额计算结果为准。</w:t>
      </w:r>
    </w:p>
    <w:p w14:paraId="1AEBB534">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b/>
          <w:bCs/>
          <w:color w:val="auto"/>
          <w:highlight w:val="none"/>
        </w:rPr>
      </w:pPr>
      <w:r>
        <w:rPr>
          <w:rFonts w:asciiTheme="majorEastAsia" w:hAnsiTheme="majorEastAsia" w:eastAsiaTheme="majorEastAsia"/>
          <w:color w:val="auto"/>
          <w:highlight w:val="none"/>
        </w:rPr>
        <w:t>同时出现两种以上不一致的，按照前款规定的顺序修正。</w:t>
      </w:r>
      <w:r>
        <w:rPr>
          <w:rFonts w:asciiTheme="majorEastAsia" w:hAnsiTheme="majorEastAsia" w:eastAsiaTheme="majorEastAsia"/>
          <w:b/>
          <w:color w:val="auto"/>
          <w:highlight w:val="none"/>
        </w:rPr>
        <w:t>按上述修正错误的原</w:t>
      </w:r>
      <w:r>
        <w:rPr>
          <w:rFonts w:asciiTheme="majorEastAsia" w:hAnsiTheme="majorEastAsia" w:eastAsiaTheme="majorEastAsia"/>
          <w:b/>
          <w:bCs/>
          <w:color w:val="auto"/>
          <w:highlight w:val="none"/>
        </w:rPr>
        <w:t>则及方法调整或修正响应文件的报价，供应商同意并签字确认后，调整后的报价对供应商具有约束作用。如果供应商不接受修正后的报价，则其报价将作为无效报价处理。</w:t>
      </w:r>
    </w:p>
    <w:p w14:paraId="2B5A3D4A">
      <w:pPr>
        <w:pStyle w:val="25"/>
        <w:keepNext w:val="0"/>
        <w:keepLines w:val="0"/>
        <w:pageBreakBefore w:val="0"/>
        <w:widowControl w:val="0"/>
        <w:shd w:val="clear"/>
        <w:tabs>
          <w:tab w:val="left" w:pos="630"/>
        </w:tabs>
        <w:kinsoku/>
        <w:wordWrap/>
        <w:overflowPunct/>
        <w:topLinePunct w:val="0"/>
        <w:bidi w:val="0"/>
        <w:spacing w:beforeLines="0" w:afterLines="0" w:line="360" w:lineRule="auto"/>
        <w:ind w:firstLine="413" w:firstLineChars="196"/>
        <w:contextualSpacing/>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（六）评审原则和评审办法</w:t>
      </w:r>
    </w:p>
    <w:p w14:paraId="7F8B8603">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1.评审原则。磋商小组必须公平、公正、客观，不带任何倾向性和启发性；不得向外界透露任何与评审有关的内容；任何单位和个人不得干扰、影响评审的正常进行；磋商小组及有关工作人员不得私下与供应商接触。</w:t>
      </w:r>
    </w:p>
    <w:p w14:paraId="0A501310">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2.评审办法。本项目评审办法是</w:t>
      </w:r>
      <w:r>
        <w:rPr>
          <w:rFonts w:asciiTheme="majorEastAsia" w:hAnsiTheme="majorEastAsia" w:eastAsiaTheme="majorEastAsia"/>
          <w:b/>
          <w:color w:val="auto"/>
          <w:highlight w:val="none"/>
          <w:u w:val="single"/>
        </w:rPr>
        <w:t xml:space="preserve"> 综合评分法</w:t>
      </w:r>
      <w:r>
        <w:rPr>
          <w:rFonts w:asciiTheme="majorEastAsia" w:hAnsiTheme="majorEastAsia" w:eastAsiaTheme="majorEastAsia"/>
          <w:color w:val="auto"/>
          <w:highlight w:val="none"/>
          <w:u w:val="single"/>
        </w:rPr>
        <w:t xml:space="preserve"> </w:t>
      </w:r>
      <w:r>
        <w:rPr>
          <w:rFonts w:asciiTheme="majorEastAsia" w:hAnsiTheme="majorEastAsia" w:eastAsiaTheme="majorEastAsia"/>
          <w:color w:val="auto"/>
          <w:highlight w:val="none"/>
        </w:rPr>
        <w:t>，具体评审内容及评分标准等详见《第四章：评审办法及评分标准》。</w:t>
      </w:r>
    </w:p>
    <w:p w14:paraId="133EF2C0">
      <w:pPr>
        <w:pStyle w:val="25"/>
        <w:keepNext w:val="0"/>
        <w:keepLines w:val="0"/>
        <w:pageBreakBefore w:val="0"/>
        <w:widowControl w:val="0"/>
        <w:shd w:val="clear"/>
        <w:kinsoku/>
        <w:wordWrap/>
        <w:overflowPunct/>
        <w:topLinePunct w:val="0"/>
        <w:bidi w:val="0"/>
        <w:spacing w:beforeLines="0" w:afterLines="0" w:line="360" w:lineRule="auto"/>
        <w:contextualSpacing/>
        <w:rPr>
          <w:rFonts w:asciiTheme="majorEastAsia" w:hAnsiTheme="majorEastAsia" w:eastAsiaTheme="majorEastAsia"/>
          <w:b/>
          <w:color w:val="auto"/>
          <w:highlight w:val="none"/>
        </w:rPr>
      </w:pPr>
    </w:p>
    <w:p w14:paraId="51CD9812">
      <w:pPr>
        <w:pStyle w:val="25"/>
        <w:keepNext w:val="0"/>
        <w:keepLines w:val="0"/>
        <w:pageBreakBefore w:val="0"/>
        <w:widowControl w:val="0"/>
        <w:shd w:val="clear"/>
        <w:kinsoku/>
        <w:wordWrap/>
        <w:overflowPunct/>
        <w:topLinePunct w:val="0"/>
        <w:bidi w:val="0"/>
        <w:spacing w:beforeLines="0" w:afterLines="0" w:line="360" w:lineRule="auto"/>
        <w:contextualSpacing/>
        <w:rPr>
          <w:rFonts w:asciiTheme="majorEastAsia" w:hAnsiTheme="majorEastAsia" w:eastAsiaTheme="majorEastAsia"/>
          <w:b/>
          <w:color w:val="auto"/>
          <w:highlight w:val="none"/>
        </w:rPr>
      </w:pPr>
      <w:r>
        <w:rPr>
          <w:rFonts w:hint="eastAsia" w:asciiTheme="majorEastAsia" w:hAnsiTheme="majorEastAsia" w:eastAsiaTheme="majorEastAsia"/>
          <w:b/>
          <w:color w:val="auto"/>
          <w:highlight w:val="none"/>
          <w:lang w:eastAsia="zh-CN"/>
        </w:rPr>
        <w:t>六</w:t>
      </w:r>
      <w:r>
        <w:rPr>
          <w:rFonts w:asciiTheme="majorEastAsia" w:hAnsiTheme="majorEastAsia" w:eastAsiaTheme="majorEastAsia"/>
          <w:b/>
          <w:color w:val="auto"/>
          <w:highlight w:val="none"/>
        </w:rPr>
        <w:t>、确定成交</w:t>
      </w:r>
    </w:p>
    <w:p w14:paraId="321E7528">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1.</w:t>
      </w:r>
      <w:r>
        <w:rPr>
          <w:rFonts w:hint="eastAsia" w:asciiTheme="majorEastAsia" w:hAnsiTheme="majorEastAsia" w:eastAsiaTheme="majorEastAsia"/>
          <w:bCs/>
          <w:color w:val="auto"/>
          <w:szCs w:val="21"/>
          <w:highlight w:val="none"/>
        </w:rPr>
        <w:t>本项目</w:t>
      </w:r>
      <w:r>
        <w:rPr>
          <w:rFonts w:asciiTheme="majorEastAsia" w:hAnsiTheme="majorEastAsia" w:eastAsiaTheme="majorEastAsia"/>
          <w:bCs/>
          <w:color w:val="auto"/>
          <w:szCs w:val="21"/>
          <w:highlight w:val="none"/>
        </w:rPr>
        <w:t>确定</w:t>
      </w:r>
      <w:r>
        <w:rPr>
          <w:rFonts w:hint="eastAsia" w:asciiTheme="majorEastAsia" w:hAnsiTheme="majorEastAsia" w:eastAsiaTheme="majorEastAsia"/>
          <w:bCs/>
          <w:color w:val="auto"/>
          <w:szCs w:val="21"/>
          <w:highlight w:val="none"/>
          <w:lang w:val="en-US" w:eastAsia="zh-CN"/>
        </w:rPr>
        <w:t>1</w:t>
      </w:r>
      <w:r>
        <w:rPr>
          <w:rFonts w:hint="eastAsia" w:asciiTheme="majorEastAsia" w:hAnsiTheme="majorEastAsia" w:eastAsiaTheme="majorEastAsia"/>
          <w:bCs/>
          <w:color w:val="auto"/>
          <w:szCs w:val="21"/>
          <w:highlight w:val="none"/>
        </w:rPr>
        <w:t>名</w:t>
      </w:r>
      <w:r>
        <w:rPr>
          <w:rFonts w:asciiTheme="majorEastAsia" w:hAnsiTheme="majorEastAsia" w:eastAsiaTheme="majorEastAsia"/>
          <w:bCs/>
          <w:color w:val="auto"/>
          <w:szCs w:val="21"/>
          <w:highlight w:val="none"/>
        </w:rPr>
        <w:t>成交供应商。本项目由磋商小组推荐成交候选人，采购人不得在磋商小组推荐的成交候选人以外确定成交候选人。</w:t>
      </w:r>
    </w:p>
    <w:p w14:paraId="6906DC21">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2.代理机构在评审结束后2个工作日内将评审报告交采购人确认，采购人在收到评审报告之日起5个工作日内在评审报告确定的成交候选人中按顺序确定成交供应商，采购人在收到评审报告之日起5个工作日内未按评审报告推荐的成交候选人排序确定成交供应商，又不能说明合法理由的，视同按评审报告推荐的顺序确定排名第一的成交候选人为成交供应商。</w:t>
      </w:r>
    </w:p>
    <w:p w14:paraId="3C34C111">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3.代理机构自成交供应商确定之日起2个工作日内，在发布招标公告的网站上对成交结果进行公示，成交结果公告期限为1个工作日。</w:t>
      </w:r>
    </w:p>
    <w:p w14:paraId="179F197F">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4.凡发现成交供应商有下列行为之一的，将移交政府采购监督管理部门依法处理：</w:t>
      </w:r>
    </w:p>
    <w:p w14:paraId="7435E988">
      <w:pPr>
        <w:keepNext w:val="0"/>
        <w:keepLines w:val="0"/>
        <w:pageBreakBefore w:val="0"/>
        <w:widowControl w:val="0"/>
        <w:numPr>
          <w:ilvl w:val="0"/>
          <w:numId w:val="8"/>
        </w:numPr>
        <w:shd w:val="clear"/>
        <w:kinsoku/>
        <w:wordWrap/>
        <w:overflowPunct/>
        <w:topLinePunct w:val="0"/>
        <w:bidi w:val="0"/>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提供虚假材料谋取成交的；</w:t>
      </w:r>
    </w:p>
    <w:p w14:paraId="080418DC">
      <w:pPr>
        <w:keepNext w:val="0"/>
        <w:keepLines w:val="0"/>
        <w:pageBreakBefore w:val="0"/>
        <w:widowControl w:val="0"/>
        <w:numPr>
          <w:ilvl w:val="0"/>
          <w:numId w:val="8"/>
        </w:numPr>
        <w:shd w:val="clear"/>
        <w:kinsoku/>
        <w:wordWrap/>
        <w:overflowPunct/>
        <w:topLinePunct w:val="0"/>
        <w:bidi w:val="0"/>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采取不正当手段诋毁、排挤其他供应商的；</w:t>
      </w:r>
    </w:p>
    <w:p w14:paraId="1C947D65">
      <w:pPr>
        <w:keepNext w:val="0"/>
        <w:keepLines w:val="0"/>
        <w:pageBreakBefore w:val="0"/>
        <w:widowControl w:val="0"/>
        <w:numPr>
          <w:ilvl w:val="0"/>
          <w:numId w:val="8"/>
        </w:numPr>
        <w:shd w:val="clear"/>
        <w:kinsoku/>
        <w:wordWrap/>
        <w:overflowPunct/>
        <w:topLinePunct w:val="0"/>
        <w:bidi w:val="0"/>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与采购人、其他供应商或者代理机构工作人员恶意串通的；</w:t>
      </w:r>
    </w:p>
    <w:p w14:paraId="5360F4E0">
      <w:pPr>
        <w:keepNext w:val="0"/>
        <w:keepLines w:val="0"/>
        <w:pageBreakBefore w:val="0"/>
        <w:widowControl w:val="0"/>
        <w:numPr>
          <w:ilvl w:val="0"/>
          <w:numId w:val="8"/>
        </w:numPr>
        <w:shd w:val="clear"/>
        <w:kinsoku/>
        <w:wordWrap/>
        <w:overflowPunct/>
        <w:topLinePunct w:val="0"/>
        <w:bidi w:val="0"/>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向采购人或代理机构人员行贿或者提供其他不正当利益的；</w:t>
      </w:r>
    </w:p>
    <w:p w14:paraId="1286C391">
      <w:pPr>
        <w:keepNext w:val="0"/>
        <w:keepLines w:val="0"/>
        <w:pageBreakBefore w:val="0"/>
        <w:widowControl w:val="0"/>
        <w:numPr>
          <w:ilvl w:val="0"/>
          <w:numId w:val="8"/>
        </w:numPr>
        <w:shd w:val="clear"/>
        <w:kinsoku/>
        <w:wordWrap/>
        <w:overflowPunct/>
        <w:topLinePunct w:val="0"/>
        <w:bidi w:val="0"/>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拒绝有关部门监督检查或者提供虚假情况的；</w:t>
      </w:r>
    </w:p>
    <w:p w14:paraId="62205D91">
      <w:pPr>
        <w:keepNext w:val="0"/>
        <w:keepLines w:val="0"/>
        <w:pageBreakBefore w:val="0"/>
        <w:widowControl w:val="0"/>
        <w:numPr>
          <w:ilvl w:val="0"/>
          <w:numId w:val="8"/>
        </w:numPr>
        <w:shd w:val="clear"/>
        <w:kinsoku/>
        <w:wordWrap/>
        <w:overflowPunct/>
        <w:topLinePunct w:val="0"/>
        <w:bidi w:val="0"/>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有法律、法规规定的其他损害采购人利益和社会公共利益情形的。</w:t>
      </w:r>
    </w:p>
    <w:p w14:paraId="7971859A">
      <w:pPr>
        <w:keepNext w:val="0"/>
        <w:keepLines w:val="0"/>
        <w:pageBreakBefore w:val="0"/>
        <w:widowControl w:val="0"/>
        <w:shd w:val="clear"/>
        <w:kinsoku/>
        <w:wordWrap/>
        <w:overflowPunct/>
        <w:topLinePunct w:val="0"/>
        <w:bidi w:val="0"/>
        <w:spacing w:line="360" w:lineRule="auto"/>
        <w:contextualSpacing/>
        <w:rPr>
          <w:rFonts w:asciiTheme="majorEastAsia" w:hAnsiTheme="majorEastAsia" w:eastAsiaTheme="majorEastAsia"/>
          <w:b/>
          <w:color w:val="auto"/>
          <w:szCs w:val="21"/>
          <w:highlight w:val="none"/>
        </w:rPr>
      </w:pPr>
    </w:p>
    <w:p w14:paraId="2CB8A2F4">
      <w:pPr>
        <w:keepNext w:val="0"/>
        <w:keepLines w:val="0"/>
        <w:pageBreakBefore w:val="0"/>
        <w:widowControl w:val="0"/>
        <w:shd w:val="clear"/>
        <w:kinsoku/>
        <w:wordWrap/>
        <w:overflowPunct/>
        <w:topLinePunct w:val="0"/>
        <w:bidi w:val="0"/>
        <w:spacing w:line="360" w:lineRule="auto"/>
        <w:contextualSpacing/>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七、评审过程的监控与保密</w:t>
      </w:r>
    </w:p>
    <w:p w14:paraId="233B8D99">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1.本项目评审过程实行全程录音、录像监控，供应商在评审过程中所进行的试图影响评审结果的不公正活动，可能导致其响应文件被拒绝。</w:t>
      </w:r>
    </w:p>
    <w:p w14:paraId="1E909571">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2.磋商活动开始后到成交通知书发出之前，所有涉及磋商小组名单以及对响应文件的澄清、评价、比较等情况，磋商小组成员、采购人和代理机构的有关人员均不得向供应商或其他无关人员透露。</w:t>
      </w:r>
    </w:p>
    <w:p w14:paraId="25086CF3">
      <w:pPr>
        <w:pStyle w:val="25"/>
        <w:keepNext w:val="0"/>
        <w:keepLines w:val="0"/>
        <w:pageBreakBefore w:val="0"/>
        <w:widowControl w:val="0"/>
        <w:shd w:val="clear"/>
        <w:kinsoku/>
        <w:wordWrap/>
        <w:overflowPunct/>
        <w:topLinePunct w:val="0"/>
        <w:bidi w:val="0"/>
        <w:spacing w:beforeLines="0" w:afterLines="0" w:line="360" w:lineRule="auto"/>
        <w:contextualSpacing/>
        <w:rPr>
          <w:rFonts w:asciiTheme="majorEastAsia" w:hAnsiTheme="majorEastAsia" w:eastAsiaTheme="majorEastAsia"/>
          <w:b/>
          <w:color w:val="auto"/>
          <w:highlight w:val="none"/>
        </w:rPr>
      </w:pPr>
    </w:p>
    <w:p w14:paraId="19326169">
      <w:pPr>
        <w:pStyle w:val="25"/>
        <w:keepNext w:val="0"/>
        <w:keepLines w:val="0"/>
        <w:pageBreakBefore w:val="0"/>
        <w:widowControl w:val="0"/>
        <w:shd w:val="clear"/>
        <w:kinsoku/>
        <w:wordWrap/>
        <w:overflowPunct/>
        <w:topLinePunct w:val="0"/>
        <w:bidi w:val="0"/>
        <w:spacing w:beforeLines="0" w:afterLines="0" w:line="360" w:lineRule="auto"/>
        <w:contextualSpacing/>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八、合同授予</w:t>
      </w:r>
    </w:p>
    <w:p w14:paraId="135D3340">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1.采购人与成交供应商应当在《成交通知书》发出之日起</w:t>
      </w:r>
      <w:r>
        <w:rPr>
          <w:rFonts w:hint="eastAsia" w:asciiTheme="majorEastAsia" w:hAnsiTheme="majorEastAsia" w:eastAsiaTheme="majorEastAsia"/>
          <w:b/>
          <w:color w:val="auto"/>
          <w:szCs w:val="21"/>
          <w:highlight w:val="none"/>
          <w:u w:val="single"/>
          <w:lang w:val="en-US" w:eastAsia="zh-CN"/>
        </w:rPr>
        <w:t>1</w:t>
      </w:r>
      <w:r>
        <w:rPr>
          <w:rFonts w:asciiTheme="majorEastAsia" w:hAnsiTheme="majorEastAsia" w:eastAsiaTheme="majorEastAsia"/>
          <w:b/>
          <w:color w:val="auto"/>
          <w:szCs w:val="21"/>
          <w:highlight w:val="none"/>
          <w:u w:val="single"/>
        </w:rPr>
        <w:t>0</w:t>
      </w:r>
      <w:r>
        <w:rPr>
          <w:rFonts w:asciiTheme="majorEastAsia" w:hAnsiTheme="majorEastAsia" w:eastAsiaTheme="majorEastAsia"/>
          <w:color w:val="auto"/>
          <w:szCs w:val="21"/>
          <w:highlight w:val="none"/>
        </w:rPr>
        <w:t>日内签订政府采购合同。同时，代理机构对合同内容进行审查，如发现与采购结果和磋商承诺内容不一致的，应予以纠正。</w:t>
      </w:r>
    </w:p>
    <w:p w14:paraId="7707510B">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2.成交供应商拖延、拒签合同的,将被取消成交资格。</w:t>
      </w:r>
    </w:p>
    <w:p w14:paraId="569697CA">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3.成交供应商拒绝与采购人签订合同或其他违规情形的，采购人可以重新采购。</w:t>
      </w:r>
    </w:p>
    <w:p w14:paraId="6EF2DADA">
      <w:pPr>
        <w:keepNext w:val="0"/>
        <w:keepLines w:val="0"/>
        <w:pageBreakBefore w:val="0"/>
        <w:widowControl w:val="0"/>
        <w:shd w:val="clear"/>
        <w:kinsoku/>
        <w:wordWrap/>
        <w:overflowPunct/>
        <w:topLinePunct w:val="0"/>
        <w:bidi w:val="0"/>
        <w:spacing w:line="360" w:lineRule="auto"/>
        <w:contextualSpacing/>
        <w:jc w:val="left"/>
        <w:rPr>
          <w:rFonts w:asciiTheme="majorEastAsia" w:hAnsiTheme="majorEastAsia" w:eastAsiaTheme="majorEastAsia"/>
          <w:b/>
          <w:color w:val="auto"/>
          <w:szCs w:val="21"/>
          <w:highlight w:val="none"/>
        </w:rPr>
      </w:pPr>
    </w:p>
    <w:p w14:paraId="2B30F660">
      <w:pPr>
        <w:keepNext w:val="0"/>
        <w:keepLines w:val="0"/>
        <w:pageBreakBefore w:val="0"/>
        <w:widowControl w:val="0"/>
        <w:shd w:val="clear"/>
        <w:kinsoku/>
        <w:wordWrap/>
        <w:overflowPunct/>
        <w:topLinePunct w:val="0"/>
        <w:bidi w:val="0"/>
        <w:spacing w:line="360" w:lineRule="auto"/>
        <w:contextualSpacing/>
        <w:jc w:val="lef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九、履约验收</w:t>
      </w:r>
    </w:p>
    <w:p w14:paraId="6C906AE7">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采购人负责对成交供应商的履约行为进行验收，验收标准为本项目的磋商文件以及成交供应商的响应文件。政府向社会公众提供的公共服务项目，验收时应当邀请服务对象参与并出具意见，验收结果应当向社会公告。</w:t>
      </w:r>
    </w:p>
    <w:p w14:paraId="7F5DB1C3">
      <w:pPr>
        <w:keepNext w:val="0"/>
        <w:keepLines w:val="0"/>
        <w:pageBreakBefore w:val="0"/>
        <w:widowControl w:val="0"/>
        <w:shd w:val="clear"/>
        <w:kinsoku/>
        <w:wordWrap/>
        <w:overflowPunct/>
        <w:topLinePunct w:val="0"/>
        <w:bidi w:val="0"/>
        <w:spacing w:line="360" w:lineRule="auto"/>
        <w:contextualSpacing/>
        <w:rPr>
          <w:rFonts w:asciiTheme="majorEastAsia" w:hAnsiTheme="majorEastAsia" w:eastAsiaTheme="majorEastAsia"/>
          <w:b/>
          <w:bCs/>
          <w:color w:val="auto"/>
          <w:szCs w:val="21"/>
          <w:highlight w:val="none"/>
        </w:rPr>
      </w:pPr>
    </w:p>
    <w:p w14:paraId="235F455D">
      <w:pPr>
        <w:keepNext w:val="0"/>
        <w:keepLines w:val="0"/>
        <w:pageBreakBefore w:val="0"/>
        <w:widowControl w:val="0"/>
        <w:shd w:val="clear"/>
        <w:kinsoku/>
        <w:wordWrap/>
        <w:overflowPunct/>
        <w:topLinePunct w:val="0"/>
        <w:bidi w:val="0"/>
        <w:spacing w:line="360" w:lineRule="auto"/>
        <w:contextualSpacing/>
        <w:rPr>
          <w:rFonts w:asciiTheme="majorEastAsia" w:hAnsiTheme="majorEastAsia" w:eastAsiaTheme="majorEastAsia"/>
          <w:b/>
          <w:bCs/>
          <w:color w:val="auto"/>
          <w:szCs w:val="21"/>
          <w:highlight w:val="none"/>
        </w:rPr>
      </w:pPr>
      <w:r>
        <w:rPr>
          <w:rFonts w:asciiTheme="majorEastAsia" w:hAnsiTheme="majorEastAsia" w:eastAsiaTheme="majorEastAsia"/>
          <w:b/>
          <w:bCs/>
          <w:color w:val="auto"/>
          <w:szCs w:val="21"/>
          <w:highlight w:val="none"/>
        </w:rPr>
        <w:t>十、政府采购政策</w:t>
      </w:r>
    </w:p>
    <w:p w14:paraId="4C8A88CE">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2" w:firstLineChars="200"/>
        <w:jc w:val="both"/>
        <w:rPr>
          <w:rFonts w:ascii="宋体" w:hAnsi="宋体" w:eastAsia="宋体" w:cs="宋体"/>
          <w:b/>
          <w:bCs/>
          <w:color w:val="auto"/>
          <w:kern w:val="0"/>
          <w:sz w:val="21"/>
          <w:szCs w:val="21"/>
          <w:highlight w:val="none"/>
          <w:shd w:val="clear" w:color="auto" w:fill="FFFFFF"/>
          <w:lang w:val="en-US" w:eastAsia="zh-CN" w:bidi="ar-SA"/>
        </w:rPr>
      </w:pPr>
      <w:r>
        <w:rPr>
          <w:rFonts w:hint="eastAsia" w:ascii="宋体" w:hAnsi="宋体" w:eastAsia="宋体" w:cs="宋体"/>
          <w:b/>
          <w:bCs/>
          <w:color w:val="auto"/>
          <w:kern w:val="0"/>
          <w:sz w:val="21"/>
          <w:szCs w:val="21"/>
          <w:highlight w:val="none"/>
          <w:shd w:val="clear" w:color="auto" w:fill="FFFFFF"/>
          <w:lang w:val="en-US" w:eastAsia="zh-CN" w:bidi="ar-SA"/>
        </w:rPr>
        <w:t>1、政府采购活动中有关中小企业的相关规定</w:t>
      </w:r>
    </w:p>
    <w:p w14:paraId="54649118">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2" w:firstLineChars="200"/>
        <w:jc w:val="both"/>
        <w:rPr>
          <w:rFonts w:ascii="宋体" w:hAnsi="宋体" w:eastAsia="宋体" w:cs="宋体"/>
          <w:b/>
          <w:bCs/>
          <w:color w:val="auto"/>
          <w:kern w:val="0"/>
          <w:sz w:val="21"/>
          <w:szCs w:val="21"/>
          <w:highlight w:val="none"/>
          <w:shd w:val="clear" w:color="auto" w:fill="FFFFFF"/>
          <w:lang w:val="en-US" w:eastAsia="zh-CN" w:bidi="ar-SA"/>
        </w:rPr>
      </w:pPr>
      <w:r>
        <w:rPr>
          <w:rFonts w:hint="eastAsia" w:ascii="宋体" w:hAnsi="宋体" w:eastAsia="宋体" w:cs="宋体"/>
          <w:b/>
          <w:bCs/>
          <w:color w:val="auto"/>
          <w:kern w:val="0"/>
          <w:sz w:val="21"/>
          <w:szCs w:val="21"/>
          <w:highlight w:val="none"/>
          <w:shd w:val="clear" w:color="auto" w:fill="FFFFFF"/>
          <w:lang w:val="en-US" w:eastAsia="zh-CN" w:bidi="ar-SA"/>
        </w:rPr>
        <w:t>1.1本项目</w:t>
      </w:r>
      <w:r>
        <w:rPr>
          <w:rFonts w:hint="eastAsia" w:ascii="宋体" w:hAnsi="宋体" w:eastAsia="宋体" w:cs="宋体"/>
          <w:b/>
          <w:bCs/>
          <w:color w:val="auto"/>
          <w:kern w:val="0"/>
          <w:sz w:val="21"/>
          <w:szCs w:val="21"/>
          <w:highlight w:val="none"/>
          <w:u w:val="single"/>
          <w:shd w:val="clear" w:color="auto" w:fill="FFFFFF"/>
          <w:lang w:val="en-US" w:eastAsia="zh-CN" w:bidi="ar-SA"/>
        </w:rPr>
        <w:t xml:space="preserve"> </w:t>
      </w:r>
      <w:r>
        <w:rPr>
          <w:rFonts w:hint="eastAsia" w:ascii="宋体" w:hAnsi="宋体" w:cs="宋体"/>
          <w:b/>
          <w:bCs/>
          <w:color w:val="auto"/>
          <w:kern w:val="0"/>
          <w:sz w:val="21"/>
          <w:szCs w:val="21"/>
          <w:highlight w:val="none"/>
          <w:u w:val="single"/>
          <w:shd w:val="clear" w:color="auto" w:fill="FFFFFF"/>
          <w:lang w:val="en-US" w:eastAsia="zh-CN" w:bidi="ar-SA"/>
        </w:rPr>
        <w:t>是</w:t>
      </w:r>
      <w:r>
        <w:rPr>
          <w:rFonts w:hint="eastAsia" w:ascii="宋体" w:hAnsi="宋体" w:eastAsia="宋体" w:cs="宋体"/>
          <w:b/>
          <w:bCs/>
          <w:color w:val="auto"/>
          <w:kern w:val="0"/>
          <w:sz w:val="21"/>
          <w:szCs w:val="21"/>
          <w:highlight w:val="none"/>
          <w:u w:val="single"/>
          <w:shd w:val="clear" w:color="auto" w:fill="FFFFFF"/>
          <w:lang w:val="en-US" w:eastAsia="zh-CN" w:bidi="ar-SA"/>
        </w:rPr>
        <w:t xml:space="preserve"> </w:t>
      </w:r>
      <w:r>
        <w:rPr>
          <w:rFonts w:hint="eastAsia" w:ascii="宋体" w:hAnsi="宋体" w:eastAsia="宋体" w:cs="宋体"/>
          <w:b/>
          <w:bCs/>
          <w:color w:val="auto"/>
          <w:kern w:val="0"/>
          <w:sz w:val="21"/>
          <w:szCs w:val="21"/>
          <w:highlight w:val="none"/>
          <w:shd w:val="clear" w:color="auto" w:fill="FFFFFF"/>
          <w:lang w:val="en-US" w:eastAsia="zh-CN" w:bidi="ar-SA"/>
        </w:rPr>
        <w:t>专门面向中小企业采购。</w:t>
      </w:r>
    </w:p>
    <w:p w14:paraId="098B25A9">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1.2本项目所称中小企业，是指在中华人民共和国境内依法设立，依据国务院批准的中小企业划分标准确定的中型企业、小型企业和微型企业，但与大企业的负责人为同一人，或者与大企业存在直接控股、管理关系的除外。</w:t>
      </w:r>
    </w:p>
    <w:p w14:paraId="78FE0ED8">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0" w:firstLineChars="200"/>
        <w:jc w:val="both"/>
        <w:rPr>
          <w:rFonts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符合中小企业划分标准的个体工商户，在政府采购活动中视同中小企业。</w:t>
      </w:r>
    </w:p>
    <w:p w14:paraId="7CA4753B">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2" w:firstLineChars="200"/>
        <w:jc w:val="both"/>
        <w:rPr>
          <w:rFonts w:ascii="宋体" w:hAnsi="宋体" w:eastAsia="宋体" w:cs="宋体"/>
          <w:b/>
          <w:bCs/>
          <w:color w:val="auto"/>
          <w:kern w:val="0"/>
          <w:sz w:val="21"/>
          <w:szCs w:val="21"/>
          <w:highlight w:val="none"/>
          <w:shd w:val="clear" w:color="auto" w:fill="FFFFFF"/>
          <w:lang w:val="en-US" w:eastAsia="zh-CN" w:bidi="ar-SA"/>
        </w:rPr>
      </w:pPr>
      <w:r>
        <w:rPr>
          <w:rFonts w:hint="eastAsia" w:ascii="宋体" w:hAnsi="宋体" w:eastAsia="宋体" w:cs="宋体"/>
          <w:b/>
          <w:bCs/>
          <w:color w:val="auto"/>
          <w:kern w:val="0"/>
          <w:sz w:val="21"/>
          <w:szCs w:val="21"/>
          <w:highlight w:val="none"/>
          <w:shd w:val="clear" w:color="auto" w:fill="FFFFFF"/>
          <w:lang w:val="en-US" w:eastAsia="zh-CN" w:bidi="ar-SA"/>
        </w:rPr>
        <w:t>中小企业划分标准详见工信部联企业[2011]300号。</w:t>
      </w:r>
    </w:p>
    <w:p w14:paraId="7DC1EED1">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1.3在政府采购活动中，供应商提供的货物、工程或者服务符合下列情形的，享受《政府采购促进中小企业发展管理办法》（财库[2020]46号）、《财政部关于进一步加大政府采购支持中小企业力度的通知》（财库[2022]19号）、《浙江省财政厅关于进一步加大政府采购支持中小企业力度 助力扎实稳住经济的通知》（浙财采监[2022]8号）等规定的中小企业扶持政策：</w:t>
      </w:r>
    </w:p>
    <w:p w14:paraId="27E8D894">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（一）在货物采购项目中，货物由中小企业制造，即货物由中小企业生产且使用该中小企业商号或者注册商标；</w:t>
      </w:r>
    </w:p>
    <w:p w14:paraId="31C5058E">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（二）在工程采购项目中，工程由中小企业承建，即工程施工单位为中小企业；</w:t>
      </w:r>
    </w:p>
    <w:p w14:paraId="730E1960">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（三）在服务采购项目中，服务由中小企业承接，即提供服务的人员为中小企业依照《中华人民共和国劳动合同法》订立劳动合同的从业人员。</w:t>
      </w:r>
    </w:p>
    <w:p w14:paraId="11F0905A">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在货物采购项目中，供应商提供的货物既有中小企业制造货物，也有大型企业制造货物的，不享受本办法规定的中小企业扶持政策。</w:t>
      </w:r>
    </w:p>
    <w:p w14:paraId="4F61BE13">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以联合体形式参加政府采购活动，联合体各方均为中小企业的，联合体视同中小企业。其中，联合体各方均为小微企业的，联合体视同小微企业。</w:t>
      </w:r>
    </w:p>
    <w:p w14:paraId="67B63E81">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0" w:firstLineChars="200"/>
        <w:jc w:val="both"/>
        <w:rPr>
          <w:rFonts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1.4对于经主管预算单位统筹后未预留份额专门面向中小企业采购的采购项目，以及预留份额项目中的非预留部分采购包，采购人、采购代理机构应当对符合《政府采购促进中小企业发展管理办法》规定的小微企业报价给予</w:t>
      </w:r>
      <w:r>
        <w:rPr>
          <w:rFonts w:hint="eastAsia" w:ascii="宋体" w:hAnsi="宋体" w:cs="宋体"/>
          <w:color w:val="auto"/>
          <w:kern w:val="0"/>
          <w:sz w:val="21"/>
          <w:szCs w:val="21"/>
          <w:highlight w:val="none"/>
          <w:shd w:val="clear" w:color="auto" w:fill="FFFFFF"/>
          <w:lang w:val="en-US" w:eastAsia="zh-CN" w:bidi="ar-SA"/>
        </w:rPr>
        <w:t>10%-20%</w:t>
      </w:r>
      <w:r>
        <w:rPr>
          <w:rFonts w:hint="eastAsia" w:ascii="宋体" w:hAnsi="宋体" w:eastAsia="宋体" w:cs="宋体"/>
          <w:color w:val="auto"/>
          <w:kern w:val="0"/>
          <w:sz w:val="21"/>
          <w:szCs w:val="21"/>
          <w:highlight w:val="none"/>
          <w:shd w:val="clear" w:color="auto" w:fill="FFFFFF"/>
          <w:lang w:val="en-US" w:eastAsia="zh-CN" w:bidi="ar-SA"/>
        </w:rPr>
        <w:t>（工程项目为3%—5%）的扣除，用扣除后的价格参加评审。适用招标投标法的政府采购工程建设项目，采用综合评估法但未采用低价优先法计算价格分的，评标时应当在采用原报价进行评分的基础上增加其价格得分的</w:t>
      </w:r>
      <w:r>
        <w:rPr>
          <w:rFonts w:hint="eastAsia" w:ascii="宋体" w:hAnsi="宋体" w:cs="宋体"/>
          <w:color w:val="auto"/>
          <w:kern w:val="0"/>
          <w:sz w:val="21"/>
          <w:szCs w:val="21"/>
          <w:highlight w:val="none"/>
          <w:shd w:val="clear" w:color="auto" w:fill="FFFFFF"/>
          <w:lang w:val="en-US" w:eastAsia="zh-CN" w:bidi="ar-SA"/>
        </w:rPr>
        <w:t>3</w:t>
      </w:r>
      <w:r>
        <w:rPr>
          <w:rFonts w:hint="eastAsia" w:ascii="宋体" w:hAnsi="宋体" w:eastAsia="宋体" w:cs="宋体"/>
          <w:color w:val="auto"/>
          <w:kern w:val="0"/>
          <w:sz w:val="21"/>
          <w:szCs w:val="21"/>
          <w:highlight w:val="none"/>
          <w:shd w:val="clear" w:color="auto" w:fill="FFFFFF"/>
          <w:lang w:val="en-US" w:eastAsia="zh-CN" w:bidi="ar-SA"/>
        </w:rPr>
        <w:t>%—</w:t>
      </w:r>
      <w:r>
        <w:rPr>
          <w:rFonts w:hint="eastAsia" w:ascii="宋体" w:hAnsi="宋体" w:cs="宋体"/>
          <w:color w:val="auto"/>
          <w:kern w:val="0"/>
          <w:sz w:val="21"/>
          <w:szCs w:val="21"/>
          <w:highlight w:val="none"/>
          <w:shd w:val="clear" w:color="auto" w:fill="FFFFFF"/>
          <w:lang w:val="en-US" w:eastAsia="zh-CN" w:bidi="ar-SA"/>
        </w:rPr>
        <w:t>5</w:t>
      </w:r>
      <w:r>
        <w:rPr>
          <w:rFonts w:hint="eastAsia" w:ascii="宋体" w:hAnsi="宋体" w:eastAsia="宋体" w:cs="宋体"/>
          <w:color w:val="auto"/>
          <w:kern w:val="0"/>
          <w:sz w:val="21"/>
          <w:szCs w:val="21"/>
          <w:highlight w:val="none"/>
          <w:shd w:val="clear" w:color="auto" w:fill="FFFFFF"/>
          <w:lang w:val="en-US" w:eastAsia="zh-CN" w:bidi="ar-SA"/>
        </w:rPr>
        <w:t>%作为其价格分。</w:t>
      </w:r>
    </w:p>
    <w:p w14:paraId="5B8D48F1">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0" w:firstLineChars="200"/>
        <w:jc w:val="both"/>
        <w:rPr>
          <w:rFonts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int="eastAsia" w:ascii="宋体" w:hAnsi="宋体" w:cs="宋体"/>
          <w:color w:val="auto"/>
          <w:kern w:val="0"/>
          <w:sz w:val="21"/>
          <w:szCs w:val="21"/>
          <w:highlight w:val="none"/>
          <w:shd w:val="clear" w:color="auto" w:fill="FFFFFF"/>
          <w:lang w:val="en-US" w:eastAsia="zh-CN" w:bidi="ar-SA"/>
        </w:rPr>
        <w:t>4</w:t>
      </w:r>
      <w:r>
        <w:rPr>
          <w:rFonts w:hint="eastAsia" w:ascii="宋体" w:hAnsi="宋体" w:eastAsia="宋体" w:cs="宋体"/>
          <w:color w:val="auto"/>
          <w:kern w:val="0"/>
          <w:sz w:val="21"/>
          <w:szCs w:val="21"/>
          <w:highlight w:val="none"/>
          <w:shd w:val="clear" w:color="auto" w:fill="FFFFFF"/>
          <w:lang w:val="en-US" w:eastAsia="zh-CN" w:bidi="ar-SA"/>
        </w:rPr>
        <w:t>%</w:t>
      </w:r>
      <w:r>
        <w:rPr>
          <w:rFonts w:hint="eastAsia" w:ascii="宋体" w:hAnsi="宋体" w:cs="宋体"/>
          <w:color w:val="auto"/>
          <w:kern w:val="0"/>
          <w:sz w:val="21"/>
          <w:szCs w:val="21"/>
          <w:highlight w:val="none"/>
          <w:shd w:val="clear" w:color="auto" w:fill="FFFFFF"/>
          <w:lang w:val="en-US" w:eastAsia="zh-CN" w:bidi="ar-SA"/>
        </w:rPr>
        <w:t>-6</w:t>
      </w:r>
      <w:r>
        <w:rPr>
          <w:rFonts w:hint="eastAsia" w:ascii="宋体" w:hAnsi="宋体" w:eastAsia="宋体" w:cs="宋体"/>
          <w:color w:val="auto"/>
          <w:kern w:val="0"/>
          <w:sz w:val="21"/>
          <w:szCs w:val="21"/>
          <w:highlight w:val="none"/>
          <w:shd w:val="clear" w:color="auto" w:fill="FFFFFF"/>
          <w:lang w:val="en-US" w:eastAsia="zh-CN" w:bidi="ar-SA"/>
        </w:rPr>
        <w:t>%（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4817D86E">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0" w:firstLineChars="200"/>
        <w:jc w:val="both"/>
        <w:rPr>
          <w:rFonts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价格扣除比例或者价格分加分比例对小型企业和微型企业同等对待，不作区分。</w:t>
      </w:r>
    </w:p>
    <w:p w14:paraId="3458C3EE">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0" w:firstLineChars="200"/>
        <w:jc w:val="both"/>
        <w:rPr>
          <w:rFonts w:ascii="宋体" w:hAnsi="宋体" w:eastAsia="宋体" w:cs="宋体"/>
          <w:b w:val="0"/>
          <w:bCs w:val="0"/>
          <w:color w:val="auto"/>
          <w:kern w:val="0"/>
          <w:sz w:val="21"/>
          <w:szCs w:val="21"/>
          <w:highlight w:val="none"/>
          <w:shd w:val="clear" w:color="auto" w:fill="FFFFFF"/>
          <w:lang w:val="en-US" w:eastAsia="zh-CN" w:bidi="ar-SA"/>
        </w:rPr>
      </w:pPr>
      <w:r>
        <w:rPr>
          <w:rFonts w:hint="eastAsia" w:ascii="宋体" w:hAnsi="宋体" w:eastAsia="宋体" w:cs="宋体"/>
          <w:b w:val="0"/>
          <w:bCs w:val="0"/>
          <w:color w:val="auto"/>
          <w:kern w:val="0"/>
          <w:sz w:val="21"/>
          <w:szCs w:val="21"/>
          <w:highlight w:val="none"/>
          <w:shd w:val="clear" w:color="auto" w:fill="FFFFFF"/>
          <w:lang w:val="en-US" w:eastAsia="zh-CN" w:bidi="ar-SA"/>
        </w:rPr>
        <w:t>本项目具体扣除比例见本采购文件 第四章 评标办法及评分标准。</w:t>
      </w:r>
    </w:p>
    <w:p w14:paraId="1944131C">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0" w:firstLineChars="200"/>
        <w:jc w:val="both"/>
        <w:rPr>
          <w:rFonts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1.5中小企业参加政府采购活动，应当出具《政府采购促进中小企业发展管理办法》（财库[2020]46号）规定的《中小企业声明函》（详见响应文件格式部分），否则不得享受相关中小企业扶持政策。任何单位和个人不得要求供应商提供《中小企业声明函》之外的中小企业身份证明文件。</w:t>
      </w:r>
    </w:p>
    <w:p w14:paraId="15074ACB">
      <w:pPr>
        <w:keepNext w:val="0"/>
        <w:keepLines w:val="0"/>
        <w:pageBreakBefore w:val="0"/>
        <w:widowControl w:val="0"/>
        <w:shd w:val="clear"/>
        <w:kinsoku/>
        <w:wordWrap/>
        <w:overflowPunct/>
        <w:topLinePunct w:val="0"/>
        <w:bidi w:val="0"/>
        <w:snapToGrid w:val="0"/>
        <w:spacing w:line="360" w:lineRule="auto"/>
        <w:ind w:firstLine="420" w:firstLineChars="20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1.6政府采购监督检查、投诉处理及政府采购行政处罚中对中小企业的认定，由货物制造商或者工程、服务供应商注册登记所在地的县级以上人民政府中小企业主管部门负责。中小企业主管部门应当在收到财政部门或者有关招标投标行政监督部门关于协助开展中小企业认定函后10个工作日内做出书面答复。</w:t>
      </w:r>
    </w:p>
    <w:p w14:paraId="0A2EF8A8">
      <w:pPr>
        <w:keepNext w:val="0"/>
        <w:keepLines w:val="0"/>
        <w:pageBreakBefore w:val="0"/>
        <w:widowControl w:val="0"/>
        <w:shd w:val="clear"/>
        <w:kinsoku/>
        <w:wordWrap/>
        <w:overflowPunct/>
        <w:topLinePunct w:val="0"/>
        <w:bidi w:val="0"/>
        <w:snapToGrid w:val="0"/>
        <w:spacing w:line="360" w:lineRule="auto"/>
        <w:ind w:firstLine="420" w:firstLineChars="200"/>
        <w:jc w:val="left"/>
        <w:rPr>
          <w:rFonts w:ascii="宋体" w:hAnsi="宋体" w:cs="Times New Roman"/>
          <w:color w:val="auto"/>
          <w:szCs w:val="21"/>
          <w:highlight w:val="none"/>
          <w:lang w:bidi="ar"/>
        </w:rPr>
      </w:pPr>
      <w:r>
        <w:rPr>
          <w:rFonts w:hint="eastAsia" w:ascii="宋体" w:hAnsi="宋体" w:cs="Times New Roman"/>
          <w:color w:val="auto"/>
          <w:szCs w:val="21"/>
          <w:highlight w:val="none"/>
          <w:lang w:bidi="ar"/>
        </w:rPr>
        <w:t>1.7</w:t>
      </w:r>
      <w:r>
        <w:rPr>
          <w:rFonts w:ascii="宋体" w:hAnsi="宋体" w:cs="Times New Roman"/>
          <w:color w:val="auto"/>
          <w:szCs w:val="21"/>
          <w:highlight w:val="none"/>
          <w:lang w:bidi="ar"/>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r>
        <w:rPr>
          <w:rFonts w:hint="eastAsia" w:ascii="宋体" w:hAnsi="宋体" w:cs="Times New Roman"/>
          <w:color w:val="auto"/>
          <w:szCs w:val="21"/>
          <w:highlight w:val="none"/>
          <w:lang w:bidi="ar"/>
        </w:rPr>
        <w:t>。</w:t>
      </w:r>
    </w:p>
    <w:p w14:paraId="46692B04">
      <w:pPr>
        <w:keepNext w:val="0"/>
        <w:keepLines w:val="0"/>
        <w:pageBreakBefore w:val="0"/>
        <w:widowControl w:val="0"/>
        <w:shd w:val="clear"/>
        <w:kinsoku/>
        <w:wordWrap/>
        <w:overflowPunct/>
        <w:topLinePunct w:val="0"/>
        <w:bidi w:val="0"/>
        <w:snapToGrid w:val="0"/>
        <w:spacing w:line="360" w:lineRule="auto"/>
        <w:ind w:firstLine="420" w:firstLineChars="200"/>
        <w:jc w:val="left"/>
        <w:rPr>
          <w:rFonts w:ascii="宋体" w:hAnsi="宋体" w:cs="Times New Roman"/>
          <w:color w:val="auto"/>
          <w:szCs w:val="21"/>
          <w:highlight w:val="none"/>
          <w:lang w:bidi="ar"/>
        </w:rPr>
      </w:pPr>
      <w:r>
        <w:rPr>
          <w:rFonts w:hint="eastAsia" w:ascii="宋体" w:hAnsi="宋体" w:cs="Times New Roman"/>
          <w:color w:val="auto"/>
          <w:szCs w:val="21"/>
          <w:highlight w:val="none"/>
          <w:lang w:bidi="ar"/>
        </w:rPr>
        <w:t>1.8</w:t>
      </w:r>
      <w:r>
        <w:rPr>
          <w:rFonts w:ascii="宋体" w:hAnsi="宋体" w:cs="Times New Roman"/>
          <w:color w:val="auto"/>
          <w:szCs w:val="21"/>
          <w:highlight w:val="none"/>
          <w:lang w:bidi="ar"/>
        </w:rPr>
        <w:t>根据《关于促进残疾人就业政府采购政策的通知》（财库[2017]141号）规定，在政府采购活动中，残疾人福利性单位视同小型、微型企业。残疾人福利性单位参加政府采购活动时，提供《残疾人福利性单位声明函》。</w:t>
      </w:r>
    </w:p>
    <w:p w14:paraId="5540CF13">
      <w:pPr>
        <w:keepNext w:val="0"/>
        <w:keepLines w:val="0"/>
        <w:pageBreakBefore w:val="0"/>
        <w:widowControl w:val="0"/>
        <w:numPr>
          <w:ilvl w:val="0"/>
          <w:numId w:val="0"/>
        </w:numPr>
        <w:shd w:val="clear"/>
        <w:kinsoku/>
        <w:wordWrap/>
        <w:overflowPunct/>
        <w:topLinePunct w:val="0"/>
        <w:bidi w:val="0"/>
        <w:spacing w:line="360" w:lineRule="auto"/>
        <w:ind w:firstLine="420" w:firstLineChars="200"/>
        <w:contextualSpacing/>
        <w:jc w:val="left"/>
        <w:rPr>
          <w:rFonts w:hint="eastAsia" w:ascii="宋体" w:hAnsi="宋体" w:cs="Times New Roman"/>
          <w:b w:val="0"/>
          <w:bCs w:val="0"/>
          <w:color w:val="auto"/>
          <w:szCs w:val="21"/>
          <w:highlight w:val="none"/>
          <w:lang w:bidi="ar"/>
        </w:rPr>
      </w:pPr>
      <w:r>
        <w:rPr>
          <w:rFonts w:hint="eastAsia" w:ascii="宋体" w:hAnsi="宋体" w:cs="Times New Roman"/>
          <w:b w:val="0"/>
          <w:bCs w:val="0"/>
          <w:color w:val="auto"/>
          <w:szCs w:val="21"/>
          <w:highlight w:val="none"/>
          <w:lang w:val="en-US" w:eastAsia="zh-CN" w:bidi="ar"/>
        </w:rPr>
        <w:t>2、</w:t>
      </w:r>
      <w:r>
        <w:rPr>
          <w:rFonts w:hint="eastAsia" w:ascii="宋体" w:hAnsi="宋体" w:cs="Times New Roman"/>
          <w:b w:val="0"/>
          <w:bCs w:val="0"/>
          <w:color w:val="auto"/>
          <w:szCs w:val="21"/>
          <w:highlight w:val="none"/>
          <w:lang w:bidi="ar"/>
        </w:rPr>
        <w:t>本项目为政府采购</w:t>
      </w:r>
      <w:r>
        <w:rPr>
          <w:rFonts w:hint="eastAsia" w:ascii="宋体" w:hAnsi="宋体" w:cs="Times New Roman"/>
          <w:b/>
          <w:bCs/>
          <w:color w:val="auto"/>
          <w:szCs w:val="21"/>
          <w:highlight w:val="none"/>
          <w:u w:val="single"/>
          <w:lang w:val="en-US" w:eastAsia="zh-CN" w:bidi="ar"/>
        </w:rPr>
        <w:t xml:space="preserve"> </w:t>
      </w:r>
      <w:r>
        <w:rPr>
          <w:rFonts w:hint="eastAsia" w:ascii="宋体" w:hAnsi="宋体" w:cs="Times New Roman"/>
          <w:b/>
          <w:bCs/>
          <w:color w:val="auto"/>
          <w:szCs w:val="21"/>
          <w:highlight w:val="none"/>
          <w:u w:val="single"/>
          <w:lang w:eastAsia="zh-CN" w:bidi="ar"/>
        </w:rPr>
        <w:t>服务</w:t>
      </w:r>
      <w:r>
        <w:rPr>
          <w:rFonts w:hint="eastAsia" w:ascii="宋体" w:hAnsi="宋体" w:cs="Times New Roman"/>
          <w:b/>
          <w:bCs/>
          <w:color w:val="auto"/>
          <w:szCs w:val="21"/>
          <w:highlight w:val="none"/>
          <w:u w:val="single"/>
          <w:lang w:val="en-US" w:eastAsia="zh-CN" w:bidi="ar"/>
        </w:rPr>
        <w:t xml:space="preserve"> </w:t>
      </w:r>
      <w:r>
        <w:rPr>
          <w:rFonts w:hint="eastAsia" w:ascii="宋体" w:hAnsi="宋体" w:cs="Times New Roman"/>
          <w:b w:val="0"/>
          <w:bCs w:val="0"/>
          <w:color w:val="auto"/>
          <w:szCs w:val="21"/>
          <w:highlight w:val="none"/>
          <w:lang w:bidi="ar"/>
        </w:rPr>
        <w:t>项目，属于</w:t>
      </w:r>
      <w:r>
        <w:rPr>
          <w:rFonts w:hint="eastAsia" w:ascii="宋体" w:hAnsi="宋体" w:cs="宋体"/>
          <w:b w:val="0"/>
          <w:bCs w:val="0"/>
          <w:color w:val="auto"/>
          <w:szCs w:val="21"/>
          <w:highlight w:val="none"/>
          <w:shd w:val="clear" w:color="auto" w:fill="FFFFFF"/>
        </w:rPr>
        <w:t>工信部联企业[2011]300号规定</w:t>
      </w:r>
      <w:r>
        <w:rPr>
          <w:rFonts w:hint="eastAsia" w:ascii="宋体" w:hAnsi="宋体" w:cs="Times New Roman"/>
          <w:b w:val="0"/>
          <w:bCs w:val="0"/>
          <w:color w:val="auto"/>
          <w:szCs w:val="21"/>
          <w:highlight w:val="none"/>
          <w:u w:val="single"/>
          <w:lang w:val="en-US" w:eastAsia="zh-CN" w:bidi="ar"/>
        </w:rPr>
        <w:t xml:space="preserve"> </w:t>
      </w:r>
      <w:r>
        <w:rPr>
          <w:rFonts w:hint="eastAsia" w:ascii="宋体" w:hAnsi="宋体"/>
          <w:b/>
          <w:bCs/>
          <w:color w:val="auto"/>
          <w:szCs w:val="21"/>
          <w:highlight w:val="none"/>
          <w:u w:val="single"/>
          <w:lang w:bidi="ar"/>
        </w:rPr>
        <w:t>其他未列明行业</w:t>
      </w:r>
      <w:r>
        <w:rPr>
          <w:rFonts w:hint="eastAsia" w:ascii="宋体" w:hAnsi="宋体" w:cs="Times New Roman"/>
          <w:b w:val="0"/>
          <w:bCs w:val="0"/>
          <w:color w:val="auto"/>
          <w:szCs w:val="21"/>
          <w:highlight w:val="none"/>
          <w:u w:val="single"/>
          <w:lang w:val="en-US" w:eastAsia="zh-CN" w:bidi="ar"/>
        </w:rPr>
        <w:t xml:space="preserve"> </w:t>
      </w:r>
      <w:r>
        <w:rPr>
          <w:rFonts w:hint="eastAsia" w:ascii="宋体" w:hAnsi="宋体" w:cs="Times New Roman"/>
          <w:b w:val="0"/>
          <w:bCs w:val="0"/>
          <w:color w:val="auto"/>
          <w:szCs w:val="21"/>
          <w:highlight w:val="none"/>
          <w:lang w:bidi="ar"/>
        </w:rPr>
        <w:t>。</w:t>
      </w:r>
    </w:p>
    <w:p w14:paraId="48259E9E">
      <w:pPr>
        <w:rPr>
          <w:rFonts w:cs="Arial" w:asciiTheme="minorEastAsia" w:hAnsiTheme="minorEastAsia" w:eastAsiaTheme="minorEastAsia"/>
          <w:color w:val="auto"/>
          <w:szCs w:val="21"/>
          <w:highlight w:val="none"/>
        </w:rPr>
      </w:pPr>
      <w:r>
        <w:rPr>
          <w:rFonts w:hint="eastAsia" w:ascii="宋体" w:hAnsi="宋体" w:cs="Times New Roman"/>
          <w:b/>
          <w:bCs/>
          <w:color w:val="auto"/>
          <w:szCs w:val="21"/>
          <w:highlight w:val="none"/>
          <w:lang w:val="en-US" w:eastAsia="zh-CN" w:bidi="ar"/>
        </w:rPr>
        <w:t>3、</w:t>
      </w:r>
      <w:r>
        <w:rPr>
          <w:rFonts w:hint="eastAsia" w:ascii="宋体" w:hAnsi="宋体" w:cs="Times New Roman"/>
          <w:b/>
          <w:bCs/>
          <w:color w:val="auto"/>
          <w:szCs w:val="21"/>
          <w:highlight w:val="none"/>
          <w:lang w:bidi="ar"/>
        </w:rPr>
        <w:t>供应商按照《政府采购促进中小企业发展管理办法》（财库[2020]46号）规定提供声明函内容不实的，属于提供虚假材料谋取中标、成交，依照《中华人民共和国政府采购法》等国家有关规定追究相应责任</w:t>
      </w:r>
      <w:r>
        <w:rPr>
          <w:rFonts w:hint="eastAsia" w:ascii="宋体" w:hAnsi="宋体" w:cs="Times New Roman"/>
          <w:b/>
          <w:bCs/>
          <w:color w:val="auto"/>
          <w:szCs w:val="21"/>
          <w:highlight w:val="none"/>
          <w:lang w:eastAsia="zh-CN" w:bidi="ar"/>
        </w:rPr>
        <w:t>。</w:t>
      </w:r>
    </w:p>
    <w:p w14:paraId="5B826E6A">
      <w:pPr>
        <w:rPr>
          <w:color w:val="auto"/>
          <w:highlight w:val="none"/>
        </w:rPr>
        <w:sectPr>
          <w:footerReference r:id="rId10" w:type="first"/>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titlePg/>
          <w:docGrid w:type="lines" w:linePitch="312" w:charSpace="0"/>
        </w:sectPr>
      </w:pPr>
    </w:p>
    <w:p w14:paraId="4E3364BE">
      <w:pPr>
        <w:pStyle w:val="4"/>
        <w:keepNext w:val="0"/>
        <w:keepLines w:val="0"/>
        <w:pageBreakBefore w:val="0"/>
        <w:widowControl w:val="0"/>
        <w:shd w:val="clear"/>
        <w:kinsoku/>
        <w:wordWrap/>
        <w:overflowPunct/>
        <w:topLinePunct w:val="0"/>
        <w:autoSpaceDE/>
        <w:autoSpaceDN/>
        <w:bidi w:val="0"/>
        <w:adjustRightInd/>
        <w:snapToGrid/>
        <w:spacing w:before="0" w:after="330"/>
        <w:textAlignment w:val="auto"/>
        <w:rPr>
          <w:rFonts w:asciiTheme="majorEastAsia" w:hAnsiTheme="majorEastAsia" w:eastAsiaTheme="majorEastAsia"/>
          <w:color w:val="auto"/>
          <w:highlight w:val="none"/>
        </w:rPr>
      </w:pPr>
      <w:bookmarkStart w:id="32" w:name="_Toc12813"/>
      <w:bookmarkStart w:id="33" w:name="_Toc11644"/>
      <w:bookmarkStart w:id="34" w:name="_Toc522013505"/>
      <w:r>
        <w:rPr>
          <w:rFonts w:asciiTheme="majorEastAsia" w:hAnsiTheme="majorEastAsia" w:eastAsiaTheme="majorEastAsia"/>
          <w:color w:val="auto"/>
          <w:highlight w:val="none"/>
        </w:rPr>
        <w:t>第四章  评审办法及评分标准</w:t>
      </w:r>
      <w:bookmarkEnd w:id="32"/>
      <w:bookmarkEnd w:id="33"/>
      <w:bookmarkEnd w:id="34"/>
    </w:p>
    <w:p w14:paraId="30710FE6">
      <w:pPr>
        <w:keepNext w:val="0"/>
        <w:keepLines w:val="0"/>
        <w:pageBreakBefore w:val="0"/>
        <w:widowControl w:val="0"/>
        <w:shd w:val="clear"/>
        <w:kinsoku/>
        <w:wordWrap/>
        <w:overflowPunct/>
        <w:topLinePunct w:val="0"/>
        <w:autoSpaceDE/>
        <w:autoSpaceDN/>
        <w:bidi w:val="0"/>
        <w:adjustRightInd/>
        <w:spacing w:before="240" w:line="360" w:lineRule="auto"/>
        <w:textAlignment w:val="auto"/>
        <w:rPr>
          <w:rFonts w:asciiTheme="majorEastAsia" w:hAnsiTheme="majorEastAsia" w:eastAsiaTheme="majorEastAsia"/>
          <w:b/>
          <w:bCs/>
          <w:color w:val="auto"/>
          <w:szCs w:val="21"/>
          <w:highlight w:val="none"/>
        </w:rPr>
      </w:pPr>
      <w:r>
        <w:rPr>
          <w:rFonts w:asciiTheme="majorEastAsia" w:hAnsiTheme="majorEastAsia" w:eastAsiaTheme="majorEastAsia"/>
          <w:b/>
          <w:bCs/>
          <w:color w:val="auto"/>
          <w:szCs w:val="21"/>
          <w:highlight w:val="none"/>
        </w:rPr>
        <w:t>一.总则</w:t>
      </w:r>
    </w:p>
    <w:p w14:paraId="4B78754A">
      <w:pPr>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本次磋商遵循公平、公正、科学、择优的原则依法进行，磋商活动及当事人接受依法实施的监督。本次磋商采用综合评分法。</w:t>
      </w:r>
    </w:p>
    <w:p w14:paraId="420C6AAF">
      <w:pPr>
        <w:keepNext w:val="0"/>
        <w:keepLines w:val="0"/>
        <w:pageBreakBefore w:val="0"/>
        <w:widowControl w:val="0"/>
        <w:shd w:val="clear"/>
        <w:kinsoku/>
        <w:wordWrap/>
        <w:overflowPunct/>
        <w:topLinePunct w:val="0"/>
        <w:autoSpaceDE/>
        <w:autoSpaceDN/>
        <w:bidi w:val="0"/>
        <w:adjustRightInd/>
        <w:spacing w:before="240" w:line="360" w:lineRule="auto"/>
        <w:textAlignment w:val="auto"/>
        <w:rPr>
          <w:rFonts w:asciiTheme="majorEastAsia" w:hAnsiTheme="majorEastAsia" w:eastAsiaTheme="majorEastAsia"/>
          <w:b/>
          <w:bCs/>
          <w:color w:val="auto"/>
          <w:szCs w:val="21"/>
          <w:highlight w:val="none"/>
        </w:rPr>
      </w:pPr>
      <w:r>
        <w:rPr>
          <w:rFonts w:asciiTheme="majorEastAsia" w:hAnsiTheme="majorEastAsia" w:eastAsiaTheme="majorEastAsia"/>
          <w:b/>
          <w:bCs/>
          <w:color w:val="auto"/>
          <w:szCs w:val="21"/>
          <w:highlight w:val="none"/>
        </w:rPr>
        <w:t>二.评审组织</w:t>
      </w:r>
    </w:p>
    <w:p w14:paraId="5F74F73B">
      <w:pPr>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磋商小组：采购人和采购机构根据采购项目的内容特点按照法律法规规定组建磋商小组。</w:t>
      </w:r>
    </w:p>
    <w:p w14:paraId="4FF1D79C">
      <w:pPr>
        <w:keepNext w:val="0"/>
        <w:keepLines w:val="0"/>
        <w:pageBreakBefore w:val="0"/>
        <w:widowControl w:val="0"/>
        <w:shd w:val="clear"/>
        <w:kinsoku/>
        <w:wordWrap/>
        <w:overflowPunct/>
        <w:topLinePunct w:val="0"/>
        <w:autoSpaceDE/>
        <w:autoSpaceDN/>
        <w:bidi w:val="0"/>
        <w:adjustRightInd/>
        <w:spacing w:before="240" w:line="360" w:lineRule="auto"/>
        <w:textAlignment w:val="auto"/>
        <w:rPr>
          <w:rFonts w:asciiTheme="majorEastAsia" w:hAnsiTheme="majorEastAsia" w:eastAsiaTheme="majorEastAsia"/>
          <w:b/>
          <w:bCs/>
          <w:color w:val="auto"/>
          <w:szCs w:val="21"/>
          <w:highlight w:val="none"/>
        </w:rPr>
      </w:pPr>
      <w:r>
        <w:rPr>
          <w:rFonts w:asciiTheme="majorEastAsia" w:hAnsiTheme="majorEastAsia" w:eastAsiaTheme="majorEastAsia"/>
          <w:b/>
          <w:bCs/>
          <w:color w:val="auto"/>
          <w:szCs w:val="21"/>
          <w:highlight w:val="none"/>
        </w:rPr>
        <w:t>三．磋商程序</w:t>
      </w:r>
    </w:p>
    <w:p w14:paraId="2D8624BB">
      <w:pPr>
        <w:pStyle w:val="14"/>
        <w:keepNext w:val="0"/>
        <w:keepLines w:val="0"/>
        <w:pageBreakBefore w:val="0"/>
        <w:widowControl w:val="0"/>
        <w:shd w:val="clear"/>
        <w:tabs>
          <w:tab w:val="clear" w:pos="454"/>
        </w:tabs>
        <w:kinsoku/>
        <w:wordWrap/>
        <w:overflowPunct/>
        <w:topLinePunct w:val="0"/>
        <w:autoSpaceDE/>
        <w:autoSpaceDN/>
        <w:bidi w:val="0"/>
        <w:adjustRightInd/>
        <w:snapToGrid w:val="0"/>
        <w:spacing w:afterLines="0" w:line="360" w:lineRule="auto"/>
        <w:ind w:left="0" w:firstLine="411" w:firstLineChars="196"/>
        <w:textAlignment w:val="auto"/>
        <w:rPr>
          <w:rFonts w:asciiTheme="majorEastAsia" w:hAnsiTheme="majorEastAsia" w:eastAsiaTheme="majorEastAsia"/>
          <w:color w:val="auto"/>
          <w:kern w:val="2"/>
          <w:sz w:val="21"/>
          <w:szCs w:val="21"/>
          <w:highlight w:val="none"/>
        </w:rPr>
      </w:pPr>
      <w:r>
        <w:rPr>
          <w:rFonts w:asciiTheme="majorEastAsia" w:hAnsiTheme="majorEastAsia" w:eastAsiaTheme="majorEastAsia"/>
          <w:color w:val="auto"/>
          <w:kern w:val="2"/>
          <w:sz w:val="21"/>
          <w:szCs w:val="21"/>
          <w:highlight w:val="none"/>
        </w:rPr>
        <w:t>详见第三章供应商须知 四、磋商程序</w:t>
      </w:r>
      <w:r>
        <w:rPr>
          <w:rFonts w:hint="eastAsia" w:asciiTheme="majorEastAsia" w:hAnsiTheme="majorEastAsia" w:eastAsiaTheme="majorEastAsia"/>
          <w:color w:val="auto"/>
          <w:kern w:val="2"/>
          <w:sz w:val="21"/>
          <w:szCs w:val="21"/>
          <w:highlight w:val="none"/>
        </w:rPr>
        <w:t>。</w:t>
      </w:r>
    </w:p>
    <w:p w14:paraId="433FEB6B">
      <w:pPr>
        <w:keepNext w:val="0"/>
        <w:keepLines w:val="0"/>
        <w:pageBreakBefore w:val="0"/>
        <w:widowControl w:val="0"/>
        <w:shd w:val="clear"/>
        <w:kinsoku/>
        <w:wordWrap/>
        <w:overflowPunct/>
        <w:topLinePunct w:val="0"/>
        <w:autoSpaceDE/>
        <w:autoSpaceDN/>
        <w:bidi w:val="0"/>
        <w:adjustRightInd/>
        <w:spacing w:before="240" w:line="360" w:lineRule="auto"/>
        <w:textAlignment w:val="auto"/>
        <w:rPr>
          <w:rFonts w:asciiTheme="majorEastAsia" w:hAnsiTheme="majorEastAsia" w:eastAsiaTheme="majorEastAsia"/>
          <w:b/>
          <w:bCs/>
          <w:color w:val="auto"/>
          <w:szCs w:val="21"/>
          <w:highlight w:val="none"/>
        </w:rPr>
      </w:pPr>
      <w:r>
        <w:rPr>
          <w:rFonts w:asciiTheme="majorEastAsia" w:hAnsiTheme="majorEastAsia" w:eastAsiaTheme="majorEastAsia"/>
          <w:b/>
          <w:bCs/>
          <w:color w:val="auto"/>
          <w:szCs w:val="21"/>
          <w:highlight w:val="none"/>
        </w:rPr>
        <w:t>四.评审程序</w:t>
      </w:r>
    </w:p>
    <w:p w14:paraId="12D4EBAC">
      <w:pPr>
        <w:pStyle w:val="28"/>
        <w:keepNext w:val="0"/>
        <w:keepLines w:val="0"/>
        <w:pageBreakBefore w:val="0"/>
        <w:widowControl w:val="0"/>
        <w:shd w:val="clear"/>
        <w:kinsoku/>
        <w:wordWrap/>
        <w:overflowPunct/>
        <w:topLinePunct w:val="0"/>
        <w:autoSpaceDE/>
        <w:autoSpaceDN/>
        <w:bidi w:val="0"/>
        <w:adjustRightInd/>
        <w:spacing w:line="360" w:lineRule="auto"/>
        <w:ind w:firstLine="473"/>
        <w:textAlignment w:val="auto"/>
        <w:rPr>
          <w:rFonts w:asciiTheme="majorEastAsia" w:hAnsiTheme="majorEastAsia" w:eastAsiaTheme="majorEastAsia"/>
          <w:b w:val="0"/>
          <w:bCs w:val="0"/>
          <w:color w:val="auto"/>
          <w:sz w:val="21"/>
          <w:szCs w:val="21"/>
          <w:highlight w:val="none"/>
        </w:rPr>
      </w:pPr>
      <w:r>
        <w:rPr>
          <w:rFonts w:asciiTheme="majorEastAsia" w:hAnsiTheme="majorEastAsia" w:eastAsiaTheme="majorEastAsia"/>
          <w:b w:val="0"/>
          <w:bCs w:val="0"/>
          <w:color w:val="auto"/>
          <w:sz w:val="21"/>
          <w:szCs w:val="21"/>
          <w:highlight w:val="none"/>
        </w:rPr>
        <w:t>详见第三章供应商须知 五、评审</w:t>
      </w:r>
      <w:r>
        <w:rPr>
          <w:rFonts w:hint="eastAsia" w:asciiTheme="majorEastAsia" w:hAnsiTheme="majorEastAsia" w:eastAsiaTheme="majorEastAsia"/>
          <w:b w:val="0"/>
          <w:bCs w:val="0"/>
          <w:color w:val="auto"/>
          <w:sz w:val="21"/>
          <w:szCs w:val="21"/>
          <w:highlight w:val="none"/>
        </w:rPr>
        <w:t>。</w:t>
      </w:r>
    </w:p>
    <w:p w14:paraId="00C79E17">
      <w:pPr>
        <w:keepNext w:val="0"/>
        <w:keepLines w:val="0"/>
        <w:pageBreakBefore w:val="0"/>
        <w:widowControl w:val="0"/>
        <w:numPr>
          <w:ilvl w:val="0"/>
          <w:numId w:val="9"/>
        </w:numPr>
        <w:shd w:val="clear"/>
        <w:kinsoku/>
        <w:wordWrap/>
        <w:overflowPunct/>
        <w:topLinePunct w:val="0"/>
        <w:autoSpaceDE/>
        <w:autoSpaceDN/>
        <w:bidi w:val="0"/>
        <w:adjustRightInd/>
        <w:spacing w:before="240" w:line="360" w:lineRule="auto"/>
        <w:textAlignment w:val="auto"/>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评分标准</w:t>
      </w:r>
    </w:p>
    <w:tbl>
      <w:tblPr>
        <w:tblStyle w:val="45"/>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8439"/>
      </w:tblGrid>
      <w:tr w14:paraId="1BB35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15" w:type="dxa"/>
            <w:tcBorders>
              <w:top w:val="single" w:color="auto" w:sz="4" w:space="0"/>
              <w:left w:val="single" w:color="auto" w:sz="4" w:space="0"/>
              <w:bottom w:val="single" w:color="auto" w:sz="4" w:space="0"/>
              <w:right w:val="single" w:color="auto" w:sz="4" w:space="0"/>
            </w:tcBorders>
            <w:vAlign w:val="center"/>
          </w:tcPr>
          <w:p w14:paraId="59805B45">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b/>
                <w:bCs/>
                <w:color w:val="auto"/>
                <w:szCs w:val="21"/>
                <w:highlight w:val="none"/>
              </w:rPr>
            </w:pPr>
            <w:bookmarkStart w:id="35" w:name="_Toc20990"/>
            <w:bookmarkStart w:id="36" w:name="_Toc522013506"/>
            <w:r>
              <w:rPr>
                <w:rFonts w:hint="eastAsia" w:ascii="宋体" w:hAnsi="宋体" w:eastAsia="宋体" w:cs="宋体"/>
                <w:b/>
                <w:bCs/>
                <w:color w:val="auto"/>
                <w:szCs w:val="21"/>
                <w:highlight w:val="none"/>
              </w:rPr>
              <w:t>序号</w:t>
            </w:r>
          </w:p>
        </w:tc>
        <w:tc>
          <w:tcPr>
            <w:tcW w:w="8439" w:type="dxa"/>
            <w:tcBorders>
              <w:top w:val="single" w:color="auto" w:sz="4" w:space="0"/>
              <w:left w:val="single" w:color="auto" w:sz="4" w:space="0"/>
              <w:bottom w:val="single" w:color="auto" w:sz="4" w:space="0"/>
              <w:right w:val="single" w:color="auto" w:sz="4" w:space="0"/>
            </w:tcBorders>
            <w:vAlign w:val="center"/>
          </w:tcPr>
          <w:p w14:paraId="78477D29">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评分细则</w:t>
            </w:r>
          </w:p>
        </w:tc>
      </w:tr>
      <w:tr w14:paraId="21485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5" w:type="dxa"/>
            <w:vMerge w:val="restart"/>
            <w:tcBorders>
              <w:top w:val="single" w:color="auto" w:sz="4" w:space="0"/>
              <w:left w:val="single" w:color="auto" w:sz="4" w:space="0"/>
              <w:right w:val="single" w:color="auto" w:sz="4" w:space="0"/>
            </w:tcBorders>
            <w:vAlign w:val="center"/>
          </w:tcPr>
          <w:p w14:paraId="68434F8E">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资信技术分</w:t>
            </w:r>
          </w:p>
          <w:p w14:paraId="7DB6A1AC">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val="en-US" w:eastAsia="zh-CN"/>
              </w:rPr>
              <w:t>75</w:t>
            </w:r>
            <w:r>
              <w:rPr>
                <w:rFonts w:hint="eastAsia" w:ascii="宋体" w:hAnsi="宋体" w:eastAsia="宋体" w:cs="宋体"/>
                <w:b/>
                <w:bCs/>
                <w:color w:val="auto"/>
                <w:szCs w:val="21"/>
                <w:highlight w:val="none"/>
              </w:rPr>
              <w:t>分</w:t>
            </w:r>
          </w:p>
        </w:tc>
        <w:tc>
          <w:tcPr>
            <w:tcW w:w="8439" w:type="dxa"/>
            <w:tcBorders>
              <w:top w:val="single" w:color="auto" w:sz="4" w:space="0"/>
              <w:left w:val="single" w:color="auto" w:sz="4" w:space="0"/>
              <w:right w:val="single" w:color="auto" w:sz="4" w:space="0"/>
            </w:tcBorders>
            <w:vAlign w:val="center"/>
          </w:tcPr>
          <w:p w14:paraId="09FBDC1D">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1、</w:t>
            </w:r>
            <w:r>
              <w:rPr>
                <w:rFonts w:hint="eastAsia" w:ascii="宋体" w:hAnsi="宋体" w:eastAsia="宋体" w:cs="宋体"/>
                <w:b/>
                <w:bCs/>
                <w:color w:val="auto"/>
                <w:kern w:val="0"/>
                <w:highlight w:val="none"/>
              </w:rPr>
              <w:t>磋商响应情况（</w:t>
            </w:r>
            <w:r>
              <w:rPr>
                <w:rFonts w:hint="eastAsia" w:ascii="宋体" w:hAnsi="宋体" w:eastAsia="宋体" w:cs="宋体"/>
                <w:b/>
                <w:bCs/>
                <w:color w:val="auto"/>
                <w:kern w:val="0"/>
                <w:highlight w:val="none"/>
                <w:lang w:val="en-US" w:eastAsia="zh-CN"/>
              </w:rPr>
              <w:t>10</w:t>
            </w:r>
            <w:r>
              <w:rPr>
                <w:rFonts w:hint="eastAsia" w:ascii="宋体" w:hAnsi="宋体" w:eastAsia="宋体" w:cs="宋体"/>
                <w:b/>
                <w:bCs/>
                <w:color w:val="auto"/>
                <w:kern w:val="0"/>
                <w:highlight w:val="none"/>
              </w:rPr>
              <w:t>分）</w:t>
            </w:r>
            <w:r>
              <w:rPr>
                <w:rFonts w:hint="eastAsia" w:ascii="宋体" w:hAnsi="宋体" w:eastAsia="宋体" w:cs="宋体"/>
                <w:b/>
                <w:bCs/>
                <w:color w:val="auto"/>
                <w:kern w:val="0"/>
                <w:highlight w:val="none"/>
                <w:lang w:eastAsia="zh-CN"/>
              </w:rPr>
              <w:t>：</w:t>
            </w:r>
          </w:p>
          <w:p w14:paraId="3B43EBEA">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根据供应商对磋商文件《第二章采购需求》条款要求的响应情况进行评议，每负偏离或未响应1条非实质性要求的</w:t>
            </w:r>
            <w:r>
              <w:rPr>
                <w:rFonts w:hint="eastAsia" w:ascii="宋体" w:hAnsi="宋体" w:eastAsia="宋体" w:cs="宋体"/>
                <w:color w:val="auto"/>
                <w:highlight w:val="none"/>
                <w:u w:val="single"/>
              </w:rPr>
              <w:t>扣</w:t>
            </w:r>
            <w:r>
              <w:rPr>
                <w:rFonts w:hint="eastAsia" w:ascii="宋体" w:hAnsi="宋体" w:eastAsia="宋体" w:cs="宋体"/>
                <w:color w:val="auto"/>
                <w:highlight w:val="none"/>
                <w:u w:val="single"/>
                <w:lang w:val="en-US" w:eastAsia="zh-CN"/>
              </w:rPr>
              <w:t>2</w:t>
            </w:r>
            <w:r>
              <w:rPr>
                <w:rFonts w:hint="eastAsia" w:ascii="宋体" w:hAnsi="宋体" w:eastAsia="宋体" w:cs="宋体"/>
                <w:color w:val="auto"/>
                <w:highlight w:val="none"/>
                <w:u w:val="single"/>
              </w:rPr>
              <w:t>分</w:t>
            </w:r>
            <w:r>
              <w:rPr>
                <w:rFonts w:hint="eastAsia" w:ascii="宋体" w:hAnsi="宋体" w:eastAsia="宋体" w:cs="宋体"/>
                <w:color w:val="auto"/>
                <w:highlight w:val="none"/>
              </w:rPr>
              <w:t>，扣完为止</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负偏离超过</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条（含</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条）的作无效标处理</w:t>
            </w:r>
            <w:r>
              <w:rPr>
                <w:rFonts w:hint="eastAsia" w:ascii="宋体" w:hAnsi="宋体" w:eastAsia="宋体" w:cs="宋体"/>
                <w:color w:val="auto"/>
                <w:highlight w:val="none"/>
              </w:rPr>
              <w:t>。</w:t>
            </w:r>
          </w:p>
          <w:p w14:paraId="68BF704F">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注：根据采购需求响应表响应情况评议。</w:t>
            </w:r>
          </w:p>
        </w:tc>
      </w:tr>
      <w:tr w14:paraId="373FE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5" w:type="dxa"/>
            <w:vMerge w:val="continue"/>
            <w:tcBorders>
              <w:left w:val="single" w:color="auto" w:sz="4" w:space="0"/>
              <w:right w:val="single" w:color="auto" w:sz="4" w:space="0"/>
            </w:tcBorders>
            <w:vAlign w:val="center"/>
          </w:tcPr>
          <w:p w14:paraId="4BB13E0E">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p>
        </w:tc>
        <w:tc>
          <w:tcPr>
            <w:tcW w:w="8439" w:type="dxa"/>
            <w:tcBorders>
              <w:left w:val="single" w:color="auto" w:sz="4" w:space="0"/>
              <w:right w:val="single" w:color="auto" w:sz="4" w:space="0"/>
            </w:tcBorders>
            <w:vAlign w:val="center"/>
          </w:tcPr>
          <w:p w14:paraId="1E65BBB0">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2、</w:t>
            </w:r>
            <w:r>
              <w:rPr>
                <w:rFonts w:hint="eastAsia" w:ascii="宋体" w:hAnsi="宋体" w:eastAsia="宋体" w:cs="宋体"/>
                <w:b/>
                <w:bCs/>
                <w:color w:val="auto"/>
                <w:highlight w:val="none"/>
                <w:lang w:val="en-US" w:eastAsia="zh-CN"/>
              </w:rPr>
              <w:t>行程安排</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12</w:t>
            </w:r>
            <w:r>
              <w:rPr>
                <w:rFonts w:hint="eastAsia" w:ascii="宋体" w:hAnsi="宋体" w:eastAsia="宋体" w:cs="宋体"/>
                <w:b/>
                <w:bCs/>
                <w:color w:val="auto"/>
                <w:highlight w:val="none"/>
              </w:rPr>
              <w:t>分）：</w:t>
            </w:r>
          </w:p>
          <w:p w14:paraId="0E1C7221">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①</w:t>
            </w:r>
            <w:r>
              <w:rPr>
                <w:rFonts w:hint="eastAsia" w:ascii="宋体" w:hAnsi="宋体" w:eastAsia="宋体" w:cs="宋体"/>
                <w:color w:val="auto"/>
                <w:sz w:val="21"/>
                <w:szCs w:val="21"/>
                <w:highlight w:val="none"/>
              </w:rPr>
              <w:t>根据供应商针对本项目的</w:t>
            </w:r>
            <w:r>
              <w:rPr>
                <w:rFonts w:hint="eastAsia" w:ascii="宋体" w:hAnsi="宋体" w:cs="宋体"/>
                <w:color w:val="auto"/>
                <w:sz w:val="21"/>
                <w:szCs w:val="21"/>
                <w:highlight w:val="none"/>
                <w:lang w:eastAsia="zh-CN"/>
              </w:rPr>
              <w:t>江西线</w:t>
            </w:r>
            <w:r>
              <w:rPr>
                <w:rFonts w:hint="eastAsia" w:ascii="宋体" w:hAnsi="宋体" w:eastAsia="宋体" w:cs="宋体"/>
                <w:color w:val="auto"/>
                <w:sz w:val="21"/>
                <w:szCs w:val="21"/>
                <w:highlight w:val="none"/>
                <w:lang w:val="en-US" w:eastAsia="zh-CN"/>
              </w:rPr>
              <w:t>的行程安排（包括行程线路设计、线路特点、景点吸引力、活动内容、主题策划、时间安排）进行评议</w:t>
            </w:r>
            <w:r>
              <w:rPr>
                <w:rFonts w:hint="eastAsia" w:ascii="宋体" w:hAnsi="宋体" w:eastAsia="宋体" w:cs="宋体"/>
                <w:color w:val="auto"/>
                <w:sz w:val="21"/>
                <w:szCs w:val="21"/>
                <w:highlight w:val="none"/>
              </w:rPr>
              <w:t>，最高得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2B8DAA5A">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整体方案设计思路清晰、行程科学合理、方案完整可行的得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分；思路比较清晰、行程安排大致合理、方案完整基本可行的得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.9-</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分；思路比较一般、行程安排略有欠缺、方案不完整的得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.9-0</w:t>
            </w:r>
            <w:r>
              <w:rPr>
                <w:rFonts w:hint="eastAsia" w:ascii="宋体" w:hAnsi="宋体" w:eastAsia="宋体" w:cs="宋体"/>
                <w:color w:val="auto"/>
                <w:sz w:val="21"/>
                <w:szCs w:val="21"/>
                <w:highlight w:val="none"/>
              </w:rPr>
              <w:t>分</w:t>
            </w:r>
          </w:p>
          <w:p w14:paraId="0972BAA3">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②</w:t>
            </w:r>
            <w:r>
              <w:rPr>
                <w:rFonts w:hint="eastAsia" w:ascii="宋体" w:hAnsi="宋体" w:eastAsia="宋体" w:cs="宋体"/>
                <w:color w:val="auto"/>
                <w:sz w:val="21"/>
                <w:szCs w:val="21"/>
                <w:highlight w:val="none"/>
              </w:rPr>
              <w:t>根据供应商针对本项目的</w:t>
            </w:r>
            <w:r>
              <w:rPr>
                <w:rFonts w:hint="eastAsia" w:ascii="宋体" w:hAnsi="宋体" w:cs="宋体"/>
                <w:color w:val="auto"/>
                <w:sz w:val="21"/>
                <w:szCs w:val="21"/>
                <w:highlight w:val="none"/>
                <w:lang w:eastAsia="zh-CN"/>
              </w:rPr>
              <w:t>湖州线</w:t>
            </w:r>
            <w:r>
              <w:rPr>
                <w:rFonts w:hint="eastAsia" w:ascii="宋体" w:hAnsi="宋体" w:eastAsia="宋体" w:cs="宋体"/>
                <w:color w:val="auto"/>
                <w:sz w:val="21"/>
                <w:szCs w:val="21"/>
                <w:highlight w:val="none"/>
                <w:lang w:val="en-US" w:eastAsia="zh-CN"/>
              </w:rPr>
              <w:t>的行程安排（包括行程线路设计、线路特点、景点吸引力、活动内容、主题策划、时间安排）进行评议</w:t>
            </w:r>
            <w:r>
              <w:rPr>
                <w:rFonts w:hint="eastAsia" w:ascii="宋体" w:hAnsi="宋体" w:eastAsia="宋体" w:cs="宋体"/>
                <w:color w:val="auto"/>
                <w:sz w:val="21"/>
                <w:szCs w:val="21"/>
                <w:highlight w:val="none"/>
              </w:rPr>
              <w:t>，最高得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17D85786">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1"/>
                <w:szCs w:val="21"/>
                <w:highlight w:val="none"/>
              </w:rPr>
              <w:t>整体方案设计思路清晰、行程科学合理、方案完整可行的得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分；思路比较清晰、行程安排大致合理、方案完整基本可行的得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.9-</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分；思路比较一般、行程安排略有欠缺、方案不完整的得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.9-0</w:t>
            </w:r>
            <w:r>
              <w:rPr>
                <w:rFonts w:hint="eastAsia" w:ascii="宋体" w:hAnsi="宋体" w:eastAsia="宋体" w:cs="宋体"/>
                <w:color w:val="auto"/>
                <w:sz w:val="21"/>
                <w:szCs w:val="21"/>
                <w:highlight w:val="none"/>
              </w:rPr>
              <w:t>分</w:t>
            </w:r>
          </w:p>
        </w:tc>
      </w:tr>
      <w:tr w14:paraId="1AF31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5" w:type="dxa"/>
            <w:vMerge w:val="continue"/>
            <w:tcBorders>
              <w:left w:val="single" w:color="auto" w:sz="4" w:space="0"/>
              <w:right w:val="single" w:color="auto" w:sz="4" w:space="0"/>
            </w:tcBorders>
            <w:vAlign w:val="center"/>
          </w:tcPr>
          <w:p w14:paraId="2A86F872">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p>
        </w:tc>
        <w:tc>
          <w:tcPr>
            <w:tcW w:w="8439" w:type="dxa"/>
            <w:tcBorders>
              <w:left w:val="single" w:color="auto" w:sz="4" w:space="0"/>
              <w:right w:val="single" w:color="auto" w:sz="4" w:space="0"/>
            </w:tcBorders>
            <w:vAlign w:val="center"/>
          </w:tcPr>
          <w:p w14:paraId="5460F530">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3</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住宿安排</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12</w:t>
            </w:r>
            <w:r>
              <w:rPr>
                <w:rFonts w:hint="eastAsia" w:ascii="宋体" w:hAnsi="宋体" w:eastAsia="宋体" w:cs="宋体"/>
                <w:b/>
                <w:bCs/>
                <w:color w:val="auto"/>
                <w:highlight w:val="none"/>
              </w:rPr>
              <w:t>分）：</w:t>
            </w:r>
          </w:p>
          <w:p w14:paraId="02ECB1F0">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①根据供应商针对本项目的</w:t>
            </w:r>
            <w:r>
              <w:rPr>
                <w:rFonts w:hint="eastAsia" w:ascii="宋体" w:hAnsi="宋体" w:cs="宋体"/>
                <w:color w:val="auto"/>
                <w:sz w:val="21"/>
                <w:szCs w:val="21"/>
                <w:highlight w:val="none"/>
                <w:lang w:eastAsia="zh-CN"/>
              </w:rPr>
              <w:t>江西线</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val="zh-CN"/>
              </w:rPr>
              <w:t>住宿安排（包括酒店星级</w:t>
            </w:r>
            <w:r>
              <w:rPr>
                <w:rFonts w:hint="eastAsia" w:ascii="宋体" w:hAnsi="宋体" w:eastAsia="宋体" w:cs="宋体"/>
                <w:color w:val="auto"/>
                <w:sz w:val="21"/>
                <w:szCs w:val="21"/>
                <w:highlight w:val="none"/>
                <w:lang w:val="en-US" w:eastAsia="zh-CN"/>
              </w:rPr>
              <w:t>标准</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周边环境、酒店配套设施、</w:t>
            </w:r>
            <w:r>
              <w:rPr>
                <w:rFonts w:hint="eastAsia" w:ascii="宋体" w:hAnsi="宋体" w:eastAsia="宋体" w:cs="宋体"/>
                <w:color w:val="auto"/>
                <w:sz w:val="21"/>
                <w:szCs w:val="21"/>
                <w:highlight w:val="none"/>
                <w:lang w:val="zh-CN"/>
              </w:rPr>
              <w:t>酒店地理位置、酒店与景区的车程距离）</w:t>
            </w:r>
            <w:r>
              <w:rPr>
                <w:rFonts w:hint="eastAsia" w:ascii="宋体" w:hAnsi="宋体" w:eastAsia="宋体" w:cs="宋体"/>
                <w:color w:val="auto"/>
                <w:sz w:val="21"/>
                <w:szCs w:val="21"/>
                <w:highlight w:val="none"/>
                <w:lang w:val="en-US" w:eastAsia="zh-CN"/>
              </w:rPr>
              <w:t>进行评议</w:t>
            </w:r>
            <w:r>
              <w:rPr>
                <w:rFonts w:hint="eastAsia" w:ascii="宋体" w:hAnsi="宋体" w:eastAsia="宋体" w:cs="宋体"/>
                <w:color w:val="auto"/>
                <w:sz w:val="21"/>
                <w:szCs w:val="21"/>
                <w:highlight w:val="none"/>
              </w:rPr>
              <w:t>，最高得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7B2381F1">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方案完整，地理位置便捷、周边环境好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酒店内部环境好、档次标准高、店内配套设施完善的得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分；方案完整合理，地理位置比较便捷、周边环境较为一般</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酒店内部环境一般，档次标准基本满足项目需求的的得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.9-</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分；方案不完整、地理位置比较偏僻、周边环境较差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酒店内部环境较差、或档次很低的得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.9-0</w:t>
            </w:r>
            <w:r>
              <w:rPr>
                <w:rFonts w:hint="eastAsia" w:ascii="宋体" w:hAnsi="宋体" w:eastAsia="宋体" w:cs="宋体"/>
                <w:color w:val="auto"/>
                <w:sz w:val="21"/>
                <w:szCs w:val="21"/>
                <w:highlight w:val="none"/>
              </w:rPr>
              <w:t>分。</w:t>
            </w:r>
          </w:p>
          <w:p w14:paraId="5863B23C">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②</w:t>
            </w:r>
            <w:r>
              <w:rPr>
                <w:rFonts w:hint="eastAsia" w:ascii="宋体" w:hAnsi="宋体" w:eastAsia="宋体" w:cs="宋体"/>
                <w:color w:val="auto"/>
                <w:sz w:val="21"/>
                <w:szCs w:val="21"/>
                <w:highlight w:val="none"/>
              </w:rPr>
              <w:t>根据供应商针对本项目的</w:t>
            </w:r>
            <w:r>
              <w:rPr>
                <w:rFonts w:hint="eastAsia" w:ascii="宋体" w:hAnsi="宋体" w:cs="宋体"/>
                <w:color w:val="auto"/>
                <w:sz w:val="21"/>
                <w:szCs w:val="21"/>
                <w:highlight w:val="none"/>
                <w:lang w:eastAsia="zh-CN"/>
              </w:rPr>
              <w:t>湖州线</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val="zh-CN"/>
              </w:rPr>
              <w:t>住宿安排（包括酒店星级</w:t>
            </w:r>
            <w:r>
              <w:rPr>
                <w:rFonts w:hint="eastAsia" w:ascii="宋体" w:hAnsi="宋体" w:eastAsia="宋体" w:cs="宋体"/>
                <w:color w:val="auto"/>
                <w:sz w:val="21"/>
                <w:szCs w:val="21"/>
                <w:highlight w:val="none"/>
                <w:lang w:val="en-US" w:eastAsia="zh-CN"/>
              </w:rPr>
              <w:t>标准</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周边环境、酒店配套设施、</w:t>
            </w:r>
            <w:r>
              <w:rPr>
                <w:rFonts w:hint="eastAsia" w:ascii="宋体" w:hAnsi="宋体" w:eastAsia="宋体" w:cs="宋体"/>
                <w:color w:val="auto"/>
                <w:sz w:val="21"/>
                <w:szCs w:val="21"/>
                <w:highlight w:val="none"/>
                <w:lang w:val="zh-CN"/>
              </w:rPr>
              <w:t>酒店地理位置、酒店与景区的车程距离）</w:t>
            </w:r>
            <w:r>
              <w:rPr>
                <w:rFonts w:hint="eastAsia" w:ascii="宋体" w:hAnsi="宋体" w:eastAsia="宋体" w:cs="宋体"/>
                <w:color w:val="auto"/>
                <w:sz w:val="21"/>
                <w:szCs w:val="21"/>
                <w:highlight w:val="none"/>
                <w:lang w:val="en-US" w:eastAsia="zh-CN"/>
              </w:rPr>
              <w:t>进行评议</w:t>
            </w:r>
            <w:r>
              <w:rPr>
                <w:rFonts w:hint="eastAsia" w:ascii="宋体" w:hAnsi="宋体" w:eastAsia="宋体" w:cs="宋体"/>
                <w:color w:val="auto"/>
                <w:sz w:val="21"/>
                <w:szCs w:val="21"/>
                <w:highlight w:val="none"/>
              </w:rPr>
              <w:t>，最高得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277887D5">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1"/>
                <w:szCs w:val="21"/>
                <w:highlight w:val="none"/>
              </w:rPr>
              <w:t>方案完整，地理位置便捷、周边环境好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酒店内部环境好、档次标准高、店内配套设施完善的得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分；方案完整合理，地理位置比较便捷、周边环境较为一般</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酒店内部环境一般，档次标准基本满足项目需求的的得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.9-</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分；方案不完整、地理位置比较偏僻、周边环境较差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酒店内部环境较差、或档次很低的得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.9-0</w:t>
            </w:r>
            <w:r>
              <w:rPr>
                <w:rFonts w:hint="eastAsia" w:ascii="宋体" w:hAnsi="宋体" w:eastAsia="宋体" w:cs="宋体"/>
                <w:color w:val="auto"/>
                <w:sz w:val="21"/>
                <w:szCs w:val="21"/>
                <w:highlight w:val="none"/>
              </w:rPr>
              <w:t>分。</w:t>
            </w:r>
          </w:p>
        </w:tc>
      </w:tr>
      <w:tr w14:paraId="23698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5" w:type="dxa"/>
            <w:vMerge w:val="continue"/>
            <w:tcBorders>
              <w:left w:val="single" w:color="auto" w:sz="4" w:space="0"/>
              <w:right w:val="single" w:color="auto" w:sz="4" w:space="0"/>
            </w:tcBorders>
            <w:vAlign w:val="center"/>
          </w:tcPr>
          <w:p w14:paraId="3462E80C">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p>
        </w:tc>
        <w:tc>
          <w:tcPr>
            <w:tcW w:w="8439" w:type="dxa"/>
            <w:tcBorders>
              <w:left w:val="single" w:color="auto" w:sz="4" w:space="0"/>
              <w:right w:val="single" w:color="auto" w:sz="4" w:space="0"/>
            </w:tcBorders>
            <w:vAlign w:val="center"/>
          </w:tcPr>
          <w:p w14:paraId="3FBAAF0E">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4</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就餐安排</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12</w:t>
            </w:r>
            <w:r>
              <w:rPr>
                <w:rFonts w:hint="eastAsia" w:ascii="宋体" w:hAnsi="宋体" w:eastAsia="宋体" w:cs="宋体"/>
                <w:b/>
                <w:bCs/>
                <w:color w:val="auto"/>
                <w:highlight w:val="none"/>
              </w:rPr>
              <w:t>分）：</w:t>
            </w:r>
          </w:p>
          <w:p w14:paraId="1BAD42CA">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①根据供应商针对本项目的</w:t>
            </w:r>
            <w:r>
              <w:rPr>
                <w:rFonts w:hint="eastAsia" w:ascii="宋体" w:hAnsi="宋体" w:cs="宋体"/>
                <w:color w:val="auto"/>
                <w:sz w:val="21"/>
                <w:szCs w:val="21"/>
                <w:highlight w:val="none"/>
                <w:lang w:eastAsia="zh-CN"/>
              </w:rPr>
              <w:t>江西线</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val="zh-CN"/>
              </w:rPr>
              <w:t>餐饮安排【包括就餐时间安排、就餐</w:t>
            </w:r>
            <w:r>
              <w:rPr>
                <w:rFonts w:hint="eastAsia" w:ascii="宋体" w:hAnsi="宋体" w:eastAsia="宋体" w:cs="宋体"/>
                <w:color w:val="auto"/>
                <w:sz w:val="21"/>
                <w:szCs w:val="21"/>
                <w:highlight w:val="none"/>
                <w:lang w:val="en-US" w:eastAsia="zh-CN"/>
              </w:rPr>
              <w:t>地点</w:t>
            </w:r>
            <w:r>
              <w:rPr>
                <w:rFonts w:hint="eastAsia" w:ascii="宋体" w:hAnsi="宋体" w:eastAsia="宋体" w:cs="宋体"/>
                <w:color w:val="auto"/>
                <w:sz w:val="21"/>
                <w:szCs w:val="21"/>
                <w:highlight w:val="none"/>
                <w:lang w:val="zh-CN"/>
              </w:rPr>
              <w:t>选择、菜品荤素搭配、</w:t>
            </w:r>
            <w:r>
              <w:rPr>
                <w:rFonts w:hint="eastAsia" w:ascii="宋体" w:hAnsi="宋体" w:eastAsia="宋体" w:cs="宋体"/>
                <w:color w:val="auto"/>
                <w:sz w:val="21"/>
                <w:szCs w:val="21"/>
                <w:highlight w:val="none"/>
                <w:lang w:val="en-US" w:eastAsia="zh-CN"/>
              </w:rPr>
              <w:t>菜肴数量、</w:t>
            </w:r>
            <w:r>
              <w:rPr>
                <w:rFonts w:hint="eastAsia" w:ascii="宋体" w:hAnsi="宋体" w:eastAsia="宋体" w:cs="宋体"/>
                <w:color w:val="auto"/>
                <w:sz w:val="21"/>
                <w:szCs w:val="21"/>
                <w:highlight w:val="none"/>
                <w:lang w:val="zh-CN"/>
              </w:rPr>
              <w:t>就餐标准（</w:t>
            </w:r>
            <w:r>
              <w:rPr>
                <w:rFonts w:hint="eastAsia" w:ascii="宋体" w:hAnsi="宋体" w:eastAsia="宋体" w:cs="宋体"/>
                <w:color w:val="auto"/>
                <w:sz w:val="21"/>
                <w:szCs w:val="21"/>
                <w:highlight w:val="none"/>
                <w:lang w:val="en-US" w:eastAsia="zh-CN"/>
              </w:rPr>
              <w:t>明确人均餐饮标准</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进行评议</w:t>
            </w:r>
            <w:r>
              <w:rPr>
                <w:rFonts w:hint="eastAsia" w:ascii="宋体" w:hAnsi="宋体" w:eastAsia="宋体" w:cs="宋体"/>
                <w:color w:val="auto"/>
                <w:sz w:val="21"/>
                <w:szCs w:val="21"/>
                <w:highlight w:val="none"/>
              </w:rPr>
              <w:t>，最高得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3BA8D30E">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就餐的时间地点安排合理、科学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人均餐饮标准高，菜单搭配合理的得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分；就餐的时间地点安排大致合理科学但有几处略需调整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人均餐饮标准一般，菜单搭配比较合理的得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.9-</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分；就餐的时间地点安排存在明显不合理、或不科学之处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餐饮标准不达标、或菜单搭配</w:t>
            </w:r>
            <w:r>
              <w:rPr>
                <w:rFonts w:hint="eastAsia" w:ascii="宋体" w:hAnsi="宋体" w:eastAsia="宋体" w:cs="宋体"/>
                <w:color w:val="auto"/>
                <w:sz w:val="21"/>
                <w:szCs w:val="21"/>
                <w:highlight w:val="none"/>
                <w:lang w:val="en-US" w:eastAsia="zh-CN"/>
              </w:rPr>
              <w:t>有瑕疵</w:t>
            </w:r>
            <w:r>
              <w:rPr>
                <w:rFonts w:hint="eastAsia" w:ascii="宋体" w:hAnsi="宋体" w:eastAsia="宋体" w:cs="宋体"/>
                <w:color w:val="auto"/>
                <w:sz w:val="21"/>
                <w:szCs w:val="21"/>
                <w:highlight w:val="none"/>
              </w:rPr>
              <w:t>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.9-0</w:t>
            </w:r>
            <w:r>
              <w:rPr>
                <w:rFonts w:hint="eastAsia" w:ascii="宋体" w:hAnsi="宋体" w:eastAsia="宋体" w:cs="宋体"/>
                <w:color w:val="auto"/>
                <w:sz w:val="21"/>
                <w:szCs w:val="21"/>
                <w:highlight w:val="none"/>
              </w:rPr>
              <w:t>分。</w:t>
            </w:r>
          </w:p>
          <w:p w14:paraId="20D5C469">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②</w:t>
            </w:r>
            <w:r>
              <w:rPr>
                <w:rFonts w:hint="eastAsia" w:ascii="宋体" w:hAnsi="宋体" w:eastAsia="宋体" w:cs="宋体"/>
                <w:color w:val="auto"/>
                <w:sz w:val="21"/>
                <w:szCs w:val="21"/>
                <w:highlight w:val="none"/>
                <w:lang w:val="en-US" w:eastAsia="zh-CN"/>
              </w:rPr>
              <w:t>根据供应商针对本项目的</w:t>
            </w:r>
            <w:r>
              <w:rPr>
                <w:rFonts w:hint="eastAsia" w:ascii="宋体" w:hAnsi="宋体" w:cs="宋体"/>
                <w:color w:val="auto"/>
                <w:sz w:val="21"/>
                <w:szCs w:val="21"/>
                <w:highlight w:val="none"/>
                <w:lang w:val="en-US" w:eastAsia="zh-CN"/>
              </w:rPr>
              <w:t>湖州</w:t>
            </w:r>
            <w:r>
              <w:rPr>
                <w:rFonts w:hint="eastAsia" w:ascii="宋体" w:hAnsi="宋体" w:eastAsia="宋体" w:cs="宋体"/>
                <w:color w:val="auto"/>
                <w:sz w:val="21"/>
                <w:szCs w:val="21"/>
                <w:highlight w:val="none"/>
                <w:lang w:val="en-US" w:eastAsia="zh-CN"/>
              </w:rPr>
              <w:t>线的餐饮安排【包括就餐时间安排、就餐地点选择、菜品荤素搭配、菜肴数量、就餐标准（明确人均餐饮标准）】进行评议，最高得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p w14:paraId="156C5905">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就餐的时间地点安排合理、科学、人均餐饮标准高，菜单搭配合理的得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分；就餐的时间地点安排大致合理科学但有几处略需调整、人均餐饮标准一般，菜单搭配比较合理的得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.9-</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分；就餐的时间地点安排存在明显不合理、或不科学之处、餐饮标准不达标、或菜单搭配有瑕疵的得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.9-0分。</w:t>
            </w:r>
          </w:p>
        </w:tc>
      </w:tr>
      <w:tr w14:paraId="1263B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5" w:type="dxa"/>
            <w:vMerge w:val="continue"/>
            <w:tcBorders>
              <w:left w:val="single" w:color="auto" w:sz="4" w:space="0"/>
              <w:right w:val="single" w:color="auto" w:sz="4" w:space="0"/>
            </w:tcBorders>
            <w:vAlign w:val="center"/>
          </w:tcPr>
          <w:p w14:paraId="16F22D85">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p>
        </w:tc>
        <w:tc>
          <w:tcPr>
            <w:tcW w:w="8439" w:type="dxa"/>
            <w:tcBorders>
              <w:left w:val="single" w:color="auto" w:sz="4" w:space="0"/>
              <w:right w:val="single" w:color="auto" w:sz="4" w:space="0"/>
            </w:tcBorders>
            <w:vAlign w:val="center"/>
          </w:tcPr>
          <w:p w14:paraId="2F438BBB">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5</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交通出行安排</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12</w:t>
            </w:r>
            <w:r>
              <w:rPr>
                <w:rFonts w:hint="eastAsia" w:ascii="宋体" w:hAnsi="宋体" w:eastAsia="宋体" w:cs="宋体"/>
                <w:b/>
                <w:bCs/>
                <w:color w:val="auto"/>
                <w:highlight w:val="none"/>
              </w:rPr>
              <w:t>分）：</w:t>
            </w:r>
          </w:p>
          <w:p w14:paraId="7CB0D654">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①根据供应商针对本项目</w:t>
            </w:r>
            <w:r>
              <w:rPr>
                <w:rFonts w:hint="eastAsia" w:ascii="宋体" w:hAnsi="宋体" w:cs="宋体"/>
                <w:color w:val="auto"/>
                <w:sz w:val="21"/>
                <w:szCs w:val="21"/>
                <w:highlight w:val="none"/>
                <w:lang w:eastAsia="zh-CN"/>
              </w:rPr>
              <w:t>江西线</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val="zh-CN"/>
              </w:rPr>
              <w:t>车辆安排（包括车辆新旧程度、拟派驾驶员的专业水平、车辆配置的舒适性、</w:t>
            </w:r>
            <w:r>
              <w:rPr>
                <w:rFonts w:hint="eastAsia" w:ascii="宋体" w:hAnsi="宋体" w:eastAsia="宋体" w:cs="宋体"/>
                <w:color w:val="auto"/>
                <w:sz w:val="21"/>
                <w:szCs w:val="21"/>
                <w:highlight w:val="none"/>
                <w:lang w:val="en-US" w:eastAsia="zh-CN"/>
              </w:rPr>
              <w:t>出行时间、用车期间提供的必要物品</w:t>
            </w:r>
            <w:r>
              <w:rPr>
                <w:rFonts w:hint="eastAsia" w:ascii="宋体" w:hAnsi="宋体" w:eastAsia="宋体" w:cs="宋体"/>
                <w:color w:val="auto"/>
                <w:sz w:val="21"/>
                <w:szCs w:val="21"/>
                <w:highlight w:val="none"/>
                <w:lang w:val="zh-CN"/>
              </w:rPr>
              <w:t>）进行评议</w:t>
            </w:r>
            <w:r>
              <w:rPr>
                <w:rFonts w:hint="eastAsia" w:ascii="宋体" w:hAnsi="宋体" w:eastAsia="宋体" w:cs="宋体"/>
                <w:color w:val="auto"/>
                <w:sz w:val="21"/>
                <w:szCs w:val="21"/>
                <w:highlight w:val="none"/>
                <w:lang w:val="en-US" w:eastAsia="zh-CN"/>
              </w:rPr>
              <w:t>进行评议</w:t>
            </w:r>
            <w:r>
              <w:rPr>
                <w:rFonts w:hint="eastAsia" w:ascii="宋体" w:hAnsi="宋体" w:eastAsia="宋体" w:cs="宋体"/>
                <w:color w:val="auto"/>
                <w:sz w:val="21"/>
                <w:szCs w:val="21"/>
                <w:highlight w:val="none"/>
              </w:rPr>
              <w:t>，最高得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3B896285">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驾驶员专业水平高经验丰富、车辆安全性能高</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车辆车型档次高、内部舒适度好的得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分；驾驶员具有一定经验、车辆安全性能较高</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车辆车型档次较好、内部舒适度较好的得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.9-</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分；驾驶员经验一般、车辆安全性能一般</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车辆车型一般、内部舒适度一般的得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.9-0</w:t>
            </w:r>
            <w:r>
              <w:rPr>
                <w:rFonts w:hint="eastAsia" w:ascii="宋体" w:hAnsi="宋体" w:eastAsia="宋体" w:cs="宋体"/>
                <w:color w:val="auto"/>
                <w:sz w:val="21"/>
                <w:szCs w:val="21"/>
                <w:highlight w:val="none"/>
                <w:lang w:val="zh-CN"/>
              </w:rPr>
              <w:t>分。</w:t>
            </w:r>
          </w:p>
          <w:p w14:paraId="5C0D4E2E">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②</w:t>
            </w:r>
            <w:r>
              <w:rPr>
                <w:rFonts w:hint="eastAsia" w:ascii="宋体" w:hAnsi="宋体" w:eastAsia="宋体" w:cs="宋体"/>
                <w:color w:val="auto"/>
                <w:sz w:val="21"/>
                <w:szCs w:val="21"/>
                <w:highlight w:val="none"/>
                <w:lang w:val="zh-CN"/>
              </w:rPr>
              <w:t>根据供应商针对本项目</w:t>
            </w:r>
            <w:r>
              <w:rPr>
                <w:rFonts w:hint="eastAsia" w:ascii="宋体" w:hAnsi="宋体" w:cs="宋体"/>
                <w:color w:val="auto"/>
                <w:sz w:val="21"/>
                <w:szCs w:val="21"/>
                <w:highlight w:val="none"/>
                <w:lang w:val="zh-CN" w:eastAsia="zh-CN"/>
              </w:rPr>
              <w:t>湖州线</w:t>
            </w:r>
            <w:r>
              <w:rPr>
                <w:rFonts w:hint="eastAsia" w:ascii="宋体" w:hAnsi="宋体" w:eastAsia="宋体" w:cs="宋体"/>
                <w:color w:val="auto"/>
                <w:sz w:val="21"/>
                <w:szCs w:val="21"/>
                <w:highlight w:val="none"/>
                <w:lang w:val="zh-CN" w:eastAsia="zh-CN"/>
              </w:rPr>
              <w:t>的</w:t>
            </w:r>
            <w:r>
              <w:rPr>
                <w:rFonts w:hint="eastAsia" w:ascii="宋体" w:hAnsi="宋体" w:eastAsia="宋体" w:cs="宋体"/>
                <w:color w:val="auto"/>
                <w:sz w:val="21"/>
                <w:szCs w:val="21"/>
                <w:highlight w:val="none"/>
                <w:lang w:val="zh-CN"/>
              </w:rPr>
              <w:t>车辆安排（包括车辆新旧程度、拟派驾驶员的专业水平、车辆配置的舒适性、</w:t>
            </w:r>
            <w:r>
              <w:rPr>
                <w:rFonts w:hint="eastAsia" w:ascii="宋体" w:hAnsi="宋体" w:eastAsia="宋体" w:cs="宋体"/>
                <w:color w:val="auto"/>
                <w:sz w:val="21"/>
                <w:szCs w:val="21"/>
                <w:highlight w:val="none"/>
                <w:lang w:val="zh-CN" w:eastAsia="zh-CN"/>
              </w:rPr>
              <w:t>出行时间、用车期间提供的必要物品</w:t>
            </w:r>
            <w:r>
              <w:rPr>
                <w:rFonts w:hint="eastAsia" w:ascii="宋体" w:hAnsi="宋体" w:eastAsia="宋体" w:cs="宋体"/>
                <w:color w:val="auto"/>
                <w:sz w:val="21"/>
                <w:szCs w:val="21"/>
                <w:highlight w:val="none"/>
                <w:lang w:val="zh-CN"/>
              </w:rPr>
              <w:t>）进行评议</w:t>
            </w:r>
            <w:r>
              <w:rPr>
                <w:rFonts w:hint="eastAsia" w:ascii="宋体" w:hAnsi="宋体" w:eastAsia="宋体" w:cs="宋体"/>
                <w:color w:val="auto"/>
                <w:sz w:val="21"/>
                <w:szCs w:val="21"/>
                <w:highlight w:val="none"/>
                <w:lang w:val="zh-CN" w:eastAsia="zh-CN"/>
              </w:rPr>
              <w:t>进行评议</w:t>
            </w:r>
            <w:r>
              <w:rPr>
                <w:rFonts w:hint="eastAsia" w:ascii="宋体" w:hAnsi="宋体" w:eastAsia="宋体" w:cs="宋体"/>
                <w:color w:val="auto"/>
                <w:sz w:val="21"/>
                <w:szCs w:val="21"/>
                <w:highlight w:val="none"/>
                <w:lang w:val="zh-CN"/>
              </w:rPr>
              <w:t>，最高得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zh-CN"/>
              </w:rPr>
              <w:t>分；</w:t>
            </w:r>
          </w:p>
          <w:p w14:paraId="14303F76">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驾驶员专业水平高经验丰富、车辆安全性能高</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车辆车型档次高、内部舒适度好的得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zh-CN"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分；驾驶员具有一定经验、车辆安全性能较高</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车辆车型档次较好、内部舒适度较好的得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.9-</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分；驾驶员经验一般、车辆安全性能一般</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车辆车型一般、内部舒适度一般的得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.9-0</w:t>
            </w:r>
            <w:r>
              <w:rPr>
                <w:rFonts w:hint="eastAsia" w:ascii="宋体" w:hAnsi="宋体" w:eastAsia="宋体" w:cs="宋体"/>
                <w:color w:val="auto"/>
                <w:sz w:val="21"/>
                <w:szCs w:val="21"/>
                <w:highlight w:val="none"/>
                <w:lang w:val="zh-CN"/>
              </w:rPr>
              <w:t>分。</w:t>
            </w:r>
          </w:p>
        </w:tc>
      </w:tr>
      <w:tr w14:paraId="70B6B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5" w:type="dxa"/>
            <w:vMerge w:val="continue"/>
            <w:tcBorders>
              <w:left w:val="single" w:color="auto" w:sz="4" w:space="0"/>
              <w:right w:val="single" w:color="auto" w:sz="4" w:space="0"/>
            </w:tcBorders>
            <w:vAlign w:val="center"/>
          </w:tcPr>
          <w:p w14:paraId="6B016EA9">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p>
        </w:tc>
        <w:tc>
          <w:tcPr>
            <w:tcW w:w="8439" w:type="dxa"/>
            <w:tcBorders>
              <w:left w:val="single" w:color="auto" w:sz="4" w:space="0"/>
              <w:right w:val="single" w:color="auto" w:sz="4" w:space="0"/>
            </w:tcBorders>
            <w:vAlign w:val="center"/>
          </w:tcPr>
          <w:p w14:paraId="3F0E5253">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6</w:t>
            </w:r>
            <w:r>
              <w:rPr>
                <w:rFonts w:hint="eastAsia" w:ascii="宋体" w:hAnsi="宋体" w:eastAsia="宋体" w:cs="宋体"/>
                <w:b/>
                <w:bCs/>
                <w:color w:val="auto"/>
                <w:highlight w:val="none"/>
              </w:rPr>
              <w:t>、项目服务人员的配置情况（5分）</w:t>
            </w:r>
          </w:p>
          <w:p w14:paraId="0CC487B8">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投入到本项目的导游：每有一人具有高级导游资质的得2分，每有一人具有中级导游资质的得1分，每有一人具有初级导游资质的得0.5分，本项最多得5分。</w:t>
            </w:r>
          </w:p>
          <w:p w14:paraId="75EAA5A3">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b/>
                <w:color w:val="auto"/>
                <w:kern w:val="2"/>
                <w:sz w:val="21"/>
                <w:szCs w:val="24"/>
                <w:highlight w:val="none"/>
                <w:lang w:val="en-US" w:eastAsia="zh-CN" w:bidi="ar-SA"/>
              </w:rPr>
            </w:pPr>
            <w:r>
              <w:rPr>
                <w:rFonts w:hint="eastAsia" w:ascii="宋体" w:hAnsi="宋体" w:eastAsia="宋体" w:cs="宋体"/>
                <w:color w:val="auto"/>
                <w:highlight w:val="none"/>
              </w:rPr>
              <w:t>【磋商响应文件中须提供导游资质证明及供应商单位在</w:t>
            </w:r>
            <w:r>
              <w:rPr>
                <w:rFonts w:hint="eastAsia" w:ascii="宋体" w:hAnsi="宋体" w:eastAsia="宋体" w:cs="宋体"/>
                <w:color w:val="auto"/>
                <w:highlight w:val="none"/>
                <w:lang w:val="en-US" w:eastAsia="zh-CN"/>
              </w:rPr>
              <w:t>开标前近3个</w:t>
            </w:r>
            <w:r>
              <w:rPr>
                <w:rFonts w:hint="eastAsia" w:ascii="宋体" w:hAnsi="宋体" w:eastAsia="宋体" w:cs="宋体"/>
                <w:color w:val="auto"/>
                <w:highlight w:val="none"/>
              </w:rPr>
              <w:t>月为其缴纳社保证明复印件加盖磋商响应方公章。】</w:t>
            </w:r>
          </w:p>
        </w:tc>
      </w:tr>
      <w:tr w14:paraId="2219E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915" w:type="dxa"/>
            <w:vMerge w:val="continue"/>
            <w:tcBorders>
              <w:left w:val="single" w:color="auto" w:sz="4" w:space="0"/>
              <w:right w:val="single" w:color="auto" w:sz="4" w:space="0"/>
            </w:tcBorders>
            <w:vAlign w:val="center"/>
          </w:tcPr>
          <w:p w14:paraId="214A02D6">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p>
        </w:tc>
        <w:tc>
          <w:tcPr>
            <w:tcW w:w="8439" w:type="dxa"/>
            <w:tcBorders>
              <w:left w:val="single" w:color="auto" w:sz="4" w:space="0"/>
              <w:right w:val="single" w:color="auto" w:sz="4" w:space="0"/>
            </w:tcBorders>
            <w:vAlign w:val="center"/>
          </w:tcPr>
          <w:p w14:paraId="0B504898">
            <w:pPr>
              <w:keepNext w:val="0"/>
              <w:keepLines w:val="0"/>
              <w:pageBreakBefore w:val="0"/>
              <w:widowControl w:val="0"/>
              <w:shd w:val="clear"/>
              <w:kinsoku/>
              <w:wordWrap/>
              <w:overflowPunct/>
              <w:topLinePunct w:val="0"/>
              <w:autoSpaceDE/>
              <w:autoSpaceDN/>
              <w:bidi w:val="0"/>
              <w:snapToGrid w:val="0"/>
              <w:spacing w:line="400" w:lineRule="exact"/>
              <w:jc w:val="both"/>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val="en-US" w:eastAsia="zh-CN"/>
              </w:rPr>
              <w:t>7</w:t>
            </w:r>
            <w:r>
              <w:rPr>
                <w:rFonts w:hint="eastAsia" w:ascii="宋体" w:hAnsi="宋体" w:eastAsia="宋体" w:cs="宋体"/>
                <w:b/>
                <w:bCs/>
                <w:color w:val="auto"/>
                <w:highlight w:val="none"/>
              </w:rPr>
              <w:t>、</w:t>
            </w:r>
            <w:r>
              <w:rPr>
                <w:rFonts w:hint="eastAsia" w:ascii="宋体" w:hAnsi="宋体" w:eastAsia="宋体" w:cs="宋体"/>
                <w:b/>
                <w:bCs/>
                <w:color w:val="auto"/>
                <w:highlight w:val="none"/>
                <w:lang w:eastAsia="zh-CN"/>
              </w:rPr>
              <w:t>服务</w:t>
            </w:r>
            <w:r>
              <w:rPr>
                <w:rFonts w:hint="eastAsia" w:ascii="宋体" w:hAnsi="宋体" w:eastAsia="宋体" w:cs="宋体"/>
                <w:b/>
                <w:bCs/>
                <w:color w:val="auto"/>
                <w:highlight w:val="none"/>
                <w:lang w:val="en-US" w:eastAsia="zh-CN"/>
              </w:rPr>
              <w:t>保障</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5分</w:t>
            </w:r>
            <w:r>
              <w:rPr>
                <w:rFonts w:hint="eastAsia" w:ascii="宋体" w:hAnsi="宋体" w:eastAsia="宋体" w:cs="宋体"/>
                <w:b/>
                <w:bCs/>
                <w:color w:val="auto"/>
                <w:highlight w:val="none"/>
                <w:lang w:eastAsia="zh-CN"/>
              </w:rPr>
              <w:t>）</w:t>
            </w:r>
          </w:p>
          <w:p w14:paraId="256CB2B7">
            <w:pPr>
              <w:keepNext w:val="0"/>
              <w:keepLines w:val="0"/>
              <w:pageBreakBefore w:val="0"/>
              <w:widowControl w:val="0"/>
              <w:shd w:val="clear"/>
              <w:kinsoku/>
              <w:wordWrap/>
              <w:overflowPunct/>
              <w:topLinePunct w:val="0"/>
              <w:autoSpaceDE/>
              <w:autoSpaceDN/>
              <w:bidi w:val="0"/>
              <w:snapToGrid w:val="0"/>
              <w:spacing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根据供应商服务响应速度承诺及便利性保障措施、可行性、配合服务便捷程度等进行综合评议，最高得5分。</w:t>
            </w:r>
          </w:p>
          <w:p w14:paraId="3D516295">
            <w:pPr>
              <w:keepNext w:val="0"/>
              <w:keepLines w:val="0"/>
              <w:pageBreakBefore w:val="0"/>
              <w:widowControl w:val="0"/>
              <w:shd w:val="clear"/>
              <w:kinsoku/>
              <w:wordWrap/>
              <w:overflowPunct/>
              <w:topLinePunct w:val="0"/>
              <w:autoSpaceDE/>
              <w:autoSpaceDN/>
              <w:bidi w:val="0"/>
              <w:snapToGrid w:val="0"/>
              <w:spacing w:line="400" w:lineRule="exact"/>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1"/>
                <w:szCs w:val="21"/>
                <w:highlight w:val="none"/>
                <w:lang w:val="en-US" w:eastAsia="zh-CN"/>
              </w:rPr>
              <w:t>方案内容完善、措施得力、可行性高、配合服务便捷的得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-4分；方案内容较完善、措施适当、配合服务较为便捷的得3.9-2分；方案内容不完善、措施不力、配合服务较不便利的得1.9-0分。</w:t>
            </w:r>
          </w:p>
        </w:tc>
      </w:tr>
      <w:tr w14:paraId="565B8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5" w:type="dxa"/>
            <w:vMerge w:val="continue"/>
            <w:tcBorders>
              <w:left w:val="single" w:color="auto" w:sz="4" w:space="0"/>
              <w:right w:val="single" w:color="auto" w:sz="4" w:space="0"/>
            </w:tcBorders>
            <w:vAlign w:val="center"/>
          </w:tcPr>
          <w:p w14:paraId="2E7CA8B0">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p>
        </w:tc>
        <w:tc>
          <w:tcPr>
            <w:tcW w:w="8439" w:type="dxa"/>
            <w:tcBorders>
              <w:left w:val="single" w:color="auto" w:sz="4" w:space="0"/>
              <w:right w:val="single" w:color="auto" w:sz="4" w:space="0"/>
            </w:tcBorders>
            <w:vAlign w:val="center"/>
          </w:tcPr>
          <w:p w14:paraId="4F916DD8">
            <w:pPr>
              <w:keepNext w:val="0"/>
              <w:keepLines w:val="0"/>
              <w:pageBreakBefore w:val="0"/>
              <w:widowControl w:val="0"/>
              <w:shd w:val="clear"/>
              <w:kinsoku/>
              <w:wordWrap/>
              <w:overflowPunct/>
              <w:topLinePunct w:val="0"/>
              <w:autoSpaceDE/>
              <w:autoSpaceDN/>
              <w:bidi w:val="0"/>
              <w:snapToGrid w:val="0"/>
              <w:spacing w:line="400" w:lineRule="exact"/>
              <w:jc w:val="both"/>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val="en-US" w:eastAsia="zh-CN"/>
              </w:rPr>
              <w:t>8</w:t>
            </w:r>
            <w:r>
              <w:rPr>
                <w:rFonts w:hint="eastAsia" w:ascii="宋体" w:hAnsi="宋体" w:eastAsia="宋体" w:cs="宋体"/>
                <w:b/>
                <w:bCs/>
                <w:color w:val="auto"/>
                <w:highlight w:val="none"/>
              </w:rPr>
              <w:t>、</w:t>
            </w:r>
            <w:r>
              <w:rPr>
                <w:rFonts w:hint="eastAsia" w:ascii="宋体" w:hAnsi="宋体" w:eastAsia="宋体" w:cs="宋体"/>
                <w:b/>
                <w:bCs/>
                <w:color w:val="auto"/>
                <w:highlight w:val="none"/>
                <w:lang w:eastAsia="zh-CN"/>
              </w:rPr>
              <w:t>应急保障预案（</w:t>
            </w:r>
            <w:r>
              <w:rPr>
                <w:rFonts w:hint="eastAsia" w:ascii="宋体" w:hAnsi="宋体" w:eastAsia="宋体" w:cs="宋体"/>
                <w:b/>
                <w:bCs/>
                <w:color w:val="auto"/>
                <w:highlight w:val="none"/>
                <w:lang w:val="en-US" w:eastAsia="zh-CN"/>
              </w:rPr>
              <w:t>6分</w:t>
            </w:r>
            <w:r>
              <w:rPr>
                <w:rFonts w:hint="eastAsia" w:ascii="宋体" w:hAnsi="宋体" w:eastAsia="宋体" w:cs="宋体"/>
                <w:b/>
                <w:bCs/>
                <w:color w:val="auto"/>
                <w:highlight w:val="none"/>
                <w:lang w:eastAsia="zh-CN"/>
              </w:rPr>
              <w:t>）</w:t>
            </w:r>
          </w:p>
          <w:p w14:paraId="3D7A36C4">
            <w:pPr>
              <w:keepNext w:val="0"/>
              <w:keepLines w:val="0"/>
              <w:pageBreakBefore w:val="0"/>
              <w:widowControl w:val="0"/>
              <w:shd w:val="clear"/>
              <w:kinsoku/>
              <w:wordWrap/>
              <w:overflowPunct/>
              <w:topLinePunct w:val="0"/>
              <w:autoSpaceDE/>
              <w:autoSpaceDN/>
              <w:bidi w:val="0"/>
              <w:snapToGrid w:val="0"/>
              <w:spacing w:line="400" w:lineRule="exact"/>
              <w:jc w:val="both"/>
              <w:textAlignment w:val="auto"/>
              <w:rPr>
                <w:rFonts w:hint="eastAsia" w:ascii="宋体" w:hAnsi="宋体" w:eastAsia="宋体" w:cs="宋体"/>
                <w:bCs/>
                <w:color w:val="auto"/>
                <w:highlight w:val="none"/>
                <w:lang w:val="zh-CN"/>
              </w:rPr>
            </w:pPr>
            <w:r>
              <w:rPr>
                <w:rFonts w:hint="eastAsia" w:ascii="宋体" w:hAnsi="宋体" w:eastAsia="宋体" w:cs="宋体"/>
                <w:bCs/>
                <w:color w:val="auto"/>
                <w:highlight w:val="none"/>
                <w:lang w:val="zh-CN"/>
              </w:rPr>
              <w:t>根据供应商针对本项目的安全保障计划</w:t>
            </w:r>
            <w:r>
              <w:rPr>
                <w:rFonts w:hint="eastAsia" w:ascii="宋体" w:hAnsi="宋体" w:eastAsia="宋体" w:cs="宋体"/>
                <w:bCs/>
                <w:color w:val="auto"/>
                <w:highlight w:val="none"/>
                <w:lang w:val="zh-CN" w:eastAsia="zh-CN"/>
              </w:rPr>
              <w:t>、应急预案、保障措施、紧急措施等方案是否全面、合理、科学、具备可操作性等</w:t>
            </w:r>
            <w:r>
              <w:rPr>
                <w:rFonts w:hint="eastAsia" w:ascii="宋体" w:hAnsi="宋体" w:eastAsia="宋体" w:cs="宋体"/>
                <w:bCs/>
                <w:color w:val="auto"/>
                <w:highlight w:val="none"/>
                <w:lang w:val="zh-CN"/>
              </w:rPr>
              <w:t>进行评议，最高得</w:t>
            </w:r>
            <w:r>
              <w:rPr>
                <w:rFonts w:hint="eastAsia" w:ascii="宋体" w:hAnsi="宋体" w:eastAsia="宋体" w:cs="宋体"/>
                <w:bCs/>
                <w:color w:val="auto"/>
                <w:highlight w:val="none"/>
                <w:lang w:val="zh-CN" w:eastAsia="zh-CN"/>
              </w:rPr>
              <w:t>6</w:t>
            </w:r>
            <w:r>
              <w:rPr>
                <w:rFonts w:hint="eastAsia" w:ascii="宋体" w:hAnsi="宋体" w:eastAsia="宋体" w:cs="宋体"/>
                <w:bCs/>
                <w:color w:val="auto"/>
                <w:highlight w:val="none"/>
                <w:lang w:val="zh-CN"/>
              </w:rPr>
              <w:t>分；</w:t>
            </w:r>
          </w:p>
          <w:p w14:paraId="0EBCE07B">
            <w:pPr>
              <w:keepNext w:val="0"/>
              <w:keepLines w:val="0"/>
              <w:pageBreakBefore w:val="0"/>
              <w:widowControl w:val="0"/>
              <w:shd w:val="clear"/>
              <w:kinsoku/>
              <w:wordWrap/>
              <w:overflowPunct/>
              <w:topLinePunct w:val="0"/>
              <w:autoSpaceDE/>
              <w:autoSpaceDN/>
              <w:bidi w:val="0"/>
              <w:snapToGrid w:val="0"/>
              <w:spacing w:line="400" w:lineRule="exact"/>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bCs/>
                <w:color w:val="auto"/>
                <w:highlight w:val="none"/>
                <w:lang w:val="zh-CN" w:eastAsia="zh-CN"/>
              </w:rPr>
              <w:t>方案内容完善、措施得力、可行性高的得6-4分；方案内容较完善、措施适当的得3.9-2分；方案内容不完善、措施不力的得1.9-0分。</w:t>
            </w:r>
          </w:p>
        </w:tc>
      </w:tr>
      <w:tr w14:paraId="64FDE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5" w:type="dxa"/>
            <w:vMerge w:val="continue"/>
            <w:tcBorders>
              <w:left w:val="single" w:color="auto" w:sz="4" w:space="0"/>
              <w:right w:val="single" w:color="auto" w:sz="4" w:space="0"/>
            </w:tcBorders>
            <w:vAlign w:val="center"/>
          </w:tcPr>
          <w:p w14:paraId="5C8F4805">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p>
        </w:tc>
        <w:tc>
          <w:tcPr>
            <w:tcW w:w="8439" w:type="dxa"/>
            <w:tcBorders>
              <w:left w:val="single" w:color="auto" w:sz="4" w:space="0"/>
              <w:right w:val="single" w:color="auto" w:sz="4" w:space="0"/>
            </w:tcBorders>
            <w:vAlign w:val="center"/>
          </w:tcPr>
          <w:p w14:paraId="63DFAADB">
            <w:pPr>
              <w:keepNext w:val="0"/>
              <w:keepLines w:val="0"/>
              <w:pageBreakBefore w:val="0"/>
              <w:widowControl w:val="0"/>
              <w:numPr>
                <w:ilvl w:val="0"/>
                <w:numId w:val="0"/>
              </w:numPr>
              <w:shd w:val="clear"/>
              <w:kinsoku/>
              <w:wordWrap/>
              <w:overflowPunct/>
              <w:topLinePunct w:val="0"/>
              <w:autoSpaceDE/>
              <w:autoSpaceDN/>
              <w:bidi w:val="0"/>
              <w:snapToGrid w:val="0"/>
              <w:spacing w:line="400" w:lineRule="exact"/>
              <w:ind w:leftChars="0"/>
              <w:jc w:val="both"/>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val="en-US" w:eastAsia="zh-CN"/>
              </w:rPr>
              <w:t>9、</w:t>
            </w:r>
            <w:r>
              <w:rPr>
                <w:rFonts w:hint="eastAsia" w:ascii="宋体" w:hAnsi="宋体" w:eastAsia="宋体" w:cs="宋体"/>
                <w:b/>
                <w:bCs/>
                <w:color w:val="auto"/>
                <w:highlight w:val="none"/>
                <w:lang w:eastAsia="zh-CN"/>
              </w:rPr>
              <w:t>同类业绩（</w:t>
            </w:r>
            <w:r>
              <w:rPr>
                <w:rFonts w:hint="eastAsia" w:ascii="宋体" w:hAnsi="宋体" w:eastAsia="宋体" w:cs="宋体"/>
                <w:b/>
                <w:bCs/>
                <w:color w:val="auto"/>
                <w:highlight w:val="none"/>
                <w:lang w:val="en-US" w:eastAsia="zh-CN"/>
              </w:rPr>
              <w:t>1分</w:t>
            </w:r>
            <w:r>
              <w:rPr>
                <w:rFonts w:hint="eastAsia" w:ascii="宋体" w:hAnsi="宋体" w:eastAsia="宋体" w:cs="宋体"/>
                <w:b/>
                <w:bCs/>
                <w:color w:val="auto"/>
                <w:highlight w:val="none"/>
                <w:lang w:eastAsia="zh-CN"/>
              </w:rPr>
              <w:t>）</w:t>
            </w:r>
          </w:p>
          <w:p w14:paraId="1BFE31F1">
            <w:pPr>
              <w:keepNext w:val="0"/>
              <w:keepLines w:val="0"/>
              <w:pageBreakBefore w:val="0"/>
              <w:widowControl w:val="0"/>
              <w:shd w:val="clear"/>
              <w:kinsoku/>
              <w:wordWrap/>
              <w:overflowPunct/>
              <w:topLinePunct w:val="0"/>
              <w:autoSpaceDE/>
              <w:autoSpaceDN/>
              <w:bidi w:val="0"/>
              <w:adjustRightInd/>
              <w:snapToGrid w:val="0"/>
              <w:spacing w:after="0" w:line="400" w:lineRule="exact"/>
              <w:ind w:left="0" w:leftChars="0" w:firstLine="0" w:firstLineChars="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对供应商202</w:t>
            </w:r>
            <w:r>
              <w:rPr>
                <w:rFonts w:hint="eastAsia" w:ascii="宋体" w:hAnsi="宋体" w:cs="宋体"/>
                <w:b w:val="0"/>
                <w:bCs/>
                <w:color w:val="auto"/>
                <w:kern w:val="2"/>
                <w:sz w:val="21"/>
                <w:szCs w:val="21"/>
                <w:highlight w:val="none"/>
                <w:lang w:val="en-US" w:eastAsia="zh-CN" w:bidi="ar-SA"/>
              </w:rPr>
              <w:t>2</w:t>
            </w:r>
            <w:r>
              <w:rPr>
                <w:rFonts w:hint="eastAsia" w:ascii="宋体" w:hAnsi="宋体" w:eastAsia="宋体" w:cs="宋体"/>
                <w:b w:val="0"/>
                <w:bCs/>
                <w:color w:val="auto"/>
                <w:kern w:val="2"/>
                <w:sz w:val="21"/>
                <w:szCs w:val="21"/>
                <w:highlight w:val="none"/>
                <w:lang w:val="en-US" w:eastAsia="zh-CN" w:bidi="ar-SA"/>
              </w:rPr>
              <w:t>年至今具有的类似项目业绩进行评议（1分）。</w:t>
            </w:r>
          </w:p>
          <w:p w14:paraId="48DD9340">
            <w:pPr>
              <w:keepNext w:val="0"/>
              <w:keepLines w:val="0"/>
              <w:pageBreakBefore w:val="0"/>
              <w:widowControl w:val="0"/>
              <w:shd w:val="clear"/>
              <w:kinsoku/>
              <w:wordWrap/>
              <w:overflowPunct/>
              <w:topLinePunct w:val="0"/>
              <w:autoSpaceDE/>
              <w:autoSpaceDN/>
              <w:bidi w:val="0"/>
              <w:adjustRightInd/>
              <w:snapToGrid w:val="0"/>
              <w:spacing w:after="0" w:line="400" w:lineRule="exact"/>
              <w:ind w:left="0" w:leftChars="0" w:firstLine="0" w:firstLineChars="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202</w:t>
            </w:r>
            <w:r>
              <w:rPr>
                <w:rFonts w:hint="eastAsia" w:ascii="宋体" w:hAnsi="宋体" w:cs="宋体"/>
                <w:b w:val="0"/>
                <w:bCs/>
                <w:color w:val="auto"/>
                <w:kern w:val="2"/>
                <w:sz w:val="21"/>
                <w:szCs w:val="21"/>
                <w:highlight w:val="none"/>
                <w:lang w:val="en-US" w:eastAsia="zh-CN" w:bidi="ar-SA"/>
              </w:rPr>
              <w:t>2</w:t>
            </w:r>
            <w:r>
              <w:rPr>
                <w:rFonts w:hint="eastAsia" w:ascii="宋体" w:hAnsi="宋体" w:eastAsia="宋体" w:cs="宋体"/>
                <w:b w:val="0"/>
                <w:bCs/>
                <w:color w:val="auto"/>
                <w:kern w:val="2"/>
                <w:sz w:val="21"/>
                <w:szCs w:val="21"/>
                <w:highlight w:val="none"/>
                <w:lang w:val="en-US" w:eastAsia="zh-CN" w:bidi="ar-SA"/>
              </w:rPr>
              <w:t>年1月1日至今承办过同类项目的每个得0.2分，最高1分。</w:t>
            </w:r>
          </w:p>
          <w:p w14:paraId="1ABCE5A5">
            <w:pPr>
              <w:keepNext w:val="0"/>
              <w:keepLines w:val="0"/>
              <w:pageBreakBefore w:val="0"/>
              <w:widowControl w:val="0"/>
              <w:shd w:val="clear"/>
              <w:kinsoku/>
              <w:wordWrap/>
              <w:overflowPunct/>
              <w:topLinePunct w:val="0"/>
              <w:autoSpaceDE/>
              <w:autoSpaceDN/>
              <w:bidi w:val="0"/>
              <w:adjustRightInd/>
              <w:snapToGrid w:val="0"/>
              <w:spacing w:after="0" w:line="400" w:lineRule="exact"/>
              <w:ind w:left="0" w:leftChars="0" w:firstLine="0" w:firstLineChars="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【提供合同（协议）的复印件，合同（协议）的签订日期为202</w:t>
            </w:r>
            <w:r>
              <w:rPr>
                <w:rFonts w:hint="eastAsia" w:ascii="宋体" w:hAnsi="宋体" w:cs="宋体"/>
                <w:b w:val="0"/>
                <w:bCs/>
                <w:color w:val="auto"/>
                <w:kern w:val="2"/>
                <w:sz w:val="21"/>
                <w:szCs w:val="21"/>
                <w:highlight w:val="none"/>
                <w:lang w:val="en-US" w:eastAsia="zh-CN" w:bidi="ar-SA"/>
              </w:rPr>
              <w:t>2</w:t>
            </w:r>
            <w:r>
              <w:rPr>
                <w:rFonts w:hint="eastAsia" w:ascii="宋体" w:hAnsi="宋体" w:eastAsia="宋体" w:cs="宋体"/>
                <w:b w:val="0"/>
                <w:bCs/>
                <w:color w:val="auto"/>
                <w:kern w:val="2"/>
                <w:sz w:val="21"/>
                <w:szCs w:val="21"/>
                <w:highlight w:val="none"/>
                <w:lang w:val="en-US" w:eastAsia="zh-CN" w:bidi="ar-SA"/>
              </w:rPr>
              <w:t>年1月1日及以后，不符合要求的不予计分。】</w:t>
            </w:r>
          </w:p>
        </w:tc>
      </w:tr>
      <w:tr w14:paraId="2589E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jc w:val="center"/>
        </w:trPr>
        <w:tc>
          <w:tcPr>
            <w:tcW w:w="915" w:type="dxa"/>
            <w:tcBorders>
              <w:left w:val="single" w:color="auto" w:sz="4" w:space="0"/>
              <w:right w:val="single" w:color="auto" w:sz="4" w:space="0"/>
            </w:tcBorders>
            <w:vAlign w:val="center"/>
          </w:tcPr>
          <w:p w14:paraId="5F36925B">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价格分</w:t>
            </w:r>
          </w:p>
          <w:p w14:paraId="0DF55840">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val="en-US" w:eastAsia="zh-CN"/>
              </w:rPr>
              <w:t>25</w:t>
            </w:r>
            <w:r>
              <w:rPr>
                <w:rFonts w:hint="eastAsia" w:ascii="宋体" w:hAnsi="宋体" w:eastAsia="宋体" w:cs="宋体"/>
                <w:b/>
                <w:bCs/>
                <w:color w:val="auto"/>
                <w:szCs w:val="21"/>
                <w:highlight w:val="none"/>
              </w:rPr>
              <w:t>分</w:t>
            </w:r>
          </w:p>
        </w:tc>
        <w:tc>
          <w:tcPr>
            <w:tcW w:w="8439" w:type="dxa"/>
            <w:tcBorders>
              <w:left w:val="single" w:color="auto" w:sz="4" w:space="0"/>
              <w:right w:val="single" w:color="auto" w:sz="4" w:space="0"/>
            </w:tcBorders>
            <w:vAlign w:val="center"/>
          </w:tcPr>
          <w:p w14:paraId="1E6F9BE8">
            <w:pPr>
              <w:keepNext w:val="0"/>
              <w:keepLines w:val="0"/>
              <w:pageBreakBefore w:val="0"/>
              <w:widowControl w:val="0"/>
              <w:shd w:val="clear"/>
              <w:kinsoku/>
              <w:wordWrap/>
              <w:overflowPunct/>
              <w:topLinePunct w:val="0"/>
              <w:autoSpaceDE/>
              <w:autoSpaceDN/>
              <w:bidi w:val="0"/>
              <w:adjustRightInd w:val="0"/>
              <w:snapToGrid w:val="0"/>
              <w:spacing w:line="400" w:lineRule="exact"/>
              <w:contextualSpacing/>
              <w:jc w:val="both"/>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供应商承诺</w:t>
            </w:r>
            <w:r>
              <w:rPr>
                <w:rFonts w:hint="eastAsia" w:ascii="宋体" w:hAnsi="宋体" w:cs="宋体"/>
                <w:bCs/>
                <w:color w:val="auto"/>
                <w:szCs w:val="21"/>
                <w:highlight w:val="none"/>
                <w:lang w:val="en-US" w:eastAsia="zh-CN"/>
              </w:rPr>
              <w:t>江西线</w:t>
            </w:r>
            <w:r>
              <w:rPr>
                <w:rFonts w:hint="eastAsia" w:ascii="宋体" w:hAnsi="宋体" w:eastAsia="宋体" w:cs="宋体"/>
                <w:bCs/>
                <w:color w:val="auto"/>
                <w:szCs w:val="21"/>
                <w:highlight w:val="none"/>
                <w:lang w:val="en-US" w:eastAsia="zh-CN"/>
              </w:rPr>
              <w:t>线：3000元/人、</w:t>
            </w:r>
            <w:r>
              <w:rPr>
                <w:rFonts w:hint="eastAsia" w:ascii="宋体" w:hAnsi="宋体" w:cs="宋体"/>
                <w:bCs/>
                <w:color w:val="auto"/>
                <w:szCs w:val="21"/>
                <w:highlight w:val="none"/>
                <w:lang w:val="en-US" w:eastAsia="zh-CN"/>
              </w:rPr>
              <w:t>湖州线</w:t>
            </w:r>
            <w:r>
              <w:rPr>
                <w:rFonts w:hint="eastAsia" w:ascii="宋体" w:hAnsi="宋体" w:eastAsia="宋体" w:cs="宋体"/>
                <w:bCs/>
                <w:color w:val="auto"/>
                <w:szCs w:val="21"/>
                <w:highlight w:val="none"/>
                <w:lang w:val="en-US" w:eastAsia="zh-CN"/>
              </w:rPr>
              <w:t>：3000元/人</w:t>
            </w:r>
            <w:r>
              <w:rPr>
                <w:rFonts w:hint="eastAsia" w:ascii="宋体" w:hAnsi="宋体" w:eastAsia="宋体" w:cs="宋体"/>
                <w:bCs/>
                <w:color w:val="auto"/>
                <w:szCs w:val="21"/>
                <w:highlight w:val="none"/>
              </w:rPr>
              <w:t>执行的得</w:t>
            </w:r>
            <w:r>
              <w:rPr>
                <w:rFonts w:hint="eastAsia" w:ascii="宋体" w:hAnsi="宋体" w:eastAsia="宋体" w:cs="宋体"/>
                <w:bCs/>
                <w:color w:val="auto"/>
                <w:szCs w:val="21"/>
                <w:highlight w:val="none"/>
                <w:lang w:val="en-US" w:eastAsia="zh-CN"/>
              </w:rPr>
              <w:t>25</w:t>
            </w:r>
            <w:r>
              <w:rPr>
                <w:rFonts w:hint="eastAsia" w:ascii="宋体" w:hAnsi="宋体" w:eastAsia="宋体" w:cs="宋体"/>
                <w:bCs/>
                <w:color w:val="auto"/>
                <w:szCs w:val="21"/>
                <w:highlight w:val="none"/>
              </w:rPr>
              <w:t>分，否则作无效标处理。</w:t>
            </w:r>
          </w:p>
        </w:tc>
      </w:tr>
    </w:tbl>
    <w:p w14:paraId="152324DF">
      <w:pPr>
        <w:keepNext w:val="0"/>
        <w:keepLines w:val="0"/>
        <w:pageBreakBefore w:val="0"/>
        <w:widowControl w:val="0"/>
        <w:shd w:val="clear"/>
        <w:kinsoku/>
        <w:wordWrap/>
        <w:overflowPunct/>
        <w:topLinePunct w:val="0"/>
        <w:bidi w:val="0"/>
        <w:rPr>
          <w:rFonts w:asciiTheme="majorEastAsia" w:hAnsiTheme="majorEastAsia" w:eastAsiaTheme="majorEastAsia"/>
          <w:color w:val="auto"/>
          <w:highlight w:val="none"/>
        </w:rPr>
      </w:pPr>
      <w:r>
        <w:rPr>
          <w:rFonts w:asciiTheme="majorEastAsia" w:hAnsiTheme="majorEastAsia" w:eastAsiaTheme="majorEastAsia"/>
          <w:color w:val="auto"/>
          <w:highlight w:val="none"/>
        </w:rPr>
        <w:br w:type="page"/>
      </w:r>
    </w:p>
    <w:p w14:paraId="001D5EA9">
      <w:pPr>
        <w:pStyle w:val="4"/>
        <w:keepNext w:val="0"/>
        <w:keepLines w:val="0"/>
        <w:pageBreakBefore w:val="0"/>
        <w:widowControl w:val="0"/>
        <w:shd w:val="clear"/>
        <w:kinsoku/>
        <w:wordWrap/>
        <w:overflowPunct/>
        <w:topLinePunct w:val="0"/>
        <w:autoSpaceDE/>
        <w:autoSpaceDN/>
        <w:bidi w:val="0"/>
        <w:adjustRightInd/>
        <w:snapToGrid/>
        <w:spacing w:before="0" w:after="330"/>
        <w:textAlignment w:val="auto"/>
        <w:rPr>
          <w:rFonts w:hint="eastAsia" w:ascii="宋体" w:hAnsi="宋体" w:eastAsia="仿宋"/>
          <w:b/>
          <w:color w:val="auto"/>
          <w:kern w:val="2"/>
          <w:sz w:val="32"/>
          <w:szCs w:val="32"/>
          <w:highlight w:val="none"/>
        </w:rPr>
      </w:pPr>
      <w:bookmarkStart w:id="37" w:name="_Toc25161"/>
      <w:bookmarkStart w:id="38" w:name="_Toc17955"/>
      <w:r>
        <w:rPr>
          <w:rFonts w:asciiTheme="majorEastAsia" w:hAnsiTheme="majorEastAsia" w:eastAsiaTheme="majorEastAsia"/>
          <w:color w:val="auto"/>
          <w:highlight w:val="none"/>
        </w:rPr>
        <w:t xml:space="preserve">第五章  </w:t>
      </w:r>
      <w:bookmarkEnd w:id="35"/>
      <w:bookmarkEnd w:id="36"/>
      <w:bookmarkEnd w:id="37"/>
      <w:bookmarkEnd w:id="38"/>
      <w:r>
        <w:rPr>
          <w:rFonts w:hint="eastAsia" w:asciiTheme="majorEastAsia" w:hAnsiTheme="majorEastAsia" w:eastAsiaTheme="majorEastAsia"/>
          <w:color w:val="auto"/>
          <w:highlight w:val="none"/>
        </w:rPr>
        <w:t>合同条款及格式</w:t>
      </w:r>
      <w:bookmarkStart w:id="39" w:name="_Toc364002702"/>
    </w:p>
    <w:p w14:paraId="28FE2B2E">
      <w:pPr>
        <w:adjustRightInd/>
        <w:snapToGrid w:val="0"/>
        <w:spacing w:line="360" w:lineRule="auto"/>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项目名称：                   项目编号：               </w:t>
      </w:r>
    </w:p>
    <w:p w14:paraId="0AD6383A">
      <w:pPr>
        <w:adjustRightInd/>
        <w:snapToGrid w:val="0"/>
        <w:spacing w:line="360" w:lineRule="auto"/>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甲方（采购人）：</w:t>
      </w:r>
    </w:p>
    <w:p w14:paraId="6D282577">
      <w:pPr>
        <w:adjustRightInd/>
        <w:snapToGrid w:val="0"/>
        <w:spacing w:line="360" w:lineRule="auto"/>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乙方（旅行社）：</w:t>
      </w:r>
    </w:p>
    <w:p w14:paraId="7822AF0A">
      <w:pPr>
        <w:widowControl/>
        <w:tabs>
          <w:tab w:val="left" w:pos="5565"/>
        </w:tabs>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旅游者：____________等_____人（名单可附页，需旅行社和旅游者代表签字盖章确认）；</w:t>
      </w:r>
    </w:p>
    <w:p w14:paraId="67F7F136">
      <w:pPr>
        <w:widowControl/>
        <w:tabs>
          <w:tab w:val="left" w:pos="5565"/>
        </w:tabs>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旅行社：</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0A5C206">
      <w:pPr>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旅行社业务经营许可证编号：</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EEB77C6">
      <w:pPr>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开户行及帐号：</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05CABD5">
      <w:pPr>
        <w:adjustRightInd w:val="0"/>
        <w:spacing w:line="360" w:lineRule="auto"/>
        <w:ind w:firstLine="420" w:firstLineChars="200"/>
        <w:jc w:val="left"/>
        <w:textAlignment w:val="baseline"/>
        <w:rPr>
          <w:rFonts w:hint="eastAsia" w:ascii="宋体" w:hAnsi="宋体" w:eastAsia="宋体" w:cs="宋体"/>
          <w:bCs/>
          <w:color w:val="auto"/>
          <w:kern w:val="0"/>
          <w:sz w:val="21"/>
          <w:szCs w:val="21"/>
          <w:highlight w:val="none"/>
          <w:u w:val="single"/>
        </w:rPr>
      </w:pPr>
      <w:r>
        <w:rPr>
          <w:rFonts w:hint="eastAsia" w:ascii="宋体" w:hAnsi="宋体" w:eastAsia="宋体" w:cs="宋体"/>
          <w:bCs/>
          <w:color w:val="auto"/>
          <w:kern w:val="0"/>
          <w:sz w:val="21"/>
          <w:szCs w:val="21"/>
          <w:highlight w:val="none"/>
          <w:u w:val="single"/>
        </w:rPr>
        <w:t>乙方委托以下地接社提供地接服务：</w:t>
      </w:r>
    </w:p>
    <w:p w14:paraId="580CD998">
      <w:pPr>
        <w:adjustRightInd w:val="0"/>
        <w:snapToGrid w:val="0"/>
        <w:spacing w:line="360" w:lineRule="auto"/>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地接社名称：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。地址：</w:t>
      </w:r>
      <w:r>
        <w:rPr>
          <w:rFonts w:hint="eastAsia" w:ascii="宋体" w:hAnsi="宋体" w:eastAsia="宋体" w:cs="宋体"/>
          <w:color w:val="auto"/>
          <w:kern w:val="0"/>
          <w:sz w:val="21"/>
          <w:szCs w:val="21"/>
          <w:highlight w:val="none"/>
          <w:u w:val="single"/>
        </w:rPr>
        <w:t xml:space="preserve">                          </w:t>
      </w:r>
    </w:p>
    <w:p w14:paraId="39A19D82">
      <w:pPr>
        <w:widowControl/>
        <w:tabs>
          <w:tab w:val="left" w:pos="477"/>
        </w:tabs>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p>
    <w:p w14:paraId="2EA4B243">
      <w:pPr>
        <w:widowControl/>
        <w:tabs>
          <w:tab w:val="left" w:pos="477"/>
        </w:tabs>
        <w:adjustRightInd w:val="0"/>
        <w:spacing w:line="360" w:lineRule="auto"/>
        <w:ind w:firstLine="422"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协议条款</w:t>
      </w:r>
      <w:r>
        <w:rPr>
          <w:rFonts w:hint="eastAsia" w:ascii="宋体" w:hAnsi="宋体" w:eastAsia="宋体" w:cs="宋体"/>
          <w:color w:val="auto"/>
          <w:kern w:val="0"/>
          <w:sz w:val="21"/>
          <w:szCs w:val="21"/>
          <w:highlight w:val="none"/>
        </w:rPr>
        <w:t xml:space="preserve"> </w:t>
      </w:r>
    </w:p>
    <w:p w14:paraId="6AC8B359">
      <w:pPr>
        <w:tabs>
          <w:tab w:val="left" w:pos="5565"/>
        </w:tabs>
        <w:adjustRightInd w:val="0"/>
        <w:snapToGrid w:val="0"/>
        <w:spacing w:line="360" w:lineRule="auto"/>
        <w:ind w:firstLine="422" w:firstLineChars="200"/>
        <w:jc w:val="left"/>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第一条  线路行程时间</w:t>
      </w:r>
    </w:p>
    <w:p w14:paraId="793D1463">
      <w:pPr>
        <w:tabs>
          <w:tab w:val="left" w:pos="5565"/>
        </w:tabs>
        <w:adjustRightInd w:val="0"/>
        <w:snapToGri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线路行程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750A872">
      <w:pPr>
        <w:adjustRightInd w:val="0"/>
        <w:spacing w:line="360" w:lineRule="auto"/>
        <w:ind w:firstLine="420" w:firstLineChars="200"/>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出发时间________年____月____日____时，结束时间________年____月____日____时；共_____天，饭店住宿_____夜。</w:t>
      </w:r>
    </w:p>
    <w:p w14:paraId="2F331CAF">
      <w:pPr>
        <w:tabs>
          <w:tab w:val="left" w:pos="5565"/>
        </w:tabs>
        <w:adjustRightInd w:val="0"/>
        <w:snapToGrid w:val="0"/>
        <w:spacing w:line="360" w:lineRule="auto"/>
        <w:ind w:firstLine="406" w:firstLineChars="200"/>
        <w:jc w:val="left"/>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spacing w:val="-4"/>
          <w:kern w:val="0"/>
          <w:sz w:val="21"/>
          <w:szCs w:val="21"/>
          <w:highlight w:val="none"/>
        </w:rPr>
        <w:t xml:space="preserve">第二条  </w:t>
      </w:r>
      <w:r>
        <w:rPr>
          <w:rFonts w:hint="eastAsia" w:ascii="宋体" w:hAnsi="宋体" w:eastAsia="宋体" w:cs="宋体"/>
          <w:b/>
          <w:bCs/>
          <w:color w:val="auto"/>
          <w:kern w:val="0"/>
          <w:sz w:val="21"/>
          <w:szCs w:val="21"/>
          <w:highlight w:val="none"/>
        </w:rPr>
        <w:t>旅游费用及支付（以人民币为计算单位）</w:t>
      </w:r>
    </w:p>
    <w:p w14:paraId="4A0B45D2">
      <w:pPr>
        <w:tabs>
          <w:tab w:val="left" w:pos="5565"/>
        </w:tabs>
        <w:adjustRightInd w:val="0"/>
        <w:spacing w:line="360" w:lineRule="auto"/>
        <w:ind w:firstLine="420" w:firstLineChars="200"/>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成人：_____元/人，儿童（不满12岁）：_____元/人；其中，导游服务费：_____元/人；</w:t>
      </w:r>
    </w:p>
    <w:p w14:paraId="57059716">
      <w:pPr>
        <w:tabs>
          <w:tab w:val="left" w:pos="5565"/>
        </w:tabs>
        <w:adjustRightInd w:val="0"/>
        <w:spacing w:line="360" w:lineRule="auto"/>
        <w:ind w:firstLine="420" w:firstLineChars="200"/>
        <w:textAlignment w:val="baseline"/>
        <w:rPr>
          <w:rFonts w:hint="eastAsia"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rPr>
        <w:t>旅游费用合计：_______________元。</w:t>
      </w:r>
    </w:p>
    <w:p w14:paraId="7226275B">
      <w:pPr>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旅游费用支付方式：_______________。旅游费用支付时间：_________________。</w:t>
      </w:r>
    </w:p>
    <w:p w14:paraId="2D2BA6F3">
      <w:pPr>
        <w:adjustRightInd w:val="0"/>
        <w:spacing w:line="360" w:lineRule="auto"/>
        <w:ind w:firstLine="422" w:firstLineChars="200"/>
        <w:jc w:val="left"/>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第三条  人身意外伤害保险</w:t>
      </w:r>
    </w:p>
    <w:p w14:paraId="33CB87E6">
      <w:pPr>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1、旅行社</w:t>
      </w:r>
      <w:r>
        <w:rPr>
          <w:rFonts w:hint="eastAsia" w:ascii="宋体" w:hAnsi="宋体" w:eastAsia="宋体" w:cs="宋体"/>
          <w:color w:val="auto"/>
          <w:kern w:val="0"/>
          <w:sz w:val="21"/>
          <w:szCs w:val="21"/>
          <w:highlight w:val="none"/>
          <w:lang w:val="en-US" w:eastAsia="zh-CN"/>
        </w:rPr>
        <w:t>为</w:t>
      </w:r>
      <w:r>
        <w:rPr>
          <w:rFonts w:hint="eastAsia" w:ascii="宋体" w:hAnsi="宋体" w:eastAsia="宋体" w:cs="宋体"/>
          <w:color w:val="auto"/>
          <w:kern w:val="0"/>
          <w:sz w:val="21"/>
          <w:szCs w:val="21"/>
          <w:highlight w:val="none"/>
        </w:rPr>
        <w:t>旅游者购买旅游全程保险</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保障金额不低于100万元的人身意外保险（其中医疗部分不少于10万元）</w:t>
      </w:r>
      <w:r>
        <w:rPr>
          <w:rFonts w:hint="eastAsia" w:ascii="宋体" w:hAnsi="宋体" w:eastAsia="宋体" w:cs="宋体"/>
          <w:color w:val="auto"/>
          <w:kern w:val="0"/>
          <w:sz w:val="21"/>
          <w:szCs w:val="21"/>
          <w:highlight w:val="none"/>
          <w:lang w:eastAsia="zh-CN"/>
        </w:rPr>
        <w:t>（保险费用包含在投标报价中）</w:t>
      </w:r>
      <w:r>
        <w:rPr>
          <w:rFonts w:hint="eastAsia" w:ascii="宋体" w:hAnsi="宋体" w:eastAsia="宋体" w:cs="宋体"/>
          <w:color w:val="auto"/>
          <w:kern w:val="0"/>
          <w:sz w:val="21"/>
          <w:szCs w:val="21"/>
          <w:highlight w:val="none"/>
        </w:rPr>
        <w:t>；</w:t>
      </w:r>
    </w:p>
    <w:p w14:paraId="7B20B7F0">
      <w:pPr>
        <w:tabs>
          <w:tab w:val="left" w:pos="5565"/>
        </w:tabs>
        <w:adjustRightInd w:val="0"/>
        <w:snapToGrid w:val="0"/>
        <w:spacing w:line="360" w:lineRule="auto"/>
        <w:ind w:firstLine="422" w:firstLineChars="200"/>
        <w:jc w:val="left"/>
        <w:textAlignment w:val="baseline"/>
        <w:rPr>
          <w:rFonts w:hint="eastAsia" w:ascii="宋体" w:hAnsi="宋体" w:eastAsia="宋体" w:cs="宋体"/>
          <w:b/>
          <w:bCs/>
          <w:color w:val="auto"/>
          <w:spacing w:val="-4"/>
          <w:kern w:val="0"/>
          <w:sz w:val="21"/>
          <w:szCs w:val="21"/>
          <w:highlight w:val="none"/>
        </w:rPr>
      </w:pPr>
      <w:r>
        <w:rPr>
          <w:rFonts w:hint="eastAsia" w:ascii="宋体" w:hAnsi="宋体" w:eastAsia="宋体" w:cs="宋体"/>
          <w:b/>
          <w:bCs/>
          <w:color w:val="auto"/>
          <w:kern w:val="0"/>
          <w:sz w:val="21"/>
          <w:szCs w:val="21"/>
          <w:highlight w:val="none"/>
        </w:rPr>
        <w:t>第四条</w:t>
      </w:r>
      <w:r>
        <w:rPr>
          <w:rFonts w:hint="eastAsia" w:ascii="宋体" w:hAnsi="宋体" w:eastAsia="宋体" w:cs="宋体"/>
          <w:b/>
          <w:bCs/>
          <w:color w:val="auto"/>
          <w:spacing w:val="-4"/>
          <w:kern w:val="0"/>
          <w:sz w:val="21"/>
          <w:szCs w:val="21"/>
          <w:highlight w:val="none"/>
        </w:rPr>
        <w:t xml:space="preserve">  成团人数与不成团的约定</w:t>
      </w:r>
    </w:p>
    <w:p w14:paraId="02AAF6C4">
      <w:pPr>
        <w:tabs>
          <w:tab w:val="left" w:pos="5565"/>
        </w:tabs>
        <w:adjustRightInd w:val="0"/>
        <w:spacing w:line="360" w:lineRule="auto"/>
        <w:ind w:firstLine="404" w:firstLineChars="200"/>
        <w:jc w:val="left"/>
        <w:textAlignment w:val="baseline"/>
        <w:rPr>
          <w:rFonts w:hint="eastAsia" w:ascii="宋体" w:hAnsi="宋体" w:eastAsia="宋体" w:cs="宋体"/>
          <w:bCs/>
          <w:color w:val="auto"/>
          <w:kern w:val="0"/>
          <w:sz w:val="21"/>
          <w:szCs w:val="21"/>
          <w:highlight w:val="none"/>
        </w:rPr>
      </w:pPr>
      <w:r>
        <w:rPr>
          <w:rFonts w:hint="eastAsia" w:ascii="宋体" w:hAnsi="宋体" w:eastAsia="宋体" w:cs="宋体"/>
          <w:iCs/>
          <w:color w:val="auto"/>
          <w:spacing w:val="-4"/>
          <w:kern w:val="0"/>
          <w:sz w:val="21"/>
          <w:szCs w:val="21"/>
          <w:highlight w:val="none"/>
        </w:rPr>
        <w:t>成团的最低人数</w:t>
      </w:r>
      <w:r>
        <w:rPr>
          <w:rFonts w:hint="eastAsia" w:ascii="宋体" w:hAnsi="宋体" w:eastAsia="宋体" w:cs="宋体"/>
          <w:color w:val="auto"/>
          <w:spacing w:val="-4"/>
          <w:kern w:val="0"/>
          <w:sz w:val="21"/>
          <w:szCs w:val="21"/>
          <w:highlight w:val="none"/>
        </w:rPr>
        <w:t>：__________人。</w:t>
      </w:r>
      <w:r>
        <w:rPr>
          <w:rFonts w:hint="eastAsia" w:ascii="宋体" w:hAnsi="宋体" w:eastAsia="宋体" w:cs="宋体"/>
          <w:color w:val="auto"/>
          <w:kern w:val="0"/>
          <w:sz w:val="21"/>
          <w:szCs w:val="21"/>
          <w:highlight w:val="none"/>
        </w:rPr>
        <w:t>如不能成团，旅游者是否同意按下列方式解决：</w:t>
      </w:r>
    </w:p>
    <w:p w14:paraId="0DE942B3">
      <w:pPr>
        <w:tabs>
          <w:tab w:val="left" w:pos="5565"/>
        </w:tabs>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1、________（同意或者不同意，打勾无效）旅行社委托__________________________旅行社履行合同；</w:t>
      </w:r>
    </w:p>
    <w:p w14:paraId="57BA793E">
      <w:pPr>
        <w:tabs>
          <w:tab w:val="left" w:pos="5565"/>
        </w:tabs>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2、________（同意或者不同意，打勾无效）延期出团；</w:t>
      </w:r>
    </w:p>
    <w:p w14:paraId="25EAAEC9">
      <w:pPr>
        <w:tabs>
          <w:tab w:val="left" w:pos="5565"/>
        </w:tabs>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3、________（同意或者不同意，打勾无效）改变其他线路出团；</w:t>
      </w:r>
    </w:p>
    <w:p w14:paraId="77D054B5">
      <w:pPr>
        <w:tabs>
          <w:tab w:val="left" w:pos="5565"/>
        </w:tabs>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4、________（同意或者不同意，打勾无效）解除合同。</w:t>
      </w:r>
    </w:p>
    <w:p w14:paraId="72216368">
      <w:pPr>
        <w:tabs>
          <w:tab w:val="left" w:pos="5565"/>
        </w:tabs>
        <w:adjustRightInd w:val="0"/>
        <w:snapToGrid w:val="0"/>
        <w:spacing w:line="360" w:lineRule="auto"/>
        <w:ind w:firstLine="422" w:firstLineChars="200"/>
        <w:jc w:val="left"/>
        <w:textAlignment w:val="baseline"/>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第五条  拼团约定</w:t>
      </w:r>
    </w:p>
    <w:p w14:paraId="626382B7">
      <w:pPr>
        <w:tabs>
          <w:tab w:val="left" w:pos="5565"/>
        </w:tabs>
        <w:adjustRightInd w:val="0"/>
        <w:spacing w:line="360" w:lineRule="auto"/>
        <w:ind w:firstLine="420" w:firstLineChars="200"/>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旅游者________（同意或者不同意，打勾无效）采用拼团方式拼至__________________________________________________________旅行社成团。</w:t>
      </w:r>
    </w:p>
    <w:p w14:paraId="286DC59E">
      <w:pPr>
        <w:adjustRightInd w:val="0"/>
        <w:snapToGrid w:val="0"/>
        <w:spacing w:line="360" w:lineRule="auto"/>
        <w:ind w:firstLine="422" w:firstLineChars="200"/>
        <w:jc w:val="left"/>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第六条  参加另行付费旅游项目约定</w:t>
      </w:r>
    </w:p>
    <w:p w14:paraId="1FA37A8E">
      <w:pPr>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1、旅游者可以自主决定是否参加旅行社安排的另行付费旅游项目；</w:t>
      </w:r>
    </w:p>
    <w:p w14:paraId="255FE682">
      <w:pPr>
        <w:adjustRightInd w:val="0"/>
        <w:spacing w:line="360" w:lineRule="auto"/>
        <w:ind w:firstLine="420" w:firstLineChars="200"/>
        <w:jc w:val="left"/>
        <w:textAlignment w:val="baseline"/>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2、旅行社可以在不以不合理的低价组织旅游活动、不诱骗旅游者、不获取回扣等不正当利益，且不影响其他旅游者行程安排的前提下，按照平等自愿、诚实信用的原则，与旅游者协商一致达成另行付费旅游项目协议；</w:t>
      </w:r>
      <w:r>
        <w:rPr>
          <w:rFonts w:hint="eastAsia" w:ascii="宋体" w:hAnsi="宋体" w:eastAsia="宋体" w:cs="宋体"/>
          <w:color w:val="auto"/>
          <w:kern w:val="0"/>
          <w:sz w:val="21"/>
          <w:szCs w:val="21"/>
          <w:highlight w:val="none"/>
          <w:lang w:val="en-US" w:eastAsia="zh-CN"/>
        </w:rPr>
        <w:t>本次旅游全程不得安排购物活动。</w:t>
      </w:r>
    </w:p>
    <w:p w14:paraId="2511DAC9">
      <w:pPr>
        <w:adjustRightInd w:val="0"/>
        <w:spacing w:line="360" w:lineRule="auto"/>
        <w:ind w:firstLine="420" w:firstLineChars="200"/>
        <w:jc w:val="left"/>
        <w:textAlignment w:val="baseline"/>
        <w:rPr>
          <w:rFonts w:hint="eastAsia" w:ascii="宋体" w:hAnsi="宋体" w:eastAsia="宋体" w:cs="宋体"/>
          <w:iCs/>
          <w:color w:val="auto"/>
          <w:kern w:val="0"/>
          <w:sz w:val="21"/>
          <w:szCs w:val="21"/>
          <w:highlight w:val="none"/>
        </w:rPr>
      </w:pPr>
      <w:r>
        <w:rPr>
          <w:rFonts w:hint="eastAsia" w:ascii="宋体" w:hAnsi="宋体" w:eastAsia="宋体" w:cs="宋体"/>
          <w:color w:val="auto"/>
          <w:kern w:val="0"/>
          <w:sz w:val="21"/>
          <w:szCs w:val="21"/>
          <w:highlight w:val="none"/>
        </w:rPr>
        <w:t>3、另行付费旅游项目</w:t>
      </w:r>
      <w:r>
        <w:rPr>
          <w:rFonts w:hint="eastAsia" w:ascii="宋体" w:hAnsi="宋体" w:eastAsia="宋体" w:cs="宋体"/>
          <w:iCs/>
          <w:color w:val="auto"/>
          <w:kern w:val="0"/>
          <w:sz w:val="21"/>
          <w:szCs w:val="21"/>
          <w:highlight w:val="none"/>
        </w:rPr>
        <w:t>安排应不与《行程单》冲突；</w:t>
      </w:r>
    </w:p>
    <w:p w14:paraId="3BF4C014">
      <w:pPr>
        <w:adjustRightInd w:val="0"/>
        <w:spacing w:line="360" w:lineRule="auto"/>
        <w:ind w:firstLine="420" w:firstLineChars="200"/>
        <w:jc w:val="left"/>
        <w:textAlignment w:val="baseline"/>
        <w:rPr>
          <w:rFonts w:hint="eastAsia" w:ascii="宋体" w:hAnsi="宋体" w:eastAsia="宋体" w:cs="宋体"/>
          <w:iCs/>
          <w:color w:val="auto"/>
          <w:kern w:val="0"/>
          <w:sz w:val="21"/>
          <w:szCs w:val="21"/>
          <w:highlight w:val="none"/>
        </w:rPr>
      </w:pPr>
      <w:r>
        <w:rPr>
          <w:rFonts w:hint="eastAsia" w:ascii="宋体" w:hAnsi="宋体" w:eastAsia="宋体" w:cs="宋体"/>
          <w:iCs/>
          <w:color w:val="auto"/>
          <w:kern w:val="0"/>
          <w:sz w:val="21"/>
          <w:szCs w:val="21"/>
          <w:highlight w:val="none"/>
        </w:rPr>
        <w:t>4、地接社及其从业人员在行程中安排另</w:t>
      </w:r>
      <w:r>
        <w:rPr>
          <w:rFonts w:hint="eastAsia" w:ascii="宋体" w:hAnsi="宋体" w:eastAsia="宋体" w:cs="宋体"/>
          <w:color w:val="auto"/>
          <w:kern w:val="0"/>
          <w:sz w:val="21"/>
          <w:szCs w:val="21"/>
          <w:highlight w:val="none"/>
        </w:rPr>
        <w:t>行付费旅游项目</w:t>
      </w:r>
      <w:r>
        <w:rPr>
          <w:rFonts w:hint="eastAsia" w:ascii="宋体" w:hAnsi="宋体" w:eastAsia="宋体" w:cs="宋体"/>
          <w:iCs/>
          <w:color w:val="auto"/>
          <w:kern w:val="0"/>
          <w:sz w:val="21"/>
          <w:szCs w:val="21"/>
          <w:highlight w:val="none"/>
        </w:rPr>
        <w:t>的，责任由订立本合同的旅行社承担；</w:t>
      </w:r>
    </w:p>
    <w:p w14:paraId="4894CE6F">
      <w:pPr>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iCs/>
          <w:color w:val="auto"/>
          <w:kern w:val="0"/>
          <w:sz w:val="21"/>
          <w:szCs w:val="21"/>
          <w:highlight w:val="none"/>
        </w:rPr>
        <w:t>5、另</w:t>
      </w:r>
      <w:r>
        <w:rPr>
          <w:rFonts w:hint="eastAsia" w:ascii="宋体" w:hAnsi="宋体" w:eastAsia="宋体" w:cs="宋体"/>
          <w:color w:val="auto"/>
          <w:kern w:val="0"/>
          <w:sz w:val="21"/>
          <w:szCs w:val="21"/>
          <w:highlight w:val="none"/>
        </w:rPr>
        <w:t>行</w:t>
      </w:r>
      <w:r>
        <w:rPr>
          <w:rFonts w:hint="eastAsia" w:ascii="宋体" w:hAnsi="宋体" w:eastAsia="宋体" w:cs="宋体"/>
          <w:iCs/>
          <w:color w:val="auto"/>
          <w:kern w:val="0"/>
          <w:sz w:val="21"/>
          <w:szCs w:val="21"/>
          <w:highlight w:val="none"/>
        </w:rPr>
        <w:t>付费旅游项目具体约定见《自愿参加另行付费旅游项目补充协议》。</w:t>
      </w:r>
    </w:p>
    <w:p w14:paraId="47D8AD25">
      <w:pPr>
        <w:tabs>
          <w:tab w:val="left" w:pos="5565"/>
        </w:tabs>
        <w:adjustRightInd w:val="0"/>
        <w:snapToGrid w:val="0"/>
        <w:spacing w:line="360" w:lineRule="auto"/>
        <w:ind w:firstLine="422" w:firstLineChars="200"/>
        <w:jc w:val="left"/>
        <w:textAlignment w:val="baseline"/>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第七条  争议的解决方式</w:t>
      </w:r>
    </w:p>
    <w:p w14:paraId="599B5A31">
      <w:pPr>
        <w:tabs>
          <w:tab w:val="left" w:pos="5565"/>
        </w:tabs>
        <w:adjustRightInd w:val="0"/>
        <w:snapToGrid w:val="0"/>
        <w:spacing w:line="360" w:lineRule="auto"/>
        <w:ind w:firstLine="420" w:firstLineChars="200"/>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本合同履行过程中发生争议，由双方协商解决；亦可向合同签订地的旅游质监执法机构、消费者协会、有关的调解组织等有关部门或者机构申请调解。协商或者调解不成的，按下列第</w:t>
      </w:r>
      <w:r>
        <w:rPr>
          <w:rFonts w:hint="eastAsia" w:ascii="宋体" w:hAnsi="宋体" w:eastAsia="宋体" w:cs="宋体"/>
          <w:color w:val="auto"/>
          <w:kern w:val="0"/>
          <w:sz w:val="21"/>
          <w:szCs w:val="21"/>
          <w:highlight w:val="none"/>
          <w:u w:val="single"/>
        </w:rPr>
        <w:t>2</w:t>
      </w:r>
      <w:r>
        <w:rPr>
          <w:rFonts w:hint="eastAsia" w:ascii="宋体" w:hAnsi="宋体" w:eastAsia="宋体" w:cs="宋体"/>
          <w:color w:val="auto"/>
          <w:kern w:val="0"/>
          <w:sz w:val="21"/>
          <w:szCs w:val="21"/>
          <w:highlight w:val="none"/>
        </w:rPr>
        <w:t>种方式解决：</w:t>
      </w:r>
    </w:p>
    <w:p w14:paraId="1E938C9D">
      <w:pPr>
        <w:tabs>
          <w:tab w:val="left" w:pos="5565"/>
        </w:tabs>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1、提交</w:t>
      </w:r>
      <w:r>
        <w:rPr>
          <w:rFonts w:hint="eastAsia" w:ascii="宋体" w:hAnsi="宋体" w:eastAsia="宋体" w:cs="宋体"/>
          <w:color w:val="auto"/>
          <w:kern w:val="0"/>
          <w:sz w:val="21"/>
          <w:szCs w:val="21"/>
          <w:highlight w:val="none"/>
          <w:u w:val="single"/>
        </w:rPr>
        <w:t>宁波市</w:t>
      </w:r>
      <w:r>
        <w:rPr>
          <w:rFonts w:hint="eastAsia" w:ascii="宋体" w:hAnsi="宋体" w:eastAsia="宋体" w:cs="宋体"/>
          <w:color w:val="auto"/>
          <w:kern w:val="0"/>
          <w:sz w:val="21"/>
          <w:szCs w:val="21"/>
          <w:highlight w:val="none"/>
        </w:rPr>
        <w:t>仲裁委员会仲裁；</w:t>
      </w:r>
    </w:p>
    <w:p w14:paraId="288664CF">
      <w:pPr>
        <w:tabs>
          <w:tab w:val="left" w:pos="5565"/>
        </w:tabs>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2、依法向人民法院起诉。</w:t>
      </w:r>
    </w:p>
    <w:p w14:paraId="1E503661">
      <w:pPr>
        <w:tabs>
          <w:tab w:val="left" w:pos="5565"/>
        </w:tabs>
        <w:adjustRightInd w:val="0"/>
        <w:spacing w:line="360" w:lineRule="auto"/>
        <w:ind w:firstLine="422" w:firstLineChars="200"/>
        <w:jc w:val="left"/>
        <w:textAlignment w:val="baseline"/>
        <w:rPr>
          <w:rFonts w:hint="eastAsia" w:ascii="宋体" w:hAnsi="宋体" w:eastAsia="宋体" w:cs="宋体"/>
          <w:b/>
          <w:iCs/>
          <w:color w:val="auto"/>
          <w:kern w:val="0"/>
          <w:sz w:val="21"/>
          <w:szCs w:val="21"/>
          <w:highlight w:val="none"/>
        </w:rPr>
      </w:pPr>
      <w:r>
        <w:rPr>
          <w:rFonts w:hint="eastAsia" w:ascii="宋体" w:hAnsi="宋体" w:eastAsia="宋体" w:cs="宋体"/>
          <w:b/>
          <w:color w:val="auto"/>
          <w:kern w:val="0"/>
          <w:sz w:val="21"/>
          <w:szCs w:val="21"/>
          <w:highlight w:val="none"/>
        </w:rPr>
        <w:t xml:space="preserve">第八条  </w:t>
      </w:r>
      <w:r>
        <w:rPr>
          <w:rFonts w:hint="eastAsia" w:ascii="宋体" w:hAnsi="宋体" w:eastAsia="宋体" w:cs="宋体"/>
          <w:b/>
          <w:iCs/>
          <w:color w:val="auto"/>
          <w:kern w:val="0"/>
          <w:sz w:val="21"/>
          <w:szCs w:val="21"/>
          <w:highlight w:val="none"/>
        </w:rPr>
        <w:t>其他约定事项</w:t>
      </w:r>
    </w:p>
    <w:p w14:paraId="794D8890">
      <w:pPr>
        <w:tabs>
          <w:tab w:val="left" w:pos="5565"/>
        </w:tabs>
        <w:adjustRightInd w:val="0"/>
        <w:snapToGrid w:val="0"/>
        <w:spacing w:line="360" w:lineRule="auto"/>
        <w:ind w:firstLine="411" w:firstLineChars="196"/>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未尽事宜，经旅游者和旅行社双方协商一致，可以列入补充条款。（如合同空间不够，可以另附纸张，由双方签字或者盖章确认。）</w:t>
      </w:r>
    </w:p>
    <w:p w14:paraId="75F88FBF">
      <w:pPr>
        <w:adjustRightInd w:val="0"/>
        <w:spacing w:line="360" w:lineRule="auto"/>
        <w:textAlignment w:val="baseline"/>
        <w:rPr>
          <w:rFonts w:hint="eastAsia" w:ascii="宋体" w:hAnsi="宋体" w:eastAsia="宋体" w:cs="宋体"/>
          <w:color w:val="auto"/>
          <w:kern w:val="0"/>
          <w:sz w:val="21"/>
          <w:szCs w:val="21"/>
          <w:highlight w:val="none"/>
        </w:rPr>
      </w:pPr>
    </w:p>
    <w:p w14:paraId="1FFE2349">
      <w:pPr>
        <w:adjustRightInd w:val="0"/>
        <w:spacing w:line="360" w:lineRule="auto"/>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______________________________公司就旅游合同、行程须知中的特别提醒、警示以及合同中对旅行社责任免除等约定，贵公司已提醒我注意并向我作了充分的说明，对此内容我已知悉，根据我目前的健康状况，我适宜参加本次旅游。</w:t>
      </w:r>
    </w:p>
    <w:p w14:paraId="16CCA794">
      <w:pPr>
        <w:adjustRightInd w:val="0"/>
        <w:spacing w:line="360" w:lineRule="auto"/>
        <w:ind w:firstLine="420" w:firstLineChars="199"/>
        <w:jc w:val="left"/>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第九条  合同效力</w:t>
      </w:r>
    </w:p>
    <w:p w14:paraId="7D2EC8E8">
      <w:pPr>
        <w:widowControl/>
        <w:tabs>
          <w:tab w:val="left" w:pos="5565"/>
        </w:tabs>
        <w:adjustRightInd w:val="0"/>
        <w:spacing w:line="360" w:lineRule="auto"/>
        <w:ind w:firstLine="210" w:firstLineChars="1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本合同一式</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份，双方各持</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份，具有同等法律效力，自双方当事人签字或者盖章之日起生效。</w:t>
      </w:r>
    </w:p>
    <w:p w14:paraId="1D9437AF">
      <w:pPr>
        <w:widowControl/>
        <w:tabs>
          <w:tab w:val="left" w:pos="5565"/>
        </w:tabs>
        <w:adjustRightInd w:val="0"/>
        <w:spacing w:line="360" w:lineRule="auto"/>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旅游者代表签字（盖章）：_____________    旅行社盖章：________________________</w:t>
      </w:r>
    </w:p>
    <w:p w14:paraId="6DA03EDA">
      <w:pPr>
        <w:widowControl/>
        <w:tabs>
          <w:tab w:val="left" w:pos="5565"/>
        </w:tabs>
        <w:adjustRightInd w:val="0"/>
        <w:spacing w:line="360" w:lineRule="auto"/>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证件号码：</w:t>
      </w:r>
      <w:r>
        <w:rPr>
          <w:rFonts w:hint="eastAsia" w:ascii="宋体" w:hAnsi="宋体" w:eastAsia="宋体" w:cs="宋体"/>
          <w:color w:val="auto"/>
          <w:kern w:val="0"/>
          <w:sz w:val="21"/>
          <w:szCs w:val="21"/>
          <w:highlight w:val="none"/>
          <w:lang w:val="zh-CN"/>
        </w:rPr>
        <w:t>___________________________</w:t>
      </w:r>
      <w:r>
        <w:rPr>
          <w:rFonts w:hint="eastAsia" w:ascii="宋体" w:hAnsi="宋体" w:eastAsia="宋体" w:cs="宋体"/>
          <w:color w:val="auto"/>
          <w:kern w:val="0"/>
          <w:sz w:val="21"/>
          <w:szCs w:val="21"/>
          <w:highlight w:val="none"/>
        </w:rPr>
        <w:t xml:space="preserve">    签约代表签字（盖章）：______________</w:t>
      </w:r>
    </w:p>
    <w:p w14:paraId="18353C77">
      <w:pPr>
        <w:widowControl/>
        <w:tabs>
          <w:tab w:val="left" w:pos="5565"/>
        </w:tabs>
        <w:adjustRightInd w:val="0"/>
        <w:spacing w:line="360" w:lineRule="auto"/>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住    址：</w:t>
      </w:r>
      <w:r>
        <w:rPr>
          <w:rFonts w:hint="eastAsia" w:ascii="宋体" w:hAnsi="宋体" w:eastAsia="宋体" w:cs="宋体"/>
          <w:color w:val="auto"/>
          <w:kern w:val="0"/>
          <w:sz w:val="21"/>
          <w:szCs w:val="21"/>
          <w:highlight w:val="none"/>
          <w:lang w:val="zh-CN"/>
        </w:rPr>
        <w:t>___________________________</w:t>
      </w:r>
      <w:r>
        <w:rPr>
          <w:rFonts w:hint="eastAsia" w:ascii="宋体" w:hAnsi="宋体" w:eastAsia="宋体" w:cs="宋体"/>
          <w:color w:val="auto"/>
          <w:kern w:val="0"/>
          <w:sz w:val="21"/>
          <w:szCs w:val="21"/>
          <w:highlight w:val="none"/>
        </w:rPr>
        <w:t xml:space="preserve">    营业地址（网点）：____________________</w:t>
      </w:r>
    </w:p>
    <w:p w14:paraId="20394888">
      <w:pPr>
        <w:widowControl/>
        <w:tabs>
          <w:tab w:val="left" w:pos="5565"/>
        </w:tabs>
        <w:adjustRightInd w:val="0"/>
        <w:spacing w:line="360" w:lineRule="auto"/>
        <w:jc w:val="left"/>
        <w:textAlignment w:val="baseline"/>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联系电话：</w:t>
      </w:r>
      <w:r>
        <w:rPr>
          <w:rFonts w:hint="eastAsia" w:ascii="宋体" w:hAnsi="宋体" w:eastAsia="宋体" w:cs="宋体"/>
          <w:color w:val="auto"/>
          <w:kern w:val="0"/>
          <w:sz w:val="21"/>
          <w:szCs w:val="21"/>
          <w:highlight w:val="none"/>
          <w:lang w:val="zh-CN"/>
        </w:rPr>
        <w:t>___________________________</w:t>
      </w:r>
      <w:r>
        <w:rPr>
          <w:rFonts w:hint="eastAsia" w:ascii="宋体" w:hAnsi="宋体" w:eastAsia="宋体" w:cs="宋体"/>
          <w:color w:val="auto"/>
          <w:kern w:val="0"/>
          <w:sz w:val="21"/>
          <w:szCs w:val="21"/>
          <w:highlight w:val="none"/>
        </w:rPr>
        <w:t xml:space="preserve">    联系电话：</w:t>
      </w:r>
      <w:r>
        <w:rPr>
          <w:rFonts w:hint="eastAsia" w:ascii="宋体" w:hAnsi="宋体" w:eastAsia="宋体" w:cs="宋体"/>
          <w:i/>
          <w:iCs/>
          <w:color w:val="auto"/>
          <w:kern w:val="0"/>
          <w:sz w:val="21"/>
          <w:szCs w:val="21"/>
          <w:highlight w:val="none"/>
          <w:u w:val="single"/>
        </w:rPr>
        <w:t xml:space="preserve">                          </w:t>
      </w:r>
    </w:p>
    <w:p w14:paraId="2D09F8E3">
      <w:pPr>
        <w:tabs>
          <w:tab w:val="left" w:pos="5565"/>
        </w:tabs>
        <w:adjustRightInd w:val="0"/>
        <w:spacing w:line="360" w:lineRule="auto"/>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签约日期：__________年______月______日   签约日期：_________年______月______日</w:t>
      </w:r>
    </w:p>
    <w:p w14:paraId="1A6D7CA0">
      <w:pPr>
        <w:tabs>
          <w:tab w:val="left" w:pos="5565"/>
        </w:tabs>
        <w:adjustRightInd w:val="0"/>
        <w:spacing w:line="360" w:lineRule="auto"/>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签约地点：                             旅行社监督、投诉电话：  </w:t>
      </w:r>
    </w:p>
    <w:p w14:paraId="7F220437">
      <w:pPr>
        <w:keepNext w:val="0"/>
        <w:keepLines w:val="0"/>
        <w:pageBreakBefore w:val="0"/>
        <w:widowControl w:val="0"/>
        <w:shd w:val="clear"/>
        <w:kinsoku/>
        <w:wordWrap/>
        <w:overflowPunct/>
        <w:topLinePunct w:val="0"/>
        <w:bidi w:val="0"/>
        <w:rPr>
          <w:rFonts w:ascii="宋体" w:hAnsi="宋体"/>
          <w:b/>
          <w:bCs/>
          <w:color w:val="auto"/>
          <w:sz w:val="28"/>
          <w:szCs w:val="28"/>
          <w:highlight w:val="none"/>
        </w:rPr>
      </w:pPr>
      <w:r>
        <w:rPr>
          <w:rFonts w:hint="eastAsia" w:ascii="宋体" w:hAnsi="宋体"/>
          <w:b/>
          <w:bCs/>
          <w:color w:val="auto"/>
          <w:sz w:val="28"/>
          <w:szCs w:val="28"/>
          <w:highlight w:val="none"/>
        </w:rPr>
        <w:br w:type="page"/>
      </w:r>
    </w:p>
    <w:bookmarkEnd w:id="39"/>
    <w:p w14:paraId="629C57A1">
      <w:pPr>
        <w:pStyle w:val="4"/>
        <w:keepNext w:val="0"/>
        <w:keepLines w:val="0"/>
        <w:pageBreakBefore w:val="0"/>
        <w:widowControl w:val="0"/>
        <w:shd w:val="clear"/>
        <w:kinsoku/>
        <w:wordWrap/>
        <w:overflowPunct/>
        <w:topLinePunct w:val="0"/>
        <w:autoSpaceDE/>
        <w:autoSpaceDN/>
        <w:bidi w:val="0"/>
        <w:adjustRightInd/>
        <w:snapToGrid/>
        <w:spacing w:before="0" w:after="330"/>
        <w:textAlignment w:val="auto"/>
        <w:rPr>
          <w:rFonts w:asciiTheme="majorEastAsia" w:hAnsiTheme="majorEastAsia" w:eastAsiaTheme="majorEastAsia"/>
          <w:color w:val="auto"/>
          <w:highlight w:val="none"/>
        </w:rPr>
      </w:pPr>
      <w:bookmarkStart w:id="40" w:name="_Toc522013507"/>
      <w:bookmarkStart w:id="41" w:name="_Toc3770"/>
      <w:bookmarkStart w:id="42" w:name="_Toc15404"/>
      <w:r>
        <w:rPr>
          <w:rFonts w:asciiTheme="majorEastAsia" w:hAnsiTheme="majorEastAsia" w:eastAsiaTheme="majorEastAsia"/>
          <w:color w:val="auto"/>
          <w:highlight w:val="none"/>
        </w:rPr>
        <w:t>第六章  响应文件格式</w:t>
      </w:r>
      <w:bookmarkEnd w:id="40"/>
      <w:bookmarkEnd w:id="41"/>
      <w:bookmarkEnd w:id="42"/>
    </w:p>
    <w:p w14:paraId="07592F29">
      <w:pPr>
        <w:keepNext w:val="0"/>
        <w:keepLines w:val="0"/>
        <w:pageBreakBefore w:val="0"/>
        <w:widowControl w:val="0"/>
        <w:shd w:val="clear"/>
        <w:kinsoku/>
        <w:wordWrap/>
        <w:overflowPunct/>
        <w:topLinePunct w:val="0"/>
        <w:bidi w:val="0"/>
        <w:snapToGrid w:val="0"/>
        <w:spacing w:line="440" w:lineRule="exact"/>
        <w:outlineLvl w:val="1"/>
        <w:rPr>
          <w:rFonts w:asciiTheme="majorEastAsia" w:hAnsiTheme="majorEastAsia" w:eastAsiaTheme="majorEastAsia"/>
          <w:b/>
          <w:bCs/>
          <w:color w:val="auto"/>
          <w:szCs w:val="21"/>
          <w:highlight w:val="none"/>
        </w:rPr>
      </w:pPr>
      <w:bookmarkStart w:id="43" w:name="_Toc476585059"/>
      <w:r>
        <w:rPr>
          <w:rFonts w:asciiTheme="majorEastAsia" w:hAnsiTheme="majorEastAsia" w:eastAsiaTheme="majorEastAsia"/>
          <w:b/>
          <w:bCs/>
          <w:color w:val="auto"/>
          <w:szCs w:val="21"/>
          <w:highlight w:val="none"/>
        </w:rPr>
        <w:t>一、</w:t>
      </w:r>
      <w:r>
        <w:rPr>
          <w:rFonts w:hint="eastAsia" w:asciiTheme="majorEastAsia" w:hAnsiTheme="majorEastAsia" w:eastAsiaTheme="majorEastAsia"/>
          <w:b/>
          <w:bCs/>
          <w:color w:val="auto"/>
          <w:szCs w:val="21"/>
          <w:highlight w:val="none"/>
        </w:rPr>
        <w:t>备份</w:t>
      </w:r>
      <w:r>
        <w:rPr>
          <w:rFonts w:hint="eastAsia" w:asciiTheme="majorEastAsia" w:hAnsiTheme="majorEastAsia" w:eastAsiaTheme="majorEastAsia"/>
          <w:b/>
          <w:bCs/>
          <w:color w:val="auto"/>
          <w:szCs w:val="21"/>
          <w:highlight w:val="none"/>
          <w:lang w:eastAsia="zh-CN"/>
        </w:rPr>
        <w:t>响应</w:t>
      </w:r>
      <w:r>
        <w:rPr>
          <w:rFonts w:hint="eastAsia" w:asciiTheme="majorEastAsia" w:hAnsiTheme="majorEastAsia" w:eastAsiaTheme="majorEastAsia"/>
          <w:b/>
          <w:bCs/>
          <w:color w:val="auto"/>
          <w:szCs w:val="21"/>
          <w:highlight w:val="none"/>
        </w:rPr>
        <w:t>文件</w:t>
      </w:r>
      <w:r>
        <w:rPr>
          <w:rFonts w:asciiTheme="majorEastAsia" w:hAnsiTheme="majorEastAsia" w:eastAsiaTheme="majorEastAsia"/>
          <w:b/>
          <w:bCs/>
          <w:color w:val="auto"/>
          <w:szCs w:val="21"/>
          <w:highlight w:val="none"/>
        </w:rPr>
        <w:t>外层包装封面格式</w:t>
      </w:r>
      <w:bookmarkEnd w:id="43"/>
    </w:p>
    <w:p w14:paraId="2B833302">
      <w:pPr>
        <w:keepNext w:val="0"/>
        <w:keepLines w:val="0"/>
        <w:pageBreakBefore w:val="0"/>
        <w:widowControl w:val="0"/>
        <w:shd w:val="clear"/>
        <w:kinsoku/>
        <w:wordWrap/>
        <w:overflowPunct/>
        <w:topLinePunct w:val="0"/>
        <w:bidi w:val="0"/>
        <w:snapToGrid w:val="0"/>
        <w:spacing w:line="440" w:lineRule="exact"/>
        <w:jc w:val="center"/>
        <w:rPr>
          <w:rFonts w:asciiTheme="majorEastAsia" w:hAnsiTheme="majorEastAsia" w:eastAsiaTheme="majorEastAsia"/>
          <w:color w:val="auto"/>
          <w:szCs w:val="21"/>
          <w:highlight w:val="none"/>
        </w:rPr>
      </w:pPr>
    </w:p>
    <w:p w14:paraId="61EBB821">
      <w:pPr>
        <w:keepNext w:val="0"/>
        <w:keepLines w:val="0"/>
        <w:pageBreakBefore w:val="0"/>
        <w:widowControl w:val="0"/>
        <w:shd w:val="clear"/>
        <w:kinsoku/>
        <w:wordWrap/>
        <w:overflowPunct/>
        <w:topLinePunct w:val="0"/>
        <w:bidi w:val="0"/>
        <w:snapToGrid w:val="0"/>
        <w:spacing w:line="440" w:lineRule="exact"/>
        <w:jc w:val="center"/>
        <w:rPr>
          <w:rFonts w:asciiTheme="majorEastAsia" w:hAnsiTheme="majorEastAsia" w:eastAsiaTheme="majorEastAsia"/>
          <w:b/>
          <w:bCs/>
          <w:color w:val="auto"/>
          <w:szCs w:val="21"/>
          <w:highlight w:val="none"/>
        </w:rPr>
      </w:pPr>
      <w:r>
        <w:rPr>
          <w:rFonts w:asciiTheme="majorEastAsia" w:hAnsiTheme="majorEastAsia" w:eastAsiaTheme="majorEastAsia"/>
          <w:b/>
          <w:bCs/>
          <w:color w:val="auto"/>
          <w:szCs w:val="21"/>
          <w:highlight w:val="none"/>
        </w:rPr>
        <w:t xml:space="preserve">    </w:t>
      </w:r>
      <w:r>
        <w:rPr>
          <w:rFonts w:hint="eastAsia" w:asciiTheme="majorEastAsia" w:hAnsiTheme="majorEastAsia" w:eastAsiaTheme="majorEastAsia"/>
          <w:b/>
          <w:bCs/>
          <w:color w:val="auto"/>
          <w:szCs w:val="21"/>
          <w:highlight w:val="none"/>
        </w:rPr>
        <w:t xml:space="preserve">响 应 </w:t>
      </w:r>
      <w:r>
        <w:rPr>
          <w:rFonts w:asciiTheme="majorEastAsia" w:hAnsiTheme="majorEastAsia" w:eastAsiaTheme="majorEastAsia"/>
          <w:b/>
          <w:bCs/>
          <w:color w:val="auto"/>
          <w:szCs w:val="21"/>
          <w:highlight w:val="none"/>
        </w:rPr>
        <w:t xml:space="preserve">文 件        </w:t>
      </w:r>
    </w:p>
    <w:p w14:paraId="5E2324E8">
      <w:pPr>
        <w:keepNext w:val="0"/>
        <w:keepLines w:val="0"/>
        <w:pageBreakBefore w:val="0"/>
        <w:widowControl w:val="0"/>
        <w:shd w:val="clear"/>
        <w:kinsoku/>
        <w:wordWrap/>
        <w:overflowPunct/>
        <w:topLinePunct w:val="0"/>
        <w:bidi w:val="0"/>
        <w:snapToGrid w:val="0"/>
        <w:spacing w:line="440" w:lineRule="exact"/>
        <w:rPr>
          <w:rFonts w:asciiTheme="majorEastAsia" w:hAnsiTheme="majorEastAsia" w:eastAsiaTheme="majorEastAsia"/>
          <w:bCs/>
          <w:color w:val="auto"/>
          <w:szCs w:val="21"/>
          <w:highlight w:val="none"/>
        </w:rPr>
      </w:pPr>
    </w:p>
    <w:p w14:paraId="5FB06F9C">
      <w:pPr>
        <w:keepNext w:val="0"/>
        <w:keepLines w:val="0"/>
        <w:pageBreakBefore w:val="0"/>
        <w:widowControl w:val="0"/>
        <w:shd w:val="clear"/>
        <w:kinsoku/>
        <w:wordWrap/>
        <w:overflowPunct/>
        <w:topLinePunct w:val="0"/>
        <w:bidi w:val="0"/>
        <w:snapToGrid w:val="0"/>
        <w:spacing w:line="440" w:lineRule="exact"/>
        <w:rPr>
          <w:rFonts w:asciiTheme="majorEastAsia" w:hAnsiTheme="majorEastAsia" w:eastAsiaTheme="majorEastAsia"/>
          <w:bCs/>
          <w:color w:val="auto"/>
          <w:szCs w:val="21"/>
          <w:highlight w:val="none"/>
        </w:rPr>
      </w:pPr>
    </w:p>
    <w:p w14:paraId="26E9A365">
      <w:pPr>
        <w:keepNext w:val="0"/>
        <w:keepLines w:val="0"/>
        <w:pageBreakBefore w:val="0"/>
        <w:widowControl w:val="0"/>
        <w:shd w:val="clear"/>
        <w:kinsoku/>
        <w:wordWrap/>
        <w:overflowPunct/>
        <w:topLinePunct w:val="0"/>
        <w:bidi w:val="0"/>
        <w:snapToGrid w:val="0"/>
        <w:spacing w:line="440" w:lineRule="exact"/>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 xml:space="preserve">项目名称： </w:t>
      </w:r>
    </w:p>
    <w:p w14:paraId="764A10BD">
      <w:pPr>
        <w:keepNext w:val="0"/>
        <w:keepLines w:val="0"/>
        <w:pageBreakBefore w:val="0"/>
        <w:widowControl w:val="0"/>
        <w:shd w:val="clear"/>
        <w:kinsoku/>
        <w:wordWrap/>
        <w:overflowPunct/>
        <w:topLinePunct w:val="0"/>
        <w:bidi w:val="0"/>
        <w:snapToGrid w:val="0"/>
        <w:spacing w:line="440" w:lineRule="exact"/>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项目</w:t>
      </w:r>
      <w:r>
        <w:rPr>
          <w:rFonts w:asciiTheme="majorEastAsia" w:hAnsiTheme="majorEastAsia" w:eastAsiaTheme="majorEastAsia"/>
          <w:bCs/>
          <w:color w:val="auto"/>
          <w:szCs w:val="21"/>
          <w:highlight w:val="none"/>
        </w:rPr>
        <w:t xml:space="preserve">编号： </w:t>
      </w:r>
    </w:p>
    <w:p w14:paraId="3F69EB0F">
      <w:pPr>
        <w:keepNext w:val="0"/>
        <w:keepLines w:val="0"/>
        <w:pageBreakBefore w:val="0"/>
        <w:widowControl w:val="0"/>
        <w:shd w:val="clear"/>
        <w:kinsoku/>
        <w:wordWrap/>
        <w:overflowPunct/>
        <w:topLinePunct w:val="0"/>
        <w:bidi w:val="0"/>
        <w:snapToGrid w:val="0"/>
        <w:spacing w:line="440" w:lineRule="exact"/>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响应文件名称：</w:t>
      </w:r>
      <w:r>
        <w:rPr>
          <w:rFonts w:hint="eastAsia" w:asciiTheme="majorEastAsia" w:hAnsiTheme="majorEastAsia" w:eastAsiaTheme="majorEastAsia"/>
          <w:bCs/>
          <w:color w:val="auto"/>
          <w:szCs w:val="21"/>
          <w:highlight w:val="none"/>
        </w:rPr>
        <w:t>电子响应文件的备份文件</w:t>
      </w:r>
    </w:p>
    <w:p w14:paraId="49538EE1">
      <w:pPr>
        <w:pStyle w:val="15"/>
        <w:keepNext w:val="0"/>
        <w:keepLines w:val="0"/>
        <w:pageBreakBefore w:val="0"/>
        <w:widowControl w:val="0"/>
        <w:shd w:val="clear"/>
        <w:kinsoku/>
        <w:wordWrap/>
        <w:overflowPunct/>
        <w:topLinePunct w:val="0"/>
        <w:bidi w:val="0"/>
        <w:snapToGrid w:val="0"/>
        <w:spacing w:line="440" w:lineRule="exact"/>
        <w:ind w:firstLine="0"/>
        <w:rPr>
          <w:rFonts w:asciiTheme="majorEastAsia" w:hAnsiTheme="majorEastAsia" w:eastAsiaTheme="majorEastAsia"/>
          <w:bCs/>
          <w:color w:val="auto"/>
          <w:szCs w:val="21"/>
          <w:highlight w:val="none"/>
        </w:rPr>
      </w:pPr>
    </w:p>
    <w:p w14:paraId="2D5F86BE">
      <w:pPr>
        <w:pStyle w:val="15"/>
        <w:keepNext w:val="0"/>
        <w:keepLines w:val="0"/>
        <w:pageBreakBefore w:val="0"/>
        <w:widowControl w:val="0"/>
        <w:shd w:val="clear"/>
        <w:kinsoku/>
        <w:wordWrap/>
        <w:overflowPunct/>
        <w:topLinePunct w:val="0"/>
        <w:bidi w:val="0"/>
        <w:snapToGrid w:val="0"/>
        <w:spacing w:line="440" w:lineRule="exact"/>
        <w:ind w:firstLine="0"/>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供应商名称：</w:t>
      </w:r>
    </w:p>
    <w:p w14:paraId="793AB6F7">
      <w:pPr>
        <w:pStyle w:val="15"/>
        <w:keepNext w:val="0"/>
        <w:keepLines w:val="0"/>
        <w:pageBreakBefore w:val="0"/>
        <w:widowControl w:val="0"/>
        <w:shd w:val="clear"/>
        <w:kinsoku/>
        <w:wordWrap/>
        <w:overflowPunct/>
        <w:topLinePunct w:val="0"/>
        <w:bidi w:val="0"/>
        <w:snapToGrid w:val="0"/>
        <w:spacing w:line="440" w:lineRule="exact"/>
        <w:ind w:firstLine="0"/>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供应商地址：</w:t>
      </w:r>
    </w:p>
    <w:p w14:paraId="54D76363">
      <w:pPr>
        <w:pStyle w:val="15"/>
        <w:keepNext w:val="0"/>
        <w:keepLines w:val="0"/>
        <w:pageBreakBefore w:val="0"/>
        <w:widowControl w:val="0"/>
        <w:shd w:val="clear"/>
        <w:kinsoku/>
        <w:wordWrap/>
        <w:overflowPunct/>
        <w:topLinePunct w:val="0"/>
        <w:bidi w:val="0"/>
        <w:snapToGrid w:val="0"/>
        <w:spacing w:line="440" w:lineRule="exact"/>
        <w:ind w:firstLine="932" w:firstLineChars="444"/>
        <w:jc w:val="center"/>
        <w:rPr>
          <w:rFonts w:asciiTheme="majorEastAsia" w:hAnsiTheme="majorEastAsia" w:eastAsiaTheme="majorEastAsia"/>
          <w:bCs/>
          <w:color w:val="auto"/>
          <w:szCs w:val="21"/>
          <w:highlight w:val="none"/>
        </w:rPr>
      </w:pPr>
    </w:p>
    <w:p w14:paraId="1A8CE4EA">
      <w:pPr>
        <w:pStyle w:val="15"/>
        <w:keepNext w:val="0"/>
        <w:keepLines w:val="0"/>
        <w:pageBreakBefore w:val="0"/>
        <w:widowControl w:val="0"/>
        <w:shd w:val="clear"/>
        <w:kinsoku/>
        <w:wordWrap/>
        <w:overflowPunct/>
        <w:topLinePunct w:val="0"/>
        <w:bidi w:val="0"/>
        <w:snapToGrid w:val="0"/>
        <w:spacing w:line="440" w:lineRule="exact"/>
        <w:ind w:firstLine="0"/>
        <w:jc w:val="center"/>
        <w:rPr>
          <w:rFonts w:asciiTheme="majorEastAsia" w:hAnsiTheme="majorEastAsia" w:eastAsiaTheme="majorEastAsia"/>
          <w:b/>
          <w:color w:val="auto"/>
          <w:szCs w:val="21"/>
          <w:highlight w:val="none"/>
        </w:rPr>
      </w:pPr>
      <w:r>
        <w:rPr>
          <w:rFonts w:asciiTheme="majorEastAsia" w:hAnsiTheme="majorEastAsia" w:eastAsiaTheme="majorEastAsia"/>
          <w:b/>
          <w:bCs/>
          <w:color w:val="auto"/>
          <w:szCs w:val="21"/>
          <w:highlight w:val="none"/>
        </w:rPr>
        <w:t>提交首次响应文件截止时间后</w:t>
      </w:r>
      <w:r>
        <w:rPr>
          <w:rFonts w:asciiTheme="majorEastAsia" w:hAnsiTheme="majorEastAsia" w:eastAsiaTheme="majorEastAsia"/>
          <w:b/>
          <w:color w:val="auto"/>
          <w:szCs w:val="21"/>
          <w:highlight w:val="none"/>
        </w:rPr>
        <w:t>启封</w:t>
      </w:r>
    </w:p>
    <w:p w14:paraId="337F41FD">
      <w:pPr>
        <w:keepNext w:val="0"/>
        <w:keepLines w:val="0"/>
        <w:pageBreakBefore w:val="0"/>
        <w:widowControl w:val="0"/>
        <w:shd w:val="clear"/>
        <w:kinsoku/>
        <w:wordWrap/>
        <w:overflowPunct/>
        <w:topLinePunct w:val="0"/>
        <w:bidi w:val="0"/>
        <w:snapToGrid w:val="0"/>
        <w:spacing w:line="440" w:lineRule="exact"/>
        <w:ind w:firstLine="3570" w:firstLineChars="1700"/>
        <w:rPr>
          <w:rFonts w:asciiTheme="majorEastAsia" w:hAnsiTheme="majorEastAsia" w:eastAsiaTheme="majorEastAsia"/>
          <w:bCs/>
          <w:color w:val="auto"/>
          <w:szCs w:val="21"/>
          <w:highlight w:val="none"/>
        </w:rPr>
      </w:pPr>
    </w:p>
    <w:p w14:paraId="4A157D41">
      <w:pPr>
        <w:pStyle w:val="15"/>
        <w:keepNext w:val="0"/>
        <w:keepLines w:val="0"/>
        <w:pageBreakBefore w:val="0"/>
        <w:widowControl w:val="0"/>
        <w:shd w:val="clear"/>
        <w:kinsoku/>
        <w:wordWrap/>
        <w:overflowPunct/>
        <w:topLinePunct w:val="0"/>
        <w:bidi w:val="0"/>
        <w:snapToGrid w:val="0"/>
        <w:spacing w:line="440" w:lineRule="exact"/>
        <w:ind w:firstLine="873" w:firstLineChars="416"/>
        <w:rPr>
          <w:rFonts w:asciiTheme="majorEastAsia" w:hAnsiTheme="majorEastAsia" w:eastAsiaTheme="majorEastAsia"/>
          <w:color w:val="auto"/>
          <w:szCs w:val="21"/>
          <w:highlight w:val="none"/>
        </w:rPr>
      </w:pPr>
    </w:p>
    <w:p w14:paraId="1A421ECA">
      <w:pPr>
        <w:pStyle w:val="15"/>
        <w:keepNext w:val="0"/>
        <w:keepLines w:val="0"/>
        <w:pageBreakBefore w:val="0"/>
        <w:widowControl w:val="0"/>
        <w:shd w:val="clear"/>
        <w:kinsoku/>
        <w:wordWrap/>
        <w:overflowPunct/>
        <w:topLinePunct w:val="0"/>
        <w:bidi w:val="0"/>
        <w:snapToGrid w:val="0"/>
        <w:spacing w:line="440" w:lineRule="exact"/>
        <w:ind w:firstLine="873" w:firstLineChars="416"/>
        <w:rPr>
          <w:rFonts w:asciiTheme="majorEastAsia" w:hAnsiTheme="majorEastAsia" w:eastAsiaTheme="majorEastAsia"/>
          <w:color w:val="auto"/>
          <w:szCs w:val="21"/>
          <w:highlight w:val="none"/>
        </w:rPr>
      </w:pPr>
    </w:p>
    <w:p w14:paraId="62B0774D">
      <w:pPr>
        <w:keepNext w:val="0"/>
        <w:keepLines w:val="0"/>
        <w:pageBreakBefore w:val="0"/>
        <w:widowControl w:val="0"/>
        <w:shd w:val="clear"/>
        <w:kinsoku/>
        <w:wordWrap/>
        <w:overflowPunct/>
        <w:topLinePunct w:val="0"/>
        <w:bidi w:val="0"/>
        <w:snapToGrid w:val="0"/>
        <w:spacing w:line="440" w:lineRule="exact"/>
        <w:ind w:left="3578" w:leftChars="1704"/>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供应商全称（公章）：</w:t>
      </w:r>
    </w:p>
    <w:p w14:paraId="619BB25E">
      <w:pPr>
        <w:keepNext w:val="0"/>
        <w:keepLines w:val="0"/>
        <w:pageBreakBefore w:val="0"/>
        <w:widowControl w:val="0"/>
        <w:shd w:val="clear"/>
        <w:kinsoku/>
        <w:wordWrap/>
        <w:overflowPunct/>
        <w:topLinePunct w:val="0"/>
        <w:bidi w:val="0"/>
        <w:snapToGrid w:val="0"/>
        <w:spacing w:line="440" w:lineRule="exact"/>
        <w:ind w:left="3578" w:leftChars="1704"/>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法定代表人（负责人）或授权代表（签字或盖章）：</w:t>
      </w:r>
    </w:p>
    <w:p w14:paraId="400CAB97">
      <w:pPr>
        <w:keepNext w:val="0"/>
        <w:keepLines w:val="0"/>
        <w:pageBreakBefore w:val="0"/>
        <w:widowControl w:val="0"/>
        <w:shd w:val="clear"/>
        <w:kinsoku/>
        <w:wordWrap/>
        <w:overflowPunct/>
        <w:topLinePunct w:val="0"/>
        <w:bidi w:val="0"/>
        <w:snapToGrid w:val="0"/>
        <w:spacing w:line="440" w:lineRule="exact"/>
        <w:ind w:left="3578" w:leftChars="1704"/>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日期：</w:t>
      </w:r>
    </w:p>
    <w:p w14:paraId="797F5220">
      <w:pPr>
        <w:keepNext w:val="0"/>
        <w:keepLines w:val="0"/>
        <w:pageBreakBefore w:val="0"/>
        <w:widowControl w:val="0"/>
        <w:shd w:val="clear"/>
        <w:kinsoku/>
        <w:wordWrap/>
        <w:overflowPunct/>
        <w:topLinePunct w:val="0"/>
        <w:bidi w:val="0"/>
        <w:snapToGrid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br w:type="page"/>
      </w:r>
      <w:r>
        <w:rPr>
          <w:rFonts w:asciiTheme="majorEastAsia" w:hAnsiTheme="majorEastAsia" w:eastAsiaTheme="majorEastAsia"/>
          <w:color w:val="auto"/>
          <w:szCs w:val="21"/>
          <w:highlight w:val="none"/>
        </w:rPr>
        <w:t>二</w:t>
      </w:r>
      <w:r>
        <w:rPr>
          <w:rFonts w:asciiTheme="majorEastAsia" w:hAnsiTheme="majorEastAsia" w:eastAsiaTheme="majorEastAsia"/>
          <w:b/>
          <w:color w:val="auto"/>
          <w:szCs w:val="21"/>
          <w:highlight w:val="none"/>
        </w:rPr>
        <w:t>、</w:t>
      </w:r>
      <w:r>
        <w:rPr>
          <w:rFonts w:hint="eastAsia" w:asciiTheme="majorEastAsia" w:hAnsiTheme="majorEastAsia" w:eastAsiaTheme="majorEastAsia"/>
          <w:b/>
          <w:color w:val="auto"/>
          <w:szCs w:val="21"/>
          <w:highlight w:val="none"/>
        </w:rPr>
        <w:t>电子</w:t>
      </w:r>
      <w:r>
        <w:rPr>
          <w:rFonts w:asciiTheme="majorEastAsia" w:hAnsiTheme="majorEastAsia" w:eastAsiaTheme="majorEastAsia"/>
          <w:b/>
          <w:color w:val="auto"/>
          <w:szCs w:val="21"/>
          <w:highlight w:val="none"/>
        </w:rPr>
        <w:t>响应文件封面格式</w:t>
      </w:r>
    </w:p>
    <w:p w14:paraId="12D2B404">
      <w:pPr>
        <w:keepNext w:val="0"/>
        <w:keepLines w:val="0"/>
        <w:pageBreakBefore w:val="0"/>
        <w:widowControl w:val="0"/>
        <w:shd w:val="clear"/>
        <w:kinsoku/>
        <w:wordWrap/>
        <w:overflowPunct/>
        <w:topLinePunct w:val="0"/>
        <w:bidi w:val="0"/>
        <w:spacing w:line="440" w:lineRule="exact"/>
        <w:ind w:right="240"/>
        <w:jc w:val="right"/>
        <w:rPr>
          <w:rFonts w:asciiTheme="majorEastAsia" w:hAnsiTheme="majorEastAsia" w:eastAsiaTheme="majorEastAsia"/>
          <w:color w:val="auto"/>
          <w:szCs w:val="21"/>
          <w:highlight w:val="none"/>
        </w:rPr>
      </w:pPr>
      <w:r>
        <w:rPr>
          <w:rFonts w:asciiTheme="majorEastAsia" w:hAnsiTheme="majorEastAsia" w:eastAsiaTheme="majorEastAsia"/>
          <w:b/>
          <w:bCs/>
          <w:color w:val="auto"/>
          <w:szCs w:val="21"/>
          <w:highlight w:val="none"/>
        </w:rPr>
        <w:t>正本</w:t>
      </w:r>
    </w:p>
    <w:p w14:paraId="24CF6146">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szCs w:val="21"/>
          <w:highlight w:val="none"/>
        </w:rPr>
      </w:pPr>
    </w:p>
    <w:p w14:paraId="38B5E528">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b/>
          <w:bCs/>
          <w:color w:val="auto"/>
          <w:szCs w:val="21"/>
          <w:highlight w:val="none"/>
        </w:rPr>
      </w:pPr>
    </w:p>
    <w:p w14:paraId="6333A0C3">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bCs/>
          <w:color w:val="auto"/>
          <w:szCs w:val="21"/>
          <w:highlight w:val="none"/>
        </w:rPr>
        <w:t xml:space="preserve">响 应 </w:t>
      </w:r>
      <w:r>
        <w:rPr>
          <w:rFonts w:asciiTheme="majorEastAsia" w:hAnsiTheme="majorEastAsia" w:eastAsiaTheme="majorEastAsia"/>
          <w:b/>
          <w:bCs/>
          <w:color w:val="auto"/>
          <w:szCs w:val="21"/>
          <w:highlight w:val="none"/>
        </w:rPr>
        <w:t>文</w:t>
      </w:r>
      <w:r>
        <w:rPr>
          <w:rFonts w:hint="eastAsia" w:asciiTheme="majorEastAsia" w:hAnsiTheme="majorEastAsia" w:eastAsiaTheme="majorEastAsia"/>
          <w:b/>
          <w:bCs/>
          <w:color w:val="auto"/>
          <w:szCs w:val="21"/>
          <w:highlight w:val="none"/>
        </w:rPr>
        <w:t xml:space="preserve"> </w:t>
      </w:r>
      <w:r>
        <w:rPr>
          <w:rFonts w:asciiTheme="majorEastAsia" w:hAnsiTheme="majorEastAsia" w:eastAsiaTheme="majorEastAsia"/>
          <w:b/>
          <w:bCs/>
          <w:color w:val="auto"/>
          <w:szCs w:val="21"/>
          <w:highlight w:val="none"/>
        </w:rPr>
        <w:t>件</w:t>
      </w:r>
    </w:p>
    <w:p w14:paraId="53D610B6">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p w14:paraId="04B762F3">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p w14:paraId="395C63D1">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项目名称：</w:t>
      </w:r>
    </w:p>
    <w:p w14:paraId="33EB1588">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项目编号：</w:t>
      </w:r>
    </w:p>
    <w:p w14:paraId="67AA0273">
      <w:pPr>
        <w:pStyle w:val="15"/>
        <w:keepNext w:val="0"/>
        <w:keepLines w:val="0"/>
        <w:pageBreakBefore w:val="0"/>
        <w:widowControl w:val="0"/>
        <w:shd w:val="clear"/>
        <w:kinsoku/>
        <w:wordWrap/>
        <w:overflowPunct/>
        <w:topLinePunct w:val="0"/>
        <w:bidi w:val="0"/>
        <w:snapToGrid w:val="0"/>
        <w:spacing w:line="440" w:lineRule="exact"/>
        <w:ind w:firstLine="0"/>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响应文件名称：资信技术文件/报价文件</w:t>
      </w:r>
    </w:p>
    <w:p w14:paraId="55822555">
      <w:pPr>
        <w:pStyle w:val="15"/>
        <w:keepNext w:val="0"/>
        <w:keepLines w:val="0"/>
        <w:pageBreakBefore w:val="0"/>
        <w:widowControl w:val="0"/>
        <w:shd w:val="clear"/>
        <w:kinsoku/>
        <w:wordWrap/>
        <w:overflowPunct/>
        <w:topLinePunct w:val="0"/>
        <w:bidi w:val="0"/>
        <w:snapToGrid w:val="0"/>
        <w:spacing w:line="440" w:lineRule="exact"/>
        <w:ind w:firstLine="0"/>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供应商名称：</w:t>
      </w:r>
    </w:p>
    <w:p w14:paraId="648A3190">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bCs/>
          <w:color w:val="auto"/>
          <w:szCs w:val="21"/>
          <w:highlight w:val="none"/>
        </w:rPr>
        <w:t>供应商地址：</w:t>
      </w:r>
    </w:p>
    <w:p w14:paraId="776F2C0C">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szCs w:val="21"/>
          <w:highlight w:val="none"/>
        </w:rPr>
      </w:pPr>
    </w:p>
    <w:p w14:paraId="7BB1C417">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szCs w:val="21"/>
          <w:highlight w:val="none"/>
        </w:rPr>
      </w:pPr>
    </w:p>
    <w:p w14:paraId="3E7B7EBA">
      <w:pPr>
        <w:keepNext w:val="0"/>
        <w:keepLines w:val="0"/>
        <w:pageBreakBefore w:val="0"/>
        <w:widowControl w:val="0"/>
        <w:shd w:val="clear"/>
        <w:kinsoku/>
        <w:wordWrap/>
        <w:overflowPunct/>
        <w:topLinePunct w:val="0"/>
        <w:bidi w:val="0"/>
        <w:snapToGrid w:val="0"/>
        <w:spacing w:line="440" w:lineRule="exact"/>
        <w:ind w:left="3578" w:leftChars="1704"/>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供应商全称（公章）：</w:t>
      </w:r>
    </w:p>
    <w:p w14:paraId="2E94FAD5">
      <w:pPr>
        <w:keepNext w:val="0"/>
        <w:keepLines w:val="0"/>
        <w:pageBreakBefore w:val="0"/>
        <w:widowControl w:val="0"/>
        <w:shd w:val="clear"/>
        <w:kinsoku/>
        <w:wordWrap/>
        <w:overflowPunct/>
        <w:topLinePunct w:val="0"/>
        <w:bidi w:val="0"/>
        <w:snapToGrid w:val="0"/>
        <w:spacing w:line="440" w:lineRule="exact"/>
        <w:ind w:left="3578" w:leftChars="1704"/>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法定代表人（负责人）或授权代表（签字或盖章）：</w:t>
      </w:r>
    </w:p>
    <w:p w14:paraId="2C022201">
      <w:pPr>
        <w:keepNext w:val="0"/>
        <w:keepLines w:val="0"/>
        <w:pageBreakBefore w:val="0"/>
        <w:widowControl w:val="0"/>
        <w:shd w:val="clear"/>
        <w:kinsoku/>
        <w:wordWrap/>
        <w:overflowPunct/>
        <w:topLinePunct w:val="0"/>
        <w:bidi w:val="0"/>
        <w:snapToGrid w:val="0"/>
        <w:spacing w:line="440" w:lineRule="exact"/>
        <w:ind w:left="3578" w:leftChars="1704"/>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日期：</w:t>
      </w:r>
    </w:p>
    <w:p w14:paraId="138B2014">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szCs w:val="21"/>
          <w:highlight w:val="none"/>
        </w:rPr>
      </w:pPr>
    </w:p>
    <w:p w14:paraId="0DDB6092">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szCs w:val="21"/>
          <w:highlight w:val="none"/>
        </w:rPr>
      </w:pPr>
    </w:p>
    <w:p w14:paraId="7BD16532">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 xml:space="preserve">    </w:t>
      </w:r>
    </w:p>
    <w:p w14:paraId="3A8BEA7C">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szCs w:val="21"/>
          <w:highlight w:val="none"/>
        </w:rPr>
      </w:pPr>
    </w:p>
    <w:p w14:paraId="706798DE">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b/>
          <w:color w:val="auto"/>
          <w:szCs w:val="21"/>
          <w:highlight w:val="none"/>
        </w:rPr>
      </w:pPr>
      <w:r>
        <w:rPr>
          <w:rFonts w:asciiTheme="majorEastAsia" w:hAnsiTheme="majorEastAsia" w:eastAsiaTheme="majorEastAsia"/>
          <w:color w:val="auto"/>
          <w:szCs w:val="21"/>
          <w:highlight w:val="none"/>
        </w:rPr>
        <w:br w:type="page"/>
      </w:r>
      <w:r>
        <w:rPr>
          <w:rFonts w:asciiTheme="majorEastAsia" w:hAnsiTheme="majorEastAsia" w:eastAsiaTheme="majorEastAsia"/>
          <w:b/>
          <w:color w:val="auto"/>
          <w:szCs w:val="21"/>
          <w:highlight w:val="none"/>
        </w:rPr>
        <w:t>格式一：</w:t>
      </w:r>
    </w:p>
    <w:p w14:paraId="050E7D60">
      <w:pPr>
        <w:keepNext w:val="0"/>
        <w:keepLines w:val="0"/>
        <w:pageBreakBefore w:val="0"/>
        <w:widowControl w:val="0"/>
        <w:shd w:val="clear"/>
        <w:kinsoku/>
        <w:wordWrap/>
        <w:overflowPunct/>
        <w:topLinePunct w:val="0"/>
        <w:bidi w:val="0"/>
        <w:spacing w:line="440" w:lineRule="exact"/>
        <w:jc w:val="center"/>
        <w:rPr>
          <w:rFonts w:hint="eastAsia"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资格条件自查表</w:t>
      </w:r>
    </w:p>
    <w:p w14:paraId="49640C76">
      <w:pPr>
        <w:pStyle w:val="2"/>
        <w:rPr>
          <w:color w:val="auto"/>
          <w:highlight w:val="none"/>
        </w:rPr>
      </w:pPr>
    </w:p>
    <w:tbl>
      <w:tblPr>
        <w:tblStyle w:val="45"/>
        <w:tblW w:w="935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8"/>
        <w:gridCol w:w="5687"/>
        <w:gridCol w:w="1282"/>
        <w:gridCol w:w="1607"/>
      </w:tblGrid>
      <w:tr w14:paraId="78DA00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778" w:type="dxa"/>
            <w:vAlign w:val="center"/>
          </w:tcPr>
          <w:p w14:paraId="244CEF00">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rPr>
                <w:rStyle w:val="48"/>
                <w:rFonts w:asciiTheme="majorEastAsia" w:hAnsiTheme="majorEastAsia" w:eastAsiaTheme="majorEastAsia"/>
                <w:b/>
                <w:bCs w:val="0"/>
                <w:color w:val="auto"/>
                <w:szCs w:val="21"/>
                <w:highlight w:val="none"/>
              </w:rPr>
            </w:pPr>
            <w:r>
              <w:rPr>
                <w:rStyle w:val="48"/>
                <w:rFonts w:asciiTheme="majorEastAsia" w:hAnsiTheme="majorEastAsia" w:eastAsiaTheme="majorEastAsia"/>
                <w:b/>
                <w:bCs w:val="0"/>
                <w:color w:val="auto"/>
                <w:szCs w:val="21"/>
                <w:highlight w:val="none"/>
              </w:rPr>
              <w:t>评审</w:t>
            </w:r>
          </w:p>
          <w:p w14:paraId="2E4EB21F">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rPr>
                <w:rFonts w:asciiTheme="majorEastAsia" w:hAnsiTheme="majorEastAsia" w:eastAsiaTheme="majorEastAsia"/>
                <w:b/>
                <w:bCs w:val="0"/>
                <w:color w:val="auto"/>
                <w:szCs w:val="21"/>
                <w:highlight w:val="none"/>
              </w:rPr>
            </w:pPr>
            <w:r>
              <w:rPr>
                <w:rStyle w:val="48"/>
                <w:rFonts w:asciiTheme="majorEastAsia" w:hAnsiTheme="majorEastAsia" w:eastAsiaTheme="majorEastAsia"/>
                <w:b/>
                <w:bCs w:val="0"/>
                <w:color w:val="auto"/>
                <w:szCs w:val="21"/>
                <w:highlight w:val="none"/>
              </w:rPr>
              <w:t>内容</w:t>
            </w:r>
          </w:p>
        </w:tc>
        <w:tc>
          <w:tcPr>
            <w:tcW w:w="5687" w:type="dxa"/>
            <w:vAlign w:val="center"/>
          </w:tcPr>
          <w:p w14:paraId="7C318933">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rPr>
                <w:rFonts w:asciiTheme="majorEastAsia" w:hAnsiTheme="majorEastAsia" w:eastAsiaTheme="majorEastAsia"/>
                <w:b/>
                <w:color w:val="auto"/>
                <w:szCs w:val="21"/>
                <w:highlight w:val="none"/>
              </w:rPr>
            </w:pPr>
            <w:r>
              <w:rPr>
                <w:rStyle w:val="48"/>
                <w:rFonts w:asciiTheme="majorEastAsia" w:hAnsiTheme="majorEastAsia" w:eastAsiaTheme="majorEastAsia"/>
                <w:color w:val="auto"/>
                <w:szCs w:val="21"/>
                <w:highlight w:val="none"/>
              </w:rPr>
              <w:t>磋商文件要求</w:t>
            </w:r>
          </w:p>
        </w:tc>
        <w:tc>
          <w:tcPr>
            <w:tcW w:w="1282" w:type="dxa"/>
            <w:vAlign w:val="center"/>
          </w:tcPr>
          <w:p w14:paraId="62A471CD">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rPr>
                <w:rFonts w:asciiTheme="majorEastAsia" w:hAnsiTheme="majorEastAsia" w:eastAsiaTheme="majorEastAsia"/>
                <w:b/>
                <w:color w:val="auto"/>
                <w:szCs w:val="21"/>
                <w:highlight w:val="none"/>
              </w:rPr>
            </w:pPr>
            <w:r>
              <w:rPr>
                <w:rStyle w:val="48"/>
                <w:rFonts w:asciiTheme="majorEastAsia" w:hAnsiTheme="majorEastAsia" w:eastAsiaTheme="majorEastAsia"/>
                <w:color w:val="auto"/>
                <w:szCs w:val="21"/>
                <w:highlight w:val="none"/>
              </w:rPr>
              <w:t>自查结论</w:t>
            </w:r>
          </w:p>
        </w:tc>
        <w:tc>
          <w:tcPr>
            <w:tcW w:w="1607" w:type="dxa"/>
            <w:vAlign w:val="center"/>
          </w:tcPr>
          <w:p w14:paraId="44B45CDA">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rPr>
                <w:rFonts w:asciiTheme="majorEastAsia" w:hAnsiTheme="majorEastAsia" w:eastAsiaTheme="majorEastAsia"/>
                <w:b/>
                <w:color w:val="auto"/>
                <w:szCs w:val="21"/>
                <w:highlight w:val="none"/>
              </w:rPr>
            </w:pPr>
            <w:r>
              <w:rPr>
                <w:rStyle w:val="48"/>
                <w:rFonts w:asciiTheme="majorEastAsia" w:hAnsiTheme="majorEastAsia" w:eastAsiaTheme="majorEastAsia"/>
                <w:color w:val="auto"/>
                <w:szCs w:val="21"/>
                <w:highlight w:val="none"/>
              </w:rPr>
              <w:t>证明资料页码</w:t>
            </w:r>
          </w:p>
        </w:tc>
      </w:tr>
      <w:tr w14:paraId="122DAF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8" w:type="dxa"/>
            <w:vMerge w:val="restart"/>
            <w:vAlign w:val="center"/>
          </w:tcPr>
          <w:p w14:paraId="34A91829">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rPr>
                <w:rFonts w:hint="eastAsia" w:asciiTheme="majorEastAsia" w:hAnsiTheme="majorEastAsia" w:eastAsiaTheme="majorEastAsia"/>
                <w:b/>
                <w:bCs w:val="0"/>
                <w:color w:val="auto"/>
                <w:szCs w:val="21"/>
                <w:highlight w:val="none"/>
              </w:rPr>
            </w:pPr>
            <w:r>
              <w:rPr>
                <w:rFonts w:hint="eastAsia" w:asciiTheme="majorEastAsia" w:hAnsiTheme="majorEastAsia" w:eastAsiaTheme="majorEastAsia"/>
                <w:b/>
                <w:bCs w:val="0"/>
                <w:color w:val="auto"/>
                <w:szCs w:val="21"/>
                <w:highlight w:val="none"/>
              </w:rPr>
              <w:t>资</w:t>
            </w:r>
          </w:p>
          <w:p w14:paraId="7A79E9C1">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rPr>
                <w:rFonts w:hint="eastAsia" w:asciiTheme="majorEastAsia" w:hAnsiTheme="majorEastAsia" w:eastAsiaTheme="majorEastAsia"/>
                <w:b/>
                <w:bCs w:val="0"/>
                <w:color w:val="auto"/>
                <w:szCs w:val="21"/>
                <w:highlight w:val="none"/>
              </w:rPr>
            </w:pPr>
            <w:r>
              <w:rPr>
                <w:rFonts w:hint="eastAsia" w:asciiTheme="majorEastAsia" w:hAnsiTheme="majorEastAsia" w:eastAsiaTheme="majorEastAsia"/>
                <w:b/>
                <w:bCs w:val="0"/>
                <w:color w:val="auto"/>
                <w:szCs w:val="21"/>
                <w:highlight w:val="none"/>
              </w:rPr>
              <w:t>格</w:t>
            </w:r>
          </w:p>
          <w:p w14:paraId="78914436">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rPr>
                <w:rFonts w:hint="eastAsia" w:asciiTheme="majorEastAsia" w:hAnsiTheme="majorEastAsia" w:eastAsiaTheme="majorEastAsia"/>
                <w:b/>
                <w:bCs w:val="0"/>
                <w:color w:val="auto"/>
                <w:szCs w:val="21"/>
                <w:highlight w:val="none"/>
              </w:rPr>
            </w:pPr>
            <w:r>
              <w:rPr>
                <w:rFonts w:hint="eastAsia" w:asciiTheme="majorEastAsia" w:hAnsiTheme="majorEastAsia" w:eastAsiaTheme="majorEastAsia"/>
                <w:b/>
                <w:bCs w:val="0"/>
                <w:color w:val="auto"/>
                <w:szCs w:val="21"/>
                <w:highlight w:val="none"/>
              </w:rPr>
              <w:t>性</w:t>
            </w:r>
          </w:p>
          <w:p w14:paraId="00DB10CD">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rPr>
                <w:rFonts w:hint="eastAsia" w:asciiTheme="majorEastAsia" w:hAnsiTheme="majorEastAsia" w:eastAsiaTheme="majorEastAsia"/>
                <w:b/>
                <w:bCs w:val="0"/>
                <w:color w:val="auto"/>
                <w:szCs w:val="21"/>
                <w:highlight w:val="none"/>
              </w:rPr>
            </w:pPr>
            <w:r>
              <w:rPr>
                <w:rFonts w:hint="eastAsia" w:asciiTheme="majorEastAsia" w:hAnsiTheme="majorEastAsia" w:eastAsiaTheme="majorEastAsia"/>
                <w:b/>
                <w:bCs w:val="0"/>
                <w:color w:val="auto"/>
                <w:szCs w:val="21"/>
                <w:highlight w:val="none"/>
              </w:rPr>
              <w:t>审</w:t>
            </w:r>
          </w:p>
          <w:p w14:paraId="11D07BC6">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rPr>
                <w:rFonts w:asciiTheme="majorEastAsia" w:hAnsiTheme="majorEastAsia" w:eastAsiaTheme="majorEastAsia"/>
                <w:b/>
                <w:bCs w:val="0"/>
                <w:color w:val="auto"/>
                <w:szCs w:val="21"/>
                <w:highlight w:val="none"/>
              </w:rPr>
            </w:pPr>
            <w:r>
              <w:rPr>
                <w:rFonts w:hint="eastAsia" w:asciiTheme="majorEastAsia" w:hAnsiTheme="majorEastAsia" w:eastAsiaTheme="majorEastAsia"/>
                <w:b/>
                <w:bCs w:val="0"/>
                <w:color w:val="auto"/>
                <w:szCs w:val="21"/>
                <w:highlight w:val="none"/>
              </w:rPr>
              <w:t>查</w:t>
            </w:r>
          </w:p>
        </w:tc>
        <w:tc>
          <w:tcPr>
            <w:tcW w:w="5687" w:type="dxa"/>
            <w:vAlign w:val="center"/>
          </w:tcPr>
          <w:p w14:paraId="041C45CD">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hint="eastAsia" w:cs="Times New Roman" w:asciiTheme="majorEastAsia" w:hAnsiTheme="majorEastAsia" w:eastAsiaTheme="majorEastAsia"/>
                <w:b/>
                <w:color w:val="auto"/>
                <w:kern w:val="2"/>
                <w:sz w:val="21"/>
                <w:szCs w:val="21"/>
                <w:highlight w:val="none"/>
                <w:lang w:val="en-US" w:eastAsia="zh-CN" w:bidi="ar-SA"/>
              </w:rPr>
            </w:pPr>
            <w:r>
              <w:rPr>
                <w:rFonts w:hint="eastAsia" w:asciiTheme="majorEastAsia" w:hAnsiTheme="majorEastAsia" w:eastAsiaTheme="majorEastAsia"/>
                <w:color w:val="auto"/>
                <w:szCs w:val="21"/>
                <w:highlight w:val="none"/>
                <w:lang w:eastAsia="zh-CN"/>
              </w:rPr>
              <w:t>（一）供应商资格声明函</w:t>
            </w:r>
            <w:r>
              <w:rPr>
                <w:rFonts w:hint="eastAsia" w:asciiTheme="majorEastAsia" w:hAnsiTheme="majorEastAsia" w:eastAsiaTheme="majorEastAsia"/>
                <w:color w:val="auto"/>
                <w:szCs w:val="21"/>
                <w:highlight w:val="none"/>
              </w:rPr>
              <w:t>；</w:t>
            </w:r>
          </w:p>
        </w:tc>
        <w:tc>
          <w:tcPr>
            <w:tcW w:w="1282" w:type="dxa"/>
            <w:vAlign w:val="center"/>
          </w:tcPr>
          <w:p w14:paraId="70E4447C">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□通过</w:t>
            </w:r>
          </w:p>
          <w:p w14:paraId="6F7BCA05">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□不通过</w:t>
            </w:r>
          </w:p>
        </w:tc>
        <w:tc>
          <w:tcPr>
            <w:tcW w:w="1607" w:type="dxa"/>
            <w:vAlign w:val="center"/>
          </w:tcPr>
          <w:p w14:paraId="18171689">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rPr>
                <w:rFonts w:cs="Times New Roman" w:asciiTheme="majorEastAsia" w:hAnsiTheme="majorEastAsia" w:eastAsiaTheme="majorEastAsia"/>
                <w:b/>
                <w:color w:val="auto"/>
                <w:kern w:val="2"/>
                <w:sz w:val="21"/>
                <w:szCs w:val="21"/>
                <w:highlight w:val="none"/>
                <w:lang w:val="en-US" w:eastAsia="zh-CN" w:bidi="ar-SA"/>
              </w:rPr>
            </w:pPr>
            <w:r>
              <w:rPr>
                <w:rFonts w:hint="eastAsia" w:eastAsia="宋体"/>
                <w:color w:val="auto"/>
                <w:highlight w:val="none"/>
              </w:rPr>
              <w:t>第（ ）页</w:t>
            </w:r>
          </w:p>
        </w:tc>
      </w:tr>
      <w:tr w14:paraId="43C5FB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8" w:type="dxa"/>
            <w:vMerge w:val="continue"/>
          </w:tcPr>
          <w:p w14:paraId="566D36EE">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asciiTheme="majorEastAsia" w:hAnsiTheme="majorEastAsia" w:eastAsiaTheme="majorEastAsia"/>
                <w:bCs/>
                <w:color w:val="auto"/>
                <w:szCs w:val="21"/>
                <w:highlight w:val="none"/>
              </w:rPr>
            </w:pPr>
          </w:p>
        </w:tc>
        <w:tc>
          <w:tcPr>
            <w:tcW w:w="5687" w:type="dxa"/>
            <w:vAlign w:val="center"/>
          </w:tcPr>
          <w:p w14:paraId="40BC8AE7">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hint="eastAsia" w:cs="Times New Roman" w:asciiTheme="majorEastAsia" w:hAnsiTheme="majorEastAsia" w:eastAsiaTheme="majorEastAsia"/>
                <w:b/>
                <w:color w:val="auto"/>
                <w:kern w:val="2"/>
                <w:sz w:val="21"/>
                <w:szCs w:val="21"/>
                <w:highlight w:val="none"/>
                <w:lang w:val="en-US" w:eastAsia="zh-CN" w:bidi="ar-SA"/>
              </w:rPr>
            </w:pPr>
            <w:r>
              <w:rPr>
                <w:rFonts w:hint="eastAsia" w:cs="Times New Roman" w:asciiTheme="majorEastAsia" w:hAnsiTheme="majorEastAsia" w:eastAsiaTheme="majorEastAsia"/>
                <w:color w:val="auto"/>
                <w:szCs w:val="21"/>
                <w:highlight w:val="none"/>
                <w:lang w:val="en-US" w:eastAsia="zh-CN"/>
              </w:rPr>
              <w:t>（二）提供有效的营业执照副本原件扫描件或者电子营业执照加盖供应商公章；响应供应商如果有名称变更的，应提供由行政主管部门出具的变更证明文件；</w:t>
            </w:r>
          </w:p>
        </w:tc>
        <w:tc>
          <w:tcPr>
            <w:tcW w:w="1282" w:type="dxa"/>
            <w:vAlign w:val="center"/>
          </w:tcPr>
          <w:p w14:paraId="59D37F73">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hint="eastAsia" w:eastAsia="宋体"/>
                <w:color w:val="auto"/>
                <w:highlight w:val="none"/>
              </w:rPr>
            </w:pPr>
            <w:r>
              <w:rPr>
                <w:rFonts w:hint="eastAsia" w:eastAsia="宋体"/>
                <w:color w:val="auto"/>
                <w:highlight w:val="none"/>
              </w:rPr>
              <w:t>□通过</w:t>
            </w:r>
          </w:p>
          <w:p w14:paraId="138B0D66">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asciiTheme="majorEastAsia" w:hAnsiTheme="majorEastAsia" w:eastAsiaTheme="majorEastAsia"/>
                <w:color w:val="auto"/>
                <w:szCs w:val="21"/>
                <w:highlight w:val="none"/>
              </w:rPr>
            </w:pPr>
            <w:r>
              <w:rPr>
                <w:rFonts w:hint="eastAsia" w:eastAsia="宋体"/>
                <w:color w:val="auto"/>
                <w:highlight w:val="none"/>
              </w:rPr>
              <w:t>□不通过</w:t>
            </w:r>
          </w:p>
        </w:tc>
        <w:tc>
          <w:tcPr>
            <w:tcW w:w="1607" w:type="dxa"/>
            <w:vAlign w:val="center"/>
          </w:tcPr>
          <w:p w14:paraId="2C0B28AE">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rPr>
                <w:rFonts w:cs="Times New Roman" w:asciiTheme="majorEastAsia" w:hAnsiTheme="majorEastAsia" w:eastAsiaTheme="majorEastAsia"/>
                <w:b/>
                <w:color w:val="auto"/>
                <w:kern w:val="2"/>
                <w:sz w:val="21"/>
                <w:szCs w:val="21"/>
                <w:highlight w:val="none"/>
                <w:lang w:val="en-US" w:eastAsia="zh-CN" w:bidi="ar-SA"/>
              </w:rPr>
            </w:pPr>
            <w:r>
              <w:rPr>
                <w:rFonts w:hint="eastAsia" w:eastAsia="宋体"/>
                <w:color w:val="auto"/>
                <w:highlight w:val="none"/>
              </w:rPr>
              <w:t>第（ ）页</w:t>
            </w:r>
          </w:p>
        </w:tc>
      </w:tr>
      <w:tr w14:paraId="7C4DB5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778" w:type="dxa"/>
            <w:vMerge w:val="continue"/>
          </w:tcPr>
          <w:p w14:paraId="3083E7B4">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asciiTheme="majorEastAsia" w:hAnsiTheme="majorEastAsia" w:eastAsiaTheme="majorEastAsia"/>
                <w:bCs/>
                <w:color w:val="auto"/>
                <w:szCs w:val="21"/>
                <w:highlight w:val="none"/>
              </w:rPr>
            </w:pPr>
          </w:p>
        </w:tc>
        <w:tc>
          <w:tcPr>
            <w:tcW w:w="5687" w:type="dxa"/>
            <w:vAlign w:val="center"/>
          </w:tcPr>
          <w:p w14:paraId="6FE59730">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hint="eastAsia"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lang w:eastAsia="zh-CN"/>
              </w:rPr>
              <w:t>（三）</w:t>
            </w:r>
            <w:r>
              <w:rPr>
                <w:rFonts w:hint="eastAsia" w:asciiTheme="majorEastAsia" w:hAnsiTheme="majorEastAsia" w:eastAsiaTheme="majorEastAsia"/>
                <w:bCs/>
                <w:color w:val="auto"/>
                <w:szCs w:val="21"/>
                <w:highlight w:val="none"/>
              </w:rPr>
              <w:t>①中小企业声明函（如是，请提供。格式附后）；</w:t>
            </w:r>
          </w:p>
          <w:p w14:paraId="2C2C8600">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hint="eastAsia"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或②供应商为监狱企业的证明文件：省级以上监狱管理局、戒毒管理局（含新疆生产建设兵团）出具（如是，请提供。格式附后）；</w:t>
            </w:r>
          </w:p>
          <w:p w14:paraId="0275AA7C">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hint="eastAsia" w:cs="Times New Roman" w:asciiTheme="majorEastAsia" w:hAnsiTheme="majorEastAsia" w:eastAsiaTheme="majorEastAsia"/>
                <w:bCs/>
                <w:color w:val="auto"/>
                <w:kern w:val="2"/>
                <w:sz w:val="21"/>
                <w:szCs w:val="21"/>
                <w:highlight w:val="none"/>
                <w:lang w:val="en-US" w:eastAsia="zh-CN" w:bidi="ar-SA"/>
              </w:rPr>
            </w:pPr>
            <w:r>
              <w:rPr>
                <w:rFonts w:hint="eastAsia" w:asciiTheme="majorEastAsia" w:hAnsiTheme="majorEastAsia" w:eastAsiaTheme="majorEastAsia"/>
                <w:bCs/>
                <w:color w:val="auto"/>
                <w:szCs w:val="21"/>
                <w:highlight w:val="none"/>
              </w:rPr>
              <w:t xml:space="preserve">或③残疾人福利性单位声明函（如是，请提供。格式附后）。 </w:t>
            </w:r>
          </w:p>
        </w:tc>
        <w:tc>
          <w:tcPr>
            <w:tcW w:w="1282" w:type="dxa"/>
            <w:vAlign w:val="center"/>
          </w:tcPr>
          <w:p w14:paraId="0B2EC77B">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hint="eastAsia" w:eastAsia="宋体"/>
                <w:color w:val="auto"/>
                <w:highlight w:val="none"/>
              </w:rPr>
            </w:pPr>
            <w:r>
              <w:rPr>
                <w:rFonts w:hint="eastAsia" w:eastAsia="宋体"/>
                <w:color w:val="auto"/>
                <w:highlight w:val="none"/>
              </w:rPr>
              <w:t>□通过</w:t>
            </w:r>
          </w:p>
          <w:p w14:paraId="10BD49E8">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asciiTheme="majorEastAsia" w:hAnsiTheme="majorEastAsia" w:eastAsiaTheme="majorEastAsia"/>
                <w:color w:val="auto"/>
                <w:szCs w:val="21"/>
                <w:highlight w:val="none"/>
              </w:rPr>
            </w:pPr>
            <w:r>
              <w:rPr>
                <w:rFonts w:hint="eastAsia" w:eastAsia="宋体"/>
                <w:color w:val="auto"/>
                <w:highlight w:val="none"/>
              </w:rPr>
              <w:t>□不通过</w:t>
            </w:r>
          </w:p>
        </w:tc>
        <w:tc>
          <w:tcPr>
            <w:tcW w:w="1607" w:type="dxa"/>
            <w:vAlign w:val="center"/>
          </w:tcPr>
          <w:p w14:paraId="025943F0">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rPr>
                <w:rFonts w:cs="Times New Roman" w:asciiTheme="majorEastAsia" w:hAnsiTheme="majorEastAsia" w:eastAsiaTheme="majorEastAsia"/>
                <w:bCs/>
                <w:color w:val="auto"/>
                <w:kern w:val="2"/>
                <w:sz w:val="21"/>
                <w:szCs w:val="21"/>
                <w:highlight w:val="none"/>
                <w:lang w:val="en-US" w:eastAsia="zh-CN" w:bidi="ar-SA"/>
              </w:rPr>
            </w:pPr>
            <w:r>
              <w:rPr>
                <w:rFonts w:hint="eastAsia" w:eastAsia="宋体"/>
                <w:color w:val="auto"/>
                <w:highlight w:val="none"/>
              </w:rPr>
              <w:t>第（ ）页</w:t>
            </w:r>
          </w:p>
        </w:tc>
      </w:tr>
      <w:tr w14:paraId="2D92C9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8" w:type="dxa"/>
            <w:vMerge w:val="continue"/>
          </w:tcPr>
          <w:p w14:paraId="6174CE38">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asciiTheme="majorEastAsia" w:hAnsiTheme="majorEastAsia" w:eastAsiaTheme="majorEastAsia"/>
                <w:bCs/>
                <w:color w:val="auto"/>
                <w:szCs w:val="21"/>
                <w:highlight w:val="none"/>
              </w:rPr>
            </w:pPr>
          </w:p>
        </w:tc>
        <w:tc>
          <w:tcPr>
            <w:tcW w:w="5687" w:type="dxa"/>
            <w:vAlign w:val="center"/>
          </w:tcPr>
          <w:p w14:paraId="10071E6B">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hint="eastAsia" w:cs="Times New Roman" w:asciiTheme="majorEastAsia" w:hAnsiTheme="majorEastAsia" w:eastAsiaTheme="majorEastAsia"/>
                <w:bCs/>
                <w:color w:val="auto"/>
                <w:kern w:val="2"/>
                <w:sz w:val="21"/>
                <w:szCs w:val="21"/>
                <w:highlight w:val="none"/>
                <w:lang w:val="en-US" w:eastAsia="zh-CN" w:bidi="ar-SA"/>
              </w:rPr>
            </w:pPr>
            <w:r>
              <w:rPr>
                <w:rFonts w:hint="eastAsia" w:asciiTheme="majorEastAsia" w:hAnsiTheme="majorEastAsia" w:eastAsiaTheme="majorEastAsia"/>
                <w:bCs/>
                <w:color w:val="auto"/>
                <w:szCs w:val="21"/>
                <w:highlight w:val="none"/>
                <w:lang w:eastAsia="zh-CN"/>
              </w:rPr>
              <w:t>（四）</w:t>
            </w:r>
            <w:r>
              <w:rPr>
                <w:rFonts w:hint="eastAsia" w:asciiTheme="majorEastAsia" w:hAnsiTheme="majorEastAsia" w:eastAsiaTheme="majorEastAsia"/>
                <w:bCs/>
                <w:color w:val="auto"/>
                <w:szCs w:val="21"/>
                <w:highlight w:val="none"/>
              </w:rPr>
              <w:t>供应商具有有效的《旅行社业务经营许可证》（注：响应文件中须提供有效的《旅行社业务经营许可证》复印件）；</w:t>
            </w:r>
          </w:p>
        </w:tc>
        <w:tc>
          <w:tcPr>
            <w:tcW w:w="1282" w:type="dxa"/>
            <w:vAlign w:val="center"/>
          </w:tcPr>
          <w:p w14:paraId="15C41852">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hint="eastAsia" w:eastAsia="宋体"/>
                <w:color w:val="auto"/>
                <w:highlight w:val="none"/>
              </w:rPr>
            </w:pPr>
            <w:r>
              <w:rPr>
                <w:rFonts w:hint="eastAsia" w:eastAsia="宋体"/>
                <w:color w:val="auto"/>
                <w:highlight w:val="none"/>
              </w:rPr>
              <w:t>□通过</w:t>
            </w:r>
          </w:p>
          <w:p w14:paraId="3195DFB9">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asciiTheme="majorEastAsia" w:hAnsiTheme="majorEastAsia" w:eastAsiaTheme="majorEastAsia"/>
                <w:color w:val="auto"/>
                <w:szCs w:val="21"/>
                <w:highlight w:val="none"/>
              </w:rPr>
            </w:pPr>
            <w:r>
              <w:rPr>
                <w:rFonts w:hint="eastAsia" w:eastAsia="宋体"/>
                <w:color w:val="auto"/>
                <w:highlight w:val="none"/>
              </w:rPr>
              <w:t>□不通过</w:t>
            </w:r>
          </w:p>
        </w:tc>
        <w:tc>
          <w:tcPr>
            <w:tcW w:w="1607" w:type="dxa"/>
            <w:vAlign w:val="center"/>
          </w:tcPr>
          <w:p w14:paraId="269B3D4F">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rPr>
                <w:rFonts w:cs="Times New Roman" w:asciiTheme="majorEastAsia" w:hAnsiTheme="majorEastAsia" w:eastAsiaTheme="majorEastAsia"/>
                <w:bCs/>
                <w:color w:val="auto"/>
                <w:kern w:val="2"/>
                <w:sz w:val="21"/>
                <w:szCs w:val="21"/>
                <w:highlight w:val="none"/>
                <w:lang w:val="en-US" w:eastAsia="zh-CN" w:bidi="ar-SA"/>
              </w:rPr>
            </w:pPr>
            <w:r>
              <w:rPr>
                <w:rFonts w:hint="eastAsia" w:eastAsia="宋体"/>
                <w:color w:val="auto"/>
                <w:highlight w:val="none"/>
              </w:rPr>
              <w:t>第（ ）页</w:t>
            </w:r>
          </w:p>
        </w:tc>
      </w:tr>
      <w:tr w14:paraId="2BB4E5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8" w:type="dxa"/>
            <w:vMerge w:val="continue"/>
          </w:tcPr>
          <w:p w14:paraId="285F6FF8">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asciiTheme="majorEastAsia" w:hAnsiTheme="majorEastAsia" w:eastAsiaTheme="majorEastAsia"/>
                <w:bCs/>
                <w:color w:val="auto"/>
                <w:szCs w:val="21"/>
                <w:highlight w:val="none"/>
              </w:rPr>
            </w:pPr>
          </w:p>
        </w:tc>
        <w:tc>
          <w:tcPr>
            <w:tcW w:w="5687" w:type="dxa"/>
            <w:vAlign w:val="center"/>
          </w:tcPr>
          <w:p w14:paraId="359F0C9F">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hint="eastAsia" w:cs="Times New Roman" w:asciiTheme="majorEastAsia" w:hAnsiTheme="majorEastAsia" w:eastAsiaTheme="majorEastAsia"/>
                <w:bCs/>
                <w:color w:val="auto"/>
                <w:kern w:val="2"/>
                <w:sz w:val="21"/>
                <w:szCs w:val="21"/>
                <w:highlight w:val="none"/>
                <w:lang w:val="en-US" w:eastAsia="zh-CN" w:bidi="ar-SA"/>
              </w:rPr>
            </w:pPr>
            <w:r>
              <w:rPr>
                <w:rFonts w:hint="eastAsia" w:asciiTheme="majorEastAsia" w:hAnsiTheme="majorEastAsia" w:eastAsiaTheme="majorEastAsia"/>
                <w:bCs/>
                <w:color w:val="auto"/>
                <w:szCs w:val="21"/>
                <w:highlight w:val="none"/>
                <w:lang w:eastAsia="zh-CN"/>
              </w:rPr>
              <w:t>（五）满足《中华人民共和国政府采购法》第二十二条规定；未被“信用中国”（www.creditchina.gov.cn)、中国政府采购网（www.ccgp.gov.cn）列入失信被执行人、重大税收违法案件当事人名单、政府采购严重违法失信行为记录名单（以采购代理机构于投标截止日当天在信用中国网站及中国政府采购网查询结果为准，如相关失信记录已失效，投标人需提供相关证明资料）；</w:t>
            </w:r>
          </w:p>
        </w:tc>
        <w:tc>
          <w:tcPr>
            <w:tcW w:w="1282" w:type="dxa"/>
            <w:vAlign w:val="center"/>
          </w:tcPr>
          <w:p w14:paraId="173FB919">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hint="eastAsia" w:eastAsia="宋体"/>
                <w:color w:val="auto"/>
                <w:highlight w:val="none"/>
              </w:rPr>
            </w:pPr>
            <w:r>
              <w:rPr>
                <w:rFonts w:hint="eastAsia" w:eastAsia="宋体"/>
                <w:color w:val="auto"/>
                <w:highlight w:val="none"/>
              </w:rPr>
              <w:t>□通过</w:t>
            </w:r>
          </w:p>
          <w:p w14:paraId="3A9B64AE">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asciiTheme="majorEastAsia" w:hAnsiTheme="majorEastAsia" w:eastAsiaTheme="majorEastAsia"/>
                <w:color w:val="auto"/>
                <w:szCs w:val="21"/>
                <w:highlight w:val="none"/>
              </w:rPr>
            </w:pPr>
            <w:r>
              <w:rPr>
                <w:rFonts w:hint="eastAsia" w:eastAsia="宋体"/>
                <w:color w:val="auto"/>
                <w:highlight w:val="none"/>
              </w:rPr>
              <w:t>□不通过</w:t>
            </w:r>
          </w:p>
        </w:tc>
        <w:tc>
          <w:tcPr>
            <w:tcW w:w="1607" w:type="dxa"/>
            <w:vAlign w:val="center"/>
          </w:tcPr>
          <w:p w14:paraId="5832F68B">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rPr>
                <w:rFonts w:cs="Times New Roman" w:asciiTheme="majorEastAsia" w:hAnsiTheme="majorEastAsia" w:eastAsiaTheme="majorEastAsia"/>
                <w:bCs/>
                <w:color w:val="auto"/>
                <w:kern w:val="2"/>
                <w:sz w:val="21"/>
                <w:szCs w:val="21"/>
                <w:highlight w:val="none"/>
                <w:lang w:val="en-US" w:eastAsia="zh-CN" w:bidi="ar-SA"/>
              </w:rPr>
            </w:pPr>
            <w:r>
              <w:rPr>
                <w:rFonts w:asciiTheme="majorEastAsia" w:hAnsiTheme="majorEastAsia" w:eastAsiaTheme="majorEastAsia"/>
                <w:color w:val="auto"/>
                <w:szCs w:val="21"/>
                <w:highlight w:val="none"/>
              </w:rPr>
              <w:t>第（ ）页</w:t>
            </w:r>
          </w:p>
        </w:tc>
      </w:tr>
      <w:tr w14:paraId="4764A7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8" w:type="dxa"/>
            <w:vMerge w:val="continue"/>
          </w:tcPr>
          <w:p w14:paraId="6F47E439">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asciiTheme="majorEastAsia" w:hAnsiTheme="majorEastAsia" w:eastAsiaTheme="majorEastAsia"/>
                <w:bCs/>
                <w:color w:val="auto"/>
                <w:szCs w:val="21"/>
                <w:highlight w:val="none"/>
              </w:rPr>
            </w:pPr>
          </w:p>
        </w:tc>
        <w:tc>
          <w:tcPr>
            <w:tcW w:w="5687" w:type="dxa"/>
            <w:vAlign w:val="center"/>
          </w:tcPr>
          <w:p w14:paraId="7FFB392D">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hint="eastAsia" w:cs="Times New Roman" w:asciiTheme="majorEastAsia" w:hAnsiTheme="majorEastAsia" w:eastAsiaTheme="majorEastAsia"/>
                <w:bCs/>
                <w:color w:val="auto"/>
                <w:kern w:val="2"/>
                <w:sz w:val="21"/>
                <w:szCs w:val="21"/>
                <w:highlight w:val="none"/>
                <w:lang w:val="en-US" w:eastAsia="zh-CN" w:bidi="ar-SA"/>
              </w:rPr>
            </w:pPr>
            <w:r>
              <w:rPr>
                <w:rFonts w:hint="eastAsia" w:asciiTheme="majorEastAsia" w:hAnsiTheme="majorEastAsia" w:eastAsiaTheme="majorEastAsia"/>
                <w:bCs/>
                <w:color w:val="auto"/>
                <w:szCs w:val="21"/>
                <w:highlight w:val="none"/>
                <w:lang w:eastAsia="zh-CN"/>
              </w:rPr>
              <w:t>（六）</w:t>
            </w:r>
            <w:r>
              <w:rPr>
                <w:rFonts w:asciiTheme="majorEastAsia" w:hAnsiTheme="majorEastAsia" w:eastAsiaTheme="majorEastAsia"/>
                <w:color w:val="auto"/>
                <w:szCs w:val="21"/>
                <w:highlight w:val="none"/>
              </w:rPr>
              <w:t>本项目</w:t>
            </w:r>
            <w:r>
              <w:rPr>
                <w:rFonts w:hint="eastAsia" w:asciiTheme="majorEastAsia" w:hAnsiTheme="majorEastAsia" w:eastAsiaTheme="majorEastAsia"/>
                <w:color w:val="auto"/>
                <w:szCs w:val="21"/>
                <w:highlight w:val="none"/>
                <w:lang w:eastAsia="zh-CN"/>
              </w:rPr>
              <w:t>不</w:t>
            </w:r>
            <w:r>
              <w:rPr>
                <w:rFonts w:asciiTheme="majorEastAsia" w:hAnsiTheme="majorEastAsia" w:eastAsiaTheme="majorEastAsia"/>
                <w:color w:val="auto"/>
                <w:szCs w:val="21"/>
                <w:highlight w:val="none"/>
              </w:rPr>
              <w:t>接受联合体</w:t>
            </w:r>
            <w:r>
              <w:rPr>
                <w:rFonts w:hint="eastAsia" w:cs="宋体" w:asciiTheme="majorEastAsia" w:hAnsiTheme="majorEastAsia" w:eastAsiaTheme="majorEastAsia"/>
                <w:color w:val="auto"/>
                <w:szCs w:val="21"/>
                <w:highlight w:val="none"/>
              </w:rPr>
              <w:t>参加磋商活动</w:t>
            </w:r>
            <w:r>
              <w:rPr>
                <w:rFonts w:hint="eastAsia" w:cs="宋体" w:asciiTheme="majorEastAsia" w:hAnsiTheme="majorEastAsia" w:eastAsiaTheme="majorEastAsia"/>
                <w:color w:val="auto"/>
                <w:szCs w:val="21"/>
                <w:highlight w:val="none"/>
                <w:lang w:eastAsia="zh-CN"/>
              </w:rPr>
              <w:t>。</w:t>
            </w:r>
          </w:p>
        </w:tc>
        <w:tc>
          <w:tcPr>
            <w:tcW w:w="1282" w:type="dxa"/>
            <w:vAlign w:val="center"/>
          </w:tcPr>
          <w:p w14:paraId="314DBCF1">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hint="eastAsia" w:eastAsia="宋体"/>
                <w:color w:val="auto"/>
                <w:highlight w:val="none"/>
              </w:rPr>
            </w:pPr>
            <w:r>
              <w:rPr>
                <w:rFonts w:hint="eastAsia" w:eastAsia="宋体"/>
                <w:color w:val="auto"/>
                <w:highlight w:val="none"/>
              </w:rPr>
              <w:t>□通过</w:t>
            </w:r>
          </w:p>
          <w:p w14:paraId="538DC616">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cs="Times New Roman" w:asciiTheme="majorEastAsia" w:hAnsiTheme="majorEastAsia" w:eastAsiaTheme="majorEastAsia"/>
                <w:color w:val="auto"/>
                <w:kern w:val="2"/>
                <w:sz w:val="21"/>
                <w:szCs w:val="21"/>
                <w:highlight w:val="none"/>
                <w:lang w:val="en-US" w:eastAsia="zh-CN" w:bidi="ar-SA"/>
              </w:rPr>
            </w:pPr>
            <w:r>
              <w:rPr>
                <w:rFonts w:hint="eastAsia" w:eastAsia="宋体"/>
                <w:color w:val="auto"/>
                <w:highlight w:val="none"/>
              </w:rPr>
              <w:t>□不通过</w:t>
            </w:r>
          </w:p>
        </w:tc>
        <w:tc>
          <w:tcPr>
            <w:tcW w:w="1607" w:type="dxa"/>
            <w:vAlign w:val="center"/>
          </w:tcPr>
          <w:p w14:paraId="5B122FCA">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rPr>
                <w:rFonts w:cs="Times New Roman" w:asciiTheme="majorEastAsia" w:hAnsiTheme="majorEastAsia" w:eastAsiaTheme="majorEastAsia"/>
                <w:color w:val="auto"/>
                <w:kern w:val="2"/>
                <w:sz w:val="21"/>
                <w:szCs w:val="21"/>
                <w:highlight w:val="none"/>
                <w:lang w:val="en-US" w:eastAsia="zh-CN" w:bidi="ar-SA"/>
              </w:rPr>
            </w:pPr>
            <w:r>
              <w:rPr>
                <w:rFonts w:hint="eastAsia" w:asciiTheme="majorEastAsia" w:hAnsiTheme="majorEastAsia" w:eastAsiaTheme="majorEastAsia"/>
                <w:color w:val="auto"/>
                <w:szCs w:val="21"/>
                <w:highlight w:val="none"/>
              </w:rPr>
              <w:t>第（ ）页</w:t>
            </w:r>
          </w:p>
        </w:tc>
      </w:tr>
    </w:tbl>
    <w:p w14:paraId="27B29CD0">
      <w:pPr>
        <w:keepNext w:val="0"/>
        <w:keepLines w:val="0"/>
        <w:pageBreakBefore w:val="0"/>
        <w:widowControl w:val="0"/>
        <w:shd w:val="clear"/>
        <w:kinsoku/>
        <w:wordWrap/>
        <w:overflowPunct/>
        <w:topLinePunct w:val="0"/>
        <w:bidi w:val="0"/>
        <w:adjustRightInd w:val="0"/>
        <w:spacing w:line="440" w:lineRule="exact"/>
        <w:jc w:val="both"/>
        <w:rPr>
          <w:rFonts w:hint="eastAsia" w:asciiTheme="majorEastAsia" w:hAnsiTheme="majorEastAsia" w:eastAsiaTheme="majorEastAsia"/>
          <w:b/>
          <w:color w:val="auto"/>
          <w:szCs w:val="21"/>
          <w:highlight w:val="none"/>
        </w:rPr>
      </w:pPr>
    </w:p>
    <w:p w14:paraId="2479C2B2">
      <w:pPr>
        <w:keepNext w:val="0"/>
        <w:keepLines w:val="0"/>
        <w:pageBreakBefore w:val="0"/>
        <w:widowControl w:val="0"/>
        <w:shd w:val="clear"/>
        <w:kinsoku/>
        <w:wordWrap/>
        <w:overflowPunct/>
        <w:topLinePunct w:val="0"/>
        <w:bidi w:val="0"/>
        <w:adjustRightInd w:val="0"/>
        <w:spacing w:line="440" w:lineRule="exact"/>
        <w:jc w:val="center"/>
        <w:rPr>
          <w:rFonts w:hint="eastAsia" w:asciiTheme="majorEastAsia" w:hAnsiTheme="majorEastAsia" w:eastAsiaTheme="majorEastAsia"/>
          <w:b/>
          <w:color w:val="auto"/>
          <w:szCs w:val="21"/>
          <w:highlight w:val="none"/>
        </w:rPr>
      </w:pPr>
    </w:p>
    <w:p w14:paraId="7E002154">
      <w:pPr>
        <w:keepNext w:val="0"/>
        <w:keepLines w:val="0"/>
        <w:pageBreakBefore w:val="0"/>
        <w:widowControl/>
        <w:shd w:val="clear"/>
        <w:kinsoku/>
        <w:wordWrap/>
        <w:overflowPunct/>
        <w:topLinePunct w:val="0"/>
        <w:bidi w:val="0"/>
        <w:adjustRightInd/>
        <w:spacing w:line="240" w:lineRule="auto"/>
        <w:jc w:val="left"/>
        <w:rPr>
          <w:rFonts w:hint="eastAsia"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br w:type="page"/>
      </w:r>
    </w:p>
    <w:p w14:paraId="7D33AA5C">
      <w:pPr>
        <w:keepNext w:val="0"/>
        <w:keepLines w:val="0"/>
        <w:pageBreakBefore w:val="0"/>
        <w:widowControl w:val="0"/>
        <w:shd w:val="clear"/>
        <w:kinsoku/>
        <w:wordWrap/>
        <w:overflowPunct/>
        <w:topLinePunct w:val="0"/>
        <w:bidi w:val="0"/>
        <w:adjustRightInd w:val="0"/>
        <w:spacing w:line="440" w:lineRule="exact"/>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符合性自查表</w:t>
      </w:r>
    </w:p>
    <w:p w14:paraId="2457E463">
      <w:pPr>
        <w:keepNext w:val="0"/>
        <w:keepLines w:val="0"/>
        <w:pageBreakBefore w:val="0"/>
        <w:widowControl w:val="0"/>
        <w:shd w:val="clear"/>
        <w:kinsoku/>
        <w:wordWrap/>
        <w:overflowPunct/>
        <w:topLinePunct w:val="0"/>
        <w:bidi w:val="0"/>
        <w:adjustRightInd w:val="0"/>
        <w:spacing w:line="440" w:lineRule="exact"/>
        <w:jc w:val="center"/>
        <w:rPr>
          <w:rFonts w:asciiTheme="majorEastAsia" w:hAnsiTheme="majorEastAsia" w:eastAsiaTheme="majorEastAsia"/>
          <w:b/>
          <w:color w:val="auto"/>
          <w:szCs w:val="21"/>
          <w:highlight w:val="none"/>
        </w:rPr>
      </w:pPr>
    </w:p>
    <w:tbl>
      <w:tblPr>
        <w:tblStyle w:val="45"/>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1067"/>
        <w:gridCol w:w="4175"/>
        <w:gridCol w:w="1410"/>
        <w:gridCol w:w="2192"/>
      </w:tblGrid>
      <w:tr w14:paraId="26F2E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noWrap w:val="0"/>
            <w:vAlign w:val="center"/>
          </w:tcPr>
          <w:p w14:paraId="6C67D6D5">
            <w:pPr>
              <w:adjustRightInd/>
              <w:spacing w:line="280" w:lineRule="exact"/>
              <w:jc w:val="center"/>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评审</w:t>
            </w:r>
          </w:p>
          <w:p w14:paraId="0981E4F5">
            <w:pPr>
              <w:adjustRightInd/>
              <w:spacing w:line="280" w:lineRule="exact"/>
              <w:jc w:val="center"/>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内容</w:t>
            </w:r>
          </w:p>
        </w:tc>
        <w:tc>
          <w:tcPr>
            <w:tcW w:w="4175" w:type="dxa"/>
            <w:noWrap w:val="0"/>
            <w:vAlign w:val="center"/>
          </w:tcPr>
          <w:p w14:paraId="43CD5165">
            <w:pPr>
              <w:adjustRightInd/>
              <w:spacing w:line="280" w:lineRule="exact"/>
              <w:jc w:val="center"/>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磋商文件要求</w:t>
            </w:r>
          </w:p>
        </w:tc>
        <w:tc>
          <w:tcPr>
            <w:tcW w:w="1410" w:type="dxa"/>
            <w:noWrap w:val="0"/>
            <w:vAlign w:val="center"/>
          </w:tcPr>
          <w:p w14:paraId="2272AA60">
            <w:pPr>
              <w:adjustRightInd/>
              <w:spacing w:line="280" w:lineRule="exact"/>
              <w:jc w:val="center"/>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自查结论</w:t>
            </w:r>
          </w:p>
        </w:tc>
        <w:tc>
          <w:tcPr>
            <w:tcW w:w="2192" w:type="dxa"/>
            <w:noWrap w:val="0"/>
            <w:vAlign w:val="center"/>
          </w:tcPr>
          <w:p w14:paraId="09FFA4C3">
            <w:pPr>
              <w:adjustRightInd/>
              <w:spacing w:line="280" w:lineRule="exact"/>
              <w:jc w:val="center"/>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证明资料页码</w:t>
            </w:r>
          </w:p>
        </w:tc>
      </w:tr>
      <w:tr w14:paraId="49B7E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restart"/>
            <w:noWrap w:val="0"/>
            <w:vAlign w:val="center"/>
          </w:tcPr>
          <w:p w14:paraId="1058CC21">
            <w:pPr>
              <w:adjustRightInd/>
              <w:spacing w:line="280" w:lineRule="exact"/>
              <w:jc w:val="center"/>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符</w:t>
            </w:r>
          </w:p>
          <w:p w14:paraId="51D07D18">
            <w:pPr>
              <w:adjustRightInd/>
              <w:spacing w:line="280" w:lineRule="exact"/>
              <w:jc w:val="center"/>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合</w:t>
            </w:r>
          </w:p>
          <w:p w14:paraId="52D94643">
            <w:pPr>
              <w:adjustRightInd/>
              <w:spacing w:line="280" w:lineRule="exact"/>
              <w:jc w:val="center"/>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性</w:t>
            </w:r>
          </w:p>
          <w:p w14:paraId="2280C69D">
            <w:pPr>
              <w:adjustRightInd/>
              <w:spacing w:line="280" w:lineRule="exact"/>
              <w:jc w:val="center"/>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审</w:t>
            </w:r>
          </w:p>
          <w:p w14:paraId="49264010">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rPr>
              <w:t>查</w:t>
            </w:r>
          </w:p>
        </w:tc>
        <w:tc>
          <w:tcPr>
            <w:tcW w:w="4175" w:type="dxa"/>
            <w:noWrap w:val="0"/>
            <w:vAlign w:val="center"/>
          </w:tcPr>
          <w:p w14:paraId="11115E86">
            <w:pPr>
              <w:adjustRightInd/>
              <w:spacing w:line="280" w:lineRule="exact"/>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（一）</w:t>
            </w:r>
            <w:r>
              <w:rPr>
                <w:rFonts w:hint="eastAsia" w:ascii="宋体" w:hAnsi="宋体" w:eastAsia="宋体" w:cs="宋体"/>
                <w:color w:val="auto"/>
                <w:kern w:val="2"/>
                <w:sz w:val="21"/>
                <w:szCs w:val="21"/>
                <w:highlight w:val="none"/>
                <w:lang w:eastAsia="zh-CN"/>
              </w:rPr>
              <w:t>响应函</w:t>
            </w:r>
            <w:r>
              <w:rPr>
                <w:rFonts w:hint="eastAsia" w:ascii="宋体" w:hAnsi="宋体" w:eastAsia="宋体" w:cs="宋体"/>
                <w:color w:val="auto"/>
                <w:kern w:val="2"/>
                <w:sz w:val="21"/>
                <w:szCs w:val="21"/>
                <w:highlight w:val="none"/>
              </w:rPr>
              <w:t>已提交并符合磋商文件要求；</w:t>
            </w:r>
          </w:p>
        </w:tc>
        <w:tc>
          <w:tcPr>
            <w:tcW w:w="1410" w:type="dxa"/>
            <w:noWrap w:val="0"/>
            <w:vAlign w:val="center"/>
          </w:tcPr>
          <w:p w14:paraId="3887A8AE">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□通过 </w:t>
            </w:r>
          </w:p>
          <w:p w14:paraId="2BB89EAF">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□不通过</w:t>
            </w:r>
          </w:p>
        </w:tc>
        <w:tc>
          <w:tcPr>
            <w:tcW w:w="2192" w:type="dxa"/>
            <w:noWrap w:val="0"/>
            <w:vAlign w:val="center"/>
          </w:tcPr>
          <w:p w14:paraId="787DE79D">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第（ ）页</w:t>
            </w:r>
          </w:p>
        </w:tc>
      </w:tr>
      <w:tr w14:paraId="59B26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noWrap w:val="0"/>
            <w:vAlign w:val="center"/>
          </w:tcPr>
          <w:p w14:paraId="3CC8040E">
            <w:pPr>
              <w:adjustRightInd/>
              <w:spacing w:line="280" w:lineRule="exact"/>
              <w:jc w:val="center"/>
              <w:textAlignment w:val="auto"/>
              <w:rPr>
                <w:rFonts w:hint="eastAsia" w:ascii="宋体" w:hAnsi="宋体" w:eastAsia="宋体" w:cs="宋体"/>
                <w:color w:val="auto"/>
                <w:kern w:val="2"/>
                <w:sz w:val="21"/>
                <w:szCs w:val="21"/>
                <w:highlight w:val="none"/>
              </w:rPr>
            </w:pPr>
          </w:p>
        </w:tc>
        <w:tc>
          <w:tcPr>
            <w:tcW w:w="4175" w:type="dxa"/>
            <w:noWrap w:val="0"/>
            <w:vAlign w:val="center"/>
          </w:tcPr>
          <w:p w14:paraId="0F1699A2">
            <w:pPr>
              <w:adjustRightInd/>
              <w:spacing w:line="280" w:lineRule="exact"/>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（二）按照磋商文件规定要求签署或盖章；</w:t>
            </w:r>
          </w:p>
        </w:tc>
        <w:tc>
          <w:tcPr>
            <w:tcW w:w="1410" w:type="dxa"/>
            <w:noWrap w:val="0"/>
            <w:vAlign w:val="center"/>
          </w:tcPr>
          <w:p w14:paraId="287E8ADC">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□通过 </w:t>
            </w:r>
          </w:p>
          <w:p w14:paraId="322A37E7">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□不通过</w:t>
            </w:r>
          </w:p>
        </w:tc>
        <w:tc>
          <w:tcPr>
            <w:tcW w:w="2192" w:type="dxa"/>
            <w:noWrap w:val="0"/>
            <w:vAlign w:val="center"/>
          </w:tcPr>
          <w:p w14:paraId="6030BB03">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第（ ）页</w:t>
            </w:r>
          </w:p>
        </w:tc>
      </w:tr>
      <w:tr w14:paraId="45FF9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noWrap w:val="0"/>
            <w:vAlign w:val="center"/>
          </w:tcPr>
          <w:p w14:paraId="354B482E">
            <w:pPr>
              <w:adjustRightInd/>
              <w:spacing w:line="280" w:lineRule="exact"/>
              <w:jc w:val="center"/>
              <w:textAlignment w:val="auto"/>
              <w:rPr>
                <w:rFonts w:hint="eastAsia" w:ascii="宋体" w:hAnsi="宋体" w:eastAsia="宋体" w:cs="宋体"/>
                <w:color w:val="auto"/>
                <w:kern w:val="2"/>
                <w:sz w:val="21"/>
                <w:szCs w:val="21"/>
                <w:highlight w:val="none"/>
              </w:rPr>
            </w:pPr>
          </w:p>
        </w:tc>
        <w:tc>
          <w:tcPr>
            <w:tcW w:w="4175" w:type="dxa"/>
            <w:noWrap w:val="0"/>
            <w:vAlign w:val="center"/>
          </w:tcPr>
          <w:p w14:paraId="10D67E17">
            <w:pPr>
              <w:adjustRightInd/>
              <w:spacing w:line="280" w:lineRule="exact"/>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（三）响应文件规定部分有法定代表人签署本人姓名（或印盖本人姓名章），或签署人提供有效的法定代表人授权委托书且授权委托书填写项目齐全的；</w:t>
            </w:r>
          </w:p>
        </w:tc>
        <w:tc>
          <w:tcPr>
            <w:tcW w:w="1410" w:type="dxa"/>
            <w:noWrap w:val="0"/>
            <w:vAlign w:val="center"/>
          </w:tcPr>
          <w:p w14:paraId="65F53C2B">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□通过 </w:t>
            </w:r>
          </w:p>
          <w:p w14:paraId="0C0489F4">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□不通过</w:t>
            </w:r>
          </w:p>
        </w:tc>
        <w:tc>
          <w:tcPr>
            <w:tcW w:w="2192" w:type="dxa"/>
            <w:noWrap w:val="0"/>
            <w:vAlign w:val="center"/>
          </w:tcPr>
          <w:p w14:paraId="6CE3460D">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第（ ）页</w:t>
            </w:r>
          </w:p>
        </w:tc>
      </w:tr>
      <w:tr w14:paraId="4B98B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noWrap w:val="0"/>
            <w:vAlign w:val="center"/>
          </w:tcPr>
          <w:p w14:paraId="79249FA3">
            <w:pPr>
              <w:adjustRightInd/>
              <w:spacing w:line="280" w:lineRule="exact"/>
              <w:jc w:val="center"/>
              <w:textAlignment w:val="auto"/>
              <w:rPr>
                <w:rFonts w:hint="eastAsia" w:ascii="宋体" w:hAnsi="宋体" w:eastAsia="宋体" w:cs="宋体"/>
                <w:color w:val="auto"/>
                <w:kern w:val="2"/>
                <w:sz w:val="21"/>
                <w:szCs w:val="21"/>
                <w:highlight w:val="none"/>
              </w:rPr>
            </w:pPr>
          </w:p>
        </w:tc>
        <w:tc>
          <w:tcPr>
            <w:tcW w:w="4175" w:type="dxa"/>
            <w:noWrap w:val="0"/>
            <w:vAlign w:val="center"/>
          </w:tcPr>
          <w:p w14:paraId="45679CC1">
            <w:pPr>
              <w:adjustRightInd/>
              <w:spacing w:line="280" w:lineRule="exact"/>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（四）响应文件标明的响应或偏离与事实相符且无虚假投标的；</w:t>
            </w:r>
          </w:p>
        </w:tc>
        <w:tc>
          <w:tcPr>
            <w:tcW w:w="1410" w:type="dxa"/>
            <w:noWrap w:val="0"/>
            <w:vAlign w:val="center"/>
          </w:tcPr>
          <w:p w14:paraId="782EE769">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□通过 </w:t>
            </w:r>
          </w:p>
          <w:p w14:paraId="035F5566">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□不通过</w:t>
            </w:r>
          </w:p>
        </w:tc>
        <w:tc>
          <w:tcPr>
            <w:tcW w:w="2192" w:type="dxa"/>
            <w:noWrap w:val="0"/>
            <w:vAlign w:val="center"/>
          </w:tcPr>
          <w:p w14:paraId="458A3FDF">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第（ ）页</w:t>
            </w:r>
          </w:p>
        </w:tc>
      </w:tr>
      <w:tr w14:paraId="7E9B9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noWrap w:val="0"/>
            <w:vAlign w:val="center"/>
          </w:tcPr>
          <w:p w14:paraId="4703EA9D">
            <w:pPr>
              <w:adjustRightInd/>
              <w:spacing w:line="280" w:lineRule="exact"/>
              <w:jc w:val="center"/>
              <w:textAlignment w:val="auto"/>
              <w:rPr>
                <w:rFonts w:hint="eastAsia" w:ascii="宋体" w:hAnsi="宋体" w:eastAsia="宋体" w:cs="宋体"/>
                <w:color w:val="auto"/>
                <w:kern w:val="2"/>
                <w:sz w:val="21"/>
                <w:szCs w:val="21"/>
                <w:highlight w:val="none"/>
              </w:rPr>
            </w:pPr>
          </w:p>
        </w:tc>
        <w:tc>
          <w:tcPr>
            <w:tcW w:w="4175" w:type="dxa"/>
            <w:noWrap w:val="0"/>
            <w:vAlign w:val="center"/>
          </w:tcPr>
          <w:p w14:paraId="66E78AC6">
            <w:pPr>
              <w:adjustRightInd/>
              <w:spacing w:line="280" w:lineRule="exact"/>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（五）响应文件的实质性内容使用中文表述且意思表述明确，前后无矛盾且使用计量单位符合磋商文件要求的；</w:t>
            </w:r>
          </w:p>
        </w:tc>
        <w:tc>
          <w:tcPr>
            <w:tcW w:w="1410" w:type="dxa"/>
            <w:noWrap w:val="0"/>
            <w:vAlign w:val="center"/>
          </w:tcPr>
          <w:p w14:paraId="5282DF61">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□通过 </w:t>
            </w:r>
          </w:p>
          <w:p w14:paraId="696ED488">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□不通过</w:t>
            </w:r>
          </w:p>
        </w:tc>
        <w:tc>
          <w:tcPr>
            <w:tcW w:w="2192" w:type="dxa"/>
            <w:noWrap w:val="0"/>
            <w:vAlign w:val="center"/>
          </w:tcPr>
          <w:p w14:paraId="042251E2">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第（ ）页</w:t>
            </w:r>
          </w:p>
        </w:tc>
      </w:tr>
      <w:tr w14:paraId="4A3F2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55" w:hRule="atLeast"/>
          <w:jc w:val="center"/>
        </w:trPr>
        <w:tc>
          <w:tcPr>
            <w:tcW w:w="1067" w:type="dxa"/>
            <w:vMerge w:val="continue"/>
            <w:noWrap w:val="0"/>
            <w:vAlign w:val="center"/>
          </w:tcPr>
          <w:p w14:paraId="4DB80DF0">
            <w:pPr>
              <w:adjustRightInd/>
              <w:spacing w:line="280" w:lineRule="exact"/>
              <w:jc w:val="center"/>
              <w:textAlignment w:val="auto"/>
              <w:rPr>
                <w:rFonts w:hint="eastAsia" w:ascii="宋体" w:hAnsi="宋体" w:eastAsia="宋体" w:cs="宋体"/>
                <w:color w:val="auto"/>
                <w:kern w:val="2"/>
                <w:sz w:val="21"/>
                <w:szCs w:val="21"/>
                <w:highlight w:val="none"/>
              </w:rPr>
            </w:pPr>
          </w:p>
        </w:tc>
        <w:tc>
          <w:tcPr>
            <w:tcW w:w="4175" w:type="dxa"/>
            <w:noWrap w:val="0"/>
            <w:vAlign w:val="center"/>
          </w:tcPr>
          <w:p w14:paraId="43E2AE24">
            <w:pPr>
              <w:adjustRightInd/>
              <w:spacing w:line="280" w:lineRule="exact"/>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（六）带“</w:t>
            </w:r>
            <w:r>
              <w:rPr>
                <w:rFonts w:hint="eastAsia" w:ascii="宋体" w:hAnsi="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”的条款满足磋商文件要求、已实质性响应磋商文件要求且响应文件无采购人不能接受的附加条件的；</w:t>
            </w:r>
          </w:p>
        </w:tc>
        <w:tc>
          <w:tcPr>
            <w:tcW w:w="1410" w:type="dxa"/>
            <w:noWrap w:val="0"/>
            <w:vAlign w:val="center"/>
          </w:tcPr>
          <w:p w14:paraId="19FFA12D">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□通过 </w:t>
            </w:r>
          </w:p>
          <w:p w14:paraId="0DBD4761">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□不通过</w:t>
            </w:r>
          </w:p>
        </w:tc>
        <w:tc>
          <w:tcPr>
            <w:tcW w:w="2192" w:type="dxa"/>
            <w:noWrap w:val="0"/>
            <w:vAlign w:val="center"/>
          </w:tcPr>
          <w:p w14:paraId="0392A5A5">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第（ ）页</w:t>
            </w:r>
          </w:p>
        </w:tc>
      </w:tr>
      <w:tr w14:paraId="0BA06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noWrap w:val="0"/>
            <w:vAlign w:val="center"/>
          </w:tcPr>
          <w:p w14:paraId="1E1248F2">
            <w:pPr>
              <w:adjustRightInd/>
              <w:spacing w:line="280" w:lineRule="exact"/>
              <w:jc w:val="center"/>
              <w:textAlignment w:val="auto"/>
              <w:rPr>
                <w:rFonts w:hint="eastAsia" w:ascii="宋体" w:hAnsi="宋体" w:eastAsia="宋体" w:cs="宋体"/>
                <w:color w:val="auto"/>
                <w:kern w:val="2"/>
                <w:sz w:val="21"/>
                <w:szCs w:val="21"/>
                <w:highlight w:val="none"/>
              </w:rPr>
            </w:pPr>
          </w:p>
        </w:tc>
        <w:tc>
          <w:tcPr>
            <w:tcW w:w="4175" w:type="dxa"/>
            <w:noWrap w:val="0"/>
            <w:vAlign w:val="center"/>
          </w:tcPr>
          <w:p w14:paraId="42F1BF5C">
            <w:pPr>
              <w:adjustRightInd/>
              <w:spacing w:line="280" w:lineRule="exact"/>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（七）允许偏离的技术、性能指标或者辅助功能项目发生负偏离未达 </w:t>
            </w:r>
            <w:r>
              <w:rPr>
                <w:rFonts w:hint="eastAsia" w:ascii="宋体" w:hAnsi="宋体" w:eastAsia="宋体" w:cs="宋体"/>
                <w:color w:val="auto"/>
                <w:kern w:val="2"/>
                <w:sz w:val="21"/>
                <w:szCs w:val="21"/>
                <w:highlight w:val="none"/>
                <w:u w:val="single"/>
              </w:rPr>
              <w:t xml:space="preserve">  /  </w:t>
            </w:r>
            <w:r>
              <w:rPr>
                <w:rFonts w:hint="eastAsia" w:ascii="宋体" w:hAnsi="宋体" w:eastAsia="宋体" w:cs="宋体"/>
                <w:color w:val="auto"/>
                <w:kern w:val="2"/>
                <w:sz w:val="21"/>
                <w:szCs w:val="21"/>
                <w:highlight w:val="none"/>
              </w:rPr>
              <w:t>项（含）以上的</w:t>
            </w:r>
          </w:p>
        </w:tc>
        <w:tc>
          <w:tcPr>
            <w:tcW w:w="1410" w:type="dxa"/>
            <w:noWrap w:val="0"/>
            <w:vAlign w:val="center"/>
          </w:tcPr>
          <w:p w14:paraId="5937D332">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□通过 </w:t>
            </w:r>
          </w:p>
          <w:p w14:paraId="3A82C557">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□不通过</w:t>
            </w:r>
          </w:p>
        </w:tc>
        <w:tc>
          <w:tcPr>
            <w:tcW w:w="2192" w:type="dxa"/>
            <w:noWrap w:val="0"/>
            <w:vAlign w:val="center"/>
          </w:tcPr>
          <w:p w14:paraId="0F56202E">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第（ ）页</w:t>
            </w:r>
          </w:p>
        </w:tc>
      </w:tr>
      <w:tr w14:paraId="6A008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noWrap w:val="0"/>
            <w:vAlign w:val="center"/>
          </w:tcPr>
          <w:p w14:paraId="7CD99AFF">
            <w:pPr>
              <w:adjustRightInd/>
              <w:spacing w:line="280" w:lineRule="exact"/>
              <w:jc w:val="center"/>
              <w:textAlignment w:val="auto"/>
              <w:rPr>
                <w:rFonts w:hint="eastAsia" w:ascii="宋体" w:hAnsi="宋体" w:eastAsia="宋体" w:cs="宋体"/>
                <w:color w:val="auto"/>
                <w:kern w:val="2"/>
                <w:sz w:val="21"/>
                <w:szCs w:val="21"/>
                <w:highlight w:val="none"/>
              </w:rPr>
            </w:pPr>
          </w:p>
        </w:tc>
        <w:tc>
          <w:tcPr>
            <w:tcW w:w="4175" w:type="dxa"/>
            <w:noWrap w:val="0"/>
            <w:vAlign w:val="center"/>
          </w:tcPr>
          <w:p w14:paraId="315BD475">
            <w:pPr>
              <w:adjustRightInd/>
              <w:spacing w:line="280" w:lineRule="exact"/>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（八）投标技术方案明确，不存在一个或一个以上备选（替代）投标方案的；</w:t>
            </w:r>
          </w:p>
        </w:tc>
        <w:tc>
          <w:tcPr>
            <w:tcW w:w="1410" w:type="dxa"/>
            <w:noWrap w:val="0"/>
            <w:vAlign w:val="center"/>
          </w:tcPr>
          <w:p w14:paraId="3754E6BF">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□通过 </w:t>
            </w:r>
          </w:p>
          <w:p w14:paraId="47B6EC13">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□不通过</w:t>
            </w:r>
          </w:p>
        </w:tc>
        <w:tc>
          <w:tcPr>
            <w:tcW w:w="2192" w:type="dxa"/>
            <w:noWrap w:val="0"/>
            <w:vAlign w:val="center"/>
          </w:tcPr>
          <w:p w14:paraId="7223D3AF">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第（ ）页</w:t>
            </w:r>
          </w:p>
        </w:tc>
      </w:tr>
      <w:tr w14:paraId="6EE65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noWrap w:val="0"/>
            <w:vAlign w:val="center"/>
          </w:tcPr>
          <w:p w14:paraId="357C0E6F">
            <w:pPr>
              <w:adjustRightInd/>
              <w:spacing w:line="280" w:lineRule="exact"/>
              <w:jc w:val="center"/>
              <w:textAlignment w:val="auto"/>
              <w:rPr>
                <w:rFonts w:hint="eastAsia" w:ascii="宋体" w:hAnsi="宋体" w:eastAsia="宋体" w:cs="宋体"/>
                <w:color w:val="auto"/>
                <w:kern w:val="2"/>
                <w:sz w:val="21"/>
                <w:szCs w:val="21"/>
                <w:highlight w:val="none"/>
              </w:rPr>
            </w:pPr>
          </w:p>
        </w:tc>
        <w:tc>
          <w:tcPr>
            <w:tcW w:w="4175" w:type="dxa"/>
            <w:noWrap w:val="0"/>
            <w:vAlign w:val="center"/>
          </w:tcPr>
          <w:p w14:paraId="79CC8F75">
            <w:pPr>
              <w:adjustRightInd/>
              <w:spacing w:line="280" w:lineRule="exact"/>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（九）不存在法律、法规和磋商文件规定的其他无效情形；</w:t>
            </w:r>
          </w:p>
        </w:tc>
        <w:tc>
          <w:tcPr>
            <w:tcW w:w="1410" w:type="dxa"/>
            <w:noWrap w:val="0"/>
            <w:vAlign w:val="center"/>
          </w:tcPr>
          <w:p w14:paraId="3C4E8758">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□通过 </w:t>
            </w:r>
          </w:p>
          <w:p w14:paraId="0EC2809A">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□不通过</w:t>
            </w:r>
          </w:p>
        </w:tc>
        <w:tc>
          <w:tcPr>
            <w:tcW w:w="2192" w:type="dxa"/>
            <w:noWrap w:val="0"/>
            <w:vAlign w:val="center"/>
          </w:tcPr>
          <w:p w14:paraId="41F22843">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第（ ）页</w:t>
            </w:r>
          </w:p>
        </w:tc>
      </w:tr>
      <w:tr w14:paraId="79A7A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noWrap w:val="0"/>
            <w:vAlign w:val="center"/>
          </w:tcPr>
          <w:p w14:paraId="11D404F2">
            <w:pPr>
              <w:adjustRightInd/>
              <w:spacing w:line="280" w:lineRule="exact"/>
              <w:jc w:val="center"/>
              <w:textAlignment w:val="auto"/>
              <w:rPr>
                <w:rFonts w:hint="eastAsia" w:ascii="宋体" w:hAnsi="宋体" w:eastAsia="宋体" w:cs="宋体"/>
                <w:color w:val="auto"/>
                <w:kern w:val="2"/>
                <w:sz w:val="21"/>
                <w:szCs w:val="21"/>
                <w:highlight w:val="none"/>
              </w:rPr>
            </w:pPr>
          </w:p>
        </w:tc>
        <w:tc>
          <w:tcPr>
            <w:tcW w:w="4175" w:type="dxa"/>
            <w:noWrap w:val="0"/>
            <w:vAlign w:val="center"/>
          </w:tcPr>
          <w:p w14:paraId="7C3C50ED">
            <w:pPr>
              <w:adjustRightInd/>
              <w:spacing w:line="280" w:lineRule="exact"/>
              <w:jc w:val="left"/>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（十）不存在响应文件的有效期不满足磋商文件要求情形</w:t>
            </w:r>
            <w:r>
              <w:rPr>
                <w:rFonts w:hint="eastAsia" w:ascii="宋体" w:hAnsi="宋体" w:eastAsia="宋体" w:cs="宋体"/>
                <w:color w:val="auto"/>
                <w:kern w:val="2"/>
                <w:sz w:val="21"/>
                <w:szCs w:val="21"/>
                <w:highlight w:val="none"/>
                <w:lang w:eastAsia="zh-CN"/>
              </w:rPr>
              <w:t>。</w:t>
            </w:r>
          </w:p>
        </w:tc>
        <w:tc>
          <w:tcPr>
            <w:tcW w:w="1410" w:type="dxa"/>
            <w:noWrap w:val="0"/>
            <w:vAlign w:val="center"/>
          </w:tcPr>
          <w:p w14:paraId="33DB0F85">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□通过 </w:t>
            </w:r>
          </w:p>
          <w:p w14:paraId="078726F1">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□不通过</w:t>
            </w:r>
          </w:p>
        </w:tc>
        <w:tc>
          <w:tcPr>
            <w:tcW w:w="2192" w:type="dxa"/>
            <w:noWrap w:val="0"/>
            <w:vAlign w:val="center"/>
          </w:tcPr>
          <w:p w14:paraId="0A7DBA94">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第（ ）页</w:t>
            </w:r>
          </w:p>
        </w:tc>
      </w:tr>
    </w:tbl>
    <w:p w14:paraId="1D77867F">
      <w:pPr>
        <w:keepNext w:val="0"/>
        <w:keepLines w:val="0"/>
        <w:pageBreakBefore w:val="0"/>
        <w:widowControl w:val="0"/>
        <w:shd w:val="clear"/>
        <w:kinsoku/>
        <w:wordWrap/>
        <w:overflowPunct/>
        <w:topLinePunct w:val="0"/>
        <w:bidi w:val="0"/>
        <w:jc w:val="center"/>
        <w:rPr>
          <w:b/>
          <w:bCs/>
          <w:color w:val="auto"/>
          <w:sz w:val="28"/>
          <w:szCs w:val="28"/>
          <w:highlight w:val="none"/>
        </w:rPr>
      </w:pPr>
      <w:r>
        <w:rPr>
          <w:rFonts w:asciiTheme="majorEastAsia" w:hAnsiTheme="majorEastAsia" w:eastAsiaTheme="majorEastAsia"/>
          <w:color w:val="auto"/>
          <w:szCs w:val="21"/>
          <w:highlight w:val="none"/>
        </w:rPr>
        <w:br w:type="page"/>
      </w:r>
      <w:bookmarkStart w:id="44" w:name="_Toc518897062"/>
      <w:bookmarkStart w:id="45" w:name="_Toc381615432"/>
      <w:r>
        <w:rPr>
          <w:rFonts w:hint="eastAsia" w:eastAsiaTheme="majorEastAsia"/>
          <w:b/>
          <w:bCs/>
          <w:color w:val="auto"/>
          <w:sz w:val="28"/>
          <w:szCs w:val="28"/>
          <w:highlight w:val="none"/>
        </w:rPr>
        <w:t>磋商响应函</w:t>
      </w:r>
      <w:r>
        <w:rPr>
          <w:rFonts w:hint="eastAsia"/>
          <w:b/>
          <w:bCs/>
          <w:color w:val="auto"/>
          <w:sz w:val="28"/>
          <w:szCs w:val="28"/>
          <w:highlight w:val="none"/>
        </w:rPr>
        <w:t>及磋商响应函附录</w:t>
      </w:r>
      <w:bookmarkEnd w:id="44"/>
      <w:bookmarkEnd w:id="45"/>
    </w:p>
    <w:p w14:paraId="48AB46E0">
      <w:pPr>
        <w:keepNext w:val="0"/>
        <w:keepLines w:val="0"/>
        <w:pageBreakBefore w:val="0"/>
        <w:widowControl w:val="0"/>
        <w:shd w:val="clear"/>
        <w:kinsoku/>
        <w:wordWrap/>
        <w:overflowPunct/>
        <w:topLinePunct w:val="0"/>
        <w:bidi w:val="0"/>
        <w:rPr>
          <w:color w:val="auto"/>
          <w:highlight w:val="none"/>
        </w:rPr>
      </w:pPr>
    </w:p>
    <w:p w14:paraId="68C4E953">
      <w:pPr>
        <w:keepNext w:val="0"/>
        <w:keepLines w:val="0"/>
        <w:pageBreakBefore w:val="0"/>
        <w:widowControl w:val="0"/>
        <w:shd w:val="clear"/>
        <w:kinsoku/>
        <w:wordWrap/>
        <w:overflowPunct/>
        <w:topLinePunct w:val="0"/>
        <w:bidi w:val="0"/>
        <w:jc w:val="center"/>
        <w:rPr>
          <w:color w:val="auto"/>
          <w:sz w:val="28"/>
          <w:highlight w:val="none"/>
        </w:rPr>
      </w:pPr>
      <w:r>
        <w:rPr>
          <w:rFonts w:hint="eastAsia"/>
          <w:color w:val="auto"/>
          <w:sz w:val="28"/>
          <w:highlight w:val="none"/>
        </w:rPr>
        <w:t>（一）磋商响应函</w:t>
      </w:r>
    </w:p>
    <w:p w14:paraId="419DF7F4">
      <w:pPr>
        <w:keepNext w:val="0"/>
        <w:keepLines w:val="0"/>
        <w:pageBreakBefore w:val="0"/>
        <w:widowControl w:val="0"/>
        <w:shd w:val="clear"/>
        <w:kinsoku/>
        <w:wordWrap/>
        <w:overflowPunct/>
        <w:topLinePunct w:val="0"/>
        <w:bidi w:val="0"/>
        <w:spacing w:line="360" w:lineRule="auto"/>
        <w:ind w:firstLine="420" w:firstLineChars="200"/>
        <w:rPr>
          <w:rFonts w:ascii="宋体" w:hAnsi="宋体"/>
          <w:color w:val="auto"/>
          <w:szCs w:val="21"/>
          <w:highlight w:val="none"/>
        </w:rPr>
      </w:pPr>
    </w:p>
    <w:p w14:paraId="4A0D69FE">
      <w:pPr>
        <w:keepNext w:val="0"/>
        <w:keepLines w:val="0"/>
        <w:pageBreakBefore w:val="0"/>
        <w:widowControl w:val="0"/>
        <w:shd w:val="clear"/>
        <w:kinsoku/>
        <w:wordWrap/>
        <w:overflowPunct/>
        <w:topLinePunct w:val="0"/>
        <w:bidi w:val="0"/>
        <w:spacing w:line="360" w:lineRule="auto"/>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（采购人名称）: </w:t>
      </w:r>
    </w:p>
    <w:p w14:paraId="50AF9A07">
      <w:pPr>
        <w:keepNext w:val="0"/>
        <w:keepLines w:val="0"/>
        <w:pageBreakBefore w:val="0"/>
        <w:widowControl w:val="0"/>
        <w:shd w:val="clear"/>
        <w:kinsoku/>
        <w:wordWrap/>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1．我方己仔细研究了</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（项目名称）磋商文件的全部内容，愿意以人民币（大写）</w:t>
      </w:r>
      <w:r>
        <w:rPr>
          <w:rFonts w:hint="eastAsia" w:ascii="宋体" w:hAnsi="宋体"/>
          <w:color w:val="auto"/>
          <w:szCs w:val="21"/>
          <w:highlight w:val="none"/>
          <w:u w:val="single"/>
        </w:rPr>
        <w:t xml:space="preserve">           </w:t>
      </w:r>
      <w:r>
        <w:rPr>
          <w:rFonts w:hint="eastAsia" w:ascii="宋体" w:hAnsi="宋体"/>
          <w:color w:val="auto"/>
          <w:szCs w:val="21"/>
          <w:highlight w:val="none"/>
        </w:rPr>
        <w:t>元整（￥</w:t>
      </w:r>
      <w:r>
        <w:rPr>
          <w:rFonts w:hint="eastAsia" w:ascii="宋体" w:hAnsi="宋体"/>
          <w:color w:val="auto"/>
          <w:szCs w:val="21"/>
          <w:highlight w:val="none"/>
          <w:u w:val="single"/>
        </w:rPr>
        <w:t xml:space="preserve">       </w:t>
      </w:r>
      <w:r>
        <w:rPr>
          <w:rFonts w:hint="eastAsia" w:ascii="宋体" w:hAnsi="宋体"/>
          <w:color w:val="auto"/>
          <w:szCs w:val="21"/>
          <w:highlight w:val="none"/>
        </w:rPr>
        <w:t>）的磋商总报价，按合同约定实施和完成</w:t>
      </w:r>
      <w:r>
        <w:rPr>
          <w:rFonts w:hint="eastAsia" w:ascii="宋体" w:hAnsi="宋体"/>
          <w:color w:val="auto"/>
          <w:szCs w:val="21"/>
          <w:highlight w:val="none"/>
          <w:lang w:eastAsia="zh-CN"/>
        </w:rPr>
        <w:t>相关服务</w:t>
      </w:r>
      <w:r>
        <w:rPr>
          <w:rFonts w:hint="eastAsia" w:ascii="宋体" w:hAnsi="宋体"/>
          <w:color w:val="auto"/>
          <w:szCs w:val="21"/>
          <w:highlight w:val="none"/>
        </w:rPr>
        <w:t>。</w:t>
      </w:r>
    </w:p>
    <w:p w14:paraId="0E3C9D6C">
      <w:pPr>
        <w:keepNext w:val="0"/>
        <w:keepLines w:val="0"/>
        <w:pageBreakBefore w:val="0"/>
        <w:widowControl w:val="0"/>
        <w:shd w:val="clear"/>
        <w:kinsoku/>
        <w:wordWrap/>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2．我方承诺在磋商有效期满足磋商文件规定。</w:t>
      </w:r>
    </w:p>
    <w:p w14:paraId="68F51197">
      <w:pPr>
        <w:keepNext w:val="0"/>
        <w:keepLines w:val="0"/>
        <w:pageBreakBefore w:val="0"/>
        <w:widowControl w:val="0"/>
        <w:shd w:val="clear"/>
        <w:kinsoku/>
        <w:wordWrap/>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3．如我方确定成交：</w:t>
      </w:r>
    </w:p>
    <w:p w14:paraId="47819CE0">
      <w:pPr>
        <w:keepNext w:val="0"/>
        <w:keepLines w:val="0"/>
        <w:pageBreakBefore w:val="0"/>
        <w:widowControl w:val="0"/>
        <w:shd w:val="clear"/>
        <w:kinsoku/>
        <w:wordWrap/>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(l）我方承诺在收到确定成交通知书后，在磋商文件规定的期限内与你方签订合同。</w:t>
      </w:r>
    </w:p>
    <w:p w14:paraId="2942141F">
      <w:pPr>
        <w:keepNext w:val="0"/>
        <w:keepLines w:val="0"/>
        <w:pageBreakBefore w:val="0"/>
        <w:widowControl w:val="0"/>
        <w:shd w:val="clear"/>
        <w:kinsoku/>
        <w:wordWrap/>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(2）随同本磋商响应函递交的磋商响应函附录属于合同文件的组成部分。</w:t>
      </w:r>
    </w:p>
    <w:p w14:paraId="6311E2C0">
      <w:pPr>
        <w:keepNext w:val="0"/>
        <w:keepLines w:val="0"/>
        <w:pageBreakBefore w:val="0"/>
        <w:widowControl w:val="0"/>
        <w:shd w:val="clear"/>
        <w:kinsoku/>
        <w:wordWrap/>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4．我方在此声明，所递交的响应文件及有关资料内容完整、真实和准确，且不存在第二章“供应商须知”第1.4.3 项规定的任何一种情形。</w:t>
      </w:r>
    </w:p>
    <w:p w14:paraId="534CAFE8">
      <w:pPr>
        <w:keepNext w:val="0"/>
        <w:keepLines w:val="0"/>
        <w:pageBreakBefore w:val="0"/>
        <w:widowControl w:val="0"/>
        <w:shd w:val="clear"/>
        <w:kinsoku/>
        <w:wordWrap/>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5. </w:t>
      </w:r>
      <w:r>
        <w:rPr>
          <w:rFonts w:hint="eastAsia" w:ascii="宋体" w:hAnsi="宋体"/>
          <w:color w:val="auto"/>
          <w:szCs w:val="21"/>
          <w:highlight w:val="none"/>
          <w:u w:val="single"/>
        </w:rPr>
        <w:t xml:space="preserve">                     </w:t>
      </w:r>
      <w:r>
        <w:rPr>
          <w:rFonts w:hint="eastAsia" w:ascii="宋体" w:hAnsi="宋体"/>
          <w:color w:val="auto"/>
          <w:szCs w:val="21"/>
          <w:highlight w:val="none"/>
        </w:rPr>
        <w:t>（其他补充说明）。</w:t>
      </w:r>
    </w:p>
    <w:p w14:paraId="27075FF9">
      <w:pPr>
        <w:keepNext w:val="0"/>
        <w:keepLines w:val="0"/>
        <w:pageBreakBefore w:val="0"/>
        <w:widowControl w:val="0"/>
        <w:shd w:val="clear"/>
        <w:kinsoku/>
        <w:wordWrap/>
        <w:overflowPunct/>
        <w:topLinePunct w:val="0"/>
        <w:bidi w:val="0"/>
        <w:spacing w:line="360" w:lineRule="auto"/>
        <w:ind w:firstLine="420" w:firstLineChars="200"/>
        <w:rPr>
          <w:rFonts w:ascii="宋体" w:hAnsi="宋体"/>
          <w:color w:val="auto"/>
          <w:szCs w:val="21"/>
          <w:highlight w:val="none"/>
        </w:rPr>
      </w:pPr>
    </w:p>
    <w:p w14:paraId="66A9A52F">
      <w:pPr>
        <w:keepNext w:val="0"/>
        <w:keepLines w:val="0"/>
        <w:pageBreakBefore w:val="0"/>
        <w:widowControl w:val="0"/>
        <w:shd w:val="clear"/>
        <w:kinsoku/>
        <w:wordWrap/>
        <w:overflowPunct/>
        <w:topLinePunct w:val="0"/>
        <w:bidi w:val="0"/>
        <w:spacing w:line="360" w:lineRule="auto"/>
        <w:ind w:firstLine="420" w:firstLineChars="200"/>
        <w:rPr>
          <w:rFonts w:ascii="宋体" w:hAnsi="宋体"/>
          <w:color w:val="auto"/>
          <w:szCs w:val="21"/>
          <w:highlight w:val="none"/>
        </w:rPr>
      </w:pPr>
    </w:p>
    <w:p w14:paraId="39326E13">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供应商：</w:t>
      </w:r>
      <w:r>
        <w:rPr>
          <w:rFonts w:hint="eastAsia" w:ascii="宋体" w:hAnsi="宋体"/>
          <w:color w:val="auto"/>
          <w:szCs w:val="21"/>
          <w:highlight w:val="none"/>
          <w:u w:val="single"/>
        </w:rPr>
        <w:t xml:space="preserve">                     </w:t>
      </w:r>
      <w:r>
        <w:rPr>
          <w:rFonts w:hint="eastAsia" w:ascii="宋体" w:hAnsi="宋体"/>
          <w:color w:val="auto"/>
          <w:szCs w:val="21"/>
          <w:highlight w:val="none"/>
        </w:rPr>
        <w:t>（盖单位公章）</w:t>
      </w:r>
    </w:p>
    <w:p w14:paraId="48D6670B">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（签字或盖章）</w:t>
      </w:r>
    </w:p>
    <w:p w14:paraId="08289832">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地址：</w:t>
      </w:r>
      <w:r>
        <w:rPr>
          <w:rFonts w:hint="eastAsia" w:ascii="宋体" w:hAnsi="宋体"/>
          <w:color w:val="auto"/>
          <w:szCs w:val="21"/>
          <w:highlight w:val="none"/>
          <w:u w:val="single"/>
        </w:rPr>
        <w:t xml:space="preserve">                                 </w:t>
      </w:r>
    </w:p>
    <w:p w14:paraId="5FB4B034">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网址：</w:t>
      </w:r>
      <w:r>
        <w:rPr>
          <w:rFonts w:hint="eastAsia" w:ascii="宋体" w:hAnsi="宋体"/>
          <w:color w:val="auto"/>
          <w:szCs w:val="21"/>
          <w:highlight w:val="none"/>
          <w:u w:val="single"/>
        </w:rPr>
        <w:t xml:space="preserve">                                 </w:t>
      </w:r>
    </w:p>
    <w:p w14:paraId="28BC6328">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电话：</w:t>
      </w:r>
      <w:r>
        <w:rPr>
          <w:rFonts w:hint="eastAsia" w:ascii="宋体" w:hAnsi="宋体"/>
          <w:color w:val="auto"/>
          <w:szCs w:val="21"/>
          <w:highlight w:val="none"/>
          <w:u w:val="single"/>
        </w:rPr>
        <w:t xml:space="preserve">                                 </w:t>
      </w:r>
    </w:p>
    <w:p w14:paraId="5E5A8EA9">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传真：</w:t>
      </w:r>
      <w:r>
        <w:rPr>
          <w:rFonts w:hint="eastAsia" w:ascii="宋体" w:hAnsi="宋体"/>
          <w:color w:val="auto"/>
          <w:szCs w:val="21"/>
          <w:highlight w:val="none"/>
          <w:u w:val="single"/>
        </w:rPr>
        <w:t xml:space="preserve">                                 </w:t>
      </w:r>
    </w:p>
    <w:p w14:paraId="02D4C027">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邮政编码：</w:t>
      </w:r>
      <w:r>
        <w:rPr>
          <w:rFonts w:hint="eastAsia" w:ascii="宋体" w:hAnsi="宋体"/>
          <w:color w:val="auto"/>
          <w:szCs w:val="21"/>
          <w:highlight w:val="none"/>
          <w:u w:val="single"/>
        </w:rPr>
        <w:t xml:space="preserve">                             </w:t>
      </w:r>
    </w:p>
    <w:p w14:paraId="14A6998B">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369CCE13">
      <w:pPr>
        <w:pStyle w:val="2"/>
        <w:keepNext w:val="0"/>
        <w:keepLines w:val="0"/>
        <w:pageBreakBefore w:val="0"/>
        <w:widowControl w:val="0"/>
        <w:kinsoku/>
        <w:wordWrap/>
        <w:overflowPunct/>
        <w:topLinePunct w:val="0"/>
        <w:bidi w:val="0"/>
        <w:ind w:left="0" w:leftChars="0" w:firstLine="0" w:firstLineChars="0"/>
        <w:rPr>
          <w:color w:val="auto"/>
          <w:highlight w:val="none"/>
        </w:rPr>
      </w:pPr>
    </w:p>
    <w:p w14:paraId="796F798B">
      <w:pPr>
        <w:keepNext w:val="0"/>
        <w:keepLines w:val="0"/>
        <w:pageBreakBefore w:val="0"/>
        <w:widowControl w:val="0"/>
        <w:shd w:val="clear"/>
        <w:kinsoku/>
        <w:wordWrap/>
        <w:overflowPunct/>
        <w:topLinePunct w:val="0"/>
        <w:bidi w:val="0"/>
        <w:spacing w:line="360" w:lineRule="auto"/>
        <w:ind w:firstLine="420" w:firstLineChars="200"/>
        <w:rPr>
          <w:rFonts w:ascii="宋体" w:hAnsi="宋体"/>
          <w:color w:val="auto"/>
          <w:szCs w:val="21"/>
          <w:highlight w:val="none"/>
        </w:rPr>
        <w:sectPr>
          <w:headerReference r:id="rId11" w:type="default"/>
          <w:footerReference r:id="rId12"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626AAC8A">
      <w:pPr>
        <w:keepNext w:val="0"/>
        <w:keepLines w:val="0"/>
        <w:pageBreakBefore w:val="0"/>
        <w:widowControl w:val="0"/>
        <w:shd w:val="clear"/>
        <w:kinsoku/>
        <w:wordWrap/>
        <w:overflowPunct/>
        <w:topLinePunct w:val="0"/>
        <w:bidi w:val="0"/>
        <w:adjustRightInd w:val="0"/>
        <w:spacing w:line="440" w:lineRule="exact"/>
        <w:jc w:val="lef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格式二：</w:t>
      </w:r>
    </w:p>
    <w:p w14:paraId="29F62A7E">
      <w:pPr>
        <w:keepNext w:val="0"/>
        <w:keepLines w:val="0"/>
        <w:pageBreakBefore w:val="0"/>
        <w:widowControl w:val="0"/>
        <w:shd w:val="clear"/>
        <w:kinsoku/>
        <w:wordWrap/>
        <w:overflowPunct/>
        <w:topLinePunct w:val="0"/>
        <w:bidi w:val="0"/>
        <w:spacing w:line="440" w:lineRule="exact"/>
        <w:jc w:val="center"/>
        <w:rPr>
          <w:rFonts w:hint="eastAsia" w:asciiTheme="majorEastAsia" w:hAnsiTheme="majorEastAsia" w:eastAsiaTheme="majorEastAsia"/>
          <w:b/>
          <w:color w:val="auto"/>
          <w:spacing w:val="-4"/>
          <w:szCs w:val="21"/>
          <w:highlight w:val="none"/>
        </w:rPr>
      </w:pPr>
      <w:r>
        <w:rPr>
          <w:rFonts w:hint="eastAsia" w:asciiTheme="majorEastAsia" w:hAnsiTheme="majorEastAsia" w:eastAsiaTheme="majorEastAsia"/>
          <w:b/>
          <w:color w:val="auto"/>
          <w:spacing w:val="-4"/>
          <w:szCs w:val="21"/>
          <w:highlight w:val="none"/>
        </w:rPr>
        <w:t>供应商资格声明函</w:t>
      </w:r>
    </w:p>
    <w:p w14:paraId="3FCF57F6">
      <w:pPr>
        <w:pStyle w:val="2"/>
        <w:rPr>
          <w:color w:val="auto"/>
          <w:highlight w:val="none"/>
        </w:rPr>
      </w:pPr>
    </w:p>
    <w:p w14:paraId="4BFE226B">
      <w:pPr>
        <w:spacing w:line="360" w:lineRule="auto"/>
        <w:rPr>
          <w:rFonts w:hint="eastAsia" w:ascii="宋体" w:hAnsi="宋体" w:eastAsia="宋体" w:cs="宋体"/>
          <w:b/>
          <w:color w:val="auto"/>
          <w:kern w:val="1"/>
          <w:szCs w:val="21"/>
          <w:highlight w:val="none"/>
          <w:lang w:eastAsia="zh-CN"/>
        </w:rPr>
      </w:pPr>
      <w:r>
        <w:rPr>
          <w:rFonts w:hint="eastAsia" w:ascii="宋体" w:hAnsi="宋体" w:eastAsia="宋体"/>
          <w:bCs/>
          <w:color w:val="auto"/>
          <w:szCs w:val="21"/>
          <w:highlight w:val="none"/>
        </w:rPr>
        <w:t>致：</w:t>
      </w:r>
      <w:r>
        <w:rPr>
          <w:rFonts w:hint="eastAsia" w:ascii="宋体" w:hAnsi="宋体"/>
          <w:color w:val="auto"/>
          <w:szCs w:val="21"/>
          <w:highlight w:val="none"/>
          <w:u w:val="single"/>
          <w:lang w:eastAsia="zh-CN"/>
        </w:rPr>
        <w:t>宁波市海曙区古林镇布政小学</w:t>
      </w:r>
      <w:r>
        <w:rPr>
          <w:rFonts w:hint="eastAsia" w:ascii="宋体" w:hAnsi="宋体" w:eastAsia="宋体"/>
          <w:color w:val="auto"/>
          <w:szCs w:val="21"/>
          <w:highlight w:val="none"/>
          <w:u w:val="single"/>
        </w:rPr>
        <w:t>、</w:t>
      </w:r>
      <w:r>
        <w:rPr>
          <w:rFonts w:hint="eastAsia" w:ascii="宋体" w:hAnsi="宋体" w:eastAsia="宋体"/>
          <w:color w:val="auto"/>
          <w:szCs w:val="21"/>
          <w:highlight w:val="none"/>
          <w:u w:val="single"/>
          <w:lang w:eastAsia="zh-CN"/>
        </w:rPr>
        <w:t>宁波之新招标咨询有限公司</w:t>
      </w:r>
    </w:p>
    <w:p w14:paraId="3D1F37A6">
      <w:pPr>
        <w:spacing w:line="360" w:lineRule="auto"/>
        <w:ind w:firstLine="424"/>
        <w:rPr>
          <w:rFonts w:ascii="宋体" w:hAnsi="宋体" w:eastAsia="宋体" w:cs="宋体"/>
          <w:b/>
          <w:bCs/>
          <w:color w:val="auto"/>
          <w:kern w:val="1"/>
          <w:szCs w:val="21"/>
          <w:highlight w:val="none"/>
        </w:rPr>
      </w:pPr>
      <w:r>
        <w:rPr>
          <w:rFonts w:ascii="宋体" w:hAnsi="宋体" w:eastAsia="宋体" w:cs="宋体"/>
          <w:b/>
          <w:color w:val="auto"/>
          <w:kern w:val="1"/>
          <w:szCs w:val="21"/>
          <w:highlight w:val="none"/>
        </w:rPr>
        <w:t>本单位</w:t>
      </w:r>
      <w:r>
        <w:rPr>
          <w:rFonts w:hint="eastAsia" w:ascii="宋体" w:hAnsi="宋体" w:eastAsia="宋体" w:cs="宋体"/>
          <w:b/>
          <w:color w:val="auto"/>
          <w:kern w:val="1"/>
          <w:szCs w:val="21"/>
          <w:highlight w:val="none"/>
        </w:rPr>
        <w:t>自愿</w:t>
      </w:r>
      <w:r>
        <w:rPr>
          <w:rFonts w:ascii="宋体" w:hAnsi="宋体" w:eastAsia="宋体" w:cs="宋体"/>
          <w:b/>
          <w:color w:val="auto"/>
          <w:kern w:val="1"/>
          <w:szCs w:val="21"/>
          <w:highlight w:val="none"/>
        </w:rPr>
        <w:t>参加</w:t>
      </w:r>
      <w:r>
        <w:rPr>
          <w:rFonts w:hint="eastAsia" w:ascii="宋体" w:hAnsi="宋体" w:eastAsia="宋体" w:cs="宋体"/>
          <w:b/>
          <w:color w:val="auto"/>
          <w:kern w:val="1"/>
          <w:szCs w:val="21"/>
          <w:highlight w:val="none"/>
        </w:rPr>
        <w:t>磋商</w:t>
      </w:r>
      <w:r>
        <w:rPr>
          <w:rFonts w:ascii="宋体" w:hAnsi="宋体" w:eastAsia="宋体" w:cs="宋体"/>
          <w:b/>
          <w:color w:val="auto"/>
          <w:kern w:val="1"/>
          <w:szCs w:val="21"/>
          <w:highlight w:val="none"/>
        </w:rPr>
        <w:t>并声明</w:t>
      </w:r>
      <w:r>
        <w:rPr>
          <w:rFonts w:hint="eastAsia" w:ascii="宋体" w:hAnsi="宋体" w:eastAsia="宋体" w:cs="宋体"/>
          <w:b/>
          <w:bCs/>
          <w:color w:val="auto"/>
          <w:kern w:val="1"/>
          <w:szCs w:val="21"/>
          <w:highlight w:val="none"/>
        </w:rPr>
        <w:t>：</w:t>
      </w:r>
    </w:p>
    <w:p w14:paraId="4CF4037A">
      <w:pPr>
        <w:spacing w:line="360" w:lineRule="auto"/>
        <w:ind w:firstLine="424"/>
        <w:rPr>
          <w:rFonts w:ascii="宋体" w:hAnsi="宋体" w:eastAsia="宋体" w:cs="Arial"/>
          <w:color w:val="auto"/>
          <w:szCs w:val="21"/>
          <w:highlight w:val="none"/>
        </w:rPr>
      </w:pPr>
      <w:r>
        <w:rPr>
          <w:rFonts w:hint="eastAsia" w:ascii="宋体" w:hAnsi="宋体" w:eastAsia="宋体" w:cs="Arial"/>
          <w:color w:val="auto"/>
          <w:szCs w:val="21"/>
          <w:highlight w:val="none"/>
        </w:rPr>
        <w:t>1、具有独立承担民事责任的能力；</w:t>
      </w:r>
    </w:p>
    <w:p w14:paraId="3E15ED19">
      <w:pPr>
        <w:spacing w:line="360" w:lineRule="auto"/>
        <w:ind w:firstLine="424"/>
        <w:rPr>
          <w:rFonts w:ascii="宋体" w:hAnsi="宋体" w:eastAsia="宋体" w:cs="Arial"/>
          <w:color w:val="auto"/>
          <w:szCs w:val="21"/>
          <w:highlight w:val="none"/>
        </w:rPr>
      </w:pPr>
      <w:r>
        <w:rPr>
          <w:rFonts w:hint="eastAsia" w:ascii="宋体" w:hAnsi="宋体" w:eastAsia="宋体" w:cs="Arial"/>
          <w:color w:val="auto"/>
          <w:szCs w:val="21"/>
          <w:highlight w:val="none"/>
        </w:rPr>
        <w:t>2、具有良好的商业信誉和健全的财务会计制度；</w:t>
      </w:r>
    </w:p>
    <w:p w14:paraId="2A752DB7">
      <w:pPr>
        <w:spacing w:line="360" w:lineRule="auto"/>
        <w:ind w:firstLine="424"/>
        <w:rPr>
          <w:rFonts w:ascii="宋体" w:hAnsi="宋体" w:eastAsia="宋体" w:cs="Arial"/>
          <w:color w:val="auto"/>
          <w:szCs w:val="21"/>
          <w:highlight w:val="none"/>
        </w:rPr>
      </w:pPr>
      <w:r>
        <w:rPr>
          <w:rFonts w:hint="eastAsia" w:ascii="宋体" w:hAnsi="宋体" w:eastAsia="宋体" w:cs="Arial"/>
          <w:color w:val="auto"/>
          <w:szCs w:val="21"/>
          <w:highlight w:val="none"/>
        </w:rPr>
        <w:t>3、具有履行本项目合同所必需的设备和专业技术能力；</w:t>
      </w:r>
    </w:p>
    <w:p w14:paraId="36AB59C5">
      <w:pPr>
        <w:spacing w:line="360" w:lineRule="auto"/>
        <w:ind w:firstLine="424"/>
        <w:rPr>
          <w:rFonts w:ascii="宋体" w:hAnsi="宋体" w:eastAsia="宋体" w:cs="Arial"/>
          <w:color w:val="auto"/>
          <w:szCs w:val="21"/>
          <w:highlight w:val="none"/>
        </w:rPr>
      </w:pPr>
      <w:r>
        <w:rPr>
          <w:rFonts w:hint="eastAsia" w:ascii="宋体" w:hAnsi="宋体" w:eastAsia="宋体" w:cs="Arial"/>
          <w:color w:val="auto"/>
          <w:szCs w:val="21"/>
          <w:highlight w:val="none"/>
        </w:rPr>
        <w:t>4、已依法缴纳了税收和社会保障资金；</w:t>
      </w:r>
    </w:p>
    <w:p w14:paraId="0500397B">
      <w:pPr>
        <w:spacing w:line="360" w:lineRule="auto"/>
        <w:ind w:firstLine="424"/>
        <w:rPr>
          <w:rFonts w:ascii="宋体" w:hAnsi="宋体" w:eastAsia="宋体" w:cs="Arial"/>
          <w:color w:val="auto"/>
          <w:szCs w:val="21"/>
          <w:highlight w:val="none"/>
        </w:rPr>
      </w:pPr>
      <w:r>
        <w:rPr>
          <w:rFonts w:hint="eastAsia" w:ascii="宋体" w:hAnsi="宋体" w:eastAsia="宋体" w:cs="Arial"/>
          <w:color w:val="auto"/>
          <w:szCs w:val="21"/>
          <w:highlight w:val="none"/>
        </w:rPr>
        <w:t>5、在参加本次政府采购活动前三年内，在经营活动中没有重大违法记录（没有因违法经营受到刑事处罚或者责令停产停业、吊销许可证或者执照、较大数额罚款等行政处罚）；</w:t>
      </w:r>
    </w:p>
    <w:p w14:paraId="2555D4E6">
      <w:pPr>
        <w:spacing w:line="360" w:lineRule="auto"/>
        <w:ind w:firstLine="424"/>
        <w:rPr>
          <w:rFonts w:ascii="宋体" w:hAnsi="宋体" w:eastAsia="宋体" w:cs="Arial"/>
          <w:color w:val="auto"/>
          <w:szCs w:val="21"/>
          <w:highlight w:val="none"/>
        </w:rPr>
      </w:pPr>
      <w:r>
        <w:rPr>
          <w:rFonts w:hint="eastAsia" w:ascii="宋体" w:hAnsi="宋体" w:eastAsia="宋体" w:cs="Arial"/>
          <w:color w:val="auto"/>
          <w:szCs w:val="21"/>
          <w:highlight w:val="none"/>
        </w:rPr>
        <w:t>6、</w:t>
      </w:r>
      <w:r>
        <w:rPr>
          <w:rFonts w:ascii="宋体" w:hAnsi="宋体" w:eastAsia="宋体" w:cs="Arial"/>
          <w:color w:val="auto"/>
          <w:szCs w:val="21"/>
          <w:highlight w:val="none"/>
        </w:rPr>
        <w:t>本单位</w:t>
      </w:r>
      <w:r>
        <w:rPr>
          <w:rFonts w:hint="eastAsia" w:ascii="宋体" w:hAnsi="宋体" w:eastAsia="宋体" w:cs="Arial"/>
          <w:color w:val="auto"/>
          <w:szCs w:val="21"/>
          <w:highlight w:val="none"/>
        </w:rPr>
        <w:t>至响应截止日未被列入“信用中国”网站(www.creditchina.gov.cn)“失信被执行人或重大税收违法案件当事人名单或政府采购严重违法失信名单”且不处于中国政府采购网(www.ccgp.gov.cn)“政府采购严重违法失信行为信息记录”中的禁止参加政府采购活动期间；</w:t>
      </w:r>
    </w:p>
    <w:p w14:paraId="26DECC7D">
      <w:pPr>
        <w:spacing w:line="360" w:lineRule="auto"/>
        <w:ind w:firstLine="424"/>
        <w:rPr>
          <w:rFonts w:ascii="宋体" w:hAnsi="宋体" w:eastAsia="宋体" w:cs="Arial"/>
          <w:color w:val="auto"/>
          <w:szCs w:val="21"/>
          <w:highlight w:val="none"/>
        </w:rPr>
      </w:pPr>
      <w:r>
        <w:rPr>
          <w:rFonts w:hint="eastAsia" w:ascii="宋体" w:hAnsi="宋体" w:eastAsia="宋体" w:cs="Arial"/>
          <w:color w:val="auto"/>
          <w:szCs w:val="21"/>
          <w:highlight w:val="none"/>
        </w:rPr>
        <w:t>7、具有</w:t>
      </w:r>
      <w:r>
        <w:rPr>
          <w:rFonts w:ascii="宋体" w:hAnsi="宋体" w:eastAsia="宋体" w:cs="Arial"/>
          <w:color w:val="auto"/>
          <w:szCs w:val="21"/>
          <w:highlight w:val="none"/>
        </w:rPr>
        <w:t>法律、行政法规规定的其他条件</w:t>
      </w:r>
      <w:r>
        <w:rPr>
          <w:rFonts w:hint="eastAsia" w:ascii="宋体" w:hAnsi="宋体" w:eastAsia="宋体" w:cs="Arial"/>
          <w:color w:val="auto"/>
          <w:szCs w:val="21"/>
          <w:highlight w:val="none"/>
        </w:rPr>
        <w:t>；</w:t>
      </w:r>
    </w:p>
    <w:p w14:paraId="2B5DD776">
      <w:pPr>
        <w:spacing w:line="360" w:lineRule="auto"/>
        <w:ind w:firstLine="424"/>
        <w:rPr>
          <w:rFonts w:ascii="宋体" w:hAnsi="宋体" w:eastAsia="宋体" w:cs="Arial"/>
          <w:color w:val="auto"/>
          <w:szCs w:val="21"/>
          <w:highlight w:val="none"/>
        </w:rPr>
      </w:pPr>
      <w:r>
        <w:rPr>
          <w:rFonts w:hint="eastAsia" w:ascii="宋体" w:hAnsi="宋体" w:eastAsia="宋体" w:cs="Arial"/>
          <w:color w:val="auto"/>
          <w:szCs w:val="21"/>
          <w:highlight w:val="none"/>
        </w:rPr>
        <w:t>8、未采用联合体方式参加磋商；</w:t>
      </w:r>
    </w:p>
    <w:p w14:paraId="00F7284E">
      <w:pPr>
        <w:spacing w:line="360" w:lineRule="auto"/>
        <w:ind w:firstLine="424"/>
        <w:rPr>
          <w:rFonts w:ascii="宋体" w:hAnsi="宋体" w:eastAsia="宋体" w:cs="Arial"/>
          <w:color w:val="auto"/>
          <w:szCs w:val="21"/>
          <w:highlight w:val="none"/>
        </w:rPr>
      </w:pPr>
      <w:r>
        <w:rPr>
          <w:rFonts w:hint="eastAsia" w:ascii="宋体" w:hAnsi="宋体" w:eastAsia="宋体" w:cs="Arial"/>
          <w:color w:val="auto"/>
          <w:szCs w:val="21"/>
          <w:highlight w:val="none"/>
        </w:rPr>
        <w:t>9、</w:t>
      </w:r>
      <w:r>
        <w:rPr>
          <w:rFonts w:ascii="宋体" w:hAnsi="宋体" w:eastAsia="宋体" w:cs="Arial"/>
          <w:color w:val="auto"/>
          <w:szCs w:val="21"/>
          <w:highlight w:val="none"/>
        </w:rPr>
        <w:t>本单位的法定代表人或单位负责人与所参</w:t>
      </w:r>
      <w:r>
        <w:rPr>
          <w:rFonts w:hint="eastAsia" w:ascii="宋体" w:hAnsi="宋体" w:eastAsia="宋体" w:cs="Arial"/>
          <w:color w:val="auto"/>
          <w:szCs w:val="21"/>
          <w:highlight w:val="none"/>
        </w:rPr>
        <w:t>与</w:t>
      </w:r>
      <w:r>
        <w:rPr>
          <w:rFonts w:ascii="宋体" w:hAnsi="宋体" w:eastAsia="宋体" w:cs="Arial"/>
          <w:color w:val="auto"/>
          <w:szCs w:val="21"/>
          <w:highlight w:val="none"/>
        </w:rPr>
        <w:t>本项目</w:t>
      </w:r>
      <w:r>
        <w:rPr>
          <w:rFonts w:hint="eastAsia" w:ascii="宋体" w:hAnsi="宋体" w:eastAsia="宋体" w:cs="Arial"/>
          <w:color w:val="auto"/>
          <w:szCs w:val="21"/>
          <w:highlight w:val="none"/>
        </w:rPr>
        <w:t>磋商</w:t>
      </w:r>
      <w:r>
        <w:rPr>
          <w:rFonts w:ascii="宋体" w:hAnsi="宋体" w:eastAsia="宋体" w:cs="Arial"/>
          <w:color w:val="auto"/>
          <w:szCs w:val="21"/>
          <w:highlight w:val="none"/>
        </w:rPr>
        <w:t>的其他</w:t>
      </w:r>
      <w:r>
        <w:rPr>
          <w:rFonts w:hint="eastAsia" w:ascii="宋体" w:hAnsi="宋体" w:eastAsia="宋体" w:cs="Arial"/>
          <w:color w:val="auto"/>
          <w:szCs w:val="21"/>
          <w:highlight w:val="none"/>
        </w:rPr>
        <w:t>供应商</w:t>
      </w:r>
      <w:r>
        <w:rPr>
          <w:rFonts w:ascii="宋体" w:hAnsi="宋体" w:eastAsia="宋体" w:cs="Arial"/>
          <w:color w:val="auto"/>
          <w:szCs w:val="21"/>
          <w:highlight w:val="none"/>
        </w:rPr>
        <w:t>的法定代表人或单位负责人不为同一人且与其他</w:t>
      </w:r>
      <w:r>
        <w:rPr>
          <w:rFonts w:hint="eastAsia" w:ascii="宋体" w:hAnsi="宋体" w:eastAsia="宋体" w:cs="Arial"/>
          <w:color w:val="auto"/>
          <w:szCs w:val="21"/>
          <w:highlight w:val="none"/>
        </w:rPr>
        <w:t>供应商</w:t>
      </w:r>
      <w:r>
        <w:rPr>
          <w:rFonts w:ascii="宋体" w:hAnsi="宋体" w:eastAsia="宋体" w:cs="Arial"/>
          <w:color w:val="auto"/>
          <w:szCs w:val="21"/>
          <w:highlight w:val="none"/>
        </w:rPr>
        <w:t>之间不存在直接控股、管理关系</w:t>
      </w:r>
      <w:r>
        <w:rPr>
          <w:rFonts w:hint="eastAsia" w:ascii="宋体" w:hAnsi="宋体" w:eastAsia="宋体" w:cs="Arial"/>
          <w:color w:val="auto"/>
          <w:szCs w:val="21"/>
          <w:highlight w:val="none"/>
        </w:rPr>
        <w:t>；</w:t>
      </w:r>
    </w:p>
    <w:p w14:paraId="39868207">
      <w:pPr>
        <w:spacing w:line="360" w:lineRule="auto"/>
        <w:ind w:firstLine="424"/>
        <w:rPr>
          <w:rFonts w:ascii="宋体" w:hAnsi="宋体" w:eastAsia="宋体" w:cs="Arial"/>
          <w:color w:val="auto"/>
          <w:szCs w:val="21"/>
          <w:highlight w:val="none"/>
        </w:rPr>
      </w:pPr>
      <w:r>
        <w:rPr>
          <w:rFonts w:hint="eastAsia" w:ascii="宋体" w:hAnsi="宋体" w:eastAsia="宋体" w:cs="Arial"/>
          <w:color w:val="auto"/>
          <w:szCs w:val="21"/>
          <w:highlight w:val="none"/>
        </w:rPr>
        <w:t>10、</w:t>
      </w:r>
      <w:r>
        <w:rPr>
          <w:rFonts w:ascii="宋体" w:hAnsi="宋体" w:eastAsia="宋体" w:cs="Arial"/>
          <w:color w:val="auto"/>
          <w:szCs w:val="21"/>
          <w:highlight w:val="none"/>
        </w:rPr>
        <w:t>本单位</w:t>
      </w:r>
      <w:r>
        <w:rPr>
          <w:rFonts w:hint="eastAsia" w:ascii="宋体" w:hAnsi="宋体" w:eastAsia="宋体" w:cs="Arial"/>
          <w:color w:val="auto"/>
          <w:szCs w:val="21"/>
          <w:highlight w:val="none"/>
        </w:rPr>
        <w:t>不是</w:t>
      </w:r>
      <w:r>
        <w:rPr>
          <w:rFonts w:ascii="宋体" w:hAnsi="宋体" w:eastAsia="宋体" w:cs="Arial"/>
          <w:color w:val="auto"/>
          <w:szCs w:val="21"/>
          <w:highlight w:val="none"/>
        </w:rPr>
        <w:t>为本项目提供整体设计、规范编制或者项目管理、监理、检测等服务的</w:t>
      </w:r>
      <w:r>
        <w:rPr>
          <w:rFonts w:hint="eastAsia" w:ascii="宋体" w:hAnsi="宋体" w:eastAsia="宋体" w:cs="Arial"/>
          <w:color w:val="auto"/>
          <w:szCs w:val="21"/>
          <w:highlight w:val="none"/>
        </w:rPr>
        <w:t>供应商。</w:t>
      </w:r>
    </w:p>
    <w:p w14:paraId="009A0B3E">
      <w:pPr>
        <w:keepNext w:val="0"/>
        <w:keepLines w:val="0"/>
        <w:pageBreakBefore w:val="0"/>
        <w:widowControl w:val="0"/>
        <w:shd w:val="clear"/>
        <w:kinsoku/>
        <w:wordWrap/>
        <w:overflowPunct/>
        <w:topLinePunct w:val="0"/>
        <w:bidi w:val="0"/>
        <w:spacing w:line="440" w:lineRule="exact"/>
        <w:ind w:right="159" w:firstLine="420" w:firstLineChars="200"/>
        <w:jc w:val="left"/>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特此声明！</w:t>
      </w:r>
    </w:p>
    <w:p w14:paraId="64F3C0EF">
      <w:pPr>
        <w:keepNext w:val="0"/>
        <w:keepLines w:val="0"/>
        <w:pageBreakBefore w:val="0"/>
        <w:widowControl w:val="0"/>
        <w:shd w:val="clear"/>
        <w:kinsoku/>
        <w:wordWrap/>
        <w:overflowPunct/>
        <w:topLinePunct w:val="0"/>
        <w:bidi w:val="0"/>
        <w:spacing w:line="440" w:lineRule="exact"/>
        <w:ind w:right="159" w:firstLine="420" w:firstLineChars="200"/>
        <w:jc w:val="left"/>
        <w:rPr>
          <w:rFonts w:asciiTheme="majorEastAsia" w:hAnsiTheme="majorEastAsia" w:eastAsiaTheme="majorEastAsia"/>
          <w:color w:val="auto"/>
          <w:kern w:val="0"/>
          <w:szCs w:val="21"/>
          <w:highlight w:val="none"/>
        </w:rPr>
      </w:pPr>
    </w:p>
    <w:p w14:paraId="4035951C">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p w14:paraId="65136385">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供应商全称（公章）：</w:t>
      </w:r>
    </w:p>
    <w:p w14:paraId="59BB6835">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法定代表人（负责人）或授权代表（签字或盖章）：</w:t>
      </w:r>
    </w:p>
    <w:p w14:paraId="51CBCA6A">
      <w:pPr>
        <w:keepNext w:val="0"/>
        <w:keepLines w:val="0"/>
        <w:pageBreakBefore w:val="0"/>
        <w:widowControl w:val="0"/>
        <w:shd w:val="clear"/>
        <w:kinsoku/>
        <w:wordWrap/>
        <w:overflowPunct/>
        <w:topLinePunct w:val="0"/>
        <w:bidi w:val="0"/>
        <w:adjustRightInd w:val="0"/>
        <w:spacing w:line="440" w:lineRule="exact"/>
        <w:jc w:val="left"/>
        <w:rPr>
          <w:rFonts w:asciiTheme="majorEastAsia" w:hAnsiTheme="majorEastAsia" w:eastAsiaTheme="majorEastAsia"/>
          <w:b/>
          <w:color w:val="auto"/>
          <w:szCs w:val="21"/>
          <w:highlight w:val="none"/>
        </w:rPr>
      </w:pPr>
      <w:r>
        <w:rPr>
          <w:rFonts w:asciiTheme="majorEastAsia" w:hAnsiTheme="majorEastAsia" w:eastAsiaTheme="majorEastAsia"/>
          <w:color w:val="auto"/>
          <w:szCs w:val="21"/>
          <w:highlight w:val="none"/>
        </w:rPr>
        <w:t>日期：</w:t>
      </w:r>
      <w:r>
        <w:rPr>
          <w:rFonts w:asciiTheme="majorEastAsia" w:hAnsiTheme="majorEastAsia" w:eastAsiaTheme="majorEastAsia"/>
          <w:color w:val="auto"/>
          <w:szCs w:val="21"/>
          <w:highlight w:val="none"/>
        </w:rPr>
        <w:br w:type="page"/>
      </w:r>
      <w:r>
        <w:rPr>
          <w:rFonts w:asciiTheme="majorEastAsia" w:hAnsiTheme="majorEastAsia" w:eastAsiaTheme="majorEastAsia"/>
          <w:b/>
          <w:color w:val="auto"/>
          <w:szCs w:val="21"/>
          <w:highlight w:val="none"/>
        </w:rPr>
        <w:t>格式三：</w:t>
      </w:r>
    </w:p>
    <w:p w14:paraId="693CC657">
      <w:pPr>
        <w:keepNext w:val="0"/>
        <w:keepLines w:val="0"/>
        <w:pageBreakBefore w:val="0"/>
        <w:widowControl w:val="0"/>
        <w:shd w:val="clear"/>
        <w:kinsoku/>
        <w:wordWrap/>
        <w:overflowPunct/>
        <w:topLinePunct w:val="0"/>
        <w:bidi w:val="0"/>
        <w:adjustRightInd w:val="0"/>
        <w:spacing w:line="440" w:lineRule="exact"/>
        <w:jc w:val="center"/>
        <w:rPr>
          <w:rFonts w:asciiTheme="majorEastAsia" w:hAnsiTheme="majorEastAsia" w:eastAsiaTheme="majorEastAsia"/>
          <w:b/>
          <w:bCs/>
          <w:color w:val="auto"/>
          <w:szCs w:val="21"/>
          <w:highlight w:val="none"/>
        </w:rPr>
      </w:pPr>
      <w:r>
        <w:rPr>
          <w:rFonts w:hint="eastAsia" w:asciiTheme="majorEastAsia" w:hAnsiTheme="majorEastAsia" w:eastAsiaTheme="majorEastAsia"/>
          <w:b/>
          <w:bCs/>
          <w:color w:val="auto"/>
          <w:szCs w:val="21"/>
          <w:highlight w:val="none"/>
        </w:rPr>
        <w:t>评分索引表</w:t>
      </w:r>
    </w:p>
    <w:tbl>
      <w:tblPr>
        <w:tblStyle w:val="45"/>
        <w:tblpPr w:leftFromText="180" w:rightFromText="180" w:vertAnchor="text"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5045"/>
        <w:gridCol w:w="1326"/>
        <w:gridCol w:w="1210"/>
      </w:tblGrid>
      <w:tr w14:paraId="7DD37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552" w:type="pct"/>
            <w:vAlign w:val="center"/>
          </w:tcPr>
          <w:p w14:paraId="58F29816">
            <w:pPr>
              <w:keepNext w:val="0"/>
              <w:keepLines w:val="0"/>
              <w:pageBreakBefore w:val="0"/>
              <w:widowControl w:val="0"/>
              <w:shd w:val="clear"/>
              <w:kinsoku/>
              <w:wordWrap/>
              <w:overflowPunct/>
              <w:topLinePunct w:val="0"/>
              <w:bidi w:val="0"/>
              <w:spacing w:line="240" w:lineRule="auto"/>
              <w:contextualSpacing/>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项目</w:t>
            </w:r>
          </w:p>
        </w:tc>
        <w:tc>
          <w:tcPr>
            <w:tcW w:w="2960" w:type="pct"/>
            <w:vAlign w:val="center"/>
          </w:tcPr>
          <w:p w14:paraId="4C4C51AE">
            <w:pPr>
              <w:keepNext w:val="0"/>
              <w:keepLines w:val="0"/>
              <w:pageBreakBefore w:val="0"/>
              <w:widowControl w:val="0"/>
              <w:shd w:val="clear"/>
              <w:kinsoku/>
              <w:wordWrap/>
              <w:overflowPunct/>
              <w:topLinePunct w:val="0"/>
              <w:bidi w:val="0"/>
              <w:spacing w:line="240" w:lineRule="auto"/>
              <w:ind w:right="25" w:rightChars="12"/>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评审内容</w:t>
            </w:r>
          </w:p>
        </w:tc>
        <w:tc>
          <w:tcPr>
            <w:tcW w:w="778" w:type="pct"/>
            <w:vAlign w:val="center"/>
          </w:tcPr>
          <w:p w14:paraId="719A8CFF">
            <w:pPr>
              <w:keepNext w:val="0"/>
              <w:keepLines w:val="0"/>
              <w:pageBreakBefore w:val="0"/>
              <w:widowControl w:val="0"/>
              <w:shd w:val="clear"/>
              <w:kinsoku/>
              <w:wordWrap/>
              <w:overflowPunct/>
              <w:topLinePunct w:val="0"/>
              <w:bidi w:val="0"/>
              <w:spacing w:line="240" w:lineRule="auto"/>
              <w:ind w:right="25" w:rightChars="12"/>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自评分</w:t>
            </w:r>
          </w:p>
          <w:p w14:paraId="4DC54584">
            <w:pPr>
              <w:keepNext w:val="0"/>
              <w:keepLines w:val="0"/>
              <w:pageBreakBefore w:val="0"/>
              <w:widowControl w:val="0"/>
              <w:shd w:val="clear"/>
              <w:kinsoku/>
              <w:wordWrap/>
              <w:overflowPunct/>
              <w:topLinePunct w:val="0"/>
              <w:bidi w:val="0"/>
              <w:spacing w:line="240" w:lineRule="auto"/>
              <w:ind w:right="25" w:rightChars="12"/>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得分</w:t>
            </w:r>
          </w:p>
        </w:tc>
        <w:tc>
          <w:tcPr>
            <w:tcW w:w="711" w:type="pct"/>
            <w:vAlign w:val="center"/>
          </w:tcPr>
          <w:p w14:paraId="76F88FF5">
            <w:pPr>
              <w:keepNext w:val="0"/>
              <w:keepLines w:val="0"/>
              <w:pageBreakBefore w:val="0"/>
              <w:widowControl w:val="0"/>
              <w:shd w:val="clear"/>
              <w:kinsoku/>
              <w:wordWrap/>
              <w:overflowPunct/>
              <w:topLinePunct w:val="0"/>
              <w:bidi w:val="0"/>
              <w:spacing w:line="240" w:lineRule="auto"/>
              <w:ind w:right="25" w:rightChars="12"/>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对应页码</w:t>
            </w:r>
          </w:p>
        </w:tc>
      </w:tr>
      <w:tr w14:paraId="7DDC8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restart"/>
            <w:vAlign w:val="center"/>
          </w:tcPr>
          <w:p w14:paraId="22BD2184">
            <w:pPr>
              <w:keepNext w:val="0"/>
              <w:keepLines w:val="0"/>
              <w:pageBreakBefore w:val="0"/>
              <w:widowControl w:val="0"/>
              <w:shd w:val="clear"/>
              <w:kinsoku/>
              <w:wordWrap/>
              <w:overflowPunct/>
              <w:topLinePunct w:val="0"/>
              <w:autoSpaceDE w:val="0"/>
              <w:autoSpaceDN w:val="0"/>
              <w:bidi w:val="0"/>
              <w:adjustRightInd w:val="0"/>
              <w:spacing w:line="240" w:lineRule="auto"/>
              <w:jc w:val="center"/>
              <w:rPr>
                <w:rFonts w:asciiTheme="majorEastAsia" w:hAnsiTheme="majorEastAsia" w:eastAsiaTheme="majorEastAsia"/>
                <w:b/>
                <w:bCs/>
                <w:color w:val="auto"/>
                <w:szCs w:val="21"/>
                <w:highlight w:val="none"/>
                <w:lang w:val="zh-CN"/>
              </w:rPr>
            </w:pPr>
            <w:r>
              <w:rPr>
                <w:rFonts w:asciiTheme="majorEastAsia" w:hAnsiTheme="majorEastAsia" w:eastAsiaTheme="majorEastAsia"/>
                <w:b/>
                <w:bCs/>
                <w:color w:val="auto"/>
                <w:szCs w:val="21"/>
                <w:highlight w:val="none"/>
                <w:lang w:val="zh-CN"/>
              </w:rPr>
              <w:t>资信</w:t>
            </w:r>
          </w:p>
          <w:p w14:paraId="796E5815">
            <w:pPr>
              <w:keepNext w:val="0"/>
              <w:keepLines w:val="0"/>
              <w:pageBreakBefore w:val="0"/>
              <w:widowControl w:val="0"/>
              <w:shd w:val="clear"/>
              <w:kinsoku/>
              <w:wordWrap/>
              <w:overflowPunct/>
              <w:topLinePunct w:val="0"/>
              <w:autoSpaceDE w:val="0"/>
              <w:autoSpaceDN w:val="0"/>
              <w:bidi w:val="0"/>
              <w:adjustRightInd w:val="0"/>
              <w:spacing w:line="240" w:lineRule="auto"/>
              <w:jc w:val="center"/>
              <w:rPr>
                <w:rFonts w:asciiTheme="majorEastAsia" w:hAnsiTheme="majorEastAsia" w:eastAsiaTheme="majorEastAsia"/>
                <w:b/>
                <w:bCs/>
                <w:color w:val="auto"/>
                <w:szCs w:val="21"/>
                <w:highlight w:val="none"/>
                <w:lang w:val="zh-CN"/>
              </w:rPr>
            </w:pPr>
            <w:r>
              <w:rPr>
                <w:rFonts w:asciiTheme="majorEastAsia" w:hAnsiTheme="majorEastAsia" w:eastAsiaTheme="majorEastAsia"/>
                <w:b/>
                <w:bCs/>
                <w:color w:val="auto"/>
                <w:szCs w:val="21"/>
                <w:highlight w:val="none"/>
                <w:lang w:val="zh-CN"/>
              </w:rPr>
              <w:t>技术分</w:t>
            </w:r>
          </w:p>
        </w:tc>
        <w:tc>
          <w:tcPr>
            <w:tcW w:w="2960" w:type="pct"/>
            <w:vAlign w:val="center"/>
          </w:tcPr>
          <w:p w14:paraId="0BC3C061">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bCs/>
                <w:color w:val="auto"/>
                <w:szCs w:val="21"/>
                <w:highlight w:val="none"/>
              </w:rPr>
            </w:pPr>
          </w:p>
        </w:tc>
        <w:tc>
          <w:tcPr>
            <w:tcW w:w="778" w:type="pct"/>
            <w:vAlign w:val="center"/>
          </w:tcPr>
          <w:p w14:paraId="3084990D">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bCs/>
                <w:color w:val="auto"/>
                <w:szCs w:val="21"/>
                <w:highlight w:val="none"/>
              </w:rPr>
            </w:pPr>
          </w:p>
        </w:tc>
        <w:tc>
          <w:tcPr>
            <w:tcW w:w="711" w:type="pct"/>
            <w:vAlign w:val="center"/>
          </w:tcPr>
          <w:p w14:paraId="1809C546">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bCs/>
                <w:color w:val="auto"/>
                <w:szCs w:val="21"/>
                <w:highlight w:val="none"/>
              </w:rPr>
            </w:pPr>
          </w:p>
        </w:tc>
      </w:tr>
      <w:tr w14:paraId="3E2F6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2DA2DDF2">
            <w:pPr>
              <w:keepNext w:val="0"/>
              <w:keepLines w:val="0"/>
              <w:pageBreakBefore w:val="0"/>
              <w:widowControl w:val="0"/>
              <w:shd w:val="clear"/>
              <w:kinsoku/>
              <w:wordWrap/>
              <w:overflowPunct/>
              <w:topLinePunct w:val="0"/>
              <w:bidi w:val="0"/>
              <w:spacing w:line="240" w:lineRule="auto"/>
              <w:contextualSpacing/>
              <w:jc w:val="center"/>
              <w:rPr>
                <w:rFonts w:asciiTheme="majorEastAsia" w:hAnsiTheme="majorEastAsia" w:eastAsiaTheme="majorEastAsia"/>
                <w:b/>
                <w:color w:val="auto"/>
                <w:szCs w:val="21"/>
                <w:highlight w:val="none"/>
              </w:rPr>
            </w:pPr>
          </w:p>
        </w:tc>
        <w:tc>
          <w:tcPr>
            <w:tcW w:w="2960" w:type="pct"/>
            <w:vAlign w:val="center"/>
          </w:tcPr>
          <w:p w14:paraId="3D15E749">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c>
          <w:tcPr>
            <w:tcW w:w="778" w:type="pct"/>
            <w:vAlign w:val="center"/>
          </w:tcPr>
          <w:p w14:paraId="65A00E7F">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c>
          <w:tcPr>
            <w:tcW w:w="711" w:type="pct"/>
            <w:vAlign w:val="center"/>
          </w:tcPr>
          <w:p w14:paraId="6BE4137F">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r>
      <w:tr w14:paraId="75616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39CE8236">
            <w:pPr>
              <w:keepNext w:val="0"/>
              <w:keepLines w:val="0"/>
              <w:pageBreakBefore w:val="0"/>
              <w:widowControl w:val="0"/>
              <w:shd w:val="clear"/>
              <w:kinsoku/>
              <w:wordWrap/>
              <w:overflowPunct/>
              <w:topLinePunct w:val="0"/>
              <w:bidi w:val="0"/>
              <w:spacing w:line="240" w:lineRule="auto"/>
              <w:contextualSpacing/>
              <w:jc w:val="center"/>
              <w:rPr>
                <w:rFonts w:asciiTheme="majorEastAsia" w:hAnsiTheme="majorEastAsia" w:eastAsiaTheme="majorEastAsia"/>
                <w:b/>
                <w:color w:val="auto"/>
                <w:szCs w:val="21"/>
                <w:highlight w:val="none"/>
              </w:rPr>
            </w:pPr>
          </w:p>
        </w:tc>
        <w:tc>
          <w:tcPr>
            <w:tcW w:w="2960" w:type="pct"/>
            <w:vAlign w:val="center"/>
          </w:tcPr>
          <w:p w14:paraId="6E134EE1">
            <w:pPr>
              <w:keepNext w:val="0"/>
              <w:keepLines w:val="0"/>
              <w:pageBreakBefore w:val="0"/>
              <w:widowControl w:val="0"/>
              <w:shd w:val="clear"/>
              <w:kinsoku/>
              <w:wordWrap/>
              <w:overflowPunct/>
              <w:topLinePunct w:val="0"/>
              <w:bidi w:val="0"/>
              <w:spacing w:line="240" w:lineRule="auto"/>
              <w:rPr>
                <w:rFonts w:asciiTheme="majorEastAsia" w:hAnsiTheme="majorEastAsia" w:eastAsiaTheme="majorEastAsia"/>
                <w:color w:val="auto"/>
                <w:szCs w:val="21"/>
                <w:highlight w:val="none"/>
              </w:rPr>
            </w:pPr>
          </w:p>
        </w:tc>
        <w:tc>
          <w:tcPr>
            <w:tcW w:w="778" w:type="pct"/>
            <w:vAlign w:val="center"/>
          </w:tcPr>
          <w:p w14:paraId="698D23C9">
            <w:pPr>
              <w:keepNext w:val="0"/>
              <w:keepLines w:val="0"/>
              <w:pageBreakBefore w:val="0"/>
              <w:widowControl w:val="0"/>
              <w:shd w:val="clear"/>
              <w:kinsoku/>
              <w:wordWrap/>
              <w:overflowPunct/>
              <w:topLinePunct w:val="0"/>
              <w:bidi w:val="0"/>
              <w:spacing w:line="240" w:lineRule="auto"/>
              <w:rPr>
                <w:rFonts w:asciiTheme="majorEastAsia" w:hAnsiTheme="majorEastAsia" w:eastAsiaTheme="majorEastAsia"/>
                <w:color w:val="auto"/>
                <w:szCs w:val="21"/>
                <w:highlight w:val="none"/>
              </w:rPr>
            </w:pPr>
          </w:p>
        </w:tc>
        <w:tc>
          <w:tcPr>
            <w:tcW w:w="711" w:type="pct"/>
            <w:vAlign w:val="center"/>
          </w:tcPr>
          <w:p w14:paraId="168EAFEE">
            <w:pPr>
              <w:keepNext w:val="0"/>
              <w:keepLines w:val="0"/>
              <w:pageBreakBefore w:val="0"/>
              <w:widowControl w:val="0"/>
              <w:shd w:val="clear"/>
              <w:kinsoku/>
              <w:wordWrap/>
              <w:overflowPunct/>
              <w:topLinePunct w:val="0"/>
              <w:bidi w:val="0"/>
              <w:spacing w:line="240" w:lineRule="auto"/>
              <w:rPr>
                <w:rFonts w:asciiTheme="majorEastAsia" w:hAnsiTheme="majorEastAsia" w:eastAsiaTheme="majorEastAsia"/>
                <w:color w:val="auto"/>
                <w:szCs w:val="21"/>
                <w:highlight w:val="none"/>
              </w:rPr>
            </w:pPr>
          </w:p>
        </w:tc>
      </w:tr>
      <w:tr w14:paraId="612BF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4DD65AEB">
            <w:pPr>
              <w:keepNext w:val="0"/>
              <w:keepLines w:val="0"/>
              <w:pageBreakBefore w:val="0"/>
              <w:widowControl w:val="0"/>
              <w:shd w:val="clear"/>
              <w:kinsoku/>
              <w:wordWrap/>
              <w:overflowPunct/>
              <w:topLinePunct w:val="0"/>
              <w:bidi w:val="0"/>
              <w:spacing w:line="240" w:lineRule="auto"/>
              <w:contextualSpacing/>
              <w:jc w:val="center"/>
              <w:rPr>
                <w:rFonts w:asciiTheme="majorEastAsia" w:hAnsiTheme="majorEastAsia" w:eastAsiaTheme="majorEastAsia"/>
                <w:b/>
                <w:color w:val="auto"/>
                <w:szCs w:val="21"/>
                <w:highlight w:val="none"/>
              </w:rPr>
            </w:pPr>
          </w:p>
        </w:tc>
        <w:tc>
          <w:tcPr>
            <w:tcW w:w="2960" w:type="pct"/>
            <w:vAlign w:val="center"/>
          </w:tcPr>
          <w:p w14:paraId="685ECAD2">
            <w:pPr>
              <w:keepNext w:val="0"/>
              <w:keepLines w:val="0"/>
              <w:pageBreakBefore w:val="0"/>
              <w:widowControl w:val="0"/>
              <w:shd w:val="clear"/>
              <w:kinsoku/>
              <w:wordWrap/>
              <w:overflowPunct/>
              <w:topLinePunct w:val="0"/>
              <w:bidi w:val="0"/>
              <w:spacing w:line="240" w:lineRule="auto"/>
              <w:rPr>
                <w:rFonts w:asciiTheme="majorEastAsia" w:hAnsiTheme="majorEastAsia" w:eastAsiaTheme="majorEastAsia"/>
                <w:color w:val="auto"/>
                <w:szCs w:val="21"/>
                <w:highlight w:val="none"/>
              </w:rPr>
            </w:pPr>
          </w:p>
        </w:tc>
        <w:tc>
          <w:tcPr>
            <w:tcW w:w="778" w:type="pct"/>
            <w:vAlign w:val="center"/>
          </w:tcPr>
          <w:p w14:paraId="37EAC82A">
            <w:pPr>
              <w:keepNext w:val="0"/>
              <w:keepLines w:val="0"/>
              <w:pageBreakBefore w:val="0"/>
              <w:widowControl w:val="0"/>
              <w:shd w:val="clear"/>
              <w:kinsoku/>
              <w:wordWrap/>
              <w:overflowPunct/>
              <w:topLinePunct w:val="0"/>
              <w:bidi w:val="0"/>
              <w:spacing w:line="240" w:lineRule="auto"/>
              <w:rPr>
                <w:rFonts w:cs="新宋体" w:asciiTheme="majorEastAsia" w:hAnsiTheme="majorEastAsia" w:eastAsiaTheme="majorEastAsia"/>
                <w:color w:val="auto"/>
                <w:szCs w:val="21"/>
                <w:highlight w:val="none"/>
              </w:rPr>
            </w:pPr>
          </w:p>
        </w:tc>
        <w:tc>
          <w:tcPr>
            <w:tcW w:w="711" w:type="pct"/>
            <w:vAlign w:val="center"/>
          </w:tcPr>
          <w:p w14:paraId="42143F14">
            <w:pPr>
              <w:keepNext w:val="0"/>
              <w:keepLines w:val="0"/>
              <w:pageBreakBefore w:val="0"/>
              <w:widowControl w:val="0"/>
              <w:shd w:val="clear"/>
              <w:kinsoku/>
              <w:wordWrap/>
              <w:overflowPunct/>
              <w:topLinePunct w:val="0"/>
              <w:bidi w:val="0"/>
              <w:spacing w:line="240" w:lineRule="auto"/>
              <w:rPr>
                <w:rFonts w:cs="新宋体" w:asciiTheme="majorEastAsia" w:hAnsiTheme="majorEastAsia" w:eastAsiaTheme="majorEastAsia"/>
                <w:color w:val="auto"/>
                <w:szCs w:val="21"/>
                <w:highlight w:val="none"/>
              </w:rPr>
            </w:pPr>
          </w:p>
        </w:tc>
      </w:tr>
      <w:tr w14:paraId="5812F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13A6897C">
            <w:pPr>
              <w:keepNext w:val="0"/>
              <w:keepLines w:val="0"/>
              <w:pageBreakBefore w:val="0"/>
              <w:widowControl w:val="0"/>
              <w:shd w:val="clear"/>
              <w:kinsoku/>
              <w:wordWrap/>
              <w:overflowPunct/>
              <w:topLinePunct w:val="0"/>
              <w:bidi w:val="0"/>
              <w:spacing w:line="240" w:lineRule="auto"/>
              <w:contextualSpacing/>
              <w:jc w:val="center"/>
              <w:rPr>
                <w:rFonts w:asciiTheme="majorEastAsia" w:hAnsiTheme="majorEastAsia" w:eastAsiaTheme="majorEastAsia"/>
                <w:b/>
                <w:color w:val="auto"/>
                <w:szCs w:val="21"/>
                <w:highlight w:val="none"/>
              </w:rPr>
            </w:pPr>
          </w:p>
        </w:tc>
        <w:tc>
          <w:tcPr>
            <w:tcW w:w="2960" w:type="pct"/>
            <w:vAlign w:val="center"/>
          </w:tcPr>
          <w:p w14:paraId="383A0316">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c>
          <w:tcPr>
            <w:tcW w:w="778" w:type="pct"/>
            <w:vAlign w:val="center"/>
          </w:tcPr>
          <w:p w14:paraId="33BECD1C">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c>
          <w:tcPr>
            <w:tcW w:w="711" w:type="pct"/>
            <w:vAlign w:val="center"/>
          </w:tcPr>
          <w:p w14:paraId="2EDB6265">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r>
      <w:tr w14:paraId="3C33B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470989A9">
            <w:pPr>
              <w:keepNext w:val="0"/>
              <w:keepLines w:val="0"/>
              <w:pageBreakBefore w:val="0"/>
              <w:widowControl w:val="0"/>
              <w:shd w:val="clear"/>
              <w:kinsoku/>
              <w:wordWrap/>
              <w:overflowPunct/>
              <w:topLinePunct w:val="0"/>
              <w:bidi w:val="0"/>
              <w:spacing w:line="240" w:lineRule="auto"/>
              <w:contextualSpacing/>
              <w:jc w:val="center"/>
              <w:rPr>
                <w:rFonts w:asciiTheme="majorEastAsia" w:hAnsiTheme="majorEastAsia" w:eastAsiaTheme="majorEastAsia"/>
                <w:b/>
                <w:color w:val="auto"/>
                <w:szCs w:val="21"/>
                <w:highlight w:val="none"/>
              </w:rPr>
            </w:pPr>
          </w:p>
        </w:tc>
        <w:tc>
          <w:tcPr>
            <w:tcW w:w="2960" w:type="pct"/>
            <w:vAlign w:val="center"/>
          </w:tcPr>
          <w:p w14:paraId="2E4AF6D3">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c>
          <w:tcPr>
            <w:tcW w:w="778" w:type="pct"/>
            <w:vAlign w:val="center"/>
          </w:tcPr>
          <w:p w14:paraId="5DA1D390">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c>
          <w:tcPr>
            <w:tcW w:w="711" w:type="pct"/>
            <w:vAlign w:val="center"/>
          </w:tcPr>
          <w:p w14:paraId="32E25AA6">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r>
      <w:tr w14:paraId="08310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000CDD9E">
            <w:pPr>
              <w:keepNext w:val="0"/>
              <w:keepLines w:val="0"/>
              <w:pageBreakBefore w:val="0"/>
              <w:widowControl w:val="0"/>
              <w:shd w:val="clear"/>
              <w:kinsoku/>
              <w:wordWrap/>
              <w:overflowPunct/>
              <w:topLinePunct w:val="0"/>
              <w:bidi w:val="0"/>
              <w:spacing w:line="240" w:lineRule="auto"/>
              <w:contextualSpacing/>
              <w:jc w:val="center"/>
              <w:rPr>
                <w:rFonts w:asciiTheme="majorEastAsia" w:hAnsiTheme="majorEastAsia" w:eastAsiaTheme="majorEastAsia"/>
                <w:b/>
                <w:color w:val="auto"/>
                <w:szCs w:val="21"/>
                <w:highlight w:val="none"/>
              </w:rPr>
            </w:pPr>
          </w:p>
        </w:tc>
        <w:tc>
          <w:tcPr>
            <w:tcW w:w="2960" w:type="pct"/>
            <w:vAlign w:val="center"/>
          </w:tcPr>
          <w:p w14:paraId="6F4A2CE0">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c>
          <w:tcPr>
            <w:tcW w:w="778" w:type="pct"/>
            <w:vAlign w:val="center"/>
          </w:tcPr>
          <w:p w14:paraId="19FEB033">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c>
          <w:tcPr>
            <w:tcW w:w="711" w:type="pct"/>
            <w:vAlign w:val="center"/>
          </w:tcPr>
          <w:p w14:paraId="68893F8F">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r>
      <w:tr w14:paraId="5C688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4D204C66">
            <w:pPr>
              <w:keepNext w:val="0"/>
              <w:keepLines w:val="0"/>
              <w:pageBreakBefore w:val="0"/>
              <w:widowControl w:val="0"/>
              <w:shd w:val="clear"/>
              <w:kinsoku/>
              <w:wordWrap/>
              <w:overflowPunct/>
              <w:topLinePunct w:val="0"/>
              <w:bidi w:val="0"/>
              <w:spacing w:line="240" w:lineRule="auto"/>
              <w:contextualSpacing/>
              <w:jc w:val="center"/>
              <w:rPr>
                <w:rFonts w:asciiTheme="majorEastAsia" w:hAnsiTheme="majorEastAsia" w:eastAsiaTheme="majorEastAsia"/>
                <w:b/>
                <w:color w:val="auto"/>
                <w:szCs w:val="21"/>
                <w:highlight w:val="none"/>
              </w:rPr>
            </w:pPr>
          </w:p>
        </w:tc>
        <w:tc>
          <w:tcPr>
            <w:tcW w:w="2960" w:type="pct"/>
            <w:vAlign w:val="center"/>
          </w:tcPr>
          <w:p w14:paraId="0B5D5AC1">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c>
          <w:tcPr>
            <w:tcW w:w="778" w:type="pct"/>
            <w:vAlign w:val="center"/>
          </w:tcPr>
          <w:p w14:paraId="65D3760A">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c>
          <w:tcPr>
            <w:tcW w:w="711" w:type="pct"/>
            <w:vAlign w:val="center"/>
          </w:tcPr>
          <w:p w14:paraId="2069473F">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r>
      <w:tr w14:paraId="7549B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7F2EFAA0">
            <w:pPr>
              <w:keepNext w:val="0"/>
              <w:keepLines w:val="0"/>
              <w:pageBreakBefore w:val="0"/>
              <w:widowControl w:val="0"/>
              <w:shd w:val="clear"/>
              <w:kinsoku/>
              <w:wordWrap/>
              <w:overflowPunct/>
              <w:topLinePunct w:val="0"/>
              <w:bidi w:val="0"/>
              <w:spacing w:line="240" w:lineRule="auto"/>
              <w:contextualSpacing/>
              <w:jc w:val="center"/>
              <w:rPr>
                <w:rFonts w:asciiTheme="majorEastAsia" w:hAnsiTheme="majorEastAsia" w:eastAsiaTheme="majorEastAsia"/>
                <w:b/>
                <w:color w:val="auto"/>
                <w:szCs w:val="21"/>
                <w:highlight w:val="none"/>
              </w:rPr>
            </w:pPr>
          </w:p>
        </w:tc>
        <w:tc>
          <w:tcPr>
            <w:tcW w:w="2960" w:type="pct"/>
            <w:vAlign w:val="center"/>
          </w:tcPr>
          <w:p w14:paraId="04735D20">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c>
          <w:tcPr>
            <w:tcW w:w="778" w:type="pct"/>
            <w:vAlign w:val="center"/>
          </w:tcPr>
          <w:p w14:paraId="24C085A9">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c>
          <w:tcPr>
            <w:tcW w:w="711" w:type="pct"/>
            <w:vAlign w:val="center"/>
          </w:tcPr>
          <w:p w14:paraId="2A6E3DCC">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r>
      <w:tr w14:paraId="4C3B7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7F8697B6">
            <w:pPr>
              <w:keepNext w:val="0"/>
              <w:keepLines w:val="0"/>
              <w:pageBreakBefore w:val="0"/>
              <w:widowControl w:val="0"/>
              <w:shd w:val="clear"/>
              <w:kinsoku/>
              <w:wordWrap/>
              <w:overflowPunct/>
              <w:topLinePunct w:val="0"/>
              <w:bidi w:val="0"/>
              <w:spacing w:line="240" w:lineRule="auto"/>
              <w:contextualSpacing/>
              <w:jc w:val="center"/>
              <w:rPr>
                <w:rFonts w:asciiTheme="majorEastAsia" w:hAnsiTheme="majorEastAsia" w:eastAsiaTheme="majorEastAsia"/>
                <w:b/>
                <w:color w:val="auto"/>
                <w:szCs w:val="21"/>
                <w:highlight w:val="none"/>
              </w:rPr>
            </w:pPr>
          </w:p>
        </w:tc>
        <w:tc>
          <w:tcPr>
            <w:tcW w:w="2960" w:type="pct"/>
            <w:vAlign w:val="center"/>
          </w:tcPr>
          <w:p w14:paraId="0E4A3ED4">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c>
          <w:tcPr>
            <w:tcW w:w="778" w:type="pct"/>
            <w:vAlign w:val="center"/>
          </w:tcPr>
          <w:p w14:paraId="65FA9ADE">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c>
          <w:tcPr>
            <w:tcW w:w="711" w:type="pct"/>
            <w:vAlign w:val="center"/>
          </w:tcPr>
          <w:p w14:paraId="5E2D4918">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r>
      <w:tr w14:paraId="64F0A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618FCEB4">
            <w:pPr>
              <w:keepNext w:val="0"/>
              <w:keepLines w:val="0"/>
              <w:pageBreakBefore w:val="0"/>
              <w:widowControl w:val="0"/>
              <w:shd w:val="clear"/>
              <w:kinsoku/>
              <w:wordWrap/>
              <w:overflowPunct/>
              <w:topLinePunct w:val="0"/>
              <w:bidi w:val="0"/>
              <w:spacing w:line="240" w:lineRule="auto"/>
              <w:contextualSpacing/>
              <w:jc w:val="center"/>
              <w:rPr>
                <w:rFonts w:asciiTheme="majorEastAsia" w:hAnsiTheme="majorEastAsia" w:eastAsiaTheme="majorEastAsia"/>
                <w:b/>
                <w:color w:val="auto"/>
                <w:szCs w:val="21"/>
                <w:highlight w:val="none"/>
              </w:rPr>
            </w:pPr>
          </w:p>
        </w:tc>
        <w:tc>
          <w:tcPr>
            <w:tcW w:w="2960" w:type="pct"/>
            <w:vAlign w:val="center"/>
          </w:tcPr>
          <w:p w14:paraId="56A548C1">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c>
          <w:tcPr>
            <w:tcW w:w="778" w:type="pct"/>
            <w:vAlign w:val="center"/>
          </w:tcPr>
          <w:p w14:paraId="14605C1C">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c>
          <w:tcPr>
            <w:tcW w:w="711" w:type="pct"/>
            <w:vAlign w:val="center"/>
          </w:tcPr>
          <w:p w14:paraId="5E3F314B">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r>
    </w:tbl>
    <w:p w14:paraId="14CE7C40">
      <w:pPr>
        <w:pStyle w:val="20"/>
        <w:keepNext w:val="0"/>
        <w:keepLines w:val="0"/>
        <w:pageBreakBefore w:val="0"/>
        <w:widowControl w:val="0"/>
        <w:shd w:val="clear"/>
        <w:kinsoku/>
        <w:wordWrap/>
        <w:overflowPunct/>
        <w:topLinePunct w:val="0"/>
        <w:bidi w:val="0"/>
        <w:spacing w:line="440" w:lineRule="exact"/>
        <w:ind w:firstLine="0"/>
        <w:rPr>
          <w:rFonts w:asciiTheme="majorEastAsia" w:hAnsiTheme="majorEastAsia" w:eastAsiaTheme="majorEastAsia"/>
          <w:b/>
          <w:color w:val="auto"/>
          <w:sz w:val="21"/>
          <w:szCs w:val="21"/>
          <w:highlight w:val="none"/>
        </w:rPr>
      </w:pPr>
    </w:p>
    <w:p w14:paraId="1824C588">
      <w:pPr>
        <w:pStyle w:val="20"/>
        <w:keepNext w:val="0"/>
        <w:keepLines w:val="0"/>
        <w:pageBreakBefore w:val="0"/>
        <w:widowControl w:val="0"/>
        <w:shd w:val="clear"/>
        <w:kinsoku/>
        <w:wordWrap/>
        <w:overflowPunct/>
        <w:topLinePunct w:val="0"/>
        <w:bidi w:val="0"/>
        <w:spacing w:line="440" w:lineRule="exact"/>
        <w:ind w:firstLine="0"/>
        <w:rPr>
          <w:rFonts w:asciiTheme="majorEastAsia" w:hAnsiTheme="majorEastAsia" w:eastAsiaTheme="majorEastAsia"/>
          <w:b/>
          <w:color w:val="auto"/>
          <w:sz w:val="21"/>
          <w:szCs w:val="21"/>
          <w:highlight w:val="none"/>
        </w:rPr>
      </w:pPr>
      <w:r>
        <w:rPr>
          <w:rFonts w:asciiTheme="majorEastAsia" w:hAnsiTheme="majorEastAsia" w:eastAsiaTheme="majorEastAsia"/>
          <w:color w:val="auto"/>
          <w:highlight w:val="none"/>
        </w:rPr>
        <w:br w:type="page"/>
      </w:r>
      <w:r>
        <w:rPr>
          <w:rFonts w:hint="eastAsia" w:asciiTheme="majorEastAsia" w:hAnsiTheme="majorEastAsia" w:eastAsiaTheme="majorEastAsia"/>
          <w:b/>
          <w:color w:val="auto"/>
          <w:sz w:val="21"/>
          <w:szCs w:val="21"/>
          <w:highlight w:val="none"/>
        </w:rPr>
        <w:t>格式四：</w:t>
      </w:r>
    </w:p>
    <w:p w14:paraId="39E7C459">
      <w:pPr>
        <w:pStyle w:val="20"/>
        <w:keepNext w:val="0"/>
        <w:keepLines w:val="0"/>
        <w:pageBreakBefore w:val="0"/>
        <w:widowControl w:val="0"/>
        <w:shd w:val="clear"/>
        <w:kinsoku/>
        <w:wordWrap/>
        <w:overflowPunct/>
        <w:topLinePunct w:val="0"/>
        <w:bidi w:val="0"/>
        <w:spacing w:line="440" w:lineRule="exact"/>
        <w:ind w:firstLine="0"/>
        <w:jc w:val="center"/>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法定代表人（负责人）身份证明</w:t>
      </w:r>
    </w:p>
    <w:p w14:paraId="7A7BAEBE">
      <w:pPr>
        <w:keepNext w:val="0"/>
        <w:keepLines w:val="0"/>
        <w:pageBreakBefore w:val="0"/>
        <w:widowControl w:val="0"/>
        <w:shd w:val="clear"/>
        <w:kinsoku/>
        <w:wordWrap/>
        <w:overflowPunct/>
        <w:topLinePunct w:val="0"/>
        <w:bidi w:val="0"/>
        <w:adjustRightInd w:val="0"/>
        <w:spacing w:line="440" w:lineRule="exact"/>
        <w:jc w:val="left"/>
        <w:rPr>
          <w:rFonts w:asciiTheme="majorEastAsia" w:hAnsiTheme="majorEastAsia" w:eastAsiaTheme="majorEastAsia"/>
          <w:b/>
          <w:color w:val="auto"/>
          <w:szCs w:val="21"/>
          <w:highlight w:val="none"/>
        </w:rPr>
      </w:pPr>
    </w:p>
    <w:p w14:paraId="4A9C17AC">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u w:val="none"/>
        </w:rPr>
      </w:pPr>
      <w:r>
        <w:rPr>
          <w:rFonts w:asciiTheme="majorEastAsia" w:hAnsiTheme="majorEastAsia" w:eastAsiaTheme="majorEastAsia"/>
          <w:color w:val="auto"/>
          <w:szCs w:val="21"/>
          <w:highlight w:val="none"/>
        </w:rPr>
        <w:t>单位名称：</w:t>
      </w:r>
      <w:r>
        <w:rPr>
          <w:rFonts w:asciiTheme="majorEastAsia" w:hAnsiTheme="majorEastAsia" w:eastAsiaTheme="majorEastAsia"/>
          <w:color w:val="auto"/>
          <w:szCs w:val="21"/>
          <w:highlight w:val="none"/>
          <w:u w:val="single"/>
        </w:rPr>
        <w:t xml:space="preserve">                                                           </w:t>
      </w:r>
      <w:r>
        <w:rPr>
          <w:rFonts w:hint="eastAsia" w:asciiTheme="majorEastAsia" w:hAnsiTheme="majorEastAsia" w:eastAsiaTheme="majorEastAsia"/>
          <w:color w:val="auto"/>
          <w:szCs w:val="21"/>
          <w:highlight w:val="none"/>
          <w:u w:val="single"/>
          <w:lang w:val="en-US" w:eastAsia="zh-CN"/>
        </w:rPr>
        <w:t xml:space="preserve">   </w:t>
      </w:r>
      <w:r>
        <w:rPr>
          <w:rFonts w:asciiTheme="majorEastAsia" w:hAnsiTheme="majorEastAsia" w:eastAsiaTheme="majorEastAsia"/>
          <w:color w:val="auto"/>
          <w:szCs w:val="21"/>
          <w:highlight w:val="none"/>
          <w:u w:val="single"/>
        </w:rPr>
        <w:t xml:space="preserve">       </w:t>
      </w:r>
    </w:p>
    <w:p w14:paraId="531BFE9E">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地    址：</w:t>
      </w:r>
      <w:r>
        <w:rPr>
          <w:rFonts w:asciiTheme="majorEastAsia" w:hAnsiTheme="majorEastAsia" w:eastAsiaTheme="majorEastAsia"/>
          <w:color w:val="auto"/>
          <w:szCs w:val="21"/>
          <w:highlight w:val="none"/>
          <w:u w:val="single"/>
        </w:rPr>
        <w:t xml:space="preserve">                                                                     </w:t>
      </w:r>
    </w:p>
    <w:p w14:paraId="470FFEAA">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姓    名：</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性    别：</w:t>
      </w:r>
      <w:r>
        <w:rPr>
          <w:rFonts w:asciiTheme="majorEastAsia" w:hAnsiTheme="majorEastAsia" w:eastAsiaTheme="majorEastAsia"/>
          <w:color w:val="auto"/>
          <w:szCs w:val="21"/>
          <w:highlight w:val="none"/>
          <w:u w:val="single"/>
        </w:rPr>
        <w:t xml:space="preserve">                            </w:t>
      </w:r>
    </w:p>
    <w:p w14:paraId="6BC58429">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u w:val="single"/>
        </w:rPr>
      </w:pPr>
      <w:r>
        <w:rPr>
          <w:rFonts w:asciiTheme="majorEastAsia" w:hAnsiTheme="majorEastAsia" w:eastAsiaTheme="majorEastAsia"/>
          <w:color w:val="auto"/>
          <w:szCs w:val="21"/>
          <w:highlight w:val="none"/>
        </w:rPr>
        <w:t>年    龄：</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职    务：</w:t>
      </w:r>
      <w:r>
        <w:rPr>
          <w:rFonts w:asciiTheme="majorEastAsia" w:hAnsiTheme="majorEastAsia" w:eastAsiaTheme="majorEastAsia"/>
          <w:color w:val="auto"/>
          <w:szCs w:val="21"/>
          <w:highlight w:val="none"/>
          <w:u w:val="single"/>
        </w:rPr>
        <w:t xml:space="preserve">                            </w:t>
      </w:r>
    </w:p>
    <w:p w14:paraId="23049419">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身份证号码：</w:t>
      </w:r>
      <w:r>
        <w:rPr>
          <w:rFonts w:asciiTheme="majorEastAsia" w:hAnsiTheme="majorEastAsia" w:eastAsiaTheme="majorEastAsia"/>
          <w:color w:val="auto"/>
          <w:szCs w:val="21"/>
          <w:highlight w:val="none"/>
          <w:u w:val="single"/>
        </w:rPr>
        <w:t xml:space="preserve">                                                                   </w:t>
      </w:r>
    </w:p>
    <w:p w14:paraId="1FF5F691">
      <w:pPr>
        <w:keepNext w:val="0"/>
        <w:keepLines w:val="0"/>
        <w:pageBreakBefore w:val="0"/>
        <w:widowControl w:val="0"/>
        <w:shd w:val="clear"/>
        <w:kinsoku/>
        <w:wordWrap/>
        <w:overflowPunct/>
        <w:topLinePunct w:val="0"/>
        <w:bidi w:val="0"/>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系</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（供应商名称）的法定代表人（负责人），为</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（项目编号、项目名称）项目，签署上述项目的响应文件，进行合同谈判、签署合同和处理与之有关的一切事宜。</w:t>
      </w:r>
    </w:p>
    <w:p w14:paraId="30E425D8">
      <w:pPr>
        <w:keepNext w:val="0"/>
        <w:keepLines w:val="0"/>
        <w:pageBreakBefore w:val="0"/>
        <w:widowControl w:val="0"/>
        <w:shd w:val="clear"/>
        <w:kinsoku/>
        <w:wordWrap/>
        <w:overflowPunct/>
        <w:topLinePunct w:val="0"/>
        <w:bidi w:val="0"/>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特此证明。</w:t>
      </w:r>
    </w:p>
    <w:p w14:paraId="4261B27F">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p w14:paraId="19E7418F">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后附法定代表人（负责人）身份证正反面复印件，加盖公章。</w:t>
      </w:r>
    </w:p>
    <w:p w14:paraId="6209FD63">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p w14:paraId="2C077ACF">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p w14:paraId="285EEEE9">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p w14:paraId="0465E2E0">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p w14:paraId="2E1756BF">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p w14:paraId="6D5C49F0">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供应商全称（公章）：</w:t>
      </w:r>
    </w:p>
    <w:p w14:paraId="2DC65E7F">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 xml:space="preserve">法定代表人（负责人）（签字或盖章）：                       </w:t>
      </w:r>
    </w:p>
    <w:p w14:paraId="7854EC83">
      <w:pPr>
        <w:keepNext w:val="0"/>
        <w:keepLines w:val="0"/>
        <w:pageBreakBefore w:val="0"/>
        <w:widowControl w:val="0"/>
        <w:shd w:val="clear"/>
        <w:kinsoku/>
        <w:wordWrap/>
        <w:overflowPunct/>
        <w:topLinePunct w:val="0"/>
        <w:bidi w:val="0"/>
        <w:adjustRightInd w:val="0"/>
        <w:spacing w:line="440" w:lineRule="exact"/>
        <w:jc w:val="lef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日期：</w:t>
      </w:r>
    </w:p>
    <w:p w14:paraId="0C215092">
      <w:pPr>
        <w:keepNext w:val="0"/>
        <w:keepLines w:val="0"/>
        <w:pageBreakBefore w:val="0"/>
        <w:widowControl w:val="0"/>
        <w:shd w:val="clear"/>
        <w:kinsoku/>
        <w:wordWrap/>
        <w:overflowPunct/>
        <w:topLinePunct w:val="0"/>
        <w:bidi w:val="0"/>
        <w:adjustRightInd w:val="0"/>
        <w:spacing w:line="440" w:lineRule="exact"/>
        <w:jc w:val="left"/>
        <w:rPr>
          <w:rFonts w:asciiTheme="majorEastAsia" w:hAnsiTheme="majorEastAsia" w:eastAsiaTheme="majorEastAsia"/>
          <w:color w:val="auto"/>
          <w:szCs w:val="21"/>
          <w:highlight w:val="none"/>
        </w:rPr>
      </w:pPr>
    </w:p>
    <w:p w14:paraId="0241173F">
      <w:pPr>
        <w:keepNext w:val="0"/>
        <w:keepLines w:val="0"/>
        <w:pageBreakBefore w:val="0"/>
        <w:widowControl w:val="0"/>
        <w:shd w:val="clear"/>
        <w:kinsoku/>
        <w:wordWrap/>
        <w:overflowPunct/>
        <w:topLinePunct w:val="0"/>
        <w:bidi w:val="0"/>
        <w:adjustRightInd w:val="0"/>
        <w:spacing w:line="440" w:lineRule="exact"/>
        <w:jc w:val="left"/>
        <w:rPr>
          <w:rFonts w:asciiTheme="majorEastAsia" w:hAnsiTheme="majorEastAsia" w:eastAsiaTheme="majorEastAsia"/>
          <w:color w:val="auto"/>
          <w:szCs w:val="21"/>
          <w:highlight w:val="none"/>
        </w:rPr>
      </w:pPr>
    </w:p>
    <w:p w14:paraId="7C53247B">
      <w:pPr>
        <w:keepNext w:val="0"/>
        <w:keepLines w:val="0"/>
        <w:pageBreakBefore w:val="0"/>
        <w:widowControl w:val="0"/>
        <w:shd w:val="clear"/>
        <w:kinsoku/>
        <w:wordWrap/>
        <w:overflowPunct/>
        <w:topLinePunct w:val="0"/>
        <w:bidi w:val="0"/>
        <w:adjustRightInd w:val="0"/>
        <w:spacing w:line="440" w:lineRule="exact"/>
        <w:jc w:val="lef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br w:type="page"/>
      </w:r>
      <w:r>
        <w:rPr>
          <w:rFonts w:asciiTheme="majorEastAsia" w:hAnsiTheme="majorEastAsia" w:eastAsiaTheme="majorEastAsia"/>
          <w:b/>
          <w:color w:val="auto"/>
          <w:szCs w:val="21"/>
          <w:highlight w:val="none"/>
        </w:rPr>
        <w:t>格式</w:t>
      </w:r>
      <w:r>
        <w:rPr>
          <w:rFonts w:hint="eastAsia" w:asciiTheme="majorEastAsia" w:hAnsiTheme="majorEastAsia" w:eastAsiaTheme="majorEastAsia"/>
          <w:b/>
          <w:color w:val="auto"/>
          <w:szCs w:val="21"/>
          <w:highlight w:val="none"/>
        </w:rPr>
        <w:t>五</w:t>
      </w:r>
      <w:r>
        <w:rPr>
          <w:rFonts w:asciiTheme="majorEastAsia" w:hAnsiTheme="majorEastAsia" w:eastAsiaTheme="majorEastAsia"/>
          <w:b/>
          <w:color w:val="auto"/>
          <w:szCs w:val="21"/>
          <w:highlight w:val="none"/>
        </w:rPr>
        <w:t>：</w:t>
      </w:r>
    </w:p>
    <w:p w14:paraId="26AD7383">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法定代表人（负责人）授权委托书</w:t>
      </w:r>
    </w:p>
    <w:p w14:paraId="7F5DE484">
      <w:pPr>
        <w:pStyle w:val="20"/>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sz w:val="21"/>
          <w:szCs w:val="21"/>
          <w:highlight w:val="none"/>
        </w:rPr>
      </w:pPr>
    </w:p>
    <w:p w14:paraId="4F5CA4EC">
      <w:pPr>
        <w:pStyle w:val="20"/>
        <w:keepNext w:val="0"/>
        <w:keepLines w:val="0"/>
        <w:pageBreakBefore w:val="0"/>
        <w:widowControl w:val="0"/>
        <w:shd w:val="clear"/>
        <w:kinsoku/>
        <w:wordWrap/>
        <w:overflowPunct/>
        <w:topLinePunct w:val="0"/>
        <w:bidi w:val="0"/>
        <w:spacing w:line="440" w:lineRule="exact"/>
        <w:ind w:firstLine="0"/>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u w:val="single"/>
        </w:rPr>
        <w:t xml:space="preserve">致       </w:t>
      </w:r>
      <w:r>
        <w:rPr>
          <w:rFonts w:asciiTheme="majorEastAsia" w:hAnsiTheme="majorEastAsia" w:eastAsiaTheme="majorEastAsia"/>
          <w:color w:val="auto"/>
          <w:sz w:val="21"/>
          <w:szCs w:val="21"/>
          <w:highlight w:val="none"/>
        </w:rPr>
        <w:t>（采购人名称）：</w:t>
      </w:r>
    </w:p>
    <w:p w14:paraId="521BCFBF">
      <w:pPr>
        <w:pStyle w:val="20"/>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 w:val="21"/>
          <w:szCs w:val="21"/>
          <w:highlight w:val="none"/>
        </w:rPr>
      </w:pPr>
    </w:p>
    <w:p w14:paraId="69D1DD6B">
      <w:pPr>
        <w:pStyle w:val="20"/>
        <w:keepNext w:val="0"/>
        <w:keepLines w:val="0"/>
        <w:pageBreakBefore w:val="0"/>
        <w:widowControl w:val="0"/>
        <w:shd w:val="clear"/>
        <w:kinsoku/>
        <w:wordWrap/>
        <w:overflowPunct/>
        <w:topLinePunct w:val="0"/>
        <w:bidi w:val="0"/>
        <w:spacing w:line="440" w:lineRule="exact"/>
        <w:ind w:firstLine="404" w:firstLineChars="200"/>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u w:val="single"/>
        </w:rPr>
        <w:t xml:space="preserve">                           </w:t>
      </w:r>
      <w:r>
        <w:rPr>
          <w:rFonts w:asciiTheme="majorEastAsia" w:hAnsiTheme="majorEastAsia" w:eastAsiaTheme="majorEastAsia"/>
          <w:color w:val="auto"/>
          <w:sz w:val="21"/>
          <w:szCs w:val="21"/>
          <w:highlight w:val="none"/>
        </w:rPr>
        <w:t>（供应商全称）法定代表人（负责人）</w:t>
      </w:r>
      <w:r>
        <w:rPr>
          <w:rFonts w:asciiTheme="majorEastAsia" w:hAnsiTheme="majorEastAsia" w:eastAsiaTheme="majorEastAsia"/>
          <w:color w:val="auto"/>
          <w:sz w:val="21"/>
          <w:szCs w:val="21"/>
          <w:highlight w:val="none"/>
          <w:u w:val="single"/>
        </w:rPr>
        <w:t xml:space="preserve">             </w:t>
      </w:r>
      <w:r>
        <w:rPr>
          <w:rFonts w:asciiTheme="majorEastAsia" w:hAnsiTheme="majorEastAsia" w:eastAsiaTheme="majorEastAsia"/>
          <w:color w:val="auto"/>
          <w:sz w:val="21"/>
          <w:szCs w:val="21"/>
          <w:highlight w:val="none"/>
        </w:rPr>
        <w:t>（姓名、职务）授权</w:t>
      </w:r>
      <w:r>
        <w:rPr>
          <w:rFonts w:asciiTheme="majorEastAsia" w:hAnsiTheme="majorEastAsia" w:eastAsiaTheme="majorEastAsia"/>
          <w:color w:val="auto"/>
          <w:sz w:val="21"/>
          <w:szCs w:val="21"/>
          <w:highlight w:val="none"/>
          <w:u w:val="single"/>
        </w:rPr>
        <w:t xml:space="preserve">           </w:t>
      </w:r>
      <w:r>
        <w:rPr>
          <w:rFonts w:hint="eastAsia" w:asciiTheme="majorEastAsia" w:hAnsiTheme="majorEastAsia" w:eastAsiaTheme="majorEastAsia"/>
          <w:color w:val="auto"/>
          <w:sz w:val="21"/>
          <w:szCs w:val="21"/>
          <w:highlight w:val="none"/>
          <w:u w:val="single"/>
          <w:lang w:val="en-US" w:eastAsia="zh-CN"/>
        </w:rPr>
        <w:t xml:space="preserve">  </w:t>
      </w:r>
      <w:r>
        <w:rPr>
          <w:rFonts w:asciiTheme="majorEastAsia" w:hAnsiTheme="majorEastAsia" w:eastAsiaTheme="majorEastAsia"/>
          <w:color w:val="auto"/>
          <w:sz w:val="21"/>
          <w:szCs w:val="21"/>
          <w:highlight w:val="none"/>
          <w:u w:val="single"/>
        </w:rPr>
        <w:t xml:space="preserve">      </w:t>
      </w:r>
      <w:r>
        <w:rPr>
          <w:rFonts w:asciiTheme="majorEastAsia" w:hAnsiTheme="majorEastAsia" w:eastAsiaTheme="majorEastAsia"/>
          <w:color w:val="auto"/>
          <w:sz w:val="21"/>
          <w:szCs w:val="21"/>
          <w:highlight w:val="none"/>
        </w:rPr>
        <w:t>（授权代表姓名、职务）为本公司合法代理人，参加贵方组织的</w:t>
      </w:r>
      <w:r>
        <w:rPr>
          <w:rFonts w:asciiTheme="majorEastAsia" w:hAnsiTheme="majorEastAsia" w:eastAsiaTheme="majorEastAsia"/>
          <w:color w:val="auto"/>
          <w:sz w:val="21"/>
          <w:szCs w:val="21"/>
          <w:highlight w:val="none"/>
          <w:u w:val="single"/>
        </w:rPr>
        <w:t xml:space="preserve">           </w:t>
      </w:r>
      <w:r>
        <w:rPr>
          <w:rFonts w:asciiTheme="majorEastAsia" w:hAnsiTheme="majorEastAsia" w:eastAsiaTheme="majorEastAsia"/>
          <w:color w:val="auto"/>
          <w:sz w:val="21"/>
          <w:szCs w:val="21"/>
          <w:highlight w:val="none"/>
        </w:rPr>
        <w:t>（项目编号、项目名称）项目的采购活动，代表本公司处理采购活动中的一切事宜。</w:t>
      </w:r>
    </w:p>
    <w:p w14:paraId="10E2638F">
      <w:pPr>
        <w:pStyle w:val="20"/>
        <w:keepNext w:val="0"/>
        <w:keepLines w:val="0"/>
        <w:pageBreakBefore w:val="0"/>
        <w:widowControl w:val="0"/>
        <w:shd w:val="clear"/>
        <w:kinsoku/>
        <w:wordWrap/>
        <w:overflowPunct/>
        <w:topLinePunct w:val="0"/>
        <w:bidi w:val="0"/>
        <w:spacing w:line="440" w:lineRule="exact"/>
        <w:ind w:left="0" w:leftChars="0" w:firstLine="404" w:firstLineChars="200"/>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本授权书于</w:t>
      </w:r>
      <w:r>
        <w:rPr>
          <w:rFonts w:asciiTheme="majorEastAsia" w:hAnsiTheme="majorEastAsia" w:eastAsiaTheme="majorEastAsia"/>
          <w:color w:val="auto"/>
          <w:sz w:val="21"/>
          <w:szCs w:val="21"/>
          <w:highlight w:val="none"/>
          <w:u w:val="single"/>
        </w:rPr>
        <w:t xml:space="preserve">       </w:t>
      </w:r>
      <w:r>
        <w:rPr>
          <w:rFonts w:asciiTheme="majorEastAsia" w:hAnsiTheme="majorEastAsia" w:eastAsiaTheme="majorEastAsia"/>
          <w:color w:val="auto"/>
          <w:sz w:val="21"/>
          <w:szCs w:val="21"/>
          <w:highlight w:val="none"/>
        </w:rPr>
        <w:t>年</w:t>
      </w:r>
      <w:r>
        <w:rPr>
          <w:rFonts w:asciiTheme="majorEastAsia" w:hAnsiTheme="majorEastAsia" w:eastAsiaTheme="majorEastAsia"/>
          <w:color w:val="auto"/>
          <w:sz w:val="21"/>
          <w:szCs w:val="21"/>
          <w:highlight w:val="none"/>
          <w:u w:val="single"/>
        </w:rPr>
        <w:t xml:space="preserve">    </w:t>
      </w:r>
      <w:r>
        <w:rPr>
          <w:rFonts w:asciiTheme="majorEastAsia" w:hAnsiTheme="majorEastAsia" w:eastAsiaTheme="majorEastAsia"/>
          <w:color w:val="auto"/>
          <w:sz w:val="21"/>
          <w:szCs w:val="21"/>
          <w:highlight w:val="none"/>
        </w:rPr>
        <w:t>月</w:t>
      </w:r>
      <w:r>
        <w:rPr>
          <w:rFonts w:asciiTheme="majorEastAsia" w:hAnsiTheme="majorEastAsia" w:eastAsiaTheme="majorEastAsia"/>
          <w:color w:val="auto"/>
          <w:sz w:val="21"/>
          <w:szCs w:val="21"/>
          <w:highlight w:val="none"/>
          <w:u w:val="single"/>
        </w:rPr>
        <w:t xml:space="preserve">    </w:t>
      </w:r>
      <w:r>
        <w:rPr>
          <w:rFonts w:asciiTheme="majorEastAsia" w:hAnsiTheme="majorEastAsia" w:eastAsiaTheme="majorEastAsia"/>
          <w:color w:val="auto"/>
          <w:sz w:val="21"/>
          <w:szCs w:val="21"/>
          <w:highlight w:val="none"/>
        </w:rPr>
        <w:t>日签字生效，特此声明。</w:t>
      </w:r>
    </w:p>
    <w:p w14:paraId="03DF5546">
      <w:pPr>
        <w:pStyle w:val="20"/>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 w:val="21"/>
          <w:szCs w:val="21"/>
          <w:highlight w:val="none"/>
        </w:rPr>
      </w:pPr>
    </w:p>
    <w:p w14:paraId="09271C38">
      <w:pPr>
        <w:pStyle w:val="20"/>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 w:val="21"/>
          <w:szCs w:val="21"/>
          <w:highlight w:val="none"/>
        </w:rPr>
      </w:pPr>
    </w:p>
    <w:p w14:paraId="4268F461">
      <w:pPr>
        <w:pStyle w:val="20"/>
        <w:keepNext w:val="0"/>
        <w:keepLines w:val="0"/>
        <w:pageBreakBefore w:val="0"/>
        <w:widowControl w:val="0"/>
        <w:shd w:val="clear"/>
        <w:kinsoku/>
        <w:wordWrap/>
        <w:overflowPunct/>
        <w:topLinePunct w:val="0"/>
        <w:bidi w:val="0"/>
        <w:spacing w:line="440" w:lineRule="exact"/>
        <w:ind w:firstLine="406" w:firstLineChars="200"/>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后附授权代表身份证正反面复印件。</w:t>
      </w:r>
    </w:p>
    <w:p w14:paraId="3DDE7352">
      <w:pPr>
        <w:pStyle w:val="20"/>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 w:val="21"/>
          <w:szCs w:val="21"/>
          <w:highlight w:val="none"/>
        </w:rPr>
      </w:pPr>
    </w:p>
    <w:p w14:paraId="0852DD37">
      <w:pPr>
        <w:pStyle w:val="20"/>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 w:val="21"/>
          <w:szCs w:val="21"/>
          <w:highlight w:val="none"/>
        </w:rPr>
      </w:pPr>
    </w:p>
    <w:p w14:paraId="47A82862">
      <w:pPr>
        <w:pStyle w:val="20"/>
        <w:keepNext w:val="0"/>
        <w:keepLines w:val="0"/>
        <w:pageBreakBefore w:val="0"/>
        <w:widowControl w:val="0"/>
        <w:shd w:val="clear"/>
        <w:kinsoku/>
        <w:wordWrap/>
        <w:overflowPunct/>
        <w:topLinePunct w:val="0"/>
        <w:bidi w:val="0"/>
        <w:spacing w:line="440" w:lineRule="exact"/>
        <w:ind w:left="3366" w:leftChars="1600" w:hanging="6"/>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法定代表人（负责人）（签字或盖章）：</w:t>
      </w:r>
    </w:p>
    <w:p w14:paraId="594C0374">
      <w:pPr>
        <w:pStyle w:val="20"/>
        <w:keepNext w:val="0"/>
        <w:keepLines w:val="0"/>
        <w:pageBreakBefore w:val="0"/>
        <w:widowControl w:val="0"/>
        <w:shd w:val="clear"/>
        <w:kinsoku/>
        <w:wordWrap/>
        <w:overflowPunct/>
        <w:topLinePunct w:val="0"/>
        <w:bidi w:val="0"/>
        <w:spacing w:line="440" w:lineRule="exact"/>
        <w:ind w:left="3366" w:leftChars="1600" w:hanging="6"/>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 xml:space="preserve">供应商全称（盖章）： </w:t>
      </w:r>
    </w:p>
    <w:p w14:paraId="05AF9AB4">
      <w:pPr>
        <w:pStyle w:val="20"/>
        <w:keepNext w:val="0"/>
        <w:keepLines w:val="0"/>
        <w:pageBreakBefore w:val="0"/>
        <w:widowControl w:val="0"/>
        <w:shd w:val="clear"/>
        <w:kinsoku/>
        <w:wordWrap/>
        <w:overflowPunct/>
        <w:topLinePunct w:val="0"/>
        <w:bidi w:val="0"/>
        <w:spacing w:line="440" w:lineRule="exact"/>
        <w:ind w:left="3366" w:leftChars="1600" w:hanging="6"/>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日  期：</w:t>
      </w:r>
    </w:p>
    <w:p w14:paraId="2404A337">
      <w:pPr>
        <w:pStyle w:val="20"/>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 w:val="21"/>
          <w:szCs w:val="21"/>
          <w:highlight w:val="none"/>
        </w:rPr>
      </w:pPr>
    </w:p>
    <w:p w14:paraId="12E5524F">
      <w:pPr>
        <w:pStyle w:val="20"/>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附：</w:t>
      </w:r>
    </w:p>
    <w:p w14:paraId="462A270A">
      <w:pPr>
        <w:pStyle w:val="20"/>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 xml:space="preserve">  授权代表姓名：（印刷体）</w:t>
      </w:r>
    </w:p>
    <w:p w14:paraId="0197B48F">
      <w:pPr>
        <w:pStyle w:val="20"/>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 xml:space="preserve">  职        务：</w:t>
      </w:r>
    </w:p>
    <w:p w14:paraId="14B7FC97">
      <w:pPr>
        <w:pStyle w:val="20"/>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 xml:space="preserve">  授权代表签字：</w:t>
      </w:r>
    </w:p>
    <w:p w14:paraId="381B34E1">
      <w:pPr>
        <w:pStyle w:val="20"/>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 xml:space="preserve">  详细通讯地址：</w:t>
      </w:r>
    </w:p>
    <w:p w14:paraId="63E69EB1">
      <w:pPr>
        <w:pStyle w:val="20"/>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 xml:space="preserve">  邮 政 编  码：</w:t>
      </w:r>
    </w:p>
    <w:p w14:paraId="0ABDB300">
      <w:pPr>
        <w:pStyle w:val="20"/>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 xml:space="preserve">  传        真：</w:t>
      </w:r>
    </w:p>
    <w:p w14:paraId="62EC0FFF">
      <w:pPr>
        <w:pStyle w:val="20"/>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 xml:space="preserve">  电        话：</w:t>
      </w:r>
    </w:p>
    <w:p w14:paraId="4466845D">
      <w:pPr>
        <w:pStyle w:val="20"/>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 w:val="21"/>
          <w:szCs w:val="21"/>
          <w:highlight w:val="none"/>
        </w:rPr>
      </w:pPr>
    </w:p>
    <w:p w14:paraId="1D5C273D">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b/>
          <w:bCs/>
          <w:color w:val="auto"/>
          <w:szCs w:val="21"/>
          <w:highlight w:val="none"/>
        </w:rPr>
      </w:pPr>
      <w:r>
        <w:rPr>
          <w:rFonts w:asciiTheme="majorEastAsia" w:hAnsiTheme="majorEastAsia" w:eastAsiaTheme="majorEastAsia"/>
          <w:color w:val="auto"/>
          <w:szCs w:val="21"/>
          <w:highlight w:val="none"/>
        </w:rPr>
        <w:br w:type="page"/>
      </w:r>
      <w:r>
        <w:rPr>
          <w:rFonts w:asciiTheme="majorEastAsia" w:hAnsiTheme="majorEastAsia" w:eastAsiaTheme="majorEastAsia"/>
          <w:b/>
          <w:bCs/>
          <w:color w:val="auto"/>
          <w:szCs w:val="21"/>
          <w:highlight w:val="none"/>
        </w:rPr>
        <w:t>格式</w:t>
      </w:r>
      <w:r>
        <w:rPr>
          <w:rFonts w:hint="eastAsia" w:asciiTheme="majorEastAsia" w:hAnsiTheme="majorEastAsia" w:eastAsiaTheme="majorEastAsia"/>
          <w:b/>
          <w:bCs/>
          <w:color w:val="auto"/>
          <w:szCs w:val="21"/>
          <w:highlight w:val="none"/>
        </w:rPr>
        <w:t>六</w:t>
      </w:r>
      <w:r>
        <w:rPr>
          <w:rFonts w:asciiTheme="majorEastAsia" w:hAnsiTheme="majorEastAsia" w:eastAsiaTheme="majorEastAsia"/>
          <w:b/>
          <w:bCs/>
          <w:color w:val="auto"/>
          <w:szCs w:val="21"/>
          <w:highlight w:val="none"/>
        </w:rPr>
        <w:t>：</w:t>
      </w:r>
    </w:p>
    <w:p w14:paraId="7816A0F9">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磋商声明书</w:t>
      </w:r>
    </w:p>
    <w:p w14:paraId="22AC55BF">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b/>
          <w:color w:val="auto"/>
          <w:szCs w:val="21"/>
          <w:highlight w:val="none"/>
        </w:rPr>
      </w:pPr>
    </w:p>
    <w:p w14:paraId="32E8BA7B">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致：</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（采购人名称）</w:t>
      </w:r>
    </w:p>
    <w:p w14:paraId="2CB33DEF">
      <w:pPr>
        <w:keepNext w:val="0"/>
        <w:keepLines w:val="0"/>
        <w:pageBreakBefore w:val="0"/>
        <w:widowControl w:val="0"/>
        <w:shd w:val="clear"/>
        <w:kinsoku/>
        <w:wordWrap/>
        <w:overflowPunct/>
        <w:topLinePunct w:val="0"/>
        <w:bidi w:val="0"/>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根据贵方为</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（项目名称）的竞争性磋商采购公告（项目编号：</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），签字代表</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（姓名）经正式授权并代表供应商</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（供应商名称）提交的</w:t>
      </w:r>
      <w:r>
        <w:rPr>
          <w:rFonts w:hint="eastAsia" w:asciiTheme="majorEastAsia" w:hAnsiTheme="majorEastAsia" w:eastAsiaTheme="majorEastAsia"/>
          <w:color w:val="auto"/>
          <w:szCs w:val="21"/>
          <w:highlight w:val="none"/>
        </w:rPr>
        <w:t>电子响应文件一份；电子响应文件的备份文件</w:t>
      </w:r>
      <w:r>
        <w:rPr>
          <w:rFonts w:hint="eastAsia" w:asciiTheme="majorEastAsia" w:hAnsiTheme="majorEastAsia" w:eastAsiaTheme="majorEastAsia"/>
          <w:color w:val="auto"/>
          <w:szCs w:val="21"/>
          <w:highlight w:val="none"/>
          <w:u w:val="single"/>
          <w:lang w:val="en-US" w:eastAsia="zh-CN"/>
        </w:rPr>
        <w:t xml:space="preserve">   </w:t>
      </w:r>
      <w:r>
        <w:rPr>
          <w:rFonts w:hint="eastAsia" w:asciiTheme="majorEastAsia" w:hAnsiTheme="majorEastAsia" w:eastAsiaTheme="majorEastAsia"/>
          <w:color w:val="auto"/>
          <w:szCs w:val="21"/>
          <w:highlight w:val="none"/>
          <w:u w:val="none"/>
          <w:lang w:val="en-US" w:eastAsia="zh-CN"/>
        </w:rPr>
        <w:t>份</w:t>
      </w:r>
      <w:r>
        <w:rPr>
          <w:rFonts w:asciiTheme="majorEastAsia" w:hAnsiTheme="majorEastAsia" w:eastAsiaTheme="majorEastAsia"/>
          <w:color w:val="auto"/>
          <w:szCs w:val="21"/>
          <w:highlight w:val="none"/>
        </w:rPr>
        <w:t>。</w:t>
      </w:r>
    </w:p>
    <w:p w14:paraId="3EC67671">
      <w:pPr>
        <w:keepNext w:val="0"/>
        <w:keepLines w:val="0"/>
        <w:pageBreakBefore w:val="0"/>
        <w:widowControl w:val="0"/>
        <w:shd w:val="clear"/>
        <w:kinsoku/>
        <w:wordWrap/>
        <w:overflowPunct/>
        <w:topLinePunct w:val="0"/>
        <w:bidi w:val="0"/>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据此函，签字代表宣布同意如下：</w:t>
      </w:r>
    </w:p>
    <w:p w14:paraId="6CF5D028">
      <w:pPr>
        <w:keepNext w:val="0"/>
        <w:keepLines w:val="0"/>
        <w:pageBreakBefore w:val="0"/>
        <w:widowControl w:val="0"/>
        <w:shd w:val="clear"/>
        <w:kinsoku/>
        <w:wordWrap/>
        <w:overflowPunct/>
        <w:topLinePunct w:val="0"/>
        <w:bidi w:val="0"/>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1、供应商已详细审查全部“磋商文件”，包括修改文件（如有的话）以及全部参考资料和有关附件，已经了解我方对于磋商文件、采购过程、采购结果有依法进行询问、质疑、投诉的权利及相关渠道和要求。</w:t>
      </w:r>
    </w:p>
    <w:p w14:paraId="5076B9F5">
      <w:pPr>
        <w:keepNext w:val="0"/>
        <w:keepLines w:val="0"/>
        <w:pageBreakBefore w:val="0"/>
        <w:widowControl w:val="0"/>
        <w:shd w:val="clear"/>
        <w:kinsoku/>
        <w:wordWrap/>
        <w:overflowPunct/>
        <w:topLinePunct w:val="0"/>
        <w:bidi w:val="0"/>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2、供应商在提交响应文件之前已经与贵方进行了充分的沟通，完全理解并接受磋商文件的各项规定和要求，对磋商文件的合理性、合法性不再有异议。</w:t>
      </w:r>
    </w:p>
    <w:p w14:paraId="271D19D3">
      <w:pPr>
        <w:keepNext w:val="0"/>
        <w:keepLines w:val="0"/>
        <w:pageBreakBefore w:val="0"/>
        <w:widowControl w:val="0"/>
        <w:shd w:val="clear"/>
        <w:kinsoku/>
        <w:wordWrap/>
        <w:overflowPunct/>
        <w:topLinePunct w:val="0"/>
        <w:bidi w:val="0"/>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3、本磋商有效期自开标日起</w:t>
      </w:r>
      <w:r>
        <w:rPr>
          <w:rFonts w:hint="eastAsia" w:asciiTheme="majorEastAsia" w:hAnsiTheme="majorEastAsia" w:eastAsiaTheme="majorEastAsia"/>
          <w:color w:val="auto"/>
          <w:szCs w:val="21"/>
          <w:highlight w:val="none"/>
          <w:u w:val="single"/>
          <w:lang w:val="en-US" w:eastAsia="zh-CN"/>
        </w:rPr>
        <w:t xml:space="preserve"> 90 </w:t>
      </w:r>
      <w:r>
        <w:rPr>
          <w:rFonts w:asciiTheme="majorEastAsia" w:hAnsiTheme="majorEastAsia" w:eastAsiaTheme="majorEastAsia"/>
          <w:color w:val="auto"/>
          <w:szCs w:val="21"/>
          <w:highlight w:val="none"/>
        </w:rPr>
        <w:t>日历</w:t>
      </w:r>
      <w:r>
        <w:rPr>
          <w:rFonts w:hint="eastAsia" w:asciiTheme="majorEastAsia" w:hAnsiTheme="majorEastAsia" w:eastAsiaTheme="majorEastAsia"/>
          <w:color w:val="auto"/>
          <w:szCs w:val="21"/>
          <w:highlight w:val="none"/>
          <w:lang w:eastAsia="zh-CN"/>
        </w:rPr>
        <w:t>天</w:t>
      </w:r>
      <w:r>
        <w:rPr>
          <w:rFonts w:asciiTheme="majorEastAsia" w:hAnsiTheme="majorEastAsia" w:eastAsiaTheme="majorEastAsia"/>
          <w:color w:val="auto"/>
          <w:szCs w:val="21"/>
          <w:highlight w:val="none"/>
        </w:rPr>
        <w:t>。</w:t>
      </w:r>
    </w:p>
    <w:p w14:paraId="6A1B3BB7">
      <w:pPr>
        <w:keepNext w:val="0"/>
        <w:keepLines w:val="0"/>
        <w:pageBreakBefore w:val="0"/>
        <w:widowControl w:val="0"/>
        <w:shd w:val="clear"/>
        <w:kinsoku/>
        <w:wordWrap/>
        <w:overflowPunct/>
        <w:topLinePunct w:val="0"/>
        <w:bidi w:val="0"/>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4、如成交，本响应文件至本项目合同履行完毕止均保持有效，本供应商将按“磋商文件”及政府采购法律、法规的规定履行合同责任和义务。</w:t>
      </w:r>
    </w:p>
    <w:p w14:paraId="41B828CC">
      <w:pPr>
        <w:keepNext w:val="0"/>
        <w:keepLines w:val="0"/>
        <w:pageBreakBefore w:val="0"/>
        <w:widowControl w:val="0"/>
        <w:shd w:val="clear"/>
        <w:kinsoku/>
        <w:wordWrap/>
        <w:overflowPunct/>
        <w:topLinePunct w:val="0"/>
        <w:bidi w:val="0"/>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5、供应商同意按照贵方要求提供与本次采购有关的一切数据或资料。</w:t>
      </w:r>
    </w:p>
    <w:p w14:paraId="1CBC9996">
      <w:pPr>
        <w:keepNext w:val="0"/>
        <w:keepLines w:val="0"/>
        <w:pageBreakBefore w:val="0"/>
        <w:widowControl w:val="0"/>
        <w:shd w:val="clear"/>
        <w:kinsoku/>
        <w:wordWrap/>
        <w:overflowPunct/>
        <w:topLinePunct w:val="0"/>
        <w:bidi w:val="0"/>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6、与本项目采购有关的一切正式往来信函请寄：</w:t>
      </w:r>
    </w:p>
    <w:p w14:paraId="3B340233">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地址：</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邮编：</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电话：</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w:t>
      </w:r>
    </w:p>
    <w:p w14:paraId="48A9DB67">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传真：</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供应商代表姓名：</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职务：</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w:t>
      </w:r>
    </w:p>
    <w:p w14:paraId="3ADA7F35">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开户银行：</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银行帐号：</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w:t>
      </w:r>
    </w:p>
    <w:p w14:paraId="56E717CA">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p w14:paraId="5273B98F">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p w14:paraId="1EBB7C93">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p w14:paraId="141B851F">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供应商全称（公章）：</w:t>
      </w:r>
    </w:p>
    <w:p w14:paraId="728E1959">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法定代表人（负责人）或授权代表（签字或盖章）：</w:t>
      </w:r>
    </w:p>
    <w:p w14:paraId="5BC38D65">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日期：</w:t>
      </w:r>
    </w:p>
    <w:p w14:paraId="314ABFCF">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p w14:paraId="21B0B5FC">
      <w:pPr>
        <w:keepNext w:val="0"/>
        <w:keepLines w:val="0"/>
        <w:pageBreakBefore w:val="0"/>
        <w:widowControl w:val="0"/>
        <w:shd w:val="clear"/>
        <w:kinsoku/>
        <w:wordWrap/>
        <w:overflowPunct/>
        <w:topLinePunct w:val="0"/>
        <w:bidi w:val="0"/>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br w:type="page"/>
      </w:r>
    </w:p>
    <w:p w14:paraId="30E976EC">
      <w:pPr>
        <w:keepNext w:val="0"/>
        <w:keepLines w:val="0"/>
        <w:pageBreakBefore w:val="0"/>
        <w:widowControl w:val="0"/>
        <w:shd w:val="clear"/>
        <w:kinsoku/>
        <w:wordWrap/>
        <w:overflowPunct/>
        <w:topLinePunct w:val="0"/>
        <w:bidi w:val="0"/>
        <w:adjustRightInd w:val="0"/>
        <w:spacing w:line="440" w:lineRule="exact"/>
        <w:jc w:val="lef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格式</w:t>
      </w:r>
      <w:r>
        <w:rPr>
          <w:rFonts w:hint="eastAsia" w:asciiTheme="majorEastAsia" w:hAnsiTheme="majorEastAsia" w:eastAsiaTheme="majorEastAsia"/>
          <w:b/>
          <w:color w:val="auto"/>
          <w:szCs w:val="21"/>
          <w:highlight w:val="none"/>
          <w:lang w:eastAsia="zh-CN"/>
        </w:rPr>
        <w:t>七</w:t>
      </w:r>
      <w:r>
        <w:rPr>
          <w:rFonts w:asciiTheme="majorEastAsia" w:hAnsiTheme="majorEastAsia" w:eastAsiaTheme="majorEastAsia"/>
          <w:b/>
          <w:color w:val="auto"/>
          <w:szCs w:val="21"/>
          <w:highlight w:val="none"/>
        </w:rPr>
        <w:t>：</w:t>
      </w:r>
    </w:p>
    <w:p w14:paraId="7F069EBB">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采购需求响应（偏离）表</w:t>
      </w:r>
    </w:p>
    <w:p w14:paraId="4A1D9E5D">
      <w:pPr>
        <w:keepNext w:val="0"/>
        <w:keepLines w:val="0"/>
        <w:pageBreakBefore w:val="0"/>
        <w:widowControl w:val="0"/>
        <w:shd w:val="clear"/>
        <w:kinsoku/>
        <w:wordWrap/>
        <w:overflowPunct/>
        <w:topLinePunct w:val="0"/>
        <w:bidi w:val="0"/>
        <w:spacing w:line="440" w:lineRule="exact"/>
        <w:ind w:firstLine="3089"/>
        <w:rPr>
          <w:rFonts w:asciiTheme="majorEastAsia" w:hAnsiTheme="majorEastAsia" w:eastAsiaTheme="majorEastAsia"/>
          <w:b/>
          <w:color w:val="auto"/>
          <w:szCs w:val="21"/>
          <w:highlight w:val="none"/>
        </w:rPr>
      </w:pPr>
    </w:p>
    <w:p w14:paraId="5A63D3B6">
      <w:pPr>
        <w:keepNext w:val="0"/>
        <w:keepLines w:val="0"/>
        <w:pageBreakBefore w:val="0"/>
        <w:widowControl w:val="0"/>
        <w:shd w:val="clear"/>
        <w:kinsoku/>
        <w:wordWrap/>
        <w:overflowPunct/>
        <w:topLinePunct w:val="0"/>
        <w:bidi w:val="0"/>
        <w:spacing w:line="360" w:lineRule="auto"/>
        <w:rPr>
          <w:rFonts w:asciiTheme="majorEastAsia" w:hAnsiTheme="majorEastAsia" w:eastAsiaTheme="majorEastAsia"/>
          <w:color w:val="auto"/>
          <w:szCs w:val="21"/>
          <w:highlight w:val="none"/>
          <w:u w:val="single"/>
        </w:rPr>
      </w:pPr>
      <w:r>
        <w:rPr>
          <w:rFonts w:asciiTheme="majorEastAsia" w:hAnsiTheme="majorEastAsia" w:eastAsiaTheme="majorEastAsia"/>
          <w:color w:val="auto"/>
          <w:szCs w:val="21"/>
          <w:highlight w:val="none"/>
        </w:rPr>
        <w:t>项目名称：</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项目编号：</w:t>
      </w:r>
      <w:r>
        <w:rPr>
          <w:rFonts w:asciiTheme="majorEastAsia" w:hAnsiTheme="majorEastAsia" w:eastAsiaTheme="majorEastAsia"/>
          <w:color w:val="auto"/>
          <w:szCs w:val="21"/>
          <w:highlight w:val="none"/>
          <w:u w:val="single"/>
        </w:rPr>
        <w:t xml:space="preserve">                   </w:t>
      </w:r>
    </w:p>
    <w:tbl>
      <w:tblPr>
        <w:tblStyle w:val="4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83"/>
        <w:gridCol w:w="4738"/>
        <w:gridCol w:w="900"/>
        <w:gridCol w:w="1426"/>
      </w:tblGrid>
      <w:tr w14:paraId="59F2EE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883" w:type="dxa"/>
            <w:vAlign w:val="center"/>
          </w:tcPr>
          <w:p w14:paraId="6ABDAAC5">
            <w:pPr>
              <w:keepNext w:val="0"/>
              <w:keepLines w:val="0"/>
              <w:pageBreakBefore w:val="0"/>
              <w:widowControl w:val="0"/>
              <w:shd w:val="clear"/>
              <w:kinsoku/>
              <w:wordWrap/>
              <w:overflowPunct/>
              <w:topLinePunct w:val="0"/>
              <w:bidi w:val="0"/>
              <w:snapToGrid w:val="0"/>
              <w:spacing w:line="240" w:lineRule="auto"/>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项目</w:t>
            </w:r>
          </w:p>
        </w:tc>
        <w:tc>
          <w:tcPr>
            <w:tcW w:w="4738" w:type="dxa"/>
            <w:vAlign w:val="center"/>
          </w:tcPr>
          <w:p w14:paraId="0C94A802">
            <w:pPr>
              <w:keepNext w:val="0"/>
              <w:keepLines w:val="0"/>
              <w:pageBreakBefore w:val="0"/>
              <w:widowControl w:val="0"/>
              <w:shd w:val="clear"/>
              <w:kinsoku/>
              <w:wordWrap/>
              <w:overflowPunct/>
              <w:topLinePunct w:val="0"/>
              <w:bidi w:val="0"/>
              <w:snapToGrid w:val="0"/>
              <w:spacing w:line="240" w:lineRule="auto"/>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磋商文件要求</w:t>
            </w:r>
          </w:p>
        </w:tc>
        <w:tc>
          <w:tcPr>
            <w:tcW w:w="900" w:type="dxa"/>
            <w:vAlign w:val="center"/>
          </w:tcPr>
          <w:p w14:paraId="66AB8DC1">
            <w:pPr>
              <w:keepNext w:val="0"/>
              <w:keepLines w:val="0"/>
              <w:pageBreakBefore w:val="0"/>
              <w:widowControl w:val="0"/>
              <w:shd w:val="clear"/>
              <w:kinsoku/>
              <w:wordWrap/>
              <w:overflowPunct/>
              <w:topLinePunct w:val="0"/>
              <w:bidi w:val="0"/>
              <w:snapToGrid w:val="0"/>
              <w:spacing w:line="240" w:lineRule="auto"/>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是否</w:t>
            </w:r>
          </w:p>
          <w:p w14:paraId="21CDA099">
            <w:pPr>
              <w:keepNext w:val="0"/>
              <w:keepLines w:val="0"/>
              <w:pageBreakBefore w:val="0"/>
              <w:widowControl w:val="0"/>
              <w:shd w:val="clear"/>
              <w:kinsoku/>
              <w:wordWrap/>
              <w:overflowPunct/>
              <w:topLinePunct w:val="0"/>
              <w:bidi w:val="0"/>
              <w:snapToGrid w:val="0"/>
              <w:spacing w:line="240" w:lineRule="auto"/>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响应</w:t>
            </w:r>
          </w:p>
        </w:tc>
        <w:tc>
          <w:tcPr>
            <w:tcW w:w="1426" w:type="dxa"/>
            <w:vAlign w:val="center"/>
          </w:tcPr>
          <w:p w14:paraId="11A4119F">
            <w:pPr>
              <w:keepNext w:val="0"/>
              <w:keepLines w:val="0"/>
              <w:pageBreakBefore w:val="0"/>
              <w:widowControl w:val="0"/>
              <w:shd w:val="clear"/>
              <w:kinsoku/>
              <w:wordWrap/>
              <w:overflowPunct/>
              <w:topLinePunct w:val="0"/>
              <w:bidi w:val="0"/>
              <w:snapToGrid w:val="0"/>
              <w:spacing w:line="240" w:lineRule="auto"/>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供应商的</w:t>
            </w:r>
          </w:p>
          <w:p w14:paraId="6D2355FF">
            <w:pPr>
              <w:keepNext w:val="0"/>
              <w:keepLines w:val="0"/>
              <w:pageBreakBefore w:val="0"/>
              <w:widowControl w:val="0"/>
              <w:shd w:val="clear"/>
              <w:kinsoku/>
              <w:wordWrap/>
              <w:overflowPunct/>
              <w:topLinePunct w:val="0"/>
              <w:bidi w:val="0"/>
              <w:snapToGrid w:val="0"/>
              <w:spacing w:line="240" w:lineRule="auto"/>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承诺或说明</w:t>
            </w:r>
          </w:p>
        </w:tc>
      </w:tr>
      <w:tr w14:paraId="4E638C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1A74ECFF">
            <w:pPr>
              <w:keepNext w:val="0"/>
              <w:keepLines w:val="0"/>
              <w:pageBreakBefore w:val="0"/>
              <w:widowControl w:val="0"/>
              <w:shd w:val="clear"/>
              <w:kinsoku/>
              <w:wordWrap/>
              <w:overflowPunct/>
              <w:topLinePunct w:val="0"/>
              <w:bidi w:val="0"/>
              <w:snapToGrid w:val="0"/>
              <w:spacing w:line="240" w:lineRule="auto"/>
              <w:jc w:val="center"/>
              <w:rPr>
                <w:rFonts w:asciiTheme="majorEastAsia" w:hAnsiTheme="majorEastAsia" w:eastAsiaTheme="majorEastAsia"/>
                <w:color w:val="auto"/>
                <w:szCs w:val="21"/>
                <w:highlight w:val="none"/>
              </w:rPr>
            </w:pPr>
          </w:p>
        </w:tc>
        <w:tc>
          <w:tcPr>
            <w:tcW w:w="4738" w:type="dxa"/>
            <w:vAlign w:val="center"/>
          </w:tcPr>
          <w:p w14:paraId="31264316">
            <w:pPr>
              <w:keepNext w:val="0"/>
              <w:keepLines w:val="0"/>
              <w:pageBreakBefore w:val="0"/>
              <w:widowControl w:val="0"/>
              <w:shd w:val="clear"/>
              <w:kinsoku/>
              <w:wordWrap/>
              <w:overflowPunct/>
              <w:topLinePunct w:val="0"/>
              <w:bidi w:val="0"/>
              <w:spacing w:line="240" w:lineRule="auto"/>
              <w:jc w:val="center"/>
              <w:rPr>
                <w:rFonts w:asciiTheme="majorEastAsia" w:hAnsiTheme="majorEastAsia" w:eastAsiaTheme="majorEastAsia"/>
                <w:color w:val="auto"/>
                <w:szCs w:val="21"/>
                <w:highlight w:val="none"/>
              </w:rPr>
            </w:pPr>
          </w:p>
        </w:tc>
        <w:tc>
          <w:tcPr>
            <w:tcW w:w="900" w:type="dxa"/>
            <w:vAlign w:val="center"/>
          </w:tcPr>
          <w:p w14:paraId="1CF380AA">
            <w:pPr>
              <w:keepNext w:val="0"/>
              <w:keepLines w:val="0"/>
              <w:pageBreakBefore w:val="0"/>
              <w:widowControl w:val="0"/>
              <w:shd w:val="clear"/>
              <w:kinsoku/>
              <w:wordWrap/>
              <w:overflowPunct/>
              <w:topLinePunct w:val="0"/>
              <w:bidi w:val="0"/>
              <w:snapToGrid w:val="0"/>
              <w:spacing w:line="240" w:lineRule="auto"/>
              <w:jc w:val="center"/>
              <w:rPr>
                <w:rFonts w:asciiTheme="majorEastAsia" w:hAnsiTheme="majorEastAsia" w:eastAsiaTheme="majorEastAsia"/>
                <w:color w:val="auto"/>
                <w:szCs w:val="21"/>
                <w:highlight w:val="none"/>
              </w:rPr>
            </w:pPr>
          </w:p>
        </w:tc>
        <w:tc>
          <w:tcPr>
            <w:tcW w:w="1426" w:type="dxa"/>
            <w:vAlign w:val="center"/>
          </w:tcPr>
          <w:p w14:paraId="47F8D1A1">
            <w:pPr>
              <w:keepNext w:val="0"/>
              <w:keepLines w:val="0"/>
              <w:pageBreakBefore w:val="0"/>
              <w:widowControl w:val="0"/>
              <w:shd w:val="clear"/>
              <w:kinsoku/>
              <w:wordWrap/>
              <w:overflowPunct/>
              <w:topLinePunct w:val="0"/>
              <w:bidi w:val="0"/>
              <w:snapToGrid w:val="0"/>
              <w:spacing w:line="240" w:lineRule="auto"/>
              <w:jc w:val="center"/>
              <w:rPr>
                <w:rFonts w:asciiTheme="majorEastAsia" w:hAnsiTheme="majorEastAsia" w:eastAsiaTheme="majorEastAsia"/>
                <w:color w:val="auto"/>
                <w:szCs w:val="21"/>
                <w:highlight w:val="none"/>
              </w:rPr>
            </w:pPr>
          </w:p>
        </w:tc>
      </w:tr>
      <w:tr w14:paraId="708918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02EE6BE2">
            <w:pPr>
              <w:keepNext w:val="0"/>
              <w:keepLines w:val="0"/>
              <w:pageBreakBefore w:val="0"/>
              <w:widowControl w:val="0"/>
              <w:shd w:val="clear"/>
              <w:kinsoku/>
              <w:wordWrap/>
              <w:overflowPunct/>
              <w:topLinePunct w:val="0"/>
              <w:bidi w:val="0"/>
              <w:spacing w:line="240" w:lineRule="auto"/>
              <w:jc w:val="center"/>
              <w:rPr>
                <w:rFonts w:asciiTheme="majorEastAsia" w:hAnsiTheme="majorEastAsia" w:eastAsiaTheme="majorEastAsia"/>
                <w:color w:val="auto"/>
                <w:szCs w:val="21"/>
                <w:highlight w:val="none"/>
              </w:rPr>
            </w:pPr>
          </w:p>
        </w:tc>
        <w:tc>
          <w:tcPr>
            <w:tcW w:w="4738" w:type="dxa"/>
            <w:vAlign w:val="center"/>
          </w:tcPr>
          <w:p w14:paraId="016A44E9">
            <w:pPr>
              <w:keepNext w:val="0"/>
              <w:keepLines w:val="0"/>
              <w:pageBreakBefore w:val="0"/>
              <w:widowControl w:val="0"/>
              <w:shd w:val="clear"/>
              <w:kinsoku/>
              <w:wordWrap/>
              <w:overflowPunct/>
              <w:topLinePunct w:val="0"/>
              <w:bidi w:val="0"/>
              <w:spacing w:line="240" w:lineRule="auto"/>
              <w:jc w:val="center"/>
              <w:rPr>
                <w:rFonts w:asciiTheme="majorEastAsia" w:hAnsiTheme="majorEastAsia" w:eastAsiaTheme="majorEastAsia"/>
                <w:color w:val="auto"/>
                <w:szCs w:val="21"/>
                <w:highlight w:val="none"/>
              </w:rPr>
            </w:pPr>
          </w:p>
        </w:tc>
        <w:tc>
          <w:tcPr>
            <w:tcW w:w="900" w:type="dxa"/>
            <w:vAlign w:val="center"/>
          </w:tcPr>
          <w:p w14:paraId="4D7AECBC">
            <w:pPr>
              <w:keepNext w:val="0"/>
              <w:keepLines w:val="0"/>
              <w:pageBreakBefore w:val="0"/>
              <w:widowControl w:val="0"/>
              <w:shd w:val="clear"/>
              <w:kinsoku/>
              <w:wordWrap/>
              <w:overflowPunct/>
              <w:topLinePunct w:val="0"/>
              <w:bidi w:val="0"/>
              <w:snapToGrid w:val="0"/>
              <w:spacing w:line="240" w:lineRule="auto"/>
              <w:jc w:val="center"/>
              <w:rPr>
                <w:rFonts w:asciiTheme="majorEastAsia" w:hAnsiTheme="majorEastAsia" w:eastAsiaTheme="majorEastAsia"/>
                <w:color w:val="auto"/>
                <w:szCs w:val="21"/>
                <w:highlight w:val="none"/>
              </w:rPr>
            </w:pPr>
          </w:p>
        </w:tc>
        <w:tc>
          <w:tcPr>
            <w:tcW w:w="1426" w:type="dxa"/>
            <w:vAlign w:val="center"/>
          </w:tcPr>
          <w:p w14:paraId="292C0CC4">
            <w:pPr>
              <w:keepNext w:val="0"/>
              <w:keepLines w:val="0"/>
              <w:pageBreakBefore w:val="0"/>
              <w:widowControl w:val="0"/>
              <w:shd w:val="clear"/>
              <w:kinsoku/>
              <w:wordWrap/>
              <w:overflowPunct/>
              <w:topLinePunct w:val="0"/>
              <w:bidi w:val="0"/>
              <w:snapToGrid w:val="0"/>
              <w:spacing w:line="240" w:lineRule="auto"/>
              <w:jc w:val="center"/>
              <w:rPr>
                <w:rFonts w:asciiTheme="majorEastAsia" w:hAnsiTheme="majorEastAsia" w:eastAsiaTheme="majorEastAsia"/>
                <w:color w:val="auto"/>
                <w:szCs w:val="21"/>
                <w:highlight w:val="none"/>
              </w:rPr>
            </w:pPr>
          </w:p>
        </w:tc>
      </w:tr>
      <w:tr w14:paraId="4373E3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5CE9191C">
            <w:pPr>
              <w:keepNext w:val="0"/>
              <w:keepLines w:val="0"/>
              <w:pageBreakBefore w:val="0"/>
              <w:widowControl w:val="0"/>
              <w:shd w:val="clear"/>
              <w:kinsoku/>
              <w:wordWrap/>
              <w:overflowPunct/>
              <w:topLinePunct w:val="0"/>
              <w:bidi w:val="0"/>
              <w:snapToGrid w:val="0"/>
              <w:spacing w:line="240" w:lineRule="auto"/>
              <w:jc w:val="center"/>
              <w:rPr>
                <w:rFonts w:asciiTheme="majorEastAsia" w:hAnsiTheme="majorEastAsia" w:eastAsiaTheme="majorEastAsia"/>
                <w:color w:val="auto"/>
                <w:szCs w:val="21"/>
                <w:highlight w:val="none"/>
              </w:rPr>
            </w:pPr>
          </w:p>
        </w:tc>
        <w:tc>
          <w:tcPr>
            <w:tcW w:w="4738" w:type="dxa"/>
            <w:vAlign w:val="center"/>
          </w:tcPr>
          <w:p w14:paraId="607AACD3">
            <w:pPr>
              <w:keepNext w:val="0"/>
              <w:keepLines w:val="0"/>
              <w:pageBreakBefore w:val="0"/>
              <w:widowControl w:val="0"/>
              <w:shd w:val="clear"/>
              <w:kinsoku/>
              <w:wordWrap/>
              <w:overflowPunct/>
              <w:topLinePunct w:val="0"/>
              <w:bidi w:val="0"/>
              <w:spacing w:line="240" w:lineRule="auto"/>
              <w:jc w:val="center"/>
              <w:rPr>
                <w:rFonts w:asciiTheme="majorEastAsia" w:hAnsiTheme="majorEastAsia" w:eastAsiaTheme="majorEastAsia"/>
                <w:color w:val="auto"/>
                <w:szCs w:val="21"/>
                <w:highlight w:val="none"/>
              </w:rPr>
            </w:pPr>
          </w:p>
        </w:tc>
        <w:tc>
          <w:tcPr>
            <w:tcW w:w="900" w:type="dxa"/>
            <w:vAlign w:val="center"/>
          </w:tcPr>
          <w:p w14:paraId="0418575B">
            <w:pPr>
              <w:keepNext w:val="0"/>
              <w:keepLines w:val="0"/>
              <w:pageBreakBefore w:val="0"/>
              <w:widowControl w:val="0"/>
              <w:shd w:val="clear"/>
              <w:kinsoku/>
              <w:wordWrap/>
              <w:overflowPunct/>
              <w:topLinePunct w:val="0"/>
              <w:bidi w:val="0"/>
              <w:spacing w:line="240" w:lineRule="auto"/>
              <w:jc w:val="center"/>
              <w:rPr>
                <w:rFonts w:asciiTheme="majorEastAsia" w:hAnsiTheme="majorEastAsia" w:eastAsiaTheme="majorEastAsia"/>
                <w:color w:val="auto"/>
                <w:szCs w:val="21"/>
                <w:highlight w:val="none"/>
              </w:rPr>
            </w:pPr>
          </w:p>
        </w:tc>
        <w:tc>
          <w:tcPr>
            <w:tcW w:w="1426" w:type="dxa"/>
            <w:vAlign w:val="center"/>
          </w:tcPr>
          <w:p w14:paraId="13EBA75E">
            <w:pPr>
              <w:keepNext w:val="0"/>
              <w:keepLines w:val="0"/>
              <w:pageBreakBefore w:val="0"/>
              <w:widowControl w:val="0"/>
              <w:shd w:val="clear"/>
              <w:kinsoku/>
              <w:wordWrap/>
              <w:overflowPunct/>
              <w:topLinePunct w:val="0"/>
              <w:bidi w:val="0"/>
              <w:spacing w:line="240" w:lineRule="auto"/>
              <w:jc w:val="center"/>
              <w:rPr>
                <w:rFonts w:asciiTheme="majorEastAsia" w:hAnsiTheme="majorEastAsia" w:eastAsiaTheme="majorEastAsia"/>
                <w:color w:val="auto"/>
                <w:szCs w:val="21"/>
                <w:highlight w:val="none"/>
              </w:rPr>
            </w:pPr>
          </w:p>
        </w:tc>
      </w:tr>
      <w:tr w14:paraId="765637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63A33117">
            <w:pPr>
              <w:keepNext w:val="0"/>
              <w:keepLines w:val="0"/>
              <w:pageBreakBefore w:val="0"/>
              <w:widowControl w:val="0"/>
              <w:shd w:val="clear"/>
              <w:kinsoku/>
              <w:wordWrap/>
              <w:overflowPunct/>
              <w:topLinePunct w:val="0"/>
              <w:bidi w:val="0"/>
              <w:snapToGrid w:val="0"/>
              <w:spacing w:line="240" w:lineRule="auto"/>
              <w:jc w:val="center"/>
              <w:rPr>
                <w:rFonts w:asciiTheme="majorEastAsia" w:hAnsiTheme="majorEastAsia" w:eastAsiaTheme="majorEastAsia"/>
                <w:color w:val="auto"/>
                <w:szCs w:val="21"/>
                <w:highlight w:val="none"/>
              </w:rPr>
            </w:pPr>
          </w:p>
        </w:tc>
        <w:tc>
          <w:tcPr>
            <w:tcW w:w="4738" w:type="dxa"/>
            <w:vAlign w:val="center"/>
          </w:tcPr>
          <w:p w14:paraId="7D415719">
            <w:pPr>
              <w:keepNext w:val="0"/>
              <w:keepLines w:val="0"/>
              <w:pageBreakBefore w:val="0"/>
              <w:widowControl w:val="0"/>
              <w:shd w:val="clear"/>
              <w:kinsoku/>
              <w:wordWrap/>
              <w:overflowPunct/>
              <w:topLinePunct w:val="0"/>
              <w:bidi w:val="0"/>
              <w:spacing w:line="240" w:lineRule="auto"/>
              <w:jc w:val="center"/>
              <w:rPr>
                <w:rFonts w:asciiTheme="majorEastAsia" w:hAnsiTheme="majorEastAsia" w:eastAsiaTheme="majorEastAsia"/>
                <w:color w:val="auto"/>
                <w:szCs w:val="21"/>
                <w:highlight w:val="none"/>
              </w:rPr>
            </w:pPr>
          </w:p>
        </w:tc>
        <w:tc>
          <w:tcPr>
            <w:tcW w:w="900" w:type="dxa"/>
            <w:vAlign w:val="center"/>
          </w:tcPr>
          <w:p w14:paraId="22A51551">
            <w:pPr>
              <w:keepNext w:val="0"/>
              <w:keepLines w:val="0"/>
              <w:pageBreakBefore w:val="0"/>
              <w:widowControl w:val="0"/>
              <w:shd w:val="clear"/>
              <w:kinsoku/>
              <w:wordWrap/>
              <w:overflowPunct/>
              <w:topLinePunct w:val="0"/>
              <w:bidi w:val="0"/>
              <w:snapToGrid w:val="0"/>
              <w:spacing w:line="240" w:lineRule="auto"/>
              <w:jc w:val="center"/>
              <w:rPr>
                <w:rFonts w:asciiTheme="majorEastAsia" w:hAnsiTheme="majorEastAsia" w:eastAsiaTheme="majorEastAsia"/>
                <w:color w:val="auto"/>
                <w:szCs w:val="21"/>
                <w:highlight w:val="none"/>
              </w:rPr>
            </w:pPr>
          </w:p>
        </w:tc>
        <w:tc>
          <w:tcPr>
            <w:tcW w:w="1426" w:type="dxa"/>
            <w:vAlign w:val="center"/>
          </w:tcPr>
          <w:p w14:paraId="280D6A76">
            <w:pPr>
              <w:keepNext w:val="0"/>
              <w:keepLines w:val="0"/>
              <w:pageBreakBefore w:val="0"/>
              <w:widowControl w:val="0"/>
              <w:shd w:val="clear"/>
              <w:kinsoku/>
              <w:wordWrap/>
              <w:overflowPunct/>
              <w:topLinePunct w:val="0"/>
              <w:bidi w:val="0"/>
              <w:spacing w:line="240" w:lineRule="auto"/>
              <w:jc w:val="center"/>
              <w:rPr>
                <w:rFonts w:asciiTheme="majorEastAsia" w:hAnsiTheme="majorEastAsia" w:eastAsiaTheme="majorEastAsia"/>
                <w:color w:val="auto"/>
                <w:szCs w:val="21"/>
                <w:highlight w:val="none"/>
              </w:rPr>
            </w:pPr>
          </w:p>
        </w:tc>
      </w:tr>
      <w:tr w14:paraId="5704B3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02138C68">
            <w:pPr>
              <w:keepNext w:val="0"/>
              <w:keepLines w:val="0"/>
              <w:pageBreakBefore w:val="0"/>
              <w:widowControl w:val="0"/>
              <w:shd w:val="clear"/>
              <w:kinsoku/>
              <w:wordWrap/>
              <w:overflowPunct/>
              <w:topLinePunct w:val="0"/>
              <w:bidi w:val="0"/>
              <w:snapToGrid w:val="0"/>
              <w:spacing w:line="240" w:lineRule="auto"/>
              <w:jc w:val="center"/>
              <w:rPr>
                <w:rFonts w:asciiTheme="majorEastAsia" w:hAnsiTheme="majorEastAsia" w:eastAsiaTheme="majorEastAsia"/>
                <w:color w:val="auto"/>
                <w:szCs w:val="21"/>
                <w:highlight w:val="none"/>
              </w:rPr>
            </w:pPr>
          </w:p>
        </w:tc>
        <w:tc>
          <w:tcPr>
            <w:tcW w:w="4738" w:type="dxa"/>
            <w:vAlign w:val="center"/>
          </w:tcPr>
          <w:p w14:paraId="5E7BAD63">
            <w:pPr>
              <w:keepNext w:val="0"/>
              <w:keepLines w:val="0"/>
              <w:pageBreakBefore w:val="0"/>
              <w:widowControl w:val="0"/>
              <w:shd w:val="clear"/>
              <w:kinsoku/>
              <w:wordWrap/>
              <w:overflowPunct/>
              <w:topLinePunct w:val="0"/>
              <w:bidi w:val="0"/>
              <w:spacing w:line="240" w:lineRule="auto"/>
              <w:jc w:val="center"/>
              <w:rPr>
                <w:rFonts w:asciiTheme="majorEastAsia" w:hAnsiTheme="majorEastAsia" w:eastAsiaTheme="majorEastAsia"/>
                <w:color w:val="auto"/>
                <w:szCs w:val="21"/>
                <w:highlight w:val="none"/>
              </w:rPr>
            </w:pPr>
          </w:p>
        </w:tc>
        <w:tc>
          <w:tcPr>
            <w:tcW w:w="900" w:type="dxa"/>
            <w:vAlign w:val="center"/>
          </w:tcPr>
          <w:p w14:paraId="3D3C1DA5">
            <w:pPr>
              <w:keepNext w:val="0"/>
              <w:keepLines w:val="0"/>
              <w:pageBreakBefore w:val="0"/>
              <w:widowControl w:val="0"/>
              <w:shd w:val="clear"/>
              <w:kinsoku/>
              <w:wordWrap/>
              <w:overflowPunct/>
              <w:topLinePunct w:val="0"/>
              <w:bidi w:val="0"/>
              <w:snapToGrid w:val="0"/>
              <w:spacing w:line="240" w:lineRule="auto"/>
              <w:jc w:val="center"/>
              <w:rPr>
                <w:rFonts w:asciiTheme="majorEastAsia" w:hAnsiTheme="majorEastAsia" w:eastAsiaTheme="majorEastAsia"/>
                <w:color w:val="auto"/>
                <w:szCs w:val="21"/>
                <w:highlight w:val="none"/>
              </w:rPr>
            </w:pPr>
          </w:p>
        </w:tc>
        <w:tc>
          <w:tcPr>
            <w:tcW w:w="1426" w:type="dxa"/>
            <w:vAlign w:val="center"/>
          </w:tcPr>
          <w:p w14:paraId="0C188CE2">
            <w:pPr>
              <w:keepNext w:val="0"/>
              <w:keepLines w:val="0"/>
              <w:pageBreakBefore w:val="0"/>
              <w:widowControl w:val="0"/>
              <w:shd w:val="clear"/>
              <w:kinsoku/>
              <w:wordWrap/>
              <w:overflowPunct/>
              <w:topLinePunct w:val="0"/>
              <w:bidi w:val="0"/>
              <w:spacing w:line="240" w:lineRule="auto"/>
              <w:jc w:val="center"/>
              <w:rPr>
                <w:rFonts w:asciiTheme="majorEastAsia" w:hAnsiTheme="majorEastAsia" w:eastAsiaTheme="majorEastAsia"/>
                <w:color w:val="auto"/>
                <w:szCs w:val="21"/>
                <w:highlight w:val="none"/>
              </w:rPr>
            </w:pPr>
          </w:p>
        </w:tc>
      </w:tr>
      <w:tr w14:paraId="093CF8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1988268C">
            <w:pPr>
              <w:keepNext w:val="0"/>
              <w:keepLines w:val="0"/>
              <w:pageBreakBefore w:val="0"/>
              <w:widowControl w:val="0"/>
              <w:shd w:val="clear"/>
              <w:kinsoku/>
              <w:wordWrap/>
              <w:overflowPunct/>
              <w:topLinePunct w:val="0"/>
              <w:bidi w:val="0"/>
              <w:snapToGrid w:val="0"/>
              <w:spacing w:line="240" w:lineRule="auto"/>
              <w:jc w:val="center"/>
              <w:rPr>
                <w:rFonts w:asciiTheme="majorEastAsia" w:hAnsiTheme="majorEastAsia" w:eastAsiaTheme="majorEastAsia"/>
                <w:color w:val="auto"/>
                <w:szCs w:val="21"/>
                <w:highlight w:val="none"/>
              </w:rPr>
            </w:pPr>
          </w:p>
        </w:tc>
        <w:tc>
          <w:tcPr>
            <w:tcW w:w="4738" w:type="dxa"/>
            <w:vAlign w:val="center"/>
          </w:tcPr>
          <w:p w14:paraId="4B00CD0C">
            <w:pPr>
              <w:keepNext w:val="0"/>
              <w:keepLines w:val="0"/>
              <w:pageBreakBefore w:val="0"/>
              <w:widowControl w:val="0"/>
              <w:shd w:val="clear"/>
              <w:kinsoku/>
              <w:wordWrap/>
              <w:overflowPunct/>
              <w:topLinePunct w:val="0"/>
              <w:bidi w:val="0"/>
              <w:spacing w:line="240" w:lineRule="auto"/>
              <w:jc w:val="center"/>
              <w:rPr>
                <w:rFonts w:asciiTheme="majorEastAsia" w:hAnsiTheme="majorEastAsia" w:eastAsiaTheme="majorEastAsia"/>
                <w:color w:val="auto"/>
                <w:szCs w:val="21"/>
                <w:highlight w:val="none"/>
              </w:rPr>
            </w:pPr>
          </w:p>
        </w:tc>
        <w:tc>
          <w:tcPr>
            <w:tcW w:w="900" w:type="dxa"/>
            <w:vAlign w:val="center"/>
          </w:tcPr>
          <w:p w14:paraId="3BD6947F">
            <w:pPr>
              <w:keepNext w:val="0"/>
              <w:keepLines w:val="0"/>
              <w:pageBreakBefore w:val="0"/>
              <w:widowControl w:val="0"/>
              <w:shd w:val="clear"/>
              <w:kinsoku/>
              <w:wordWrap/>
              <w:overflowPunct/>
              <w:topLinePunct w:val="0"/>
              <w:bidi w:val="0"/>
              <w:snapToGrid w:val="0"/>
              <w:spacing w:line="240" w:lineRule="auto"/>
              <w:jc w:val="center"/>
              <w:rPr>
                <w:rFonts w:asciiTheme="majorEastAsia" w:hAnsiTheme="majorEastAsia" w:eastAsiaTheme="majorEastAsia"/>
                <w:color w:val="auto"/>
                <w:szCs w:val="21"/>
                <w:highlight w:val="none"/>
              </w:rPr>
            </w:pPr>
          </w:p>
        </w:tc>
        <w:tc>
          <w:tcPr>
            <w:tcW w:w="1426" w:type="dxa"/>
            <w:vAlign w:val="center"/>
          </w:tcPr>
          <w:p w14:paraId="1A6FF1DE">
            <w:pPr>
              <w:keepNext w:val="0"/>
              <w:keepLines w:val="0"/>
              <w:pageBreakBefore w:val="0"/>
              <w:widowControl w:val="0"/>
              <w:shd w:val="clear"/>
              <w:kinsoku/>
              <w:wordWrap/>
              <w:overflowPunct/>
              <w:topLinePunct w:val="0"/>
              <w:bidi w:val="0"/>
              <w:spacing w:line="240" w:lineRule="auto"/>
              <w:jc w:val="center"/>
              <w:rPr>
                <w:rFonts w:asciiTheme="majorEastAsia" w:hAnsiTheme="majorEastAsia" w:eastAsiaTheme="majorEastAsia"/>
                <w:color w:val="auto"/>
                <w:szCs w:val="21"/>
                <w:highlight w:val="none"/>
              </w:rPr>
            </w:pPr>
          </w:p>
        </w:tc>
      </w:tr>
      <w:tr w14:paraId="22591C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4FDD03C1">
            <w:pPr>
              <w:keepNext w:val="0"/>
              <w:keepLines w:val="0"/>
              <w:pageBreakBefore w:val="0"/>
              <w:widowControl w:val="0"/>
              <w:shd w:val="clear"/>
              <w:kinsoku/>
              <w:wordWrap/>
              <w:overflowPunct/>
              <w:topLinePunct w:val="0"/>
              <w:bidi w:val="0"/>
              <w:snapToGrid w:val="0"/>
              <w:spacing w:line="240" w:lineRule="auto"/>
              <w:jc w:val="center"/>
              <w:rPr>
                <w:rFonts w:asciiTheme="majorEastAsia" w:hAnsiTheme="majorEastAsia" w:eastAsiaTheme="majorEastAsia"/>
                <w:color w:val="auto"/>
                <w:szCs w:val="21"/>
                <w:highlight w:val="none"/>
              </w:rPr>
            </w:pPr>
          </w:p>
        </w:tc>
        <w:tc>
          <w:tcPr>
            <w:tcW w:w="4738" w:type="dxa"/>
            <w:vAlign w:val="center"/>
          </w:tcPr>
          <w:p w14:paraId="136B85B1">
            <w:pPr>
              <w:keepNext w:val="0"/>
              <w:keepLines w:val="0"/>
              <w:pageBreakBefore w:val="0"/>
              <w:widowControl w:val="0"/>
              <w:shd w:val="clear"/>
              <w:kinsoku/>
              <w:wordWrap/>
              <w:overflowPunct/>
              <w:topLinePunct w:val="0"/>
              <w:bidi w:val="0"/>
              <w:spacing w:line="240" w:lineRule="auto"/>
              <w:jc w:val="center"/>
              <w:rPr>
                <w:rFonts w:asciiTheme="majorEastAsia" w:hAnsiTheme="majorEastAsia" w:eastAsiaTheme="majorEastAsia"/>
                <w:color w:val="auto"/>
                <w:szCs w:val="21"/>
                <w:highlight w:val="none"/>
              </w:rPr>
            </w:pPr>
          </w:p>
        </w:tc>
        <w:tc>
          <w:tcPr>
            <w:tcW w:w="900" w:type="dxa"/>
            <w:vAlign w:val="center"/>
          </w:tcPr>
          <w:p w14:paraId="03131FAC">
            <w:pPr>
              <w:keepNext w:val="0"/>
              <w:keepLines w:val="0"/>
              <w:pageBreakBefore w:val="0"/>
              <w:widowControl w:val="0"/>
              <w:shd w:val="clear"/>
              <w:kinsoku/>
              <w:wordWrap/>
              <w:overflowPunct/>
              <w:topLinePunct w:val="0"/>
              <w:bidi w:val="0"/>
              <w:spacing w:line="240" w:lineRule="auto"/>
              <w:jc w:val="center"/>
              <w:rPr>
                <w:rFonts w:asciiTheme="majorEastAsia" w:hAnsiTheme="majorEastAsia" w:eastAsiaTheme="majorEastAsia"/>
                <w:color w:val="auto"/>
                <w:szCs w:val="21"/>
                <w:highlight w:val="none"/>
              </w:rPr>
            </w:pPr>
          </w:p>
        </w:tc>
        <w:tc>
          <w:tcPr>
            <w:tcW w:w="1426" w:type="dxa"/>
            <w:vAlign w:val="center"/>
          </w:tcPr>
          <w:p w14:paraId="7CF29CA0">
            <w:pPr>
              <w:keepNext w:val="0"/>
              <w:keepLines w:val="0"/>
              <w:pageBreakBefore w:val="0"/>
              <w:widowControl w:val="0"/>
              <w:shd w:val="clear"/>
              <w:kinsoku/>
              <w:wordWrap/>
              <w:overflowPunct/>
              <w:topLinePunct w:val="0"/>
              <w:bidi w:val="0"/>
              <w:spacing w:line="240" w:lineRule="auto"/>
              <w:jc w:val="center"/>
              <w:rPr>
                <w:rFonts w:asciiTheme="majorEastAsia" w:hAnsiTheme="majorEastAsia" w:eastAsiaTheme="majorEastAsia"/>
                <w:color w:val="auto"/>
                <w:szCs w:val="21"/>
                <w:highlight w:val="none"/>
              </w:rPr>
            </w:pPr>
          </w:p>
        </w:tc>
      </w:tr>
      <w:tr w14:paraId="616D52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2E3B4555">
            <w:pPr>
              <w:keepNext w:val="0"/>
              <w:keepLines w:val="0"/>
              <w:pageBreakBefore w:val="0"/>
              <w:widowControl w:val="0"/>
              <w:shd w:val="clear"/>
              <w:kinsoku/>
              <w:wordWrap/>
              <w:overflowPunct/>
              <w:topLinePunct w:val="0"/>
              <w:bidi w:val="0"/>
              <w:spacing w:line="240" w:lineRule="auto"/>
              <w:jc w:val="center"/>
              <w:rPr>
                <w:rFonts w:asciiTheme="majorEastAsia" w:hAnsiTheme="majorEastAsia" w:eastAsiaTheme="majorEastAsia"/>
                <w:color w:val="auto"/>
                <w:szCs w:val="21"/>
                <w:highlight w:val="none"/>
              </w:rPr>
            </w:pPr>
          </w:p>
        </w:tc>
        <w:tc>
          <w:tcPr>
            <w:tcW w:w="4738" w:type="dxa"/>
            <w:vAlign w:val="center"/>
          </w:tcPr>
          <w:p w14:paraId="3DA192C0">
            <w:pPr>
              <w:keepNext w:val="0"/>
              <w:keepLines w:val="0"/>
              <w:pageBreakBefore w:val="0"/>
              <w:widowControl w:val="0"/>
              <w:shd w:val="clear"/>
              <w:kinsoku/>
              <w:wordWrap/>
              <w:overflowPunct/>
              <w:topLinePunct w:val="0"/>
              <w:bidi w:val="0"/>
              <w:spacing w:line="240" w:lineRule="auto"/>
              <w:jc w:val="center"/>
              <w:rPr>
                <w:rFonts w:asciiTheme="majorEastAsia" w:hAnsiTheme="majorEastAsia" w:eastAsiaTheme="majorEastAsia"/>
                <w:color w:val="auto"/>
                <w:szCs w:val="21"/>
                <w:highlight w:val="none"/>
              </w:rPr>
            </w:pPr>
          </w:p>
        </w:tc>
        <w:tc>
          <w:tcPr>
            <w:tcW w:w="900" w:type="dxa"/>
            <w:vAlign w:val="center"/>
          </w:tcPr>
          <w:p w14:paraId="22B8E306">
            <w:pPr>
              <w:keepNext w:val="0"/>
              <w:keepLines w:val="0"/>
              <w:pageBreakBefore w:val="0"/>
              <w:widowControl w:val="0"/>
              <w:shd w:val="clear"/>
              <w:kinsoku/>
              <w:wordWrap/>
              <w:overflowPunct/>
              <w:topLinePunct w:val="0"/>
              <w:bidi w:val="0"/>
              <w:spacing w:line="240" w:lineRule="auto"/>
              <w:jc w:val="center"/>
              <w:rPr>
                <w:rFonts w:asciiTheme="majorEastAsia" w:hAnsiTheme="majorEastAsia" w:eastAsiaTheme="majorEastAsia"/>
                <w:color w:val="auto"/>
                <w:szCs w:val="21"/>
                <w:highlight w:val="none"/>
              </w:rPr>
            </w:pPr>
          </w:p>
        </w:tc>
        <w:tc>
          <w:tcPr>
            <w:tcW w:w="1426" w:type="dxa"/>
            <w:vAlign w:val="center"/>
          </w:tcPr>
          <w:p w14:paraId="1FD12E73">
            <w:pPr>
              <w:keepNext w:val="0"/>
              <w:keepLines w:val="0"/>
              <w:pageBreakBefore w:val="0"/>
              <w:widowControl w:val="0"/>
              <w:shd w:val="clear"/>
              <w:kinsoku/>
              <w:wordWrap/>
              <w:overflowPunct/>
              <w:topLinePunct w:val="0"/>
              <w:bidi w:val="0"/>
              <w:spacing w:line="240" w:lineRule="auto"/>
              <w:jc w:val="center"/>
              <w:rPr>
                <w:rFonts w:asciiTheme="majorEastAsia" w:hAnsiTheme="majorEastAsia" w:eastAsiaTheme="majorEastAsia"/>
                <w:color w:val="auto"/>
                <w:szCs w:val="21"/>
                <w:highlight w:val="none"/>
              </w:rPr>
            </w:pPr>
          </w:p>
        </w:tc>
      </w:tr>
    </w:tbl>
    <w:p w14:paraId="568E8B77">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注：根据磋商文件第二章</w:t>
      </w:r>
      <w:r>
        <w:rPr>
          <w:rFonts w:hint="eastAsia" w:asciiTheme="majorEastAsia" w:hAnsiTheme="majorEastAsia" w:eastAsiaTheme="majorEastAsia"/>
          <w:color w:val="auto"/>
          <w:szCs w:val="21"/>
          <w:highlight w:val="none"/>
        </w:rPr>
        <w:t xml:space="preserve"> 采购需求</w:t>
      </w:r>
      <w:r>
        <w:rPr>
          <w:rFonts w:asciiTheme="majorEastAsia" w:hAnsiTheme="majorEastAsia" w:eastAsiaTheme="majorEastAsia"/>
          <w:color w:val="auto"/>
          <w:szCs w:val="21"/>
          <w:highlight w:val="none"/>
        </w:rPr>
        <w:t>中的内容逐条响应</w:t>
      </w:r>
      <w:r>
        <w:rPr>
          <w:rFonts w:hint="eastAsia" w:asciiTheme="majorEastAsia" w:hAnsiTheme="majorEastAsia" w:eastAsiaTheme="majorEastAsia"/>
          <w:color w:val="auto"/>
          <w:szCs w:val="21"/>
          <w:highlight w:val="none"/>
        </w:rPr>
        <w:t>；如全部响应的则在上表空白处填写“全部响应，无偏离”字样</w:t>
      </w:r>
      <w:r>
        <w:rPr>
          <w:rFonts w:asciiTheme="majorEastAsia" w:hAnsiTheme="majorEastAsia" w:eastAsiaTheme="majorEastAsia"/>
          <w:color w:val="auto"/>
          <w:szCs w:val="21"/>
          <w:highlight w:val="none"/>
        </w:rPr>
        <w:t>。</w:t>
      </w:r>
    </w:p>
    <w:p w14:paraId="29103D7C">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p w14:paraId="2315BFD1">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pacing w:val="-4"/>
          <w:szCs w:val="21"/>
          <w:highlight w:val="none"/>
        </w:rPr>
      </w:pPr>
    </w:p>
    <w:p w14:paraId="0334898B">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pacing w:val="-4"/>
          <w:szCs w:val="21"/>
          <w:highlight w:val="none"/>
        </w:rPr>
      </w:pPr>
      <w:r>
        <w:rPr>
          <w:rFonts w:asciiTheme="majorEastAsia" w:hAnsiTheme="majorEastAsia" w:eastAsiaTheme="majorEastAsia"/>
          <w:color w:val="auto"/>
          <w:spacing w:val="-4"/>
          <w:szCs w:val="21"/>
          <w:highlight w:val="none"/>
        </w:rPr>
        <w:t>供应商全称（公章）：</w:t>
      </w:r>
    </w:p>
    <w:p w14:paraId="35431189">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pacing w:val="-4"/>
          <w:szCs w:val="21"/>
          <w:highlight w:val="none"/>
        </w:rPr>
      </w:pPr>
      <w:r>
        <w:rPr>
          <w:rFonts w:asciiTheme="majorEastAsia" w:hAnsiTheme="majorEastAsia" w:eastAsiaTheme="majorEastAsia"/>
          <w:color w:val="auto"/>
          <w:spacing w:val="-4"/>
          <w:szCs w:val="21"/>
          <w:highlight w:val="none"/>
        </w:rPr>
        <w:t xml:space="preserve">法定代表人（负责人）或授权代表（签字或盖章）：                       </w:t>
      </w:r>
    </w:p>
    <w:p w14:paraId="1CE91731">
      <w:pPr>
        <w:pStyle w:val="20"/>
        <w:keepNext w:val="0"/>
        <w:keepLines w:val="0"/>
        <w:pageBreakBefore w:val="0"/>
        <w:widowControl w:val="0"/>
        <w:shd w:val="clear"/>
        <w:kinsoku/>
        <w:wordWrap/>
        <w:overflowPunct/>
        <w:topLinePunct w:val="0"/>
        <w:bidi w:val="0"/>
        <w:spacing w:line="440" w:lineRule="exact"/>
        <w:ind w:firstLine="0"/>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日期：</w:t>
      </w:r>
    </w:p>
    <w:p w14:paraId="622544D4">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p w14:paraId="658EC6E4">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p w14:paraId="10CCC085">
      <w:pPr>
        <w:pStyle w:val="20"/>
        <w:keepNext w:val="0"/>
        <w:keepLines w:val="0"/>
        <w:pageBreakBefore w:val="0"/>
        <w:widowControl w:val="0"/>
        <w:shd w:val="clear"/>
        <w:kinsoku/>
        <w:wordWrap/>
        <w:overflowPunct/>
        <w:topLinePunct w:val="0"/>
        <w:bidi w:val="0"/>
        <w:spacing w:line="440" w:lineRule="exact"/>
        <w:ind w:firstLine="0"/>
        <w:jc w:val="left"/>
        <w:rPr>
          <w:rFonts w:asciiTheme="majorEastAsia" w:hAnsiTheme="majorEastAsia" w:eastAsiaTheme="majorEastAsia"/>
          <w:b/>
          <w:color w:val="auto"/>
          <w:spacing w:val="0"/>
          <w:sz w:val="21"/>
          <w:szCs w:val="21"/>
          <w:highlight w:val="none"/>
        </w:rPr>
      </w:pPr>
      <w:r>
        <w:rPr>
          <w:rFonts w:asciiTheme="majorEastAsia" w:hAnsiTheme="majorEastAsia" w:eastAsiaTheme="majorEastAsia"/>
          <w:b/>
          <w:color w:val="auto"/>
          <w:spacing w:val="0"/>
          <w:sz w:val="21"/>
          <w:szCs w:val="21"/>
          <w:highlight w:val="none"/>
        </w:rPr>
        <w:t xml:space="preserve"> </w:t>
      </w:r>
    </w:p>
    <w:p w14:paraId="49356634">
      <w:pPr>
        <w:keepNext w:val="0"/>
        <w:keepLines w:val="0"/>
        <w:pageBreakBefore w:val="0"/>
        <w:widowControl w:val="0"/>
        <w:shd w:val="clear"/>
        <w:kinsoku/>
        <w:wordWrap/>
        <w:overflowPunct/>
        <w:topLinePunct w:val="0"/>
        <w:bidi w:val="0"/>
        <w:adjustRightInd w:val="0"/>
        <w:spacing w:line="440" w:lineRule="exact"/>
        <w:jc w:val="left"/>
        <w:rPr>
          <w:rFonts w:asciiTheme="majorEastAsia" w:hAnsiTheme="majorEastAsia" w:eastAsiaTheme="majorEastAsia"/>
          <w:b/>
          <w:color w:val="auto"/>
          <w:szCs w:val="21"/>
          <w:highlight w:val="none"/>
        </w:rPr>
      </w:pPr>
      <w:r>
        <w:rPr>
          <w:rFonts w:asciiTheme="majorEastAsia" w:hAnsiTheme="majorEastAsia" w:eastAsiaTheme="majorEastAsia"/>
          <w:color w:val="auto"/>
          <w:szCs w:val="21"/>
          <w:highlight w:val="none"/>
        </w:rPr>
        <w:br w:type="page"/>
      </w:r>
      <w:r>
        <w:rPr>
          <w:rFonts w:asciiTheme="majorEastAsia" w:hAnsiTheme="majorEastAsia" w:eastAsiaTheme="majorEastAsia"/>
          <w:b/>
          <w:color w:val="auto"/>
          <w:szCs w:val="21"/>
          <w:highlight w:val="none"/>
        </w:rPr>
        <w:t>格式</w:t>
      </w:r>
      <w:r>
        <w:rPr>
          <w:rFonts w:hint="eastAsia" w:asciiTheme="majorEastAsia" w:hAnsiTheme="majorEastAsia" w:eastAsiaTheme="majorEastAsia"/>
          <w:b/>
          <w:color w:val="auto"/>
          <w:szCs w:val="21"/>
          <w:highlight w:val="none"/>
          <w:lang w:eastAsia="zh-CN"/>
        </w:rPr>
        <w:t>八</w:t>
      </w:r>
      <w:r>
        <w:rPr>
          <w:rFonts w:asciiTheme="majorEastAsia" w:hAnsiTheme="majorEastAsia" w:eastAsiaTheme="majorEastAsia"/>
          <w:b/>
          <w:color w:val="auto"/>
          <w:szCs w:val="21"/>
          <w:highlight w:val="none"/>
        </w:rPr>
        <w:t>：</w:t>
      </w:r>
    </w:p>
    <w:p w14:paraId="2B63FD40">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人员配置表</w:t>
      </w:r>
    </w:p>
    <w:p w14:paraId="5593F22B">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b/>
          <w:color w:val="auto"/>
          <w:szCs w:val="21"/>
          <w:highlight w:val="none"/>
        </w:rPr>
      </w:pPr>
    </w:p>
    <w:p w14:paraId="32D15CE9">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项目名称：</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项目编号：</w:t>
      </w:r>
      <w:r>
        <w:rPr>
          <w:rFonts w:asciiTheme="majorEastAsia" w:hAnsiTheme="majorEastAsia" w:eastAsiaTheme="majorEastAsia"/>
          <w:color w:val="auto"/>
          <w:szCs w:val="21"/>
          <w:highlight w:val="none"/>
          <w:u w:val="single"/>
        </w:rPr>
        <w:t xml:space="preserve">                      </w:t>
      </w:r>
    </w:p>
    <w:tbl>
      <w:tblPr>
        <w:tblStyle w:val="45"/>
        <w:tblW w:w="0" w:type="auto"/>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708"/>
        <w:gridCol w:w="880"/>
        <w:gridCol w:w="1234"/>
        <w:gridCol w:w="732"/>
        <w:gridCol w:w="1710"/>
        <w:gridCol w:w="1710"/>
        <w:gridCol w:w="1787"/>
      </w:tblGrid>
      <w:tr w14:paraId="79E991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5" w:hRule="atLeast"/>
        </w:trPr>
        <w:tc>
          <w:tcPr>
            <w:tcW w:w="708" w:type="dxa"/>
            <w:vAlign w:val="center"/>
          </w:tcPr>
          <w:p w14:paraId="28EF10B9">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b/>
                <w:bCs/>
                <w:color w:val="auto"/>
                <w:kern w:val="0"/>
                <w:szCs w:val="21"/>
                <w:highlight w:val="none"/>
              </w:rPr>
            </w:pPr>
            <w:r>
              <w:rPr>
                <w:rFonts w:asciiTheme="majorEastAsia" w:hAnsiTheme="majorEastAsia" w:eastAsiaTheme="majorEastAsia"/>
                <w:b/>
                <w:bCs/>
                <w:color w:val="auto"/>
                <w:kern w:val="0"/>
                <w:szCs w:val="21"/>
                <w:highlight w:val="none"/>
              </w:rPr>
              <w:t>序号</w:t>
            </w:r>
          </w:p>
        </w:tc>
        <w:tc>
          <w:tcPr>
            <w:tcW w:w="880" w:type="dxa"/>
            <w:vAlign w:val="center"/>
          </w:tcPr>
          <w:p w14:paraId="3B0E7155">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b/>
                <w:bCs/>
                <w:color w:val="auto"/>
                <w:kern w:val="0"/>
                <w:szCs w:val="21"/>
                <w:highlight w:val="none"/>
              </w:rPr>
            </w:pPr>
            <w:r>
              <w:rPr>
                <w:rFonts w:asciiTheme="majorEastAsia" w:hAnsiTheme="majorEastAsia" w:eastAsiaTheme="majorEastAsia"/>
                <w:b/>
                <w:bCs/>
                <w:color w:val="auto"/>
                <w:kern w:val="0"/>
                <w:szCs w:val="21"/>
                <w:highlight w:val="none"/>
              </w:rPr>
              <w:t>姓名</w:t>
            </w:r>
          </w:p>
        </w:tc>
        <w:tc>
          <w:tcPr>
            <w:tcW w:w="1234" w:type="dxa"/>
            <w:vAlign w:val="center"/>
          </w:tcPr>
          <w:p w14:paraId="4796049F">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b/>
                <w:bCs/>
                <w:color w:val="auto"/>
                <w:kern w:val="0"/>
                <w:szCs w:val="21"/>
                <w:highlight w:val="none"/>
              </w:rPr>
            </w:pPr>
            <w:r>
              <w:rPr>
                <w:rFonts w:hint="eastAsia" w:asciiTheme="majorEastAsia" w:hAnsiTheme="majorEastAsia" w:eastAsiaTheme="majorEastAsia"/>
                <w:b/>
                <w:bCs/>
                <w:color w:val="auto"/>
                <w:kern w:val="0"/>
                <w:szCs w:val="21"/>
                <w:highlight w:val="none"/>
              </w:rPr>
              <w:t>本项目分工</w:t>
            </w:r>
          </w:p>
        </w:tc>
        <w:tc>
          <w:tcPr>
            <w:tcW w:w="732" w:type="dxa"/>
            <w:vAlign w:val="center"/>
          </w:tcPr>
          <w:p w14:paraId="32309BC9">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b/>
                <w:bCs/>
                <w:color w:val="auto"/>
                <w:kern w:val="0"/>
                <w:szCs w:val="21"/>
                <w:highlight w:val="none"/>
              </w:rPr>
            </w:pPr>
            <w:r>
              <w:rPr>
                <w:rFonts w:asciiTheme="majorEastAsia" w:hAnsiTheme="majorEastAsia" w:eastAsiaTheme="majorEastAsia"/>
                <w:b/>
                <w:bCs/>
                <w:color w:val="auto"/>
                <w:kern w:val="0"/>
                <w:szCs w:val="21"/>
                <w:highlight w:val="none"/>
              </w:rPr>
              <w:t>年龄</w:t>
            </w:r>
          </w:p>
        </w:tc>
        <w:tc>
          <w:tcPr>
            <w:tcW w:w="1710" w:type="dxa"/>
            <w:vAlign w:val="center"/>
          </w:tcPr>
          <w:p w14:paraId="18C64F81">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b/>
                <w:bCs/>
                <w:color w:val="auto"/>
                <w:kern w:val="0"/>
                <w:szCs w:val="21"/>
                <w:highlight w:val="none"/>
              </w:rPr>
            </w:pPr>
            <w:r>
              <w:rPr>
                <w:rFonts w:asciiTheme="majorEastAsia" w:hAnsiTheme="majorEastAsia" w:eastAsiaTheme="majorEastAsia"/>
                <w:b/>
                <w:bCs/>
                <w:color w:val="auto"/>
                <w:kern w:val="0"/>
                <w:szCs w:val="21"/>
                <w:highlight w:val="none"/>
              </w:rPr>
              <w:t>身份证号</w:t>
            </w:r>
          </w:p>
        </w:tc>
        <w:tc>
          <w:tcPr>
            <w:tcW w:w="1710" w:type="dxa"/>
            <w:vAlign w:val="center"/>
          </w:tcPr>
          <w:p w14:paraId="1BC7DECE">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b/>
                <w:bCs/>
                <w:color w:val="auto"/>
                <w:kern w:val="0"/>
                <w:szCs w:val="21"/>
                <w:highlight w:val="none"/>
              </w:rPr>
            </w:pPr>
            <w:r>
              <w:rPr>
                <w:rFonts w:asciiTheme="majorEastAsia" w:hAnsiTheme="majorEastAsia" w:eastAsiaTheme="majorEastAsia"/>
                <w:b/>
                <w:bCs/>
                <w:color w:val="auto"/>
                <w:kern w:val="0"/>
                <w:szCs w:val="21"/>
                <w:highlight w:val="none"/>
              </w:rPr>
              <w:t>职称或技术等级</w:t>
            </w:r>
          </w:p>
        </w:tc>
        <w:tc>
          <w:tcPr>
            <w:tcW w:w="1787" w:type="dxa"/>
            <w:vAlign w:val="center"/>
          </w:tcPr>
          <w:p w14:paraId="5BB3D0BA">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b/>
                <w:bCs/>
                <w:color w:val="auto"/>
                <w:kern w:val="0"/>
                <w:szCs w:val="21"/>
                <w:highlight w:val="none"/>
              </w:rPr>
            </w:pPr>
            <w:r>
              <w:rPr>
                <w:rFonts w:asciiTheme="majorEastAsia" w:hAnsiTheme="majorEastAsia" w:eastAsiaTheme="majorEastAsia"/>
                <w:b/>
                <w:bCs/>
                <w:color w:val="auto"/>
                <w:kern w:val="0"/>
                <w:szCs w:val="21"/>
                <w:highlight w:val="none"/>
              </w:rPr>
              <w:t>承担过的类似项目</w:t>
            </w:r>
          </w:p>
        </w:tc>
      </w:tr>
      <w:tr w14:paraId="1BC1E1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7062D6B9">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1</w:t>
            </w:r>
          </w:p>
        </w:tc>
        <w:tc>
          <w:tcPr>
            <w:tcW w:w="880" w:type="dxa"/>
            <w:vAlign w:val="center"/>
          </w:tcPr>
          <w:p w14:paraId="4FE17C64">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kern w:val="0"/>
                <w:szCs w:val="21"/>
                <w:highlight w:val="none"/>
              </w:rPr>
            </w:pPr>
          </w:p>
        </w:tc>
        <w:tc>
          <w:tcPr>
            <w:tcW w:w="1234" w:type="dxa"/>
            <w:vAlign w:val="center"/>
          </w:tcPr>
          <w:p w14:paraId="6601E1CE">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76953B34">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10" w:type="dxa"/>
          </w:tcPr>
          <w:p w14:paraId="1E4A9B0B">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49C7E46E">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65262BD9">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r>
      <w:tr w14:paraId="629106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2AD74B35">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2</w:t>
            </w:r>
          </w:p>
        </w:tc>
        <w:tc>
          <w:tcPr>
            <w:tcW w:w="880" w:type="dxa"/>
            <w:vAlign w:val="center"/>
          </w:tcPr>
          <w:p w14:paraId="12525200">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kern w:val="0"/>
                <w:szCs w:val="21"/>
                <w:highlight w:val="none"/>
              </w:rPr>
            </w:pPr>
          </w:p>
        </w:tc>
        <w:tc>
          <w:tcPr>
            <w:tcW w:w="1234" w:type="dxa"/>
            <w:vAlign w:val="center"/>
          </w:tcPr>
          <w:p w14:paraId="3FD59337">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358C0587">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10" w:type="dxa"/>
          </w:tcPr>
          <w:p w14:paraId="50C3BE0D">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79487A38">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2972A135">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r>
      <w:tr w14:paraId="5073E6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6CFDC839">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3</w:t>
            </w:r>
          </w:p>
        </w:tc>
        <w:tc>
          <w:tcPr>
            <w:tcW w:w="880" w:type="dxa"/>
            <w:vAlign w:val="center"/>
          </w:tcPr>
          <w:p w14:paraId="71C29BEF">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kern w:val="0"/>
                <w:szCs w:val="21"/>
                <w:highlight w:val="none"/>
              </w:rPr>
            </w:pPr>
          </w:p>
        </w:tc>
        <w:tc>
          <w:tcPr>
            <w:tcW w:w="1234" w:type="dxa"/>
            <w:vAlign w:val="center"/>
          </w:tcPr>
          <w:p w14:paraId="057A546B">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5BF5855D">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10" w:type="dxa"/>
          </w:tcPr>
          <w:p w14:paraId="29E1B6B7">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21D5762E">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2B74D3E7">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r>
      <w:tr w14:paraId="074F94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04DBDCB2">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4</w:t>
            </w:r>
          </w:p>
        </w:tc>
        <w:tc>
          <w:tcPr>
            <w:tcW w:w="880" w:type="dxa"/>
            <w:vAlign w:val="center"/>
          </w:tcPr>
          <w:p w14:paraId="39738FDE">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kern w:val="0"/>
                <w:szCs w:val="21"/>
                <w:highlight w:val="none"/>
              </w:rPr>
            </w:pPr>
          </w:p>
        </w:tc>
        <w:tc>
          <w:tcPr>
            <w:tcW w:w="1234" w:type="dxa"/>
            <w:vAlign w:val="center"/>
          </w:tcPr>
          <w:p w14:paraId="237327FB">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2A2D5224">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10" w:type="dxa"/>
          </w:tcPr>
          <w:p w14:paraId="03BDF750">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3FB49E28">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4A1B5B6F">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r>
      <w:tr w14:paraId="42DC6E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1629B14D">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5</w:t>
            </w:r>
          </w:p>
        </w:tc>
        <w:tc>
          <w:tcPr>
            <w:tcW w:w="880" w:type="dxa"/>
            <w:vAlign w:val="center"/>
          </w:tcPr>
          <w:p w14:paraId="74E42190">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kern w:val="0"/>
                <w:szCs w:val="21"/>
                <w:highlight w:val="none"/>
              </w:rPr>
            </w:pPr>
          </w:p>
        </w:tc>
        <w:tc>
          <w:tcPr>
            <w:tcW w:w="1234" w:type="dxa"/>
            <w:vAlign w:val="center"/>
          </w:tcPr>
          <w:p w14:paraId="53835B55">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13F931CB">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10" w:type="dxa"/>
          </w:tcPr>
          <w:p w14:paraId="05D32FF7">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3849CDD3">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262DDA2C">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r>
      <w:tr w14:paraId="72B4BA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7D08EC4D">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6</w:t>
            </w:r>
          </w:p>
        </w:tc>
        <w:tc>
          <w:tcPr>
            <w:tcW w:w="880" w:type="dxa"/>
            <w:vAlign w:val="center"/>
          </w:tcPr>
          <w:p w14:paraId="79604F48">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kern w:val="0"/>
                <w:szCs w:val="21"/>
                <w:highlight w:val="none"/>
              </w:rPr>
            </w:pPr>
          </w:p>
        </w:tc>
        <w:tc>
          <w:tcPr>
            <w:tcW w:w="1234" w:type="dxa"/>
            <w:vAlign w:val="center"/>
          </w:tcPr>
          <w:p w14:paraId="7BCA57B5">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0D0C0FDD">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10" w:type="dxa"/>
          </w:tcPr>
          <w:p w14:paraId="46A59409">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24FFCBDC">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18B26F04">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r>
      <w:tr w14:paraId="66CAB0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629B9FA8">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7</w:t>
            </w:r>
          </w:p>
        </w:tc>
        <w:tc>
          <w:tcPr>
            <w:tcW w:w="880" w:type="dxa"/>
            <w:vAlign w:val="center"/>
          </w:tcPr>
          <w:p w14:paraId="41F3C64E">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kern w:val="0"/>
                <w:szCs w:val="21"/>
                <w:highlight w:val="none"/>
              </w:rPr>
            </w:pPr>
          </w:p>
        </w:tc>
        <w:tc>
          <w:tcPr>
            <w:tcW w:w="1234" w:type="dxa"/>
            <w:vAlign w:val="center"/>
          </w:tcPr>
          <w:p w14:paraId="5D441CE4">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5B1BC767">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10" w:type="dxa"/>
          </w:tcPr>
          <w:p w14:paraId="2568098E">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606AEF2E">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50701F5F">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r>
      <w:tr w14:paraId="315702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2FF237D6">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8</w:t>
            </w:r>
          </w:p>
        </w:tc>
        <w:tc>
          <w:tcPr>
            <w:tcW w:w="880" w:type="dxa"/>
            <w:vAlign w:val="center"/>
          </w:tcPr>
          <w:p w14:paraId="2760824B">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kern w:val="0"/>
                <w:szCs w:val="21"/>
                <w:highlight w:val="none"/>
              </w:rPr>
            </w:pPr>
          </w:p>
        </w:tc>
        <w:tc>
          <w:tcPr>
            <w:tcW w:w="1234" w:type="dxa"/>
            <w:vAlign w:val="center"/>
          </w:tcPr>
          <w:p w14:paraId="4A1E3553">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5E5533E0">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10" w:type="dxa"/>
          </w:tcPr>
          <w:p w14:paraId="7D333527">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3E5E66DA">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2F4AE4D2">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r>
      <w:tr w14:paraId="2DBE79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6772E24E">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9</w:t>
            </w:r>
          </w:p>
        </w:tc>
        <w:tc>
          <w:tcPr>
            <w:tcW w:w="880" w:type="dxa"/>
            <w:vAlign w:val="center"/>
          </w:tcPr>
          <w:p w14:paraId="7162F50C">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kern w:val="0"/>
                <w:szCs w:val="21"/>
                <w:highlight w:val="none"/>
              </w:rPr>
            </w:pPr>
          </w:p>
        </w:tc>
        <w:tc>
          <w:tcPr>
            <w:tcW w:w="1234" w:type="dxa"/>
            <w:vAlign w:val="center"/>
          </w:tcPr>
          <w:p w14:paraId="073029EC">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5A1AE2E6">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10" w:type="dxa"/>
          </w:tcPr>
          <w:p w14:paraId="660869E3">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5D41402C">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3B14B9E1">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r>
      <w:tr w14:paraId="12C880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6399F698">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10</w:t>
            </w:r>
          </w:p>
        </w:tc>
        <w:tc>
          <w:tcPr>
            <w:tcW w:w="880" w:type="dxa"/>
            <w:vAlign w:val="center"/>
          </w:tcPr>
          <w:p w14:paraId="5AF8A9E7">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kern w:val="0"/>
                <w:szCs w:val="21"/>
                <w:highlight w:val="none"/>
              </w:rPr>
            </w:pPr>
          </w:p>
        </w:tc>
        <w:tc>
          <w:tcPr>
            <w:tcW w:w="1234" w:type="dxa"/>
            <w:vAlign w:val="center"/>
          </w:tcPr>
          <w:p w14:paraId="1AEEBE83">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376DEA8F">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10" w:type="dxa"/>
          </w:tcPr>
          <w:p w14:paraId="387493FC">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2BE7EADC">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46E59FE4">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r>
      <w:tr w14:paraId="4EF585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6C1424A3">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w:t>
            </w:r>
          </w:p>
        </w:tc>
        <w:tc>
          <w:tcPr>
            <w:tcW w:w="880" w:type="dxa"/>
            <w:vAlign w:val="center"/>
          </w:tcPr>
          <w:p w14:paraId="4BAF152A">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kern w:val="0"/>
                <w:szCs w:val="21"/>
                <w:highlight w:val="none"/>
              </w:rPr>
            </w:pPr>
          </w:p>
        </w:tc>
        <w:tc>
          <w:tcPr>
            <w:tcW w:w="1234" w:type="dxa"/>
            <w:vAlign w:val="center"/>
          </w:tcPr>
          <w:p w14:paraId="1751A253">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6FA4E1E0">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10" w:type="dxa"/>
          </w:tcPr>
          <w:p w14:paraId="6354B99B">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0A04EE8B">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633F2B41">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r>
    </w:tbl>
    <w:p w14:paraId="0FC37814">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注：上表中注明项目</w:t>
      </w:r>
      <w:r>
        <w:rPr>
          <w:rFonts w:hint="eastAsia" w:asciiTheme="majorEastAsia" w:hAnsiTheme="majorEastAsia" w:eastAsiaTheme="majorEastAsia"/>
          <w:color w:val="auto"/>
          <w:szCs w:val="21"/>
          <w:highlight w:val="none"/>
        </w:rPr>
        <w:t>负责人</w:t>
      </w:r>
      <w:r>
        <w:rPr>
          <w:rFonts w:asciiTheme="majorEastAsia" w:hAnsiTheme="majorEastAsia" w:eastAsiaTheme="majorEastAsia"/>
          <w:color w:val="auto"/>
          <w:szCs w:val="21"/>
          <w:highlight w:val="none"/>
        </w:rPr>
        <w:t>；后附资料根据评分标准及磋商文件要求提供。</w:t>
      </w:r>
    </w:p>
    <w:p w14:paraId="35C9FB75">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p w14:paraId="7783AD33">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p w14:paraId="1FF92F1D">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供应商全称（公章）：</w:t>
      </w:r>
    </w:p>
    <w:p w14:paraId="280C262F">
      <w:pPr>
        <w:keepNext w:val="0"/>
        <w:keepLines w:val="0"/>
        <w:pageBreakBefore w:val="0"/>
        <w:widowControl w:val="0"/>
        <w:shd w:val="clear"/>
        <w:kinsoku/>
        <w:wordWrap/>
        <w:overflowPunct/>
        <w:topLinePunct w:val="0"/>
        <w:bidi w:val="0"/>
        <w:adjustRightInd w:val="0"/>
        <w:spacing w:line="440" w:lineRule="exact"/>
        <w:jc w:val="lef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法定代表人（负责人）或授权代表（签字或盖章</w:t>
      </w:r>
    </w:p>
    <w:p w14:paraId="77EF1CE7">
      <w:pPr>
        <w:keepNext w:val="0"/>
        <w:keepLines w:val="0"/>
        <w:pageBreakBefore w:val="0"/>
        <w:widowControl w:val="0"/>
        <w:shd w:val="clear"/>
        <w:kinsoku/>
        <w:wordWrap/>
        <w:overflowPunct/>
        <w:topLinePunct w:val="0"/>
        <w:bidi w:val="0"/>
        <w:adjustRightInd w:val="0"/>
        <w:spacing w:line="440" w:lineRule="exact"/>
        <w:jc w:val="left"/>
        <w:rPr>
          <w:rFonts w:asciiTheme="majorEastAsia" w:hAnsiTheme="majorEastAsia" w:eastAsiaTheme="majorEastAsia"/>
          <w:color w:val="auto"/>
          <w:szCs w:val="21"/>
          <w:highlight w:val="none"/>
        </w:rPr>
      </w:pPr>
    </w:p>
    <w:p w14:paraId="61284B09">
      <w:pPr>
        <w:keepNext w:val="0"/>
        <w:keepLines w:val="0"/>
        <w:pageBreakBefore w:val="0"/>
        <w:widowControl w:val="0"/>
        <w:shd w:val="clear"/>
        <w:kinsoku/>
        <w:wordWrap/>
        <w:overflowPunct/>
        <w:topLinePunct w:val="0"/>
        <w:bidi w:val="0"/>
        <w:adjustRightInd w:val="0"/>
        <w:spacing w:line="440" w:lineRule="exact"/>
        <w:jc w:val="left"/>
        <w:rPr>
          <w:rFonts w:asciiTheme="majorEastAsia" w:hAnsiTheme="majorEastAsia" w:eastAsiaTheme="majorEastAsia"/>
          <w:color w:val="auto"/>
          <w:szCs w:val="21"/>
          <w:highlight w:val="none"/>
        </w:rPr>
      </w:pPr>
    </w:p>
    <w:p w14:paraId="17BBC5AC">
      <w:pPr>
        <w:keepNext w:val="0"/>
        <w:keepLines w:val="0"/>
        <w:pageBreakBefore w:val="0"/>
        <w:widowControl w:val="0"/>
        <w:shd w:val="clear"/>
        <w:kinsoku/>
        <w:wordWrap/>
        <w:overflowPunct/>
        <w:topLinePunct w:val="0"/>
        <w:bidi w:val="0"/>
        <w:adjustRightInd w:val="0"/>
        <w:spacing w:line="440" w:lineRule="exact"/>
        <w:jc w:val="left"/>
        <w:rPr>
          <w:rFonts w:asciiTheme="majorEastAsia" w:hAnsiTheme="majorEastAsia" w:eastAsiaTheme="majorEastAsia"/>
          <w:color w:val="auto"/>
          <w:szCs w:val="21"/>
          <w:highlight w:val="none"/>
        </w:rPr>
      </w:pPr>
    </w:p>
    <w:p w14:paraId="311287C5">
      <w:pPr>
        <w:keepNext w:val="0"/>
        <w:keepLines w:val="0"/>
        <w:pageBreakBefore w:val="0"/>
        <w:widowControl w:val="0"/>
        <w:shd w:val="clear"/>
        <w:kinsoku/>
        <w:wordWrap/>
        <w:overflowPunct/>
        <w:topLinePunct w:val="0"/>
        <w:bidi w:val="0"/>
        <w:adjustRightInd w:val="0"/>
        <w:spacing w:line="440" w:lineRule="exact"/>
        <w:jc w:val="left"/>
        <w:rPr>
          <w:rFonts w:asciiTheme="majorEastAsia" w:hAnsiTheme="majorEastAsia" w:eastAsiaTheme="majorEastAsia"/>
          <w:color w:val="auto"/>
          <w:szCs w:val="21"/>
          <w:highlight w:val="none"/>
        </w:rPr>
      </w:pPr>
    </w:p>
    <w:p w14:paraId="75D97D96">
      <w:pPr>
        <w:keepNext w:val="0"/>
        <w:keepLines w:val="0"/>
        <w:pageBreakBefore w:val="0"/>
        <w:widowControl w:val="0"/>
        <w:shd w:val="clear"/>
        <w:kinsoku/>
        <w:wordWrap/>
        <w:overflowPunct/>
        <w:topLinePunct w:val="0"/>
        <w:bidi w:val="0"/>
        <w:adjustRightInd w:val="0"/>
        <w:spacing w:line="440" w:lineRule="exact"/>
        <w:jc w:val="left"/>
        <w:rPr>
          <w:rFonts w:asciiTheme="majorEastAsia" w:hAnsiTheme="majorEastAsia" w:eastAsiaTheme="majorEastAsia"/>
          <w:color w:val="auto"/>
          <w:szCs w:val="21"/>
          <w:highlight w:val="none"/>
        </w:rPr>
      </w:pPr>
    </w:p>
    <w:p w14:paraId="6AF377D0">
      <w:pPr>
        <w:keepNext w:val="0"/>
        <w:keepLines w:val="0"/>
        <w:pageBreakBefore w:val="0"/>
        <w:widowControl w:val="0"/>
        <w:shd w:val="clear"/>
        <w:kinsoku/>
        <w:wordWrap/>
        <w:overflowPunct/>
        <w:topLinePunct w:val="0"/>
        <w:bidi w:val="0"/>
        <w:jc w:val="lef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br w:type="page"/>
      </w:r>
    </w:p>
    <w:p w14:paraId="2469B4F3">
      <w:pPr>
        <w:keepNext w:val="0"/>
        <w:keepLines w:val="0"/>
        <w:pageBreakBefore w:val="0"/>
        <w:widowControl w:val="0"/>
        <w:shd w:val="clear"/>
        <w:kinsoku/>
        <w:wordWrap/>
        <w:overflowPunct/>
        <w:topLinePunct w:val="0"/>
        <w:bidi w:val="0"/>
        <w:adjustRightInd w:val="0"/>
        <w:spacing w:line="440" w:lineRule="exact"/>
        <w:jc w:val="lef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格式</w:t>
      </w:r>
      <w:r>
        <w:rPr>
          <w:rFonts w:hint="eastAsia" w:asciiTheme="majorEastAsia" w:hAnsiTheme="majorEastAsia" w:eastAsiaTheme="majorEastAsia"/>
          <w:b/>
          <w:color w:val="auto"/>
          <w:szCs w:val="21"/>
          <w:highlight w:val="none"/>
          <w:lang w:eastAsia="zh-CN"/>
        </w:rPr>
        <w:t>九</w:t>
      </w:r>
      <w:r>
        <w:rPr>
          <w:rFonts w:asciiTheme="majorEastAsia" w:hAnsiTheme="majorEastAsia" w:eastAsiaTheme="majorEastAsia"/>
          <w:b/>
          <w:color w:val="auto"/>
          <w:szCs w:val="21"/>
          <w:highlight w:val="none"/>
        </w:rPr>
        <w:t>：</w:t>
      </w:r>
    </w:p>
    <w:p w14:paraId="3CDE88B5">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项目业绩表</w:t>
      </w:r>
    </w:p>
    <w:p w14:paraId="399CA9CC">
      <w:pPr>
        <w:keepNext w:val="0"/>
        <w:keepLines w:val="0"/>
        <w:pageBreakBefore w:val="0"/>
        <w:widowControl w:val="0"/>
        <w:shd w:val="clear"/>
        <w:kinsoku/>
        <w:wordWrap/>
        <w:overflowPunct/>
        <w:topLinePunct w:val="0"/>
        <w:bidi w:val="0"/>
        <w:spacing w:line="440" w:lineRule="exact"/>
        <w:ind w:firstLine="3089"/>
        <w:rPr>
          <w:rFonts w:asciiTheme="majorEastAsia" w:hAnsiTheme="majorEastAsia" w:eastAsiaTheme="majorEastAsia"/>
          <w:b/>
          <w:color w:val="auto"/>
          <w:szCs w:val="21"/>
          <w:highlight w:val="none"/>
        </w:rPr>
      </w:pPr>
    </w:p>
    <w:p w14:paraId="66A7ED6C">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u w:val="single"/>
        </w:rPr>
      </w:pPr>
      <w:r>
        <w:rPr>
          <w:rFonts w:asciiTheme="majorEastAsia" w:hAnsiTheme="majorEastAsia" w:eastAsiaTheme="majorEastAsia"/>
          <w:color w:val="auto"/>
          <w:szCs w:val="21"/>
          <w:highlight w:val="none"/>
        </w:rPr>
        <w:t>项目名称：</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项目编号：</w:t>
      </w:r>
      <w:r>
        <w:rPr>
          <w:rFonts w:asciiTheme="majorEastAsia" w:hAnsiTheme="majorEastAsia" w:eastAsiaTheme="majorEastAsia"/>
          <w:color w:val="auto"/>
          <w:szCs w:val="21"/>
          <w:highlight w:val="none"/>
          <w:u w:val="single"/>
        </w:rPr>
        <w:t xml:space="preserve">                   </w:t>
      </w:r>
    </w:p>
    <w:tbl>
      <w:tblPr>
        <w:tblStyle w:val="4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355"/>
        <w:gridCol w:w="2160"/>
        <w:gridCol w:w="1625"/>
        <w:gridCol w:w="1956"/>
      </w:tblGrid>
      <w:tr w14:paraId="430D12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6D520E60">
            <w:pPr>
              <w:keepNext w:val="0"/>
              <w:keepLines w:val="0"/>
              <w:pageBreakBefore w:val="0"/>
              <w:widowControl w:val="0"/>
              <w:shd w:val="clear"/>
              <w:kinsoku/>
              <w:wordWrap/>
              <w:overflowPunct/>
              <w:topLinePunct w:val="0"/>
              <w:bidi w:val="0"/>
              <w:snapToGrid w:val="0"/>
              <w:spacing w:line="440" w:lineRule="exact"/>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序号</w:t>
            </w:r>
          </w:p>
        </w:tc>
        <w:tc>
          <w:tcPr>
            <w:tcW w:w="2355" w:type="dxa"/>
            <w:vAlign w:val="center"/>
          </w:tcPr>
          <w:p w14:paraId="096AB697">
            <w:pPr>
              <w:keepNext w:val="0"/>
              <w:keepLines w:val="0"/>
              <w:pageBreakBefore w:val="0"/>
              <w:widowControl w:val="0"/>
              <w:shd w:val="clear"/>
              <w:kinsoku/>
              <w:wordWrap/>
              <w:overflowPunct/>
              <w:topLinePunct w:val="0"/>
              <w:bidi w:val="0"/>
              <w:snapToGrid w:val="0"/>
              <w:spacing w:line="440" w:lineRule="exact"/>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项目名称</w:t>
            </w:r>
          </w:p>
        </w:tc>
        <w:tc>
          <w:tcPr>
            <w:tcW w:w="2160" w:type="dxa"/>
            <w:vAlign w:val="center"/>
          </w:tcPr>
          <w:p w14:paraId="04060888">
            <w:pPr>
              <w:keepNext w:val="0"/>
              <w:keepLines w:val="0"/>
              <w:pageBreakBefore w:val="0"/>
              <w:widowControl w:val="0"/>
              <w:shd w:val="clear"/>
              <w:kinsoku/>
              <w:wordWrap/>
              <w:overflowPunct/>
              <w:topLinePunct w:val="0"/>
              <w:bidi w:val="0"/>
              <w:snapToGrid w:val="0"/>
              <w:spacing w:line="440" w:lineRule="exact"/>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合同签订时间</w:t>
            </w:r>
          </w:p>
        </w:tc>
        <w:tc>
          <w:tcPr>
            <w:tcW w:w="1625" w:type="dxa"/>
            <w:vAlign w:val="center"/>
          </w:tcPr>
          <w:p w14:paraId="1F7ECEDA">
            <w:pPr>
              <w:keepNext w:val="0"/>
              <w:keepLines w:val="0"/>
              <w:pageBreakBefore w:val="0"/>
              <w:widowControl w:val="0"/>
              <w:shd w:val="clear"/>
              <w:kinsoku/>
              <w:wordWrap/>
              <w:overflowPunct/>
              <w:topLinePunct w:val="0"/>
              <w:bidi w:val="0"/>
              <w:snapToGrid w:val="0"/>
              <w:spacing w:line="440" w:lineRule="exact"/>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合同服务内容</w:t>
            </w:r>
          </w:p>
        </w:tc>
        <w:tc>
          <w:tcPr>
            <w:tcW w:w="1956" w:type="dxa"/>
            <w:vAlign w:val="center"/>
          </w:tcPr>
          <w:p w14:paraId="24704F51">
            <w:pPr>
              <w:keepNext w:val="0"/>
              <w:keepLines w:val="0"/>
              <w:pageBreakBefore w:val="0"/>
              <w:widowControl w:val="0"/>
              <w:shd w:val="clear"/>
              <w:kinsoku/>
              <w:wordWrap/>
              <w:overflowPunct/>
              <w:topLinePunct w:val="0"/>
              <w:bidi w:val="0"/>
              <w:snapToGrid w:val="0"/>
              <w:spacing w:line="440" w:lineRule="exact"/>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项目甲方联系人/联系电话</w:t>
            </w:r>
          </w:p>
        </w:tc>
      </w:tr>
      <w:tr w14:paraId="3B1FFE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67DA17BA">
            <w:pPr>
              <w:keepNext w:val="0"/>
              <w:keepLines w:val="0"/>
              <w:pageBreakBefore w:val="0"/>
              <w:widowControl w:val="0"/>
              <w:shd w:val="clear"/>
              <w:kinsoku/>
              <w:wordWrap/>
              <w:overflowPunct/>
              <w:topLinePunct w:val="0"/>
              <w:bidi w:val="0"/>
              <w:snapToGrid w:val="0"/>
              <w:spacing w:line="440" w:lineRule="exact"/>
              <w:jc w:val="center"/>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1</w:t>
            </w:r>
          </w:p>
        </w:tc>
        <w:tc>
          <w:tcPr>
            <w:tcW w:w="2355" w:type="dxa"/>
            <w:vAlign w:val="center"/>
          </w:tcPr>
          <w:p w14:paraId="14A13D1F">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tc>
        <w:tc>
          <w:tcPr>
            <w:tcW w:w="2160" w:type="dxa"/>
            <w:vAlign w:val="center"/>
          </w:tcPr>
          <w:p w14:paraId="7A650F7D">
            <w:pPr>
              <w:keepNext w:val="0"/>
              <w:keepLines w:val="0"/>
              <w:pageBreakBefore w:val="0"/>
              <w:widowControl w:val="0"/>
              <w:shd w:val="clear"/>
              <w:kinsoku/>
              <w:wordWrap/>
              <w:overflowPunct/>
              <w:topLinePunct w:val="0"/>
              <w:bidi w:val="0"/>
              <w:snapToGrid w:val="0"/>
              <w:spacing w:line="440" w:lineRule="exact"/>
              <w:rPr>
                <w:rFonts w:asciiTheme="majorEastAsia" w:hAnsiTheme="majorEastAsia" w:eastAsiaTheme="majorEastAsia"/>
                <w:color w:val="auto"/>
                <w:szCs w:val="21"/>
                <w:highlight w:val="none"/>
              </w:rPr>
            </w:pPr>
          </w:p>
        </w:tc>
        <w:tc>
          <w:tcPr>
            <w:tcW w:w="1625" w:type="dxa"/>
            <w:vAlign w:val="center"/>
          </w:tcPr>
          <w:p w14:paraId="21926C6F">
            <w:pPr>
              <w:keepNext w:val="0"/>
              <w:keepLines w:val="0"/>
              <w:pageBreakBefore w:val="0"/>
              <w:widowControl w:val="0"/>
              <w:shd w:val="clear"/>
              <w:kinsoku/>
              <w:wordWrap/>
              <w:overflowPunct/>
              <w:topLinePunct w:val="0"/>
              <w:bidi w:val="0"/>
              <w:snapToGrid w:val="0"/>
              <w:spacing w:line="440" w:lineRule="exact"/>
              <w:rPr>
                <w:rFonts w:asciiTheme="majorEastAsia" w:hAnsiTheme="majorEastAsia" w:eastAsiaTheme="majorEastAsia"/>
                <w:color w:val="auto"/>
                <w:szCs w:val="21"/>
                <w:highlight w:val="none"/>
              </w:rPr>
            </w:pPr>
          </w:p>
        </w:tc>
        <w:tc>
          <w:tcPr>
            <w:tcW w:w="1956" w:type="dxa"/>
            <w:vAlign w:val="center"/>
          </w:tcPr>
          <w:p w14:paraId="32928D46">
            <w:pPr>
              <w:keepNext w:val="0"/>
              <w:keepLines w:val="0"/>
              <w:pageBreakBefore w:val="0"/>
              <w:widowControl w:val="0"/>
              <w:shd w:val="clear"/>
              <w:kinsoku/>
              <w:wordWrap/>
              <w:overflowPunct/>
              <w:topLinePunct w:val="0"/>
              <w:bidi w:val="0"/>
              <w:snapToGrid w:val="0"/>
              <w:spacing w:line="440" w:lineRule="exact"/>
              <w:rPr>
                <w:rFonts w:asciiTheme="majorEastAsia" w:hAnsiTheme="majorEastAsia" w:eastAsiaTheme="majorEastAsia"/>
                <w:color w:val="auto"/>
                <w:szCs w:val="21"/>
                <w:highlight w:val="none"/>
              </w:rPr>
            </w:pPr>
          </w:p>
        </w:tc>
      </w:tr>
      <w:tr w14:paraId="7D04F3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1016BB06">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2</w:t>
            </w:r>
          </w:p>
        </w:tc>
        <w:tc>
          <w:tcPr>
            <w:tcW w:w="2355" w:type="dxa"/>
            <w:vAlign w:val="center"/>
          </w:tcPr>
          <w:p w14:paraId="353E34EF">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tc>
        <w:tc>
          <w:tcPr>
            <w:tcW w:w="2160" w:type="dxa"/>
            <w:vAlign w:val="center"/>
          </w:tcPr>
          <w:p w14:paraId="4957088E">
            <w:pPr>
              <w:keepNext w:val="0"/>
              <w:keepLines w:val="0"/>
              <w:pageBreakBefore w:val="0"/>
              <w:widowControl w:val="0"/>
              <w:shd w:val="clear"/>
              <w:kinsoku/>
              <w:wordWrap/>
              <w:overflowPunct/>
              <w:topLinePunct w:val="0"/>
              <w:bidi w:val="0"/>
              <w:snapToGrid w:val="0"/>
              <w:spacing w:line="440" w:lineRule="exact"/>
              <w:rPr>
                <w:rFonts w:asciiTheme="majorEastAsia" w:hAnsiTheme="majorEastAsia" w:eastAsiaTheme="majorEastAsia"/>
                <w:color w:val="auto"/>
                <w:szCs w:val="21"/>
                <w:highlight w:val="none"/>
              </w:rPr>
            </w:pPr>
          </w:p>
        </w:tc>
        <w:tc>
          <w:tcPr>
            <w:tcW w:w="1625" w:type="dxa"/>
            <w:vAlign w:val="center"/>
          </w:tcPr>
          <w:p w14:paraId="42A757A1">
            <w:pPr>
              <w:keepNext w:val="0"/>
              <w:keepLines w:val="0"/>
              <w:pageBreakBefore w:val="0"/>
              <w:widowControl w:val="0"/>
              <w:shd w:val="clear"/>
              <w:kinsoku/>
              <w:wordWrap/>
              <w:overflowPunct/>
              <w:topLinePunct w:val="0"/>
              <w:bidi w:val="0"/>
              <w:snapToGrid w:val="0"/>
              <w:spacing w:line="440" w:lineRule="exact"/>
              <w:rPr>
                <w:rFonts w:asciiTheme="majorEastAsia" w:hAnsiTheme="majorEastAsia" w:eastAsiaTheme="majorEastAsia"/>
                <w:color w:val="auto"/>
                <w:szCs w:val="21"/>
                <w:highlight w:val="none"/>
              </w:rPr>
            </w:pPr>
          </w:p>
        </w:tc>
        <w:tc>
          <w:tcPr>
            <w:tcW w:w="1956" w:type="dxa"/>
            <w:vAlign w:val="center"/>
          </w:tcPr>
          <w:p w14:paraId="01AF3D69">
            <w:pPr>
              <w:keepNext w:val="0"/>
              <w:keepLines w:val="0"/>
              <w:pageBreakBefore w:val="0"/>
              <w:widowControl w:val="0"/>
              <w:shd w:val="clear"/>
              <w:kinsoku/>
              <w:wordWrap/>
              <w:overflowPunct/>
              <w:topLinePunct w:val="0"/>
              <w:bidi w:val="0"/>
              <w:snapToGrid w:val="0"/>
              <w:spacing w:line="440" w:lineRule="exact"/>
              <w:rPr>
                <w:rFonts w:asciiTheme="majorEastAsia" w:hAnsiTheme="majorEastAsia" w:eastAsiaTheme="majorEastAsia"/>
                <w:color w:val="auto"/>
                <w:szCs w:val="21"/>
                <w:highlight w:val="none"/>
              </w:rPr>
            </w:pPr>
          </w:p>
        </w:tc>
      </w:tr>
      <w:tr w14:paraId="334B30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2E4092F0">
            <w:pPr>
              <w:keepNext w:val="0"/>
              <w:keepLines w:val="0"/>
              <w:pageBreakBefore w:val="0"/>
              <w:widowControl w:val="0"/>
              <w:shd w:val="clear"/>
              <w:kinsoku/>
              <w:wordWrap/>
              <w:overflowPunct/>
              <w:topLinePunct w:val="0"/>
              <w:bidi w:val="0"/>
              <w:snapToGrid w:val="0"/>
              <w:spacing w:line="440" w:lineRule="exact"/>
              <w:jc w:val="center"/>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3</w:t>
            </w:r>
          </w:p>
        </w:tc>
        <w:tc>
          <w:tcPr>
            <w:tcW w:w="2355" w:type="dxa"/>
            <w:vAlign w:val="center"/>
          </w:tcPr>
          <w:p w14:paraId="4F93E24C">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tc>
        <w:tc>
          <w:tcPr>
            <w:tcW w:w="2160" w:type="dxa"/>
            <w:vAlign w:val="center"/>
          </w:tcPr>
          <w:p w14:paraId="253F9A6B">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szCs w:val="21"/>
                <w:highlight w:val="none"/>
              </w:rPr>
            </w:pPr>
          </w:p>
        </w:tc>
        <w:tc>
          <w:tcPr>
            <w:tcW w:w="1625" w:type="dxa"/>
            <w:vAlign w:val="center"/>
          </w:tcPr>
          <w:p w14:paraId="42CC2FFC">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szCs w:val="21"/>
                <w:highlight w:val="none"/>
              </w:rPr>
            </w:pPr>
          </w:p>
        </w:tc>
        <w:tc>
          <w:tcPr>
            <w:tcW w:w="1956" w:type="dxa"/>
            <w:vAlign w:val="center"/>
          </w:tcPr>
          <w:p w14:paraId="293BA4CC">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szCs w:val="21"/>
                <w:highlight w:val="none"/>
              </w:rPr>
            </w:pPr>
          </w:p>
        </w:tc>
      </w:tr>
      <w:tr w14:paraId="5E761A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466F63C9">
            <w:pPr>
              <w:keepNext w:val="0"/>
              <w:keepLines w:val="0"/>
              <w:pageBreakBefore w:val="0"/>
              <w:widowControl w:val="0"/>
              <w:shd w:val="clear"/>
              <w:kinsoku/>
              <w:wordWrap/>
              <w:overflowPunct/>
              <w:topLinePunct w:val="0"/>
              <w:bidi w:val="0"/>
              <w:snapToGrid w:val="0"/>
              <w:spacing w:line="440" w:lineRule="exact"/>
              <w:jc w:val="center"/>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4</w:t>
            </w:r>
          </w:p>
        </w:tc>
        <w:tc>
          <w:tcPr>
            <w:tcW w:w="2355" w:type="dxa"/>
            <w:vAlign w:val="center"/>
          </w:tcPr>
          <w:p w14:paraId="34415873">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tc>
        <w:tc>
          <w:tcPr>
            <w:tcW w:w="2160" w:type="dxa"/>
            <w:vAlign w:val="center"/>
          </w:tcPr>
          <w:p w14:paraId="55C160D9">
            <w:pPr>
              <w:keepNext w:val="0"/>
              <w:keepLines w:val="0"/>
              <w:pageBreakBefore w:val="0"/>
              <w:widowControl w:val="0"/>
              <w:shd w:val="clear"/>
              <w:kinsoku/>
              <w:wordWrap/>
              <w:overflowPunct/>
              <w:topLinePunct w:val="0"/>
              <w:bidi w:val="0"/>
              <w:snapToGrid w:val="0"/>
              <w:spacing w:line="440" w:lineRule="exact"/>
              <w:rPr>
                <w:rFonts w:asciiTheme="majorEastAsia" w:hAnsiTheme="majorEastAsia" w:eastAsiaTheme="majorEastAsia"/>
                <w:color w:val="auto"/>
                <w:szCs w:val="21"/>
                <w:highlight w:val="none"/>
              </w:rPr>
            </w:pPr>
          </w:p>
        </w:tc>
        <w:tc>
          <w:tcPr>
            <w:tcW w:w="1625" w:type="dxa"/>
            <w:vAlign w:val="center"/>
          </w:tcPr>
          <w:p w14:paraId="4D1B6708">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tc>
        <w:tc>
          <w:tcPr>
            <w:tcW w:w="1956" w:type="dxa"/>
            <w:vAlign w:val="center"/>
          </w:tcPr>
          <w:p w14:paraId="30D8D941">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tc>
      </w:tr>
      <w:tr w14:paraId="595A16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5D3C3177">
            <w:pPr>
              <w:keepNext w:val="0"/>
              <w:keepLines w:val="0"/>
              <w:pageBreakBefore w:val="0"/>
              <w:widowControl w:val="0"/>
              <w:shd w:val="clear"/>
              <w:kinsoku/>
              <w:wordWrap/>
              <w:overflowPunct/>
              <w:topLinePunct w:val="0"/>
              <w:bidi w:val="0"/>
              <w:snapToGrid w:val="0"/>
              <w:spacing w:line="440" w:lineRule="exact"/>
              <w:jc w:val="center"/>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w:t>
            </w:r>
          </w:p>
        </w:tc>
        <w:tc>
          <w:tcPr>
            <w:tcW w:w="2355" w:type="dxa"/>
            <w:vAlign w:val="center"/>
          </w:tcPr>
          <w:p w14:paraId="6DCA65E9">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tc>
        <w:tc>
          <w:tcPr>
            <w:tcW w:w="2160" w:type="dxa"/>
            <w:vAlign w:val="center"/>
          </w:tcPr>
          <w:p w14:paraId="30B98ED2">
            <w:pPr>
              <w:keepNext w:val="0"/>
              <w:keepLines w:val="0"/>
              <w:pageBreakBefore w:val="0"/>
              <w:widowControl w:val="0"/>
              <w:shd w:val="clear"/>
              <w:kinsoku/>
              <w:wordWrap/>
              <w:overflowPunct/>
              <w:topLinePunct w:val="0"/>
              <w:bidi w:val="0"/>
              <w:snapToGrid w:val="0"/>
              <w:spacing w:line="440" w:lineRule="exact"/>
              <w:rPr>
                <w:rFonts w:asciiTheme="majorEastAsia" w:hAnsiTheme="majorEastAsia" w:eastAsiaTheme="majorEastAsia"/>
                <w:color w:val="auto"/>
                <w:szCs w:val="21"/>
                <w:highlight w:val="none"/>
              </w:rPr>
            </w:pPr>
          </w:p>
        </w:tc>
        <w:tc>
          <w:tcPr>
            <w:tcW w:w="1625" w:type="dxa"/>
            <w:vAlign w:val="center"/>
          </w:tcPr>
          <w:p w14:paraId="73C9C602">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tc>
        <w:tc>
          <w:tcPr>
            <w:tcW w:w="1956" w:type="dxa"/>
            <w:vAlign w:val="center"/>
          </w:tcPr>
          <w:p w14:paraId="1734896F">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tc>
      </w:tr>
      <w:tr w14:paraId="17B810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3200907D">
            <w:pPr>
              <w:keepNext w:val="0"/>
              <w:keepLines w:val="0"/>
              <w:pageBreakBefore w:val="0"/>
              <w:widowControl w:val="0"/>
              <w:shd w:val="clear"/>
              <w:kinsoku/>
              <w:wordWrap/>
              <w:overflowPunct/>
              <w:topLinePunct w:val="0"/>
              <w:bidi w:val="0"/>
              <w:snapToGrid w:val="0"/>
              <w:spacing w:line="440" w:lineRule="exact"/>
              <w:rPr>
                <w:rFonts w:asciiTheme="majorEastAsia" w:hAnsiTheme="majorEastAsia" w:eastAsiaTheme="majorEastAsia"/>
                <w:color w:val="auto"/>
                <w:szCs w:val="21"/>
                <w:highlight w:val="none"/>
              </w:rPr>
            </w:pPr>
          </w:p>
        </w:tc>
        <w:tc>
          <w:tcPr>
            <w:tcW w:w="2355" w:type="dxa"/>
            <w:vAlign w:val="center"/>
          </w:tcPr>
          <w:p w14:paraId="61D285D6">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tc>
        <w:tc>
          <w:tcPr>
            <w:tcW w:w="2160" w:type="dxa"/>
            <w:vAlign w:val="center"/>
          </w:tcPr>
          <w:p w14:paraId="657B647E">
            <w:pPr>
              <w:keepNext w:val="0"/>
              <w:keepLines w:val="0"/>
              <w:pageBreakBefore w:val="0"/>
              <w:widowControl w:val="0"/>
              <w:shd w:val="clear"/>
              <w:kinsoku/>
              <w:wordWrap/>
              <w:overflowPunct/>
              <w:topLinePunct w:val="0"/>
              <w:bidi w:val="0"/>
              <w:snapToGrid w:val="0"/>
              <w:spacing w:line="440" w:lineRule="exact"/>
              <w:rPr>
                <w:rFonts w:asciiTheme="majorEastAsia" w:hAnsiTheme="majorEastAsia" w:eastAsiaTheme="majorEastAsia"/>
                <w:color w:val="auto"/>
                <w:szCs w:val="21"/>
                <w:highlight w:val="none"/>
              </w:rPr>
            </w:pPr>
          </w:p>
        </w:tc>
        <w:tc>
          <w:tcPr>
            <w:tcW w:w="1625" w:type="dxa"/>
            <w:vAlign w:val="center"/>
          </w:tcPr>
          <w:p w14:paraId="7316FA3E">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tc>
        <w:tc>
          <w:tcPr>
            <w:tcW w:w="1956" w:type="dxa"/>
            <w:vAlign w:val="center"/>
          </w:tcPr>
          <w:p w14:paraId="124AAA81">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tc>
      </w:tr>
      <w:tr w14:paraId="59F1B1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797B8BEE">
            <w:pPr>
              <w:keepNext w:val="0"/>
              <w:keepLines w:val="0"/>
              <w:pageBreakBefore w:val="0"/>
              <w:widowControl w:val="0"/>
              <w:shd w:val="clear"/>
              <w:kinsoku/>
              <w:wordWrap/>
              <w:overflowPunct/>
              <w:topLinePunct w:val="0"/>
              <w:bidi w:val="0"/>
              <w:snapToGrid w:val="0"/>
              <w:spacing w:line="440" w:lineRule="exact"/>
              <w:rPr>
                <w:rFonts w:asciiTheme="majorEastAsia" w:hAnsiTheme="majorEastAsia" w:eastAsiaTheme="majorEastAsia"/>
                <w:color w:val="auto"/>
                <w:szCs w:val="21"/>
                <w:highlight w:val="none"/>
              </w:rPr>
            </w:pPr>
          </w:p>
        </w:tc>
        <w:tc>
          <w:tcPr>
            <w:tcW w:w="2355" w:type="dxa"/>
            <w:vAlign w:val="center"/>
          </w:tcPr>
          <w:p w14:paraId="2A4BF30A">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tc>
        <w:tc>
          <w:tcPr>
            <w:tcW w:w="2160" w:type="dxa"/>
            <w:vAlign w:val="center"/>
          </w:tcPr>
          <w:p w14:paraId="39807BD5">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szCs w:val="21"/>
                <w:highlight w:val="none"/>
              </w:rPr>
            </w:pPr>
          </w:p>
        </w:tc>
        <w:tc>
          <w:tcPr>
            <w:tcW w:w="1625" w:type="dxa"/>
            <w:vAlign w:val="center"/>
          </w:tcPr>
          <w:p w14:paraId="362A9D4F">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szCs w:val="21"/>
                <w:highlight w:val="none"/>
              </w:rPr>
            </w:pPr>
          </w:p>
        </w:tc>
        <w:tc>
          <w:tcPr>
            <w:tcW w:w="1956" w:type="dxa"/>
            <w:vAlign w:val="center"/>
          </w:tcPr>
          <w:p w14:paraId="2BB5EB2E">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szCs w:val="21"/>
                <w:highlight w:val="none"/>
              </w:rPr>
            </w:pPr>
          </w:p>
        </w:tc>
      </w:tr>
      <w:tr w14:paraId="0B2D94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293AA31F">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tc>
        <w:tc>
          <w:tcPr>
            <w:tcW w:w="2355" w:type="dxa"/>
            <w:vAlign w:val="center"/>
          </w:tcPr>
          <w:p w14:paraId="53C0C5D5">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tc>
        <w:tc>
          <w:tcPr>
            <w:tcW w:w="2160" w:type="dxa"/>
            <w:vAlign w:val="center"/>
          </w:tcPr>
          <w:p w14:paraId="47CEEFBE">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szCs w:val="21"/>
                <w:highlight w:val="none"/>
              </w:rPr>
            </w:pPr>
          </w:p>
        </w:tc>
        <w:tc>
          <w:tcPr>
            <w:tcW w:w="1625" w:type="dxa"/>
            <w:vAlign w:val="center"/>
          </w:tcPr>
          <w:p w14:paraId="0882D105">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szCs w:val="21"/>
                <w:highlight w:val="none"/>
              </w:rPr>
            </w:pPr>
          </w:p>
        </w:tc>
        <w:tc>
          <w:tcPr>
            <w:tcW w:w="1956" w:type="dxa"/>
            <w:vAlign w:val="center"/>
          </w:tcPr>
          <w:p w14:paraId="1535CE44">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szCs w:val="21"/>
                <w:highlight w:val="none"/>
              </w:rPr>
            </w:pPr>
          </w:p>
        </w:tc>
      </w:tr>
      <w:tr w14:paraId="54FF7D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78F9B0B9">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tc>
        <w:tc>
          <w:tcPr>
            <w:tcW w:w="2355" w:type="dxa"/>
            <w:vAlign w:val="center"/>
          </w:tcPr>
          <w:p w14:paraId="4CA30724">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tc>
        <w:tc>
          <w:tcPr>
            <w:tcW w:w="2160" w:type="dxa"/>
            <w:vAlign w:val="center"/>
          </w:tcPr>
          <w:p w14:paraId="642F6072">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szCs w:val="21"/>
                <w:highlight w:val="none"/>
              </w:rPr>
            </w:pPr>
          </w:p>
        </w:tc>
        <w:tc>
          <w:tcPr>
            <w:tcW w:w="1625" w:type="dxa"/>
            <w:vAlign w:val="center"/>
          </w:tcPr>
          <w:p w14:paraId="2508C522">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szCs w:val="21"/>
                <w:highlight w:val="none"/>
              </w:rPr>
            </w:pPr>
          </w:p>
        </w:tc>
        <w:tc>
          <w:tcPr>
            <w:tcW w:w="1956" w:type="dxa"/>
            <w:vAlign w:val="center"/>
          </w:tcPr>
          <w:p w14:paraId="6D7D7C29">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szCs w:val="21"/>
                <w:highlight w:val="none"/>
              </w:rPr>
            </w:pPr>
          </w:p>
        </w:tc>
      </w:tr>
    </w:tbl>
    <w:p w14:paraId="7798A2DB">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pacing w:val="-4"/>
          <w:szCs w:val="21"/>
          <w:highlight w:val="none"/>
        </w:rPr>
      </w:pPr>
      <w:r>
        <w:rPr>
          <w:rFonts w:asciiTheme="majorEastAsia" w:hAnsiTheme="majorEastAsia" w:eastAsiaTheme="majorEastAsia"/>
          <w:color w:val="auto"/>
          <w:spacing w:val="-4"/>
          <w:szCs w:val="21"/>
          <w:highlight w:val="none"/>
        </w:rPr>
        <w:t>注：根据评分标准提供相关资料。</w:t>
      </w:r>
    </w:p>
    <w:p w14:paraId="516E1BF6">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p w14:paraId="41C6A328">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p w14:paraId="02F81DA6">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pacing w:val="-4"/>
          <w:szCs w:val="21"/>
          <w:highlight w:val="none"/>
        </w:rPr>
      </w:pPr>
      <w:r>
        <w:rPr>
          <w:rFonts w:asciiTheme="majorEastAsia" w:hAnsiTheme="majorEastAsia" w:eastAsiaTheme="majorEastAsia"/>
          <w:color w:val="auto"/>
          <w:spacing w:val="-4"/>
          <w:szCs w:val="21"/>
          <w:highlight w:val="none"/>
        </w:rPr>
        <w:t>供应商全称（公章）：</w:t>
      </w:r>
    </w:p>
    <w:p w14:paraId="2798A23A">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pacing w:val="-4"/>
          <w:szCs w:val="21"/>
          <w:highlight w:val="none"/>
        </w:rPr>
      </w:pPr>
      <w:r>
        <w:rPr>
          <w:rFonts w:asciiTheme="majorEastAsia" w:hAnsiTheme="majorEastAsia" w:eastAsiaTheme="majorEastAsia"/>
          <w:color w:val="auto"/>
          <w:spacing w:val="-4"/>
          <w:szCs w:val="21"/>
          <w:highlight w:val="none"/>
        </w:rPr>
        <w:t xml:space="preserve">法定代表人（负责人）或授权代表（签字或盖章）：                       </w:t>
      </w:r>
    </w:p>
    <w:p w14:paraId="0F7B094E">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b/>
          <w:bCs/>
          <w:color w:val="auto"/>
          <w:szCs w:val="21"/>
          <w:highlight w:val="none"/>
        </w:rPr>
      </w:pPr>
      <w:r>
        <w:rPr>
          <w:rFonts w:asciiTheme="majorEastAsia" w:hAnsiTheme="majorEastAsia" w:eastAsiaTheme="majorEastAsia"/>
          <w:color w:val="auto"/>
          <w:spacing w:val="-4"/>
          <w:szCs w:val="21"/>
          <w:highlight w:val="none"/>
        </w:rPr>
        <w:t>日期：</w:t>
      </w:r>
      <w:r>
        <w:rPr>
          <w:rFonts w:asciiTheme="majorEastAsia" w:hAnsiTheme="majorEastAsia" w:eastAsiaTheme="majorEastAsia"/>
          <w:color w:val="auto"/>
          <w:szCs w:val="21"/>
          <w:highlight w:val="none"/>
        </w:rPr>
        <w:br w:type="page"/>
      </w:r>
      <w:r>
        <w:rPr>
          <w:rFonts w:asciiTheme="majorEastAsia" w:hAnsiTheme="majorEastAsia" w:eastAsiaTheme="majorEastAsia"/>
          <w:b/>
          <w:bCs/>
          <w:color w:val="auto"/>
          <w:szCs w:val="21"/>
          <w:highlight w:val="none"/>
        </w:rPr>
        <w:t>格式十：</w:t>
      </w:r>
    </w:p>
    <w:p w14:paraId="21F57BDD">
      <w:pPr>
        <w:spacing w:line="360" w:lineRule="auto"/>
        <w:jc w:val="center"/>
        <w:rPr>
          <w:rFonts w:hint="eastAsia" w:ascii="宋体" w:hAnsi="宋体" w:eastAsia="宋体"/>
          <w:b/>
          <w:color w:val="auto"/>
          <w:szCs w:val="21"/>
          <w:highlight w:val="none"/>
        </w:rPr>
      </w:pPr>
      <w:r>
        <w:rPr>
          <w:rFonts w:hint="eastAsia" w:ascii="宋体" w:hAnsi="宋体" w:eastAsia="宋体"/>
          <w:b/>
          <w:color w:val="auto"/>
          <w:szCs w:val="21"/>
          <w:highlight w:val="none"/>
        </w:rPr>
        <w:t>初次报价表</w:t>
      </w:r>
    </w:p>
    <w:p w14:paraId="6D793364">
      <w:pPr>
        <w:pStyle w:val="25"/>
        <w:rPr>
          <w:rFonts w:hint="eastAsia"/>
          <w:color w:val="auto"/>
          <w:highlight w:val="none"/>
        </w:rPr>
      </w:pPr>
      <w:r>
        <w:rPr>
          <w:rFonts w:hint="eastAsia"/>
          <w:color w:val="auto"/>
          <w:highlight w:val="none"/>
        </w:rPr>
        <w:t>项目名称</w:t>
      </w:r>
      <w:r>
        <w:rPr>
          <w:rFonts w:hint="eastAsia"/>
          <w:color w:val="auto"/>
          <w:highlight w:val="none"/>
          <w:lang w:val="en-US" w:eastAsia="zh-CN"/>
        </w:rPr>
        <w:t>:</w:t>
      </w:r>
      <w:r>
        <w:rPr>
          <w:rFonts w:hint="eastAsia"/>
          <w:color w:val="auto"/>
          <w:highlight w:val="none"/>
          <w:lang w:eastAsia="zh-CN"/>
        </w:rPr>
        <w:t>宁波市海曙区古林镇布政小学2025年年度教职工疗休养项目</w:t>
      </w:r>
    </w:p>
    <w:p w14:paraId="2864E104">
      <w:pPr>
        <w:pStyle w:val="25"/>
        <w:rPr>
          <w:rFonts w:hint="eastAsia"/>
          <w:color w:val="auto"/>
          <w:highlight w:val="none"/>
        </w:rPr>
      </w:pPr>
      <w:r>
        <w:rPr>
          <w:rFonts w:hint="eastAsia"/>
          <w:color w:val="auto"/>
          <w:highlight w:val="none"/>
        </w:rPr>
        <w:t>项目编号</w:t>
      </w:r>
      <w:r>
        <w:rPr>
          <w:rFonts w:hint="eastAsia"/>
          <w:color w:val="auto"/>
          <w:highlight w:val="none"/>
          <w:lang w:val="en-US" w:eastAsia="zh-CN"/>
        </w:rPr>
        <w:t>:</w:t>
      </w:r>
      <w:r>
        <w:rPr>
          <w:rFonts w:hint="eastAsia"/>
          <w:color w:val="auto"/>
          <w:highlight w:val="none"/>
          <w:lang w:eastAsia="zh-CN"/>
        </w:rPr>
        <w:t>2025NBHSWCS301</w:t>
      </w:r>
      <w:r>
        <w:rPr>
          <w:rFonts w:hint="eastAsia"/>
          <w:color w:val="auto"/>
          <w:highlight w:val="none"/>
        </w:rPr>
        <w:t xml:space="preserve"> </w:t>
      </w:r>
    </w:p>
    <w:tbl>
      <w:tblPr>
        <w:tblStyle w:val="45"/>
        <w:tblW w:w="9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918"/>
        <w:gridCol w:w="5463"/>
      </w:tblGrid>
      <w:tr w14:paraId="22DAA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7" w:hRule="atLeast"/>
          <w:jc w:val="center"/>
        </w:trPr>
        <w:tc>
          <w:tcPr>
            <w:tcW w:w="706" w:type="dxa"/>
            <w:vAlign w:val="center"/>
          </w:tcPr>
          <w:p w14:paraId="7ED7DCCE">
            <w:pPr>
              <w:keepNext w:val="0"/>
              <w:keepLines w:val="0"/>
              <w:pageBreakBefore w:val="0"/>
              <w:widowControl w:val="0"/>
              <w:kinsoku/>
              <w:wordWrap/>
              <w:overflowPunct/>
              <w:topLinePunct w:val="0"/>
              <w:autoSpaceDE/>
              <w:autoSpaceDN/>
              <w:bidi w:val="0"/>
              <w:snapToGrid w:val="0"/>
              <w:spacing w:before="143" w:beforeLines="50" w:after="143" w:afterLines="50" w:line="240" w:lineRule="auto"/>
              <w:jc w:val="center"/>
              <w:textAlignment w:val="auto"/>
              <w:rPr>
                <w:rFonts w:ascii="宋体" w:hAnsi="宋体"/>
                <w:color w:val="auto"/>
                <w:szCs w:val="21"/>
                <w:highlight w:val="none"/>
              </w:rPr>
            </w:pPr>
            <w:r>
              <w:rPr>
                <w:rFonts w:hint="eastAsia" w:ascii="宋体" w:hAnsi="宋体"/>
                <w:color w:val="auto"/>
                <w:szCs w:val="21"/>
                <w:highlight w:val="none"/>
                <w:lang w:val="en-US" w:eastAsia="zh-CN"/>
              </w:rPr>
              <w:t>序号</w:t>
            </w:r>
          </w:p>
        </w:tc>
        <w:tc>
          <w:tcPr>
            <w:tcW w:w="2918" w:type="dxa"/>
            <w:vAlign w:val="center"/>
          </w:tcPr>
          <w:p w14:paraId="0652CB94">
            <w:pPr>
              <w:keepNext w:val="0"/>
              <w:keepLines w:val="0"/>
              <w:pageBreakBefore w:val="0"/>
              <w:widowControl w:val="0"/>
              <w:kinsoku/>
              <w:wordWrap/>
              <w:overflowPunct/>
              <w:topLinePunct w:val="0"/>
              <w:autoSpaceDE/>
              <w:autoSpaceDN/>
              <w:bidi w:val="0"/>
              <w:spacing w:before="143" w:beforeLines="50" w:after="143" w:afterLines="50" w:line="240" w:lineRule="auto"/>
              <w:jc w:val="center"/>
              <w:textAlignment w:val="auto"/>
              <w:rPr>
                <w:rFonts w:hint="eastAsia" w:ascii="宋体" w:hAnsi="宋体" w:eastAsia="宋体"/>
                <w:color w:val="auto"/>
                <w:szCs w:val="21"/>
                <w:highlight w:val="none"/>
                <w:lang w:val="en-US" w:eastAsia="zh-CN"/>
              </w:rPr>
            </w:pPr>
            <w:r>
              <w:rPr>
                <w:rFonts w:hint="eastAsia" w:ascii="宋体" w:hAnsi="宋体" w:cs="仿宋"/>
                <w:color w:val="auto"/>
                <w:szCs w:val="21"/>
                <w:highlight w:val="none"/>
                <w:lang w:val="en-US" w:eastAsia="zh-CN"/>
              </w:rPr>
              <w:t>路线名称</w:t>
            </w:r>
          </w:p>
        </w:tc>
        <w:tc>
          <w:tcPr>
            <w:tcW w:w="5463" w:type="dxa"/>
            <w:vAlign w:val="center"/>
          </w:tcPr>
          <w:p w14:paraId="200B7ADF">
            <w:pPr>
              <w:keepNext w:val="0"/>
              <w:keepLines w:val="0"/>
              <w:pageBreakBefore w:val="0"/>
              <w:widowControl w:val="0"/>
              <w:kinsoku/>
              <w:wordWrap/>
              <w:overflowPunct/>
              <w:topLinePunct w:val="0"/>
              <w:autoSpaceDE/>
              <w:autoSpaceDN/>
              <w:bidi w:val="0"/>
              <w:spacing w:before="143" w:beforeLines="50" w:after="143" w:afterLines="50" w:line="240" w:lineRule="auto"/>
              <w:jc w:val="center"/>
              <w:textAlignment w:val="auto"/>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磋商报价（初次报价）</w:t>
            </w:r>
          </w:p>
        </w:tc>
      </w:tr>
      <w:tr w14:paraId="71E75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06" w:type="dxa"/>
            <w:vAlign w:val="center"/>
          </w:tcPr>
          <w:p w14:paraId="07257833">
            <w:pPr>
              <w:keepNext w:val="0"/>
              <w:keepLines w:val="0"/>
              <w:pageBreakBefore w:val="0"/>
              <w:widowControl w:val="0"/>
              <w:kinsoku/>
              <w:wordWrap/>
              <w:overflowPunct/>
              <w:topLinePunct w:val="0"/>
              <w:autoSpaceDE/>
              <w:autoSpaceDN/>
              <w:bidi w:val="0"/>
              <w:spacing w:before="143" w:beforeLines="50" w:after="143" w:afterLines="50" w:line="240" w:lineRule="auto"/>
              <w:jc w:val="center"/>
              <w:textAlignment w:val="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1</w:t>
            </w:r>
          </w:p>
        </w:tc>
        <w:tc>
          <w:tcPr>
            <w:tcW w:w="2918" w:type="dxa"/>
            <w:vAlign w:val="center"/>
          </w:tcPr>
          <w:p w14:paraId="1B1300E0">
            <w:pPr>
              <w:widowControl/>
              <w:spacing w:line="360" w:lineRule="exact"/>
              <w:jc w:val="center"/>
              <w:rPr>
                <w:rFonts w:hint="eastAsia" w:ascii="宋体" w:hAnsi="宋体" w:eastAsia="宋体"/>
                <w:color w:val="auto"/>
                <w:szCs w:val="21"/>
                <w:highlight w:val="none"/>
                <w:lang w:val="en-US" w:eastAsia="zh-CN"/>
              </w:rPr>
            </w:pPr>
            <w:r>
              <w:rPr>
                <w:rFonts w:hint="eastAsia" w:ascii="宋体" w:hAnsi="宋体" w:cs="宋体"/>
                <w:color w:val="auto"/>
                <w:sz w:val="21"/>
                <w:szCs w:val="21"/>
                <w:highlight w:val="none"/>
                <w:lang w:eastAsia="zh-CN"/>
              </w:rPr>
              <w:t>江西线</w:t>
            </w:r>
          </w:p>
        </w:tc>
        <w:tc>
          <w:tcPr>
            <w:tcW w:w="5463" w:type="dxa"/>
            <w:vAlign w:val="center"/>
          </w:tcPr>
          <w:p w14:paraId="2521F67D">
            <w:pPr>
              <w:widowControl/>
              <w:spacing w:line="360" w:lineRule="exact"/>
              <w:jc w:val="center"/>
              <w:rPr>
                <w:rFonts w:hint="default" w:ascii="宋体" w:hAnsi="宋体"/>
                <w:color w:val="auto"/>
                <w:szCs w:val="21"/>
                <w:highlight w:val="none"/>
                <w:lang w:val="en-US" w:eastAsia="zh-CN"/>
              </w:rPr>
            </w:pPr>
            <w:r>
              <w:rPr>
                <w:rFonts w:hint="eastAsia" w:ascii="宋体" w:hAnsi="宋体" w:eastAsia="宋体" w:cs="宋体"/>
                <w:color w:val="auto"/>
                <w:kern w:val="0"/>
                <w:highlight w:val="none"/>
                <w:u w:val="single"/>
                <w:lang w:val="en-US" w:eastAsia="zh-CN"/>
              </w:rPr>
              <w:t xml:space="preserve">              </w:t>
            </w:r>
            <w:r>
              <w:rPr>
                <w:rFonts w:hint="eastAsia" w:ascii="宋体" w:hAnsi="宋体" w:eastAsia="宋体" w:cs="宋体"/>
                <w:color w:val="auto"/>
                <w:kern w:val="0"/>
                <w:highlight w:val="none"/>
                <w:lang w:val="en-US" w:eastAsia="zh-CN"/>
              </w:rPr>
              <w:t>元/人</w:t>
            </w:r>
          </w:p>
        </w:tc>
      </w:tr>
      <w:tr w14:paraId="00522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06" w:type="dxa"/>
            <w:vAlign w:val="center"/>
          </w:tcPr>
          <w:p w14:paraId="767CFF7F">
            <w:pPr>
              <w:keepNext w:val="0"/>
              <w:keepLines w:val="0"/>
              <w:pageBreakBefore w:val="0"/>
              <w:widowControl w:val="0"/>
              <w:kinsoku/>
              <w:wordWrap/>
              <w:overflowPunct/>
              <w:topLinePunct w:val="0"/>
              <w:autoSpaceDE/>
              <w:autoSpaceDN/>
              <w:bidi w:val="0"/>
              <w:spacing w:before="143" w:beforeLines="50" w:after="143" w:afterLines="50" w:line="240" w:lineRule="auto"/>
              <w:jc w:val="center"/>
              <w:textAlignment w:val="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2</w:t>
            </w:r>
          </w:p>
        </w:tc>
        <w:tc>
          <w:tcPr>
            <w:tcW w:w="2918" w:type="dxa"/>
            <w:vAlign w:val="center"/>
          </w:tcPr>
          <w:p w14:paraId="0B3AB49E">
            <w:pPr>
              <w:widowControl/>
              <w:spacing w:line="360" w:lineRule="exact"/>
              <w:jc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湖州线</w:t>
            </w:r>
          </w:p>
        </w:tc>
        <w:tc>
          <w:tcPr>
            <w:tcW w:w="5463" w:type="dxa"/>
            <w:vAlign w:val="center"/>
          </w:tcPr>
          <w:p w14:paraId="6A0E6F40">
            <w:pPr>
              <w:widowControl/>
              <w:spacing w:line="360" w:lineRule="exact"/>
              <w:jc w:val="center"/>
              <w:rPr>
                <w:rFonts w:hint="eastAsia" w:ascii="宋体" w:hAnsi="宋体" w:eastAsia="宋体" w:cs="宋体"/>
                <w:color w:val="auto"/>
                <w:kern w:val="0"/>
                <w:highlight w:val="none"/>
                <w:u w:val="single"/>
                <w:lang w:val="en-US" w:eastAsia="zh-CN"/>
              </w:rPr>
            </w:pPr>
            <w:r>
              <w:rPr>
                <w:rFonts w:hint="eastAsia" w:ascii="宋体" w:hAnsi="宋体" w:eastAsia="宋体" w:cs="宋体"/>
                <w:color w:val="auto"/>
                <w:kern w:val="0"/>
                <w:highlight w:val="none"/>
                <w:u w:val="single"/>
                <w:lang w:val="en-US" w:eastAsia="zh-CN"/>
              </w:rPr>
              <w:t xml:space="preserve">              元/人</w:t>
            </w:r>
          </w:p>
        </w:tc>
      </w:tr>
      <w:tr w14:paraId="20FDE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087" w:type="dxa"/>
            <w:gridSpan w:val="3"/>
            <w:vAlign w:val="center"/>
          </w:tcPr>
          <w:p w14:paraId="6340D974">
            <w:pPr>
              <w:widowControl/>
              <w:spacing w:line="360" w:lineRule="exact"/>
              <w:jc w:val="both"/>
              <w:rPr>
                <w:rFonts w:hint="eastAsia"/>
                <w:color w:val="auto"/>
                <w:highlight w:val="none"/>
                <w:lang w:val="en-US" w:eastAsia="zh-CN"/>
              </w:rPr>
            </w:pPr>
            <w:r>
              <w:rPr>
                <w:rFonts w:hint="eastAsia"/>
                <w:color w:val="auto"/>
                <w:highlight w:val="none"/>
                <w:lang w:val="en-US" w:eastAsia="zh-CN"/>
              </w:rPr>
              <w:t>报价声明：</w:t>
            </w:r>
          </w:p>
          <w:p w14:paraId="0FB2AA00">
            <w:pPr>
              <w:pStyle w:val="44"/>
              <w:rPr>
                <w:rFonts w:hint="eastAsia"/>
                <w:color w:val="auto"/>
                <w:highlight w:val="none"/>
                <w:lang w:val="en-US" w:eastAsia="zh-CN"/>
              </w:rPr>
            </w:pPr>
          </w:p>
          <w:p w14:paraId="012DF497">
            <w:pPr>
              <w:rPr>
                <w:rFonts w:hint="eastAsia"/>
                <w:color w:val="auto"/>
                <w:highlight w:val="none"/>
                <w:lang w:val="en-US" w:eastAsia="zh-CN"/>
              </w:rPr>
            </w:pPr>
          </w:p>
          <w:p w14:paraId="62CE9582">
            <w:pPr>
              <w:pStyle w:val="44"/>
              <w:rPr>
                <w:rFonts w:hint="eastAsia"/>
                <w:color w:val="auto"/>
                <w:highlight w:val="none"/>
                <w:lang w:val="en-US" w:eastAsia="zh-CN"/>
              </w:rPr>
            </w:pPr>
          </w:p>
          <w:p w14:paraId="0F75E970">
            <w:pPr>
              <w:rPr>
                <w:rFonts w:hint="default"/>
                <w:color w:val="auto"/>
                <w:highlight w:val="none"/>
                <w:lang w:val="en-US" w:eastAsia="zh-CN"/>
              </w:rPr>
            </w:pPr>
          </w:p>
        </w:tc>
      </w:tr>
    </w:tbl>
    <w:p w14:paraId="0439F997">
      <w:pPr>
        <w:snapToGrid w:val="0"/>
        <w:spacing w:before="50" w:after="50" w:line="360" w:lineRule="auto"/>
        <w:ind w:left="-23" w:leftChars="-11" w:right="27" w:rightChars="13" w:firstLine="21" w:firstLineChars="10"/>
        <w:rPr>
          <w:rFonts w:ascii="宋体" w:hAnsi="宋体" w:eastAsia="宋体" w:cs="宋体"/>
          <w:bCs/>
          <w:color w:val="auto"/>
          <w:szCs w:val="21"/>
          <w:highlight w:val="none"/>
        </w:rPr>
      </w:pPr>
      <w:r>
        <w:rPr>
          <w:rFonts w:hint="eastAsia" w:ascii="宋体" w:hAnsi="宋体" w:eastAsia="宋体" w:cs="宋体"/>
          <w:bCs/>
          <w:color w:val="auto"/>
          <w:szCs w:val="21"/>
          <w:highlight w:val="none"/>
        </w:rPr>
        <w:t>注</w:t>
      </w:r>
      <w:r>
        <w:rPr>
          <w:rFonts w:ascii="宋体" w:hAnsi="宋体" w:eastAsia="宋体" w:cs="宋体"/>
          <w:bCs/>
          <w:color w:val="auto"/>
          <w:szCs w:val="21"/>
          <w:highlight w:val="none"/>
        </w:rPr>
        <w:t>:</w:t>
      </w:r>
    </w:p>
    <w:p w14:paraId="160907BD">
      <w:pPr>
        <w:snapToGrid w:val="0"/>
        <w:spacing w:before="50" w:after="50" w:line="360" w:lineRule="auto"/>
        <w:ind w:left="-23" w:leftChars="-11" w:right="27" w:rightChars="13" w:firstLine="21" w:firstLineChars="10"/>
        <w:rPr>
          <w:rFonts w:hint="eastAsia" w:ascii="宋体" w:hAnsi="宋体"/>
          <w:b/>
          <w:bCs w:val="0"/>
          <w:color w:val="auto"/>
          <w:szCs w:val="21"/>
          <w:highlight w:val="none"/>
          <w:lang w:eastAsia="zh-CN"/>
        </w:rPr>
      </w:pPr>
      <w:r>
        <w:rPr>
          <w:rFonts w:asciiTheme="majorEastAsia" w:hAnsiTheme="majorEastAsia" w:eastAsiaTheme="majorEastAsia"/>
          <w:b/>
          <w:bCs w:val="0"/>
          <w:color w:val="auto"/>
          <w:highlight w:val="none"/>
        </w:rPr>
        <w:t>*</w:t>
      </w:r>
      <w:r>
        <w:rPr>
          <w:rFonts w:hint="eastAsia" w:asciiTheme="majorEastAsia" w:hAnsiTheme="majorEastAsia" w:eastAsiaTheme="majorEastAsia"/>
          <w:color w:val="auto"/>
          <w:szCs w:val="21"/>
          <w:highlight w:val="none"/>
          <w:lang w:val="en-US" w:eastAsia="zh-CN"/>
        </w:rPr>
        <w:t>1、</w:t>
      </w:r>
      <w:r>
        <w:rPr>
          <w:rFonts w:hint="eastAsia" w:ascii="宋体" w:hAnsi="宋体"/>
          <w:b w:val="0"/>
          <w:bCs/>
          <w:color w:val="auto"/>
          <w:szCs w:val="21"/>
          <w:highlight w:val="none"/>
          <w:lang w:eastAsia="zh-CN"/>
        </w:rPr>
        <w:t>报价均包含完成疗休养的交通费、住宿费、餐饮费、人身意外保险费，各旅游景点的所有门票、导游、领队的经费、司机的费用、服务费、保险、税费等完成疗休养的所有费用。如遇工作等原因有调整可能，房价等因素因季节性涨价的，请各供应商报价时自行掌握考虑，采购人不再进行调整任何费用</w:t>
      </w:r>
    </w:p>
    <w:p w14:paraId="29251DC2">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lang w:val="en-US" w:eastAsia="zh-CN"/>
        </w:rPr>
        <w:t>2、</w:t>
      </w:r>
      <w:r>
        <w:rPr>
          <w:rFonts w:asciiTheme="majorEastAsia" w:hAnsiTheme="majorEastAsia" w:eastAsiaTheme="majorEastAsia"/>
          <w:color w:val="auto"/>
          <w:szCs w:val="21"/>
          <w:highlight w:val="none"/>
        </w:rPr>
        <w:t>报价一经涂改，应在涂改处加盖供应商公章或者由法定代表人（负责人）或授权代表签字或盖章。</w:t>
      </w:r>
    </w:p>
    <w:p w14:paraId="141E59C7">
      <w:pPr>
        <w:keepNext w:val="0"/>
        <w:keepLines w:val="0"/>
        <w:pageBreakBefore w:val="0"/>
        <w:widowControl w:val="0"/>
        <w:numPr>
          <w:ilvl w:val="0"/>
          <w:numId w:val="3"/>
        </w:numPr>
        <w:shd w:val="clear"/>
        <w:kinsoku/>
        <w:wordWrap/>
        <w:overflowPunct/>
        <w:topLinePunct w:val="0"/>
        <w:bidi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本项目采用单价报价，报价不做竞争，供应商在响应文件及政采云系统统一填报：</w:t>
      </w:r>
      <w:r>
        <w:rPr>
          <w:rFonts w:hint="eastAsia" w:ascii="宋体" w:hAnsi="宋体" w:cs="宋体"/>
          <w:color w:val="auto"/>
          <w:sz w:val="21"/>
          <w:szCs w:val="21"/>
          <w:highlight w:val="none"/>
          <w:lang w:eastAsia="zh-CN"/>
        </w:rPr>
        <w:t>江西线</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lang w:eastAsia="zh-CN"/>
        </w:rPr>
        <w:t>00元/人</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湖州线</w:t>
      </w:r>
      <w:r>
        <w:rPr>
          <w:rFonts w:hint="eastAsia" w:ascii="宋体" w:hAnsi="宋体" w:eastAsia="宋体" w:cs="宋体"/>
          <w:color w:val="auto"/>
          <w:sz w:val="21"/>
          <w:szCs w:val="21"/>
          <w:highlight w:val="none"/>
          <w:lang w:val="en-US" w:eastAsia="zh-CN"/>
        </w:rPr>
        <w:t>：3000元/人</w:t>
      </w:r>
      <w:r>
        <w:rPr>
          <w:rFonts w:hint="eastAsia" w:ascii="宋体" w:hAnsi="宋体" w:eastAsia="宋体" w:cs="宋体"/>
          <w:color w:val="auto"/>
          <w:sz w:val="21"/>
          <w:szCs w:val="21"/>
          <w:highlight w:val="none"/>
        </w:rPr>
        <w:t>。政采云系统上统一填报总价</w:t>
      </w:r>
      <w:r>
        <w:rPr>
          <w:rFonts w:hint="eastAsia" w:ascii="宋体" w:hAnsi="宋体" w:cs="宋体"/>
          <w:color w:val="auto"/>
          <w:sz w:val="21"/>
          <w:szCs w:val="21"/>
          <w:highlight w:val="none"/>
          <w:lang w:val="en-US" w:eastAsia="zh-CN"/>
        </w:rPr>
        <w:t>390000</w:t>
      </w:r>
      <w:r>
        <w:rPr>
          <w:rFonts w:hint="eastAsia" w:ascii="宋体" w:hAnsi="宋体" w:eastAsia="宋体" w:cs="宋体"/>
          <w:color w:val="auto"/>
          <w:sz w:val="21"/>
          <w:szCs w:val="21"/>
          <w:highlight w:val="none"/>
        </w:rPr>
        <w:t>元。如未按要求填报，由评标委员会进行修正，投标人不接受修正的，做无效标处理。</w:t>
      </w:r>
    </w:p>
    <w:p w14:paraId="6A1EB7D4">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p w14:paraId="767BBC4D">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供应商全称（公章）：</w:t>
      </w:r>
    </w:p>
    <w:p w14:paraId="22C70740">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 xml:space="preserve">法定代表人（负责人）或授权代表（签字或盖章）：          </w:t>
      </w:r>
    </w:p>
    <w:p w14:paraId="0F15001F">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日期：</w:t>
      </w:r>
    </w:p>
    <w:p w14:paraId="7A15C88F">
      <w:pPr>
        <w:pStyle w:val="15"/>
        <w:keepNext w:val="0"/>
        <w:keepLines w:val="0"/>
        <w:pageBreakBefore w:val="0"/>
        <w:widowControl w:val="0"/>
        <w:shd w:val="clear"/>
        <w:kinsoku/>
        <w:wordWrap/>
        <w:overflowPunct/>
        <w:topLinePunct w:val="0"/>
        <w:bidi w:val="0"/>
        <w:ind w:firstLine="0"/>
        <w:rPr>
          <w:rFonts w:asciiTheme="majorEastAsia" w:hAnsiTheme="majorEastAsia" w:eastAsiaTheme="majorEastAsia"/>
          <w:color w:val="auto"/>
          <w:szCs w:val="21"/>
          <w:highlight w:val="none"/>
        </w:rPr>
      </w:pPr>
    </w:p>
    <w:p w14:paraId="1157529F">
      <w:pPr>
        <w:pStyle w:val="15"/>
        <w:keepNext w:val="0"/>
        <w:keepLines w:val="0"/>
        <w:pageBreakBefore w:val="0"/>
        <w:widowControl w:val="0"/>
        <w:shd w:val="clear"/>
        <w:kinsoku/>
        <w:wordWrap/>
        <w:overflowPunct/>
        <w:topLinePunct w:val="0"/>
        <w:bidi w:val="0"/>
        <w:ind w:firstLine="0"/>
        <w:rPr>
          <w:rFonts w:asciiTheme="majorEastAsia" w:hAnsiTheme="majorEastAsia" w:eastAsiaTheme="majorEastAsia"/>
          <w:color w:val="auto"/>
          <w:szCs w:val="21"/>
          <w:highlight w:val="none"/>
        </w:rPr>
        <w:sectPr>
          <w:headerReference r:id="rId13" w:type="default"/>
          <w:footerReference r:id="rId14" w:type="default"/>
          <w:footerReference r:id="rId15"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linePitch="602" w:charSpace="-1675"/>
        </w:sectPr>
      </w:pPr>
    </w:p>
    <w:p w14:paraId="0E74BC2E">
      <w:pPr>
        <w:keepNext w:val="0"/>
        <w:keepLines w:val="0"/>
        <w:pageBreakBefore w:val="0"/>
        <w:widowControl w:val="0"/>
        <w:shd w:val="clear"/>
        <w:kinsoku/>
        <w:wordWrap/>
        <w:overflowPunct/>
        <w:topLinePunct w:val="0"/>
        <w:bidi w:val="0"/>
        <w:spacing w:line="440" w:lineRule="exact"/>
        <w:jc w:val="left"/>
        <w:outlineLvl w:val="1"/>
        <w:rPr>
          <w:rFonts w:asciiTheme="majorEastAsia" w:hAnsiTheme="majorEastAsia" w:eastAsiaTheme="majorEastAsia"/>
          <w:b/>
          <w:color w:val="auto"/>
          <w:szCs w:val="21"/>
          <w:highlight w:val="none"/>
        </w:rPr>
      </w:pPr>
      <w:bookmarkStart w:id="46" w:name="_Toc476585060"/>
      <w:bookmarkStart w:id="47" w:name="_Toc25084"/>
      <w:r>
        <w:rPr>
          <w:rFonts w:asciiTheme="majorEastAsia" w:hAnsiTheme="majorEastAsia" w:eastAsiaTheme="majorEastAsia"/>
          <w:b/>
          <w:bCs/>
          <w:color w:val="auto"/>
          <w:szCs w:val="21"/>
          <w:highlight w:val="none"/>
        </w:rPr>
        <w:t>格式十</w:t>
      </w:r>
      <w:r>
        <w:rPr>
          <w:rFonts w:hint="eastAsia" w:asciiTheme="majorEastAsia" w:hAnsiTheme="majorEastAsia" w:eastAsiaTheme="majorEastAsia"/>
          <w:b/>
          <w:bCs/>
          <w:color w:val="auto"/>
          <w:szCs w:val="21"/>
          <w:highlight w:val="none"/>
          <w:lang w:eastAsia="zh-CN"/>
        </w:rPr>
        <w:t>一</w:t>
      </w:r>
      <w:r>
        <w:rPr>
          <w:rFonts w:asciiTheme="majorEastAsia" w:hAnsiTheme="majorEastAsia" w:eastAsiaTheme="majorEastAsia"/>
          <w:b/>
          <w:bCs/>
          <w:color w:val="auto"/>
          <w:szCs w:val="21"/>
          <w:highlight w:val="none"/>
        </w:rPr>
        <w:t>：</w:t>
      </w:r>
      <w:bookmarkEnd w:id="46"/>
    </w:p>
    <w:bookmarkEnd w:id="47"/>
    <w:p w14:paraId="636F1078">
      <w:pPr>
        <w:pStyle w:val="20"/>
        <w:keepNext w:val="0"/>
        <w:keepLines w:val="0"/>
        <w:pageBreakBefore w:val="0"/>
        <w:widowControl w:val="0"/>
        <w:shd w:val="clear"/>
        <w:kinsoku/>
        <w:wordWrap/>
        <w:overflowPunct/>
        <w:topLinePunct w:val="0"/>
        <w:bidi w:val="0"/>
        <w:spacing w:line="360" w:lineRule="auto"/>
        <w:ind w:firstLine="0"/>
        <w:contextualSpacing/>
        <w:jc w:val="center"/>
        <w:rPr>
          <w:rFonts w:hint="eastAsia" w:hAnsi="宋体"/>
          <w:b/>
          <w:color w:val="auto"/>
          <w:sz w:val="21"/>
          <w:szCs w:val="21"/>
          <w:highlight w:val="none"/>
        </w:rPr>
      </w:pPr>
      <w:r>
        <w:rPr>
          <w:rFonts w:hint="eastAsia" w:hAnsi="宋体"/>
          <w:b/>
          <w:color w:val="auto"/>
          <w:sz w:val="21"/>
          <w:szCs w:val="21"/>
          <w:highlight w:val="none"/>
        </w:rPr>
        <w:t>中小企业声明函</w:t>
      </w:r>
    </w:p>
    <w:p w14:paraId="734A214E">
      <w:pPr>
        <w:keepNext w:val="0"/>
        <w:keepLines w:val="0"/>
        <w:pageBreakBefore w:val="0"/>
        <w:widowControl w:val="0"/>
        <w:shd w:val="clear"/>
        <w:kinsoku/>
        <w:wordWrap/>
        <w:overflowPunct/>
        <w:topLinePunct w:val="0"/>
        <w:bidi w:val="0"/>
        <w:spacing w:line="360" w:lineRule="auto"/>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　　本公司（联合体）郑重声明，根据《政府采购促进中小企业发展管理办法》（财库[2020]46号）的规定，本公司（联合体）参加</w:t>
      </w:r>
      <w:r>
        <w:rPr>
          <w:rFonts w:hint="eastAsia" w:ascii="宋体" w:hAnsi="宋体" w:cs="宋体"/>
          <w:color w:val="auto"/>
          <w:kern w:val="0"/>
          <w:szCs w:val="21"/>
          <w:highlight w:val="none"/>
          <w:u w:val="single"/>
          <w:lang w:eastAsia="zh-CN"/>
        </w:rPr>
        <w:t>宁波市海曙区古林镇布政小学</w:t>
      </w:r>
      <w:r>
        <w:rPr>
          <w:rFonts w:hint="eastAsia" w:ascii="宋体" w:hAnsi="宋体" w:cs="宋体"/>
          <w:color w:val="auto"/>
          <w:kern w:val="0"/>
          <w:szCs w:val="21"/>
          <w:highlight w:val="none"/>
        </w:rPr>
        <w:t>的</w:t>
      </w:r>
      <w:r>
        <w:rPr>
          <w:rFonts w:hint="eastAsia" w:ascii="宋体" w:hAnsi="宋体" w:cs="宋体"/>
          <w:color w:val="auto"/>
          <w:kern w:val="0"/>
          <w:szCs w:val="21"/>
          <w:highlight w:val="none"/>
          <w:u w:val="single"/>
          <w:lang w:eastAsia="zh-CN"/>
        </w:rPr>
        <w:t>宁波市海曙区古林镇布政小学2025年年度教职工疗休养项目</w:t>
      </w:r>
      <w:r>
        <w:rPr>
          <w:rFonts w:hint="eastAsia" w:ascii="宋体" w:hAnsi="宋体" w:cs="宋体"/>
          <w:color w:val="auto"/>
          <w:kern w:val="0"/>
          <w:szCs w:val="21"/>
          <w:highlight w:val="none"/>
        </w:rPr>
        <w:t>采购活动，服务全部由符合政策要求的中小企业承接。相关企业（含联合体中的中小企业、签订分包意向协议的中小企业）的具体情况如下：</w:t>
      </w:r>
    </w:p>
    <w:p w14:paraId="2E722E73">
      <w:pPr>
        <w:pStyle w:val="2"/>
        <w:keepNext w:val="0"/>
        <w:keepLines w:val="0"/>
        <w:pageBreakBefore w:val="0"/>
        <w:widowControl w:val="0"/>
        <w:shd w:val="clear"/>
        <w:kinsoku/>
        <w:wordWrap/>
        <w:overflowPunct/>
        <w:topLinePunct w:val="0"/>
        <w:bidi w:val="0"/>
        <w:spacing w:after="0" w:line="360" w:lineRule="auto"/>
        <w:ind w:firstLineChars="200"/>
        <w:contextualSpacing/>
        <w:rPr>
          <w:rFonts w:ascii="宋体" w:hAnsi="宋体" w:cs="宋体"/>
          <w:color w:val="auto"/>
          <w:kern w:val="0"/>
          <w:szCs w:val="21"/>
          <w:highlight w:val="none"/>
        </w:rPr>
      </w:pPr>
      <w:r>
        <w:rPr>
          <w:rFonts w:hint="eastAsia" w:ascii="宋体" w:hAnsi="宋体"/>
          <w:color w:val="auto"/>
          <w:szCs w:val="21"/>
          <w:highlight w:val="none"/>
        </w:rPr>
        <w:t>1、</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教职工疗休养服务</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属于</w:t>
      </w:r>
      <w:r>
        <w:rPr>
          <w:rFonts w:hint="eastAsia"/>
          <w:color w:val="auto"/>
          <w:szCs w:val="21"/>
          <w:highlight w:val="none"/>
          <w:u w:val="single"/>
          <w:lang w:val="en-US" w:eastAsia="zh-CN"/>
        </w:rPr>
        <w:t xml:space="preserve"> </w:t>
      </w:r>
      <w:r>
        <w:rPr>
          <w:rFonts w:hint="eastAsia" w:ascii="宋体" w:hAnsi="宋体"/>
          <w:b/>
          <w:bCs/>
          <w:color w:val="auto"/>
          <w:szCs w:val="21"/>
          <w:highlight w:val="none"/>
          <w:u w:val="single"/>
          <w:lang w:bidi="ar"/>
        </w:rPr>
        <w:t>其他未列明行业</w:t>
      </w:r>
      <w:r>
        <w:rPr>
          <w:rFonts w:hint="eastAsia"/>
          <w:color w:val="auto"/>
          <w:szCs w:val="21"/>
          <w:highlight w:val="none"/>
          <w:u w:val="single"/>
          <w:lang w:val="en-US" w:eastAsia="zh-CN"/>
        </w:rPr>
        <w:t xml:space="preserve"> </w:t>
      </w:r>
      <w:r>
        <w:rPr>
          <w:rFonts w:hint="eastAsia" w:ascii="宋体" w:hAnsi="宋体" w:cs="宋体"/>
          <w:color w:val="auto"/>
          <w:kern w:val="0"/>
          <w:szCs w:val="21"/>
          <w:highlight w:val="none"/>
        </w:rPr>
        <w:t>；</w:t>
      </w:r>
      <w:r>
        <w:rPr>
          <w:rFonts w:hint="eastAsia" w:ascii="宋体" w:hAnsi="宋体" w:cs="宋体"/>
          <w:color w:val="auto"/>
          <w:kern w:val="0"/>
          <w:sz w:val="21"/>
          <w:szCs w:val="21"/>
          <w:highlight w:val="none"/>
          <w:lang w:val="en-US" w:eastAsia="zh-CN" w:bidi="ar"/>
        </w:rPr>
        <w:t>承接</w:t>
      </w:r>
      <w:r>
        <w:rPr>
          <w:rFonts w:hint="eastAsia" w:ascii="宋体" w:hAnsi="宋体" w:cs="宋体"/>
          <w:color w:val="auto"/>
          <w:kern w:val="0"/>
          <w:szCs w:val="21"/>
          <w:highlight w:val="none"/>
        </w:rPr>
        <w:t>企业为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，从业人员</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人，营业收入为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万元，资产总额为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万元，属于</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（中型企业、小型企业、微型企业）；</w:t>
      </w:r>
    </w:p>
    <w:p w14:paraId="5731F08F">
      <w:pPr>
        <w:pStyle w:val="2"/>
        <w:keepNext w:val="0"/>
        <w:keepLines w:val="0"/>
        <w:pageBreakBefore w:val="0"/>
        <w:widowControl w:val="0"/>
        <w:shd w:val="clear"/>
        <w:kinsoku/>
        <w:wordWrap/>
        <w:overflowPunct/>
        <w:topLinePunct w:val="0"/>
        <w:bidi w:val="0"/>
        <w:spacing w:after="0" w:line="360" w:lineRule="auto"/>
        <w:ind w:firstLineChars="200"/>
        <w:contextualSpacing/>
        <w:rPr>
          <w:rFonts w:ascii="宋体" w:hAnsi="宋体" w:cs="宋体"/>
          <w:b/>
          <w:bCs/>
          <w:color w:val="auto"/>
          <w:kern w:val="0"/>
          <w:szCs w:val="21"/>
          <w:highlight w:val="none"/>
        </w:rPr>
      </w:pPr>
      <w:r>
        <w:rPr>
          <w:rFonts w:hint="eastAsia" w:ascii="宋体" w:hAnsi="宋体" w:cs="宋体"/>
          <w:b/>
          <w:bCs/>
          <w:color w:val="auto"/>
          <w:kern w:val="0"/>
          <w:szCs w:val="21"/>
          <w:highlight w:val="none"/>
        </w:rPr>
        <w:t>以上企业，不属于大企业的分支机构，不存在控股股东为大企业的情形，也不存在与大企业的负责人为同一人的情形。</w:t>
      </w:r>
    </w:p>
    <w:p w14:paraId="3686AF4B">
      <w:pPr>
        <w:pStyle w:val="2"/>
        <w:keepNext w:val="0"/>
        <w:keepLines w:val="0"/>
        <w:pageBreakBefore w:val="0"/>
        <w:widowControl w:val="0"/>
        <w:shd w:val="clear"/>
        <w:kinsoku/>
        <w:wordWrap/>
        <w:overflowPunct/>
        <w:topLinePunct w:val="0"/>
        <w:bidi w:val="0"/>
        <w:spacing w:after="0" w:line="360" w:lineRule="auto"/>
        <w:ind w:firstLineChars="200"/>
        <w:contextualSpacing/>
        <w:rPr>
          <w:rFonts w:ascii="宋体" w:hAnsi="宋体" w:cs="宋体"/>
          <w:color w:val="auto"/>
          <w:kern w:val="0"/>
          <w:szCs w:val="21"/>
          <w:highlight w:val="none"/>
        </w:rPr>
      </w:pPr>
      <w:r>
        <w:rPr>
          <w:rFonts w:hint="eastAsia" w:ascii="宋体" w:hAnsi="宋体" w:cs="宋体"/>
          <w:color w:val="auto"/>
          <w:kern w:val="0"/>
          <w:szCs w:val="21"/>
          <w:highlight w:val="none"/>
        </w:rPr>
        <w:t>本企业对上述声明内容的真实性负责。如有虚假，将依法承担相应责任。</w:t>
      </w:r>
    </w:p>
    <w:p w14:paraId="6EB6541B">
      <w:pPr>
        <w:pStyle w:val="2"/>
        <w:keepNext w:val="0"/>
        <w:keepLines w:val="0"/>
        <w:pageBreakBefore w:val="0"/>
        <w:widowControl w:val="0"/>
        <w:shd w:val="clear"/>
        <w:kinsoku/>
        <w:wordWrap/>
        <w:overflowPunct/>
        <w:topLinePunct w:val="0"/>
        <w:bidi w:val="0"/>
        <w:spacing w:after="0" w:line="360" w:lineRule="auto"/>
        <w:ind w:firstLine="210"/>
        <w:contextualSpacing/>
        <w:rPr>
          <w:rFonts w:ascii="宋体" w:hAnsi="宋体" w:cs="宋体"/>
          <w:color w:val="auto"/>
          <w:kern w:val="0"/>
          <w:szCs w:val="21"/>
          <w:highlight w:val="none"/>
        </w:rPr>
      </w:pPr>
    </w:p>
    <w:p w14:paraId="20642905">
      <w:pPr>
        <w:pStyle w:val="2"/>
        <w:keepNext w:val="0"/>
        <w:keepLines w:val="0"/>
        <w:pageBreakBefore w:val="0"/>
        <w:widowControl w:val="0"/>
        <w:shd w:val="clear"/>
        <w:kinsoku/>
        <w:wordWrap/>
        <w:overflowPunct/>
        <w:topLinePunct w:val="0"/>
        <w:bidi w:val="0"/>
        <w:spacing w:after="0" w:line="360" w:lineRule="auto"/>
        <w:ind w:firstLine="210"/>
        <w:contextualSpacing/>
        <w:rPr>
          <w:rFonts w:ascii="宋体" w:hAnsi="宋体" w:cs="宋体"/>
          <w:color w:val="auto"/>
          <w:kern w:val="0"/>
          <w:szCs w:val="21"/>
          <w:highlight w:val="none"/>
        </w:rPr>
      </w:pPr>
    </w:p>
    <w:p w14:paraId="4743AD26">
      <w:pPr>
        <w:pStyle w:val="2"/>
        <w:keepNext w:val="0"/>
        <w:keepLines w:val="0"/>
        <w:pageBreakBefore w:val="0"/>
        <w:widowControl w:val="0"/>
        <w:shd w:val="clear"/>
        <w:kinsoku/>
        <w:wordWrap/>
        <w:overflowPunct/>
        <w:topLinePunct w:val="0"/>
        <w:bidi w:val="0"/>
        <w:spacing w:after="0" w:line="360" w:lineRule="auto"/>
        <w:ind w:firstLine="210"/>
        <w:contextualSpacing/>
        <w:rPr>
          <w:rFonts w:ascii="宋体" w:hAnsi="宋体" w:cs="宋体"/>
          <w:color w:val="auto"/>
          <w:kern w:val="0"/>
          <w:szCs w:val="21"/>
          <w:highlight w:val="none"/>
        </w:rPr>
      </w:pPr>
      <w:r>
        <w:rPr>
          <w:rFonts w:hint="eastAsia" w:ascii="宋体" w:hAnsi="宋体" w:cs="宋体"/>
          <w:color w:val="auto"/>
          <w:kern w:val="0"/>
          <w:szCs w:val="21"/>
          <w:highlight w:val="none"/>
        </w:rPr>
        <w:t>企业名称（盖章）：</w:t>
      </w:r>
    </w:p>
    <w:p w14:paraId="1692ED6B">
      <w:pPr>
        <w:pStyle w:val="2"/>
        <w:keepNext w:val="0"/>
        <w:keepLines w:val="0"/>
        <w:pageBreakBefore w:val="0"/>
        <w:widowControl w:val="0"/>
        <w:shd w:val="clear"/>
        <w:kinsoku/>
        <w:wordWrap/>
        <w:overflowPunct/>
        <w:topLinePunct w:val="0"/>
        <w:bidi w:val="0"/>
        <w:spacing w:after="0" w:line="360" w:lineRule="auto"/>
        <w:ind w:firstLine="210"/>
        <w:contextualSpacing/>
        <w:rPr>
          <w:rFonts w:ascii="宋体" w:hAnsi="宋体" w:cs="宋体"/>
          <w:color w:val="auto"/>
          <w:kern w:val="0"/>
          <w:szCs w:val="21"/>
          <w:highlight w:val="none"/>
        </w:rPr>
      </w:pPr>
      <w:r>
        <w:rPr>
          <w:rFonts w:hint="eastAsia" w:ascii="宋体" w:hAnsi="宋体" w:cs="宋体"/>
          <w:color w:val="auto"/>
          <w:kern w:val="0"/>
          <w:szCs w:val="21"/>
          <w:highlight w:val="none"/>
        </w:rPr>
        <w:t>日期：</w:t>
      </w:r>
    </w:p>
    <w:p w14:paraId="1F6ADEE2">
      <w:pPr>
        <w:pStyle w:val="2"/>
        <w:keepNext w:val="0"/>
        <w:keepLines w:val="0"/>
        <w:pageBreakBefore w:val="0"/>
        <w:widowControl w:val="0"/>
        <w:shd w:val="clear"/>
        <w:kinsoku/>
        <w:wordWrap/>
        <w:overflowPunct/>
        <w:topLinePunct w:val="0"/>
        <w:bidi w:val="0"/>
        <w:spacing w:after="0" w:line="360" w:lineRule="auto"/>
        <w:ind w:firstLine="210"/>
        <w:contextualSpacing/>
        <w:rPr>
          <w:rFonts w:ascii="宋体" w:hAnsi="宋体" w:cs="宋体"/>
          <w:color w:val="auto"/>
          <w:kern w:val="0"/>
          <w:szCs w:val="21"/>
          <w:highlight w:val="none"/>
        </w:rPr>
      </w:pPr>
    </w:p>
    <w:p w14:paraId="7433EE4A">
      <w:pPr>
        <w:pStyle w:val="2"/>
        <w:keepNext w:val="0"/>
        <w:keepLines w:val="0"/>
        <w:pageBreakBefore w:val="0"/>
        <w:widowControl w:val="0"/>
        <w:shd w:val="clear"/>
        <w:kinsoku/>
        <w:wordWrap/>
        <w:overflowPunct/>
        <w:topLinePunct w:val="0"/>
        <w:bidi w:val="0"/>
        <w:spacing w:after="0" w:line="360" w:lineRule="auto"/>
        <w:ind w:firstLine="210"/>
        <w:contextualSpacing/>
        <w:rPr>
          <w:rFonts w:ascii="宋体" w:hAnsi="宋体" w:cs="宋体"/>
          <w:color w:val="auto"/>
          <w:kern w:val="0"/>
          <w:szCs w:val="21"/>
          <w:highlight w:val="none"/>
        </w:rPr>
      </w:pPr>
      <w:r>
        <w:rPr>
          <w:rFonts w:hint="eastAsia" w:ascii="宋体" w:hAnsi="宋体" w:cs="宋体"/>
          <w:color w:val="auto"/>
          <w:kern w:val="0"/>
          <w:szCs w:val="21"/>
          <w:highlight w:val="none"/>
        </w:rPr>
        <w:t>注：从业人员、营业收入、资产总额填报上一年度数据，无上一年度数据的新成立企业可不填报。</w:t>
      </w:r>
    </w:p>
    <w:p w14:paraId="52F60C08">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b/>
          <w:bCs/>
          <w:color w:val="auto"/>
          <w:szCs w:val="21"/>
          <w:highlight w:val="none"/>
        </w:rPr>
      </w:pPr>
    </w:p>
    <w:p w14:paraId="6DE5A259">
      <w:pPr>
        <w:keepNext w:val="0"/>
        <w:keepLines w:val="0"/>
        <w:pageBreakBefore w:val="0"/>
        <w:widowControl w:val="0"/>
        <w:shd w:val="clear"/>
        <w:kinsoku/>
        <w:wordWrap/>
        <w:overflowPunct/>
        <w:topLinePunct w:val="0"/>
        <w:bidi w:val="0"/>
        <w:spacing w:line="440" w:lineRule="exact"/>
        <w:outlineLvl w:val="1"/>
        <w:rPr>
          <w:rFonts w:asciiTheme="majorEastAsia" w:hAnsiTheme="majorEastAsia" w:eastAsiaTheme="majorEastAsia"/>
          <w:b/>
          <w:bCs/>
          <w:color w:val="auto"/>
          <w:sz w:val="18"/>
          <w:szCs w:val="18"/>
          <w:highlight w:val="none"/>
        </w:rPr>
      </w:pPr>
      <w:r>
        <w:rPr>
          <w:rFonts w:hint="eastAsia" w:asciiTheme="majorEastAsia" w:hAnsiTheme="majorEastAsia" w:eastAsiaTheme="majorEastAsia"/>
          <w:b/>
          <w:bCs/>
          <w:color w:val="auto"/>
          <w:sz w:val="18"/>
          <w:szCs w:val="18"/>
          <w:highlight w:val="none"/>
        </w:rPr>
        <w:t>风险提示：</w:t>
      </w:r>
    </w:p>
    <w:p w14:paraId="7A2B7628">
      <w:pPr>
        <w:keepNext w:val="0"/>
        <w:keepLines w:val="0"/>
        <w:pageBreakBefore w:val="0"/>
        <w:widowControl w:val="0"/>
        <w:shd w:val="clear"/>
        <w:kinsoku/>
        <w:wordWrap/>
        <w:overflowPunct/>
        <w:topLinePunct w:val="0"/>
        <w:bidi w:val="0"/>
        <w:spacing w:line="440" w:lineRule="exact"/>
        <w:ind w:firstLine="360" w:firstLineChars="200"/>
        <w:outlineLvl w:val="1"/>
        <w:rPr>
          <w:rFonts w:asciiTheme="majorEastAsia" w:hAnsiTheme="majorEastAsia" w:eastAsiaTheme="majorEastAsia"/>
          <w:b w:val="0"/>
          <w:bCs w:val="0"/>
          <w:color w:val="auto"/>
          <w:sz w:val="18"/>
          <w:szCs w:val="18"/>
          <w:highlight w:val="none"/>
        </w:rPr>
      </w:pPr>
      <w:r>
        <w:rPr>
          <w:rFonts w:hint="eastAsia" w:asciiTheme="majorEastAsia" w:hAnsiTheme="majorEastAsia" w:eastAsiaTheme="majorEastAsia"/>
          <w:b w:val="0"/>
          <w:bCs w:val="0"/>
          <w:color w:val="auto"/>
          <w:sz w:val="18"/>
          <w:szCs w:val="18"/>
          <w:highlight w:val="none"/>
        </w:rPr>
        <w:t>1、《中小企业声明函》由参加投标的供应商提交并对其真实性负责。</w:t>
      </w:r>
    </w:p>
    <w:p w14:paraId="2EAA619C">
      <w:pPr>
        <w:keepNext w:val="0"/>
        <w:keepLines w:val="0"/>
        <w:pageBreakBefore w:val="0"/>
        <w:widowControl w:val="0"/>
        <w:shd w:val="clear"/>
        <w:kinsoku/>
        <w:wordWrap/>
        <w:overflowPunct/>
        <w:topLinePunct w:val="0"/>
        <w:bidi w:val="0"/>
        <w:spacing w:line="440" w:lineRule="exact"/>
        <w:ind w:firstLine="360" w:firstLineChars="200"/>
        <w:outlineLvl w:val="1"/>
        <w:rPr>
          <w:rFonts w:asciiTheme="majorEastAsia" w:hAnsiTheme="majorEastAsia" w:eastAsiaTheme="majorEastAsia"/>
          <w:b w:val="0"/>
          <w:bCs w:val="0"/>
          <w:color w:val="auto"/>
          <w:sz w:val="18"/>
          <w:szCs w:val="18"/>
          <w:highlight w:val="none"/>
        </w:rPr>
      </w:pPr>
      <w:r>
        <w:rPr>
          <w:rFonts w:hint="eastAsia" w:asciiTheme="majorEastAsia" w:hAnsiTheme="majorEastAsia" w:eastAsiaTheme="majorEastAsia"/>
          <w:b w:val="0"/>
          <w:bCs w:val="0"/>
          <w:color w:val="auto"/>
          <w:sz w:val="18"/>
          <w:szCs w:val="18"/>
          <w:highlight w:val="none"/>
        </w:rPr>
        <w:t>2、中标、成交供应商享受《政府采购促进中小企业发展管理办法》（财库[2020]46号）规定的中小企业扶持政策的，</w:t>
      </w:r>
      <w:r>
        <w:rPr>
          <w:rFonts w:hint="eastAsia" w:asciiTheme="majorEastAsia" w:hAnsiTheme="majorEastAsia" w:eastAsiaTheme="majorEastAsia"/>
          <w:b/>
          <w:bCs/>
          <w:color w:val="auto"/>
          <w:sz w:val="18"/>
          <w:szCs w:val="18"/>
          <w:highlight w:val="none"/>
        </w:rPr>
        <w:t>采购人、采购代理机构应当随中标、成交结果公开中标、成交供应商的《中小企业声明函》</w:t>
      </w:r>
      <w:r>
        <w:rPr>
          <w:rFonts w:hint="eastAsia" w:asciiTheme="majorEastAsia" w:hAnsiTheme="majorEastAsia" w:eastAsiaTheme="majorEastAsia"/>
          <w:b w:val="0"/>
          <w:bCs w:val="0"/>
          <w:color w:val="auto"/>
          <w:sz w:val="18"/>
          <w:szCs w:val="18"/>
          <w:highlight w:val="none"/>
        </w:rPr>
        <w:t>。</w:t>
      </w:r>
    </w:p>
    <w:p w14:paraId="303B0170">
      <w:pPr>
        <w:keepNext w:val="0"/>
        <w:keepLines w:val="0"/>
        <w:pageBreakBefore w:val="0"/>
        <w:widowControl w:val="0"/>
        <w:shd w:val="clear"/>
        <w:kinsoku/>
        <w:wordWrap/>
        <w:overflowPunct/>
        <w:topLinePunct w:val="0"/>
        <w:bidi w:val="0"/>
        <w:spacing w:line="440" w:lineRule="exact"/>
        <w:ind w:firstLine="360" w:firstLineChars="200"/>
        <w:outlineLvl w:val="1"/>
        <w:rPr>
          <w:rFonts w:eastAsiaTheme="majorEastAsia"/>
          <w:color w:val="auto"/>
          <w:sz w:val="18"/>
          <w:szCs w:val="18"/>
          <w:highlight w:val="none"/>
        </w:rPr>
      </w:pPr>
      <w:r>
        <w:rPr>
          <w:rFonts w:hint="eastAsia" w:asciiTheme="majorEastAsia" w:hAnsiTheme="majorEastAsia" w:eastAsiaTheme="majorEastAsia"/>
          <w:b w:val="0"/>
          <w:bCs w:val="0"/>
          <w:color w:val="auto"/>
          <w:sz w:val="18"/>
          <w:szCs w:val="18"/>
          <w:highlight w:val="none"/>
        </w:rPr>
        <w:t>3、供应商按照《政府采购促进中小企业发展管理办法》（财库[2020]46号）规定提供声明函内容不实的，属于</w:t>
      </w:r>
      <w:r>
        <w:rPr>
          <w:rFonts w:hint="eastAsia" w:asciiTheme="majorEastAsia" w:hAnsiTheme="majorEastAsia" w:eastAsiaTheme="majorEastAsia"/>
          <w:b/>
          <w:bCs/>
          <w:color w:val="auto"/>
          <w:sz w:val="18"/>
          <w:szCs w:val="18"/>
          <w:highlight w:val="none"/>
        </w:rPr>
        <w:t>提供虚假材料谋取中标、成交</w:t>
      </w:r>
      <w:r>
        <w:rPr>
          <w:rFonts w:hint="eastAsia" w:asciiTheme="majorEastAsia" w:hAnsiTheme="majorEastAsia" w:eastAsiaTheme="majorEastAsia"/>
          <w:b w:val="0"/>
          <w:bCs w:val="0"/>
          <w:color w:val="auto"/>
          <w:sz w:val="18"/>
          <w:szCs w:val="18"/>
          <w:highlight w:val="none"/>
        </w:rPr>
        <w:t>，依照《中华人民共和国政府采购法》等国家有关规定追究相应责任。</w:t>
      </w:r>
    </w:p>
    <w:p w14:paraId="2A50403B">
      <w:pPr>
        <w:keepNext w:val="0"/>
        <w:keepLines w:val="0"/>
        <w:pageBreakBefore w:val="0"/>
        <w:widowControl w:val="0"/>
        <w:shd w:val="clear"/>
        <w:kinsoku/>
        <w:wordWrap/>
        <w:overflowPunct/>
        <w:topLinePunct w:val="0"/>
        <w:bidi w:val="0"/>
        <w:rPr>
          <w:rFonts w:hint="eastAsia" w:hAnsi="宋体"/>
          <w:b/>
          <w:color w:val="auto"/>
          <w:sz w:val="21"/>
          <w:szCs w:val="21"/>
          <w:highlight w:val="none"/>
        </w:rPr>
      </w:pPr>
      <w:r>
        <w:rPr>
          <w:rFonts w:hint="eastAsia" w:hAnsi="宋体"/>
          <w:b/>
          <w:color w:val="auto"/>
          <w:sz w:val="21"/>
          <w:szCs w:val="21"/>
          <w:highlight w:val="none"/>
        </w:rPr>
        <w:br w:type="page"/>
      </w:r>
    </w:p>
    <w:p w14:paraId="4E7BDE86">
      <w:pPr>
        <w:keepNext w:val="0"/>
        <w:keepLines w:val="0"/>
        <w:pageBreakBefore w:val="0"/>
        <w:widowControl w:val="0"/>
        <w:shd w:val="clear"/>
        <w:kinsoku/>
        <w:wordWrap/>
        <w:overflowPunct/>
        <w:topLinePunct w:val="0"/>
        <w:bidi w:val="0"/>
        <w:spacing w:line="440" w:lineRule="exact"/>
        <w:outlineLvl w:val="1"/>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格式十</w:t>
      </w:r>
      <w:r>
        <w:rPr>
          <w:rFonts w:hint="eastAsia" w:asciiTheme="majorEastAsia" w:hAnsiTheme="majorEastAsia" w:eastAsiaTheme="majorEastAsia"/>
          <w:b/>
          <w:color w:val="auto"/>
          <w:szCs w:val="21"/>
          <w:highlight w:val="none"/>
          <w:lang w:eastAsia="zh-CN"/>
        </w:rPr>
        <w:t>二</w:t>
      </w:r>
      <w:r>
        <w:rPr>
          <w:rFonts w:asciiTheme="majorEastAsia" w:hAnsiTheme="majorEastAsia" w:eastAsiaTheme="majorEastAsia"/>
          <w:b/>
          <w:color w:val="auto"/>
          <w:szCs w:val="21"/>
          <w:highlight w:val="none"/>
        </w:rPr>
        <w:t>：</w:t>
      </w:r>
    </w:p>
    <w:p w14:paraId="601159C3">
      <w:pPr>
        <w:pStyle w:val="20"/>
        <w:keepNext w:val="0"/>
        <w:keepLines w:val="0"/>
        <w:pageBreakBefore w:val="0"/>
        <w:widowControl w:val="0"/>
        <w:shd w:val="clear"/>
        <w:kinsoku/>
        <w:wordWrap/>
        <w:overflowPunct/>
        <w:topLinePunct w:val="0"/>
        <w:bidi w:val="0"/>
        <w:spacing w:line="440" w:lineRule="exact"/>
        <w:ind w:firstLine="0"/>
        <w:jc w:val="center"/>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残疾人福利性单位声明函</w:t>
      </w:r>
    </w:p>
    <w:p w14:paraId="11EDC25E">
      <w:pPr>
        <w:keepNext w:val="0"/>
        <w:keepLines w:val="0"/>
        <w:pageBreakBefore w:val="0"/>
        <w:widowControl w:val="0"/>
        <w:shd w:val="clear"/>
        <w:kinsoku/>
        <w:wordWrap/>
        <w:overflowPunct/>
        <w:topLinePunct w:val="0"/>
        <w:bidi w:val="0"/>
        <w:spacing w:line="440" w:lineRule="exact"/>
        <w:jc w:val="left"/>
        <w:rPr>
          <w:rFonts w:asciiTheme="majorEastAsia" w:hAnsiTheme="majorEastAsia" w:eastAsiaTheme="majorEastAsia"/>
          <w:color w:val="auto"/>
          <w:kern w:val="0"/>
          <w:szCs w:val="21"/>
          <w:highlight w:val="none"/>
        </w:rPr>
      </w:pPr>
    </w:p>
    <w:p w14:paraId="0D61792E">
      <w:pPr>
        <w:keepNext w:val="0"/>
        <w:keepLines w:val="0"/>
        <w:pageBreakBefore w:val="0"/>
        <w:widowControl w:val="0"/>
        <w:shd w:val="clear"/>
        <w:kinsoku/>
        <w:wordWrap/>
        <w:overflowPunct/>
        <w:topLinePunct w:val="0"/>
        <w:bidi w:val="0"/>
        <w:spacing w:line="440" w:lineRule="exact"/>
        <w:ind w:firstLine="420" w:firstLineChars="200"/>
        <w:jc w:val="left"/>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1.本单位郑重声明，根据《财政部 民政部 中国残疾人联合会关于促进残疾人就业政府采购政策的通知》（财库〔2017〕141号）的规定，本单位</w:t>
      </w:r>
      <w:r>
        <w:rPr>
          <w:rFonts w:asciiTheme="majorEastAsia" w:hAnsiTheme="majorEastAsia" w:eastAsiaTheme="majorEastAsia"/>
          <w:color w:val="auto"/>
          <w:szCs w:val="21"/>
          <w:highlight w:val="none"/>
        </w:rPr>
        <w:t>_____（填写：</w:t>
      </w:r>
      <w:r>
        <w:rPr>
          <w:rFonts w:asciiTheme="majorEastAsia" w:hAnsiTheme="majorEastAsia" w:eastAsiaTheme="majorEastAsia"/>
          <w:color w:val="auto"/>
          <w:kern w:val="0"/>
          <w:szCs w:val="21"/>
          <w:highlight w:val="none"/>
        </w:rPr>
        <w:t>符合或者不符合</w:t>
      </w:r>
      <w:r>
        <w:rPr>
          <w:rFonts w:asciiTheme="majorEastAsia" w:hAnsiTheme="majorEastAsia" w:eastAsiaTheme="majorEastAsia"/>
          <w:color w:val="auto"/>
          <w:szCs w:val="21"/>
          <w:highlight w:val="none"/>
        </w:rPr>
        <w:t>）</w:t>
      </w:r>
      <w:r>
        <w:rPr>
          <w:rFonts w:asciiTheme="majorEastAsia" w:hAnsiTheme="majorEastAsia" w:eastAsiaTheme="majorEastAsia"/>
          <w:color w:val="auto"/>
          <w:kern w:val="0"/>
          <w:szCs w:val="21"/>
          <w:highlight w:val="none"/>
        </w:rPr>
        <w:t>条件的残疾人福利性单位，且本单位参加</w:t>
      </w:r>
      <w:r>
        <w:rPr>
          <w:rFonts w:asciiTheme="majorEastAsia" w:hAnsiTheme="majorEastAsia" w:eastAsiaTheme="majorEastAsia"/>
          <w:color w:val="auto"/>
          <w:szCs w:val="21"/>
          <w:highlight w:val="none"/>
        </w:rPr>
        <w:t>_____</w:t>
      </w:r>
      <w:r>
        <w:rPr>
          <w:rFonts w:asciiTheme="majorEastAsia" w:hAnsiTheme="majorEastAsia" w:eastAsiaTheme="majorEastAsia"/>
          <w:color w:val="auto"/>
          <w:kern w:val="0"/>
          <w:szCs w:val="21"/>
          <w:highlight w:val="none"/>
        </w:rPr>
        <w:t>单位的</w:t>
      </w:r>
      <w:r>
        <w:rPr>
          <w:rFonts w:asciiTheme="majorEastAsia" w:hAnsiTheme="majorEastAsia" w:eastAsiaTheme="majorEastAsia"/>
          <w:color w:val="auto"/>
          <w:szCs w:val="21"/>
          <w:highlight w:val="none"/>
        </w:rPr>
        <w:t>_____</w:t>
      </w:r>
      <w:r>
        <w:rPr>
          <w:rFonts w:asciiTheme="majorEastAsia" w:hAnsiTheme="majorEastAsia" w:eastAsiaTheme="majorEastAsia"/>
          <w:color w:val="auto"/>
          <w:kern w:val="0"/>
          <w:szCs w:val="21"/>
          <w:highlight w:val="none"/>
        </w:rPr>
        <w:t>项目采购活动提供本单位制造的货物（由本单位承担工程/提供服务），或者提供其他残疾人福利性单位制造的货物（不包括使用非残疾人福利性单位注册商标的货物）。</w:t>
      </w:r>
    </w:p>
    <w:p w14:paraId="4D9DEA46">
      <w:pPr>
        <w:keepNext w:val="0"/>
        <w:keepLines w:val="0"/>
        <w:pageBreakBefore w:val="0"/>
        <w:widowControl w:val="0"/>
        <w:shd w:val="clear"/>
        <w:kinsoku/>
        <w:wordWrap/>
        <w:overflowPunct/>
        <w:topLinePunct w:val="0"/>
        <w:bidi w:val="0"/>
        <w:spacing w:line="440" w:lineRule="exact"/>
        <w:ind w:firstLine="420" w:firstLineChars="200"/>
        <w:jc w:val="left"/>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2.本单位对上述声明的真实性负责。如有虚假，将依法承担相应责任。</w:t>
      </w:r>
    </w:p>
    <w:p w14:paraId="1E1F9EFB">
      <w:pPr>
        <w:keepNext w:val="0"/>
        <w:keepLines w:val="0"/>
        <w:pageBreakBefore w:val="0"/>
        <w:widowControl w:val="0"/>
        <w:shd w:val="clear"/>
        <w:kinsoku/>
        <w:wordWrap/>
        <w:overflowPunct/>
        <w:topLinePunct w:val="0"/>
        <w:bidi w:val="0"/>
        <w:spacing w:line="440" w:lineRule="exact"/>
        <w:jc w:val="left"/>
        <w:rPr>
          <w:rFonts w:asciiTheme="majorEastAsia" w:hAnsiTheme="majorEastAsia" w:eastAsiaTheme="majorEastAsia"/>
          <w:color w:val="auto"/>
          <w:kern w:val="0"/>
          <w:szCs w:val="21"/>
          <w:highlight w:val="none"/>
        </w:rPr>
      </w:pPr>
    </w:p>
    <w:p w14:paraId="275FEF1E">
      <w:pPr>
        <w:keepNext w:val="0"/>
        <w:keepLines w:val="0"/>
        <w:pageBreakBefore w:val="0"/>
        <w:widowControl w:val="0"/>
        <w:shd w:val="clear"/>
        <w:tabs>
          <w:tab w:val="left" w:pos="4860"/>
        </w:tabs>
        <w:kinsoku/>
        <w:wordWrap/>
        <w:overflowPunct/>
        <w:topLinePunct w:val="0"/>
        <w:bidi w:val="0"/>
        <w:spacing w:line="440" w:lineRule="exact"/>
        <w:ind w:right="1560" w:firstLine="420" w:firstLineChars="200"/>
        <w:jc w:val="center"/>
        <w:rPr>
          <w:rFonts w:asciiTheme="majorEastAsia" w:hAnsiTheme="majorEastAsia" w:eastAsiaTheme="majorEastAsia"/>
          <w:color w:val="auto"/>
          <w:spacing w:val="6"/>
          <w:szCs w:val="21"/>
          <w:highlight w:val="none"/>
        </w:rPr>
      </w:pPr>
      <w:r>
        <w:rPr>
          <w:rFonts w:asciiTheme="majorEastAsia" w:hAnsiTheme="majorEastAsia" w:eastAsiaTheme="majorEastAsia"/>
          <w:color w:val="auto"/>
          <w:kern w:val="0"/>
          <w:szCs w:val="21"/>
          <w:highlight w:val="none"/>
        </w:rPr>
        <w:t xml:space="preserve">                                       </w:t>
      </w:r>
      <w:r>
        <w:rPr>
          <w:rFonts w:asciiTheme="majorEastAsia" w:hAnsiTheme="majorEastAsia" w:eastAsiaTheme="majorEastAsia"/>
          <w:color w:val="auto"/>
          <w:spacing w:val="6"/>
          <w:szCs w:val="21"/>
          <w:highlight w:val="none"/>
        </w:rPr>
        <w:t xml:space="preserve">企业名称（盖章）： </w:t>
      </w:r>
    </w:p>
    <w:p w14:paraId="6ADEA64C">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pacing w:val="6"/>
          <w:szCs w:val="21"/>
          <w:highlight w:val="none"/>
        </w:rPr>
      </w:pPr>
      <w:r>
        <w:rPr>
          <w:rFonts w:asciiTheme="majorEastAsia" w:hAnsiTheme="majorEastAsia" w:eastAsiaTheme="majorEastAsia"/>
          <w:color w:val="auto"/>
          <w:spacing w:val="6"/>
          <w:szCs w:val="21"/>
          <w:highlight w:val="none"/>
        </w:rPr>
        <w:t xml:space="preserve">                                        日  期：</w:t>
      </w:r>
    </w:p>
    <w:p w14:paraId="6D69A567">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pacing w:val="6"/>
          <w:szCs w:val="21"/>
          <w:highlight w:val="none"/>
        </w:rPr>
      </w:pPr>
    </w:p>
    <w:p w14:paraId="7AD52B9A">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b/>
          <w:bCs/>
          <w:color w:val="auto"/>
          <w:szCs w:val="21"/>
          <w:highlight w:val="none"/>
        </w:rPr>
      </w:pPr>
      <w:r>
        <w:rPr>
          <w:rFonts w:asciiTheme="majorEastAsia" w:hAnsiTheme="majorEastAsia" w:eastAsiaTheme="majorEastAsia"/>
          <w:b/>
          <w:bCs/>
          <w:color w:val="auto"/>
          <w:szCs w:val="21"/>
          <w:highlight w:val="none"/>
        </w:rPr>
        <w:t>供应商如为非残疾人福利性单位的，可不提供本声明函。</w:t>
      </w:r>
    </w:p>
    <w:p w14:paraId="04610167">
      <w:pPr>
        <w:keepNext w:val="0"/>
        <w:keepLines w:val="0"/>
        <w:pageBreakBefore w:val="0"/>
        <w:widowControl w:val="0"/>
        <w:shd w:val="clear"/>
        <w:kinsoku/>
        <w:wordWrap/>
        <w:overflowPunct/>
        <w:topLinePunct w:val="0"/>
        <w:bidi w:val="0"/>
        <w:adjustRightInd w:val="0"/>
        <w:snapToGrid w:val="0"/>
        <w:spacing w:line="440" w:lineRule="exact"/>
        <w:jc w:val="left"/>
        <w:rPr>
          <w:rFonts w:asciiTheme="majorEastAsia" w:hAnsiTheme="majorEastAsia" w:eastAsiaTheme="majorEastAsia"/>
          <w:color w:val="auto"/>
          <w:spacing w:val="6"/>
          <w:szCs w:val="21"/>
          <w:highlight w:val="none"/>
        </w:rPr>
      </w:pPr>
      <w:r>
        <w:rPr>
          <w:rFonts w:asciiTheme="majorEastAsia" w:hAnsiTheme="majorEastAsia" w:eastAsiaTheme="majorEastAsia"/>
          <w:color w:val="auto"/>
          <w:spacing w:val="6"/>
          <w:szCs w:val="21"/>
          <w:highlight w:val="none"/>
        </w:rPr>
        <w:t>注：</w:t>
      </w:r>
    </w:p>
    <w:p w14:paraId="2B6D86E5">
      <w:pPr>
        <w:keepNext w:val="0"/>
        <w:keepLines w:val="0"/>
        <w:pageBreakBefore w:val="0"/>
        <w:widowControl w:val="0"/>
        <w:shd w:val="clear"/>
        <w:kinsoku/>
        <w:wordWrap/>
        <w:overflowPunct/>
        <w:topLinePunct w:val="0"/>
        <w:bidi w:val="0"/>
        <w:adjustRightInd w:val="0"/>
        <w:snapToGrid w:val="0"/>
        <w:spacing w:line="440" w:lineRule="exact"/>
        <w:jc w:val="left"/>
        <w:rPr>
          <w:rFonts w:asciiTheme="majorEastAsia" w:hAnsiTheme="majorEastAsia" w:eastAsiaTheme="majorEastAsia"/>
          <w:color w:val="auto"/>
          <w:spacing w:val="6"/>
          <w:szCs w:val="21"/>
          <w:highlight w:val="none"/>
        </w:rPr>
      </w:pPr>
      <w:r>
        <w:rPr>
          <w:rFonts w:asciiTheme="majorEastAsia" w:hAnsiTheme="majorEastAsia" w:eastAsiaTheme="majorEastAsia"/>
          <w:color w:val="auto"/>
          <w:spacing w:val="6"/>
          <w:szCs w:val="21"/>
          <w:highlight w:val="none"/>
        </w:rPr>
        <w:t>1、如供应商为非残疾人福利性单位的可不提供本声明函。</w:t>
      </w:r>
    </w:p>
    <w:p w14:paraId="68F1C2A6">
      <w:pPr>
        <w:keepNext w:val="0"/>
        <w:keepLines w:val="0"/>
        <w:pageBreakBefore w:val="0"/>
        <w:widowControl w:val="0"/>
        <w:shd w:val="clear"/>
        <w:kinsoku/>
        <w:wordWrap/>
        <w:overflowPunct/>
        <w:topLinePunct w:val="0"/>
        <w:bidi w:val="0"/>
        <w:adjustRightInd w:val="0"/>
        <w:snapToGrid w:val="0"/>
        <w:spacing w:line="440" w:lineRule="exact"/>
        <w:jc w:val="left"/>
        <w:rPr>
          <w:rFonts w:asciiTheme="majorEastAsia" w:hAnsiTheme="majorEastAsia" w:eastAsiaTheme="majorEastAsia"/>
          <w:color w:val="auto"/>
          <w:spacing w:val="6"/>
          <w:szCs w:val="21"/>
          <w:highlight w:val="none"/>
        </w:rPr>
      </w:pPr>
      <w:r>
        <w:rPr>
          <w:rFonts w:asciiTheme="majorEastAsia" w:hAnsiTheme="majorEastAsia" w:eastAsiaTheme="majorEastAsia"/>
          <w:color w:val="auto"/>
          <w:spacing w:val="6"/>
          <w:szCs w:val="21"/>
          <w:highlight w:val="none"/>
        </w:rPr>
        <w:t>2、享受政府采购支持政策的残疾人福利性单位应当同时满足以下条件：</w:t>
      </w:r>
    </w:p>
    <w:p w14:paraId="2EC828F8">
      <w:pPr>
        <w:keepNext w:val="0"/>
        <w:keepLines w:val="0"/>
        <w:pageBreakBefore w:val="0"/>
        <w:widowControl w:val="0"/>
        <w:shd w:val="clear"/>
        <w:kinsoku/>
        <w:wordWrap/>
        <w:overflowPunct/>
        <w:topLinePunct w:val="0"/>
        <w:bidi w:val="0"/>
        <w:adjustRightInd w:val="0"/>
        <w:snapToGrid w:val="0"/>
        <w:spacing w:line="440" w:lineRule="exact"/>
        <w:jc w:val="left"/>
        <w:rPr>
          <w:rFonts w:asciiTheme="majorEastAsia" w:hAnsiTheme="majorEastAsia" w:eastAsiaTheme="majorEastAsia"/>
          <w:color w:val="auto"/>
          <w:spacing w:val="6"/>
          <w:szCs w:val="21"/>
          <w:highlight w:val="none"/>
        </w:rPr>
      </w:pPr>
      <w:r>
        <w:rPr>
          <w:rFonts w:asciiTheme="majorEastAsia" w:hAnsiTheme="majorEastAsia" w:eastAsiaTheme="majorEastAsia"/>
          <w:color w:val="auto"/>
          <w:spacing w:val="6"/>
          <w:szCs w:val="21"/>
          <w:highlight w:val="none"/>
        </w:rPr>
        <w:t>（一）安置的残疾人占本单位在职职工人数的比例不低于25%（含25%），并且安置的残疾人人数不少于10人（含10人）；</w:t>
      </w:r>
    </w:p>
    <w:p w14:paraId="3DE09549">
      <w:pPr>
        <w:keepNext w:val="0"/>
        <w:keepLines w:val="0"/>
        <w:pageBreakBefore w:val="0"/>
        <w:widowControl w:val="0"/>
        <w:shd w:val="clear"/>
        <w:kinsoku/>
        <w:wordWrap/>
        <w:overflowPunct/>
        <w:topLinePunct w:val="0"/>
        <w:bidi w:val="0"/>
        <w:adjustRightInd w:val="0"/>
        <w:snapToGrid w:val="0"/>
        <w:spacing w:line="440" w:lineRule="exact"/>
        <w:jc w:val="left"/>
        <w:rPr>
          <w:rFonts w:asciiTheme="majorEastAsia" w:hAnsiTheme="majorEastAsia" w:eastAsiaTheme="majorEastAsia"/>
          <w:color w:val="auto"/>
          <w:spacing w:val="6"/>
          <w:szCs w:val="21"/>
          <w:highlight w:val="none"/>
        </w:rPr>
      </w:pPr>
      <w:r>
        <w:rPr>
          <w:rFonts w:asciiTheme="majorEastAsia" w:hAnsiTheme="majorEastAsia" w:eastAsiaTheme="majorEastAsia"/>
          <w:color w:val="auto"/>
          <w:spacing w:val="6"/>
          <w:szCs w:val="21"/>
          <w:highlight w:val="none"/>
        </w:rPr>
        <w:t>（二）依法与安置的每位残疾人签订了一年以上（含一年）的劳动合同或服务协议；</w:t>
      </w:r>
    </w:p>
    <w:p w14:paraId="6A3D3D51">
      <w:pPr>
        <w:keepNext w:val="0"/>
        <w:keepLines w:val="0"/>
        <w:pageBreakBefore w:val="0"/>
        <w:widowControl w:val="0"/>
        <w:shd w:val="clear"/>
        <w:kinsoku/>
        <w:wordWrap/>
        <w:overflowPunct/>
        <w:topLinePunct w:val="0"/>
        <w:bidi w:val="0"/>
        <w:adjustRightInd w:val="0"/>
        <w:snapToGrid w:val="0"/>
        <w:spacing w:line="440" w:lineRule="exact"/>
        <w:jc w:val="left"/>
        <w:rPr>
          <w:rFonts w:asciiTheme="majorEastAsia" w:hAnsiTheme="majorEastAsia" w:eastAsiaTheme="majorEastAsia"/>
          <w:color w:val="auto"/>
          <w:spacing w:val="6"/>
          <w:szCs w:val="21"/>
          <w:highlight w:val="none"/>
        </w:rPr>
      </w:pPr>
      <w:r>
        <w:rPr>
          <w:rFonts w:asciiTheme="majorEastAsia" w:hAnsiTheme="majorEastAsia" w:eastAsiaTheme="majorEastAsia"/>
          <w:color w:val="auto"/>
          <w:spacing w:val="6"/>
          <w:szCs w:val="21"/>
          <w:highlight w:val="none"/>
        </w:rPr>
        <w:t>（三）为安置的每位残疾人按月足额缴纳了基本养老保险、基本医疗保险、失业保险、工伤保险和生育保险等社会保险费；</w:t>
      </w:r>
    </w:p>
    <w:p w14:paraId="07CCA719">
      <w:pPr>
        <w:keepNext w:val="0"/>
        <w:keepLines w:val="0"/>
        <w:pageBreakBefore w:val="0"/>
        <w:widowControl w:val="0"/>
        <w:shd w:val="clear"/>
        <w:kinsoku/>
        <w:wordWrap/>
        <w:overflowPunct/>
        <w:topLinePunct w:val="0"/>
        <w:bidi w:val="0"/>
        <w:adjustRightInd w:val="0"/>
        <w:snapToGrid w:val="0"/>
        <w:spacing w:line="440" w:lineRule="exact"/>
        <w:jc w:val="left"/>
        <w:rPr>
          <w:rFonts w:asciiTheme="majorEastAsia" w:hAnsiTheme="majorEastAsia" w:eastAsiaTheme="majorEastAsia"/>
          <w:color w:val="auto"/>
          <w:spacing w:val="6"/>
          <w:szCs w:val="21"/>
          <w:highlight w:val="none"/>
        </w:rPr>
      </w:pPr>
      <w:r>
        <w:rPr>
          <w:rFonts w:asciiTheme="majorEastAsia" w:hAnsiTheme="majorEastAsia" w:eastAsiaTheme="majorEastAsia"/>
          <w:color w:val="auto"/>
          <w:spacing w:val="6"/>
          <w:szCs w:val="21"/>
          <w:highlight w:val="none"/>
        </w:rPr>
        <w:t>（四）通过银行等金融机构向安置的每位残疾人，按月支付了不低于单位所在区县适用的经省级人民政府批准的月最低工资标准的工资；</w:t>
      </w:r>
    </w:p>
    <w:p w14:paraId="0C5E7009">
      <w:pPr>
        <w:keepNext w:val="0"/>
        <w:keepLines w:val="0"/>
        <w:pageBreakBefore w:val="0"/>
        <w:widowControl w:val="0"/>
        <w:shd w:val="clear"/>
        <w:kinsoku/>
        <w:wordWrap/>
        <w:overflowPunct/>
        <w:topLinePunct w:val="0"/>
        <w:bidi w:val="0"/>
        <w:adjustRightInd w:val="0"/>
        <w:snapToGrid w:val="0"/>
        <w:spacing w:line="440" w:lineRule="exact"/>
        <w:jc w:val="left"/>
        <w:rPr>
          <w:rFonts w:asciiTheme="majorEastAsia" w:hAnsiTheme="majorEastAsia" w:eastAsiaTheme="majorEastAsia"/>
          <w:color w:val="auto"/>
          <w:spacing w:val="6"/>
          <w:szCs w:val="21"/>
          <w:highlight w:val="none"/>
        </w:rPr>
      </w:pPr>
      <w:r>
        <w:rPr>
          <w:rFonts w:asciiTheme="majorEastAsia" w:hAnsiTheme="majorEastAsia" w:eastAsiaTheme="majorEastAsia"/>
          <w:color w:val="auto"/>
          <w:spacing w:val="6"/>
          <w:szCs w:val="21"/>
          <w:highlight w:val="none"/>
        </w:rPr>
        <w:t>（五）提供本单位制造的货物、承担的工程或者服务（以下简称产品），或者提供其他残疾人福利性单位制造的货物（不包括使用非残疾人福利性单位注册商标的货物）。</w:t>
      </w:r>
    </w:p>
    <w:p w14:paraId="20DD925F">
      <w:pPr>
        <w:keepNext w:val="0"/>
        <w:keepLines w:val="0"/>
        <w:pageBreakBefore w:val="0"/>
        <w:widowControl w:val="0"/>
        <w:shd w:val="clear"/>
        <w:tabs>
          <w:tab w:val="left" w:pos="606"/>
        </w:tabs>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pacing w:val="6"/>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6AA9138">
      <w:pPr>
        <w:keepNext w:val="0"/>
        <w:keepLines w:val="0"/>
        <w:pageBreakBefore w:val="0"/>
        <w:widowControl w:val="0"/>
        <w:shd w:val="clear"/>
        <w:kinsoku/>
        <w:wordWrap/>
        <w:overflowPunct/>
        <w:topLinePunct w:val="0"/>
        <w:bidi w:val="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br w:type="page"/>
      </w:r>
    </w:p>
    <w:p w14:paraId="43F23742">
      <w:pPr>
        <w:keepNext w:val="0"/>
        <w:keepLines w:val="0"/>
        <w:pageBreakBefore w:val="0"/>
        <w:widowControl w:val="0"/>
        <w:shd w:val="clear"/>
        <w:kinsoku/>
        <w:wordWrap/>
        <w:overflowPunct/>
        <w:topLinePunct w:val="0"/>
        <w:bidi w:val="0"/>
        <w:spacing w:line="440" w:lineRule="exact"/>
        <w:rPr>
          <w:rFonts w:hint="eastAsia" w:ascii="宋体" w:hAnsi="宋体"/>
          <w:color w:val="auto"/>
          <w:szCs w:val="21"/>
          <w:highlight w:val="none"/>
        </w:rPr>
      </w:pPr>
      <w:r>
        <w:rPr>
          <w:rFonts w:hint="eastAsia" w:asciiTheme="majorEastAsia" w:hAnsiTheme="majorEastAsia" w:eastAsiaTheme="majorEastAsia"/>
          <w:b/>
          <w:color w:val="auto"/>
          <w:szCs w:val="21"/>
          <w:highlight w:val="none"/>
        </w:rPr>
        <w:t>格式十</w:t>
      </w:r>
      <w:r>
        <w:rPr>
          <w:rFonts w:hint="eastAsia" w:asciiTheme="majorEastAsia" w:hAnsiTheme="majorEastAsia" w:eastAsiaTheme="majorEastAsia"/>
          <w:b/>
          <w:color w:val="auto"/>
          <w:szCs w:val="21"/>
          <w:highlight w:val="none"/>
          <w:lang w:eastAsia="zh-CN"/>
        </w:rPr>
        <w:t>三</w:t>
      </w:r>
      <w:r>
        <w:rPr>
          <w:rFonts w:hint="eastAsia" w:asciiTheme="majorEastAsia" w:hAnsiTheme="majorEastAsia" w:eastAsiaTheme="majorEastAsia"/>
          <w:b/>
          <w:color w:val="auto"/>
          <w:szCs w:val="21"/>
          <w:highlight w:val="none"/>
        </w:rPr>
        <w:t>：政府采购领域商业贿赂行为承诺书</w:t>
      </w:r>
    </w:p>
    <w:p w14:paraId="29D3F0B2">
      <w:pPr>
        <w:keepNext w:val="0"/>
        <w:keepLines w:val="0"/>
        <w:pageBreakBefore w:val="0"/>
        <w:widowControl w:val="0"/>
        <w:shd w:val="clear"/>
        <w:kinsoku/>
        <w:wordWrap/>
        <w:overflowPunct/>
        <w:topLinePunct w:val="0"/>
        <w:bidi w:val="0"/>
        <w:spacing w:line="440" w:lineRule="exact"/>
        <w:rPr>
          <w:rFonts w:hint="eastAsia" w:ascii="宋体" w:hAnsi="宋体"/>
          <w:color w:val="auto"/>
          <w:szCs w:val="21"/>
          <w:highlight w:val="none"/>
        </w:rPr>
      </w:pPr>
    </w:p>
    <w:p w14:paraId="3DA22E72">
      <w:pPr>
        <w:keepNext w:val="0"/>
        <w:keepLines w:val="0"/>
        <w:pageBreakBefore w:val="0"/>
        <w:widowControl w:val="0"/>
        <w:shd w:val="clear"/>
        <w:kinsoku/>
        <w:wordWrap/>
        <w:overflowPunct/>
        <w:topLinePunct w:val="0"/>
        <w:bidi w:val="0"/>
        <w:spacing w:line="440" w:lineRule="exact"/>
        <w:jc w:val="center"/>
        <w:rPr>
          <w:rFonts w:hint="eastAsia" w:ascii="宋体" w:hAnsi="宋体"/>
          <w:color w:val="auto"/>
          <w:szCs w:val="21"/>
          <w:highlight w:val="none"/>
        </w:rPr>
      </w:pPr>
      <w:r>
        <w:rPr>
          <w:rFonts w:hint="eastAsia" w:ascii="宋体" w:hAnsi="宋体"/>
          <w:b/>
          <w:bCs/>
          <w:color w:val="auto"/>
          <w:sz w:val="28"/>
          <w:szCs w:val="28"/>
          <w:highlight w:val="none"/>
        </w:rPr>
        <w:t>政府采购领域商业贿赂行为承诺书</w:t>
      </w:r>
    </w:p>
    <w:p w14:paraId="3216C0D0">
      <w:pPr>
        <w:adjustRightInd/>
        <w:spacing w:line="360" w:lineRule="auto"/>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color w:val="auto"/>
          <w:kern w:val="0"/>
          <w:sz w:val="21"/>
          <w:szCs w:val="21"/>
          <w:highlight w:val="none"/>
        </w:rPr>
        <w:t>致：宁波之新招标咨询有限公司</w:t>
      </w:r>
    </w:p>
    <w:p w14:paraId="49358A3B">
      <w:pPr>
        <w:adjustRightInd/>
        <w:spacing w:line="360" w:lineRule="auto"/>
        <w:ind w:firstLine="420" w:firstLineChars="200"/>
        <w:textAlignment w:val="baseline"/>
        <w:rPr>
          <w:rFonts w:hint="eastAsia" w:ascii="宋体" w:hAnsi="宋体" w:eastAsia="宋体" w:cs="宋体"/>
          <w:color w:val="auto"/>
          <w:kern w:val="0"/>
          <w:sz w:val="21"/>
          <w:szCs w:val="21"/>
          <w:highlight w:val="none"/>
          <w:lang w:eastAsia="zh-TW"/>
        </w:rPr>
      </w:pPr>
      <w:r>
        <w:rPr>
          <w:rFonts w:hint="eastAsia" w:ascii="宋体" w:hAnsi="宋体" w:eastAsia="宋体" w:cs="宋体"/>
          <w:color w:val="auto"/>
          <w:kern w:val="0"/>
          <w:sz w:val="21"/>
          <w:szCs w:val="21"/>
          <w:highlight w:val="none"/>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市、区政府的有关部署及要求，进一步规范政府采购行为，营造公平竞争的政府采购市场环境，维护政府采购制度良好声誉，在参与采购代理机构组织的政府采购活动中，我方庄重承诺：</w:t>
      </w:r>
    </w:p>
    <w:p w14:paraId="6A0BAE25">
      <w:pPr>
        <w:adjustRightInd/>
        <w:spacing w:line="360" w:lineRule="auto"/>
        <w:ind w:firstLine="420" w:firstLineChars="200"/>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一、依法参与政府采购活动，遵纪守法，诚信经营，公平竞争。</w:t>
      </w:r>
    </w:p>
    <w:p w14:paraId="62CBCD22">
      <w:pPr>
        <w:adjustRightInd/>
        <w:spacing w:line="360" w:lineRule="auto"/>
        <w:ind w:firstLine="420" w:firstLineChars="200"/>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二、不向采购单位、采购代理机构和政府采购评审专家提供任何形式的商业贿赂；对索取或接受商业贿赂的单位和个人，及时向财政部门和纪检监察机关举报。</w:t>
      </w:r>
    </w:p>
    <w:p w14:paraId="489B2ED6">
      <w:pPr>
        <w:adjustRightInd/>
        <w:spacing w:line="360" w:lineRule="auto"/>
        <w:ind w:firstLine="420" w:firstLineChars="200"/>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三、不以提供虚假资质文件等形式参与政府采购活动，不以虚假材料谋取中标。</w:t>
      </w:r>
    </w:p>
    <w:p w14:paraId="623AE7F8">
      <w:pPr>
        <w:adjustRightInd/>
        <w:spacing w:line="360" w:lineRule="auto"/>
        <w:ind w:firstLine="420" w:firstLineChars="200"/>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四、不采取不正当手段诋毁、排挤其他供应商，与其他参与政府采购活动供应商保持良性的竞争关系。</w:t>
      </w:r>
    </w:p>
    <w:p w14:paraId="5AEE2997">
      <w:pPr>
        <w:adjustRightInd/>
        <w:spacing w:line="360" w:lineRule="auto"/>
        <w:ind w:firstLine="420" w:firstLineChars="200"/>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五、不与采购单位、采购代理机构和政府采购评审专家恶意串通，自觉维护政府采购公平竞争的市场秩序。</w:t>
      </w:r>
    </w:p>
    <w:p w14:paraId="20B70461">
      <w:pPr>
        <w:adjustRightInd/>
        <w:spacing w:line="360" w:lineRule="auto"/>
        <w:ind w:firstLine="420" w:firstLineChars="200"/>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六、不与其他供应商串通采取围标、陪标等商业欺诈手段谋取中标，积极维护国家利益、社会公共利益和采购单位的合法权益。</w:t>
      </w:r>
    </w:p>
    <w:p w14:paraId="06392D19">
      <w:pPr>
        <w:adjustRightInd/>
        <w:spacing w:line="360" w:lineRule="auto"/>
        <w:ind w:firstLine="420" w:firstLineChars="200"/>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七、严格履行政府采购合同约定义务，不在政府采购合同执行过程中采取降低质量或标准、减少数量、拖延交付时间等方式损害采购单位的利益，并自觉承担违约责任。</w:t>
      </w:r>
    </w:p>
    <w:p w14:paraId="77A677D7">
      <w:pPr>
        <w:adjustRightInd/>
        <w:spacing w:line="360" w:lineRule="auto"/>
        <w:ind w:firstLine="420" w:firstLineChars="200"/>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八、自觉接受并积极配合财政部门和纪检监察机关依法实施的监督检查，如实反映情况，及时提供有关证明材料。</w:t>
      </w:r>
    </w:p>
    <w:p w14:paraId="6CE3CAB2">
      <w:pPr>
        <w:pStyle w:val="132"/>
        <w:adjustRightInd/>
        <w:spacing w:line="360" w:lineRule="auto"/>
        <w:ind w:left="0"/>
        <w:rPr>
          <w:rFonts w:hint="eastAsia"/>
          <w:color w:val="auto"/>
          <w:kern w:val="0"/>
          <w:highlight w:val="none"/>
        </w:rPr>
      </w:pPr>
    </w:p>
    <w:p w14:paraId="1DB63BE4">
      <w:pPr>
        <w:widowControl w:val="0"/>
        <w:adjustRightInd/>
        <w:spacing w:line="360" w:lineRule="auto"/>
        <w:ind w:firstLine="420" w:firstLineChars="200"/>
        <w:jc w:val="both"/>
        <w:textAlignment w:val="baseline"/>
        <w:rPr>
          <w:rFonts w:hint="eastAsia" w:ascii="宋体" w:hAnsi="宋体" w:eastAsia="宋体" w:cs="宋体"/>
          <w:color w:val="auto"/>
          <w:sz w:val="21"/>
          <w:szCs w:val="21"/>
          <w:highlight w:val="none"/>
          <w:u w:val="single"/>
          <w:lang w:val="en-US" w:eastAsia="zh-CN" w:bidi="ar-SA"/>
        </w:rPr>
      </w:pPr>
      <w:r>
        <w:rPr>
          <w:rFonts w:hint="eastAsia" w:ascii="宋体" w:hAnsi="宋体" w:eastAsia="宋体" w:cs="宋体"/>
          <w:color w:val="auto"/>
          <w:sz w:val="21"/>
          <w:szCs w:val="21"/>
          <w:highlight w:val="none"/>
          <w:lang w:val="en-US" w:eastAsia="zh-CN" w:bidi="ar-SA"/>
        </w:rPr>
        <w:t>供应商名称（并加盖公章）：</w:t>
      </w:r>
      <w:r>
        <w:rPr>
          <w:rFonts w:hint="eastAsia" w:ascii="宋体" w:hAnsi="宋体" w:eastAsia="宋体" w:cs="宋体"/>
          <w:color w:val="auto"/>
          <w:sz w:val="21"/>
          <w:szCs w:val="21"/>
          <w:highlight w:val="none"/>
          <w:u w:val="single"/>
          <w:lang w:val="en-US" w:eastAsia="zh-CN" w:bidi="ar-SA"/>
        </w:rPr>
        <w:t xml:space="preserve">                             </w:t>
      </w:r>
    </w:p>
    <w:p w14:paraId="49BDF87B">
      <w:pPr>
        <w:widowControl w:val="0"/>
        <w:adjustRightInd/>
        <w:spacing w:line="360" w:lineRule="auto"/>
        <w:ind w:firstLine="420" w:firstLineChars="200"/>
        <w:jc w:val="both"/>
        <w:textAlignment w:val="baseline"/>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法定代表人或其授权代表（签名或印章）：</w:t>
      </w:r>
      <w:r>
        <w:rPr>
          <w:rFonts w:hint="eastAsia" w:ascii="宋体" w:hAnsi="宋体" w:eastAsia="宋体" w:cs="宋体"/>
          <w:color w:val="auto"/>
          <w:sz w:val="21"/>
          <w:szCs w:val="21"/>
          <w:highlight w:val="none"/>
          <w:u w:val="single"/>
          <w:lang w:val="en-US" w:eastAsia="zh-CN" w:bidi="ar-SA"/>
        </w:rPr>
        <w:t xml:space="preserve">                   </w:t>
      </w:r>
    </w:p>
    <w:p w14:paraId="7EB86173">
      <w:pPr>
        <w:widowControl w:val="0"/>
        <w:adjustRightInd/>
        <w:spacing w:line="360" w:lineRule="auto"/>
        <w:ind w:firstLine="420" w:firstLineChars="200"/>
        <w:jc w:val="both"/>
        <w:textAlignment w:val="baseline"/>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日期：</w:t>
      </w:r>
      <w:r>
        <w:rPr>
          <w:rFonts w:hint="eastAsia" w:ascii="宋体" w:hAnsi="宋体" w:eastAsia="宋体" w:cs="宋体"/>
          <w:color w:val="auto"/>
          <w:sz w:val="21"/>
          <w:szCs w:val="21"/>
          <w:highlight w:val="none"/>
          <w:u w:val="single"/>
          <w:lang w:val="en-US" w:eastAsia="zh-CN" w:bidi="ar-SA"/>
        </w:rPr>
        <w:t xml:space="preserve">          </w:t>
      </w:r>
      <w:r>
        <w:rPr>
          <w:rFonts w:hint="eastAsia" w:ascii="宋体" w:hAnsi="宋体" w:eastAsia="宋体" w:cs="宋体"/>
          <w:color w:val="auto"/>
          <w:sz w:val="21"/>
          <w:szCs w:val="21"/>
          <w:highlight w:val="none"/>
          <w:lang w:val="en-US" w:eastAsia="zh-CN" w:bidi="ar-SA"/>
        </w:rPr>
        <w:t>年</w:t>
      </w:r>
      <w:r>
        <w:rPr>
          <w:rFonts w:hint="eastAsia" w:ascii="宋体" w:hAnsi="宋体" w:eastAsia="宋体" w:cs="宋体"/>
          <w:color w:val="auto"/>
          <w:sz w:val="21"/>
          <w:szCs w:val="21"/>
          <w:highlight w:val="none"/>
          <w:u w:val="single"/>
          <w:lang w:val="en-US" w:eastAsia="zh-CN" w:bidi="ar-SA"/>
        </w:rPr>
        <w:t xml:space="preserve">        </w:t>
      </w:r>
      <w:r>
        <w:rPr>
          <w:rFonts w:hint="eastAsia" w:ascii="宋体" w:hAnsi="宋体" w:eastAsia="宋体" w:cs="宋体"/>
          <w:color w:val="auto"/>
          <w:sz w:val="21"/>
          <w:szCs w:val="21"/>
          <w:highlight w:val="none"/>
          <w:lang w:val="en-US" w:eastAsia="zh-CN" w:bidi="ar-SA"/>
        </w:rPr>
        <w:t>月</w:t>
      </w:r>
      <w:r>
        <w:rPr>
          <w:rFonts w:hint="eastAsia" w:ascii="宋体" w:hAnsi="宋体" w:eastAsia="宋体" w:cs="宋体"/>
          <w:color w:val="auto"/>
          <w:sz w:val="21"/>
          <w:szCs w:val="21"/>
          <w:highlight w:val="none"/>
          <w:u w:val="single"/>
          <w:lang w:val="en-US" w:eastAsia="zh-CN" w:bidi="ar-SA"/>
        </w:rPr>
        <w:t xml:space="preserve">        </w:t>
      </w:r>
      <w:r>
        <w:rPr>
          <w:rFonts w:hint="eastAsia" w:ascii="宋体" w:hAnsi="宋体" w:eastAsia="宋体" w:cs="宋体"/>
          <w:color w:val="auto"/>
          <w:sz w:val="21"/>
          <w:szCs w:val="21"/>
          <w:highlight w:val="none"/>
          <w:lang w:val="en-US" w:eastAsia="zh-CN" w:bidi="ar-SA"/>
        </w:rPr>
        <w:t>日</w:t>
      </w:r>
    </w:p>
    <w:p w14:paraId="7012978E">
      <w:pPr>
        <w:keepNext w:val="0"/>
        <w:keepLines w:val="0"/>
        <w:pageBreakBefore w:val="0"/>
        <w:widowControl w:val="0"/>
        <w:shd w:val="clear"/>
        <w:kinsoku/>
        <w:wordWrap/>
        <w:overflowPunct/>
        <w:topLinePunct w:val="0"/>
        <w:bidi w:val="0"/>
        <w:spacing w:line="440" w:lineRule="exact"/>
        <w:rPr>
          <w:rFonts w:ascii="宋体" w:hAnsi="宋体"/>
          <w:color w:val="auto"/>
          <w:szCs w:val="21"/>
          <w:highlight w:val="none"/>
        </w:rPr>
      </w:pPr>
    </w:p>
    <w:p w14:paraId="73A4A091">
      <w:pPr>
        <w:pStyle w:val="44"/>
        <w:rPr>
          <w:color w:val="auto"/>
          <w:highlight w:val="none"/>
        </w:rPr>
        <w:sectPr>
          <w:pgSz w:w="11907" w:h="16840"/>
          <w:pgMar w:top="1440" w:right="1800" w:bottom="1440" w:left="1800" w:header="709" w:footer="1134" w:gutter="0"/>
          <w:pgBorders>
            <w:top w:val="none" w:sz="0" w:space="0"/>
            <w:left w:val="none" w:sz="0" w:space="0"/>
            <w:bottom w:val="none" w:sz="0" w:space="0"/>
            <w:right w:val="none" w:sz="0" w:space="0"/>
          </w:pgBorders>
          <w:pgNumType w:fmt="decimal"/>
          <w:cols w:space="720" w:num="1"/>
          <w:docGrid w:linePitch="285" w:charSpace="0"/>
        </w:sectPr>
      </w:pPr>
    </w:p>
    <w:tbl>
      <w:tblPr>
        <w:tblStyle w:val="45"/>
        <w:tblpPr w:leftFromText="180" w:rightFromText="180" w:vertAnchor="page" w:horzAnchor="margin" w:tblpXSpec="center" w:tblpY="886"/>
        <w:tblW w:w="15318" w:type="dxa"/>
        <w:tblInd w:w="-93" w:type="dxa"/>
        <w:shd w:val="clear" w:color="auto" w:fill="auto"/>
        <w:tblLayout w:type="fixed"/>
        <w:tblCellMar>
          <w:top w:w="0" w:type="dxa"/>
          <w:left w:w="108" w:type="dxa"/>
          <w:bottom w:w="0" w:type="dxa"/>
          <w:right w:w="108" w:type="dxa"/>
        </w:tblCellMar>
      </w:tblPr>
      <w:tblGrid>
        <w:gridCol w:w="2376"/>
        <w:gridCol w:w="1498"/>
        <w:gridCol w:w="1763"/>
        <w:gridCol w:w="1660"/>
        <w:gridCol w:w="1240"/>
        <w:gridCol w:w="1480"/>
        <w:gridCol w:w="1520"/>
        <w:gridCol w:w="1285"/>
        <w:gridCol w:w="1275"/>
        <w:gridCol w:w="1221"/>
      </w:tblGrid>
      <w:tr w14:paraId="5993BB7F">
        <w:tblPrEx>
          <w:shd w:val="clear" w:color="auto" w:fill="auto"/>
          <w:tblCellMar>
            <w:top w:w="0" w:type="dxa"/>
            <w:left w:w="108" w:type="dxa"/>
            <w:bottom w:w="0" w:type="dxa"/>
            <w:right w:w="108" w:type="dxa"/>
          </w:tblCellMar>
        </w:tblPrEx>
        <w:trPr>
          <w:trHeight w:val="420" w:hRule="atLeast"/>
        </w:trPr>
        <w:tc>
          <w:tcPr>
            <w:tcW w:w="15318" w:type="dxa"/>
            <w:gridSpan w:val="10"/>
            <w:tcBorders>
              <w:top w:val="nil"/>
              <w:left w:val="nil"/>
              <w:bottom w:val="nil"/>
              <w:right w:val="nil"/>
            </w:tcBorders>
            <w:shd w:val="clear" w:color="auto" w:fill="auto"/>
            <w:noWrap w:val="0"/>
            <w:vAlign w:val="bottom"/>
          </w:tcPr>
          <w:p w14:paraId="63E2758D">
            <w:pPr>
              <w:keepNext w:val="0"/>
              <w:keepLines w:val="0"/>
              <w:pageBreakBefore w:val="0"/>
              <w:widowControl w:val="0"/>
              <w:shd w:val="clear"/>
              <w:kinsoku/>
              <w:wordWrap/>
              <w:overflowPunct/>
              <w:topLinePunct w:val="0"/>
              <w:bidi w:val="0"/>
              <w:jc w:val="center"/>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rPr>
              <w:t>中小微行业划型标准规定（根据工信部联企业〔2011〕300号制定）</w:t>
            </w:r>
            <w:r>
              <w:rPr>
                <w:rFonts w:hint="eastAsia" w:ascii="宋体" w:hAnsi="宋体" w:cs="宋体"/>
                <w:b/>
                <w:bCs/>
                <w:color w:val="auto"/>
                <w:kern w:val="0"/>
                <w:sz w:val="18"/>
                <w:szCs w:val="18"/>
                <w:highlight w:val="none"/>
                <w:lang w:eastAsia="zh-CN"/>
              </w:rPr>
              <w:t>【以文件规定为准】</w:t>
            </w:r>
          </w:p>
        </w:tc>
      </w:tr>
      <w:tr w14:paraId="41C1D723">
        <w:tblPrEx>
          <w:tblCellMar>
            <w:top w:w="0" w:type="dxa"/>
            <w:left w:w="108" w:type="dxa"/>
            <w:bottom w:w="0" w:type="dxa"/>
            <w:right w:w="108" w:type="dxa"/>
          </w:tblCellMar>
        </w:tblPrEx>
        <w:trPr>
          <w:trHeight w:val="465" w:hRule="atLeast"/>
        </w:trPr>
        <w:tc>
          <w:tcPr>
            <w:tcW w:w="2376" w:type="dxa"/>
            <w:vMerge w:val="restart"/>
            <w:tcBorders>
              <w:top w:val="single" w:color="auto" w:sz="8" w:space="0"/>
              <w:left w:val="single" w:color="auto" w:sz="8" w:space="0"/>
              <w:bottom w:val="single" w:color="000000" w:sz="4" w:space="0"/>
              <w:right w:val="single" w:color="auto" w:sz="8" w:space="0"/>
            </w:tcBorders>
            <w:shd w:val="clear" w:color="auto" w:fill="auto"/>
            <w:noWrap w:val="0"/>
            <w:vAlign w:val="center"/>
          </w:tcPr>
          <w:p w14:paraId="3EE04C93">
            <w:pPr>
              <w:keepNext w:val="0"/>
              <w:keepLines w:val="0"/>
              <w:pageBreakBefore w:val="0"/>
              <w:widowControl w:val="0"/>
              <w:shd w:val="clear"/>
              <w:kinsoku/>
              <w:wordWrap/>
              <w:overflowPunct/>
              <w:topLinePunct w:val="0"/>
              <w:bidi w:val="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行业</w:t>
            </w:r>
          </w:p>
        </w:tc>
        <w:tc>
          <w:tcPr>
            <w:tcW w:w="4921" w:type="dxa"/>
            <w:gridSpan w:val="3"/>
            <w:tcBorders>
              <w:top w:val="single" w:color="auto" w:sz="8" w:space="0"/>
              <w:left w:val="nil"/>
              <w:bottom w:val="single" w:color="auto" w:sz="4" w:space="0"/>
              <w:right w:val="single" w:color="000000" w:sz="8" w:space="0"/>
            </w:tcBorders>
            <w:shd w:val="clear" w:color="auto" w:fill="auto"/>
            <w:noWrap w:val="0"/>
            <w:vAlign w:val="bottom"/>
          </w:tcPr>
          <w:p w14:paraId="7372742D">
            <w:pPr>
              <w:keepNext w:val="0"/>
              <w:keepLines w:val="0"/>
              <w:pageBreakBefore w:val="0"/>
              <w:widowControl w:val="0"/>
              <w:shd w:val="clear"/>
              <w:kinsoku/>
              <w:wordWrap/>
              <w:overflowPunct/>
              <w:topLinePunct w:val="0"/>
              <w:bidi w:val="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中型企业</w:t>
            </w:r>
          </w:p>
        </w:tc>
        <w:tc>
          <w:tcPr>
            <w:tcW w:w="4240" w:type="dxa"/>
            <w:gridSpan w:val="3"/>
            <w:tcBorders>
              <w:top w:val="single" w:color="auto" w:sz="8" w:space="0"/>
              <w:left w:val="nil"/>
              <w:bottom w:val="single" w:color="auto" w:sz="4" w:space="0"/>
              <w:right w:val="single" w:color="000000" w:sz="8" w:space="0"/>
            </w:tcBorders>
            <w:shd w:val="clear" w:color="auto" w:fill="auto"/>
            <w:noWrap w:val="0"/>
            <w:vAlign w:val="bottom"/>
          </w:tcPr>
          <w:p w14:paraId="283FEB5C">
            <w:pPr>
              <w:keepNext w:val="0"/>
              <w:keepLines w:val="0"/>
              <w:pageBreakBefore w:val="0"/>
              <w:widowControl w:val="0"/>
              <w:shd w:val="clear"/>
              <w:kinsoku/>
              <w:wordWrap/>
              <w:overflowPunct/>
              <w:topLinePunct w:val="0"/>
              <w:bidi w:val="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小型企业</w:t>
            </w:r>
          </w:p>
        </w:tc>
        <w:tc>
          <w:tcPr>
            <w:tcW w:w="3781" w:type="dxa"/>
            <w:gridSpan w:val="3"/>
            <w:tcBorders>
              <w:top w:val="single" w:color="auto" w:sz="8" w:space="0"/>
              <w:left w:val="nil"/>
              <w:bottom w:val="single" w:color="auto" w:sz="4" w:space="0"/>
              <w:right w:val="single" w:color="000000" w:sz="8" w:space="0"/>
            </w:tcBorders>
            <w:shd w:val="clear" w:color="auto" w:fill="auto"/>
            <w:noWrap w:val="0"/>
            <w:vAlign w:val="bottom"/>
          </w:tcPr>
          <w:p w14:paraId="63143DD9">
            <w:pPr>
              <w:keepNext w:val="0"/>
              <w:keepLines w:val="0"/>
              <w:pageBreakBefore w:val="0"/>
              <w:widowControl w:val="0"/>
              <w:shd w:val="clear"/>
              <w:kinsoku/>
              <w:wordWrap/>
              <w:overflowPunct/>
              <w:topLinePunct w:val="0"/>
              <w:bidi w:val="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微型企业</w:t>
            </w:r>
          </w:p>
        </w:tc>
      </w:tr>
      <w:tr w14:paraId="02B0D1B2">
        <w:tblPrEx>
          <w:tblCellMar>
            <w:top w:w="0" w:type="dxa"/>
            <w:left w:w="108" w:type="dxa"/>
            <w:bottom w:w="0" w:type="dxa"/>
            <w:right w:w="108" w:type="dxa"/>
          </w:tblCellMar>
        </w:tblPrEx>
        <w:trPr>
          <w:trHeight w:val="525" w:hRule="atLeast"/>
        </w:trPr>
        <w:tc>
          <w:tcPr>
            <w:tcW w:w="2376" w:type="dxa"/>
            <w:vMerge w:val="continue"/>
            <w:tcBorders>
              <w:top w:val="single" w:color="auto" w:sz="8" w:space="0"/>
              <w:left w:val="single" w:color="auto" w:sz="8" w:space="0"/>
              <w:bottom w:val="single" w:color="000000" w:sz="4" w:space="0"/>
              <w:right w:val="single" w:color="auto" w:sz="8" w:space="0"/>
            </w:tcBorders>
            <w:shd w:val="clear" w:color="auto" w:fill="auto"/>
            <w:noWrap w:val="0"/>
            <w:vAlign w:val="center"/>
          </w:tcPr>
          <w:p w14:paraId="7B746028">
            <w:pPr>
              <w:keepNext w:val="0"/>
              <w:keepLines w:val="0"/>
              <w:pageBreakBefore w:val="0"/>
              <w:widowControl w:val="0"/>
              <w:shd w:val="clear"/>
              <w:kinsoku/>
              <w:wordWrap/>
              <w:overflowPunct/>
              <w:topLinePunct w:val="0"/>
              <w:bidi w:val="0"/>
              <w:jc w:val="left"/>
              <w:rPr>
                <w:rFonts w:hint="eastAsia" w:ascii="宋体" w:hAnsi="宋体" w:eastAsia="宋体" w:cs="宋体"/>
                <w:b/>
                <w:bCs/>
                <w:color w:val="auto"/>
                <w:kern w:val="0"/>
                <w:sz w:val="18"/>
                <w:szCs w:val="18"/>
                <w:highlight w:val="none"/>
              </w:rPr>
            </w:pPr>
          </w:p>
        </w:tc>
        <w:tc>
          <w:tcPr>
            <w:tcW w:w="1498" w:type="dxa"/>
            <w:tcBorders>
              <w:top w:val="nil"/>
              <w:left w:val="nil"/>
              <w:bottom w:val="single" w:color="auto" w:sz="4" w:space="0"/>
              <w:right w:val="single" w:color="auto" w:sz="4" w:space="0"/>
            </w:tcBorders>
            <w:shd w:val="clear" w:color="auto" w:fill="auto"/>
            <w:noWrap w:val="0"/>
            <w:vAlign w:val="bottom"/>
          </w:tcPr>
          <w:p w14:paraId="48DD9CC8">
            <w:pPr>
              <w:keepNext w:val="0"/>
              <w:keepLines w:val="0"/>
              <w:pageBreakBefore w:val="0"/>
              <w:widowControl w:val="0"/>
              <w:shd w:val="clear"/>
              <w:kinsoku/>
              <w:wordWrap/>
              <w:overflowPunct/>
              <w:topLinePunct w:val="0"/>
              <w:bidi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从业人员X（人）</w:t>
            </w:r>
          </w:p>
        </w:tc>
        <w:tc>
          <w:tcPr>
            <w:tcW w:w="1763" w:type="dxa"/>
            <w:tcBorders>
              <w:top w:val="nil"/>
              <w:left w:val="nil"/>
              <w:bottom w:val="single" w:color="auto" w:sz="4" w:space="0"/>
              <w:right w:val="single" w:color="auto" w:sz="4" w:space="0"/>
            </w:tcBorders>
            <w:shd w:val="clear" w:color="auto" w:fill="auto"/>
            <w:noWrap w:val="0"/>
            <w:vAlign w:val="bottom"/>
          </w:tcPr>
          <w:p w14:paraId="6FF98752">
            <w:pPr>
              <w:keepNext w:val="0"/>
              <w:keepLines w:val="0"/>
              <w:pageBreakBefore w:val="0"/>
              <w:widowControl w:val="0"/>
              <w:shd w:val="clear"/>
              <w:kinsoku/>
              <w:wordWrap/>
              <w:overflowPunct/>
              <w:topLinePunct w:val="0"/>
              <w:bidi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p w14:paraId="57E71244">
            <w:pPr>
              <w:keepNext w:val="0"/>
              <w:keepLines w:val="0"/>
              <w:pageBreakBefore w:val="0"/>
              <w:widowControl w:val="0"/>
              <w:shd w:val="clear"/>
              <w:kinsoku/>
              <w:wordWrap/>
              <w:overflowPunct/>
              <w:topLinePunct w:val="0"/>
              <w:bidi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60" w:type="dxa"/>
            <w:tcBorders>
              <w:top w:val="nil"/>
              <w:left w:val="nil"/>
              <w:bottom w:val="single" w:color="auto" w:sz="4" w:space="0"/>
              <w:right w:val="single" w:color="auto" w:sz="8" w:space="0"/>
            </w:tcBorders>
            <w:shd w:val="clear" w:color="auto" w:fill="auto"/>
            <w:noWrap w:val="0"/>
            <w:vAlign w:val="bottom"/>
          </w:tcPr>
          <w:p w14:paraId="5E91E64B">
            <w:pPr>
              <w:keepNext w:val="0"/>
              <w:keepLines w:val="0"/>
              <w:pageBreakBefore w:val="0"/>
              <w:widowControl w:val="0"/>
              <w:shd w:val="clear"/>
              <w:kinsoku/>
              <w:wordWrap/>
              <w:overflowPunct/>
              <w:topLinePunct w:val="0"/>
              <w:bidi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p w14:paraId="46DDC794">
            <w:pPr>
              <w:keepNext w:val="0"/>
              <w:keepLines w:val="0"/>
              <w:pageBreakBefore w:val="0"/>
              <w:widowControl w:val="0"/>
              <w:shd w:val="clear"/>
              <w:kinsoku/>
              <w:wordWrap/>
              <w:overflowPunct/>
              <w:topLinePunct w:val="0"/>
              <w:bidi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240" w:type="dxa"/>
            <w:tcBorders>
              <w:top w:val="nil"/>
              <w:left w:val="nil"/>
              <w:bottom w:val="single" w:color="auto" w:sz="4" w:space="0"/>
              <w:right w:val="single" w:color="auto" w:sz="4" w:space="0"/>
            </w:tcBorders>
            <w:shd w:val="clear" w:color="auto" w:fill="auto"/>
            <w:noWrap w:val="0"/>
            <w:vAlign w:val="bottom"/>
          </w:tcPr>
          <w:p w14:paraId="33A038C4">
            <w:pPr>
              <w:keepNext w:val="0"/>
              <w:keepLines w:val="0"/>
              <w:pageBreakBefore w:val="0"/>
              <w:widowControl w:val="0"/>
              <w:shd w:val="clear"/>
              <w:kinsoku/>
              <w:wordWrap/>
              <w:overflowPunct/>
              <w:topLinePunct w:val="0"/>
              <w:bidi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从业人员X（人）</w:t>
            </w:r>
          </w:p>
        </w:tc>
        <w:tc>
          <w:tcPr>
            <w:tcW w:w="1480" w:type="dxa"/>
            <w:tcBorders>
              <w:top w:val="nil"/>
              <w:left w:val="nil"/>
              <w:bottom w:val="single" w:color="auto" w:sz="4" w:space="0"/>
              <w:right w:val="single" w:color="auto" w:sz="4" w:space="0"/>
            </w:tcBorders>
            <w:shd w:val="clear" w:color="auto" w:fill="auto"/>
            <w:noWrap w:val="0"/>
            <w:vAlign w:val="bottom"/>
          </w:tcPr>
          <w:p w14:paraId="3EC3AC93">
            <w:pPr>
              <w:keepNext w:val="0"/>
              <w:keepLines w:val="0"/>
              <w:pageBreakBefore w:val="0"/>
              <w:widowControl w:val="0"/>
              <w:shd w:val="clear"/>
              <w:kinsoku/>
              <w:wordWrap/>
              <w:overflowPunct/>
              <w:topLinePunct w:val="0"/>
              <w:bidi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p w14:paraId="092EE0CA">
            <w:pPr>
              <w:keepNext w:val="0"/>
              <w:keepLines w:val="0"/>
              <w:pageBreakBefore w:val="0"/>
              <w:widowControl w:val="0"/>
              <w:shd w:val="clear"/>
              <w:kinsoku/>
              <w:wordWrap/>
              <w:overflowPunct/>
              <w:topLinePunct w:val="0"/>
              <w:bidi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520" w:type="dxa"/>
            <w:tcBorders>
              <w:top w:val="nil"/>
              <w:left w:val="nil"/>
              <w:bottom w:val="single" w:color="auto" w:sz="4" w:space="0"/>
              <w:right w:val="single" w:color="auto" w:sz="8" w:space="0"/>
            </w:tcBorders>
            <w:shd w:val="clear" w:color="auto" w:fill="auto"/>
            <w:noWrap w:val="0"/>
            <w:vAlign w:val="bottom"/>
          </w:tcPr>
          <w:p w14:paraId="39DB318A">
            <w:pPr>
              <w:keepNext w:val="0"/>
              <w:keepLines w:val="0"/>
              <w:pageBreakBefore w:val="0"/>
              <w:widowControl w:val="0"/>
              <w:shd w:val="clear"/>
              <w:kinsoku/>
              <w:wordWrap/>
              <w:overflowPunct/>
              <w:topLinePunct w:val="0"/>
              <w:bidi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p w14:paraId="004858C0">
            <w:pPr>
              <w:keepNext w:val="0"/>
              <w:keepLines w:val="0"/>
              <w:pageBreakBefore w:val="0"/>
              <w:widowControl w:val="0"/>
              <w:shd w:val="clear"/>
              <w:kinsoku/>
              <w:wordWrap/>
              <w:overflowPunct/>
              <w:topLinePunct w:val="0"/>
              <w:bidi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285" w:type="dxa"/>
            <w:tcBorders>
              <w:top w:val="nil"/>
              <w:left w:val="nil"/>
              <w:bottom w:val="single" w:color="auto" w:sz="4" w:space="0"/>
              <w:right w:val="single" w:color="auto" w:sz="4" w:space="0"/>
            </w:tcBorders>
            <w:shd w:val="clear" w:color="auto" w:fill="auto"/>
            <w:noWrap w:val="0"/>
            <w:vAlign w:val="bottom"/>
          </w:tcPr>
          <w:p w14:paraId="321A9B73">
            <w:pPr>
              <w:keepNext w:val="0"/>
              <w:keepLines w:val="0"/>
              <w:pageBreakBefore w:val="0"/>
              <w:widowControl w:val="0"/>
              <w:shd w:val="clear"/>
              <w:kinsoku/>
              <w:wordWrap/>
              <w:overflowPunct/>
              <w:topLinePunct w:val="0"/>
              <w:bidi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从业人员X（人）</w:t>
            </w:r>
          </w:p>
        </w:tc>
        <w:tc>
          <w:tcPr>
            <w:tcW w:w="1275" w:type="dxa"/>
            <w:tcBorders>
              <w:top w:val="nil"/>
              <w:left w:val="nil"/>
              <w:bottom w:val="single" w:color="auto" w:sz="4" w:space="0"/>
              <w:right w:val="single" w:color="auto" w:sz="4" w:space="0"/>
            </w:tcBorders>
            <w:shd w:val="clear" w:color="auto" w:fill="auto"/>
            <w:noWrap w:val="0"/>
            <w:vAlign w:val="bottom"/>
          </w:tcPr>
          <w:p w14:paraId="0B3E0389">
            <w:pPr>
              <w:keepNext w:val="0"/>
              <w:keepLines w:val="0"/>
              <w:pageBreakBefore w:val="0"/>
              <w:widowControl w:val="0"/>
              <w:shd w:val="clear"/>
              <w:kinsoku/>
              <w:wordWrap/>
              <w:overflowPunct/>
              <w:topLinePunct w:val="0"/>
              <w:bidi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营业收入Y（万元）</w:t>
            </w:r>
          </w:p>
        </w:tc>
        <w:tc>
          <w:tcPr>
            <w:tcW w:w="1221" w:type="dxa"/>
            <w:tcBorders>
              <w:top w:val="nil"/>
              <w:left w:val="nil"/>
              <w:bottom w:val="single" w:color="auto" w:sz="4" w:space="0"/>
              <w:right w:val="single" w:color="auto" w:sz="8" w:space="0"/>
            </w:tcBorders>
            <w:shd w:val="clear" w:color="auto" w:fill="auto"/>
            <w:noWrap w:val="0"/>
            <w:vAlign w:val="bottom"/>
          </w:tcPr>
          <w:p w14:paraId="5894965F">
            <w:pPr>
              <w:keepNext w:val="0"/>
              <w:keepLines w:val="0"/>
              <w:pageBreakBefore w:val="0"/>
              <w:widowControl w:val="0"/>
              <w:shd w:val="clear"/>
              <w:kinsoku/>
              <w:wordWrap/>
              <w:overflowPunct/>
              <w:topLinePunct w:val="0"/>
              <w:bidi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资产总额Z（万元）</w:t>
            </w:r>
          </w:p>
        </w:tc>
      </w:tr>
      <w:tr w14:paraId="47C7DA53">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noWrap w:val="0"/>
            <w:vAlign w:val="bottom"/>
          </w:tcPr>
          <w:p w14:paraId="232B9E46">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1、农林牧渔业</w:t>
            </w:r>
          </w:p>
        </w:tc>
        <w:tc>
          <w:tcPr>
            <w:tcW w:w="1498" w:type="dxa"/>
            <w:tcBorders>
              <w:top w:val="nil"/>
              <w:left w:val="nil"/>
              <w:bottom w:val="single" w:color="auto" w:sz="4" w:space="0"/>
              <w:right w:val="single" w:color="auto" w:sz="4" w:space="0"/>
            </w:tcBorders>
            <w:shd w:val="clear" w:color="auto" w:fill="auto"/>
            <w:noWrap w:val="0"/>
            <w:vAlign w:val="bottom"/>
          </w:tcPr>
          <w:p w14:paraId="15178D60">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763" w:type="dxa"/>
            <w:tcBorders>
              <w:top w:val="nil"/>
              <w:left w:val="nil"/>
              <w:bottom w:val="single" w:color="auto" w:sz="4" w:space="0"/>
              <w:right w:val="single" w:color="auto" w:sz="4" w:space="0"/>
            </w:tcBorders>
            <w:shd w:val="clear" w:color="auto" w:fill="auto"/>
            <w:noWrap w:val="0"/>
            <w:vAlign w:val="bottom"/>
          </w:tcPr>
          <w:p w14:paraId="168D4734">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660" w:type="dxa"/>
            <w:tcBorders>
              <w:top w:val="nil"/>
              <w:left w:val="nil"/>
              <w:bottom w:val="single" w:color="auto" w:sz="4" w:space="0"/>
              <w:right w:val="single" w:color="auto" w:sz="8" w:space="0"/>
            </w:tcBorders>
            <w:shd w:val="clear" w:color="auto" w:fill="auto"/>
            <w:noWrap w:val="0"/>
            <w:vAlign w:val="bottom"/>
          </w:tcPr>
          <w:p w14:paraId="58420EEC">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40" w:type="dxa"/>
            <w:tcBorders>
              <w:top w:val="nil"/>
              <w:left w:val="nil"/>
              <w:bottom w:val="single" w:color="auto" w:sz="4" w:space="0"/>
              <w:right w:val="single" w:color="auto" w:sz="4" w:space="0"/>
            </w:tcBorders>
            <w:shd w:val="clear" w:color="auto" w:fill="auto"/>
            <w:noWrap w:val="0"/>
            <w:vAlign w:val="bottom"/>
          </w:tcPr>
          <w:p w14:paraId="0AA06087">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480" w:type="dxa"/>
            <w:tcBorders>
              <w:top w:val="nil"/>
              <w:left w:val="nil"/>
              <w:bottom w:val="single" w:color="auto" w:sz="4" w:space="0"/>
              <w:right w:val="single" w:color="auto" w:sz="4" w:space="0"/>
            </w:tcBorders>
            <w:shd w:val="clear" w:color="auto" w:fill="auto"/>
            <w:noWrap w:val="0"/>
            <w:vAlign w:val="bottom"/>
          </w:tcPr>
          <w:p w14:paraId="451B6B56">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50≤Y＜500</w:t>
            </w:r>
          </w:p>
        </w:tc>
        <w:tc>
          <w:tcPr>
            <w:tcW w:w="1520" w:type="dxa"/>
            <w:tcBorders>
              <w:top w:val="nil"/>
              <w:left w:val="nil"/>
              <w:bottom w:val="single" w:color="auto" w:sz="4" w:space="0"/>
              <w:right w:val="single" w:color="auto" w:sz="8" w:space="0"/>
            </w:tcBorders>
            <w:shd w:val="clear" w:color="auto" w:fill="auto"/>
            <w:noWrap w:val="0"/>
            <w:vAlign w:val="bottom"/>
          </w:tcPr>
          <w:p w14:paraId="22355DB1">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85" w:type="dxa"/>
            <w:tcBorders>
              <w:top w:val="nil"/>
              <w:left w:val="nil"/>
              <w:bottom w:val="single" w:color="auto" w:sz="4" w:space="0"/>
              <w:right w:val="single" w:color="auto" w:sz="4" w:space="0"/>
            </w:tcBorders>
            <w:shd w:val="clear" w:color="auto" w:fill="auto"/>
            <w:noWrap w:val="0"/>
            <w:vAlign w:val="bottom"/>
          </w:tcPr>
          <w:p w14:paraId="7F5D13F0">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75" w:type="dxa"/>
            <w:tcBorders>
              <w:top w:val="nil"/>
              <w:left w:val="nil"/>
              <w:bottom w:val="single" w:color="auto" w:sz="4" w:space="0"/>
              <w:right w:val="single" w:color="auto" w:sz="4" w:space="0"/>
            </w:tcBorders>
            <w:shd w:val="clear" w:color="auto" w:fill="auto"/>
            <w:noWrap w:val="0"/>
            <w:vAlign w:val="bottom"/>
          </w:tcPr>
          <w:p w14:paraId="48204011">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c>
          <w:tcPr>
            <w:tcW w:w="1221" w:type="dxa"/>
            <w:tcBorders>
              <w:top w:val="nil"/>
              <w:left w:val="nil"/>
              <w:bottom w:val="single" w:color="auto" w:sz="4" w:space="0"/>
              <w:right w:val="single" w:color="auto" w:sz="8" w:space="0"/>
            </w:tcBorders>
            <w:shd w:val="clear" w:color="auto" w:fill="auto"/>
            <w:noWrap w:val="0"/>
            <w:vAlign w:val="bottom"/>
          </w:tcPr>
          <w:p w14:paraId="238F2C61">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r>
      <w:tr w14:paraId="5F34E655">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noWrap w:val="0"/>
            <w:vAlign w:val="bottom"/>
          </w:tcPr>
          <w:p w14:paraId="6785FDAB">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2、工业</w:t>
            </w:r>
          </w:p>
        </w:tc>
        <w:tc>
          <w:tcPr>
            <w:tcW w:w="1498" w:type="dxa"/>
            <w:tcBorders>
              <w:top w:val="nil"/>
              <w:left w:val="nil"/>
              <w:bottom w:val="single" w:color="auto" w:sz="4" w:space="0"/>
              <w:right w:val="single" w:color="auto" w:sz="4" w:space="0"/>
            </w:tcBorders>
            <w:shd w:val="clear" w:color="auto" w:fill="auto"/>
            <w:noWrap w:val="0"/>
            <w:vAlign w:val="bottom"/>
          </w:tcPr>
          <w:p w14:paraId="7C1A3A54">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63" w:type="dxa"/>
            <w:tcBorders>
              <w:top w:val="nil"/>
              <w:left w:val="nil"/>
              <w:bottom w:val="single" w:color="auto" w:sz="4" w:space="0"/>
              <w:right w:val="single" w:color="auto" w:sz="4" w:space="0"/>
            </w:tcBorders>
            <w:shd w:val="clear" w:color="auto" w:fill="auto"/>
            <w:noWrap w:val="0"/>
            <w:vAlign w:val="bottom"/>
          </w:tcPr>
          <w:p w14:paraId="147E4B51">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2000≤Y＜40000</w:t>
            </w:r>
          </w:p>
        </w:tc>
        <w:tc>
          <w:tcPr>
            <w:tcW w:w="1660" w:type="dxa"/>
            <w:tcBorders>
              <w:top w:val="nil"/>
              <w:left w:val="nil"/>
              <w:bottom w:val="single" w:color="auto" w:sz="4" w:space="0"/>
              <w:right w:val="single" w:color="auto" w:sz="8" w:space="0"/>
            </w:tcBorders>
            <w:shd w:val="clear" w:color="auto" w:fill="auto"/>
            <w:noWrap w:val="0"/>
            <w:vAlign w:val="bottom"/>
          </w:tcPr>
          <w:p w14:paraId="4640947D">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40" w:type="dxa"/>
            <w:tcBorders>
              <w:top w:val="nil"/>
              <w:left w:val="nil"/>
              <w:bottom w:val="single" w:color="auto" w:sz="4" w:space="0"/>
              <w:right w:val="single" w:color="auto" w:sz="4" w:space="0"/>
            </w:tcBorders>
            <w:shd w:val="clear" w:color="auto" w:fill="auto"/>
            <w:noWrap w:val="0"/>
            <w:vAlign w:val="bottom"/>
          </w:tcPr>
          <w:p w14:paraId="702A791D">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480" w:type="dxa"/>
            <w:tcBorders>
              <w:top w:val="nil"/>
              <w:left w:val="nil"/>
              <w:bottom w:val="single" w:color="auto" w:sz="4" w:space="0"/>
              <w:right w:val="single" w:color="auto" w:sz="4" w:space="0"/>
            </w:tcBorders>
            <w:shd w:val="clear" w:color="auto" w:fill="auto"/>
            <w:noWrap w:val="0"/>
            <w:vAlign w:val="bottom"/>
          </w:tcPr>
          <w:p w14:paraId="00944AFD">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300≤Y＜2000</w:t>
            </w:r>
          </w:p>
        </w:tc>
        <w:tc>
          <w:tcPr>
            <w:tcW w:w="1520" w:type="dxa"/>
            <w:tcBorders>
              <w:top w:val="nil"/>
              <w:left w:val="nil"/>
              <w:bottom w:val="single" w:color="auto" w:sz="4" w:space="0"/>
              <w:right w:val="single" w:color="auto" w:sz="8" w:space="0"/>
            </w:tcBorders>
            <w:shd w:val="clear" w:color="auto" w:fill="auto"/>
            <w:noWrap w:val="0"/>
            <w:vAlign w:val="bottom"/>
          </w:tcPr>
          <w:p w14:paraId="60CA6D82">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85" w:type="dxa"/>
            <w:tcBorders>
              <w:top w:val="nil"/>
              <w:left w:val="nil"/>
              <w:bottom w:val="single" w:color="auto" w:sz="4" w:space="0"/>
              <w:right w:val="single" w:color="auto" w:sz="4" w:space="0"/>
            </w:tcBorders>
            <w:shd w:val="clear" w:color="auto" w:fill="auto"/>
            <w:noWrap w:val="0"/>
            <w:vAlign w:val="bottom"/>
          </w:tcPr>
          <w:p w14:paraId="58B343A6">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c>
          <w:tcPr>
            <w:tcW w:w="1275" w:type="dxa"/>
            <w:tcBorders>
              <w:top w:val="nil"/>
              <w:left w:val="nil"/>
              <w:bottom w:val="single" w:color="auto" w:sz="4" w:space="0"/>
              <w:right w:val="single" w:color="auto" w:sz="4" w:space="0"/>
            </w:tcBorders>
            <w:shd w:val="clear" w:color="auto" w:fill="auto"/>
            <w:noWrap w:val="0"/>
            <w:vAlign w:val="bottom"/>
          </w:tcPr>
          <w:p w14:paraId="4751F9E8">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c>
          <w:tcPr>
            <w:tcW w:w="1221" w:type="dxa"/>
            <w:tcBorders>
              <w:top w:val="nil"/>
              <w:left w:val="nil"/>
              <w:bottom w:val="single" w:color="auto" w:sz="4" w:space="0"/>
              <w:right w:val="single" w:color="auto" w:sz="8" w:space="0"/>
            </w:tcBorders>
            <w:shd w:val="clear" w:color="auto" w:fill="auto"/>
            <w:noWrap w:val="0"/>
            <w:vAlign w:val="bottom"/>
          </w:tcPr>
          <w:p w14:paraId="775B695F">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r>
      <w:tr w14:paraId="5A199B84">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noWrap w:val="0"/>
            <w:vAlign w:val="bottom"/>
          </w:tcPr>
          <w:p w14:paraId="7AD27960">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3、建筑业</w:t>
            </w:r>
          </w:p>
        </w:tc>
        <w:tc>
          <w:tcPr>
            <w:tcW w:w="1498" w:type="dxa"/>
            <w:tcBorders>
              <w:top w:val="nil"/>
              <w:left w:val="nil"/>
              <w:bottom w:val="single" w:color="auto" w:sz="4" w:space="0"/>
              <w:right w:val="single" w:color="auto" w:sz="4" w:space="0"/>
            </w:tcBorders>
            <w:shd w:val="clear" w:color="auto" w:fill="auto"/>
            <w:noWrap w:val="0"/>
            <w:vAlign w:val="bottom"/>
          </w:tcPr>
          <w:p w14:paraId="4E618295">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763" w:type="dxa"/>
            <w:tcBorders>
              <w:top w:val="nil"/>
              <w:left w:val="nil"/>
              <w:bottom w:val="single" w:color="auto" w:sz="4" w:space="0"/>
              <w:right w:val="single" w:color="auto" w:sz="4" w:space="0"/>
            </w:tcBorders>
            <w:shd w:val="clear" w:color="auto" w:fill="auto"/>
            <w:noWrap w:val="0"/>
            <w:vAlign w:val="bottom"/>
          </w:tcPr>
          <w:p w14:paraId="548CC682">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6000≤Y＜80000</w:t>
            </w:r>
          </w:p>
        </w:tc>
        <w:tc>
          <w:tcPr>
            <w:tcW w:w="1660" w:type="dxa"/>
            <w:tcBorders>
              <w:top w:val="nil"/>
              <w:left w:val="nil"/>
              <w:bottom w:val="single" w:color="auto" w:sz="4" w:space="0"/>
              <w:right w:val="single" w:color="auto" w:sz="8" w:space="0"/>
            </w:tcBorders>
            <w:shd w:val="clear" w:color="auto" w:fill="auto"/>
            <w:noWrap w:val="0"/>
            <w:vAlign w:val="bottom"/>
          </w:tcPr>
          <w:p w14:paraId="38A8C808">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5000≤Z＜80000</w:t>
            </w:r>
          </w:p>
        </w:tc>
        <w:tc>
          <w:tcPr>
            <w:tcW w:w="1240" w:type="dxa"/>
            <w:tcBorders>
              <w:top w:val="nil"/>
              <w:left w:val="nil"/>
              <w:bottom w:val="single" w:color="auto" w:sz="4" w:space="0"/>
              <w:right w:val="single" w:color="auto" w:sz="4" w:space="0"/>
            </w:tcBorders>
            <w:shd w:val="clear" w:color="auto" w:fill="auto"/>
            <w:noWrap w:val="0"/>
            <w:vAlign w:val="bottom"/>
          </w:tcPr>
          <w:p w14:paraId="315820BF">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480" w:type="dxa"/>
            <w:tcBorders>
              <w:top w:val="nil"/>
              <w:left w:val="nil"/>
              <w:bottom w:val="single" w:color="auto" w:sz="4" w:space="0"/>
              <w:right w:val="single" w:color="auto" w:sz="4" w:space="0"/>
            </w:tcBorders>
            <w:shd w:val="clear" w:color="auto" w:fill="auto"/>
            <w:noWrap w:val="0"/>
            <w:vAlign w:val="bottom"/>
          </w:tcPr>
          <w:p w14:paraId="79FA3131">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300≤Y＜6000</w:t>
            </w:r>
          </w:p>
        </w:tc>
        <w:tc>
          <w:tcPr>
            <w:tcW w:w="1520" w:type="dxa"/>
            <w:tcBorders>
              <w:top w:val="nil"/>
              <w:left w:val="nil"/>
              <w:bottom w:val="single" w:color="auto" w:sz="4" w:space="0"/>
              <w:right w:val="single" w:color="auto" w:sz="8" w:space="0"/>
            </w:tcBorders>
            <w:shd w:val="clear" w:color="auto" w:fill="auto"/>
            <w:noWrap w:val="0"/>
            <w:vAlign w:val="bottom"/>
          </w:tcPr>
          <w:p w14:paraId="7C3D63D3">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300≤Z＜5000</w:t>
            </w:r>
          </w:p>
        </w:tc>
        <w:tc>
          <w:tcPr>
            <w:tcW w:w="1285" w:type="dxa"/>
            <w:tcBorders>
              <w:top w:val="nil"/>
              <w:left w:val="nil"/>
              <w:bottom w:val="single" w:color="auto" w:sz="4" w:space="0"/>
              <w:right w:val="single" w:color="auto" w:sz="4" w:space="0"/>
            </w:tcBorders>
            <w:shd w:val="clear" w:color="auto" w:fill="auto"/>
            <w:noWrap w:val="0"/>
            <w:vAlign w:val="bottom"/>
          </w:tcPr>
          <w:p w14:paraId="13986BB4">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75" w:type="dxa"/>
            <w:tcBorders>
              <w:top w:val="nil"/>
              <w:left w:val="nil"/>
              <w:bottom w:val="single" w:color="auto" w:sz="4" w:space="0"/>
              <w:right w:val="single" w:color="auto" w:sz="4" w:space="0"/>
            </w:tcBorders>
            <w:shd w:val="clear" w:color="auto" w:fill="auto"/>
            <w:noWrap w:val="0"/>
            <w:vAlign w:val="bottom"/>
          </w:tcPr>
          <w:p w14:paraId="5644D513">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c>
          <w:tcPr>
            <w:tcW w:w="1221" w:type="dxa"/>
            <w:tcBorders>
              <w:top w:val="nil"/>
              <w:left w:val="nil"/>
              <w:bottom w:val="single" w:color="auto" w:sz="4" w:space="0"/>
              <w:right w:val="single" w:color="auto" w:sz="8" w:space="0"/>
            </w:tcBorders>
            <w:shd w:val="clear" w:color="auto" w:fill="auto"/>
            <w:noWrap w:val="0"/>
            <w:vAlign w:val="bottom"/>
          </w:tcPr>
          <w:p w14:paraId="7FCDFDE0">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Z＜300</w:t>
            </w:r>
          </w:p>
        </w:tc>
      </w:tr>
      <w:tr w14:paraId="23BB3D3C">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noWrap w:val="0"/>
            <w:vAlign w:val="bottom"/>
          </w:tcPr>
          <w:p w14:paraId="5B683683">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4、批发业</w:t>
            </w:r>
          </w:p>
        </w:tc>
        <w:tc>
          <w:tcPr>
            <w:tcW w:w="1498" w:type="dxa"/>
            <w:tcBorders>
              <w:top w:val="nil"/>
              <w:left w:val="nil"/>
              <w:bottom w:val="single" w:color="auto" w:sz="4" w:space="0"/>
              <w:right w:val="single" w:color="auto" w:sz="4" w:space="0"/>
            </w:tcBorders>
            <w:shd w:val="clear" w:color="auto" w:fill="auto"/>
            <w:noWrap w:val="0"/>
            <w:vAlign w:val="bottom"/>
          </w:tcPr>
          <w:p w14:paraId="7BE01E4B">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20≤X＜200</w:t>
            </w:r>
          </w:p>
        </w:tc>
        <w:tc>
          <w:tcPr>
            <w:tcW w:w="1763" w:type="dxa"/>
            <w:tcBorders>
              <w:top w:val="nil"/>
              <w:left w:val="nil"/>
              <w:bottom w:val="single" w:color="auto" w:sz="4" w:space="0"/>
              <w:right w:val="single" w:color="auto" w:sz="4" w:space="0"/>
            </w:tcBorders>
            <w:shd w:val="clear" w:color="auto" w:fill="auto"/>
            <w:noWrap w:val="0"/>
            <w:vAlign w:val="bottom"/>
          </w:tcPr>
          <w:p w14:paraId="58A6ED43">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5000≤Y＜40000</w:t>
            </w:r>
          </w:p>
        </w:tc>
        <w:tc>
          <w:tcPr>
            <w:tcW w:w="1660" w:type="dxa"/>
            <w:tcBorders>
              <w:top w:val="nil"/>
              <w:left w:val="nil"/>
              <w:bottom w:val="single" w:color="auto" w:sz="4" w:space="0"/>
              <w:right w:val="single" w:color="auto" w:sz="8" w:space="0"/>
            </w:tcBorders>
            <w:shd w:val="clear" w:color="auto" w:fill="auto"/>
            <w:noWrap w:val="0"/>
            <w:vAlign w:val="bottom"/>
          </w:tcPr>
          <w:p w14:paraId="5EAF7C85">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40" w:type="dxa"/>
            <w:tcBorders>
              <w:top w:val="nil"/>
              <w:left w:val="nil"/>
              <w:bottom w:val="single" w:color="auto" w:sz="4" w:space="0"/>
              <w:right w:val="single" w:color="auto" w:sz="4" w:space="0"/>
            </w:tcBorders>
            <w:shd w:val="clear" w:color="auto" w:fill="auto"/>
            <w:noWrap w:val="0"/>
            <w:vAlign w:val="bottom"/>
          </w:tcPr>
          <w:p w14:paraId="3C38968E">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5≤X＜20</w:t>
            </w:r>
          </w:p>
        </w:tc>
        <w:tc>
          <w:tcPr>
            <w:tcW w:w="1480" w:type="dxa"/>
            <w:tcBorders>
              <w:top w:val="nil"/>
              <w:left w:val="nil"/>
              <w:bottom w:val="single" w:color="auto" w:sz="4" w:space="0"/>
              <w:right w:val="single" w:color="auto" w:sz="4" w:space="0"/>
            </w:tcBorders>
            <w:shd w:val="clear" w:color="auto" w:fill="auto"/>
            <w:noWrap w:val="0"/>
            <w:vAlign w:val="bottom"/>
          </w:tcPr>
          <w:p w14:paraId="246FDEB7">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520" w:type="dxa"/>
            <w:tcBorders>
              <w:top w:val="nil"/>
              <w:left w:val="nil"/>
              <w:bottom w:val="single" w:color="auto" w:sz="4" w:space="0"/>
              <w:right w:val="single" w:color="auto" w:sz="8" w:space="0"/>
            </w:tcBorders>
            <w:shd w:val="clear" w:color="auto" w:fill="auto"/>
            <w:noWrap w:val="0"/>
            <w:vAlign w:val="bottom"/>
          </w:tcPr>
          <w:p w14:paraId="42778FAC">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85" w:type="dxa"/>
            <w:tcBorders>
              <w:top w:val="nil"/>
              <w:left w:val="nil"/>
              <w:bottom w:val="single" w:color="auto" w:sz="4" w:space="0"/>
              <w:right w:val="single" w:color="auto" w:sz="4" w:space="0"/>
            </w:tcBorders>
            <w:shd w:val="clear" w:color="auto" w:fill="auto"/>
            <w:noWrap w:val="0"/>
            <w:vAlign w:val="bottom"/>
          </w:tcPr>
          <w:p w14:paraId="1937A050">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X＜5</w:t>
            </w:r>
          </w:p>
        </w:tc>
        <w:tc>
          <w:tcPr>
            <w:tcW w:w="1275" w:type="dxa"/>
            <w:tcBorders>
              <w:top w:val="nil"/>
              <w:left w:val="nil"/>
              <w:bottom w:val="single" w:color="auto" w:sz="4" w:space="0"/>
              <w:right w:val="single" w:color="auto" w:sz="4" w:space="0"/>
            </w:tcBorders>
            <w:shd w:val="clear" w:color="auto" w:fill="auto"/>
            <w:noWrap w:val="0"/>
            <w:vAlign w:val="bottom"/>
          </w:tcPr>
          <w:p w14:paraId="44F51131">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w:t>
            </w:r>
          </w:p>
        </w:tc>
        <w:tc>
          <w:tcPr>
            <w:tcW w:w="1221" w:type="dxa"/>
            <w:tcBorders>
              <w:top w:val="nil"/>
              <w:left w:val="nil"/>
              <w:bottom w:val="single" w:color="auto" w:sz="4" w:space="0"/>
              <w:right w:val="single" w:color="auto" w:sz="8" w:space="0"/>
            </w:tcBorders>
            <w:shd w:val="clear" w:color="auto" w:fill="auto"/>
            <w:noWrap w:val="0"/>
            <w:vAlign w:val="bottom"/>
          </w:tcPr>
          <w:p w14:paraId="049C6285">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r>
      <w:tr w14:paraId="3AA8ABF1">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noWrap w:val="0"/>
            <w:vAlign w:val="bottom"/>
          </w:tcPr>
          <w:p w14:paraId="1FFA9363">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5、零售业</w:t>
            </w:r>
          </w:p>
        </w:tc>
        <w:tc>
          <w:tcPr>
            <w:tcW w:w="1498" w:type="dxa"/>
            <w:tcBorders>
              <w:top w:val="nil"/>
              <w:left w:val="nil"/>
              <w:bottom w:val="single" w:color="auto" w:sz="4" w:space="0"/>
              <w:right w:val="single" w:color="auto" w:sz="4" w:space="0"/>
            </w:tcBorders>
            <w:shd w:val="clear" w:color="auto" w:fill="auto"/>
            <w:noWrap w:val="0"/>
            <w:vAlign w:val="bottom"/>
          </w:tcPr>
          <w:p w14:paraId="34BDEE4A">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50≤X＜300</w:t>
            </w:r>
          </w:p>
        </w:tc>
        <w:tc>
          <w:tcPr>
            <w:tcW w:w="1763" w:type="dxa"/>
            <w:tcBorders>
              <w:top w:val="nil"/>
              <w:left w:val="nil"/>
              <w:bottom w:val="single" w:color="auto" w:sz="4" w:space="0"/>
              <w:right w:val="single" w:color="auto" w:sz="4" w:space="0"/>
            </w:tcBorders>
            <w:shd w:val="clear" w:color="auto" w:fill="auto"/>
            <w:noWrap w:val="0"/>
            <w:vAlign w:val="bottom"/>
          </w:tcPr>
          <w:p w14:paraId="135D4AC1">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660" w:type="dxa"/>
            <w:tcBorders>
              <w:top w:val="nil"/>
              <w:left w:val="nil"/>
              <w:bottom w:val="single" w:color="auto" w:sz="4" w:space="0"/>
              <w:right w:val="single" w:color="auto" w:sz="8" w:space="0"/>
            </w:tcBorders>
            <w:shd w:val="clear" w:color="auto" w:fill="auto"/>
            <w:noWrap w:val="0"/>
            <w:vAlign w:val="bottom"/>
          </w:tcPr>
          <w:p w14:paraId="0AFDB744">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40" w:type="dxa"/>
            <w:tcBorders>
              <w:top w:val="nil"/>
              <w:left w:val="nil"/>
              <w:bottom w:val="single" w:color="auto" w:sz="4" w:space="0"/>
              <w:right w:val="single" w:color="auto" w:sz="4" w:space="0"/>
            </w:tcBorders>
            <w:shd w:val="clear" w:color="auto" w:fill="auto"/>
            <w:noWrap w:val="0"/>
            <w:vAlign w:val="bottom"/>
          </w:tcPr>
          <w:p w14:paraId="0E581B21">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10≤X＜50</w:t>
            </w:r>
          </w:p>
        </w:tc>
        <w:tc>
          <w:tcPr>
            <w:tcW w:w="1480" w:type="dxa"/>
            <w:tcBorders>
              <w:top w:val="nil"/>
              <w:left w:val="nil"/>
              <w:bottom w:val="single" w:color="auto" w:sz="4" w:space="0"/>
              <w:right w:val="single" w:color="auto" w:sz="4" w:space="0"/>
            </w:tcBorders>
            <w:shd w:val="clear" w:color="auto" w:fill="auto"/>
            <w:noWrap w:val="0"/>
            <w:vAlign w:val="bottom"/>
          </w:tcPr>
          <w:p w14:paraId="035F261D">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100≤Y＜500</w:t>
            </w:r>
          </w:p>
        </w:tc>
        <w:tc>
          <w:tcPr>
            <w:tcW w:w="1520" w:type="dxa"/>
            <w:tcBorders>
              <w:top w:val="nil"/>
              <w:left w:val="nil"/>
              <w:bottom w:val="single" w:color="auto" w:sz="4" w:space="0"/>
              <w:right w:val="single" w:color="auto" w:sz="8" w:space="0"/>
            </w:tcBorders>
            <w:shd w:val="clear" w:color="auto" w:fill="auto"/>
            <w:noWrap w:val="0"/>
            <w:vAlign w:val="bottom"/>
          </w:tcPr>
          <w:p w14:paraId="19D208C2">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85" w:type="dxa"/>
            <w:tcBorders>
              <w:top w:val="nil"/>
              <w:left w:val="nil"/>
              <w:bottom w:val="single" w:color="auto" w:sz="4" w:space="0"/>
              <w:right w:val="single" w:color="auto" w:sz="4" w:space="0"/>
            </w:tcBorders>
            <w:shd w:val="clear" w:color="auto" w:fill="auto"/>
            <w:noWrap w:val="0"/>
            <w:vAlign w:val="bottom"/>
          </w:tcPr>
          <w:p w14:paraId="03054FA1">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c>
          <w:tcPr>
            <w:tcW w:w="1275" w:type="dxa"/>
            <w:tcBorders>
              <w:top w:val="nil"/>
              <w:left w:val="nil"/>
              <w:bottom w:val="single" w:color="auto" w:sz="4" w:space="0"/>
              <w:right w:val="single" w:color="auto" w:sz="4" w:space="0"/>
            </w:tcBorders>
            <w:shd w:val="clear" w:color="auto" w:fill="auto"/>
            <w:noWrap w:val="0"/>
            <w:vAlign w:val="bottom"/>
          </w:tcPr>
          <w:p w14:paraId="16157677">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c>
          <w:tcPr>
            <w:tcW w:w="1221" w:type="dxa"/>
            <w:tcBorders>
              <w:top w:val="nil"/>
              <w:left w:val="nil"/>
              <w:bottom w:val="single" w:color="auto" w:sz="4" w:space="0"/>
              <w:right w:val="single" w:color="auto" w:sz="8" w:space="0"/>
            </w:tcBorders>
            <w:shd w:val="clear" w:color="auto" w:fill="auto"/>
            <w:noWrap w:val="0"/>
            <w:vAlign w:val="bottom"/>
          </w:tcPr>
          <w:p w14:paraId="57F00C0B">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r>
      <w:tr w14:paraId="0125A51A">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noWrap w:val="0"/>
            <w:vAlign w:val="bottom"/>
          </w:tcPr>
          <w:p w14:paraId="55CABA4E">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6、交通运输业</w:t>
            </w:r>
          </w:p>
        </w:tc>
        <w:tc>
          <w:tcPr>
            <w:tcW w:w="1498" w:type="dxa"/>
            <w:tcBorders>
              <w:top w:val="nil"/>
              <w:left w:val="nil"/>
              <w:bottom w:val="single" w:color="auto" w:sz="4" w:space="0"/>
              <w:right w:val="single" w:color="auto" w:sz="4" w:space="0"/>
            </w:tcBorders>
            <w:shd w:val="clear" w:color="auto" w:fill="auto"/>
            <w:noWrap w:val="0"/>
            <w:vAlign w:val="bottom"/>
          </w:tcPr>
          <w:p w14:paraId="749147FD">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63" w:type="dxa"/>
            <w:tcBorders>
              <w:top w:val="nil"/>
              <w:left w:val="nil"/>
              <w:bottom w:val="single" w:color="auto" w:sz="4" w:space="0"/>
              <w:right w:val="single" w:color="auto" w:sz="4" w:space="0"/>
            </w:tcBorders>
            <w:shd w:val="clear" w:color="auto" w:fill="auto"/>
            <w:noWrap w:val="0"/>
            <w:vAlign w:val="bottom"/>
          </w:tcPr>
          <w:p w14:paraId="53AF0B66">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3000≤Y＜30000</w:t>
            </w:r>
          </w:p>
        </w:tc>
        <w:tc>
          <w:tcPr>
            <w:tcW w:w="1660" w:type="dxa"/>
            <w:tcBorders>
              <w:top w:val="nil"/>
              <w:left w:val="nil"/>
              <w:bottom w:val="single" w:color="auto" w:sz="4" w:space="0"/>
              <w:right w:val="single" w:color="auto" w:sz="8" w:space="0"/>
            </w:tcBorders>
            <w:shd w:val="clear" w:color="auto" w:fill="auto"/>
            <w:noWrap w:val="0"/>
            <w:vAlign w:val="bottom"/>
          </w:tcPr>
          <w:p w14:paraId="51537B3F">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40" w:type="dxa"/>
            <w:tcBorders>
              <w:top w:val="nil"/>
              <w:left w:val="nil"/>
              <w:bottom w:val="single" w:color="auto" w:sz="4" w:space="0"/>
              <w:right w:val="single" w:color="auto" w:sz="4" w:space="0"/>
            </w:tcBorders>
            <w:shd w:val="clear" w:color="auto" w:fill="auto"/>
            <w:noWrap w:val="0"/>
            <w:vAlign w:val="bottom"/>
          </w:tcPr>
          <w:p w14:paraId="20F66104">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480" w:type="dxa"/>
            <w:tcBorders>
              <w:top w:val="nil"/>
              <w:left w:val="nil"/>
              <w:bottom w:val="single" w:color="auto" w:sz="4" w:space="0"/>
              <w:right w:val="single" w:color="auto" w:sz="4" w:space="0"/>
            </w:tcBorders>
            <w:shd w:val="clear" w:color="auto" w:fill="auto"/>
            <w:noWrap w:val="0"/>
            <w:vAlign w:val="bottom"/>
          </w:tcPr>
          <w:p w14:paraId="0F2FF424">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200≤Y＜3000</w:t>
            </w:r>
          </w:p>
        </w:tc>
        <w:tc>
          <w:tcPr>
            <w:tcW w:w="1520" w:type="dxa"/>
            <w:tcBorders>
              <w:top w:val="nil"/>
              <w:left w:val="nil"/>
              <w:bottom w:val="single" w:color="auto" w:sz="4" w:space="0"/>
              <w:right w:val="single" w:color="auto" w:sz="8" w:space="0"/>
            </w:tcBorders>
            <w:shd w:val="clear" w:color="auto" w:fill="auto"/>
            <w:noWrap w:val="0"/>
            <w:vAlign w:val="bottom"/>
          </w:tcPr>
          <w:p w14:paraId="43A91AE1">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85" w:type="dxa"/>
            <w:tcBorders>
              <w:top w:val="nil"/>
              <w:left w:val="nil"/>
              <w:bottom w:val="single" w:color="auto" w:sz="4" w:space="0"/>
              <w:right w:val="single" w:color="auto" w:sz="4" w:space="0"/>
            </w:tcBorders>
            <w:shd w:val="clear" w:color="auto" w:fill="auto"/>
            <w:noWrap w:val="0"/>
            <w:vAlign w:val="bottom"/>
          </w:tcPr>
          <w:p w14:paraId="7A959151">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c>
          <w:tcPr>
            <w:tcW w:w="1275" w:type="dxa"/>
            <w:tcBorders>
              <w:top w:val="nil"/>
              <w:left w:val="nil"/>
              <w:bottom w:val="single" w:color="auto" w:sz="4" w:space="0"/>
              <w:right w:val="single" w:color="auto" w:sz="4" w:space="0"/>
            </w:tcBorders>
            <w:shd w:val="clear" w:color="auto" w:fill="auto"/>
            <w:noWrap w:val="0"/>
            <w:vAlign w:val="bottom"/>
          </w:tcPr>
          <w:p w14:paraId="19DBAD31">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V＜200</w:t>
            </w:r>
          </w:p>
        </w:tc>
        <w:tc>
          <w:tcPr>
            <w:tcW w:w="1221" w:type="dxa"/>
            <w:tcBorders>
              <w:top w:val="nil"/>
              <w:left w:val="nil"/>
              <w:bottom w:val="single" w:color="auto" w:sz="4" w:space="0"/>
              <w:right w:val="single" w:color="auto" w:sz="8" w:space="0"/>
            </w:tcBorders>
            <w:shd w:val="clear" w:color="auto" w:fill="auto"/>
            <w:noWrap w:val="0"/>
            <w:vAlign w:val="bottom"/>
          </w:tcPr>
          <w:p w14:paraId="0290E48C">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r>
      <w:tr w14:paraId="08224D82">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noWrap w:val="0"/>
            <w:vAlign w:val="bottom"/>
          </w:tcPr>
          <w:p w14:paraId="2BC41EFD">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7、仓储业</w:t>
            </w:r>
          </w:p>
        </w:tc>
        <w:tc>
          <w:tcPr>
            <w:tcW w:w="1498" w:type="dxa"/>
            <w:tcBorders>
              <w:top w:val="nil"/>
              <w:left w:val="nil"/>
              <w:bottom w:val="single" w:color="auto" w:sz="4" w:space="0"/>
              <w:right w:val="single" w:color="auto" w:sz="4" w:space="0"/>
            </w:tcBorders>
            <w:shd w:val="clear" w:color="auto" w:fill="auto"/>
            <w:noWrap w:val="0"/>
            <w:vAlign w:val="bottom"/>
          </w:tcPr>
          <w:p w14:paraId="7C72BFB5">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w:t>
            </w:r>
          </w:p>
        </w:tc>
        <w:tc>
          <w:tcPr>
            <w:tcW w:w="1763" w:type="dxa"/>
            <w:tcBorders>
              <w:top w:val="nil"/>
              <w:left w:val="nil"/>
              <w:bottom w:val="single" w:color="auto" w:sz="4" w:space="0"/>
              <w:right w:val="single" w:color="auto" w:sz="4" w:space="0"/>
            </w:tcBorders>
            <w:shd w:val="clear" w:color="auto" w:fill="auto"/>
            <w:noWrap w:val="0"/>
            <w:vAlign w:val="bottom"/>
          </w:tcPr>
          <w:p w14:paraId="43126A5E">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1000≤Y＜30000</w:t>
            </w:r>
          </w:p>
        </w:tc>
        <w:tc>
          <w:tcPr>
            <w:tcW w:w="1660" w:type="dxa"/>
            <w:tcBorders>
              <w:top w:val="nil"/>
              <w:left w:val="nil"/>
              <w:bottom w:val="single" w:color="auto" w:sz="4" w:space="0"/>
              <w:right w:val="single" w:color="auto" w:sz="8" w:space="0"/>
            </w:tcBorders>
            <w:shd w:val="clear" w:color="auto" w:fill="auto"/>
            <w:noWrap w:val="0"/>
            <w:vAlign w:val="bottom"/>
          </w:tcPr>
          <w:p w14:paraId="5E5C95A6">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40" w:type="dxa"/>
            <w:tcBorders>
              <w:top w:val="nil"/>
              <w:left w:val="nil"/>
              <w:bottom w:val="single" w:color="auto" w:sz="4" w:space="0"/>
              <w:right w:val="single" w:color="auto" w:sz="4" w:space="0"/>
            </w:tcBorders>
            <w:shd w:val="clear" w:color="auto" w:fill="auto"/>
            <w:noWrap w:val="0"/>
            <w:vAlign w:val="bottom"/>
          </w:tcPr>
          <w:p w14:paraId="40E54426">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20≤X＜100</w:t>
            </w:r>
          </w:p>
        </w:tc>
        <w:tc>
          <w:tcPr>
            <w:tcW w:w="1480" w:type="dxa"/>
            <w:tcBorders>
              <w:top w:val="nil"/>
              <w:left w:val="nil"/>
              <w:bottom w:val="single" w:color="auto" w:sz="4" w:space="0"/>
              <w:right w:val="single" w:color="auto" w:sz="4" w:space="0"/>
            </w:tcBorders>
            <w:shd w:val="clear" w:color="auto" w:fill="auto"/>
            <w:noWrap w:val="0"/>
            <w:vAlign w:val="bottom"/>
          </w:tcPr>
          <w:p w14:paraId="207046F2">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520" w:type="dxa"/>
            <w:tcBorders>
              <w:top w:val="nil"/>
              <w:left w:val="nil"/>
              <w:bottom w:val="single" w:color="auto" w:sz="4" w:space="0"/>
              <w:right w:val="single" w:color="auto" w:sz="8" w:space="0"/>
            </w:tcBorders>
            <w:shd w:val="clear" w:color="auto" w:fill="auto"/>
            <w:noWrap w:val="0"/>
            <w:vAlign w:val="bottom"/>
          </w:tcPr>
          <w:p w14:paraId="72FAC713">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85" w:type="dxa"/>
            <w:tcBorders>
              <w:top w:val="nil"/>
              <w:left w:val="nil"/>
              <w:bottom w:val="single" w:color="auto" w:sz="4" w:space="0"/>
              <w:right w:val="single" w:color="auto" w:sz="4" w:space="0"/>
            </w:tcBorders>
            <w:shd w:val="clear" w:color="auto" w:fill="auto"/>
            <w:noWrap w:val="0"/>
            <w:vAlign w:val="bottom"/>
          </w:tcPr>
          <w:p w14:paraId="1CE456F0">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c>
          <w:tcPr>
            <w:tcW w:w="1275" w:type="dxa"/>
            <w:tcBorders>
              <w:top w:val="nil"/>
              <w:left w:val="nil"/>
              <w:bottom w:val="single" w:color="auto" w:sz="4" w:space="0"/>
              <w:right w:val="single" w:color="auto" w:sz="4" w:space="0"/>
            </w:tcBorders>
            <w:shd w:val="clear" w:color="auto" w:fill="auto"/>
            <w:noWrap w:val="0"/>
            <w:vAlign w:val="bottom"/>
          </w:tcPr>
          <w:p w14:paraId="2286143A">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c>
          <w:tcPr>
            <w:tcW w:w="1221" w:type="dxa"/>
            <w:tcBorders>
              <w:top w:val="nil"/>
              <w:left w:val="nil"/>
              <w:bottom w:val="single" w:color="auto" w:sz="4" w:space="0"/>
              <w:right w:val="single" w:color="auto" w:sz="8" w:space="0"/>
            </w:tcBorders>
            <w:shd w:val="clear" w:color="auto" w:fill="auto"/>
            <w:noWrap w:val="0"/>
            <w:vAlign w:val="bottom"/>
          </w:tcPr>
          <w:p w14:paraId="1FE9EFFD">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r>
      <w:tr w14:paraId="16E3C5AF">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noWrap w:val="0"/>
            <w:vAlign w:val="bottom"/>
          </w:tcPr>
          <w:p w14:paraId="1170D779">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8、邮政业</w:t>
            </w:r>
          </w:p>
        </w:tc>
        <w:tc>
          <w:tcPr>
            <w:tcW w:w="1498" w:type="dxa"/>
            <w:tcBorders>
              <w:top w:val="nil"/>
              <w:left w:val="nil"/>
              <w:bottom w:val="single" w:color="auto" w:sz="4" w:space="0"/>
              <w:right w:val="single" w:color="auto" w:sz="4" w:space="0"/>
            </w:tcBorders>
            <w:shd w:val="clear" w:color="auto" w:fill="auto"/>
            <w:noWrap w:val="0"/>
            <w:vAlign w:val="bottom"/>
          </w:tcPr>
          <w:p w14:paraId="26D314CF">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63" w:type="dxa"/>
            <w:tcBorders>
              <w:top w:val="nil"/>
              <w:left w:val="nil"/>
              <w:bottom w:val="single" w:color="auto" w:sz="4" w:space="0"/>
              <w:right w:val="single" w:color="auto" w:sz="4" w:space="0"/>
            </w:tcBorders>
            <w:shd w:val="clear" w:color="auto" w:fill="auto"/>
            <w:noWrap w:val="0"/>
            <w:vAlign w:val="bottom"/>
          </w:tcPr>
          <w:p w14:paraId="55137D63">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2000≤Y＜30000</w:t>
            </w:r>
          </w:p>
        </w:tc>
        <w:tc>
          <w:tcPr>
            <w:tcW w:w="1660" w:type="dxa"/>
            <w:tcBorders>
              <w:top w:val="nil"/>
              <w:left w:val="nil"/>
              <w:bottom w:val="single" w:color="auto" w:sz="4" w:space="0"/>
              <w:right w:val="single" w:color="auto" w:sz="8" w:space="0"/>
            </w:tcBorders>
            <w:shd w:val="clear" w:color="auto" w:fill="auto"/>
            <w:noWrap w:val="0"/>
            <w:vAlign w:val="bottom"/>
          </w:tcPr>
          <w:p w14:paraId="65A63FA9">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40" w:type="dxa"/>
            <w:tcBorders>
              <w:top w:val="nil"/>
              <w:left w:val="nil"/>
              <w:bottom w:val="single" w:color="auto" w:sz="4" w:space="0"/>
              <w:right w:val="single" w:color="auto" w:sz="4" w:space="0"/>
            </w:tcBorders>
            <w:shd w:val="clear" w:color="auto" w:fill="auto"/>
            <w:noWrap w:val="0"/>
            <w:vAlign w:val="bottom"/>
          </w:tcPr>
          <w:p w14:paraId="3E9DBBFB">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480" w:type="dxa"/>
            <w:tcBorders>
              <w:top w:val="nil"/>
              <w:left w:val="nil"/>
              <w:bottom w:val="single" w:color="auto" w:sz="4" w:space="0"/>
              <w:right w:val="single" w:color="auto" w:sz="4" w:space="0"/>
            </w:tcBorders>
            <w:shd w:val="clear" w:color="auto" w:fill="auto"/>
            <w:noWrap w:val="0"/>
            <w:vAlign w:val="bottom"/>
          </w:tcPr>
          <w:p w14:paraId="70C69B8A">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520" w:type="dxa"/>
            <w:tcBorders>
              <w:top w:val="nil"/>
              <w:left w:val="nil"/>
              <w:bottom w:val="single" w:color="auto" w:sz="4" w:space="0"/>
              <w:right w:val="single" w:color="auto" w:sz="8" w:space="0"/>
            </w:tcBorders>
            <w:shd w:val="clear" w:color="auto" w:fill="auto"/>
            <w:noWrap w:val="0"/>
            <w:vAlign w:val="bottom"/>
          </w:tcPr>
          <w:p w14:paraId="4A34D5B5">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85" w:type="dxa"/>
            <w:tcBorders>
              <w:top w:val="nil"/>
              <w:left w:val="nil"/>
              <w:bottom w:val="single" w:color="auto" w:sz="4" w:space="0"/>
              <w:right w:val="single" w:color="auto" w:sz="4" w:space="0"/>
            </w:tcBorders>
            <w:shd w:val="clear" w:color="auto" w:fill="auto"/>
            <w:noWrap w:val="0"/>
            <w:vAlign w:val="bottom"/>
          </w:tcPr>
          <w:p w14:paraId="1B03EEED">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c>
          <w:tcPr>
            <w:tcW w:w="1275" w:type="dxa"/>
            <w:tcBorders>
              <w:top w:val="nil"/>
              <w:left w:val="nil"/>
              <w:bottom w:val="single" w:color="auto" w:sz="4" w:space="0"/>
              <w:right w:val="single" w:color="auto" w:sz="4" w:space="0"/>
            </w:tcBorders>
            <w:shd w:val="clear" w:color="auto" w:fill="auto"/>
            <w:noWrap w:val="0"/>
            <w:vAlign w:val="bottom"/>
          </w:tcPr>
          <w:p w14:paraId="264E045A">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c>
          <w:tcPr>
            <w:tcW w:w="1221" w:type="dxa"/>
            <w:tcBorders>
              <w:top w:val="nil"/>
              <w:left w:val="nil"/>
              <w:bottom w:val="single" w:color="auto" w:sz="4" w:space="0"/>
              <w:right w:val="single" w:color="auto" w:sz="8" w:space="0"/>
            </w:tcBorders>
            <w:shd w:val="clear" w:color="auto" w:fill="auto"/>
            <w:noWrap w:val="0"/>
            <w:vAlign w:val="bottom"/>
          </w:tcPr>
          <w:p w14:paraId="7A2C8C31">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r>
      <w:tr w14:paraId="60B33216">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noWrap w:val="0"/>
            <w:vAlign w:val="bottom"/>
          </w:tcPr>
          <w:p w14:paraId="190D7FDF">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9、住宿业</w:t>
            </w:r>
          </w:p>
        </w:tc>
        <w:tc>
          <w:tcPr>
            <w:tcW w:w="1498" w:type="dxa"/>
            <w:tcBorders>
              <w:top w:val="nil"/>
              <w:left w:val="nil"/>
              <w:bottom w:val="single" w:color="auto" w:sz="4" w:space="0"/>
              <w:right w:val="single" w:color="auto" w:sz="4" w:space="0"/>
            </w:tcBorders>
            <w:shd w:val="clear" w:color="auto" w:fill="auto"/>
            <w:noWrap w:val="0"/>
            <w:vAlign w:val="bottom"/>
          </w:tcPr>
          <w:p w14:paraId="384E462F">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63" w:type="dxa"/>
            <w:tcBorders>
              <w:top w:val="nil"/>
              <w:left w:val="nil"/>
              <w:bottom w:val="single" w:color="auto" w:sz="4" w:space="0"/>
              <w:right w:val="single" w:color="auto" w:sz="4" w:space="0"/>
            </w:tcBorders>
            <w:shd w:val="clear" w:color="auto" w:fill="auto"/>
            <w:noWrap w:val="0"/>
            <w:vAlign w:val="bottom"/>
          </w:tcPr>
          <w:p w14:paraId="1F5444F7">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660" w:type="dxa"/>
            <w:tcBorders>
              <w:top w:val="nil"/>
              <w:left w:val="nil"/>
              <w:bottom w:val="single" w:color="auto" w:sz="4" w:space="0"/>
              <w:right w:val="single" w:color="auto" w:sz="8" w:space="0"/>
            </w:tcBorders>
            <w:shd w:val="clear" w:color="auto" w:fill="auto"/>
            <w:noWrap w:val="0"/>
            <w:vAlign w:val="bottom"/>
          </w:tcPr>
          <w:p w14:paraId="72C2CC84">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40" w:type="dxa"/>
            <w:tcBorders>
              <w:top w:val="nil"/>
              <w:left w:val="nil"/>
              <w:bottom w:val="single" w:color="auto" w:sz="4" w:space="0"/>
              <w:right w:val="single" w:color="auto" w:sz="4" w:space="0"/>
            </w:tcBorders>
            <w:shd w:val="clear" w:color="auto" w:fill="auto"/>
            <w:noWrap w:val="0"/>
            <w:vAlign w:val="bottom"/>
          </w:tcPr>
          <w:p w14:paraId="5057DA12">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480" w:type="dxa"/>
            <w:tcBorders>
              <w:top w:val="nil"/>
              <w:left w:val="nil"/>
              <w:bottom w:val="single" w:color="auto" w:sz="4" w:space="0"/>
              <w:right w:val="single" w:color="auto" w:sz="4" w:space="0"/>
            </w:tcBorders>
            <w:shd w:val="clear" w:color="auto" w:fill="auto"/>
            <w:noWrap w:val="0"/>
            <w:vAlign w:val="bottom"/>
          </w:tcPr>
          <w:p w14:paraId="6D30EE82">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520" w:type="dxa"/>
            <w:tcBorders>
              <w:top w:val="nil"/>
              <w:left w:val="nil"/>
              <w:bottom w:val="single" w:color="auto" w:sz="4" w:space="0"/>
              <w:right w:val="single" w:color="auto" w:sz="8" w:space="0"/>
            </w:tcBorders>
            <w:shd w:val="clear" w:color="auto" w:fill="auto"/>
            <w:noWrap w:val="0"/>
            <w:vAlign w:val="bottom"/>
          </w:tcPr>
          <w:p w14:paraId="3A990826">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85" w:type="dxa"/>
            <w:tcBorders>
              <w:top w:val="nil"/>
              <w:left w:val="nil"/>
              <w:bottom w:val="single" w:color="auto" w:sz="4" w:space="0"/>
              <w:right w:val="single" w:color="auto" w:sz="4" w:space="0"/>
            </w:tcBorders>
            <w:shd w:val="clear" w:color="auto" w:fill="auto"/>
            <w:noWrap w:val="0"/>
            <w:vAlign w:val="bottom"/>
          </w:tcPr>
          <w:p w14:paraId="7FB84E06">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c>
          <w:tcPr>
            <w:tcW w:w="1275" w:type="dxa"/>
            <w:tcBorders>
              <w:top w:val="nil"/>
              <w:left w:val="nil"/>
              <w:bottom w:val="single" w:color="auto" w:sz="4" w:space="0"/>
              <w:right w:val="single" w:color="auto" w:sz="4" w:space="0"/>
            </w:tcBorders>
            <w:shd w:val="clear" w:color="auto" w:fill="auto"/>
            <w:noWrap w:val="0"/>
            <w:vAlign w:val="bottom"/>
          </w:tcPr>
          <w:p w14:paraId="4A4D7D35">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c>
          <w:tcPr>
            <w:tcW w:w="1221" w:type="dxa"/>
            <w:tcBorders>
              <w:top w:val="nil"/>
              <w:left w:val="nil"/>
              <w:bottom w:val="single" w:color="auto" w:sz="4" w:space="0"/>
              <w:right w:val="single" w:color="auto" w:sz="8" w:space="0"/>
            </w:tcBorders>
            <w:shd w:val="clear" w:color="auto" w:fill="auto"/>
            <w:noWrap w:val="0"/>
            <w:vAlign w:val="bottom"/>
          </w:tcPr>
          <w:p w14:paraId="2A24F084">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r>
      <w:tr w14:paraId="07BCC4C9">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noWrap w:val="0"/>
            <w:vAlign w:val="bottom"/>
          </w:tcPr>
          <w:p w14:paraId="49DAABC6">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10、餐饮业</w:t>
            </w:r>
          </w:p>
        </w:tc>
        <w:tc>
          <w:tcPr>
            <w:tcW w:w="1498" w:type="dxa"/>
            <w:tcBorders>
              <w:top w:val="nil"/>
              <w:left w:val="nil"/>
              <w:bottom w:val="single" w:color="auto" w:sz="4" w:space="0"/>
              <w:right w:val="single" w:color="auto" w:sz="4" w:space="0"/>
            </w:tcBorders>
            <w:shd w:val="clear" w:color="auto" w:fill="auto"/>
            <w:noWrap w:val="0"/>
            <w:vAlign w:val="bottom"/>
          </w:tcPr>
          <w:p w14:paraId="1837819E">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63" w:type="dxa"/>
            <w:tcBorders>
              <w:top w:val="nil"/>
              <w:left w:val="nil"/>
              <w:bottom w:val="single" w:color="auto" w:sz="4" w:space="0"/>
              <w:right w:val="single" w:color="auto" w:sz="4" w:space="0"/>
            </w:tcBorders>
            <w:shd w:val="clear" w:color="auto" w:fill="auto"/>
            <w:noWrap w:val="0"/>
            <w:vAlign w:val="bottom"/>
          </w:tcPr>
          <w:p w14:paraId="2D3FB431">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660" w:type="dxa"/>
            <w:tcBorders>
              <w:top w:val="nil"/>
              <w:left w:val="nil"/>
              <w:bottom w:val="single" w:color="auto" w:sz="4" w:space="0"/>
              <w:right w:val="single" w:color="auto" w:sz="8" w:space="0"/>
            </w:tcBorders>
            <w:shd w:val="clear" w:color="auto" w:fill="auto"/>
            <w:noWrap w:val="0"/>
            <w:vAlign w:val="bottom"/>
          </w:tcPr>
          <w:p w14:paraId="76299D41">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40" w:type="dxa"/>
            <w:tcBorders>
              <w:top w:val="nil"/>
              <w:left w:val="nil"/>
              <w:bottom w:val="single" w:color="auto" w:sz="4" w:space="0"/>
              <w:right w:val="single" w:color="auto" w:sz="4" w:space="0"/>
            </w:tcBorders>
            <w:shd w:val="clear" w:color="auto" w:fill="auto"/>
            <w:noWrap w:val="0"/>
            <w:vAlign w:val="bottom"/>
          </w:tcPr>
          <w:p w14:paraId="69A43D14">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480" w:type="dxa"/>
            <w:tcBorders>
              <w:top w:val="nil"/>
              <w:left w:val="nil"/>
              <w:bottom w:val="single" w:color="auto" w:sz="4" w:space="0"/>
              <w:right w:val="single" w:color="auto" w:sz="4" w:space="0"/>
            </w:tcBorders>
            <w:shd w:val="clear" w:color="auto" w:fill="auto"/>
            <w:noWrap w:val="0"/>
            <w:vAlign w:val="bottom"/>
          </w:tcPr>
          <w:p w14:paraId="52547B9A">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520" w:type="dxa"/>
            <w:tcBorders>
              <w:top w:val="nil"/>
              <w:left w:val="nil"/>
              <w:bottom w:val="single" w:color="auto" w:sz="4" w:space="0"/>
              <w:right w:val="single" w:color="auto" w:sz="8" w:space="0"/>
            </w:tcBorders>
            <w:shd w:val="clear" w:color="auto" w:fill="auto"/>
            <w:noWrap w:val="0"/>
            <w:vAlign w:val="bottom"/>
          </w:tcPr>
          <w:p w14:paraId="65E886B0">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85" w:type="dxa"/>
            <w:tcBorders>
              <w:top w:val="nil"/>
              <w:left w:val="nil"/>
              <w:bottom w:val="single" w:color="auto" w:sz="4" w:space="0"/>
              <w:right w:val="single" w:color="auto" w:sz="4" w:space="0"/>
            </w:tcBorders>
            <w:shd w:val="clear" w:color="auto" w:fill="auto"/>
            <w:noWrap w:val="0"/>
            <w:vAlign w:val="bottom"/>
          </w:tcPr>
          <w:p w14:paraId="4EE95C08">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c>
          <w:tcPr>
            <w:tcW w:w="1275" w:type="dxa"/>
            <w:tcBorders>
              <w:top w:val="nil"/>
              <w:left w:val="nil"/>
              <w:bottom w:val="single" w:color="auto" w:sz="4" w:space="0"/>
              <w:right w:val="single" w:color="auto" w:sz="4" w:space="0"/>
            </w:tcBorders>
            <w:shd w:val="clear" w:color="auto" w:fill="auto"/>
            <w:noWrap w:val="0"/>
            <w:vAlign w:val="bottom"/>
          </w:tcPr>
          <w:p w14:paraId="6EDFD61B">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V＜100</w:t>
            </w:r>
          </w:p>
        </w:tc>
        <w:tc>
          <w:tcPr>
            <w:tcW w:w="1221" w:type="dxa"/>
            <w:tcBorders>
              <w:top w:val="nil"/>
              <w:left w:val="nil"/>
              <w:bottom w:val="single" w:color="auto" w:sz="4" w:space="0"/>
              <w:right w:val="single" w:color="auto" w:sz="8" w:space="0"/>
            </w:tcBorders>
            <w:shd w:val="clear" w:color="auto" w:fill="auto"/>
            <w:noWrap w:val="0"/>
            <w:vAlign w:val="bottom"/>
          </w:tcPr>
          <w:p w14:paraId="431E1E96">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r>
      <w:tr w14:paraId="44B83F27">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noWrap w:val="0"/>
            <w:vAlign w:val="bottom"/>
          </w:tcPr>
          <w:p w14:paraId="22E06EF1">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11、信息传输业</w:t>
            </w:r>
          </w:p>
        </w:tc>
        <w:tc>
          <w:tcPr>
            <w:tcW w:w="1498" w:type="dxa"/>
            <w:tcBorders>
              <w:top w:val="nil"/>
              <w:left w:val="nil"/>
              <w:bottom w:val="single" w:color="auto" w:sz="4" w:space="0"/>
              <w:right w:val="single" w:color="auto" w:sz="4" w:space="0"/>
            </w:tcBorders>
            <w:shd w:val="clear" w:color="auto" w:fill="auto"/>
            <w:noWrap w:val="0"/>
            <w:vAlign w:val="bottom"/>
          </w:tcPr>
          <w:p w14:paraId="09508077">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100≤X＜2000</w:t>
            </w:r>
          </w:p>
        </w:tc>
        <w:tc>
          <w:tcPr>
            <w:tcW w:w="1763" w:type="dxa"/>
            <w:tcBorders>
              <w:top w:val="nil"/>
              <w:left w:val="nil"/>
              <w:bottom w:val="single" w:color="auto" w:sz="4" w:space="0"/>
              <w:right w:val="single" w:color="auto" w:sz="4" w:space="0"/>
            </w:tcBorders>
            <w:shd w:val="clear" w:color="auto" w:fill="auto"/>
            <w:noWrap w:val="0"/>
            <w:vAlign w:val="bottom"/>
          </w:tcPr>
          <w:p w14:paraId="34365643">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1000≤Y＜100000</w:t>
            </w:r>
          </w:p>
        </w:tc>
        <w:tc>
          <w:tcPr>
            <w:tcW w:w="1660" w:type="dxa"/>
            <w:tcBorders>
              <w:top w:val="nil"/>
              <w:left w:val="nil"/>
              <w:bottom w:val="single" w:color="auto" w:sz="4" w:space="0"/>
              <w:right w:val="single" w:color="auto" w:sz="8" w:space="0"/>
            </w:tcBorders>
            <w:shd w:val="clear" w:color="auto" w:fill="auto"/>
            <w:noWrap w:val="0"/>
            <w:vAlign w:val="bottom"/>
          </w:tcPr>
          <w:p w14:paraId="2EE565FE">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40" w:type="dxa"/>
            <w:tcBorders>
              <w:top w:val="nil"/>
              <w:left w:val="nil"/>
              <w:bottom w:val="single" w:color="auto" w:sz="4" w:space="0"/>
              <w:right w:val="single" w:color="auto" w:sz="4" w:space="0"/>
            </w:tcBorders>
            <w:shd w:val="clear" w:color="auto" w:fill="auto"/>
            <w:noWrap w:val="0"/>
            <w:vAlign w:val="bottom"/>
          </w:tcPr>
          <w:p w14:paraId="4A332B8D">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480" w:type="dxa"/>
            <w:tcBorders>
              <w:top w:val="nil"/>
              <w:left w:val="nil"/>
              <w:bottom w:val="single" w:color="auto" w:sz="4" w:space="0"/>
              <w:right w:val="single" w:color="auto" w:sz="4" w:space="0"/>
            </w:tcBorders>
            <w:shd w:val="clear" w:color="auto" w:fill="auto"/>
            <w:noWrap w:val="0"/>
            <w:vAlign w:val="bottom"/>
          </w:tcPr>
          <w:p w14:paraId="118E728B">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520" w:type="dxa"/>
            <w:tcBorders>
              <w:top w:val="nil"/>
              <w:left w:val="nil"/>
              <w:bottom w:val="single" w:color="auto" w:sz="4" w:space="0"/>
              <w:right w:val="single" w:color="auto" w:sz="8" w:space="0"/>
            </w:tcBorders>
            <w:shd w:val="clear" w:color="auto" w:fill="auto"/>
            <w:noWrap w:val="0"/>
            <w:vAlign w:val="bottom"/>
          </w:tcPr>
          <w:p w14:paraId="40DA5C76">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85" w:type="dxa"/>
            <w:tcBorders>
              <w:top w:val="nil"/>
              <w:left w:val="nil"/>
              <w:bottom w:val="single" w:color="auto" w:sz="4" w:space="0"/>
              <w:right w:val="single" w:color="auto" w:sz="4" w:space="0"/>
            </w:tcBorders>
            <w:shd w:val="clear" w:color="auto" w:fill="auto"/>
            <w:noWrap w:val="0"/>
            <w:vAlign w:val="bottom"/>
          </w:tcPr>
          <w:p w14:paraId="3F84B841">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c>
          <w:tcPr>
            <w:tcW w:w="1275" w:type="dxa"/>
            <w:tcBorders>
              <w:top w:val="nil"/>
              <w:left w:val="nil"/>
              <w:bottom w:val="single" w:color="auto" w:sz="4" w:space="0"/>
              <w:right w:val="single" w:color="auto" w:sz="4" w:space="0"/>
            </w:tcBorders>
            <w:shd w:val="clear" w:color="auto" w:fill="auto"/>
            <w:noWrap w:val="0"/>
            <w:vAlign w:val="bottom"/>
          </w:tcPr>
          <w:p w14:paraId="53FD6738">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c>
          <w:tcPr>
            <w:tcW w:w="1221" w:type="dxa"/>
            <w:tcBorders>
              <w:top w:val="nil"/>
              <w:left w:val="nil"/>
              <w:bottom w:val="single" w:color="auto" w:sz="4" w:space="0"/>
              <w:right w:val="single" w:color="auto" w:sz="8" w:space="0"/>
            </w:tcBorders>
            <w:shd w:val="clear" w:color="auto" w:fill="auto"/>
            <w:noWrap w:val="0"/>
            <w:vAlign w:val="bottom"/>
          </w:tcPr>
          <w:p w14:paraId="2AC90CBC">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r>
      <w:tr w14:paraId="3BDD5D95">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noWrap w:val="0"/>
            <w:vAlign w:val="bottom"/>
          </w:tcPr>
          <w:p w14:paraId="3D57CECA">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12、软件和信息技术服务业</w:t>
            </w:r>
          </w:p>
        </w:tc>
        <w:tc>
          <w:tcPr>
            <w:tcW w:w="1498" w:type="dxa"/>
            <w:tcBorders>
              <w:top w:val="nil"/>
              <w:left w:val="nil"/>
              <w:bottom w:val="single" w:color="auto" w:sz="4" w:space="0"/>
              <w:right w:val="single" w:color="auto" w:sz="4" w:space="0"/>
            </w:tcBorders>
            <w:shd w:val="clear" w:color="auto" w:fill="auto"/>
            <w:noWrap w:val="0"/>
            <w:vAlign w:val="bottom"/>
          </w:tcPr>
          <w:p w14:paraId="5FA822E7">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63" w:type="dxa"/>
            <w:tcBorders>
              <w:top w:val="nil"/>
              <w:left w:val="nil"/>
              <w:bottom w:val="single" w:color="auto" w:sz="4" w:space="0"/>
              <w:right w:val="single" w:color="auto" w:sz="4" w:space="0"/>
            </w:tcBorders>
            <w:shd w:val="clear" w:color="auto" w:fill="auto"/>
            <w:noWrap w:val="0"/>
            <w:vAlign w:val="bottom"/>
          </w:tcPr>
          <w:p w14:paraId="283D35F4">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w:t>
            </w:r>
          </w:p>
        </w:tc>
        <w:tc>
          <w:tcPr>
            <w:tcW w:w="1660" w:type="dxa"/>
            <w:tcBorders>
              <w:top w:val="nil"/>
              <w:left w:val="nil"/>
              <w:bottom w:val="single" w:color="auto" w:sz="4" w:space="0"/>
              <w:right w:val="single" w:color="auto" w:sz="8" w:space="0"/>
            </w:tcBorders>
            <w:shd w:val="clear" w:color="auto" w:fill="auto"/>
            <w:noWrap w:val="0"/>
            <w:vAlign w:val="bottom"/>
          </w:tcPr>
          <w:p w14:paraId="0E523A13">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40" w:type="dxa"/>
            <w:tcBorders>
              <w:top w:val="nil"/>
              <w:left w:val="nil"/>
              <w:bottom w:val="single" w:color="auto" w:sz="4" w:space="0"/>
              <w:right w:val="single" w:color="auto" w:sz="4" w:space="0"/>
            </w:tcBorders>
            <w:shd w:val="clear" w:color="auto" w:fill="auto"/>
            <w:noWrap w:val="0"/>
            <w:vAlign w:val="bottom"/>
          </w:tcPr>
          <w:p w14:paraId="0C595421">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480" w:type="dxa"/>
            <w:tcBorders>
              <w:top w:val="nil"/>
              <w:left w:val="nil"/>
              <w:bottom w:val="single" w:color="auto" w:sz="4" w:space="0"/>
              <w:right w:val="single" w:color="auto" w:sz="4" w:space="0"/>
            </w:tcBorders>
            <w:shd w:val="clear" w:color="auto" w:fill="auto"/>
            <w:noWrap w:val="0"/>
            <w:vAlign w:val="bottom"/>
          </w:tcPr>
          <w:p w14:paraId="0C47365E">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50≤Y＜1000</w:t>
            </w:r>
          </w:p>
        </w:tc>
        <w:tc>
          <w:tcPr>
            <w:tcW w:w="1520" w:type="dxa"/>
            <w:tcBorders>
              <w:top w:val="nil"/>
              <w:left w:val="nil"/>
              <w:bottom w:val="single" w:color="auto" w:sz="4" w:space="0"/>
              <w:right w:val="single" w:color="auto" w:sz="8" w:space="0"/>
            </w:tcBorders>
            <w:shd w:val="clear" w:color="auto" w:fill="auto"/>
            <w:noWrap w:val="0"/>
            <w:vAlign w:val="bottom"/>
          </w:tcPr>
          <w:p w14:paraId="76472D69">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85" w:type="dxa"/>
            <w:tcBorders>
              <w:top w:val="nil"/>
              <w:left w:val="nil"/>
              <w:bottom w:val="single" w:color="auto" w:sz="4" w:space="0"/>
              <w:right w:val="single" w:color="auto" w:sz="4" w:space="0"/>
            </w:tcBorders>
            <w:shd w:val="clear" w:color="auto" w:fill="auto"/>
            <w:noWrap w:val="0"/>
            <w:vAlign w:val="bottom"/>
          </w:tcPr>
          <w:p w14:paraId="7DD2AED3">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c>
          <w:tcPr>
            <w:tcW w:w="1275" w:type="dxa"/>
            <w:tcBorders>
              <w:top w:val="nil"/>
              <w:left w:val="nil"/>
              <w:bottom w:val="single" w:color="auto" w:sz="4" w:space="0"/>
              <w:right w:val="single" w:color="auto" w:sz="4" w:space="0"/>
            </w:tcBorders>
            <w:shd w:val="clear" w:color="auto" w:fill="auto"/>
            <w:noWrap w:val="0"/>
            <w:vAlign w:val="bottom"/>
          </w:tcPr>
          <w:p w14:paraId="25FD5173">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c>
          <w:tcPr>
            <w:tcW w:w="1221" w:type="dxa"/>
            <w:tcBorders>
              <w:top w:val="nil"/>
              <w:left w:val="nil"/>
              <w:bottom w:val="single" w:color="auto" w:sz="4" w:space="0"/>
              <w:right w:val="single" w:color="auto" w:sz="8" w:space="0"/>
            </w:tcBorders>
            <w:shd w:val="clear" w:color="auto" w:fill="auto"/>
            <w:noWrap w:val="0"/>
            <w:vAlign w:val="bottom"/>
          </w:tcPr>
          <w:p w14:paraId="0DAD3271">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r>
      <w:tr w14:paraId="28CEA699">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noWrap w:val="0"/>
            <w:vAlign w:val="bottom"/>
          </w:tcPr>
          <w:p w14:paraId="07B31B8F">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13、房地产开发经营</w:t>
            </w:r>
          </w:p>
        </w:tc>
        <w:tc>
          <w:tcPr>
            <w:tcW w:w="1498" w:type="dxa"/>
            <w:tcBorders>
              <w:top w:val="nil"/>
              <w:left w:val="nil"/>
              <w:bottom w:val="single" w:color="auto" w:sz="4" w:space="0"/>
              <w:right w:val="single" w:color="auto" w:sz="4" w:space="0"/>
            </w:tcBorders>
            <w:shd w:val="clear" w:color="auto" w:fill="auto"/>
            <w:noWrap w:val="0"/>
            <w:vAlign w:val="bottom"/>
          </w:tcPr>
          <w:p w14:paraId="0B1AB88C">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763" w:type="dxa"/>
            <w:tcBorders>
              <w:top w:val="nil"/>
              <w:left w:val="nil"/>
              <w:bottom w:val="single" w:color="auto" w:sz="4" w:space="0"/>
              <w:right w:val="single" w:color="auto" w:sz="4" w:space="0"/>
            </w:tcBorders>
            <w:shd w:val="clear" w:color="auto" w:fill="auto"/>
            <w:noWrap w:val="0"/>
            <w:vAlign w:val="bottom"/>
          </w:tcPr>
          <w:p w14:paraId="4E711EA4">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1000≤Y＜200000</w:t>
            </w:r>
          </w:p>
        </w:tc>
        <w:tc>
          <w:tcPr>
            <w:tcW w:w="1660" w:type="dxa"/>
            <w:tcBorders>
              <w:top w:val="nil"/>
              <w:left w:val="nil"/>
              <w:bottom w:val="single" w:color="auto" w:sz="4" w:space="0"/>
              <w:right w:val="single" w:color="auto" w:sz="8" w:space="0"/>
            </w:tcBorders>
            <w:shd w:val="clear" w:color="auto" w:fill="auto"/>
            <w:noWrap w:val="0"/>
            <w:vAlign w:val="bottom"/>
          </w:tcPr>
          <w:p w14:paraId="2D7B0CF3">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5000≤Z＜10000</w:t>
            </w:r>
          </w:p>
        </w:tc>
        <w:tc>
          <w:tcPr>
            <w:tcW w:w="1240" w:type="dxa"/>
            <w:tcBorders>
              <w:top w:val="nil"/>
              <w:left w:val="nil"/>
              <w:bottom w:val="single" w:color="auto" w:sz="4" w:space="0"/>
              <w:right w:val="single" w:color="auto" w:sz="4" w:space="0"/>
            </w:tcBorders>
            <w:shd w:val="clear" w:color="auto" w:fill="auto"/>
            <w:noWrap w:val="0"/>
            <w:vAlign w:val="bottom"/>
          </w:tcPr>
          <w:p w14:paraId="67CC782E">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480" w:type="dxa"/>
            <w:tcBorders>
              <w:top w:val="nil"/>
              <w:left w:val="nil"/>
              <w:bottom w:val="single" w:color="auto" w:sz="4" w:space="0"/>
              <w:right w:val="single" w:color="auto" w:sz="4" w:space="0"/>
            </w:tcBorders>
            <w:shd w:val="clear" w:color="auto" w:fill="auto"/>
            <w:noWrap w:val="0"/>
            <w:vAlign w:val="bottom"/>
          </w:tcPr>
          <w:p w14:paraId="1CEB4E44">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520" w:type="dxa"/>
            <w:tcBorders>
              <w:top w:val="nil"/>
              <w:left w:val="nil"/>
              <w:bottom w:val="single" w:color="auto" w:sz="4" w:space="0"/>
              <w:right w:val="single" w:color="auto" w:sz="8" w:space="0"/>
            </w:tcBorders>
            <w:shd w:val="clear" w:color="auto" w:fill="auto"/>
            <w:noWrap w:val="0"/>
            <w:vAlign w:val="bottom"/>
          </w:tcPr>
          <w:p w14:paraId="7CA51A5F">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2000≤Z＜5000</w:t>
            </w:r>
          </w:p>
        </w:tc>
        <w:tc>
          <w:tcPr>
            <w:tcW w:w="1285" w:type="dxa"/>
            <w:tcBorders>
              <w:top w:val="nil"/>
              <w:left w:val="nil"/>
              <w:bottom w:val="single" w:color="auto" w:sz="4" w:space="0"/>
              <w:right w:val="single" w:color="auto" w:sz="4" w:space="0"/>
            </w:tcBorders>
            <w:shd w:val="clear" w:color="auto" w:fill="auto"/>
            <w:noWrap w:val="0"/>
            <w:vAlign w:val="bottom"/>
          </w:tcPr>
          <w:p w14:paraId="29E84AC2">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75" w:type="dxa"/>
            <w:tcBorders>
              <w:top w:val="nil"/>
              <w:left w:val="nil"/>
              <w:bottom w:val="single" w:color="auto" w:sz="4" w:space="0"/>
              <w:right w:val="single" w:color="auto" w:sz="4" w:space="0"/>
            </w:tcBorders>
            <w:shd w:val="clear" w:color="auto" w:fill="auto"/>
            <w:noWrap w:val="0"/>
            <w:vAlign w:val="bottom"/>
          </w:tcPr>
          <w:p w14:paraId="2D27D0B3">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c>
          <w:tcPr>
            <w:tcW w:w="1221" w:type="dxa"/>
            <w:tcBorders>
              <w:top w:val="nil"/>
              <w:left w:val="nil"/>
              <w:bottom w:val="single" w:color="auto" w:sz="4" w:space="0"/>
              <w:right w:val="single" w:color="auto" w:sz="8" w:space="0"/>
            </w:tcBorders>
            <w:shd w:val="clear" w:color="auto" w:fill="auto"/>
            <w:noWrap w:val="0"/>
            <w:vAlign w:val="bottom"/>
          </w:tcPr>
          <w:p w14:paraId="46FB4582">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Z＜2000</w:t>
            </w:r>
          </w:p>
        </w:tc>
      </w:tr>
      <w:tr w14:paraId="51BC6FF7">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noWrap w:val="0"/>
            <w:vAlign w:val="bottom"/>
          </w:tcPr>
          <w:p w14:paraId="05AD22F0">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14、物业管理</w:t>
            </w:r>
          </w:p>
        </w:tc>
        <w:tc>
          <w:tcPr>
            <w:tcW w:w="1498" w:type="dxa"/>
            <w:tcBorders>
              <w:top w:val="nil"/>
              <w:left w:val="nil"/>
              <w:bottom w:val="single" w:color="auto" w:sz="4" w:space="0"/>
              <w:right w:val="single" w:color="auto" w:sz="4" w:space="0"/>
            </w:tcBorders>
            <w:shd w:val="clear" w:color="auto" w:fill="auto"/>
            <w:noWrap w:val="0"/>
            <w:vAlign w:val="bottom"/>
          </w:tcPr>
          <w:p w14:paraId="4883C8C3">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63" w:type="dxa"/>
            <w:tcBorders>
              <w:top w:val="nil"/>
              <w:left w:val="nil"/>
              <w:bottom w:val="single" w:color="auto" w:sz="4" w:space="0"/>
              <w:right w:val="single" w:color="auto" w:sz="4" w:space="0"/>
            </w:tcBorders>
            <w:shd w:val="clear" w:color="auto" w:fill="auto"/>
            <w:noWrap w:val="0"/>
            <w:vAlign w:val="bottom"/>
          </w:tcPr>
          <w:p w14:paraId="7E01B8B0">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660" w:type="dxa"/>
            <w:tcBorders>
              <w:top w:val="nil"/>
              <w:left w:val="nil"/>
              <w:bottom w:val="single" w:color="auto" w:sz="4" w:space="0"/>
              <w:right w:val="single" w:color="auto" w:sz="8" w:space="0"/>
            </w:tcBorders>
            <w:shd w:val="clear" w:color="auto" w:fill="auto"/>
            <w:noWrap w:val="0"/>
            <w:vAlign w:val="bottom"/>
          </w:tcPr>
          <w:p w14:paraId="7D9F2A90">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40" w:type="dxa"/>
            <w:tcBorders>
              <w:top w:val="nil"/>
              <w:left w:val="nil"/>
              <w:bottom w:val="single" w:color="auto" w:sz="4" w:space="0"/>
              <w:right w:val="single" w:color="auto" w:sz="4" w:space="0"/>
            </w:tcBorders>
            <w:shd w:val="clear" w:color="auto" w:fill="auto"/>
            <w:noWrap w:val="0"/>
            <w:vAlign w:val="bottom"/>
          </w:tcPr>
          <w:p w14:paraId="76A24220">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80" w:type="dxa"/>
            <w:tcBorders>
              <w:top w:val="nil"/>
              <w:left w:val="nil"/>
              <w:bottom w:val="single" w:color="auto" w:sz="4" w:space="0"/>
              <w:right w:val="single" w:color="auto" w:sz="4" w:space="0"/>
            </w:tcBorders>
            <w:shd w:val="clear" w:color="auto" w:fill="auto"/>
            <w:noWrap w:val="0"/>
            <w:vAlign w:val="bottom"/>
          </w:tcPr>
          <w:p w14:paraId="18DA078B">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500≤Y＜1000</w:t>
            </w:r>
          </w:p>
        </w:tc>
        <w:tc>
          <w:tcPr>
            <w:tcW w:w="1520" w:type="dxa"/>
            <w:tcBorders>
              <w:top w:val="nil"/>
              <w:left w:val="nil"/>
              <w:bottom w:val="single" w:color="auto" w:sz="4" w:space="0"/>
              <w:right w:val="single" w:color="auto" w:sz="8" w:space="0"/>
            </w:tcBorders>
            <w:shd w:val="clear" w:color="auto" w:fill="auto"/>
            <w:noWrap w:val="0"/>
            <w:vAlign w:val="bottom"/>
          </w:tcPr>
          <w:p w14:paraId="21AC2318">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85" w:type="dxa"/>
            <w:tcBorders>
              <w:top w:val="nil"/>
              <w:left w:val="nil"/>
              <w:bottom w:val="single" w:color="auto" w:sz="4" w:space="0"/>
              <w:right w:val="single" w:color="auto" w:sz="4" w:space="0"/>
            </w:tcBorders>
            <w:shd w:val="clear" w:color="auto" w:fill="auto"/>
            <w:noWrap w:val="0"/>
            <w:vAlign w:val="bottom"/>
          </w:tcPr>
          <w:p w14:paraId="421C32C5">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c>
          <w:tcPr>
            <w:tcW w:w="1275" w:type="dxa"/>
            <w:tcBorders>
              <w:top w:val="nil"/>
              <w:left w:val="nil"/>
              <w:bottom w:val="single" w:color="auto" w:sz="4" w:space="0"/>
              <w:right w:val="single" w:color="auto" w:sz="4" w:space="0"/>
            </w:tcBorders>
            <w:shd w:val="clear" w:color="auto" w:fill="auto"/>
            <w:noWrap w:val="0"/>
            <w:vAlign w:val="bottom"/>
          </w:tcPr>
          <w:p w14:paraId="631E9191">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w:t>
            </w:r>
          </w:p>
        </w:tc>
        <w:tc>
          <w:tcPr>
            <w:tcW w:w="1221" w:type="dxa"/>
            <w:tcBorders>
              <w:top w:val="nil"/>
              <w:left w:val="nil"/>
              <w:bottom w:val="single" w:color="auto" w:sz="4" w:space="0"/>
              <w:right w:val="single" w:color="auto" w:sz="8" w:space="0"/>
            </w:tcBorders>
            <w:shd w:val="clear" w:color="auto" w:fill="auto"/>
            <w:noWrap w:val="0"/>
            <w:vAlign w:val="bottom"/>
          </w:tcPr>
          <w:p w14:paraId="3499016E">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r>
      <w:tr w14:paraId="2EE70956">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noWrap w:val="0"/>
            <w:vAlign w:val="bottom"/>
          </w:tcPr>
          <w:p w14:paraId="1DC30AEA">
            <w:pPr>
              <w:keepNext w:val="0"/>
              <w:keepLines w:val="0"/>
              <w:pageBreakBefore w:val="0"/>
              <w:widowControl w:val="0"/>
              <w:shd w:val="clear"/>
              <w:kinsoku/>
              <w:wordWrap/>
              <w:overflowPunct/>
              <w:topLinePunct w:val="0"/>
              <w:bidi w:val="0"/>
              <w:jc w:val="left"/>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15、租赁和商务服务业</w:t>
            </w:r>
          </w:p>
        </w:tc>
        <w:tc>
          <w:tcPr>
            <w:tcW w:w="1498" w:type="dxa"/>
            <w:tcBorders>
              <w:top w:val="nil"/>
              <w:left w:val="nil"/>
              <w:bottom w:val="single" w:color="auto" w:sz="4" w:space="0"/>
              <w:right w:val="single" w:color="auto" w:sz="4" w:space="0"/>
            </w:tcBorders>
            <w:shd w:val="clear" w:color="auto" w:fill="auto"/>
            <w:noWrap w:val="0"/>
            <w:vAlign w:val="bottom"/>
          </w:tcPr>
          <w:p w14:paraId="115D8F5C">
            <w:pPr>
              <w:keepNext w:val="0"/>
              <w:keepLines w:val="0"/>
              <w:pageBreakBefore w:val="0"/>
              <w:widowControl w:val="0"/>
              <w:shd w:val="clear"/>
              <w:kinsoku/>
              <w:wordWrap/>
              <w:overflowPunct/>
              <w:topLinePunct w:val="0"/>
              <w:bidi w:val="0"/>
              <w:jc w:val="left"/>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100≤X＜300</w:t>
            </w:r>
          </w:p>
        </w:tc>
        <w:tc>
          <w:tcPr>
            <w:tcW w:w="1763" w:type="dxa"/>
            <w:tcBorders>
              <w:top w:val="nil"/>
              <w:left w:val="nil"/>
              <w:bottom w:val="single" w:color="auto" w:sz="4" w:space="0"/>
              <w:right w:val="single" w:color="auto" w:sz="4" w:space="0"/>
            </w:tcBorders>
            <w:shd w:val="clear" w:color="auto" w:fill="auto"/>
            <w:noWrap w:val="0"/>
            <w:vAlign w:val="bottom"/>
          </w:tcPr>
          <w:p w14:paraId="0DDF5C9E">
            <w:pPr>
              <w:keepNext w:val="0"/>
              <w:keepLines w:val="0"/>
              <w:pageBreakBefore w:val="0"/>
              <w:widowControl w:val="0"/>
              <w:shd w:val="clear"/>
              <w:kinsoku/>
              <w:wordWrap/>
              <w:overflowPunct/>
              <w:topLinePunct w:val="0"/>
              <w:bidi w:val="0"/>
              <w:jc w:val="left"/>
              <w:rPr>
                <w:rFonts w:hint="eastAsia" w:ascii="宋体" w:hAnsi="宋体" w:eastAsia="宋体" w:cs="宋体"/>
                <w:b w:val="0"/>
                <w:bCs w:val="0"/>
                <w:color w:val="auto"/>
                <w:kern w:val="0"/>
                <w:sz w:val="18"/>
                <w:szCs w:val="18"/>
                <w:highlight w:val="none"/>
                <w:lang w:eastAsia="zh-CN"/>
              </w:rPr>
            </w:pPr>
          </w:p>
        </w:tc>
        <w:tc>
          <w:tcPr>
            <w:tcW w:w="1660" w:type="dxa"/>
            <w:tcBorders>
              <w:top w:val="nil"/>
              <w:left w:val="nil"/>
              <w:bottom w:val="single" w:color="auto" w:sz="4" w:space="0"/>
              <w:right w:val="single" w:color="auto" w:sz="8" w:space="0"/>
            </w:tcBorders>
            <w:shd w:val="clear" w:color="auto" w:fill="auto"/>
            <w:noWrap w:val="0"/>
            <w:vAlign w:val="bottom"/>
          </w:tcPr>
          <w:p w14:paraId="789D3D3C">
            <w:pPr>
              <w:keepNext w:val="0"/>
              <w:keepLines w:val="0"/>
              <w:pageBreakBefore w:val="0"/>
              <w:widowControl w:val="0"/>
              <w:shd w:val="clear"/>
              <w:kinsoku/>
              <w:wordWrap/>
              <w:overflowPunct/>
              <w:topLinePunct w:val="0"/>
              <w:bidi w:val="0"/>
              <w:jc w:val="left"/>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8000≤Z＜120000</w:t>
            </w:r>
          </w:p>
        </w:tc>
        <w:tc>
          <w:tcPr>
            <w:tcW w:w="1240" w:type="dxa"/>
            <w:tcBorders>
              <w:top w:val="nil"/>
              <w:left w:val="nil"/>
              <w:bottom w:val="single" w:color="auto" w:sz="4" w:space="0"/>
              <w:right w:val="single" w:color="auto" w:sz="4" w:space="0"/>
            </w:tcBorders>
            <w:shd w:val="clear" w:color="auto" w:fill="auto"/>
            <w:noWrap w:val="0"/>
            <w:vAlign w:val="bottom"/>
          </w:tcPr>
          <w:p w14:paraId="7852E89F">
            <w:pPr>
              <w:keepNext w:val="0"/>
              <w:keepLines w:val="0"/>
              <w:pageBreakBefore w:val="0"/>
              <w:widowControl w:val="0"/>
              <w:shd w:val="clear"/>
              <w:kinsoku/>
              <w:wordWrap/>
              <w:overflowPunct/>
              <w:topLinePunct w:val="0"/>
              <w:bidi w:val="0"/>
              <w:jc w:val="left"/>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10≤X＜100</w:t>
            </w:r>
          </w:p>
        </w:tc>
        <w:tc>
          <w:tcPr>
            <w:tcW w:w="1480" w:type="dxa"/>
            <w:tcBorders>
              <w:top w:val="nil"/>
              <w:left w:val="nil"/>
              <w:bottom w:val="single" w:color="auto" w:sz="4" w:space="0"/>
              <w:right w:val="single" w:color="auto" w:sz="4" w:space="0"/>
            </w:tcBorders>
            <w:shd w:val="clear" w:color="auto" w:fill="auto"/>
            <w:noWrap w:val="0"/>
            <w:vAlign w:val="bottom"/>
          </w:tcPr>
          <w:p w14:paraId="6C9683FE">
            <w:pPr>
              <w:keepNext w:val="0"/>
              <w:keepLines w:val="0"/>
              <w:pageBreakBefore w:val="0"/>
              <w:widowControl w:val="0"/>
              <w:shd w:val="clear"/>
              <w:kinsoku/>
              <w:wordWrap/>
              <w:overflowPunct/>
              <w:topLinePunct w:val="0"/>
              <w:bidi w:val="0"/>
              <w:jc w:val="left"/>
              <w:rPr>
                <w:rFonts w:hint="eastAsia" w:ascii="宋体" w:hAnsi="宋体" w:eastAsia="宋体" w:cs="宋体"/>
                <w:b w:val="0"/>
                <w:bCs w:val="0"/>
                <w:color w:val="auto"/>
                <w:kern w:val="0"/>
                <w:sz w:val="18"/>
                <w:szCs w:val="18"/>
                <w:highlight w:val="none"/>
                <w:lang w:eastAsia="zh-CN"/>
              </w:rPr>
            </w:pPr>
          </w:p>
        </w:tc>
        <w:tc>
          <w:tcPr>
            <w:tcW w:w="1520" w:type="dxa"/>
            <w:tcBorders>
              <w:top w:val="nil"/>
              <w:left w:val="nil"/>
              <w:bottom w:val="single" w:color="auto" w:sz="4" w:space="0"/>
              <w:right w:val="single" w:color="auto" w:sz="8" w:space="0"/>
            </w:tcBorders>
            <w:shd w:val="clear" w:color="auto" w:fill="auto"/>
            <w:noWrap w:val="0"/>
            <w:vAlign w:val="bottom"/>
          </w:tcPr>
          <w:p w14:paraId="5D0AC406">
            <w:pPr>
              <w:keepNext w:val="0"/>
              <w:keepLines w:val="0"/>
              <w:pageBreakBefore w:val="0"/>
              <w:widowControl w:val="0"/>
              <w:shd w:val="clear"/>
              <w:kinsoku/>
              <w:wordWrap/>
              <w:overflowPunct/>
              <w:topLinePunct w:val="0"/>
              <w:bidi w:val="0"/>
              <w:jc w:val="left"/>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100≤Z＜8000</w:t>
            </w:r>
          </w:p>
        </w:tc>
        <w:tc>
          <w:tcPr>
            <w:tcW w:w="1285" w:type="dxa"/>
            <w:tcBorders>
              <w:top w:val="nil"/>
              <w:left w:val="nil"/>
              <w:bottom w:val="single" w:color="auto" w:sz="4" w:space="0"/>
              <w:right w:val="single" w:color="auto" w:sz="4" w:space="0"/>
            </w:tcBorders>
            <w:shd w:val="clear" w:color="auto" w:fill="auto"/>
            <w:noWrap w:val="0"/>
            <w:vAlign w:val="bottom"/>
          </w:tcPr>
          <w:p w14:paraId="496D9F5E">
            <w:pPr>
              <w:keepNext w:val="0"/>
              <w:keepLines w:val="0"/>
              <w:pageBreakBefore w:val="0"/>
              <w:widowControl w:val="0"/>
              <w:shd w:val="clear"/>
              <w:kinsoku/>
              <w:wordWrap/>
              <w:overflowPunct/>
              <w:topLinePunct w:val="0"/>
              <w:bidi w:val="0"/>
              <w:jc w:val="left"/>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X＜10</w:t>
            </w:r>
          </w:p>
        </w:tc>
        <w:tc>
          <w:tcPr>
            <w:tcW w:w="1275" w:type="dxa"/>
            <w:tcBorders>
              <w:top w:val="nil"/>
              <w:left w:val="nil"/>
              <w:bottom w:val="single" w:color="auto" w:sz="4" w:space="0"/>
              <w:right w:val="single" w:color="auto" w:sz="4" w:space="0"/>
            </w:tcBorders>
            <w:shd w:val="clear" w:color="auto" w:fill="auto"/>
            <w:noWrap w:val="0"/>
            <w:vAlign w:val="bottom"/>
          </w:tcPr>
          <w:p w14:paraId="3F72159D">
            <w:pPr>
              <w:keepNext w:val="0"/>
              <w:keepLines w:val="0"/>
              <w:pageBreakBefore w:val="0"/>
              <w:widowControl w:val="0"/>
              <w:shd w:val="clear"/>
              <w:kinsoku/>
              <w:wordWrap/>
              <w:overflowPunct/>
              <w:topLinePunct w:val="0"/>
              <w:bidi w:val="0"/>
              <w:jc w:val="left"/>
              <w:rPr>
                <w:rFonts w:hint="eastAsia" w:ascii="宋体" w:hAnsi="宋体" w:eastAsia="宋体" w:cs="宋体"/>
                <w:b w:val="0"/>
                <w:bCs w:val="0"/>
                <w:color w:val="auto"/>
                <w:kern w:val="0"/>
                <w:sz w:val="18"/>
                <w:szCs w:val="18"/>
                <w:highlight w:val="none"/>
                <w:lang w:eastAsia="zh-CN"/>
              </w:rPr>
            </w:pPr>
          </w:p>
        </w:tc>
        <w:tc>
          <w:tcPr>
            <w:tcW w:w="1221" w:type="dxa"/>
            <w:tcBorders>
              <w:top w:val="nil"/>
              <w:left w:val="nil"/>
              <w:bottom w:val="single" w:color="auto" w:sz="4" w:space="0"/>
              <w:right w:val="single" w:color="auto" w:sz="8" w:space="0"/>
            </w:tcBorders>
            <w:shd w:val="clear" w:color="auto" w:fill="auto"/>
            <w:noWrap w:val="0"/>
            <w:vAlign w:val="bottom"/>
          </w:tcPr>
          <w:p w14:paraId="5EFA2FF6">
            <w:pPr>
              <w:keepNext w:val="0"/>
              <w:keepLines w:val="0"/>
              <w:pageBreakBefore w:val="0"/>
              <w:widowControl w:val="0"/>
              <w:shd w:val="clear"/>
              <w:kinsoku/>
              <w:wordWrap/>
              <w:overflowPunct/>
              <w:topLinePunct w:val="0"/>
              <w:bidi w:val="0"/>
              <w:jc w:val="left"/>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Z＜100</w:t>
            </w:r>
          </w:p>
        </w:tc>
      </w:tr>
      <w:tr w14:paraId="6FF943DA">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8" w:space="0"/>
              <w:right w:val="single" w:color="auto" w:sz="8" w:space="0"/>
            </w:tcBorders>
            <w:shd w:val="clear" w:color="auto" w:fill="auto"/>
            <w:noWrap w:val="0"/>
            <w:vAlign w:val="bottom"/>
          </w:tcPr>
          <w:p w14:paraId="2AA5C596">
            <w:pPr>
              <w:keepNext w:val="0"/>
              <w:keepLines w:val="0"/>
              <w:pageBreakBefore w:val="0"/>
              <w:widowControl w:val="0"/>
              <w:shd w:val="clear"/>
              <w:kinsoku/>
              <w:wordWrap/>
              <w:overflowPunct/>
              <w:topLinePunct w:val="0"/>
              <w:bidi w:val="0"/>
              <w:jc w:val="lef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16、其他未列明行业</w:t>
            </w:r>
          </w:p>
        </w:tc>
        <w:tc>
          <w:tcPr>
            <w:tcW w:w="1498" w:type="dxa"/>
            <w:tcBorders>
              <w:top w:val="nil"/>
              <w:left w:val="nil"/>
              <w:bottom w:val="single" w:color="auto" w:sz="8" w:space="0"/>
              <w:right w:val="single" w:color="auto" w:sz="4" w:space="0"/>
            </w:tcBorders>
            <w:shd w:val="clear" w:color="auto" w:fill="auto"/>
            <w:noWrap w:val="0"/>
            <w:vAlign w:val="bottom"/>
          </w:tcPr>
          <w:p w14:paraId="335116DB">
            <w:pPr>
              <w:keepNext w:val="0"/>
              <w:keepLines w:val="0"/>
              <w:pageBreakBefore w:val="0"/>
              <w:widowControl w:val="0"/>
              <w:shd w:val="clear"/>
              <w:kinsoku/>
              <w:wordWrap/>
              <w:overflowPunct/>
              <w:topLinePunct w:val="0"/>
              <w:bidi w:val="0"/>
              <w:jc w:val="lef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100≤X＜300</w:t>
            </w:r>
          </w:p>
        </w:tc>
        <w:tc>
          <w:tcPr>
            <w:tcW w:w="1763" w:type="dxa"/>
            <w:tcBorders>
              <w:top w:val="nil"/>
              <w:left w:val="nil"/>
              <w:bottom w:val="single" w:color="auto" w:sz="8" w:space="0"/>
              <w:right w:val="single" w:color="auto" w:sz="4" w:space="0"/>
            </w:tcBorders>
            <w:shd w:val="clear" w:color="auto" w:fill="auto"/>
            <w:noWrap w:val="0"/>
            <w:vAlign w:val="bottom"/>
          </w:tcPr>
          <w:p w14:paraId="7A0DCB03">
            <w:pPr>
              <w:keepNext w:val="0"/>
              <w:keepLines w:val="0"/>
              <w:pageBreakBefore w:val="0"/>
              <w:widowControl w:val="0"/>
              <w:shd w:val="clear"/>
              <w:kinsoku/>
              <w:wordWrap/>
              <w:overflowPunct/>
              <w:topLinePunct w:val="0"/>
              <w:bidi w:val="0"/>
              <w:jc w:val="left"/>
              <w:rPr>
                <w:rFonts w:hint="eastAsia" w:ascii="宋体" w:hAnsi="宋体" w:eastAsia="宋体" w:cs="宋体"/>
                <w:b/>
                <w:bCs/>
                <w:color w:val="auto"/>
                <w:kern w:val="0"/>
                <w:sz w:val="18"/>
                <w:szCs w:val="18"/>
                <w:highlight w:val="none"/>
                <w:lang w:eastAsia="zh-CN"/>
              </w:rPr>
            </w:pPr>
          </w:p>
        </w:tc>
        <w:tc>
          <w:tcPr>
            <w:tcW w:w="1660" w:type="dxa"/>
            <w:tcBorders>
              <w:top w:val="nil"/>
              <w:left w:val="nil"/>
              <w:bottom w:val="single" w:color="auto" w:sz="8" w:space="0"/>
              <w:right w:val="single" w:color="auto" w:sz="8" w:space="0"/>
            </w:tcBorders>
            <w:shd w:val="clear" w:color="auto" w:fill="auto"/>
            <w:noWrap w:val="0"/>
            <w:vAlign w:val="bottom"/>
          </w:tcPr>
          <w:p w14:paraId="53962672">
            <w:pPr>
              <w:keepNext w:val="0"/>
              <w:keepLines w:val="0"/>
              <w:pageBreakBefore w:val="0"/>
              <w:widowControl w:val="0"/>
              <w:shd w:val="clear"/>
              <w:kinsoku/>
              <w:wordWrap/>
              <w:overflowPunct/>
              <w:topLinePunct w:val="0"/>
              <w:bidi w:val="0"/>
              <w:jc w:val="left"/>
              <w:rPr>
                <w:rFonts w:hint="eastAsia" w:ascii="宋体" w:hAnsi="宋体" w:eastAsia="宋体" w:cs="宋体"/>
                <w:b/>
                <w:bCs/>
                <w:color w:val="auto"/>
                <w:kern w:val="0"/>
                <w:sz w:val="18"/>
                <w:szCs w:val="18"/>
                <w:highlight w:val="none"/>
                <w:lang w:eastAsia="zh-CN"/>
              </w:rPr>
            </w:pPr>
          </w:p>
        </w:tc>
        <w:tc>
          <w:tcPr>
            <w:tcW w:w="1240" w:type="dxa"/>
            <w:tcBorders>
              <w:top w:val="nil"/>
              <w:left w:val="nil"/>
              <w:bottom w:val="single" w:color="auto" w:sz="8" w:space="0"/>
              <w:right w:val="single" w:color="auto" w:sz="4" w:space="0"/>
            </w:tcBorders>
            <w:shd w:val="clear" w:color="auto" w:fill="auto"/>
            <w:noWrap w:val="0"/>
            <w:vAlign w:val="bottom"/>
          </w:tcPr>
          <w:p w14:paraId="26A2220A">
            <w:pPr>
              <w:keepNext w:val="0"/>
              <w:keepLines w:val="0"/>
              <w:pageBreakBefore w:val="0"/>
              <w:widowControl w:val="0"/>
              <w:shd w:val="clear"/>
              <w:kinsoku/>
              <w:wordWrap/>
              <w:overflowPunct/>
              <w:topLinePunct w:val="0"/>
              <w:bidi w:val="0"/>
              <w:jc w:val="lef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10≤X＜100</w:t>
            </w:r>
          </w:p>
        </w:tc>
        <w:tc>
          <w:tcPr>
            <w:tcW w:w="1480" w:type="dxa"/>
            <w:tcBorders>
              <w:top w:val="nil"/>
              <w:left w:val="nil"/>
              <w:bottom w:val="single" w:color="auto" w:sz="8" w:space="0"/>
              <w:right w:val="single" w:color="auto" w:sz="4" w:space="0"/>
            </w:tcBorders>
            <w:shd w:val="clear" w:color="auto" w:fill="auto"/>
            <w:noWrap w:val="0"/>
            <w:vAlign w:val="bottom"/>
          </w:tcPr>
          <w:p w14:paraId="6E794D0B">
            <w:pPr>
              <w:keepNext w:val="0"/>
              <w:keepLines w:val="0"/>
              <w:pageBreakBefore w:val="0"/>
              <w:widowControl w:val="0"/>
              <w:shd w:val="clear"/>
              <w:kinsoku/>
              <w:wordWrap/>
              <w:overflowPunct/>
              <w:topLinePunct w:val="0"/>
              <w:bidi w:val="0"/>
              <w:jc w:val="left"/>
              <w:rPr>
                <w:rFonts w:hint="eastAsia" w:ascii="宋体" w:hAnsi="宋体" w:eastAsia="宋体" w:cs="宋体"/>
                <w:b/>
                <w:bCs/>
                <w:color w:val="auto"/>
                <w:kern w:val="0"/>
                <w:sz w:val="18"/>
                <w:szCs w:val="18"/>
                <w:highlight w:val="none"/>
                <w:lang w:eastAsia="zh-CN"/>
              </w:rPr>
            </w:pPr>
          </w:p>
        </w:tc>
        <w:tc>
          <w:tcPr>
            <w:tcW w:w="1520" w:type="dxa"/>
            <w:tcBorders>
              <w:top w:val="nil"/>
              <w:left w:val="nil"/>
              <w:bottom w:val="single" w:color="auto" w:sz="8" w:space="0"/>
              <w:right w:val="single" w:color="auto" w:sz="8" w:space="0"/>
            </w:tcBorders>
            <w:shd w:val="clear" w:color="auto" w:fill="auto"/>
            <w:noWrap w:val="0"/>
            <w:vAlign w:val="bottom"/>
          </w:tcPr>
          <w:p w14:paraId="6440DE39">
            <w:pPr>
              <w:keepNext w:val="0"/>
              <w:keepLines w:val="0"/>
              <w:pageBreakBefore w:val="0"/>
              <w:widowControl w:val="0"/>
              <w:shd w:val="clear"/>
              <w:kinsoku/>
              <w:wordWrap/>
              <w:overflowPunct/>
              <w:topLinePunct w:val="0"/>
              <w:bidi w:val="0"/>
              <w:jc w:val="left"/>
              <w:rPr>
                <w:rFonts w:hint="eastAsia" w:ascii="宋体" w:hAnsi="宋体" w:eastAsia="宋体" w:cs="宋体"/>
                <w:b/>
                <w:bCs/>
                <w:color w:val="auto"/>
                <w:kern w:val="0"/>
                <w:sz w:val="18"/>
                <w:szCs w:val="18"/>
                <w:highlight w:val="none"/>
                <w:lang w:eastAsia="zh-CN"/>
              </w:rPr>
            </w:pPr>
          </w:p>
        </w:tc>
        <w:tc>
          <w:tcPr>
            <w:tcW w:w="1285" w:type="dxa"/>
            <w:tcBorders>
              <w:top w:val="nil"/>
              <w:left w:val="nil"/>
              <w:bottom w:val="single" w:color="auto" w:sz="8" w:space="0"/>
              <w:right w:val="single" w:color="auto" w:sz="4" w:space="0"/>
            </w:tcBorders>
            <w:shd w:val="clear" w:color="auto" w:fill="auto"/>
            <w:noWrap w:val="0"/>
            <w:vAlign w:val="bottom"/>
          </w:tcPr>
          <w:p w14:paraId="5C079E7C">
            <w:pPr>
              <w:keepNext w:val="0"/>
              <w:keepLines w:val="0"/>
              <w:pageBreakBefore w:val="0"/>
              <w:widowControl w:val="0"/>
              <w:shd w:val="clear"/>
              <w:kinsoku/>
              <w:wordWrap/>
              <w:overflowPunct/>
              <w:topLinePunct w:val="0"/>
              <w:bidi w:val="0"/>
              <w:jc w:val="lef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X＜10</w:t>
            </w:r>
          </w:p>
        </w:tc>
        <w:tc>
          <w:tcPr>
            <w:tcW w:w="1275" w:type="dxa"/>
            <w:tcBorders>
              <w:top w:val="nil"/>
              <w:left w:val="nil"/>
              <w:bottom w:val="single" w:color="auto" w:sz="8" w:space="0"/>
              <w:right w:val="single" w:color="auto" w:sz="4" w:space="0"/>
            </w:tcBorders>
            <w:shd w:val="clear" w:color="auto" w:fill="auto"/>
            <w:noWrap w:val="0"/>
            <w:vAlign w:val="bottom"/>
          </w:tcPr>
          <w:p w14:paraId="0D6BC820">
            <w:pPr>
              <w:keepNext w:val="0"/>
              <w:keepLines w:val="0"/>
              <w:pageBreakBefore w:val="0"/>
              <w:widowControl w:val="0"/>
              <w:shd w:val="clear"/>
              <w:kinsoku/>
              <w:wordWrap/>
              <w:overflowPunct/>
              <w:topLinePunct w:val="0"/>
              <w:bidi w:val="0"/>
              <w:jc w:val="left"/>
              <w:rPr>
                <w:rFonts w:hint="eastAsia" w:ascii="宋体" w:hAnsi="宋体" w:eastAsia="宋体" w:cs="宋体"/>
                <w:b/>
                <w:bCs/>
                <w:color w:val="auto"/>
                <w:kern w:val="0"/>
                <w:sz w:val="18"/>
                <w:szCs w:val="18"/>
                <w:highlight w:val="none"/>
                <w:lang w:eastAsia="zh-CN"/>
              </w:rPr>
            </w:pPr>
          </w:p>
        </w:tc>
        <w:tc>
          <w:tcPr>
            <w:tcW w:w="1221" w:type="dxa"/>
            <w:tcBorders>
              <w:top w:val="nil"/>
              <w:left w:val="nil"/>
              <w:bottom w:val="single" w:color="auto" w:sz="8" w:space="0"/>
              <w:right w:val="single" w:color="auto" w:sz="8" w:space="0"/>
            </w:tcBorders>
            <w:shd w:val="clear" w:color="auto" w:fill="auto"/>
            <w:noWrap w:val="0"/>
            <w:vAlign w:val="bottom"/>
          </w:tcPr>
          <w:p w14:paraId="2508914A">
            <w:pPr>
              <w:keepNext w:val="0"/>
              <w:keepLines w:val="0"/>
              <w:pageBreakBefore w:val="0"/>
              <w:widowControl w:val="0"/>
              <w:shd w:val="clear"/>
              <w:kinsoku/>
              <w:wordWrap/>
              <w:overflowPunct/>
              <w:topLinePunct w:val="0"/>
              <w:bidi w:val="0"/>
              <w:jc w:val="left"/>
              <w:rPr>
                <w:rFonts w:hint="eastAsia" w:ascii="宋体" w:hAnsi="宋体" w:eastAsia="宋体" w:cs="宋体"/>
                <w:b/>
                <w:bCs/>
                <w:color w:val="auto"/>
                <w:kern w:val="0"/>
                <w:sz w:val="18"/>
                <w:szCs w:val="18"/>
                <w:highlight w:val="none"/>
                <w:lang w:eastAsia="zh-CN"/>
              </w:rPr>
            </w:pPr>
          </w:p>
        </w:tc>
      </w:tr>
      <w:tr w14:paraId="1F5899B3">
        <w:tblPrEx>
          <w:tblCellMar>
            <w:top w:w="0" w:type="dxa"/>
            <w:left w:w="108" w:type="dxa"/>
            <w:bottom w:w="0" w:type="dxa"/>
            <w:right w:w="108" w:type="dxa"/>
          </w:tblCellMar>
        </w:tblPrEx>
        <w:trPr>
          <w:trHeight w:val="285" w:hRule="atLeast"/>
        </w:trPr>
        <w:tc>
          <w:tcPr>
            <w:tcW w:w="15318" w:type="dxa"/>
            <w:gridSpan w:val="10"/>
            <w:tcBorders>
              <w:top w:val="nil"/>
              <w:left w:val="nil"/>
              <w:bottom w:val="nil"/>
              <w:right w:val="nil"/>
            </w:tcBorders>
            <w:shd w:val="clear" w:color="auto" w:fill="auto"/>
            <w:noWrap w:val="0"/>
            <w:vAlign w:val="bottom"/>
          </w:tcPr>
          <w:p w14:paraId="31449B56">
            <w:pPr>
              <w:keepNext w:val="0"/>
              <w:keepLines w:val="0"/>
              <w:pageBreakBefore w:val="0"/>
              <w:widowControl w:val="0"/>
              <w:shd w:val="clear"/>
              <w:kinsoku/>
              <w:wordWrap/>
              <w:overflowPunct/>
              <w:topLinePunct w:val="0"/>
              <w:bidi w:val="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说明</w:t>
            </w:r>
            <w:r>
              <w:rPr>
                <w:rFonts w:hint="eastAsia" w:ascii="宋体" w:hAnsi="宋体" w:cs="宋体"/>
                <w:color w:val="auto"/>
                <w:sz w:val="18"/>
                <w:szCs w:val="18"/>
                <w:highlight w:val="none"/>
                <w:lang w:eastAsia="zh-CN"/>
              </w:rPr>
              <w:t>：</w:t>
            </w:r>
            <w:r>
              <w:rPr>
                <w:rFonts w:hint="eastAsia" w:ascii="宋体" w:hAnsi="宋体" w:eastAsia="宋体" w:cs="宋体"/>
                <w:color w:val="auto"/>
                <w:sz w:val="18"/>
                <w:szCs w:val="18"/>
                <w:highlight w:val="none"/>
              </w:rPr>
              <w:t>1、企业类型的划分以统计部门的统计数据为依据。</w:t>
            </w:r>
          </w:p>
          <w:p w14:paraId="0E0C8D44">
            <w:pPr>
              <w:keepNext w:val="0"/>
              <w:keepLines w:val="0"/>
              <w:pageBreakBefore w:val="0"/>
              <w:widowControl w:val="0"/>
              <w:shd w:val="clear"/>
              <w:kinsoku/>
              <w:wordWrap/>
              <w:overflowPunct/>
              <w:topLinePunct w:val="0"/>
              <w:bidi w:val="0"/>
              <w:ind w:firstLine="540" w:firstLineChars="3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2、个体工商户和本规定以外的行业，参照本规定进行划型。</w:t>
            </w:r>
          </w:p>
          <w:p w14:paraId="7E76617D">
            <w:pPr>
              <w:keepNext w:val="0"/>
              <w:keepLines w:val="0"/>
              <w:pageBreakBefore w:val="0"/>
              <w:widowControl w:val="0"/>
              <w:shd w:val="clear"/>
              <w:kinsoku/>
              <w:wordWrap/>
              <w:overflowPunct/>
              <w:topLinePunct w:val="0"/>
              <w:bidi w:val="0"/>
              <w:ind w:firstLine="540" w:firstLineChars="300"/>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3、本规定的中型企业标准上限即为大型企业标准的下限。</w:t>
            </w:r>
          </w:p>
        </w:tc>
      </w:tr>
    </w:tbl>
    <w:p w14:paraId="72CC5739">
      <w:pPr>
        <w:pStyle w:val="2"/>
        <w:keepNext w:val="0"/>
        <w:keepLines w:val="0"/>
        <w:pageBreakBefore w:val="0"/>
        <w:widowControl w:val="0"/>
        <w:shd w:val="clear"/>
        <w:kinsoku/>
        <w:wordWrap/>
        <w:overflowPunct/>
        <w:topLinePunct w:val="0"/>
        <w:bidi w:val="0"/>
        <w:rPr>
          <w:b/>
          <w:bCs/>
          <w:color w:val="auto"/>
          <w:highlight w:val="none"/>
        </w:rPr>
      </w:pPr>
    </w:p>
    <w:sectPr>
      <w:headerReference r:id="rId16" w:type="default"/>
      <w:footerReference r:id="rId17" w:type="default"/>
      <w:pgSz w:w="16838" w:h="11906" w:orient="landscape"/>
      <w:pgMar w:top="1440" w:right="1800" w:bottom="1440" w:left="1800"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EDED1E8F-AD55-4023-972D-BD333E9C6E5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878CBAD-78FA-497F-9351-CE7F78E64C9E}"/>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E51EA69F-4621-4C61-BB1A-31E617B2699A}"/>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汉鼎简细圆">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2010601030101010101"/>
    <w:charset w:val="86"/>
    <w:family w:val="script"/>
    <w:pitch w:val="default"/>
    <w:sig w:usb0="00000000" w:usb1="00000000" w:usb2="00000000" w:usb3="00000000" w:csb0="00040000" w:csb1="00000000"/>
    <w:embedRegular r:id="rId4" w:fontKey="{364D2DE9-DDAE-45FD-9FC2-01029120D0FB}"/>
  </w:font>
  <w:font w:name="新宋体">
    <w:panose1 w:val="02010609030101010101"/>
    <w:charset w:val="86"/>
    <w:family w:val="modern"/>
    <w:pitch w:val="default"/>
    <w:sig w:usb0="00000003" w:usb1="288F0000" w:usb2="00000006" w:usb3="00000000" w:csb0="00040001" w:csb1="00000000"/>
    <w:embedRegular r:id="rId5" w:fontKey="{80FB6AE6-3DE4-44F6-B03B-42B26704A1C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A05B0">
    <w:pPr>
      <w:pStyle w:val="31"/>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85B61">
    <w:pPr>
      <w:pStyle w:val="31"/>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4AC21A9">
                          <w:pPr>
                            <w:pStyle w:val="31"/>
                            <w:jc w:val="center"/>
                            <w:rPr>
                              <w:rStyle w:val="49"/>
                            </w:rPr>
                          </w:pPr>
                          <w:r>
                            <w:fldChar w:fldCharType="begin"/>
                          </w:r>
                          <w:r>
                            <w:rPr>
                              <w:rStyle w:val="49"/>
                            </w:rPr>
                            <w:instrText xml:space="preserve">PAGE  </w:instrText>
                          </w:r>
                          <w:r>
                            <w:fldChar w:fldCharType="separate"/>
                          </w:r>
                          <w:r>
                            <w:rPr>
                              <w:rStyle w:val="49"/>
                            </w:rPr>
                            <w:t>103</w:t>
                          </w:r>
                          <w:r>
                            <w:fldChar w:fldCharType="end"/>
                          </w:r>
                        </w:p>
                      </w:txbxContent>
                    </wps:txbx>
                    <wps:bodyPr wrap="square" lIns="0" tIns="0" rIns="0" bIns="0" upright="1"/>
                  </wps:wsp>
                </a:graphicData>
              </a:graphic>
            </wp:anchor>
          </w:drawing>
        </mc:Choice>
        <mc:Fallback>
          <w:pict>
            <v:shape id="文本框 4"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WaT2QNIAAAAFAQAADwAAAAAAAAABACAAAAAiAAAAZHJzL2Rvd25yZXYueG1sUEsB&#10;AhQAFAAAAAgAh07iQOmUsbnCAQAAjwMAAA4AAAAAAAAAAQAgAAAAIQEAAGRycy9lMm9Eb2MueG1s&#10;UEsFBgAAAAAGAAYAWQEAAFUFAAAAAA==&#10;">
              <v:fill on="f" focussize="0,0"/>
              <v:stroke on="f"/>
              <v:imagedata o:title=""/>
              <o:lock v:ext="edit" aspectratio="f"/>
              <v:textbox inset="0mm,0mm,0mm,0mm">
                <w:txbxContent>
                  <w:p w14:paraId="44AC21A9">
                    <w:pPr>
                      <w:pStyle w:val="31"/>
                      <w:jc w:val="center"/>
                      <w:rPr>
                        <w:rStyle w:val="49"/>
                      </w:rPr>
                    </w:pPr>
                    <w:r>
                      <w:fldChar w:fldCharType="begin"/>
                    </w:r>
                    <w:r>
                      <w:rPr>
                        <w:rStyle w:val="49"/>
                      </w:rPr>
                      <w:instrText xml:space="preserve">PAGE  </w:instrText>
                    </w:r>
                    <w:r>
                      <w:fldChar w:fldCharType="separate"/>
                    </w:r>
                    <w:r>
                      <w:rPr>
                        <w:rStyle w:val="49"/>
                      </w:rPr>
                      <w:t>103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5ACA8">
    <w:pPr>
      <w:pStyle w:val="3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737A5">
    <w:pPr>
      <w:pStyle w:val="31"/>
      <w:tabs>
        <w:tab w:val="center" w:pos="4312"/>
        <w:tab w:val="left" w:pos="4894"/>
      </w:tabs>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0F48E">
    <w:pPr>
      <w:pStyle w:val="31"/>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12364011"/>
                          </w:sdtPr>
                          <w:sdtContent>
                            <w:p w14:paraId="3BAB54A0">
                              <w:pPr>
                                <w:pStyle w:val="31"/>
                                <w:jc w:val="center"/>
                              </w:pPr>
                              <w:r>
                                <w:fldChar w:fldCharType="begin"/>
                              </w:r>
                              <w:r>
                                <w:instrText xml:space="preserve">PAGE   \* MERGEFORMAT</w:instrText>
                              </w:r>
                              <w:r>
                                <w:fldChar w:fldCharType="separate"/>
                              </w:r>
                              <w:r>
                                <w:rPr>
                                  <w:lang w:val="zh-CN"/>
                                </w:rPr>
                                <w:t>26</w:t>
                              </w:r>
                              <w:r>
                                <w:fldChar w:fldCharType="end"/>
                              </w:r>
                            </w:p>
                          </w:sdtContent>
                        </w:sdt>
                        <w:p w14:paraId="343F4724">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sdt>
                    <w:sdtPr>
                      <w:id w:val="412364011"/>
                    </w:sdtPr>
                    <w:sdtContent>
                      <w:p w14:paraId="3BAB54A0">
                        <w:pPr>
                          <w:pStyle w:val="31"/>
                          <w:jc w:val="center"/>
                        </w:pPr>
                        <w:r>
                          <w:fldChar w:fldCharType="begin"/>
                        </w:r>
                        <w:r>
                          <w:instrText xml:space="preserve">PAGE   \* MERGEFORMAT</w:instrText>
                        </w:r>
                        <w:r>
                          <w:fldChar w:fldCharType="separate"/>
                        </w:r>
                        <w:r>
                          <w:rPr>
                            <w:lang w:val="zh-CN"/>
                          </w:rPr>
                          <w:t>26</w:t>
                        </w:r>
                        <w:r>
                          <w:fldChar w:fldCharType="end"/>
                        </w:r>
                      </w:p>
                    </w:sdtContent>
                  </w:sdt>
                  <w:p w14:paraId="343F4724">
                    <w:pPr>
                      <w:pStyle w:val="2"/>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A0649">
    <w:pPr>
      <w:pStyle w:val="31"/>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12804531"/>
                          </w:sdtPr>
                          <w:sdtContent>
                            <w:p w14:paraId="2451175D">
                              <w:pPr>
                                <w:pStyle w:val="31"/>
                                <w:jc w:val="center"/>
                              </w:pPr>
                              <w:r>
                                <w:fldChar w:fldCharType="begin"/>
                              </w:r>
                              <w:r>
                                <w:instrText xml:space="preserve">PAGE   \* MERGEFORMAT</w:instrText>
                              </w:r>
                              <w:r>
                                <w:fldChar w:fldCharType="separate"/>
                              </w:r>
                              <w:r>
                                <w:rPr>
                                  <w:lang w:val="zh-CN"/>
                                </w:rPr>
                                <w:t>25</w:t>
                              </w:r>
                              <w:r>
                                <w:fldChar w:fldCharType="end"/>
                              </w:r>
                            </w:p>
                          </w:sdtContent>
                        </w:sdt>
                        <w:p w14:paraId="32246E4F">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sdt>
                    <w:sdtPr>
                      <w:id w:val="512804531"/>
                    </w:sdtPr>
                    <w:sdtContent>
                      <w:p w14:paraId="2451175D">
                        <w:pPr>
                          <w:pStyle w:val="31"/>
                          <w:jc w:val="center"/>
                        </w:pPr>
                        <w:r>
                          <w:fldChar w:fldCharType="begin"/>
                        </w:r>
                        <w:r>
                          <w:instrText xml:space="preserve">PAGE   \* MERGEFORMAT</w:instrText>
                        </w:r>
                        <w:r>
                          <w:fldChar w:fldCharType="separate"/>
                        </w:r>
                        <w:r>
                          <w:rPr>
                            <w:lang w:val="zh-CN"/>
                          </w:rPr>
                          <w:t>25</w:t>
                        </w:r>
                        <w:r>
                          <w:fldChar w:fldCharType="end"/>
                        </w:r>
                      </w:p>
                    </w:sdtContent>
                  </w:sdt>
                  <w:p w14:paraId="32246E4F">
                    <w:pPr>
                      <w:pStyle w:val="2"/>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4D71A">
    <w:pPr>
      <w:pStyle w:val="31"/>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1903"/>
                          </w:sdtPr>
                          <w:sdtContent>
                            <w:p w14:paraId="47C4072C">
                              <w:pPr>
                                <w:pStyle w:val="31"/>
                                <w:jc w:val="center"/>
                              </w:pPr>
                              <w:r>
                                <w:fldChar w:fldCharType="begin"/>
                              </w:r>
                              <w:r>
                                <w:instrText xml:space="preserve">PAGE   \* MERGEFORMAT</w:instrText>
                              </w:r>
                              <w:r>
                                <w:fldChar w:fldCharType="separate"/>
                              </w:r>
                              <w:r>
                                <w:rPr>
                                  <w:lang w:val="zh-CN"/>
                                </w:rPr>
                                <w:t>26</w:t>
                              </w:r>
                              <w:r>
                                <w:fldChar w:fldCharType="end"/>
                              </w:r>
                            </w:p>
                          </w:sdtContent>
                        </w:sdt>
                        <w:p w14:paraId="38EF3D07">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sdt>
                    <w:sdtPr>
                      <w:id w:val="147471903"/>
                    </w:sdtPr>
                    <w:sdtContent>
                      <w:p w14:paraId="47C4072C">
                        <w:pPr>
                          <w:pStyle w:val="31"/>
                          <w:jc w:val="center"/>
                        </w:pPr>
                        <w:r>
                          <w:fldChar w:fldCharType="begin"/>
                        </w:r>
                        <w:r>
                          <w:instrText xml:space="preserve">PAGE   \* MERGEFORMAT</w:instrText>
                        </w:r>
                        <w:r>
                          <w:fldChar w:fldCharType="separate"/>
                        </w:r>
                        <w:r>
                          <w:rPr>
                            <w:lang w:val="zh-CN"/>
                          </w:rPr>
                          <w:t>26</w:t>
                        </w:r>
                        <w:r>
                          <w:fldChar w:fldCharType="end"/>
                        </w:r>
                      </w:p>
                    </w:sdtContent>
                  </w:sdt>
                  <w:p w14:paraId="38EF3D07">
                    <w:pPr>
                      <w:pStyle w:val="2"/>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EC6E6">
    <w:pPr>
      <w:pStyle w:val="3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3C6CC9">
                          <w:pPr>
                            <w:pStyle w:val="31"/>
                            <w:rPr>
                              <w:rStyle w:val="49"/>
                            </w:rPr>
                          </w:pPr>
                          <w:r>
                            <w:fldChar w:fldCharType="begin"/>
                          </w:r>
                          <w:r>
                            <w:rPr>
                              <w:rStyle w:val="49"/>
                            </w:rPr>
                            <w:instrText xml:space="preserve">PAGE  </w:instrText>
                          </w:r>
                          <w:r>
                            <w:fldChar w:fldCharType="separate"/>
                          </w:r>
                          <w:r>
                            <w:rPr>
                              <w:rStyle w:val="49"/>
                            </w:rP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C3C6CC9">
                    <w:pPr>
                      <w:pStyle w:val="31"/>
                      <w:rPr>
                        <w:rStyle w:val="49"/>
                      </w:rPr>
                    </w:pPr>
                    <w:r>
                      <w:fldChar w:fldCharType="begin"/>
                    </w:r>
                    <w:r>
                      <w:rPr>
                        <w:rStyle w:val="49"/>
                      </w:rPr>
                      <w:instrText xml:space="preserve">PAGE  </w:instrText>
                    </w:r>
                    <w:r>
                      <w:fldChar w:fldCharType="separate"/>
                    </w:r>
                    <w:r>
                      <w:rPr>
                        <w:rStyle w:val="49"/>
                      </w:rPr>
                      <w:t>42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85F48">
    <w:pPr>
      <w:pStyle w:val="31"/>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5E1263A">
                          <w:pPr>
                            <w:pStyle w:val="31"/>
                            <w:rPr>
                              <w:rStyle w:val="49"/>
                            </w:rPr>
                          </w:pPr>
                          <w:r>
                            <w:fldChar w:fldCharType="begin"/>
                          </w:r>
                          <w:r>
                            <w:rPr>
                              <w:rStyle w:val="49"/>
                            </w:rPr>
                            <w:instrText xml:space="preserve">PAGE  </w:instrText>
                          </w:r>
                          <w:r>
                            <w:fldChar w:fldCharType="separate"/>
                          </w:r>
                          <w:r>
                            <w:rPr>
                              <w:rStyle w:val="49"/>
                            </w:rPr>
                            <w:t>99</w:t>
                          </w:r>
                          <w: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MDu3afNAQAApwMAAA4AAAAAAAAAAQAgAAAAHwEAAGRycy9l&#10;Mm9Eb2MueG1sUEsFBgAAAAAGAAYAWQEAAF4FAAAAAA==&#10;">
              <v:fill on="f" focussize="0,0"/>
              <v:stroke on="f"/>
              <v:imagedata o:title=""/>
              <o:lock v:ext="edit" aspectratio="f"/>
              <v:textbox inset="0mm,0mm,0mm,0mm" style="mso-fit-shape-to-text:t;">
                <w:txbxContent>
                  <w:p w14:paraId="35E1263A">
                    <w:pPr>
                      <w:pStyle w:val="31"/>
                      <w:rPr>
                        <w:rStyle w:val="49"/>
                      </w:rPr>
                    </w:pPr>
                    <w:r>
                      <w:fldChar w:fldCharType="begin"/>
                    </w:r>
                    <w:r>
                      <w:rPr>
                        <w:rStyle w:val="49"/>
                      </w:rPr>
                      <w:instrText xml:space="preserve">PAGE  </w:instrText>
                    </w:r>
                    <w:r>
                      <w:fldChar w:fldCharType="separate"/>
                    </w:r>
                    <w:r>
                      <w:rPr>
                        <w:rStyle w:val="49"/>
                      </w:rPr>
                      <w:t>99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234E2">
    <w:pPr>
      <w:pStyle w:val="31"/>
      <w:framePr w:wrap="around" w:vAnchor="text" w:hAnchor="margin" w:xAlign="center" w:y="1"/>
      <w:rPr>
        <w:rStyle w:val="49"/>
      </w:rPr>
    </w:pPr>
    <w:r>
      <w:fldChar w:fldCharType="begin"/>
    </w:r>
    <w:r>
      <w:rPr>
        <w:rStyle w:val="49"/>
      </w:rPr>
      <w:instrText xml:space="preserve">PAGE  </w:instrText>
    </w:r>
    <w:r>
      <w:fldChar w:fldCharType="separate"/>
    </w:r>
    <w:r>
      <w:rPr>
        <w:rStyle w:val="49"/>
      </w:rPr>
      <w:t>3</w:t>
    </w:r>
    <w:r>
      <w:fldChar w:fldCharType="end"/>
    </w:r>
  </w:p>
  <w:p w14:paraId="39383018">
    <w:pPr>
      <w:pStyle w:val="31"/>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C2D0F">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5C25E">
    <w:pPr>
      <w:pStyle w:val="3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613C8">
    <w:pPr>
      <w:pStyle w:val="3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8B88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84724">
    <w:pPr>
      <w:pStyle w:val="32"/>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pStyle w:val="21"/>
      <w:lvlText w:val="%1."/>
      <w:lvlJc w:val="left"/>
      <w:pPr>
        <w:tabs>
          <w:tab w:val="left" w:pos="1200"/>
        </w:tabs>
        <w:ind w:left="1200" w:hanging="360"/>
      </w:pPr>
    </w:lvl>
  </w:abstractNum>
  <w:abstractNum w:abstractNumId="1">
    <w:nsid w:val="00000003"/>
    <w:multiLevelType w:val="singleLevel"/>
    <w:tmpl w:val="00000003"/>
    <w:lvl w:ilvl="0" w:tentative="0">
      <w:start w:val="3"/>
      <w:numFmt w:val="decimal"/>
      <w:suff w:val="nothing"/>
      <w:lvlText w:val="%1."/>
      <w:lvlJc w:val="left"/>
    </w:lvl>
  </w:abstractNum>
  <w:abstractNum w:abstractNumId="2">
    <w:nsid w:val="00000004"/>
    <w:multiLevelType w:val="singleLevel"/>
    <w:tmpl w:val="00000004"/>
    <w:lvl w:ilvl="0" w:tentative="0">
      <w:start w:val="1"/>
      <w:numFmt w:val="decimal"/>
      <w:suff w:val="nothing"/>
      <w:lvlText w:val="%1."/>
      <w:lvlJc w:val="left"/>
      <w:pPr>
        <w:tabs>
          <w:tab w:val="left" w:pos="0"/>
        </w:tabs>
        <w:ind w:left="0" w:firstLine="0"/>
      </w:pPr>
    </w:lvl>
  </w:abstractNum>
  <w:abstractNum w:abstractNumId="3">
    <w:nsid w:val="00000013"/>
    <w:multiLevelType w:val="singleLevel"/>
    <w:tmpl w:val="00000013"/>
    <w:lvl w:ilvl="0" w:tentative="0">
      <w:start w:val="1"/>
      <w:numFmt w:val="decimal"/>
      <w:suff w:val="nothing"/>
      <w:lvlText w:val="（%1）"/>
      <w:lvlJc w:val="left"/>
    </w:lvl>
  </w:abstractNum>
  <w:abstractNum w:abstractNumId="4">
    <w:nsid w:val="29D120CC"/>
    <w:multiLevelType w:val="singleLevel"/>
    <w:tmpl w:val="29D120CC"/>
    <w:lvl w:ilvl="0" w:tentative="0">
      <w:start w:val="1"/>
      <w:numFmt w:val="decimal"/>
      <w:suff w:val="nothing"/>
      <w:lvlText w:val="（%1）"/>
      <w:lvlJc w:val="left"/>
      <w:pPr>
        <w:ind w:left="-2"/>
      </w:pPr>
    </w:lvl>
  </w:abstractNum>
  <w:abstractNum w:abstractNumId="5">
    <w:nsid w:val="3FA65839"/>
    <w:multiLevelType w:val="singleLevel"/>
    <w:tmpl w:val="3FA65839"/>
    <w:lvl w:ilvl="0" w:tentative="0">
      <w:start w:val="2"/>
      <w:numFmt w:val="chineseCounting"/>
      <w:suff w:val="nothing"/>
      <w:lvlText w:val="%1、"/>
      <w:lvlJc w:val="left"/>
      <w:rPr>
        <w:rFonts w:hint="eastAsia"/>
      </w:rPr>
    </w:lvl>
  </w:abstractNum>
  <w:abstractNum w:abstractNumId="6">
    <w:nsid w:val="5950E9B0"/>
    <w:multiLevelType w:val="singleLevel"/>
    <w:tmpl w:val="5950E9B0"/>
    <w:lvl w:ilvl="0" w:tentative="0">
      <w:start w:val="2"/>
      <w:numFmt w:val="decimal"/>
      <w:suff w:val="nothing"/>
      <w:lvlText w:val="%1、"/>
      <w:lvlJc w:val="left"/>
    </w:lvl>
  </w:abstractNum>
  <w:abstractNum w:abstractNumId="7">
    <w:nsid w:val="5C9C1424"/>
    <w:multiLevelType w:val="singleLevel"/>
    <w:tmpl w:val="5C9C1424"/>
    <w:lvl w:ilvl="0" w:tentative="0">
      <w:start w:val="1"/>
      <w:numFmt w:val="decimal"/>
      <w:suff w:val="nothing"/>
      <w:lvlText w:val="（%1）"/>
      <w:lvlJc w:val="left"/>
    </w:lvl>
  </w:abstractNum>
  <w:abstractNum w:abstractNumId="8">
    <w:nsid w:val="5F532B37"/>
    <w:multiLevelType w:val="singleLevel"/>
    <w:tmpl w:val="5F532B37"/>
    <w:lvl w:ilvl="0" w:tentative="0">
      <w:start w:val="5"/>
      <w:numFmt w:val="chineseCounting"/>
      <w:suff w:val="nothing"/>
      <w:lvlText w:val="%1．"/>
      <w:lvlJc w:val="left"/>
      <w:rPr>
        <w:rFonts w:hint="eastAsia"/>
      </w:rPr>
    </w:lvl>
  </w:abstractNum>
  <w:num w:numId="1">
    <w:abstractNumId w:val="0"/>
  </w:num>
  <w:num w:numId="2">
    <w:abstractNumId w:val="5"/>
  </w:num>
  <w:num w:numId="3">
    <w:abstractNumId w:val="7"/>
  </w:num>
  <w:num w:numId="4">
    <w:abstractNumId w:val="3"/>
  </w:num>
  <w:num w:numId="5">
    <w:abstractNumId w:val="4"/>
  </w:num>
  <w:num w:numId="6">
    <w:abstractNumId w:val="6"/>
  </w:num>
  <w:num w:numId="7">
    <w:abstractNumId w:val="1"/>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zYTlhZmU0YjYzYzIzMjhlZTgyNDAyODAxZjRkYTIifQ=="/>
    <w:docVar w:name="KSO_WPS_MARK_KEY" w:val="09543451-24f5-4ecb-9742-1ba39d17e160"/>
  </w:docVars>
  <w:rsids>
    <w:rsidRoot w:val="00172A27"/>
    <w:rsid w:val="0000232C"/>
    <w:rsid w:val="00002340"/>
    <w:rsid w:val="00003C84"/>
    <w:rsid w:val="00003E72"/>
    <w:rsid w:val="00004853"/>
    <w:rsid w:val="00004DAD"/>
    <w:rsid w:val="00005402"/>
    <w:rsid w:val="00006B94"/>
    <w:rsid w:val="00010EE5"/>
    <w:rsid w:val="00012249"/>
    <w:rsid w:val="00022EAC"/>
    <w:rsid w:val="00025453"/>
    <w:rsid w:val="0002650F"/>
    <w:rsid w:val="00030EE2"/>
    <w:rsid w:val="000448ED"/>
    <w:rsid w:val="000458CB"/>
    <w:rsid w:val="00045CE8"/>
    <w:rsid w:val="00046414"/>
    <w:rsid w:val="00046D5E"/>
    <w:rsid w:val="00047E2F"/>
    <w:rsid w:val="00050BCE"/>
    <w:rsid w:val="0005393E"/>
    <w:rsid w:val="00053E73"/>
    <w:rsid w:val="00054AF2"/>
    <w:rsid w:val="00056325"/>
    <w:rsid w:val="000571C4"/>
    <w:rsid w:val="00061AEC"/>
    <w:rsid w:val="00062988"/>
    <w:rsid w:val="000657C7"/>
    <w:rsid w:val="00065BE7"/>
    <w:rsid w:val="00066E18"/>
    <w:rsid w:val="000720D7"/>
    <w:rsid w:val="00083CF4"/>
    <w:rsid w:val="000851F4"/>
    <w:rsid w:val="000859B2"/>
    <w:rsid w:val="000923A4"/>
    <w:rsid w:val="000939A6"/>
    <w:rsid w:val="000947C1"/>
    <w:rsid w:val="000A09AF"/>
    <w:rsid w:val="000A3559"/>
    <w:rsid w:val="000A5F5B"/>
    <w:rsid w:val="000B0A91"/>
    <w:rsid w:val="000B1FCD"/>
    <w:rsid w:val="000B2F45"/>
    <w:rsid w:val="000B6BB2"/>
    <w:rsid w:val="000C089B"/>
    <w:rsid w:val="000C37C7"/>
    <w:rsid w:val="000C3838"/>
    <w:rsid w:val="000C4120"/>
    <w:rsid w:val="000C58DC"/>
    <w:rsid w:val="000C5FAD"/>
    <w:rsid w:val="000D35A5"/>
    <w:rsid w:val="000D6E0B"/>
    <w:rsid w:val="000D6E35"/>
    <w:rsid w:val="000D74FA"/>
    <w:rsid w:val="000D79B4"/>
    <w:rsid w:val="000E0064"/>
    <w:rsid w:val="000E1CC3"/>
    <w:rsid w:val="000E61BB"/>
    <w:rsid w:val="000E6730"/>
    <w:rsid w:val="000F0AF6"/>
    <w:rsid w:val="000F5E84"/>
    <w:rsid w:val="00100A19"/>
    <w:rsid w:val="001011D3"/>
    <w:rsid w:val="00106050"/>
    <w:rsid w:val="001071F7"/>
    <w:rsid w:val="00107904"/>
    <w:rsid w:val="001143D4"/>
    <w:rsid w:val="00115360"/>
    <w:rsid w:val="00115E82"/>
    <w:rsid w:val="001171B9"/>
    <w:rsid w:val="001218CA"/>
    <w:rsid w:val="00125AC3"/>
    <w:rsid w:val="00127FC4"/>
    <w:rsid w:val="00132400"/>
    <w:rsid w:val="00133732"/>
    <w:rsid w:val="001369E9"/>
    <w:rsid w:val="0013739C"/>
    <w:rsid w:val="001431AF"/>
    <w:rsid w:val="00144528"/>
    <w:rsid w:val="001511C5"/>
    <w:rsid w:val="0015273F"/>
    <w:rsid w:val="0015306E"/>
    <w:rsid w:val="00153870"/>
    <w:rsid w:val="00160260"/>
    <w:rsid w:val="00160606"/>
    <w:rsid w:val="00162145"/>
    <w:rsid w:val="0016652D"/>
    <w:rsid w:val="00166543"/>
    <w:rsid w:val="00170B6D"/>
    <w:rsid w:val="001724DF"/>
    <w:rsid w:val="001726B7"/>
    <w:rsid w:val="00172A27"/>
    <w:rsid w:val="00172BDA"/>
    <w:rsid w:val="00172D19"/>
    <w:rsid w:val="001732A7"/>
    <w:rsid w:val="0017579A"/>
    <w:rsid w:val="001777F8"/>
    <w:rsid w:val="00177DE8"/>
    <w:rsid w:val="00177E04"/>
    <w:rsid w:val="00184837"/>
    <w:rsid w:val="00187F26"/>
    <w:rsid w:val="00190270"/>
    <w:rsid w:val="001917A8"/>
    <w:rsid w:val="001A26A1"/>
    <w:rsid w:val="001A2700"/>
    <w:rsid w:val="001A5587"/>
    <w:rsid w:val="001B0956"/>
    <w:rsid w:val="001B3F2D"/>
    <w:rsid w:val="001B4948"/>
    <w:rsid w:val="001B5175"/>
    <w:rsid w:val="001B60D2"/>
    <w:rsid w:val="001B623B"/>
    <w:rsid w:val="001B667C"/>
    <w:rsid w:val="001B7473"/>
    <w:rsid w:val="001B7DF3"/>
    <w:rsid w:val="001C3AA1"/>
    <w:rsid w:val="001C583B"/>
    <w:rsid w:val="001C66F4"/>
    <w:rsid w:val="001D3DDA"/>
    <w:rsid w:val="001D72C5"/>
    <w:rsid w:val="001D75CC"/>
    <w:rsid w:val="001E0625"/>
    <w:rsid w:val="001E458E"/>
    <w:rsid w:val="001E6092"/>
    <w:rsid w:val="001E68D3"/>
    <w:rsid w:val="001E72FC"/>
    <w:rsid w:val="001F29C6"/>
    <w:rsid w:val="001F5D1A"/>
    <w:rsid w:val="001F7A32"/>
    <w:rsid w:val="0020093D"/>
    <w:rsid w:val="00212619"/>
    <w:rsid w:val="002152F7"/>
    <w:rsid w:val="00215668"/>
    <w:rsid w:val="002178E0"/>
    <w:rsid w:val="00220C43"/>
    <w:rsid w:val="002214B9"/>
    <w:rsid w:val="00222689"/>
    <w:rsid w:val="00223627"/>
    <w:rsid w:val="002270F1"/>
    <w:rsid w:val="00227933"/>
    <w:rsid w:val="002359D4"/>
    <w:rsid w:val="00237C4B"/>
    <w:rsid w:val="00241C15"/>
    <w:rsid w:val="002446EA"/>
    <w:rsid w:val="00246DEC"/>
    <w:rsid w:val="00251396"/>
    <w:rsid w:val="002526DD"/>
    <w:rsid w:val="0026750A"/>
    <w:rsid w:val="00291BB6"/>
    <w:rsid w:val="00293097"/>
    <w:rsid w:val="00295D96"/>
    <w:rsid w:val="002A6653"/>
    <w:rsid w:val="002A77B9"/>
    <w:rsid w:val="002B4A32"/>
    <w:rsid w:val="002B5280"/>
    <w:rsid w:val="002C0995"/>
    <w:rsid w:val="002C16CF"/>
    <w:rsid w:val="002C204D"/>
    <w:rsid w:val="002C49F7"/>
    <w:rsid w:val="002C7B9E"/>
    <w:rsid w:val="002D26B5"/>
    <w:rsid w:val="002D6A42"/>
    <w:rsid w:val="002D7944"/>
    <w:rsid w:val="002D7D28"/>
    <w:rsid w:val="002D7D71"/>
    <w:rsid w:val="002E1BD4"/>
    <w:rsid w:val="002E23EB"/>
    <w:rsid w:val="002E485A"/>
    <w:rsid w:val="002E6792"/>
    <w:rsid w:val="002E703C"/>
    <w:rsid w:val="002F2CDC"/>
    <w:rsid w:val="002F3D11"/>
    <w:rsid w:val="002F4CD2"/>
    <w:rsid w:val="0030392A"/>
    <w:rsid w:val="003045D6"/>
    <w:rsid w:val="0031198D"/>
    <w:rsid w:val="00316F3A"/>
    <w:rsid w:val="00321EE1"/>
    <w:rsid w:val="00322E66"/>
    <w:rsid w:val="003238AF"/>
    <w:rsid w:val="0033032B"/>
    <w:rsid w:val="0033233E"/>
    <w:rsid w:val="003354D9"/>
    <w:rsid w:val="00336E82"/>
    <w:rsid w:val="00337B6B"/>
    <w:rsid w:val="00341CEA"/>
    <w:rsid w:val="0035115F"/>
    <w:rsid w:val="00352BBC"/>
    <w:rsid w:val="00352D20"/>
    <w:rsid w:val="0036250E"/>
    <w:rsid w:val="00363640"/>
    <w:rsid w:val="00364608"/>
    <w:rsid w:val="00377456"/>
    <w:rsid w:val="003775CA"/>
    <w:rsid w:val="003777E4"/>
    <w:rsid w:val="00382F61"/>
    <w:rsid w:val="003847A7"/>
    <w:rsid w:val="00386A7C"/>
    <w:rsid w:val="00390CAF"/>
    <w:rsid w:val="00394DA6"/>
    <w:rsid w:val="00397CD1"/>
    <w:rsid w:val="003B148D"/>
    <w:rsid w:val="003B1F83"/>
    <w:rsid w:val="003C1205"/>
    <w:rsid w:val="003C300D"/>
    <w:rsid w:val="003D31B1"/>
    <w:rsid w:val="003D5C70"/>
    <w:rsid w:val="003E4EE3"/>
    <w:rsid w:val="003E7FEB"/>
    <w:rsid w:val="00400C99"/>
    <w:rsid w:val="004011BB"/>
    <w:rsid w:val="0040447C"/>
    <w:rsid w:val="00411240"/>
    <w:rsid w:val="004142E6"/>
    <w:rsid w:val="004151AE"/>
    <w:rsid w:val="004161EB"/>
    <w:rsid w:val="004200E9"/>
    <w:rsid w:val="00422D3C"/>
    <w:rsid w:val="00423717"/>
    <w:rsid w:val="00424243"/>
    <w:rsid w:val="00425CD1"/>
    <w:rsid w:val="00431C5D"/>
    <w:rsid w:val="00434B44"/>
    <w:rsid w:val="00440758"/>
    <w:rsid w:val="0044080A"/>
    <w:rsid w:val="004411EE"/>
    <w:rsid w:val="0044223E"/>
    <w:rsid w:val="00462D6F"/>
    <w:rsid w:val="004633FC"/>
    <w:rsid w:val="0046362F"/>
    <w:rsid w:val="00466513"/>
    <w:rsid w:val="00466E3F"/>
    <w:rsid w:val="00472673"/>
    <w:rsid w:val="004779D6"/>
    <w:rsid w:val="00480482"/>
    <w:rsid w:val="00490214"/>
    <w:rsid w:val="004913C5"/>
    <w:rsid w:val="004929E2"/>
    <w:rsid w:val="00497BEA"/>
    <w:rsid w:val="004A00AB"/>
    <w:rsid w:val="004A02F7"/>
    <w:rsid w:val="004A659B"/>
    <w:rsid w:val="004A75B2"/>
    <w:rsid w:val="004B396D"/>
    <w:rsid w:val="004B4D30"/>
    <w:rsid w:val="004C0033"/>
    <w:rsid w:val="004C08C4"/>
    <w:rsid w:val="004C137F"/>
    <w:rsid w:val="004C22A1"/>
    <w:rsid w:val="004C3F68"/>
    <w:rsid w:val="004C4203"/>
    <w:rsid w:val="004C4F9F"/>
    <w:rsid w:val="004C500C"/>
    <w:rsid w:val="004C521D"/>
    <w:rsid w:val="004C7499"/>
    <w:rsid w:val="004D34F9"/>
    <w:rsid w:val="004E0818"/>
    <w:rsid w:val="004E3AB9"/>
    <w:rsid w:val="004E481E"/>
    <w:rsid w:val="004E50EA"/>
    <w:rsid w:val="004F0D00"/>
    <w:rsid w:val="004F172D"/>
    <w:rsid w:val="004F30A5"/>
    <w:rsid w:val="0050231D"/>
    <w:rsid w:val="00507637"/>
    <w:rsid w:val="005112E1"/>
    <w:rsid w:val="00514FE8"/>
    <w:rsid w:val="0052063E"/>
    <w:rsid w:val="00521A21"/>
    <w:rsid w:val="00530FEB"/>
    <w:rsid w:val="00531338"/>
    <w:rsid w:val="0053249E"/>
    <w:rsid w:val="005332BF"/>
    <w:rsid w:val="005340E2"/>
    <w:rsid w:val="00541690"/>
    <w:rsid w:val="0054497E"/>
    <w:rsid w:val="0054604A"/>
    <w:rsid w:val="00553801"/>
    <w:rsid w:val="005544A1"/>
    <w:rsid w:val="00554696"/>
    <w:rsid w:val="00554C0D"/>
    <w:rsid w:val="00557C5F"/>
    <w:rsid w:val="005649B6"/>
    <w:rsid w:val="00567130"/>
    <w:rsid w:val="00570134"/>
    <w:rsid w:val="0057226B"/>
    <w:rsid w:val="00575C53"/>
    <w:rsid w:val="005763A1"/>
    <w:rsid w:val="005769E9"/>
    <w:rsid w:val="00580428"/>
    <w:rsid w:val="0058768D"/>
    <w:rsid w:val="00597C31"/>
    <w:rsid w:val="005A37B4"/>
    <w:rsid w:val="005B45CC"/>
    <w:rsid w:val="005B5AC9"/>
    <w:rsid w:val="005B63AD"/>
    <w:rsid w:val="005B66A5"/>
    <w:rsid w:val="005B7013"/>
    <w:rsid w:val="005C0CE9"/>
    <w:rsid w:val="005C4515"/>
    <w:rsid w:val="005C5FDA"/>
    <w:rsid w:val="005D3DE6"/>
    <w:rsid w:val="005D5291"/>
    <w:rsid w:val="005D66E7"/>
    <w:rsid w:val="005D6929"/>
    <w:rsid w:val="005E1E93"/>
    <w:rsid w:val="005F0728"/>
    <w:rsid w:val="005F316C"/>
    <w:rsid w:val="005F3572"/>
    <w:rsid w:val="005F581D"/>
    <w:rsid w:val="005F66BA"/>
    <w:rsid w:val="005F6E4E"/>
    <w:rsid w:val="005F780E"/>
    <w:rsid w:val="00601CE6"/>
    <w:rsid w:val="00601F90"/>
    <w:rsid w:val="006046CC"/>
    <w:rsid w:val="00605F3C"/>
    <w:rsid w:val="00611906"/>
    <w:rsid w:val="00621B91"/>
    <w:rsid w:val="00624C85"/>
    <w:rsid w:val="00625816"/>
    <w:rsid w:val="00626F8A"/>
    <w:rsid w:val="00631157"/>
    <w:rsid w:val="00633D43"/>
    <w:rsid w:val="00634F57"/>
    <w:rsid w:val="00635FDE"/>
    <w:rsid w:val="006427FA"/>
    <w:rsid w:val="00643539"/>
    <w:rsid w:val="00645D9C"/>
    <w:rsid w:val="00647708"/>
    <w:rsid w:val="0065211E"/>
    <w:rsid w:val="00656FB7"/>
    <w:rsid w:val="00661885"/>
    <w:rsid w:val="00663962"/>
    <w:rsid w:val="00667073"/>
    <w:rsid w:val="006700E0"/>
    <w:rsid w:val="00671C05"/>
    <w:rsid w:val="006736C5"/>
    <w:rsid w:val="0067438D"/>
    <w:rsid w:val="00676432"/>
    <w:rsid w:val="00680479"/>
    <w:rsid w:val="006805E8"/>
    <w:rsid w:val="006825E3"/>
    <w:rsid w:val="00683314"/>
    <w:rsid w:val="006839AB"/>
    <w:rsid w:val="006840B6"/>
    <w:rsid w:val="006906F3"/>
    <w:rsid w:val="00694C07"/>
    <w:rsid w:val="006A1AFE"/>
    <w:rsid w:val="006A361E"/>
    <w:rsid w:val="006A3F80"/>
    <w:rsid w:val="006A5B26"/>
    <w:rsid w:val="006A64A2"/>
    <w:rsid w:val="006B215C"/>
    <w:rsid w:val="006B56F1"/>
    <w:rsid w:val="006C2AD2"/>
    <w:rsid w:val="006C47EF"/>
    <w:rsid w:val="006C5B33"/>
    <w:rsid w:val="006D09AA"/>
    <w:rsid w:val="006D2F1F"/>
    <w:rsid w:val="006D418A"/>
    <w:rsid w:val="006D61B4"/>
    <w:rsid w:val="006D7C82"/>
    <w:rsid w:val="006E059E"/>
    <w:rsid w:val="006E2343"/>
    <w:rsid w:val="006E36EB"/>
    <w:rsid w:val="006E578F"/>
    <w:rsid w:val="006E6D5E"/>
    <w:rsid w:val="006F4586"/>
    <w:rsid w:val="00707035"/>
    <w:rsid w:val="00710118"/>
    <w:rsid w:val="00710C2C"/>
    <w:rsid w:val="00711644"/>
    <w:rsid w:val="00714828"/>
    <w:rsid w:val="00722CCE"/>
    <w:rsid w:val="007312D7"/>
    <w:rsid w:val="00731EA7"/>
    <w:rsid w:val="00737834"/>
    <w:rsid w:val="00741892"/>
    <w:rsid w:val="007464E6"/>
    <w:rsid w:val="007534E4"/>
    <w:rsid w:val="00755E31"/>
    <w:rsid w:val="007602DF"/>
    <w:rsid w:val="00761BC5"/>
    <w:rsid w:val="00767871"/>
    <w:rsid w:val="00767974"/>
    <w:rsid w:val="0077075A"/>
    <w:rsid w:val="007768A1"/>
    <w:rsid w:val="00784417"/>
    <w:rsid w:val="007859AE"/>
    <w:rsid w:val="00792A25"/>
    <w:rsid w:val="007B18C6"/>
    <w:rsid w:val="007B3FC6"/>
    <w:rsid w:val="007B5179"/>
    <w:rsid w:val="007B63AD"/>
    <w:rsid w:val="007B730B"/>
    <w:rsid w:val="007C1F4A"/>
    <w:rsid w:val="007C21C7"/>
    <w:rsid w:val="007D07F5"/>
    <w:rsid w:val="007D37AF"/>
    <w:rsid w:val="007D6684"/>
    <w:rsid w:val="007D79BE"/>
    <w:rsid w:val="007D7AA0"/>
    <w:rsid w:val="007E0AD6"/>
    <w:rsid w:val="007E1896"/>
    <w:rsid w:val="007E2A24"/>
    <w:rsid w:val="007E361E"/>
    <w:rsid w:val="007E42C2"/>
    <w:rsid w:val="007E6005"/>
    <w:rsid w:val="007E604A"/>
    <w:rsid w:val="007E7193"/>
    <w:rsid w:val="007F5218"/>
    <w:rsid w:val="0080515F"/>
    <w:rsid w:val="00806607"/>
    <w:rsid w:val="00806D44"/>
    <w:rsid w:val="008114F5"/>
    <w:rsid w:val="00814BA8"/>
    <w:rsid w:val="00817020"/>
    <w:rsid w:val="00817314"/>
    <w:rsid w:val="00820131"/>
    <w:rsid w:val="008206AE"/>
    <w:rsid w:val="00823784"/>
    <w:rsid w:val="00835A9B"/>
    <w:rsid w:val="0083654B"/>
    <w:rsid w:val="008419E8"/>
    <w:rsid w:val="00844E16"/>
    <w:rsid w:val="00845F1B"/>
    <w:rsid w:val="00860421"/>
    <w:rsid w:val="008605F3"/>
    <w:rsid w:val="00863284"/>
    <w:rsid w:val="0086654C"/>
    <w:rsid w:val="00867E96"/>
    <w:rsid w:val="00871F60"/>
    <w:rsid w:val="00872DEC"/>
    <w:rsid w:val="0087311A"/>
    <w:rsid w:val="0087440E"/>
    <w:rsid w:val="00877242"/>
    <w:rsid w:val="00877D77"/>
    <w:rsid w:val="00880D1D"/>
    <w:rsid w:val="00886FD7"/>
    <w:rsid w:val="0089065A"/>
    <w:rsid w:val="0089191F"/>
    <w:rsid w:val="00893B52"/>
    <w:rsid w:val="00894737"/>
    <w:rsid w:val="00896276"/>
    <w:rsid w:val="00897984"/>
    <w:rsid w:val="008A08C1"/>
    <w:rsid w:val="008A23D8"/>
    <w:rsid w:val="008A5DC1"/>
    <w:rsid w:val="008B0F6F"/>
    <w:rsid w:val="008B27E6"/>
    <w:rsid w:val="008B2A39"/>
    <w:rsid w:val="008B4B12"/>
    <w:rsid w:val="008B57A1"/>
    <w:rsid w:val="008B5932"/>
    <w:rsid w:val="008B62F1"/>
    <w:rsid w:val="008B6C4A"/>
    <w:rsid w:val="008C16D0"/>
    <w:rsid w:val="008C1D46"/>
    <w:rsid w:val="008D1236"/>
    <w:rsid w:val="008D6C31"/>
    <w:rsid w:val="008E2A17"/>
    <w:rsid w:val="008E4E58"/>
    <w:rsid w:val="008F38F0"/>
    <w:rsid w:val="008F72B5"/>
    <w:rsid w:val="008F79B2"/>
    <w:rsid w:val="00906B23"/>
    <w:rsid w:val="009132E4"/>
    <w:rsid w:val="009144F6"/>
    <w:rsid w:val="00914E19"/>
    <w:rsid w:val="00914E76"/>
    <w:rsid w:val="00916538"/>
    <w:rsid w:val="009216B2"/>
    <w:rsid w:val="00921A3D"/>
    <w:rsid w:val="0092387B"/>
    <w:rsid w:val="0093095C"/>
    <w:rsid w:val="0094011B"/>
    <w:rsid w:val="0094357B"/>
    <w:rsid w:val="00944363"/>
    <w:rsid w:val="0095308E"/>
    <w:rsid w:val="00953D95"/>
    <w:rsid w:val="00955F2B"/>
    <w:rsid w:val="00956E59"/>
    <w:rsid w:val="00963FDD"/>
    <w:rsid w:val="009642CD"/>
    <w:rsid w:val="009656E6"/>
    <w:rsid w:val="009670E2"/>
    <w:rsid w:val="0097079B"/>
    <w:rsid w:val="0098161E"/>
    <w:rsid w:val="009816BB"/>
    <w:rsid w:val="00986025"/>
    <w:rsid w:val="009863B4"/>
    <w:rsid w:val="0099018E"/>
    <w:rsid w:val="00991CEB"/>
    <w:rsid w:val="009920BB"/>
    <w:rsid w:val="00997604"/>
    <w:rsid w:val="009A0C93"/>
    <w:rsid w:val="009A2C82"/>
    <w:rsid w:val="009A5168"/>
    <w:rsid w:val="009B011C"/>
    <w:rsid w:val="009B15CB"/>
    <w:rsid w:val="009B1CE8"/>
    <w:rsid w:val="009B553B"/>
    <w:rsid w:val="009B56C2"/>
    <w:rsid w:val="009B5CA5"/>
    <w:rsid w:val="009C11E1"/>
    <w:rsid w:val="009C2808"/>
    <w:rsid w:val="009C45C3"/>
    <w:rsid w:val="009C72A7"/>
    <w:rsid w:val="009C7E4E"/>
    <w:rsid w:val="009D63E6"/>
    <w:rsid w:val="009D64AE"/>
    <w:rsid w:val="009D664E"/>
    <w:rsid w:val="009D7B62"/>
    <w:rsid w:val="009E44FC"/>
    <w:rsid w:val="009E4CFD"/>
    <w:rsid w:val="009E50B5"/>
    <w:rsid w:val="009F5A8E"/>
    <w:rsid w:val="009F7D29"/>
    <w:rsid w:val="00A011F0"/>
    <w:rsid w:val="00A01462"/>
    <w:rsid w:val="00A0659C"/>
    <w:rsid w:val="00A107E2"/>
    <w:rsid w:val="00A155E7"/>
    <w:rsid w:val="00A20710"/>
    <w:rsid w:val="00A22667"/>
    <w:rsid w:val="00A23717"/>
    <w:rsid w:val="00A2531E"/>
    <w:rsid w:val="00A25FD9"/>
    <w:rsid w:val="00A314C9"/>
    <w:rsid w:val="00A32CAB"/>
    <w:rsid w:val="00A349C0"/>
    <w:rsid w:val="00A352FE"/>
    <w:rsid w:val="00A40ED8"/>
    <w:rsid w:val="00A46B4A"/>
    <w:rsid w:val="00A47709"/>
    <w:rsid w:val="00A50ABD"/>
    <w:rsid w:val="00A52D31"/>
    <w:rsid w:val="00A57BB3"/>
    <w:rsid w:val="00A6231A"/>
    <w:rsid w:val="00A63A48"/>
    <w:rsid w:val="00A6610B"/>
    <w:rsid w:val="00A80D2E"/>
    <w:rsid w:val="00A81DEB"/>
    <w:rsid w:val="00A86F7E"/>
    <w:rsid w:val="00A90B17"/>
    <w:rsid w:val="00A95F8D"/>
    <w:rsid w:val="00A96D0D"/>
    <w:rsid w:val="00A97359"/>
    <w:rsid w:val="00AA42CC"/>
    <w:rsid w:val="00AA68D1"/>
    <w:rsid w:val="00AA699B"/>
    <w:rsid w:val="00AA6DD2"/>
    <w:rsid w:val="00AB0EAA"/>
    <w:rsid w:val="00AB166F"/>
    <w:rsid w:val="00AB1758"/>
    <w:rsid w:val="00AB2ACA"/>
    <w:rsid w:val="00AB4221"/>
    <w:rsid w:val="00AB4B9A"/>
    <w:rsid w:val="00AB61A1"/>
    <w:rsid w:val="00AB7AF3"/>
    <w:rsid w:val="00AC35B8"/>
    <w:rsid w:val="00AC36CA"/>
    <w:rsid w:val="00AC4D9F"/>
    <w:rsid w:val="00AD0530"/>
    <w:rsid w:val="00AD1176"/>
    <w:rsid w:val="00AD3759"/>
    <w:rsid w:val="00AD4807"/>
    <w:rsid w:val="00AD5FB2"/>
    <w:rsid w:val="00AD7C6E"/>
    <w:rsid w:val="00AE4D25"/>
    <w:rsid w:val="00AE796F"/>
    <w:rsid w:val="00AF7501"/>
    <w:rsid w:val="00B0153B"/>
    <w:rsid w:val="00B03353"/>
    <w:rsid w:val="00B045DA"/>
    <w:rsid w:val="00B062DE"/>
    <w:rsid w:val="00B06CB4"/>
    <w:rsid w:val="00B105F9"/>
    <w:rsid w:val="00B10D54"/>
    <w:rsid w:val="00B13A83"/>
    <w:rsid w:val="00B176C1"/>
    <w:rsid w:val="00B21DAE"/>
    <w:rsid w:val="00B2423B"/>
    <w:rsid w:val="00B277FE"/>
    <w:rsid w:val="00B30314"/>
    <w:rsid w:val="00B3175C"/>
    <w:rsid w:val="00B328A3"/>
    <w:rsid w:val="00B3405D"/>
    <w:rsid w:val="00B3486B"/>
    <w:rsid w:val="00B36CF1"/>
    <w:rsid w:val="00B40FF0"/>
    <w:rsid w:val="00B462A1"/>
    <w:rsid w:val="00B53C92"/>
    <w:rsid w:val="00B56961"/>
    <w:rsid w:val="00B57D43"/>
    <w:rsid w:val="00B62200"/>
    <w:rsid w:val="00B66605"/>
    <w:rsid w:val="00B676A7"/>
    <w:rsid w:val="00B72845"/>
    <w:rsid w:val="00B74C66"/>
    <w:rsid w:val="00B91851"/>
    <w:rsid w:val="00B922D3"/>
    <w:rsid w:val="00B969E4"/>
    <w:rsid w:val="00BA2AA2"/>
    <w:rsid w:val="00BA5943"/>
    <w:rsid w:val="00BB1B89"/>
    <w:rsid w:val="00BB2D20"/>
    <w:rsid w:val="00BC1D3F"/>
    <w:rsid w:val="00BC21A8"/>
    <w:rsid w:val="00BC3F6C"/>
    <w:rsid w:val="00BC4767"/>
    <w:rsid w:val="00BD046E"/>
    <w:rsid w:val="00BD2525"/>
    <w:rsid w:val="00BD3F96"/>
    <w:rsid w:val="00BD4C05"/>
    <w:rsid w:val="00BD6920"/>
    <w:rsid w:val="00BE02A2"/>
    <w:rsid w:val="00BE3305"/>
    <w:rsid w:val="00BE4376"/>
    <w:rsid w:val="00BE7F4B"/>
    <w:rsid w:val="00BF064A"/>
    <w:rsid w:val="00BF34E6"/>
    <w:rsid w:val="00BF3CBD"/>
    <w:rsid w:val="00BF661F"/>
    <w:rsid w:val="00BF6990"/>
    <w:rsid w:val="00BF6F8E"/>
    <w:rsid w:val="00C00DC7"/>
    <w:rsid w:val="00C02FA7"/>
    <w:rsid w:val="00C03BE6"/>
    <w:rsid w:val="00C04277"/>
    <w:rsid w:val="00C04463"/>
    <w:rsid w:val="00C05595"/>
    <w:rsid w:val="00C07A38"/>
    <w:rsid w:val="00C11DF7"/>
    <w:rsid w:val="00C14A8F"/>
    <w:rsid w:val="00C21D39"/>
    <w:rsid w:val="00C24ED1"/>
    <w:rsid w:val="00C2566C"/>
    <w:rsid w:val="00C25ECE"/>
    <w:rsid w:val="00C32EF2"/>
    <w:rsid w:val="00C4083D"/>
    <w:rsid w:val="00C41EC4"/>
    <w:rsid w:val="00C43836"/>
    <w:rsid w:val="00C464C2"/>
    <w:rsid w:val="00C54017"/>
    <w:rsid w:val="00C5450C"/>
    <w:rsid w:val="00C55112"/>
    <w:rsid w:val="00C55CB3"/>
    <w:rsid w:val="00C55CD5"/>
    <w:rsid w:val="00C5733D"/>
    <w:rsid w:val="00C62FC3"/>
    <w:rsid w:val="00C74CCB"/>
    <w:rsid w:val="00C75D21"/>
    <w:rsid w:val="00C7732D"/>
    <w:rsid w:val="00C813C4"/>
    <w:rsid w:val="00C85DCD"/>
    <w:rsid w:val="00C90458"/>
    <w:rsid w:val="00C9110D"/>
    <w:rsid w:val="00C95F88"/>
    <w:rsid w:val="00CA161A"/>
    <w:rsid w:val="00CA66D2"/>
    <w:rsid w:val="00CA7F63"/>
    <w:rsid w:val="00CB5BAE"/>
    <w:rsid w:val="00CC0216"/>
    <w:rsid w:val="00CC0E1E"/>
    <w:rsid w:val="00CC148D"/>
    <w:rsid w:val="00CC60B4"/>
    <w:rsid w:val="00CC6477"/>
    <w:rsid w:val="00CD03A9"/>
    <w:rsid w:val="00CD2E3F"/>
    <w:rsid w:val="00CE5D8F"/>
    <w:rsid w:val="00CE7514"/>
    <w:rsid w:val="00CF2E34"/>
    <w:rsid w:val="00CF2FBA"/>
    <w:rsid w:val="00CF3C4A"/>
    <w:rsid w:val="00CF4786"/>
    <w:rsid w:val="00D010EE"/>
    <w:rsid w:val="00D053C3"/>
    <w:rsid w:val="00D07012"/>
    <w:rsid w:val="00D1282E"/>
    <w:rsid w:val="00D1398D"/>
    <w:rsid w:val="00D13E6E"/>
    <w:rsid w:val="00D25BDE"/>
    <w:rsid w:val="00D276FE"/>
    <w:rsid w:val="00D31341"/>
    <w:rsid w:val="00D33117"/>
    <w:rsid w:val="00D4306A"/>
    <w:rsid w:val="00D443D7"/>
    <w:rsid w:val="00D47966"/>
    <w:rsid w:val="00D51F8C"/>
    <w:rsid w:val="00D64707"/>
    <w:rsid w:val="00D668F1"/>
    <w:rsid w:val="00D70976"/>
    <w:rsid w:val="00D7333D"/>
    <w:rsid w:val="00D74243"/>
    <w:rsid w:val="00D77A44"/>
    <w:rsid w:val="00D80415"/>
    <w:rsid w:val="00D8197E"/>
    <w:rsid w:val="00D83B6A"/>
    <w:rsid w:val="00D846DA"/>
    <w:rsid w:val="00D84DA8"/>
    <w:rsid w:val="00D8697E"/>
    <w:rsid w:val="00D93E0E"/>
    <w:rsid w:val="00D94796"/>
    <w:rsid w:val="00DA2A61"/>
    <w:rsid w:val="00DA661A"/>
    <w:rsid w:val="00DA77B8"/>
    <w:rsid w:val="00DB1BA2"/>
    <w:rsid w:val="00DB3CB7"/>
    <w:rsid w:val="00DC04AB"/>
    <w:rsid w:val="00DC1713"/>
    <w:rsid w:val="00DC31C9"/>
    <w:rsid w:val="00DC34AB"/>
    <w:rsid w:val="00DD05CF"/>
    <w:rsid w:val="00DD1A2F"/>
    <w:rsid w:val="00DD207F"/>
    <w:rsid w:val="00DD25F6"/>
    <w:rsid w:val="00DD61FA"/>
    <w:rsid w:val="00DD76C5"/>
    <w:rsid w:val="00DE09BE"/>
    <w:rsid w:val="00DE0B02"/>
    <w:rsid w:val="00DE1395"/>
    <w:rsid w:val="00DE4891"/>
    <w:rsid w:val="00DE53DB"/>
    <w:rsid w:val="00DE583E"/>
    <w:rsid w:val="00DE7517"/>
    <w:rsid w:val="00DF15F4"/>
    <w:rsid w:val="00E05B04"/>
    <w:rsid w:val="00E07C48"/>
    <w:rsid w:val="00E14CEE"/>
    <w:rsid w:val="00E15D28"/>
    <w:rsid w:val="00E17129"/>
    <w:rsid w:val="00E17F26"/>
    <w:rsid w:val="00E221DD"/>
    <w:rsid w:val="00E23182"/>
    <w:rsid w:val="00E236C1"/>
    <w:rsid w:val="00E23F86"/>
    <w:rsid w:val="00E26B67"/>
    <w:rsid w:val="00E331EC"/>
    <w:rsid w:val="00E34A2D"/>
    <w:rsid w:val="00E4152D"/>
    <w:rsid w:val="00E416D8"/>
    <w:rsid w:val="00E42BB2"/>
    <w:rsid w:val="00E45EDE"/>
    <w:rsid w:val="00E50A7B"/>
    <w:rsid w:val="00E52055"/>
    <w:rsid w:val="00E558B6"/>
    <w:rsid w:val="00E55CCD"/>
    <w:rsid w:val="00E5711A"/>
    <w:rsid w:val="00E6008D"/>
    <w:rsid w:val="00E629B7"/>
    <w:rsid w:val="00E62CF1"/>
    <w:rsid w:val="00E65495"/>
    <w:rsid w:val="00E7167C"/>
    <w:rsid w:val="00E72B0F"/>
    <w:rsid w:val="00E72EFB"/>
    <w:rsid w:val="00E765CC"/>
    <w:rsid w:val="00E77C2C"/>
    <w:rsid w:val="00E80BA4"/>
    <w:rsid w:val="00E81ECA"/>
    <w:rsid w:val="00E85938"/>
    <w:rsid w:val="00E859FE"/>
    <w:rsid w:val="00E87EB7"/>
    <w:rsid w:val="00E903C8"/>
    <w:rsid w:val="00E91963"/>
    <w:rsid w:val="00E93766"/>
    <w:rsid w:val="00E94268"/>
    <w:rsid w:val="00E94B76"/>
    <w:rsid w:val="00E95B3D"/>
    <w:rsid w:val="00E9608B"/>
    <w:rsid w:val="00EA5889"/>
    <w:rsid w:val="00EA709F"/>
    <w:rsid w:val="00EB0BF6"/>
    <w:rsid w:val="00EB1E6A"/>
    <w:rsid w:val="00EB3626"/>
    <w:rsid w:val="00EB52C8"/>
    <w:rsid w:val="00EB567D"/>
    <w:rsid w:val="00EC43CB"/>
    <w:rsid w:val="00EC7034"/>
    <w:rsid w:val="00ED256A"/>
    <w:rsid w:val="00ED2A2A"/>
    <w:rsid w:val="00ED2C7C"/>
    <w:rsid w:val="00ED2D63"/>
    <w:rsid w:val="00ED454F"/>
    <w:rsid w:val="00ED6B77"/>
    <w:rsid w:val="00EE57CB"/>
    <w:rsid w:val="00EE610F"/>
    <w:rsid w:val="00EE706B"/>
    <w:rsid w:val="00EE763E"/>
    <w:rsid w:val="00EE76CC"/>
    <w:rsid w:val="00EF169F"/>
    <w:rsid w:val="00EF1C32"/>
    <w:rsid w:val="00EF1EE0"/>
    <w:rsid w:val="00F00082"/>
    <w:rsid w:val="00F00EF7"/>
    <w:rsid w:val="00F06855"/>
    <w:rsid w:val="00F07B34"/>
    <w:rsid w:val="00F14044"/>
    <w:rsid w:val="00F17011"/>
    <w:rsid w:val="00F217C1"/>
    <w:rsid w:val="00F237C3"/>
    <w:rsid w:val="00F2534A"/>
    <w:rsid w:val="00F27798"/>
    <w:rsid w:val="00F3091C"/>
    <w:rsid w:val="00F316AE"/>
    <w:rsid w:val="00F33520"/>
    <w:rsid w:val="00F3584E"/>
    <w:rsid w:val="00F36866"/>
    <w:rsid w:val="00F36EF7"/>
    <w:rsid w:val="00F36FAF"/>
    <w:rsid w:val="00F371AB"/>
    <w:rsid w:val="00F40AB0"/>
    <w:rsid w:val="00F46CA3"/>
    <w:rsid w:val="00F53BE1"/>
    <w:rsid w:val="00F54872"/>
    <w:rsid w:val="00F57638"/>
    <w:rsid w:val="00F62555"/>
    <w:rsid w:val="00F64F3D"/>
    <w:rsid w:val="00F651D9"/>
    <w:rsid w:val="00F66240"/>
    <w:rsid w:val="00F66364"/>
    <w:rsid w:val="00F67110"/>
    <w:rsid w:val="00F70F73"/>
    <w:rsid w:val="00F773EC"/>
    <w:rsid w:val="00F80167"/>
    <w:rsid w:val="00F848C6"/>
    <w:rsid w:val="00F8550B"/>
    <w:rsid w:val="00F86002"/>
    <w:rsid w:val="00F87C5B"/>
    <w:rsid w:val="00F87DE1"/>
    <w:rsid w:val="00F94085"/>
    <w:rsid w:val="00FA559F"/>
    <w:rsid w:val="00FB0848"/>
    <w:rsid w:val="00FB7698"/>
    <w:rsid w:val="00FC034C"/>
    <w:rsid w:val="00FC188A"/>
    <w:rsid w:val="00FC469A"/>
    <w:rsid w:val="00FC5EC7"/>
    <w:rsid w:val="00FC6AC0"/>
    <w:rsid w:val="00FC71E6"/>
    <w:rsid w:val="00FD2A65"/>
    <w:rsid w:val="00FD2B72"/>
    <w:rsid w:val="00FE1459"/>
    <w:rsid w:val="00FE5222"/>
    <w:rsid w:val="00FF0CA3"/>
    <w:rsid w:val="00FF1A5E"/>
    <w:rsid w:val="00FF5AA9"/>
    <w:rsid w:val="00FF5C5B"/>
    <w:rsid w:val="00FF6D6C"/>
    <w:rsid w:val="0162159B"/>
    <w:rsid w:val="01B85939"/>
    <w:rsid w:val="01BB61BD"/>
    <w:rsid w:val="01D21907"/>
    <w:rsid w:val="01EB45F2"/>
    <w:rsid w:val="020625FB"/>
    <w:rsid w:val="02620527"/>
    <w:rsid w:val="02795380"/>
    <w:rsid w:val="02C96DB0"/>
    <w:rsid w:val="02FF6845"/>
    <w:rsid w:val="03C84E21"/>
    <w:rsid w:val="044A5EDE"/>
    <w:rsid w:val="04AA5F08"/>
    <w:rsid w:val="050E40F8"/>
    <w:rsid w:val="06C03CAC"/>
    <w:rsid w:val="06CD2EF5"/>
    <w:rsid w:val="06D95264"/>
    <w:rsid w:val="07394DD0"/>
    <w:rsid w:val="07596348"/>
    <w:rsid w:val="078910E1"/>
    <w:rsid w:val="07996087"/>
    <w:rsid w:val="08932267"/>
    <w:rsid w:val="08A22BF8"/>
    <w:rsid w:val="08C259F6"/>
    <w:rsid w:val="08D23882"/>
    <w:rsid w:val="08FA03DC"/>
    <w:rsid w:val="090E1FF0"/>
    <w:rsid w:val="097C0FAA"/>
    <w:rsid w:val="0A002254"/>
    <w:rsid w:val="0A087413"/>
    <w:rsid w:val="0A147A53"/>
    <w:rsid w:val="0A3C0A8D"/>
    <w:rsid w:val="0A3D307F"/>
    <w:rsid w:val="0AB441DD"/>
    <w:rsid w:val="0ABC1ED9"/>
    <w:rsid w:val="0AF82081"/>
    <w:rsid w:val="0BA835B8"/>
    <w:rsid w:val="0BBB373A"/>
    <w:rsid w:val="0C0C5AAE"/>
    <w:rsid w:val="0C947A29"/>
    <w:rsid w:val="0CC84DF3"/>
    <w:rsid w:val="0D203C9B"/>
    <w:rsid w:val="0D56303B"/>
    <w:rsid w:val="0DD4218D"/>
    <w:rsid w:val="0F051957"/>
    <w:rsid w:val="0F1F13DC"/>
    <w:rsid w:val="0F301163"/>
    <w:rsid w:val="0F334C38"/>
    <w:rsid w:val="0F642CF8"/>
    <w:rsid w:val="0FC758F8"/>
    <w:rsid w:val="0FF06A88"/>
    <w:rsid w:val="10147E0F"/>
    <w:rsid w:val="10266D7B"/>
    <w:rsid w:val="102B5060"/>
    <w:rsid w:val="10406177"/>
    <w:rsid w:val="113809F6"/>
    <w:rsid w:val="119D01C8"/>
    <w:rsid w:val="12207515"/>
    <w:rsid w:val="123546C8"/>
    <w:rsid w:val="12BF5DF8"/>
    <w:rsid w:val="137F4200"/>
    <w:rsid w:val="139C13BB"/>
    <w:rsid w:val="13A75DAC"/>
    <w:rsid w:val="13CA09F7"/>
    <w:rsid w:val="13D939C8"/>
    <w:rsid w:val="143B4022"/>
    <w:rsid w:val="144A2B13"/>
    <w:rsid w:val="144C4A34"/>
    <w:rsid w:val="14AB35FB"/>
    <w:rsid w:val="14BB34A7"/>
    <w:rsid w:val="14F50F46"/>
    <w:rsid w:val="15327CA7"/>
    <w:rsid w:val="157732FC"/>
    <w:rsid w:val="15FE6B6D"/>
    <w:rsid w:val="16221E39"/>
    <w:rsid w:val="16236A1C"/>
    <w:rsid w:val="1665050A"/>
    <w:rsid w:val="168F3FC1"/>
    <w:rsid w:val="169D0AD8"/>
    <w:rsid w:val="172F259E"/>
    <w:rsid w:val="174906AB"/>
    <w:rsid w:val="174F5E14"/>
    <w:rsid w:val="182F2EB5"/>
    <w:rsid w:val="18305A48"/>
    <w:rsid w:val="187015C3"/>
    <w:rsid w:val="189A6EC9"/>
    <w:rsid w:val="189E24DB"/>
    <w:rsid w:val="18CB5AC6"/>
    <w:rsid w:val="18EF2867"/>
    <w:rsid w:val="19055902"/>
    <w:rsid w:val="192C6C17"/>
    <w:rsid w:val="19FB778E"/>
    <w:rsid w:val="1AC934B7"/>
    <w:rsid w:val="1AF81FEE"/>
    <w:rsid w:val="1B39508C"/>
    <w:rsid w:val="1B3F29C7"/>
    <w:rsid w:val="1BA1188B"/>
    <w:rsid w:val="1C0F2E9C"/>
    <w:rsid w:val="1C7D70BD"/>
    <w:rsid w:val="1CC506F8"/>
    <w:rsid w:val="1D640B2F"/>
    <w:rsid w:val="1E307161"/>
    <w:rsid w:val="1E8459D7"/>
    <w:rsid w:val="1ECE5B24"/>
    <w:rsid w:val="1F2148E7"/>
    <w:rsid w:val="1F3D1604"/>
    <w:rsid w:val="1F787A0A"/>
    <w:rsid w:val="1FCF0E22"/>
    <w:rsid w:val="20077526"/>
    <w:rsid w:val="203A33BA"/>
    <w:rsid w:val="20F25437"/>
    <w:rsid w:val="212F64BC"/>
    <w:rsid w:val="214B6E00"/>
    <w:rsid w:val="219730D1"/>
    <w:rsid w:val="21B345B5"/>
    <w:rsid w:val="21C44C26"/>
    <w:rsid w:val="21D700B7"/>
    <w:rsid w:val="21D963BE"/>
    <w:rsid w:val="22322BE0"/>
    <w:rsid w:val="22A5481F"/>
    <w:rsid w:val="22AF2762"/>
    <w:rsid w:val="22BA496D"/>
    <w:rsid w:val="230C2EF7"/>
    <w:rsid w:val="23134F76"/>
    <w:rsid w:val="233F546C"/>
    <w:rsid w:val="24140310"/>
    <w:rsid w:val="243C5887"/>
    <w:rsid w:val="245851F6"/>
    <w:rsid w:val="25764DB6"/>
    <w:rsid w:val="25A33F10"/>
    <w:rsid w:val="25DB5C14"/>
    <w:rsid w:val="25F52650"/>
    <w:rsid w:val="266A0EB5"/>
    <w:rsid w:val="269C7711"/>
    <w:rsid w:val="26C9458B"/>
    <w:rsid w:val="26F0310B"/>
    <w:rsid w:val="271B2E76"/>
    <w:rsid w:val="2781724E"/>
    <w:rsid w:val="27A71B32"/>
    <w:rsid w:val="27FB5E50"/>
    <w:rsid w:val="27FD0101"/>
    <w:rsid w:val="28251848"/>
    <w:rsid w:val="2829057B"/>
    <w:rsid w:val="28EB2EE5"/>
    <w:rsid w:val="29124F7B"/>
    <w:rsid w:val="293D1A07"/>
    <w:rsid w:val="29611443"/>
    <w:rsid w:val="297A2260"/>
    <w:rsid w:val="29CF7159"/>
    <w:rsid w:val="2A550833"/>
    <w:rsid w:val="2A5E0991"/>
    <w:rsid w:val="2A616496"/>
    <w:rsid w:val="2A67344C"/>
    <w:rsid w:val="2AA25D4B"/>
    <w:rsid w:val="2AC25681"/>
    <w:rsid w:val="2AE15F6D"/>
    <w:rsid w:val="2B28535F"/>
    <w:rsid w:val="2B324AEE"/>
    <w:rsid w:val="2B366D72"/>
    <w:rsid w:val="2BBA2A4D"/>
    <w:rsid w:val="2BE4228F"/>
    <w:rsid w:val="2BEA19B8"/>
    <w:rsid w:val="2CB0088C"/>
    <w:rsid w:val="2D6459B8"/>
    <w:rsid w:val="2D900F1E"/>
    <w:rsid w:val="2D90548E"/>
    <w:rsid w:val="2DCE7877"/>
    <w:rsid w:val="2E426D24"/>
    <w:rsid w:val="2E503288"/>
    <w:rsid w:val="2EE76A63"/>
    <w:rsid w:val="2F53333C"/>
    <w:rsid w:val="2FCF38F4"/>
    <w:rsid w:val="2FFE0506"/>
    <w:rsid w:val="300B243D"/>
    <w:rsid w:val="302F785C"/>
    <w:rsid w:val="30901F3D"/>
    <w:rsid w:val="309B7C47"/>
    <w:rsid w:val="31CF4FB5"/>
    <w:rsid w:val="32A10A97"/>
    <w:rsid w:val="32AB6ADD"/>
    <w:rsid w:val="32BC5610"/>
    <w:rsid w:val="345A52C4"/>
    <w:rsid w:val="347B7798"/>
    <w:rsid w:val="34915BCB"/>
    <w:rsid w:val="34953230"/>
    <w:rsid w:val="34A16A9B"/>
    <w:rsid w:val="34BD5638"/>
    <w:rsid w:val="34F35160"/>
    <w:rsid w:val="35090AC8"/>
    <w:rsid w:val="35102141"/>
    <w:rsid w:val="35193004"/>
    <w:rsid w:val="354030ED"/>
    <w:rsid w:val="35A93573"/>
    <w:rsid w:val="36E653D5"/>
    <w:rsid w:val="376D2DA2"/>
    <w:rsid w:val="37B07A7B"/>
    <w:rsid w:val="38530109"/>
    <w:rsid w:val="38A731D0"/>
    <w:rsid w:val="390B273E"/>
    <w:rsid w:val="39136190"/>
    <w:rsid w:val="394A5C9D"/>
    <w:rsid w:val="397270FA"/>
    <w:rsid w:val="39BC7D90"/>
    <w:rsid w:val="39D7038C"/>
    <w:rsid w:val="3A2A4EC5"/>
    <w:rsid w:val="3A6E06A9"/>
    <w:rsid w:val="3A745EF5"/>
    <w:rsid w:val="3AE617DC"/>
    <w:rsid w:val="3B115D13"/>
    <w:rsid w:val="3B597A59"/>
    <w:rsid w:val="3B5B643B"/>
    <w:rsid w:val="3B820508"/>
    <w:rsid w:val="3B9B1F32"/>
    <w:rsid w:val="3C1E28EE"/>
    <w:rsid w:val="3C4166B2"/>
    <w:rsid w:val="3C69438A"/>
    <w:rsid w:val="3C980B6F"/>
    <w:rsid w:val="3CBD19FA"/>
    <w:rsid w:val="3DD41933"/>
    <w:rsid w:val="3DD72946"/>
    <w:rsid w:val="3E4D2DB7"/>
    <w:rsid w:val="3E6B1947"/>
    <w:rsid w:val="3E8D6B21"/>
    <w:rsid w:val="3F6119DD"/>
    <w:rsid w:val="40311F9D"/>
    <w:rsid w:val="405A550A"/>
    <w:rsid w:val="40E43DC9"/>
    <w:rsid w:val="40E75D7E"/>
    <w:rsid w:val="41CB0627"/>
    <w:rsid w:val="41DC429C"/>
    <w:rsid w:val="421551E2"/>
    <w:rsid w:val="42254899"/>
    <w:rsid w:val="42CF3FC4"/>
    <w:rsid w:val="42FA721C"/>
    <w:rsid w:val="43665216"/>
    <w:rsid w:val="44070728"/>
    <w:rsid w:val="44090311"/>
    <w:rsid w:val="441B2E6A"/>
    <w:rsid w:val="44714970"/>
    <w:rsid w:val="44825B98"/>
    <w:rsid w:val="448B6CF5"/>
    <w:rsid w:val="452774EC"/>
    <w:rsid w:val="457148DF"/>
    <w:rsid w:val="457C0C7E"/>
    <w:rsid w:val="45EC17B9"/>
    <w:rsid w:val="45F76490"/>
    <w:rsid w:val="45F861E1"/>
    <w:rsid w:val="463830AB"/>
    <w:rsid w:val="46896661"/>
    <w:rsid w:val="46BC6216"/>
    <w:rsid w:val="47117CF1"/>
    <w:rsid w:val="472B4AD7"/>
    <w:rsid w:val="478551BE"/>
    <w:rsid w:val="47907D9B"/>
    <w:rsid w:val="47B8315F"/>
    <w:rsid w:val="47E57A2C"/>
    <w:rsid w:val="48330165"/>
    <w:rsid w:val="4885166B"/>
    <w:rsid w:val="48AA518C"/>
    <w:rsid w:val="48E40CC7"/>
    <w:rsid w:val="48E45884"/>
    <w:rsid w:val="492C67CC"/>
    <w:rsid w:val="493E5B0B"/>
    <w:rsid w:val="49790378"/>
    <w:rsid w:val="49EB0E4B"/>
    <w:rsid w:val="4A4F1A3A"/>
    <w:rsid w:val="4A6358AE"/>
    <w:rsid w:val="4A8318E3"/>
    <w:rsid w:val="4AE93D30"/>
    <w:rsid w:val="4BA87397"/>
    <w:rsid w:val="4BB12033"/>
    <w:rsid w:val="4BF06B03"/>
    <w:rsid w:val="4BFD5ED1"/>
    <w:rsid w:val="4C266296"/>
    <w:rsid w:val="4C4216B0"/>
    <w:rsid w:val="4C484B4B"/>
    <w:rsid w:val="4C85486A"/>
    <w:rsid w:val="4CA42ECE"/>
    <w:rsid w:val="4CEC703E"/>
    <w:rsid w:val="4D064BEB"/>
    <w:rsid w:val="4D3D60B5"/>
    <w:rsid w:val="4D66163C"/>
    <w:rsid w:val="4DA15E9C"/>
    <w:rsid w:val="4DF139E3"/>
    <w:rsid w:val="4DFB65D5"/>
    <w:rsid w:val="4E4B66B0"/>
    <w:rsid w:val="4E93668F"/>
    <w:rsid w:val="4ED35B25"/>
    <w:rsid w:val="4ED91D06"/>
    <w:rsid w:val="4EE40DC8"/>
    <w:rsid w:val="4EF16C79"/>
    <w:rsid w:val="4F6E7DA9"/>
    <w:rsid w:val="4F905051"/>
    <w:rsid w:val="4FAA6CD7"/>
    <w:rsid w:val="502A51AB"/>
    <w:rsid w:val="5091315F"/>
    <w:rsid w:val="5124375A"/>
    <w:rsid w:val="51521769"/>
    <w:rsid w:val="51544038"/>
    <w:rsid w:val="519C1341"/>
    <w:rsid w:val="519F6507"/>
    <w:rsid w:val="51A27095"/>
    <w:rsid w:val="51B15B98"/>
    <w:rsid w:val="51E4049B"/>
    <w:rsid w:val="52734E7B"/>
    <w:rsid w:val="53EA1EA1"/>
    <w:rsid w:val="54B04D65"/>
    <w:rsid w:val="54EE5A3A"/>
    <w:rsid w:val="55657D26"/>
    <w:rsid w:val="56286EF5"/>
    <w:rsid w:val="564E7462"/>
    <w:rsid w:val="565A1835"/>
    <w:rsid w:val="56AD6862"/>
    <w:rsid w:val="57791C75"/>
    <w:rsid w:val="577B4EBB"/>
    <w:rsid w:val="57B617AB"/>
    <w:rsid w:val="58151EE2"/>
    <w:rsid w:val="584C42FE"/>
    <w:rsid w:val="5856190E"/>
    <w:rsid w:val="585B3AB8"/>
    <w:rsid w:val="586300B0"/>
    <w:rsid w:val="586C15A6"/>
    <w:rsid w:val="58732AF0"/>
    <w:rsid w:val="590644CD"/>
    <w:rsid w:val="590C69EC"/>
    <w:rsid w:val="59FC5E38"/>
    <w:rsid w:val="5A4D3B1B"/>
    <w:rsid w:val="5AA10B25"/>
    <w:rsid w:val="5B3D5EEB"/>
    <w:rsid w:val="5B7B3EE4"/>
    <w:rsid w:val="5C243BD7"/>
    <w:rsid w:val="5C491078"/>
    <w:rsid w:val="5CD61264"/>
    <w:rsid w:val="5CE31AF3"/>
    <w:rsid w:val="5D073E02"/>
    <w:rsid w:val="5D371976"/>
    <w:rsid w:val="5D5B684D"/>
    <w:rsid w:val="5DC51066"/>
    <w:rsid w:val="5DF47B6B"/>
    <w:rsid w:val="5E4E3EED"/>
    <w:rsid w:val="5E5653E7"/>
    <w:rsid w:val="5E645268"/>
    <w:rsid w:val="5E885B1B"/>
    <w:rsid w:val="5EC44A50"/>
    <w:rsid w:val="5EDB322A"/>
    <w:rsid w:val="5EE240B6"/>
    <w:rsid w:val="5F427FDD"/>
    <w:rsid w:val="6015514F"/>
    <w:rsid w:val="60481EFD"/>
    <w:rsid w:val="604F334E"/>
    <w:rsid w:val="60A40A49"/>
    <w:rsid w:val="60E467FB"/>
    <w:rsid w:val="612E0F45"/>
    <w:rsid w:val="61501B8A"/>
    <w:rsid w:val="617C0E30"/>
    <w:rsid w:val="617C33F9"/>
    <w:rsid w:val="617F54AD"/>
    <w:rsid w:val="627F5760"/>
    <w:rsid w:val="62BE33E1"/>
    <w:rsid w:val="62E47405"/>
    <w:rsid w:val="633066BE"/>
    <w:rsid w:val="63641231"/>
    <w:rsid w:val="63956584"/>
    <w:rsid w:val="64520456"/>
    <w:rsid w:val="64A77F63"/>
    <w:rsid w:val="64BD5A8C"/>
    <w:rsid w:val="64D8306F"/>
    <w:rsid w:val="650631E7"/>
    <w:rsid w:val="653D0CAF"/>
    <w:rsid w:val="6557469C"/>
    <w:rsid w:val="65645EFA"/>
    <w:rsid w:val="657A309B"/>
    <w:rsid w:val="665105B6"/>
    <w:rsid w:val="66834D76"/>
    <w:rsid w:val="66B44F24"/>
    <w:rsid w:val="67011D77"/>
    <w:rsid w:val="67125365"/>
    <w:rsid w:val="676A4BA2"/>
    <w:rsid w:val="679503FD"/>
    <w:rsid w:val="67D33415"/>
    <w:rsid w:val="688750A2"/>
    <w:rsid w:val="68A730EA"/>
    <w:rsid w:val="69595208"/>
    <w:rsid w:val="698E1E86"/>
    <w:rsid w:val="6A5D4326"/>
    <w:rsid w:val="6A6D0618"/>
    <w:rsid w:val="6A7449B2"/>
    <w:rsid w:val="6AC43F09"/>
    <w:rsid w:val="6B0C7886"/>
    <w:rsid w:val="6B113535"/>
    <w:rsid w:val="6B247CEA"/>
    <w:rsid w:val="6B4F029B"/>
    <w:rsid w:val="6C7A0F7D"/>
    <w:rsid w:val="6C7B14DC"/>
    <w:rsid w:val="6CAC58B6"/>
    <w:rsid w:val="6CE7029A"/>
    <w:rsid w:val="6D6305A2"/>
    <w:rsid w:val="6DA06C1D"/>
    <w:rsid w:val="6DE92C98"/>
    <w:rsid w:val="6E9A5C7F"/>
    <w:rsid w:val="6E9C4161"/>
    <w:rsid w:val="6EE64456"/>
    <w:rsid w:val="6EEF0261"/>
    <w:rsid w:val="6F9C4EF8"/>
    <w:rsid w:val="6FC93450"/>
    <w:rsid w:val="700D68C2"/>
    <w:rsid w:val="703C2D18"/>
    <w:rsid w:val="70965124"/>
    <w:rsid w:val="70A455FA"/>
    <w:rsid w:val="70C97E1B"/>
    <w:rsid w:val="711F0AED"/>
    <w:rsid w:val="713549AA"/>
    <w:rsid w:val="713B0273"/>
    <w:rsid w:val="717A2D6D"/>
    <w:rsid w:val="71B50F1F"/>
    <w:rsid w:val="71C00E88"/>
    <w:rsid w:val="71CF7886"/>
    <w:rsid w:val="72212A38"/>
    <w:rsid w:val="727F77CE"/>
    <w:rsid w:val="72B30178"/>
    <w:rsid w:val="72E61592"/>
    <w:rsid w:val="73512B07"/>
    <w:rsid w:val="73A2366D"/>
    <w:rsid w:val="73FC791E"/>
    <w:rsid w:val="74556E28"/>
    <w:rsid w:val="74B319D4"/>
    <w:rsid w:val="74D16F93"/>
    <w:rsid w:val="74FC356E"/>
    <w:rsid w:val="755A0912"/>
    <w:rsid w:val="77391286"/>
    <w:rsid w:val="77483CB0"/>
    <w:rsid w:val="776912B5"/>
    <w:rsid w:val="778F29C9"/>
    <w:rsid w:val="77C12254"/>
    <w:rsid w:val="77EC50F0"/>
    <w:rsid w:val="78036F78"/>
    <w:rsid w:val="785A6DF1"/>
    <w:rsid w:val="78734786"/>
    <w:rsid w:val="78CB4B0D"/>
    <w:rsid w:val="78D11849"/>
    <w:rsid w:val="78F47BF9"/>
    <w:rsid w:val="794904AB"/>
    <w:rsid w:val="794E04F6"/>
    <w:rsid w:val="79D73A37"/>
    <w:rsid w:val="79E66C8C"/>
    <w:rsid w:val="79FF5D52"/>
    <w:rsid w:val="7A435AF2"/>
    <w:rsid w:val="7AC14E8D"/>
    <w:rsid w:val="7AD6607C"/>
    <w:rsid w:val="7AF1422A"/>
    <w:rsid w:val="7B490FC0"/>
    <w:rsid w:val="7BE03D3F"/>
    <w:rsid w:val="7BE31255"/>
    <w:rsid w:val="7CA56902"/>
    <w:rsid w:val="7CE50B11"/>
    <w:rsid w:val="7D1F5DBB"/>
    <w:rsid w:val="7D6B2213"/>
    <w:rsid w:val="7DB67961"/>
    <w:rsid w:val="7DE51DC0"/>
    <w:rsid w:val="7DF8570A"/>
    <w:rsid w:val="7EC3290B"/>
    <w:rsid w:val="7ECF51B4"/>
    <w:rsid w:val="7ED0310B"/>
    <w:rsid w:val="CB72F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jc w:val="center"/>
      <w:outlineLvl w:val="0"/>
    </w:pPr>
    <w:rPr>
      <w:b/>
      <w:bCs/>
      <w:kern w:val="44"/>
      <w:sz w:val="30"/>
      <w:szCs w:val="44"/>
    </w:rPr>
  </w:style>
  <w:style w:type="paragraph" w:styleId="5">
    <w:name w:val="heading 2"/>
    <w:basedOn w:val="1"/>
    <w:next w:val="1"/>
    <w:qFormat/>
    <w:uiPriority w:val="0"/>
    <w:pPr>
      <w:keepNext/>
      <w:keepLines/>
      <w:spacing w:before="260" w:after="260" w:line="412"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5" w:lineRule="auto"/>
      <w:jc w:val="center"/>
      <w:outlineLvl w:val="2"/>
    </w:pPr>
    <w:rPr>
      <w:rFonts w:ascii="Calibri" w:hAnsi="Calibri"/>
      <w:b/>
      <w:bCs/>
      <w:sz w:val="28"/>
      <w:szCs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8">
    <w:name w:val="heading 5"/>
    <w:basedOn w:val="1"/>
    <w:next w:val="1"/>
    <w:qFormat/>
    <w:uiPriority w:val="0"/>
    <w:pPr>
      <w:keepNext/>
      <w:keepLines/>
      <w:tabs>
        <w:tab w:val="left" w:pos="1800"/>
      </w:tabs>
      <w:spacing w:before="280" w:after="290" w:line="374" w:lineRule="auto"/>
      <w:ind w:left="1800" w:hanging="1800"/>
      <w:outlineLvl w:val="4"/>
    </w:pPr>
    <w:rPr>
      <w:b/>
      <w:bCs/>
      <w:sz w:val="28"/>
      <w:szCs w:val="28"/>
    </w:rPr>
  </w:style>
  <w:style w:type="paragraph" w:styleId="9">
    <w:name w:val="heading 6"/>
    <w:basedOn w:val="1"/>
    <w:next w:val="1"/>
    <w:qFormat/>
    <w:uiPriority w:val="0"/>
    <w:pPr>
      <w:keepNext/>
      <w:keepLines/>
      <w:adjustRightInd w:val="0"/>
      <w:spacing w:before="240" w:after="64" w:line="319" w:lineRule="auto"/>
      <w:textAlignment w:val="baseline"/>
      <w:outlineLvl w:val="5"/>
    </w:pPr>
    <w:rPr>
      <w:rFonts w:ascii="Arial" w:hAnsi="Arial" w:eastAsia="黑体"/>
      <w:b/>
      <w:szCs w:val="20"/>
    </w:rPr>
  </w:style>
  <w:style w:type="paragraph" w:styleId="10">
    <w:name w:val="heading 7"/>
    <w:basedOn w:val="1"/>
    <w:next w:val="1"/>
    <w:link w:val="116"/>
    <w:qFormat/>
    <w:uiPriority w:val="0"/>
    <w:pPr>
      <w:keepNext/>
      <w:keepLines/>
      <w:adjustRightInd w:val="0"/>
      <w:spacing w:before="240" w:after="64" w:line="319" w:lineRule="auto"/>
      <w:textAlignment w:val="baseline"/>
      <w:outlineLvl w:val="6"/>
    </w:pPr>
    <w:rPr>
      <w:b/>
      <w:szCs w:val="20"/>
    </w:rPr>
  </w:style>
  <w:style w:type="paragraph" w:styleId="11">
    <w:name w:val="heading 8"/>
    <w:basedOn w:val="1"/>
    <w:next w:val="1"/>
    <w:qFormat/>
    <w:uiPriority w:val="0"/>
    <w:pPr>
      <w:keepNext/>
      <w:keepLines/>
      <w:adjustRightInd w:val="0"/>
      <w:spacing w:before="240" w:after="64" w:line="319" w:lineRule="auto"/>
      <w:textAlignment w:val="baseline"/>
      <w:outlineLvl w:val="7"/>
    </w:pPr>
    <w:rPr>
      <w:rFonts w:ascii="Arial" w:hAnsi="Arial" w:eastAsia="黑体"/>
      <w:szCs w:val="20"/>
    </w:rPr>
  </w:style>
  <w:style w:type="paragraph" w:styleId="12">
    <w:name w:val="heading 9"/>
    <w:basedOn w:val="1"/>
    <w:next w:val="1"/>
    <w:qFormat/>
    <w:uiPriority w:val="0"/>
    <w:pPr>
      <w:keepNext/>
      <w:keepLines/>
      <w:adjustRightInd w:val="0"/>
      <w:spacing w:before="240" w:after="64" w:line="319" w:lineRule="auto"/>
      <w:textAlignment w:val="baseline"/>
      <w:outlineLvl w:val="8"/>
    </w:pPr>
    <w:rPr>
      <w:rFonts w:ascii="Arial" w:hAnsi="Arial" w:eastAsia="黑体"/>
      <w:szCs w:val="20"/>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121"/>
    <w:semiHidden/>
    <w:unhideWhenUsed/>
    <w:qFormat/>
    <w:uiPriority w:val="99"/>
    <w:pPr>
      <w:ind w:firstLine="420" w:firstLineChars="100"/>
    </w:pPr>
    <w:rPr>
      <w:sz w:val="21"/>
    </w:rPr>
  </w:style>
  <w:style w:type="paragraph" w:styleId="3">
    <w:name w:val="Body Text"/>
    <w:basedOn w:val="1"/>
    <w:next w:val="2"/>
    <w:link w:val="118"/>
    <w:qFormat/>
    <w:uiPriority w:val="0"/>
    <w:pPr>
      <w:spacing w:after="120"/>
    </w:pPr>
    <w:rPr>
      <w:sz w:val="28"/>
    </w:rPr>
  </w:style>
  <w:style w:type="paragraph" w:styleId="13">
    <w:name w:val="toc 7"/>
    <w:basedOn w:val="1"/>
    <w:next w:val="1"/>
    <w:qFormat/>
    <w:uiPriority w:val="0"/>
    <w:pPr>
      <w:ind w:left="1260"/>
      <w:jc w:val="left"/>
    </w:pPr>
    <w:rPr>
      <w:rFonts w:ascii="Calibri" w:hAnsi="Calibri" w:cs="Calibri"/>
      <w:sz w:val="18"/>
      <w:szCs w:val="18"/>
    </w:rPr>
  </w:style>
  <w:style w:type="paragraph" w:styleId="14">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5">
    <w:name w:val="Normal Indent"/>
    <w:basedOn w:val="1"/>
    <w:next w:val="1"/>
    <w:qFormat/>
    <w:uiPriority w:val="0"/>
    <w:pPr>
      <w:ind w:firstLine="420"/>
    </w:pPr>
    <w:rPr>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Document Map"/>
    <w:basedOn w:val="1"/>
    <w:qFormat/>
    <w:uiPriority w:val="0"/>
    <w:pPr>
      <w:shd w:val="clear" w:color="auto" w:fill="000080"/>
    </w:pPr>
  </w:style>
  <w:style w:type="paragraph" w:styleId="18">
    <w:name w:val="annotation text"/>
    <w:link w:val="117"/>
    <w:qFormat/>
    <w:uiPriority w:val="99"/>
    <w:pPr>
      <w:widowControl w:val="0"/>
    </w:pPr>
    <w:rPr>
      <w:rFonts w:ascii="Times New Roman" w:hAnsi="Times New Roman" w:eastAsia="宋体" w:cs="Times New Roman"/>
      <w:kern w:val="2"/>
      <w:sz w:val="21"/>
      <w:szCs w:val="24"/>
      <w:lang w:val="en-US" w:eastAsia="zh-CN" w:bidi="ar-SA"/>
    </w:rPr>
  </w:style>
  <w:style w:type="paragraph" w:styleId="19">
    <w:name w:val="Body Text 3"/>
    <w:basedOn w:val="1"/>
    <w:qFormat/>
    <w:uiPriority w:val="0"/>
    <w:pPr>
      <w:snapToGrid w:val="0"/>
      <w:spacing w:before="50" w:after="50"/>
    </w:pPr>
    <w:rPr>
      <w:rFonts w:eastAsia="仿宋_GB2312"/>
      <w:b/>
      <w:bCs/>
      <w:sz w:val="24"/>
      <w:szCs w:val="20"/>
    </w:rPr>
  </w:style>
  <w:style w:type="paragraph" w:styleId="20">
    <w:name w:val="Body Text Indent"/>
    <w:basedOn w:val="1"/>
    <w:next w:val="1"/>
    <w:qFormat/>
    <w:uiPriority w:val="0"/>
    <w:pPr>
      <w:spacing w:line="200" w:lineRule="exact"/>
      <w:ind w:firstLine="301"/>
    </w:pPr>
    <w:rPr>
      <w:rFonts w:ascii="宋体"/>
      <w:spacing w:val="-4"/>
      <w:sz w:val="18"/>
      <w:szCs w:val="20"/>
    </w:rPr>
  </w:style>
  <w:style w:type="paragraph" w:styleId="21">
    <w:name w:val="List Number 3"/>
    <w:basedOn w:val="1"/>
    <w:qFormat/>
    <w:uiPriority w:val="0"/>
    <w:pPr>
      <w:numPr>
        <w:ilvl w:val="0"/>
        <w:numId w:val="1"/>
      </w:numPr>
    </w:pPr>
  </w:style>
  <w:style w:type="paragraph" w:styleId="22">
    <w:name w:val="List 2"/>
    <w:basedOn w:val="1"/>
    <w:qFormat/>
    <w:uiPriority w:val="0"/>
    <w:pPr>
      <w:ind w:left="400" w:leftChars="200" w:hanging="200" w:hangingChars="200"/>
    </w:pPr>
    <w:rPr>
      <w:sz w:val="28"/>
    </w:rPr>
  </w:style>
  <w:style w:type="paragraph" w:styleId="23">
    <w:name w:val="toc 5"/>
    <w:basedOn w:val="1"/>
    <w:next w:val="1"/>
    <w:qFormat/>
    <w:uiPriority w:val="0"/>
    <w:pPr>
      <w:ind w:left="840"/>
      <w:jc w:val="left"/>
    </w:pPr>
    <w:rPr>
      <w:rFonts w:ascii="Calibri" w:hAnsi="Calibri" w:cs="Calibri"/>
      <w:sz w:val="18"/>
      <w:szCs w:val="18"/>
    </w:rPr>
  </w:style>
  <w:style w:type="paragraph" w:styleId="24">
    <w:name w:val="toc 3"/>
    <w:basedOn w:val="1"/>
    <w:next w:val="1"/>
    <w:qFormat/>
    <w:uiPriority w:val="0"/>
    <w:pPr>
      <w:ind w:left="400" w:leftChars="400"/>
    </w:pPr>
  </w:style>
  <w:style w:type="paragraph" w:styleId="25">
    <w:name w:val="Plain Text"/>
    <w:basedOn w:val="1"/>
    <w:qFormat/>
    <w:uiPriority w:val="0"/>
    <w:pPr>
      <w:spacing w:beforeLines="50" w:afterLines="50" w:line="400" w:lineRule="exact"/>
    </w:pPr>
    <w:rPr>
      <w:rFonts w:ascii="宋体"/>
      <w:szCs w:val="21"/>
    </w:rPr>
  </w:style>
  <w:style w:type="paragraph" w:styleId="26">
    <w:name w:val="toc 8"/>
    <w:basedOn w:val="1"/>
    <w:next w:val="1"/>
    <w:qFormat/>
    <w:uiPriority w:val="0"/>
    <w:pPr>
      <w:ind w:left="1470"/>
      <w:jc w:val="left"/>
    </w:pPr>
    <w:rPr>
      <w:rFonts w:ascii="Calibri" w:hAnsi="Calibri" w:cs="Calibri"/>
      <w:sz w:val="18"/>
      <w:szCs w:val="18"/>
    </w:rPr>
  </w:style>
  <w:style w:type="paragraph" w:styleId="27">
    <w:name w:val="Date"/>
    <w:basedOn w:val="1"/>
    <w:next w:val="1"/>
    <w:link w:val="120"/>
    <w:qFormat/>
    <w:uiPriority w:val="0"/>
    <w:pPr>
      <w:ind w:left="2500" w:leftChars="2500"/>
    </w:pPr>
    <w:rPr>
      <w:rFonts w:eastAsia="楷体_GB2312"/>
      <w:sz w:val="32"/>
      <w:szCs w:val="20"/>
    </w:rPr>
  </w:style>
  <w:style w:type="paragraph" w:styleId="28">
    <w:name w:val="Body Text Indent 2"/>
    <w:basedOn w:val="1"/>
    <w:qFormat/>
    <w:uiPriority w:val="0"/>
    <w:pPr>
      <w:snapToGrid w:val="0"/>
      <w:ind w:firstLine="225" w:firstLineChars="225"/>
    </w:pPr>
    <w:rPr>
      <w:rFonts w:ascii="仿宋_GB2312" w:hAnsi="仿宋_GB2312"/>
      <w:b/>
      <w:bCs/>
      <w:color w:val="000000"/>
      <w:sz w:val="24"/>
    </w:rPr>
  </w:style>
  <w:style w:type="paragraph" w:styleId="29">
    <w:name w:val="endnote text"/>
    <w:basedOn w:val="1"/>
    <w:qFormat/>
    <w:uiPriority w:val="0"/>
    <w:pPr>
      <w:snapToGrid w:val="0"/>
      <w:jc w:val="left"/>
    </w:pPr>
  </w:style>
  <w:style w:type="paragraph" w:styleId="30">
    <w:name w:val="Balloon Text"/>
    <w:basedOn w:val="1"/>
    <w:qFormat/>
    <w:uiPriority w:val="0"/>
    <w:rPr>
      <w:sz w:val="18"/>
      <w:szCs w:val="18"/>
    </w:rPr>
  </w:style>
  <w:style w:type="paragraph" w:styleId="31">
    <w:name w:val="footer"/>
    <w:basedOn w:val="1"/>
    <w:link w:val="99"/>
    <w:qFormat/>
    <w:uiPriority w:val="99"/>
    <w:pPr>
      <w:tabs>
        <w:tab w:val="center" w:pos="4153"/>
        <w:tab w:val="right" w:pos="8306"/>
      </w:tabs>
      <w:snapToGrid w:val="0"/>
      <w:jc w:val="left"/>
    </w:pPr>
    <w:rPr>
      <w:rFonts w:eastAsia="黑体"/>
      <w:kern w:val="0"/>
      <w:sz w:val="18"/>
      <w:szCs w:val="18"/>
    </w:rPr>
  </w:style>
  <w:style w:type="paragraph" w:styleId="32">
    <w:name w:val="header"/>
    <w:basedOn w:val="1"/>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33">
    <w:name w:val="toc 1"/>
    <w:basedOn w:val="1"/>
    <w:next w:val="1"/>
    <w:qFormat/>
    <w:uiPriority w:val="39"/>
    <w:pPr>
      <w:spacing w:before="600" w:after="600"/>
    </w:pPr>
    <w:rPr>
      <w:b/>
      <w:sz w:val="32"/>
    </w:rPr>
  </w:style>
  <w:style w:type="paragraph" w:styleId="34">
    <w:name w:val="toc 4"/>
    <w:basedOn w:val="1"/>
    <w:next w:val="1"/>
    <w:qFormat/>
    <w:uiPriority w:val="0"/>
    <w:pPr>
      <w:ind w:left="630"/>
      <w:jc w:val="left"/>
    </w:pPr>
    <w:rPr>
      <w:rFonts w:ascii="Calibri" w:hAnsi="Calibri" w:cs="Calibri"/>
      <w:sz w:val="18"/>
      <w:szCs w:val="18"/>
    </w:rPr>
  </w:style>
  <w:style w:type="paragraph" w:styleId="35">
    <w:name w:val="List"/>
    <w:basedOn w:val="1"/>
    <w:qFormat/>
    <w:uiPriority w:val="0"/>
    <w:pPr>
      <w:ind w:left="200" w:hanging="200" w:hangingChars="200"/>
    </w:pPr>
    <w:rPr>
      <w:sz w:val="28"/>
    </w:rPr>
  </w:style>
  <w:style w:type="paragraph" w:styleId="36">
    <w:name w:val="footnote text"/>
    <w:basedOn w:val="1"/>
    <w:qFormat/>
    <w:uiPriority w:val="0"/>
    <w:pPr>
      <w:snapToGrid w:val="0"/>
      <w:jc w:val="left"/>
    </w:pPr>
    <w:rPr>
      <w:sz w:val="18"/>
      <w:szCs w:val="18"/>
    </w:rPr>
  </w:style>
  <w:style w:type="paragraph" w:styleId="37">
    <w:name w:val="toc 6"/>
    <w:basedOn w:val="1"/>
    <w:next w:val="1"/>
    <w:qFormat/>
    <w:uiPriority w:val="0"/>
    <w:pPr>
      <w:ind w:left="1050"/>
      <w:jc w:val="left"/>
    </w:pPr>
    <w:rPr>
      <w:rFonts w:ascii="Calibri" w:hAnsi="Calibri" w:cs="Calibri"/>
      <w:sz w:val="18"/>
      <w:szCs w:val="18"/>
    </w:rPr>
  </w:style>
  <w:style w:type="paragraph" w:styleId="38">
    <w:name w:val="Body Text Indent 3"/>
    <w:basedOn w:val="1"/>
    <w:qFormat/>
    <w:uiPriority w:val="0"/>
    <w:pPr>
      <w:snapToGrid w:val="0"/>
      <w:ind w:firstLine="200" w:firstLineChars="200"/>
      <w:jc w:val="left"/>
    </w:pPr>
    <w:rPr>
      <w:sz w:val="16"/>
      <w:szCs w:val="16"/>
    </w:rPr>
  </w:style>
  <w:style w:type="paragraph" w:styleId="39">
    <w:name w:val="toc 2"/>
    <w:basedOn w:val="1"/>
    <w:next w:val="1"/>
    <w:qFormat/>
    <w:uiPriority w:val="39"/>
    <w:pPr>
      <w:ind w:left="200" w:leftChars="200"/>
    </w:pPr>
  </w:style>
  <w:style w:type="paragraph" w:styleId="40">
    <w:name w:val="toc 9"/>
    <w:basedOn w:val="1"/>
    <w:next w:val="1"/>
    <w:qFormat/>
    <w:uiPriority w:val="0"/>
    <w:pPr>
      <w:ind w:left="1680"/>
      <w:jc w:val="left"/>
    </w:pPr>
    <w:rPr>
      <w:rFonts w:ascii="Calibri" w:hAnsi="Calibri" w:cs="Calibri"/>
      <w:sz w:val="18"/>
      <w:szCs w:val="18"/>
    </w:rPr>
  </w:style>
  <w:style w:type="paragraph" w:styleId="41">
    <w:name w:val="Body Text 2"/>
    <w:basedOn w:val="1"/>
    <w:qFormat/>
    <w:uiPriority w:val="0"/>
    <w:pPr>
      <w:widowControl/>
      <w:snapToGrid w:val="0"/>
      <w:spacing w:before="50" w:afterLines="50" w:line="400" w:lineRule="exact"/>
      <w:jc w:val="left"/>
    </w:pPr>
    <w:rPr>
      <w:rFonts w:ascii="宋体"/>
      <w:color w:val="000000"/>
      <w:sz w:val="24"/>
    </w:rPr>
  </w:style>
  <w:style w:type="paragraph" w:styleId="42">
    <w:name w:val="Normal (Web)"/>
    <w:basedOn w:val="1"/>
    <w:link w:val="119"/>
    <w:qFormat/>
    <w:uiPriority w:val="99"/>
    <w:pPr>
      <w:widowControl/>
      <w:spacing w:before="100" w:beforeAutospacing="1" w:after="100" w:afterAutospacing="1"/>
      <w:jc w:val="left"/>
    </w:pPr>
    <w:rPr>
      <w:kern w:val="0"/>
      <w:sz w:val="24"/>
    </w:rPr>
  </w:style>
  <w:style w:type="paragraph" w:styleId="43">
    <w:name w:val="annotation subject"/>
    <w:basedOn w:val="18"/>
    <w:next w:val="18"/>
    <w:qFormat/>
    <w:uiPriority w:val="0"/>
    <w:rPr>
      <w:b/>
      <w:bCs/>
    </w:rPr>
  </w:style>
  <w:style w:type="paragraph" w:styleId="44">
    <w:name w:val="Body Text First Indent 2"/>
    <w:basedOn w:val="20"/>
    <w:next w:val="1"/>
    <w:qFormat/>
    <w:uiPriority w:val="0"/>
    <w:pPr>
      <w:ind w:firstLine="420" w:firstLineChars="200"/>
    </w:p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22"/>
    <w:rPr>
      <w:b/>
    </w:rPr>
  </w:style>
  <w:style w:type="character" w:styleId="49">
    <w:name w:val="page number"/>
    <w:basedOn w:val="47"/>
    <w:qFormat/>
    <w:uiPriority w:val="0"/>
  </w:style>
  <w:style w:type="character" w:styleId="50">
    <w:name w:val="FollowedHyperlink"/>
    <w:qFormat/>
    <w:uiPriority w:val="0"/>
    <w:rPr>
      <w:color w:val="333333"/>
      <w:sz w:val="16"/>
      <w:szCs w:val="0"/>
      <w:u w:val="none"/>
    </w:rPr>
  </w:style>
  <w:style w:type="character" w:styleId="51">
    <w:name w:val="Emphasis"/>
    <w:qFormat/>
    <w:uiPriority w:val="20"/>
  </w:style>
  <w:style w:type="character" w:styleId="52">
    <w:name w:val="Hyperlink"/>
    <w:qFormat/>
    <w:uiPriority w:val="99"/>
    <w:rPr>
      <w:color w:val="333333"/>
      <w:u w:val="none"/>
    </w:rPr>
  </w:style>
  <w:style w:type="character" w:styleId="53">
    <w:name w:val="annotation reference"/>
    <w:qFormat/>
    <w:uiPriority w:val="0"/>
    <w:rPr>
      <w:sz w:val="21"/>
      <w:szCs w:val="21"/>
    </w:rPr>
  </w:style>
  <w:style w:type="paragraph" w:customStyle="1" w:styleId="54">
    <w:name w:val="Char Char Char Char Char Char Char Char Char Char Char Char1 Char"/>
    <w:basedOn w:val="17"/>
    <w:qFormat/>
    <w:uiPriority w:val="0"/>
    <w:rPr>
      <w:rFonts w:ascii="Tahoma" w:hAnsi="Tahoma"/>
      <w:sz w:val="24"/>
    </w:rPr>
  </w:style>
  <w:style w:type="paragraph" w:customStyle="1" w:styleId="55">
    <w:name w:val="_Style 1"/>
    <w:basedOn w:val="1"/>
    <w:qFormat/>
    <w:uiPriority w:val="34"/>
    <w:pPr>
      <w:ind w:firstLine="420" w:firstLineChars="200"/>
    </w:pPr>
    <w:rPr>
      <w:rFonts w:ascii="Calibri" w:hAnsi="Calibri"/>
    </w:rPr>
  </w:style>
  <w:style w:type="paragraph" w:customStyle="1" w:styleId="56">
    <w:name w:val="列表段落1"/>
    <w:basedOn w:val="1"/>
    <w:qFormat/>
    <w:uiPriority w:val="0"/>
    <w:pPr>
      <w:ind w:firstLine="200" w:firstLineChars="200"/>
    </w:pPr>
    <w:rPr>
      <w:rFonts w:ascii="Calibri" w:hAnsi="Calibri" w:cs="Calibri"/>
    </w:rPr>
  </w:style>
  <w:style w:type="paragraph" w:styleId="57">
    <w:name w:val="List Paragraph"/>
    <w:basedOn w:val="1"/>
    <w:link w:val="124"/>
    <w:qFormat/>
    <w:uiPriority w:val="99"/>
    <w:pPr>
      <w:ind w:firstLine="420" w:firstLineChars="200"/>
    </w:pPr>
    <w:rPr>
      <w:rFonts w:ascii="Calibri" w:hAnsi="Calibri"/>
      <w:szCs w:val="22"/>
    </w:rPr>
  </w:style>
  <w:style w:type="paragraph" w:customStyle="1" w:styleId="58">
    <w:name w:val="样式 标题 3 +"/>
    <w:basedOn w:val="6"/>
    <w:qFormat/>
    <w:uiPriority w:val="0"/>
    <w:rPr>
      <w:kern w:val="0"/>
    </w:rPr>
  </w:style>
  <w:style w:type="paragraph" w:customStyle="1" w:styleId="59">
    <w:name w:val="Char1 Char Char Char"/>
    <w:basedOn w:val="1"/>
    <w:qFormat/>
    <w:uiPriority w:val="0"/>
    <w:pPr>
      <w:tabs>
        <w:tab w:val="left" w:pos="840"/>
      </w:tabs>
      <w:ind w:left="840" w:hanging="420"/>
    </w:pPr>
    <w:rPr>
      <w:sz w:val="24"/>
    </w:rPr>
  </w:style>
  <w:style w:type="paragraph" w:customStyle="1" w:styleId="60">
    <w:name w:val="xl66"/>
    <w:basedOn w:val="1"/>
    <w:qFormat/>
    <w:uiPriority w:val="0"/>
    <w:pPr>
      <w:widowControl/>
      <w:pBdr>
        <w:left w:val="single" w:color="auto" w:sz="4" w:space="0"/>
        <w:bottom w:val="single" w:color="auto" w:sz="4" w:space="0"/>
      </w:pBdr>
      <w:spacing w:before="100" w:beforeAutospacing="1" w:after="100" w:afterAutospacing="1"/>
      <w:jc w:val="center"/>
    </w:pPr>
    <w:rPr>
      <w:rFonts w:ascii="宋体"/>
      <w:kern w:val="0"/>
      <w:sz w:val="24"/>
    </w:rPr>
  </w:style>
  <w:style w:type="paragraph" w:customStyle="1" w:styleId="61">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62">
    <w:name w:val="默认"/>
    <w:qFormat/>
    <w:uiPriority w:val="0"/>
    <w:rPr>
      <w:rFonts w:ascii="Helvetica" w:hAnsi="Arial Unicode MS" w:eastAsia="Arial Unicode MS" w:cs="Arial Unicode MS"/>
      <w:color w:val="000000"/>
      <w:sz w:val="22"/>
      <w:szCs w:val="22"/>
      <w:lang w:val="en-US" w:eastAsia="zh-CN" w:bidi="ar-SA"/>
    </w:rPr>
  </w:style>
  <w:style w:type="paragraph" w:customStyle="1" w:styleId="63">
    <w:name w:val="普通(网站)2"/>
    <w:basedOn w:val="1"/>
    <w:qFormat/>
    <w:uiPriority w:val="0"/>
    <w:pPr>
      <w:adjustRightInd w:val="0"/>
      <w:spacing w:line="360" w:lineRule="auto"/>
      <w:textAlignment w:val="baseline"/>
    </w:pPr>
    <w:rPr>
      <w:rFonts w:hAnsi="Calibri" w:eastAsia="仿宋"/>
      <w:kern w:val="0"/>
      <w:sz w:val="28"/>
    </w:rPr>
  </w:style>
  <w:style w:type="paragraph" w:customStyle="1" w:styleId="64">
    <w:name w:val="列出段落1"/>
    <w:basedOn w:val="1"/>
    <w:qFormat/>
    <w:uiPriority w:val="0"/>
    <w:pPr>
      <w:ind w:firstLine="200" w:firstLineChars="200"/>
    </w:pPr>
    <w:rPr>
      <w:rFonts w:ascii="Calibri" w:hAnsi="Calibri"/>
      <w:szCs w:val="22"/>
    </w:rPr>
  </w:style>
  <w:style w:type="paragraph" w:customStyle="1" w:styleId="65">
    <w:name w:val="p0"/>
    <w:basedOn w:val="1"/>
    <w:qFormat/>
    <w:uiPriority w:val="0"/>
    <w:pPr>
      <w:widowControl/>
    </w:pPr>
    <w:rPr>
      <w:kern w:val="0"/>
      <w:szCs w:val="21"/>
    </w:rPr>
  </w:style>
  <w:style w:type="paragraph" w:customStyle="1" w:styleId="66">
    <w:name w:val="彩色列表 - 强调文字颜色 11"/>
    <w:basedOn w:val="1"/>
    <w:qFormat/>
    <w:uiPriority w:val="0"/>
    <w:pPr>
      <w:ind w:firstLine="200" w:firstLineChars="200"/>
    </w:pPr>
    <w:rPr>
      <w:rFonts w:ascii="Calibri" w:hAnsi="Calibri"/>
      <w:szCs w:val="22"/>
    </w:rPr>
  </w:style>
  <w:style w:type="paragraph" w:customStyle="1" w:styleId="67">
    <w:name w:val="证文"/>
    <w:basedOn w:val="1"/>
    <w:qFormat/>
    <w:uiPriority w:val="0"/>
    <w:pPr>
      <w:spacing w:line="360" w:lineRule="auto"/>
    </w:pPr>
    <w:rPr>
      <w:sz w:val="24"/>
      <w:szCs w:val="20"/>
    </w:rPr>
  </w:style>
  <w:style w:type="paragraph" w:customStyle="1" w:styleId="68">
    <w:name w:val="正文空2格  1."/>
    <w:basedOn w:val="1"/>
    <w:qFormat/>
    <w:uiPriority w:val="0"/>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69">
    <w:name w:val="标准正文"/>
    <w:basedOn w:val="1"/>
    <w:qFormat/>
    <w:uiPriority w:val="0"/>
    <w:pPr>
      <w:spacing w:line="360" w:lineRule="auto"/>
      <w:ind w:firstLine="200" w:firstLineChars="200"/>
    </w:pPr>
    <w:rPr>
      <w:rFonts w:ascii="仿宋" w:eastAsia="仿宋"/>
      <w:sz w:val="28"/>
      <w:szCs w:val="21"/>
    </w:rPr>
  </w:style>
  <w:style w:type="paragraph" w:customStyle="1" w:styleId="70">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71">
    <w:name w:val="xl24"/>
    <w:basedOn w:val="1"/>
    <w:qFormat/>
    <w:uiPriority w:val="0"/>
    <w:pPr>
      <w:widowControl/>
      <w:spacing w:before="100" w:beforeAutospacing="1" w:after="100" w:afterAutospacing="1"/>
      <w:jc w:val="center"/>
      <w:textAlignment w:val="center"/>
    </w:pPr>
    <w:rPr>
      <w:rFonts w:ascii="宋体"/>
      <w:kern w:val="0"/>
      <w:sz w:val="24"/>
    </w:rPr>
  </w:style>
  <w:style w:type="paragraph" w:customStyle="1" w:styleId="72">
    <w:name w:val="此正文"/>
    <w:basedOn w:val="1"/>
    <w:qFormat/>
    <w:uiPriority w:val="0"/>
    <w:pPr>
      <w:spacing w:line="360" w:lineRule="auto"/>
      <w:ind w:firstLine="200" w:firstLineChars="200"/>
    </w:pPr>
    <w:rPr>
      <w:sz w:val="24"/>
    </w:rPr>
  </w:style>
  <w:style w:type="paragraph" w:customStyle="1" w:styleId="73">
    <w:name w:val="自由格式 A"/>
    <w:qFormat/>
    <w:uiPriority w:val="0"/>
    <w:rPr>
      <w:rFonts w:ascii="Helvetica" w:hAnsi="Helvetica" w:eastAsia="ヒラギノ角ゴ Pro W3" w:cs="Times New Roman"/>
      <w:color w:val="000000"/>
      <w:sz w:val="24"/>
      <w:lang w:val="en-US" w:eastAsia="zh-CN" w:bidi="ar-SA"/>
    </w:rPr>
  </w:style>
  <w:style w:type="paragraph" w:customStyle="1" w:styleId="74">
    <w:name w:val="样式 标题 1 + 两端对齐"/>
    <w:basedOn w:val="5"/>
    <w:next w:val="5"/>
    <w:qFormat/>
    <w:uiPriority w:val="0"/>
    <w:pPr>
      <w:autoSpaceDE w:val="0"/>
      <w:autoSpaceDN w:val="0"/>
      <w:adjustRightInd w:val="0"/>
      <w:spacing w:before="340" w:after="330" w:line="240" w:lineRule="auto"/>
      <w:jc w:val="center"/>
    </w:pPr>
    <w:rPr>
      <w:rFonts w:ascii="汉鼎简细圆" w:hAnsi="汉鼎简细圆" w:eastAsia="宋体" w:cs="宋体"/>
      <w:kern w:val="44"/>
      <w:sz w:val="28"/>
      <w:szCs w:val="20"/>
    </w:rPr>
  </w:style>
  <w:style w:type="paragraph" w:customStyle="1" w:styleId="75">
    <w:name w:val="样式 标题 3 +1"/>
    <w:basedOn w:val="6"/>
    <w:qFormat/>
    <w:uiPriority w:val="0"/>
    <w:rPr>
      <w:kern w:val="0"/>
    </w:rPr>
  </w:style>
  <w:style w:type="paragraph" w:customStyle="1" w:styleId="76">
    <w:name w:val="默认段落字体 Para Char Char Char Char Char Char Char Char Char1 Char Char Char Char"/>
    <w:basedOn w:val="1"/>
    <w:qFormat/>
    <w:uiPriority w:val="0"/>
    <w:rPr>
      <w:rFonts w:ascii="Tahoma" w:hAnsi="Tahoma"/>
      <w:sz w:val="24"/>
      <w:szCs w:val="20"/>
    </w:rPr>
  </w:style>
  <w:style w:type="paragraph" w:customStyle="1" w:styleId="77">
    <w:name w:val="Char1"/>
    <w:basedOn w:val="1"/>
    <w:qFormat/>
    <w:uiPriority w:val="0"/>
    <w:rPr>
      <w:rFonts w:ascii="Tahoma" w:hAnsi="Tahoma"/>
      <w:sz w:val="24"/>
      <w:szCs w:val="20"/>
    </w:rPr>
  </w:style>
  <w:style w:type="paragraph" w:customStyle="1" w:styleId="78">
    <w:name w:val="Char11"/>
    <w:basedOn w:val="1"/>
    <w:qFormat/>
    <w:uiPriority w:val="0"/>
    <w:rPr>
      <w:rFonts w:ascii="Tahoma" w:hAnsi="Tahoma"/>
      <w:sz w:val="24"/>
      <w:szCs w:val="20"/>
    </w:rPr>
  </w:style>
  <w:style w:type="paragraph" w:customStyle="1" w:styleId="79">
    <w:name w:val="首行缩进2字符"/>
    <w:basedOn w:val="1"/>
    <w:qFormat/>
    <w:uiPriority w:val="0"/>
    <w:pPr>
      <w:spacing w:line="360" w:lineRule="auto"/>
      <w:ind w:firstLine="200" w:firstLineChars="200"/>
    </w:pPr>
    <w:rPr>
      <w:rFonts w:ascii="Calibri" w:hAnsi="Calibri"/>
      <w:sz w:val="24"/>
      <w:szCs w:val="21"/>
    </w:rPr>
  </w:style>
  <w:style w:type="paragraph" w:customStyle="1" w:styleId="80">
    <w:name w:val="msolistparagraph"/>
    <w:basedOn w:val="1"/>
    <w:qFormat/>
    <w:uiPriority w:val="0"/>
    <w:pPr>
      <w:ind w:firstLine="200" w:firstLineChars="200"/>
    </w:pPr>
    <w:rPr>
      <w:rFonts w:ascii="Calibri" w:hAnsi="Calibri"/>
      <w:szCs w:val="22"/>
    </w:rPr>
  </w:style>
  <w:style w:type="paragraph" w:customStyle="1" w:styleId="81">
    <w:name w:val="big"/>
    <w:basedOn w:val="1"/>
    <w:qFormat/>
    <w:uiPriority w:val="0"/>
    <w:pPr>
      <w:widowControl/>
      <w:spacing w:before="100" w:beforeAutospacing="1" w:after="100" w:afterAutospacing="1"/>
      <w:jc w:val="left"/>
    </w:pPr>
    <w:rPr>
      <w:rFonts w:ascii="宋体"/>
      <w:kern w:val="0"/>
      <w:sz w:val="24"/>
    </w:rPr>
  </w:style>
  <w:style w:type="paragraph" w:customStyle="1" w:styleId="82">
    <w:name w:val="正文段"/>
    <w:basedOn w:val="1"/>
    <w:qFormat/>
    <w:uiPriority w:val="0"/>
    <w:pPr>
      <w:widowControl/>
      <w:snapToGrid w:val="0"/>
      <w:spacing w:afterLines="50"/>
      <w:ind w:firstLine="200" w:firstLineChars="200"/>
    </w:pPr>
    <w:rPr>
      <w:kern w:val="0"/>
      <w:sz w:val="24"/>
      <w:szCs w:val="20"/>
    </w:rPr>
  </w:style>
  <w:style w:type="paragraph" w:customStyle="1" w:styleId="8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4">
    <w:name w:val="Char"/>
    <w:basedOn w:val="1"/>
    <w:qFormat/>
    <w:uiPriority w:val="0"/>
    <w:rPr>
      <w:rFonts w:ascii="仿宋_GB2312" w:eastAsia="仿宋_GB2312"/>
      <w:b/>
      <w:sz w:val="32"/>
      <w:szCs w:val="32"/>
    </w:rPr>
  </w:style>
  <w:style w:type="paragraph" w:customStyle="1" w:styleId="85">
    <w:name w:val="_Style 82"/>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86">
    <w:name w:val="纯文本1"/>
    <w:basedOn w:val="1"/>
    <w:qFormat/>
    <w:uiPriority w:val="0"/>
    <w:pPr>
      <w:adjustRightInd w:val="0"/>
      <w:textAlignment w:val="baseline"/>
    </w:pPr>
    <w:rPr>
      <w:rFonts w:ascii="宋体"/>
      <w:kern w:val="0"/>
      <w:szCs w:val="20"/>
    </w:rPr>
  </w:style>
  <w:style w:type="paragraph" w:customStyle="1" w:styleId="87">
    <w:name w:val="样式1"/>
    <w:basedOn w:val="7"/>
    <w:qFormat/>
    <w:uiPriority w:val="0"/>
  </w:style>
  <w:style w:type="paragraph" w:customStyle="1" w:styleId="88">
    <w:name w:val="地址内"/>
    <w:basedOn w:val="1"/>
    <w:qFormat/>
    <w:uiPriority w:val="0"/>
    <w:rPr>
      <w:szCs w:val="20"/>
    </w:rPr>
  </w:style>
  <w:style w:type="paragraph" w:customStyle="1" w:styleId="89">
    <w:name w:val="Char2"/>
    <w:basedOn w:val="1"/>
    <w:qFormat/>
    <w:uiPriority w:val="0"/>
    <w:pPr>
      <w:widowControl/>
      <w:spacing w:after="160" w:line="240" w:lineRule="exact"/>
      <w:jc w:val="left"/>
    </w:pPr>
    <w:rPr>
      <w:szCs w:val="20"/>
    </w:rPr>
  </w:style>
  <w:style w:type="paragraph" w:customStyle="1" w:styleId="90">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91">
    <w:name w:val="_Style 3"/>
    <w:basedOn w:val="1"/>
    <w:qFormat/>
    <w:uiPriority w:val="0"/>
    <w:pPr>
      <w:ind w:firstLine="420" w:firstLineChars="200"/>
    </w:pPr>
    <w:rPr>
      <w:rFonts w:ascii="Calibri" w:hAnsi="Calibri"/>
      <w:szCs w:val="22"/>
    </w:rPr>
  </w:style>
  <w:style w:type="paragraph" w:customStyle="1" w:styleId="92">
    <w:name w:val="正文首行缩进2字符"/>
    <w:basedOn w:val="1"/>
    <w:qFormat/>
    <w:uiPriority w:val="0"/>
    <w:pPr>
      <w:spacing w:line="360" w:lineRule="auto"/>
      <w:ind w:firstLine="200" w:firstLineChars="200"/>
    </w:pPr>
    <w:rPr>
      <w:rFonts w:eastAsia="仿宋"/>
      <w:sz w:val="28"/>
      <w:szCs w:val="20"/>
    </w:rPr>
  </w:style>
  <w:style w:type="character" w:customStyle="1" w:styleId="93">
    <w:name w:val="m_51"/>
    <w:qFormat/>
    <w:uiPriority w:val="0"/>
  </w:style>
  <w:style w:type="character" w:customStyle="1" w:styleId="94">
    <w:name w:val="m_461"/>
    <w:qFormat/>
    <w:uiPriority w:val="0"/>
  </w:style>
  <w:style w:type="character" w:customStyle="1" w:styleId="95">
    <w:name w:val="纯文本 Char"/>
    <w:qFormat/>
    <w:uiPriority w:val="0"/>
    <w:rPr>
      <w:rFonts w:ascii="宋体" w:eastAsia="宋体"/>
      <w:kern w:val="2"/>
      <w:sz w:val="24"/>
      <w:szCs w:val="24"/>
      <w:lang w:val="en-US" w:eastAsia="zh-CN" w:bidi="ar-SA"/>
    </w:rPr>
  </w:style>
  <w:style w:type="character" w:customStyle="1" w:styleId="96">
    <w:name w:val="m_171"/>
    <w:qFormat/>
    <w:uiPriority w:val="0"/>
  </w:style>
  <w:style w:type="character" w:customStyle="1" w:styleId="97">
    <w:name w:val="second-line"/>
    <w:qFormat/>
    <w:uiPriority w:val="0"/>
    <w:rPr>
      <w:color w:val="727272"/>
    </w:rPr>
  </w:style>
  <w:style w:type="character" w:customStyle="1" w:styleId="98">
    <w:name w:val="批注文字 Char"/>
    <w:qFormat/>
    <w:uiPriority w:val="0"/>
    <w:rPr>
      <w:kern w:val="2"/>
      <w:sz w:val="21"/>
      <w:szCs w:val="24"/>
    </w:rPr>
  </w:style>
  <w:style w:type="character" w:customStyle="1" w:styleId="99">
    <w:name w:val="页脚 Char"/>
    <w:link w:val="31"/>
    <w:qFormat/>
    <w:uiPriority w:val="99"/>
    <w:rPr>
      <w:rFonts w:eastAsia="黑体"/>
      <w:snapToGrid/>
      <w:sz w:val="18"/>
      <w:szCs w:val="18"/>
    </w:rPr>
  </w:style>
  <w:style w:type="character" w:customStyle="1" w:styleId="100">
    <w:name w:val="正文缩进 Char"/>
    <w:qFormat/>
    <w:uiPriority w:val="0"/>
    <w:rPr>
      <w:kern w:val="2"/>
      <w:sz w:val="21"/>
    </w:rPr>
  </w:style>
  <w:style w:type="character" w:customStyle="1" w:styleId="101">
    <w:name w:val="正文文本缩进 3 Char"/>
    <w:qFormat/>
    <w:uiPriority w:val="0"/>
    <w:rPr>
      <w:rFonts w:ascii="仿宋_GB2312" w:eastAsia="仿宋_GB2312"/>
      <w:color w:val="000000"/>
      <w:kern w:val="2"/>
      <w:sz w:val="24"/>
      <w:szCs w:val="24"/>
    </w:rPr>
  </w:style>
  <w:style w:type="character" w:customStyle="1" w:styleId="102">
    <w:name w:val="focus"/>
    <w:qFormat/>
    <w:uiPriority w:val="0"/>
    <w:rPr>
      <w:color w:val="23527C"/>
      <w:shd w:val="clear" w:color="auto" w:fill="EEEEEE"/>
    </w:rPr>
  </w:style>
  <w:style w:type="character" w:customStyle="1" w:styleId="103">
    <w:name w:val="font101"/>
    <w:qFormat/>
    <w:uiPriority w:val="0"/>
    <w:rPr>
      <w:rFonts w:hint="eastAsia" w:ascii="宋体" w:hAnsi="宋体" w:eastAsia="宋体" w:cs="宋体"/>
      <w:color w:val="000000"/>
      <w:sz w:val="20"/>
      <w:szCs w:val="20"/>
      <w:u w:val="none"/>
    </w:rPr>
  </w:style>
  <w:style w:type="character" w:customStyle="1" w:styleId="104">
    <w:name w:val="font14zd"/>
    <w:basedOn w:val="47"/>
    <w:qFormat/>
    <w:uiPriority w:val="0"/>
  </w:style>
  <w:style w:type="character" w:customStyle="1" w:styleId="105">
    <w:name w:val="m_391"/>
    <w:qFormat/>
    <w:uiPriority w:val="0"/>
  </w:style>
  <w:style w:type="character" w:customStyle="1" w:styleId="106">
    <w:name w:val="hover9"/>
    <w:qFormat/>
    <w:uiPriority w:val="0"/>
    <w:rPr>
      <w:color w:val="23527C"/>
      <w:shd w:val="clear" w:color="auto" w:fill="EEEEEE"/>
    </w:rPr>
  </w:style>
  <w:style w:type="character" w:customStyle="1" w:styleId="107">
    <w:name w:val="样式 标题 1合同标题卷标题H1h1Level 1 Topic HeadingH11H12H111H13H1... Char"/>
    <w:qFormat/>
    <w:uiPriority w:val="0"/>
    <w:rPr>
      <w:rFonts w:ascii="宋体" w:eastAsia="宋体"/>
      <w:b/>
      <w:bCs/>
      <w:kern w:val="44"/>
      <w:sz w:val="24"/>
      <w:szCs w:val="44"/>
      <w:lang w:val="en-US" w:eastAsia="zh-CN" w:bidi="ar-SA"/>
    </w:rPr>
  </w:style>
  <w:style w:type="character" w:customStyle="1" w:styleId="108">
    <w:name w:val="publishtime"/>
    <w:qFormat/>
    <w:uiPriority w:val="0"/>
    <w:rPr>
      <w:color w:val="666666"/>
    </w:rPr>
  </w:style>
  <w:style w:type="character" w:customStyle="1" w:styleId="109">
    <w:name w:val="text-overflow"/>
    <w:qFormat/>
    <w:uiPriority w:val="0"/>
    <w:rPr>
      <w:sz w:val="21"/>
      <w:szCs w:val="21"/>
    </w:rPr>
  </w:style>
  <w:style w:type="character" w:customStyle="1" w:styleId="110">
    <w:name w:val="hover"/>
    <w:qFormat/>
    <w:uiPriority w:val="0"/>
    <w:rPr>
      <w:color w:val="23527C"/>
      <w:shd w:val="clear" w:color="auto" w:fill="EEEEEE"/>
    </w:rPr>
  </w:style>
  <w:style w:type="character" w:customStyle="1" w:styleId="111">
    <w:name w:val="focus1"/>
    <w:qFormat/>
    <w:uiPriority w:val="0"/>
    <w:rPr>
      <w:color w:val="23527C"/>
      <w:shd w:val="clear" w:color="auto" w:fill="EEEEEE"/>
    </w:rPr>
  </w:style>
  <w:style w:type="character" w:customStyle="1" w:styleId="112">
    <w:name w:val="m_491"/>
    <w:qFormat/>
    <w:uiPriority w:val="0"/>
  </w:style>
  <w:style w:type="character" w:customStyle="1" w:styleId="113">
    <w:name w:val="bold"/>
    <w:qFormat/>
    <w:uiPriority w:val="0"/>
    <w:rPr>
      <w:b/>
    </w:rPr>
  </w:style>
  <w:style w:type="character" w:customStyle="1" w:styleId="114">
    <w:name w:val="m_01"/>
    <w:qFormat/>
    <w:uiPriority w:val="0"/>
  </w:style>
  <w:style w:type="character" w:customStyle="1" w:styleId="115">
    <w:name w:val="font112"/>
    <w:qFormat/>
    <w:uiPriority w:val="0"/>
    <w:rPr>
      <w:rFonts w:hint="eastAsia" w:ascii="宋体" w:hAnsi="宋体" w:eastAsia="宋体" w:cs="宋体"/>
      <w:color w:val="000000"/>
      <w:sz w:val="18"/>
      <w:szCs w:val="18"/>
      <w:u w:val="none"/>
    </w:rPr>
  </w:style>
  <w:style w:type="character" w:customStyle="1" w:styleId="116">
    <w:name w:val="标题 7 Char"/>
    <w:link w:val="10"/>
    <w:qFormat/>
    <w:uiPriority w:val="0"/>
    <w:rPr>
      <w:b/>
      <w:kern w:val="2"/>
      <w:sz w:val="21"/>
    </w:rPr>
  </w:style>
  <w:style w:type="character" w:customStyle="1" w:styleId="117">
    <w:name w:val="批注文字 Char1"/>
    <w:link w:val="18"/>
    <w:qFormat/>
    <w:uiPriority w:val="0"/>
    <w:rPr>
      <w:kern w:val="2"/>
      <w:sz w:val="21"/>
      <w:szCs w:val="24"/>
    </w:rPr>
  </w:style>
  <w:style w:type="character" w:customStyle="1" w:styleId="118">
    <w:name w:val="正文文本 Char"/>
    <w:basedOn w:val="47"/>
    <w:link w:val="3"/>
    <w:qFormat/>
    <w:uiPriority w:val="0"/>
    <w:rPr>
      <w:kern w:val="2"/>
      <w:sz w:val="28"/>
      <w:szCs w:val="24"/>
    </w:rPr>
  </w:style>
  <w:style w:type="character" w:customStyle="1" w:styleId="119">
    <w:name w:val="普通(网站) Char"/>
    <w:link w:val="42"/>
    <w:qFormat/>
    <w:uiPriority w:val="0"/>
    <w:rPr>
      <w:sz w:val="24"/>
      <w:szCs w:val="24"/>
    </w:rPr>
  </w:style>
  <w:style w:type="character" w:customStyle="1" w:styleId="120">
    <w:name w:val="日期 Char"/>
    <w:basedOn w:val="47"/>
    <w:link w:val="27"/>
    <w:qFormat/>
    <w:uiPriority w:val="0"/>
    <w:rPr>
      <w:rFonts w:eastAsia="楷体_GB2312"/>
      <w:kern w:val="2"/>
      <w:sz w:val="32"/>
    </w:rPr>
  </w:style>
  <w:style w:type="character" w:customStyle="1" w:styleId="121">
    <w:name w:val="正文首行缩进 Char"/>
    <w:basedOn w:val="118"/>
    <w:link w:val="2"/>
    <w:semiHidden/>
    <w:qFormat/>
    <w:uiPriority w:val="99"/>
    <w:rPr>
      <w:kern w:val="2"/>
      <w:sz w:val="21"/>
      <w:szCs w:val="24"/>
    </w:rPr>
  </w:style>
  <w:style w:type="table" w:customStyle="1" w:styleId="122">
    <w:name w:val="网格型1"/>
    <w:basedOn w:val="4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3">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124">
    <w:name w:val="列出段落 Char"/>
    <w:link w:val="57"/>
    <w:qFormat/>
    <w:locked/>
    <w:uiPriority w:val="99"/>
    <w:rPr>
      <w:rFonts w:ascii="Calibri" w:hAnsi="Calibri"/>
      <w:kern w:val="2"/>
      <w:sz w:val="21"/>
      <w:szCs w:val="22"/>
    </w:rPr>
  </w:style>
  <w:style w:type="paragraph" w:customStyle="1" w:styleId="125">
    <w:name w:val="四号正文"/>
    <w:basedOn w:val="1"/>
    <w:qFormat/>
    <w:uiPriority w:val="0"/>
    <w:pPr>
      <w:spacing w:line="360" w:lineRule="auto"/>
      <w:ind w:firstLine="560" w:firstLineChars="200"/>
    </w:pPr>
    <w:rPr>
      <w:rFonts w:ascii="Calibri" w:hAnsi="Calibri"/>
      <w:sz w:val="28"/>
      <w:szCs w:val="28"/>
    </w:rPr>
  </w:style>
  <w:style w:type="paragraph" w:customStyle="1" w:styleId="126">
    <w:name w:val="1"/>
    <w:basedOn w:val="1"/>
    <w:next w:val="57"/>
    <w:qFormat/>
    <w:uiPriority w:val="99"/>
    <w:pPr>
      <w:ind w:firstLine="420" w:firstLineChars="200"/>
    </w:pPr>
    <w:rPr>
      <w:rFonts w:ascii="Calibri" w:hAnsi="Calibri"/>
      <w:szCs w:val="22"/>
    </w:rPr>
  </w:style>
  <w:style w:type="paragraph" w:customStyle="1" w:styleId="127">
    <w:name w:val="政法委正文样式"/>
    <w:basedOn w:val="125"/>
    <w:qFormat/>
    <w:uiPriority w:val="0"/>
    <w:pPr>
      <w:ind w:firstLine="0" w:firstLineChars="0"/>
    </w:pPr>
    <w:rPr>
      <w:rFonts w:ascii="仿宋" w:hAnsi="仿宋" w:eastAsia="仿宋"/>
      <w:color w:val="000000"/>
    </w:rPr>
  </w:style>
  <w:style w:type="paragraph" w:customStyle="1" w:styleId="12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129">
    <w:name w:val="apple-style-span"/>
    <w:basedOn w:val="47"/>
    <w:qFormat/>
    <w:uiPriority w:val="0"/>
  </w:style>
  <w:style w:type="paragraph" w:customStyle="1" w:styleId="130">
    <w:name w:val="Blockquote"/>
    <w:basedOn w:val="1"/>
    <w:qFormat/>
    <w:uiPriority w:val="0"/>
    <w:pPr>
      <w:autoSpaceDE w:val="0"/>
      <w:autoSpaceDN w:val="0"/>
      <w:adjustRightInd w:val="0"/>
      <w:spacing w:before="100" w:after="100"/>
      <w:ind w:left="360" w:right="360"/>
      <w:jc w:val="left"/>
    </w:pPr>
    <w:rPr>
      <w:sz w:val="24"/>
    </w:rPr>
  </w:style>
  <w:style w:type="paragraph" w:customStyle="1" w:styleId="131">
    <w:name w:val="WPSOffice手动目录 1"/>
    <w:qFormat/>
    <w:uiPriority w:val="0"/>
    <w:pPr>
      <w:ind w:leftChars="0"/>
    </w:pPr>
    <w:rPr>
      <w:rFonts w:ascii="Times New Roman" w:hAnsi="Times New Roman" w:eastAsia="宋体" w:cs="Times New Roman"/>
      <w:sz w:val="20"/>
      <w:szCs w:val="20"/>
    </w:rPr>
  </w:style>
  <w:style w:type="paragraph" w:customStyle="1" w:styleId="132">
    <w:name w:val="正文 "/>
    <w:qFormat/>
    <w:uiPriority w:val="0"/>
    <w:pPr>
      <w:widowControl w:val="0"/>
      <w:adjustRightInd w:val="0"/>
      <w:spacing w:line="318" w:lineRule="atLeast"/>
      <w:ind w:left="369" w:firstLine="369"/>
      <w:jc w:val="both"/>
      <w:textAlignment w:val="baseline"/>
    </w:pPr>
    <w:rPr>
      <w:rFonts w:ascii="宋体" w:hAnsi="Times New Roman" w:eastAsia="宋体" w:cs="Times New Roman"/>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5D46B5-AC2D-4DE6-8F93-3AD2098D0F6F}">
  <ds:schemaRefs/>
</ds:datastoreItem>
</file>

<file path=docProps/app.xml><?xml version="1.0" encoding="utf-8"?>
<Properties xmlns="http://schemas.openxmlformats.org/officeDocument/2006/extended-properties" xmlns:vt="http://schemas.openxmlformats.org/officeDocument/2006/docPropsVTypes">
  <Template>Normal.dotm</Template>
  <Company>青鸟杭办</Company>
  <Pages>55</Pages>
  <Words>21565</Words>
  <Characters>22508</Characters>
  <Lines>465</Lines>
  <Paragraphs>130</Paragraphs>
  <TotalTime>0</TotalTime>
  <ScaleCrop>false</ScaleCrop>
  <LinksUpToDate>false</LinksUpToDate>
  <CharactersWithSpaces>22584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2019-06-25T22:54:00Z</dcterms:created>
  <dc:creator>黄旭明</dc:creator>
  <cp:lastModifiedBy>斌</cp:lastModifiedBy>
  <cp:lastPrinted>2024-05-31T00:46:00Z</cp:lastPrinted>
  <dcterms:modified xsi:type="dcterms:W3CDTF">2025-06-23T08:52:13Z</dcterms:modified>
  <dc:title>宁波市鄞州区城区内河管理处工程项目设计单位年度资格入围</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0AB0F5DD02A24A0A82847DCEAD62F691_13</vt:lpwstr>
  </property>
  <property fmtid="{D5CDD505-2E9C-101B-9397-08002B2CF9AE}" pid="4" name="KSOTemplateDocerSaveRecord">
    <vt:lpwstr>eyJoZGlkIjoiNzY3MWZhZWQ0NzIyMDJmOTFiMWM5YWI5NDkzMDUwMmEiLCJ1c2VySWQiOiIyMzIwMTE0NjkifQ==</vt:lpwstr>
  </property>
</Properties>
</file>