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DA125">
      <w:pPr>
        <w:tabs>
          <w:tab w:val="left" w:pos="426"/>
        </w:tabs>
        <w:spacing w:line="360" w:lineRule="auto"/>
        <w:ind w:firstLine="964"/>
        <w:jc w:val="center"/>
        <w:rPr>
          <w:rFonts w:ascii="宋体" w:hAnsi="宋体"/>
          <w:b/>
          <w:bCs/>
          <w:sz w:val="48"/>
          <w:szCs w:val="48"/>
        </w:rPr>
      </w:pPr>
    </w:p>
    <w:p w14:paraId="45E2F5D1">
      <w:pPr>
        <w:spacing w:after="240"/>
        <w:jc w:val="center"/>
        <w:rPr>
          <w:rFonts w:ascii="宋体" w:hAnsi="宋体" w:cs="宋体"/>
          <w:b/>
          <w:bCs/>
          <w:sz w:val="72"/>
          <w:szCs w:val="72"/>
        </w:rPr>
      </w:pPr>
      <w:r>
        <w:rPr>
          <w:rFonts w:hint="eastAsia" w:ascii="宋体" w:hAnsi="宋体" w:cs="宋体"/>
          <w:b/>
          <w:bCs/>
          <w:sz w:val="72"/>
          <w:szCs w:val="72"/>
        </w:rPr>
        <w:t>竞争性磋商文件</w:t>
      </w:r>
    </w:p>
    <w:p w14:paraId="7D738D77">
      <w:pPr>
        <w:pStyle w:val="2"/>
        <w:rPr>
          <w:rFonts w:ascii="宋体" w:hAnsi="宋体"/>
        </w:rPr>
      </w:pPr>
    </w:p>
    <w:p w14:paraId="02B8D69F">
      <w:pPr>
        <w:pStyle w:val="2"/>
        <w:ind w:firstLine="442"/>
        <w:rPr>
          <w:rFonts w:ascii="宋体" w:hAnsi="宋体"/>
          <w:b/>
          <w:bCs/>
          <w:sz w:val="44"/>
          <w:szCs w:val="44"/>
        </w:rPr>
      </w:pPr>
    </w:p>
    <w:p w14:paraId="634A15E4">
      <w:pPr>
        <w:pStyle w:val="2"/>
        <w:ind w:firstLine="442"/>
        <w:rPr>
          <w:rFonts w:ascii="宋体" w:hAnsi="宋体"/>
          <w:b/>
          <w:bCs/>
          <w:sz w:val="44"/>
          <w:szCs w:val="44"/>
        </w:rPr>
      </w:pPr>
    </w:p>
    <w:p w14:paraId="1010B8D0">
      <w:pPr>
        <w:pStyle w:val="2"/>
        <w:ind w:firstLine="442"/>
        <w:rPr>
          <w:rFonts w:ascii="宋体" w:hAnsi="宋体"/>
          <w:b/>
          <w:bCs/>
          <w:sz w:val="44"/>
          <w:szCs w:val="44"/>
        </w:rPr>
      </w:pPr>
    </w:p>
    <w:p w14:paraId="01F78D9F">
      <w:pPr>
        <w:pStyle w:val="2"/>
        <w:ind w:firstLine="442"/>
        <w:rPr>
          <w:rFonts w:ascii="宋体" w:hAnsi="宋体"/>
          <w:b/>
          <w:bCs/>
          <w:sz w:val="44"/>
          <w:szCs w:val="44"/>
        </w:rPr>
      </w:pPr>
    </w:p>
    <w:p w14:paraId="4AE0727D">
      <w:pPr>
        <w:pStyle w:val="2"/>
        <w:ind w:firstLine="442"/>
        <w:rPr>
          <w:rFonts w:ascii="宋体" w:hAnsi="宋体"/>
          <w:b/>
          <w:bCs/>
          <w:sz w:val="44"/>
          <w:szCs w:val="44"/>
        </w:rPr>
      </w:pPr>
    </w:p>
    <w:p w14:paraId="366C48D8">
      <w:pPr>
        <w:pStyle w:val="2"/>
        <w:rPr>
          <w:rFonts w:ascii="宋体" w:hAnsi="宋体"/>
        </w:rPr>
      </w:pPr>
    </w:p>
    <w:p w14:paraId="38DE1EB6">
      <w:pPr>
        <w:tabs>
          <w:tab w:val="left" w:pos="2410"/>
        </w:tabs>
        <w:autoSpaceDE w:val="0"/>
        <w:autoSpaceDN w:val="0"/>
        <w:adjustRightInd w:val="0"/>
        <w:snapToGrid w:val="0"/>
        <w:spacing w:line="480" w:lineRule="auto"/>
        <w:ind w:firstLine="723" w:firstLineChars="200"/>
        <w:rPr>
          <w:rFonts w:ascii="宋体" w:hAnsi="宋体"/>
          <w:b/>
          <w:spacing w:val="20"/>
          <w:kern w:val="0"/>
          <w:sz w:val="32"/>
          <w:szCs w:val="32"/>
        </w:rPr>
      </w:pPr>
    </w:p>
    <w:p w14:paraId="6C975285">
      <w:pPr>
        <w:tabs>
          <w:tab w:val="left" w:pos="2410"/>
        </w:tabs>
        <w:autoSpaceDE w:val="0"/>
        <w:autoSpaceDN w:val="0"/>
        <w:adjustRightInd w:val="0"/>
        <w:snapToGrid w:val="0"/>
        <w:spacing w:after="120" w:afterLines="50" w:line="480" w:lineRule="auto"/>
        <w:ind w:left="1558" w:right="208" w:rightChars="99" w:hanging="1558" w:hangingChars="485"/>
        <w:rPr>
          <w:rFonts w:ascii="宋体" w:hAnsi="宋体"/>
          <w:b/>
          <w:spacing w:val="-20"/>
          <w:kern w:val="0"/>
          <w:sz w:val="32"/>
          <w:szCs w:val="32"/>
          <w:u w:val="single"/>
        </w:rPr>
      </w:pPr>
      <w:r>
        <w:rPr>
          <w:rFonts w:hint="eastAsia" w:ascii="宋体" w:hAnsi="宋体"/>
          <w:b/>
          <w:kern w:val="0"/>
          <w:sz w:val="32"/>
          <w:szCs w:val="32"/>
        </w:rPr>
        <w:t>项目名称：</w:t>
      </w:r>
      <w:bookmarkStart w:id="0" w:name="OLE_LINK1"/>
      <w:bookmarkStart w:id="1" w:name="OLE_LINK2"/>
      <w:r>
        <w:rPr>
          <w:rFonts w:hint="eastAsia" w:ascii="宋体" w:hAnsi="宋体"/>
          <w:b/>
          <w:kern w:val="0"/>
          <w:sz w:val="32"/>
          <w:szCs w:val="32"/>
          <w:u w:val="single"/>
        </w:rPr>
        <w:t>浙江工商职业技术学院</w:t>
      </w:r>
      <w:bookmarkEnd w:id="0"/>
      <w:bookmarkEnd w:id="1"/>
      <w:r>
        <w:rPr>
          <w:rFonts w:hint="eastAsia" w:ascii="宋体" w:hAnsi="宋体"/>
          <w:b/>
          <w:kern w:val="0"/>
          <w:sz w:val="32"/>
          <w:szCs w:val="32"/>
          <w:u w:val="single"/>
        </w:rPr>
        <w:t>慈溪学院7#宿舍楼修缮项目</w:t>
      </w:r>
    </w:p>
    <w:p w14:paraId="6B5CA327">
      <w:pPr>
        <w:tabs>
          <w:tab w:val="left" w:pos="2410"/>
        </w:tabs>
        <w:autoSpaceDE w:val="0"/>
        <w:autoSpaceDN w:val="0"/>
        <w:adjustRightInd w:val="0"/>
        <w:snapToGrid w:val="0"/>
        <w:spacing w:after="120" w:afterLines="50" w:line="480" w:lineRule="auto"/>
        <w:ind w:left="1846" w:leftChars="1" w:right="351" w:rightChars="167" w:hanging="1844" w:hangingChars="574"/>
        <w:rPr>
          <w:rFonts w:ascii="宋体" w:hAnsi="宋体"/>
          <w:b/>
          <w:spacing w:val="20"/>
          <w:kern w:val="0"/>
          <w:sz w:val="32"/>
          <w:szCs w:val="32"/>
        </w:rPr>
      </w:pPr>
      <w:r>
        <w:rPr>
          <w:rFonts w:hint="eastAsia" w:ascii="宋体" w:hAnsi="宋体"/>
          <w:b/>
          <w:kern w:val="0"/>
          <w:sz w:val="32"/>
          <w:szCs w:val="32"/>
        </w:rPr>
        <w:t>项目编号</w:t>
      </w:r>
      <w:r>
        <w:rPr>
          <w:rFonts w:hint="eastAsia" w:ascii="宋体" w:hAnsi="宋体"/>
          <w:b/>
          <w:spacing w:val="20"/>
          <w:kern w:val="0"/>
          <w:sz w:val="32"/>
          <w:szCs w:val="32"/>
        </w:rPr>
        <w:t>：</w:t>
      </w:r>
      <w:r>
        <w:rPr>
          <w:rFonts w:hint="eastAsia" w:ascii="宋体" w:hAnsi="宋体"/>
          <w:b/>
          <w:spacing w:val="20"/>
          <w:kern w:val="0"/>
          <w:sz w:val="32"/>
          <w:szCs w:val="32"/>
          <w:u w:val="single"/>
        </w:rPr>
        <w:t>NBMC-20252143G磋</w:t>
      </w:r>
    </w:p>
    <w:p w14:paraId="2F9912E2">
      <w:pPr>
        <w:tabs>
          <w:tab w:val="left" w:pos="2410"/>
        </w:tabs>
        <w:autoSpaceDE w:val="0"/>
        <w:autoSpaceDN w:val="0"/>
        <w:adjustRightInd w:val="0"/>
        <w:snapToGrid w:val="0"/>
        <w:spacing w:after="120" w:afterLines="50" w:line="480" w:lineRule="auto"/>
        <w:ind w:left="1846" w:leftChars="1" w:right="351" w:rightChars="167" w:hanging="1844" w:hangingChars="574"/>
        <w:rPr>
          <w:rFonts w:ascii="宋体" w:hAnsi="宋体"/>
          <w:b/>
          <w:kern w:val="0"/>
          <w:sz w:val="32"/>
          <w:szCs w:val="32"/>
          <w:u w:val="single"/>
        </w:rPr>
      </w:pPr>
      <w:r>
        <w:rPr>
          <w:rFonts w:hint="eastAsia" w:ascii="宋体" w:hAnsi="宋体"/>
          <w:b/>
          <w:kern w:val="0"/>
          <w:sz w:val="32"/>
          <w:szCs w:val="32"/>
        </w:rPr>
        <w:t>采 购 人：</w:t>
      </w:r>
      <w:r>
        <w:rPr>
          <w:rFonts w:hint="eastAsia" w:ascii="宋体" w:hAnsi="宋体"/>
          <w:b/>
          <w:kern w:val="0"/>
          <w:sz w:val="32"/>
          <w:szCs w:val="32"/>
          <w:u w:val="single"/>
        </w:rPr>
        <w:t>浙江工商职业技术学院</w:t>
      </w:r>
    </w:p>
    <w:p w14:paraId="443E3238">
      <w:pPr>
        <w:tabs>
          <w:tab w:val="left" w:pos="2410"/>
        </w:tabs>
        <w:autoSpaceDE w:val="0"/>
        <w:autoSpaceDN w:val="0"/>
        <w:adjustRightInd w:val="0"/>
        <w:snapToGrid w:val="0"/>
        <w:spacing w:after="120" w:afterLines="50" w:line="480" w:lineRule="auto"/>
        <w:ind w:left="1846" w:leftChars="1" w:right="351" w:rightChars="167" w:hanging="1844" w:hangingChars="574"/>
        <w:rPr>
          <w:rFonts w:ascii="宋体" w:hAnsi="宋体"/>
          <w:b/>
          <w:spacing w:val="20"/>
          <w:kern w:val="0"/>
          <w:sz w:val="32"/>
          <w:szCs w:val="32"/>
        </w:rPr>
      </w:pPr>
      <w:r>
        <w:rPr>
          <w:rFonts w:hint="eastAsia" w:ascii="宋体" w:hAnsi="宋体"/>
          <w:b/>
          <w:kern w:val="0"/>
          <w:sz w:val="32"/>
          <w:szCs w:val="32"/>
        </w:rPr>
        <w:t>采购代理机构：</w:t>
      </w:r>
      <w:r>
        <w:rPr>
          <w:rFonts w:hint="eastAsia" w:ascii="宋体" w:hAnsi="宋体"/>
          <w:b/>
          <w:spacing w:val="20"/>
          <w:kern w:val="0"/>
          <w:sz w:val="32"/>
          <w:szCs w:val="32"/>
          <w:u w:val="single"/>
        </w:rPr>
        <w:t>宁波名诚招标代理有限公司</w:t>
      </w:r>
    </w:p>
    <w:p w14:paraId="66B31FFA">
      <w:pPr>
        <w:pStyle w:val="7"/>
      </w:pPr>
    </w:p>
    <w:p w14:paraId="7681143B">
      <w:pPr>
        <w:pStyle w:val="7"/>
        <w:sectPr>
          <w:headerReference r:id="rId3" w:type="default"/>
          <w:pgSz w:w="11906" w:h="16838"/>
          <w:pgMar w:top="1440" w:right="1440" w:bottom="1440" w:left="1610" w:header="851" w:footer="851" w:gutter="0"/>
          <w:cols w:space="720" w:num="1"/>
          <w:titlePg/>
          <w:docGrid w:linePitch="312" w:charSpace="0"/>
        </w:sectPr>
      </w:pPr>
    </w:p>
    <w:p w14:paraId="1C89C441">
      <w:pPr>
        <w:pStyle w:val="17"/>
        <w:rPr>
          <w:rFonts w:ascii="宋体" w:hAnsi="宋体"/>
          <w:color w:val="auto"/>
        </w:rPr>
      </w:pPr>
      <w:r>
        <w:rPr>
          <w:rFonts w:ascii="宋体" w:hAnsi="宋体"/>
          <w:color w:val="auto"/>
          <w:lang w:val="zh-CN"/>
        </w:rPr>
        <w:t>目录</w:t>
      </w:r>
    </w:p>
    <w:p w14:paraId="36F3E907">
      <w:pPr>
        <w:pStyle w:val="10"/>
        <w:rPr>
          <w:rFonts w:ascii="宋体" w:hAnsi="宋体" w:cs="黑体"/>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"_Toc86053871" </w:instrText>
      </w:r>
      <w:r>
        <w:fldChar w:fldCharType="separate"/>
      </w:r>
      <w:r>
        <w:rPr>
          <w:rStyle w:val="16"/>
          <w:rFonts w:ascii="宋体" w:hAnsi="宋体"/>
          <w:color w:val="auto"/>
          <w:sz w:val="24"/>
        </w:rPr>
        <w:t>第一章  采购公告</w:t>
      </w:r>
      <w:r>
        <w:rPr>
          <w:rFonts w:ascii="宋体" w:hAnsi="宋体"/>
        </w:rPr>
        <w:tab/>
      </w:r>
      <w:r>
        <w:rPr>
          <w:rFonts w:ascii="宋体" w:hAnsi="宋体"/>
        </w:rPr>
        <w:fldChar w:fldCharType="begin"/>
      </w:r>
      <w:r>
        <w:rPr>
          <w:rFonts w:ascii="宋体" w:hAnsi="宋体"/>
        </w:rPr>
        <w:instrText xml:space="preserve"> PAGEREF _Toc86053871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14:paraId="3C43B91E">
      <w:pPr>
        <w:pStyle w:val="10"/>
        <w:rPr>
          <w:rFonts w:ascii="宋体" w:hAnsi="宋体" w:cs="黑体"/>
        </w:rPr>
      </w:pPr>
      <w:r>
        <w:fldChar w:fldCharType="begin"/>
      </w:r>
      <w:r>
        <w:instrText xml:space="preserve"> HYPERLINK \l "_Toc86053872" </w:instrText>
      </w:r>
      <w:r>
        <w:fldChar w:fldCharType="separate"/>
      </w:r>
      <w:r>
        <w:rPr>
          <w:rStyle w:val="16"/>
          <w:rFonts w:ascii="宋体" w:hAnsi="宋体"/>
          <w:color w:val="auto"/>
          <w:sz w:val="24"/>
        </w:rPr>
        <w:t>第二章  采购需求</w:t>
      </w:r>
      <w:r>
        <w:rPr>
          <w:rFonts w:ascii="宋体" w:hAnsi="宋体"/>
        </w:rPr>
        <w:tab/>
      </w:r>
      <w:r>
        <w:rPr>
          <w:rFonts w:ascii="宋体" w:hAnsi="宋体"/>
        </w:rPr>
        <w:fldChar w:fldCharType="begin"/>
      </w:r>
      <w:r>
        <w:rPr>
          <w:rFonts w:ascii="宋体" w:hAnsi="宋体"/>
        </w:rPr>
        <w:instrText xml:space="preserve"> PAGEREF _Toc86053872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14:paraId="6A51D869">
      <w:pPr>
        <w:pStyle w:val="10"/>
        <w:rPr>
          <w:rFonts w:ascii="宋体" w:hAnsi="宋体" w:cs="黑体"/>
        </w:rPr>
      </w:pPr>
      <w:r>
        <w:fldChar w:fldCharType="begin"/>
      </w:r>
      <w:r>
        <w:instrText xml:space="preserve"> HYPERLINK \l "_Toc86053873" </w:instrText>
      </w:r>
      <w:r>
        <w:fldChar w:fldCharType="separate"/>
      </w:r>
      <w:r>
        <w:rPr>
          <w:rStyle w:val="16"/>
          <w:rFonts w:ascii="宋体" w:hAnsi="宋体"/>
          <w:color w:val="auto"/>
          <w:sz w:val="24"/>
        </w:rPr>
        <w:t>第三章  供应商须知</w:t>
      </w:r>
      <w:r>
        <w:rPr>
          <w:rFonts w:ascii="宋体" w:hAnsi="宋体"/>
        </w:rPr>
        <w:tab/>
      </w:r>
      <w:r>
        <w:rPr>
          <w:rFonts w:ascii="宋体" w:hAnsi="宋体"/>
        </w:rPr>
        <w:fldChar w:fldCharType="begin"/>
      </w:r>
      <w:r>
        <w:rPr>
          <w:rFonts w:ascii="宋体" w:hAnsi="宋体"/>
        </w:rPr>
        <w:instrText xml:space="preserve"> PAGEREF _Toc86053873 \h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14:paraId="7F07A29A">
      <w:pPr>
        <w:pStyle w:val="10"/>
        <w:rPr>
          <w:rFonts w:ascii="宋体" w:hAnsi="宋体" w:cs="黑体"/>
        </w:rPr>
      </w:pPr>
      <w:r>
        <w:fldChar w:fldCharType="begin"/>
      </w:r>
      <w:r>
        <w:instrText xml:space="preserve"> HYPERLINK \l "_Toc86053874" </w:instrText>
      </w:r>
      <w:r>
        <w:fldChar w:fldCharType="separate"/>
      </w:r>
      <w:r>
        <w:rPr>
          <w:rStyle w:val="16"/>
          <w:rFonts w:ascii="宋体" w:hAnsi="宋体"/>
          <w:color w:val="auto"/>
          <w:sz w:val="24"/>
        </w:rPr>
        <w:t>第四章  评审方法和评审标准</w:t>
      </w:r>
      <w:r>
        <w:rPr>
          <w:rFonts w:ascii="宋体" w:hAnsi="宋体"/>
        </w:rPr>
        <w:tab/>
      </w:r>
      <w:r>
        <w:rPr>
          <w:rFonts w:ascii="宋体" w:hAnsi="宋体"/>
        </w:rPr>
        <w:fldChar w:fldCharType="begin"/>
      </w:r>
      <w:r>
        <w:rPr>
          <w:rFonts w:ascii="宋体" w:hAnsi="宋体"/>
        </w:rPr>
        <w:instrText xml:space="preserve"> PAGEREF _Toc86053874 \h </w:instrText>
      </w:r>
      <w:r>
        <w:rPr>
          <w:rFonts w:ascii="宋体" w:hAnsi="宋体"/>
        </w:rPr>
        <w:fldChar w:fldCharType="separate"/>
      </w:r>
      <w:r>
        <w:rPr>
          <w:rFonts w:ascii="宋体" w:hAnsi="宋体"/>
        </w:rPr>
        <w:t>24</w:t>
      </w:r>
      <w:r>
        <w:rPr>
          <w:rFonts w:ascii="宋体" w:hAnsi="宋体"/>
        </w:rPr>
        <w:fldChar w:fldCharType="end"/>
      </w:r>
      <w:r>
        <w:rPr>
          <w:rFonts w:ascii="宋体" w:hAnsi="宋体"/>
        </w:rPr>
        <w:fldChar w:fldCharType="end"/>
      </w:r>
    </w:p>
    <w:p w14:paraId="30B54239">
      <w:pPr>
        <w:pStyle w:val="10"/>
        <w:rPr>
          <w:rFonts w:ascii="宋体" w:hAnsi="宋体" w:cs="黑体"/>
        </w:rPr>
      </w:pPr>
      <w:r>
        <w:fldChar w:fldCharType="begin"/>
      </w:r>
      <w:r>
        <w:instrText xml:space="preserve"> HYPERLINK \l "_Toc86053875" </w:instrText>
      </w:r>
      <w:r>
        <w:fldChar w:fldCharType="separate"/>
      </w:r>
      <w:r>
        <w:rPr>
          <w:rStyle w:val="16"/>
          <w:rFonts w:ascii="宋体" w:hAnsi="宋体"/>
          <w:color w:val="auto"/>
          <w:sz w:val="24"/>
        </w:rPr>
        <w:t>第五章  合同草案条款</w:t>
      </w:r>
      <w:r>
        <w:rPr>
          <w:rFonts w:ascii="宋体" w:hAnsi="宋体"/>
        </w:rPr>
        <w:tab/>
      </w:r>
      <w:r>
        <w:rPr>
          <w:rFonts w:ascii="宋体" w:hAnsi="宋体"/>
        </w:rPr>
        <w:fldChar w:fldCharType="begin"/>
      </w:r>
      <w:r>
        <w:rPr>
          <w:rFonts w:ascii="宋体" w:hAnsi="宋体"/>
        </w:rPr>
        <w:instrText xml:space="preserve"> PAGEREF _Toc86053875 \h </w:instrText>
      </w:r>
      <w:r>
        <w:rPr>
          <w:rFonts w:ascii="宋体" w:hAnsi="宋体"/>
        </w:rPr>
        <w:fldChar w:fldCharType="separate"/>
      </w:r>
      <w:r>
        <w:rPr>
          <w:rFonts w:ascii="宋体" w:hAnsi="宋体"/>
        </w:rPr>
        <w:t>30</w:t>
      </w:r>
      <w:r>
        <w:rPr>
          <w:rFonts w:ascii="宋体" w:hAnsi="宋体"/>
        </w:rPr>
        <w:fldChar w:fldCharType="end"/>
      </w:r>
      <w:r>
        <w:rPr>
          <w:rFonts w:ascii="宋体" w:hAnsi="宋体"/>
        </w:rPr>
        <w:fldChar w:fldCharType="end"/>
      </w:r>
    </w:p>
    <w:p w14:paraId="34D95822">
      <w:pPr>
        <w:pStyle w:val="10"/>
        <w:rPr>
          <w:rFonts w:ascii="宋体" w:hAnsi="宋体" w:cs="黑体"/>
        </w:rPr>
      </w:pPr>
      <w:r>
        <w:fldChar w:fldCharType="begin"/>
      </w:r>
      <w:r>
        <w:instrText xml:space="preserve"> HYPERLINK \l "_Toc86053876" </w:instrText>
      </w:r>
      <w:r>
        <w:fldChar w:fldCharType="separate"/>
      </w:r>
      <w:r>
        <w:rPr>
          <w:rStyle w:val="16"/>
          <w:rFonts w:ascii="宋体" w:hAnsi="宋体"/>
          <w:color w:val="auto"/>
          <w:sz w:val="24"/>
        </w:rPr>
        <w:t>第六章  响应文件格式</w:t>
      </w:r>
      <w:r>
        <w:rPr>
          <w:rFonts w:ascii="宋体" w:hAnsi="宋体"/>
        </w:rPr>
        <w:tab/>
      </w:r>
      <w:r>
        <w:rPr>
          <w:rFonts w:ascii="宋体" w:hAnsi="宋体"/>
        </w:rPr>
        <w:fldChar w:fldCharType="begin"/>
      </w:r>
      <w:r>
        <w:rPr>
          <w:rFonts w:ascii="宋体" w:hAnsi="宋体"/>
        </w:rPr>
        <w:instrText xml:space="preserve"> PAGEREF _Toc86053876 \h </w:instrText>
      </w:r>
      <w:r>
        <w:rPr>
          <w:rFonts w:ascii="宋体" w:hAnsi="宋体"/>
        </w:rPr>
        <w:fldChar w:fldCharType="separate"/>
      </w:r>
      <w:r>
        <w:rPr>
          <w:rFonts w:ascii="宋体" w:hAnsi="宋体"/>
        </w:rPr>
        <w:t>55</w:t>
      </w:r>
      <w:r>
        <w:rPr>
          <w:rFonts w:ascii="宋体" w:hAnsi="宋体"/>
        </w:rPr>
        <w:fldChar w:fldCharType="end"/>
      </w:r>
      <w:r>
        <w:rPr>
          <w:rFonts w:ascii="宋体" w:hAnsi="宋体"/>
        </w:rPr>
        <w:fldChar w:fldCharType="end"/>
      </w:r>
    </w:p>
    <w:p w14:paraId="2D8EB654">
      <w:pPr>
        <w:spacing w:line="360" w:lineRule="auto"/>
        <w:ind w:firstLine="482"/>
        <w:rPr>
          <w:rFonts w:ascii="宋体" w:hAnsi="宋体"/>
        </w:rPr>
      </w:pPr>
      <w:r>
        <w:rPr>
          <w:rFonts w:ascii="宋体" w:hAnsi="宋体"/>
          <w:b/>
          <w:bCs/>
          <w:sz w:val="24"/>
          <w:lang w:val="zh-CN"/>
        </w:rPr>
        <w:fldChar w:fldCharType="end"/>
      </w:r>
    </w:p>
    <w:p w14:paraId="18C94492">
      <w:pPr>
        <w:spacing w:line="360" w:lineRule="auto"/>
        <w:ind w:firstLine="560"/>
        <w:rPr>
          <w:rFonts w:ascii="宋体" w:hAnsi="宋体"/>
          <w:kern w:val="0"/>
          <w:sz w:val="28"/>
          <w:szCs w:val="28"/>
        </w:rPr>
      </w:pPr>
    </w:p>
    <w:p w14:paraId="6C051C4C">
      <w:pPr>
        <w:pStyle w:val="7"/>
        <w:sectPr>
          <w:footerReference r:id="rId5" w:type="first"/>
          <w:footerReference r:id="rId4" w:type="default"/>
          <w:pgSz w:w="11906" w:h="16838"/>
          <w:pgMar w:top="1440" w:right="1558" w:bottom="1440" w:left="1610" w:header="851" w:footer="851" w:gutter="0"/>
          <w:pgNumType w:start="1"/>
          <w:cols w:space="720" w:num="1"/>
          <w:docGrid w:linePitch="312" w:charSpace="0"/>
        </w:sectPr>
      </w:pPr>
    </w:p>
    <w:p w14:paraId="2265C385">
      <w:pPr>
        <w:pStyle w:val="4"/>
        <w:rPr>
          <w:rFonts w:ascii="宋体" w:hAnsi="宋体" w:cs="宋体"/>
          <w:color w:val="auto"/>
          <w:szCs w:val="30"/>
        </w:rPr>
      </w:pPr>
      <w:bookmarkStart w:id="2" w:name="_Toc86053871"/>
      <w:bookmarkStart w:id="3" w:name="_Toc34844741"/>
      <w:r>
        <w:rPr>
          <w:rFonts w:hint="eastAsia" w:ascii="宋体" w:hAnsi="宋体"/>
          <w:color w:val="auto"/>
        </w:rPr>
        <w:t>第一章</w:t>
      </w:r>
      <w:bookmarkEnd w:id="2"/>
      <w:bookmarkEnd w:id="3"/>
      <w:r>
        <w:rPr>
          <w:rFonts w:hint="eastAsia" w:ascii="宋体" w:hAnsi="宋体"/>
          <w:color w:val="auto"/>
        </w:rPr>
        <w:t xml:space="preserve"> </w:t>
      </w:r>
      <w:r>
        <w:rPr>
          <w:rFonts w:ascii="宋体" w:hAnsi="宋体"/>
          <w:color w:val="auto"/>
        </w:rPr>
        <w:t xml:space="preserve"> </w:t>
      </w:r>
      <w:r>
        <w:rPr>
          <w:rFonts w:hint="eastAsia" w:ascii="宋体" w:hAnsi="宋体" w:cs="宋体"/>
          <w:color w:val="auto"/>
          <w:szCs w:val="30"/>
        </w:rPr>
        <w:t>采购公告</w:t>
      </w:r>
    </w:p>
    <w:p w14:paraId="5E9F8628">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rPr>
      </w:pPr>
      <w:r>
        <w:rPr>
          <w:rFonts w:hint="eastAsia" w:ascii="宋体" w:hAnsi="宋体"/>
        </w:rPr>
        <w:t>项目概况</w:t>
      </w:r>
    </w:p>
    <w:p w14:paraId="13147FA1">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rPr>
      </w:pPr>
      <w:r>
        <w:rPr>
          <w:rFonts w:hint="eastAsia" w:ascii="宋体" w:hAnsi="宋体"/>
          <w:szCs w:val="21"/>
          <w:u w:val="single"/>
        </w:rPr>
        <w:t>浙江工商职业技术学院慈溪学院7#宿舍楼修缮项目</w:t>
      </w:r>
      <w:r>
        <w:rPr>
          <w:rFonts w:hint="eastAsia" w:ascii="宋体" w:hAnsi="宋体"/>
        </w:rPr>
        <w:t>采购项目的潜在供应商应在政采云平台（</w:t>
      </w:r>
      <w:r>
        <w:fldChar w:fldCharType="begin"/>
      </w:r>
      <w:r>
        <w:instrText xml:space="preserve"> HYPERLINK </w:instrText>
      </w:r>
      <w:r>
        <w:fldChar w:fldCharType="separate"/>
      </w:r>
      <w:r>
        <w:rPr>
          <w:rStyle w:val="16"/>
          <w:rFonts w:ascii="宋体" w:hAnsi="宋体"/>
          <w:bCs/>
          <w:color w:val="auto"/>
        </w:rPr>
        <w:t>https://www.zcygov.cn）获取（下载）采购文件，并于2025年</w:t>
      </w:r>
      <w:r>
        <w:rPr>
          <w:rStyle w:val="16"/>
          <w:rFonts w:hint="eastAsia" w:ascii="宋体" w:hAnsi="宋体"/>
          <w:bCs/>
          <w:color w:val="auto"/>
        </w:rPr>
        <w:t>6月</w:t>
      </w:r>
      <w:r>
        <w:rPr>
          <w:rStyle w:val="16"/>
          <w:rFonts w:hint="eastAsia" w:ascii="宋体" w:hAnsi="宋体"/>
          <w:bCs/>
          <w:color w:val="auto"/>
        </w:rPr>
        <w:fldChar w:fldCharType="end"/>
      </w:r>
      <w:r>
        <w:rPr>
          <w:rFonts w:hint="eastAsia" w:ascii="宋体" w:hAnsi="宋体"/>
          <w:bCs/>
          <w:u w:val="single"/>
        </w:rPr>
        <w:t>23日14：00</w:t>
      </w:r>
      <w:r>
        <w:rPr>
          <w:rFonts w:hint="eastAsia" w:ascii="宋体" w:hAnsi="宋体"/>
          <w:bCs/>
        </w:rPr>
        <w:t>（北京时间）前提交（上传）响应</w:t>
      </w:r>
      <w:r>
        <w:rPr>
          <w:rFonts w:ascii="宋体" w:hAnsi="宋体"/>
          <w:bCs/>
        </w:rPr>
        <w:t>文件</w:t>
      </w:r>
      <w:r>
        <w:rPr>
          <w:rFonts w:hint="eastAsia" w:ascii="宋体" w:hAnsi="宋体"/>
        </w:rPr>
        <w:t>。</w:t>
      </w:r>
    </w:p>
    <w:p w14:paraId="430A6110">
      <w:pPr>
        <w:spacing w:line="360" w:lineRule="auto"/>
        <w:ind w:firstLine="422" w:firstLineChars="200"/>
        <w:rPr>
          <w:rFonts w:ascii="宋体" w:hAnsi="宋体"/>
          <w:b/>
          <w:szCs w:val="21"/>
        </w:rPr>
      </w:pPr>
      <w:bookmarkStart w:id="4" w:name="_Toc35393798"/>
      <w:bookmarkStart w:id="5" w:name="_Toc28359012"/>
      <w:bookmarkStart w:id="6" w:name="_Toc35393629"/>
      <w:bookmarkStart w:id="7" w:name="_Toc28359089"/>
      <w:r>
        <w:rPr>
          <w:rFonts w:hint="eastAsia" w:ascii="宋体" w:hAnsi="宋体"/>
          <w:b/>
          <w:szCs w:val="21"/>
        </w:rPr>
        <w:t>一、项目基本情况</w:t>
      </w:r>
      <w:bookmarkEnd w:id="4"/>
      <w:bookmarkEnd w:id="5"/>
      <w:bookmarkEnd w:id="6"/>
      <w:bookmarkEnd w:id="7"/>
    </w:p>
    <w:p w14:paraId="17EE9B62">
      <w:pPr>
        <w:spacing w:line="360" w:lineRule="auto"/>
        <w:ind w:firstLine="420" w:firstLineChars="200"/>
        <w:rPr>
          <w:rFonts w:ascii="宋体" w:hAnsi="宋体"/>
          <w:szCs w:val="21"/>
        </w:rPr>
      </w:pPr>
      <w:r>
        <w:rPr>
          <w:rFonts w:hint="eastAsia" w:ascii="宋体" w:hAnsi="宋体"/>
          <w:szCs w:val="21"/>
        </w:rPr>
        <w:t>项目编号：NBMC-20252143G磋</w:t>
      </w:r>
    </w:p>
    <w:p w14:paraId="7FC0FBE8">
      <w:pPr>
        <w:spacing w:line="360" w:lineRule="auto"/>
        <w:ind w:firstLine="420" w:firstLineChars="200"/>
        <w:rPr>
          <w:rFonts w:ascii="宋体" w:hAnsi="宋体"/>
          <w:szCs w:val="21"/>
          <w:u w:val="single"/>
        </w:rPr>
      </w:pPr>
      <w:r>
        <w:rPr>
          <w:rFonts w:hint="eastAsia" w:ascii="宋体" w:hAnsi="宋体"/>
          <w:szCs w:val="21"/>
        </w:rPr>
        <w:t>项目名称：浙江工商职业技术学院慈溪学院7#宿舍楼修缮项目</w:t>
      </w:r>
    </w:p>
    <w:p w14:paraId="2508F71F">
      <w:pPr>
        <w:spacing w:line="360" w:lineRule="auto"/>
        <w:ind w:firstLine="420" w:firstLineChars="200"/>
        <w:rPr>
          <w:rFonts w:ascii="宋体" w:hAnsi="宋体"/>
          <w:szCs w:val="21"/>
        </w:rPr>
      </w:pPr>
      <w:r>
        <w:rPr>
          <w:rFonts w:hint="eastAsia" w:ascii="宋体" w:hAnsi="宋体"/>
          <w:szCs w:val="21"/>
        </w:rPr>
        <w:t>采购方式：竞争性磋商</w:t>
      </w:r>
    </w:p>
    <w:p w14:paraId="4FCB2E9A">
      <w:pPr>
        <w:spacing w:line="360" w:lineRule="auto"/>
        <w:ind w:firstLine="420" w:firstLineChars="200"/>
        <w:rPr>
          <w:rFonts w:ascii="宋体" w:hAnsi="宋体"/>
          <w:szCs w:val="21"/>
        </w:rPr>
      </w:pPr>
      <w:r>
        <w:rPr>
          <w:rFonts w:hint="eastAsia" w:ascii="宋体" w:hAnsi="宋体"/>
          <w:szCs w:val="21"/>
        </w:rPr>
        <w:t>预算金额</w:t>
      </w:r>
      <w:r>
        <w:rPr>
          <w:rFonts w:ascii="宋体" w:hAnsi="宋体"/>
          <w:szCs w:val="21"/>
        </w:rPr>
        <w:t>（元）</w:t>
      </w:r>
      <w:r>
        <w:rPr>
          <w:rFonts w:hint="eastAsia" w:ascii="宋体" w:hAnsi="宋体"/>
          <w:szCs w:val="21"/>
        </w:rPr>
        <w:t>：1840445</w:t>
      </w:r>
    </w:p>
    <w:p w14:paraId="03291C0F">
      <w:pPr>
        <w:spacing w:line="360" w:lineRule="auto"/>
        <w:ind w:firstLine="420" w:firstLineChars="200"/>
        <w:rPr>
          <w:rFonts w:ascii="宋体" w:hAnsi="宋体"/>
          <w:szCs w:val="21"/>
        </w:rPr>
      </w:pPr>
      <w:r>
        <w:rPr>
          <w:rFonts w:hint="eastAsia" w:ascii="宋体" w:hAnsi="宋体"/>
          <w:szCs w:val="21"/>
        </w:rPr>
        <w:t>最高限价</w:t>
      </w:r>
      <w:r>
        <w:rPr>
          <w:rFonts w:ascii="宋体" w:hAnsi="宋体"/>
          <w:szCs w:val="21"/>
        </w:rPr>
        <w:t>（元）</w:t>
      </w:r>
      <w:r>
        <w:rPr>
          <w:rFonts w:hint="eastAsia" w:ascii="宋体" w:hAnsi="宋体"/>
          <w:szCs w:val="21"/>
        </w:rPr>
        <w:t>：1840445</w:t>
      </w:r>
    </w:p>
    <w:p w14:paraId="5E5C20C7">
      <w:pPr>
        <w:spacing w:line="360" w:lineRule="auto"/>
        <w:ind w:firstLine="420" w:firstLineChars="200"/>
        <w:rPr>
          <w:rFonts w:ascii="宋体" w:hAnsi="宋体"/>
          <w:szCs w:val="21"/>
        </w:rPr>
      </w:pPr>
      <w:r>
        <w:rPr>
          <w:rFonts w:hint="eastAsia" w:ascii="宋体" w:hAnsi="宋体"/>
          <w:bCs/>
          <w:szCs w:val="21"/>
        </w:rPr>
        <w:t>采购需求：</w:t>
      </w:r>
    </w:p>
    <w:p w14:paraId="4DE6A6B9">
      <w:pPr>
        <w:spacing w:line="360" w:lineRule="auto"/>
        <w:ind w:firstLine="420" w:firstLineChars="200"/>
        <w:rPr>
          <w:rFonts w:ascii="宋体" w:hAnsi="宋体"/>
          <w:szCs w:val="21"/>
        </w:rPr>
      </w:pPr>
      <w:r>
        <w:rPr>
          <w:rFonts w:hint="eastAsia" w:ascii="宋体" w:hAnsi="宋体"/>
          <w:szCs w:val="21"/>
        </w:rPr>
        <w:t>标项名称：浙江工商职业技术学院慈溪学院7#宿舍楼修缮项目</w:t>
      </w:r>
    </w:p>
    <w:p w14:paraId="17C48ED8">
      <w:pPr>
        <w:spacing w:line="360" w:lineRule="auto"/>
        <w:ind w:firstLine="420" w:firstLineChars="200"/>
        <w:rPr>
          <w:rFonts w:ascii="宋体" w:hAnsi="宋体"/>
          <w:szCs w:val="21"/>
        </w:rPr>
      </w:pPr>
      <w:r>
        <w:rPr>
          <w:rFonts w:hint="eastAsia" w:ascii="宋体" w:hAnsi="宋体"/>
          <w:szCs w:val="21"/>
        </w:rPr>
        <w:t>数量：1</w:t>
      </w:r>
    </w:p>
    <w:p w14:paraId="08BCCE7E">
      <w:pPr>
        <w:spacing w:line="360" w:lineRule="auto"/>
        <w:ind w:firstLine="420" w:firstLineChars="200"/>
        <w:rPr>
          <w:rFonts w:ascii="宋体" w:hAnsi="宋体"/>
          <w:szCs w:val="21"/>
        </w:rPr>
      </w:pPr>
      <w:r>
        <w:rPr>
          <w:rFonts w:hint="eastAsia" w:ascii="宋体" w:hAnsi="宋体"/>
          <w:szCs w:val="21"/>
        </w:rPr>
        <w:t>预算金额（元）：1840445</w:t>
      </w:r>
    </w:p>
    <w:p w14:paraId="201785DC">
      <w:pPr>
        <w:spacing w:line="360" w:lineRule="auto"/>
        <w:ind w:firstLine="420" w:firstLineChars="200"/>
        <w:rPr>
          <w:rFonts w:ascii="宋体" w:hAnsi="宋体"/>
          <w:szCs w:val="21"/>
        </w:rPr>
      </w:pPr>
      <w:r>
        <w:rPr>
          <w:rFonts w:hint="eastAsia" w:ascii="宋体" w:hAnsi="宋体"/>
          <w:szCs w:val="21"/>
        </w:rPr>
        <w:t>简要规格描述或项目基本概况介绍、用途：</w:t>
      </w:r>
    </w:p>
    <w:p w14:paraId="0B9BB1FA">
      <w:pPr>
        <w:spacing w:line="360" w:lineRule="auto"/>
        <w:ind w:firstLine="420" w:firstLineChars="200"/>
        <w:rPr>
          <w:rFonts w:ascii="宋体" w:hAnsi="宋体"/>
          <w:szCs w:val="21"/>
        </w:rPr>
      </w:pPr>
      <w:r>
        <w:rPr>
          <w:rFonts w:hint="eastAsia" w:ascii="宋体" w:hAnsi="宋体"/>
          <w:szCs w:val="21"/>
        </w:rPr>
        <w:t>1.建设地点：浙江工商职业技术学院慈溪学院；</w:t>
      </w:r>
    </w:p>
    <w:p w14:paraId="23F53B8F">
      <w:pPr>
        <w:spacing w:line="360" w:lineRule="auto"/>
        <w:ind w:firstLine="420" w:firstLineChars="200"/>
        <w:rPr>
          <w:rFonts w:ascii="宋体" w:hAnsi="宋体"/>
          <w:szCs w:val="21"/>
        </w:rPr>
      </w:pPr>
      <w:r>
        <w:rPr>
          <w:rFonts w:hint="eastAsia" w:ascii="宋体" w:hAnsi="宋体"/>
          <w:szCs w:val="21"/>
        </w:rPr>
        <w:t>2.采购范围：浙江工商职业技术学院慈溪学院7#宿舍楼修缮,具体见工程量清单（招标控制价编制报告）和图纸；</w:t>
      </w:r>
    </w:p>
    <w:p w14:paraId="0E62E295">
      <w:pPr>
        <w:spacing w:line="360" w:lineRule="auto"/>
        <w:ind w:firstLine="420" w:firstLineChars="200"/>
        <w:rPr>
          <w:rFonts w:ascii="宋体" w:hAnsi="宋体"/>
          <w:szCs w:val="21"/>
        </w:rPr>
      </w:pPr>
      <w:r>
        <w:rPr>
          <w:rFonts w:ascii="宋体" w:hAnsi="宋体"/>
          <w:szCs w:val="21"/>
        </w:rPr>
        <w:t>3.计划工期：45</w:t>
      </w:r>
      <w:r>
        <w:rPr>
          <w:rFonts w:hint="eastAsia" w:ascii="宋体" w:hAnsi="宋体" w:cs="宋体"/>
          <w:kern w:val="0"/>
          <w:szCs w:val="21"/>
          <w:lang w:bidi="ar"/>
        </w:rPr>
        <w:t>个</w:t>
      </w:r>
      <w:r>
        <w:rPr>
          <w:rFonts w:hint="eastAsia" w:ascii="宋体" w:hAnsi="宋体"/>
          <w:szCs w:val="21"/>
        </w:rPr>
        <w:t>日历天；</w:t>
      </w:r>
    </w:p>
    <w:p w14:paraId="2EE78BF2">
      <w:pPr>
        <w:spacing w:line="360" w:lineRule="auto"/>
        <w:ind w:firstLine="420" w:firstLineChars="200"/>
        <w:rPr>
          <w:rFonts w:ascii="宋体" w:hAnsi="宋体"/>
          <w:szCs w:val="21"/>
        </w:rPr>
      </w:pPr>
      <w:r>
        <w:rPr>
          <w:rFonts w:hint="eastAsia" w:ascii="宋体" w:hAnsi="宋体"/>
          <w:szCs w:val="21"/>
        </w:rPr>
        <w:t>4.质量要求：按国家施工验收规范一次性验收合格标准；</w:t>
      </w:r>
    </w:p>
    <w:p w14:paraId="1A6DF4C6">
      <w:pPr>
        <w:spacing w:line="360" w:lineRule="auto"/>
        <w:ind w:firstLine="420" w:firstLineChars="200"/>
        <w:rPr>
          <w:rFonts w:ascii="宋体" w:hAnsi="宋体"/>
          <w:szCs w:val="21"/>
        </w:rPr>
      </w:pPr>
      <w:r>
        <w:rPr>
          <w:rFonts w:hint="eastAsia" w:ascii="宋体" w:hAnsi="宋体"/>
          <w:szCs w:val="21"/>
        </w:rPr>
        <w:t>5.安全要求：合格，无安全事故。</w:t>
      </w:r>
    </w:p>
    <w:p w14:paraId="175663BC">
      <w:pPr>
        <w:spacing w:line="360" w:lineRule="auto"/>
        <w:ind w:firstLine="420" w:firstLineChars="200"/>
        <w:rPr>
          <w:rFonts w:ascii="宋体" w:hAnsi="宋体"/>
          <w:szCs w:val="21"/>
        </w:rPr>
      </w:pPr>
      <w:r>
        <w:rPr>
          <w:rFonts w:hint="eastAsia" w:ascii="宋体" w:hAnsi="宋体"/>
          <w:szCs w:val="21"/>
        </w:rPr>
        <w:t>合同履约期限：标项1，自合同签订之日起至合同全部义务履行完毕止。</w:t>
      </w:r>
    </w:p>
    <w:p w14:paraId="4FE9F03A">
      <w:pPr>
        <w:spacing w:line="360" w:lineRule="auto"/>
        <w:ind w:firstLine="420" w:firstLineChars="200"/>
        <w:rPr>
          <w:rFonts w:ascii="宋体" w:hAnsi="宋体"/>
          <w:szCs w:val="21"/>
        </w:rPr>
      </w:pPr>
      <w:r>
        <w:rPr>
          <w:rFonts w:hint="eastAsia" w:ascii="宋体" w:hAnsi="宋体"/>
          <w:szCs w:val="21"/>
        </w:rPr>
        <w:t>本项目</w:t>
      </w:r>
      <w:r>
        <w:rPr>
          <w:rFonts w:hint="eastAsia" w:ascii="宋体" w:hAnsi="宋体" w:cs="宋体"/>
          <w:sz w:val="22"/>
          <w:szCs w:val="22"/>
        </w:rPr>
        <w:t>（否）</w:t>
      </w:r>
      <w:r>
        <w:rPr>
          <w:rFonts w:hint="eastAsia" w:ascii="宋体" w:hAnsi="宋体"/>
          <w:szCs w:val="21"/>
        </w:rPr>
        <w:t>接受联合体参加磋商。</w:t>
      </w:r>
    </w:p>
    <w:p w14:paraId="1E325AC0">
      <w:pPr>
        <w:spacing w:line="360" w:lineRule="auto"/>
        <w:ind w:firstLine="422" w:firstLineChars="200"/>
        <w:rPr>
          <w:rFonts w:ascii="宋体" w:hAnsi="宋体"/>
          <w:b/>
          <w:szCs w:val="21"/>
        </w:rPr>
      </w:pPr>
      <w:bookmarkStart w:id="8" w:name="_Toc35393799"/>
      <w:bookmarkStart w:id="9" w:name="_Toc28359090"/>
      <w:bookmarkStart w:id="10" w:name="_Toc35393630"/>
      <w:bookmarkStart w:id="11" w:name="_Toc28359013"/>
      <w:r>
        <w:rPr>
          <w:rFonts w:hint="eastAsia" w:ascii="宋体" w:hAnsi="宋体"/>
          <w:b/>
          <w:szCs w:val="21"/>
        </w:rPr>
        <w:t>二、申请人的资格要求：</w:t>
      </w:r>
      <w:bookmarkEnd w:id="8"/>
      <w:bookmarkEnd w:id="9"/>
      <w:bookmarkEnd w:id="10"/>
      <w:bookmarkEnd w:id="11"/>
    </w:p>
    <w:p w14:paraId="61629319">
      <w:pPr>
        <w:spacing w:line="360" w:lineRule="auto"/>
        <w:ind w:firstLine="420" w:firstLineChars="200"/>
        <w:jc w:val="left"/>
        <w:rPr>
          <w:rFonts w:ascii="宋体" w:hAnsi="宋体"/>
          <w:szCs w:val="21"/>
        </w:rPr>
      </w:pPr>
      <w:r>
        <w:rPr>
          <w:rFonts w:hint="eastAsia" w:ascii="宋体" w:hAnsi="宋体"/>
          <w:szCs w:val="21"/>
        </w:rPr>
        <w:t>1.满足《中华人民共和国政府采购法》第二十二条规定；未被“信用中国”（www.creditchina.gov.cn)、中国政府采购网（www.ccgp.gov.cn）列入失信被执行人、重大税收违法失信主体、政府采购严重违法失信行为记录名单。</w:t>
      </w:r>
    </w:p>
    <w:p w14:paraId="24FA672C">
      <w:pPr>
        <w:spacing w:line="360" w:lineRule="auto"/>
        <w:ind w:firstLine="420" w:firstLineChars="200"/>
        <w:rPr>
          <w:rFonts w:ascii="宋体" w:hAnsi="宋体"/>
          <w:b/>
          <w:szCs w:val="21"/>
        </w:rPr>
      </w:pPr>
      <w:bookmarkStart w:id="12" w:name="_Toc28359091"/>
      <w:bookmarkStart w:id="13" w:name="_Toc28359014"/>
      <w:r>
        <w:rPr>
          <w:rFonts w:hint="eastAsia" w:ascii="宋体" w:hAnsi="宋体"/>
          <w:szCs w:val="21"/>
        </w:rPr>
        <w:t>2.落实采购政策需满足的资格要求：</w:t>
      </w:r>
      <w:r>
        <w:rPr>
          <w:rFonts w:hint="eastAsia" w:ascii="宋体" w:hAnsi="宋体"/>
          <w:szCs w:val="21"/>
          <w:u w:val="single"/>
        </w:rPr>
        <w:t>本项目专门面向中小企业采购，承接工程的企业属于“建筑业”的中型、小型、微型企业以及监狱企业、残疾人福利性单位。</w:t>
      </w:r>
    </w:p>
    <w:p w14:paraId="2F7394E8">
      <w:pPr>
        <w:spacing w:line="360" w:lineRule="auto"/>
        <w:ind w:firstLine="420" w:firstLineChars="200"/>
        <w:jc w:val="left"/>
        <w:rPr>
          <w:rFonts w:ascii="宋体" w:hAnsi="宋体"/>
          <w:szCs w:val="21"/>
        </w:rPr>
      </w:pPr>
      <w:r>
        <w:rPr>
          <w:rFonts w:hint="eastAsia" w:ascii="宋体" w:hAnsi="宋体"/>
          <w:szCs w:val="21"/>
        </w:rPr>
        <w:t>3.本项目的特定资格要求：</w:t>
      </w:r>
      <w:r>
        <w:rPr>
          <w:rFonts w:hint="eastAsia" w:ascii="宋体" w:hAnsi="宋体"/>
          <w:szCs w:val="21"/>
          <w:u w:val="single"/>
        </w:rPr>
        <w:t>具有有效的建筑装修装饰工程专业承包贰级及以上资质，具有建设行政主管部门颁发的有效的安全生产许可证。</w:t>
      </w:r>
    </w:p>
    <w:p w14:paraId="643ECFEC">
      <w:pPr>
        <w:spacing w:line="360" w:lineRule="auto"/>
        <w:ind w:firstLine="422" w:firstLineChars="200"/>
        <w:rPr>
          <w:rFonts w:ascii="宋体" w:hAnsi="宋体"/>
          <w:b/>
          <w:szCs w:val="21"/>
        </w:rPr>
      </w:pPr>
      <w:bookmarkStart w:id="14" w:name="_Toc35393800"/>
      <w:bookmarkStart w:id="15" w:name="_Toc35393631"/>
      <w:r>
        <w:rPr>
          <w:rFonts w:hint="eastAsia" w:ascii="宋体" w:hAnsi="宋体"/>
          <w:b/>
          <w:szCs w:val="21"/>
        </w:rPr>
        <w:t>三、获取</w:t>
      </w:r>
      <w:bookmarkEnd w:id="12"/>
      <w:bookmarkEnd w:id="13"/>
      <w:bookmarkEnd w:id="14"/>
      <w:bookmarkEnd w:id="15"/>
      <w:r>
        <w:rPr>
          <w:rFonts w:hint="eastAsia" w:ascii="宋体" w:hAnsi="宋体"/>
          <w:b/>
          <w:szCs w:val="21"/>
        </w:rPr>
        <w:t>（下载）采购文件</w:t>
      </w:r>
    </w:p>
    <w:p w14:paraId="0863B0A5">
      <w:pPr>
        <w:spacing w:line="360" w:lineRule="auto"/>
        <w:ind w:firstLine="420" w:firstLineChars="200"/>
        <w:rPr>
          <w:rFonts w:ascii="宋体" w:hAnsi="宋体" w:cs="宋体"/>
          <w:b/>
          <w:szCs w:val="21"/>
        </w:rPr>
      </w:pPr>
      <w:r>
        <w:rPr>
          <w:rFonts w:hint="eastAsia" w:ascii="宋体" w:hAnsi="宋体" w:cs="宋体"/>
          <w:szCs w:val="21"/>
        </w:rPr>
        <w:t>时间：2025年6月11日至2025年6月23日，每天上午00:00至12:00，下午12:00至23:59（北京时间，线上获取法定节假日均可，线下获取文件法定节假日除外）</w:t>
      </w:r>
    </w:p>
    <w:p w14:paraId="0E37B9C5">
      <w:pPr>
        <w:spacing w:line="360" w:lineRule="auto"/>
        <w:ind w:firstLine="420" w:firstLineChars="200"/>
        <w:rPr>
          <w:rFonts w:ascii="宋体" w:hAnsi="宋体" w:cs="宋体"/>
          <w:szCs w:val="21"/>
          <w:u w:val="single"/>
        </w:rPr>
      </w:pPr>
      <w:r>
        <w:rPr>
          <w:rFonts w:hint="eastAsia" w:ascii="宋体" w:hAnsi="宋体" w:cs="宋体"/>
          <w:szCs w:val="21"/>
        </w:rPr>
        <w:t>地点（网址）：政采云平台（https://www.zcygov.cn）</w:t>
      </w:r>
    </w:p>
    <w:p w14:paraId="55148DEB">
      <w:pPr>
        <w:spacing w:line="360" w:lineRule="auto"/>
        <w:ind w:firstLine="420" w:firstLineChars="200"/>
        <w:rPr>
          <w:rFonts w:ascii="宋体" w:hAnsi="宋体" w:cs="Arial"/>
          <w:szCs w:val="21"/>
        </w:rPr>
      </w:pPr>
      <w:r>
        <w:rPr>
          <w:rFonts w:hint="eastAsia" w:ascii="宋体" w:hAnsi="宋体" w:cs="宋体"/>
          <w:szCs w:val="21"/>
        </w:rPr>
        <w:t>方式：</w:t>
      </w:r>
      <w:r>
        <w:rPr>
          <w:rFonts w:hint="eastAsia" w:ascii="宋体" w:hAnsi="宋体" w:cs="Arial"/>
          <w:szCs w:val="21"/>
        </w:rPr>
        <w:t>供应商登录政采云平台https://www.zcygov.cn/在线申请获取采购文件（进入“项目采购”应用，在获取采购文件菜单中选择项目，申请获取采购文件）</w:t>
      </w:r>
    </w:p>
    <w:p w14:paraId="4946BDB0">
      <w:pPr>
        <w:spacing w:line="360" w:lineRule="auto"/>
        <w:ind w:firstLine="420" w:firstLineChars="200"/>
        <w:rPr>
          <w:rFonts w:ascii="宋体" w:hAnsi="宋体" w:cs="宋体"/>
          <w:szCs w:val="21"/>
        </w:rPr>
      </w:pPr>
      <w:bookmarkStart w:id="16" w:name="_Toc35393801"/>
      <w:bookmarkStart w:id="17" w:name="_Toc28359015"/>
      <w:bookmarkStart w:id="18" w:name="_Toc28359092"/>
      <w:bookmarkStart w:id="19" w:name="_Toc35393632"/>
      <w:r>
        <w:rPr>
          <w:rFonts w:hint="eastAsia" w:ascii="宋体" w:hAnsi="宋体" w:cs="宋体"/>
          <w:szCs w:val="21"/>
        </w:rPr>
        <w:t>售价（元）：0</w:t>
      </w:r>
    </w:p>
    <w:p w14:paraId="15B455FB">
      <w:pPr>
        <w:spacing w:line="360" w:lineRule="auto"/>
        <w:ind w:firstLine="422" w:firstLineChars="200"/>
        <w:rPr>
          <w:rFonts w:ascii="宋体" w:hAnsi="宋体"/>
          <w:b/>
          <w:szCs w:val="21"/>
        </w:rPr>
      </w:pPr>
      <w:r>
        <w:rPr>
          <w:rFonts w:hint="eastAsia" w:ascii="宋体" w:hAnsi="宋体"/>
          <w:b/>
          <w:szCs w:val="21"/>
        </w:rPr>
        <w:t>四、响应文件提交</w:t>
      </w:r>
      <w:bookmarkEnd w:id="16"/>
      <w:bookmarkEnd w:id="17"/>
      <w:bookmarkEnd w:id="18"/>
      <w:bookmarkEnd w:id="19"/>
      <w:r>
        <w:rPr>
          <w:rFonts w:hint="eastAsia" w:ascii="宋体" w:hAnsi="宋体"/>
          <w:b/>
          <w:szCs w:val="21"/>
        </w:rPr>
        <w:t>（上传）</w:t>
      </w:r>
    </w:p>
    <w:p w14:paraId="3DB369D0">
      <w:pPr>
        <w:spacing w:line="360" w:lineRule="auto"/>
        <w:ind w:firstLine="420" w:firstLineChars="200"/>
        <w:rPr>
          <w:rFonts w:ascii="宋体" w:hAnsi="宋体"/>
          <w:bCs/>
          <w:szCs w:val="21"/>
        </w:rPr>
      </w:pPr>
      <w:r>
        <w:rPr>
          <w:rFonts w:hint="eastAsia" w:ascii="宋体" w:hAnsi="宋体"/>
          <w:szCs w:val="21"/>
        </w:rPr>
        <w:t>截止时间：2025年6月23日14:00（北京时间）</w:t>
      </w:r>
    </w:p>
    <w:p w14:paraId="16B181E5">
      <w:pPr>
        <w:spacing w:line="360" w:lineRule="auto"/>
        <w:ind w:firstLine="420" w:firstLineChars="200"/>
        <w:rPr>
          <w:rFonts w:ascii="宋体" w:hAnsi="宋体"/>
          <w:szCs w:val="21"/>
        </w:rPr>
      </w:pPr>
      <w:r>
        <w:rPr>
          <w:rFonts w:hint="eastAsia" w:ascii="宋体" w:hAnsi="宋体"/>
          <w:szCs w:val="21"/>
        </w:rPr>
        <w:t>地点（网址）：</w:t>
      </w:r>
      <w:r>
        <w:rPr>
          <w:rFonts w:hint="eastAsia" w:ascii="宋体" w:hAnsi="宋体"/>
          <w:szCs w:val="21"/>
          <w:u w:val="single"/>
        </w:rPr>
        <w:t>政采云平台（</w:t>
      </w:r>
      <w:r>
        <w:rPr>
          <w:rFonts w:ascii="宋体" w:hAnsi="宋体"/>
          <w:szCs w:val="21"/>
          <w:u w:val="single"/>
        </w:rPr>
        <w:t>https://www.zcygov.cn）</w:t>
      </w:r>
    </w:p>
    <w:p w14:paraId="61C1791D">
      <w:pPr>
        <w:spacing w:line="360" w:lineRule="auto"/>
        <w:ind w:firstLine="422" w:firstLineChars="200"/>
        <w:rPr>
          <w:rFonts w:ascii="宋体" w:hAnsi="宋体"/>
          <w:b/>
          <w:szCs w:val="21"/>
        </w:rPr>
      </w:pPr>
      <w:bookmarkStart w:id="20" w:name="_Toc28359016"/>
      <w:bookmarkStart w:id="21" w:name="_Toc35393633"/>
      <w:bookmarkStart w:id="22" w:name="_Toc28359093"/>
      <w:bookmarkStart w:id="23" w:name="_Toc35393802"/>
      <w:r>
        <w:rPr>
          <w:rFonts w:hint="eastAsia" w:ascii="宋体" w:hAnsi="宋体"/>
          <w:b/>
          <w:szCs w:val="21"/>
        </w:rPr>
        <w:t>五、响应文件开启</w:t>
      </w:r>
      <w:bookmarkEnd w:id="20"/>
      <w:bookmarkEnd w:id="21"/>
      <w:bookmarkEnd w:id="22"/>
      <w:bookmarkEnd w:id="23"/>
    </w:p>
    <w:p w14:paraId="212FD030">
      <w:pPr>
        <w:spacing w:line="360" w:lineRule="auto"/>
        <w:ind w:firstLine="420" w:firstLineChars="200"/>
        <w:rPr>
          <w:rFonts w:ascii="宋体" w:hAnsi="宋体"/>
          <w:szCs w:val="21"/>
        </w:rPr>
      </w:pPr>
      <w:bookmarkStart w:id="24" w:name="_Toc28359094"/>
      <w:bookmarkStart w:id="25" w:name="_Toc35393803"/>
      <w:bookmarkStart w:id="26" w:name="_Toc28359017"/>
      <w:bookmarkStart w:id="27" w:name="_Toc35393634"/>
      <w:r>
        <w:rPr>
          <w:rFonts w:hint="eastAsia" w:ascii="宋体" w:hAnsi="宋体"/>
          <w:szCs w:val="21"/>
        </w:rPr>
        <w:t>开启时间：2025年6月23日14:00（北京时间）</w:t>
      </w:r>
    </w:p>
    <w:p w14:paraId="23A8E601">
      <w:pPr>
        <w:spacing w:line="360" w:lineRule="auto"/>
        <w:ind w:firstLine="420" w:firstLineChars="200"/>
        <w:rPr>
          <w:rFonts w:ascii="宋体" w:hAnsi="宋体"/>
          <w:szCs w:val="21"/>
        </w:rPr>
      </w:pPr>
      <w:r>
        <w:rPr>
          <w:rFonts w:hint="eastAsia" w:ascii="宋体" w:hAnsi="宋体"/>
          <w:szCs w:val="21"/>
        </w:rPr>
        <w:t>地点（网址）：</w:t>
      </w:r>
      <w:r>
        <w:rPr>
          <w:rFonts w:hint="eastAsia" w:ascii="宋体" w:hAnsi="宋体"/>
          <w:szCs w:val="21"/>
          <w:u w:val="single"/>
        </w:rPr>
        <w:t>政采云平台（</w:t>
      </w:r>
      <w:r>
        <w:rPr>
          <w:rFonts w:ascii="宋体" w:hAnsi="宋体"/>
          <w:szCs w:val="21"/>
          <w:u w:val="single"/>
        </w:rPr>
        <w:t>https://www.zcygov.cn）</w:t>
      </w:r>
    </w:p>
    <w:p w14:paraId="7476EAF5">
      <w:pPr>
        <w:spacing w:line="360" w:lineRule="auto"/>
        <w:ind w:firstLine="422" w:firstLineChars="200"/>
        <w:rPr>
          <w:rFonts w:ascii="宋体" w:hAnsi="宋体"/>
          <w:b/>
          <w:szCs w:val="21"/>
        </w:rPr>
      </w:pPr>
      <w:r>
        <w:rPr>
          <w:rFonts w:hint="eastAsia" w:ascii="宋体" w:hAnsi="宋体"/>
          <w:b/>
          <w:szCs w:val="21"/>
        </w:rPr>
        <w:t>六、公告期限</w:t>
      </w:r>
      <w:bookmarkEnd w:id="24"/>
      <w:bookmarkEnd w:id="25"/>
      <w:bookmarkEnd w:id="26"/>
      <w:bookmarkEnd w:id="27"/>
    </w:p>
    <w:p w14:paraId="6E821136">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自本公告发布之日起3个工作日。</w:t>
      </w:r>
    </w:p>
    <w:p w14:paraId="48D3B78D">
      <w:pPr>
        <w:spacing w:line="360" w:lineRule="auto"/>
        <w:ind w:firstLine="422" w:firstLineChars="200"/>
        <w:rPr>
          <w:rFonts w:ascii="宋体" w:hAnsi="宋体"/>
          <w:b/>
          <w:szCs w:val="21"/>
        </w:rPr>
      </w:pPr>
      <w:bookmarkStart w:id="28" w:name="_Toc35393635"/>
      <w:bookmarkStart w:id="29" w:name="_Toc35393804"/>
      <w:r>
        <w:rPr>
          <w:rFonts w:hint="eastAsia" w:ascii="宋体" w:hAnsi="宋体"/>
          <w:b/>
          <w:szCs w:val="21"/>
        </w:rPr>
        <w:t>七、其他补充事宜</w:t>
      </w:r>
      <w:bookmarkEnd w:id="28"/>
      <w:bookmarkEnd w:id="29"/>
    </w:p>
    <w:p w14:paraId="0DEFDB8C">
      <w:pPr>
        <w:snapToGrid w:val="0"/>
        <w:spacing w:line="360" w:lineRule="auto"/>
        <w:ind w:firstLine="411" w:firstLineChars="196"/>
        <w:rPr>
          <w:rFonts w:ascii="宋体" w:hAnsi="宋体" w:cs="Arial"/>
          <w:szCs w:val="21"/>
        </w:rPr>
      </w:pPr>
      <w:r>
        <w:rPr>
          <w:rFonts w:hint="eastAsia" w:ascii="宋体" w:hAnsi="宋体" w:cs="Arial"/>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9C6A192">
      <w:pPr>
        <w:snapToGrid w:val="0"/>
        <w:spacing w:line="360" w:lineRule="auto"/>
        <w:ind w:firstLine="411" w:firstLineChars="196"/>
        <w:rPr>
          <w:rFonts w:ascii="宋体" w:hAnsi="宋体" w:cs="Arial"/>
          <w:szCs w:val="21"/>
        </w:rPr>
      </w:pPr>
      <w:r>
        <w:rPr>
          <w:rFonts w:hint="eastAsia" w:ascii="宋体" w:hAnsi="宋体" w:cs="Arial"/>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65BE57E">
      <w:pPr>
        <w:snapToGrid w:val="0"/>
        <w:spacing w:line="360" w:lineRule="auto"/>
        <w:ind w:firstLine="411" w:firstLineChars="196"/>
        <w:rPr>
          <w:rFonts w:ascii="宋体" w:hAnsi="宋体" w:cs="Arial"/>
          <w:szCs w:val="21"/>
        </w:rPr>
      </w:pPr>
      <w:r>
        <w:rPr>
          <w:rFonts w:hint="eastAsia" w:ascii="宋体" w:hAnsi="宋体" w:cs="Arial"/>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437CAA">
      <w:pPr>
        <w:snapToGrid w:val="0"/>
        <w:spacing w:line="360" w:lineRule="auto"/>
        <w:ind w:firstLine="411" w:firstLineChars="196"/>
        <w:rPr>
          <w:rFonts w:ascii="宋体" w:hAnsi="宋体" w:cs="Arial"/>
          <w:szCs w:val="21"/>
        </w:rPr>
      </w:pPr>
      <w:r>
        <w:rPr>
          <w:rFonts w:ascii="宋体" w:hAnsi="宋体" w:cs="Arial"/>
          <w:szCs w:val="21"/>
        </w:rPr>
        <w:t>4</w:t>
      </w:r>
      <w:r>
        <w:rPr>
          <w:rFonts w:hint="eastAsia" w:ascii="宋体" w:hAnsi="宋体" w:cs="Arial"/>
          <w:szCs w:val="21"/>
        </w:rPr>
        <w:t>.其他事项：</w:t>
      </w:r>
    </w:p>
    <w:p w14:paraId="353D0C80">
      <w:pPr>
        <w:snapToGrid w:val="0"/>
        <w:spacing w:line="360" w:lineRule="auto"/>
        <w:ind w:firstLine="411" w:firstLineChars="196"/>
        <w:rPr>
          <w:rFonts w:ascii="宋体" w:hAnsi="宋体" w:cs="Arial"/>
          <w:szCs w:val="21"/>
        </w:rPr>
      </w:pPr>
      <w:r>
        <w:rPr>
          <w:rFonts w:hint="eastAsia" w:ascii="宋体" w:hAnsi="宋体" w:cs="Arial"/>
          <w:szCs w:val="21"/>
        </w:rPr>
        <w:t>（1）为依法获取本项目磋商文件及响应，潜在供应商应当按照《浙江省政府采购供应商注册及诚信管理暂行办法》的规定在“浙江政府采购网(</w:t>
      </w:r>
      <w:r>
        <w:rPr>
          <w:rFonts w:ascii="宋体" w:hAnsi="宋体" w:cs="Arial"/>
          <w:szCs w:val="21"/>
        </w:rPr>
        <w:t>http://zfcg.czt.zj.gov.cn/</w:t>
      </w:r>
      <w:r>
        <w:rPr>
          <w:rFonts w:hint="eastAsia" w:ascii="宋体" w:hAnsi="宋体" w:cs="Arial"/>
          <w:szCs w:val="21"/>
        </w:rPr>
        <w:t>)”政采云平台注册登记。</w:t>
      </w:r>
    </w:p>
    <w:p w14:paraId="7716BEE7">
      <w:pPr>
        <w:snapToGrid w:val="0"/>
        <w:spacing w:line="360" w:lineRule="auto"/>
        <w:ind w:firstLine="411" w:firstLineChars="196"/>
        <w:rPr>
          <w:rFonts w:ascii="宋体" w:hAnsi="宋体" w:cs="Arial"/>
          <w:szCs w:val="21"/>
        </w:rPr>
      </w:pPr>
      <w:r>
        <w:rPr>
          <w:rFonts w:hint="eastAsia" w:ascii="宋体" w:hAnsi="宋体" w:cs="Arial"/>
          <w:szCs w:val="21"/>
        </w:rPr>
        <w:t>（2）本项目依据《浙江省政府采购项目电子交易管理暂行办法》采用电子交易方式实施采购，电子交易平台为政采云平台(https：//www.zcygov.cn）。潜在供应商在参与本项目磋商响应前应当完成政采云平台的账号注册、身份认证（CA数字证书申领）、“政采云电子交易客户端”下载安装。</w:t>
      </w:r>
    </w:p>
    <w:p w14:paraId="50F38C17">
      <w:pPr>
        <w:snapToGrid w:val="0"/>
        <w:spacing w:line="360" w:lineRule="auto"/>
        <w:ind w:firstLine="411" w:firstLineChars="196"/>
        <w:rPr>
          <w:rFonts w:ascii="宋体" w:hAnsi="宋体" w:cs="Arial"/>
          <w:szCs w:val="21"/>
        </w:rPr>
      </w:pPr>
      <w:r>
        <w:rPr>
          <w:rFonts w:hint="eastAsia" w:ascii="宋体" w:hAnsi="宋体" w:cs="Arial"/>
          <w:szCs w:val="21"/>
        </w:rPr>
        <w:t>（3）本项目采购文件实行“政府采购云平台”在线获取，不提供采购文件纸质版。</w:t>
      </w:r>
    </w:p>
    <w:p w14:paraId="10C39FB6">
      <w:pPr>
        <w:snapToGrid w:val="0"/>
        <w:spacing w:line="360" w:lineRule="auto"/>
        <w:ind w:firstLine="411" w:firstLineChars="196"/>
        <w:rPr>
          <w:rFonts w:ascii="宋体" w:hAnsi="宋体" w:cs="Arial"/>
          <w:szCs w:val="21"/>
        </w:rPr>
      </w:pPr>
      <w:r>
        <w:rPr>
          <w:rFonts w:hint="eastAsia" w:ascii="宋体" w:hAnsi="宋体" w:cs="Arial"/>
          <w:szCs w:val="21"/>
        </w:rPr>
        <w:t>（4）采购公告附件内的采购文件仅供阅览使用，供应商只有在“政府采购云平台”完成获取采购文件申请并下载了采购文件后才视作获取采购文件（供应商获取采购文件时间以供应商完成获取采购文件申请后下载采购文件的时间为准）。</w:t>
      </w:r>
    </w:p>
    <w:p w14:paraId="6AE9C466">
      <w:pPr>
        <w:snapToGrid w:val="0"/>
        <w:spacing w:line="360" w:lineRule="auto"/>
        <w:ind w:firstLine="411" w:firstLineChars="196"/>
        <w:rPr>
          <w:rFonts w:ascii="宋体" w:hAnsi="宋体" w:cs="Arial"/>
          <w:szCs w:val="21"/>
        </w:rPr>
      </w:pPr>
      <w:r>
        <w:rPr>
          <w:rFonts w:hint="eastAsia" w:ascii="宋体" w:hAnsi="宋体" w:cs="Arial"/>
          <w:szCs w:val="21"/>
        </w:rPr>
        <w:t>注：供应商应按要求获取采购文件，如未在“政采云”系统内完成相关流程而引起后果自负。</w:t>
      </w:r>
    </w:p>
    <w:p w14:paraId="582BE2FE">
      <w:pPr>
        <w:snapToGrid w:val="0"/>
        <w:spacing w:line="360" w:lineRule="auto"/>
        <w:ind w:firstLine="411" w:firstLineChars="196"/>
        <w:rPr>
          <w:rFonts w:ascii="宋体" w:hAns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）供应商</w:t>
      </w:r>
      <w:r>
        <w:rPr>
          <w:rFonts w:ascii="宋体" w:hAnsi="宋体" w:cs="宋体"/>
          <w:szCs w:val="21"/>
        </w:rPr>
        <w:t>如提供备份</w:t>
      </w:r>
      <w:r>
        <w:rPr>
          <w:rFonts w:hint="eastAsia" w:ascii="宋体" w:hAnsi="宋体" w:cs="宋体"/>
          <w:szCs w:val="21"/>
        </w:rPr>
        <w:t>响应</w:t>
      </w:r>
      <w:r>
        <w:rPr>
          <w:rFonts w:ascii="宋体" w:hAnsi="宋体" w:cs="宋体"/>
          <w:szCs w:val="21"/>
        </w:rPr>
        <w:t>文件的，应于提交</w:t>
      </w:r>
      <w:r>
        <w:rPr>
          <w:rFonts w:hint="eastAsia" w:ascii="宋体" w:hAnsi="宋体" w:cs="宋体"/>
          <w:szCs w:val="21"/>
        </w:rPr>
        <w:t>响应</w:t>
      </w:r>
      <w:r>
        <w:rPr>
          <w:rFonts w:ascii="宋体" w:hAnsi="宋体" w:cs="宋体"/>
          <w:szCs w:val="21"/>
        </w:rPr>
        <w:t>文件截止时间前，将以U盘存储的电子备份</w:t>
      </w:r>
      <w:r>
        <w:rPr>
          <w:rFonts w:hint="eastAsia" w:ascii="宋体" w:hAnsi="宋体" w:cs="宋体"/>
          <w:szCs w:val="21"/>
        </w:rPr>
        <w:t>响应</w:t>
      </w:r>
      <w:r>
        <w:rPr>
          <w:rFonts w:ascii="宋体" w:hAnsi="宋体" w:cs="宋体"/>
          <w:szCs w:val="21"/>
        </w:rPr>
        <w:t>文件</w:t>
      </w:r>
      <w:r>
        <w:rPr>
          <w:rFonts w:hint="eastAsia" w:ascii="宋体" w:hAnsi="宋体" w:cs="宋体"/>
          <w:szCs w:val="21"/>
        </w:rPr>
        <w:t>按照磋商文件的规定密封、标注并盖章后</w:t>
      </w:r>
      <w:r>
        <w:rPr>
          <w:rFonts w:ascii="宋体" w:hAnsi="宋体" w:cs="宋体"/>
          <w:szCs w:val="21"/>
        </w:rPr>
        <w:t>，递交至</w:t>
      </w:r>
      <w:r>
        <w:rPr>
          <w:rFonts w:hint="eastAsia" w:ascii="宋体" w:hAnsi="宋体" w:cs="Arial"/>
          <w:b/>
          <w:szCs w:val="21"/>
        </w:rPr>
        <w:t>宁波市海曙区江汇城496号姚江时代14幢3楼</w:t>
      </w:r>
      <w:r>
        <w:rPr>
          <w:rFonts w:ascii="宋体" w:hAnsi="宋体" w:cs="宋体"/>
          <w:szCs w:val="21"/>
        </w:rPr>
        <w:t>，逾期送达或未</w:t>
      </w:r>
      <w:r>
        <w:rPr>
          <w:rFonts w:hint="eastAsia" w:ascii="宋体" w:hAnsi="宋体" w:cs="宋体"/>
          <w:szCs w:val="21"/>
        </w:rPr>
        <w:t>按照规定</w:t>
      </w:r>
      <w:r>
        <w:rPr>
          <w:rFonts w:ascii="宋体" w:hAnsi="宋体" w:cs="宋体"/>
          <w:szCs w:val="21"/>
        </w:rPr>
        <w:t>密封</w:t>
      </w:r>
      <w:r>
        <w:rPr>
          <w:rFonts w:hint="eastAsia" w:ascii="宋体" w:hAnsi="宋体" w:cs="宋体"/>
          <w:szCs w:val="21"/>
        </w:rPr>
        <w:t>包装的</w:t>
      </w:r>
      <w:r>
        <w:rPr>
          <w:rFonts w:ascii="宋体" w:hAnsi="宋体" w:cs="宋体"/>
          <w:szCs w:val="21"/>
        </w:rPr>
        <w:t>备份</w:t>
      </w:r>
      <w:r>
        <w:rPr>
          <w:rFonts w:hint="eastAsia" w:ascii="宋体" w:hAnsi="宋体" w:cs="宋体"/>
          <w:szCs w:val="21"/>
        </w:rPr>
        <w:t>响应</w:t>
      </w:r>
      <w:r>
        <w:rPr>
          <w:rFonts w:ascii="宋体" w:hAnsi="宋体" w:cs="宋体"/>
          <w:szCs w:val="21"/>
        </w:rPr>
        <w:t>文件</w:t>
      </w:r>
      <w:r>
        <w:rPr>
          <w:rFonts w:hint="eastAsia" w:ascii="宋体" w:hAnsi="宋体" w:cs="宋体"/>
          <w:szCs w:val="21"/>
        </w:rPr>
        <w:t>采购代理机构有权拒绝接收</w:t>
      </w:r>
      <w:r>
        <w:rPr>
          <w:rFonts w:ascii="宋体" w:hAnsi="宋体" w:cs="宋体"/>
          <w:szCs w:val="21"/>
        </w:rPr>
        <w:t>。</w:t>
      </w:r>
    </w:p>
    <w:p w14:paraId="6D294E1A">
      <w:pPr>
        <w:snapToGrid w:val="0"/>
        <w:spacing w:line="360" w:lineRule="auto"/>
        <w:ind w:firstLine="411" w:firstLineChars="196"/>
        <w:rPr>
          <w:rFonts w:ascii="宋体" w:hAnsi="宋体" w:cs="Arial"/>
          <w:szCs w:val="21"/>
        </w:rPr>
      </w:pPr>
      <w:r>
        <w:rPr>
          <w:rFonts w:hint="eastAsia" w:ascii="宋体" w:hAnsi="宋体" w:cs="Arial"/>
          <w:szCs w:val="21"/>
        </w:rPr>
        <w:t>（</w:t>
      </w:r>
      <w:r>
        <w:rPr>
          <w:rFonts w:ascii="宋体" w:hAnsi="宋体" w:cs="Arial"/>
          <w:szCs w:val="21"/>
        </w:rPr>
        <w:t>6</w:t>
      </w:r>
      <w:r>
        <w:rPr>
          <w:rFonts w:hint="eastAsia" w:ascii="宋体" w:hAnsi="宋体" w:cs="Arial"/>
          <w:szCs w:val="21"/>
        </w:rPr>
        <w:t>）本次采购活动有关信息在浙江政府采购网公布，视同送达所有潜在供应商。</w:t>
      </w:r>
    </w:p>
    <w:p w14:paraId="0E848B42">
      <w:pPr>
        <w:adjustRightInd w:val="0"/>
        <w:snapToGrid w:val="0"/>
        <w:spacing w:line="360" w:lineRule="auto"/>
        <w:ind w:firstLine="420" w:firstLineChars="200"/>
        <w:rPr>
          <w:rFonts w:ascii="宋体" w:hAnsi="宋体" w:cs="宋体"/>
          <w:szCs w:val="21"/>
        </w:rPr>
      </w:pPr>
      <w:r>
        <w:rPr>
          <w:rFonts w:hint="eastAsia" w:ascii="宋体" w:hAnsi="宋体" w:cs="宋体"/>
        </w:rPr>
        <w:t>（</w:t>
      </w:r>
      <w:r>
        <w:rPr>
          <w:rFonts w:ascii="宋体" w:hAnsi="宋体" w:cs="宋体"/>
        </w:rPr>
        <w:t>7</w:t>
      </w:r>
      <w:r>
        <w:rPr>
          <w:rFonts w:hint="eastAsia" w:ascii="宋体" w:hAnsi="宋体" w:cs="宋体"/>
        </w:rPr>
        <w:t>）单位负责人为同一人或者存在直接控股、管理关系的不同供应商，不得参加同一项目的磋商响应</w:t>
      </w:r>
      <w:r>
        <w:rPr>
          <w:rFonts w:hint="eastAsia" w:ascii="宋体" w:hAnsi="宋体" w:cs="宋体"/>
          <w:szCs w:val="21"/>
        </w:rPr>
        <w:t>。为本项目提供整体设计、规范编制或者项目管理、监理、检测等服务的供应商，不得再参加本项目的磋商响应。</w:t>
      </w:r>
    </w:p>
    <w:p w14:paraId="72B08E5B">
      <w:pPr>
        <w:adjustRightInd w:val="0"/>
        <w:snapToGrid w:val="0"/>
        <w:spacing w:line="360" w:lineRule="auto"/>
        <w:ind w:firstLine="420" w:firstLineChars="200"/>
        <w:rPr>
          <w:rFonts w:ascii="宋体" w:hAnsi="宋体" w:cs="宋体"/>
          <w:szCs w:val="21"/>
        </w:rPr>
      </w:pPr>
      <w:r>
        <w:rPr>
          <w:rFonts w:hint="eastAsia" w:ascii="宋体" w:hAnsi="宋体" w:cs="宋体"/>
          <w:szCs w:val="21"/>
        </w:rPr>
        <w:t>（8）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132D9C67">
      <w:pPr>
        <w:adjustRightInd w:val="0"/>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）落实的政策：</w:t>
      </w:r>
      <w:r>
        <w:rPr>
          <w:rFonts w:hint="eastAsia" w:ascii="宋体" w:hAnsi="宋体" w:cs="宋体"/>
        </w:rPr>
        <w:t>（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35274E28">
      <w:pPr>
        <w:spacing w:line="360" w:lineRule="auto"/>
        <w:ind w:firstLine="422" w:firstLineChars="200"/>
        <w:rPr>
          <w:rFonts w:ascii="宋体" w:hAnsi="宋体"/>
          <w:b/>
          <w:szCs w:val="21"/>
        </w:rPr>
      </w:pPr>
      <w:bookmarkStart w:id="30" w:name="_Toc35393805"/>
      <w:bookmarkStart w:id="31" w:name="_Toc28359095"/>
      <w:bookmarkStart w:id="32" w:name="_Toc28359018"/>
      <w:bookmarkStart w:id="33" w:name="_Toc35393636"/>
      <w:r>
        <w:rPr>
          <w:rFonts w:hint="eastAsia" w:ascii="宋体" w:hAnsi="宋体"/>
          <w:b/>
          <w:szCs w:val="21"/>
        </w:rPr>
        <w:t>八、凡对本次采购提出询问、质疑、投诉，请按</w:t>
      </w:r>
      <w:r>
        <w:rPr>
          <w:rFonts w:ascii="宋体" w:hAnsi="宋体"/>
          <w:b/>
          <w:szCs w:val="21"/>
        </w:rPr>
        <w:t>以下方式</w:t>
      </w:r>
      <w:r>
        <w:rPr>
          <w:rFonts w:hint="eastAsia" w:ascii="宋体" w:hAnsi="宋体"/>
          <w:b/>
          <w:szCs w:val="21"/>
        </w:rPr>
        <w:t>联系</w:t>
      </w:r>
      <w:bookmarkEnd w:id="30"/>
      <w:bookmarkEnd w:id="31"/>
      <w:bookmarkEnd w:id="32"/>
      <w:bookmarkEnd w:id="33"/>
    </w:p>
    <w:p w14:paraId="6AC080EF">
      <w:pPr>
        <w:tabs>
          <w:tab w:val="left" w:pos="5727"/>
        </w:tabs>
        <w:snapToGrid w:val="0"/>
        <w:spacing w:line="360" w:lineRule="auto"/>
        <w:ind w:firstLine="411" w:firstLineChars="196"/>
        <w:rPr>
          <w:rFonts w:ascii="宋体" w:hAnsi="宋体" w:cs="宋体"/>
          <w:szCs w:val="21"/>
        </w:rPr>
      </w:pPr>
      <w:bookmarkStart w:id="34" w:name="_Toc35393806"/>
      <w:bookmarkStart w:id="35" w:name="_Toc28359019"/>
      <w:bookmarkStart w:id="36" w:name="_Toc35393637"/>
      <w:bookmarkStart w:id="37" w:name="_Toc28359096"/>
      <w:r>
        <w:rPr>
          <w:rFonts w:hint="eastAsia" w:ascii="宋体" w:hAnsi="宋体" w:cs="宋体"/>
          <w:szCs w:val="21"/>
        </w:rPr>
        <w:t>1.采购人信息</w:t>
      </w:r>
      <w:bookmarkEnd w:id="34"/>
      <w:bookmarkEnd w:id="35"/>
      <w:bookmarkEnd w:id="36"/>
      <w:bookmarkEnd w:id="37"/>
    </w:p>
    <w:p w14:paraId="0D5D81A7">
      <w:pPr>
        <w:snapToGrid w:val="0"/>
        <w:spacing w:line="360" w:lineRule="auto"/>
        <w:ind w:firstLine="411" w:firstLineChars="196"/>
        <w:rPr>
          <w:rFonts w:ascii="宋体" w:hAnsi="宋体" w:cs="宋体"/>
          <w:szCs w:val="21"/>
        </w:rPr>
      </w:pPr>
      <w:r>
        <w:rPr>
          <w:rFonts w:hint="eastAsia" w:ascii="宋体" w:hAnsi="宋体" w:cs="宋体"/>
          <w:szCs w:val="21"/>
        </w:rPr>
        <w:t>名称：浙江工商职业技术学院</w:t>
      </w:r>
    </w:p>
    <w:p w14:paraId="4EF4B429">
      <w:pPr>
        <w:snapToGrid w:val="0"/>
        <w:spacing w:line="360" w:lineRule="auto"/>
        <w:ind w:firstLine="411" w:firstLineChars="196"/>
        <w:rPr>
          <w:rFonts w:ascii="宋体" w:hAnsi="宋体" w:cs="宋体"/>
          <w:szCs w:val="21"/>
        </w:rPr>
      </w:pPr>
      <w:r>
        <w:rPr>
          <w:rFonts w:hint="eastAsia" w:ascii="宋体" w:hAnsi="宋体" w:cs="宋体"/>
          <w:szCs w:val="21"/>
        </w:rPr>
        <w:t>地址：</w:t>
      </w:r>
      <w:bookmarkStart w:id="38" w:name="_Toc28359097"/>
      <w:bookmarkStart w:id="39" w:name="_Toc35393807"/>
      <w:bookmarkStart w:id="40" w:name="_Toc35393638"/>
      <w:bookmarkStart w:id="41" w:name="_Toc28359020"/>
      <w:r>
        <w:rPr>
          <w:rFonts w:hint="eastAsia" w:ascii="宋体" w:hAnsi="宋体" w:cs="宋体"/>
          <w:szCs w:val="21"/>
        </w:rPr>
        <w:t>宁波市机场路1988号</w:t>
      </w:r>
    </w:p>
    <w:p w14:paraId="4EF2A82D">
      <w:pPr>
        <w:snapToGrid w:val="0"/>
        <w:spacing w:line="360" w:lineRule="auto"/>
        <w:ind w:firstLine="411" w:firstLineChars="196"/>
        <w:rPr>
          <w:rFonts w:ascii="宋体" w:hAnsi="宋体" w:cs="宋体"/>
          <w:szCs w:val="21"/>
        </w:rPr>
      </w:pPr>
      <w:r>
        <w:rPr>
          <w:rFonts w:hint="eastAsia" w:ascii="宋体" w:hAnsi="宋体" w:cs="宋体"/>
          <w:szCs w:val="21"/>
        </w:rPr>
        <w:t>传真：/</w:t>
      </w:r>
    </w:p>
    <w:p w14:paraId="1F64C1EF">
      <w:pPr>
        <w:snapToGrid w:val="0"/>
        <w:spacing w:line="360" w:lineRule="auto"/>
        <w:ind w:firstLine="411" w:firstLineChars="196"/>
        <w:rPr>
          <w:rFonts w:ascii="宋体" w:hAnsi="宋体"/>
          <w:szCs w:val="21"/>
        </w:rPr>
      </w:pPr>
      <w:r>
        <w:rPr>
          <w:rFonts w:hint="eastAsia" w:ascii="宋体" w:hAnsi="宋体"/>
          <w:szCs w:val="21"/>
        </w:rPr>
        <w:t>项目联系人（询问）：王</w:t>
      </w:r>
      <w:r>
        <w:rPr>
          <w:rFonts w:hint="eastAsia" w:ascii="宋体" w:hAnsi="宋体" w:cs="宋体"/>
          <w:szCs w:val="21"/>
        </w:rPr>
        <w:t>老师</w:t>
      </w:r>
    </w:p>
    <w:p w14:paraId="6769BF00">
      <w:pPr>
        <w:snapToGrid w:val="0"/>
        <w:spacing w:line="360" w:lineRule="auto"/>
        <w:ind w:firstLine="411" w:firstLineChars="196"/>
        <w:rPr>
          <w:rFonts w:ascii="宋体" w:hAnsi="宋体"/>
          <w:szCs w:val="21"/>
        </w:rPr>
      </w:pPr>
      <w:r>
        <w:rPr>
          <w:rFonts w:hint="eastAsia" w:ascii="宋体" w:hAnsi="宋体"/>
          <w:szCs w:val="21"/>
        </w:rPr>
        <w:t>项目联系方式（询问）：</w:t>
      </w:r>
      <w:r>
        <w:rPr>
          <w:rFonts w:hint="eastAsia" w:ascii="宋体" w:hAnsi="宋体"/>
        </w:rPr>
        <w:t>0574-87422007</w:t>
      </w:r>
    </w:p>
    <w:p w14:paraId="04A647CE">
      <w:pPr>
        <w:snapToGrid w:val="0"/>
        <w:spacing w:line="360" w:lineRule="auto"/>
        <w:ind w:firstLine="411" w:firstLineChars="196"/>
        <w:rPr>
          <w:rFonts w:ascii="宋体" w:hAnsi="宋体"/>
          <w:szCs w:val="21"/>
        </w:rPr>
      </w:pPr>
      <w:r>
        <w:rPr>
          <w:rFonts w:hint="eastAsia" w:ascii="宋体" w:hAnsi="宋体"/>
          <w:szCs w:val="21"/>
        </w:rPr>
        <w:t>质疑联系人：</w:t>
      </w:r>
      <w:r>
        <w:rPr>
          <w:rFonts w:hint="eastAsia" w:ascii="宋体" w:hAnsi="宋体" w:cs="宋体"/>
          <w:szCs w:val="21"/>
        </w:rPr>
        <w:t>陈老师</w:t>
      </w:r>
    </w:p>
    <w:p w14:paraId="69AE3093">
      <w:pPr>
        <w:snapToGrid w:val="0"/>
        <w:spacing w:line="360" w:lineRule="auto"/>
        <w:ind w:firstLine="411" w:firstLineChars="196"/>
        <w:rPr>
          <w:rFonts w:ascii="宋体" w:hAnsi="宋体"/>
          <w:szCs w:val="21"/>
        </w:rPr>
      </w:pPr>
      <w:r>
        <w:rPr>
          <w:rFonts w:hint="eastAsia" w:ascii="宋体" w:hAnsi="宋体"/>
          <w:szCs w:val="21"/>
        </w:rPr>
        <w:t>质疑联系方式：</w:t>
      </w:r>
      <w:r>
        <w:rPr>
          <w:rFonts w:ascii="宋体" w:hAnsi="宋体" w:cs="宋体"/>
          <w:szCs w:val="21"/>
        </w:rPr>
        <w:t>0574-87422200</w:t>
      </w:r>
    </w:p>
    <w:p w14:paraId="38E167C4">
      <w:pPr>
        <w:snapToGrid w:val="0"/>
        <w:spacing w:line="360" w:lineRule="auto"/>
        <w:ind w:firstLine="411" w:firstLineChars="196"/>
        <w:rPr>
          <w:rFonts w:ascii="宋体" w:hAnsi="宋体" w:cs="宋体"/>
          <w:szCs w:val="21"/>
        </w:rPr>
      </w:pPr>
      <w:r>
        <w:rPr>
          <w:rFonts w:hint="eastAsia" w:ascii="宋体" w:hAnsi="宋体" w:cs="宋体"/>
          <w:szCs w:val="21"/>
        </w:rPr>
        <w:t>2.采购代理机构信息</w:t>
      </w:r>
      <w:bookmarkEnd w:id="38"/>
      <w:bookmarkEnd w:id="39"/>
      <w:bookmarkEnd w:id="40"/>
      <w:bookmarkEnd w:id="41"/>
    </w:p>
    <w:p w14:paraId="7D3E4842">
      <w:pPr>
        <w:snapToGrid w:val="0"/>
        <w:spacing w:line="360" w:lineRule="auto"/>
        <w:ind w:firstLine="411" w:firstLineChars="196"/>
        <w:rPr>
          <w:rFonts w:ascii="宋体" w:hAnsi="宋体" w:cs="宋体"/>
          <w:szCs w:val="21"/>
        </w:rPr>
      </w:pPr>
      <w:bookmarkStart w:id="42" w:name="_Toc28359098"/>
      <w:bookmarkStart w:id="43" w:name="_Toc35393808"/>
      <w:bookmarkStart w:id="44" w:name="_Toc35393639"/>
      <w:bookmarkStart w:id="45" w:name="_Toc28359021"/>
      <w:r>
        <w:rPr>
          <w:rFonts w:hint="eastAsia" w:ascii="宋体" w:hAnsi="宋体" w:cs="宋体"/>
          <w:szCs w:val="21"/>
        </w:rPr>
        <w:t>名称：宁波名诚招标代理有限公司</w:t>
      </w:r>
    </w:p>
    <w:p w14:paraId="01A1E464">
      <w:pPr>
        <w:snapToGrid w:val="0"/>
        <w:spacing w:line="360" w:lineRule="auto"/>
        <w:ind w:firstLine="411" w:firstLineChars="196"/>
        <w:rPr>
          <w:rFonts w:ascii="宋体" w:hAnsi="宋体" w:cs="宋体"/>
          <w:szCs w:val="21"/>
        </w:rPr>
      </w:pPr>
      <w:r>
        <w:rPr>
          <w:rFonts w:hint="eastAsia" w:ascii="宋体" w:hAnsi="宋体" w:cs="宋体"/>
          <w:szCs w:val="21"/>
        </w:rPr>
        <w:t>地址：宁波市海曙区江汇城496号姚江时代14幢3楼</w:t>
      </w:r>
    </w:p>
    <w:p w14:paraId="122DD2A7">
      <w:pPr>
        <w:snapToGrid w:val="0"/>
        <w:spacing w:line="360" w:lineRule="auto"/>
        <w:ind w:firstLine="411" w:firstLineChars="196"/>
        <w:rPr>
          <w:rFonts w:ascii="宋体" w:hAnsi="宋体" w:cs="宋体"/>
          <w:szCs w:val="21"/>
        </w:rPr>
      </w:pPr>
      <w:r>
        <w:rPr>
          <w:rFonts w:hint="eastAsia" w:ascii="宋体" w:hAnsi="宋体" w:cs="宋体"/>
          <w:szCs w:val="21"/>
        </w:rPr>
        <w:t>传真：</w:t>
      </w:r>
      <w:r>
        <w:rPr>
          <w:rFonts w:ascii="宋体" w:hAnsi="宋体" w:cs="宋体"/>
          <w:szCs w:val="21"/>
        </w:rPr>
        <w:t>/</w:t>
      </w:r>
    </w:p>
    <w:p w14:paraId="3F30C8FA">
      <w:pPr>
        <w:snapToGrid w:val="0"/>
        <w:spacing w:line="360" w:lineRule="auto"/>
        <w:ind w:firstLine="411" w:firstLineChars="196"/>
        <w:rPr>
          <w:rFonts w:ascii="宋体" w:hAnsi="宋体" w:cs="宋体"/>
          <w:szCs w:val="21"/>
        </w:rPr>
      </w:pPr>
      <w:r>
        <w:rPr>
          <w:rFonts w:hint="eastAsia" w:ascii="宋体" w:hAnsi="宋体" w:cs="宋体"/>
          <w:szCs w:val="21"/>
        </w:rPr>
        <w:t>项目联系人（询问）：王立挺、何晟昊、江森杰、金生华、王裕挺</w:t>
      </w:r>
    </w:p>
    <w:p w14:paraId="03E05200">
      <w:pPr>
        <w:snapToGrid w:val="0"/>
        <w:spacing w:line="360" w:lineRule="auto"/>
        <w:ind w:firstLine="411" w:firstLineChars="196"/>
        <w:rPr>
          <w:rFonts w:ascii="宋体" w:hAnsi="宋体" w:cs="宋体"/>
          <w:szCs w:val="21"/>
        </w:rPr>
      </w:pPr>
      <w:r>
        <w:rPr>
          <w:rFonts w:hint="eastAsia" w:ascii="宋体" w:hAnsi="宋体" w:cs="宋体"/>
          <w:szCs w:val="21"/>
        </w:rPr>
        <w:t>项目联系方式（询问）：0</w:t>
      </w:r>
      <w:r>
        <w:rPr>
          <w:rFonts w:ascii="宋体" w:hAnsi="宋体" w:cs="宋体"/>
          <w:szCs w:val="21"/>
        </w:rPr>
        <w:t>574-</w:t>
      </w:r>
      <w:r>
        <w:rPr>
          <w:rFonts w:hint="eastAsia" w:ascii="宋体" w:hAnsi="宋体" w:cs="宋体"/>
          <w:szCs w:val="21"/>
        </w:rPr>
        <w:t>87101259</w:t>
      </w:r>
    </w:p>
    <w:p w14:paraId="571E7B71">
      <w:pPr>
        <w:snapToGrid w:val="0"/>
        <w:spacing w:line="360" w:lineRule="auto"/>
        <w:ind w:firstLine="411" w:firstLineChars="196"/>
        <w:rPr>
          <w:rFonts w:ascii="宋体" w:hAnsi="宋体" w:cs="宋体"/>
          <w:szCs w:val="21"/>
        </w:rPr>
      </w:pPr>
      <w:r>
        <w:rPr>
          <w:rFonts w:hint="eastAsia" w:ascii="宋体" w:hAnsi="宋体" w:cs="宋体"/>
          <w:szCs w:val="21"/>
        </w:rPr>
        <w:t>质疑联系人：方芳</w:t>
      </w:r>
    </w:p>
    <w:p w14:paraId="088708D2">
      <w:pPr>
        <w:snapToGrid w:val="0"/>
        <w:spacing w:line="360" w:lineRule="auto"/>
        <w:ind w:firstLine="411" w:firstLineChars="196"/>
        <w:rPr>
          <w:rFonts w:ascii="宋体" w:hAnsi="宋体" w:cs="宋体"/>
          <w:szCs w:val="21"/>
        </w:rPr>
      </w:pPr>
      <w:r>
        <w:rPr>
          <w:rFonts w:hint="eastAsia" w:ascii="宋体" w:hAnsi="宋体" w:cs="宋体"/>
          <w:szCs w:val="21"/>
        </w:rPr>
        <w:t>质疑联系方式：0574-87101271</w:t>
      </w:r>
    </w:p>
    <w:bookmarkEnd w:id="42"/>
    <w:bookmarkEnd w:id="43"/>
    <w:bookmarkEnd w:id="44"/>
    <w:bookmarkEnd w:id="45"/>
    <w:p w14:paraId="315BDE5D">
      <w:pPr>
        <w:snapToGrid w:val="0"/>
        <w:spacing w:line="360" w:lineRule="auto"/>
        <w:ind w:firstLine="411" w:firstLineChars="196"/>
        <w:rPr>
          <w:rFonts w:ascii="宋体" w:hAnsi="宋体" w:cs="宋体"/>
          <w:szCs w:val="21"/>
        </w:rPr>
      </w:pPr>
      <w:r>
        <w:rPr>
          <w:rFonts w:hint="eastAsia" w:ascii="宋体" w:hAnsi="宋体" w:cs="宋体"/>
          <w:szCs w:val="21"/>
        </w:rPr>
        <w:t>3.</w:t>
      </w:r>
      <w:r>
        <w:rPr>
          <w:rFonts w:hint="eastAsia" w:ascii="宋体" w:hAnsi="宋体"/>
          <w:szCs w:val="21"/>
        </w:rPr>
        <w:t>同级政府采购监督管理部门</w:t>
      </w:r>
    </w:p>
    <w:p w14:paraId="53235DD2">
      <w:pPr>
        <w:snapToGrid w:val="0"/>
        <w:spacing w:line="360" w:lineRule="auto"/>
        <w:ind w:firstLine="411" w:firstLineChars="196"/>
        <w:rPr>
          <w:rFonts w:ascii="宋体" w:hAnsi="宋体" w:cs="宋体"/>
          <w:szCs w:val="21"/>
        </w:rPr>
      </w:pPr>
      <w:r>
        <w:rPr>
          <w:rFonts w:ascii="宋体" w:hAnsi="宋体" w:cs="宋体"/>
          <w:szCs w:val="21"/>
        </w:rPr>
        <w:t>名称：浙江省政府采购行政裁决服务中心（杭州）</w:t>
      </w:r>
    </w:p>
    <w:p w14:paraId="407081CD">
      <w:pPr>
        <w:snapToGrid w:val="0"/>
        <w:spacing w:line="360" w:lineRule="auto"/>
        <w:ind w:firstLine="411" w:firstLineChars="196"/>
        <w:rPr>
          <w:rFonts w:ascii="宋体" w:hAnsi="宋体" w:cs="宋体"/>
          <w:szCs w:val="21"/>
        </w:rPr>
      </w:pPr>
      <w:r>
        <w:rPr>
          <w:rFonts w:ascii="宋体" w:hAnsi="宋体" w:cs="宋体"/>
          <w:szCs w:val="21"/>
        </w:rPr>
        <w:t>地址：杭州市上城区清泰街549号城建综合大楼11楼</w:t>
      </w:r>
    </w:p>
    <w:p w14:paraId="00E5E24C">
      <w:pPr>
        <w:snapToGrid w:val="0"/>
        <w:spacing w:line="360" w:lineRule="auto"/>
        <w:ind w:firstLine="411" w:firstLineChars="196"/>
        <w:rPr>
          <w:rFonts w:ascii="宋体" w:hAnsi="宋体" w:cs="宋体"/>
          <w:szCs w:val="21"/>
        </w:rPr>
      </w:pPr>
      <w:r>
        <w:rPr>
          <w:rFonts w:ascii="宋体" w:hAnsi="宋体" w:cs="宋体"/>
          <w:szCs w:val="21"/>
        </w:rPr>
        <w:t>传真：/</w:t>
      </w:r>
    </w:p>
    <w:p w14:paraId="0BFCF612">
      <w:pPr>
        <w:snapToGrid w:val="0"/>
        <w:spacing w:line="360" w:lineRule="auto"/>
        <w:ind w:firstLine="411" w:firstLineChars="196"/>
        <w:rPr>
          <w:rFonts w:ascii="宋体" w:hAnsi="宋体" w:cs="宋体"/>
          <w:szCs w:val="21"/>
        </w:rPr>
      </w:pPr>
      <w:r>
        <w:rPr>
          <w:rFonts w:ascii="宋体" w:hAnsi="宋体" w:cs="宋体"/>
          <w:szCs w:val="21"/>
        </w:rPr>
        <w:t>联系人：朱老师、王老师、匡老师</w:t>
      </w:r>
    </w:p>
    <w:p w14:paraId="1F410D00">
      <w:pPr>
        <w:snapToGrid w:val="0"/>
        <w:spacing w:line="360" w:lineRule="auto"/>
        <w:ind w:firstLine="411" w:firstLineChars="196"/>
        <w:rPr>
          <w:rFonts w:ascii="宋体" w:hAnsi="宋体" w:cs="宋体"/>
          <w:szCs w:val="21"/>
        </w:rPr>
      </w:pPr>
      <w:r>
        <w:rPr>
          <w:rFonts w:ascii="宋体" w:hAnsi="宋体" w:cs="宋体"/>
          <w:szCs w:val="21"/>
        </w:rPr>
        <w:t>监督投诉电话：0571-87800218，0571-87227671</w:t>
      </w:r>
    </w:p>
    <w:p w14:paraId="342FEDB7">
      <w:pPr>
        <w:snapToGrid w:val="0"/>
        <w:spacing w:line="360" w:lineRule="auto"/>
        <w:ind w:firstLine="411" w:firstLineChars="196"/>
        <w:rPr>
          <w:rFonts w:ascii="宋体" w:hAnsi="宋体" w:cs="宋体"/>
          <w:szCs w:val="21"/>
        </w:rPr>
      </w:pPr>
    </w:p>
    <w:p w14:paraId="763EF253">
      <w:pPr>
        <w:snapToGrid w:val="0"/>
        <w:spacing w:line="360" w:lineRule="auto"/>
        <w:ind w:firstLine="411" w:firstLineChars="196"/>
        <w:rPr>
          <w:rFonts w:ascii="宋体" w:hAnsi="宋体" w:cs="宋体"/>
          <w:szCs w:val="21"/>
        </w:rPr>
      </w:pPr>
      <w:r>
        <w:rPr>
          <w:rFonts w:hint="eastAsia" w:ascii="宋体" w:hAnsi="宋体" w:cs="宋体"/>
          <w:szCs w:val="21"/>
        </w:rPr>
        <w:t>政策咨询：何一平、冯华，0571-87058424、87055741</w:t>
      </w:r>
    </w:p>
    <w:p w14:paraId="5EFBDB36">
      <w:pPr>
        <w:snapToGrid w:val="0"/>
        <w:spacing w:line="360" w:lineRule="auto"/>
        <w:ind w:firstLine="411" w:firstLineChars="196"/>
        <w:rPr>
          <w:rFonts w:ascii="宋体" w:hAnsi="宋体" w:cs="宋体"/>
          <w:szCs w:val="21"/>
        </w:rPr>
      </w:pPr>
      <w:r>
        <w:rPr>
          <w:rFonts w:hint="eastAsia" w:ascii="宋体" w:hAnsi="宋体" w:cs="宋体"/>
          <w:szCs w:val="21"/>
        </w:rPr>
        <w:t>预算金额未达100万元的采购项目，由采购人处理采购争议。</w:t>
      </w:r>
    </w:p>
    <w:p w14:paraId="4C24969C">
      <w:pPr>
        <w:pStyle w:val="2"/>
        <w:rPr>
          <w:rFonts w:ascii="宋体" w:hAnsi="宋体"/>
        </w:rPr>
      </w:pPr>
    </w:p>
    <w:p w14:paraId="19A5E2A9">
      <w:pPr>
        <w:snapToGrid w:val="0"/>
        <w:spacing w:line="360" w:lineRule="auto"/>
        <w:ind w:firstLine="411" w:firstLineChars="196"/>
        <w:rPr>
          <w:rFonts w:ascii="宋体" w:hAnsi="宋体"/>
          <w:szCs w:val="21"/>
        </w:rPr>
      </w:pPr>
      <w:r>
        <w:rPr>
          <w:rFonts w:hint="eastAsia" w:ascii="宋体" w:hAnsi="宋体"/>
          <w:szCs w:val="21"/>
        </w:rPr>
        <w:t>若对项目采购电子交易系统操作有疑问，可登录政采云（https://www.zcygov.cn/），点击右侧咨询小采，获取采小蜜智能服务管家帮助，或拨打政采云服务热线</w:t>
      </w:r>
      <w:r>
        <w:rPr>
          <w:rFonts w:ascii="宋体" w:hAnsi="宋体"/>
          <w:szCs w:val="21"/>
        </w:rPr>
        <w:t>95763</w:t>
      </w:r>
      <w:r>
        <w:rPr>
          <w:rFonts w:hint="eastAsia" w:ascii="宋体" w:hAnsi="宋体"/>
          <w:szCs w:val="21"/>
        </w:rPr>
        <w:t>获取热线服务帮助。</w:t>
      </w:r>
    </w:p>
    <w:p w14:paraId="681904F1">
      <w:pPr>
        <w:snapToGrid w:val="0"/>
        <w:spacing w:line="360" w:lineRule="auto"/>
        <w:ind w:firstLine="411" w:firstLineChars="196"/>
        <w:rPr>
          <w:rFonts w:ascii="宋体" w:hAnsi="宋体"/>
          <w:szCs w:val="21"/>
        </w:rPr>
      </w:pPr>
      <w:r>
        <w:rPr>
          <w:rFonts w:hint="eastAsia" w:ascii="宋体" w:hAnsi="宋体"/>
          <w:szCs w:val="21"/>
        </w:rPr>
        <w:t>CA问题联系电话（人工）：汇信CA 400-888-4636；天谷CA 400-087-8198。</w:t>
      </w:r>
    </w:p>
    <w:p w14:paraId="7E4FC81E">
      <w:pPr>
        <w:snapToGrid w:val="0"/>
        <w:spacing w:line="360" w:lineRule="auto"/>
        <w:ind w:firstLine="411" w:firstLineChars="196"/>
        <w:rPr>
          <w:rFonts w:ascii="宋体" w:hAnsi="宋体"/>
          <w:szCs w:val="21"/>
        </w:rPr>
      </w:pPr>
      <w:r>
        <w:rPr>
          <w:rFonts w:ascii="宋体" w:hAnsi="宋体"/>
          <w:szCs w:val="21"/>
        </w:rPr>
        <w:br w:type="page"/>
      </w:r>
    </w:p>
    <w:p w14:paraId="5F80A6C4">
      <w:pPr>
        <w:pStyle w:val="4"/>
        <w:rPr>
          <w:rFonts w:ascii="宋体" w:hAnsi="宋体"/>
          <w:color w:val="auto"/>
          <w:sz w:val="32"/>
        </w:rPr>
      </w:pPr>
      <w:bookmarkStart w:id="46" w:name="_Toc86053872"/>
      <w:bookmarkStart w:id="47" w:name="_Toc34844742"/>
      <w:r>
        <w:rPr>
          <w:rFonts w:hint="eastAsia" w:ascii="宋体" w:hAnsi="宋体"/>
          <w:color w:val="auto"/>
        </w:rPr>
        <w:t>第二章  采购需求</w:t>
      </w:r>
      <w:bookmarkEnd w:id="46"/>
      <w:bookmarkEnd w:id="47"/>
    </w:p>
    <w:p w14:paraId="0580E66D">
      <w:pPr>
        <w:spacing w:line="360" w:lineRule="auto"/>
        <w:ind w:firstLine="424" w:firstLineChars="202"/>
        <w:rPr>
          <w:rFonts w:ascii="宋体" w:hAnsi="宋体"/>
          <w:b/>
          <w:szCs w:val="21"/>
        </w:rPr>
      </w:pPr>
      <w:r>
        <w:rPr>
          <w:rFonts w:ascii="宋体" w:hAnsi="宋体" w:cs="Arial"/>
          <w:szCs w:val="21"/>
        </w:rPr>
        <w:t>▲</w:t>
      </w:r>
      <w:r>
        <w:rPr>
          <w:rFonts w:hint="eastAsia" w:ascii="宋体" w:hAnsi="宋体"/>
          <w:b/>
          <w:szCs w:val="21"/>
        </w:rPr>
        <w:t>一、商务要求</w:t>
      </w:r>
    </w:p>
    <w:tbl>
      <w:tblPr>
        <w:tblStyle w:val="12"/>
        <w:tblW w:w="8364" w:type="dxa"/>
        <w:tblInd w:w="108" w:type="dxa"/>
        <w:tblLayout w:type="fixed"/>
        <w:tblCellMar>
          <w:top w:w="0" w:type="dxa"/>
          <w:left w:w="108" w:type="dxa"/>
          <w:bottom w:w="0" w:type="dxa"/>
          <w:right w:w="108" w:type="dxa"/>
        </w:tblCellMar>
      </w:tblPr>
      <w:tblGrid>
        <w:gridCol w:w="709"/>
        <w:gridCol w:w="1276"/>
        <w:gridCol w:w="6379"/>
      </w:tblGrid>
      <w:tr w14:paraId="0A851EF2">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7D2D3B5">
            <w:pPr>
              <w:ind w:firstLine="32" w:firstLineChars="15"/>
              <w:jc w:val="center"/>
              <w:rPr>
                <w:rFonts w:ascii="宋体" w:hAnsi="宋体"/>
                <w:b/>
              </w:rPr>
            </w:pPr>
            <w:r>
              <w:rPr>
                <w:rFonts w:hint="eastAsia" w:ascii="宋体" w:hAnsi="宋体"/>
                <w:b/>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741D5130">
            <w:pPr>
              <w:ind w:firstLine="32" w:firstLineChars="15"/>
              <w:jc w:val="center"/>
              <w:rPr>
                <w:rFonts w:ascii="宋体" w:hAnsi="宋体"/>
                <w:b/>
              </w:rPr>
            </w:pPr>
            <w:r>
              <w:rPr>
                <w:rFonts w:ascii="宋体" w:hAnsi="宋体"/>
                <w:b/>
              </w:rPr>
              <w:t>项目</w:t>
            </w:r>
          </w:p>
        </w:tc>
        <w:tc>
          <w:tcPr>
            <w:tcW w:w="6379" w:type="dxa"/>
            <w:tcBorders>
              <w:top w:val="single" w:color="000000" w:sz="4" w:space="0"/>
              <w:left w:val="single" w:color="000000" w:sz="4" w:space="0"/>
              <w:bottom w:val="single" w:color="000000" w:sz="4" w:space="0"/>
              <w:right w:val="single" w:color="000000" w:sz="4" w:space="0"/>
            </w:tcBorders>
            <w:vAlign w:val="center"/>
          </w:tcPr>
          <w:p w14:paraId="66BBDB49">
            <w:pPr>
              <w:ind w:firstLine="32" w:firstLineChars="15"/>
              <w:jc w:val="center"/>
              <w:rPr>
                <w:rFonts w:ascii="宋体" w:hAnsi="宋体"/>
                <w:b/>
              </w:rPr>
            </w:pPr>
            <w:r>
              <w:rPr>
                <w:rFonts w:ascii="宋体" w:hAnsi="宋体"/>
                <w:b/>
              </w:rPr>
              <w:t>要求</w:t>
            </w:r>
          </w:p>
        </w:tc>
      </w:tr>
      <w:tr w14:paraId="5059D401">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C5A9445">
            <w:pPr>
              <w:jc w:val="center"/>
              <w:rPr>
                <w:rFonts w:ascii="宋体" w:hAnsi="宋体"/>
              </w:rPr>
            </w:pPr>
            <w:r>
              <w:rPr>
                <w:rFonts w:ascii="宋体" w:hAnsi="宋体"/>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164B8045">
            <w:pPr>
              <w:jc w:val="center"/>
              <w:rPr>
                <w:rFonts w:ascii="宋体" w:hAnsi="宋体" w:cs="宋体"/>
                <w:szCs w:val="21"/>
              </w:rPr>
            </w:pPr>
            <w:r>
              <w:rPr>
                <w:rFonts w:hint="eastAsia" w:ascii="宋体" w:hAnsi="宋体" w:cs="宋体"/>
                <w:szCs w:val="21"/>
              </w:rPr>
              <w:t>工程缺陷责任期</w:t>
            </w:r>
          </w:p>
        </w:tc>
        <w:tc>
          <w:tcPr>
            <w:tcW w:w="6379" w:type="dxa"/>
            <w:tcBorders>
              <w:top w:val="single" w:color="000000" w:sz="4" w:space="0"/>
              <w:left w:val="single" w:color="000000" w:sz="4" w:space="0"/>
              <w:bottom w:val="single" w:color="000000" w:sz="4" w:space="0"/>
              <w:right w:val="single" w:color="000000" w:sz="4" w:space="0"/>
            </w:tcBorders>
            <w:vAlign w:val="center"/>
          </w:tcPr>
          <w:p w14:paraId="07643602">
            <w:pPr>
              <w:adjustRightInd w:val="0"/>
              <w:snapToGrid w:val="0"/>
              <w:rPr>
                <w:rFonts w:ascii="宋体" w:hAnsi="宋体" w:cs="宋体"/>
                <w:szCs w:val="21"/>
              </w:rPr>
            </w:pPr>
            <w:r>
              <w:rPr>
                <w:rFonts w:hint="eastAsia" w:ascii="宋体" w:hAnsi="宋体" w:cs="宋体"/>
                <w:szCs w:val="21"/>
              </w:rPr>
              <w:t>自整体项目竣工并验收合格之日起</w:t>
            </w:r>
            <w:r>
              <w:rPr>
                <w:rFonts w:ascii="宋体" w:hAnsi="宋体" w:cs="宋体"/>
                <w:szCs w:val="21"/>
              </w:rPr>
              <w:t>2</w:t>
            </w:r>
            <w:r>
              <w:rPr>
                <w:rFonts w:hint="eastAsia" w:ascii="宋体" w:hAnsi="宋体" w:cs="宋体"/>
                <w:szCs w:val="21"/>
              </w:rPr>
              <w:t>年</w:t>
            </w:r>
            <w:r>
              <w:rPr>
                <w:rFonts w:hint="eastAsia" w:ascii="宋体" w:hAnsi="宋体"/>
              </w:rPr>
              <w:t>，防水部位</w:t>
            </w:r>
            <w:r>
              <w:rPr>
                <w:rFonts w:ascii="宋体" w:hAnsi="宋体"/>
              </w:rPr>
              <w:t>5</w:t>
            </w:r>
            <w:r>
              <w:rPr>
                <w:rFonts w:hint="eastAsia" w:ascii="宋体" w:hAnsi="宋体"/>
              </w:rPr>
              <w:t>年。</w:t>
            </w:r>
          </w:p>
        </w:tc>
      </w:tr>
      <w:tr w14:paraId="381FF09F">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DC4463A">
            <w:pPr>
              <w:jc w:val="center"/>
              <w:rPr>
                <w:rFonts w:ascii="宋体" w:hAnsi="宋体"/>
              </w:rPr>
            </w:pPr>
            <w:r>
              <w:rPr>
                <w:rFonts w:ascii="宋体" w:hAnsi="宋体"/>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1CE8A8BD">
            <w:pPr>
              <w:rPr>
                <w:rFonts w:ascii="宋体" w:hAnsi="宋体"/>
              </w:rPr>
            </w:pPr>
            <w:r>
              <w:rPr>
                <w:rFonts w:hint="eastAsia" w:ascii="宋体" w:hAnsi="宋体"/>
              </w:rPr>
              <w:t>实施地点</w:t>
            </w:r>
          </w:p>
        </w:tc>
        <w:tc>
          <w:tcPr>
            <w:tcW w:w="6379" w:type="dxa"/>
            <w:tcBorders>
              <w:top w:val="single" w:color="000000" w:sz="4" w:space="0"/>
              <w:left w:val="single" w:color="000000" w:sz="4" w:space="0"/>
              <w:bottom w:val="single" w:color="000000" w:sz="4" w:space="0"/>
              <w:right w:val="single" w:color="000000" w:sz="4" w:space="0"/>
            </w:tcBorders>
            <w:vAlign w:val="center"/>
          </w:tcPr>
          <w:p w14:paraId="7D877336">
            <w:pPr>
              <w:rPr>
                <w:rFonts w:ascii="宋体" w:hAnsi="宋体"/>
              </w:rPr>
            </w:pPr>
            <w:r>
              <w:rPr>
                <w:rFonts w:hint="eastAsia" w:ascii="宋体" w:hAnsi="宋体"/>
              </w:rPr>
              <w:t>浙江工商职业技术学院慈溪学院</w:t>
            </w:r>
          </w:p>
        </w:tc>
      </w:tr>
      <w:tr w14:paraId="76243AA9">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0BA1535">
            <w:pPr>
              <w:jc w:val="center"/>
              <w:rPr>
                <w:rFonts w:ascii="宋体" w:hAnsi="宋体"/>
              </w:rPr>
            </w:pPr>
            <w:r>
              <w:rPr>
                <w:rFonts w:ascii="宋体" w:hAnsi="宋体"/>
              </w:rPr>
              <w:t>3</w:t>
            </w:r>
          </w:p>
        </w:tc>
        <w:tc>
          <w:tcPr>
            <w:tcW w:w="1276" w:type="dxa"/>
            <w:tcBorders>
              <w:top w:val="single" w:color="000000" w:sz="4" w:space="0"/>
              <w:left w:val="single" w:color="000000" w:sz="4" w:space="0"/>
              <w:bottom w:val="single" w:color="000000" w:sz="4" w:space="0"/>
              <w:right w:val="single" w:color="000000" w:sz="4" w:space="0"/>
            </w:tcBorders>
            <w:vAlign w:val="center"/>
          </w:tcPr>
          <w:p w14:paraId="34AB000B">
            <w:pPr>
              <w:rPr>
                <w:rFonts w:ascii="宋体" w:hAnsi="宋体" w:cs="宋体"/>
                <w:kern w:val="0"/>
                <w:szCs w:val="21"/>
                <w:lang w:bidi="ar"/>
              </w:rPr>
            </w:pPr>
            <w:r>
              <w:rPr>
                <w:rFonts w:hint="eastAsia" w:ascii="宋体" w:hAnsi="宋体"/>
              </w:rPr>
              <w:t>安全要求</w:t>
            </w:r>
          </w:p>
        </w:tc>
        <w:tc>
          <w:tcPr>
            <w:tcW w:w="6379" w:type="dxa"/>
            <w:tcBorders>
              <w:top w:val="single" w:color="000000" w:sz="4" w:space="0"/>
              <w:left w:val="single" w:color="000000" w:sz="4" w:space="0"/>
              <w:bottom w:val="single" w:color="000000" w:sz="4" w:space="0"/>
              <w:right w:val="single" w:color="000000" w:sz="4" w:space="0"/>
            </w:tcBorders>
            <w:vAlign w:val="center"/>
          </w:tcPr>
          <w:p w14:paraId="5665B275">
            <w:pPr>
              <w:widowControl/>
              <w:rPr>
                <w:rFonts w:ascii="宋体" w:hAnsi="宋体" w:cs="宋体"/>
                <w:kern w:val="0"/>
                <w:szCs w:val="21"/>
                <w:lang w:bidi="ar"/>
              </w:rPr>
            </w:pPr>
            <w:r>
              <w:rPr>
                <w:rFonts w:hint="eastAsia" w:ascii="宋体" w:hAnsi="宋体" w:cs="宋体"/>
                <w:kern w:val="0"/>
                <w:szCs w:val="21"/>
                <w:lang w:bidi="ar"/>
              </w:rPr>
              <w:t>合格，无安全事故。</w:t>
            </w:r>
          </w:p>
        </w:tc>
      </w:tr>
      <w:tr w14:paraId="2561640B">
        <w:tblPrEx>
          <w:tblCellMar>
            <w:top w:w="0" w:type="dxa"/>
            <w:left w:w="108" w:type="dxa"/>
            <w:bottom w:w="0" w:type="dxa"/>
            <w:right w:w="108" w:type="dxa"/>
          </w:tblCellMar>
        </w:tblPrEx>
        <w:trPr>
          <w:trHeight w:val="1611"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771084D">
            <w:pPr>
              <w:jc w:val="center"/>
              <w:rPr>
                <w:rFonts w:ascii="宋体" w:hAnsi="宋体"/>
              </w:rPr>
            </w:pPr>
            <w:r>
              <w:rPr>
                <w:rFonts w:ascii="宋体" w:hAnsi="宋体"/>
              </w:rPr>
              <w:t>4</w:t>
            </w:r>
          </w:p>
        </w:tc>
        <w:tc>
          <w:tcPr>
            <w:tcW w:w="1276" w:type="dxa"/>
            <w:tcBorders>
              <w:top w:val="single" w:color="000000" w:sz="4" w:space="0"/>
              <w:left w:val="single" w:color="000000" w:sz="4" w:space="0"/>
              <w:bottom w:val="single" w:color="000000" w:sz="4" w:space="0"/>
              <w:right w:val="single" w:color="000000" w:sz="4" w:space="0"/>
            </w:tcBorders>
            <w:vAlign w:val="center"/>
          </w:tcPr>
          <w:p w14:paraId="54052448">
            <w:pPr>
              <w:rPr>
                <w:rFonts w:ascii="宋体" w:hAnsi="宋体"/>
              </w:rPr>
            </w:pPr>
            <w:r>
              <w:rPr>
                <w:rFonts w:hint="eastAsia" w:ascii="宋体" w:hAnsi="宋体"/>
              </w:rPr>
              <w:t>质量标准</w:t>
            </w:r>
          </w:p>
        </w:tc>
        <w:tc>
          <w:tcPr>
            <w:tcW w:w="6379" w:type="dxa"/>
            <w:tcBorders>
              <w:top w:val="single" w:color="000000" w:sz="4" w:space="0"/>
              <w:left w:val="single" w:color="000000" w:sz="4" w:space="0"/>
              <w:bottom w:val="single" w:color="000000" w:sz="4" w:space="0"/>
              <w:right w:val="single" w:color="000000" w:sz="4" w:space="0"/>
            </w:tcBorders>
            <w:vAlign w:val="center"/>
          </w:tcPr>
          <w:p w14:paraId="5B186882">
            <w:pPr>
              <w:rPr>
                <w:rFonts w:ascii="宋体" w:hAnsi="宋体" w:cs="宋体"/>
                <w:bCs/>
              </w:rPr>
            </w:pPr>
            <w:r>
              <w:rPr>
                <w:rFonts w:hint="eastAsia" w:ascii="宋体" w:hAnsi="宋体" w:cs="宋体"/>
                <w:bCs/>
              </w:rPr>
              <w:t>（1）项目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无相关标准及规范的，按照满足磋商文件采购需求的规定执行。</w:t>
            </w:r>
          </w:p>
          <w:p w14:paraId="0064BDE9">
            <w:pPr>
              <w:rPr>
                <w:rFonts w:ascii="宋体" w:hAnsi="宋体" w:cs="宋体"/>
                <w:bCs/>
              </w:rPr>
            </w:pPr>
            <w:r>
              <w:rPr>
                <w:rFonts w:hint="eastAsia" w:ascii="宋体" w:hAnsi="宋体" w:cs="宋体"/>
                <w:bCs/>
              </w:rPr>
              <w:t>（2）按国家施工验收规范一次性验收合格标准。</w:t>
            </w:r>
          </w:p>
        </w:tc>
      </w:tr>
      <w:tr w14:paraId="491855DA">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FCF0673">
            <w:pPr>
              <w:jc w:val="center"/>
              <w:rPr>
                <w:rFonts w:ascii="宋体" w:hAnsi="宋体"/>
              </w:rPr>
            </w:pPr>
            <w:r>
              <w:rPr>
                <w:rFonts w:ascii="宋体" w:hAnsi="宋体"/>
              </w:rPr>
              <w:t>5</w:t>
            </w:r>
          </w:p>
        </w:tc>
        <w:tc>
          <w:tcPr>
            <w:tcW w:w="1276" w:type="dxa"/>
            <w:tcBorders>
              <w:top w:val="single" w:color="000000" w:sz="4" w:space="0"/>
              <w:left w:val="single" w:color="000000" w:sz="4" w:space="0"/>
              <w:bottom w:val="single" w:color="000000" w:sz="4" w:space="0"/>
              <w:right w:val="single" w:color="000000" w:sz="4" w:space="0"/>
            </w:tcBorders>
            <w:vAlign w:val="center"/>
          </w:tcPr>
          <w:p w14:paraId="6392CDFA">
            <w:pPr>
              <w:rPr>
                <w:rFonts w:ascii="宋体" w:hAnsi="宋体"/>
              </w:rPr>
            </w:pPr>
            <w:r>
              <w:rPr>
                <w:rFonts w:hint="eastAsia" w:ascii="宋体" w:hAnsi="宋体"/>
              </w:rPr>
              <w:t>验收</w:t>
            </w:r>
          </w:p>
        </w:tc>
        <w:tc>
          <w:tcPr>
            <w:tcW w:w="6379" w:type="dxa"/>
            <w:tcBorders>
              <w:top w:val="single" w:color="000000" w:sz="4" w:space="0"/>
              <w:left w:val="single" w:color="000000" w:sz="4" w:space="0"/>
              <w:bottom w:val="single" w:color="000000" w:sz="4" w:space="0"/>
              <w:right w:val="single" w:color="000000" w:sz="4" w:space="0"/>
            </w:tcBorders>
            <w:vAlign w:val="center"/>
          </w:tcPr>
          <w:p w14:paraId="492959C5">
            <w:pPr>
              <w:rPr>
                <w:rFonts w:ascii="宋体" w:hAnsi="宋体" w:cs="宋体"/>
                <w:bCs/>
              </w:rPr>
            </w:pPr>
            <w:r>
              <w:rPr>
                <w:rFonts w:hint="eastAsia" w:ascii="宋体" w:hAnsi="宋体" w:cs="宋体"/>
                <w:bCs/>
              </w:rPr>
              <w:t>双方按照确定的技术标准进行验收。验收前，乙方应向甲方提交所有验收必备资料。</w:t>
            </w:r>
          </w:p>
        </w:tc>
      </w:tr>
      <w:tr w14:paraId="11EDCDF3">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FF4FEFC">
            <w:pPr>
              <w:jc w:val="center"/>
              <w:rPr>
                <w:rFonts w:ascii="宋体" w:hAnsi="宋体"/>
              </w:rPr>
            </w:pPr>
            <w:r>
              <w:rPr>
                <w:rFonts w:ascii="宋体" w:hAnsi="宋体"/>
              </w:rPr>
              <w:t>6</w:t>
            </w:r>
          </w:p>
        </w:tc>
        <w:tc>
          <w:tcPr>
            <w:tcW w:w="1276" w:type="dxa"/>
            <w:tcBorders>
              <w:top w:val="single" w:color="000000" w:sz="4" w:space="0"/>
              <w:left w:val="single" w:color="000000" w:sz="4" w:space="0"/>
              <w:bottom w:val="single" w:color="000000" w:sz="4" w:space="0"/>
              <w:right w:val="single" w:color="000000" w:sz="4" w:space="0"/>
            </w:tcBorders>
            <w:vAlign w:val="center"/>
          </w:tcPr>
          <w:p w14:paraId="4FD4961C">
            <w:pPr>
              <w:rPr>
                <w:rFonts w:ascii="宋体" w:hAnsi="宋体"/>
              </w:rPr>
            </w:pPr>
            <w:r>
              <w:rPr>
                <w:rFonts w:hint="eastAsia" w:ascii="宋体" w:hAnsi="宋体"/>
              </w:rPr>
              <w:t>签订合同时间</w:t>
            </w:r>
          </w:p>
        </w:tc>
        <w:tc>
          <w:tcPr>
            <w:tcW w:w="6379" w:type="dxa"/>
            <w:tcBorders>
              <w:top w:val="single" w:color="000000" w:sz="4" w:space="0"/>
              <w:left w:val="single" w:color="000000" w:sz="4" w:space="0"/>
              <w:bottom w:val="single" w:color="000000" w:sz="4" w:space="0"/>
              <w:right w:val="single" w:color="000000" w:sz="4" w:space="0"/>
            </w:tcBorders>
            <w:vAlign w:val="center"/>
          </w:tcPr>
          <w:p w14:paraId="2D492A84">
            <w:pPr>
              <w:rPr>
                <w:rFonts w:ascii="宋体" w:hAnsi="宋体"/>
              </w:rPr>
            </w:pPr>
            <w:r>
              <w:rPr>
                <w:rFonts w:hint="eastAsia" w:ascii="宋体" w:hAnsi="宋体"/>
              </w:rPr>
              <w:t>采购人在成交通知书发出之日起30日内与成交供应商签订书面合同，具体签约时间以采购人通知为准。</w:t>
            </w:r>
          </w:p>
        </w:tc>
      </w:tr>
      <w:tr w14:paraId="03AACC5B">
        <w:tblPrEx>
          <w:tblCellMar>
            <w:top w:w="0" w:type="dxa"/>
            <w:left w:w="108" w:type="dxa"/>
            <w:bottom w:w="0" w:type="dxa"/>
            <w:right w:w="108"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592FECC">
            <w:pPr>
              <w:jc w:val="center"/>
              <w:rPr>
                <w:rFonts w:ascii="宋体" w:hAnsi="宋体"/>
              </w:rPr>
            </w:pPr>
            <w:r>
              <w:rPr>
                <w:rFonts w:ascii="宋体" w:hAnsi="宋体"/>
              </w:rPr>
              <w:t>7</w:t>
            </w:r>
          </w:p>
        </w:tc>
        <w:tc>
          <w:tcPr>
            <w:tcW w:w="1276" w:type="dxa"/>
            <w:tcBorders>
              <w:top w:val="single" w:color="000000" w:sz="4" w:space="0"/>
              <w:left w:val="single" w:color="000000" w:sz="4" w:space="0"/>
              <w:bottom w:val="single" w:color="000000" w:sz="4" w:space="0"/>
              <w:right w:val="single" w:color="000000" w:sz="4" w:space="0"/>
            </w:tcBorders>
            <w:vAlign w:val="center"/>
          </w:tcPr>
          <w:p w14:paraId="23FA45C5">
            <w:pPr>
              <w:rPr>
                <w:rFonts w:ascii="宋体" w:hAnsi="宋体"/>
              </w:rPr>
            </w:pPr>
            <w:r>
              <w:rPr>
                <w:rFonts w:hint="eastAsia" w:ascii="宋体" w:hAnsi="宋体"/>
              </w:rPr>
              <w:t>合同款项支付条件及方式</w:t>
            </w:r>
          </w:p>
        </w:tc>
        <w:tc>
          <w:tcPr>
            <w:tcW w:w="6379" w:type="dxa"/>
            <w:tcBorders>
              <w:top w:val="single" w:color="000000" w:sz="4" w:space="0"/>
              <w:left w:val="single" w:color="000000" w:sz="4" w:space="0"/>
              <w:bottom w:val="single" w:color="000000" w:sz="4" w:space="0"/>
              <w:right w:val="single" w:color="000000" w:sz="4" w:space="0"/>
            </w:tcBorders>
            <w:vAlign w:val="center"/>
          </w:tcPr>
          <w:p w14:paraId="567A46A9">
            <w:pPr>
              <w:pStyle w:val="18"/>
              <w:spacing w:line="240" w:lineRule="auto"/>
              <w:rPr>
                <w:rFonts w:hAnsi="宋体" w:cs="宋体"/>
                <w:b w:val="0"/>
                <w:kern w:val="0"/>
                <w:sz w:val="21"/>
                <w:szCs w:val="21"/>
              </w:rPr>
            </w:pPr>
            <w:r>
              <w:rPr>
                <w:rFonts w:hint="eastAsia" w:hAnsi="宋体" w:cs="宋体"/>
                <w:b w:val="0"/>
                <w:kern w:val="0"/>
                <w:sz w:val="21"/>
                <w:szCs w:val="21"/>
              </w:rPr>
              <w:t>（</w:t>
            </w:r>
            <w:r>
              <w:rPr>
                <w:rFonts w:hAnsi="宋体" w:cs="宋体"/>
                <w:b w:val="0"/>
                <w:kern w:val="0"/>
                <w:sz w:val="21"/>
                <w:szCs w:val="21"/>
              </w:rPr>
              <w:t>1）合同生效以及具备实施条件后7个工作日内，采购人向成交供应商支付合同总额的40%的预付款（供应商需提交银行、保险公司等金融机构出具的预付款保函或其他担保措施。供应商在签订合同时，表示无需预付款或主动要求降低预付款比例的，可不适用本条款）给学校。</w:t>
            </w:r>
          </w:p>
          <w:p w14:paraId="0FABD066">
            <w:pPr>
              <w:pStyle w:val="18"/>
              <w:spacing w:line="240" w:lineRule="auto"/>
              <w:rPr>
                <w:rFonts w:hAnsi="宋体" w:cs="宋体"/>
                <w:b w:val="0"/>
                <w:bCs/>
                <w:kern w:val="0"/>
                <w:sz w:val="21"/>
                <w:szCs w:val="21"/>
              </w:rPr>
            </w:pPr>
            <w:r>
              <w:rPr>
                <w:rFonts w:hint="eastAsia" w:hAnsi="宋体" w:cs="宋体"/>
                <w:b w:val="0"/>
                <w:bCs/>
                <w:kern w:val="0"/>
                <w:sz w:val="21"/>
                <w:szCs w:val="21"/>
              </w:rPr>
              <w:t>（</w:t>
            </w:r>
            <w:r>
              <w:rPr>
                <w:rFonts w:hAnsi="宋体" w:cs="宋体"/>
                <w:b w:val="0"/>
                <w:bCs/>
                <w:kern w:val="0"/>
                <w:sz w:val="21"/>
                <w:szCs w:val="21"/>
              </w:rPr>
              <w:t>2）项目竣工验收后支付至合同价款的80%，</w:t>
            </w:r>
            <w:r>
              <w:rPr>
                <w:rFonts w:hint="eastAsia" w:hAnsi="宋体" w:cs="宋体"/>
                <w:b w:val="0"/>
                <w:kern w:val="0"/>
                <w:sz w:val="21"/>
                <w:szCs w:val="21"/>
              </w:rPr>
              <w:t>结算审核</w:t>
            </w:r>
            <w:r>
              <w:rPr>
                <w:rFonts w:hint="eastAsia" w:hAnsi="宋体" w:cs="宋体"/>
                <w:b w:val="0"/>
                <w:bCs/>
                <w:kern w:val="0"/>
                <w:sz w:val="21"/>
                <w:szCs w:val="21"/>
              </w:rPr>
              <w:t>结束后支付至审定价的</w:t>
            </w:r>
            <w:r>
              <w:rPr>
                <w:rFonts w:hAnsi="宋体" w:cs="宋体"/>
                <w:b w:val="0"/>
                <w:bCs/>
                <w:kern w:val="0"/>
                <w:sz w:val="21"/>
                <w:szCs w:val="21"/>
              </w:rPr>
              <w:t>100%。</w:t>
            </w:r>
          </w:p>
          <w:p w14:paraId="2F0B4226">
            <w:pPr>
              <w:pStyle w:val="18"/>
              <w:spacing w:line="240" w:lineRule="auto"/>
              <w:rPr>
                <w:rFonts w:hAnsi="宋体"/>
              </w:rPr>
            </w:pPr>
            <w:r>
              <w:rPr>
                <w:rFonts w:hint="eastAsia" w:hAnsi="宋体" w:cs="宋体"/>
                <w:b w:val="0"/>
                <w:bCs/>
                <w:kern w:val="0"/>
                <w:sz w:val="21"/>
                <w:szCs w:val="21"/>
                <w:lang w:val="zh-CN"/>
              </w:rPr>
              <w:t>（</w:t>
            </w:r>
            <w:r>
              <w:rPr>
                <w:rFonts w:hAnsi="宋体" w:cs="宋体"/>
                <w:b w:val="0"/>
                <w:bCs/>
                <w:kern w:val="0"/>
                <w:sz w:val="21"/>
                <w:szCs w:val="21"/>
                <w:lang w:val="zh-CN"/>
              </w:rPr>
              <w:t>3）采购人为实行国库集中支付改革的单位，采购人需向财政国库支付机构提出申请支付令、办理国库支付手续，财政国库支付机构支付流程时间不计入采购人付款期限。</w:t>
            </w:r>
          </w:p>
        </w:tc>
      </w:tr>
      <w:tr w14:paraId="4E1C1B87">
        <w:tblPrEx>
          <w:tblCellMar>
            <w:top w:w="0" w:type="dxa"/>
            <w:left w:w="108" w:type="dxa"/>
            <w:bottom w:w="0" w:type="dxa"/>
            <w:right w:w="108"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55C113E">
            <w:pPr>
              <w:jc w:val="center"/>
              <w:rPr>
                <w:rFonts w:ascii="宋体" w:hAnsi="宋体"/>
              </w:rPr>
            </w:pPr>
            <w:r>
              <w:rPr>
                <w:rFonts w:ascii="宋体" w:hAnsi="宋体"/>
              </w:rPr>
              <w:t>8</w:t>
            </w:r>
          </w:p>
        </w:tc>
        <w:tc>
          <w:tcPr>
            <w:tcW w:w="1276" w:type="dxa"/>
            <w:tcBorders>
              <w:top w:val="single" w:color="000000" w:sz="4" w:space="0"/>
              <w:left w:val="single" w:color="000000" w:sz="4" w:space="0"/>
              <w:bottom w:val="single" w:color="000000" w:sz="4" w:space="0"/>
              <w:right w:val="single" w:color="000000" w:sz="4" w:space="0"/>
            </w:tcBorders>
            <w:vAlign w:val="center"/>
          </w:tcPr>
          <w:p w14:paraId="7368B2C9">
            <w:pPr>
              <w:rPr>
                <w:rFonts w:ascii="宋体" w:hAnsi="宋体"/>
              </w:rPr>
            </w:pPr>
            <w:r>
              <w:rPr>
                <w:rFonts w:hint="eastAsia" w:ascii="宋体" w:hAnsi="宋体" w:cs="宋体"/>
                <w:szCs w:val="22"/>
              </w:rPr>
              <w:t>工程质量保证金金额</w:t>
            </w:r>
          </w:p>
        </w:tc>
        <w:tc>
          <w:tcPr>
            <w:tcW w:w="6379" w:type="dxa"/>
            <w:tcBorders>
              <w:top w:val="single" w:color="000000" w:sz="4" w:space="0"/>
              <w:left w:val="single" w:color="000000" w:sz="4" w:space="0"/>
              <w:bottom w:val="single" w:color="000000" w:sz="4" w:space="0"/>
              <w:right w:val="single" w:color="000000" w:sz="4" w:space="0"/>
            </w:tcBorders>
            <w:vAlign w:val="center"/>
          </w:tcPr>
          <w:p w14:paraId="6CB1A960">
            <w:pPr>
              <w:rPr>
                <w:rFonts w:ascii="宋体" w:hAnsi="宋体" w:cs="宋体"/>
                <w:szCs w:val="22"/>
              </w:rPr>
            </w:pPr>
            <w:r>
              <w:rPr>
                <w:rFonts w:hint="eastAsia" w:ascii="宋体" w:hAnsi="宋体" w:cs="宋体"/>
                <w:szCs w:val="22"/>
              </w:rPr>
              <w:t>（</w:t>
            </w:r>
            <w:r>
              <w:rPr>
                <w:rFonts w:ascii="宋体" w:hAnsi="宋体" w:cs="宋体"/>
                <w:szCs w:val="22"/>
              </w:rPr>
              <w:t>1）合同总额的1.5%。</w:t>
            </w:r>
            <w:r>
              <w:rPr>
                <w:rFonts w:hint="eastAsia" w:ascii="宋体" w:hAnsi="宋体" w:cs="宋体"/>
                <w:szCs w:val="22"/>
              </w:rPr>
              <w:t>乙方最迟在缺陷责任期开始前7日内向甲方提交质量保证金。</w:t>
            </w:r>
          </w:p>
          <w:p w14:paraId="4F15E5DF">
            <w:pPr>
              <w:rPr>
                <w:rFonts w:ascii="宋体" w:hAnsi="宋体"/>
              </w:rPr>
            </w:pPr>
            <w:r>
              <w:rPr>
                <w:rFonts w:hint="eastAsia" w:ascii="宋体" w:hAnsi="宋体" w:cs="宋体"/>
                <w:szCs w:val="21"/>
              </w:rPr>
              <w:t>（</w:t>
            </w:r>
            <w:r>
              <w:rPr>
                <w:rFonts w:ascii="宋体" w:hAnsi="宋体" w:cs="宋体"/>
                <w:szCs w:val="21"/>
              </w:rPr>
              <w:t>2）银行电汇、由金融机构出具的银行保函。</w:t>
            </w:r>
            <w:r>
              <w:rPr>
                <w:rFonts w:hint="eastAsia" w:ascii="宋体" w:hAnsi="宋体" w:cs="宋体"/>
                <w:b/>
                <w:szCs w:val="21"/>
              </w:rPr>
              <w:t>不接受现金交纳形式。</w:t>
            </w:r>
          </w:p>
        </w:tc>
      </w:tr>
      <w:tr w14:paraId="4D4D5505">
        <w:tblPrEx>
          <w:tblCellMar>
            <w:top w:w="0" w:type="dxa"/>
            <w:left w:w="108" w:type="dxa"/>
            <w:bottom w:w="0" w:type="dxa"/>
            <w:right w:w="108" w:type="dxa"/>
          </w:tblCellMar>
        </w:tblPrEx>
        <w:trPr>
          <w:trHeight w:val="66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D8C0E45">
            <w:pPr>
              <w:jc w:val="center"/>
              <w:rPr>
                <w:rFonts w:ascii="宋体" w:hAnsi="宋体"/>
              </w:rPr>
            </w:pPr>
            <w:r>
              <w:rPr>
                <w:rFonts w:ascii="宋体" w:hAnsi="宋体"/>
              </w:rPr>
              <w:t>9</w:t>
            </w:r>
          </w:p>
        </w:tc>
        <w:tc>
          <w:tcPr>
            <w:tcW w:w="1276" w:type="dxa"/>
            <w:tcBorders>
              <w:top w:val="single" w:color="000000" w:sz="4" w:space="0"/>
              <w:left w:val="single" w:color="000000" w:sz="4" w:space="0"/>
              <w:bottom w:val="single" w:color="000000" w:sz="4" w:space="0"/>
              <w:right w:val="single" w:color="000000" w:sz="4" w:space="0"/>
            </w:tcBorders>
            <w:vAlign w:val="center"/>
          </w:tcPr>
          <w:p w14:paraId="78A8AD94">
            <w:pPr>
              <w:rPr>
                <w:rFonts w:ascii="宋体" w:hAnsi="宋体"/>
              </w:rPr>
            </w:pPr>
            <w:r>
              <w:rPr>
                <w:rFonts w:hint="eastAsia" w:ascii="宋体" w:hAnsi="宋体"/>
              </w:rPr>
              <w:t>履约保证金</w:t>
            </w:r>
          </w:p>
        </w:tc>
        <w:tc>
          <w:tcPr>
            <w:tcW w:w="6379" w:type="dxa"/>
            <w:tcBorders>
              <w:top w:val="single" w:color="000000" w:sz="4" w:space="0"/>
              <w:left w:val="single" w:color="000000" w:sz="4" w:space="0"/>
              <w:bottom w:val="single" w:color="000000" w:sz="4" w:space="0"/>
              <w:right w:val="single" w:color="000000" w:sz="4" w:space="0"/>
            </w:tcBorders>
            <w:vAlign w:val="center"/>
          </w:tcPr>
          <w:p w14:paraId="494E23E3">
            <w:pPr>
              <w:rPr>
                <w:rFonts w:ascii="宋体" w:hAnsi="宋体"/>
                <w:szCs w:val="21"/>
              </w:rPr>
            </w:pPr>
            <w:r>
              <w:rPr>
                <w:rFonts w:hint="eastAsia" w:ascii="宋体" w:hAnsi="宋体"/>
                <w:szCs w:val="21"/>
              </w:rPr>
              <w:t>(1)履约保证金金额:合同金额的 1%。</w:t>
            </w:r>
          </w:p>
          <w:p w14:paraId="20366688">
            <w:pPr>
              <w:rPr>
                <w:rFonts w:ascii="宋体" w:hAnsi="宋体"/>
                <w:szCs w:val="21"/>
              </w:rPr>
            </w:pPr>
            <w:r>
              <w:rPr>
                <w:rFonts w:hint="eastAsia" w:ascii="宋体" w:hAnsi="宋体"/>
                <w:szCs w:val="21"/>
              </w:rPr>
              <w:t>(2)履约保证金形式:以转账、支票、汇票、本票或者金融机构、担保机构出具的保函等非现金形式提交。</w:t>
            </w:r>
          </w:p>
          <w:p w14:paraId="089BF370">
            <w:pPr>
              <w:rPr>
                <w:rFonts w:ascii="宋体" w:hAnsi="宋体"/>
                <w:szCs w:val="21"/>
              </w:rPr>
            </w:pPr>
            <w:r>
              <w:rPr>
                <w:rFonts w:hint="eastAsia" w:ascii="宋体" w:hAnsi="宋体"/>
                <w:szCs w:val="21"/>
              </w:rPr>
              <w:t>(3)履约保证金收件人:浙江工商职业技术学院。</w:t>
            </w:r>
          </w:p>
          <w:p w14:paraId="59126FF9">
            <w:pPr>
              <w:rPr>
                <w:rFonts w:ascii="宋体" w:hAnsi="宋体"/>
                <w:szCs w:val="21"/>
              </w:rPr>
            </w:pPr>
            <w:r>
              <w:rPr>
                <w:rFonts w:hint="eastAsia" w:ascii="宋体" w:hAnsi="宋体"/>
                <w:szCs w:val="21"/>
              </w:rPr>
              <w:t>(4)提交时间:成交供应商于合同签订后 10 个工作日内提交。</w:t>
            </w:r>
          </w:p>
          <w:p w14:paraId="2678C9F6">
            <w:pPr>
              <w:rPr>
                <w:rFonts w:ascii="宋体" w:hAnsi="宋体"/>
                <w:szCs w:val="21"/>
              </w:rPr>
            </w:pPr>
            <w:r>
              <w:rPr>
                <w:rFonts w:hint="eastAsia" w:ascii="宋体" w:hAnsi="宋体"/>
                <w:szCs w:val="21"/>
              </w:rPr>
              <w:t>(5)履约保证金退还:履约担保在工程验收合格后 10 日内根据实际履约情况退还。</w:t>
            </w:r>
          </w:p>
        </w:tc>
      </w:tr>
      <w:tr w14:paraId="694206DE">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8979888">
            <w:pPr>
              <w:jc w:val="center"/>
              <w:rPr>
                <w:rFonts w:ascii="宋体" w:hAnsi="宋体"/>
              </w:rPr>
            </w:pPr>
            <w:r>
              <w:rPr>
                <w:rFonts w:ascii="宋体" w:hAnsi="宋体"/>
              </w:rPr>
              <w:t>10</w:t>
            </w:r>
          </w:p>
        </w:tc>
        <w:tc>
          <w:tcPr>
            <w:tcW w:w="1276" w:type="dxa"/>
            <w:tcBorders>
              <w:top w:val="single" w:color="000000" w:sz="4" w:space="0"/>
              <w:left w:val="single" w:color="000000" w:sz="4" w:space="0"/>
              <w:bottom w:val="single" w:color="000000" w:sz="4" w:space="0"/>
              <w:right w:val="single" w:color="000000" w:sz="4" w:space="0"/>
            </w:tcBorders>
            <w:vAlign w:val="center"/>
          </w:tcPr>
          <w:p w14:paraId="66E98A92">
            <w:pPr>
              <w:rPr>
                <w:rFonts w:ascii="宋体" w:hAnsi="宋体"/>
              </w:rPr>
            </w:pPr>
            <w:r>
              <w:rPr>
                <w:rFonts w:hint="eastAsia" w:ascii="宋体" w:hAnsi="宋体"/>
              </w:rPr>
              <w:t>发票要求</w:t>
            </w:r>
          </w:p>
        </w:tc>
        <w:tc>
          <w:tcPr>
            <w:tcW w:w="6379" w:type="dxa"/>
            <w:tcBorders>
              <w:top w:val="single" w:color="000000" w:sz="4" w:space="0"/>
              <w:left w:val="single" w:color="000000" w:sz="4" w:space="0"/>
              <w:bottom w:val="single" w:color="000000" w:sz="4" w:space="0"/>
              <w:right w:val="single" w:color="000000" w:sz="4" w:space="0"/>
            </w:tcBorders>
            <w:vAlign w:val="center"/>
          </w:tcPr>
          <w:p w14:paraId="49459E33">
            <w:pPr>
              <w:rPr>
                <w:rFonts w:ascii="宋体" w:hAnsi="宋体"/>
              </w:rPr>
            </w:pPr>
            <w:r>
              <w:rPr>
                <w:rFonts w:hint="eastAsia" w:ascii="宋体" w:hAnsi="宋体"/>
              </w:rPr>
              <w:t>（1）成交供应商应在采购人支付费用前，依据相应的金额，先行向采购人提供足额且符合税法规定的发票。采购人在收到成交供应商提供的发票后在合同约定的时间内支付相应款项，否则采购人有权延迟支付而不被视为违约，亦无须承担任何责任。</w:t>
            </w:r>
          </w:p>
          <w:p w14:paraId="3963E49E">
            <w:pPr>
              <w:rPr>
                <w:rFonts w:ascii="宋体" w:hAnsi="宋体"/>
              </w:rPr>
            </w:pPr>
            <w:r>
              <w:rPr>
                <w:rFonts w:hint="eastAsia" w:ascii="宋体" w:hAnsi="宋体"/>
              </w:rPr>
              <w:t>（2）本项目合同签署的成交供应商名称与发票开具单位及收款单位必须一致，成交供应商不得以任何理由在合同执行过程中要求调整发票开具单位或收款单位（成交供应商依法变更单位名称或存在其他特殊情况符合规定要求除外），否则视为成交供应商违约并自行承担相关责任，且须承担由此对采购人造成的一切损失。</w:t>
            </w:r>
          </w:p>
        </w:tc>
      </w:tr>
      <w:tr w14:paraId="3F9440BA">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1CE49A7">
            <w:pPr>
              <w:jc w:val="center"/>
              <w:rPr>
                <w:rFonts w:ascii="宋体" w:hAnsi="宋体"/>
              </w:rPr>
            </w:pPr>
            <w:r>
              <w:rPr>
                <w:rFonts w:ascii="宋体" w:hAnsi="宋体"/>
              </w:rPr>
              <w:t>11</w:t>
            </w:r>
          </w:p>
        </w:tc>
        <w:tc>
          <w:tcPr>
            <w:tcW w:w="1276" w:type="dxa"/>
            <w:tcBorders>
              <w:top w:val="single" w:color="000000" w:sz="4" w:space="0"/>
              <w:left w:val="single" w:color="000000" w:sz="4" w:space="0"/>
              <w:bottom w:val="single" w:color="000000" w:sz="4" w:space="0"/>
              <w:right w:val="single" w:color="000000" w:sz="4" w:space="0"/>
            </w:tcBorders>
            <w:vAlign w:val="center"/>
          </w:tcPr>
          <w:p w14:paraId="5CECA941">
            <w:pPr>
              <w:rPr>
                <w:rFonts w:ascii="宋体" w:hAnsi="宋体"/>
              </w:rPr>
            </w:pPr>
            <w:r>
              <w:rPr>
                <w:rFonts w:hint="eastAsia" w:ascii="宋体" w:hAnsi="宋体"/>
              </w:rPr>
              <w:t>其他</w:t>
            </w:r>
          </w:p>
        </w:tc>
        <w:tc>
          <w:tcPr>
            <w:tcW w:w="6379" w:type="dxa"/>
            <w:tcBorders>
              <w:top w:val="single" w:color="000000" w:sz="4" w:space="0"/>
              <w:left w:val="single" w:color="000000" w:sz="4" w:space="0"/>
              <w:bottom w:val="single" w:color="000000" w:sz="4" w:space="0"/>
              <w:right w:val="single" w:color="000000" w:sz="4" w:space="0"/>
            </w:tcBorders>
            <w:vAlign w:val="center"/>
          </w:tcPr>
          <w:p w14:paraId="2A1AB956">
            <w:pPr>
              <w:rPr>
                <w:rFonts w:ascii="宋体" w:hAnsi="宋体"/>
              </w:rPr>
            </w:pPr>
            <w:r>
              <w:rPr>
                <w:rFonts w:hint="eastAsia" w:ascii="宋体" w:hAnsi="宋体"/>
                <w:szCs w:val="21"/>
              </w:rPr>
              <w:t>在合同履行过程中，成交供应商应承担由于其行为所造成的采购人或第三人的人身伤害、财产损失或损坏的责任，无论何种原因所造成，与采购人无涉，由此导致的损失由成交供应商承担，无论何种原因采购人先行支付的，采购人有权向成交供应商进行追偿。</w:t>
            </w:r>
          </w:p>
        </w:tc>
      </w:tr>
      <w:tr w14:paraId="5AA2323B">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22A4BFB">
            <w:pPr>
              <w:jc w:val="center"/>
              <w:rPr>
                <w:rFonts w:ascii="宋体" w:hAnsi="宋体"/>
              </w:rPr>
            </w:pPr>
            <w:r>
              <w:rPr>
                <w:rFonts w:ascii="宋体" w:hAnsi="宋体"/>
              </w:rPr>
              <w:t>12</w:t>
            </w:r>
          </w:p>
        </w:tc>
        <w:tc>
          <w:tcPr>
            <w:tcW w:w="1276" w:type="dxa"/>
            <w:tcBorders>
              <w:top w:val="single" w:color="000000" w:sz="4" w:space="0"/>
              <w:left w:val="single" w:color="000000" w:sz="4" w:space="0"/>
              <w:bottom w:val="single" w:color="000000" w:sz="4" w:space="0"/>
              <w:right w:val="single" w:color="000000" w:sz="4" w:space="0"/>
            </w:tcBorders>
            <w:vAlign w:val="center"/>
          </w:tcPr>
          <w:p w14:paraId="57E0F271">
            <w:pPr>
              <w:rPr>
                <w:rFonts w:ascii="宋体" w:hAnsi="宋体"/>
              </w:rPr>
            </w:pPr>
            <w:r>
              <w:rPr>
                <w:rFonts w:hint="eastAsia" w:ascii="宋体" w:hAnsi="宋体"/>
              </w:rPr>
              <w:t>知识产权要求</w:t>
            </w:r>
          </w:p>
        </w:tc>
        <w:tc>
          <w:tcPr>
            <w:tcW w:w="6379" w:type="dxa"/>
            <w:tcBorders>
              <w:top w:val="single" w:color="000000" w:sz="4" w:space="0"/>
              <w:left w:val="single" w:color="000000" w:sz="4" w:space="0"/>
              <w:bottom w:val="single" w:color="000000" w:sz="4" w:space="0"/>
              <w:right w:val="single" w:color="000000" w:sz="4" w:space="0"/>
            </w:tcBorders>
            <w:vAlign w:val="center"/>
          </w:tcPr>
          <w:p w14:paraId="5C1F2593">
            <w:pPr>
              <w:rPr>
                <w:rFonts w:ascii="宋体" w:hAnsi="宋体"/>
                <w:szCs w:val="28"/>
              </w:rPr>
            </w:pPr>
            <w:r>
              <w:rPr>
                <w:rFonts w:hint="eastAsia" w:ascii="宋体" w:hAnsi="宋体"/>
                <w:szCs w:val="21"/>
              </w:rPr>
              <w:t>供应商提供的产品未侵犯他人的知识产权。</w:t>
            </w:r>
          </w:p>
        </w:tc>
      </w:tr>
    </w:tbl>
    <w:p w14:paraId="1FDD2AF6">
      <w:pPr>
        <w:spacing w:before="120" w:beforeLines="50" w:line="360" w:lineRule="auto"/>
        <w:ind w:firstLine="426" w:firstLineChars="202"/>
        <w:rPr>
          <w:rFonts w:ascii="宋体" w:hAnsi="宋体" w:cs="宋体"/>
          <w:b/>
          <w:bCs/>
          <w:lang w:val="zh-CN"/>
        </w:rPr>
      </w:pPr>
      <w:bookmarkStart w:id="48" w:name="_Toc7729"/>
      <w:r>
        <w:rPr>
          <w:rFonts w:hint="eastAsia" w:ascii="宋体" w:hAnsi="宋体" w:cs="宋体"/>
          <w:b/>
          <w:bCs/>
          <w:lang w:val="zh-CN"/>
        </w:rPr>
        <w:t>二、工程概况：</w:t>
      </w:r>
    </w:p>
    <w:p w14:paraId="03D38F95">
      <w:pPr>
        <w:spacing w:line="360" w:lineRule="auto"/>
        <w:ind w:firstLine="424" w:firstLineChars="202"/>
        <w:rPr>
          <w:rFonts w:ascii="宋体" w:hAnsi="宋体" w:cs="宋体"/>
          <w:lang w:val="zh-CN"/>
        </w:rPr>
      </w:pPr>
      <w:r>
        <w:rPr>
          <w:rFonts w:hint="eastAsia" w:ascii="宋体" w:hAnsi="宋体" w:cs="宋体"/>
          <w:lang w:val="zh-CN"/>
        </w:rPr>
        <w:t>1.项目名称：浙江工商职业技术学院慈溪学院7#宿舍楼修缮项目</w:t>
      </w:r>
    </w:p>
    <w:p w14:paraId="77F10548">
      <w:pPr>
        <w:spacing w:line="360" w:lineRule="auto"/>
        <w:ind w:firstLine="424" w:firstLineChars="202"/>
        <w:rPr>
          <w:rFonts w:ascii="宋体" w:hAnsi="宋体" w:cs="宋体"/>
          <w:lang w:val="zh-CN"/>
        </w:rPr>
      </w:pPr>
      <w:r>
        <w:rPr>
          <w:rFonts w:hint="eastAsia" w:ascii="宋体" w:hAnsi="宋体" w:cs="宋体"/>
          <w:lang w:val="zh-CN"/>
        </w:rPr>
        <w:t>（一）工程内容主要包括：浙江工商职业技术学院慈溪学院7#宿舍楼修缮。</w:t>
      </w:r>
    </w:p>
    <w:p w14:paraId="32ABDCE9">
      <w:pPr>
        <w:spacing w:line="360" w:lineRule="auto"/>
        <w:ind w:firstLine="424" w:firstLineChars="202"/>
        <w:rPr>
          <w:rFonts w:ascii="宋体" w:hAnsi="宋体" w:cs="宋体"/>
          <w:lang w:val="zh-CN"/>
        </w:rPr>
      </w:pPr>
      <w:r>
        <w:rPr>
          <w:rFonts w:hint="eastAsia" w:ascii="宋体" w:hAnsi="宋体" w:cs="宋体"/>
          <w:lang w:val="zh-CN"/>
        </w:rPr>
        <w:t>（二）工程规模及内容：详见施工图纸、工程量清单及现场勘查。</w:t>
      </w:r>
    </w:p>
    <w:p w14:paraId="56F461DA">
      <w:pPr>
        <w:spacing w:line="360" w:lineRule="auto"/>
        <w:ind w:firstLine="424" w:firstLineChars="202"/>
        <w:rPr>
          <w:rFonts w:ascii="宋体" w:hAnsi="宋体" w:cs="宋体"/>
          <w:lang w:val="zh-CN"/>
        </w:rPr>
      </w:pPr>
      <w:r>
        <w:rPr>
          <w:rFonts w:hint="eastAsia" w:ascii="宋体" w:hAnsi="宋体" w:cs="宋体"/>
          <w:lang w:val="zh-CN"/>
        </w:rPr>
        <w:t>2.承包方式：本工程承包方式采用包工包料，成交供应商应按磋商文件的要求实行造价、质量、工期、安全、文明施工管理等全面承包方式。</w:t>
      </w:r>
    </w:p>
    <w:p w14:paraId="1F1D4DE5">
      <w:pPr>
        <w:spacing w:line="360" w:lineRule="auto"/>
        <w:ind w:firstLine="424" w:firstLineChars="202"/>
        <w:rPr>
          <w:rFonts w:ascii="宋体" w:hAnsi="宋体" w:cs="宋体"/>
          <w:lang w:val="zh-CN"/>
        </w:rPr>
      </w:pPr>
      <w:r>
        <w:rPr>
          <w:rFonts w:hint="eastAsia" w:ascii="宋体" w:hAnsi="宋体" w:cs="宋体"/>
          <w:lang w:val="zh-CN"/>
        </w:rPr>
        <w:t>3.现场条件和现场踏勘</w:t>
      </w:r>
    </w:p>
    <w:p w14:paraId="723C164A">
      <w:pPr>
        <w:spacing w:line="360" w:lineRule="auto"/>
        <w:ind w:firstLine="424" w:firstLineChars="202"/>
        <w:rPr>
          <w:rFonts w:ascii="宋体" w:hAnsi="宋体" w:cs="宋体"/>
          <w:lang w:val="zh-CN"/>
        </w:rPr>
      </w:pPr>
      <w:r>
        <w:rPr>
          <w:rFonts w:hint="eastAsia" w:ascii="宋体" w:hAnsi="宋体" w:cs="宋体"/>
          <w:lang w:val="zh-CN"/>
        </w:rPr>
        <w:t>（1）现场具备施工条件。</w:t>
      </w:r>
    </w:p>
    <w:p w14:paraId="4309A1E3">
      <w:pPr>
        <w:spacing w:line="360" w:lineRule="auto"/>
        <w:ind w:firstLine="424" w:firstLineChars="202"/>
        <w:rPr>
          <w:rFonts w:ascii="宋体" w:hAnsi="宋体" w:cs="宋体"/>
          <w:lang w:val="zh-CN"/>
        </w:rPr>
      </w:pPr>
      <w:r>
        <w:rPr>
          <w:rFonts w:hint="eastAsia" w:ascii="宋体" w:hAnsi="宋体" w:cs="宋体"/>
          <w:lang w:val="zh-CN"/>
        </w:rPr>
        <w:t>（2）成交供应商应自行对工程现场和周围环境进行踏勘和了解，以获取有关编制响应文件和签署合同所需的各种资料，并应充分考虑影响磋商报价的因素、预计实施过程中各种不利因素，由此可能发生的费用均由供应商考虑并包含在磋商报价中。成交后，成交供应商不得再以不完全了解现场情况等为理由而提出额外付款或延长工期等要求，若有此类要求，采购人将不作任何答复与考虑，供应商应承担现场踏勘的责任和风险，踏勘现场的费用由供应商自行承担。</w:t>
      </w:r>
    </w:p>
    <w:p w14:paraId="2114A8A5">
      <w:pPr>
        <w:spacing w:line="360" w:lineRule="auto"/>
        <w:ind w:firstLine="426" w:firstLineChars="202"/>
        <w:rPr>
          <w:rFonts w:ascii="宋体" w:hAnsi="宋体" w:cs="宋体"/>
          <w:b/>
          <w:lang w:val="zh-CN"/>
        </w:rPr>
      </w:pPr>
      <w:r>
        <w:rPr>
          <w:rFonts w:hint="eastAsia" w:ascii="宋体" w:hAnsi="宋体" w:cs="宋体"/>
          <w:b/>
          <w:lang w:val="zh-CN"/>
        </w:rPr>
        <w:t>三、工期要求及奖罚措施</w:t>
      </w:r>
    </w:p>
    <w:p w14:paraId="16EC65C4">
      <w:pPr>
        <w:spacing w:line="360" w:lineRule="auto"/>
        <w:ind w:firstLine="424" w:firstLineChars="202"/>
        <w:rPr>
          <w:rFonts w:ascii="宋体" w:hAnsi="宋体" w:cs="宋体"/>
          <w:lang w:val="zh-CN"/>
        </w:rPr>
      </w:pPr>
      <w:r>
        <w:rPr>
          <w:rFonts w:hint="eastAsia" w:ascii="宋体" w:hAnsi="宋体" w:cs="宋体"/>
          <w:lang w:val="zh-CN"/>
        </w:rPr>
        <w:t>1.工期要求：合同生效后45日历日内。</w:t>
      </w:r>
    </w:p>
    <w:p w14:paraId="763ACD08">
      <w:pPr>
        <w:spacing w:line="360" w:lineRule="auto"/>
        <w:ind w:firstLine="424" w:firstLineChars="202"/>
        <w:rPr>
          <w:rFonts w:ascii="宋体" w:hAnsi="宋体" w:cs="宋体"/>
          <w:lang w:val="zh-CN"/>
        </w:rPr>
      </w:pPr>
      <w:r>
        <w:rPr>
          <w:rFonts w:hint="eastAsia" w:ascii="宋体" w:hAnsi="宋体" w:cs="宋体"/>
          <w:lang w:val="zh-CN"/>
        </w:rPr>
        <w:t>2.供应商根据自身情况填写响应工期。工期从开工之日开始至本工程磋商范围内容全部完工，并通过竣工验收之日止。如遇不可抗力因素或非供应商的原因不能正常施工，经采购人签字同意后，工期顺延计算。因供应商原因导致工期延误，逾期竣工5天以内的按10000元人民币/天扣除工期延误费，逾期竣工5天以上的，则以上天数按20000元人民币/天计算，逾期竣工10天以上的，则以上天数按100000元人民币/天计算，（以上含本数，以下不含）。</w:t>
      </w:r>
    </w:p>
    <w:p w14:paraId="2CE543C4">
      <w:pPr>
        <w:spacing w:line="360" w:lineRule="auto"/>
        <w:ind w:firstLine="424" w:firstLineChars="202"/>
        <w:rPr>
          <w:rFonts w:ascii="宋体" w:hAnsi="宋体" w:cs="宋体"/>
          <w:lang w:val="zh-CN"/>
        </w:rPr>
      </w:pPr>
      <w:r>
        <w:rPr>
          <w:rFonts w:hint="eastAsia" w:ascii="宋体" w:hAnsi="宋体" w:cs="宋体"/>
          <w:lang w:val="zh-CN"/>
        </w:rPr>
        <w:t>3.从开工之日起5天没有进场施工的，视为供应商自动放弃，采购人有权上报浙江省财政厅并另行确定施工单位。</w:t>
      </w:r>
    </w:p>
    <w:p w14:paraId="13EDBE67">
      <w:pPr>
        <w:spacing w:line="360" w:lineRule="auto"/>
        <w:ind w:firstLine="424" w:firstLineChars="202"/>
        <w:rPr>
          <w:rFonts w:ascii="宋体" w:hAnsi="宋体" w:cs="宋体"/>
          <w:lang w:val="zh-CN"/>
        </w:rPr>
      </w:pPr>
      <w:r>
        <w:rPr>
          <w:rFonts w:hint="eastAsia" w:ascii="宋体" w:hAnsi="宋体" w:cs="宋体"/>
          <w:lang w:val="zh-CN"/>
        </w:rPr>
        <w:t>4.竣工日期以监理单位和采购人批复的竣工验收申请日期为准。</w:t>
      </w:r>
    </w:p>
    <w:p w14:paraId="70F954FE">
      <w:pPr>
        <w:spacing w:line="360" w:lineRule="auto"/>
        <w:ind w:firstLine="426" w:firstLineChars="202"/>
        <w:rPr>
          <w:rFonts w:ascii="宋体" w:hAnsi="宋体" w:cs="宋体"/>
          <w:b/>
          <w:lang w:val="zh-CN"/>
        </w:rPr>
      </w:pPr>
      <w:r>
        <w:rPr>
          <w:rFonts w:hint="eastAsia" w:ascii="宋体" w:hAnsi="宋体" w:cs="宋体"/>
          <w:b/>
          <w:lang w:val="zh-CN"/>
        </w:rPr>
        <w:t>四、质量及保修要求</w:t>
      </w:r>
    </w:p>
    <w:p w14:paraId="75F5FF99">
      <w:pPr>
        <w:spacing w:line="360" w:lineRule="auto"/>
        <w:ind w:firstLine="424" w:firstLineChars="202"/>
        <w:rPr>
          <w:rFonts w:ascii="宋体" w:hAnsi="宋体" w:cs="宋体"/>
          <w:lang w:val="zh-CN"/>
        </w:rPr>
      </w:pPr>
      <w:r>
        <w:rPr>
          <w:rFonts w:hint="eastAsia" w:ascii="宋体" w:hAnsi="宋体" w:cs="宋体"/>
          <w:lang w:val="zh-CN"/>
        </w:rPr>
        <w:t>1.供应商必须严格按照有关现行施工规范精心组织施工，严格把好各道施工工序的质量关，杜绝工程质量事故。</w:t>
      </w:r>
    </w:p>
    <w:p w14:paraId="5F859DA4">
      <w:pPr>
        <w:spacing w:line="360" w:lineRule="auto"/>
        <w:ind w:firstLine="424" w:firstLineChars="202"/>
        <w:rPr>
          <w:rFonts w:ascii="宋体" w:hAnsi="宋体" w:cs="宋体"/>
          <w:lang w:val="zh-CN"/>
        </w:rPr>
      </w:pPr>
      <w:r>
        <w:rPr>
          <w:rFonts w:hint="eastAsia" w:ascii="宋体" w:hAnsi="宋体" w:cs="宋体"/>
          <w:lang w:val="zh-CN"/>
        </w:rPr>
        <w:t>2.在施工过程中，由于供应商原因造成采购人财物损毁由供应商自行负责。</w:t>
      </w:r>
    </w:p>
    <w:p w14:paraId="6993EAA8">
      <w:pPr>
        <w:spacing w:line="360" w:lineRule="auto"/>
        <w:ind w:firstLine="424" w:firstLineChars="202"/>
        <w:rPr>
          <w:rFonts w:ascii="宋体" w:hAnsi="宋体" w:cs="宋体"/>
          <w:lang w:val="zh-CN"/>
        </w:rPr>
      </w:pPr>
      <w:r>
        <w:rPr>
          <w:rFonts w:hint="eastAsia" w:ascii="宋体" w:hAnsi="宋体" w:cs="宋体"/>
          <w:lang w:val="zh-CN"/>
        </w:rPr>
        <w:t>3.本工程的保修范围和期限按《建设工程质量管理条例》（国务院令第279号）及《房屋建筑工程质量保修办法》（建设部令第80号）规定：“在正常使用条件下，房屋建筑工程的最低保修期限为：地基基础工程和主体结构工程，为设计文件规定的该工程的合理使用年限；屋面防水工程、有防水要求的卫生间、房间和外墙面的防渗漏，为5年；供热与供冷系统，为2个采暖期、供冷期；电气管线、给排水管道、设备安装为2年；装修工程为2年。其他项目的保修期限由建设单位和施工单位约定。”</w:t>
      </w:r>
    </w:p>
    <w:p w14:paraId="543257E8">
      <w:pPr>
        <w:spacing w:line="360" w:lineRule="auto"/>
        <w:ind w:firstLine="426" w:firstLineChars="202"/>
        <w:rPr>
          <w:rFonts w:ascii="宋体" w:hAnsi="宋体" w:cs="宋体"/>
          <w:b/>
          <w:lang w:val="zh-CN"/>
        </w:rPr>
      </w:pPr>
      <w:r>
        <w:rPr>
          <w:rFonts w:hint="eastAsia" w:ascii="宋体" w:hAnsi="宋体" w:cs="宋体"/>
          <w:b/>
          <w:lang w:val="zh-CN"/>
        </w:rPr>
        <w:t>五、项目经理及项目组成员要求</w:t>
      </w:r>
    </w:p>
    <w:p w14:paraId="42584029">
      <w:pPr>
        <w:spacing w:line="360" w:lineRule="auto"/>
        <w:ind w:firstLine="424" w:firstLineChars="202"/>
        <w:rPr>
          <w:rFonts w:ascii="宋体" w:hAnsi="宋体" w:cs="宋体"/>
          <w:lang w:val="zh-CN"/>
        </w:rPr>
      </w:pPr>
      <w:r>
        <w:rPr>
          <w:rFonts w:hint="eastAsia" w:ascii="宋体" w:hAnsi="宋体" w:cs="宋体"/>
          <w:lang w:val="zh-CN"/>
        </w:rPr>
        <w:t>1.供应商拟派项目经理须具备建筑工程注册建造师二级及以上资质，且具备有效的安全生产考核合格证（B证）。</w:t>
      </w:r>
    </w:p>
    <w:p w14:paraId="7378DAE3">
      <w:pPr>
        <w:spacing w:line="360" w:lineRule="auto"/>
        <w:ind w:firstLine="424" w:firstLineChars="202"/>
        <w:rPr>
          <w:rFonts w:ascii="宋体" w:hAnsi="宋体" w:cs="宋体"/>
          <w:lang w:val="zh-CN"/>
        </w:rPr>
      </w:pPr>
      <w:r>
        <w:rPr>
          <w:rFonts w:hint="eastAsia" w:ascii="宋体" w:hAnsi="宋体" w:cs="宋体"/>
          <w:lang w:val="zh-CN"/>
        </w:rPr>
        <w:t>2.供应商拟派施工现场专职安全生产管理人员，具有“三类人员”C类证书（须在有效期内）,人数符合中华人民共和国住房和城乡建设部建质[2015]91 号《建筑施工企业安全生产管理机构设置及专职安全生产管理人员配备办法》的规定。</w:t>
      </w:r>
    </w:p>
    <w:p w14:paraId="58B3945C">
      <w:pPr>
        <w:spacing w:line="360" w:lineRule="auto"/>
        <w:ind w:firstLine="424" w:firstLineChars="202"/>
        <w:rPr>
          <w:rFonts w:ascii="宋体" w:hAnsi="宋体" w:cs="宋体"/>
          <w:lang w:val="zh-CN"/>
        </w:rPr>
      </w:pPr>
      <w:r>
        <w:rPr>
          <w:rFonts w:hint="eastAsia" w:ascii="宋体" w:hAnsi="宋体" w:cs="宋体"/>
          <w:lang w:val="zh-CN"/>
        </w:rPr>
        <w:t>3.供应商拟派项目负责人、安全员均须为供应商在册职工，在响应文件中提供社保机构出具的社保缴费证明（缴费单位和供应商名称必须一致）。</w:t>
      </w:r>
    </w:p>
    <w:p w14:paraId="4D9A2947">
      <w:pPr>
        <w:spacing w:line="360" w:lineRule="auto"/>
        <w:ind w:firstLine="426" w:firstLineChars="202"/>
        <w:rPr>
          <w:rFonts w:ascii="宋体" w:hAnsi="宋体" w:cs="宋体"/>
          <w:lang w:val="zh-CN"/>
        </w:rPr>
      </w:pPr>
      <w:r>
        <w:rPr>
          <w:rFonts w:hint="eastAsia" w:ascii="宋体" w:hAnsi="宋体" w:cs="宋体"/>
          <w:b/>
          <w:lang w:val="zh-CN"/>
        </w:rPr>
        <w:t>六、材料的供应方式及要求</w:t>
      </w:r>
    </w:p>
    <w:p w14:paraId="3CCB37C3">
      <w:pPr>
        <w:spacing w:line="360" w:lineRule="auto"/>
        <w:ind w:firstLine="424" w:firstLineChars="202"/>
        <w:rPr>
          <w:rFonts w:ascii="宋体" w:hAnsi="宋体" w:cs="宋体"/>
          <w:lang w:val="zh-CN"/>
        </w:rPr>
      </w:pPr>
      <w:r>
        <w:rPr>
          <w:rFonts w:hint="eastAsia" w:ascii="宋体" w:hAnsi="宋体" w:cs="宋体"/>
          <w:lang w:val="zh-CN"/>
        </w:rPr>
        <w:t>1.工程所需材料必须符合国家标准，供应商负责采购。</w:t>
      </w:r>
    </w:p>
    <w:p w14:paraId="00734464">
      <w:pPr>
        <w:spacing w:line="360" w:lineRule="auto"/>
        <w:ind w:firstLine="424" w:firstLineChars="202"/>
        <w:rPr>
          <w:rFonts w:ascii="宋体" w:hAnsi="宋体" w:cs="宋体"/>
          <w:lang w:val="zh-CN"/>
        </w:rPr>
      </w:pPr>
      <w:r>
        <w:rPr>
          <w:rFonts w:hint="eastAsia" w:ascii="宋体" w:hAnsi="宋体" w:cs="宋体"/>
          <w:lang w:val="zh-CN"/>
        </w:rPr>
        <w:t>2.材料须响应本磋商文件要求并详细提供各项主要用材的具体品牌、规格、型号、等级等专一规定标准。</w:t>
      </w:r>
    </w:p>
    <w:p w14:paraId="020072F3">
      <w:pPr>
        <w:spacing w:line="360" w:lineRule="auto"/>
        <w:ind w:firstLine="424" w:firstLineChars="202"/>
        <w:rPr>
          <w:rFonts w:ascii="宋体" w:hAnsi="宋体" w:cs="宋体"/>
          <w:lang w:val="zh-CN"/>
        </w:rPr>
      </w:pPr>
      <w:r>
        <w:rPr>
          <w:rFonts w:hint="eastAsia" w:ascii="宋体" w:hAnsi="宋体" w:cs="宋体"/>
          <w:lang w:val="zh-CN"/>
        </w:rPr>
        <w:t>3.材料进场需报验，不合格材料不得进入施工现场。如果出现原材料检验不合格的情况，所有责任由供应商自行承担，并及时更换为符合要求的材料。</w:t>
      </w:r>
    </w:p>
    <w:p w14:paraId="2F9C2495">
      <w:pPr>
        <w:spacing w:line="360" w:lineRule="auto"/>
        <w:ind w:firstLine="426" w:firstLineChars="202"/>
        <w:rPr>
          <w:rFonts w:ascii="宋体" w:hAnsi="宋体" w:cs="宋体"/>
          <w:b/>
          <w:lang w:val="zh-CN"/>
        </w:rPr>
      </w:pPr>
      <w:r>
        <w:rPr>
          <w:rFonts w:hint="eastAsia" w:ascii="宋体" w:hAnsi="宋体" w:cs="宋体"/>
          <w:b/>
          <w:lang w:val="zh-CN"/>
        </w:rPr>
        <w:t>七、工程报价</w:t>
      </w:r>
    </w:p>
    <w:p w14:paraId="4CCC637A">
      <w:pPr>
        <w:spacing w:line="360" w:lineRule="auto"/>
        <w:ind w:firstLine="424" w:firstLineChars="202"/>
        <w:rPr>
          <w:rFonts w:ascii="宋体" w:hAnsi="宋体" w:cs="宋体"/>
          <w:lang w:val="zh-CN"/>
        </w:rPr>
      </w:pPr>
      <w:r>
        <w:rPr>
          <w:rFonts w:hint="eastAsia" w:ascii="宋体" w:hAnsi="宋体" w:cs="宋体"/>
          <w:lang w:val="zh-CN"/>
        </w:rPr>
        <w:t>1.图纸和工程量清单有冲突时以工程量清单为准。</w:t>
      </w:r>
    </w:p>
    <w:p w14:paraId="0F42FD22">
      <w:pPr>
        <w:spacing w:line="360" w:lineRule="auto"/>
        <w:ind w:firstLine="424" w:firstLineChars="202"/>
        <w:rPr>
          <w:rFonts w:ascii="宋体" w:hAnsi="宋体" w:cs="宋体"/>
          <w:lang w:val="zh-CN"/>
        </w:rPr>
      </w:pPr>
      <w:r>
        <w:rPr>
          <w:rFonts w:hint="eastAsia" w:ascii="宋体" w:hAnsi="宋体" w:cs="宋体"/>
          <w:lang w:val="zh-CN"/>
        </w:rPr>
        <w:t>2.图纸未明确及清单未描述，但规范有要求的，供应商不得另外收取相关费用。</w:t>
      </w:r>
    </w:p>
    <w:p w14:paraId="7DD5E406">
      <w:pPr>
        <w:spacing w:line="360" w:lineRule="auto"/>
        <w:ind w:firstLine="424" w:firstLineChars="202"/>
        <w:rPr>
          <w:rFonts w:ascii="宋体" w:hAnsi="宋体" w:cs="宋体"/>
          <w:lang w:val="zh-CN"/>
        </w:rPr>
      </w:pPr>
      <w:r>
        <w:rPr>
          <w:rFonts w:hint="eastAsia" w:ascii="宋体" w:hAnsi="宋体" w:cs="宋体"/>
          <w:lang w:val="zh-CN"/>
        </w:rPr>
        <w:t>3.本项目工程水电费由供应商承担。</w:t>
      </w:r>
    </w:p>
    <w:p w14:paraId="0E8B7785">
      <w:pPr>
        <w:spacing w:line="360" w:lineRule="auto"/>
        <w:ind w:firstLine="424" w:firstLineChars="202"/>
        <w:rPr>
          <w:rFonts w:ascii="宋体" w:hAnsi="宋体" w:cs="宋体"/>
          <w:lang w:val="zh-CN"/>
        </w:rPr>
      </w:pPr>
      <w:r>
        <w:rPr>
          <w:rFonts w:hint="eastAsia" w:ascii="宋体" w:hAnsi="宋体" w:cs="宋体"/>
          <w:lang w:val="zh-CN"/>
        </w:rPr>
        <w:t>4.施工过程中供应商应保护好校园公共设施，并在报价中考虑。</w:t>
      </w:r>
    </w:p>
    <w:p w14:paraId="619D7E72">
      <w:pPr>
        <w:spacing w:line="360" w:lineRule="auto"/>
        <w:ind w:firstLine="424" w:firstLineChars="202"/>
        <w:rPr>
          <w:rFonts w:ascii="宋体" w:hAnsi="宋体" w:cs="宋体"/>
          <w:lang w:val="zh-CN"/>
        </w:rPr>
      </w:pPr>
      <w:r>
        <w:rPr>
          <w:rFonts w:hint="eastAsia" w:ascii="宋体" w:hAnsi="宋体" w:cs="宋体"/>
          <w:lang w:val="zh-CN"/>
        </w:rPr>
        <w:t>5.报价方式：按照定额计价法及附件“工程量清单”计算工程价款，供应商在“工程量清单”基础上填报下浮率，成交后，以磋商承诺的成交费率并经审定后进行结算。磋商报价应包括本项目所有采购内容的费用，凡影响磋商报价的所有相关费用应列入本次报价中。获得成交后，不得以不完全了解竞争性磋商采购文件、图纸、施工现场、周围环境、施工工序等情况为借口，而提出额外补偿或延长工期等的要求。如漏报，最终所发生的费用均由供应商承担，采购人一律不予承担。</w:t>
      </w:r>
    </w:p>
    <w:p w14:paraId="2875CEC7">
      <w:pPr>
        <w:spacing w:line="360" w:lineRule="auto"/>
        <w:ind w:firstLine="426" w:firstLineChars="202"/>
        <w:rPr>
          <w:rFonts w:ascii="宋体" w:hAnsi="宋体" w:cs="宋体"/>
          <w:b/>
          <w:lang w:val="zh-CN"/>
        </w:rPr>
      </w:pPr>
      <w:r>
        <w:rPr>
          <w:rFonts w:hint="eastAsia" w:ascii="宋体" w:hAnsi="宋体" w:cs="宋体"/>
          <w:b/>
          <w:lang w:val="zh-CN"/>
        </w:rPr>
        <w:t>八、其它要求</w:t>
      </w:r>
    </w:p>
    <w:p w14:paraId="22E6118B">
      <w:pPr>
        <w:spacing w:line="360" w:lineRule="auto"/>
        <w:ind w:firstLine="424" w:firstLineChars="202"/>
        <w:rPr>
          <w:rFonts w:ascii="宋体" w:hAnsi="宋体" w:cs="宋体"/>
          <w:lang w:val="zh-CN"/>
        </w:rPr>
      </w:pPr>
      <w:r>
        <w:rPr>
          <w:rFonts w:hint="eastAsia" w:ascii="宋体" w:hAnsi="宋体" w:cs="宋体"/>
          <w:lang w:val="zh-CN"/>
        </w:rPr>
        <w:t>1.协作要求：本项目由各使用部门作为项目建设单位，后勤服务处作为项目管理归口部门，采购人聘请监理单位进行质量、进度现场的监督和管理，供应商必须服从各管理部门的统一协调、管理。材料进场和隐蔽工程等必须进行报验，监理单位和采购人同意后方可进行下一道工序。具体施工计划需至少提前3天报项目管理部门，以便项目管理部门与其它工组统筹、协调等全面管理，以免延误工期。</w:t>
      </w:r>
    </w:p>
    <w:p w14:paraId="4A9538B6">
      <w:pPr>
        <w:spacing w:line="360" w:lineRule="auto"/>
        <w:ind w:firstLine="424" w:firstLineChars="202"/>
        <w:rPr>
          <w:rFonts w:ascii="宋体" w:hAnsi="宋体" w:cs="宋体"/>
          <w:lang w:val="zh-CN"/>
        </w:rPr>
      </w:pPr>
      <w:r>
        <w:rPr>
          <w:rFonts w:hint="eastAsia" w:ascii="宋体" w:hAnsi="宋体" w:cs="宋体"/>
          <w:lang w:val="zh-CN"/>
        </w:rPr>
        <w:t>2.安全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3C771B62">
      <w:pPr>
        <w:spacing w:line="360" w:lineRule="auto"/>
        <w:ind w:firstLine="424" w:firstLineChars="202"/>
        <w:rPr>
          <w:rFonts w:ascii="宋体" w:hAnsi="宋体" w:cs="宋体"/>
          <w:lang w:val="zh-CN"/>
        </w:rPr>
      </w:pPr>
      <w:r>
        <w:rPr>
          <w:rFonts w:hint="eastAsia" w:ascii="宋体" w:hAnsi="宋体" w:cs="宋体"/>
          <w:lang w:val="zh-CN"/>
        </w:rPr>
        <w:t>3.文明要求：在施工过程中，必须做到文明施工。工序衔接交叉合理，交接责任明确，施工场地整洁、卫生、道路畅通，有必要的围护和遮挡措施等。建筑垃圾必须及时清运至校外专用场所处理，费用自理。如供应商未能及时清理，由采购人安排清理的，费用在结算时从工程款项中扣除。</w:t>
      </w:r>
    </w:p>
    <w:p w14:paraId="21F2D550">
      <w:pPr>
        <w:spacing w:line="360" w:lineRule="auto"/>
        <w:ind w:firstLine="424" w:firstLineChars="202"/>
        <w:rPr>
          <w:rFonts w:ascii="宋体" w:hAnsi="宋体" w:cs="宋体"/>
          <w:lang w:val="zh-CN"/>
        </w:rPr>
      </w:pPr>
      <w:r>
        <w:rPr>
          <w:rFonts w:hint="eastAsia" w:ascii="宋体" w:hAnsi="宋体" w:cs="宋体"/>
          <w:lang w:val="zh-CN"/>
        </w:rPr>
        <w:t>施工过程中应做好对现有公共设施和绿化以及地下管线等学校财产的保护措施，如有损坏由供应商全额赔偿。</w:t>
      </w:r>
    </w:p>
    <w:p w14:paraId="0178B0D5">
      <w:pPr>
        <w:spacing w:line="360" w:lineRule="auto"/>
        <w:ind w:firstLine="424" w:firstLineChars="202"/>
        <w:rPr>
          <w:rFonts w:ascii="宋体" w:hAnsi="宋体" w:cs="宋体"/>
          <w:lang w:val="zh-CN"/>
        </w:rPr>
      </w:pPr>
      <w:r>
        <w:rPr>
          <w:rFonts w:hint="eastAsia" w:ascii="宋体" w:hAnsi="宋体" w:cs="宋体"/>
          <w:lang w:val="zh-CN"/>
        </w:rPr>
        <w:t>4.供应商必须包括但不限于二次搬运、税金、材料运输等费用考虑在综合报价中，不得以其它理由增加相关费用。</w:t>
      </w:r>
    </w:p>
    <w:p w14:paraId="08E626C8">
      <w:pPr>
        <w:spacing w:line="360" w:lineRule="auto"/>
        <w:ind w:firstLine="426" w:firstLineChars="202"/>
        <w:rPr>
          <w:rFonts w:ascii="宋体" w:hAnsi="宋体" w:cs="宋体"/>
          <w:b/>
          <w:lang w:val="zh-CN"/>
        </w:rPr>
      </w:pPr>
      <w:r>
        <w:rPr>
          <w:rFonts w:hint="eastAsia" w:ascii="宋体" w:hAnsi="宋体" w:cs="宋体"/>
          <w:b/>
          <w:lang w:val="zh-CN"/>
        </w:rPr>
        <w:t>九、踏勘现场</w:t>
      </w:r>
    </w:p>
    <w:p w14:paraId="6BDB6FAB">
      <w:pPr>
        <w:spacing w:line="360" w:lineRule="auto"/>
        <w:ind w:firstLine="424" w:firstLineChars="202"/>
        <w:rPr>
          <w:rFonts w:ascii="宋体" w:hAnsi="宋体" w:cs="宋体"/>
          <w:lang w:val="zh-CN"/>
        </w:rPr>
      </w:pPr>
      <w:r>
        <w:rPr>
          <w:rFonts w:hint="eastAsia" w:ascii="宋体" w:hAnsi="宋体" w:cs="宋体"/>
          <w:lang w:val="zh-CN"/>
        </w:rPr>
        <w:t>1.供应商须知前附表规定组织踏勘现场的，采购人按供应商须知前附表规定的时间、地点组织供应商踏勘项目现场。</w:t>
      </w:r>
    </w:p>
    <w:p w14:paraId="28D4D23E">
      <w:pPr>
        <w:spacing w:line="360" w:lineRule="auto"/>
        <w:ind w:firstLine="424" w:firstLineChars="202"/>
        <w:rPr>
          <w:rFonts w:ascii="宋体" w:hAnsi="宋体" w:cs="宋体"/>
          <w:lang w:val="zh-CN"/>
        </w:rPr>
      </w:pPr>
      <w:r>
        <w:rPr>
          <w:rFonts w:hint="eastAsia" w:ascii="宋体" w:hAnsi="宋体" w:cs="宋体"/>
          <w:lang w:val="zh-CN"/>
        </w:rPr>
        <w:t>2.供应商踏勘现场发生的费用自理。</w:t>
      </w:r>
    </w:p>
    <w:p w14:paraId="1642866B">
      <w:pPr>
        <w:spacing w:line="360" w:lineRule="auto"/>
        <w:ind w:firstLine="424" w:firstLineChars="202"/>
        <w:rPr>
          <w:rFonts w:ascii="宋体" w:hAnsi="宋体" w:cs="宋体"/>
          <w:lang w:val="zh-CN"/>
        </w:rPr>
      </w:pPr>
      <w:r>
        <w:rPr>
          <w:rFonts w:hint="eastAsia" w:ascii="宋体" w:hAnsi="宋体" w:cs="宋体"/>
          <w:lang w:val="zh-CN"/>
        </w:rPr>
        <w:t>3.除采购人的原因外，供应商自行负责在踏勘现场中所发生的人员伤亡和财产损失。</w:t>
      </w:r>
    </w:p>
    <w:p w14:paraId="0654FF52">
      <w:pPr>
        <w:spacing w:line="360" w:lineRule="auto"/>
        <w:ind w:firstLine="424" w:firstLineChars="202"/>
        <w:rPr>
          <w:rFonts w:ascii="宋体" w:hAnsi="宋体" w:cs="宋体"/>
          <w:lang w:val="zh-CN"/>
        </w:rPr>
      </w:pPr>
      <w:r>
        <w:rPr>
          <w:rFonts w:hint="eastAsia" w:ascii="宋体" w:hAnsi="宋体" w:cs="宋体"/>
          <w:lang w:val="zh-CN"/>
        </w:rPr>
        <w:t>4.采购人在踏勘现场中介绍的场地和相关的周边环境情况，供应商在编制响应文件时参考，采购人不对供应商据此作出的判断和决策负责。</w:t>
      </w:r>
    </w:p>
    <w:p w14:paraId="6B5DD900">
      <w:pPr>
        <w:spacing w:line="360" w:lineRule="auto"/>
        <w:ind w:firstLine="426" w:firstLineChars="202"/>
        <w:rPr>
          <w:rFonts w:ascii="宋体" w:hAnsi="宋体" w:cs="宋体"/>
          <w:b/>
          <w:lang w:val="zh-CN"/>
        </w:rPr>
      </w:pPr>
      <w:r>
        <w:rPr>
          <w:rFonts w:hint="eastAsia" w:ascii="宋体" w:hAnsi="宋体" w:cs="宋体"/>
          <w:b/>
          <w:lang w:val="zh-CN"/>
        </w:rPr>
        <w:t>十、其它补充</w:t>
      </w:r>
    </w:p>
    <w:p w14:paraId="73062BD8">
      <w:pPr>
        <w:spacing w:line="360" w:lineRule="auto"/>
        <w:ind w:firstLine="424" w:firstLineChars="202"/>
        <w:rPr>
          <w:rFonts w:ascii="宋体" w:hAnsi="宋体" w:cs="宋体"/>
          <w:lang w:val="zh-CN"/>
        </w:rPr>
      </w:pPr>
      <w:r>
        <w:rPr>
          <w:rFonts w:hint="eastAsia" w:ascii="宋体" w:hAnsi="宋体" w:cs="宋体"/>
          <w:lang w:val="zh-CN"/>
        </w:rPr>
        <w:t>1.供应商以采购文件、合同条款、答疑文件、施工规范（标准）、施工现场特点、供应商制定的施工组织设计等为依据，参照国家、行业和地方现行相关计价定额和文件，按企业定额，结合市场行情和本企业技术、经济、管理等综合实力，综合考虑各种报价风险因素，在保证质量、工期、安全的前提下，以保本微利为原则进行报价。</w:t>
      </w:r>
    </w:p>
    <w:p w14:paraId="34E420C1">
      <w:pPr>
        <w:spacing w:line="360" w:lineRule="auto"/>
        <w:ind w:firstLine="424" w:firstLineChars="202"/>
        <w:rPr>
          <w:rFonts w:ascii="宋体" w:hAnsi="宋体" w:cs="宋体"/>
          <w:lang w:val="zh-CN"/>
        </w:rPr>
      </w:pPr>
      <w:r>
        <w:rPr>
          <w:rFonts w:hint="eastAsia" w:ascii="宋体" w:hAnsi="宋体" w:cs="宋体"/>
          <w:lang w:val="zh-CN"/>
        </w:rPr>
        <w:t>2.供应商的报价应在充分履行合同条款的基础上，并满足采购文件规定的工期、质量、安全要求，完成采购文件规定的报价范围内全部工作内容所发生的全部费用，包括政策性文件规定的费用和由以下费用引起的各种税费。</w:t>
      </w:r>
    </w:p>
    <w:p w14:paraId="496F1339">
      <w:pPr>
        <w:spacing w:line="360" w:lineRule="auto"/>
        <w:ind w:firstLine="424" w:firstLineChars="202"/>
        <w:rPr>
          <w:rFonts w:ascii="宋体" w:hAnsi="宋体" w:cs="宋体"/>
          <w:lang w:val="zh-CN"/>
        </w:rPr>
      </w:pPr>
      <w:r>
        <w:rPr>
          <w:rFonts w:hint="eastAsia" w:ascii="宋体" w:hAnsi="宋体" w:cs="宋体"/>
          <w:lang w:val="zh-CN"/>
        </w:rPr>
        <w:t>3.工程费用：包括工程项目的成本、成品保护、竣工保洁、利润、税金、开办费、与施工方案相关的技术措施费、施工组织措施费、风险费、政策性文件规定费用、第三方环保检测费用、施工脚手架搭建（如有）等所有费用。采购人不接受任何有选择的报价。</w:t>
      </w:r>
    </w:p>
    <w:p w14:paraId="3646B73F">
      <w:pPr>
        <w:spacing w:line="360" w:lineRule="auto"/>
        <w:ind w:firstLine="424" w:firstLineChars="202"/>
        <w:rPr>
          <w:rFonts w:ascii="宋体" w:hAnsi="宋体" w:cs="宋体"/>
          <w:lang w:val="zh-CN"/>
        </w:rPr>
      </w:pPr>
      <w:r>
        <w:rPr>
          <w:rFonts w:hint="eastAsia" w:ascii="宋体" w:hAnsi="宋体" w:cs="宋体"/>
          <w:lang w:val="zh-CN"/>
        </w:rPr>
        <w:t>4.供应商在报价中要充分考虑合同规定的各种风险因素引起的费用变化。</w:t>
      </w:r>
    </w:p>
    <w:p w14:paraId="03160987">
      <w:pPr>
        <w:spacing w:line="360" w:lineRule="auto"/>
        <w:ind w:firstLine="424" w:firstLineChars="202"/>
        <w:rPr>
          <w:rFonts w:ascii="宋体" w:hAnsi="宋体" w:cs="宋体"/>
          <w:lang w:val="zh-CN"/>
        </w:rPr>
      </w:pPr>
      <w:r>
        <w:rPr>
          <w:rFonts w:hint="eastAsia" w:ascii="宋体" w:hAnsi="宋体" w:cs="宋体"/>
          <w:lang w:val="zh-CN"/>
        </w:rPr>
        <w:t>5.供应商应根据采购人提供的资料，自行仔细踏勘施工现场的地质、地貌情况，进行全面、科学的设计，供应商要根据现场的实际情况结合自身经验，考虑各种可能存在的风险因素进行报价。</w:t>
      </w:r>
    </w:p>
    <w:p w14:paraId="0F855923">
      <w:pPr>
        <w:spacing w:line="360" w:lineRule="auto"/>
        <w:ind w:firstLine="424" w:firstLineChars="202"/>
        <w:rPr>
          <w:rFonts w:ascii="宋体" w:hAnsi="宋体" w:cs="宋体"/>
          <w:lang w:val="zh-CN"/>
        </w:rPr>
      </w:pPr>
      <w:r>
        <w:rPr>
          <w:rFonts w:hint="eastAsia" w:ascii="宋体" w:hAnsi="宋体" w:cs="宋体"/>
          <w:lang w:val="zh-CN"/>
        </w:rPr>
        <w:t>6.供应商应到施工现场踏勘以充分了解工地位置、情况、道路、储存空间、装卸限制及任何其他足以影响报价的情况。任何因忽视或误解工地情况而导致的索赔或工期延长申请将不被批准。采购人对供应商在磋商响应时自主作出的推论、解释和结论概不负责。</w:t>
      </w:r>
    </w:p>
    <w:p w14:paraId="5B66F634">
      <w:pPr>
        <w:spacing w:line="360" w:lineRule="auto"/>
        <w:ind w:firstLine="424" w:firstLineChars="202"/>
        <w:rPr>
          <w:rFonts w:ascii="宋体" w:hAnsi="宋体" w:cs="宋体"/>
          <w:lang w:val="zh-CN"/>
        </w:rPr>
      </w:pPr>
      <w:r>
        <w:rPr>
          <w:rFonts w:hint="eastAsia" w:ascii="宋体" w:hAnsi="宋体" w:cs="宋体"/>
          <w:lang w:val="zh-CN"/>
        </w:rPr>
        <w:t>7.以项为单位的暂估价及暂列金额按实际发生结算，结算方式以合同签订为准。</w:t>
      </w:r>
    </w:p>
    <w:p w14:paraId="4F78F072">
      <w:pPr>
        <w:spacing w:line="360" w:lineRule="auto"/>
        <w:ind w:firstLine="424" w:firstLineChars="202"/>
        <w:rPr>
          <w:rFonts w:ascii="宋体" w:hAnsi="宋体" w:cs="宋体"/>
          <w:lang w:val="zh-CN"/>
        </w:rPr>
      </w:pPr>
      <w:r>
        <w:rPr>
          <w:rFonts w:hint="eastAsia" w:ascii="宋体" w:hAnsi="宋体" w:cs="宋体"/>
          <w:lang w:val="zh-CN"/>
        </w:rPr>
        <w:t>8.供应商发现采购人提供的工程量有误差的，获得成交后5天内，将误差部分工程量提交采购人，同时提供计算底稿和相关说明，并加盖单位公章，经采购人核实，采购人认为确有调整必要的，采购人将予以调整，如采购人认为无调整必要的，采购人将不予调整。</w:t>
      </w:r>
    </w:p>
    <w:p w14:paraId="1E0A1404">
      <w:pPr>
        <w:spacing w:line="360" w:lineRule="auto"/>
        <w:ind w:firstLine="424" w:firstLineChars="202"/>
        <w:rPr>
          <w:rFonts w:ascii="宋体" w:hAnsi="宋体" w:cs="宋体"/>
          <w:lang w:val="zh-CN"/>
        </w:rPr>
      </w:pPr>
      <w:r>
        <w:rPr>
          <w:rFonts w:ascii="宋体" w:hAnsi="宋体" w:cs="宋体"/>
          <w:lang w:val="zh-CN"/>
        </w:rPr>
        <w:t>9.如工程量清单与施工图不一致的，以施工图为准。</w:t>
      </w:r>
    </w:p>
    <w:p w14:paraId="631FD6B9">
      <w:pPr>
        <w:spacing w:line="360" w:lineRule="auto"/>
        <w:ind w:firstLine="424" w:firstLineChars="202"/>
        <w:rPr>
          <w:rFonts w:ascii="宋体" w:hAnsi="宋体" w:cs="宋体"/>
          <w:lang w:val="zh-CN"/>
        </w:rPr>
      </w:pPr>
      <w:r>
        <w:rPr>
          <w:rFonts w:hint="eastAsia" w:ascii="宋体" w:hAnsi="宋体" w:cs="宋体"/>
          <w:lang w:val="zh-CN"/>
        </w:rPr>
        <w:t>10.构件等拆除费用及建筑垃圾外运处置费用单价包干，结算时不作调整。</w:t>
      </w:r>
    </w:p>
    <w:p w14:paraId="5FCD4966">
      <w:pPr>
        <w:spacing w:line="360" w:lineRule="auto"/>
        <w:ind w:firstLine="426" w:firstLineChars="202"/>
        <w:rPr>
          <w:rFonts w:ascii="宋体" w:hAnsi="宋体"/>
          <w:b/>
        </w:rPr>
      </w:pPr>
      <w:r>
        <w:rPr>
          <w:rFonts w:hint="eastAsia" w:ascii="宋体" w:hAnsi="宋体"/>
          <w:b/>
        </w:rPr>
        <w:t>十一、材料备选品牌一览表</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3363"/>
        <w:gridCol w:w="1418"/>
        <w:gridCol w:w="1417"/>
        <w:gridCol w:w="1418"/>
      </w:tblGrid>
      <w:tr w14:paraId="15AB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586350AD">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序号</w:t>
            </w:r>
          </w:p>
        </w:tc>
        <w:tc>
          <w:tcPr>
            <w:tcW w:w="3363" w:type="dxa"/>
            <w:tcBorders>
              <w:top w:val="single" w:color="auto" w:sz="4" w:space="0"/>
              <w:left w:val="single" w:color="auto" w:sz="4" w:space="0"/>
              <w:bottom w:val="single" w:color="auto" w:sz="4" w:space="0"/>
              <w:right w:val="single" w:color="auto" w:sz="4" w:space="0"/>
            </w:tcBorders>
            <w:vAlign w:val="center"/>
          </w:tcPr>
          <w:p w14:paraId="4D02CB80">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材料、设备名称</w:t>
            </w:r>
          </w:p>
        </w:tc>
        <w:tc>
          <w:tcPr>
            <w:tcW w:w="1418" w:type="dxa"/>
            <w:tcBorders>
              <w:top w:val="single" w:color="auto" w:sz="4" w:space="0"/>
              <w:left w:val="single" w:color="auto" w:sz="4" w:space="0"/>
              <w:bottom w:val="single" w:color="auto" w:sz="4" w:space="0"/>
              <w:right w:val="single" w:color="auto" w:sz="4" w:space="0"/>
            </w:tcBorders>
            <w:vAlign w:val="center"/>
          </w:tcPr>
          <w:p w14:paraId="2F70AAE4">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参考品牌一</w:t>
            </w:r>
          </w:p>
        </w:tc>
        <w:tc>
          <w:tcPr>
            <w:tcW w:w="1417" w:type="dxa"/>
            <w:tcBorders>
              <w:top w:val="single" w:color="auto" w:sz="4" w:space="0"/>
              <w:left w:val="single" w:color="auto" w:sz="4" w:space="0"/>
              <w:bottom w:val="single" w:color="auto" w:sz="4" w:space="0"/>
              <w:right w:val="single" w:color="auto" w:sz="4" w:space="0"/>
            </w:tcBorders>
            <w:vAlign w:val="center"/>
          </w:tcPr>
          <w:p w14:paraId="3224A210">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参考品牌二</w:t>
            </w:r>
          </w:p>
        </w:tc>
        <w:tc>
          <w:tcPr>
            <w:tcW w:w="1418" w:type="dxa"/>
            <w:tcBorders>
              <w:top w:val="single" w:color="auto" w:sz="4" w:space="0"/>
              <w:left w:val="single" w:color="auto" w:sz="4" w:space="0"/>
              <w:bottom w:val="single" w:color="auto" w:sz="4" w:space="0"/>
              <w:right w:val="single" w:color="auto" w:sz="4" w:space="0"/>
            </w:tcBorders>
            <w:vAlign w:val="center"/>
          </w:tcPr>
          <w:p w14:paraId="7C2828F8">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参考品牌三</w:t>
            </w:r>
          </w:p>
        </w:tc>
      </w:tr>
      <w:tr w14:paraId="0D12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3D9F4B30">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1</w:t>
            </w:r>
          </w:p>
        </w:tc>
        <w:tc>
          <w:tcPr>
            <w:tcW w:w="3363" w:type="dxa"/>
            <w:tcBorders>
              <w:top w:val="single" w:color="auto" w:sz="4" w:space="0"/>
              <w:left w:val="single" w:color="auto" w:sz="4" w:space="0"/>
              <w:bottom w:val="single" w:color="auto" w:sz="4" w:space="0"/>
              <w:right w:val="single" w:color="auto" w:sz="4" w:space="0"/>
            </w:tcBorders>
            <w:vAlign w:val="center"/>
          </w:tcPr>
          <w:p w14:paraId="08930EE0">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乳胶漆</w:t>
            </w:r>
          </w:p>
        </w:tc>
        <w:tc>
          <w:tcPr>
            <w:tcW w:w="1418" w:type="dxa"/>
            <w:tcBorders>
              <w:top w:val="single" w:color="auto" w:sz="4" w:space="0"/>
              <w:left w:val="single" w:color="auto" w:sz="4" w:space="0"/>
              <w:bottom w:val="single" w:color="auto" w:sz="4" w:space="0"/>
              <w:right w:val="single" w:color="auto" w:sz="4" w:space="0"/>
            </w:tcBorders>
            <w:vAlign w:val="center"/>
          </w:tcPr>
          <w:p w14:paraId="31504E55">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立邦</w:t>
            </w:r>
          </w:p>
        </w:tc>
        <w:tc>
          <w:tcPr>
            <w:tcW w:w="1417" w:type="dxa"/>
            <w:tcBorders>
              <w:top w:val="single" w:color="auto" w:sz="4" w:space="0"/>
              <w:left w:val="single" w:color="auto" w:sz="4" w:space="0"/>
              <w:bottom w:val="single" w:color="auto" w:sz="4" w:space="0"/>
              <w:right w:val="single" w:color="auto" w:sz="4" w:space="0"/>
            </w:tcBorders>
            <w:vAlign w:val="center"/>
          </w:tcPr>
          <w:p w14:paraId="3B69C144">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多乐士</w:t>
            </w:r>
          </w:p>
        </w:tc>
        <w:tc>
          <w:tcPr>
            <w:tcW w:w="1418" w:type="dxa"/>
            <w:tcBorders>
              <w:top w:val="single" w:color="auto" w:sz="4" w:space="0"/>
              <w:left w:val="single" w:color="auto" w:sz="4" w:space="0"/>
              <w:bottom w:val="single" w:color="auto" w:sz="4" w:space="0"/>
              <w:right w:val="single" w:color="auto" w:sz="4" w:space="0"/>
            </w:tcBorders>
            <w:vAlign w:val="center"/>
          </w:tcPr>
          <w:p w14:paraId="6D39368A">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华润</w:t>
            </w:r>
          </w:p>
        </w:tc>
      </w:tr>
      <w:tr w14:paraId="2FD2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6A354C02">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2</w:t>
            </w:r>
          </w:p>
        </w:tc>
        <w:tc>
          <w:tcPr>
            <w:tcW w:w="3363" w:type="dxa"/>
            <w:tcBorders>
              <w:top w:val="single" w:color="auto" w:sz="4" w:space="0"/>
              <w:left w:val="single" w:color="auto" w:sz="4" w:space="0"/>
              <w:bottom w:val="single" w:color="auto" w:sz="4" w:space="0"/>
              <w:right w:val="single" w:color="auto" w:sz="4" w:space="0"/>
            </w:tcBorders>
            <w:vAlign w:val="center"/>
          </w:tcPr>
          <w:p w14:paraId="02F4DEDF">
            <w:pPr>
              <w:jc w:val="center"/>
              <w:rPr>
                <w:rFonts w:ascii="宋体" w:hAnsi="宋体" w:cs="宋体"/>
                <w:szCs w:val="21"/>
              </w:rPr>
            </w:pPr>
            <w:r>
              <w:rPr>
                <w:rFonts w:hint="eastAsia" w:ascii="宋体" w:hAnsi="宋体" w:cs="宋体"/>
                <w:szCs w:val="21"/>
              </w:rPr>
              <w:t>三夹板、九夹板、细木工板、木饰面、阻燃板等</w:t>
            </w:r>
          </w:p>
        </w:tc>
        <w:tc>
          <w:tcPr>
            <w:tcW w:w="1418" w:type="dxa"/>
            <w:tcBorders>
              <w:top w:val="single" w:color="auto" w:sz="4" w:space="0"/>
              <w:left w:val="single" w:color="auto" w:sz="4" w:space="0"/>
              <w:bottom w:val="single" w:color="auto" w:sz="4" w:space="0"/>
              <w:right w:val="single" w:color="auto" w:sz="4" w:space="0"/>
            </w:tcBorders>
            <w:vAlign w:val="center"/>
          </w:tcPr>
          <w:p w14:paraId="63A1686D">
            <w:pPr>
              <w:jc w:val="center"/>
              <w:rPr>
                <w:rFonts w:ascii="宋体" w:hAnsi="宋体" w:cs="宋体"/>
                <w:szCs w:val="21"/>
              </w:rPr>
            </w:pPr>
            <w:r>
              <w:rPr>
                <w:rFonts w:hint="eastAsia" w:ascii="宋体" w:hAnsi="宋体" w:cs="宋体"/>
                <w:szCs w:val="21"/>
              </w:rPr>
              <w:t>千年舟</w:t>
            </w:r>
          </w:p>
        </w:tc>
        <w:tc>
          <w:tcPr>
            <w:tcW w:w="1417" w:type="dxa"/>
            <w:tcBorders>
              <w:top w:val="single" w:color="auto" w:sz="4" w:space="0"/>
              <w:left w:val="single" w:color="auto" w:sz="4" w:space="0"/>
              <w:bottom w:val="single" w:color="auto" w:sz="4" w:space="0"/>
              <w:right w:val="single" w:color="auto" w:sz="4" w:space="0"/>
            </w:tcBorders>
            <w:vAlign w:val="center"/>
          </w:tcPr>
          <w:p w14:paraId="1A1CD172">
            <w:pPr>
              <w:jc w:val="center"/>
              <w:rPr>
                <w:rFonts w:ascii="宋体" w:hAnsi="宋体" w:cs="宋体"/>
                <w:szCs w:val="21"/>
              </w:rPr>
            </w:pPr>
            <w:r>
              <w:rPr>
                <w:rFonts w:hint="eastAsia" w:ascii="宋体" w:hAnsi="宋体" w:cs="宋体"/>
                <w:szCs w:val="21"/>
              </w:rPr>
              <w:t>莫干山</w:t>
            </w:r>
          </w:p>
        </w:tc>
        <w:tc>
          <w:tcPr>
            <w:tcW w:w="1418" w:type="dxa"/>
            <w:tcBorders>
              <w:top w:val="single" w:color="auto" w:sz="4" w:space="0"/>
              <w:left w:val="single" w:color="auto" w:sz="4" w:space="0"/>
              <w:bottom w:val="single" w:color="auto" w:sz="4" w:space="0"/>
              <w:right w:val="single" w:color="auto" w:sz="4" w:space="0"/>
            </w:tcBorders>
            <w:vAlign w:val="center"/>
          </w:tcPr>
          <w:p w14:paraId="17699F3E">
            <w:pPr>
              <w:jc w:val="center"/>
              <w:rPr>
                <w:rFonts w:ascii="宋体" w:hAnsi="宋体" w:cs="宋体"/>
                <w:szCs w:val="21"/>
              </w:rPr>
            </w:pPr>
            <w:r>
              <w:rPr>
                <w:rFonts w:hint="eastAsia" w:ascii="宋体" w:hAnsi="宋体" w:cs="宋体"/>
                <w:szCs w:val="21"/>
              </w:rPr>
              <w:t>兔宝宝</w:t>
            </w:r>
          </w:p>
        </w:tc>
      </w:tr>
      <w:tr w14:paraId="4CE5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7ADF48B5">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3</w:t>
            </w:r>
          </w:p>
        </w:tc>
        <w:tc>
          <w:tcPr>
            <w:tcW w:w="3363" w:type="dxa"/>
            <w:tcBorders>
              <w:top w:val="single" w:color="auto" w:sz="4" w:space="0"/>
              <w:left w:val="single" w:color="auto" w:sz="4" w:space="0"/>
              <w:bottom w:val="single" w:color="auto" w:sz="4" w:space="0"/>
              <w:right w:val="single" w:color="auto" w:sz="4" w:space="0"/>
            </w:tcBorders>
            <w:vAlign w:val="center"/>
          </w:tcPr>
          <w:p w14:paraId="2FFE8333">
            <w:pPr>
              <w:jc w:val="center"/>
              <w:rPr>
                <w:rFonts w:ascii="宋体" w:hAnsi="宋体"/>
                <w:szCs w:val="21"/>
              </w:rPr>
            </w:pPr>
            <w:r>
              <w:rPr>
                <w:rFonts w:hint="eastAsia" w:ascii="宋体" w:hAnsi="宋体"/>
                <w:szCs w:val="21"/>
              </w:rPr>
              <w:t>电表</w:t>
            </w:r>
          </w:p>
        </w:tc>
        <w:tc>
          <w:tcPr>
            <w:tcW w:w="1418" w:type="dxa"/>
            <w:tcBorders>
              <w:top w:val="single" w:color="auto" w:sz="4" w:space="0"/>
              <w:left w:val="single" w:color="auto" w:sz="4" w:space="0"/>
              <w:bottom w:val="single" w:color="auto" w:sz="4" w:space="0"/>
              <w:right w:val="single" w:color="auto" w:sz="4" w:space="0"/>
            </w:tcBorders>
            <w:vAlign w:val="center"/>
          </w:tcPr>
          <w:p w14:paraId="0CAD4208">
            <w:pPr>
              <w:jc w:val="center"/>
              <w:rPr>
                <w:rFonts w:ascii="宋体" w:hAnsi="宋体"/>
                <w:szCs w:val="21"/>
              </w:rPr>
            </w:pPr>
            <w:r>
              <w:rPr>
                <w:rFonts w:hint="eastAsia" w:ascii="宋体" w:hAnsi="宋体"/>
                <w:szCs w:val="21"/>
              </w:rPr>
              <w:t>德力西</w:t>
            </w:r>
          </w:p>
        </w:tc>
        <w:tc>
          <w:tcPr>
            <w:tcW w:w="1417" w:type="dxa"/>
            <w:tcBorders>
              <w:top w:val="single" w:color="auto" w:sz="4" w:space="0"/>
              <w:left w:val="single" w:color="auto" w:sz="4" w:space="0"/>
              <w:bottom w:val="single" w:color="auto" w:sz="4" w:space="0"/>
              <w:right w:val="single" w:color="auto" w:sz="4" w:space="0"/>
            </w:tcBorders>
            <w:vAlign w:val="center"/>
          </w:tcPr>
          <w:p w14:paraId="67CC3A28">
            <w:pPr>
              <w:jc w:val="center"/>
              <w:rPr>
                <w:rFonts w:ascii="宋体" w:hAnsi="宋体"/>
                <w:szCs w:val="21"/>
              </w:rPr>
            </w:pPr>
            <w:r>
              <w:rPr>
                <w:rFonts w:hint="eastAsia" w:ascii="宋体" w:hAnsi="宋体"/>
                <w:szCs w:val="21"/>
              </w:rPr>
              <w:t>正泰</w:t>
            </w:r>
          </w:p>
        </w:tc>
        <w:tc>
          <w:tcPr>
            <w:tcW w:w="1418" w:type="dxa"/>
            <w:tcBorders>
              <w:top w:val="single" w:color="auto" w:sz="4" w:space="0"/>
              <w:left w:val="single" w:color="auto" w:sz="4" w:space="0"/>
              <w:bottom w:val="single" w:color="auto" w:sz="4" w:space="0"/>
              <w:right w:val="single" w:color="auto" w:sz="4" w:space="0"/>
            </w:tcBorders>
            <w:vAlign w:val="center"/>
          </w:tcPr>
          <w:p w14:paraId="08B47CBA">
            <w:pPr>
              <w:jc w:val="center"/>
              <w:rPr>
                <w:rFonts w:ascii="宋体" w:hAnsi="宋体"/>
                <w:szCs w:val="21"/>
              </w:rPr>
            </w:pPr>
            <w:r>
              <w:rPr>
                <w:rFonts w:hint="eastAsia" w:ascii="宋体" w:hAnsi="宋体"/>
                <w:szCs w:val="21"/>
              </w:rPr>
              <w:t>上海人民</w:t>
            </w:r>
          </w:p>
        </w:tc>
      </w:tr>
      <w:tr w14:paraId="3DD9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5A2AD0D4">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4</w:t>
            </w:r>
          </w:p>
        </w:tc>
        <w:tc>
          <w:tcPr>
            <w:tcW w:w="3363" w:type="dxa"/>
            <w:tcBorders>
              <w:top w:val="single" w:color="auto" w:sz="4" w:space="0"/>
              <w:left w:val="single" w:color="auto" w:sz="4" w:space="0"/>
              <w:bottom w:val="single" w:color="auto" w:sz="4" w:space="0"/>
              <w:right w:val="single" w:color="auto" w:sz="4" w:space="0"/>
            </w:tcBorders>
            <w:vAlign w:val="center"/>
          </w:tcPr>
          <w:p w14:paraId="53B598AE">
            <w:pPr>
              <w:widowControl/>
              <w:jc w:val="center"/>
              <w:rPr>
                <w:rFonts w:ascii="宋体" w:hAnsi="宋体" w:cs="宋体"/>
                <w:szCs w:val="21"/>
              </w:rPr>
            </w:pPr>
            <w:r>
              <w:rPr>
                <w:rFonts w:hint="eastAsia" w:ascii="宋体" w:hAnsi="宋体" w:cs="宋体"/>
                <w:kern w:val="0"/>
                <w:szCs w:val="21"/>
              </w:rPr>
              <w:t>墙砖、地砖</w:t>
            </w:r>
          </w:p>
        </w:tc>
        <w:tc>
          <w:tcPr>
            <w:tcW w:w="1418" w:type="dxa"/>
            <w:tcBorders>
              <w:top w:val="single" w:color="auto" w:sz="4" w:space="0"/>
              <w:left w:val="single" w:color="auto" w:sz="4" w:space="0"/>
              <w:bottom w:val="single" w:color="auto" w:sz="4" w:space="0"/>
              <w:right w:val="single" w:color="auto" w:sz="4" w:space="0"/>
            </w:tcBorders>
            <w:vAlign w:val="center"/>
          </w:tcPr>
          <w:p w14:paraId="32AB5CF1">
            <w:pPr>
              <w:widowControl/>
              <w:jc w:val="center"/>
              <w:rPr>
                <w:rFonts w:ascii="宋体" w:hAnsi="宋体" w:cs="宋体"/>
                <w:szCs w:val="21"/>
              </w:rPr>
            </w:pPr>
            <w:r>
              <w:rPr>
                <w:rFonts w:hint="eastAsia" w:ascii="宋体" w:hAnsi="宋体" w:cs="宋体"/>
                <w:kern w:val="0"/>
                <w:szCs w:val="21"/>
              </w:rPr>
              <w:t>东鹏</w:t>
            </w:r>
          </w:p>
        </w:tc>
        <w:tc>
          <w:tcPr>
            <w:tcW w:w="1417" w:type="dxa"/>
            <w:tcBorders>
              <w:top w:val="single" w:color="auto" w:sz="4" w:space="0"/>
              <w:left w:val="single" w:color="auto" w:sz="4" w:space="0"/>
              <w:bottom w:val="single" w:color="auto" w:sz="4" w:space="0"/>
              <w:right w:val="single" w:color="auto" w:sz="4" w:space="0"/>
            </w:tcBorders>
            <w:vAlign w:val="center"/>
          </w:tcPr>
          <w:p w14:paraId="36CF0587">
            <w:pPr>
              <w:widowControl/>
              <w:jc w:val="center"/>
              <w:rPr>
                <w:rFonts w:ascii="宋体" w:hAnsi="宋体" w:cs="宋体"/>
                <w:szCs w:val="21"/>
              </w:rPr>
            </w:pPr>
            <w:r>
              <w:rPr>
                <w:rFonts w:hint="eastAsia" w:ascii="宋体" w:hAnsi="宋体" w:cs="宋体"/>
                <w:kern w:val="0"/>
                <w:szCs w:val="21"/>
              </w:rPr>
              <w:t>马可波罗</w:t>
            </w:r>
          </w:p>
        </w:tc>
        <w:tc>
          <w:tcPr>
            <w:tcW w:w="1418" w:type="dxa"/>
            <w:tcBorders>
              <w:top w:val="single" w:color="auto" w:sz="4" w:space="0"/>
              <w:left w:val="single" w:color="auto" w:sz="4" w:space="0"/>
              <w:bottom w:val="single" w:color="auto" w:sz="4" w:space="0"/>
              <w:right w:val="single" w:color="auto" w:sz="4" w:space="0"/>
            </w:tcBorders>
            <w:vAlign w:val="center"/>
          </w:tcPr>
          <w:p w14:paraId="322478C4">
            <w:pPr>
              <w:widowControl/>
              <w:jc w:val="center"/>
              <w:rPr>
                <w:rFonts w:ascii="宋体" w:hAnsi="宋体" w:cs="宋体"/>
                <w:szCs w:val="21"/>
              </w:rPr>
            </w:pPr>
            <w:r>
              <w:rPr>
                <w:rFonts w:hint="eastAsia" w:ascii="宋体" w:hAnsi="宋体" w:cs="宋体"/>
                <w:kern w:val="0"/>
                <w:szCs w:val="21"/>
              </w:rPr>
              <w:t>斯米克</w:t>
            </w:r>
          </w:p>
        </w:tc>
      </w:tr>
      <w:tr w14:paraId="67C3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357FB701">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5</w:t>
            </w:r>
          </w:p>
        </w:tc>
        <w:tc>
          <w:tcPr>
            <w:tcW w:w="3363" w:type="dxa"/>
            <w:tcBorders>
              <w:top w:val="single" w:color="auto" w:sz="4" w:space="0"/>
              <w:left w:val="single" w:color="auto" w:sz="4" w:space="0"/>
              <w:bottom w:val="single" w:color="auto" w:sz="4" w:space="0"/>
              <w:right w:val="single" w:color="auto" w:sz="4" w:space="0"/>
            </w:tcBorders>
            <w:vAlign w:val="center"/>
          </w:tcPr>
          <w:p w14:paraId="57F69BFA">
            <w:pPr>
              <w:jc w:val="center"/>
              <w:rPr>
                <w:rFonts w:ascii="宋体" w:hAnsi="宋体" w:cs="宋体"/>
                <w:szCs w:val="21"/>
              </w:rPr>
            </w:pPr>
            <w:r>
              <w:rPr>
                <w:rFonts w:hint="eastAsia" w:ascii="宋体" w:hAnsi="宋体" w:cs="宋体"/>
                <w:szCs w:val="21"/>
              </w:rPr>
              <w:t>开关、插座</w:t>
            </w:r>
          </w:p>
        </w:tc>
        <w:tc>
          <w:tcPr>
            <w:tcW w:w="1418" w:type="dxa"/>
            <w:tcBorders>
              <w:top w:val="single" w:color="auto" w:sz="4" w:space="0"/>
              <w:left w:val="single" w:color="auto" w:sz="4" w:space="0"/>
              <w:bottom w:val="single" w:color="auto" w:sz="4" w:space="0"/>
              <w:right w:val="single" w:color="auto" w:sz="4" w:space="0"/>
            </w:tcBorders>
            <w:vAlign w:val="center"/>
          </w:tcPr>
          <w:p w14:paraId="594B70B5">
            <w:pPr>
              <w:widowControl/>
              <w:jc w:val="center"/>
              <w:rPr>
                <w:rFonts w:ascii="宋体" w:hAnsi="宋体" w:cs="宋体"/>
                <w:szCs w:val="21"/>
              </w:rPr>
            </w:pPr>
            <w:r>
              <w:rPr>
                <w:rFonts w:hint="eastAsia" w:ascii="宋体" w:hAnsi="宋体" w:cs="宋体"/>
                <w:kern w:val="0"/>
                <w:szCs w:val="21"/>
              </w:rPr>
              <w:t>德力西</w:t>
            </w:r>
          </w:p>
        </w:tc>
        <w:tc>
          <w:tcPr>
            <w:tcW w:w="1417" w:type="dxa"/>
            <w:tcBorders>
              <w:top w:val="single" w:color="auto" w:sz="4" w:space="0"/>
              <w:left w:val="single" w:color="auto" w:sz="4" w:space="0"/>
              <w:bottom w:val="single" w:color="auto" w:sz="4" w:space="0"/>
              <w:right w:val="single" w:color="auto" w:sz="4" w:space="0"/>
            </w:tcBorders>
            <w:vAlign w:val="center"/>
          </w:tcPr>
          <w:p w14:paraId="4D8C8F3B">
            <w:pPr>
              <w:widowControl/>
              <w:jc w:val="center"/>
              <w:rPr>
                <w:rFonts w:ascii="宋体" w:hAnsi="宋体" w:cs="宋体"/>
                <w:szCs w:val="21"/>
              </w:rPr>
            </w:pPr>
            <w:r>
              <w:rPr>
                <w:rFonts w:hint="eastAsia" w:ascii="宋体" w:hAnsi="宋体" w:cs="宋体"/>
                <w:kern w:val="0"/>
                <w:szCs w:val="21"/>
              </w:rPr>
              <w:t>公牛</w:t>
            </w:r>
          </w:p>
        </w:tc>
        <w:tc>
          <w:tcPr>
            <w:tcW w:w="1418" w:type="dxa"/>
            <w:tcBorders>
              <w:top w:val="single" w:color="auto" w:sz="4" w:space="0"/>
              <w:left w:val="single" w:color="auto" w:sz="4" w:space="0"/>
              <w:bottom w:val="single" w:color="auto" w:sz="4" w:space="0"/>
              <w:right w:val="single" w:color="auto" w:sz="4" w:space="0"/>
            </w:tcBorders>
            <w:vAlign w:val="center"/>
          </w:tcPr>
          <w:p w14:paraId="30B4EE1F">
            <w:pPr>
              <w:widowControl/>
              <w:jc w:val="center"/>
              <w:rPr>
                <w:rFonts w:ascii="宋体" w:hAnsi="宋体" w:cs="宋体"/>
                <w:szCs w:val="21"/>
              </w:rPr>
            </w:pPr>
            <w:r>
              <w:rPr>
                <w:rFonts w:hint="eastAsia" w:ascii="宋体" w:hAnsi="宋体" w:cs="宋体"/>
                <w:kern w:val="0"/>
                <w:szCs w:val="21"/>
              </w:rPr>
              <w:t>正泰</w:t>
            </w:r>
          </w:p>
        </w:tc>
      </w:tr>
      <w:tr w14:paraId="1E58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65A4B04F">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6</w:t>
            </w:r>
          </w:p>
        </w:tc>
        <w:tc>
          <w:tcPr>
            <w:tcW w:w="3363" w:type="dxa"/>
            <w:tcBorders>
              <w:top w:val="single" w:color="auto" w:sz="4" w:space="0"/>
              <w:left w:val="single" w:color="auto" w:sz="4" w:space="0"/>
              <w:bottom w:val="single" w:color="auto" w:sz="4" w:space="0"/>
              <w:right w:val="single" w:color="auto" w:sz="4" w:space="0"/>
            </w:tcBorders>
            <w:vAlign w:val="center"/>
          </w:tcPr>
          <w:p w14:paraId="08CAC232">
            <w:pPr>
              <w:jc w:val="center"/>
              <w:rPr>
                <w:rFonts w:ascii="宋体" w:hAnsi="宋体" w:cs="宋体"/>
                <w:szCs w:val="21"/>
              </w:rPr>
            </w:pPr>
            <w:r>
              <w:rPr>
                <w:rFonts w:hint="eastAsia" w:ascii="宋体" w:hAnsi="宋体" w:cs="宋体"/>
                <w:szCs w:val="21"/>
              </w:rPr>
              <w:t>空气开关</w:t>
            </w:r>
          </w:p>
        </w:tc>
        <w:tc>
          <w:tcPr>
            <w:tcW w:w="1418" w:type="dxa"/>
            <w:tcBorders>
              <w:top w:val="single" w:color="auto" w:sz="4" w:space="0"/>
              <w:left w:val="single" w:color="auto" w:sz="4" w:space="0"/>
              <w:bottom w:val="single" w:color="auto" w:sz="4" w:space="0"/>
              <w:right w:val="single" w:color="auto" w:sz="4" w:space="0"/>
            </w:tcBorders>
            <w:vAlign w:val="center"/>
          </w:tcPr>
          <w:p w14:paraId="4F902196">
            <w:pPr>
              <w:widowControl/>
              <w:jc w:val="center"/>
              <w:rPr>
                <w:rFonts w:ascii="宋体" w:hAnsi="宋体" w:cs="宋体"/>
                <w:kern w:val="0"/>
                <w:szCs w:val="21"/>
              </w:rPr>
            </w:pPr>
            <w:r>
              <w:rPr>
                <w:rFonts w:hint="eastAsia" w:ascii="宋体" w:hAnsi="宋体" w:cs="宋体"/>
                <w:kern w:val="0"/>
                <w:szCs w:val="21"/>
              </w:rPr>
              <w:t>施耐德</w:t>
            </w:r>
          </w:p>
        </w:tc>
        <w:tc>
          <w:tcPr>
            <w:tcW w:w="1417" w:type="dxa"/>
            <w:tcBorders>
              <w:top w:val="single" w:color="auto" w:sz="4" w:space="0"/>
              <w:left w:val="single" w:color="auto" w:sz="4" w:space="0"/>
              <w:bottom w:val="single" w:color="auto" w:sz="4" w:space="0"/>
              <w:right w:val="single" w:color="auto" w:sz="4" w:space="0"/>
            </w:tcBorders>
            <w:vAlign w:val="center"/>
          </w:tcPr>
          <w:p w14:paraId="154CAC19">
            <w:pPr>
              <w:widowControl/>
              <w:jc w:val="center"/>
              <w:rPr>
                <w:rFonts w:ascii="宋体" w:hAnsi="宋体" w:cs="宋体"/>
                <w:kern w:val="0"/>
                <w:szCs w:val="21"/>
              </w:rPr>
            </w:pPr>
            <w:r>
              <w:rPr>
                <w:rFonts w:ascii="宋体" w:hAnsi="宋体" w:cs="宋体"/>
                <w:kern w:val="0"/>
                <w:szCs w:val="21"/>
              </w:rPr>
              <w:t>ABB</w:t>
            </w:r>
          </w:p>
        </w:tc>
        <w:tc>
          <w:tcPr>
            <w:tcW w:w="1418" w:type="dxa"/>
            <w:tcBorders>
              <w:top w:val="single" w:color="auto" w:sz="4" w:space="0"/>
              <w:left w:val="single" w:color="auto" w:sz="4" w:space="0"/>
              <w:bottom w:val="single" w:color="auto" w:sz="4" w:space="0"/>
              <w:right w:val="single" w:color="auto" w:sz="4" w:space="0"/>
            </w:tcBorders>
            <w:vAlign w:val="center"/>
          </w:tcPr>
          <w:p w14:paraId="0C2D4994">
            <w:pPr>
              <w:widowControl/>
              <w:jc w:val="center"/>
              <w:rPr>
                <w:rFonts w:ascii="宋体" w:hAnsi="宋体" w:cs="宋体"/>
                <w:kern w:val="0"/>
                <w:szCs w:val="21"/>
              </w:rPr>
            </w:pPr>
            <w:r>
              <w:rPr>
                <w:rFonts w:hint="eastAsia" w:ascii="宋体" w:hAnsi="宋体" w:cs="宋体"/>
                <w:kern w:val="0"/>
                <w:szCs w:val="21"/>
              </w:rPr>
              <w:t>西门子</w:t>
            </w:r>
          </w:p>
        </w:tc>
      </w:tr>
      <w:tr w14:paraId="2247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1999200D">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7</w:t>
            </w:r>
          </w:p>
        </w:tc>
        <w:tc>
          <w:tcPr>
            <w:tcW w:w="3363" w:type="dxa"/>
            <w:tcBorders>
              <w:top w:val="single" w:color="auto" w:sz="4" w:space="0"/>
              <w:left w:val="single" w:color="auto" w:sz="4" w:space="0"/>
              <w:bottom w:val="single" w:color="auto" w:sz="4" w:space="0"/>
              <w:right w:val="single" w:color="auto" w:sz="4" w:space="0"/>
            </w:tcBorders>
            <w:vAlign w:val="center"/>
          </w:tcPr>
          <w:p w14:paraId="0348327A">
            <w:pPr>
              <w:jc w:val="center"/>
              <w:rPr>
                <w:rFonts w:ascii="宋体" w:hAnsi="宋体" w:cs="宋体"/>
                <w:szCs w:val="21"/>
              </w:rPr>
            </w:pPr>
            <w:r>
              <w:rPr>
                <w:rFonts w:hint="eastAsia" w:ascii="宋体" w:hAnsi="宋体" w:cs="宋体"/>
                <w:szCs w:val="21"/>
              </w:rPr>
              <w:t>灯具照明</w:t>
            </w:r>
          </w:p>
        </w:tc>
        <w:tc>
          <w:tcPr>
            <w:tcW w:w="1418" w:type="dxa"/>
            <w:tcBorders>
              <w:top w:val="single" w:color="auto" w:sz="4" w:space="0"/>
              <w:left w:val="single" w:color="auto" w:sz="4" w:space="0"/>
              <w:bottom w:val="single" w:color="auto" w:sz="4" w:space="0"/>
              <w:right w:val="single" w:color="auto" w:sz="4" w:space="0"/>
            </w:tcBorders>
            <w:vAlign w:val="center"/>
          </w:tcPr>
          <w:p w14:paraId="6C94D58D">
            <w:pPr>
              <w:widowControl/>
              <w:jc w:val="center"/>
              <w:rPr>
                <w:rFonts w:ascii="宋体" w:hAnsi="宋体" w:cs="宋体"/>
                <w:szCs w:val="21"/>
              </w:rPr>
            </w:pPr>
            <w:r>
              <w:rPr>
                <w:rFonts w:hint="eastAsia" w:ascii="宋体" w:hAnsi="宋体" w:cs="宋体"/>
                <w:kern w:val="0"/>
                <w:szCs w:val="21"/>
              </w:rPr>
              <w:t>雷士</w:t>
            </w:r>
          </w:p>
        </w:tc>
        <w:tc>
          <w:tcPr>
            <w:tcW w:w="1417" w:type="dxa"/>
            <w:tcBorders>
              <w:top w:val="single" w:color="auto" w:sz="4" w:space="0"/>
              <w:left w:val="single" w:color="auto" w:sz="4" w:space="0"/>
              <w:bottom w:val="single" w:color="auto" w:sz="4" w:space="0"/>
              <w:right w:val="single" w:color="auto" w:sz="4" w:space="0"/>
            </w:tcBorders>
            <w:vAlign w:val="center"/>
          </w:tcPr>
          <w:p w14:paraId="490CF38D">
            <w:pPr>
              <w:widowControl/>
              <w:jc w:val="center"/>
              <w:rPr>
                <w:rFonts w:ascii="宋体" w:hAnsi="宋体" w:cs="宋体"/>
                <w:szCs w:val="21"/>
              </w:rPr>
            </w:pPr>
            <w:r>
              <w:rPr>
                <w:rFonts w:hint="eastAsia" w:ascii="宋体" w:hAnsi="宋体" w:cs="宋体"/>
                <w:kern w:val="0"/>
                <w:szCs w:val="21"/>
              </w:rPr>
              <w:t>欧普</w:t>
            </w:r>
          </w:p>
        </w:tc>
        <w:tc>
          <w:tcPr>
            <w:tcW w:w="1418" w:type="dxa"/>
            <w:tcBorders>
              <w:top w:val="single" w:color="auto" w:sz="4" w:space="0"/>
              <w:left w:val="single" w:color="auto" w:sz="4" w:space="0"/>
              <w:bottom w:val="single" w:color="auto" w:sz="4" w:space="0"/>
              <w:right w:val="single" w:color="auto" w:sz="4" w:space="0"/>
            </w:tcBorders>
            <w:vAlign w:val="center"/>
          </w:tcPr>
          <w:p w14:paraId="6DED58A5">
            <w:pPr>
              <w:widowControl/>
              <w:jc w:val="center"/>
              <w:rPr>
                <w:rFonts w:ascii="宋体" w:hAnsi="宋体" w:cs="宋体"/>
                <w:szCs w:val="21"/>
              </w:rPr>
            </w:pPr>
            <w:r>
              <w:rPr>
                <w:rFonts w:hint="eastAsia" w:ascii="宋体" w:hAnsi="宋体" w:cs="宋体"/>
                <w:kern w:val="0"/>
                <w:szCs w:val="21"/>
              </w:rPr>
              <w:t>三雄极光</w:t>
            </w:r>
          </w:p>
        </w:tc>
      </w:tr>
      <w:tr w14:paraId="307F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22C6E7A4">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8</w:t>
            </w:r>
          </w:p>
        </w:tc>
        <w:tc>
          <w:tcPr>
            <w:tcW w:w="3363" w:type="dxa"/>
            <w:tcBorders>
              <w:top w:val="single" w:color="auto" w:sz="4" w:space="0"/>
              <w:left w:val="single" w:color="auto" w:sz="4" w:space="0"/>
              <w:bottom w:val="single" w:color="auto" w:sz="4" w:space="0"/>
              <w:right w:val="single" w:color="auto" w:sz="4" w:space="0"/>
            </w:tcBorders>
            <w:vAlign w:val="center"/>
          </w:tcPr>
          <w:p w14:paraId="51048F7A">
            <w:pPr>
              <w:jc w:val="center"/>
              <w:rPr>
                <w:rFonts w:ascii="宋体" w:hAnsi="宋体" w:cs="宋体"/>
                <w:szCs w:val="21"/>
              </w:rPr>
            </w:pPr>
            <w:r>
              <w:rPr>
                <w:rFonts w:hint="eastAsia" w:ascii="宋体" w:hAnsi="宋体" w:cs="宋体"/>
                <w:szCs w:val="21"/>
              </w:rPr>
              <w:t>电线、电缆</w:t>
            </w:r>
          </w:p>
        </w:tc>
        <w:tc>
          <w:tcPr>
            <w:tcW w:w="1418" w:type="dxa"/>
            <w:tcBorders>
              <w:top w:val="single" w:color="auto" w:sz="4" w:space="0"/>
              <w:left w:val="single" w:color="auto" w:sz="4" w:space="0"/>
              <w:bottom w:val="single" w:color="auto" w:sz="4" w:space="0"/>
              <w:right w:val="single" w:color="auto" w:sz="4" w:space="0"/>
            </w:tcBorders>
            <w:vAlign w:val="center"/>
          </w:tcPr>
          <w:p w14:paraId="7E6E4F05">
            <w:pPr>
              <w:jc w:val="center"/>
              <w:rPr>
                <w:rFonts w:ascii="宋体" w:hAnsi="宋体" w:cs="宋体"/>
                <w:szCs w:val="21"/>
              </w:rPr>
            </w:pPr>
            <w:r>
              <w:rPr>
                <w:rFonts w:hint="eastAsia" w:ascii="宋体" w:hAnsi="宋体" w:cs="宋体"/>
                <w:szCs w:val="21"/>
              </w:rPr>
              <w:t>宁波东方</w:t>
            </w:r>
          </w:p>
        </w:tc>
        <w:tc>
          <w:tcPr>
            <w:tcW w:w="1417" w:type="dxa"/>
            <w:tcBorders>
              <w:top w:val="single" w:color="auto" w:sz="4" w:space="0"/>
              <w:left w:val="single" w:color="auto" w:sz="4" w:space="0"/>
              <w:bottom w:val="single" w:color="auto" w:sz="4" w:space="0"/>
              <w:right w:val="single" w:color="auto" w:sz="4" w:space="0"/>
            </w:tcBorders>
            <w:vAlign w:val="center"/>
          </w:tcPr>
          <w:p w14:paraId="5587E6A2">
            <w:pPr>
              <w:jc w:val="center"/>
              <w:rPr>
                <w:rFonts w:ascii="宋体" w:hAnsi="宋体" w:cs="宋体"/>
                <w:szCs w:val="21"/>
              </w:rPr>
            </w:pPr>
            <w:r>
              <w:rPr>
                <w:rFonts w:hint="eastAsia" w:ascii="宋体" w:hAnsi="宋体" w:cs="宋体"/>
                <w:szCs w:val="21"/>
              </w:rPr>
              <w:t>宁波球冠</w:t>
            </w:r>
          </w:p>
        </w:tc>
        <w:tc>
          <w:tcPr>
            <w:tcW w:w="1418" w:type="dxa"/>
            <w:tcBorders>
              <w:top w:val="single" w:color="auto" w:sz="4" w:space="0"/>
              <w:left w:val="single" w:color="auto" w:sz="4" w:space="0"/>
              <w:bottom w:val="single" w:color="auto" w:sz="4" w:space="0"/>
              <w:right w:val="single" w:color="auto" w:sz="4" w:space="0"/>
            </w:tcBorders>
            <w:vAlign w:val="center"/>
          </w:tcPr>
          <w:p w14:paraId="2A385C33">
            <w:pPr>
              <w:jc w:val="center"/>
              <w:rPr>
                <w:rFonts w:ascii="宋体" w:hAnsi="宋体" w:cs="宋体"/>
                <w:szCs w:val="21"/>
              </w:rPr>
            </w:pPr>
            <w:r>
              <w:rPr>
                <w:rFonts w:hint="eastAsia" w:ascii="宋体" w:hAnsi="宋体" w:cs="宋体"/>
                <w:szCs w:val="21"/>
              </w:rPr>
              <w:t>杭州中策</w:t>
            </w:r>
          </w:p>
        </w:tc>
      </w:tr>
      <w:tr w14:paraId="2E74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3BBE8C18">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9</w:t>
            </w:r>
          </w:p>
        </w:tc>
        <w:tc>
          <w:tcPr>
            <w:tcW w:w="3363" w:type="dxa"/>
            <w:tcBorders>
              <w:top w:val="single" w:color="auto" w:sz="4" w:space="0"/>
              <w:left w:val="single" w:color="auto" w:sz="4" w:space="0"/>
              <w:bottom w:val="single" w:color="auto" w:sz="4" w:space="0"/>
              <w:right w:val="single" w:color="auto" w:sz="4" w:space="0"/>
            </w:tcBorders>
            <w:vAlign w:val="center"/>
          </w:tcPr>
          <w:p w14:paraId="705F7E29">
            <w:pPr>
              <w:jc w:val="center"/>
              <w:rPr>
                <w:rFonts w:ascii="宋体" w:hAnsi="宋体" w:cs="宋体"/>
                <w:szCs w:val="21"/>
              </w:rPr>
            </w:pPr>
            <w:r>
              <w:rPr>
                <w:rFonts w:hint="eastAsia" w:ascii="宋体" w:hAnsi="宋体" w:cs="宋体"/>
                <w:szCs w:val="21"/>
              </w:rPr>
              <w:t>卫生洁具（坐便器、蹲便器、洗脸盆、水龙头、花洒、冲水阀、地漏、配套五金件等）节水型</w:t>
            </w:r>
          </w:p>
        </w:tc>
        <w:tc>
          <w:tcPr>
            <w:tcW w:w="1418" w:type="dxa"/>
            <w:tcBorders>
              <w:top w:val="single" w:color="auto" w:sz="4" w:space="0"/>
              <w:left w:val="single" w:color="auto" w:sz="4" w:space="0"/>
              <w:bottom w:val="single" w:color="auto" w:sz="4" w:space="0"/>
              <w:right w:val="single" w:color="auto" w:sz="4" w:space="0"/>
            </w:tcBorders>
            <w:vAlign w:val="center"/>
          </w:tcPr>
          <w:p w14:paraId="364B6DCE">
            <w:pPr>
              <w:jc w:val="center"/>
              <w:rPr>
                <w:rFonts w:ascii="宋体" w:hAnsi="宋体" w:cs="宋体"/>
                <w:szCs w:val="21"/>
              </w:rPr>
            </w:pPr>
            <w:r>
              <w:rPr>
                <w:rFonts w:hint="eastAsia" w:ascii="宋体" w:hAnsi="宋体" w:cs="宋体"/>
                <w:szCs w:val="21"/>
              </w:rPr>
              <w:t>箭牌ARROW</w:t>
            </w:r>
          </w:p>
        </w:tc>
        <w:tc>
          <w:tcPr>
            <w:tcW w:w="1417" w:type="dxa"/>
            <w:tcBorders>
              <w:top w:val="single" w:color="auto" w:sz="4" w:space="0"/>
              <w:left w:val="single" w:color="auto" w:sz="4" w:space="0"/>
              <w:bottom w:val="single" w:color="auto" w:sz="4" w:space="0"/>
              <w:right w:val="single" w:color="auto" w:sz="4" w:space="0"/>
            </w:tcBorders>
            <w:vAlign w:val="center"/>
          </w:tcPr>
          <w:p w14:paraId="5B4FFE0C">
            <w:pPr>
              <w:jc w:val="center"/>
              <w:rPr>
                <w:rFonts w:ascii="宋体" w:hAnsi="宋体" w:cs="宋体"/>
                <w:szCs w:val="21"/>
              </w:rPr>
            </w:pPr>
            <w:r>
              <w:rPr>
                <w:rFonts w:hint="eastAsia" w:ascii="宋体" w:hAnsi="宋体" w:cs="宋体"/>
                <w:szCs w:val="21"/>
              </w:rPr>
              <w:t>美标</w:t>
            </w:r>
          </w:p>
          <w:p w14:paraId="0CB155B8">
            <w:pPr>
              <w:jc w:val="center"/>
              <w:rPr>
                <w:rFonts w:ascii="宋体" w:hAnsi="宋体" w:cs="宋体"/>
                <w:szCs w:val="21"/>
              </w:rPr>
            </w:pPr>
            <w:r>
              <w:rPr>
                <w:rFonts w:hint="eastAsia" w:ascii="宋体" w:hAnsi="宋体" w:cs="宋体"/>
                <w:szCs w:val="21"/>
              </w:rPr>
              <w:t>American Standard</w:t>
            </w:r>
          </w:p>
        </w:tc>
        <w:tc>
          <w:tcPr>
            <w:tcW w:w="1418" w:type="dxa"/>
            <w:tcBorders>
              <w:top w:val="single" w:color="auto" w:sz="4" w:space="0"/>
              <w:left w:val="single" w:color="auto" w:sz="4" w:space="0"/>
              <w:bottom w:val="single" w:color="auto" w:sz="4" w:space="0"/>
              <w:right w:val="single" w:color="auto" w:sz="4" w:space="0"/>
            </w:tcBorders>
            <w:vAlign w:val="center"/>
          </w:tcPr>
          <w:p w14:paraId="3B041DDF">
            <w:pPr>
              <w:jc w:val="center"/>
              <w:rPr>
                <w:rFonts w:ascii="宋体" w:hAnsi="宋体" w:cs="宋体"/>
                <w:szCs w:val="21"/>
              </w:rPr>
            </w:pPr>
            <w:r>
              <w:rPr>
                <w:rFonts w:hint="eastAsia" w:ascii="宋体" w:hAnsi="宋体" w:cs="宋体"/>
                <w:szCs w:val="21"/>
              </w:rPr>
              <w:t>恒洁</w:t>
            </w:r>
          </w:p>
          <w:p w14:paraId="7AABF475">
            <w:pPr>
              <w:jc w:val="center"/>
              <w:rPr>
                <w:rFonts w:ascii="宋体" w:hAnsi="宋体" w:cs="宋体"/>
                <w:szCs w:val="21"/>
              </w:rPr>
            </w:pPr>
            <w:r>
              <w:rPr>
                <w:rFonts w:hint="eastAsia" w:ascii="宋体" w:hAnsi="宋体" w:cs="宋体"/>
                <w:szCs w:val="21"/>
              </w:rPr>
              <w:t>HEGII</w:t>
            </w:r>
          </w:p>
        </w:tc>
      </w:tr>
      <w:tr w14:paraId="1E07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16F9392B">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10</w:t>
            </w:r>
          </w:p>
        </w:tc>
        <w:tc>
          <w:tcPr>
            <w:tcW w:w="3363" w:type="dxa"/>
            <w:tcBorders>
              <w:top w:val="single" w:color="auto" w:sz="4" w:space="0"/>
              <w:left w:val="single" w:color="auto" w:sz="4" w:space="0"/>
              <w:bottom w:val="single" w:color="auto" w:sz="4" w:space="0"/>
              <w:right w:val="single" w:color="auto" w:sz="4" w:space="0"/>
            </w:tcBorders>
            <w:vAlign w:val="center"/>
          </w:tcPr>
          <w:p w14:paraId="2D1559E4">
            <w:pPr>
              <w:jc w:val="center"/>
              <w:rPr>
                <w:rFonts w:ascii="宋体" w:hAnsi="宋体" w:cs="宋体"/>
                <w:szCs w:val="21"/>
              </w:rPr>
            </w:pPr>
            <w:r>
              <w:rPr>
                <w:rFonts w:hint="eastAsia" w:ascii="宋体" w:hAnsi="宋体" w:cs="宋体"/>
                <w:szCs w:val="21"/>
              </w:rPr>
              <w:t>水表</w:t>
            </w:r>
          </w:p>
        </w:tc>
        <w:tc>
          <w:tcPr>
            <w:tcW w:w="1418" w:type="dxa"/>
            <w:tcBorders>
              <w:top w:val="single" w:color="auto" w:sz="4" w:space="0"/>
              <w:left w:val="single" w:color="auto" w:sz="4" w:space="0"/>
              <w:bottom w:val="single" w:color="auto" w:sz="4" w:space="0"/>
              <w:right w:val="single" w:color="auto" w:sz="4" w:space="0"/>
            </w:tcBorders>
            <w:vAlign w:val="center"/>
          </w:tcPr>
          <w:p w14:paraId="0BA12382">
            <w:pPr>
              <w:jc w:val="center"/>
              <w:rPr>
                <w:rFonts w:ascii="宋体" w:hAnsi="宋体" w:cs="宋体"/>
                <w:szCs w:val="21"/>
              </w:rPr>
            </w:pPr>
            <w:r>
              <w:rPr>
                <w:rFonts w:hint="eastAsia" w:ascii="宋体" w:hAnsi="宋体" w:cs="宋体"/>
                <w:szCs w:val="21"/>
              </w:rPr>
              <w:t>宁波牌</w:t>
            </w:r>
          </w:p>
        </w:tc>
        <w:tc>
          <w:tcPr>
            <w:tcW w:w="1417" w:type="dxa"/>
            <w:tcBorders>
              <w:top w:val="single" w:color="auto" w:sz="4" w:space="0"/>
              <w:left w:val="single" w:color="auto" w:sz="4" w:space="0"/>
              <w:bottom w:val="single" w:color="auto" w:sz="4" w:space="0"/>
              <w:right w:val="single" w:color="auto" w:sz="4" w:space="0"/>
            </w:tcBorders>
            <w:vAlign w:val="center"/>
          </w:tcPr>
          <w:p w14:paraId="6F46914E">
            <w:pPr>
              <w:jc w:val="center"/>
              <w:rPr>
                <w:rFonts w:ascii="宋体" w:hAnsi="宋体" w:cs="宋体"/>
                <w:szCs w:val="21"/>
              </w:rPr>
            </w:pPr>
            <w:r>
              <w:rPr>
                <w:rFonts w:hint="eastAsia" w:ascii="宋体" w:hAnsi="宋体" w:cs="宋体"/>
                <w:szCs w:val="21"/>
              </w:rPr>
              <w:t>埃美柯</w:t>
            </w:r>
          </w:p>
        </w:tc>
        <w:tc>
          <w:tcPr>
            <w:tcW w:w="1418" w:type="dxa"/>
            <w:tcBorders>
              <w:top w:val="single" w:color="auto" w:sz="4" w:space="0"/>
              <w:left w:val="single" w:color="auto" w:sz="4" w:space="0"/>
              <w:bottom w:val="single" w:color="auto" w:sz="4" w:space="0"/>
              <w:right w:val="single" w:color="auto" w:sz="4" w:space="0"/>
            </w:tcBorders>
            <w:vAlign w:val="center"/>
          </w:tcPr>
          <w:p w14:paraId="04D52150">
            <w:pPr>
              <w:jc w:val="center"/>
              <w:rPr>
                <w:rFonts w:ascii="宋体" w:hAnsi="宋体" w:cs="宋体"/>
                <w:szCs w:val="21"/>
              </w:rPr>
            </w:pPr>
            <w:r>
              <w:rPr>
                <w:rFonts w:hint="eastAsia" w:ascii="宋体" w:hAnsi="宋体" w:cs="宋体"/>
                <w:szCs w:val="21"/>
              </w:rPr>
              <w:t>东海牌</w:t>
            </w:r>
          </w:p>
        </w:tc>
      </w:tr>
      <w:tr w14:paraId="337D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532F0B02">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11</w:t>
            </w:r>
          </w:p>
        </w:tc>
        <w:tc>
          <w:tcPr>
            <w:tcW w:w="3363" w:type="dxa"/>
            <w:tcBorders>
              <w:top w:val="single" w:color="auto" w:sz="4" w:space="0"/>
              <w:left w:val="single" w:color="auto" w:sz="4" w:space="0"/>
              <w:bottom w:val="single" w:color="auto" w:sz="4" w:space="0"/>
              <w:right w:val="single" w:color="auto" w:sz="4" w:space="0"/>
            </w:tcBorders>
            <w:vAlign w:val="center"/>
          </w:tcPr>
          <w:p w14:paraId="3FA4D53D">
            <w:pPr>
              <w:jc w:val="center"/>
              <w:rPr>
                <w:rFonts w:ascii="宋体" w:hAnsi="宋体" w:cs="宋体"/>
                <w:szCs w:val="21"/>
              </w:rPr>
            </w:pPr>
            <w:r>
              <w:rPr>
                <w:rFonts w:hint="eastAsia" w:ascii="宋体" w:hAnsi="宋体" w:cs="宋体"/>
                <w:szCs w:val="21"/>
              </w:rPr>
              <w:t>PVC-U排水管、PP-R给水管</w:t>
            </w:r>
          </w:p>
        </w:tc>
        <w:tc>
          <w:tcPr>
            <w:tcW w:w="1418" w:type="dxa"/>
            <w:tcBorders>
              <w:top w:val="single" w:color="auto" w:sz="4" w:space="0"/>
              <w:left w:val="single" w:color="auto" w:sz="4" w:space="0"/>
              <w:bottom w:val="single" w:color="auto" w:sz="4" w:space="0"/>
              <w:right w:val="single" w:color="auto" w:sz="4" w:space="0"/>
            </w:tcBorders>
            <w:vAlign w:val="center"/>
          </w:tcPr>
          <w:p w14:paraId="367D7CF9">
            <w:pPr>
              <w:jc w:val="center"/>
              <w:rPr>
                <w:rFonts w:ascii="宋体" w:hAnsi="宋体" w:cs="宋体"/>
                <w:szCs w:val="21"/>
              </w:rPr>
            </w:pPr>
            <w:r>
              <w:rPr>
                <w:rFonts w:hint="eastAsia" w:ascii="宋体" w:hAnsi="宋体" w:cs="宋体"/>
                <w:szCs w:val="21"/>
              </w:rPr>
              <w:t>伟星</w:t>
            </w:r>
          </w:p>
        </w:tc>
        <w:tc>
          <w:tcPr>
            <w:tcW w:w="1417" w:type="dxa"/>
            <w:tcBorders>
              <w:top w:val="single" w:color="auto" w:sz="4" w:space="0"/>
              <w:left w:val="single" w:color="auto" w:sz="4" w:space="0"/>
              <w:bottom w:val="single" w:color="auto" w:sz="4" w:space="0"/>
              <w:right w:val="single" w:color="auto" w:sz="4" w:space="0"/>
            </w:tcBorders>
            <w:vAlign w:val="center"/>
          </w:tcPr>
          <w:p w14:paraId="19C4E24E">
            <w:pPr>
              <w:jc w:val="center"/>
              <w:rPr>
                <w:rFonts w:ascii="宋体" w:hAnsi="宋体" w:cs="宋体"/>
                <w:szCs w:val="21"/>
              </w:rPr>
            </w:pPr>
            <w:r>
              <w:rPr>
                <w:rFonts w:hint="eastAsia" w:ascii="宋体" w:hAnsi="宋体" w:cs="宋体"/>
                <w:szCs w:val="21"/>
              </w:rPr>
              <w:t>浙江中财</w:t>
            </w:r>
          </w:p>
        </w:tc>
        <w:tc>
          <w:tcPr>
            <w:tcW w:w="1418" w:type="dxa"/>
            <w:tcBorders>
              <w:top w:val="single" w:color="auto" w:sz="4" w:space="0"/>
              <w:left w:val="single" w:color="auto" w:sz="4" w:space="0"/>
              <w:bottom w:val="single" w:color="auto" w:sz="4" w:space="0"/>
              <w:right w:val="single" w:color="auto" w:sz="4" w:space="0"/>
            </w:tcBorders>
            <w:vAlign w:val="center"/>
          </w:tcPr>
          <w:p w14:paraId="68597A41">
            <w:pPr>
              <w:jc w:val="center"/>
              <w:rPr>
                <w:rFonts w:ascii="宋体" w:hAnsi="宋体" w:cs="宋体"/>
                <w:szCs w:val="21"/>
              </w:rPr>
            </w:pPr>
            <w:r>
              <w:rPr>
                <w:rFonts w:hint="eastAsia" w:ascii="宋体" w:hAnsi="宋体" w:cs="宋体"/>
                <w:szCs w:val="21"/>
              </w:rPr>
              <w:t>波尔</w:t>
            </w:r>
          </w:p>
        </w:tc>
      </w:tr>
      <w:tr w14:paraId="1C5E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6BDE4A67">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12</w:t>
            </w:r>
          </w:p>
        </w:tc>
        <w:tc>
          <w:tcPr>
            <w:tcW w:w="3363" w:type="dxa"/>
            <w:tcBorders>
              <w:top w:val="single" w:color="auto" w:sz="4" w:space="0"/>
              <w:left w:val="single" w:color="auto" w:sz="4" w:space="0"/>
              <w:bottom w:val="single" w:color="auto" w:sz="4" w:space="0"/>
              <w:right w:val="single" w:color="auto" w:sz="4" w:space="0"/>
            </w:tcBorders>
            <w:vAlign w:val="center"/>
          </w:tcPr>
          <w:p w14:paraId="67006B7E">
            <w:pPr>
              <w:jc w:val="center"/>
              <w:rPr>
                <w:rFonts w:ascii="宋体" w:hAnsi="宋体" w:cs="宋体"/>
                <w:szCs w:val="21"/>
              </w:rPr>
            </w:pPr>
            <w:r>
              <w:rPr>
                <w:rFonts w:hint="eastAsia" w:ascii="宋体" w:hAnsi="宋体" w:cs="宋体"/>
                <w:szCs w:val="21"/>
              </w:rPr>
              <w:t>综合布线系统（网线超六类等）</w:t>
            </w:r>
          </w:p>
        </w:tc>
        <w:tc>
          <w:tcPr>
            <w:tcW w:w="1418" w:type="dxa"/>
            <w:tcBorders>
              <w:top w:val="single" w:color="auto" w:sz="4" w:space="0"/>
              <w:left w:val="single" w:color="auto" w:sz="4" w:space="0"/>
              <w:bottom w:val="single" w:color="auto" w:sz="4" w:space="0"/>
              <w:right w:val="single" w:color="auto" w:sz="4" w:space="0"/>
            </w:tcBorders>
            <w:vAlign w:val="center"/>
          </w:tcPr>
          <w:p w14:paraId="6E6F2092">
            <w:pPr>
              <w:jc w:val="center"/>
              <w:rPr>
                <w:rFonts w:ascii="宋体" w:hAnsi="宋体" w:cs="宋体"/>
                <w:szCs w:val="21"/>
              </w:rPr>
            </w:pPr>
            <w:r>
              <w:rPr>
                <w:rFonts w:hint="eastAsia" w:ascii="宋体" w:hAnsi="宋体" w:cs="宋体"/>
                <w:szCs w:val="21"/>
              </w:rPr>
              <w:t>康普</w:t>
            </w:r>
          </w:p>
        </w:tc>
        <w:tc>
          <w:tcPr>
            <w:tcW w:w="1417" w:type="dxa"/>
            <w:tcBorders>
              <w:top w:val="single" w:color="auto" w:sz="4" w:space="0"/>
              <w:left w:val="single" w:color="auto" w:sz="4" w:space="0"/>
              <w:bottom w:val="single" w:color="auto" w:sz="4" w:space="0"/>
              <w:right w:val="single" w:color="auto" w:sz="4" w:space="0"/>
            </w:tcBorders>
            <w:vAlign w:val="center"/>
          </w:tcPr>
          <w:p w14:paraId="5C463D29">
            <w:pPr>
              <w:jc w:val="center"/>
              <w:rPr>
                <w:rFonts w:ascii="宋体" w:hAnsi="宋体" w:cs="宋体"/>
                <w:szCs w:val="21"/>
              </w:rPr>
            </w:pPr>
            <w:r>
              <w:rPr>
                <w:rFonts w:hint="eastAsia" w:ascii="宋体" w:hAnsi="宋体" w:cs="宋体"/>
                <w:szCs w:val="21"/>
              </w:rPr>
              <w:t>西蒙</w:t>
            </w:r>
          </w:p>
        </w:tc>
        <w:tc>
          <w:tcPr>
            <w:tcW w:w="1418" w:type="dxa"/>
            <w:tcBorders>
              <w:top w:val="single" w:color="auto" w:sz="4" w:space="0"/>
              <w:left w:val="single" w:color="auto" w:sz="4" w:space="0"/>
              <w:bottom w:val="single" w:color="auto" w:sz="4" w:space="0"/>
              <w:right w:val="single" w:color="auto" w:sz="4" w:space="0"/>
            </w:tcBorders>
            <w:vAlign w:val="center"/>
          </w:tcPr>
          <w:p w14:paraId="69F2B881">
            <w:pPr>
              <w:jc w:val="center"/>
              <w:rPr>
                <w:rFonts w:ascii="宋体" w:hAnsi="宋体" w:cs="宋体"/>
                <w:szCs w:val="21"/>
              </w:rPr>
            </w:pPr>
            <w:r>
              <w:rPr>
                <w:rFonts w:hint="eastAsia" w:ascii="宋体" w:hAnsi="宋体" w:cs="宋体"/>
                <w:szCs w:val="21"/>
              </w:rPr>
              <w:t>康宁</w:t>
            </w:r>
          </w:p>
        </w:tc>
      </w:tr>
      <w:tr w14:paraId="5D0F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52F8A6D2">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13</w:t>
            </w:r>
          </w:p>
        </w:tc>
        <w:tc>
          <w:tcPr>
            <w:tcW w:w="3363" w:type="dxa"/>
            <w:tcBorders>
              <w:top w:val="single" w:color="auto" w:sz="4" w:space="0"/>
              <w:left w:val="single" w:color="auto" w:sz="4" w:space="0"/>
              <w:bottom w:val="single" w:color="auto" w:sz="4" w:space="0"/>
              <w:right w:val="single" w:color="auto" w:sz="4" w:space="0"/>
            </w:tcBorders>
            <w:vAlign w:val="center"/>
          </w:tcPr>
          <w:p w14:paraId="3FAFB105">
            <w:pPr>
              <w:jc w:val="center"/>
              <w:rPr>
                <w:rFonts w:ascii="宋体" w:hAnsi="宋体" w:cs="宋体"/>
                <w:szCs w:val="21"/>
              </w:rPr>
            </w:pPr>
            <w:r>
              <w:rPr>
                <w:rFonts w:hint="eastAsia" w:ascii="宋体" w:hAnsi="宋体" w:cs="宋体"/>
                <w:szCs w:val="21"/>
              </w:rPr>
              <w:t>吊扇</w:t>
            </w:r>
          </w:p>
        </w:tc>
        <w:tc>
          <w:tcPr>
            <w:tcW w:w="1418" w:type="dxa"/>
            <w:tcBorders>
              <w:top w:val="single" w:color="auto" w:sz="4" w:space="0"/>
              <w:left w:val="single" w:color="auto" w:sz="4" w:space="0"/>
              <w:bottom w:val="single" w:color="auto" w:sz="4" w:space="0"/>
              <w:right w:val="single" w:color="auto" w:sz="4" w:space="0"/>
            </w:tcBorders>
            <w:vAlign w:val="center"/>
          </w:tcPr>
          <w:p w14:paraId="0192A65E">
            <w:pPr>
              <w:jc w:val="center"/>
              <w:rPr>
                <w:rFonts w:ascii="宋体" w:hAnsi="宋体" w:cs="宋体"/>
                <w:szCs w:val="21"/>
              </w:rPr>
            </w:pPr>
            <w:r>
              <w:rPr>
                <w:rFonts w:hint="eastAsia" w:ascii="宋体" w:hAnsi="宋体" w:cs="宋体"/>
                <w:szCs w:val="21"/>
              </w:rPr>
              <w:t>艾美特</w:t>
            </w:r>
          </w:p>
        </w:tc>
        <w:tc>
          <w:tcPr>
            <w:tcW w:w="1417" w:type="dxa"/>
            <w:tcBorders>
              <w:top w:val="single" w:color="auto" w:sz="4" w:space="0"/>
              <w:left w:val="single" w:color="auto" w:sz="4" w:space="0"/>
              <w:bottom w:val="single" w:color="auto" w:sz="4" w:space="0"/>
              <w:right w:val="single" w:color="auto" w:sz="4" w:space="0"/>
            </w:tcBorders>
            <w:vAlign w:val="center"/>
          </w:tcPr>
          <w:p w14:paraId="0DEF74D8">
            <w:pPr>
              <w:jc w:val="center"/>
              <w:rPr>
                <w:rFonts w:ascii="宋体" w:hAnsi="宋体" w:cs="宋体"/>
                <w:szCs w:val="21"/>
              </w:rPr>
            </w:pPr>
            <w:r>
              <w:rPr>
                <w:rFonts w:hint="eastAsia" w:ascii="宋体" w:hAnsi="宋体" w:cs="宋体"/>
                <w:szCs w:val="21"/>
              </w:rPr>
              <w:t>美的</w:t>
            </w:r>
          </w:p>
        </w:tc>
        <w:tc>
          <w:tcPr>
            <w:tcW w:w="1418" w:type="dxa"/>
            <w:tcBorders>
              <w:top w:val="single" w:color="auto" w:sz="4" w:space="0"/>
              <w:left w:val="single" w:color="auto" w:sz="4" w:space="0"/>
              <w:bottom w:val="single" w:color="auto" w:sz="4" w:space="0"/>
              <w:right w:val="single" w:color="auto" w:sz="4" w:space="0"/>
            </w:tcBorders>
            <w:vAlign w:val="center"/>
          </w:tcPr>
          <w:p w14:paraId="1D5CBFC8">
            <w:pPr>
              <w:jc w:val="center"/>
              <w:rPr>
                <w:rFonts w:ascii="宋体" w:hAnsi="宋体" w:cs="宋体"/>
                <w:szCs w:val="21"/>
              </w:rPr>
            </w:pPr>
            <w:r>
              <w:rPr>
                <w:rFonts w:hint="eastAsia" w:ascii="宋体" w:hAnsi="宋体" w:cs="宋体"/>
                <w:szCs w:val="21"/>
              </w:rPr>
              <w:t>奥克斯</w:t>
            </w:r>
          </w:p>
        </w:tc>
      </w:tr>
      <w:tr w14:paraId="23EA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512C6CC6">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14</w:t>
            </w:r>
          </w:p>
        </w:tc>
        <w:tc>
          <w:tcPr>
            <w:tcW w:w="3363" w:type="dxa"/>
            <w:tcBorders>
              <w:top w:val="single" w:color="auto" w:sz="4" w:space="0"/>
              <w:left w:val="single" w:color="auto" w:sz="4" w:space="0"/>
              <w:bottom w:val="single" w:color="auto" w:sz="4" w:space="0"/>
              <w:right w:val="single" w:color="auto" w:sz="4" w:space="0"/>
            </w:tcBorders>
            <w:vAlign w:val="center"/>
          </w:tcPr>
          <w:p w14:paraId="33EFC1CE">
            <w:pPr>
              <w:jc w:val="center"/>
              <w:rPr>
                <w:rFonts w:ascii="宋体" w:hAnsi="宋体" w:cs="宋体"/>
                <w:szCs w:val="21"/>
              </w:rPr>
            </w:pPr>
            <w:r>
              <w:rPr>
                <w:rFonts w:hint="eastAsia" w:ascii="宋体" w:hAnsi="宋体" w:cs="宋体"/>
                <w:szCs w:val="21"/>
              </w:rPr>
              <w:t>排气扇</w:t>
            </w:r>
          </w:p>
        </w:tc>
        <w:tc>
          <w:tcPr>
            <w:tcW w:w="1418" w:type="dxa"/>
            <w:tcBorders>
              <w:top w:val="single" w:color="auto" w:sz="4" w:space="0"/>
              <w:left w:val="single" w:color="auto" w:sz="4" w:space="0"/>
              <w:bottom w:val="single" w:color="auto" w:sz="4" w:space="0"/>
              <w:right w:val="single" w:color="auto" w:sz="4" w:space="0"/>
            </w:tcBorders>
            <w:vAlign w:val="center"/>
          </w:tcPr>
          <w:p w14:paraId="0CD70EBF">
            <w:pPr>
              <w:jc w:val="center"/>
              <w:rPr>
                <w:rFonts w:ascii="宋体" w:hAnsi="宋体" w:cs="宋体"/>
                <w:szCs w:val="21"/>
              </w:rPr>
            </w:pPr>
            <w:r>
              <w:rPr>
                <w:rFonts w:hint="eastAsia" w:ascii="宋体" w:hAnsi="宋体" w:cs="宋体"/>
                <w:szCs w:val="21"/>
              </w:rPr>
              <w:t>艾美特</w:t>
            </w:r>
          </w:p>
        </w:tc>
        <w:tc>
          <w:tcPr>
            <w:tcW w:w="1417" w:type="dxa"/>
            <w:tcBorders>
              <w:top w:val="single" w:color="auto" w:sz="4" w:space="0"/>
              <w:left w:val="single" w:color="auto" w:sz="4" w:space="0"/>
              <w:bottom w:val="single" w:color="auto" w:sz="4" w:space="0"/>
              <w:right w:val="single" w:color="auto" w:sz="4" w:space="0"/>
            </w:tcBorders>
            <w:vAlign w:val="center"/>
          </w:tcPr>
          <w:p w14:paraId="7DC09AC7">
            <w:pPr>
              <w:jc w:val="center"/>
              <w:rPr>
                <w:rFonts w:ascii="宋体" w:hAnsi="宋体" w:cs="宋体"/>
                <w:szCs w:val="21"/>
              </w:rPr>
            </w:pPr>
            <w:r>
              <w:rPr>
                <w:rFonts w:hint="eastAsia" w:ascii="宋体" w:hAnsi="宋体" w:cs="宋体"/>
                <w:szCs w:val="21"/>
              </w:rPr>
              <w:t>美的</w:t>
            </w:r>
          </w:p>
        </w:tc>
        <w:tc>
          <w:tcPr>
            <w:tcW w:w="1418" w:type="dxa"/>
            <w:tcBorders>
              <w:top w:val="single" w:color="auto" w:sz="4" w:space="0"/>
              <w:left w:val="single" w:color="auto" w:sz="4" w:space="0"/>
              <w:bottom w:val="single" w:color="auto" w:sz="4" w:space="0"/>
              <w:right w:val="single" w:color="auto" w:sz="4" w:space="0"/>
            </w:tcBorders>
            <w:vAlign w:val="center"/>
          </w:tcPr>
          <w:p w14:paraId="6A406B91">
            <w:pPr>
              <w:jc w:val="center"/>
              <w:rPr>
                <w:rFonts w:ascii="宋体" w:hAnsi="宋体" w:cs="宋体"/>
                <w:szCs w:val="21"/>
              </w:rPr>
            </w:pPr>
            <w:r>
              <w:rPr>
                <w:rFonts w:hint="eastAsia" w:ascii="宋体" w:hAnsi="宋体" w:cs="宋体"/>
                <w:szCs w:val="21"/>
              </w:rPr>
              <w:t>雷士</w:t>
            </w:r>
          </w:p>
        </w:tc>
      </w:tr>
      <w:tr w14:paraId="7EF3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46F2534A">
            <w:pPr>
              <w:tabs>
                <w:tab w:val="left" w:pos="1080"/>
                <w:tab w:val="left" w:pos="9180"/>
                <w:tab w:val="left" w:pos="9360"/>
              </w:tabs>
              <w:ind w:right="25" w:rightChars="12"/>
              <w:jc w:val="center"/>
              <w:rPr>
                <w:rFonts w:ascii="宋体" w:hAnsi="宋体" w:cs="宋体"/>
                <w:szCs w:val="21"/>
              </w:rPr>
            </w:pPr>
            <w:r>
              <w:rPr>
                <w:rFonts w:hint="eastAsia" w:ascii="宋体" w:hAnsi="宋体" w:cs="宋体"/>
                <w:szCs w:val="21"/>
              </w:rPr>
              <w:t>15</w:t>
            </w:r>
          </w:p>
        </w:tc>
        <w:tc>
          <w:tcPr>
            <w:tcW w:w="3363" w:type="dxa"/>
            <w:tcBorders>
              <w:top w:val="single" w:color="auto" w:sz="4" w:space="0"/>
              <w:left w:val="single" w:color="auto" w:sz="4" w:space="0"/>
              <w:bottom w:val="single" w:color="auto" w:sz="4" w:space="0"/>
              <w:right w:val="single" w:color="auto" w:sz="4" w:space="0"/>
            </w:tcBorders>
            <w:vAlign w:val="center"/>
          </w:tcPr>
          <w:p w14:paraId="58ACC385">
            <w:pPr>
              <w:jc w:val="center"/>
              <w:rPr>
                <w:rFonts w:ascii="宋体" w:hAnsi="宋体" w:cs="宋体"/>
                <w:szCs w:val="21"/>
              </w:rPr>
            </w:pPr>
            <w:r>
              <w:rPr>
                <w:rFonts w:hint="eastAsia" w:ascii="宋体" w:hAnsi="宋体" w:cs="宋体"/>
                <w:szCs w:val="21"/>
              </w:rPr>
              <w:t>阀门</w:t>
            </w:r>
          </w:p>
        </w:tc>
        <w:tc>
          <w:tcPr>
            <w:tcW w:w="1418" w:type="dxa"/>
            <w:tcBorders>
              <w:top w:val="single" w:color="auto" w:sz="4" w:space="0"/>
              <w:left w:val="single" w:color="auto" w:sz="4" w:space="0"/>
              <w:bottom w:val="single" w:color="auto" w:sz="4" w:space="0"/>
              <w:right w:val="single" w:color="auto" w:sz="4" w:space="0"/>
            </w:tcBorders>
            <w:vAlign w:val="center"/>
          </w:tcPr>
          <w:p w14:paraId="2EF1631F">
            <w:pPr>
              <w:jc w:val="center"/>
              <w:rPr>
                <w:rFonts w:ascii="宋体" w:hAnsi="宋体" w:cs="宋体"/>
                <w:szCs w:val="21"/>
              </w:rPr>
            </w:pPr>
            <w:r>
              <w:rPr>
                <w:rFonts w:hint="eastAsia" w:ascii="宋体" w:hAnsi="宋体" w:cs="宋体"/>
                <w:szCs w:val="21"/>
              </w:rPr>
              <w:t>宁波埃美柯</w:t>
            </w:r>
          </w:p>
        </w:tc>
        <w:tc>
          <w:tcPr>
            <w:tcW w:w="1417" w:type="dxa"/>
            <w:tcBorders>
              <w:top w:val="single" w:color="auto" w:sz="4" w:space="0"/>
              <w:left w:val="single" w:color="auto" w:sz="4" w:space="0"/>
              <w:bottom w:val="single" w:color="auto" w:sz="4" w:space="0"/>
              <w:right w:val="single" w:color="auto" w:sz="4" w:space="0"/>
            </w:tcBorders>
            <w:vAlign w:val="center"/>
          </w:tcPr>
          <w:p w14:paraId="06E71618">
            <w:pPr>
              <w:jc w:val="center"/>
              <w:rPr>
                <w:rFonts w:ascii="宋体" w:hAnsi="宋体" w:cs="宋体"/>
                <w:szCs w:val="21"/>
              </w:rPr>
            </w:pPr>
            <w:r>
              <w:rPr>
                <w:rFonts w:hint="eastAsia" w:ascii="宋体" w:hAnsi="宋体" w:cs="宋体"/>
                <w:szCs w:val="21"/>
              </w:rPr>
              <w:t>宁波杰克龙</w:t>
            </w:r>
          </w:p>
        </w:tc>
        <w:tc>
          <w:tcPr>
            <w:tcW w:w="1418" w:type="dxa"/>
            <w:tcBorders>
              <w:top w:val="single" w:color="auto" w:sz="4" w:space="0"/>
              <w:left w:val="single" w:color="auto" w:sz="4" w:space="0"/>
              <w:bottom w:val="single" w:color="auto" w:sz="4" w:space="0"/>
              <w:right w:val="single" w:color="auto" w:sz="4" w:space="0"/>
            </w:tcBorders>
            <w:vAlign w:val="center"/>
          </w:tcPr>
          <w:p w14:paraId="2F1982AE">
            <w:pPr>
              <w:jc w:val="center"/>
              <w:rPr>
                <w:rFonts w:ascii="宋体" w:hAnsi="宋体" w:cs="宋体"/>
                <w:szCs w:val="21"/>
              </w:rPr>
            </w:pPr>
            <w:r>
              <w:rPr>
                <w:rFonts w:hint="eastAsia" w:ascii="宋体" w:hAnsi="宋体" w:cs="宋体"/>
                <w:szCs w:val="21"/>
              </w:rPr>
              <w:t>永享</w:t>
            </w:r>
          </w:p>
        </w:tc>
      </w:tr>
    </w:tbl>
    <w:p w14:paraId="36D75E92">
      <w:pPr>
        <w:spacing w:line="360" w:lineRule="auto"/>
        <w:ind w:firstLine="424" w:firstLineChars="202"/>
        <w:rPr>
          <w:rFonts w:ascii="宋体" w:hAnsi="宋体"/>
        </w:rPr>
      </w:pPr>
      <w:r>
        <w:rPr>
          <w:rFonts w:ascii="宋体" w:hAnsi="宋体"/>
        </w:rPr>
        <w:t>注：采购人在本章节中推荐的品牌是采购人认为最适合本项目的品牌，供应商应予以积极响应。供应商可以选择能满足本项目技术需求且性能与参考品牌相当的产品进行磋商响应，但必须在响应文件中提供所响应产品详细的技术参数，未提供所响应产品详细的技术参数的，作负偏离处理。</w:t>
      </w:r>
    </w:p>
    <w:p w14:paraId="7A5B5EC5">
      <w:pPr>
        <w:spacing w:line="360" w:lineRule="auto"/>
        <w:ind w:firstLine="426" w:firstLineChars="202"/>
        <w:rPr>
          <w:rFonts w:ascii="宋体" w:hAnsi="宋体"/>
          <w:b/>
        </w:rPr>
      </w:pPr>
      <w:r>
        <w:rPr>
          <w:rFonts w:hint="eastAsia" w:ascii="宋体" w:hAnsi="宋体"/>
          <w:b/>
        </w:rPr>
        <w:t>十二、原材料小样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5103"/>
        <w:gridCol w:w="1134"/>
      </w:tblGrid>
      <w:tr w14:paraId="23C9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1DA2BC8B">
            <w:pPr>
              <w:pStyle w:val="2"/>
              <w:spacing w:after="0"/>
              <w:ind w:firstLine="0" w:firstLineChars="0"/>
              <w:rPr>
                <w:rFonts w:ascii="宋体" w:hAnsi="宋体"/>
                <w:sz w:val="21"/>
                <w:szCs w:val="21"/>
              </w:rPr>
            </w:pPr>
            <w:r>
              <w:rPr>
                <w:rFonts w:hint="eastAsia" w:ascii="宋体" w:hAnsi="宋体"/>
                <w:sz w:val="21"/>
                <w:szCs w:val="21"/>
              </w:rPr>
              <w:t>序号</w:t>
            </w:r>
          </w:p>
        </w:tc>
        <w:tc>
          <w:tcPr>
            <w:tcW w:w="1418" w:type="dxa"/>
            <w:vAlign w:val="center"/>
          </w:tcPr>
          <w:p w14:paraId="5AE0C6D2">
            <w:pPr>
              <w:pStyle w:val="2"/>
              <w:spacing w:after="0"/>
              <w:ind w:firstLine="0" w:firstLineChars="0"/>
              <w:rPr>
                <w:rFonts w:ascii="宋体" w:hAnsi="宋体"/>
                <w:sz w:val="21"/>
                <w:szCs w:val="21"/>
              </w:rPr>
            </w:pPr>
            <w:r>
              <w:rPr>
                <w:rFonts w:hint="eastAsia" w:ascii="宋体" w:hAnsi="宋体"/>
                <w:sz w:val="21"/>
                <w:szCs w:val="21"/>
              </w:rPr>
              <w:t>名称</w:t>
            </w:r>
          </w:p>
        </w:tc>
        <w:tc>
          <w:tcPr>
            <w:tcW w:w="5103" w:type="dxa"/>
            <w:vAlign w:val="center"/>
          </w:tcPr>
          <w:p w14:paraId="59FCAA01">
            <w:pPr>
              <w:pStyle w:val="2"/>
              <w:spacing w:after="0"/>
              <w:ind w:firstLine="0" w:firstLineChars="0"/>
              <w:rPr>
                <w:rFonts w:ascii="宋体" w:hAnsi="宋体"/>
                <w:sz w:val="21"/>
                <w:szCs w:val="21"/>
              </w:rPr>
            </w:pPr>
            <w:r>
              <w:rPr>
                <w:rFonts w:hint="eastAsia" w:ascii="宋体" w:hAnsi="宋体"/>
                <w:sz w:val="21"/>
                <w:szCs w:val="21"/>
              </w:rPr>
              <w:t>规格</w:t>
            </w:r>
          </w:p>
        </w:tc>
        <w:tc>
          <w:tcPr>
            <w:tcW w:w="1134" w:type="dxa"/>
            <w:vAlign w:val="center"/>
          </w:tcPr>
          <w:p w14:paraId="033A172C">
            <w:pPr>
              <w:pStyle w:val="2"/>
              <w:spacing w:after="0"/>
              <w:ind w:firstLine="0" w:firstLineChars="0"/>
              <w:rPr>
                <w:rFonts w:ascii="宋体" w:hAnsi="宋体"/>
                <w:sz w:val="21"/>
                <w:szCs w:val="21"/>
              </w:rPr>
            </w:pPr>
            <w:r>
              <w:rPr>
                <w:rFonts w:hint="eastAsia" w:ascii="宋体" w:hAnsi="宋体"/>
                <w:sz w:val="21"/>
                <w:szCs w:val="21"/>
              </w:rPr>
              <w:t>备注</w:t>
            </w:r>
          </w:p>
        </w:tc>
      </w:tr>
      <w:tr w14:paraId="45B8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670A588D">
            <w:pPr>
              <w:pStyle w:val="2"/>
              <w:spacing w:after="0"/>
              <w:ind w:firstLine="0" w:firstLineChars="0"/>
              <w:rPr>
                <w:rFonts w:ascii="宋体" w:hAnsi="宋体"/>
                <w:sz w:val="21"/>
                <w:szCs w:val="21"/>
              </w:rPr>
            </w:pPr>
            <w:r>
              <w:rPr>
                <w:rFonts w:hint="eastAsia" w:ascii="宋体" w:hAnsi="宋体"/>
                <w:sz w:val="21"/>
                <w:szCs w:val="21"/>
              </w:rPr>
              <w:t>1</w:t>
            </w:r>
          </w:p>
        </w:tc>
        <w:tc>
          <w:tcPr>
            <w:tcW w:w="1418" w:type="dxa"/>
            <w:vAlign w:val="center"/>
          </w:tcPr>
          <w:p w14:paraId="5E2BE5E2">
            <w:pPr>
              <w:pStyle w:val="2"/>
              <w:spacing w:after="0"/>
              <w:ind w:firstLine="0" w:firstLineChars="0"/>
              <w:rPr>
                <w:rFonts w:ascii="宋体" w:hAnsi="宋体"/>
                <w:sz w:val="21"/>
                <w:szCs w:val="21"/>
              </w:rPr>
            </w:pPr>
            <w:r>
              <w:rPr>
                <w:rFonts w:hint="eastAsia" w:ascii="宋体" w:hAnsi="宋体"/>
                <w:sz w:val="21"/>
                <w:szCs w:val="21"/>
              </w:rPr>
              <w:t>瓷砖</w:t>
            </w:r>
          </w:p>
        </w:tc>
        <w:tc>
          <w:tcPr>
            <w:tcW w:w="5103" w:type="dxa"/>
            <w:vAlign w:val="center"/>
          </w:tcPr>
          <w:p w14:paraId="576F33BE">
            <w:pPr>
              <w:pStyle w:val="2"/>
              <w:spacing w:after="0"/>
              <w:ind w:firstLine="0" w:firstLineChars="0"/>
              <w:rPr>
                <w:rFonts w:ascii="宋体" w:hAnsi="宋体"/>
                <w:sz w:val="21"/>
                <w:szCs w:val="21"/>
              </w:rPr>
            </w:pPr>
            <w:r>
              <w:rPr>
                <w:rFonts w:ascii="宋体" w:hAnsi="宋体"/>
                <w:sz w:val="21"/>
                <w:szCs w:val="21"/>
              </w:rPr>
              <w:t>400</w:t>
            </w:r>
            <w:r>
              <w:rPr>
                <w:rFonts w:hint="eastAsia" w:ascii="宋体" w:hAnsi="宋体"/>
                <w:sz w:val="21"/>
                <w:szCs w:val="21"/>
              </w:rPr>
              <w:t>mm</w:t>
            </w:r>
            <w:r>
              <w:rPr>
                <w:rFonts w:ascii="宋体" w:hAnsi="宋体"/>
                <w:sz w:val="21"/>
                <w:szCs w:val="21"/>
              </w:rPr>
              <w:t>*800</w:t>
            </w:r>
            <w:r>
              <w:rPr>
                <w:rFonts w:hint="eastAsia" w:ascii="宋体" w:hAnsi="宋体"/>
                <w:sz w:val="21"/>
                <w:szCs w:val="21"/>
              </w:rPr>
              <w:t>mm</w:t>
            </w:r>
          </w:p>
        </w:tc>
        <w:tc>
          <w:tcPr>
            <w:tcW w:w="1134" w:type="dxa"/>
            <w:vAlign w:val="center"/>
          </w:tcPr>
          <w:p w14:paraId="4E6AE84B">
            <w:pPr>
              <w:pStyle w:val="2"/>
              <w:spacing w:after="0"/>
              <w:ind w:firstLine="0" w:firstLineChars="0"/>
              <w:rPr>
                <w:rFonts w:ascii="宋体" w:hAnsi="宋体"/>
                <w:sz w:val="21"/>
                <w:szCs w:val="21"/>
              </w:rPr>
            </w:pPr>
            <w:r>
              <w:rPr>
                <w:rFonts w:hint="eastAsia" w:ascii="宋体" w:hAnsi="宋体" w:cs="宋体"/>
                <w:sz w:val="21"/>
                <w:szCs w:val="21"/>
              </w:rPr>
              <w:t>1块</w:t>
            </w:r>
          </w:p>
        </w:tc>
      </w:tr>
      <w:tr w14:paraId="468D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6D5F45E2">
            <w:pPr>
              <w:pStyle w:val="2"/>
              <w:spacing w:after="0"/>
              <w:ind w:firstLine="0" w:firstLineChars="0"/>
              <w:rPr>
                <w:rFonts w:ascii="宋体" w:hAnsi="宋体"/>
                <w:sz w:val="21"/>
                <w:szCs w:val="21"/>
              </w:rPr>
            </w:pPr>
            <w:r>
              <w:rPr>
                <w:rFonts w:hint="eastAsia" w:ascii="宋体" w:hAnsi="宋体"/>
                <w:sz w:val="21"/>
                <w:szCs w:val="21"/>
              </w:rPr>
              <w:t>2</w:t>
            </w:r>
          </w:p>
        </w:tc>
        <w:tc>
          <w:tcPr>
            <w:tcW w:w="1418" w:type="dxa"/>
            <w:vAlign w:val="center"/>
          </w:tcPr>
          <w:p w14:paraId="7B78ABE4">
            <w:pPr>
              <w:pStyle w:val="2"/>
              <w:spacing w:after="0"/>
              <w:ind w:firstLine="0" w:firstLineChars="0"/>
              <w:rPr>
                <w:rFonts w:ascii="宋体" w:hAnsi="宋体"/>
                <w:sz w:val="21"/>
                <w:szCs w:val="21"/>
              </w:rPr>
            </w:pPr>
            <w:r>
              <w:rPr>
                <w:rFonts w:hint="eastAsia" w:ascii="宋体" w:hAnsi="宋体"/>
                <w:sz w:val="21"/>
                <w:szCs w:val="21"/>
              </w:rPr>
              <w:t>淋浴器</w:t>
            </w:r>
          </w:p>
        </w:tc>
        <w:tc>
          <w:tcPr>
            <w:tcW w:w="5103" w:type="dxa"/>
            <w:vAlign w:val="center"/>
          </w:tcPr>
          <w:p w14:paraId="3F690E48">
            <w:pPr>
              <w:pStyle w:val="2"/>
              <w:spacing w:after="0"/>
              <w:ind w:firstLine="0" w:firstLineChars="0"/>
              <w:rPr>
                <w:rFonts w:ascii="宋体" w:hAnsi="宋体"/>
                <w:sz w:val="21"/>
                <w:szCs w:val="21"/>
              </w:rPr>
            </w:pPr>
            <w:bookmarkStart w:id="49" w:name="OLE_LINK9"/>
            <w:bookmarkStart w:id="50" w:name="OLE_LINK8"/>
            <w:r>
              <w:rPr>
                <w:rFonts w:hint="eastAsia" w:ascii="宋体" w:hAnsi="宋体"/>
                <w:sz w:val="21"/>
                <w:szCs w:val="21"/>
              </w:rPr>
              <w:t>淋浴器含顶喷、手持花洒、角阀、软管等所有配件（不含刷卡机）</w:t>
            </w:r>
            <w:bookmarkEnd w:id="49"/>
            <w:bookmarkEnd w:id="50"/>
          </w:p>
        </w:tc>
        <w:tc>
          <w:tcPr>
            <w:tcW w:w="1134" w:type="dxa"/>
            <w:vAlign w:val="center"/>
          </w:tcPr>
          <w:p w14:paraId="61207A7A">
            <w:pPr>
              <w:pStyle w:val="2"/>
              <w:spacing w:after="0"/>
              <w:ind w:firstLine="0" w:firstLineChars="0"/>
              <w:rPr>
                <w:rFonts w:ascii="宋体" w:hAnsi="宋体"/>
                <w:sz w:val="21"/>
                <w:szCs w:val="21"/>
              </w:rPr>
            </w:pPr>
            <w:r>
              <w:rPr>
                <w:rFonts w:hint="eastAsia" w:ascii="宋体" w:hAnsi="宋体"/>
                <w:sz w:val="21"/>
                <w:szCs w:val="21"/>
              </w:rPr>
              <w:t>1套</w:t>
            </w:r>
          </w:p>
        </w:tc>
      </w:tr>
      <w:tr w14:paraId="6538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14F6239C">
            <w:pPr>
              <w:pStyle w:val="2"/>
              <w:spacing w:after="0"/>
              <w:ind w:firstLine="0" w:firstLineChars="0"/>
              <w:rPr>
                <w:rFonts w:ascii="宋体" w:hAnsi="宋体"/>
                <w:sz w:val="21"/>
                <w:szCs w:val="21"/>
              </w:rPr>
            </w:pPr>
            <w:r>
              <w:rPr>
                <w:rFonts w:hint="eastAsia" w:ascii="宋体" w:hAnsi="宋体"/>
                <w:sz w:val="21"/>
                <w:szCs w:val="21"/>
              </w:rPr>
              <w:t>3</w:t>
            </w:r>
          </w:p>
        </w:tc>
        <w:tc>
          <w:tcPr>
            <w:tcW w:w="1418" w:type="dxa"/>
            <w:vAlign w:val="center"/>
          </w:tcPr>
          <w:p w14:paraId="5526DC42">
            <w:pPr>
              <w:pStyle w:val="2"/>
              <w:spacing w:after="0"/>
              <w:ind w:firstLine="0" w:firstLineChars="0"/>
              <w:rPr>
                <w:rFonts w:ascii="宋体" w:hAnsi="宋体"/>
                <w:sz w:val="21"/>
                <w:szCs w:val="21"/>
              </w:rPr>
            </w:pPr>
            <w:r>
              <w:rPr>
                <w:rFonts w:hint="eastAsia" w:ascii="宋体" w:hAnsi="宋体" w:cs="宋体"/>
                <w:sz w:val="21"/>
                <w:szCs w:val="21"/>
              </w:rPr>
              <w:t>门和锁具</w:t>
            </w:r>
          </w:p>
        </w:tc>
        <w:tc>
          <w:tcPr>
            <w:tcW w:w="5103" w:type="dxa"/>
            <w:vAlign w:val="center"/>
          </w:tcPr>
          <w:p w14:paraId="6E912FEB">
            <w:pPr>
              <w:pStyle w:val="2"/>
              <w:spacing w:after="0"/>
              <w:ind w:firstLine="0" w:firstLineChars="0"/>
              <w:rPr>
                <w:rFonts w:ascii="宋体" w:hAnsi="宋体"/>
                <w:sz w:val="21"/>
                <w:szCs w:val="21"/>
              </w:rPr>
            </w:pPr>
            <w:r>
              <w:rPr>
                <w:rFonts w:hint="eastAsia" w:ascii="宋体" w:hAnsi="宋体" w:cs="宋体"/>
                <w:sz w:val="21"/>
                <w:szCs w:val="21"/>
              </w:rPr>
              <w:t>锁具一套、</w:t>
            </w:r>
            <w:bookmarkStart w:id="51" w:name="OLE_LINK14"/>
            <w:bookmarkStart w:id="52" w:name="OLE_LINK15"/>
            <w:r>
              <w:rPr>
                <w:rFonts w:hint="eastAsia" w:ascii="宋体" w:hAnsi="宋体" w:cs="宋体"/>
                <w:sz w:val="21"/>
                <w:szCs w:val="21"/>
              </w:rPr>
              <w:t>门板和门套不小于</w:t>
            </w:r>
            <w:r>
              <w:rPr>
                <w:rFonts w:hint="eastAsia" w:ascii="宋体" w:hAnsi="宋体"/>
                <w:sz w:val="21"/>
                <w:szCs w:val="21"/>
              </w:rPr>
              <w:t>150mm</w:t>
            </w:r>
            <w:r>
              <w:rPr>
                <w:rFonts w:hint="eastAsia" w:ascii="宋体" w:hAnsi="宋体" w:cs="宋体"/>
                <w:sz w:val="21"/>
                <w:szCs w:val="21"/>
              </w:rPr>
              <w:t>*150mm切面各一块</w:t>
            </w:r>
            <w:bookmarkEnd w:id="51"/>
            <w:bookmarkEnd w:id="52"/>
          </w:p>
        </w:tc>
        <w:tc>
          <w:tcPr>
            <w:tcW w:w="1134" w:type="dxa"/>
            <w:vAlign w:val="center"/>
          </w:tcPr>
          <w:p w14:paraId="7CC0C027">
            <w:pPr>
              <w:pStyle w:val="2"/>
              <w:spacing w:after="0"/>
              <w:ind w:firstLine="0" w:firstLineChars="0"/>
              <w:rPr>
                <w:rFonts w:ascii="宋体" w:hAnsi="宋体"/>
                <w:sz w:val="21"/>
                <w:szCs w:val="21"/>
              </w:rPr>
            </w:pPr>
          </w:p>
        </w:tc>
      </w:tr>
    </w:tbl>
    <w:p w14:paraId="741016E1">
      <w:pPr>
        <w:pStyle w:val="2"/>
        <w:spacing w:after="0" w:line="360" w:lineRule="auto"/>
        <w:ind w:firstLine="210"/>
        <w:jc w:val="left"/>
        <w:rPr>
          <w:rFonts w:ascii="宋体" w:hAnsi="宋体"/>
          <w:sz w:val="21"/>
          <w:szCs w:val="21"/>
        </w:rPr>
      </w:pPr>
      <w:r>
        <w:rPr>
          <w:rFonts w:hint="eastAsia" w:ascii="宋体" w:hAnsi="宋体"/>
          <w:sz w:val="21"/>
          <w:szCs w:val="21"/>
        </w:rPr>
        <w:t>注：在响应截止时间前送至采购代理机构办公地址（宁波市海曙区江汇城496号姚江时代14幢3楼），小样标注品牌及供应商名称，成交供应商提供的小样在项目评审结束后进行封存，未成交供应商评审结束后退回。</w:t>
      </w:r>
      <w:bookmarkEnd w:id="48"/>
      <w:r>
        <w:rPr>
          <w:rFonts w:hint="eastAsia" w:ascii="宋体" w:hAnsi="宋体"/>
          <w:sz w:val="21"/>
          <w:szCs w:val="21"/>
        </w:rPr>
        <w:t>供应商未提供样品或样品不全（瓷砖</w:t>
      </w:r>
      <w:r>
        <w:rPr>
          <w:rFonts w:hint="eastAsia" w:ascii="宋体" w:hAnsi="宋体" w:cs="宋体"/>
          <w:sz w:val="21"/>
          <w:szCs w:val="21"/>
        </w:rPr>
        <w:t>、</w:t>
      </w:r>
      <w:r>
        <w:rPr>
          <w:rFonts w:hint="eastAsia" w:ascii="宋体" w:hAnsi="宋体"/>
          <w:sz w:val="21"/>
          <w:szCs w:val="21"/>
        </w:rPr>
        <w:t>淋浴器、</w:t>
      </w:r>
      <w:r>
        <w:rPr>
          <w:rFonts w:hint="eastAsia" w:ascii="宋体" w:hAnsi="宋体" w:cs="宋体"/>
          <w:sz w:val="21"/>
          <w:szCs w:val="21"/>
        </w:rPr>
        <w:t>门和锁具其中一样及以上</w:t>
      </w:r>
      <w:r>
        <w:rPr>
          <w:rFonts w:hint="eastAsia" w:ascii="宋体" w:hAnsi="宋体"/>
          <w:sz w:val="21"/>
          <w:szCs w:val="21"/>
        </w:rPr>
        <w:t>）的按照响应无效处理。不要求提供样品的检测报告。</w:t>
      </w:r>
    </w:p>
    <w:p w14:paraId="4CA2A4DE">
      <w:pPr>
        <w:pStyle w:val="2"/>
        <w:rPr>
          <w:rFonts w:ascii="宋体" w:hAnsi="宋体"/>
        </w:rPr>
      </w:pPr>
      <w:bookmarkStart w:id="107" w:name="_GoBack"/>
      <w:bookmarkEnd w:id="107"/>
    </w:p>
    <w:p w14:paraId="54E7F270">
      <w:pPr>
        <w:pStyle w:val="2"/>
        <w:rPr>
          <w:rFonts w:ascii="宋体" w:hAnsi="宋体"/>
        </w:rPr>
        <w:sectPr>
          <w:headerReference r:id="rId6" w:type="default"/>
          <w:footerReference r:id="rId7" w:type="default"/>
          <w:footerReference r:id="rId8" w:type="even"/>
          <w:pgSz w:w="11906" w:h="16838"/>
          <w:pgMar w:top="1276" w:right="1983" w:bottom="1276" w:left="1610" w:header="426" w:footer="851" w:gutter="0"/>
          <w:pgNumType w:start="1"/>
          <w:cols w:space="720" w:num="1"/>
          <w:docGrid w:linePitch="312" w:charSpace="0"/>
        </w:sectPr>
      </w:pPr>
    </w:p>
    <w:p w14:paraId="78AD3503">
      <w:pPr>
        <w:pStyle w:val="4"/>
        <w:rPr>
          <w:rFonts w:ascii="宋体" w:hAnsi="宋体"/>
          <w:color w:val="auto"/>
          <w:sz w:val="32"/>
        </w:rPr>
      </w:pPr>
      <w:bookmarkStart w:id="53" w:name="_Toc86053873"/>
      <w:bookmarkStart w:id="54" w:name="_Toc34844743"/>
      <w:r>
        <w:rPr>
          <w:rFonts w:hint="eastAsia" w:ascii="宋体" w:hAnsi="宋体"/>
          <w:color w:val="auto"/>
        </w:rPr>
        <w:t>第三章  供应商须知</w:t>
      </w:r>
      <w:bookmarkEnd w:id="53"/>
      <w:bookmarkEnd w:id="54"/>
    </w:p>
    <w:p w14:paraId="2FCFDF2C">
      <w:pPr>
        <w:spacing w:line="360" w:lineRule="auto"/>
        <w:jc w:val="center"/>
        <w:rPr>
          <w:rFonts w:ascii="宋体" w:hAnsi="宋体"/>
          <w:b/>
          <w:szCs w:val="21"/>
        </w:rPr>
      </w:pPr>
      <w:r>
        <w:rPr>
          <w:rFonts w:hint="eastAsia" w:ascii="宋体" w:hAnsi="宋体"/>
          <w:b/>
          <w:szCs w:val="21"/>
        </w:rPr>
        <w:t>供应商须知前附表</w:t>
      </w:r>
    </w:p>
    <w:p w14:paraId="03CF81E7">
      <w:pPr>
        <w:spacing w:line="360" w:lineRule="auto"/>
        <w:ind w:firstLine="420"/>
        <w:jc w:val="left"/>
        <w:rPr>
          <w:rStyle w:val="19"/>
          <w:rFonts w:hint="default"/>
          <w:color w:val="auto"/>
          <w:sz w:val="21"/>
          <w:szCs w:val="21"/>
        </w:rPr>
      </w:pPr>
      <w:r>
        <w:rPr>
          <w:rStyle w:val="19"/>
          <w:rFonts w:hint="default"/>
          <w:color w:val="auto"/>
          <w:sz w:val="21"/>
          <w:szCs w:val="21"/>
        </w:rPr>
        <w:t>注：本表内容是对供应商须知的具体补充，如有不一致，以本表为准。</w:t>
      </w:r>
    </w:p>
    <w:tbl>
      <w:tblPr>
        <w:tblStyle w:val="12"/>
        <w:tblW w:w="83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959"/>
        <w:gridCol w:w="4777"/>
      </w:tblGrid>
      <w:tr w14:paraId="054AA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4DD033A8">
            <w:pPr>
              <w:jc w:val="center"/>
              <w:rPr>
                <w:rFonts w:ascii="宋体" w:hAnsi="宋体"/>
                <w:b/>
                <w:szCs w:val="21"/>
              </w:rPr>
            </w:pPr>
            <w:r>
              <w:rPr>
                <w:rFonts w:hint="eastAsia" w:ascii="宋体" w:hAnsi="宋体"/>
                <w:b/>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3D5260A8">
            <w:pPr>
              <w:jc w:val="center"/>
              <w:rPr>
                <w:rFonts w:ascii="宋体" w:hAnsi="宋体"/>
                <w:b/>
                <w:szCs w:val="21"/>
              </w:rPr>
            </w:pPr>
            <w:r>
              <w:rPr>
                <w:rFonts w:hint="eastAsia" w:ascii="宋体" w:hAnsi="宋体"/>
                <w:b/>
                <w:szCs w:val="21"/>
              </w:rPr>
              <w:t>条款号</w:t>
            </w:r>
          </w:p>
        </w:tc>
        <w:tc>
          <w:tcPr>
            <w:tcW w:w="1959" w:type="dxa"/>
            <w:tcBorders>
              <w:top w:val="single" w:color="auto" w:sz="4" w:space="0"/>
              <w:left w:val="single" w:color="auto" w:sz="4" w:space="0"/>
              <w:bottom w:val="single" w:color="auto" w:sz="4" w:space="0"/>
              <w:right w:val="single" w:color="auto" w:sz="4" w:space="0"/>
            </w:tcBorders>
            <w:vAlign w:val="center"/>
          </w:tcPr>
          <w:p w14:paraId="608433C7">
            <w:pPr>
              <w:jc w:val="center"/>
              <w:rPr>
                <w:rFonts w:ascii="宋体" w:hAnsi="宋体"/>
                <w:b/>
                <w:szCs w:val="21"/>
              </w:rPr>
            </w:pPr>
            <w:r>
              <w:rPr>
                <w:rFonts w:hint="eastAsia" w:ascii="宋体" w:hAnsi="宋体"/>
                <w:b/>
                <w:szCs w:val="21"/>
              </w:rPr>
              <w:t>条款名称</w:t>
            </w:r>
          </w:p>
        </w:tc>
        <w:tc>
          <w:tcPr>
            <w:tcW w:w="4777" w:type="dxa"/>
            <w:tcBorders>
              <w:top w:val="single" w:color="auto" w:sz="4" w:space="0"/>
              <w:left w:val="single" w:color="auto" w:sz="4" w:space="0"/>
              <w:bottom w:val="single" w:color="auto" w:sz="4" w:space="0"/>
              <w:right w:val="single" w:color="auto" w:sz="4" w:space="0"/>
            </w:tcBorders>
            <w:vAlign w:val="center"/>
          </w:tcPr>
          <w:p w14:paraId="67781F4F">
            <w:pPr>
              <w:jc w:val="center"/>
              <w:rPr>
                <w:rFonts w:ascii="宋体" w:hAnsi="宋体"/>
                <w:b/>
                <w:szCs w:val="21"/>
              </w:rPr>
            </w:pPr>
            <w:r>
              <w:rPr>
                <w:rFonts w:hint="eastAsia" w:ascii="宋体" w:hAnsi="宋体"/>
                <w:b/>
                <w:szCs w:val="21"/>
              </w:rPr>
              <w:t>内容、要求</w:t>
            </w:r>
          </w:p>
        </w:tc>
      </w:tr>
      <w:tr w14:paraId="5B9DF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79DA0429">
            <w:pPr>
              <w:jc w:val="center"/>
              <w:rPr>
                <w:rFonts w:ascii="宋体" w:hAnsi="宋体"/>
                <w:szCs w:val="21"/>
              </w:rPr>
            </w:pPr>
            <w:r>
              <w:rPr>
                <w:rFonts w:hint="eastAsia" w:ascii="宋体" w:hAnsi="宋体"/>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14:paraId="23ACCDAC">
            <w:pPr>
              <w:jc w:val="center"/>
              <w:rPr>
                <w:rFonts w:ascii="宋体" w:hAnsi="宋体"/>
                <w:szCs w:val="21"/>
              </w:rPr>
            </w:pPr>
            <w:r>
              <w:rPr>
                <w:rFonts w:hint="eastAsia" w:ascii="宋体" w:hAnsi="宋体"/>
                <w:szCs w:val="21"/>
              </w:rPr>
              <w:t>3.1</w:t>
            </w:r>
          </w:p>
        </w:tc>
        <w:tc>
          <w:tcPr>
            <w:tcW w:w="1959" w:type="dxa"/>
            <w:tcBorders>
              <w:top w:val="single" w:color="auto" w:sz="4" w:space="0"/>
              <w:left w:val="single" w:color="auto" w:sz="4" w:space="0"/>
              <w:bottom w:val="single" w:color="auto" w:sz="4" w:space="0"/>
              <w:right w:val="single" w:color="auto" w:sz="4" w:space="0"/>
            </w:tcBorders>
            <w:vAlign w:val="center"/>
          </w:tcPr>
          <w:p w14:paraId="14B337B3">
            <w:pPr>
              <w:rPr>
                <w:rFonts w:ascii="宋体" w:hAnsi="宋体"/>
                <w:szCs w:val="21"/>
              </w:rPr>
            </w:pPr>
            <w:r>
              <w:rPr>
                <w:rFonts w:hint="eastAsia" w:ascii="宋体" w:hAnsi="宋体"/>
                <w:szCs w:val="21"/>
              </w:rPr>
              <w:t>采购人</w:t>
            </w:r>
          </w:p>
        </w:tc>
        <w:tc>
          <w:tcPr>
            <w:tcW w:w="4777" w:type="dxa"/>
            <w:tcBorders>
              <w:top w:val="single" w:color="auto" w:sz="4" w:space="0"/>
              <w:left w:val="single" w:color="auto" w:sz="4" w:space="0"/>
              <w:bottom w:val="single" w:color="auto" w:sz="4" w:space="0"/>
              <w:right w:val="single" w:color="auto" w:sz="4" w:space="0"/>
            </w:tcBorders>
            <w:vAlign w:val="center"/>
          </w:tcPr>
          <w:p w14:paraId="42D53FED">
            <w:pPr>
              <w:jc w:val="left"/>
              <w:rPr>
                <w:rFonts w:ascii="宋体" w:hAnsi="宋体"/>
                <w:szCs w:val="21"/>
              </w:rPr>
            </w:pPr>
            <w:r>
              <w:rPr>
                <w:rFonts w:hint="eastAsia" w:ascii="宋体" w:hAnsi="宋体"/>
                <w:szCs w:val="21"/>
              </w:rPr>
              <w:t>浙江工商职业技术学院</w:t>
            </w:r>
          </w:p>
        </w:tc>
      </w:tr>
      <w:tr w14:paraId="0459E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201F487F">
            <w:pPr>
              <w:jc w:val="center"/>
              <w:rPr>
                <w:rFonts w:ascii="宋体" w:hAnsi="宋体"/>
                <w:szCs w:val="21"/>
              </w:rPr>
            </w:pPr>
            <w:r>
              <w:rPr>
                <w:rFonts w:hint="eastAsia" w:ascii="宋体" w:hAnsi="宋体"/>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14:paraId="7B53446A">
            <w:pPr>
              <w:jc w:val="center"/>
              <w:rPr>
                <w:rFonts w:ascii="宋体" w:hAnsi="宋体"/>
                <w:szCs w:val="21"/>
              </w:rPr>
            </w:pPr>
            <w:r>
              <w:rPr>
                <w:rFonts w:hint="eastAsia" w:ascii="宋体" w:hAnsi="宋体"/>
                <w:szCs w:val="21"/>
              </w:rPr>
              <w:t>3.2</w:t>
            </w:r>
          </w:p>
        </w:tc>
        <w:tc>
          <w:tcPr>
            <w:tcW w:w="1959" w:type="dxa"/>
            <w:tcBorders>
              <w:top w:val="single" w:color="auto" w:sz="4" w:space="0"/>
              <w:left w:val="single" w:color="auto" w:sz="4" w:space="0"/>
              <w:bottom w:val="single" w:color="auto" w:sz="4" w:space="0"/>
              <w:right w:val="single" w:color="auto" w:sz="4" w:space="0"/>
            </w:tcBorders>
            <w:vAlign w:val="center"/>
          </w:tcPr>
          <w:p w14:paraId="5494028A">
            <w:pPr>
              <w:rPr>
                <w:rFonts w:ascii="宋体" w:hAnsi="宋体"/>
                <w:szCs w:val="21"/>
              </w:rPr>
            </w:pPr>
            <w:r>
              <w:rPr>
                <w:rFonts w:hint="eastAsia" w:ascii="宋体" w:hAnsi="宋体"/>
                <w:szCs w:val="21"/>
              </w:rPr>
              <w:t>采购代理机构</w:t>
            </w:r>
          </w:p>
        </w:tc>
        <w:tc>
          <w:tcPr>
            <w:tcW w:w="4777" w:type="dxa"/>
            <w:tcBorders>
              <w:top w:val="single" w:color="auto" w:sz="4" w:space="0"/>
              <w:left w:val="single" w:color="auto" w:sz="4" w:space="0"/>
              <w:bottom w:val="single" w:color="auto" w:sz="4" w:space="0"/>
              <w:right w:val="single" w:color="auto" w:sz="4" w:space="0"/>
            </w:tcBorders>
            <w:vAlign w:val="center"/>
          </w:tcPr>
          <w:p w14:paraId="78ABEBBF">
            <w:pPr>
              <w:jc w:val="left"/>
              <w:rPr>
                <w:rFonts w:ascii="宋体" w:hAnsi="宋体"/>
                <w:szCs w:val="21"/>
              </w:rPr>
            </w:pPr>
            <w:r>
              <w:rPr>
                <w:rFonts w:hint="eastAsia" w:ascii="宋体" w:hAnsi="宋体"/>
                <w:szCs w:val="21"/>
              </w:rPr>
              <w:t>宁波名诚招标代理有限公司</w:t>
            </w:r>
          </w:p>
        </w:tc>
      </w:tr>
      <w:tr w14:paraId="35B03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666EA5E2">
            <w:pPr>
              <w:jc w:val="center"/>
              <w:rPr>
                <w:rFonts w:ascii="宋体" w:hAnsi="宋体"/>
                <w:szCs w:val="21"/>
              </w:rPr>
            </w:pPr>
            <w:r>
              <w:rPr>
                <w:rFonts w:hint="eastAsia" w:ascii="宋体" w:hAnsi="宋体"/>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14:paraId="38A2AF51">
            <w:pPr>
              <w:jc w:val="center"/>
              <w:rPr>
                <w:rFonts w:ascii="宋体" w:hAnsi="宋体"/>
                <w:szCs w:val="21"/>
              </w:rPr>
            </w:pPr>
            <w:r>
              <w:rPr>
                <w:rFonts w:hint="eastAsia" w:ascii="宋体" w:hAnsi="宋体"/>
                <w:szCs w:val="21"/>
              </w:rPr>
              <w:t>10.3</w:t>
            </w:r>
          </w:p>
        </w:tc>
        <w:tc>
          <w:tcPr>
            <w:tcW w:w="1959" w:type="dxa"/>
            <w:tcBorders>
              <w:top w:val="single" w:color="auto" w:sz="4" w:space="0"/>
              <w:left w:val="single" w:color="auto" w:sz="4" w:space="0"/>
              <w:bottom w:val="single" w:color="auto" w:sz="4" w:space="0"/>
              <w:right w:val="single" w:color="auto" w:sz="4" w:space="0"/>
            </w:tcBorders>
            <w:vAlign w:val="center"/>
          </w:tcPr>
          <w:p w14:paraId="4D0ECB82">
            <w:pPr>
              <w:rPr>
                <w:rFonts w:ascii="宋体" w:hAnsi="宋体"/>
                <w:szCs w:val="21"/>
              </w:rPr>
            </w:pPr>
            <w:r>
              <w:rPr>
                <w:rFonts w:hint="eastAsia" w:ascii="宋体" w:hAnsi="宋体"/>
                <w:szCs w:val="21"/>
              </w:rPr>
              <w:t>质疑函递交方式、接收部门、联系电话和通讯地址</w:t>
            </w:r>
          </w:p>
        </w:tc>
        <w:tc>
          <w:tcPr>
            <w:tcW w:w="4777" w:type="dxa"/>
            <w:tcBorders>
              <w:top w:val="single" w:color="auto" w:sz="4" w:space="0"/>
              <w:left w:val="single" w:color="auto" w:sz="4" w:space="0"/>
              <w:bottom w:val="single" w:color="auto" w:sz="4" w:space="0"/>
              <w:right w:val="single" w:color="auto" w:sz="4" w:space="0"/>
            </w:tcBorders>
            <w:vAlign w:val="center"/>
          </w:tcPr>
          <w:p w14:paraId="6D2D9337">
            <w:pPr>
              <w:jc w:val="left"/>
              <w:rPr>
                <w:rFonts w:ascii="宋体" w:hAnsi="宋体"/>
                <w:b/>
                <w:szCs w:val="21"/>
              </w:rPr>
            </w:pPr>
            <w:r>
              <w:rPr>
                <w:rFonts w:hint="eastAsia" w:ascii="宋体" w:hAnsi="宋体"/>
                <w:szCs w:val="21"/>
              </w:rPr>
              <w:t>递交方式：</w:t>
            </w:r>
            <w:r>
              <w:rPr>
                <w:rFonts w:hint="eastAsia" w:ascii="宋体" w:hAnsi="宋体"/>
                <w:szCs w:val="21"/>
                <w:u w:val="single"/>
              </w:rPr>
              <w:t>书面形式</w:t>
            </w:r>
          </w:p>
          <w:p w14:paraId="62ABFFEB">
            <w:pPr>
              <w:jc w:val="left"/>
              <w:rPr>
                <w:rFonts w:ascii="宋体" w:hAnsi="宋体"/>
                <w:b/>
                <w:bCs/>
                <w:szCs w:val="21"/>
                <w:u w:val="single"/>
              </w:rPr>
            </w:pPr>
            <w:r>
              <w:rPr>
                <w:rFonts w:hint="eastAsia" w:ascii="宋体" w:hAnsi="宋体"/>
                <w:szCs w:val="21"/>
              </w:rPr>
              <w:t>接收部门：</w:t>
            </w:r>
            <w:r>
              <w:rPr>
                <w:rFonts w:hint="eastAsia" w:ascii="宋体" w:hAnsi="宋体"/>
                <w:szCs w:val="21"/>
                <w:u w:val="single"/>
              </w:rPr>
              <w:t>综合办</w:t>
            </w:r>
          </w:p>
          <w:p w14:paraId="5C3F41BF">
            <w:pPr>
              <w:jc w:val="left"/>
              <w:rPr>
                <w:rFonts w:ascii="宋体" w:hAnsi="宋体"/>
                <w:b/>
                <w:bCs/>
                <w:szCs w:val="21"/>
                <w:u w:val="single"/>
              </w:rPr>
            </w:pPr>
            <w:r>
              <w:rPr>
                <w:rFonts w:ascii="宋体" w:hAnsi="宋体"/>
                <w:szCs w:val="21"/>
              </w:rPr>
              <w:t>联系电话：</w:t>
            </w:r>
            <w:r>
              <w:rPr>
                <w:rFonts w:hint="eastAsia" w:ascii="宋体" w:hAnsi="宋体"/>
                <w:bCs/>
                <w:szCs w:val="21"/>
                <w:u w:val="single"/>
              </w:rPr>
              <w:t>0574-87101271</w:t>
            </w:r>
          </w:p>
          <w:p w14:paraId="0F707618">
            <w:pPr>
              <w:jc w:val="left"/>
              <w:rPr>
                <w:rFonts w:ascii="宋体" w:hAnsi="宋体"/>
                <w:bCs/>
                <w:szCs w:val="21"/>
              </w:rPr>
            </w:pPr>
            <w:r>
              <w:rPr>
                <w:rFonts w:hint="eastAsia" w:ascii="宋体" w:hAnsi="宋体"/>
                <w:szCs w:val="21"/>
              </w:rPr>
              <w:t>通讯地址：</w:t>
            </w:r>
            <w:r>
              <w:rPr>
                <w:rFonts w:hint="eastAsia" w:ascii="宋体" w:hAnsi="宋体"/>
                <w:bCs/>
                <w:szCs w:val="21"/>
                <w:u w:val="single"/>
              </w:rPr>
              <w:t>宁波市海曙区江汇城496号姚江时代14幢3楼</w:t>
            </w:r>
          </w:p>
        </w:tc>
      </w:tr>
      <w:tr w14:paraId="59411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4A06651F">
            <w:pPr>
              <w:jc w:val="center"/>
              <w:rPr>
                <w:rFonts w:ascii="宋体" w:hAnsi="宋体"/>
                <w:szCs w:val="21"/>
              </w:rPr>
            </w:pPr>
            <w:r>
              <w:rPr>
                <w:rFonts w:hint="eastAsia" w:ascii="宋体" w:hAnsi="宋体"/>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14:paraId="269C03E0">
            <w:pPr>
              <w:jc w:val="center"/>
              <w:rPr>
                <w:rFonts w:ascii="宋体" w:hAnsi="宋体"/>
                <w:szCs w:val="21"/>
              </w:rPr>
            </w:pPr>
            <w:r>
              <w:rPr>
                <w:rFonts w:hint="eastAsia" w:ascii="宋体" w:hAnsi="宋体"/>
                <w:szCs w:val="21"/>
              </w:rPr>
              <w:t>13.1</w:t>
            </w:r>
          </w:p>
        </w:tc>
        <w:tc>
          <w:tcPr>
            <w:tcW w:w="1959" w:type="dxa"/>
            <w:tcBorders>
              <w:top w:val="single" w:color="auto" w:sz="4" w:space="0"/>
              <w:left w:val="single" w:color="auto" w:sz="4" w:space="0"/>
              <w:bottom w:val="single" w:color="auto" w:sz="4" w:space="0"/>
              <w:right w:val="single" w:color="auto" w:sz="4" w:space="0"/>
            </w:tcBorders>
            <w:vAlign w:val="center"/>
          </w:tcPr>
          <w:p w14:paraId="23B425EB">
            <w:pPr>
              <w:rPr>
                <w:rFonts w:ascii="宋体" w:hAnsi="宋体"/>
                <w:szCs w:val="21"/>
              </w:rPr>
            </w:pPr>
            <w:r>
              <w:rPr>
                <w:rFonts w:hint="eastAsia" w:ascii="宋体" w:hAnsi="宋体"/>
                <w:szCs w:val="21"/>
              </w:rPr>
              <w:t>采购</w:t>
            </w:r>
            <w:r>
              <w:rPr>
                <w:rFonts w:ascii="宋体" w:hAnsi="宋体"/>
                <w:szCs w:val="21"/>
              </w:rPr>
              <w:t>代理</w:t>
            </w:r>
            <w:r>
              <w:rPr>
                <w:rFonts w:hint="eastAsia" w:ascii="宋体" w:hAnsi="宋体"/>
                <w:szCs w:val="21"/>
              </w:rPr>
              <w:t>服务</w:t>
            </w:r>
            <w:r>
              <w:rPr>
                <w:rFonts w:ascii="宋体" w:hAnsi="宋体"/>
                <w:szCs w:val="21"/>
              </w:rPr>
              <w:t>费用的收取标准</w:t>
            </w:r>
          </w:p>
        </w:tc>
        <w:tc>
          <w:tcPr>
            <w:tcW w:w="4777" w:type="dxa"/>
            <w:tcBorders>
              <w:top w:val="single" w:color="auto" w:sz="4" w:space="0"/>
              <w:left w:val="single" w:color="auto" w:sz="4" w:space="0"/>
              <w:bottom w:val="single" w:color="auto" w:sz="4" w:space="0"/>
              <w:right w:val="single" w:color="auto" w:sz="4" w:space="0"/>
            </w:tcBorders>
            <w:vAlign w:val="center"/>
          </w:tcPr>
          <w:p w14:paraId="678D58FA">
            <w:pPr>
              <w:ind w:firstLine="29" w:firstLineChars="14"/>
              <w:jc w:val="left"/>
              <w:rPr>
                <w:rFonts w:ascii="宋体" w:hAnsi="宋体"/>
                <w:bCs/>
              </w:rPr>
            </w:pPr>
            <w:r>
              <w:rPr>
                <w:rFonts w:hint="eastAsia" w:ascii="宋体" w:hAnsi="宋体"/>
                <w:bCs/>
              </w:rPr>
              <w:t>参照国家发改委发改办价格[2003]857号通知和原国家计委计价格[2002]1980号文件规定的招标费率标准（下浮50%），按照成交通知书确定的成交总金额，向成交供应商收取成交服务费。本项目服务费不足3500元，按3500元收取。</w:t>
            </w:r>
          </w:p>
        </w:tc>
      </w:tr>
      <w:tr w14:paraId="4D409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45CAB62B">
            <w:pPr>
              <w:jc w:val="center"/>
              <w:rPr>
                <w:rFonts w:ascii="宋体" w:hAnsi="宋体"/>
                <w:szCs w:val="21"/>
              </w:rPr>
            </w:pPr>
            <w:r>
              <w:rPr>
                <w:rFonts w:hint="eastAsia" w:ascii="宋体" w:hAnsi="宋体"/>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14:paraId="025A2CF4">
            <w:pPr>
              <w:jc w:val="center"/>
              <w:rPr>
                <w:rFonts w:ascii="宋体" w:hAnsi="宋体"/>
                <w:szCs w:val="21"/>
              </w:rPr>
            </w:pPr>
            <w:r>
              <w:rPr>
                <w:rFonts w:hint="eastAsia" w:ascii="宋体" w:hAnsi="宋体"/>
                <w:szCs w:val="21"/>
              </w:rPr>
              <w:t>13.2</w:t>
            </w:r>
          </w:p>
        </w:tc>
        <w:tc>
          <w:tcPr>
            <w:tcW w:w="1959" w:type="dxa"/>
            <w:tcBorders>
              <w:top w:val="single" w:color="auto" w:sz="4" w:space="0"/>
              <w:left w:val="single" w:color="auto" w:sz="4" w:space="0"/>
              <w:bottom w:val="single" w:color="auto" w:sz="4" w:space="0"/>
              <w:right w:val="single" w:color="auto" w:sz="4" w:space="0"/>
            </w:tcBorders>
            <w:vAlign w:val="center"/>
          </w:tcPr>
          <w:p w14:paraId="6656535B">
            <w:pPr>
              <w:rPr>
                <w:rFonts w:ascii="宋体" w:hAnsi="宋体"/>
                <w:szCs w:val="21"/>
              </w:rPr>
            </w:pPr>
            <w:r>
              <w:rPr>
                <w:rFonts w:hint="eastAsia" w:ascii="宋体" w:hAnsi="宋体"/>
                <w:szCs w:val="21"/>
              </w:rPr>
              <w:t>采购代理服务费的支付</w:t>
            </w:r>
          </w:p>
        </w:tc>
        <w:tc>
          <w:tcPr>
            <w:tcW w:w="4777" w:type="dxa"/>
            <w:tcBorders>
              <w:top w:val="single" w:color="auto" w:sz="4" w:space="0"/>
              <w:left w:val="single" w:color="auto" w:sz="4" w:space="0"/>
              <w:bottom w:val="single" w:color="auto" w:sz="4" w:space="0"/>
              <w:right w:val="single" w:color="auto" w:sz="4" w:space="0"/>
            </w:tcBorders>
            <w:vAlign w:val="center"/>
          </w:tcPr>
          <w:p w14:paraId="0027ADCD">
            <w:pPr>
              <w:jc w:val="left"/>
              <w:rPr>
                <w:rFonts w:ascii="宋体" w:hAnsi="宋体"/>
                <w:bCs/>
                <w:szCs w:val="21"/>
              </w:rPr>
            </w:pPr>
            <w:r>
              <w:rPr>
                <w:rFonts w:hint="eastAsia" w:ascii="宋体" w:hAnsi="宋体"/>
                <w:bCs/>
              </w:rPr>
              <w:t>本项目代理服务费由成交供应商支付，在成交通知书发出之日起7个工作日内支付。</w:t>
            </w:r>
          </w:p>
        </w:tc>
      </w:tr>
      <w:tr w14:paraId="7AD8C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159F2082">
            <w:pPr>
              <w:jc w:val="center"/>
              <w:rPr>
                <w:rFonts w:ascii="宋体" w:hAnsi="宋体"/>
                <w:szCs w:val="21"/>
              </w:rPr>
            </w:pPr>
            <w:r>
              <w:rPr>
                <w:rFonts w:hint="eastAsia" w:ascii="宋体" w:hAnsi="宋体"/>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14:paraId="06D743C1">
            <w:pPr>
              <w:jc w:val="center"/>
              <w:rPr>
                <w:rFonts w:ascii="宋体" w:hAnsi="宋体"/>
                <w:szCs w:val="21"/>
              </w:rPr>
            </w:pPr>
            <w:r>
              <w:rPr>
                <w:rFonts w:hint="eastAsia" w:ascii="宋体" w:hAnsi="宋体"/>
                <w:szCs w:val="21"/>
              </w:rPr>
              <w:t>17.1</w:t>
            </w:r>
          </w:p>
        </w:tc>
        <w:tc>
          <w:tcPr>
            <w:tcW w:w="1959" w:type="dxa"/>
            <w:tcBorders>
              <w:top w:val="single" w:color="auto" w:sz="4" w:space="0"/>
              <w:left w:val="single" w:color="auto" w:sz="4" w:space="0"/>
              <w:bottom w:val="single" w:color="auto" w:sz="4" w:space="0"/>
              <w:right w:val="single" w:color="auto" w:sz="4" w:space="0"/>
            </w:tcBorders>
            <w:vAlign w:val="center"/>
          </w:tcPr>
          <w:p w14:paraId="69EBD5A4">
            <w:pPr>
              <w:pStyle w:val="20"/>
              <w:widowControl w:val="0"/>
              <w:spacing w:before="0" w:beforeAutospacing="0" w:afterAutospacing="0"/>
              <w:jc w:val="left"/>
              <w:rPr>
                <w:b/>
                <w:sz w:val="21"/>
                <w:szCs w:val="21"/>
              </w:rPr>
            </w:pPr>
            <w:r>
              <w:rPr>
                <w:rFonts w:hint="eastAsia"/>
                <w:sz w:val="21"/>
                <w:szCs w:val="21"/>
              </w:rPr>
              <w:t>现场考察</w:t>
            </w:r>
          </w:p>
        </w:tc>
        <w:tc>
          <w:tcPr>
            <w:tcW w:w="4777" w:type="dxa"/>
            <w:tcBorders>
              <w:top w:val="single" w:color="auto" w:sz="4" w:space="0"/>
              <w:left w:val="single" w:color="auto" w:sz="4" w:space="0"/>
              <w:bottom w:val="single" w:color="auto" w:sz="4" w:space="0"/>
              <w:right w:val="single" w:color="auto" w:sz="4" w:space="0"/>
            </w:tcBorders>
            <w:vAlign w:val="center"/>
          </w:tcPr>
          <w:p w14:paraId="2FBE918C">
            <w:pPr>
              <w:jc w:val="left"/>
              <w:rPr>
                <w:rFonts w:ascii="宋体" w:hAnsi="宋体"/>
                <w:bCs/>
                <w:szCs w:val="21"/>
              </w:rPr>
            </w:pPr>
            <w:r>
              <w:rPr>
                <w:rFonts w:ascii="宋体" w:hAnsi="宋体"/>
                <w:szCs w:val="21"/>
              </w:rPr>
              <w:sym w:font="Wingdings" w:char="F0FE"/>
            </w:r>
            <w:r>
              <w:rPr>
                <w:rFonts w:hint="eastAsia" w:ascii="宋体" w:hAnsi="宋体"/>
                <w:szCs w:val="21"/>
              </w:rPr>
              <w:t>不</w:t>
            </w:r>
            <w:r>
              <w:rPr>
                <w:rFonts w:hint="eastAsia" w:ascii="宋体" w:hAnsi="宋体"/>
                <w:bCs/>
                <w:szCs w:val="21"/>
              </w:rPr>
              <w:t>统一</w:t>
            </w:r>
            <w:r>
              <w:rPr>
                <w:rFonts w:hint="eastAsia" w:ascii="宋体" w:hAnsi="宋体"/>
                <w:szCs w:val="21"/>
              </w:rPr>
              <w:t>组织，供应商可以</w:t>
            </w:r>
            <w:r>
              <w:rPr>
                <w:rFonts w:hint="eastAsia" w:ascii="宋体" w:hAnsi="宋体"/>
                <w:bCs/>
                <w:szCs w:val="21"/>
              </w:rPr>
              <w:t>自行考察，考察前请联系采购人的项目联系人。</w:t>
            </w:r>
          </w:p>
          <w:p w14:paraId="3F9A1916">
            <w:pPr>
              <w:jc w:val="left"/>
              <w:rPr>
                <w:rFonts w:ascii="宋体" w:hAnsi="宋体"/>
                <w:bCs/>
                <w:szCs w:val="21"/>
              </w:rPr>
            </w:pPr>
            <w:r>
              <w:rPr>
                <w:rFonts w:hint="eastAsia" w:ascii="宋体" w:hAnsi="宋体"/>
                <w:szCs w:val="21"/>
              </w:rPr>
              <w:t>□</w:t>
            </w:r>
            <w:r>
              <w:rPr>
                <w:rFonts w:hint="eastAsia" w:ascii="宋体" w:hAnsi="宋体"/>
                <w:bCs/>
                <w:szCs w:val="21"/>
              </w:rPr>
              <w:t>统一组织</w:t>
            </w:r>
          </w:p>
        </w:tc>
      </w:tr>
      <w:tr w14:paraId="35EB9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right w:val="single" w:color="auto" w:sz="4" w:space="0"/>
            </w:tcBorders>
            <w:vAlign w:val="center"/>
          </w:tcPr>
          <w:p w14:paraId="738D532D">
            <w:pPr>
              <w:jc w:val="center"/>
              <w:rPr>
                <w:rFonts w:ascii="宋体" w:hAnsi="宋体"/>
                <w:szCs w:val="21"/>
              </w:rPr>
            </w:pPr>
            <w:r>
              <w:rPr>
                <w:rFonts w:ascii="宋体" w:hAnsi="宋体"/>
                <w:szCs w:val="21"/>
              </w:rPr>
              <w:t>7</w:t>
            </w:r>
          </w:p>
        </w:tc>
        <w:tc>
          <w:tcPr>
            <w:tcW w:w="892" w:type="dxa"/>
            <w:vMerge w:val="restart"/>
            <w:tcBorders>
              <w:top w:val="single" w:color="auto" w:sz="4" w:space="0"/>
              <w:left w:val="single" w:color="auto" w:sz="4" w:space="0"/>
              <w:right w:val="single" w:color="auto" w:sz="4" w:space="0"/>
            </w:tcBorders>
            <w:vAlign w:val="center"/>
          </w:tcPr>
          <w:p w14:paraId="6CE05972">
            <w:pPr>
              <w:jc w:val="center"/>
              <w:rPr>
                <w:rFonts w:ascii="宋体" w:hAnsi="宋体"/>
                <w:szCs w:val="21"/>
              </w:rPr>
            </w:pPr>
            <w:r>
              <w:rPr>
                <w:rFonts w:hint="eastAsia" w:ascii="宋体" w:hAnsi="宋体"/>
                <w:szCs w:val="21"/>
              </w:rPr>
              <w:t>21.1</w:t>
            </w:r>
          </w:p>
        </w:tc>
        <w:tc>
          <w:tcPr>
            <w:tcW w:w="1959" w:type="dxa"/>
            <w:tcBorders>
              <w:top w:val="single" w:color="auto" w:sz="4" w:space="0"/>
              <w:left w:val="single" w:color="auto" w:sz="4" w:space="0"/>
              <w:right w:val="single" w:color="auto" w:sz="4" w:space="0"/>
            </w:tcBorders>
            <w:vAlign w:val="center"/>
          </w:tcPr>
          <w:p w14:paraId="5DD94EA6">
            <w:pPr>
              <w:rPr>
                <w:rFonts w:ascii="宋体" w:hAnsi="宋体"/>
                <w:szCs w:val="21"/>
              </w:rPr>
            </w:pPr>
            <w:r>
              <w:rPr>
                <w:rFonts w:hint="eastAsia" w:ascii="宋体" w:hAnsi="宋体"/>
                <w:szCs w:val="21"/>
              </w:rPr>
              <w:t>资格要求响应文件的组成</w:t>
            </w:r>
          </w:p>
        </w:tc>
        <w:tc>
          <w:tcPr>
            <w:tcW w:w="4777" w:type="dxa"/>
            <w:tcBorders>
              <w:top w:val="single" w:color="auto" w:sz="4" w:space="0"/>
              <w:left w:val="single" w:color="auto" w:sz="4" w:space="0"/>
              <w:right w:val="single" w:color="auto" w:sz="4" w:space="0"/>
            </w:tcBorders>
            <w:vAlign w:val="center"/>
          </w:tcPr>
          <w:p w14:paraId="766C9FE2">
            <w:pPr>
              <w:jc w:val="left"/>
              <w:rPr>
                <w:rFonts w:ascii="宋体" w:hAnsi="宋体"/>
                <w:szCs w:val="21"/>
              </w:rPr>
            </w:pPr>
            <w:r>
              <w:rPr>
                <w:rFonts w:hint="eastAsia" w:ascii="宋体" w:hAnsi="宋体"/>
                <w:szCs w:val="21"/>
              </w:rPr>
              <w:t>1.供应商资格声明函；</w:t>
            </w:r>
          </w:p>
          <w:p w14:paraId="74D88163">
            <w:pPr>
              <w:jc w:val="left"/>
              <w:rPr>
                <w:rFonts w:ascii="宋体" w:hAnsi="宋体"/>
                <w:szCs w:val="21"/>
              </w:rPr>
            </w:pPr>
            <w:r>
              <w:rPr>
                <w:rFonts w:hint="eastAsia" w:ascii="宋体" w:hAnsi="宋体"/>
                <w:szCs w:val="21"/>
              </w:rPr>
              <w:t>2.营业执照等单位登记证明文件复印件；</w:t>
            </w:r>
          </w:p>
          <w:p w14:paraId="4937B8C1">
            <w:pPr>
              <w:jc w:val="left"/>
              <w:rPr>
                <w:rFonts w:ascii="宋体" w:hAnsi="宋体"/>
                <w:szCs w:val="21"/>
              </w:rPr>
            </w:pPr>
            <w:r>
              <w:rPr>
                <w:rFonts w:ascii="宋体" w:hAnsi="宋体"/>
                <w:szCs w:val="21"/>
              </w:rPr>
              <w:t>3.</w:t>
            </w:r>
            <w:r>
              <w:rPr>
                <w:rFonts w:hint="eastAsia" w:ascii="宋体" w:hAnsi="宋体"/>
                <w:szCs w:val="21"/>
              </w:rPr>
              <w:t>有效的建筑装修装饰工程专业承包贰级及以上资质证书的复印件；</w:t>
            </w:r>
          </w:p>
          <w:p w14:paraId="43E69FB5">
            <w:pPr>
              <w:rPr>
                <w:rFonts w:ascii="宋体" w:hAnsi="宋体"/>
                <w:szCs w:val="21"/>
              </w:rPr>
            </w:pPr>
            <w:r>
              <w:rPr>
                <w:rFonts w:ascii="宋体" w:hAnsi="宋体"/>
                <w:szCs w:val="21"/>
              </w:rPr>
              <w:t>4.</w:t>
            </w:r>
            <w:r>
              <w:rPr>
                <w:rFonts w:hint="eastAsia" w:ascii="宋体" w:hAnsi="宋体"/>
                <w:szCs w:val="21"/>
              </w:rPr>
              <w:t>建设行政主管部门颁发的有效的安全生产许可证的复印件</w:t>
            </w:r>
            <w:r>
              <w:rPr>
                <w:rFonts w:hint="eastAsia" w:ascii="宋体" w:hAnsi="宋体"/>
                <w:b/>
              </w:rPr>
              <w:t>；</w:t>
            </w:r>
          </w:p>
          <w:p w14:paraId="7E764EA9">
            <w:pPr>
              <w:rPr>
                <w:rFonts w:ascii="宋体" w:hAnsi="宋体"/>
                <w:szCs w:val="21"/>
              </w:rPr>
            </w:pPr>
            <w:r>
              <w:rPr>
                <w:rFonts w:ascii="宋体" w:hAnsi="宋体"/>
                <w:szCs w:val="21"/>
              </w:rPr>
              <w:t>5</w:t>
            </w:r>
            <w:r>
              <w:rPr>
                <w:rFonts w:hint="eastAsia" w:ascii="宋体" w:hAnsi="宋体"/>
                <w:szCs w:val="21"/>
              </w:rPr>
              <w:t>.中小企业声明函或残疾人福利性单位声明函或监狱企业证明文件。</w:t>
            </w:r>
          </w:p>
        </w:tc>
      </w:tr>
      <w:tr w14:paraId="0A00D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dxa"/>
            <w:tcBorders>
              <w:top w:val="single" w:color="auto" w:sz="4" w:space="0"/>
              <w:left w:val="single" w:color="auto" w:sz="4" w:space="0"/>
              <w:right w:val="single" w:color="auto" w:sz="4" w:space="0"/>
            </w:tcBorders>
            <w:vAlign w:val="center"/>
          </w:tcPr>
          <w:p w14:paraId="0734F120">
            <w:pPr>
              <w:jc w:val="center"/>
              <w:rPr>
                <w:rFonts w:ascii="宋体" w:hAnsi="宋体"/>
                <w:szCs w:val="21"/>
              </w:rPr>
            </w:pPr>
            <w:r>
              <w:rPr>
                <w:rFonts w:ascii="宋体" w:hAnsi="宋体"/>
                <w:szCs w:val="21"/>
              </w:rPr>
              <w:t>8</w:t>
            </w:r>
          </w:p>
        </w:tc>
        <w:tc>
          <w:tcPr>
            <w:tcW w:w="892" w:type="dxa"/>
            <w:vMerge w:val="continue"/>
            <w:tcBorders>
              <w:left w:val="single" w:color="auto" w:sz="4" w:space="0"/>
              <w:right w:val="single" w:color="auto" w:sz="4" w:space="0"/>
            </w:tcBorders>
            <w:vAlign w:val="center"/>
          </w:tcPr>
          <w:p w14:paraId="636734CF">
            <w:pPr>
              <w:ind w:firstLine="420"/>
              <w:jc w:val="center"/>
              <w:rPr>
                <w:rFonts w:ascii="宋体" w:hAnsi="宋体"/>
                <w:szCs w:val="21"/>
              </w:rPr>
            </w:pPr>
          </w:p>
        </w:tc>
        <w:tc>
          <w:tcPr>
            <w:tcW w:w="1959" w:type="dxa"/>
            <w:tcBorders>
              <w:top w:val="single" w:color="auto" w:sz="4" w:space="0"/>
              <w:left w:val="single" w:color="auto" w:sz="4" w:space="0"/>
              <w:right w:val="single" w:color="auto" w:sz="4" w:space="0"/>
            </w:tcBorders>
            <w:vAlign w:val="center"/>
          </w:tcPr>
          <w:p w14:paraId="63C1071E">
            <w:pPr>
              <w:rPr>
                <w:rFonts w:ascii="宋体" w:hAnsi="宋体"/>
                <w:szCs w:val="21"/>
              </w:rPr>
            </w:pPr>
            <w:r>
              <w:rPr>
                <w:rFonts w:hint="eastAsia" w:ascii="宋体" w:hAnsi="宋体"/>
                <w:szCs w:val="21"/>
              </w:rPr>
              <w:t>商务技术文件的组成</w:t>
            </w:r>
          </w:p>
        </w:tc>
        <w:tc>
          <w:tcPr>
            <w:tcW w:w="4777" w:type="dxa"/>
            <w:tcBorders>
              <w:top w:val="single" w:color="auto" w:sz="4" w:space="0"/>
              <w:left w:val="single" w:color="auto" w:sz="4" w:space="0"/>
              <w:right w:val="single" w:color="auto" w:sz="4" w:space="0"/>
            </w:tcBorders>
            <w:vAlign w:val="center"/>
          </w:tcPr>
          <w:p w14:paraId="21941252">
            <w:pPr>
              <w:jc w:val="left"/>
              <w:rPr>
                <w:rFonts w:ascii="宋体" w:hAnsi="宋体"/>
                <w:szCs w:val="21"/>
              </w:rPr>
            </w:pPr>
            <w:r>
              <w:rPr>
                <w:rFonts w:hint="eastAsia" w:ascii="宋体" w:hAnsi="宋体"/>
                <w:szCs w:val="21"/>
              </w:rPr>
              <w:t>1.响应函；</w:t>
            </w:r>
          </w:p>
          <w:p w14:paraId="5B449D29">
            <w:pPr>
              <w:jc w:val="left"/>
              <w:rPr>
                <w:rFonts w:ascii="宋体" w:hAnsi="宋体"/>
                <w:szCs w:val="21"/>
              </w:rPr>
            </w:pPr>
            <w:r>
              <w:rPr>
                <w:rFonts w:hint="eastAsia" w:ascii="宋体" w:hAnsi="宋体"/>
                <w:szCs w:val="21"/>
              </w:rPr>
              <w:t>2.供应商的法定代表人身份证复印件（双面）或授权委托书及其附件；</w:t>
            </w:r>
          </w:p>
          <w:p w14:paraId="138A6304">
            <w:pPr>
              <w:jc w:val="left"/>
              <w:rPr>
                <w:rFonts w:ascii="宋体" w:hAnsi="宋体"/>
                <w:szCs w:val="21"/>
              </w:rPr>
            </w:pPr>
            <w:r>
              <w:rPr>
                <w:rFonts w:hint="eastAsia" w:ascii="宋体" w:hAnsi="宋体"/>
                <w:szCs w:val="21"/>
              </w:rPr>
              <w:t>3.采购需求偏离和建议调整表；</w:t>
            </w:r>
          </w:p>
          <w:p w14:paraId="48879DA9">
            <w:pPr>
              <w:jc w:val="left"/>
              <w:rPr>
                <w:rFonts w:ascii="宋体" w:hAnsi="宋体"/>
                <w:szCs w:val="21"/>
              </w:rPr>
            </w:pPr>
            <w:r>
              <w:rPr>
                <w:rFonts w:hint="eastAsia" w:ascii="宋体" w:hAnsi="宋体"/>
                <w:szCs w:val="21"/>
              </w:rPr>
              <w:t>4.</w:t>
            </w:r>
            <w:r>
              <w:rPr>
                <w:rFonts w:ascii="宋体" w:hAnsi="宋体"/>
                <w:szCs w:val="21"/>
              </w:rPr>
              <w:t>合同条款偏离</w:t>
            </w:r>
            <w:r>
              <w:rPr>
                <w:rFonts w:hint="eastAsia" w:ascii="宋体" w:hAnsi="宋体"/>
                <w:szCs w:val="21"/>
              </w:rPr>
              <w:t>和建议调整</w:t>
            </w:r>
            <w:r>
              <w:rPr>
                <w:rFonts w:ascii="宋体" w:hAnsi="宋体"/>
                <w:szCs w:val="21"/>
              </w:rPr>
              <w:t>表</w:t>
            </w:r>
            <w:r>
              <w:rPr>
                <w:rFonts w:hint="eastAsia" w:ascii="宋体" w:hAnsi="宋体"/>
                <w:szCs w:val="21"/>
              </w:rPr>
              <w:t>；</w:t>
            </w:r>
          </w:p>
          <w:p w14:paraId="5B49BC82">
            <w:pPr>
              <w:jc w:val="left"/>
              <w:rPr>
                <w:rFonts w:ascii="宋体" w:hAnsi="宋体"/>
                <w:szCs w:val="21"/>
              </w:rPr>
            </w:pPr>
            <w:r>
              <w:rPr>
                <w:rFonts w:ascii="宋体" w:hAnsi="宋体"/>
                <w:szCs w:val="21"/>
              </w:rPr>
              <w:t>5.</w:t>
            </w:r>
            <w:r>
              <w:rPr>
                <w:rFonts w:hint="eastAsia" w:ascii="宋体" w:hAnsi="宋体"/>
                <w:szCs w:val="21"/>
              </w:rPr>
              <w:t>类似项目业绩一览表；</w:t>
            </w:r>
          </w:p>
          <w:p w14:paraId="029ACAE7">
            <w:pPr>
              <w:jc w:val="left"/>
              <w:rPr>
                <w:rFonts w:ascii="宋体" w:hAnsi="宋体"/>
                <w:szCs w:val="21"/>
              </w:rPr>
            </w:pPr>
            <w:r>
              <w:rPr>
                <w:rFonts w:ascii="宋体" w:hAnsi="宋体"/>
                <w:szCs w:val="21"/>
              </w:rPr>
              <w:t>6.材料品牌</w:t>
            </w:r>
            <w:r>
              <w:rPr>
                <w:rFonts w:hint="eastAsia" w:ascii="宋体" w:hAnsi="宋体"/>
                <w:szCs w:val="21"/>
              </w:rPr>
              <w:t>响应</w:t>
            </w:r>
            <w:r>
              <w:rPr>
                <w:rFonts w:ascii="宋体" w:hAnsi="宋体"/>
                <w:szCs w:val="21"/>
              </w:rPr>
              <w:t>表</w:t>
            </w:r>
            <w:r>
              <w:rPr>
                <w:rFonts w:hint="eastAsia" w:ascii="宋体" w:hAnsi="宋体"/>
                <w:szCs w:val="21"/>
              </w:rPr>
              <w:t>；</w:t>
            </w:r>
          </w:p>
          <w:p w14:paraId="1D4333C1">
            <w:pPr>
              <w:jc w:val="left"/>
              <w:rPr>
                <w:rFonts w:ascii="宋体" w:hAnsi="宋体"/>
                <w:szCs w:val="21"/>
              </w:rPr>
            </w:pPr>
            <w:r>
              <w:rPr>
                <w:rFonts w:ascii="宋体" w:hAnsi="宋体"/>
                <w:szCs w:val="21"/>
              </w:rPr>
              <w:t>7.</w:t>
            </w:r>
            <w:r>
              <w:rPr>
                <w:rFonts w:hint="eastAsia" w:ascii="宋体" w:hAnsi="宋体"/>
                <w:szCs w:val="21"/>
              </w:rPr>
              <w:t>其他与项目评审及履行合同有关的资料。</w:t>
            </w:r>
          </w:p>
        </w:tc>
      </w:tr>
      <w:tr w14:paraId="7EEF9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02" w:type="dxa"/>
            <w:tcBorders>
              <w:top w:val="single" w:color="auto" w:sz="4" w:space="0"/>
              <w:left w:val="single" w:color="auto" w:sz="4" w:space="0"/>
              <w:right w:val="single" w:color="auto" w:sz="4" w:space="0"/>
            </w:tcBorders>
            <w:vAlign w:val="center"/>
          </w:tcPr>
          <w:p w14:paraId="7B47D8AB">
            <w:pPr>
              <w:jc w:val="center"/>
              <w:rPr>
                <w:rFonts w:ascii="宋体" w:hAnsi="宋体"/>
                <w:szCs w:val="21"/>
              </w:rPr>
            </w:pPr>
            <w:r>
              <w:rPr>
                <w:rFonts w:ascii="宋体" w:hAnsi="宋体"/>
                <w:szCs w:val="21"/>
              </w:rPr>
              <w:t>9</w:t>
            </w:r>
          </w:p>
        </w:tc>
        <w:tc>
          <w:tcPr>
            <w:tcW w:w="892" w:type="dxa"/>
            <w:vMerge w:val="continue"/>
            <w:tcBorders>
              <w:left w:val="single" w:color="auto" w:sz="4" w:space="0"/>
              <w:right w:val="single" w:color="auto" w:sz="4" w:space="0"/>
            </w:tcBorders>
            <w:vAlign w:val="center"/>
          </w:tcPr>
          <w:p w14:paraId="1BE12D05">
            <w:pPr>
              <w:ind w:firstLine="420"/>
              <w:jc w:val="center"/>
              <w:rPr>
                <w:rFonts w:ascii="宋体" w:hAnsi="宋体"/>
                <w:szCs w:val="21"/>
              </w:rPr>
            </w:pPr>
          </w:p>
        </w:tc>
        <w:tc>
          <w:tcPr>
            <w:tcW w:w="1959" w:type="dxa"/>
            <w:tcBorders>
              <w:top w:val="single" w:color="auto" w:sz="4" w:space="0"/>
              <w:left w:val="single" w:color="auto" w:sz="4" w:space="0"/>
              <w:right w:val="single" w:color="auto" w:sz="4" w:space="0"/>
            </w:tcBorders>
            <w:vAlign w:val="center"/>
          </w:tcPr>
          <w:p w14:paraId="093D5261">
            <w:pPr>
              <w:jc w:val="left"/>
              <w:rPr>
                <w:rFonts w:ascii="宋体" w:hAnsi="宋体"/>
                <w:szCs w:val="21"/>
              </w:rPr>
            </w:pPr>
            <w:r>
              <w:rPr>
                <w:rFonts w:hint="eastAsia" w:ascii="宋体" w:hAnsi="宋体"/>
                <w:szCs w:val="21"/>
              </w:rPr>
              <w:t>报价要求响应文件的组成</w:t>
            </w:r>
          </w:p>
        </w:tc>
        <w:tc>
          <w:tcPr>
            <w:tcW w:w="4777" w:type="dxa"/>
            <w:tcBorders>
              <w:top w:val="single" w:color="auto" w:sz="4" w:space="0"/>
              <w:left w:val="single" w:color="auto" w:sz="4" w:space="0"/>
              <w:right w:val="single" w:color="auto" w:sz="4" w:space="0"/>
            </w:tcBorders>
            <w:vAlign w:val="center"/>
          </w:tcPr>
          <w:p w14:paraId="43990E5C">
            <w:pPr>
              <w:jc w:val="left"/>
              <w:rPr>
                <w:rFonts w:ascii="宋体" w:hAnsi="宋体"/>
                <w:szCs w:val="21"/>
              </w:rPr>
            </w:pPr>
            <w:r>
              <w:rPr>
                <w:rFonts w:hint="eastAsia" w:ascii="宋体" w:hAnsi="宋体"/>
                <w:szCs w:val="21"/>
              </w:rPr>
              <w:t>1.初次报价表；</w:t>
            </w:r>
          </w:p>
          <w:p w14:paraId="390108B5">
            <w:pPr>
              <w:jc w:val="left"/>
              <w:rPr>
                <w:rFonts w:ascii="宋体" w:hAnsi="宋体"/>
                <w:szCs w:val="21"/>
              </w:rPr>
            </w:pPr>
            <w:r>
              <w:rPr>
                <w:rFonts w:hint="eastAsia" w:ascii="宋体" w:hAnsi="宋体"/>
                <w:szCs w:val="21"/>
              </w:rPr>
              <w:t>2.磋商控制价预算书确认单；</w:t>
            </w:r>
          </w:p>
          <w:p w14:paraId="227EF37B">
            <w:pPr>
              <w:jc w:val="left"/>
              <w:rPr>
                <w:rFonts w:ascii="宋体" w:hAnsi="宋体"/>
              </w:rPr>
            </w:pPr>
            <w:r>
              <w:rPr>
                <w:rFonts w:hint="eastAsia" w:ascii="宋体" w:hAnsi="宋体"/>
                <w:szCs w:val="21"/>
              </w:rPr>
              <w:t>3</w:t>
            </w:r>
            <w:r>
              <w:rPr>
                <w:rFonts w:ascii="宋体" w:hAnsi="宋体"/>
                <w:szCs w:val="21"/>
              </w:rPr>
              <w:t>.</w:t>
            </w:r>
            <w:r>
              <w:rPr>
                <w:rFonts w:hint="eastAsia" w:ascii="宋体" w:hAnsi="宋体"/>
                <w:szCs w:val="21"/>
              </w:rPr>
              <w:t>报价合理性说明及其附件（根据实际情况提供）。</w:t>
            </w:r>
          </w:p>
        </w:tc>
      </w:tr>
      <w:tr w14:paraId="4D14F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186C0C82">
            <w:pPr>
              <w:jc w:val="center"/>
              <w:rPr>
                <w:rFonts w:ascii="宋体" w:hAnsi="宋体"/>
                <w:szCs w:val="21"/>
              </w:rPr>
            </w:pPr>
            <w:r>
              <w:rPr>
                <w:rFonts w:ascii="宋体" w:hAnsi="宋体"/>
                <w:szCs w:val="21"/>
              </w:rPr>
              <w:t>10</w:t>
            </w:r>
          </w:p>
        </w:tc>
        <w:tc>
          <w:tcPr>
            <w:tcW w:w="892" w:type="dxa"/>
            <w:tcBorders>
              <w:top w:val="single" w:color="auto" w:sz="4" w:space="0"/>
              <w:left w:val="single" w:color="auto" w:sz="4" w:space="0"/>
              <w:bottom w:val="single" w:color="auto" w:sz="4" w:space="0"/>
              <w:right w:val="single" w:color="auto" w:sz="4" w:space="0"/>
            </w:tcBorders>
            <w:vAlign w:val="center"/>
          </w:tcPr>
          <w:p w14:paraId="0E619712">
            <w:pPr>
              <w:jc w:val="center"/>
              <w:rPr>
                <w:rFonts w:ascii="宋体" w:hAnsi="宋体"/>
                <w:szCs w:val="21"/>
              </w:rPr>
            </w:pPr>
            <w:r>
              <w:rPr>
                <w:rFonts w:hint="eastAsia" w:ascii="宋体" w:hAnsi="宋体"/>
                <w:szCs w:val="21"/>
              </w:rPr>
              <w:t>26.1</w:t>
            </w:r>
          </w:p>
        </w:tc>
        <w:tc>
          <w:tcPr>
            <w:tcW w:w="1959" w:type="dxa"/>
            <w:tcBorders>
              <w:top w:val="single" w:color="auto" w:sz="4" w:space="0"/>
              <w:left w:val="single" w:color="auto" w:sz="4" w:space="0"/>
              <w:bottom w:val="single" w:color="auto" w:sz="4" w:space="0"/>
              <w:right w:val="single" w:color="auto" w:sz="4" w:space="0"/>
            </w:tcBorders>
            <w:vAlign w:val="center"/>
          </w:tcPr>
          <w:p w14:paraId="0F0B639D">
            <w:pPr>
              <w:jc w:val="left"/>
              <w:rPr>
                <w:rFonts w:ascii="宋体" w:hAnsi="宋体"/>
                <w:szCs w:val="21"/>
              </w:rPr>
            </w:pPr>
            <w:r>
              <w:rPr>
                <w:rFonts w:hint="eastAsia" w:ascii="宋体" w:hAnsi="宋体"/>
                <w:szCs w:val="21"/>
              </w:rPr>
              <w:t>响应文件的</w:t>
            </w:r>
            <w:r>
              <w:rPr>
                <w:rFonts w:ascii="宋体" w:hAnsi="宋体"/>
                <w:szCs w:val="21"/>
              </w:rPr>
              <w:t>有效期</w:t>
            </w:r>
          </w:p>
        </w:tc>
        <w:tc>
          <w:tcPr>
            <w:tcW w:w="4777" w:type="dxa"/>
            <w:tcBorders>
              <w:top w:val="single" w:color="auto" w:sz="4" w:space="0"/>
              <w:left w:val="single" w:color="auto" w:sz="4" w:space="0"/>
              <w:bottom w:val="single" w:color="auto" w:sz="4" w:space="0"/>
              <w:right w:val="single" w:color="auto" w:sz="4" w:space="0"/>
            </w:tcBorders>
            <w:vAlign w:val="center"/>
          </w:tcPr>
          <w:p w14:paraId="2C30C3D6">
            <w:pPr>
              <w:jc w:val="left"/>
              <w:rPr>
                <w:rFonts w:ascii="宋体" w:hAnsi="宋体"/>
                <w:szCs w:val="21"/>
              </w:rPr>
            </w:pPr>
            <w:r>
              <w:rPr>
                <w:rFonts w:hint="eastAsia" w:ascii="宋体" w:hAnsi="宋体" w:cs="Arial"/>
                <w:szCs w:val="21"/>
              </w:rPr>
              <w:t>90日历天</w:t>
            </w:r>
          </w:p>
        </w:tc>
      </w:tr>
      <w:tr w14:paraId="628AE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46A9D93C">
            <w:pPr>
              <w:jc w:val="center"/>
              <w:rPr>
                <w:rFonts w:ascii="宋体" w:hAnsi="宋体"/>
                <w:szCs w:val="21"/>
              </w:rPr>
            </w:pPr>
            <w:r>
              <w:rPr>
                <w:rFonts w:ascii="宋体" w:hAnsi="宋体"/>
                <w:szCs w:val="21"/>
              </w:rPr>
              <w:t>11</w:t>
            </w:r>
          </w:p>
        </w:tc>
        <w:tc>
          <w:tcPr>
            <w:tcW w:w="892" w:type="dxa"/>
            <w:tcBorders>
              <w:top w:val="single" w:color="auto" w:sz="4" w:space="0"/>
              <w:left w:val="single" w:color="auto" w:sz="4" w:space="0"/>
              <w:bottom w:val="single" w:color="auto" w:sz="4" w:space="0"/>
              <w:right w:val="single" w:color="auto" w:sz="4" w:space="0"/>
            </w:tcBorders>
            <w:vAlign w:val="center"/>
          </w:tcPr>
          <w:p w14:paraId="7E9EC310">
            <w:pPr>
              <w:jc w:val="center"/>
              <w:rPr>
                <w:rFonts w:ascii="宋体" w:hAnsi="宋体"/>
                <w:szCs w:val="21"/>
              </w:rPr>
            </w:pPr>
            <w:r>
              <w:rPr>
                <w:rFonts w:hint="eastAsia" w:ascii="宋体" w:hAnsi="宋体"/>
                <w:szCs w:val="21"/>
              </w:rPr>
              <w:t>29.1</w:t>
            </w:r>
          </w:p>
        </w:tc>
        <w:tc>
          <w:tcPr>
            <w:tcW w:w="1959" w:type="dxa"/>
            <w:tcBorders>
              <w:top w:val="single" w:color="auto" w:sz="4" w:space="0"/>
              <w:left w:val="single" w:color="auto" w:sz="4" w:space="0"/>
              <w:bottom w:val="single" w:color="auto" w:sz="4" w:space="0"/>
              <w:right w:val="single" w:color="auto" w:sz="4" w:space="0"/>
            </w:tcBorders>
            <w:vAlign w:val="center"/>
          </w:tcPr>
          <w:p w14:paraId="2A5A3354">
            <w:pPr>
              <w:jc w:val="left"/>
              <w:rPr>
                <w:rFonts w:ascii="宋体" w:hAnsi="宋体"/>
                <w:b/>
                <w:szCs w:val="21"/>
              </w:rPr>
            </w:pPr>
            <w:r>
              <w:rPr>
                <w:rFonts w:hint="eastAsia" w:ascii="宋体" w:hAnsi="宋体"/>
                <w:szCs w:val="21"/>
              </w:rPr>
              <w:t>响应文件提交的截止时间、开启时间及地点</w:t>
            </w:r>
          </w:p>
        </w:tc>
        <w:tc>
          <w:tcPr>
            <w:tcW w:w="4777" w:type="dxa"/>
            <w:tcBorders>
              <w:top w:val="single" w:color="auto" w:sz="4" w:space="0"/>
              <w:left w:val="single" w:color="auto" w:sz="4" w:space="0"/>
              <w:bottom w:val="single" w:color="auto" w:sz="4" w:space="0"/>
              <w:right w:val="single" w:color="auto" w:sz="4" w:space="0"/>
            </w:tcBorders>
            <w:vAlign w:val="center"/>
          </w:tcPr>
          <w:p w14:paraId="1469E19C">
            <w:pPr>
              <w:jc w:val="left"/>
              <w:rPr>
                <w:rFonts w:ascii="宋体" w:hAnsi="宋体"/>
                <w:b/>
                <w:szCs w:val="21"/>
              </w:rPr>
            </w:pPr>
            <w:r>
              <w:rPr>
                <w:rFonts w:hint="eastAsia" w:ascii="宋体" w:hAnsi="宋体"/>
                <w:szCs w:val="21"/>
              </w:rPr>
              <w:t>见</w:t>
            </w:r>
            <w:r>
              <w:rPr>
                <w:rFonts w:hint="eastAsia" w:ascii="宋体" w:hAnsi="宋体"/>
                <w:bCs/>
                <w:szCs w:val="21"/>
                <w:u w:val="single"/>
              </w:rPr>
              <w:t>《第一章  采购公告》</w:t>
            </w:r>
          </w:p>
        </w:tc>
      </w:tr>
      <w:tr w14:paraId="18755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6FDC1AFD">
            <w:pPr>
              <w:jc w:val="center"/>
              <w:rPr>
                <w:rFonts w:ascii="宋体" w:hAnsi="宋体"/>
                <w:szCs w:val="21"/>
              </w:rPr>
            </w:pPr>
            <w:r>
              <w:rPr>
                <w:rFonts w:hint="eastAsia" w:ascii="宋体" w:hAnsi="宋体"/>
                <w:szCs w:val="21"/>
              </w:rPr>
              <w:t>1</w:t>
            </w:r>
            <w:r>
              <w:rPr>
                <w:rFonts w:ascii="宋体" w:hAnsi="宋体"/>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14:paraId="2F1A126F">
            <w:pPr>
              <w:jc w:val="center"/>
              <w:rPr>
                <w:rFonts w:ascii="宋体" w:hAnsi="宋体"/>
                <w:szCs w:val="21"/>
              </w:rPr>
            </w:pPr>
            <w:r>
              <w:rPr>
                <w:rFonts w:hint="eastAsia" w:ascii="宋体" w:hAnsi="宋体"/>
                <w:szCs w:val="21"/>
              </w:rPr>
              <w:t>31.2</w:t>
            </w:r>
          </w:p>
        </w:tc>
        <w:tc>
          <w:tcPr>
            <w:tcW w:w="1959" w:type="dxa"/>
            <w:tcBorders>
              <w:top w:val="single" w:color="auto" w:sz="4" w:space="0"/>
              <w:left w:val="single" w:color="auto" w:sz="4" w:space="0"/>
              <w:bottom w:val="single" w:color="auto" w:sz="4" w:space="0"/>
              <w:right w:val="single" w:color="auto" w:sz="4" w:space="0"/>
            </w:tcBorders>
            <w:vAlign w:val="center"/>
          </w:tcPr>
          <w:p w14:paraId="19499077">
            <w:pPr>
              <w:jc w:val="left"/>
              <w:rPr>
                <w:rFonts w:ascii="宋体" w:hAnsi="宋体"/>
                <w:b/>
                <w:szCs w:val="21"/>
              </w:rPr>
            </w:pPr>
            <w:r>
              <w:rPr>
                <w:rFonts w:hint="eastAsia" w:ascii="宋体" w:hAnsi="宋体"/>
                <w:szCs w:val="21"/>
              </w:rPr>
              <w:t>响应文件解密时间</w:t>
            </w:r>
          </w:p>
        </w:tc>
        <w:tc>
          <w:tcPr>
            <w:tcW w:w="4777" w:type="dxa"/>
            <w:tcBorders>
              <w:top w:val="single" w:color="auto" w:sz="4" w:space="0"/>
              <w:left w:val="single" w:color="auto" w:sz="4" w:space="0"/>
              <w:bottom w:val="single" w:color="auto" w:sz="4" w:space="0"/>
              <w:right w:val="single" w:color="auto" w:sz="4" w:space="0"/>
            </w:tcBorders>
            <w:vAlign w:val="center"/>
          </w:tcPr>
          <w:p w14:paraId="421E2BFD">
            <w:pPr>
              <w:jc w:val="left"/>
              <w:rPr>
                <w:rFonts w:ascii="宋体" w:hAnsi="宋体"/>
                <w:b/>
                <w:szCs w:val="21"/>
              </w:rPr>
            </w:pPr>
            <w:r>
              <w:rPr>
                <w:rFonts w:hint="eastAsia" w:ascii="宋体" w:hAnsi="宋体"/>
                <w:szCs w:val="21"/>
              </w:rPr>
              <w:t>开启响应文件时间到达后3</w:t>
            </w:r>
            <w:r>
              <w:rPr>
                <w:rFonts w:ascii="宋体" w:hAnsi="宋体"/>
                <w:szCs w:val="21"/>
              </w:rPr>
              <w:t>0</w:t>
            </w:r>
            <w:r>
              <w:rPr>
                <w:rFonts w:hint="eastAsia" w:ascii="宋体" w:hAnsi="宋体"/>
                <w:szCs w:val="21"/>
              </w:rPr>
              <w:t>分钟内（以电子交易系统解密倒计时为准）</w:t>
            </w:r>
          </w:p>
        </w:tc>
      </w:tr>
      <w:tr w14:paraId="64C49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22CB4F28">
            <w:pPr>
              <w:jc w:val="center"/>
              <w:rPr>
                <w:rFonts w:ascii="宋体" w:hAnsi="宋体"/>
                <w:szCs w:val="21"/>
              </w:rPr>
            </w:pPr>
            <w:r>
              <w:rPr>
                <w:rFonts w:hint="eastAsia" w:ascii="宋体" w:hAnsi="宋体"/>
                <w:szCs w:val="21"/>
              </w:rPr>
              <w:t>1</w:t>
            </w:r>
            <w:r>
              <w:rPr>
                <w:rFonts w:ascii="宋体" w:hAnsi="宋体"/>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14:paraId="556533F4">
            <w:pPr>
              <w:jc w:val="center"/>
              <w:rPr>
                <w:rFonts w:ascii="宋体" w:hAnsi="宋体"/>
                <w:szCs w:val="21"/>
              </w:rPr>
            </w:pPr>
            <w:r>
              <w:rPr>
                <w:rFonts w:hint="eastAsia" w:ascii="宋体" w:hAnsi="宋体"/>
                <w:szCs w:val="21"/>
              </w:rPr>
              <w:t>36.1</w:t>
            </w:r>
          </w:p>
        </w:tc>
        <w:tc>
          <w:tcPr>
            <w:tcW w:w="1959" w:type="dxa"/>
            <w:tcBorders>
              <w:top w:val="single" w:color="auto" w:sz="4" w:space="0"/>
              <w:left w:val="single" w:color="auto" w:sz="4" w:space="0"/>
              <w:bottom w:val="single" w:color="auto" w:sz="4" w:space="0"/>
              <w:right w:val="single" w:color="auto" w:sz="4" w:space="0"/>
            </w:tcBorders>
            <w:vAlign w:val="center"/>
          </w:tcPr>
          <w:p w14:paraId="05BC0685">
            <w:pPr>
              <w:jc w:val="left"/>
              <w:rPr>
                <w:rFonts w:ascii="宋体" w:hAnsi="宋体"/>
                <w:b/>
                <w:szCs w:val="21"/>
              </w:rPr>
            </w:pPr>
            <w:r>
              <w:rPr>
                <w:rFonts w:hint="eastAsia" w:ascii="宋体" w:hAnsi="宋体"/>
                <w:szCs w:val="21"/>
              </w:rPr>
              <w:t>评审方法</w:t>
            </w:r>
          </w:p>
        </w:tc>
        <w:tc>
          <w:tcPr>
            <w:tcW w:w="4777" w:type="dxa"/>
            <w:tcBorders>
              <w:top w:val="single" w:color="auto" w:sz="4" w:space="0"/>
              <w:left w:val="single" w:color="auto" w:sz="4" w:space="0"/>
              <w:bottom w:val="single" w:color="auto" w:sz="4" w:space="0"/>
              <w:right w:val="single" w:color="auto" w:sz="4" w:space="0"/>
            </w:tcBorders>
            <w:vAlign w:val="center"/>
          </w:tcPr>
          <w:p w14:paraId="2A94CCC2">
            <w:pPr>
              <w:jc w:val="left"/>
              <w:rPr>
                <w:rFonts w:ascii="宋体" w:hAnsi="宋体"/>
                <w:szCs w:val="21"/>
              </w:rPr>
            </w:pPr>
            <w:r>
              <w:rPr>
                <w:rFonts w:hint="eastAsia" w:ascii="宋体" w:hAnsi="宋体"/>
                <w:szCs w:val="21"/>
              </w:rPr>
              <w:t>综合评分法</w:t>
            </w:r>
          </w:p>
        </w:tc>
      </w:tr>
    </w:tbl>
    <w:p w14:paraId="3FA8A35D">
      <w:pPr>
        <w:pStyle w:val="5"/>
        <w:numPr>
          <w:ilvl w:val="0"/>
          <w:numId w:val="0"/>
        </w:numPr>
        <w:tabs>
          <w:tab w:val="left" w:pos="720"/>
        </w:tabs>
        <w:snapToGrid w:val="0"/>
        <w:spacing w:line="360" w:lineRule="auto"/>
        <w:jc w:val="center"/>
        <w:rPr>
          <w:rFonts w:ascii="宋体" w:hAnsi="宋体"/>
          <w:b/>
          <w:szCs w:val="21"/>
        </w:rPr>
      </w:pPr>
    </w:p>
    <w:p w14:paraId="6CEF67AE">
      <w:pPr>
        <w:widowControl/>
        <w:jc w:val="left"/>
        <w:rPr>
          <w:rFonts w:ascii="宋体" w:hAnsi="宋体"/>
          <w:b/>
          <w:szCs w:val="21"/>
        </w:rPr>
      </w:pPr>
      <w:r>
        <w:rPr>
          <w:rFonts w:ascii="宋体" w:hAnsi="宋体"/>
          <w:b/>
          <w:szCs w:val="21"/>
        </w:rPr>
        <w:br w:type="page"/>
      </w:r>
    </w:p>
    <w:p w14:paraId="6A29FD95">
      <w:pPr>
        <w:pStyle w:val="5"/>
        <w:numPr>
          <w:ilvl w:val="0"/>
          <w:numId w:val="0"/>
        </w:numPr>
        <w:tabs>
          <w:tab w:val="left" w:pos="720"/>
        </w:tabs>
        <w:snapToGrid w:val="0"/>
        <w:spacing w:line="360" w:lineRule="auto"/>
        <w:jc w:val="center"/>
        <w:rPr>
          <w:rFonts w:ascii="宋体" w:hAnsi="宋体"/>
          <w:b/>
          <w:szCs w:val="21"/>
        </w:rPr>
      </w:pPr>
      <w:r>
        <w:rPr>
          <w:rFonts w:hint="eastAsia" w:ascii="宋体" w:hAnsi="宋体"/>
          <w:b/>
          <w:szCs w:val="21"/>
        </w:rPr>
        <w:t>一、总则</w:t>
      </w:r>
    </w:p>
    <w:p w14:paraId="0E70230E">
      <w:pPr>
        <w:spacing w:line="360" w:lineRule="auto"/>
        <w:ind w:firstLine="422" w:firstLineChars="200"/>
        <w:jc w:val="left"/>
        <w:rPr>
          <w:rFonts w:ascii="宋体" w:hAnsi="宋体"/>
          <w:b/>
          <w:szCs w:val="21"/>
        </w:rPr>
      </w:pPr>
      <w:r>
        <w:rPr>
          <w:rFonts w:hint="eastAsia" w:ascii="宋体" w:hAnsi="宋体"/>
          <w:b/>
          <w:szCs w:val="21"/>
        </w:rPr>
        <w:t>1.</w:t>
      </w:r>
      <w:r>
        <w:rPr>
          <w:rFonts w:ascii="宋体" w:hAnsi="宋体"/>
          <w:b/>
          <w:szCs w:val="21"/>
        </w:rPr>
        <w:t>适用范围</w:t>
      </w:r>
    </w:p>
    <w:p w14:paraId="2C0F2063">
      <w:pPr>
        <w:snapToGrid w:val="0"/>
        <w:spacing w:line="360" w:lineRule="auto"/>
        <w:ind w:firstLine="420" w:firstLineChars="200"/>
        <w:jc w:val="left"/>
        <w:rPr>
          <w:rFonts w:ascii="宋体" w:hAnsi="宋体"/>
          <w:szCs w:val="21"/>
        </w:rPr>
      </w:pPr>
      <w:r>
        <w:rPr>
          <w:rFonts w:hint="eastAsia" w:ascii="宋体" w:hAnsi="宋体"/>
          <w:szCs w:val="21"/>
        </w:rPr>
        <w:t>本磋商文件适用于浙江工商职业技术学院慈溪学院7#宿舍楼修缮项目的采购。</w:t>
      </w:r>
    </w:p>
    <w:p w14:paraId="6104D857">
      <w:pPr>
        <w:tabs>
          <w:tab w:val="left" w:pos="3600"/>
        </w:tabs>
        <w:spacing w:line="360" w:lineRule="auto"/>
        <w:ind w:firstLine="422" w:firstLineChars="200"/>
        <w:jc w:val="left"/>
        <w:rPr>
          <w:rFonts w:ascii="宋体" w:hAnsi="宋体"/>
          <w:b/>
          <w:szCs w:val="21"/>
        </w:rPr>
      </w:pPr>
      <w:r>
        <w:rPr>
          <w:rFonts w:hint="eastAsia" w:ascii="宋体" w:hAnsi="宋体"/>
          <w:b/>
          <w:szCs w:val="21"/>
        </w:rPr>
        <w:t>2.定义</w:t>
      </w:r>
    </w:p>
    <w:p w14:paraId="79ECECAE">
      <w:pPr>
        <w:snapToGrid w:val="0"/>
        <w:spacing w:line="360" w:lineRule="auto"/>
        <w:ind w:firstLine="420" w:firstLineChars="200"/>
        <w:jc w:val="left"/>
        <w:rPr>
          <w:rFonts w:ascii="宋体" w:hAnsi="宋体" w:cs="Arial"/>
          <w:szCs w:val="21"/>
        </w:rPr>
      </w:pPr>
      <w:r>
        <w:rPr>
          <w:rFonts w:hint="eastAsia" w:ascii="宋体" w:hAnsi="宋体" w:cs="Arial"/>
          <w:szCs w:val="21"/>
        </w:rPr>
        <w:t>2.1</w:t>
      </w:r>
      <w:r>
        <w:rPr>
          <w:rFonts w:ascii="宋体" w:hAnsi="宋体" w:cs="Arial"/>
          <w:szCs w:val="21"/>
        </w:rPr>
        <w:t>书面形式</w:t>
      </w:r>
      <w:r>
        <w:rPr>
          <w:rFonts w:hint="eastAsia" w:ascii="宋体" w:hAnsi="宋体" w:cs="Arial"/>
          <w:szCs w:val="21"/>
        </w:rPr>
        <w:t>：</w:t>
      </w:r>
      <w:r>
        <w:rPr>
          <w:rFonts w:ascii="宋体" w:hAnsi="宋体" w:cs="Arial"/>
          <w:szCs w:val="21"/>
        </w:rPr>
        <w:t>包括</w:t>
      </w:r>
      <w:r>
        <w:rPr>
          <w:rFonts w:hint="eastAsia" w:ascii="宋体" w:hAnsi="宋体" w:cs="Arial"/>
          <w:szCs w:val="21"/>
        </w:rPr>
        <w:t>信件、</w:t>
      </w:r>
      <w:r>
        <w:rPr>
          <w:rFonts w:ascii="宋体" w:hAnsi="宋体" w:cs="Arial"/>
          <w:szCs w:val="21"/>
        </w:rPr>
        <w:t>电报、电传、传真</w:t>
      </w:r>
      <w:r>
        <w:rPr>
          <w:rFonts w:hint="eastAsia" w:ascii="宋体" w:hAnsi="宋体" w:cs="Arial"/>
          <w:szCs w:val="21"/>
        </w:rPr>
        <w:t>、网上公告</w:t>
      </w:r>
      <w:r>
        <w:rPr>
          <w:rFonts w:ascii="宋体" w:hAnsi="宋体" w:cs="Arial"/>
          <w:szCs w:val="21"/>
        </w:rPr>
        <w:t>等可以有形地表现所载内容的形式</w:t>
      </w:r>
      <w:r>
        <w:rPr>
          <w:rFonts w:hint="eastAsia" w:ascii="宋体" w:hAnsi="宋体" w:cs="Arial"/>
          <w:szCs w:val="21"/>
        </w:rPr>
        <w:t>。以电子数据交换、电子邮件等方式能够有形地表现所载内容，并可以随时调取查用的数据电文，视为书面形式。</w:t>
      </w:r>
    </w:p>
    <w:p w14:paraId="2A5DAD65">
      <w:pPr>
        <w:snapToGrid w:val="0"/>
        <w:spacing w:line="360" w:lineRule="auto"/>
        <w:ind w:firstLine="420" w:firstLineChars="200"/>
        <w:jc w:val="left"/>
        <w:rPr>
          <w:rFonts w:ascii="宋体" w:hAnsi="宋体" w:cs="Arial"/>
          <w:szCs w:val="21"/>
        </w:rPr>
      </w:pPr>
      <w:r>
        <w:rPr>
          <w:rFonts w:hint="eastAsia" w:ascii="宋体" w:hAnsi="宋体" w:cs="Arial"/>
          <w:szCs w:val="21"/>
        </w:rPr>
        <w:t>2.2标注</w:t>
      </w:r>
      <w:r>
        <w:rPr>
          <w:rFonts w:ascii="宋体" w:hAnsi="宋体" w:cs="Arial"/>
          <w:szCs w:val="21"/>
        </w:rPr>
        <w:t>“▲”</w:t>
      </w:r>
      <w:r>
        <w:rPr>
          <w:rFonts w:hint="eastAsia" w:ascii="宋体" w:hAnsi="宋体" w:cs="Arial"/>
          <w:szCs w:val="21"/>
        </w:rPr>
        <w:t>的属于磋商文件的</w:t>
      </w:r>
      <w:r>
        <w:rPr>
          <w:rFonts w:ascii="宋体" w:hAnsi="宋体" w:cs="Arial"/>
          <w:szCs w:val="21"/>
        </w:rPr>
        <w:t>实质性要求条款</w:t>
      </w:r>
      <w:r>
        <w:rPr>
          <w:rFonts w:hint="eastAsia" w:ascii="宋体" w:hAnsi="宋体" w:cs="宋体"/>
          <w:szCs w:val="21"/>
        </w:rPr>
        <w:t>，“</w:t>
      </w:r>
      <w:r>
        <w:rPr>
          <w:rFonts w:ascii="宋体" w:hAnsi="宋体"/>
          <w:szCs w:val="21"/>
        </w:rPr>
        <w:sym w:font="Wingdings" w:char="F0FE"/>
      </w:r>
      <w:r>
        <w:rPr>
          <w:rFonts w:hint="eastAsia" w:ascii="宋体" w:hAnsi="宋体" w:cs="宋体"/>
          <w:szCs w:val="21"/>
        </w:rPr>
        <w:t>”系指适用本项目的要求，“</w:t>
      </w:r>
      <w:r>
        <w:rPr>
          <w:rFonts w:hint="eastAsia" w:ascii="MS Mincho" w:hAnsi="MS Mincho" w:eastAsia="MS Mincho" w:cs="MS Mincho"/>
          <w:b/>
          <w:kern w:val="0"/>
          <w:szCs w:val="21"/>
        </w:rPr>
        <w:t>☐</w:t>
      </w:r>
      <w:r>
        <w:rPr>
          <w:rFonts w:hint="eastAsia" w:ascii="宋体" w:hAnsi="宋体" w:cs="宋体"/>
          <w:szCs w:val="21"/>
        </w:rPr>
        <w:t>”系指不适用本项目的要求。</w:t>
      </w:r>
    </w:p>
    <w:p w14:paraId="29905205">
      <w:pPr>
        <w:snapToGrid w:val="0"/>
        <w:spacing w:line="360" w:lineRule="auto"/>
        <w:ind w:firstLine="420" w:firstLineChars="200"/>
        <w:jc w:val="left"/>
        <w:rPr>
          <w:rFonts w:ascii="宋体" w:hAnsi="宋体" w:cs="Arial"/>
          <w:szCs w:val="21"/>
        </w:rPr>
      </w:pPr>
      <w:r>
        <w:rPr>
          <w:rFonts w:hint="eastAsia" w:ascii="宋体" w:hAnsi="宋体" w:cs="Arial"/>
          <w:szCs w:val="21"/>
        </w:rPr>
        <w:t>2.3公章：</w:t>
      </w:r>
      <w:r>
        <w:rPr>
          <w:rFonts w:ascii="宋体" w:hAnsi="宋体" w:cs="Arial"/>
          <w:szCs w:val="21"/>
        </w:rPr>
        <w:t>供应商在响应文件及通知等事项的书面文件中的单位盖章、公章等处，均仅指与</w:t>
      </w:r>
      <w:r>
        <w:rPr>
          <w:rFonts w:hint="eastAsia" w:ascii="宋体" w:hAnsi="宋体" w:cs="Arial"/>
          <w:szCs w:val="21"/>
        </w:rPr>
        <w:t>磋商响应供应商</w:t>
      </w:r>
      <w:r>
        <w:rPr>
          <w:rFonts w:ascii="宋体" w:hAnsi="宋体" w:cs="Arial"/>
          <w:szCs w:val="21"/>
        </w:rPr>
        <w:t>名称全称相一致的标准公章</w:t>
      </w:r>
      <w:r>
        <w:rPr>
          <w:rFonts w:hint="eastAsia" w:ascii="宋体" w:hAnsi="宋体" w:cs="Arial"/>
          <w:szCs w:val="21"/>
        </w:rPr>
        <w:t>（行政章）</w:t>
      </w:r>
      <w:r>
        <w:rPr>
          <w:rFonts w:ascii="宋体" w:hAnsi="宋体" w:cs="Arial"/>
          <w:szCs w:val="21"/>
        </w:rPr>
        <w:t>，不得使用其它形式，如带有“专用章”</w:t>
      </w:r>
      <w:r>
        <w:rPr>
          <w:rFonts w:hint="eastAsia" w:ascii="宋体" w:hAnsi="宋体" w:cs="Arial"/>
          <w:szCs w:val="21"/>
        </w:rPr>
        <w:t>“业务章”</w:t>
      </w:r>
      <w:r>
        <w:rPr>
          <w:rFonts w:ascii="宋体" w:hAnsi="宋体" w:cs="Arial"/>
          <w:szCs w:val="21"/>
        </w:rPr>
        <w:t>等字样的印章。</w:t>
      </w:r>
    </w:p>
    <w:p w14:paraId="13505D40">
      <w:pPr>
        <w:wordWrap w:val="0"/>
        <w:snapToGrid w:val="0"/>
        <w:spacing w:line="360" w:lineRule="auto"/>
        <w:ind w:firstLine="420" w:firstLineChars="200"/>
        <w:jc w:val="left"/>
        <w:rPr>
          <w:rFonts w:ascii="宋体" w:hAnsi="宋体" w:cs="Arial"/>
          <w:szCs w:val="21"/>
        </w:rPr>
      </w:pPr>
      <w:r>
        <w:rPr>
          <w:rFonts w:hint="eastAsia" w:ascii="宋体" w:hAnsi="宋体" w:cs="Arial"/>
          <w:szCs w:val="21"/>
        </w:rPr>
        <w:t>2.4电子交易平台：指本次政府采购活动所依托的政府采购云平台（https://www.zcygov.cn/）。</w:t>
      </w:r>
    </w:p>
    <w:p w14:paraId="46A03BA3">
      <w:pPr>
        <w:snapToGrid w:val="0"/>
        <w:spacing w:line="360" w:lineRule="auto"/>
        <w:ind w:firstLine="420" w:firstLineChars="200"/>
        <w:jc w:val="left"/>
        <w:rPr>
          <w:rFonts w:ascii="宋体" w:hAnsi="宋体" w:cs="Arial"/>
          <w:szCs w:val="21"/>
        </w:rPr>
      </w:pPr>
      <w:r>
        <w:rPr>
          <w:rFonts w:hint="eastAsia" w:ascii="宋体" w:hAnsi="宋体" w:cs="Arial"/>
          <w:szCs w:val="21"/>
        </w:rPr>
        <w:t>2.5依法获取磋商文件：供应商按照</w:t>
      </w:r>
      <w:r>
        <w:rPr>
          <w:rFonts w:hint="eastAsia" w:ascii="宋体" w:hAnsi="宋体"/>
          <w:szCs w:val="21"/>
          <w:u w:val="single"/>
        </w:rPr>
        <w:t>《第一章  采购公告》</w:t>
      </w:r>
      <w:r>
        <w:rPr>
          <w:rFonts w:hint="eastAsia" w:ascii="宋体" w:hAnsi="宋体"/>
          <w:bCs/>
          <w:szCs w:val="21"/>
        </w:rPr>
        <w:t>第三条的约定实施</w:t>
      </w:r>
      <w:r>
        <w:rPr>
          <w:rFonts w:hint="eastAsia" w:ascii="宋体" w:hAnsi="宋体"/>
        </w:rPr>
        <w:t>。</w:t>
      </w:r>
    </w:p>
    <w:p w14:paraId="4D1BC5FC">
      <w:pPr>
        <w:spacing w:line="360" w:lineRule="auto"/>
        <w:ind w:firstLine="422"/>
        <w:outlineLvl w:val="3"/>
        <w:rPr>
          <w:rFonts w:ascii="宋体" w:hAnsi="宋体"/>
          <w:b/>
          <w:szCs w:val="21"/>
        </w:rPr>
      </w:pPr>
      <w:r>
        <w:rPr>
          <w:rFonts w:hint="eastAsia" w:ascii="宋体" w:hAnsi="宋体"/>
          <w:b/>
          <w:szCs w:val="21"/>
        </w:rPr>
        <w:t>3</w:t>
      </w:r>
      <w:r>
        <w:rPr>
          <w:rFonts w:ascii="宋体" w:hAnsi="宋体"/>
          <w:b/>
          <w:szCs w:val="21"/>
        </w:rPr>
        <w:t>.</w:t>
      </w:r>
      <w:r>
        <w:rPr>
          <w:rFonts w:hint="eastAsia" w:ascii="宋体" w:hAnsi="宋体"/>
          <w:b/>
          <w:szCs w:val="21"/>
        </w:rPr>
        <w:t>采购人、采购代理机构及供应商</w:t>
      </w:r>
    </w:p>
    <w:p w14:paraId="6E27DA9F">
      <w:pPr>
        <w:spacing w:line="360" w:lineRule="auto"/>
        <w:ind w:firstLine="420"/>
        <w:rPr>
          <w:rFonts w:ascii="宋体" w:hAnsi="宋体"/>
          <w:szCs w:val="21"/>
        </w:rPr>
      </w:pPr>
      <w:r>
        <w:rPr>
          <w:rFonts w:hint="eastAsia" w:ascii="宋体" w:hAnsi="宋体"/>
          <w:szCs w:val="21"/>
        </w:rPr>
        <w:t>3</w:t>
      </w:r>
      <w:r>
        <w:rPr>
          <w:rFonts w:ascii="宋体" w:hAnsi="宋体"/>
          <w:szCs w:val="21"/>
        </w:rPr>
        <w:t>.1采购人：是指开展</w:t>
      </w:r>
      <w:r>
        <w:rPr>
          <w:rFonts w:hint="eastAsia" w:ascii="宋体" w:hAnsi="宋体"/>
          <w:szCs w:val="21"/>
        </w:rPr>
        <w:t>依法政府</w:t>
      </w:r>
      <w:r>
        <w:rPr>
          <w:rFonts w:ascii="宋体" w:hAnsi="宋体"/>
          <w:szCs w:val="21"/>
        </w:rPr>
        <w:t>采购活动的国家机关、事业单位、团体组织。</w:t>
      </w:r>
      <w:r>
        <w:rPr>
          <w:rFonts w:hint="eastAsia" w:ascii="宋体" w:hAnsi="宋体"/>
          <w:szCs w:val="21"/>
        </w:rPr>
        <w:t>本项目的采购人见</w:t>
      </w:r>
      <w:r>
        <w:rPr>
          <w:rFonts w:hint="eastAsia" w:ascii="宋体" w:hAnsi="宋体"/>
          <w:szCs w:val="21"/>
          <w:u w:val="single"/>
        </w:rPr>
        <w:t>供应商须知前附表</w:t>
      </w:r>
      <w:r>
        <w:rPr>
          <w:rFonts w:hint="eastAsia" w:ascii="宋体" w:hAnsi="宋体"/>
          <w:szCs w:val="21"/>
        </w:rPr>
        <w:t>。</w:t>
      </w:r>
    </w:p>
    <w:p w14:paraId="14B81518">
      <w:pPr>
        <w:spacing w:line="360" w:lineRule="auto"/>
        <w:ind w:firstLine="420"/>
        <w:rPr>
          <w:rFonts w:ascii="宋体" w:hAnsi="宋体"/>
          <w:szCs w:val="21"/>
        </w:rPr>
      </w:pPr>
      <w:r>
        <w:rPr>
          <w:rFonts w:hint="eastAsia" w:ascii="宋体" w:hAnsi="宋体"/>
          <w:szCs w:val="21"/>
        </w:rPr>
        <w:t>3</w:t>
      </w:r>
      <w:r>
        <w:rPr>
          <w:rFonts w:ascii="宋体" w:hAnsi="宋体"/>
          <w:szCs w:val="21"/>
        </w:rPr>
        <w:t>.2采购代理机构：是指从事采购代理业务的社会中介机构。本项目的采购代理机构见</w:t>
      </w:r>
      <w:r>
        <w:rPr>
          <w:rFonts w:hint="eastAsia" w:ascii="宋体" w:hAnsi="宋体"/>
          <w:szCs w:val="21"/>
          <w:u w:val="single"/>
        </w:rPr>
        <w:t>供应商须知前附表</w:t>
      </w:r>
      <w:r>
        <w:rPr>
          <w:rFonts w:ascii="宋体" w:hAnsi="宋体"/>
          <w:szCs w:val="21"/>
        </w:rPr>
        <w:t>。</w:t>
      </w:r>
    </w:p>
    <w:p w14:paraId="027E0DA4">
      <w:pPr>
        <w:spacing w:line="360" w:lineRule="auto"/>
        <w:ind w:firstLine="420"/>
        <w:rPr>
          <w:rFonts w:ascii="宋体" w:hAnsi="宋体"/>
          <w:szCs w:val="21"/>
        </w:rPr>
      </w:pPr>
      <w:r>
        <w:rPr>
          <w:rFonts w:ascii="宋体" w:hAnsi="宋体"/>
          <w:szCs w:val="21"/>
        </w:rPr>
        <w:t>3.3政府采购监督管理部门：</w:t>
      </w:r>
      <w:r>
        <w:rPr>
          <w:rFonts w:hint="eastAsia" w:ascii="宋体" w:hAnsi="宋体"/>
          <w:szCs w:val="21"/>
        </w:rPr>
        <w:t>各级人民政府指定的有关部门依法履行与政府采购活动有关的监督管理职责。本项目的政府采购监督管理部门见</w:t>
      </w:r>
      <w:r>
        <w:rPr>
          <w:rFonts w:hint="eastAsia" w:ascii="宋体" w:hAnsi="宋体"/>
          <w:szCs w:val="21"/>
          <w:u w:val="single"/>
        </w:rPr>
        <w:t>《第一章  采购公告》</w:t>
      </w:r>
      <w:r>
        <w:rPr>
          <w:rFonts w:ascii="宋体" w:hAnsi="宋体"/>
          <w:szCs w:val="21"/>
        </w:rPr>
        <w:t>。</w:t>
      </w:r>
    </w:p>
    <w:p w14:paraId="1727544E">
      <w:pPr>
        <w:spacing w:line="360" w:lineRule="auto"/>
        <w:ind w:firstLine="420"/>
        <w:rPr>
          <w:rFonts w:ascii="宋体" w:hAnsi="宋体"/>
          <w:szCs w:val="21"/>
        </w:rPr>
      </w:pPr>
      <w:r>
        <w:rPr>
          <w:rFonts w:hint="eastAsia" w:ascii="宋体" w:hAnsi="宋体"/>
          <w:szCs w:val="21"/>
        </w:rPr>
        <w:t>3</w:t>
      </w:r>
      <w:r>
        <w:rPr>
          <w:rFonts w:ascii="宋体" w:hAnsi="宋体"/>
          <w:szCs w:val="21"/>
        </w:rPr>
        <w:t>.3供应商：</w:t>
      </w:r>
      <w:r>
        <w:rPr>
          <w:rFonts w:hint="eastAsia" w:ascii="宋体" w:hAnsi="宋体"/>
          <w:szCs w:val="21"/>
        </w:rPr>
        <w:t>是指向采购人提供货物、工程或者服务的法人、其他组织或者自然人</w:t>
      </w:r>
      <w:r>
        <w:rPr>
          <w:rFonts w:ascii="宋体" w:hAnsi="宋体"/>
          <w:szCs w:val="21"/>
        </w:rPr>
        <w:t>。本项目的</w:t>
      </w:r>
      <w:r>
        <w:rPr>
          <w:rFonts w:hint="eastAsia" w:ascii="宋体" w:hAnsi="宋体"/>
          <w:szCs w:val="21"/>
        </w:rPr>
        <w:t>供应商</w:t>
      </w:r>
      <w:r>
        <w:rPr>
          <w:rFonts w:ascii="宋体" w:hAnsi="宋体"/>
          <w:szCs w:val="21"/>
        </w:rPr>
        <w:t>须满足</w:t>
      </w:r>
      <w:r>
        <w:rPr>
          <w:rFonts w:hint="eastAsia" w:ascii="宋体" w:hAnsi="宋体"/>
          <w:szCs w:val="21"/>
          <w:u w:val="single"/>
        </w:rPr>
        <w:t>《第一章  采购公告》</w:t>
      </w:r>
      <w:r>
        <w:rPr>
          <w:rFonts w:hint="eastAsia" w:ascii="宋体" w:hAnsi="宋体"/>
          <w:szCs w:val="21"/>
        </w:rPr>
        <w:t>中</w:t>
      </w:r>
      <w:r>
        <w:rPr>
          <w:rFonts w:ascii="宋体" w:hAnsi="宋体"/>
          <w:szCs w:val="21"/>
        </w:rPr>
        <w:t>关于</w:t>
      </w:r>
      <w:r>
        <w:rPr>
          <w:rFonts w:hint="eastAsia" w:ascii="宋体" w:hAnsi="宋体"/>
          <w:szCs w:val="21"/>
        </w:rPr>
        <w:t>申请人的资格要求</w:t>
      </w:r>
      <w:r>
        <w:rPr>
          <w:rFonts w:ascii="宋体" w:hAnsi="宋体"/>
          <w:szCs w:val="21"/>
        </w:rPr>
        <w:t>的规定。</w:t>
      </w:r>
    </w:p>
    <w:p w14:paraId="4E000CC7">
      <w:pPr>
        <w:spacing w:line="360" w:lineRule="auto"/>
        <w:ind w:firstLine="420"/>
        <w:rPr>
          <w:rFonts w:ascii="宋体" w:hAnsi="宋体"/>
          <w:bCs/>
          <w:kern w:val="0"/>
          <w:szCs w:val="21"/>
        </w:rPr>
      </w:pPr>
      <w:bookmarkStart w:id="55" w:name="_Hlk60580861"/>
      <w:r>
        <w:rPr>
          <w:rFonts w:hint="eastAsia" w:ascii="宋体" w:hAnsi="宋体"/>
          <w:bCs/>
          <w:kern w:val="0"/>
          <w:szCs w:val="21"/>
        </w:rPr>
        <w:t>3</w:t>
      </w:r>
      <w:r>
        <w:rPr>
          <w:rFonts w:ascii="宋体" w:hAnsi="宋体"/>
          <w:bCs/>
          <w:kern w:val="0"/>
          <w:szCs w:val="21"/>
        </w:rPr>
        <w:t>.4</w:t>
      </w:r>
      <w:r>
        <w:rPr>
          <w:rFonts w:hint="eastAsia" w:ascii="宋体" w:hAnsi="宋体"/>
          <w:bCs/>
          <w:kern w:val="0"/>
          <w:szCs w:val="21"/>
        </w:rPr>
        <w:t>本项目不接受联合体参加磋商。</w:t>
      </w:r>
    </w:p>
    <w:bookmarkEnd w:id="55"/>
    <w:p w14:paraId="61F68C35">
      <w:pPr>
        <w:spacing w:line="360" w:lineRule="auto"/>
        <w:ind w:firstLine="420"/>
        <w:rPr>
          <w:rFonts w:ascii="宋体" w:hAnsi="宋体"/>
          <w:szCs w:val="21"/>
        </w:rPr>
      </w:pPr>
      <w:r>
        <w:rPr>
          <w:rFonts w:hint="eastAsia" w:ascii="宋体" w:hAnsi="宋体"/>
          <w:szCs w:val="21"/>
        </w:rPr>
        <w:t>3</w:t>
      </w:r>
      <w:r>
        <w:rPr>
          <w:rFonts w:ascii="宋体" w:hAnsi="宋体"/>
          <w:szCs w:val="21"/>
        </w:rPr>
        <w:t>.5单位负责人为同一人或者存在直接控股、管理关系的不同供应商，</w:t>
      </w:r>
      <w:r>
        <w:rPr>
          <w:rFonts w:hint="eastAsia" w:ascii="宋体" w:hAnsi="宋体"/>
          <w:szCs w:val="21"/>
        </w:rPr>
        <w:t>不得参加同一合同项下的政府采购活动。否则相关单位均将被认定为</w:t>
      </w:r>
      <w:r>
        <w:rPr>
          <w:rFonts w:hint="eastAsia" w:ascii="宋体" w:hAnsi="宋体"/>
          <w:b/>
          <w:bCs/>
          <w:szCs w:val="21"/>
        </w:rPr>
        <w:t>响应无效</w:t>
      </w:r>
      <w:r>
        <w:rPr>
          <w:rFonts w:hint="eastAsia" w:ascii="宋体" w:hAnsi="宋体"/>
          <w:szCs w:val="21"/>
        </w:rPr>
        <w:t>。</w:t>
      </w:r>
    </w:p>
    <w:p w14:paraId="5628AE06">
      <w:pPr>
        <w:spacing w:line="360" w:lineRule="auto"/>
        <w:ind w:firstLine="420"/>
        <w:rPr>
          <w:rFonts w:ascii="宋体" w:hAnsi="宋体"/>
          <w:szCs w:val="21"/>
        </w:rPr>
      </w:pPr>
      <w:r>
        <w:rPr>
          <w:rFonts w:hint="eastAsia" w:ascii="宋体" w:hAnsi="宋体"/>
          <w:szCs w:val="21"/>
        </w:rPr>
        <w:t>3</w:t>
      </w:r>
      <w:r>
        <w:rPr>
          <w:rFonts w:ascii="宋体" w:hAnsi="宋体"/>
          <w:szCs w:val="21"/>
        </w:rPr>
        <w:t>.6为本项目提供过整体设计、规范编制或者项目管理、监理、检测等服务的供应商，不得再参加本项目的采购活动。</w:t>
      </w:r>
      <w:bookmarkStart w:id="56" w:name="_Hlk13431092"/>
      <w:r>
        <w:rPr>
          <w:rFonts w:ascii="宋体" w:hAnsi="宋体"/>
          <w:szCs w:val="21"/>
        </w:rPr>
        <w:t>否则将被认定为</w:t>
      </w:r>
      <w:r>
        <w:rPr>
          <w:rFonts w:ascii="宋体" w:hAnsi="宋体"/>
          <w:b/>
          <w:szCs w:val="21"/>
        </w:rPr>
        <w:t>响应无效</w:t>
      </w:r>
      <w:r>
        <w:rPr>
          <w:rFonts w:ascii="宋体" w:hAnsi="宋体"/>
          <w:szCs w:val="21"/>
        </w:rPr>
        <w:t>。</w:t>
      </w:r>
      <w:bookmarkEnd w:id="56"/>
    </w:p>
    <w:p w14:paraId="7331457E">
      <w:pPr>
        <w:spacing w:line="360" w:lineRule="auto"/>
        <w:ind w:firstLine="422"/>
        <w:rPr>
          <w:rFonts w:ascii="宋体" w:hAnsi="宋体"/>
          <w:b/>
          <w:szCs w:val="21"/>
        </w:rPr>
      </w:pPr>
      <w:r>
        <w:rPr>
          <w:rFonts w:hint="eastAsia" w:ascii="宋体" w:hAnsi="宋体"/>
          <w:b/>
          <w:szCs w:val="21"/>
        </w:rPr>
        <w:t>4</w:t>
      </w:r>
      <w:r>
        <w:rPr>
          <w:rFonts w:ascii="宋体" w:hAnsi="宋体"/>
          <w:b/>
          <w:szCs w:val="21"/>
        </w:rPr>
        <w:t>.</w:t>
      </w:r>
      <w:r>
        <w:rPr>
          <w:rFonts w:hint="eastAsia" w:ascii="宋体" w:hAnsi="宋体"/>
          <w:b/>
          <w:szCs w:val="21"/>
        </w:rPr>
        <w:t>资金来源</w:t>
      </w:r>
    </w:p>
    <w:p w14:paraId="1C9D6EC0">
      <w:pPr>
        <w:spacing w:line="360" w:lineRule="auto"/>
        <w:ind w:firstLine="420"/>
        <w:rPr>
          <w:rFonts w:ascii="宋体" w:hAnsi="宋体"/>
          <w:szCs w:val="21"/>
        </w:rPr>
      </w:pPr>
      <w:r>
        <w:rPr>
          <w:rFonts w:hint="eastAsia" w:ascii="宋体" w:hAnsi="宋体"/>
          <w:szCs w:val="21"/>
        </w:rPr>
        <w:t>4</w:t>
      </w:r>
      <w:r>
        <w:rPr>
          <w:rFonts w:ascii="宋体" w:hAnsi="宋体"/>
          <w:szCs w:val="21"/>
        </w:rPr>
        <w:t>.1</w:t>
      </w:r>
      <w:r>
        <w:rPr>
          <w:rFonts w:hint="eastAsia" w:ascii="宋体" w:hAnsi="宋体"/>
          <w:szCs w:val="21"/>
        </w:rPr>
        <w:t>本项目的采购人已获得足以支付本次采购后所签订的合同项下的资金。</w:t>
      </w:r>
    </w:p>
    <w:p w14:paraId="38993C21">
      <w:pPr>
        <w:spacing w:line="360" w:lineRule="auto"/>
        <w:ind w:firstLine="420"/>
        <w:rPr>
          <w:rFonts w:ascii="宋体" w:hAnsi="宋体"/>
          <w:szCs w:val="21"/>
        </w:rPr>
      </w:pPr>
      <w:bookmarkStart w:id="57" w:name="_Hlk11702998"/>
      <w:r>
        <w:rPr>
          <w:rFonts w:hint="eastAsia" w:ascii="宋体" w:hAnsi="宋体"/>
          <w:szCs w:val="21"/>
        </w:rPr>
        <w:t>4.2项目预算金额和最高限价见</w:t>
      </w:r>
      <w:r>
        <w:rPr>
          <w:rFonts w:hint="eastAsia" w:ascii="宋体" w:hAnsi="宋体"/>
          <w:szCs w:val="21"/>
          <w:u w:val="single"/>
        </w:rPr>
        <w:t>《第一章  采购公告》</w:t>
      </w:r>
      <w:r>
        <w:rPr>
          <w:rFonts w:hint="eastAsia" w:ascii="宋体" w:hAnsi="宋体"/>
          <w:szCs w:val="21"/>
        </w:rPr>
        <w:t>。</w:t>
      </w:r>
    </w:p>
    <w:bookmarkEnd w:id="57"/>
    <w:p w14:paraId="532B8F2F">
      <w:pPr>
        <w:spacing w:line="360" w:lineRule="auto"/>
        <w:ind w:firstLine="422" w:firstLineChars="200"/>
        <w:jc w:val="left"/>
        <w:rPr>
          <w:rFonts w:ascii="宋体" w:hAnsi="宋体"/>
          <w:b/>
          <w:szCs w:val="21"/>
        </w:rPr>
      </w:pPr>
      <w:r>
        <w:rPr>
          <w:rFonts w:hint="eastAsia" w:ascii="宋体" w:hAnsi="宋体"/>
          <w:b/>
          <w:szCs w:val="21"/>
        </w:rPr>
        <w:t>5.磋商委托</w:t>
      </w:r>
    </w:p>
    <w:p w14:paraId="50A5BA1F">
      <w:pPr>
        <w:pStyle w:val="21"/>
        <w:widowControl w:val="0"/>
        <w:spacing w:afterLines="0" w:line="360" w:lineRule="auto"/>
        <w:ind w:firstLine="420"/>
        <w:rPr>
          <w:rFonts w:ascii="宋体" w:hAnsi="宋体"/>
          <w:sz w:val="21"/>
          <w:szCs w:val="21"/>
        </w:rPr>
      </w:pPr>
      <w:r>
        <w:rPr>
          <w:rFonts w:hint="eastAsia" w:ascii="宋体" w:hAnsi="宋体"/>
          <w:sz w:val="21"/>
          <w:szCs w:val="21"/>
        </w:rPr>
        <w:t>响应文件的签署人为供应商的法定代表人的，提供法定代表人身份证正反面复印件。如供应商委托他人签署响应文件办理磋商响应事务的，提供供应商</w:t>
      </w:r>
      <w:r>
        <w:rPr>
          <w:rFonts w:ascii="宋体" w:hAnsi="宋体"/>
          <w:sz w:val="21"/>
          <w:szCs w:val="21"/>
        </w:rPr>
        <w:t>出具的授权委托书</w:t>
      </w:r>
      <w:r>
        <w:rPr>
          <w:rFonts w:hint="eastAsia" w:ascii="宋体" w:hAnsi="宋体"/>
          <w:sz w:val="21"/>
          <w:szCs w:val="21"/>
        </w:rPr>
        <w:t>及法定代表人和授权代表的身份证正反面复印件</w:t>
      </w:r>
      <w:r>
        <w:rPr>
          <w:rFonts w:ascii="宋体" w:hAnsi="宋体"/>
          <w:sz w:val="21"/>
          <w:szCs w:val="21"/>
        </w:rPr>
        <w:t>。</w:t>
      </w:r>
    </w:p>
    <w:p w14:paraId="3F672C71">
      <w:pPr>
        <w:spacing w:line="360" w:lineRule="auto"/>
        <w:ind w:firstLine="422" w:firstLineChars="200"/>
        <w:jc w:val="left"/>
        <w:rPr>
          <w:rFonts w:ascii="宋体" w:hAnsi="宋体"/>
          <w:b/>
          <w:szCs w:val="21"/>
        </w:rPr>
      </w:pPr>
      <w:r>
        <w:rPr>
          <w:rFonts w:hint="eastAsia" w:ascii="宋体" w:hAnsi="宋体"/>
          <w:b/>
          <w:szCs w:val="21"/>
        </w:rPr>
        <w:t>6.磋商费用</w:t>
      </w:r>
    </w:p>
    <w:p w14:paraId="5333979C">
      <w:pPr>
        <w:pStyle w:val="21"/>
        <w:widowControl w:val="0"/>
        <w:spacing w:afterLines="0" w:line="360" w:lineRule="auto"/>
        <w:ind w:firstLine="420"/>
        <w:rPr>
          <w:rFonts w:ascii="宋体" w:hAnsi="宋体"/>
          <w:sz w:val="21"/>
          <w:szCs w:val="21"/>
        </w:rPr>
      </w:pPr>
      <w:r>
        <w:rPr>
          <w:rFonts w:hint="eastAsia" w:ascii="宋体" w:hAnsi="宋体"/>
          <w:sz w:val="21"/>
          <w:szCs w:val="21"/>
        </w:rPr>
        <w:t>不论磋商的结果如何，供应商自行承担所有与准备和参加磋商有关的费用。</w:t>
      </w:r>
    </w:p>
    <w:p w14:paraId="77ACF440">
      <w:pPr>
        <w:spacing w:line="360" w:lineRule="auto"/>
        <w:ind w:firstLine="422"/>
        <w:outlineLvl w:val="3"/>
        <w:rPr>
          <w:rFonts w:ascii="宋体" w:hAnsi="宋体"/>
          <w:b/>
          <w:szCs w:val="21"/>
        </w:rPr>
      </w:pPr>
      <w:r>
        <w:rPr>
          <w:rFonts w:hint="eastAsia" w:ascii="宋体" w:hAnsi="宋体"/>
          <w:b/>
          <w:szCs w:val="21"/>
        </w:rPr>
        <w:t>7</w:t>
      </w:r>
      <w:r>
        <w:rPr>
          <w:rFonts w:ascii="宋体" w:hAnsi="宋体"/>
          <w:b/>
          <w:szCs w:val="21"/>
        </w:rPr>
        <w:t>.</w:t>
      </w:r>
      <w:r>
        <w:rPr>
          <w:rFonts w:hint="eastAsia" w:ascii="宋体" w:hAnsi="宋体"/>
          <w:b/>
          <w:szCs w:val="21"/>
        </w:rPr>
        <w:t>适用法律</w:t>
      </w:r>
    </w:p>
    <w:p w14:paraId="303F49FA">
      <w:pPr>
        <w:pStyle w:val="21"/>
        <w:widowControl w:val="0"/>
        <w:spacing w:afterLines="0" w:line="360" w:lineRule="auto"/>
        <w:ind w:firstLine="420"/>
        <w:rPr>
          <w:rFonts w:ascii="宋体" w:hAnsi="宋体"/>
          <w:sz w:val="21"/>
          <w:szCs w:val="21"/>
        </w:rPr>
      </w:pPr>
      <w:r>
        <w:rPr>
          <w:rFonts w:hint="eastAsia" w:ascii="宋体" w:hAnsi="宋体"/>
          <w:sz w:val="21"/>
          <w:szCs w:val="21"/>
        </w:rPr>
        <w:t>本项目采购人、采购代理机构、供应商、竞争性磋商小组（以下简称磋商小组）的相关行为均受《中华人民共和国政府采购法》《中华人民共和国政府采购法实施条例》《政府采购竞争性磋商采购方式管理暂行办法》等政府采购法律法规的约束，其权利亦受到上述法律法规的保护。</w:t>
      </w:r>
    </w:p>
    <w:p w14:paraId="66E90292">
      <w:pPr>
        <w:spacing w:line="360" w:lineRule="auto"/>
        <w:ind w:firstLine="422" w:firstLineChars="200"/>
        <w:rPr>
          <w:rFonts w:ascii="宋体" w:hAnsi="宋体"/>
          <w:b/>
          <w:szCs w:val="21"/>
        </w:rPr>
      </w:pPr>
      <w:r>
        <w:rPr>
          <w:rFonts w:hint="eastAsia" w:ascii="宋体" w:hAnsi="宋体"/>
          <w:b/>
          <w:szCs w:val="21"/>
        </w:rPr>
        <w:t>8.知识产权</w:t>
      </w:r>
    </w:p>
    <w:p w14:paraId="47299B2C">
      <w:pPr>
        <w:spacing w:line="360" w:lineRule="auto"/>
        <w:ind w:firstLine="420" w:firstLineChars="200"/>
        <w:jc w:val="left"/>
        <w:rPr>
          <w:rFonts w:ascii="宋体" w:hAnsi="宋体"/>
          <w:kern w:val="0"/>
          <w:szCs w:val="21"/>
        </w:rPr>
      </w:pPr>
      <w:r>
        <w:rPr>
          <w:rFonts w:hint="eastAsia" w:ascii="宋体" w:hAnsi="宋体"/>
          <w:kern w:val="0"/>
          <w:szCs w:val="21"/>
        </w:rPr>
        <w:t>供应商应保证在本项目使用的任何产品（包括部分使用），不会产生因第三方提出侵犯其著作权、专利权、商标权等知识产权而引起法律或经济纠纷。如果任何第三方提出侵权指控，由供应商与该第三方交涉并承担由此发生的一切责任、费用和赔偿。</w:t>
      </w:r>
    </w:p>
    <w:p w14:paraId="3B2C3C28">
      <w:pPr>
        <w:spacing w:line="360" w:lineRule="auto"/>
        <w:ind w:firstLine="420" w:firstLineChars="200"/>
        <w:jc w:val="left"/>
        <w:rPr>
          <w:rFonts w:ascii="宋体" w:hAnsi="宋体"/>
          <w:kern w:val="0"/>
          <w:szCs w:val="21"/>
        </w:rPr>
      </w:pPr>
      <w:r>
        <w:rPr>
          <w:rFonts w:hint="eastAsia" w:ascii="宋体" w:hAnsi="宋体"/>
          <w:kern w:val="0"/>
          <w:szCs w:val="21"/>
        </w:rPr>
        <w:t>供应商采用自身所不拥有的知识产权，无论是否在磋商报价中单独列明，采购人均视为报价已包含供应商合法获取该知识产权的相关费用。</w:t>
      </w:r>
    </w:p>
    <w:p w14:paraId="4A751D11">
      <w:pPr>
        <w:spacing w:line="360" w:lineRule="auto"/>
        <w:ind w:firstLine="422" w:firstLineChars="200"/>
        <w:jc w:val="left"/>
        <w:rPr>
          <w:rFonts w:ascii="宋体" w:hAnsi="宋体"/>
          <w:b/>
          <w:szCs w:val="21"/>
        </w:rPr>
      </w:pPr>
      <w:r>
        <w:rPr>
          <w:rFonts w:hint="eastAsia" w:ascii="宋体" w:hAnsi="宋体"/>
          <w:b/>
          <w:szCs w:val="21"/>
        </w:rPr>
        <w:t>9.转包与分包</w:t>
      </w:r>
    </w:p>
    <w:p w14:paraId="13DB5F9B">
      <w:pPr>
        <w:snapToGrid w:val="0"/>
        <w:spacing w:line="360" w:lineRule="auto"/>
        <w:ind w:firstLine="420" w:firstLineChars="200"/>
        <w:rPr>
          <w:rFonts w:ascii="宋体" w:hAnsi="宋体"/>
          <w:kern w:val="0"/>
          <w:szCs w:val="21"/>
        </w:rPr>
      </w:pPr>
      <w:r>
        <w:rPr>
          <w:rFonts w:ascii="宋体" w:hAnsi="宋体"/>
          <w:kern w:val="0"/>
          <w:szCs w:val="21"/>
        </w:rPr>
        <w:t>本项目不允许转包</w:t>
      </w:r>
      <w:r>
        <w:rPr>
          <w:rFonts w:hint="eastAsia" w:ascii="宋体" w:hAnsi="宋体"/>
          <w:kern w:val="0"/>
          <w:szCs w:val="21"/>
        </w:rPr>
        <w:t>和分包。</w:t>
      </w:r>
    </w:p>
    <w:p w14:paraId="3451CCD3">
      <w:pPr>
        <w:tabs>
          <w:tab w:val="left" w:pos="426"/>
        </w:tabs>
        <w:snapToGrid w:val="0"/>
        <w:spacing w:line="360" w:lineRule="auto"/>
        <w:ind w:firstLine="422" w:firstLineChars="200"/>
        <w:rPr>
          <w:rFonts w:ascii="宋体" w:hAnsi="宋体" w:cs="宋体"/>
          <w:b/>
          <w:kern w:val="0"/>
          <w:szCs w:val="21"/>
        </w:rPr>
      </w:pPr>
      <w:r>
        <w:rPr>
          <w:rFonts w:hint="eastAsia" w:ascii="宋体" w:hAnsi="宋体" w:cs="宋体"/>
          <w:b/>
          <w:kern w:val="0"/>
          <w:szCs w:val="21"/>
        </w:rPr>
        <w:t>10.</w:t>
      </w:r>
      <w:r>
        <w:rPr>
          <w:rFonts w:ascii="宋体" w:hAnsi="宋体" w:cs="宋体"/>
          <w:b/>
          <w:kern w:val="0"/>
          <w:szCs w:val="21"/>
        </w:rPr>
        <w:t>质疑和</w:t>
      </w:r>
      <w:r>
        <w:rPr>
          <w:rFonts w:ascii="宋体" w:hAnsi="宋体" w:cs="宋体"/>
          <w:b/>
          <w:kern w:val="0"/>
        </w:rPr>
        <w:t>投诉</w:t>
      </w:r>
    </w:p>
    <w:p w14:paraId="0D818CC1">
      <w:pPr>
        <w:pStyle w:val="7"/>
      </w:pPr>
      <w:r>
        <w:rPr>
          <w:rFonts w:hint="eastAsia"/>
        </w:rPr>
        <w:t>10.1供应商认为磋商文件、采购过程和成交结果使自己的权益受到损害的，可以根据</w:t>
      </w:r>
      <w:r>
        <w:t>《</w:t>
      </w:r>
      <w:r>
        <w:rPr>
          <w:rFonts w:hint="eastAsia"/>
        </w:rPr>
        <w:t>政府</w:t>
      </w:r>
      <w:r>
        <w:t>采购质疑和投诉办法》</w:t>
      </w:r>
      <w:r>
        <w:rPr>
          <w:rFonts w:hint="eastAsia"/>
        </w:rPr>
        <w:t>的</w:t>
      </w:r>
      <w:r>
        <w:t>有关规定，</w:t>
      </w:r>
      <w:r>
        <w:rPr>
          <w:rFonts w:hint="eastAsia"/>
        </w:rPr>
        <w:t>依法向采购人或采购代理机构提出质疑。</w:t>
      </w:r>
    </w:p>
    <w:p w14:paraId="27EA9C04">
      <w:pPr>
        <w:pStyle w:val="7"/>
      </w:pPr>
      <w:r>
        <w:rPr>
          <w:rFonts w:hint="eastAsia"/>
        </w:rPr>
        <w:t>10</w:t>
      </w:r>
      <w:r>
        <w:t>.2</w:t>
      </w:r>
      <w:r>
        <w:rPr>
          <w:rFonts w:hint="eastAsia"/>
        </w:rPr>
        <w:t>供应商</w:t>
      </w:r>
      <w:r>
        <w:t>应</w:t>
      </w:r>
      <w:r>
        <w:rPr>
          <w:rFonts w:hint="eastAsia"/>
        </w:rPr>
        <w:t>按</w:t>
      </w:r>
      <w:r>
        <w:t>《</w:t>
      </w:r>
      <w:r>
        <w:rPr>
          <w:rFonts w:hint="eastAsia"/>
        </w:rPr>
        <w:t>政府</w:t>
      </w:r>
      <w:r>
        <w:t>采购质疑和投诉办法》的要求</w:t>
      </w:r>
      <w:r>
        <w:rPr>
          <w:rFonts w:hint="eastAsia"/>
        </w:rPr>
        <w:t>，</w:t>
      </w:r>
      <w:r>
        <w:t>在</w:t>
      </w:r>
      <w:r>
        <w:rPr>
          <w:rFonts w:hint="eastAsia"/>
        </w:rPr>
        <w:t>其规定的</w:t>
      </w:r>
      <w:r>
        <w:t>质疑期内</w:t>
      </w:r>
      <w:r>
        <w:rPr>
          <w:rFonts w:hint="eastAsia"/>
        </w:rPr>
        <w:t>以书面形式</w:t>
      </w:r>
      <w:r>
        <w:t>提出质疑</w:t>
      </w:r>
      <w:r>
        <w:rPr>
          <w:rFonts w:hint="eastAsia"/>
        </w:rPr>
        <w:t>，超出质疑期提交的质疑将被拒绝。针对同一采购程序环节的质疑应一次性提出。</w:t>
      </w:r>
    </w:p>
    <w:p w14:paraId="4A7B1503">
      <w:pPr>
        <w:pStyle w:val="7"/>
      </w:pPr>
      <w:r>
        <w:rPr>
          <w:rFonts w:hint="eastAsia"/>
        </w:rPr>
        <w:t>10.3采购代理机构质疑函接收部门、联系电话和通讯地址，见</w:t>
      </w:r>
      <w:r>
        <w:rPr>
          <w:rFonts w:hint="eastAsia"/>
          <w:u w:val="single"/>
        </w:rPr>
        <w:t>供应商须知前附表</w:t>
      </w:r>
      <w:r>
        <w:rPr>
          <w:rFonts w:hint="eastAsia"/>
        </w:rPr>
        <w:t>。</w:t>
      </w:r>
    </w:p>
    <w:p w14:paraId="3B598CE3">
      <w:pPr>
        <w:snapToGrid w:val="0"/>
        <w:spacing w:line="360" w:lineRule="auto"/>
        <w:ind w:firstLine="420" w:firstLineChars="200"/>
        <w:jc w:val="left"/>
        <w:rPr>
          <w:rFonts w:ascii="宋体" w:hAnsi="宋体"/>
        </w:rPr>
      </w:pPr>
      <w:r>
        <w:rPr>
          <w:rFonts w:hint="eastAsia" w:ascii="宋体" w:hAnsi="宋体"/>
          <w:szCs w:val="21"/>
        </w:rPr>
        <w:t>10.4</w:t>
      </w:r>
      <w:r>
        <w:rPr>
          <w:rFonts w:hint="eastAsia" w:ascii="宋体" w:hAnsi="宋体"/>
        </w:rPr>
        <w:t>质疑供应商对采购人、采购代理机构的答复不满意，或者采购人、采购代理机构未在规定时间内作出答复，可以在答复期满后15个工作日内向财政部门提起投诉，财政部门信息详见</w:t>
      </w:r>
      <w:r>
        <w:rPr>
          <w:rFonts w:hint="eastAsia" w:ascii="宋体" w:hAnsi="宋体"/>
          <w:u w:val="single"/>
        </w:rPr>
        <w:t>采购公告</w:t>
      </w:r>
      <w:r>
        <w:rPr>
          <w:rFonts w:hint="eastAsia" w:ascii="宋体" w:hAnsi="宋体"/>
        </w:rPr>
        <w:t>。</w:t>
      </w:r>
    </w:p>
    <w:p w14:paraId="781AC954">
      <w:pPr>
        <w:spacing w:line="360" w:lineRule="auto"/>
        <w:ind w:firstLine="422" w:firstLineChars="200"/>
        <w:rPr>
          <w:rFonts w:ascii="宋体" w:hAnsi="宋体"/>
          <w:b/>
          <w:szCs w:val="21"/>
        </w:rPr>
      </w:pPr>
      <w:r>
        <w:rPr>
          <w:rFonts w:hint="eastAsia" w:ascii="宋体" w:hAnsi="宋体"/>
          <w:b/>
          <w:szCs w:val="21"/>
        </w:rPr>
        <w:t>11.供应商信用记录查询及使用</w:t>
      </w:r>
    </w:p>
    <w:p w14:paraId="712D9640">
      <w:pPr>
        <w:pStyle w:val="6"/>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11.1</w:t>
      </w:r>
      <w:r>
        <w:rPr>
          <w:rFonts w:ascii="宋体" w:hAnsi="宋体"/>
          <w:sz w:val="21"/>
          <w:szCs w:val="21"/>
        </w:rPr>
        <w:t>信用信息查询渠道</w:t>
      </w:r>
      <w:r>
        <w:rPr>
          <w:rFonts w:hint="eastAsia" w:ascii="宋体" w:hAnsi="宋体"/>
          <w:sz w:val="21"/>
          <w:szCs w:val="21"/>
        </w:rPr>
        <w:t>：“信用中国”网站（www.creditchina.gov.cn）、中国政府采购网（www.ccgp.gov.cn）。</w:t>
      </w:r>
    </w:p>
    <w:p w14:paraId="28960EC5">
      <w:pPr>
        <w:pStyle w:val="6"/>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11.2</w:t>
      </w:r>
      <w:r>
        <w:rPr>
          <w:rFonts w:ascii="宋体" w:hAnsi="宋体"/>
          <w:sz w:val="21"/>
          <w:szCs w:val="21"/>
        </w:rPr>
        <w:t>信用信息查询截止时点</w:t>
      </w:r>
      <w:r>
        <w:rPr>
          <w:rFonts w:hint="eastAsia" w:ascii="宋体" w:hAnsi="宋体"/>
          <w:sz w:val="21"/>
          <w:szCs w:val="21"/>
        </w:rPr>
        <w:t>：响应截止时间后至评审结束前。</w:t>
      </w:r>
    </w:p>
    <w:p w14:paraId="6DB4AC0A">
      <w:pPr>
        <w:pStyle w:val="6"/>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11.3</w:t>
      </w:r>
      <w:r>
        <w:rPr>
          <w:rFonts w:ascii="宋体" w:hAnsi="宋体"/>
          <w:sz w:val="21"/>
          <w:szCs w:val="21"/>
        </w:rPr>
        <w:t>信用信息查询记录和证据留存的具体方式</w:t>
      </w:r>
      <w:r>
        <w:rPr>
          <w:rFonts w:hint="eastAsia" w:ascii="宋体" w:hAnsi="宋体"/>
          <w:sz w:val="21"/>
          <w:szCs w:val="21"/>
        </w:rPr>
        <w:t>：由</w:t>
      </w:r>
      <w:r>
        <w:rPr>
          <w:rFonts w:ascii="宋体" w:hAnsi="宋体"/>
          <w:sz w:val="21"/>
          <w:szCs w:val="21"/>
        </w:rPr>
        <w:t>采购代理机构</w:t>
      </w:r>
      <w:r>
        <w:rPr>
          <w:rFonts w:hint="eastAsia" w:ascii="宋体" w:hAnsi="宋体"/>
          <w:sz w:val="21"/>
          <w:szCs w:val="21"/>
        </w:rPr>
        <w:t>工作人员将查询网页打印并与其他采购文件一并存档备查。</w:t>
      </w:r>
    </w:p>
    <w:p w14:paraId="24D88ECF">
      <w:pPr>
        <w:pStyle w:val="6"/>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供应商不良信用记录以</w:t>
      </w:r>
      <w:r>
        <w:rPr>
          <w:rFonts w:ascii="宋体" w:hAnsi="宋体"/>
          <w:sz w:val="21"/>
          <w:szCs w:val="21"/>
        </w:rPr>
        <w:t>采购代理机构</w:t>
      </w:r>
      <w:r>
        <w:rPr>
          <w:rFonts w:hint="eastAsia" w:ascii="宋体" w:hAnsi="宋体"/>
          <w:sz w:val="21"/>
          <w:szCs w:val="21"/>
        </w:rPr>
        <w:t>查询结果为准。</w:t>
      </w:r>
      <w:bookmarkStart w:id="58" w:name="_Hlk24663338"/>
      <w:r>
        <w:rPr>
          <w:rFonts w:hint="eastAsia" w:ascii="宋体" w:hAnsi="宋体"/>
          <w:sz w:val="21"/>
          <w:szCs w:val="21"/>
        </w:rPr>
        <w:t>在</w:t>
      </w:r>
      <w:r>
        <w:rPr>
          <w:rFonts w:ascii="宋体" w:hAnsi="宋体"/>
          <w:sz w:val="21"/>
          <w:szCs w:val="21"/>
        </w:rPr>
        <w:t>磋商文件规定</w:t>
      </w:r>
      <w:r>
        <w:rPr>
          <w:rFonts w:hint="eastAsia" w:ascii="宋体" w:hAnsi="宋体"/>
          <w:sz w:val="21"/>
          <w:szCs w:val="21"/>
        </w:rPr>
        <w:t>的查询时间之外，网站信息发生的任何变更均不作为资格审查依据。</w:t>
      </w:r>
      <w:bookmarkEnd w:id="58"/>
      <w:r>
        <w:rPr>
          <w:rFonts w:hint="eastAsia" w:ascii="宋体" w:hAnsi="宋体"/>
          <w:sz w:val="21"/>
          <w:szCs w:val="21"/>
        </w:rPr>
        <w:t>供应商自行提供的网站查询结果材料亦不作为资格审查依据。</w:t>
      </w:r>
    </w:p>
    <w:p w14:paraId="4FC30254">
      <w:pPr>
        <w:pStyle w:val="6"/>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11.4</w:t>
      </w:r>
      <w:r>
        <w:rPr>
          <w:rFonts w:ascii="宋体" w:hAnsi="宋体"/>
          <w:sz w:val="21"/>
          <w:szCs w:val="21"/>
        </w:rPr>
        <w:t>信用信息的使用规则</w:t>
      </w:r>
      <w:r>
        <w:rPr>
          <w:rFonts w:hint="eastAsia" w:ascii="宋体" w:hAnsi="宋体"/>
          <w:sz w:val="21"/>
          <w:szCs w:val="21"/>
        </w:rPr>
        <w:t>：供应商存在采购文件明确不能存在的不良信用记录的，其磋商响应将被认定为</w:t>
      </w:r>
      <w:r>
        <w:rPr>
          <w:rFonts w:hint="eastAsia" w:ascii="宋体" w:hAnsi="宋体"/>
          <w:b/>
          <w:sz w:val="21"/>
          <w:szCs w:val="21"/>
        </w:rPr>
        <w:t>响应无效</w:t>
      </w:r>
      <w:r>
        <w:rPr>
          <w:rFonts w:hint="eastAsia" w:ascii="宋体" w:hAnsi="宋体"/>
          <w:sz w:val="21"/>
          <w:szCs w:val="21"/>
        </w:rPr>
        <w:t>。</w:t>
      </w:r>
    </w:p>
    <w:p w14:paraId="79629687">
      <w:pPr>
        <w:spacing w:line="360" w:lineRule="auto"/>
        <w:ind w:firstLine="422" w:firstLineChars="200"/>
        <w:jc w:val="left"/>
        <w:rPr>
          <w:rFonts w:ascii="宋体" w:hAnsi="宋体"/>
          <w:szCs w:val="21"/>
        </w:rPr>
      </w:pPr>
      <w:r>
        <w:rPr>
          <w:rFonts w:hint="eastAsia" w:ascii="宋体" w:hAnsi="宋体"/>
          <w:b/>
          <w:szCs w:val="21"/>
        </w:rPr>
        <w:t>12.政府采购信息发布媒体</w:t>
      </w:r>
    </w:p>
    <w:p w14:paraId="3F77F505">
      <w:pPr>
        <w:pStyle w:val="6"/>
        <w:snapToGrid w:val="0"/>
        <w:spacing w:after="0" w:line="360" w:lineRule="auto"/>
        <w:ind w:left="0" w:leftChars="0" w:firstLine="420" w:firstLineChars="200"/>
        <w:rPr>
          <w:rFonts w:ascii="宋体" w:hAnsi="宋体"/>
          <w:sz w:val="21"/>
          <w:szCs w:val="21"/>
        </w:rPr>
      </w:pPr>
      <w:r>
        <w:rPr>
          <w:rFonts w:hint="eastAsia" w:ascii="宋体" w:hAnsi="宋体"/>
          <w:sz w:val="21"/>
          <w:szCs w:val="21"/>
        </w:rPr>
        <w:t>本项目采购信息发布在</w:t>
      </w:r>
      <w:r>
        <w:rPr>
          <w:rFonts w:hint="eastAsia" w:ascii="宋体" w:hAnsi="宋体"/>
          <w:bCs/>
          <w:sz w:val="21"/>
          <w:szCs w:val="21"/>
        </w:rPr>
        <w:t>浙江政府采购网（</w:t>
      </w:r>
      <w:r>
        <w:rPr>
          <w:rFonts w:ascii="宋体" w:hAnsi="宋体"/>
          <w:bCs/>
          <w:sz w:val="21"/>
          <w:szCs w:val="21"/>
        </w:rPr>
        <w:t>https://zfcg.czt.zj.gov.cn/</w:t>
      </w:r>
      <w:r>
        <w:rPr>
          <w:rFonts w:hint="eastAsia" w:ascii="宋体" w:hAnsi="宋体"/>
          <w:bCs/>
          <w:sz w:val="21"/>
          <w:szCs w:val="21"/>
        </w:rPr>
        <w:t>）。</w:t>
      </w:r>
    </w:p>
    <w:p w14:paraId="593B76B0">
      <w:pPr>
        <w:spacing w:line="360" w:lineRule="auto"/>
        <w:ind w:firstLine="422" w:firstLineChars="200"/>
        <w:jc w:val="left"/>
        <w:rPr>
          <w:rFonts w:ascii="宋体" w:hAnsi="宋体"/>
          <w:b/>
          <w:szCs w:val="21"/>
        </w:rPr>
      </w:pPr>
      <w:r>
        <w:rPr>
          <w:rFonts w:hint="eastAsia" w:ascii="宋体" w:hAnsi="宋体"/>
          <w:b/>
          <w:szCs w:val="21"/>
        </w:rPr>
        <w:t>13.</w:t>
      </w:r>
      <w:r>
        <w:rPr>
          <w:rFonts w:ascii="宋体" w:hAnsi="宋体"/>
          <w:b/>
          <w:szCs w:val="21"/>
        </w:rPr>
        <w:t>采购代理</w:t>
      </w:r>
      <w:r>
        <w:rPr>
          <w:rFonts w:hint="eastAsia" w:ascii="宋体" w:hAnsi="宋体"/>
          <w:b/>
          <w:szCs w:val="21"/>
        </w:rPr>
        <w:t>服务</w:t>
      </w:r>
      <w:r>
        <w:rPr>
          <w:rFonts w:ascii="宋体" w:hAnsi="宋体"/>
          <w:b/>
          <w:szCs w:val="21"/>
        </w:rPr>
        <w:t>费用的收取标准和方式</w:t>
      </w:r>
    </w:p>
    <w:p w14:paraId="2AAC2EE4">
      <w:pPr>
        <w:pStyle w:val="6"/>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13.1</w:t>
      </w:r>
      <w:r>
        <w:rPr>
          <w:rFonts w:ascii="宋体" w:hAnsi="宋体"/>
          <w:sz w:val="21"/>
          <w:szCs w:val="21"/>
        </w:rPr>
        <w:t>采购</w:t>
      </w:r>
      <w:r>
        <w:rPr>
          <w:rFonts w:hint="eastAsia" w:ascii="宋体" w:hAnsi="宋体"/>
          <w:sz w:val="21"/>
          <w:szCs w:val="21"/>
        </w:rPr>
        <w:t>代理服务费用的收取标准：见</w:t>
      </w:r>
      <w:r>
        <w:rPr>
          <w:rFonts w:hint="eastAsia" w:ascii="宋体" w:hAnsi="宋体"/>
          <w:sz w:val="21"/>
          <w:szCs w:val="21"/>
          <w:u w:val="single"/>
        </w:rPr>
        <w:t>供应商须知前附表</w:t>
      </w:r>
      <w:r>
        <w:rPr>
          <w:rFonts w:hint="eastAsia" w:ascii="宋体" w:hAnsi="宋体"/>
          <w:sz w:val="21"/>
          <w:szCs w:val="21"/>
        </w:rPr>
        <w:t>。</w:t>
      </w:r>
    </w:p>
    <w:p w14:paraId="33B084C2">
      <w:pPr>
        <w:pStyle w:val="6"/>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13.2</w:t>
      </w:r>
      <w:r>
        <w:rPr>
          <w:rFonts w:ascii="宋体" w:hAnsi="宋体"/>
          <w:sz w:val="21"/>
          <w:szCs w:val="21"/>
        </w:rPr>
        <w:t>采购</w:t>
      </w:r>
      <w:r>
        <w:rPr>
          <w:rFonts w:hint="eastAsia" w:ascii="宋体" w:hAnsi="宋体"/>
          <w:sz w:val="21"/>
          <w:szCs w:val="21"/>
        </w:rPr>
        <w:t>代理服务费的支付：见</w:t>
      </w:r>
      <w:r>
        <w:rPr>
          <w:rFonts w:hint="eastAsia" w:ascii="宋体" w:hAnsi="宋体"/>
          <w:sz w:val="21"/>
          <w:szCs w:val="21"/>
          <w:u w:val="single"/>
        </w:rPr>
        <w:t>供应商须知前附表</w:t>
      </w:r>
      <w:r>
        <w:rPr>
          <w:rFonts w:hint="eastAsia" w:ascii="宋体" w:hAnsi="宋体"/>
          <w:sz w:val="21"/>
          <w:szCs w:val="21"/>
        </w:rPr>
        <w:t>。</w:t>
      </w:r>
    </w:p>
    <w:p w14:paraId="751D71D0">
      <w:pPr>
        <w:snapToGrid w:val="0"/>
        <w:spacing w:line="360" w:lineRule="auto"/>
        <w:ind w:firstLine="420" w:firstLineChars="200"/>
        <w:rPr>
          <w:rFonts w:ascii="宋体" w:hAnsi="宋体"/>
          <w:szCs w:val="21"/>
        </w:rPr>
      </w:pPr>
      <w:r>
        <w:rPr>
          <w:rFonts w:hint="eastAsia" w:ascii="宋体" w:hAnsi="宋体"/>
          <w:szCs w:val="21"/>
        </w:rPr>
        <w:t>13.3成交供应商应当将采购</w:t>
      </w:r>
      <w:r>
        <w:rPr>
          <w:rFonts w:ascii="宋体" w:hAnsi="宋体"/>
          <w:szCs w:val="21"/>
        </w:rPr>
        <w:t>代理</w:t>
      </w:r>
      <w:r>
        <w:rPr>
          <w:rFonts w:hint="eastAsia" w:ascii="宋体" w:hAnsi="宋体"/>
          <w:szCs w:val="21"/>
        </w:rPr>
        <w:t>服务</w:t>
      </w:r>
      <w:r>
        <w:rPr>
          <w:rFonts w:ascii="宋体" w:hAnsi="宋体"/>
          <w:szCs w:val="21"/>
        </w:rPr>
        <w:t>费</w:t>
      </w:r>
      <w:r>
        <w:rPr>
          <w:rFonts w:hint="eastAsia" w:ascii="宋体" w:hAnsi="宋体"/>
          <w:szCs w:val="21"/>
        </w:rPr>
        <w:t>按照规定交至代理机构银行账户，并将开票信息及要求、发票收件信息发送至</w:t>
      </w:r>
      <w:r>
        <w:rPr>
          <w:rFonts w:ascii="宋体" w:hAnsi="宋体"/>
          <w:szCs w:val="21"/>
        </w:rPr>
        <w:t>3302172248@qq.com</w:t>
      </w:r>
      <w:r>
        <w:rPr>
          <w:rFonts w:hint="eastAsia" w:ascii="宋体" w:hAnsi="宋体"/>
          <w:szCs w:val="21"/>
        </w:rPr>
        <w:t>，采购代理机构收款账户信息：</w:t>
      </w:r>
    </w:p>
    <w:p w14:paraId="7AD95B48">
      <w:pPr>
        <w:snapToGrid w:val="0"/>
        <w:spacing w:line="360" w:lineRule="auto"/>
        <w:ind w:firstLine="420" w:firstLineChars="200"/>
        <w:jc w:val="left"/>
        <w:rPr>
          <w:rFonts w:ascii="宋体" w:hAnsi="宋体" w:cs="宋体"/>
        </w:rPr>
      </w:pPr>
      <w:r>
        <w:rPr>
          <w:rFonts w:hint="eastAsia" w:ascii="宋体" w:hAnsi="宋体" w:cs="宋体"/>
        </w:rPr>
        <w:t>开户银行：中国工商银行宁波市鼓楼支行</w:t>
      </w:r>
    </w:p>
    <w:p w14:paraId="45AA8152">
      <w:pPr>
        <w:snapToGrid w:val="0"/>
        <w:spacing w:line="360" w:lineRule="auto"/>
        <w:ind w:firstLine="420" w:firstLineChars="200"/>
        <w:jc w:val="left"/>
        <w:rPr>
          <w:rFonts w:ascii="宋体" w:hAnsi="宋体" w:cs="宋体"/>
        </w:rPr>
      </w:pPr>
      <w:r>
        <w:rPr>
          <w:rFonts w:hint="eastAsia" w:ascii="宋体" w:hAnsi="宋体" w:cs="宋体"/>
        </w:rPr>
        <w:t>户    名：宁波名诚招标代理有限公司</w:t>
      </w:r>
    </w:p>
    <w:p w14:paraId="141E93A7">
      <w:pPr>
        <w:snapToGrid w:val="0"/>
        <w:spacing w:line="360" w:lineRule="auto"/>
        <w:ind w:firstLine="420" w:firstLineChars="200"/>
        <w:jc w:val="left"/>
        <w:rPr>
          <w:rFonts w:ascii="宋体" w:hAnsi="宋体" w:cs="宋体"/>
        </w:rPr>
      </w:pPr>
      <w:r>
        <w:rPr>
          <w:rFonts w:hint="eastAsia" w:ascii="宋体" w:hAnsi="宋体" w:cs="宋体"/>
        </w:rPr>
        <w:t>账    号：3901110019200459750</w:t>
      </w:r>
    </w:p>
    <w:p w14:paraId="052E373C">
      <w:pPr>
        <w:pStyle w:val="7"/>
      </w:pPr>
      <w:r>
        <w:rPr>
          <w:rFonts w:hint="eastAsia"/>
        </w:rPr>
        <w:t>14.其他</w:t>
      </w:r>
    </w:p>
    <w:p w14:paraId="23E80205">
      <w:pPr>
        <w:pStyle w:val="7"/>
      </w:pPr>
      <w:r>
        <w:rPr>
          <w:rFonts w:hint="eastAsia"/>
        </w:rPr>
        <w:t>14.1磋商文件的标题和序号只是为了查阅方便，不影响对磋商文件的理解。</w:t>
      </w:r>
    </w:p>
    <w:p w14:paraId="193CB483">
      <w:pPr>
        <w:pStyle w:val="7"/>
      </w:pPr>
      <w:r>
        <w:rPr>
          <w:rFonts w:hint="eastAsia"/>
        </w:rPr>
        <w:t>14.</w:t>
      </w:r>
      <w:r>
        <w:t>2</w:t>
      </w:r>
      <w:r>
        <w:rPr>
          <w:rFonts w:hint="eastAsia"/>
        </w:rPr>
        <w:t>磋商文件如出现某品牌、型号的内容是为了更好的描述产品的性能、规格及要求，并无指定产品品牌、型号的意思表达。</w:t>
      </w:r>
    </w:p>
    <w:p w14:paraId="252EAC83">
      <w:pPr>
        <w:snapToGrid w:val="0"/>
        <w:spacing w:line="360" w:lineRule="auto"/>
        <w:ind w:firstLine="420" w:firstLineChars="200"/>
        <w:jc w:val="left"/>
        <w:rPr>
          <w:rFonts w:ascii="宋体" w:hAnsi="宋体" w:cs="Arial"/>
          <w:szCs w:val="21"/>
        </w:rPr>
      </w:pPr>
      <w:r>
        <w:rPr>
          <w:rFonts w:hint="eastAsia" w:ascii="宋体" w:hAnsi="宋体" w:cs="Arial"/>
          <w:szCs w:val="21"/>
        </w:rPr>
        <w:t>14.</w:t>
      </w:r>
      <w:r>
        <w:rPr>
          <w:rFonts w:ascii="宋体" w:hAnsi="宋体" w:cs="Arial"/>
          <w:szCs w:val="21"/>
        </w:rPr>
        <w:t>3</w:t>
      </w:r>
      <w:r>
        <w:rPr>
          <w:rFonts w:hint="eastAsia" w:ascii="宋体" w:hAnsi="宋体" w:cs="Arial"/>
          <w:szCs w:val="21"/>
        </w:rPr>
        <w:t>磋商文件要求携带原件备查的资料，如该资料可以通过互联网或者相关信息系统查询的，供应商能够当场提供账号、网址等进行查询、核实资料真伪及有关数据的，视同提供了原件。</w:t>
      </w:r>
    </w:p>
    <w:p w14:paraId="2255FDF8">
      <w:pPr>
        <w:pStyle w:val="7"/>
        <w:rPr>
          <w:rFonts w:cs="Arial"/>
        </w:rPr>
      </w:pPr>
      <w:r>
        <w:rPr>
          <w:rFonts w:hint="eastAsia" w:cs="Arial"/>
        </w:rPr>
        <w:t>1</w:t>
      </w:r>
      <w:r>
        <w:rPr>
          <w:rFonts w:cs="Arial"/>
        </w:rPr>
        <w:t>4</w:t>
      </w:r>
      <w:r>
        <w:rPr>
          <w:rFonts w:hint="eastAsia" w:cs="Arial"/>
        </w:rPr>
        <w:t>.</w:t>
      </w:r>
      <w:r>
        <w:rPr>
          <w:rFonts w:cs="Arial"/>
        </w:rPr>
        <w:t>4</w:t>
      </w:r>
      <w:r>
        <w:rPr>
          <w:rFonts w:hint="eastAsia" w:cs="Arial"/>
        </w:rPr>
        <w:t>供应商应当及时维护政府采购云平台（https://www.zcygov.cn/）注册信息，包含但不仅限于单位银行账户信息等。</w:t>
      </w:r>
    </w:p>
    <w:p w14:paraId="461A2DA0">
      <w:pPr>
        <w:spacing w:line="360" w:lineRule="auto"/>
        <w:ind w:firstLine="420" w:firstLineChars="200"/>
        <w:rPr>
          <w:rFonts w:ascii="宋体" w:hAnsi="宋体" w:cs="黑体"/>
        </w:rPr>
      </w:pPr>
      <w:r>
        <w:rPr>
          <w:rFonts w:hint="eastAsia" w:ascii="宋体" w:hAnsi="宋体" w:cs="黑体"/>
        </w:rPr>
        <w:t>14.</w:t>
      </w:r>
      <w:r>
        <w:rPr>
          <w:rFonts w:ascii="宋体" w:hAnsi="宋体" w:cs="黑体"/>
        </w:rPr>
        <w:t>5</w:t>
      </w:r>
      <w:r>
        <w:rPr>
          <w:rFonts w:hint="eastAsia" w:ascii="宋体" w:hAnsi="宋体" w:cs="黑体"/>
        </w:rPr>
        <w:t>严格执行《财政部 发展改革委 生态环境部 市场监管总局关于调整优化节能产品、环境标志产品政府采购执行机制的通知》（财库〔2019〕9号）。</w:t>
      </w:r>
    </w:p>
    <w:p w14:paraId="2CFBAED9">
      <w:pPr>
        <w:spacing w:line="360" w:lineRule="auto"/>
        <w:ind w:firstLine="420" w:firstLineChars="200"/>
        <w:rPr>
          <w:rFonts w:ascii="宋体" w:hAnsi="宋体" w:cs="黑体"/>
        </w:rPr>
      </w:pPr>
      <w:r>
        <w:rPr>
          <w:rFonts w:hint="eastAsia" w:ascii="宋体" w:hAnsi="宋体" w:cs="黑体"/>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kern w:val="0"/>
        </w:rPr>
        <w:t>供应商须按采购文件要求提供相关产品认证证书</w:t>
      </w:r>
      <w:r>
        <w:rPr>
          <w:rFonts w:hint="eastAsia" w:ascii="宋体" w:hAnsi="宋体" w:cs="黑体"/>
        </w:rPr>
        <w:t>复印件。</w:t>
      </w:r>
    </w:p>
    <w:p w14:paraId="2BAA27CC">
      <w:pPr>
        <w:spacing w:line="360" w:lineRule="auto"/>
        <w:ind w:firstLine="420" w:firstLineChars="200"/>
        <w:rPr>
          <w:rFonts w:ascii="宋体" w:hAnsi="宋体" w:cs="黑体"/>
        </w:rPr>
      </w:pPr>
      <w:r>
        <w:rPr>
          <w:rFonts w:hint="eastAsia" w:ascii="宋体" w:hAnsi="宋体" w:cs="黑体"/>
        </w:rPr>
        <w:t>采购人拟采购的产品属于政府强制采购的节能产品品目清单范围的，供应商未在响应文件中提供国家确定的认证机构出具的、处于有效期之内的节能产品认证证书，响应无效。</w:t>
      </w:r>
    </w:p>
    <w:p w14:paraId="3AB67A5A">
      <w:pPr>
        <w:spacing w:line="360" w:lineRule="auto"/>
        <w:ind w:firstLine="420" w:firstLineChars="200"/>
        <w:rPr>
          <w:rFonts w:ascii="宋体" w:hAnsi="宋体" w:cs="黑体"/>
        </w:rPr>
      </w:pPr>
      <w:r>
        <w:rPr>
          <w:rFonts w:hint="eastAsia" w:ascii="宋体" w:hAnsi="宋体" w:cs="黑体"/>
        </w:rPr>
        <w:t>属于政府优先采购产品类别的，须在响应文件中提供依据国家确定的认证机构出具的、处于有效期之内的节能产品或环境标志产品认证证书，否则不予认定。</w:t>
      </w:r>
    </w:p>
    <w:p w14:paraId="634B3A8E">
      <w:pPr>
        <w:spacing w:line="360" w:lineRule="auto"/>
        <w:ind w:firstLine="420" w:firstLineChars="200"/>
        <w:rPr>
          <w:rFonts w:ascii="宋体" w:hAnsi="宋体" w:cs="黑体"/>
        </w:rPr>
      </w:pPr>
      <w:r>
        <w:rPr>
          <w:rFonts w:hint="eastAsia" w:ascii="宋体" w:hAnsi="宋体" w:cs="黑体"/>
        </w:rPr>
        <w:t>属于强制节能产品的不参与节能产品加分评议，</w:t>
      </w:r>
      <w:r>
        <w:rPr>
          <w:rFonts w:ascii="宋体" w:hAnsi="宋体" w:cs="黑体"/>
        </w:rPr>
        <w:t>同时</w:t>
      </w:r>
      <w:r>
        <w:rPr>
          <w:rFonts w:hint="eastAsia" w:ascii="宋体" w:hAnsi="宋体" w:cs="黑体"/>
        </w:rPr>
        <w:t>具有节能环保</w:t>
      </w:r>
      <w:r>
        <w:rPr>
          <w:rFonts w:ascii="宋体" w:hAnsi="宋体" w:cs="黑体"/>
        </w:rPr>
        <w:t>两个认证证书</w:t>
      </w:r>
      <w:r>
        <w:rPr>
          <w:rFonts w:hint="eastAsia" w:ascii="宋体" w:hAnsi="宋体" w:cs="黑体"/>
        </w:rPr>
        <w:t>，可以分别计分。</w:t>
      </w:r>
    </w:p>
    <w:p w14:paraId="02D4A3CF">
      <w:pPr>
        <w:pStyle w:val="5"/>
        <w:numPr>
          <w:ilvl w:val="0"/>
          <w:numId w:val="0"/>
        </w:numPr>
        <w:tabs>
          <w:tab w:val="left" w:pos="720"/>
        </w:tabs>
        <w:snapToGrid w:val="0"/>
        <w:spacing w:line="360" w:lineRule="auto"/>
        <w:jc w:val="center"/>
        <w:rPr>
          <w:rFonts w:ascii="宋体" w:hAnsi="宋体"/>
          <w:b/>
          <w:szCs w:val="21"/>
        </w:rPr>
      </w:pPr>
      <w:r>
        <w:rPr>
          <w:rFonts w:ascii="宋体" w:hAnsi="宋体"/>
          <w:b/>
          <w:szCs w:val="21"/>
        </w:rPr>
        <w:t>二</w:t>
      </w:r>
      <w:r>
        <w:rPr>
          <w:rFonts w:hint="eastAsia" w:ascii="宋体" w:hAnsi="宋体"/>
          <w:b/>
          <w:szCs w:val="21"/>
        </w:rPr>
        <w:t>、磋商文件</w:t>
      </w:r>
    </w:p>
    <w:p w14:paraId="62BDF910">
      <w:pPr>
        <w:pStyle w:val="7"/>
        <w:ind w:firstLine="422"/>
        <w:rPr>
          <w:b/>
        </w:rPr>
      </w:pPr>
      <w:r>
        <w:rPr>
          <w:rFonts w:hint="eastAsia"/>
          <w:b/>
        </w:rPr>
        <w:t>15.磋商文件的构成</w:t>
      </w:r>
    </w:p>
    <w:p w14:paraId="607C866C">
      <w:pPr>
        <w:pStyle w:val="7"/>
      </w:pPr>
      <w:r>
        <w:rPr>
          <w:rFonts w:hint="eastAsia"/>
        </w:rPr>
        <w:t>磋商文件共六章，由下列文件以及在采购过程中发出的澄清或修改文件组成，内容如下：</w:t>
      </w:r>
    </w:p>
    <w:p w14:paraId="373EBB7E">
      <w:pPr>
        <w:pStyle w:val="7"/>
      </w:pPr>
      <w:r>
        <w:rPr>
          <w:rFonts w:hint="eastAsia"/>
        </w:rPr>
        <w:t>第一章  采购公告</w:t>
      </w:r>
    </w:p>
    <w:p w14:paraId="453E4B8B">
      <w:pPr>
        <w:pStyle w:val="7"/>
      </w:pPr>
      <w:r>
        <w:rPr>
          <w:rFonts w:hint="eastAsia"/>
        </w:rPr>
        <w:t xml:space="preserve">第二章  </w:t>
      </w:r>
      <w:r>
        <w:t>采购需求</w:t>
      </w:r>
    </w:p>
    <w:p w14:paraId="6A3E0E19">
      <w:pPr>
        <w:pStyle w:val="7"/>
      </w:pPr>
      <w:r>
        <w:rPr>
          <w:rFonts w:hint="eastAsia"/>
        </w:rPr>
        <w:t xml:space="preserve">第三章  </w:t>
      </w:r>
      <w:r>
        <w:t>供应商须知</w:t>
      </w:r>
    </w:p>
    <w:p w14:paraId="0390DFAF">
      <w:pPr>
        <w:pStyle w:val="7"/>
      </w:pPr>
      <w:r>
        <w:rPr>
          <w:rFonts w:hint="eastAsia"/>
        </w:rPr>
        <w:t xml:space="preserve">第四章  </w:t>
      </w:r>
      <w:r>
        <w:t>评审方法和评审标准</w:t>
      </w:r>
    </w:p>
    <w:p w14:paraId="1D7AFA57">
      <w:pPr>
        <w:pStyle w:val="7"/>
      </w:pPr>
      <w:r>
        <w:rPr>
          <w:rFonts w:hint="eastAsia"/>
        </w:rPr>
        <w:t xml:space="preserve">第五章  </w:t>
      </w:r>
      <w:r>
        <w:t>合同草案条款</w:t>
      </w:r>
    </w:p>
    <w:p w14:paraId="5807124D">
      <w:pPr>
        <w:pStyle w:val="7"/>
      </w:pPr>
      <w:r>
        <w:rPr>
          <w:rFonts w:hint="eastAsia"/>
        </w:rPr>
        <w:t xml:space="preserve">第六章  </w:t>
      </w:r>
      <w:r>
        <w:t>响应文件格式</w:t>
      </w:r>
    </w:p>
    <w:p w14:paraId="514A638F">
      <w:pPr>
        <w:pStyle w:val="5"/>
        <w:numPr>
          <w:ilvl w:val="0"/>
          <w:numId w:val="0"/>
        </w:numPr>
        <w:tabs>
          <w:tab w:val="left" w:pos="720"/>
        </w:tabs>
        <w:snapToGrid w:val="0"/>
        <w:spacing w:line="360" w:lineRule="auto"/>
        <w:ind w:firstLine="422" w:firstLineChars="200"/>
        <w:rPr>
          <w:rFonts w:ascii="宋体" w:hAnsi="宋体" w:cs="宋体"/>
          <w:b/>
          <w:szCs w:val="21"/>
        </w:rPr>
      </w:pPr>
      <w:r>
        <w:rPr>
          <w:rFonts w:hint="eastAsia" w:ascii="宋体" w:hAnsi="宋体" w:cs="宋体"/>
          <w:b/>
          <w:szCs w:val="21"/>
        </w:rPr>
        <w:t>16.磋商文件的询问、澄清和修改</w:t>
      </w:r>
    </w:p>
    <w:p w14:paraId="2C21CE01">
      <w:pPr>
        <w:pStyle w:val="7"/>
      </w:pPr>
      <w:r>
        <w:rPr>
          <w:rFonts w:hint="eastAsia"/>
        </w:rPr>
        <w:t>16.</w:t>
      </w:r>
      <w:r>
        <w:t>1</w:t>
      </w:r>
      <w:r>
        <w:rPr>
          <w:rFonts w:hint="eastAsia"/>
        </w:rPr>
        <w:t>询问</w:t>
      </w:r>
    </w:p>
    <w:p w14:paraId="3B632D56">
      <w:pPr>
        <w:pStyle w:val="7"/>
      </w:pPr>
      <w:r>
        <w:rPr>
          <w:bCs/>
        </w:rPr>
        <w:t>供应商</w:t>
      </w:r>
      <w:r>
        <w:rPr>
          <w:rFonts w:hint="eastAsia"/>
          <w:bCs/>
        </w:rPr>
        <w:t>对磋商文件有疑问，可以向</w:t>
      </w:r>
      <w:r>
        <w:rPr>
          <w:rFonts w:hint="eastAsia"/>
        </w:rPr>
        <w:t>采购人或采购代理机构</w:t>
      </w:r>
      <w:r>
        <w:rPr>
          <w:rFonts w:hint="eastAsia"/>
          <w:bCs/>
        </w:rPr>
        <w:t>询问，</w:t>
      </w:r>
      <w:r>
        <w:rPr>
          <w:rFonts w:hint="eastAsia"/>
        </w:rPr>
        <w:t>采购人或采购代理机构将依法</w:t>
      </w:r>
      <w:r>
        <w:rPr>
          <w:rFonts w:hint="eastAsia"/>
          <w:bCs/>
        </w:rPr>
        <w:t>对潜在供应商</w:t>
      </w:r>
      <w:r>
        <w:rPr>
          <w:rFonts w:hint="eastAsia"/>
        </w:rPr>
        <w:t>的询问作出答复。</w:t>
      </w:r>
    </w:p>
    <w:p w14:paraId="19CD0585">
      <w:pPr>
        <w:pStyle w:val="7"/>
      </w:pPr>
      <w:r>
        <w:rPr>
          <w:rFonts w:hint="eastAsia"/>
        </w:rPr>
        <w:t>16.2澄清和修改</w:t>
      </w:r>
    </w:p>
    <w:p w14:paraId="30FB8582">
      <w:pPr>
        <w:pStyle w:val="7"/>
      </w:pPr>
      <w:r>
        <w:rPr>
          <w:rFonts w:hint="eastAsia"/>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磋商文件的供应商；不足5日的，采购人、采购代理机构将顺延提交首次响应文件截止时间。</w:t>
      </w:r>
    </w:p>
    <w:p w14:paraId="5262E13B">
      <w:pPr>
        <w:pStyle w:val="7"/>
      </w:pPr>
      <w:r>
        <w:rPr>
          <w:rFonts w:hint="eastAsia"/>
        </w:rPr>
        <w:t>（2）</w:t>
      </w:r>
      <w:r>
        <w:t>澄清或者修改</w:t>
      </w:r>
      <w:r>
        <w:rPr>
          <w:rFonts w:hint="eastAsia"/>
        </w:rPr>
        <w:t>的更正信息将以书面形式在浙江政府采购网（</w:t>
      </w:r>
      <w:r>
        <w:t>https://zfcg.czt.zj.gov.cn/</w:t>
      </w:r>
      <w:r>
        <w:rPr>
          <w:rFonts w:hint="eastAsia"/>
        </w:rPr>
        <w:t>）公开发布。政采云平台将发送短信通知所有获取磋商文件的供应商，供应商应当自行查询上述网站并浏览更正内容，并按照更正后的采购文件编制响应文件。</w:t>
      </w:r>
    </w:p>
    <w:p w14:paraId="6D63FE30">
      <w:pPr>
        <w:pStyle w:val="7"/>
      </w:pPr>
      <w:r>
        <w:rPr>
          <w:rFonts w:hint="eastAsia"/>
        </w:rPr>
        <w:t>（3）</w:t>
      </w:r>
      <w:r>
        <w:t>供应商在收到书面形式通知后，</w:t>
      </w:r>
      <w:r>
        <w:rPr>
          <w:rFonts w:hint="eastAsia"/>
        </w:rPr>
        <w:t>认为</w:t>
      </w:r>
      <w:r>
        <w:t>澄清或者修改的</w:t>
      </w:r>
      <w:r>
        <w:rPr>
          <w:rFonts w:hint="eastAsia"/>
        </w:rPr>
        <w:t>内容</w:t>
      </w:r>
      <w:r>
        <w:t>影响响应文件编制</w:t>
      </w:r>
      <w:r>
        <w:rPr>
          <w:rFonts w:hint="eastAsia"/>
        </w:rPr>
        <w:t>的</w:t>
      </w:r>
      <w:r>
        <w:t>，</w:t>
      </w:r>
      <w:r>
        <w:rPr>
          <w:rFonts w:hint="eastAsia"/>
        </w:rPr>
        <w:t>应当</w:t>
      </w:r>
      <w:r>
        <w:t>在收到</w:t>
      </w:r>
      <w:r>
        <w:rPr>
          <w:rFonts w:hint="eastAsia"/>
        </w:rPr>
        <w:t>书面通知</w:t>
      </w:r>
      <w:r>
        <w:t>后</w:t>
      </w:r>
      <w:r>
        <w:rPr>
          <w:rFonts w:hint="eastAsia"/>
        </w:rPr>
        <w:t>及时</w:t>
      </w:r>
      <w:r>
        <w:t>将</w:t>
      </w:r>
      <w:r>
        <w:rPr>
          <w:rFonts w:hint="eastAsia"/>
        </w:rPr>
        <w:t>有关</w:t>
      </w:r>
      <w:r>
        <w:t>意见以书面形式向</w:t>
      </w:r>
      <w:r>
        <w:rPr>
          <w:rFonts w:hint="eastAsia"/>
        </w:rPr>
        <w:t>采购人、采购代理机构</w:t>
      </w:r>
      <w:r>
        <w:t>提出，否则，</w:t>
      </w:r>
      <w:r>
        <w:rPr>
          <w:rFonts w:hint="eastAsia"/>
        </w:rPr>
        <w:t>采购人、采购代理机构</w:t>
      </w:r>
      <w:r>
        <w:t>视</w:t>
      </w:r>
      <w:r>
        <w:rPr>
          <w:rFonts w:hint="eastAsia"/>
        </w:rPr>
        <w:t>为</w:t>
      </w:r>
      <w:r>
        <w:t>供应商完全接受澄清或者修改的</w:t>
      </w:r>
      <w:r>
        <w:rPr>
          <w:rFonts w:hint="eastAsia"/>
        </w:rPr>
        <w:t>内容，</w:t>
      </w:r>
      <w:r>
        <w:t>且</w:t>
      </w:r>
      <w:r>
        <w:rPr>
          <w:rFonts w:hint="eastAsia"/>
        </w:rPr>
        <w:t>不</w:t>
      </w:r>
      <w:r>
        <w:t>影响</w:t>
      </w:r>
      <w:r>
        <w:rPr>
          <w:rFonts w:hint="eastAsia"/>
        </w:rPr>
        <w:t>响应文件</w:t>
      </w:r>
      <w:r>
        <w:t>编制。</w:t>
      </w:r>
    </w:p>
    <w:p w14:paraId="5F3A222D">
      <w:pPr>
        <w:pStyle w:val="7"/>
      </w:pPr>
      <w:r>
        <w:t>供应商要求澄清</w:t>
      </w:r>
      <w:r>
        <w:rPr>
          <w:rFonts w:hint="eastAsia"/>
        </w:rPr>
        <w:t>和回复的书面材料</w:t>
      </w:r>
      <w:r>
        <w:t>应</w:t>
      </w:r>
      <w:r>
        <w:rPr>
          <w:rFonts w:hint="eastAsia"/>
        </w:rPr>
        <w:t>当</w:t>
      </w:r>
      <w:r>
        <w:t>加盖单位公章</w:t>
      </w:r>
      <w:r>
        <w:rPr>
          <w:rFonts w:hint="eastAsia"/>
        </w:rPr>
        <w:t>并注明</w:t>
      </w:r>
      <w:r>
        <w:t>日期。</w:t>
      </w:r>
    </w:p>
    <w:p w14:paraId="17C45333">
      <w:pPr>
        <w:snapToGrid w:val="0"/>
        <w:spacing w:line="360" w:lineRule="auto"/>
        <w:ind w:firstLine="420" w:firstLineChars="200"/>
        <w:jc w:val="left"/>
        <w:rPr>
          <w:rFonts w:ascii="宋体" w:hAnsi="宋体"/>
          <w:bCs/>
          <w:szCs w:val="21"/>
        </w:rPr>
      </w:pPr>
      <w:r>
        <w:rPr>
          <w:rFonts w:hint="eastAsia" w:ascii="宋体" w:hAnsi="宋体"/>
          <w:bCs/>
          <w:szCs w:val="21"/>
        </w:rPr>
        <w:t>（4）供应商应当在获取采购文件时登记准确的项目联系人信息并确保联系方式的畅通，否则，因此导致未收到政采云平台发送的通知短信而未及时浏览网上公告通知事项造成的后果由供应商自行承担。</w:t>
      </w:r>
    </w:p>
    <w:p w14:paraId="356CA8E3">
      <w:pPr>
        <w:pStyle w:val="7"/>
        <w:ind w:firstLine="422"/>
        <w:rPr>
          <w:b/>
        </w:rPr>
      </w:pPr>
      <w:r>
        <w:rPr>
          <w:rFonts w:hint="eastAsia"/>
          <w:b/>
        </w:rPr>
        <w:t>17.现场考察及召开磋商前答疑会</w:t>
      </w:r>
    </w:p>
    <w:p w14:paraId="1B1214EB">
      <w:pPr>
        <w:pStyle w:val="7"/>
      </w:pPr>
      <w:r>
        <w:rPr>
          <w:rFonts w:hint="eastAsia"/>
        </w:rPr>
        <w:t>17.1现场考察事项见</w:t>
      </w:r>
      <w:r>
        <w:rPr>
          <w:rFonts w:hint="eastAsia"/>
          <w:u w:val="single"/>
        </w:rPr>
        <w:t>供应商须知前附表</w:t>
      </w:r>
      <w:r>
        <w:rPr>
          <w:rFonts w:hint="eastAsia"/>
        </w:rPr>
        <w:t>。</w:t>
      </w:r>
    </w:p>
    <w:p w14:paraId="51D0EC73">
      <w:pPr>
        <w:pStyle w:val="7"/>
      </w:pPr>
      <w:r>
        <w:rPr>
          <w:rFonts w:hint="eastAsia"/>
        </w:rPr>
        <w:t>17.2如统一组织现场考察，</w:t>
      </w:r>
      <w:r>
        <w:t>供应商</w:t>
      </w:r>
      <w:r>
        <w:rPr>
          <w:rFonts w:hint="eastAsia"/>
        </w:rPr>
        <w:t>应当在通知的时间准时参加现场考察，否则自行承担未及时参加造成的后果。除采购人的原因外，供应商自行负责现场考察造成的自身或第三人的人身伤害、财产损失或损坏的责任。</w:t>
      </w:r>
    </w:p>
    <w:p w14:paraId="36495662">
      <w:pPr>
        <w:pStyle w:val="7"/>
      </w:pPr>
      <w:r>
        <w:rPr>
          <w:rFonts w:hint="eastAsia"/>
        </w:rPr>
        <w:t>17.3本项目不组织召开磋商前答疑会。</w:t>
      </w:r>
    </w:p>
    <w:p w14:paraId="279599A6">
      <w:pPr>
        <w:pStyle w:val="5"/>
        <w:numPr>
          <w:ilvl w:val="0"/>
          <w:numId w:val="0"/>
        </w:numPr>
        <w:tabs>
          <w:tab w:val="left" w:pos="720"/>
        </w:tabs>
        <w:snapToGrid w:val="0"/>
        <w:spacing w:line="360" w:lineRule="auto"/>
        <w:jc w:val="center"/>
        <w:rPr>
          <w:rFonts w:ascii="宋体" w:hAnsi="宋体"/>
          <w:b/>
          <w:szCs w:val="21"/>
        </w:rPr>
      </w:pPr>
      <w:r>
        <w:rPr>
          <w:rFonts w:ascii="宋体" w:hAnsi="宋体"/>
          <w:b/>
          <w:szCs w:val="21"/>
        </w:rPr>
        <w:t>三、响应文件的编制</w:t>
      </w:r>
    </w:p>
    <w:p w14:paraId="7BFB0014">
      <w:pPr>
        <w:spacing w:line="360" w:lineRule="auto"/>
        <w:ind w:firstLine="422" w:firstLineChars="200"/>
        <w:rPr>
          <w:rFonts w:ascii="宋体" w:hAnsi="宋体"/>
          <w:b/>
          <w:szCs w:val="21"/>
        </w:rPr>
      </w:pPr>
      <w:r>
        <w:rPr>
          <w:rFonts w:hint="eastAsia" w:ascii="宋体" w:hAnsi="宋体"/>
          <w:b/>
          <w:szCs w:val="21"/>
        </w:rPr>
        <w:t>18.磋商响应范围</w:t>
      </w:r>
    </w:p>
    <w:p w14:paraId="3D093232">
      <w:pPr>
        <w:spacing w:line="360" w:lineRule="auto"/>
        <w:ind w:firstLine="420"/>
        <w:rPr>
          <w:rFonts w:ascii="宋体" w:hAnsi="宋体"/>
          <w:szCs w:val="21"/>
        </w:rPr>
      </w:pPr>
      <w:r>
        <w:rPr>
          <w:rFonts w:hint="eastAsia" w:ascii="宋体" w:hAnsi="宋体"/>
          <w:szCs w:val="21"/>
        </w:rPr>
        <w:t>供应商</w:t>
      </w:r>
      <w:r>
        <w:rPr>
          <w:rFonts w:ascii="宋体" w:hAnsi="宋体"/>
          <w:szCs w:val="21"/>
        </w:rPr>
        <w:t>应当对所</w:t>
      </w:r>
      <w:r>
        <w:rPr>
          <w:rFonts w:hint="eastAsia" w:ascii="宋体" w:hAnsi="宋体"/>
          <w:szCs w:val="21"/>
        </w:rPr>
        <w:t>响应标项的“采购</w:t>
      </w:r>
      <w:r>
        <w:rPr>
          <w:rFonts w:ascii="宋体" w:hAnsi="宋体"/>
          <w:szCs w:val="21"/>
        </w:rPr>
        <w:t>需求</w:t>
      </w:r>
      <w:r>
        <w:rPr>
          <w:rFonts w:hint="eastAsia" w:ascii="宋体" w:hAnsi="宋体"/>
          <w:szCs w:val="21"/>
        </w:rPr>
        <w:t>”</w:t>
      </w:r>
      <w:r>
        <w:rPr>
          <w:rFonts w:ascii="宋体" w:hAnsi="宋体"/>
          <w:szCs w:val="21"/>
        </w:rPr>
        <w:t>所列的</w:t>
      </w:r>
      <w:r>
        <w:rPr>
          <w:rFonts w:hint="eastAsia" w:ascii="宋体" w:hAnsi="宋体"/>
          <w:szCs w:val="21"/>
        </w:rPr>
        <w:t>全部</w:t>
      </w:r>
      <w:r>
        <w:rPr>
          <w:rFonts w:ascii="宋体" w:hAnsi="宋体"/>
          <w:szCs w:val="21"/>
        </w:rPr>
        <w:t>内容</w:t>
      </w:r>
      <w:r>
        <w:rPr>
          <w:rFonts w:hint="eastAsia" w:ascii="宋体" w:hAnsi="宋体"/>
          <w:szCs w:val="21"/>
        </w:rPr>
        <w:t>（标的）</w:t>
      </w:r>
      <w:r>
        <w:rPr>
          <w:rFonts w:ascii="宋体" w:hAnsi="宋体"/>
          <w:szCs w:val="21"/>
        </w:rPr>
        <w:t>进行</w:t>
      </w:r>
      <w:r>
        <w:rPr>
          <w:rFonts w:hint="eastAsia" w:ascii="宋体" w:hAnsi="宋体"/>
          <w:szCs w:val="21"/>
        </w:rPr>
        <w:t>响应</w:t>
      </w:r>
      <w:r>
        <w:rPr>
          <w:rFonts w:ascii="宋体" w:hAnsi="宋体"/>
          <w:szCs w:val="21"/>
        </w:rPr>
        <w:t>，如仅</w:t>
      </w:r>
      <w:r>
        <w:rPr>
          <w:rFonts w:hint="eastAsia" w:ascii="宋体" w:hAnsi="宋体"/>
          <w:szCs w:val="21"/>
        </w:rPr>
        <w:t>对该标项的部分</w:t>
      </w:r>
      <w:r>
        <w:rPr>
          <w:rFonts w:ascii="宋体" w:hAnsi="宋体"/>
          <w:szCs w:val="21"/>
        </w:rPr>
        <w:t>内容</w:t>
      </w:r>
      <w:r>
        <w:rPr>
          <w:rFonts w:hint="eastAsia" w:ascii="宋体" w:hAnsi="宋体"/>
          <w:szCs w:val="21"/>
        </w:rPr>
        <w:t>进行响应</w:t>
      </w:r>
      <w:r>
        <w:rPr>
          <w:rFonts w:ascii="宋体" w:hAnsi="宋体"/>
          <w:szCs w:val="21"/>
        </w:rPr>
        <w:t>，其</w:t>
      </w:r>
      <w:r>
        <w:rPr>
          <w:rFonts w:hint="eastAsia" w:ascii="宋体" w:hAnsi="宋体"/>
          <w:szCs w:val="21"/>
        </w:rPr>
        <w:t>对该标项的响应</w:t>
      </w:r>
      <w:r>
        <w:rPr>
          <w:rFonts w:ascii="宋体" w:hAnsi="宋体"/>
          <w:szCs w:val="21"/>
        </w:rPr>
        <w:t>将被认定为</w:t>
      </w:r>
      <w:r>
        <w:rPr>
          <w:rFonts w:ascii="宋体" w:hAnsi="宋体"/>
          <w:b/>
          <w:szCs w:val="21"/>
        </w:rPr>
        <w:t>响应无效</w:t>
      </w:r>
      <w:r>
        <w:rPr>
          <w:rFonts w:ascii="宋体" w:hAnsi="宋体"/>
          <w:szCs w:val="21"/>
        </w:rPr>
        <w:t>。</w:t>
      </w:r>
    </w:p>
    <w:p w14:paraId="3BF2FB67">
      <w:pPr>
        <w:spacing w:line="360" w:lineRule="auto"/>
        <w:ind w:firstLine="422" w:firstLineChars="200"/>
        <w:rPr>
          <w:rFonts w:ascii="宋体" w:hAnsi="宋体"/>
          <w:b/>
          <w:szCs w:val="21"/>
        </w:rPr>
      </w:pPr>
      <w:r>
        <w:rPr>
          <w:rFonts w:hint="eastAsia" w:ascii="宋体" w:hAnsi="宋体"/>
          <w:b/>
          <w:szCs w:val="21"/>
        </w:rPr>
        <w:t>19.响应文件中标准和计量单位的使用</w:t>
      </w:r>
    </w:p>
    <w:p w14:paraId="5A579FB2">
      <w:pPr>
        <w:spacing w:line="360" w:lineRule="auto"/>
        <w:ind w:firstLine="420"/>
        <w:jc w:val="left"/>
        <w:rPr>
          <w:rFonts w:ascii="宋体" w:hAnsi="宋体"/>
          <w:szCs w:val="21"/>
        </w:rPr>
      </w:pPr>
      <w:bookmarkStart w:id="59" w:name="_Hlk16458980"/>
      <w:r>
        <w:rPr>
          <w:rFonts w:hint="eastAsia" w:ascii="宋体" w:hAnsi="宋体"/>
          <w:szCs w:val="21"/>
        </w:rPr>
        <w:t>19.1</w:t>
      </w:r>
      <w:r>
        <w:rPr>
          <w:rFonts w:ascii="宋体" w:hAnsi="宋体"/>
          <w:szCs w:val="21"/>
        </w:rPr>
        <w:t>无论磋商文件是否要求，</w:t>
      </w:r>
      <w:r>
        <w:rPr>
          <w:rFonts w:hint="eastAsia" w:ascii="宋体" w:hAnsi="宋体"/>
          <w:szCs w:val="21"/>
        </w:rPr>
        <w:t>供应商所交付的工程应符合国家强制性标准或法律法规规定标准。</w:t>
      </w:r>
    </w:p>
    <w:bookmarkEnd w:id="59"/>
    <w:p w14:paraId="5075787F">
      <w:pPr>
        <w:pStyle w:val="7"/>
      </w:pPr>
      <w:r>
        <w:rPr>
          <w:rFonts w:hint="eastAsia"/>
        </w:rPr>
        <w:t>19.2</w:t>
      </w:r>
      <w:r>
        <w:t>供应商与</w:t>
      </w:r>
      <w:r>
        <w:rPr>
          <w:rFonts w:hint="eastAsia"/>
        </w:rPr>
        <w:t>采购人或</w:t>
      </w:r>
      <w:r>
        <w:t>采购</w:t>
      </w:r>
      <w:r>
        <w:rPr>
          <w:rFonts w:hint="eastAsia"/>
        </w:rPr>
        <w:t>代理</w:t>
      </w:r>
      <w:r>
        <w:t>机构之间与</w:t>
      </w:r>
      <w:r>
        <w:rPr>
          <w:rFonts w:hint="eastAsia"/>
        </w:rPr>
        <w:t>磋商</w:t>
      </w:r>
      <w:r>
        <w:t>有关的所有往来通知、函件和响应文件均用中文表述。供应商随响应文件提供的证明文件和资料可以为其它语言</w:t>
      </w:r>
      <w:r>
        <w:rPr>
          <w:rFonts w:hint="eastAsia"/>
        </w:rPr>
        <w:t>（文字）</w:t>
      </w:r>
      <w:r>
        <w:t>，但必须附中文译文</w:t>
      </w:r>
      <w:r>
        <w:rPr>
          <w:rFonts w:hint="eastAsia"/>
        </w:rPr>
        <w:t>，未提供中文译文的视为未提供。</w:t>
      </w:r>
      <w:r>
        <w:t>翻译的中文资料与外文资料出现差异时，以中文为准。</w:t>
      </w:r>
    </w:p>
    <w:p w14:paraId="0ADAADCC">
      <w:pPr>
        <w:spacing w:line="360" w:lineRule="auto"/>
        <w:ind w:firstLine="420"/>
        <w:jc w:val="left"/>
        <w:rPr>
          <w:rFonts w:ascii="宋体" w:hAnsi="宋体"/>
          <w:szCs w:val="21"/>
        </w:rPr>
      </w:pPr>
      <w:r>
        <w:rPr>
          <w:rFonts w:hint="eastAsia" w:ascii="宋体" w:hAnsi="宋体"/>
          <w:szCs w:val="21"/>
        </w:rPr>
        <w:t>19.3</w:t>
      </w:r>
      <w:r>
        <w:rPr>
          <w:rFonts w:ascii="宋体" w:hAnsi="宋体"/>
          <w:szCs w:val="21"/>
        </w:rPr>
        <w:t>除磋商文件有特殊要求外，响应文件中所使用的计量单位，应采用中华人民共和国法定计量单位。</w:t>
      </w:r>
    </w:p>
    <w:p w14:paraId="1647E405">
      <w:pPr>
        <w:pStyle w:val="7"/>
        <w:ind w:firstLine="422"/>
        <w:rPr>
          <w:b/>
        </w:rPr>
      </w:pPr>
      <w:r>
        <w:rPr>
          <w:rFonts w:hint="eastAsia"/>
          <w:b/>
        </w:rPr>
        <w:t>20.响应文件的形式</w:t>
      </w:r>
    </w:p>
    <w:p w14:paraId="1D6437A8">
      <w:pPr>
        <w:pStyle w:val="7"/>
      </w:pPr>
      <w:r>
        <w:rPr>
          <w:rFonts w:hint="eastAsia"/>
        </w:rPr>
        <w:t>本项目采用电子响应文件形式，为电子加密响应文件。</w:t>
      </w:r>
    </w:p>
    <w:p w14:paraId="79ED9CAE">
      <w:pPr>
        <w:spacing w:line="360" w:lineRule="auto"/>
        <w:ind w:firstLine="420"/>
        <w:jc w:val="left"/>
        <w:rPr>
          <w:rFonts w:ascii="宋体" w:hAnsi="宋体"/>
          <w:szCs w:val="21"/>
        </w:rPr>
      </w:pPr>
      <w:r>
        <w:rPr>
          <w:rFonts w:hint="eastAsia" w:ascii="宋体" w:hAnsi="宋体"/>
          <w:szCs w:val="21"/>
        </w:rPr>
        <w:t>20.1电子加密响应文件是指通过“政采云电子投标客户端”完成响应文件编制后生成并加密的数据电文形式的加密标书，后缀名为【.jmbs】。</w:t>
      </w:r>
    </w:p>
    <w:p w14:paraId="0F8A6A13">
      <w:pPr>
        <w:spacing w:line="360" w:lineRule="auto"/>
        <w:ind w:firstLine="420"/>
        <w:jc w:val="left"/>
        <w:rPr>
          <w:rFonts w:ascii="宋体" w:hAnsi="宋体"/>
          <w:szCs w:val="21"/>
        </w:rPr>
      </w:pPr>
      <w:r>
        <w:rPr>
          <w:rFonts w:hint="eastAsia" w:ascii="宋体" w:hAnsi="宋体"/>
          <w:szCs w:val="21"/>
        </w:rPr>
        <w:t>20.2备份响应文件是指与电子加密响应文件同时生成的数据电文形式的备份标书，后缀名为【.bfbs】。</w:t>
      </w:r>
    </w:p>
    <w:p w14:paraId="45F7F796">
      <w:pPr>
        <w:pStyle w:val="7"/>
      </w:pPr>
      <w:r>
        <w:rPr>
          <w:rFonts w:hint="eastAsia"/>
        </w:rPr>
        <w:t>注：成交供应商在成交公告发出后5天内邮寄完整版纸质响应文件（含资格文件、商务和技术文件、报价文件）2份到采购代理机构。</w:t>
      </w:r>
    </w:p>
    <w:p w14:paraId="77A5EDEE">
      <w:pPr>
        <w:spacing w:line="360" w:lineRule="auto"/>
        <w:ind w:firstLine="422" w:firstLineChars="200"/>
        <w:jc w:val="left"/>
        <w:rPr>
          <w:rFonts w:ascii="宋体" w:hAnsi="宋体"/>
          <w:b/>
          <w:szCs w:val="21"/>
        </w:rPr>
      </w:pPr>
      <w:r>
        <w:rPr>
          <w:rFonts w:hint="eastAsia" w:ascii="宋体" w:hAnsi="宋体"/>
          <w:b/>
          <w:szCs w:val="21"/>
        </w:rPr>
        <w:t>21.响应文件内容的构成</w:t>
      </w:r>
    </w:p>
    <w:p w14:paraId="0BA04429">
      <w:pPr>
        <w:pStyle w:val="7"/>
      </w:pPr>
      <w:r>
        <w:rPr>
          <w:rFonts w:hint="eastAsia"/>
        </w:rPr>
        <w:t>21.1供应商编写的响应文件应包含资格要求响应文件、商务技术文件和报价要求响应文件。上述各项文件的组成内容见</w:t>
      </w:r>
      <w:r>
        <w:rPr>
          <w:rFonts w:hint="eastAsia"/>
          <w:u w:val="single"/>
        </w:rPr>
        <w:t>供应商须知前附表</w:t>
      </w:r>
      <w:r>
        <w:rPr>
          <w:rFonts w:hint="eastAsia"/>
        </w:rPr>
        <w:t>，未列入其中的内容，供应商认为需要的可以自行提供相关材料。</w:t>
      </w:r>
    </w:p>
    <w:p w14:paraId="29D66596">
      <w:pPr>
        <w:snapToGrid w:val="0"/>
        <w:spacing w:line="360" w:lineRule="auto"/>
        <w:ind w:firstLine="420" w:firstLineChars="200"/>
        <w:jc w:val="left"/>
        <w:rPr>
          <w:rFonts w:ascii="宋体" w:hAnsi="宋体"/>
          <w:szCs w:val="21"/>
        </w:rPr>
      </w:pPr>
      <w:r>
        <w:rPr>
          <w:rFonts w:hint="eastAsia" w:ascii="宋体" w:hAnsi="宋体"/>
          <w:szCs w:val="21"/>
        </w:rPr>
        <w:t>21.2磋商文件明确要求在响应文件中附（提交）证明材料而供应商未在响应文件中提供的，不被认定为对具体要求作出响应。</w:t>
      </w:r>
      <w:r>
        <w:rPr>
          <w:rFonts w:hint="eastAsia" w:ascii="宋体" w:hAnsi="宋体"/>
          <w:b/>
          <w:szCs w:val="21"/>
        </w:rPr>
        <w:t>提供的合同等证明材料因缺少评审所需的关键或必要的信息导致无法有效认定造成不予认可的风险和责任由供应商自行承担。</w:t>
      </w:r>
    </w:p>
    <w:p w14:paraId="49A2C510">
      <w:pPr>
        <w:spacing w:line="360" w:lineRule="auto"/>
        <w:ind w:firstLine="422" w:firstLineChars="200"/>
        <w:rPr>
          <w:rFonts w:ascii="宋体" w:hAnsi="宋体"/>
          <w:b/>
          <w:szCs w:val="21"/>
        </w:rPr>
      </w:pPr>
      <w:r>
        <w:rPr>
          <w:rFonts w:hint="eastAsia" w:ascii="宋体" w:hAnsi="宋体"/>
          <w:b/>
          <w:szCs w:val="21"/>
        </w:rPr>
        <w:t>22.响应文件的制作</w:t>
      </w:r>
    </w:p>
    <w:p w14:paraId="6DD919A1">
      <w:pPr>
        <w:spacing w:line="360" w:lineRule="auto"/>
        <w:ind w:firstLine="420" w:firstLineChars="200"/>
        <w:rPr>
          <w:rFonts w:ascii="宋体" w:hAnsi="宋体" w:cs="Arial"/>
          <w:kern w:val="0"/>
          <w:szCs w:val="21"/>
        </w:rPr>
      </w:pPr>
      <w:r>
        <w:rPr>
          <w:rFonts w:hint="eastAsia" w:ascii="宋体" w:hAnsi="宋体" w:cs="Arial"/>
          <w:kern w:val="0"/>
          <w:szCs w:val="21"/>
        </w:rPr>
        <w:t>供应商应当安装“政采云电子投标客户端”，按照磋商文件和政采云平台的要求编制并加密响应文件。</w:t>
      </w:r>
      <w:r>
        <w:rPr>
          <w:rFonts w:ascii="宋体" w:hAnsi="宋体" w:cs="Arial"/>
          <w:kern w:val="0"/>
          <w:szCs w:val="21"/>
        </w:rPr>
        <w:t>响应文件的制作应满足以下规定：</w:t>
      </w:r>
    </w:p>
    <w:p w14:paraId="15128948">
      <w:pPr>
        <w:snapToGrid w:val="0"/>
        <w:spacing w:line="360" w:lineRule="auto"/>
        <w:ind w:firstLine="420" w:firstLineChars="200"/>
        <w:rPr>
          <w:rFonts w:ascii="宋体" w:hAnsi="宋体" w:cs="Arial"/>
          <w:kern w:val="0"/>
          <w:szCs w:val="21"/>
        </w:rPr>
      </w:pPr>
      <w:r>
        <w:rPr>
          <w:rFonts w:hint="eastAsia" w:ascii="宋体" w:hAnsi="宋体" w:cs="Arial"/>
          <w:kern w:val="0"/>
          <w:szCs w:val="21"/>
        </w:rPr>
        <w:t>（1）</w:t>
      </w:r>
      <w:r>
        <w:rPr>
          <w:rFonts w:ascii="宋体" w:hAnsi="宋体" w:cs="Arial"/>
          <w:kern w:val="0"/>
          <w:szCs w:val="21"/>
        </w:rPr>
        <w:t>供应商使用</w:t>
      </w:r>
      <w:r>
        <w:rPr>
          <w:rFonts w:hint="eastAsia" w:ascii="宋体" w:hAnsi="宋体" w:cs="Arial"/>
          <w:szCs w:val="21"/>
        </w:rPr>
        <w:t>电子交易平台（</w:t>
      </w:r>
      <w:r>
        <w:rPr>
          <w:rFonts w:ascii="宋体" w:hAnsi="宋体" w:cs="Arial"/>
          <w:kern w:val="0"/>
          <w:szCs w:val="21"/>
        </w:rPr>
        <w:t>电子交易系统</w:t>
      </w:r>
      <w:r>
        <w:rPr>
          <w:rFonts w:hint="eastAsia" w:ascii="宋体" w:hAnsi="宋体" w:cs="Arial"/>
          <w:szCs w:val="21"/>
        </w:rPr>
        <w:t>）</w:t>
      </w:r>
      <w:r>
        <w:rPr>
          <w:rFonts w:ascii="宋体" w:hAnsi="宋体" w:cs="Arial"/>
          <w:kern w:val="0"/>
          <w:szCs w:val="21"/>
        </w:rPr>
        <w:t>提供的响应文件制作工具制作生成</w:t>
      </w:r>
      <w:r>
        <w:rPr>
          <w:rFonts w:hint="eastAsia" w:ascii="宋体" w:hAnsi="宋体" w:cs="Arial"/>
          <w:kern w:val="0"/>
          <w:szCs w:val="21"/>
        </w:rPr>
        <w:t>；</w:t>
      </w:r>
    </w:p>
    <w:p w14:paraId="4FFA8F0D">
      <w:pPr>
        <w:spacing w:line="360" w:lineRule="auto"/>
        <w:ind w:firstLine="420" w:firstLineChars="200"/>
        <w:rPr>
          <w:rFonts w:ascii="宋体" w:hAnsi="宋体"/>
          <w:szCs w:val="21"/>
        </w:rPr>
      </w:pPr>
      <w:r>
        <w:rPr>
          <w:rFonts w:hint="eastAsia" w:ascii="宋体" w:hAnsi="宋体"/>
          <w:szCs w:val="21"/>
        </w:rPr>
        <w:t>（2）供应商应完整地填写</w:t>
      </w:r>
      <w:r>
        <w:rPr>
          <w:rFonts w:ascii="宋体" w:hAnsi="宋体"/>
          <w:szCs w:val="21"/>
        </w:rPr>
        <w:t>供应商资格声明函</w:t>
      </w:r>
      <w:r>
        <w:rPr>
          <w:rFonts w:hint="eastAsia" w:ascii="宋体" w:hAnsi="宋体"/>
          <w:szCs w:val="21"/>
        </w:rPr>
        <w:t>、响应函、初次报价表等磋商文件提供的格式文件，以及为响应磋商文件的要求及项目评审应当提供的其他材料。</w:t>
      </w:r>
    </w:p>
    <w:p w14:paraId="336D5096">
      <w:pPr>
        <w:spacing w:line="360" w:lineRule="auto"/>
        <w:ind w:firstLine="422" w:firstLineChars="200"/>
        <w:rPr>
          <w:rFonts w:ascii="宋体" w:hAnsi="宋体"/>
          <w:b/>
          <w:szCs w:val="21"/>
        </w:rPr>
      </w:pPr>
      <w:r>
        <w:rPr>
          <w:rFonts w:hint="eastAsia" w:ascii="宋体" w:hAnsi="宋体"/>
          <w:b/>
          <w:szCs w:val="21"/>
        </w:rPr>
        <w:t>注：供应商应准确设置评审关联定位，避免未设置或设置错误导致响应文件被误读、漏读或者查找不到相关内容。</w:t>
      </w:r>
    </w:p>
    <w:p w14:paraId="29EF9E3D">
      <w:pPr>
        <w:spacing w:line="360" w:lineRule="auto"/>
        <w:ind w:firstLine="422" w:firstLineChars="200"/>
        <w:rPr>
          <w:rFonts w:ascii="宋体" w:hAnsi="宋体"/>
          <w:b/>
          <w:szCs w:val="21"/>
        </w:rPr>
      </w:pPr>
      <w:r>
        <w:rPr>
          <w:rFonts w:hint="eastAsia" w:ascii="宋体" w:hAnsi="宋体"/>
          <w:b/>
          <w:szCs w:val="21"/>
        </w:rPr>
        <w:t>23.响应文件的签署及盖章</w:t>
      </w:r>
    </w:p>
    <w:p w14:paraId="44EE0F34">
      <w:pPr>
        <w:snapToGrid w:val="0"/>
        <w:spacing w:line="360" w:lineRule="auto"/>
        <w:ind w:firstLine="420" w:firstLineChars="200"/>
        <w:jc w:val="left"/>
        <w:rPr>
          <w:rFonts w:ascii="宋体" w:hAnsi="宋体"/>
          <w:b/>
          <w:szCs w:val="21"/>
        </w:rPr>
      </w:pPr>
      <w:r>
        <w:rPr>
          <w:rFonts w:hint="eastAsia" w:ascii="宋体" w:hAnsi="宋体"/>
          <w:szCs w:val="21"/>
        </w:rPr>
        <w:t>电子签章操作指南详见《政府采购项目电子交易管理操作指南-供应商》,</w:t>
      </w:r>
      <w:r>
        <w:rPr>
          <w:rFonts w:hint="eastAsia" w:ascii="宋体" w:hAnsi="宋体"/>
          <w:b/>
          <w:szCs w:val="21"/>
        </w:rPr>
        <w:t>系统要求进行电子签章的文件，按系统要求签章。</w:t>
      </w:r>
    </w:p>
    <w:p w14:paraId="6615ED4F">
      <w:pPr>
        <w:snapToGrid w:val="0"/>
        <w:spacing w:line="360" w:lineRule="auto"/>
        <w:ind w:firstLine="420" w:firstLineChars="200"/>
        <w:jc w:val="left"/>
        <w:rPr>
          <w:rFonts w:ascii="宋体" w:hAnsi="宋体"/>
          <w:szCs w:val="21"/>
        </w:rPr>
      </w:pPr>
      <w:r>
        <w:rPr>
          <w:rFonts w:hint="eastAsia" w:ascii="宋体" w:hAnsi="宋体"/>
          <w:szCs w:val="21"/>
        </w:rPr>
        <w:t>（1）磋商文件要求签字的应当由供应商的法定代表人或其授权代表签字或盖章，</w:t>
      </w:r>
      <w:r>
        <w:rPr>
          <w:rFonts w:hint="eastAsia" w:ascii="宋体" w:hAnsi="宋体"/>
          <w:b/>
          <w:szCs w:val="21"/>
        </w:rPr>
        <w:t>因未获取电子姓名签章无法直接在系统中进行法定代表人或其授权代表电子签名操作的，可以线下签字或盖章后扫描上传。</w:t>
      </w:r>
    </w:p>
    <w:p w14:paraId="30A11DF7">
      <w:pPr>
        <w:snapToGrid w:val="0"/>
        <w:spacing w:line="360" w:lineRule="auto"/>
        <w:ind w:firstLine="420" w:firstLineChars="200"/>
        <w:jc w:val="left"/>
        <w:rPr>
          <w:rFonts w:ascii="宋体" w:hAnsi="宋体"/>
          <w:szCs w:val="21"/>
        </w:rPr>
      </w:pPr>
      <w:r>
        <w:rPr>
          <w:rFonts w:hint="eastAsia" w:ascii="宋体" w:hAnsi="宋体" w:cs="Arial"/>
          <w:kern w:val="0"/>
          <w:szCs w:val="21"/>
        </w:rPr>
        <w:t>（2）《</w:t>
      </w:r>
      <w:r>
        <w:rPr>
          <w:rFonts w:ascii="宋体" w:hAnsi="宋体" w:cs="Arial"/>
          <w:kern w:val="0"/>
          <w:szCs w:val="21"/>
        </w:rPr>
        <w:t>第</w:t>
      </w:r>
      <w:r>
        <w:rPr>
          <w:rFonts w:hint="eastAsia" w:ascii="宋体" w:hAnsi="宋体" w:cs="Arial"/>
          <w:kern w:val="0"/>
          <w:szCs w:val="21"/>
        </w:rPr>
        <w:t>六</w:t>
      </w:r>
      <w:r>
        <w:rPr>
          <w:rFonts w:ascii="宋体" w:hAnsi="宋体" w:cs="Arial"/>
          <w:kern w:val="0"/>
          <w:szCs w:val="21"/>
        </w:rPr>
        <w:t>章</w:t>
      </w:r>
      <w:r>
        <w:rPr>
          <w:rFonts w:hint="eastAsia" w:ascii="宋体" w:hAnsi="宋体" w:cs="Arial"/>
          <w:kern w:val="0"/>
          <w:szCs w:val="21"/>
        </w:rPr>
        <w:t xml:space="preserve"> </w:t>
      </w:r>
      <w:r>
        <w:rPr>
          <w:rFonts w:ascii="宋体" w:hAnsi="宋体" w:cs="Arial"/>
          <w:kern w:val="0"/>
          <w:szCs w:val="21"/>
        </w:rPr>
        <w:t xml:space="preserve"> 响应文件格式</w:t>
      </w:r>
      <w:r>
        <w:rPr>
          <w:rFonts w:hint="eastAsia" w:ascii="宋体" w:hAnsi="宋体" w:cs="Arial"/>
          <w:kern w:val="0"/>
          <w:szCs w:val="21"/>
        </w:rPr>
        <w:t>》提供的相关文件</w:t>
      </w:r>
      <w:r>
        <w:rPr>
          <w:rFonts w:ascii="宋体" w:hAnsi="宋体" w:cs="Arial"/>
          <w:kern w:val="0"/>
          <w:szCs w:val="21"/>
        </w:rPr>
        <w:t>要求</w:t>
      </w:r>
      <w:r>
        <w:rPr>
          <w:rFonts w:hint="eastAsia" w:ascii="宋体" w:hAnsi="宋体" w:cs="Arial"/>
          <w:kern w:val="0"/>
          <w:szCs w:val="21"/>
        </w:rPr>
        <w:t>加盖公</w:t>
      </w:r>
      <w:r>
        <w:rPr>
          <w:rFonts w:ascii="宋体" w:hAnsi="宋体" w:cs="Arial"/>
          <w:kern w:val="0"/>
          <w:szCs w:val="21"/>
        </w:rPr>
        <w:t>章处，供应商均应加盖</w:t>
      </w:r>
      <w:r>
        <w:rPr>
          <w:rFonts w:hint="eastAsia" w:ascii="宋体" w:hAnsi="宋体" w:cs="Arial"/>
          <w:kern w:val="0"/>
          <w:szCs w:val="21"/>
        </w:rPr>
        <w:t>公</w:t>
      </w:r>
      <w:r>
        <w:rPr>
          <w:rFonts w:ascii="宋体" w:hAnsi="宋体" w:cs="Arial"/>
          <w:kern w:val="0"/>
          <w:szCs w:val="21"/>
        </w:rPr>
        <w:t>章</w:t>
      </w:r>
      <w:r>
        <w:rPr>
          <w:rFonts w:hint="eastAsia" w:ascii="宋体" w:hAnsi="宋体" w:cs="Arial"/>
          <w:kern w:val="0"/>
          <w:szCs w:val="21"/>
        </w:rPr>
        <w:t>，</w:t>
      </w:r>
      <w:r>
        <w:rPr>
          <w:rFonts w:hint="eastAsia" w:ascii="宋体" w:hAnsi="宋体"/>
          <w:szCs w:val="21"/>
        </w:rPr>
        <w:t>可使用电子公章在线签章或线下加盖公章后扫描上传。</w:t>
      </w:r>
    </w:p>
    <w:p w14:paraId="46110700">
      <w:pPr>
        <w:snapToGrid w:val="0"/>
        <w:spacing w:line="360" w:lineRule="auto"/>
        <w:ind w:firstLine="420" w:firstLineChars="200"/>
        <w:jc w:val="left"/>
        <w:rPr>
          <w:rFonts w:ascii="宋体" w:hAnsi="宋体"/>
          <w:szCs w:val="21"/>
        </w:rPr>
      </w:pPr>
      <w:r>
        <w:rPr>
          <w:rFonts w:hint="eastAsia" w:ascii="宋体" w:hAnsi="宋体"/>
          <w:szCs w:val="21"/>
        </w:rPr>
        <w:t>（3）响应文件</w:t>
      </w:r>
      <w:r>
        <w:rPr>
          <w:rFonts w:ascii="宋体" w:hAnsi="宋体"/>
          <w:szCs w:val="21"/>
        </w:rPr>
        <w:t>若有错</w:t>
      </w:r>
      <w:r>
        <w:rPr>
          <w:rFonts w:hint="eastAsia" w:ascii="宋体" w:hAnsi="宋体"/>
          <w:szCs w:val="21"/>
        </w:rPr>
        <w:t>、</w:t>
      </w:r>
      <w:r>
        <w:rPr>
          <w:rFonts w:ascii="宋体" w:hAnsi="宋体"/>
          <w:szCs w:val="21"/>
        </w:rPr>
        <w:t>漏处</w:t>
      </w:r>
      <w:r>
        <w:rPr>
          <w:rFonts w:hint="eastAsia" w:ascii="宋体" w:hAnsi="宋体"/>
          <w:szCs w:val="21"/>
        </w:rPr>
        <w:t>等必须修改的，修改处</w:t>
      </w:r>
      <w:r>
        <w:rPr>
          <w:rFonts w:ascii="宋体" w:hAnsi="宋体"/>
          <w:szCs w:val="21"/>
        </w:rPr>
        <w:t>加盖</w:t>
      </w:r>
      <w:r>
        <w:rPr>
          <w:rFonts w:hint="eastAsia" w:ascii="宋体" w:hAnsi="宋体"/>
          <w:szCs w:val="21"/>
        </w:rPr>
        <w:t>供应商</w:t>
      </w:r>
      <w:r>
        <w:rPr>
          <w:rFonts w:ascii="宋体" w:hAnsi="宋体"/>
          <w:szCs w:val="21"/>
        </w:rPr>
        <w:t>公章或者</w:t>
      </w:r>
      <w:r>
        <w:rPr>
          <w:rFonts w:hint="eastAsia" w:ascii="宋体" w:hAnsi="宋体"/>
          <w:szCs w:val="21"/>
        </w:rPr>
        <w:t>由供应商的</w:t>
      </w:r>
      <w:r>
        <w:rPr>
          <w:rFonts w:ascii="宋体" w:hAnsi="宋体"/>
          <w:szCs w:val="21"/>
        </w:rPr>
        <w:t>法定代表人</w:t>
      </w:r>
      <w:r>
        <w:rPr>
          <w:rFonts w:hint="eastAsia" w:ascii="宋体" w:hAnsi="宋体"/>
          <w:szCs w:val="21"/>
        </w:rPr>
        <w:t>或其</w:t>
      </w:r>
      <w:r>
        <w:rPr>
          <w:rFonts w:ascii="宋体" w:hAnsi="宋体"/>
          <w:szCs w:val="21"/>
        </w:rPr>
        <w:t>授权</w:t>
      </w:r>
      <w:r>
        <w:rPr>
          <w:rFonts w:hint="eastAsia" w:ascii="宋体" w:hAnsi="宋体"/>
          <w:szCs w:val="21"/>
        </w:rPr>
        <w:t>代表</w:t>
      </w:r>
      <w:r>
        <w:rPr>
          <w:rFonts w:ascii="宋体" w:hAnsi="宋体"/>
          <w:szCs w:val="21"/>
        </w:rPr>
        <w:t>签字</w:t>
      </w:r>
      <w:r>
        <w:rPr>
          <w:rFonts w:hint="eastAsia" w:ascii="宋体" w:hAnsi="宋体"/>
          <w:szCs w:val="21"/>
        </w:rPr>
        <w:t>或盖章，否则因此造成该修改内容不被磋商小组认定的后果由供应商承担</w:t>
      </w:r>
      <w:r>
        <w:rPr>
          <w:rFonts w:ascii="宋体" w:hAnsi="宋体"/>
          <w:szCs w:val="21"/>
        </w:rPr>
        <w:t>。</w:t>
      </w:r>
    </w:p>
    <w:p w14:paraId="6283B9D1">
      <w:pPr>
        <w:spacing w:line="360" w:lineRule="auto"/>
        <w:ind w:firstLine="422" w:firstLineChars="200"/>
        <w:rPr>
          <w:rFonts w:ascii="宋体" w:hAnsi="宋体"/>
          <w:b/>
          <w:szCs w:val="21"/>
        </w:rPr>
      </w:pPr>
      <w:r>
        <w:rPr>
          <w:rFonts w:ascii="宋体" w:hAnsi="宋体"/>
          <w:b/>
          <w:szCs w:val="21"/>
        </w:rPr>
        <w:t>2</w:t>
      </w:r>
      <w:r>
        <w:rPr>
          <w:rFonts w:hint="eastAsia" w:ascii="宋体" w:hAnsi="宋体"/>
          <w:b/>
          <w:szCs w:val="21"/>
        </w:rPr>
        <w:t>4</w:t>
      </w:r>
      <w:r>
        <w:rPr>
          <w:rFonts w:ascii="宋体" w:hAnsi="宋体"/>
          <w:b/>
          <w:szCs w:val="21"/>
        </w:rPr>
        <w:t>.</w:t>
      </w:r>
      <w:r>
        <w:rPr>
          <w:rFonts w:hint="eastAsia" w:ascii="宋体" w:hAnsi="宋体"/>
          <w:b/>
          <w:szCs w:val="21"/>
        </w:rPr>
        <w:t>价格构成</w:t>
      </w:r>
    </w:p>
    <w:p w14:paraId="6254E9B3">
      <w:pPr>
        <w:snapToGrid w:val="0"/>
        <w:spacing w:line="360" w:lineRule="auto"/>
        <w:ind w:firstLine="420" w:firstLineChars="200"/>
        <w:jc w:val="left"/>
        <w:rPr>
          <w:rFonts w:ascii="宋体" w:hAnsi="宋体"/>
        </w:rPr>
      </w:pPr>
      <w:r>
        <w:rPr>
          <w:rFonts w:hint="eastAsia" w:ascii="宋体" w:hAnsi="宋体"/>
        </w:rPr>
        <w:t>24.1供应商的磋商报价应当是完成采购需求所包含的全部内容并达到合同目的的一切费用，包括但不仅限于人工、运输、装卸、安装、施工损耗、验收、成品保护、在保修期内的维护保养费用、税费、合同实施过程中的应预见和不可预见费用等完成合同规定责任和义务一切费用，成交后不得以采购文件未列明等因素要求增加费用。</w:t>
      </w:r>
    </w:p>
    <w:p w14:paraId="70F61385">
      <w:pPr>
        <w:snapToGrid w:val="0"/>
        <w:spacing w:line="360" w:lineRule="auto"/>
        <w:ind w:firstLine="420" w:firstLineChars="200"/>
        <w:jc w:val="left"/>
        <w:rPr>
          <w:rFonts w:ascii="宋体" w:hAnsi="宋体"/>
        </w:rPr>
      </w:pPr>
      <w:r>
        <w:rPr>
          <w:rFonts w:ascii="宋体" w:hAnsi="宋体"/>
        </w:rPr>
        <w:t>24.2</w:t>
      </w:r>
      <w:r>
        <w:rPr>
          <w:rFonts w:hint="eastAsia" w:ascii="宋体" w:hAnsi="宋体"/>
        </w:rPr>
        <w:t>报价及结算货币为人民币，</w:t>
      </w:r>
      <w:r>
        <w:rPr>
          <w:rFonts w:ascii="宋体" w:hAnsi="宋体"/>
        </w:rPr>
        <w:t>只允许有一个报价，</w:t>
      </w:r>
      <w:r>
        <w:rPr>
          <w:rFonts w:hint="eastAsia" w:ascii="宋体" w:hAnsi="宋体"/>
        </w:rPr>
        <w:t>采购人不接受</w:t>
      </w:r>
      <w:r>
        <w:rPr>
          <w:rFonts w:ascii="宋体" w:hAnsi="宋体"/>
        </w:rPr>
        <w:t>有选择的</w:t>
      </w:r>
      <w:r>
        <w:rPr>
          <w:rFonts w:hint="eastAsia" w:ascii="宋体" w:hAnsi="宋体"/>
        </w:rPr>
        <w:t>或有附加条件的</w:t>
      </w:r>
      <w:r>
        <w:rPr>
          <w:rFonts w:ascii="宋体" w:hAnsi="宋体"/>
        </w:rPr>
        <w:t>报价。</w:t>
      </w:r>
    </w:p>
    <w:p w14:paraId="0940C514">
      <w:pPr>
        <w:snapToGrid w:val="0"/>
        <w:spacing w:line="360" w:lineRule="auto"/>
        <w:ind w:firstLine="420" w:firstLineChars="200"/>
        <w:jc w:val="left"/>
        <w:rPr>
          <w:rFonts w:ascii="宋体" w:hAnsi="宋体"/>
        </w:rPr>
      </w:pPr>
      <w:r>
        <w:rPr>
          <w:rFonts w:hint="eastAsia" w:ascii="宋体" w:hAnsi="宋体"/>
        </w:rPr>
        <w:t>24.</w:t>
      </w:r>
      <w:r>
        <w:rPr>
          <w:rFonts w:ascii="宋体" w:hAnsi="宋体"/>
        </w:rPr>
        <w:t>3</w:t>
      </w:r>
      <w:r>
        <w:rPr>
          <w:rFonts w:hint="eastAsia" w:ascii="宋体" w:hAnsi="宋体"/>
        </w:rPr>
        <w:t>磋商报价不允许为0元（即赠送），采购人不予接受，其响应文件按照响应无效处理。</w:t>
      </w:r>
    </w:p>
    <w:p w14:paraId="22BC5A94">
      <w:pPr>
        <w:snapToGrid w:val="0"/>
        <w:spacing w:line="360" w:lineRule="auto"/>
        <w:ind w:firstLine="420" w:firstLineChars="200"/>
        <w:jc w:val="left"/>
        <w:rPr>
          <w:rFonts w:ascii="宋体" w:hAnsi="宋体"/>
        </w:rPr>
      </w:pPr>
      <w:r>
        <w:rPr>
          <w:rFonts w:hint="eastAsia" w:ascii="宋体" w:hAnsi="宋体"/>
        </w:rPr>
        <w:t>2</w:t>
      </w:r>
      <w:r>
        <w:rPr>
          <w:rFonts w:ascii="宋体" w:hAnsi="宋体"/>
        </w:rPr>
        <w:t>4.4</w:t>
      </w:r>
      <w:r>
        <w:rPr>
          <w:rFonts w:hint="eastAsia" w:ascii="宋体" w:hAnsi="宋体"/>
        </w:rPr>
        <w:t>本次报价形式：响应报价采用总价形式，以元表示，保留整数。</w:t>
      </w:r>
    </w:p>
    <w:p w14:paraId="46A8CF68">
      <w:pPr>
        <w:spacing w:line="360" w:lineRule="auto"/>
        <w:ind w:firstLine="422" w:firstLineChars="200"/>
        <w:jc w:val="left"/>
        <w:rPr>
          <w:rFonts w:ascii="宋体" w:hAnsi="宋体"/>
          <w:b/>
          <w:szCs w:val="21"/>
        </w:rPr>
      </w:pPr>
      <w:r>
        <w:rPr>
          <w:rFonts w:hint="eastAsia" w:ascii="宋体" w:hAnsi="宋体"/>
          <w:b/>
          <w:szCs w:val="21"/>
        </w:rPr>
        <w:t>25.磋商保证金</w:t>
      </w:r>
    </w:p>
    <w:p w14:paraId="7688FF8A">
      <w:pPr>
        <w:spacing w:line="360" w:lineRule="auto"/>
        <w:ind w:firstLine="420" w:firstLineChars="200"/>
        <w:jc w:val="left"/>
        <w:rPr>
          <w:rFonts w:ascii="宋体" w:hAnsi="宋体"/>
          <w:szCs w:val="21"/>
        </w:rPr>
      </w:pPr>
      <w:r>
        <w:rPr>
          <w:rFonts w:hint="eastAsia" w:ascii="宋体" w:hAnsi="宋体"/>
          <w:szCs w:val="21"/>
        </w:rPr>
        <w:t>本项目无须供应商缴纳磋商保证金。</w:t>
      </w:r>
    </w:p>
    <w:p w14:paraId="4F9F38F1">
      <w:pPr>
        <w:spacing w:line="360" w:lineRule="auto"/>
        <w:ind w:firstLine="422" w:firstLineChars="200"/>
        <w:jc w:val="left"/>
        <w:rPr>
          <w:rFonts w:ascii="宋体" w:hAnsi="宋体"/>
          <w:b/>
          <w:szCs w:val="21"/>
        </w:rPr>
      </w:pPr>
      <w:r>
        <w:rPr>
          <w:rFonts w:hint="eastAsia" w:ascii="宋体" w:hAnsi="宋体"/>
          <w:b/>
          <w:szCs w:val="21"/>
        </w:rPr>
        <w:t>26.响应有效期</w:t>
      </w:r>
    </w:p>
    <w:p w14:paraId="3DC224D7">
      <w:pPr>
        <w:pStyle w:val="7"/>
      </w:pPr>
      <w:r>
        <w:rPr>
          <w:rFonts w:hint="eastAsia"/>
        </w:rPr>
        <w:t>26.1响应文件的有效期为从提交响应文件截止之日算起的日历天数，响应文件的有效期见</w:t>
      </w:r>
      <w:r>
        <w:rPr>
          <w:rFonts w:hint="eastAsia"/>
          <w:u w:val="single"/>
        </w:rPr>
        <w:t>供应商须知前附表</w:t>
      </w:r>
      <w:r>
        <w:rPr>
          <w:rFonts w:hint="eastAsia"/>
        </w:rPr>
        <w:t>。</w:t>
      </w:r>
    </w:p>
    <w:p w14:paraId="6261650A">
      <w:pPr>
        <w:spacing w:line="360" w:lineRule="auto"/>
        <w:ind w:firstLine="420"/>
        <w:jc w:val="left"/>
        <w:rPr>
          <w:rFonts w:ascii="宋体" w:hAnsi="宋体"/>
          <w:kern w:val="0"/>
          <w:szCs w:val="21"/>
        </w:rPr>
      </w:pPr>
      <w:r>
        <w:rPr>
          <w:rFonts w:hint="eastAsia" w:ascii="宋体" w:hAnsi="宋体"/>
          <w:kern w:val="0"/>
          <w:szCs w:val="21"/>
        </w:rPr>
        <w:t>26.2在响应有效期内，供应商的磋商响应保持有效，供应商不得要求撤销或修改其响应文件。</w:t>
      </w:r>
      <w:r>
        <w:rPr>
          <w:rFonts w:hint="eastAsia" w:ascii="宋体" w:hAnsi="宋体"/>
          <w:szCs w:val="21"/>
        </w:rPr>
        <w:t>响应</w:t>
      </w:r>
      <w:r>
        <w:rPr>
          <w:rFonts w:hint="eastAsia" w:ascii="宋体" w:hAnsi="宋体"/>
          <w:kern w:val="0"/>
          <w:szCs w:val="21"/>
        </w:rPr>
        <w:t>有效期不满足要求的，将被认定为</w:t>
      </w:r>
      <w:r>
        <w:rPr>
          <w:rFonts w:hint="eastAsia" w:ascii="宋体" w:hAnsi="宋体"/>
          <w:b/>
          <w:kern w:val="0"/>
          <w:szCs w:val="21"/>
        </w:rPr>
        <w:t>响应无效</w:t>
      </w:r>
      <w:r>
        <w:rPr>
          <w:rFonts w:hint="eastAsia" w:ascii="宋体" w:hAnsi="宋体"/>
          <w:kern w:val="0"/>
          <w:szCs w:val="21"/>
        </w:rPr>
        <w:t>。</w:t>
      </w:r>
    </w:p>
    <w:p w14:paraId="08CB2A9F">
      <w:pPr>
        <w:spacing w:line="360" w:lineRule="auto"/>
        <w:ind w:firstLine="420"/>
        <w:jc w:val="left"/>
        <w:rPr>
          <w:rFonts w:ascii="宋体" w:hAnsi="宋体"/>
          <w:szCs w:val="21"/>
        </w:rPr>
      </w:pPr>
      <w:r>
        <w:rPr>
          <w:rFonts w:hint="eastAsia" w:ascii="宋体" w:hAnsi="宋体"/>
          <w:szCs w:val="21"/>
        </w:rPr>
        <w:t>26.3因特殊原因，采购人或采购代理机构可在原响应有效期截止之前，要求供应商延长响应文件的有效期。接受该要求的供应商将不会被要求和允许修正其响应文件。供应商也可以拒绝延长响应有效期的要求，且不承担任何责任。上述要求和答复都以书面形式提交。</w:t>
      </w:r>
    </w:p>
    <w:p w14:paraId="4264F78E">
      <w:pPr>
        <w:pStyle w:val="5"/>
        <w:numPr>
          <w:ilvl w:val="0"/>
          <w:numId w:val="0"/>
        </w:numPr>
        <w:tabs>
          <w:tab w:val="left" w:pos="720"/>
        </w:tabs>
        <w:snapToGrid w:val="0"/>
        <w:spacing w:line="360" w:lineRule="auto"/>
        <w:jc w:val="center"/>
        <w:rPr>
          <w:rFonts w:ascii="宋体" w:hAnsi="宋体"/>
          <w:b/>
          <w:szCs w:val="21"/>
        </w:rPr>
      </w:pPr>
      <w:r>
        <w:rPr>
          <w:rFonts w:hint="eastAsia" w:ascii="宋体" w:hAnsi="宋体"/>
          <w:b/>
          <w:szCs w:val="21"/>
        </w:rPr>
        <w:t>四、响应文件的提交</w:t>
      </w:r>
    </w:p>
    <w:p w14:paraId="6A1150B6">
      <w:pPr>
        <w:spacing w:line="360" w:lineRule="auto"/>
        <w:ind w:firstLine="422" w:firstLineChars="200"/>
        <w:jc w:val="left"/>
        <w:rPr>
          <w:rFonts w:ascii="宋体" w:hAnsi="宋体"/>
          <w:b/>
          <w:szCs w:val="21"/>
        </w:rPr>
      </w:pPr>
      <w:r>
        <w:rPr>
          <w:rFonts w:hint="eastAsia" w:ascii="宋体" w:hAnsi="宋体"/>
          <w:b/>
          <w:szCs w:val="21"/>
        </w:rPr>
        <w:t>27.电子加密响应文件的提交</w:t>
      </w:r>
    </w:p>
    <w:p w14:paraId="3439FB24">
      <w:pPr>
        <w:pStyle w:val="7"/>
      </w:pPr>
      <w:r>
        <w:rPr>
          <w:rFonts w:hint="eastAsia"/>
        </w:rPr>
        <w:t>供应商应当在磋商文件规定的提交响应文件截止时间前将电子加密响应文件上传至政采云平台（https://www.zcygov.cn/），成功上传后，供应商可自行打印响应文件接收回执。</w:t>
      </w:r>
    </w:p>
    <w:p w14:paraId="0AE734E5">
      <w:pPr>
        <w:spacing w:line="360" w:lineRule="auto"/>
        <w:ind w:firstLine="422" w:firstLineChars="200"/>
        <w:jc w:val="left"/>
        <w:rPr>
          <w:rFonts w:ascii="宋体" w:hAnsi="宋体"/>
          <w:b/>
          <w:szCs w:val="21"/>
        </w:rPr>
      </w:pPr>
      <w:r>
        <w:rPr>
          <w:rFonts w:hint="eastAsia" w:ascii="宋体" w:hAnsi="宋体"/>
          <w:b/>
          <w:szCs w:val="21"/>
        </w:rPr>
        <w:t>28.备份响应文件的提交</w:t>
      </w:r>
    </w:p>
    <w:p w14:paraId="2A68A5BE">
      <w:pPr>
        <w:snapToGrid w:val="0"/>
        <w:spacing w:line="360" w:lineRule="auto"/>
        <w:ind w:firstLine="420" w:firstLineChars="200"/>
        <w:jc w:val="left"/>
        <w:rPr>
          <w:rFonts w:ascii="宋体" w:hAnsi="宋体"/>
          <w:szCs w:val="21"/>
        </w:rPr>
      </w:pPr>
      <w:r>
        <w:rPr>
          <w:rFonts w:hint="eastAsia" w:ascii="宋体" w:hAnsi="宋体"/>
          <w:szCs w:val="21"/>
        </w:rPr>
        <w:t>供应商可以在响应截止时间前提交备份响应文件。备份响应文件的载体必须密封包装，密封包装应当清楚的标明项目名称、项目编号、供应商名称并加盖公章。采购人或采购代理机构有权拒绝接收未按照规定密封、标注、盖章的备份响应文件。</w:t>
      </w:r>
    </w:p>
    <w:p w14:paraId="0E82C877">
      <w:pPr>
        <w:spacing w:line="360" w:lineRule="auto"/>
        <w:ind w:firstLine="422" w:firstLineChars="200"/>
        <w:jc w:val="left"/>
        <w:rPr>
          <w:rFonts w:ascii="宋体" w:hAnsi="宋体"/>
          <w:b/>
          <w:szCs w:val="21"/>
        </w:rPr>
      </w:pPr>
      <w:r>
        <w:rPr>
          <w:rFonts w:hint="eastAsia" w:ascii="宋体" w:hAnsi="宋体"/>
          <w:b/>
          <w:szCs w:val="21"/>
        </w:rPr>
        <w:t>29.响应文件提交的截止时间、开启时间及地点</w:t>
      </w:r>
    </w:p>
    <w:p w14:paraId="27CDC237">
      <w:pPr>
        <w:snapToGrid w:val="0"/>
        <w:spacing w:line="360" w:lineRule="auto"/>
        <w:ind w:firstLine="420" w:firstLineChars="200"/>
        <w:jc w:val="left"/>
        <w:rPr>
          <w:rFonts w:ascii="宋体" w:hAnsi="宋体"/>
          <w:szCs w:val="21"/>
        </w:rPr>
      </w:pPr>
      <w:r>
        <w:rPr>
          <w:rFonts w:hint="eastAsia" w:ascii="宋体" w:hAnsi="宋体"/>
          <w:szCs w:val="21"/>
        </w:rPr>
        <w:t>29.1响应文件提交的截止时间、开启时间及地点见</w:t>
      </w:r>
      <w:r>
        <w:rPr>
          <w:rFonts w:hint="eastAsia" w:ascii="宋体" w:hAnsi="宋体"/>
          <w:szCs w:val="21"/>
          <w:u w:val="single"/>
        </w:rPr>
        <w:t>采购公告</w:t>
      </w:r>
      <w:r>
        <w:rPr>
          <w:rFonts w:hint="eastAsia" w:ascii="宋体" w:hAnsi="宋体"/>
          <w:szCs w:val="21"/>
        </w:rPr>
        <w:t>。</w:t>
      </w:r>
    </w:p>
    <w:p w14:paraId="051327FD">
      <w:pPr>
        <w:snapToGrid w:val="0"/>
        <w:spacing w:line="360" w:lineRule="auto"/>
        <w:ind w:firstLine="420" w:firstLineChars="200"/>
        <w:jc w:val="left"/>
        <w:rPr>
          <w:rFonts w:ascii="宋体" w:hAnsi="宋体"/>
          <w:szCs w:val="21"/>
        </w:rPr>
      </w:pPr>
      <w:r>
        <w:rPr>
          <w:rFonts w:hint="eastAsia" w:ascii="宋体" w:hAnsi="宋体"/>
          <w:szCs w:val="21"/>
        </w:rPr>
        <w:t>29.2采购人或采购代理机构可以根据项目情况</w:t>
      </w:r>
      <w:r>
        <w:rPr>
          <w:rFonts w:ascii="宋体" w:hAnsi="宋体"/>
          <w:szCs w:val="21"/>
        </w:rPr>
        <w:t>，</w:t>
      </w:r>
      <w:r>
        <w:rPr>
          <w:rFonts w:hint="eastAsia" w:ascii="宋体" w:hAnsi="宋体"/>
          <w:szCs w:val="21"/>
        </w:rPr>
        <w:t>推迟响应文件提交的截止时间。在此情况下，采购人、采购代理机构和供应商受响应文件提交的截止时间约束的所有权利和义务均延长至新的截止时间。</w:t>
      </w:r>
    </w:p>
    <w:p w14:paraId="2F0043BF">
      <w:pPr>
        <w:snapToGrid w:val="0"/>
        <w:spacing w:line="360" w:lineRule="auto"/>
        <w:ind w:firstLine="422" w:firstLineChars="200"/>
        <w:jc w:val="left"/>
        <w:rPr>
          <w:rFonts w:ascii="宋体" w:hAnsi="宋体"/>
          <w:szCs w:val="21"/>
        </w:rPr>
      </w:pPr>
      <w:r>
        <w:rPr>
          <w:rFonts w:hint="eastAsia" w:ascii="宋体" w:hAnsi="宋体"/>
          <w:b/>
          <w:szCs w:val="21"/>
        </w:rPr>
        <w:t>30.响应文件的修改和撤回</w:t>
      </w:r>
    </w:p>
    <w:p w14:paraId="1F73ABEB">
      <w:pPr>
        <w:snapToGrid w:val="0"/>
        <w:spacing w:line="360" w:lineRule="auto"/>
        <w:ind w:firstLine="420" w:firstLineChars="200"/>
        <w:jc w:val="left"/>
        <w:rPr>
          <w:rFonts w:ascii="宋体" w:hAnsi="宋体"/>
          <w:szCs w:val="21"/>
        </w:rPr>
      </w:pPr>
      <w:r>
        <w:rPr>
          <w:rFonts w:hint="eastAsia" w:ascii="宋体" w:hAnsi="宋体"/>
          <w:szCs w:val="21"/>
        </w:rPr>
        <w:t>30.1供应商在提交响应文件截止时间前</w:t>
      </w:r>
      <w:r>
        <w:rPr>
          <w:rFonts w:ascii="宋体" w:hAnsi="宋体"/>
          <w:szCs w:val="21"/>
        </w:rPr>
        <w:t>，可以对</w:t>
      </w:r>
      <w:r>
        <w:rPr>
          <w:rFonts w:hint="eastAsia" w:ascii="宋体" w:hAnsi="宋体"/>
          <w:szCs w:val="21"/>
        </w:rPr>
        <w:t>已经提交</w:t>
      </w:r>
      <w:r>
        <w:rPr>
          <w:rFonts w:ascii="宋体" w:hAnsi="宋体"/>
          <w:szCs w:val="21"/>
        </w:rPr>
        <w:t>的响应文件进行补充、修改或者撤回。</w:t>
      </w:r>
    </w:p>
    <w:p w14:paraId="344B42CD">
      <w:pPr>
        <w:snapToGrid w:val="0"/>
        <w:spacing w:line="360" w:lineRule="auto"/>
        <w:ind w:firstLine="420" w:firstLineChars="200"/>
        <w:jc w:val="left"/>
        <w:rPr>
          <w:rFonts w:ascii="宋体" w:hAnsi="宋体" w:cs="Helvetica"/>
          <w:kern w:val="0"/>
          <w:szCs w:val="21"/>
        </w:rPr>
      </w:pPr>
      <w:r>
        <w:rPr>
          <w:rFonts w:hint="eastAsia" w:ascii="宋体" w:hAnsi="宋体"/>
          <w:szCs w:val="21"/>
        </w:rPr>
        <w:t>对已经完成传输递交的</w:t>
      </w:r>
      <w:r>
        <w:rPr>
          <w:rFonts w:hint="eastAsia" w:ascii="宋体" w:hAnsi="宋体" w:cs="宋体"/>
          <w:szCs w:val="21"/>
        </w:rPr>
        <w:t>电子加密响应文件进行</w:t>
      </w:r>
      <w:r>
        <w:rPr>
          <w:rFonts w:hint="eastAsia" w:ascii="宋体" w:hAnsi="宋体" w:cs="Helvetica"/>
          <w:kern w:val="0"/>
          <w:szCs w:val="21"/>
        </w:rPr>
        <w:t>补充或者修改的，应当先行撤回原文件，补充、修改后重新传输递交。供应商在</w:t>
      </w:r>
      <w:r>
        <w:rPr>
          <w:rFonts w:hint="eastAsia" w:ascii="宋体" w:hAnsi="宋体"/>
          <w:szCs w:val="21"/>
        </w:rPr>
        <w:t>提交响应文件截止时间前</w:t>
      </w:r>
      <w:r>
        <w:rPr>
          <w:rFonts w:hint="eastAsia" w:ascii="宋体" w:hAnsi="宋体" w:cs="Helvetica"/>
          <w:kern w:val="0"/>
          <w:szCs w:val="21"/>
        </w:rPr>
        <w:t>未重新完成传输递交的，</w:t>
      </w:r>
      <w:r>
        <w:rPr>
          <w:rFonts w:hint="eastAsia" w:ascii="宋体" w:hAnsi="宋体" w:cs="Helvetica"/>
          <w:b/>
          <w:kern w:val="0"/>
          <w:szCs w:val="21"/>
        </w:rPr>
        <w:t>视为撤回响应文件</w:t>
      </w:r>
      <w:r>
        <w:rPr>
          <w:rFonts w:hint="eastAsia" w:ascii="宋体" w:hAnsi="宋体" w:cs="Helvetica"/>
          <w:kern w:val="0"/>
          <w:szCs w:val="21"/>
        </w:rPr>
        <w:t>。</w:t>
      </w:r>
      <w:r>
        <w:rPr>
          <w:rFonts w:hint="eastAsia" w:ascii="宋体" w:hAnsi="宋体"/>
          <w:szCs w:val="21"/>
        </w:rPr>
        <w:t>提交响应文件截止时间</w:t>
      </w:r>
      <w:r>
        <w:rPr>
          <w:rFonts w:hint="eastAsia" w:ascii="宋体" w:hAnsi="宋体" w:cs="Helvetica"/>
          <w:kern w:val="0"/>
          <w:szCs w:val="21"/>
        </w:rPr>
        <w:t>后递交的电子加密响应文件，电子交易平台将拒收。</w:t>
      </w:r>
    </w:p>
    <w:p w14:paraId="6C6D1C35">
      <w:pPr>
        <w:snapToGrid w:val="0"/>
        <w:spacing w:line="360" w:lineRule="auto"/>
        <w:ind w:firstLine="420" w:firstLineChars="200"/>
        <w:jc w:val="left"/>
        <w:rPr>
          <w:rFonts w:ascii="宋体" w:hAnsi="宋体"/>
          <w:szCs w:val="21"/>
        </w:rPr>
      </w:pPr>
      <w:r>
        <w:rPr>
          <w:rFonts w:hint="eastAsia" w:ascii="宋体" w:hAnsi="宋体" w:cs="Arial"/>
          <w:szCs w:val="21"/>
        </w:rPr>
        <w:t>30.2</w:t>
      </w:r>
      <w:r>
        <w:rPr>
          <w:rFonts w:hint="eastAsia" w:ascii="宋体" w:hAnsi="宋体"/>
          <w:szCs w:val="21"/>
        </w:rPr>
        <w:t>提交响应文件截止时间</w:t>
      </w:r>
      <w:r>
        <w:rPr>
          <w:rFonts w:ascii="宋体" w:hAnsi="宋体"/>
          <w:szCs w:val="21"/>
        </w:rPr>
        <w:t>后</w:t>
      </w:r>
      <w:r>
        <w:rPr>
          <w:rFonts w:hint="eastAsia" w:ascii="宋体" w:hAnsi="宋体"/>
          <w:szCs w:val="21"/>
        </w:rPr>
        <w:t>，供应商不得对其响应文件进行补充、修改</w:t>
      </w:r>
      <w:r>
        <w:rPr>
          <w:rFonts w:ascii="宋体" w:hAnsi="宋体"/>
          <w:szCs w:val="21"/>
        </w:rPr>
        <w:t>。</w:t>
      </w:r>
    </w:p>
    <w:p w14:paraId="430225F4">
      <w:pPr>
        <w:pStyle w:val="5"/>
        <w:numPr>
          <w:ilvl w:val="0"/>
          <w:numId w:val="0"/>
        </w:numPr>
        <w:tabs>
          <w:tab w:val="left" w:pos="720"/>
        </w:tabs>
        <w:snapToGrid w:val="0"/>
        <w:spacing w:line="360" w:lineRule="auto"/>
        <w:jc w:val="center"/>
        <w:rPr>
          <w:rFonts w:ascii="宋体" w:hAnsi="宋体"/>
          <w:b/>
          <w:szCs w:val="21"/>
        </w:rPr>
      </w:pPr>
      <w:r>
        <w:rPr>
          <w:rFonts w:hint="eastAsia" w:ascii="宋体" w:hAnsi="宋体"/>
          <w:b/>
          <w:szCs w:val="21"/>
        </w:rPr>
        <w:t>五、响应文件的开启和评审程序</w:t>
      </w:r>
    </w:p>
    <w:p w14:paraId="6C639A24">
      <w:pPr>
        <w:snapToGrid w:val="0"/>
        <w:spacing w:line="360" w:lineRule="auto"/>
        <w:ind w:firstLine="422" w:firstLineChars="200"/>
        <w:jc w:val="left"/>
        <w:rPr>
          <w:rFonts w:ascii="宋体" w:hAnsi="宋体"/>
          <w:b/>
          <w:szCs w:val="21"/>
        </w:rPr>
      </w:pPr>
      <w:r>
        <w:rPr>
          <w:rFonts w:hint="eastAsia" w:ascii="宋体" w:hAnsi="宋体"/>
          <w:b/>
          <w:szCs w:val="21"/>
        </w:rPr>
        <w:t>31.响应文件的开启</w:t>
      </w:r>
    </w:p>
    <w:p w14:paraId="38F304EA">
      <w:pPr>
        <w:snapToGrid w:val="0"/>
        <w:spacing w:line="360" w:lineRule="auto"/>
        <w:ind w:firstLine="420" w:firstLineChars="200"/>
        <w:jc w:val="left"/>
        <w:rPr>
          <w:rFonts w:ascii="宋体" w:hAnsi="宋体"/>
          <w:szCs w:val="21"/>
        </w:rPr>
      </w:pPr>
      <w:r>
        <w:rPr>
          <w:rFonts w:hint="eastAsia" w:ascii="宋体" w:hAnsi="宋体"/>
          <w:szCs w:val="21"/>
        </w:rPr>
        <w:t>31.1采购代理机构按磋商文件规定的时间通过电子交易平台组织磋商会议，所有供应商均应当准时在线参加</w:t>
      </w:r>
      <w:r>
        <w:rPr>
          <w:rFonts w:ascii="宋体" w:hAnsi="宋体"/>
          <w:szCs w:val="21"/>
        </w:rPr>
        <w:t>。</w:t>
      </w:r>
    </w:p>
    <w:p w14:paraId="2D3345A1">
      <w:pPr>
        <w:snapToGrid w:val="0"/>
        <w:spacing w:line="360" w:lineRule="auto"/>
        <w:ind w:firstLine="420" w:firstLineChars="200"/>
        <w:jc w:val="left"/>
        <w:rPr>
          <w:rFonts w:ascii="宋体" w:hAnsi="宋体"/>
          <w:szCs w:val="21"/>
        </w:rPr>
      </w:pPr>
      <w:r>
        <w:rPr>
          <w:rFonts w:hint="eastAsia" w:ascii="宋体" w:hAnsi="宋体"/>
          <w:szCs w:val="21"/>
        </w:rPr>
        <w:t>31.2开启响应文件时间到达后，采购代理机构依托电子交易平台发起开始解密指令，</w:t>
      </w:r>
      <w:r>
        <w:rPr>
          <w:rFonts w:ascii="宋体" w:hAnsi="宋体"/>
          <w:szCs w:val="21"/>
        </w:rPr>
        <w:t>供应商应</w:t>
      </w:r>
      <w:r>
        <w:rPr>
          <w:rFonts w:hint="eastAsia" w:ascii="宋体" w:hAnsi="宋体"/>
          <w:szCs w:val="21"/>
        </w:rPr>
        <w:t>在30分钟内</w:t>
      </w:r>
      <w:r>
        <w:rPr>
          <w:rFonts w:ascii="宋体" w:hAnsi="宋体"/>
          <w:szCs w:val="21"/>
        </w:rPr>
        <w:t>（</w:t>
      </w:r>
      <w:r>
        <w:rPr>
          <w:rFonts w:hint="eastAsia" w:ascii="宋体" w:hAnsi="宋体"/>
          <w:szCs w:val="21"/>
        </w:rPr>
        <w:t>以电子交易系统解密倒计时为准</w:t>
      </w:r>
      <w:r>
        <w:rPr>
          <w:rFonts w:ascii="宋体" w:hAnsi="宋体"/>
          <w:szCs w:val="21"/>
        </w:rPr>
        <w:t>）对本单位的响应文件</w:t>
      </w:r>
      <w:r>
        <w:rPr>
          <w:rFonts w:hint="eastAsia" w:ascii="宋体" w:hAnsi="宋体"/>
          <w:szCs w:val="21"/>
        </w:rPr>
        <w:t>进行</w:t>
      </w:r>
      <w:r>
        <w:rPr>
          <w:rFonts w:ascii="宋体" w:hAnsi="宋体"/>
          <w:szCs w:val="21"/>
        </w:rPr>
        <w:t>解密。</w:t>
      </w:r>
    </w:p>
    <w:p w14:paraId="2B40EED3">
      <w:pPr>
        <w:snapToGrid w:val="0"/>
        <w:spacing w:line="360" w:lineRule="auto"/>
        <w:ind w:firstLine="420" w:firstLineChars="200"/>
        <w:jc w:val="left"/>
        <w:rPr>
          <w:rFonts w:ascii="宋体" w:hAnsi="宋体"/>
          <w:szCs w:val="21"/>
        </w:rPr>
      </w:pPr>
      <w:r>
        <w:rPr>
          <w:rFonts w:hint="eastAsia" w:ascii="宋体" w:hAnsi="宋体"/>
          <w:szCs w:val="21"/>
        </w:rPr>
        <w:t>31.3供应商如未在线参加响应文件开启的，</w:t>
      </w:r>
      <w:r>
        <w:rPr>
          <w:rFonts w:hint="eastAsia" w:ascii="宋体" w:hAnsi="宋体"/>
        </w:rPr>
        <w:t>视同认可响应文件开启结果</w:t>
      </w:r>
      <w:r>
        <w:rPr>
          <w:rFonts w:hint="eastAsia" w:ascii="宋体" w:hAnsi="宋体"/>
          <w:szCs w:val="21"/>
        </w:rPr>
        <w:t>，事后不得对</w:t>
      </w:r>
      <w:r>
        <w:rPr>
          <w:rFonts w:hint="eastAsia" w:ascii="宋体" w:hAnsi="宋体"/>
        </w:rPr>
        <w:t>开启结果</w:t>
      </w:r>
      <w:r>
        <w:rPr>
          <w:rFonts w:hint="eastAsia" w:ascii="宋体" w:hAnsi="宋体"/>
          <w:szCs w:val="21"/>
        </w:rPr>
        <w:t>提出异议。同时，供应商因未在线参加磋商而导致电子加密响应文件无法按时解密等一切后果由供应商自行承担。</w:t>
      </w:r>
    </w:p>
    <w:p w14:paraId="1BD7AC4D">
      <w:pPr>
        <w:snapToGrid w:val="0"/>
        <w:spacing w:line="360" w:lineRule="auto"/>
        <w:ind w:firstLine="420" w:firstLineChars="200"/>
        <w:jc w:val="left"/>
        <w:rPr>
          <w:rFonts w:ascii="宋体" w:hAnsi="宋体" w:cs="Arial"/>
          <w:kern w:val="0"/>
          <w:szCs w:val="21"/>
        </w:rPr>
      </w:pPr>
      <w:r>
        <w:rPr>
          <w:rFonts w:hint="eastAsia" w:ascii="宋体" w:hAnsi="宋体"/>
          <w:szCs w:val="21"/>
        </w:rPr>
        <w:t>31.4发生电子加密响应文件解密失败的情形，如供应商已按磋商文件规定提交了备份响应文件，将由采购代理机构按政采云平台操作规范将备份响应文件上传至政采云平台异常端口处理，上传成功后，电子加密响应文件自动失效；使用备份文件仍无法成功或供应商</w:t>
      </w:r>
      <w:r>
        <w:rPr>
          <w:rFonts w:hint="eastAsia" w:ascii="宋体" w:hAnsi="宋体" w:cs="Arial"/>
          <w:kern w:val="0"/>
          <w:szCs w:val="21"/>
        </w:rPr>
        <w:t>未按规定提交备份响应文件的</w:t>
      </w:r>
      <w:r>
        <w:rPr>
          <w:rFonts w:hint="eastAsia" w:ascii="宋体" w:hAnsi="宋体"/>
          <w:szCs w:val="21"/>
        </w:rPr>
        <w:t>，</w:t>
      </w:r>
      <w:r>
        <w:rPr>
          <w:rFonts w:hint="eastAsia" w:ascii="宋体" w:hAnsi="宋体"/>
          <w:b/>
          <w:szCs w:val="21"/>
        </w:rPr>
        <w:t>视为撤回响应文件</w:t>
      </w:r>
      <w:r>
        <w:rPr>
          <w:rFonts w:hint="eastAsia" w:ascii="宋体" w:hAnsi="宋体"/>
          <w:szCs w:val="21"/>
        </w:rPr>
        <w:t>。</w:t>
      </w:r>
    </w:p>
    <w:p w14:paraId="04C6E6C1">
      <w:pPr>
        <w:snapToGrid w:val="0"/>
        <w:spacing w:line="360" w:lineRule="auto"/>
        <w:ind w:firstLine="420" w:firstLineChars="200"/>
        <w:jc w:val="left"/>
        <w:rPr>
          <w:rFonts w:ascii="宋体" w:hAnsi="宋体"/>
          <w:szCs w:val="21"/>
        </w:rPr>
      </w:pPr>
      <w:r>
        <w:rPr>
          <w:rFonts w:hint="eastAsia" w:ascii="宋体" w:hAnsi="宋体"/>
          <w:szCs w:val="21"/>
        </w:rPr>
        <w:t>电子加密响应文件已按时解密的，备份响应文件自动失效。</w:t>
      </w:r>
    </w:p>
    <w:p w14:paraId="1B50450E">
      <w:pPr>
        <w:snapToGrid w:val="0"/>
        <w:spacing w:line="360" w:lineRule="auto"/>
        <w:ind w:firstLine="422" w:firstLineChars="200"/>
        <w:jc w:val="left"/>
        <w:rPr>
          <w:rFonts w:ascii="宋体" w:hAnsi="宋体"/>
          <w:b/>
          <w:szCs w:val="21"/>
        </w:rPr>
      </w:pPr>
      <w:r>
        <w:rPr>
          <w:rFonts w:hint="eastAsia" w:ascii="宋体" w:hAnsi="宋体"/>
          <w:b/>
          <w:szCs w:val="21"/>
        </w:rPr>
        <w:t>31.5响应文件开启后不公布供应商的初次报价。</w:t>
      </w:r>
    </w:p>
    <w:p w14:paraId="4754B079">
      <w:pPr>
        <w:snapToGrid w:val="0"/>
        <w:spacing w:line="360" w:lineRule="auto"/>
        <w:ind w:firstLine="420" w:firstLineChars="200"/>
        <w:jc w:val="left"/>
        <w:rPr>
          <w:rFonts w:ascii="宋体" w:hAnsi="宋体"/>
          <w:szCs w:val="21"/>
        </w:rPr>
      </w:pPr>
      <w:r>
        <w:rPr>
          <w:rFonts w:hint="eastAsia" w:ascii="宋体" w:hAnsi="宋体"/>
          <w:szCs w:val="21"/>
        </w:rPr>
        <w:t>31.6响应文件开启</w:t>
      </w:r>
      <w:r>
        <w:rPr>
          <w:rFonts w:ascii="宋体" w:hAnsi="宋体"/>
          <w:szCs w:val="21"/>
        </w:rPr>
        <w:t>过程由采购代理机构负责记录，由参加</w:t>
      </w:r>
      <w:r>
        <w:rPr>
          <w:rFonts w:hint="eastAsia" w:ascii="宋体" w:hAnsi="宋体"/>
          <w:szCs w:val="21"/>
        </w:rPr>
        <w:t>磋商</w:t>
      </w:r>
      <w:r>
        <w:rPr>
          <w:rFonts w:ascii="宋体" w:hAnsi="宋体"/>
          <w:szCs w:val="21"/>
        </w:rPr>
        <w:t>的供应商代表和相关工作人员签字确认后随采购文件一并存档。</w:t>
      </w:r>
    </w:p>
    <w:p w14:paraId="1B690AE1">
      <w:pPr>
        <w:snapToGrid w:val="0"/>
        <w:spacing w:line="360" w:lineRule="auto"/>
        <w:ind w:firstLine="420" w:firstLineChars="200"/>
        <w:jc w:val="left"/>
        <w:rPr>
          <w:rFonts w:ascii="宋体" w:hAnsi="宋体"/>
          <w:szCs w:val="21"/>
        </w:rPr>
      </w:pPr>
      <w:r>
        <w:rPr>
          <w:rFonts w:ascii="宋体" w:hAnsi="宋体"/>
          <w:szCs w:val="21"/>
        </w:rPr>
        <w:t>供应商代表对</w:t>
      </w:r>
      <w:r>
        <w:rPr>
          <w:rFonts w:hint="eastAsia" w:ascii="宋体" w:hAnsi="宋体"/>
          <w:szCs w:val="21"/>
        </w:rPr>
        <w:t>响应文件开启</w:t>
      </w:r>
      <w:r>
        <w:rPr>
          <w:rFonts w:ascii="宋体" w:hAnsi="宋体"/>
          <w:szCs w:val="21"/>
        </w:rPr>
        <w:t>过程有疑义，应当场提出询问。</w:t>
      </w:r>
    </w:p>
    <w:p w14:paraId="5F9E674B">
      <w:pPr>
        <w:snapToGrid w:val="0"/>
        <w:spacing w:line="360" w:lineRule="auto"/>
        <w:ind w:firstLine="422" w:firstLineChars="200"/>
        <w:jc w:val="left"/>
        <w:rPr>
          <w:rFonts w:ascii="宋体" w:hAnsi="宋体"/>
          <w:b/>
          <w:szCs w:val="21"/>
        </w:rPr>
      </w:pPr>
      <w:r>
        <w:rPr>
          <w:rFonts w:hint="eastAsia" w:ascii="宋体" w:hAnsi="宋体"/>
          <w:b/>
          <w:szCs w:val="21"/>
        </w:rPr>
        <w:t>32.资格审查及组建磋商小组</w:t>
      </w:r>
    </w:p>
    <w:p w14:paraId="6D4A2BE5">
      <w:pPr>
        <w:snapToGrid w:val="0"/>
        <w:spacing w:line="360" w:lineRule="auto"/>
        <w:ind w:firstLine="420" w:firstLineChars="200"/>
        <w:jc w:val="left"/>
        <w:rPr>
          <w:rFonts w:ascii="宋体" w:hAnsi="宋体"/>
          <w:szCs w:val="21"/>
        </w:rPr>
      </w:pPr>
      <w:r>
        <w:rPr>
          <w:rFonts w:hint="eastAsia" w:ascii="宋体" w:hAnsi="宋体"/>
          <w:szCs w:val="21"/>
        </w:rPr>
        <w:t>32.1响应文件开启结束后，采购人或采购代理机构依据法律法规和磋商文件规定的内容对供应商的资格进行审查，未通过资格审查的供应商不进入磋商环节，通过资格审查的供应商不足3家的不进行后续的磋商</w:t>
      </w:r>
      <w:r>
        <w:rPr>
          <w:rFonts w:hint="eastAsia" w:ascii="宋体" w:hAnsi="宋体"/>
        </w:rPr>
        <w:t>。</w:t>
      </w:r>
    </w:p>
    <w:p w14:paraId="0B7DCF9D">
      <w:pPr>
        <w:snapToGrid w:val="0"/>
        <w:spacing w:line="360" w:lineRule="auto"/>
        <w:ind w:firstLine="420" w:firstLineChars="200"/>
        <w:jc w:val="left"/>
        <w:rPr>
          <w:rFonts w:ascii="宋体" w:hAnsi="宋体"/>
          <w:szCs w:val="21"/>
        </w:rPr>
      </w:pPr>
      <w:r>
        <w:rPr>
          <w:rFonts w:hint="eastAsia" w:ascii="宋体" w:hAnsi="宋体"/>
          <w:szCs w:val="21"/>
        </w:rPr>
        <w:t>32.2磋商小组依法组建，由3人以上单数组成。</w:t>
      </w:r>
    </w:p>
    <w:p w14:paraId="24CED82D">
      <w:pPr>
        <w:snapToGrid w:val="0"/>
        <w:spacing w:line="360" w:lineRule="auto"/>
        <w:ind w:firstLine="422" w:firstLineChars="200"/>
        <w:jc w:val="left"/>
        <w:rPr>
          <w:rFonts w:ascii="宋体" w:hAnsi="宋体"/>
          <w:b/>
          <w:szCs w:val="21"/>
        </w:rPr>
      </w:pPr>
      <w:r>
        <w:rPr>
          <w:rFonts w:hint="eastAsia" w:ascii="宋体" w:hAnsi="宋体"/>
          <w:b/>
          <w:szCs w:val="21"/>
        </w:rPr>
        <w:t>33.响应文件符合性审查与澄清</w:t>
      </w:r>
    </w:p>
    <w:p w14:paraId="147024D3">
      <w:pPr>
        <w:snapToGrid w:val="0"/>
        <w:spacing w:line="360" w:lineRule="auto"/>
        <w:ind w:firstLine="420" w:firstLineChars="200"/>
        <w:jc w:val="left"/>
        <w:rPr>
          <w:rFonts w:ascii="宋体" w:hAnsi="宋体"/>
          <w:szCs w:val="21"/>
        </w:rPr>
      </w:pPr>
      <w:r>
        <w:rPr>
          <w:rFonts w:hint="eastAsia" w:ascii="宋体" w:hAnsi="宋体"/>
          <w:szCs w:val="21"/>
        </w:rPr>
        <w:t>33.1磋商小组负责对符合资格要求的供应商的响应文件进行符合性审查，以确定其是否满足磋商文件的实质性要求。</w:t>
      </w:r>
    </w:p>
    <w:p w14:paraId="0708B994">
      <w:pPr>
        <w:snapToGrid w:val="0"/>
        <w:spacing w:line="360" w:lineRule="auto"/>
        <w:ind w:firstLine="420" w:firstLineChars="200"/>
        <w:jc w:val="left"/>
        <w:rPr>
          <w:rFonts w:ascii="宋体" w:hAnsi="宋体"/>
          <w:szCs w:val="21"/>
        </w:rPr>
      </w:pPr>
      <w:r>
        <w:rPr>
          <w:rFonts w:hint="eastAsia" w:ascii="宋体" w:hAnsi="宋体"/>
          <w:szCs w:val="21"/>
        </w:rPr>
        <w:t>33.2磋商小组在对响应文件的有效性、完整性和响应程度进行审查时，对于响应文件中含义不明确、同类问题表述不一致或者有明显文字和计算错误的内容，</w:t>
      </w:r>
      <w:r>
        <w:rPr>
          <w:rFonts w:ascii="宋体" w:hAnsi="宋体"/>
          <w:szCs w:val="21"/>
        </w:rPr>
        <w:t>以及磋商小组认为供应商的报价明显低于其他通过符合性</w:t>
      </w:r>
      <w:r>
        <w:rPr>
          <w:rFonts w:hint="eastAsia" w:ascii="宋体" w:hAnsi="宋体"/>
          <w:szCs w:val="21"/>
        </w:rPr>
        <w:t>审</w:t>
      </w:r>
      <w:r>
        <w:rPr>
          <w:rFonts w:ascii="宋体" w:hAnsi="宋体"/>
          <w:szCs w:val="21"/>
        </w:rPr>
        <w:t>查供应商的报价，有可能</w:t>
      </w:r>
      <w:r>
        <w:rPr>
          <w:rFonts w:ascii="宋体" w:hAnsi="宋体"/>
          <w:szCs w:val="21"/>
          <w:shd w:val="clear" w:color="auto" w:fill="FFFFFF"/>
        </w:rPr>
        <w:t>影响</w:t>
      </w:r>
      <w:r>
        <w:rPr>
          <w:rFonts w:hint="eastAsia" w:ascii="宋体" w:hAnsi="宋体"/>
          <w:szCs w:val="21"/>
          <w:shd w:val="clear" w:color="auto" w:fill="FFFFFF"/>
        </w:rPr>
        <w:t>项目</w:t>
      </w:r>
      <w:r>
        <w:rPr>
          <w:rFonts w:ascii="宋体" w:hAnsi="宋体"/>
          <w:szCs w:val="21"/>
          <w:shd w:val="clear" w:color="auto" w:fill="FFFFFF"/>
        </w:rPr>
        <w:t>质量或者不能诚信履约的</w:t>
      </w:r>
      <w:r>
        <w:rPr>
          <w:rFonts w:hint="eastAsia" w:ascii="宋体" w:hAnsi="宋体"/>
          <w:szCs w:val="21"/>
        </w:rPr>
        <w:t>，磋商小组将以书面形式要求供应商作出必要的澄清、说明或者更正。</w:t>
      </w:r>
    </w:p>
    <w:p w14:paraId="4794D9F1">
      <w:pPr>
        <w:snapToGrid w:val="0"/>
        <w:spacing w:line="360" w:lineRule="auto"/>
        <w:ind w:firstLine="420" w:firstLineChars="200"/>
        <w:jc w:val="left"/>
        <w:rPr>
          <w:rFonts w:ascii="宋体" w:hAnsi="宋体"/>
          <w:szCs w:val="21"/>
        </w:rPr>
      </w:pPr>
      <w:r>
        <w:rPr>
          <w:rFonts w:hint="eastAsia" w:ascii="宋体" w:hAnsi="宋体"/>
          <w:szCs w:val="21"/>
        </w:rPr>
        <w:t>供应商的澄清、说明或者更正通过电子交易平台交换数据电文方式做出，供应商提交使用电子签名的相关数据电文或通过平台上传供应商的法定代表人或其授权代表签字或加盖公章的文件的扫描件。给予供应商提交澄清、说明或更正的时间不少于30分钟，供应商已经明确表示澄清说明或更正完毕的除外。</w:t>
      </w:r>
    </w:p>
    <w:p w14:paraId="34A7E4AE">
      <w:pPr>
        <w:snapToGrid w:val="0"/>
        <w:spacing w:line="360" w:lineRule="auto"/>
        <w:ind w:firstLine="420" w:firstLineChars="200"/>
        <w:jc w:val="left"/>
        <w:rPr>
          <w:rFonts w:ascii="宋体" w:hAnsi="宋体"/>
          <w:szCs w:val="21"/>
        </w:rPr>
      </w:pPr>
      <w:r>
        <w:rPr>
          <w:rFonts w:hint="eastAsia" w:ascii="宋体" w:hAnsi="宋体"/>
          <w:szCs w:val="21"/>
        </w:rPr>
        <w:t>33.3供应商的澄清、说明或更正将作为响应文件的一部分。</w:t>
      </w:r>
    </w:p>
    <w:p w14:paraId="5434C856">
      <w:pPr>
        <w:snapToGrid w:val="0"/>
        <w:spacing w:line="360" w:lineRule="auto"/>
        <w:ind w:firstLine="420" w:firstLineChars="200"/>
        <w:jc w:val="left"/>
        <w:rPr>
          <w:rFonts w:ascii="宋体" w:hAnsi="宋体"/>
          <w:szCs w:val="21"/>
        </w:rPr>
      </w:pPr>
      <w:r>
        <w:rPr>
          <w:rFonts w:hint="eastAsia" w:ascii="宋体" w:hAnsi="宋体"/>
          <w:szCs w:val="21"/>
        </w:rPr>
        <w:t>33.4报价修正</w:t>
      </w:r>
    </w:p>
    <w:p w14:paraId="59A7B1F4">
      <w:pPr>
        <w:snapToGrid w:val="0"/>
        <w:spacing w:line="360" w:lineRule="auto"/>
        <w:ind w:firstLine="420" w:firstLineChars="200"/>
        <w:jc w:val="left"/>
        <w:rPr>
          <w:rFonts w:ascii="宋体" w:hAnsi="宋体"/>
          <w:szCs w:val="21"/>
        </w:rPr>
      </w:pPr>
      <w:r>
        <w:rPr>
          <w:rFonts w:hint="eastAsia" w:ascii="宋体" w:hAnsi="宋体"/>
          <w:szCs w:val="21"/>
        </w:rPr>
        <w:t>响应文件报价出现不一致的，按照下列规定修正：</w:t>
      </w:r>
    </w:p>
    <w:p w14:paraId="23762AAC">
      <w:pPr>
        <w:snapToGrid w:val="0"/>
        <w:spacing w:line="360" w:lineRule="auto"/>
        <w:ind w:firstLine="420" w:firstLineChars="200"/>
        <w:jc w:val="left"/>
        <w:rPr>
          <w:rFonts w:ascii="宋体" w:hAnsi="宋体"/>
          <w:szCs w:val="21"/>
        </w:rPr>
      </w:pPr>
      <w:r>
        <w:rPr>
          <w:rFonts w:hint="eastAsia" w:ascii="宋体" w:hAnsi="宋体"/>
          <w:szCs w:val="21"/>
        </w:rPr>
        <w:t>电子交易平台客户端里录入的报价与报价响应文件中的报价不一致的，以报价响应文件中的报价为准。响应文件内报价出现前后不一致的，按照下列规定修正：</w:t>
      </w:r>
    </w:p>
    <w:p w14:paraId="3F94F4C1">
      <w:pPr>
        <w:snapToGrid w:val="0"/>
        <w:spacing w:line="360" w:lineRule="auto"/>
        <w:ind w:firstLine="420" w:firstLineChars="200"/>
        <w:jc w:val="left"/>
        <w:rPr>
          <w:rFonts w:ascii="宋体" w:hAnsi="宋体"/>
          <w:szCs w:val="21"/>
        </w:rPr>
      </w:pPr>
      <w:r>
        <w:rPr>
          <w:rFonts w:hint="eastAsia" w:ascii="宋体" w:hAnsi="宋体"/>
          <w:szCs w:val="21"/>
        </w:rPr>
        <w:t>（1）响应文件中报价表内容与响应文件中其他内容不一致的，以报价表为准；</w:t>
      </w:r>
    </w:p>
    <w:p w14:paraId="3617D077">
      <w:pPr>
        <w:snapToGrid w:val="0"/>
        <w:spacing w:line="360" w:lineRule="auto"/>
        <w:ind w:firstLine="420" w:firstLineChars="200"/>
        <w:jc w:val="left"/>
        <w:rPr>
          <w:rFonts w:ascii="宋体" w:hAnsi="宋体"/>
          <w:szCs w:val="21"/>
        </w:rPr>
      </w:pPr>
      <w:r>
        <w:rPr>
          <w:rFonts w:hint="eastAsia" w:ascii="宋体" w:hAnsi="宋体"/>
          <w:szCs w:val="21"/>
        </w:rPr>
        <w:t>（2）报价表的大写金额和小写金额不一致的，以大写金额为准；</w:t>
      </w:r>
    </w:p>
    <w:p w14:paraId="3D90FDAB">
      <w:pPr>
        <w:snapToGrid w:val="0"/>
        <w:spacing w:line="360" w:lineRule="auto"/>
        <w:ind w:firstLine="420" w:firstLineChars="200"/>
        <w:jc w:val="left"/>
        <w:rPr>
          <w:rFonts w:ascii="宋体" w:hAnsi="宋体"/>
          <w:szCs w:val="21"/>
        </w:rPr>
      </w:pPr>
      <w:r>
        <w:rPr>
          <w:rFonts w:hint="eastAsia" w:ascii="宋体" w:hAnsi="宋体"/>
          <w:szCs w:val="21"/>
        </w:rPr>
        <w:t>（3）报价浮动率与实际不一致的，以报价表的大写金额为准，并调整报价浮动率。</w:t>
      </w:r>
    </w:p>
    <w:p w14:paraId="682B4C44">
      <w:pPr>
        <w:snapToGrid w:val="0"/>
        <w:spacing w:line="360" w:lineRule="auto"/>
        <w:ind w:firstLine="420" w:firstLineChars="200"/>
        <w:jc w:val="left"/>
        <w:rPr>
          <w:rFonts w:ascii="宋体" w:hAnsi="宋体"/>
          <w:szCs w:val="21"/>
        </w:rPr>
      </w:pPr>
      <w:r>
        <w:rPr>
          <w:rFonts w:hint="eastAsia" w:ascii="宋体" w:hAnsi="宋体"/>
          <w:szCs w:val="21"/>
        </w:rPr>
        <w:t>同时出现两种以上不一致的，按照前款规定的顺序修正。修正后的报价由供应商确认，经供应商确认后产生约束力，供应商不确认的，</w:t>
      </w:r>
      <w:r>
        <w:rPr>
          <w:rFonts w:hint="eastAsia" w:ascii="宋体" w:hAnsi="宋体"/>
          <w:b/>
          <w:szCs w:val="21"/>
        </w:rPr>
        <w:t>其响应无效</w:t>
      </w:r>
      <w:r>
        <w:rPr>
          <w:rFonts w:hint="eastAsia" w:ascii="宋体" w:hAnsi="宋体"/>
          <w:szCs w:val="21"/>
        </w:rPr>
        <w:t>。</w:t>
      </w:r>
    </w:p>
    <w:p w14:paraId="652D55CE">
      <w:pPr>
        <w:snapToGrid w:val="0"/>
        <w:spacing w:line="360" w:lineRule="auto"/>
        <w:ind w:firstLine="422" w:firstLineChars="200"/>
        <w:jc w:val="left"/>
        <w:rPr>
          <w:rFonts w:ascii="宋体" w:hAnsi="宋体"/>
          <w:b/>
          <w:szCs w:val="21"/>
        </w:rPr>
      </w:pPr>
      <w:r>
        <w:rPr>
          <w:rFonts w:hint="eastAsia" w:ascii="宋体" w:hAnsi="宋体"/>
          <w:b/>
          <w:szCs w:val="21"/>
        </w:rPr>
        <w:t>34.响应无效</w:t>
      </w:r>
    </w:p>
    <w:p w14:paraId="432104BF">
      <w:pPr>
        <w:snapToGrid w:val="0"/>
        <w:spacing w:line="360" w:lineRule="auto"/>
        <w:ind w:firstLine="420" w:firstLineChars="200"/>
        <w:jc w:val="left"/>
        <w:rPr>
          <w:rFonts w:ascii="宋体" w:hAnsi="宋体"/>
          <w:szCs w:val="21"/>
        </w:rPr>
      </w:pPr>
      <w:r>
        <w:rPr>
          <w:rFonts w:hint="eastAsia" w:ascii="宋体" w:hAnsi="宋体"/>
          <w:szCs w:val="21"/>
        </w:rPr>
        <w:t>34.1</w:t>
      </w:r>
      <w:r>
        <w:rPr>
          <w:rFonts w:ascii="宋体" w:hAnsi="宋体"/>
          <w:szCs w:val="21"/>
        </w:rPr>
        <w:t>根据本</w:t>
      </w:r>
      <w:r>
        <w:rPr>
          <w:rFonts w:hint="eastAsia" w:ascii="宋体" w:hAnsi="宋体"/>
          <w:szCs w:val="21"/>
        </w:rPr>
        <w:t>磋商文件</w:t>
      </w:r>
      <w:r>
        <w:rPr>
          <w:rFonts w:ascii="宋体" w:hAnsi="宋体"/>
          <w:szCs w:val="21"/>
        </w:rPr>
        <w:t>的规定，磋商小组审查</w:t>
      </w:r>
      <w:r>
        <w:rPr>
          <w:rFonts w:hint="eastAsia" w:ascii="宋体" w:hAnsi="宋体"/>
          <w:szCs w:val="21"/>
        </w:rPr>
        <w:t>供应商的</w:t>
      </w:r>
      <w:r>
        <w:rPr>
          <w:rFonts w:ascii="宋体" w:hAnsi="宋体"/>
          <w:szCs w:val="21"/>
        </w:rPr>
        <w:t>响应文件是否响应了磋商文件的实质</w:t>
      </w:r>
      <w:r>
        <w:rPr>
          <w:rFonts w:hint="eastAsia" w:ascii="宋体" w:hAnsi="宋体"/>
          <w:szCs w:val="21"/>
        </w:rPr>
        <w:t>性</w:t>
      </w:r>
      <w:r>
        <w:rPr>
          <w:rFonts w:ascii="宋体" w:hAnsi="宋体"/>
          <w:szCs w:val="21"/>
        </w:rPr>
        <w:t>要求。供应商不得通过修正或撤销不符合要求的偏离，从而使其</w:t>
      </w:r>
      <w:r>
        <w:rPr>
          <w:rFonts w:hint="eastAsia" w:ascii="宋体" w:hAnsi="宋体"/>
          <w:szCs w:val="21"/>
        </w:rPr>
        <w:t>磋商响应满足磋商文件要求</w:t>
      </w:r>
      <w:r>
        <w:rPr>
          <w:rFonts w:ascii="宋体" w:hAnsi="宋体"/>
          <w:szCs w:val="21"/>
        </w:rPr>
        <w:t>。</w:t>
      </w:r>
    </w:p>
    <w:p w14:paraId="4BA8970B">
      <w:pPr>
        <w:snapToGrid w:val="0"/>
        <w:spacing w:line="360" w:lineRule="auto"/>
        <w:ind w:firstLine="420" w:firstLineChars="200"/>
        <w:jc w:val="left"/>
        <w:rPr>
          <w:rFonts w:ascii="宋体" w:hAnsi="宋体"/>
          <w:szCs w:val="21"/>
        </w:rPr>
      </w:pPr>
      <w:r>
        <w:rPr>
          <w:rFonts w:hint="eastAsia" w:ascii="宋体" w:hAnsi="宋体"/>
          <w:szCs w:val="21"/>
        </w:rPr>
        <w:t>34.2供应商存在下列情况之一的，响应无效：</w:t>
      </w:r>
    </w:p>
    <w:p w14:paraId="0F279B36">
      <w:pPr>
        <w:snapToGrid w:val="0"/>
        <w:spacing w:line="360" w:lineRule="auto"/>
        <w:ind w:firstLine="420" w:firstLineChars="200"/>
        <w:jc w:val="left"/>
        <w:rPr>
          <w:rFonts w:ascii="宋体" w:hAnsi="宋体"/>
          <w:szCs w:val="21"/>
        </w:rPr>
      </w:pPr>
      <w:r>
        <w:rPr>
          <w:rFonts w:hint="eastAsia" w:ascii="宋体" w:hAnsi="宋体"/>
          <w:szCs w:val="21"/>
        </w:rPr>
        <w:t>（1）响应文件未按磋商文件要求签署、盖章而影响响应文件法律效力的；</w:t>
      </w:r>
    </w:p>
    <w:p w14:paraId="5625B36E">
      <w:pPr>
        <w:snapToGrid w:val="0"/>
        <w:spacing w:line="360" w:lineRule="auto"/>
        <w:ind w:firstLine="420" w:firstLineChars="200"/>
        <w:jc w:val="left"/>
        <w:rPr>
          <w:rFonts w:ascii="宋体" w:hAnsi="宋体"/>
          <w:szCs w:val="21"/>
        </w:rPr>
      </w:pPr>
      <w:r>
        <w:rPr>
          <w:rFonts w:hint="eastAsia" w:ascii="宋体" w:hAnsi="宋体"/>
          <w:szCs w:val="21"/>
        </w:rPr>
        <w:t>（2）不具备磋商文件中规定的申请人的资格要求的（包括未提交有效的资格证明文件）；</w:t>
      </w:r>
    </w:p>
    <w:p w14:paraId="4B22F203">
      <w:pPr>
        <w:snapToGrid w:val="0"/>
        <w:spacing w:line="360" w:lineRule="auto"/>
        <w:ind w:firstLine="420" w:firstLineChars="200"/>
        <w:jc w:val="left"/>
        <w:rPr>
          <w:rFonts w:ascii="宋体" w:hAnsi="宋体"/>
          <w:szCs w:val="21"/>
        </w:rPr>
      </w:pPr>
      <w:r>
        <w:rPr>
          <w:rFonts w:hint="eastAsia" w:ascii="宋体" w:hAnsi="宋体"/>
          <w:szCs w:val="21"/>
        </w:rPr>
        <w:t>（3）未对磋商文件的实质性条款作出响应（包括未按要求提交证明文件）的；</w:t>
      </w:r>
    </w:p>
    <w:p w14:paraId="37F34922">
      <w:pPr>
        <w:snapToGri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）报价超过磋商文件中规定的预算金额或最高限价或单项限价的；</w:t>
      </w:r>
    </w:p>
    <w:p w14:paraId="5B6B1683">
      <w:pPr>
        <w:snapToGrid w:val="0"/>
        <w:spacing w:line="360" w:lineRule="auto"/>
        <w:ind w:firstLine="420" w:firstLineChars="200"/>
        <w:jc w:val="left"/>
        <w:rPr>
          <w:rFonts w:ascii="宋体" w:hAnsi="宋体"/>
          <w:szCs w:val="21"/>
        </w:rPr>
      </w:pPr>
      <w:r>
        <w:rPr>
          <w:rFonts w:hint="eastAsia" w:ascii="宋体" w:hAnsi="宋体"/>
          <w:szCs w:val="21"/>
        </w:rPr>
        <w:t>（5）供应商的报价明显偏低，供应商不能在评审现场合理时间内证明其报价合理性，经磋商小组认定可能影响项目质量或者不能诚信履约的；</w:t>
      </w:r>
    </w:p>
    <w:p w14:paraId="5E2F3C3F">
      <w:pPr>
        <w:snapToGrid w:val="0"/>
        <w:spacing w:line="360" w:lineRule="auto"/>
        <w:ind w:firstLine="420" w:firstLineChars="200"/>
        <w:jc w:val="left"/>
        <w:rPr>
          <w:rFonts w:ascii="宋体" w:hAnsi="宋体"/>
        </w:rPr>
      </w:pPr>
      <w:r>
        <w:rPr>
          <w:rFonts w:hint="eastAsia" w:ascii="宋体" w:hAnsi="宋体"/>
        </w:rPr>
        <w:t>（6）采购人拟采购的产品属于政府强制采购的节能产品品目清单范围的，供应商未按磋商文件的要求在响应文件内提供国家确定的认证机构出具的、处于有效期之内的节能产品认证证书的；</w:t>
      </w:r>
    </w:p>
    <w:p w14:paraId="254792B4">
      <w:pPr>
        <w:snapToGrid w:val="0"/>
        <w:spacing w:line="360" w:lineRule="auto"/>
        <w:ind w:firstLine="420" w:firstLineChars="200"/>
        <w:jc w:val="left"/>
        <w:rPr>
          <w:rFonts w:ascii="宋体" w:hAnsi="宋体"/>
          <w:szCs w:val="21"/>
        </w:rPr>
      </w:pPr>
      <w:r>
        <w:rPr>
          <w:rFonts w:hint="eastAsia" w:ascii="宋体" w:hAnsi="宋体"/>
          <w:szCs w:val="21"/>
        </w:rPr>
        <w:t>（7）响应文件含有采购人不能接受的附加条件的；</w:t>
      </w:r>
    </w:p>
    <w:p w14:paraId="6EC33C4B">
      <w:pPr>
        <w:snapToGrid w:val="0"/>
        <w:spacing w:line="360" w:lineRule="auto"/>
        <w:ind w:firstLine="420" w:firstLineChars="200"/>
        <w:jc w:val="left"/>
        <w:rPr>
          <w:rFonts w:ascii="宋体" w:hAnsi="宋体"/>
          <w:szCs w:val="21"/>
        </w:rPr>
      </w:pPr>
      <w:r>
        <w:rPr>
          <w:rFonts w:hint="eastAsia" w:ascii="宋体" w:hAnsi="宋体"/>
          <w:szCs w:val="21"/>
        </w:rPr>
        <w:t>（8）响应文件中含有虚假材料的；</w:t>
      </w:r>
    </w:p>
    <w:p w14:paraId="00EDDCD5">
      <w:pPr>
        <w:snapToGrid w:val="0"/>
        <w:spacing w:line="360" w:lineRule="auto"/>
        <w:ind w:firstLine="420" w:firstLineChars="200"/>
        <w:jc w:val="left"/>
        <w:rPr>
          <w:rFonts w:ascii="宋体" w:hAnsi="宋体"/>
          <w:szCs w:val="21"/>
        </w:rPr>
      </w:pPr>
      <w:r>
        <w:rPr>
          <w:rFonts w:hint="eastAsia" w:ascii="宋体" w:hAnsi="宋体"/>
          <w:szCs w:val="21"/>
        </w:rPr>
        <w:t>（9）供应商违背诚实信用原则的；</w:t>
      </w:r>
    </w:p>
    <w:p w14:paraId="304A7A15">
      <w:pPr>
        <w:snapToGrid w:val="0"/>
        <w:spacing w:line="360" w:lineRule="auto"/>
        <w:ind w:firstLine="420" w:firstLineChars="200"/>
        <w:jc w:val="left"/>
        <w:rPr>
          <w:rFonts w:ascii="宋体" w:hAnsi="宋体"/>
          <w:szCs w:val="21"/>
        </w:rPr>
      </w:pPr>
      <w:r>
        <w:rPr>
          <w:rFonts w:hint="eastAsia" w:ascii="宋体" w:hAnsi="宋体"/>
          <w:szCs w:val="21"/>
        </w:rPr>
        <w:t>（10）供应商仅提交备份响应文件的；</w:t>
      </w:r>
    </w:p>
    <w:p w14:paraId="1D348EF1">
      <w:pPr>
        <w:snapToGrid w:val="0"/>
        <w:spacing w:line="360" w:lineRule="auto"/>
        <w:ind w:firstLine="420" w:firstLineChars="200"/>
        <w:jc w:val="left"/>
        <w:rPr>
          <w:rFonts w:ascii="宋体" w:hAnsi="宋体"/>
        </w:rPr>
      </w:pPr>
      <w:r>
        <w:rPr>
          <w:rFonts w:hint="eastAsia" w:ascii="宋体" w:hAnsi="宋体"/>
        </w:rPr>
        <w:t>（11）同一标项的供应商存在下列情形之一且无法合理解释的，其响应文件无效：</w:t>
      </w: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不同供应商的电子响应文件上传计算机的网卡MAC地址或硬盘序列号等硬件信息相同的；②上传的电子响应文件出现使用同一标项其他供应商的数字证书加密的，或者加盖同一标项其他供应商的电子印章的；③不同供应商的电子响应文件的内容存在3处（含）以上错误一致的；④不同供应商的联系人为同一人或不同联系人的联系电话一致的；</w:t>
      </w:r>
      <w:r>
        <w:rPr>
          <w:rFonts w:ascii="宋体" w:hAnsi="宋体"/>
        </w:rPr>
        <w:fldChar w:fldCharType="begin"/>
      </w:r>
      <w:r>
        <w:rPr>
          <w:rFonts w:ascii="宋体" w:hAnsi="宋体"/>
        </w:rPr>
        <w:instrText xml:space="preserve"> </w:instrText>
      </w:r>
      <w:r>
        <w:rPr>
          <w:rFonts w:hint="eastAsia" w:ascii="宋体" w:hAnsi="宋体"/>
        </w:rPr>
        <w:instrText xml:space="preserve">= 5 \* GB3</w:instrText>
      </w:r>
      <w:r>
        <w:rPr>
          <w:rFonts w:ascii="宋体" w:hAnsi="宋体"/>
        </w:rPr>
        <w:instrText xml:space="preserve"> </w:instrText>
      </w:r>
      <w:r>
        <w:rPr>
          <w:rFonts w:ascii="宋体" w:hAnsi="宋体"/>
        </w:rPr>
        <w:fldChar w:fldCharType="separate"/>
      </w:r>
      <w:r>
        <w:rPr>
          <w:rFonts w:hint="eastAsia" w:ascii="宋体" w:hAnsi="宋体"/>
        </w:rPr>
        <w:t>⑤</w:t>
      </w:r>
      <w:r>
        <w:rPr>
          <w:rFonts w:ascii="宋体" w:hAnsi="宋体"/>
        </w:rPr>
        <w:fldChar w:fldCharType="end"/>
      </w:r>
      <w:r>
        <w:rPr>
          <w:rFonts w:hint="eastAsia" w:ascii="宋体" w:hAnsi="宋体"/>
        </w:rPr>
        <w:t>不同供应商的电子响应文件属性显示作者为同一人的。</w:t>
      </w:r>
    </w:p>
    <w:p w14:paraId="31E80A1F">
      <w:pPr>
        <w:snapToGrid w:val="0"/>
        <w:spacing w:line="360" w:lineRule="auto"/>
        <w:ind w:firstLine="420" w:firstLineChars="200"/>
        <w:jc w:val="left"/>
        <w:rPr>
          <w:rFonts w:ascii="宋体" w:hAnsi="宋体"/>
          <w:szCs w:val="21"/>
        </w:rPr>
      </w:pPr>
      <w:r>
        <w:rPr>
          <w:rFonts w:hint="eastAsia" w:ascii="宋体" w:hAnsi="宋体"/>
          <w:szCs w:val="21"/>
        </w:rPr>
        <w:t>（12）法律、法规和磋商文件规定的其他响应无效情形。</w:t>
      </w:r>
    </w:p>
    <w:p w14:paraId="5ACF13CA">
      <w:pPr>
        <w:snapToGrid w:val="0"/>
        <w:spacing w:line="360" w:lineRule="auto"/>
        <w:ind w:firstLine="422" w:firstLineChars="200"/>
        <w:jc w:val="left"/>
        <w:rPr>
          <w:rFonts w:ascii="宋体" w:hAnsi="宋体"/>
          <w:b/>
          <w:szCs w:val="21"/>
        </w:rPr>
      </w:pPr>
      <w:r>
        <w:rPr>
          <w:rFonts w:hint="eastAsia" w:ascii="宋体" w:hAnsi="宋体"/>
          <w:b/>
          <w:szCs w:val="21"/>
        </w:rPr>
        <w:t>35.磋商</w:t>
      </w:r>
    </w:p>
    <w:p w14:paraId="73C278CC">
      <w:pPr>
        <w:snapToGrid w:val="0"/>
        <w:spacing w:line="360" w:lineRule="auto"/>
        <w:ind w:firstLine="420" w:firstLineChars="200"/>
        <w:jc w:val="left"/>
        <w:rPr>
          <w:rFonts w:ascii="宋体" w:hAnsi="宋体"/>
          <w:szCs w:val="21"/>
        </w:rPr>
      </w:pPr>
      <w:r>
        <w:rPr>
          <w:rFonts w:hint="eastAsia" w:ascii="宋体" w:hAnsi="宋体"/>
          <w:szCs w:val="21"/>
        </w:rPr>
        <w:t>35.1磋商小组所有成员集中与单一供应商分别进行磋商，并给予所有参加磋商的供应商平等的磋商机会。</w:t>
      </w:r>
      <w:r>
        <w:rPr>
          <w:rFonts w:hint="eastAsia" w:ascii="宋体" w:hAnsi="宋体"/>
        </w:rPr>
        <w:t>供应商未提出针对采购需求和合同条款进行调整且被采购人接受的建议，采购人亦未主动提出相关内容调整的情况下，不再组织磋商。</w:t>
      </w:r>
    </w:p>
    <w:p w14:paraId="76D79C19">
      <w:pPr>
        <w:snapToGrid w:val="0"/>
        <w:spacing w:line="360" w:lineRule="auto"/>
        <w:ind w:firstLine="420" w:firstLineChars="200"/>
        <w:jc w:val="left"/>
        <w:rPr>
          <w:rFonts w:ascii="宋体" w:hAnsi="宋体"/>
          <w:szCs w:val="21"/>
        </w:rPr>
      </w:pPr>
      <w:r>
        <w:rPr>
          <w:rFonts w:hint="eastAsia" w:ascii="宋体" w:hAnsi="宋体"/>
          <w:szCs w:val="21"/>
        </w:rPr>
        <w:t>35.2在磋商过程中，磋商小组可以根据磋商文件和磋商情况实质性变动采购需求中的技术、服务要求以及合同草案条款。</w:t>
      </w:r>
    </w:p>
    <w:p w14:paraId="2B53A8A2">
      <w:pPr>
        <w:snapToGrid w:val="0"/>
        <w:spacing w:line="360" w:lineRule="auto"/>
        <w:ind w:firstLine="420" w:firstLineChars="200"/>
        <w:jc w:val="left"/>
        <w:rPr>
          <w:rFonts w:ascii="宋体" w:hAnsi="宋体"/>
          <w:szCs w:val="21"/>
        </w:rPr>
      </w:pPr>
      <w:r>
        <w:rPr>
          <w:rFonts w:hint="eastAsia" w:ascii="宋体" w:hAnsi="宋体"/>
          <w:szCs w:val="21"/>
        </w:rPr>
        <w:t>35.3对磋商文件作出的实质性变动是磋商文件的有效组成部分，磋商小组以书面形式同时通知所有参加磋商的供应商。</w:t>
      </w:r>
    </w:p>
    <w:p w14:paraId="17FC5428">
      <w:pPr>
        <w:snapToGrid w:val="0"/>
        <w:spacing w:line="360" w:lineRule="auto"/>
        <w:ind w:firstLine="420" w:firstLineChars="200"/>
        <w:jc w:val="left"/>
        <w:rPr>
          <w:rFonts w:ascii="宋体" w:hAnsi="宋体"/>
          <w:szCs w:val="21"/>
        </w:rPr>
      </w:pPr>
      <w:r>
        <w:rPr>
          <w:rFonts w:hint="eastAsia" w:ascii="宋体" w:hAnsi="宋体"/>
          <w:szCs w:val="21"/>
        </w:rPr>
        <w:t>35.4供应商按照磋商文件的变动情况和磋商小组的要求重新提交响应文件，并由其法定代表人或授权代表签字或者加盖公章。</w:t>
      </w:r>
    </w:p>
    <w:p w14:paraId="0CE5CF99">
      <w:pPr>
        <w:snapToGrid w:val="0"/>
        <w:spacing w:line="360" w:lineRule="auto"/>
        <w:ind w:firstLine="420" w:firstLineChars="200"/>
        <w:jc w:val="left"/>
        <w:rPr>
          <w:rFonts w:ascii="宋体" w:hAnsi="宋体"/>
          <w:szCs w:val="21"/>
        </w:rPr>
      </w:pPr>
      <w:r>
        <w:rPr>
          <w:rFonts w:hint="eastAsia" w:ascii="宋体" w:hAnsi="宋体"/>
          <w:szCs w:val="21"/>
        </w:rPr>
        <w:t>35.5磋商文件能够详细列明采购标的的技术、服务要求的，磋商结束后，磋商小组将要求所有实质性响应的供应商在规定时间内提交最后报价。</w:t>
      </w:r>
    </w:p>
    <w:p w14:paraId="11BDD1D9">
      <w:pPr>
        <w:snapToGrid w:val="0"/>
        <w:spacing w:line="360" w:lineRule="auto"/>
        <w:ind w:firstLine="420" w:firstLineChars="200"/>
        <w:jc w:val="left"/>
        <w:rPr>
          <w:rFonts w:ascii="宋体" w:hAnsi="宋体"/>
          <w:szCs w:val="21"/>
        </w:rPr>
      </w:pPr>
      <w:r>
        <w:rPr>
          <w:rFonts w:hint="eastAsia" w:ascii="宋体" w:hAnsi="宋体"/>
          <w:szCs w:val="21"/>
        </w:rPr>
        <w:t>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报价。</w:t>
      </w:r>
    </w:p>
    <w:p w14:paraId="781942BF">
      <w:pPr>
        <w:snapToGrid w:val="0"/>
        <w:spacing w:line="360" w:lineRule="auto"/>
        <w:ind w:firstLine="420" w:firstLineChars="200"/>
        <w:jc w:val="left"/>
        <w:rPr>
          <w:rFonts w:ascii="宋体" w:hAnsi="宋体"/>
          <w:szCs w:val="21"/>
        </w:rPr>
      </w:pPr>
      <w:r>
        <w:rPr>
          <w:rFonts w:hint="eastAsia" w:ascii="宋体" w:hAnsi="宋体"/>
          <w:szCs w:val="21"/>
        </w:rPr>
        <w:t>最后报价是供应商响应文件的有效组成部分。</w:t>
      </w:r>
    </w:p>
    <w:p w14:paraId="6BCA8EF4">
      <w:pPr>
        <w:snapToGrid w:val="0"/>
        <w:spacing w:line="360" w:lineRule="auto"/>
        <w:ind w:firstLine="420" w:firstLineChars="200"/>
        <w:jc w:val="left"/>
        <w:rPr>
          <w:rFonts w:ascii="宋体" w:hAnsi="宋体"/>
          <w:szCs w:val="21"/>
        </w:rPr>
      </w:pPr>
      <w:r>
        <w:rPr>
          <w:rFonts w:hint="eastAsia" w:ascii="宋体" w:hAnsi="宋体"/>
          <w:szCs w:val="21"/>
        </w:rPr>
        <w:t>35.6已提交响应文件的供应商，在提交最后报价之前，可以根据磋商情况退出磋商。</w:t>
      </w:r>
    </w:p>
    <w:p w14:paraId="66AE76FA">
      <w:pPr>
        <w:snapToGrid w:val="0"/>
        <w:spacing w:line="360" w:lineRule="auto"/>
        <w:ind w:firstLine="422" w:firstLineChars="200"/>
        <w:jc w:val="left"/>
        <w:rPr>
          <w:rFonts w:ascii="宋体" w:hAnsi="宋体"/>
          <w:b/>
          <w:szCs w:val="21"/>
        </w:rPr>
      </w:pPr>
      <w:r>
        <w:rPr>
          <w:rFonts w:hint="eastAsia" w:ascii="宋体" w:hAnsi="宋体"/>
          <w:b/>
          <w:szCs w:val="21"/>
        </w:rPr>
        <w:t>36</w:t>
      </w:r>
      <w:r>
        <w:rPr>
          <w:rFonts w:ascii="宋体" w:hAnsi="宋体"/>
          <w:b/>
          <w:szCs w:val="21"/>
        </w:rPr>
        <w:t>.</w:t>
      </w:r>
      <w:r>
        <w:rPr>
          <w:rFonts w:hint="eastAsia" w:ascii="宋体" w:hAnsi="宋体"/>
          <w:b/>
          <w:szCs w:val="21"/>
        </w:rPr>
        <w:t>比较与评价</w:t>
      </w:r>
    </w:p>
    <w:p w14:paraId="7367FB4D">
      <w:pPr>
        <w:snapToGrid w:val="0"/>
        <w:spacing w:line="360" w:lineRule="auto"/>
        <w:ind w:firstLine="420" w:firstLineChars="200"/>
        <w:jc w:val="left"/>
        <w:rPr>
          <w:rFonts w:ascii="宋体" w:hAnsi="宋体"/>
          <w:szCs w:val="21"/>
        </w:rPr>
      </w:pPr>
      <w:r>
        <w:rPr>
          <w:rFonts w:hint="eastAsia" w:ascii="宋体" w:hAnsi="宋体"/>
          <w:szCs w:val="21"/>
        </w:rPr>
        <w:t>36.1经磋商确定最终采购需求和提交最后报价的供应商后，由磋商小组采用综合评分法对提交最后报价的供应商的响应文件和最后报价进行综合评分。</w:t>
      </w:r>
    </w:p>
    <w:p w14:paraId="5CF972FB">
      <w:pPr>
        <w:snapToGrid w:val="0"/>
        <w:spacing w:line="360" w:lineRule="auto"/>
        <w:ind w:firstLine="420" w:firstLineChars="200"/>
        <w:jc w:val="left"/>
        <w:rPr>
          <w:rFonts w:ascii="宋体" w:hAnsi="宋体"/>
          <w:szCs w:val="21"/>
        </w:rPr>
      </w:pPr>
      <w:r>
        <w:rPr>
          <w:rFonts w:hint="eastAsia" w:ascii="宋体" w:hAnsi="宋体"/>
          <w:szCs w:val="21"/>
        </w:rPr>
        <w:t>竞争性磋商采购采用综合评分法，是指响应文件满足磋商文件全部实质性要求且按评审因素的量化指标评审得分最高的供应商为成交候选供应商的评审方法。</w:t>
      </w:r>
    </w:p>
    <w:p w14:paraId="13962508">
      <w:pPr>
        <w:snapToGrid w:val="0"/>
        <w:spacing w:line="360" w:lineRule="auto"/>
        <w:ind w:firstLine="420" w:firstLineChars="200"/>
        <w:jc w:val="left"/>
        <w:rPr>
          <w:rFonts w:ascii="宋体" w:hAnsi="宋体"/>
          <w:szCs w:val="21"/>
        </w:rPr>
      </w:pPr>
      <w:r>
        <w:rPr>
          <w:rFonts w:hint="eastAsia" w:ascii="宋体" w:hAnsi="宋体"/>
          <w:szCs w:val="21"/>
        </w:rPr>
        <w:t>36.2评审严格按照磋商文件的要求和条件进行，详细评审标准见磋商文件第四章。</w:t>
      </w:r>
    </w:p>
    <w:p w14:paraId="1ADF9DF5">
      <w:pPr>
        <w:snapToGrid w:val="0"/>
        <w:spacing w:line="360" w:lineRule="auto"/>
        <w:ind w:firstLine="422" w:firstLineChars="200"/>
        <w:jc w:val="left"/>
        <w:rPr>
          <w:rFonts w:ascii="宋体" w:hAnsi="宋体"/>
          <w:b/>
          <w:szCs w:val="21"/>
        </w:rPr>
      </w:pPr>
      <w:r>
        <w:rPr>
          <w:rFonts w:hint="eastAsia" w:ascii="宋体" w:hAnsi="宋体"/>
          <w:b/>
          <w:szCs w:val="21"/>
        </w:rPr>
        <w:t>37.采购终止的情形</w:t>
      </w:r>
    </w:p>
    <w:p w14:paraId="0ECF3CD2">
      <w:pPr>
        <w:snapToGrid w:val="0"/>
        <w:spacing w:line="360" w:lineRule="auto"/>
        <w:ind w:firstLine="420" w:firstLineChars="200"/>
        <w:jc w:val="left"/>
        <w:rPr>
          <w:rFonts w:ascii="宋体" w:hAnsi="宋体"/>
          <w:szCs w:val="21"/>
        </w:rPr>
      </w:pPr>
      <w:r>
        <w:rPr>
          <w:rFonts w:hint="eastAsia" w:ascii="宋体" w:hAnsi="宋体"/>
          <w:szCs w:val="21"/>
        </w:rPr>
        <w:t>在本项目磋商采购中，出现下列情形之一的，应当终止竞争性磋商采购活动，发布项目终止公告并说明原因，重新开展采购活动：</w:t>
      </w:r>
    </w:p>
    <w:p w14:paraId="47B6066A">
      <w:pPr>
        <w:snapToGrid w:val="0"/>
        <w:spacing w:line="360" w:lineRule="auto"/>
        <w:ind w:firstLine="420" w:firstLineChars="200"/>
        <w:jc w:val="left"/>
        <w:rPr>
          <w:rFonts w:ascii="宋体" w:hAnsi="宋体"/>
        </w:rPr>
      </w:pPr>
      <w:r>
        <w:rPr>
          <w:rFonts w:hint="eastAsia" w:ascii="宋体" w:hAnsi="宋体"/>
        </w:rPr>
        <w:t>（1）因情况变化，不再符合规定的竞争性磋商采购方式适用情形的；</w:t>
      </w:r>
    </w:p>
    <w:p w14:paraId="217EC8EA">
      <w:pPr>
        <w:snapToGrid w:val="0"/>
        <w:spacing w:line="360" w:lineRule="auto"/>
        <w:ind w:firstLine="420" w:firstLineChars="200"/>
        <w:jc w:val="left"/>
        <w:rPr>
          <w:rFonts w:ascii="宋体" w:hAnsi="宋体"/>
        </w:rPr>
      </w:pPr>
      <w:r>
        <w:rPr>
          <w:rFonts w:hint="eastAsia" w:ascii="宋体" w:hAnsi="宋体"/>
        </w:rPr>
        <w:t>（2）出现影响采购公正的违法、违规行为的；</w:t>
      </w:r>
    </w:p>
    <w:p w14:paraId="1650AA48">
      <w:pPr>
        <w:snapToGrid w:val="0"/>
        <w:spacing w:line="360" w:lineRule="auto"/>
        <w:ind w:firstLine="420" w:firstLineChars="200"/>
        <w:jc w:val="left"/>
        <w:rPr>
          <w:rFonts w:ascii="宋体" w:hAnsi="宋体"/>
          <w:szCs w:val="21"/>
        </w:rPr>
      </w:pPr>
      <w:r>
        <w:rPr>
          <w:rFonts w:hint="eastAsia" w:ascii="宋体" w:hAnsi="宋体"/>
        </w:rPr>
        <w:t>（3）除法律法规规定的情形外，在采购过程中符合要求的供应商或者报价未超过采购预算的供应商不足3家的；</w:t>
      </w:r>
    </w:p>
    <w:p w14:paraId="3BB3D36B">
      <w:pPr>
        <w:snapToGrid w:val="0"/>
        <w:spacing w:line="360" w:lineRule="auto"/>
        <w:ind w:firstLine="420" w:firstLineChars="200"/>
        <w:jc w:val="left"/>
        <w:rPr>
          <w:rFonts w:ascii="宋体" w:hAnsi="宋体"/>
          <w:szCs w:val="21"/>
        </w:rPr>
      </w:pPr>
      <w:r>
        <w:rPr>
          <w:rFonts w:hint="eastAsia" w:ascii="宋体" w:hAnsi="宋体"/>
          <w:szCs w:val="21"/>
        </w:rPr>
        <w:t>（4）电子交易平台无法正常运行，无法保证电子交易的公平、公正和安全的情况。</w:t>
      </w:r>
    </w:p>
    <w:p w14:paraId="58F17C94">
      <w:pPr>
        <w:spacing w:line="360" w:lineRule="auto"/>
        <w:ind w:firstLine="422" w:firstLineChars="200"/>
        <w:jc w:val="left"/>
        <w:rPr>
          <w:rFonts w:ascii="宋体" w:hAnsi="宋体"/>
          <w:b/>
          <w:szCs w:val="21"/>
        </w:rPr>
      </w:pPr>
      <w:r>
        <w:rPr>
          <w:rFonts w:hint="eastAsia" w:ascii="宋体" w:hAnsi="宋体"/>
          <w:b/>
          <w:szCs w:val="21"/>
        </w:rPr>
        <w:t>38.中止电子交易活动的情形</w:t>
      </w:r>
    </w:p>
    <w:p w14:paraId="7B5ECD63">
      <w:pPr>
        <w:snapToGrid w:val="0"/>
        <w:spacing w:line="360" w:lineRule="auto"/>
        <w:ind w:firstLine="420" w:firstLineChars="200"/>
        <w:jc w:val="left"/>
        <w:rPr>
          <w:rFonts w:ascii="宋体" w:hAnsi="宋体"/>
          <w:szCs w:val="21"/>
        </w:rPr>
      </w:pPr>
      <w:r>
        <w:rPr>
          <w:rFonts w:hint="eastAsia" w:ascii="宋体" w:hAnsi="宋体"/>
          <w:szCs w:val="21"/>
        </w:rPr>
        <w:t>采购过程中出现以下情形，导致电子交易平台无法正常运行，或者无法保证电子交易的公平、公正和安全时，采购组织机构可中止电子交易活动：</w:t>
      </w:r>
    </w:p>
    <w:p w14:paraId="64260645">
      <w:pPr>
        <w:snapToGrid w:val="0"/>
        <w:spacing w:line="360" w:lineRule="auto"/>
        <w:ind w:firstLine="420" w:firstLineChars="200"/>
        <w:jc w:val="left"/>
        <w:rPr>
          <w:rFonts w:ascii="宋体" w:hAnsi="宋体"/>
          <w:szCs w:val="21"/>
        </w:rPr>
      </w:pPr>
      <w:r>
        <w:rPr>
          <w:rFonts w:hint="eastAsia" w:ascii="宋体" w:hAnsi="宋体"/>
          <w:szCs w:val="21"/>
        </w:rPr>
        <w:t>（1）电子交易平台发生故障而无法登录访问的；</w:t>
      </w:r>
    </w:p>
    <w:p w14:paraId="66710BE9">
      <w:pPr>
        <w:snapToGrid w:val="0"/>
        <w:spacing w:line="360" w:lineRule="auto"/>
        <w:ind w:firstLine="420" w:firstLineChars="200"/>
        <w:jc w:val="left"/>
        <w:rPr>
          <w:rFonts w:ascii="宋体" w:hAnsi="宋体"/>
          <w:szCs w:val="21"/>
        </w:rPr>
      </w:pPr>
      <w:r>
        <w:rPr>
          <w:rFonts w:hint="eastAsia" w:ascii="宋体" w:hAnsi="宋体"/>
          <w:szCs w:val="21"/>
        </w:rPr>
        <w:t>（2）电子交易平台应用或数据库出现错误，不能进行正常操作的；</w:t>
      </w:r>
    </w:p>
    <w:p w14:paraId="558FE8E4">
      <w:pPr>
        <w:snapToGrid w:val="0"/>
        <w:spacing w:line="360" w:lineRule="auto"/>
        <w:ind w:firstLine="420" w:firstLineChars="200"/>
        <w:jc w:val="left"/>
        <w:rPr>
          <w:rFonts w:ascii="宋体" w:hAnsi="宋体"/>
          <w:szCs w:val="21"/>
        </w:rPr>
      </w:pPr>
      <w:r>
        <w:rPr>
          <w:rFonts w:hint="eastAsia" w:ascii="宋体" w:hAnsi="宋体"/>
          <w:szCs w:val="21"/>
        </w:rPr>
        <w:t>（3）电子交易平台发现严重安全漏洞，有潜在泄密危险的；</w:t>
      </w:r>
    </w:p>
    <w:p w14:paraId="3140F6E0">
      <w:pPr>
        <w:snapToGrid w:val="0"/>
        <w:spacing w:line="360" w:lineRule="auto"/>
        <w:ind w:firstLine="420" w:firstLineChars="200"/>
        <w:jc w:val="left"/>
        <w:rPr>
          <w:rFonts w:ascii="宋体" w:hAnsi="宋体"/>
          <w:szCs w:val="21"/>
        </w:rPr>
      </w:pPr>
      <w:r>
        <w:rPr>
          <w:rFonts w:hint="eastAsia" w:ascii="宋体" w:hAnsi="宋体"/>
          <w:szCs w:val="21"/>
        </w:rPr>
        <w:t>（4）病毒发作导致不能进行正常操作的；</w:t>
      </w:r>
    </w:p>
    <w:p w14:paraId="51B22529">
      <w:pPr>
        <w:snapToGrid w:val="0"/>
        <w:spacing w:line="360" w:lineRule="auto"/>
        <w:ind w:firstLine="420" w:firstLineChars="200"/>
        <w:jc w:val="left"/>
        <w:rPr>
          <w:rFonts w:ascii="宋体" w:hAnsi="宋体"/>
          <w:szCs w:val="21"/>
        </w:rPr>
      </w:pPr>
      <w:r>
        <w:rPr>
          <w:rFonts w:hint="eastAsia" w:ascii="宋体" w:hAnsi="宋体"/>
          <w:szCs w:val="21"/>
        </w:rPr>
        <w:t>（5）其他无法保证电子交易的公平、公正和安全的情况。</w:t>
      </w:r>
    </w:p>
    <w:p w14:paraId="3009BBF4">
      <w:pPr>
        <w:snapToGrid w:val="0"/>
        <w:spacing w:line="360" w:lineRule="auto"/>
        <w:ind w:firstLine="420" w:firstLineChars="200"/>
        <w:jc w:val="left"/>
        <w:rPr>
          <w:rFonts w:ascii="宋体" w:hAnsi="宋体"/>
          <w:szCs w:val="21"/>
        </w:rPr>
      </w:pPr>
      <w:r>
        <w:rPr>
          <w:rFonts w:hint="eastAsia" w:ascii="宋体" w:hAnsi="宋体"/>
          <w:szCs w:val="21"/>
        </w:rPr>
        <w:t>出现前款规定情形，不影响采购公平、公正性的，可以待上述情形消除后继续组织电子交易活动；影响或可能影响采购公平、公正性的，将重新采购。</w:t>
      </w:r>
    </w:p>
    <w:p w14:paraId="5F68C95F">
      <w:pPr>
        <w:snapToGrid w:val="0"/>
        <w:spacing w:line="360" w:lineRule="auto"/>
        <w:ind w:firstLine="422" w:firstLineChars="200"/>
        <w:jc w:val="left"/>
        <w:rPr>
          <w:rFonts w:ascii="宋体" w:hAnsi="宋体"/>
          <w:b/>
          <w:szCs w:val="21"/>
        </w:rPr>
      </w:pPr>
      <w:r>
        <w:rPr>
          <w:rFonts w:hint="eastAsia" w:ascii="宋体" w:hAnsi="宋体"/>
          <w:b/>
          <w:szCs w:val="21"/>
        </w:rPr>
        <w:t>39</w:t>
      </w:r>
      <w:r>
        <w:rPr>
          <w:rFonts w:ascii="宋体" w:hAnsi="宋体"/>
          <w:b/>
          <w:szCs w:val="21"/>
        </w:rPr>
        <w:t>.</w:t>
      </w:r>
      <w:r>
        <w:rPr>
          <w:rFonts w:hint="eastAsia" w:ascii="宋体" w:hAnsi="宋体"/>
          <w:b/>
          <w:szCs w:val="21"/>
        </w:rPr>
        <w:t>成交候选供应商的确定原则及标准</w:t>
      </w:r>
    </w:p>
    <w:p w14:paraId="62346E9D">
      <w:pPr>
        <w:snapToGrid w:val="0"/>
        <w:spacing w:line="360" w:lineRule="auto"/>
        <w:ind w:firstLine="420" w:firstLineChars="200"/>
        <w:jc w:val="left"/>
        <w:rPr>
          <w:rFonts w:ascii="宋体" w:hAnsi="宋体"/>
          <w:szCs w:val="21"/>
        </w:rPr>
      </w:pPr>
      <w:r>
        <w:rPr>
          <w:rFonts w:hint="eastAsia" w:ascii="宋体" w:hAnsi="宋体"/>
          <w:szCs w:val="21"/>
        </w:rPr>
        <w:t>磋商小组根据综合评分情况，按照评审得分由高到低顺序推荐3名以上成交候选供应商，并编写评审报告。评审得分相同的，按照最后报价由低到高的顺序推荐。评审得分且最后报价相同的，按照技术指标优劣顺序推荐。</w:t>
      </w:r>
    </w:p>
    <w:p w14:paraId="052B177A">
      <w:pPr>
        <w:snapToGrid w:val="0"/>
        <w:spacing w:line="360" w:lineRule="auto"/>
        <w:ind w:firstLine="422" w:firstLineChars="200"/>
        <w:jc w:val="left"/>
        <w:rPr>
          <w:rFonts w:ascii="宋体" w:hAnsi="宋体"/>
          <w:b/>
          <w:szCs w:val="21"/>
        </w:rPr>
      </w:pPr>
      <w:r>
        <w:rPr>
          <w:rFonts w:hint="eastAsia" w:ascii="宋体" w:hAnsi="宋体"/>
          <w:b/>
          <w:szCs w:val="21"/>
        </w:rPr>
        <w:t>40.编写评审报告</w:t>
      </w:r>
    </w:p>
    <w:p w14:paraId="3F71FB8F">
      <w:pPr>
        <w:snapToGrid w:val="0"/>
        <w:spacing w:line="360" w:lineRule="auto"/>
        <w:ind w:firstLine="420" w:firstLineChars="200"/>
        <w:jc w:val="left"/>
        <w:rPr>
          <w:rFonts w:ascii="宋体" w:hAnsi="宋体"/>
          <w:szCs w:val="21"/>
        </w:rPr>
      </w:pPr>
      <w:r>
        <w:rPr>
          <w:rFonts w:hint="eastAsia" w:ascii="宋体" w:hAnsi="宋体"/>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BA66289">
      <w:pPr>
        <w:pStyle w:val="5"/>
        <w:numPr>
          <w:ilvl w:val="0"/>
          <w:numId w:val="0"/>
        </w:numPr>
        <w:tabs>
          <w:tab w:val="left" w:pos="720"/>
        </w:tabs>
        <w:snapToGrid w:val="0"/>
        <w:spacing w:line="360" w:lineRule="auto"/>
        <w:jc w:val="center"/>
        <w:rPr>
          <w:rFonts w:ascii="宋体" w:hAnsi="宋体"/>
          <w:b/>
          <w:szCs w:val="21"/>
        </w:rPr>
      </w:pPr>
      <w:r>
        <w:rPr>
          <w:rFonts w:hint="eastAsia" w:ascii="宋体" w:hAnsi="宋体"/>
          <w:b/>
          <w:szCs w:val="21"/>
        </w:rPr>
        <w:t>六、授予合同</w:t>
      </w:r>
    </w:p>
    <w:p w14:paraId="48618958">
      <w:pPr>
        <w:spacing w:line="360" w:lineRule="auto"/>
        <w:ind w:firstLine="422" w:firstLineChars="200"/>
        <w:rPr>
          <w:rFonts w:ascii="宋体" w:hAnsi="宋体"/>
          <w:b/>
          <w:szCs w:val="21"/>
        </w:rPr>
      </w:pPr>
      <w:r>
        <w:rPr>
          <w:rFonts w:hint="eastAsia" w:ascii="宋体" w:hAnsi="宋体"/>
          <w:b/>
          <w:szCs w:val="21"/>
        </w:rPr>
        <w:t>41.成交供应商的确定</w:t>
      </w:r>
    </w:p>
    <w:p w14:paraId="7007712D">
      <w:pPr>
        <w:snapToGrid w:val="0"/>
        <w:spacing w:line="360" w:lineRule="auto"/>
        <w:ind w:firstLine="420" w:firstLineChars="200"/>
        <w:jc w:val="left"/>
        <w:rPr>
          <w:rFonts w:ascii="宋体" w:hAnsi="宋体"/>
          <w:szCs w:val="21"/>
          <w:u w:val="single"/>
        </w:rPr>
      </w:pPr>
      <w:r>
        <w:rPr>
          <w:rFonts w:hint="eastAsia" w:ascii="宋体" w:hAnsi="宋体"/>
          <w:szCs w:val="21"/>
        </w:rPr>
        <w:t>成交供应商确定主体为采购人，确定评审报告提出的排序第一的供应商为成交供应商。</w:t>
      </w:r>
    </w:p>
    <w:p w14:paraId="39ECF401">
      <w:pPr>
        <w:snapToGrid w:val="0"/>
        <w:spacing w:line="360" w:lineRule="auto"/>
        <w:ind w:firstLine="422" w:firstLineChars="200"/>
        <w:jc w:val="left"/>
        <w:rPr>
          <w:rFonts w:ascii="宋体" w:hAnsi="宋体"/>
          <w:b/>
          <w:szCs w:val="21"/>
        </w:rPr>
      </w:pPr>
      <w:r>
        <w:rPr>
          <w:rFonts w:hint="eastAsia" w:ascii="宋体" w:hAnsi="宋体"/>
          <w:b/>
          <w:szCs w:val="21"/>
        </w:rPr>
        <w:t>42.成交结果公告</w:t>
      </w:r>
    </w:p>
    <w:p w14:paraId="42AAA669">
      <w:pPr>
        <w:snapToGrid w:val="0"/>
        <w:spacing w:line="360" w:lineRule="auto"/>
        <w:ind w:firstLine="420" w:firstLineChars="200"/>
        <w:jc w:val="left"/>
        <w:rPr>
          <w:rFonts w:ascii="宋体" w:hAnsi="宋体"/>
          <w:szCs w:val="21"/>
        </w:rPr>
      </w:pPr>
      <w:r>
        <w:rPr>
          <w:rFonts w:hint="eastAsia" w:ascii="宋体" w:hAnsi="宋体"/>
          <w:szCs w:val="21"/>
        </w:rPr>
        <w:t>自成交供应商确定之日起2个工作日内，采购代理机构在磋商文件确定的采购信息发布媒体上公告成交结果。</w:t>
      </w:r>
    </w:p>
    <w:p w14:paraId="0A79E18E">
      <w:pPr>
        <w:snapToGrid w:val="0"/>
        <w:spacing w:line="360" w:lineRule="auto"/>
        <w:ind w:firstLine="422" w:firstLineChars="200"/>
        <w:jc w:val="left"/>
        <w:rPr>
          <w:rFonts w:ascii="宋体" w:hAnsi="宋体"/>
          <w:b/>
          <w:szCs w:val="21"/>
        </w:rPr>
      </w:pPr>
      <w:r>
        <w:rPr>
          <w:rFonts w:hint="eastAsia" w:ascii="宋体" w:hAnsi="宋体"/>
          <w:b/>
          <w:szCs w:val="21"/>
        </w:rPr>
        <w:t>43.成交通知书和采购结果通知书</w:t>
      </w:r>
    </w:p>
    <w:p w14:paraId="5DA2A488">
      <w:pPr>
        <w:snapToGrid w:val="0"/>
        <w:spacing w:line="360" w:lineRule="auto"/>
        <w:ind w:firstLine="420" w:firstLineChars="200"/>
        <w:jc w:val="left"/>
        <w:rPr>
          <w:rFonts w:ascii="宋体" w:hAnsi="宋体"/>
          <w:szCs w:val="21"/>
        </w:rPr>
      </w:pPr>
      <w:r>
        <w:rPr>
          <w:rFonts w:hint="eastAsia" w:ascii="宋体" w:hAnsi="宋体"/>
          <w:szCs w:val="21"/>
        </w:rPr>
        <w:t>在公告成交结果的同时，采购代理机构向成交供应商发出成交通知书，向未成交供应商发出采购结果通知书。</w:t>
      </w:r>
    </w:p>
    <w:p w14:paraId="529E2261">
      <w:pPr>
        <w:snapToGrid w:val="0"/>
        <w:spacing w:line="360" w:lineRule="auto"/>
        <w:ind w:firstLine="422" w:firstLineChars="200"/>
        <w:jc w:val="left"/>
        <w:rPr>
          <w:rFonts w:ascii="宋体" w:hAnsi="宋体"/>
          <w:b/>
          <w:szCs w:val="21"/>
        </w:rPr>
      </w:pPr>
      <w:r>
        <w:rPr>
          <w:rFonts w:hint="eastAsia" w:ascii="宋体" w:hAnsi="宋体"/>
          <w:b/>
          <w:szCs w:val="21"/>
        </w:rPr>
        <w:t>44.签订合同</w:t>
      </w:r>
    </w:p>
    <w:p w14:paraId="6A10C488">
      <w:pPr>
        <w:snapToGrid w:val="0"/>
        <w:spacing w:line="360" w:lineRule="auto"/>
        <w:ind w:firstLine="420" w:firstLineChars="200"/>
        <w:jc w:val="left"/>
        <w:rPr>
          <w:rFonts w:ascii="宋体" w:hAnsi="宋体"/>
          <w:szCs w:val="21"/>
        </w:rPr>
      </w:pPr>
      <w:r>
        <w:rPr>
          <w:rFonts w:hint="eastAsia" w:ascii="宋体" w:hAnsi="宋体"/>
          <w:szCs w:val="21"/>
        </w:rPr>
        <w:t>采购人按照法律法规及磋商文件的规定与成交供应商签订书面合同。</w:t>
      </w:r>
    </w:p>
    <w:p w14:paraId="55E05F15">
      <w:pPr>
        <w:pStyle w:val="4"/>
        <w:rPr>
          <w:rFonts w:ascii="宋体" w:hAnsi="宋体"/>
          <w:color w:val="auto"/>
          <w:sz w:val="32"/>
        </w:rPr>
      </w:pPr>
      <w:r>
        <w:rPr>
          <w:rFonts w:ascii="宋体" w:hAnsi="宋体"/>
          <w:color w:val="auto"/>
          <w:kern w:val="2"/>
          <w:sz w:val="21"/>
          <w:szCs w:val="21"/>
        </w:rPr>
        <w:br w:type="page"/>
      </w:r>
      <w:bookmarkStart w:id="60" w:name="_Toc34844744"/>
      <w:bookmarkStart w:id="61" w:name="_Toc86053874"/>
      <w:r>
        <w:rPr>
          <w:rFonts w:hint="eastAsia" w:ascii="宋体" w:hAnsi="宋体"/>
          <w:color w:val="auto"/>
        </w:rPr>
        <w:t xml:space="preserve">第四章  </w:t>
      </w:r>
      <w:r>
        <w:rPr>
          <w:rFonts w:ascii="宋体" w:hAnsi="宋体"/>
          <w:color w:val="auto"/>
        </w:rPr>
        <w:t>评审方法和评审标准</w:t>
      </w:r>
      <w:bookmarkEnd w:id="60"/>
      <w:bookmarkEnd w:id="61"/>
    </w:p>
    <w:p w14:paraId="364D6511">
      <w:pPr>
        <w:spacing w:line="360" w:lineRule="auto"/>
        <w:ind w:firstLine="424" w:firstLineChars="201"/>
        <w:jc w:val="left"/>
        <w:rPr>
          <w:rFonts w:ascii="宋体" w:hAnsi="宋体"/>
          <w:b/>
          <w:szCs w:val="21"/>
        </w:rPr>
      </w:pPr>
      <w:r>
        <w:rPr>
          <w:rFonts w:hint="eastAsia" w:ascii="宋体" w:hAnsi="宋体"/>
          <w:b/>
          <w:szCs w:val="21"/>
        </w:rPr>
        <w:t>一、总则</w:t>
      </w:r>
    </w:p>
    <w:p w14:paraId="4E4D9F21">
      <w:pPr>
        <w:snapToGrid w:val="0"/>
        <w:spacing w:line="360" w:lineRule="auto"/>
        <w:ind w:firstLine="420" w:firstLineChars="200"/>
        <w:jc w:val="left"/>
        <w:rPr>
          <w:rFonts w:ascii="宋体" w:hAnsi="宋体"/>
          <w:szCs w:val="21"/>
        </w:rPr>
      </w:pPr>
      <w:r>
        <w:rPr>
          <w:rFonts w:hint="eastAsia" w:ascii="宋体" w:hAnsi="宋体"/>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E2A73DA">
      <w:pPr>
        <w:snapToGrid w:val="0"/>
        <w:spacing w:line="360" w:lineRule="auto"/>
        <w:ind w:firstLine="420" w:firstLineChars="200"/>
        <w:jc w:val="left"/>
        <w:rPr>
          <w:rFonts w:ascii="宋体" w:hAnsi="宋体"/>
          <w:szCs w:val="21"/>
        </w:rPr>
      </w:pPr>
      <w:r>
        <w:rPr>
          <w:rFonts w:hint="eastAsia" w:ascii="宋体" w:hAnsi="宋体"/>
          <w:szCs w:val="21"/>
        </w:rPr>
        <w:t>评审专家应当遵守评审工作纪律，不得泄露评审情况和评审中获悉的商业秘密。</w:t>
      </w:r>
    </w:p>
    <w:p w14:paraId="600C4E74">
      <w:pPr>
        <w:spacing w:line="360" w:lineRule="auto"/>
        <w:ind w:firstLine="424" w:firstLineChars="201"/>
        <w:jc w:val="left"/>
        <w:rPr>
          <w:rFonts w:ascii="宋体" w:hAnsi="宋体"/>
          <w:b/>
          <w:szCs w:val="21"/>
        </w:rPr>
      </w:pPr>
      <w:r>
        <w:rPr>
          <w:rFonts w:hint="eastAsia" w:ascii="宋体" w:hAnsi="宋体"/>
          <w:b/>
          <w:szCs w:val="21"/>
        </w:rPr>
        <w:t>二、评审方法</w:t>
      </w:r>
    </w:p>
    <w:p w14:paraId="7DC96853">
      <w:pPr>
        <w:snapToGrid w:val="0"/>
        <w:spacing w:line="360" w:lineRule="auto"/>
        <w:ind w:firstLine="420" w:firstLineChars="200"/>
        <w:jc w:val="left"/>
        <w:rPr>
          <w:rFonts w:ascii="宋体" w:hAnsi="宋体"/>
          <w:szCs w:val="21"/>
        </w:rPr>
      </w:pPr>
      <w:r>
        <w:rPr>
          <w:rFonts w:hint="eastAsia" w:ascii="宋体" w:hAnsi="宋体"/>
          <w:szCs w:val="21"/>
        </w:rPr>
        <w:t>本项目采用综合评分法进行评审。评审时，磋商小组各成员独立对每个有效的响应文件进行评价、打分，然后汇总每个供应商每项评分因素的得分。每个供应商</w:t>
      </w:r>
      <w:r>
        <w:rPr>
          <w:rFonts w:ascii="宋体" w:hAnsi="宋体"/>
          <w:szCs w:val="21"/>
        </w:rPr>
        <w:t>的</w:t>
      </w:r>
      <w:r>
        <w:rPr>
          <w:rFonts w:hint="eastAsia" w:ascii="宋体" w:hAnsi="宋体"/>
          <w:szCs w:val="21"/>
        </w:rPr>
        <w:t>最终评审</w:t>
      </w:r>
      <w:r>
        <w:rPr>
          <w:rFonts w:ascii="宋体" w:hAnsi="宋体"/>
          <w:szCs w:val="21"/>
        </w:rPr>
        <w:t>得分为所有评委</w:t>
      </w:r>
      <w:r>
        <w:rPr>
          <w:rFonts w:hint="eastAsia" w:ascii="宋体" w:hAnsi="宋体"/>
          <w:szCs w:val="21"/>
        </w:rPr>
        <w:t>评</w:t>
      </w:r>
      <w:r>
        <w:rPr>
          <w:rFonts w:ascii="宋体" w:hAnsi="宋体"/>
          <w:szCs w:val="21"/>
        </w:rPr>
        <w:t>分的算术平均数</w:t>
      </w:r>
      <w:r>
        <w:rPr>
          <w:rFonts w:hint="eastAsia" w:ascii="宋体" w:hAnsi="宋体"/>
          <w:szCs w:val="21"/>
        </w:rPr>
        <w:t>，小数点后四舍五入保留二位小数。</w:t>
      </w:r>
    </w:p>
    <w:p w14:paraId="6F4B2B0F">
      <w:pPr>
        <w:snapToGrid w:val="0"/>
        <w:spacing w:line="360" w:lineRule="auto"/>
        <w:ind w:firstLine="422" w:firstLineChars="200"/>
        <w:jc w:val="left"/>
        <w:rPr>
          <w:rFonts w:ascii="宋体" w:hAnsi="宋体"/>
          <w:b/>
          <w:szCs w:val="21"/>
        </w:rPr>
      </w:pPr>
      <w:r>
        <w:rPr>
          <w:rFonts w:hint="eastAsia" w:ascii="宋体" w:hAnsi="宋体"/>
          <w:b/>
          <w:szCs w:val="21"/>
        </w:rPr>
        <w:t>三、评审程序</w:t>
      </w:r>
    </w:p>
    <w:p w14:paraId="1537B18D">
      <w:pPr>
        <w:snapToGrid w:val="0"/>
        <w:spacing w:line="360" w:lineRule="auto"/>
        <w:ind w:firstLine="422" w:firstLineChars="200"/>
        <w:jc w:val="left"/>
        <w:rPr>
          <w:rFonts w:ascii="宋体" w:hAnsi="宋体"/>
          <w:b/>
          <w:szCs w:val="21"/>
        </w:rPr>
      </w:pPr>
      <w:r>
        <w:rPr>
          <w:rFonts w:hint="eastAsia" w:ascii="宋体" w:hAnsi="宋体"/>
          <w:b/>
          <w:szCs w:val="21"/>
        </w:rPr>
        <w:t>1.资格审查</w:t>
      </w:r>
    </w:p>
    <w:p w14:paraId="4EE914AA">
      <w:pPr>
        <w:snapToGrid w:val="0"/>
        <w:spacing w:line="360" w:lineRule="auto"/>
        <w:ind w:firstLine="420" w:firstLineChars="200"/>
        <w:jc w:val="left"/>
        <w:rPr>
          <w:rFonts w:ascii="宋体" w:hAnsi="宋体"/>
          <w:szCs w:val="21"/>
        </w:rPr>
      </w:pPr>
      <w:r>
        <w:rPr>
          <w:rFonts w:ascii="宋体" w:hAnsi="宋体"/>
          <w:szCs w:val="21"/>
        </w:rPr>
        <w:t>由采购人或采购代理机构对</w:t>
      </w:r>
      <w:r>
        <w:rPr>
          <w:rFonts w:hint="eastAsia" w:ascii="宋体" w:hAnsi="宋体"/>
          <w:szCs w:val="21"/>
        </w:rPr>
        <w:t>供应商进行资格审查</w:t>
      </w:r>
      <w:r>
        <w:rPr>
          <w:rFonts w:ascii="宋体" w:hAnsi="宋体"/>
          <w:szCs w:val="21"/>
        </w:rPr>
        <w:t>。资格审查</w:t>
      </w:r>
      <w:r>
        <w:rPr>
          <w:rFonts w:hint="eastAsia" w:ascii="宋体" w:hAnsi="宋体"/>
          <w:szCs w:val="21"/>
        </w:rPr>
        <w:t>内容</w:t>
      </w:r>
      <w:r>
        <w:rPr>
          <w:rFonts w:ascii="宋体" w:hAnsi="宋体"/>
          <w:szCs w:val="21"/>
        </w:rPr>
        <w:t>如下：</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552"/>
        <w:gridCol w:w="3969"/>
      </w:tblGrid>
      <w:tr w14:paraId="20E8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0D9C716E">
            <w:pPr>
              <w:adjustRightInd w:val="0"/>
              <w:snapToGrid w:val="0"/>
              <w:ind w:right="-50"/>
              <w:jc w:val="center"/>
              <w:rPr>
                <w:rFonts w:ascii="宋体" w:hAnsi="宋体"/>
                <w:szCs w:val="21"/>
              </w:rPr>
            </w:pPr>
            <w:r>
              <w:rPr>
                <w:rFonts w:hint="eastAsia" w:ascii="宋体" w:hAnsi="宋体"/>
                <w:szCs w:val="21"/>
              </w:rPr>
              <w:t>序号</w:t>
            </w:r>
          </w:p>
        </w:tc>
        <w:tc>
          <w:tcPr>
            <w:tcW w:w="1134" w:type="dxa"/>
            <w:tcBorders>
              <w:bottom w:val="single" w:color="auto" w:sz="4" w:space="0"/>
            </w:tcBorders>
            <w:vAlign w:val="center"/>
          </w:tcPr>
          <w:p w14:paraId="15FE669F">
            <w:pPr>
              <w:pStyle w:val="22"/>
              <w:pBdr>
                <w:bottom w:val="none" w:color="auto" w:sz="0" w:space="0"/>
              </w:pBdr>
              <w:tabs>
                <w:tab w:val="clear" w:pos="4153"/>
                <w:tab w:val="clear" w:pos="8306"/>
              </w:tabs>
              <w:snapToGrid w:val="0"/>
              <w:spacing w:line="240" w:lineRule="auto"/>
              <w:ind w:right="-50"/>
              <w:textAlignment w:val="auto"/>
              <w:rPr>
                <w:rFonts w:ascii="宋体" w:hAnsi="宋体" w:eastAsia="宋体"/>
                <w:kern w:val="2"/>
                <w:sz w:val="21"/>
                <w:szCs w:val="21"/>
              </w:rPr>
            </w:pPr>
            <w:r>
              <w:rPr>
                <w:rFonts w:hint="eastAsia" w:ascii="宋体" w:hAnsi="宋体" w:eastAsia="宋体"/>
                <w:kern w:val="2"/>
                <w:sz w:val="21"/>
                <w:szCs w:val="21"/>
              </w:rPr>
              <w:t>评审内容</w:t>
            </w:r>
          </w:p>
        </w:tc>
        <w:tc>
          <w:tcPr>
            <w:tcW w:w="2552" w:type="dxa"/>
            <w:tcBorders>
              <w:bottom w:val="single" w:color="auto" w:sz="4" w:space="0"/>
            </w:tcBorders>
            <w:vAlign w:val="center"/>
          </w:tcPr>
          <w:p w14:paraId="03B78384">
            <w:pPr>
              <w:adjustRightInd w:val="0"/>
              <w:snapToGrid w:val="0"/>
              <w:ind w:right="-50"/>
              <w:jc w:val="center"/>
              <w:rPr>
                <w:rFonts w:ascii="宋体" w:hAnsi="宋体"/>
                <w:szCs w:val="21"/>
              </w:rPr>
            </w:pPr>
            <w:r>
              <w:rPr>
                <w:rFonts w:hint="eastAsia" w:ascii="宋体" w:hAnsi="宋体"/>
                <w:szCs w:val="21"/>
              </w:rPr>
              <w:t>审查要求</w:t>
            </w:r>
          </w:p>
        </w:tc>
        <w:tc>
          <w:tcPr>
            <w:tcW w:w="3969" w:type="dxa"/>
            <w:tcBorders>
              <w:bottom w:val="single" w:color="auto" w:sz="4" w:space="0"/>
            </w:tcBorders>
            <w:vAlign w:val="center"/>
          </w:tcPr>
          <w:p w14:paraId="7BE53E6B">
            <w:pPr>
              <w:adjustRightInd w:val="0"/>
              <w:snapToGrid w:val="0"/>
              <w:ind w:right="-50"/>
              <w:jc w:val="center"/>
              <w:rPr>
                <w:rFonts w:ascii="宋体" w:hAnsi="宋体"/>
                <w:szCs w:val="21"/>
              </w:rPr>
            </w:pPr>
            <w:r>
              <w:rPr>
                <w:rFonts w:hint="eastAsia" w:ascii="宋体" w:hAnsi="宋体"/>
                <w:szCs w:val="21"/>
              </w:rPr>
              <w:t>要求说明</w:t>
            </w:r>
          </w:p>
        </w:tc>
      </w:tr>
      <w:tr w14:paraId="55E4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9" w:type="dxa"/>
            <w:vAlign w:val="center"/>
          </w:tcPr>
          <w:p w14:paraId="2BCFC72A">
            <w:pPr>
              <w:adjustRightInd w:val="0"/>
              <w:snapToGrid w:val="0"/>
              <w:ind w:right="-50"/>
              <w:jc w:val="center"/>
              <w:rPr>
                <w:rFonts w:ascii="宋体" w:hAnsi="宋体"/>
                <w:szCs w:val="21"/>
              </w:rPr>
            </w:pPr>
            <w:r>
              <w:rPr>
                <w:rFonts w:hint="eastAsia" w:ascii="宋体" w:hAnsi="宋体"/>
                <w:szCs w:val="21"/>
              </w:rPr>
              <w:t>1</w:t>
            </w:r>
          </w:p>
        </w:tc>
        <w:tc>
          <w:tcPr>
            <w:tcW w:w="1134" w:type="dxa"/>
            <w:vAlign w:val="center"/>
          </w:tcPr>
          <w:p w14:paraId="4C9F95EB">
            <w:pPr>
              <w:ind w:right="-50"/>
              <w:jc w:val="left"/>
              <w:rPr>
                <w:rFonts w:ascii="宋体" w:hAnsi="宋体"/>
                <w:szCs w:val="21"/>
              </w:rPr>
            </w:pPr>
            <w:r>
              <w:rPr>
                <w:rFonts w:hint="eastAsia" w:ascii="宋体" w:hAnsi="宋体"/>
                <w:szCs w:val="21"/>
              </w:rPr>
              <w:t>基本资质</w:t>
            </w:r>
          </w:p>
        </w:tc>
        <w:tc>
          <w:tcPr>
            <w:tcW w:w="2552" w:type="dxa"/>
            <w:vAlign w:val="center"/>
          </w:tcPr>
          <w:p w14:paraId="1000D968">
            <w:pPr>
              <w:ind w:right="-50"/>
              <w:jc w:val="left"/>
              <w:rPr>
                <w:rFonts w:ascii="宋体" w:hAnsi="宋体"/>
                <w:szCs w:val="21"/>
              </w:rPr>
            </w:pPr>
            <w:r>
              <w:rPr>
                <w:rFonts w:hint="eastAsia" w:ascii="宋体" w:hAnsi="宋体"/>
                <w:szCs w:val="21"/>
              </w:rPr>
              <w:t>满足《中华人民共和国政府采购法》第二十二条第一款规定</w:t>
            </w:r>
          </w:p>
        </w:tc>
        <w:tc>
          <w:tcPr>
            <w:tcW w:w="3969" w:type="dxa"/>
            <w:vAlign w:val="center"/>
          </w:tcPr>
          <w:p w14:paraId="40E2115C">
            <w:pPr>
              <w:jc w:val="left"/>
              <w:rPr>
                <w:rFonts w:ascii="宋体" w:hAnsi="宋体"/>
                <w:szCs w:val="21"/>
              </w:rPr>
            </w:pPr>
            <w:r>
              <w:rPr>
                <w:rFonts w:hint="eastAsia" w:ascii="宋体" w:hAnsi="宋体"/>
                <w:szCs w:val="21"/>
              </w:rPr>
              <w:t>资格要求响应文件内提供《供应商资格声明函》。</w:t>
            </w:r>
          </w:p>
        </w:tc>
      </w:tr>
      <w:tr w14:paraId="1C95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4726FCE0">
            <w:pPr>
              <w:adjustRightInd w:val="0"/>
              <w:snapToGrid w:val="0"/>
              <w:ind w:right="-50"/>
              <w:jc w:val="center"/>
              <w:rPr>
                <w:rFonts w:ascii="宋体" w:hAnsi="宋体"/>
                <w:szCs w:val="21"/>
              </w:rPr>
            </w:pPr>
            <w:r>
              <w:rPr>
                <w:rFonts w:hint="eastAsia" w:ascii="宋体" w:hAnsi="宋体"/>
                <w:szCs w:val="21"/>
              </w:rPr>
              <w:t>2</w:t>
            </w:r>
          </w:p>
        </w:tc>
        <w:tc>
          <w:tcPr>
            <w:tcW w:w="1134" w:type="dxa"/>
            <w:tcBorders>
              <w:bottom w:val="single" w:color="auto" w:sz="4" w:space="0"/>
            </w:tcBorders>
            <w:vAlign w:val="center"/>
          </w:tcPr>
          <w:p w14:paraId="415816A1">
            <w:pPr>
              <w:ind w:right="-50"/>
              <w:jc w:val="left"/>
              <w:rPr>
                <w:rFonts w:ascii="宋体" w:hAnsi="宋体"/>
                <w:szCs w:val="21"/>
              </w:rPr>
            </w:pPr>
            <w:r>
              <w:rPr>
                <w:rFonts w:hint="eastAsia" w:ascii="宋体" w:hAnsi="宋体"/>
                <w:szCs w:val="21"/>
              </w:rPr>
              <w:t>营业执照</w:t>
            </w:r>
          </w:p>
        </w:tc>
        <w:tc>
          <w:tcPr>
            <w:tcW w:w="2552" w:type="dxa"/>
            <w:tcBorders>
              <w:bottom w:val="single" w:color="auto" w:sz="4" w:space="0"/>
            </w:tcBorders>
            <w:vAlign w:val="center"/>
          </w:tcPr>
          <w:p w14:paraId="3C409B1C">
            <w:pPr>
              <w:ind w:right="-50"/>
              <w:jc w:val="left"/>
              <w:rPr>
                <w:rFonts w:ascii="宋体" w:hAnsi="宋体"/>
                <w:szCs w:val="21"/>
              </w:rPr>
            </w:pPr>
            <w:r>
              <w:rPr>
                <w:rFonts w:hint="eastAsia" w:ascii="宋体" w:hAnsi="宋体" w:cs="宋体"/>
                <w:kern w:val="1"/>
              </w:rPr>
              <w:t>营业执照等机构登记证明复印件</w:t>
            </w:r>
          </w:p>
        </w:tc>
        <w:tc>
          <w:tcPr>
            <w:tcW w:w="3969" w:type="dxa"/>
            <w:tcBorders>
              <w:bottom w:val="single" w:color="auto" w:sz="4" w:space="0"/>
            </w:tcBorders>
            <w:vAlign w:val="center"/>
          </w:tcPr>
          <w:p w14:paraId="501FD6E8">
            <w:pPr>
              <w:jc w:val="left"/>
              <w:rPr>
                <w:rFonts w:ascii="宋体" w:hAnsi="宋体"/>
                <w:szCs w:val="21"/>
              </w:rPr>
            </w:pPr>
            <w:r>
              <w:rPr>
                <w:rFonts w:hint="eastAsia" w:ascii="宋体" w:hAnsi="宋体"/>
                <w:szCs w:val="21"/>
              </w:rPr>
              <w:t>资格要求响应文件内提供有效</w:t>
            </w:r>
            <w:r>
              <w:rPr>
                <w:rFonts w:hint="eastAsia" w:ascii="宋体" w:hAnsi="宋体" w:cs="宋体"/>
                <w:kern w:val="1"/>
              </w:rPr>
              <w:t>的营业执照等机构登记证明复印件，复印件</w:t>
            </w:r>
            <w:r>
              <w:rPr>
                <w:rFonts w:hint="eastAsia" w:ascii="宋体" w:hAnsi="宋体"/>
                <w:szCs w:val="21"/>
              </w:rPr>
              <w:t>应完整清晰的体现出证明材料的全部内容。</w:t>
            </w:r>
          </w:p>
        </w:tc>
      </w:tr>
      <w:tr w14:paraId="477F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5943C1D5">
            <w:pPr>
              <w:adjustRightInd w:val="0"/>
              <w:snapToGrid w:val="0"/>
              <w:ind w:right="-50"/>
              <w:jc w:val="center"/>
              <w:rPr>
                <w:rFonts w:ascii="宋体" w:hAnsi="宋体"/>
                <w:szCs w:val="21"/>
              </w:rPr>
            </w:pPr>
            <w:r>
              <w:rPr>
                <w:rFonts w:hint="eastAsia" w:ascii="宋体" w:hAnsi="宋体"/>
                <w:szCs w:val="21"/>
              </w:rPr>
              <w:t>3</w:t>
            </w:r>
          </w:p>
        </w:tc>
        <w:tc>
          <w:tcPr>
            <w:tcW w:w="1134" w:type="dxa"/>
            <w:tcBorders>
              <w:bottom w:val="single" w:color="auto" w:sz="4" w:space="0"/>
            </w:tcBorders>
            <w:vAlign w:val="center"/>
          </w:tcPr>
          <w:p w14:paraId="78E75B6F">
            <w:pPr>
              <w:ind w:right="-50"/>
              <w:jc w:val="left"/>
              <w:rPr>
                <w:rFonts w:ascii="宋体" w:hAnsi="宋体"/>
                <w:szCs w:val="21"/>
              </w:rPr>
            </w:pPr>
            <w:r>
              <w:rPr>
                <w:rFonts w:hint="eastAsia" w:ascii="宋体" w:hAnsi="宋体"/>
                <w:szCs w:val="21"/>
              </w:rPr>
              <w:t>落实政府采购政策需满足的资格要求</w:t>
            </w:r>
          </w:p>
        </w:tc>
        <w:tc>
          <w:tcPr>
            <w:tcW w:w="2552" w:type="dxa"/>
            <w:tcBorders>
              <w:bottom w:val="single" w:color="auto" w:sz="4" w:space="0"/>
            </w:tcBorders>
            <w:vAlign w:val="center"/>
          </w:tcPr>
          <w:p w14:paraId="377BB004">
            <w:pPr>
              <w:ind w:right="-50"/>
              <w:jc w:val="left"/>
              <w:rPr>
                <w:rFonts w:ascii="宋体" w:hAnsi="宋体" w:cs="宋体"/>
                <w:kern w:val="1"/>
              </w:rPr>
            </w:pPr>
            <w:r>
              <w:rPr>
                <w:rFonts w:hint="eastAsia" w:ascii="宋体" w:hAnsi="宋体"/>
                <w:szCs w:val="21"/>
              </w:rPr>
              <w:t>工程由符合政策要求的中小企业承接</w:t>
            </w:r>
          </w:p>
        </w:tc>
        <w:tc>
          <w:tcPr>
            <w:tcW w:w="3969" w:type="dxa"/>
            <w:tcBorders>
              <w:bottom w:val="single" w:color="auto" w:sz="4" w:space="0"/>
            </w:tcBorders>
            <w:vAlign w:val="center"/>
          </w:tcPr>
          <w:p w14:paraId="1DEB30DC">
            <w:pPr>
              <w:jc w:val="left"/>
              <w:rPr>
                <w:rFonts w:ascii="宋体" w:hAnsi="宋体"/>
                <w:szCs w:val="21"/>
              </w:rPr>
            </w:pPr>
            <w:r>
              <w:rPr>
                <w:rFonts w:hint="eastAsia" w:ascii="宋体" w:hAnsi="宋体"/>
                <w:szCs w:val="21"/>
              </w:rPr>
              <w:t>提供符合要求的中小企业声明函或残疾人福利性单位声明函或监狱企业证明文件。</w:t>
            </w:r>
          </w:p>
        </w:tc>
      </w:tr>
      <w:tr w14:paraId="1136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6A8BAE4D">
            <w:pPr>
              <w:adjustRightInd w:val="0"/>
              <w:snapToGrid w:val="0"/>
              <w:ind w:right="-50"/>
              <w:jc w:val="center"/>
              <w:rPr>
                <w:rFonts w:ascii="宋体" w:hAnsi="宋体"/>
                <w:szCs w:val="21"/>
              </w:rPr>
            </w:pPr>
            <w:r>
              <w:rPr>
                <w:rFonts w:hint="eastAsia" w:ascii="宋体" w:hAnsi="宋体"/>
                <w:szCs w:val="21"/>
              </w:rPr>
              <w:t>4</w:t>
            </w:r>
          </w:p>
        </w:tc>
        <w:tc>
          <w:tcPr>
            <w:tcW w:w="1134" w:type="dxa"/>
            <w:tcBorders>
              <w:bottom w:val="single" w:color="auto" w:sz="4" w:space="0"/>
            </w:tcBorders>
            <w:vAlign w:val="center"/>
          </w:tcPr>
          <w:p w14:paraId="477608FB">
            <w:pPr>
              <w:ind w:right="-50"/>
              <w:jc w:val="left"/>
              <w:rPr>
                <w:rFonts w:ascii="宋体" w:hAnsi="宋体"/>
                <w:szCs w:val="21"/>
              </w:rPr>
            </w:pPr>
            <w:r>
              <w:rPr>
                <w:rFonts w:hint="eastAsia" w:ascii="宋体" w:hAnsi="宋体"/>
                <w:szCs w:val="21"/>
              </w:rPr>
              <w:t>特定资质</w:t>
            </w:r>
          </w:p>
        </w:tc>
        <w:tc>
          <w:tcPr>
            <w:tcW w:w="2552" w:type="dxa"/>
            <w:tcBorders>
              <w:bottom w:val="single" w:color="auto" w:sz="4" w:space="0"/>
            </w:tcBorders>
            <w:vAlign w:val="center"/>
          </w:tcPr>
          <w:p w14:paraId="1324D4A0">
            <w:pPr>
              <w:ind w:right="-50"/>
              <w:jc w:val="left"/>
              <w:rPr>
                <w:rFonts w:ascii="宋体" w:hAnsi="宋体"/>
                <w:szCs w:val="21"/>
              </w:rPr>
            </w:pPr>
            <w:r>
              <w:rPr>
                <w:rFonts w:hint="eastAsia" w:ascii="宋体" w:hAnsi="宋体"/>
                <w:szCs w:val="21"/>
              </w:rPr>
              <w:t>具有有效的建筑装修装饰工程专业承包贰级及以上资质，具有建设行政主管部门颁发的有效的安全生产许可证</w:t>
            </w:r>
          </w:p>
        </w:tc>
        <w:tc>
          <w:tcPr>
            <w:tcW w:w="3969" w:type="dxa"/>
            <w:tcBorders>
              <w:bottom w:val="single" w:color="auto" w:sz="4" w:space="0"/>
            </w:tcBorders>
            <w:vAlign w:val="center"/>
          </w:tcPr>
          <w:p w14:paraId="454024FC">
            <w:pPr>
              <w:ind w:right="-50"/>
              <w:jc w:val="left"/>
              <w:rPr>
                <w:rFonts w:ascii="宋体" w:hAnsi="宋体"/>
                <w:szCs w:val="21"/>
              </w:rPr>
            </w:pPr>
            <w:r>
              <w:rPr>
                <w:rFonts w:hint="eastAsia" w:ascii="宋体" w:hAnsi="宋体"/>
                <w:szCs w:val="21"/>
              </w:rPr>
              <w:t>资格要求响应文件内提供有效的建筑装修装饰工程专业承包贰级及以上资质证书的复印件和建设行政主管部门颁发的有效的安全生产许可证复印件。</w:t>
            </w:r>
          </w:p>
        </w:tc>
      </w:tr>
      <w:tr w14:paraId="5B6E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9" w:type="dxa"/>
            <w:tcBorders>
              <w:bottom w:val="single" w:color="auto" w:sz="4" w:space="0"/>
            </w:tcBorders>
            <w:vAlign w:val="center"/>
          </w:tcPr>
          <w:p w14:paraId="44ED0FBF">
            <w:pPr>
              <w:adjustRightInd w:val="0"/>
              <w:snapToGrid w:val="0"/>
              <w:ind w:right="-50"/>
              <w:jc w:val="center"/>
              <w:rPr>
                <w:rFonts w:ascii="宋体" w:hAnsi="宋体"/>
                <w:szCs w:val="21"/>
              </w:rPr>
            </w:pPr>
            <w:r>
              <w:rPr>
                <w:rFonts w:hint="eastAsia" w:ascii="宋体" w:hAnsi="宋体"/>
                <w:szCs w:val="21"/>
              </w:rPr>
              <w:t>5</w:t>
            </w:r>
          </w:p>
        </w:tc>
        <w:tc>
          <w:tcPr>
            <w:tcW w:w="1134" w:type="dxa"/>
            <w:tcBorders>
              <w:bottom w:val="single" w:color="auto" w:sz="4" w:space="0"/>
            </w:tcBorders>
            <w:vAlign w:val="center"/>
          </w:tcPr>
          <w:p w14:paraId="72922BFA">
            <w:pPr>
              <w:ind w:right="-50"/>
              <w:jc w:val="left"/>
              <w:rPr>
                <w:rFonts w:ascii="宋体" w:hAnsi="宋体"/>
                <w:szCs w:val="21"/>
              </w:rPr>
            </w:pPr>
            <w:r>
              <w:rPr>
                <w:rFonts w:hint="eastAsia" w:ascii="宋体" w:hAnsi="宋体"/>
                <w:szCs w:val="21"/>
              </w:rPr>
              <w:t>信用情况</w:t>
            </w:r>
          </w:p>
        </w:tc>
        <w:tc>
          <w:tcPr>
            <w:tcW w:w="2552" w:type="dxa"/>
            <w:tcBorders>
              <w:bottom w:val="single" w:color="auto" w:sz="4" w:space="0"/>
            </w:tcBorders>
            <w:vAlign w:val="center"/>
          </w:tcPr>
          <w:p w14:paraId="0C34DCA2">
            <w:pPr>
              <w:ind w:right="-50"/>
              <w:jc w:val="left"/>
              <w:rPr>
                <w:rFonts w:ascii="宋体" w:hAnsi="宋体"/>
                <w:szCs w:val="21"/>
              </w:rPr>
            </w:pPr>
            <w:r>
              <w:rPr>
                <w:rFonts w:hint="eastAsia" w:ascii="宋体" w:hAnsi="宋体"/>
                <w:szCs w:val="21"/>
              </w:rPr>
              <w:t>未被“信用中国”（www.creditchina.gov.cn)、中国政府采购网（www.ccgp.gov.cn）列入失信被执行人、重大税收违法失信主体、政府采购严重违法失信行为记录名单</w:t>
            </w:r>
          </w:p>
        </w:tc>
        <w:tc>
          <w:tcPr>
            <w:tcW w:w="3969" w:type="dxa"/>
            <w:tcBorders>
              <w:bottom w:val="single" w:color="auto" w:sz="4" w:space="0"/>
            </w:tcBorders>
            <w:vAlign w:val="center"/>
          </w:tcPr>
          <w:p w14:paraId="08D18245">
            <w:pPr>
              <w:adjustRightInd w:val="0"/>
              <w:snapToGrid w:val="0"/>
              <w:ind w:right="-50"/>
              <w:jc w:val="left"/>
              <w:rPr>
                <w:rFonts w:ascii="宋体" w:hAnsi="宋体"/>
                <w:szCs w:val="21"/>
              </w:rPr>
            </w:pPr>
            <w:r>
              <w:rPr>
                <w:rFonts w:hint="eastAsia" w:ascii="宋体" w:hAnsi="宋体"/>
                <w:szCs w:val="21"/>
              </w:rPr>
              <w:t>无需提供材料。</w:t>
            </w:r>
          </w:p>
        </w:tc>
      </w:tr>
    </w:tbl>
    <w:p w14:paraId="3801B4E3">
      <w:pPr>
        <w:spacing w:line="360" w:lineRule="auto"/>
        <w:ind w:firstLine="422"/>
        <w:rPr>
          <w:rFonts w:ascii="宋体" w:hAnsi="宋体"/>
          <w:szCs w:val="21"/>
        </w:rPr>
      </w:pPr>
      <w:r>
        <w:rPr>
          <w:rFonts w:hint="eastAsia" w:ascii="宋体" w:hAnsi="宋体"/>
          <w:b/>
          <w:bCs/>
          <w:szCs w:val="21"/>
        </w:rPr>
        <w:t>资格审查指标通过标准：</w:t>
      </w:r>
      <w:r>
        <w:rPr>
          <w:rFonts w:hint="eastAsia" w:ascii="宋体" w:hAnsi="宋体"/>
          <w:szCs w:val="21"/>
        </w:rPr>
        <w:t>供应商必须通过资格审查表中的全部评审指标。</w:t>
      </w:r>
    </w:p>
    <w:p w14:paraId="3FCC5442">
      <w:pPr>
        <w:spacing w:line="360" w:lineRule="auto"/>
        <w:ind w:firstLine="422"/>
        <w:rPr>
          <w:rFonts w:ascii="宋体" w:hAnsi="宋体"/>
          <w:b/>
          <w:szCs w:val="21"/>
        </w:rPr>
      </w:pPr>
      <w:r>
        <w:rPr>
          <w:rFonts w:hint="eastAsia" w:ascii="宋体" w:hAnsi="宋体"/>
          <w:b/>
          <w:szCs w:val="21"/>
        </w:rPr>
        <w:t>2.符合性审查</w:t>
      </w:r>
    </w:p>
    <w:p w14:paraId="006FCB7B">
      <w:pPr>
        <w:spacing w:line="360" w:lineRule="auto"/>
        <w:ind w:firstLine="420"/>
        <w:rPr>
          <w:rFonts w:ascii="宋体" w:hAnsi="宋体"/>
          <w:szCs w:val="21"/>
        </w:rPr>
      </w:pPr>
      <w:r>
        <w:rPr>
          <w:rFonts w:hint="eastAsia" w:ascii="宋体" w:hAnsi="宋体"/>
          <w:szCs w:val="21"/>
        </w:rPr>
        <w:t>磋商小组对通过资格审查的供应商的响应文件进行符合性审查，以确定其是否满足磋商文件的实质性要求。符合性</w:t>
      </w:r>
      <w:r>
        <w:rPr>
          <w:rFonts w:ascii="宋体" w:hAnsi="宋体"/>
          <w:szCs w:val="21"/>
        </w:rPr>
        <w:t>审查</w:t>
      </w:r>
      <w:r>
        <w:rPr>
          <w:rFonts w:hint="eastAsia" w:ascii="宋体" w:hAnsi="宋体"/>
          <w:szCs w:val="21"/>
        </w:rPr>
        <w:t>内容</w:t>
      </w:r>
      <w:r>
        <w:rPr>
          <w:rFonts w:ascii="宋体" w:hAnsi="宋体"/>
          <w:szCs w:val="21"/>
        </w:rPr>
        <w:t>如下</w:t>
      </w:r>
      <w:r>
        <w:rPr>
          <w:rFonts w:hint="eastAsia" w:ascii="宋体" w:hAnsi="宋体"/>
          <w:szCs w:val="21"/>
        </w:rPr>
        <w:t>：</w:t>
      </w:r>
    </w:p>
    <w:p w14:paraId="0333CF61">
      <w:pPr>
        <w:pStyle w:val="2"/>
        <w:rPr>
          <w:rFonts w:ascii="宋体" w:hAnsi="宋体"/>
        </w:rPr>
      </w:pP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2694"/>
      </w:tblGrid>
      <w:tr w14:paraId="03CA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14:paraId="2A1362F2">
            <w:pPr>
              <w:adjustRightInd w:val="0"/>
              <w:snapToGrid w:val="0"/>
              <w:ind w:right="-50"/>
              <w:jc w:val="center"/>
              <w:rPr>
                <w:rFonts w:ascii="宋体" w:hAnsi="宋体"/>
                <w:szCs w:val="21"/>
              </w:rPr>
            </w:pPr>
            <w:r>
              <w:rPr>
                <w:rFonts w:hint="eastAsia" w:ascii="宋体" w:hAnsi="宋体"/>
                <w:szCs w:val="21"/>
              </w:rPr>
              <w:t>序号</w:t>
            </w:r>
          </w:p>
        </w:tc>
        <w:tc>
          <w:tcPr>
            <w:tcW w:w="1690" w:type="dxa"/>
            <w:tcBorders>
              <w:bottom w:val="single" w:color="auto" w:sz="4" w:space="0"/>
            </w:tcBorders>
            <w:vAlign w:val="center"/>
          </w:tcPr>
          <w:p w14:paraId="0369746F">
            <w:pPr>
              <w:pStyle w:val="22"/>
              <w:pBdr>
                <w:bottom w:val="none" w:color="auto" w:sz="0" w:space="0"/>
              </w:pBdr>
              <w:tabs>
                <w:tab w:val="clear" w:pos="4153"/>
                <w:tab w:val="clear" w:pos="8306"/>
              </w:tabs>
              <w:snapToGrid w:val="0"/>
              <w:spacing w:line="240" w:lineRule="auto"/>
              <w:ind w:right="-50"/>
              <w:textAlignment w:val="auto"/>
              <w:rPr>
                <w:rFonts w:ascii="宋体" w:hAnsi="宋体" w:eastAsia="宋体"/>
                <w:kern w:val="2"/>
                <w:sz w:val="21"/>
                <w:szCs w:val="21"/>
              </w:rPr>
            </w:pPr>
            <w:r>
              <w:rPr>
                <w:rFonts w:hint="eastAsia" w:ascii="宋体" w:hAnsi="宋体" w:eastAsia="宋体"/>
                <w:kern w:val="2"/>
                <w:sz w:val="21"/>
                <w:szCs w:val="21"/>
              </w:rPr>
              <w:t>评审内容</w:t>
            </w:r>
          </w:p>
        </w:tc>
        <w:tc>
          <w:tcPr>
            <w:tcW w:w="3260" w:type="dxa"/>
            <w:tcBorders>
              <w:bottom w:val="single" w:color="auto" w:sz="4" w:space="0"/>
            </w:tcBorders>
            <w:vAlign w:val="center"/>
          </w:tcPr>
          <w:p w14:paraId="0F4391AF">
            <w:pPr>
              <w:adjustRightInd w:val="0"/>
              <w:snapToGrid w:val="0"/>
              <w:ind w:right="-50"/>
              <w:jc w:val="center"/>
              <w:rPr>
                <w:rFonts w:ascii="宋体" w:hAnsi="宋体"/>
                <w:szCs w:val="21"/>
              </w:rPr>
            </w:pPr>
            <w:r>
              <w:rPr>
                <w:rFonts w:hint="eastAsia" w:ascii="宋体" w:hAnsi="宋体"/>
                <w:szCs w:val="21"/>
              </w:rPr>
              <w:t>要求</w:t>
            </w:r>
          </w:p>
        </w:tc>
        <w:tc>
          <w:tcPr>
            <w:tcW w:w="2694" w:type="dxa"/>
            <w:tcBorders>
              <w:bottom w:val="single" w:color="auto" w:sz="4" w:space="0"/>
            </w:tcBorders>
            <w:vAlign w:val="center"/>
          </w:tcPr>
          <w:p w14:paraId="226AA4D7">
            <w:pPr>
              <w:adjustRightInd w:val="0"/>
              <w:snapToGrid w:val="0"/>
              <w:ind w:right="-50"/>
              <w:jc w:val="center"/>
              <w:rPr>
                <w:rFonts w:ascii="宋体" w:hAnsi="宋体"/>
                <w:szCs w:val="21"/>
              </w:rPr>
            </w:pPr>
            <w:r>
              <w:rPr>
                <w:rFonts w:hint="eastAsia" w:ascii="宋体" w:hAnsi="宋体"/>
                <w:szCs w:val="21"/>
              </w:rPr>
              <w:t>要求说明</w:t>
            </w:r>
          </w:p>
        </w:tc>
      </w:tr>
      <w:tr w14:paraId="5736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14:paraId="6BB6948D">
            <w:pPr>
              <w:adjustRightInd w:val="0"/>
              <w:snapToGrid w:val="0"/>
              <w:ind w:right="-50"/>
              <w:jc w:val="center"/>
              <w:rPr>
                <w:rFonts w:ascii="宋体" w:hAnsi="宋体"/>
                <w:szCs w:val="21"/>
              </w:rPr>
            </w:pPr>
            <w:r>
              <w:rPr>
                <w:rFonts w:hint="eastAsia" w:ascii="宋体" w:hAnsi="宋体"/>
                <w:szCs w:val="21"/>
              </w:rPr>
              <w:t>1</w:t>
            </w:r>
          </w:p>
        </w:tc>
        <w:tc>
          <w:tcPr>
            <w:tcW w:w="1690" w:type="dxa"/>
            <w:vAlign w:val="center"/>
          </w:tcPr>
          <w:p w14:paraId="535A595E">
            <w:pPr>
              <w:ind w:right="-50"/>
              <w:jc w:val="center"/>
              <w:rPr>
                <w:rFonts w:ascii="宋体" w:hAnsi="宋体"/>
                <w:szCs w:val="21"/>
              </w:rPr>
            </w:pPr>
            <w:r>
              <w:rPr>
                <w:rFonts w:hint="eastAsia" w:ascii="宋体" w:hAnsi="宋体"/>
                <w:szCs w:val="21"/>
              </w:rPr>
              <w:t>磋商报价</w:t>
            </w:r>
          </w:p>
        </w:tc>
        <w:tc>
          <w:tcPr>
            <w:tcW w:w="3260" w:type="dxa"/>
            <w:vAlign w:val="center"/>
          </w:tcPr>
          <w:p w14:paraId="1332E13E">
            <w:pPr>
              <w:ind w:right="-50"/>
              <w:jc w:val="left"/>
              <w:rPr>
                <w:rFonts w:ascii="宋体" w:hAnsi="宋体"/>
                <w:szCs w:val="21"/>
              </w:rPr>
            </w:pPr>
            <w:r>
              <w:rPr>
                <w:rFonts w:hint="eastAsia" w:ascii="宋体" w:hAnsi="宋体"/>
                <w:szCs w:val="21"/>
              </w:rPr>
              <w:t>《初次报价表》格式、金额符合磋商文件要求并加盖公章</w:t>
            </w:r>
          </w:p>
        </w:tc>
        <w:tc>
          <w:tcPr>
            <w:tcW w:w="2694" w:type="dxa"/>
            <w:vAlign w:val="center"/>
          </w:tcPr>
          <w:p w14:paraId="354F5BF5">
            <w:pPr>
              <w:adjustRightInd w:val="0"/>
              <w:snapToGrid w:val="0"/>
              <w:ind w:right="-50"/>
              <w:jc w:val="left"/>
              <w:rPr>
                <w:rFonts w:ascii="宋体" w:hAnsi="宋体"/>
                <w:szCs w:val="21"/>
              </w:rPr>
            </w:pPr>
            <w:r>
              <w:rPr>
                <w:rFonts w:hint="eastAsia" w:ascii="宋体" w:hAnsi="宋体"/>
                <w:szCs w:val="21"/>
              </w:rPr>
              <w:t>响应文件内提供《初次报价表》，磋商过程中按照磋商小组要求提供报价资料。</w:t>
            </w:r>
          </w:p>
        </w:tc>
      </w:tr>
      <w:tr w14:paraId="1989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0" w:type="dxa"/>
            <w:vAlign w:val="center"/>
          </w:tcPr>
          <w:p w14:paraId="1CE5B231">
            <w:pPr>
              <w:adjustRightInd w:val="0"/>
              <w:snapToGrid w:val="0"/>
              <w:ind w:right="-50"/>
              <w:jc w:val="center"/>
              <w:rPr>
                <w:rFonts w:ascii="宋体" w:hAnsi="宋体"/>
                <w:szCs w:val="21"/>
              </w:rPr>
            </w:pPr>
            <w:r>
              <w:rPr>
                <w:rFonts w:hint="eastAsia" w:ascii="宋体" w:hAnsi="宋体"/>
                <w:szCs w:val="21"/>
              </w:rPr>
              <w:t>2</w:t>
            </w:r>
          </w:p>
        </w:tc>
        <w:tc>
          <w:tcPr>
            <w:tcW w:w="1690" w:type="dxa"/>
            <w:vAlign w:val="center"/>
          </w:tcPr>
          <w:p w14:paraId="4D984B07">
            <w:pPr>
              <w:ind w:right="-50"/>
              <w:jc w:val="center"/>
              <w:rPr>
                <w:rFonts w:ascii="宋体" w:hAnsi="宋体"/>
                <w:szCs w:val="21"/>
              </w:rPr>
            </w:pPr>
            <w:r>
              <w:rPr>
                <w:rFonts w:hint="eastAsia" w:ascii="宋体" w:hAnsi="宋体"/>
                <w:szCs w:val="21"/>
              </w:rPr>
              <w:t>响应函</w:t>
            </w:r>
          </w:p>
        </w:tc>
        <w:tc>
          <w:tcPr>
            <w:tcW w:w="3260" w:type="dxa"/>
            <w:vAlign w:val="center"/>
          </w:tcPr>
          <w:p w14:paraId="4AE6C2A1">
            <w:pPr>
              <w:ind w:right="-50"/>
              <w:jc w:val="left"/>
              <w:rPr>
                <w:rFonts w:ascii="宋体" w:hAnsi="宋体"/>
                <w:szCs w:val="21"/>
              </w:rPr>
            </w:pPr>
            <w:r>
              <w:rPr>
                <w:rFonts w:hint="eastAsia" w:ascii="宋体" w:hAnsi="宋体"/>
                <w:szCs w:val="21"/>
              </w:rPr>
              <w:t>《响应函》格式、填写符合磋商文件要求并加盖公章</w:t>
            </w:r>
          </w:p>
        </w:tc>
        <w:tc>
          <w:tcPr>
            <w:tcW w:w="2694" w:type="dxa"/>
            <w:vAlign w:val="center"/>
          </w:tcPr>
          <w:p w14:paraId="4B005DF4">
            <w:pPr>
              <w:adjustRightInd w:val="0"/>
              <w:snapToGrid w:val="0"/>
              <w:ind w:right="-50"/>
              <w:jc w:val="left"/>
              <w:rPr>
                <w:rFonts w:ascii="宋体" w:hAnsi="宋体"/>
                <w:szCs w:val="21"/>
              </w:rPr>
            </w:pPr>
            <w:r>
              <w:rPr>
                <w:rFonts w:hint="eastAsia" w:ascii="宋体" w:hAnsi="宋体"/>
                <w:szCs w:val="21"/>
              </w:rPr>
              <w:t>响应文件内提供《响应函》</w:t>
            </w:r>
          </w:p>
        </w:tc>
      </w:tr>
      <w:tr w14:paraId="7122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20" w:type="dxa"/>
            <w:vAlign w:val="center"/>
          </w:tcPr>
          <w:p w14:paraId="018CB579">
            <w:pPr>
              <w:adjustRightInd w:val="0"/>
              <w:snapToGrid w:val="0"/>
              <w:ind w:right="-50"/>
              <w:jc w:val="center"/>
              <w:rPr>
                <w:rFonts w:ascii="宋体" w:hAnsi="宋体"/>
                <w:szCs w:val="21"/>
              </w:rPr>
            </w:pPr>
            <w:r>
              <w:rPr>
                <w:rFonts w:hint="eastAsia" w:ascii="宋体" w:hAnsi="宋体"/>
                <w:szCs w:val="21"/>
              </w:rPr>
              <w:t>3</w:t>
            </w:r>
          </w:p>
        </w:tc>
        <w:tc>
          <w:tcPr>
            <w:tcW w:w="1690" w:type="dxa"/>
            <w:vAlign w:val="center"/>
          </w:tcPr>
          <w:p w14:paraId="11DAE69C">
            <w:pPr>
              <w:ind w:right="-50"/>
              <w:jc w:val="center"/>
              <w:rPr>
                <w:rFonts w:ascii="宋体" w:hAnsi="宋体"/>
                <w:szCs w:val="21"/>
              </w:rPr>
            </w:pPr>
            <w:r>
              <w:rPr>
                <w:rFonts w:hint="eastAsia" w:ascii="宋体" w:hAnsi="宋体"/>
                <w:szCs w:val="21"/>
              </w:rPr>
              <w:t>响应文件盖章</w:t>
            </w:r>
          </w:p>
        </w:tc>
        <w:tc>
          <w:tcPr>
            <w:tcW w:w="3260" w:type="dxa"/>
            <w:vAlign w:val="center"/>
          </w:tcPr>
          <w:p w14:paraId="517030EF">
            <w:pPr>
              <w:ind w:right="-50"/>
              <w:jc w:val="left"/>
              <w:rPr>
                <w:rFonts w:ascii="宋体" w:hAnsi="宋体"/>
                <w:szCs w:val="21"/>
              </w:rPr>
            </w:pPr>
            <w:r>
              <w:rPr>
                <w:rFonts w:hint="eastAsia" w:ascii="宋体" w:hAnsi="宋体"/>
                <w:szCs w:val="21"/>
              </w:rPr>
              <w:t>响应文件按照磋商文件要求进行盖章</w:t>
            </w:r>
          </w:p>
        </w:tc>
        <w:tc>
          <w:tcPr>
            <w:tcW w:w="2694" w:type="dxa"/>
            <w:vAlign w:val="center"/>
          </w:tcPr>
          <w:p w14:paraId="2C8F84F1">
            <w:pPr>
              <w:adjustRightInd w:val="0"/>
              <w:snapToGrid w:val="0"/>
              <w:ind w:right="-50"/>
              <w:jc w:val="left"/>
              <w:rPr>
                <w:rFonts w:ascii="宋体" w:hAnsi="宋体"/>
                <w:szCs w:val="21"/>
              </w:rPr>
            </w:pPr>
            <w:r>
              <w:rPr>
                <w:rFonts w:hint="eastAsia" w:ascii="宋体" w:hAnsi="宋体"/>
                <w:szCs w:val="21"/>
              </w:rPr>
              <w:t>响应文件相关资料盖章满足磋商文件要求</w:t>
            </w:r>
          </w:p>
        </w:tc>
      </w:tr>
      <w:tr w14:paraId="19BC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E168919">
            <w:pPr>
              <w:adjustRightInd w:val="0"/>
              <w:snapToGrid w:val="0"/>
              <w:ind w:right="-50"/>
              <w:jc w:val="center"/>
              <w:rPr>
                <w:rFonts w:ascii="宋体" w:hAnsi="宋体"/>
                <w:szCs w:val="21"/>
              </w:rPr>
            </w:pPr>
            <w:r>
              <w:rPr>
                <w:rFonts w:hint="eastAsia" w:ascii="宋体" w:hAnsi="宋体"/>
                <w:szCs w:val="21"/>
              </w:rPr>
              <w:t>4</w:t>
            </w:r>
          </w:p>
        </w:tc>
        <w:tc>
          <w:tcPr>
            <w:tcW w:w="1690" w:type="dxa"/>
            <w:vAlign w:val="center"/>
          </w:tcPr>
          <w:p w14:paraId="111615AA">
            <w:pPr>
              <w:ind w:right="-50"/>
              <w:jc w:val="center"/>
              <w:rPr>
                <w:rFonts w:ascii="宋体" w:hAnsi="宋体"/>
                <w:szCs w:val="21"/>
              </w:rPr>
            </w:pPr>
            <w:r>
              <w:rPr>
                <w:rFonts w:hint="eastAsia" w:ascii="宋体" w:hAnsi="宋体"/>
                <w:szCs w:val="21"/>
              </w:rPr>
              <w:t>采购需求响应</w:t>
            </w:r>
          </w:p>
        </w:tc>
        <w:tc>
          <w:tcPr>
            <w:tcW w:w="3260" w:type="dxa"/>
            <w:vAlign w:val="center"/>
          </w:tcPr>
          <w:p w14:paraId="11E1E3E2">
            <w:pPr>
              <w:ind w:right="-50"/>
              <w:jc w:val="left"/>
              <w:rPr>
                <w:rFonts w:ascii="宋体" w:hAnsi="宋体"/>
                <w:szCs w:val="21"/>
              </w:rPr>
            </w:pPr>
            <w:r>
              <w:rPr>
                <w:rFonts w:hint="eastAsia" w:ascii="宋体" w:hAnsi="宋体"/>
                <w:szCs w:val="21"/>
              </w:rPr>
              <w:t>符合磋商文件采购需求中明确的实质性要求。</w:t>
            </w:r>
          </w:p>
        </w:tc>
        <w:tc>
          <w:tcPr>
            <w:tcW w:w="2694" w:type="dxa"/>
            <w:vAlign w:val="center"/>
          </w:tcPr>
          <w:p w14:paraId="4D7A29C6">
            <w:pPr>
              <w:rPr>
                <w:rFonts w:ascii="宋体" w:hAnsi="宋体"/>
                <w:szCs w:val="21"/>
              </w:rPr>
            </w:pPr>
            <w:r>
              <w:rPr>
                <w:rFonts w:hint="eastAsia" w:ascii="宋体" w:hAnsi="宋体"/>
                <w:szCs w:val="21"/>
              </w:rPr>
              <w:t>响应文件提供采购需求偏离和建议调整表</w:t>
            </w:r>
          </w:p>
        </w:tc>
      </w:tr>
      <w:tr w14:paraId="191D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20" w:type="dxa"/>
            <w:vAlign w:val="center"/>
          </w:tcPr>
          <w:p w14:paraId="6B204072">
            <w:pPr>
              <w:adjustRightInd w:val="0"/>
              <w:snapToGrid w:val="0"/>
              <w:ind w:right="-50"/>
              <w:jc w:val="center"/>
              <w:rPr>
                <w:rFonts w:ascii="宋体" w:hAnsi="宋体"/>
                <w:szCs w:val="21"/>
              </w:rPr>
            </w:pPr>
            <w:r>
              <w:rPr>
                <w:rFonts w:hint="eastAsia" w:ascii="宋体" w:hAnsi="宋体"/>
                <w:szCs w:val="21"/>
              </w:rPr>
              <w:t>5</w:t>
            </w:r>
          </w:p>
        </w:tc>
        <w:tc>
          <w:tcPr>
            <w:tcW w:w="1690" w:type="dxa"/>
            <w:vAlign w:val="center"/>
          </w:tcPr>
          <w:p w14:paraId="5B3AF3B3">
            <w:pPr>
              <w:ind w:right="-50"/>
              <w:jc w:val="center"/>
              <w:rPr>
                <w:rFonts w:ascii="宋体" w:hAnsi="宋体"/>
                <w:szCs w:val="21"/>
              </w:rPr>
            </w:pPr>
            <w:r>
              <w:rPr>
                <w:rFonts w:hint="eastAsia" w:ascii="宋体" w:hAnsi="宋体"/>
                <w:szCs w:val="21"/>
              </w:rPr>
              <w:t>其他要求</w:t>
            </w:r>
          </w:p>
        </w:tc>
        <w:tc>
          <w:tcPr>
            <w:tcW w:w="3260" w:type="dxa"/>
            <w:vAlign w:val="center"/>
          </w:tcPr>
          <w:p w14:paraId="0E9895F4">
            <w:pPr>
              <w:ind w:right="-50"/>
              <w:jc w:val="left"/>
              <w:rPr>
                <w:rFonts w:ascii="宋体" w:hAnsi="宋体"/>
                <w:szCs w:val="21"/>
              </w:rPr>
            </w:pPr>
            <w:r>
              <w:rPr>
                <w:rFonts w:hint="eastAsia" w:ascii="宋体" w:hAnsi="宋体"/>
                <w:szCs w:val="21"/>
              </w:rPr>
              <w:t>符合法律、行政法规规定的其他要求或不存在无效响应的情形</w:t>
            </w:r>
          </w:p>
        </w:tc>
        <w:tc>
          <w:tcPr>
            <w:tcW w:w="2694" w:type="dxa"/>
            <w:vAlign w:val="center"/>
          </w:tcPr>
          <w:p w14:paraId="07C6FA8C">
            <w:pPr>
              <w:adjustRightInd w:val="0"/>
              <w:snapToGrid w:val="0"/>
              <w:ind w:right="-50"/>
              <w:jc w:val="center"/>
              <w:rPr>
                <w:rFonts w:ascii="宋体" w:hAnsi="宋体"/>
                <w:szCs w:val="21"/>
              </w:rPr>
            </w:pPr>
            <w:r>
              <w:rPr>
                <w:rFonts w:hint="eastAsia" w:ascii="宋体" w:hAnsi="宋体"/>
                <w:szCs w:val="21"/>
              </w:rPr>
              <w:t>除非磋商文件要求提供，否则无需提供材料</w:t>
            </w:r>
          </w:p>
        </w:tc>
      </w:tr>
    </w:tbl>
    <w:p w14:paraId="246CCF2B">
      <w:pPr>
        <w:spacing w:line="360" w:lineRule="auto"/>
        <w:ind w:firstLine="422"/>
        <w:rPr>
          <w:rFonts w:ascii="宋体" w:hAnsi="宋体"/>
          <w:szCs w:val="21"/>
        </w:rPr>
      </w:pPr>
      <w:r>
        <w:rPr>
          <w:rFonts w:hint="eastAsia" w:ascii="宋体" w:hAnsi="宋体"/>
          <w:b/>
          <w:bCs/>
          <w:szCs w:val="21"/>
        </w:rPr>
        <w:t>符合性审查指标通过标准：</w:t>
      </w:r>
      <w:r>
        <w:rPr>
          <w:rFonts w:hint="eastAsia" w:ascii="宋体" w:hAnsi="宋体"/>
          <w:szCs w:val="21"/>
        </w:rPr>
        <w:t>供应商必须通过符合性审查表中的全部评审指标。</w:t>
      </w:r>
    </w:p>
    <w:p w14:paraId="0F4545F2">
      <w:pPr>
        <w:snapToGrid w:val="0"/>
        <w:spacing w:line="360" w:lineRule="auto"/>
        <w:ind w:firstLine="422" w:firstLineChars="200"/>
        <w:jc w:val="left"/>
        <w:rPr>
          <w:rFonts w:ascii="宋体" w:hAnsi="宋体"/>
          <w:b/>
          <w:szCs w:val="21"/>
        </w:rPr>
      </w:pPr>
      <w:r>
        <w:rPr>
          <w:rFonts w:hint="eastAsia" w:ascii="宋体" w:hAnsi="宋体"/>
          <w:b/>
          <w:szCs w:val="21"/>
        </w:rPr>
        <w:t>3</w:t>
      </w:r>
      <w:r>
        <w:rPr>
          <w:rFonts w:ascii="宋体" w:hAnsi="宋体"/>
          <w:b/>
          <w:szCs w:val="21"/>
        </w:rPr>
        <w:t>.</w:t>
      </w:r>
      <w:r>
        <w:rPr>
          <w:rFonts w:hint="eastAsia" w:ascii="宋体" w:hAnsi="宋体"/>
          <w:b/>
          <w:szCs w:val="21"/>
        </w:rPr>
        <w:t>详细审查和评分（评审标准兼评委打分表）</w:t>
      </w:r>
    </w:p>
    <w:tbl>
      <w:tblPr>
        <w:tblStyle w:val="12"/>
        <w:tblW w:w="50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551"/>
        <w:gridCol w:w="6691"/>
        <w:gridCol w:w="741"/>
      </w:tblGrid>
      <w:tr w14:paraId="6080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570" w:type="pct"/>
            <w:gridSpan w:val="3"/>
            <w:tcBorders>
              <w:tl2br w:val="single" w:color="auto" w:sz="4" w:space="0"/>
            </w:tcBorders>
            <w:vAlign w:val="center"/>
          </w:tcPr>
          <w:p w14:paraId="05F61E06">
            <w:pPr>
              <w:spacing w:line="400" w:lineRule="exact"/>
              <w:jc w:val="right"/>
              <w:rPr>
                <w:rFonts w:ascii="宋体" w:hAnsi="宋体" w:cs="宋体"/>
                <w:szCs w:val="21"/>
              </w:rPr>
            </w:pPr>
            <w:r>
              <w:rPr>
                <w:rFonts w:hint="eastAsia" w:ascii="宋体" w:hAnsi="宋体" w:cs="宋体"/>
                <w:szCs w:val="21"/>
              </w:rPr>
              <w:t>供应商</w:t>
            </w:r>
          </w:p>
          <w:p w14:paraId="6F3DC5C1">
            <w:pPr>
              <w:spacing w:line="400" w:lineRule="exact"/>
              <w:rPr>
                <w:rFonts w:ascii="宋体" w:hAnsi="宋体" w:cs="宋体"/>
                <w:szCs w:val="21"/>
              </w:rPr>
            </w:pPr>
            <w:r>
              <w:rPr>
                <w:rFonts w:hint="eastAsia" w:ascii="宋体" w:hAnsi="宋体" w:cs="宋体"/>
                <w:szCs w:val="21"/>
              </w:rPr>
              <w:t>分值</w:t>
            </w:r>
          </w:p>
        </w:tc>
        <w:tc>
          <w:tcPr>
            <w:tcW w:w="430" w:type="pct"/>
            <w:vAlign w:val="center"/>
          </w:tcPr>
          <w:p w14:paraId="2FF7CC2F">
            <w:pPr>
              <w:spacing w:line="400" w:lineRule="exact"/>
              <w:jc w:val="center"/>
              <w:rPr>
                <w:rFonts w:ascii="宋体" w:hAnsi="宋体" w:cs="宋体"/>
                <w:szCs w:val="21"/>
              </w:rPr>
            </w:pPr>
            <w:r>
              <w:rPr>
                <w:rFonts w:hint="eastAsia" w:ascii="宋体" w:hAnsi="宋体" w:cs="宋体"/>
                <w:szCs w:val="21"/>
              </w:rPr>
              <w:t>分值范围</w:t>
            </w:r>
          </w:p>
        </w:tc>
      </w:tr>
      <w:tr w14:paraId="67BD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Merge w:val="restart"/>
            <w:vAlign w:val="center"/>
          </w:tcPr>
          <w:p w14:paraId="249A12F1">
            <w:pPr>
              <w:spacing w:line="400" w:lineRule="exact"/>
              <w:jc w:val="center"/>
              <w:rPr>
                <w:rFonts w:ascii="宋体" w:hAnsi="宋体" w:cs="宋体"/>
                <w:szCs w:val="21"/>
              </w:rPr>
            </w:pPr>
            <w:bookmarkStart w:id="62" w:name="_Hlk134798190"/>
            <w:r>
              <w:rPr>
                <w:rFonts w:hint="eastAsia" w:ascii="宋体" w:hAnsi="宋体" w:cs="宋体"/>
                <w:szCs w:val="20"/>
              </w:rPr>
              <w:t>商务技术70分</w:t>
            </w:r>
          </w:p>
        </w:tc>
        <w:tc>
          <w:tcPr>
            <w:tcW w:w="320" w:type="pct"/>
            <w:vAlign w:val="center"/>
          </w:tcPr>
          <w:p w14:paraId="4920B031">
            <w:pPr>
              <w:spacing w:line="400" w:lineRule="exact"/>
              <w:jc w:val="center"/>
              <w:rPr>
                <w:rFonts w:ascii="宋体" w:hAnsi="宋体" w:cs="宋体"/>
                <w:szCs w:val="21"/>
              </w:rPr>
            </w:pPr>
            <w:r>
              <w:rPr>
                <w:rFonts w:ascii="宋体" w:hAnsi="宋体" w:cs="宋体"/>
                <w:szCs w:val="21"/>
              </w:rPr>
              <w:t>1</w:t>
            </w:r>
          </w:p>
        </w:tc>
        <w:tc>
          <w:tcPr>
            <w:tcW w:w="3884" w:type="pct"/>
            <w:vAlign w:val="center"/>
          </w:tcPr>
          <w:p w14:paraId="65D8B006">
            <w:pPr>
              <w:spacing w:line="400" w:lineRule="exact"/>
              <w:rPr>
                <w:rFonts w:ascii="宋体" w:hAnsi="宋体" w:cs="宋体"/>
                <w:szCs w:val="21"/>
              </w:rPr>
            </w:pPr>
            <w:r>
              <w:rPr>
                <w:rFonts w:hint="eastAsia" w:ascii="宋体" w:hAnsi="宋体" w:cs="宋体"/>
                <w:szCs w:val="21"/>
              </w:rPr>
              <w:t>根据供应商提供的施工方案（包含施工工艺和工序等）进行综合评议，最高得10分。</w:t>
            </w:r>
          </w:p>
          <w:p w14:paraId="4B1F0F8C">
            <w:pPr>
              <w:spacing w:line="400" w:lineRule="exact"/>
              <w:rPr>
                <w:rFonts w:ascii="宋体" w:hAnsi="宋体" w:cs="宋体"/>
                <w:szCs w:val="21"/>
              </w:rPr>
            </w:pPr>
            <w:r>
              <w:rPr>
                <w:rFonts w:hint="eastAsia" w:ascii="宋体" w:hAnsi="宋体" w:cs="宋体"/>
                <w:szCs w:val="21"/>
              </w:rPr>
              <w:t>（1）施工方案详实、措施得力，描述清晰，符合项目实际情况，工序安排得当可执行的得8.0-10.0分；</w:t>
            </w:r>
          </w:p>
          <w:p w14:paraId="63600A90">
            <w:pPr>
              <w:spacing w:line="400" w:lineRule="exact"/>
              <w:rPr>
                <w:rFonts w:ascii="宋体" w:hAnsi="宋体" w:cs="宋体"/>
                <w:szCs w:val="21"/>
              </w:rPr>
            </w:pPr>
            <w:r>
              <w:rPr>
                <w:rFonts w:hint="eastAsia" w:ascii="宋体" w:hAnsi="宋体" w:cs="宋体"/>
                <w:szCs w:val="21"/>
              </w:rPr>
              <w:t>（2）施工方案较为详实、措施较为得力，描述基本清晰，符合项目实际情况，工序安排合理可行的得5.0-7.9分；</w:t>
            </w:r>
          </w:p>
          <w:p w14:paraId="40FCE1AD">
            <w:pPr>
              <w:spacing w:line="400" w:lineRule="exact"/>
              <w:rPr>
                <w:rFonts w:ascii="宋体" w:hAnsi="宋体" w:cs="宋体"/>
                <w:szCs w:val="21"/>
              </w:rPr>
            </w:pPr>
            <w:r>
              <w:rPr>
                <w:rFonts w:hint="eastAsia" w:ascii="宋体" w:hAnsi="宋体" w:cs="宋体"/>
                <w:szCs w:val="21"/>
              </w:rPr>
              <w:t>（3）施工方案简单笼统存在一定缺陷，工序安排欠妥的得2.0-4.9分；</w:t>
            </w:r>
          </w:p>
          <w:p w14:paraId="50952AB7">
            <w:pPr>
              <w:spacing w:line="400" w:lineRule="exact"/>
              <w:rPr>
                <w:rFonts w:ascii="宋体" w:hAnsi="宋体" w:cs="宋体"/>
                <w:szCs w:val="21"/>
              </w:rPr>
            </w:pPr>
            <w:r>
              <w:rPr>
                <w:rFonts w:hint="eastAsia" w:ascii="宋体" w:hAnsi="宋体" w:cs="宋体"/>
                <w:szCs w:val="21"/>
              </w:rPr>
              <w:t>（4）施工方案简单笼统存在较大缺陷，工序安排欠妥甚至会影响项目履约的得0.1-1.9分；</w:t>
            </w:r>
          </w:p>
          <w:p w14:paraId="253750A7">
            <w:pPr>
              <w:spacing w:line="400" w:lineRule="exact"/>
              <w:rPr>
                <w:rFonts w:ascii="宋体" w:hAnsi="宋体" w:cs="宋体"/>
              </w:rPr>
            </w:pPr>
            <w:r>
              <w:rPr>
                <w:rFonts w:hint="eastAsia" w:ascii="宋体" w:hAnsi="宋体" w:cs="宋体"/>
                <w:szCs w:val="21"/>
              </w:rPr>
              <w:t>（5）未提供不得分。</w:t>
            </w:r>
          </w:p>
        </w:tc>
        <w:tc>
          <w:tcPr>
            <w:tcW w:w="430" w:type="pct"/>
            <w:vAlign w:val="center"/>
          </w:tcPr>
          <w:p w14:paraId="175B7580">
            <w:pPr>
              <w:spacing w:line="400" w:lineRule="exact"/>
              <w:jc w:val="center"/>
              <w:rPr>
                <w:rFonts w:ascii="宋体" w:hAnsi="宋体" w:cs="宋体"/>
                <w:szCs w:val="21"/>
              </w:rPr>
            </w:pPr>
            <w:r>
              <w:rPr>
                <w:rFonts w:hint="eastAsia" w:ascii="宋体" w:hAnsi="宋体" w:cs="宋体"/>
                <w:szCs w:val="21"/>
              </w:rPr>
              <w:t>0-10</w:t>
            </w:r>
          </w:p>
        </w:tc>
      </w:tr>
      <w:bookmarkEnd w:id="62"/>
      <w:tr w14:paraId="4BC7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4E90BB79">
            <w:pPr>
              <w:spacing w:line="400" w:lineRule="exact"/>
              <w:jc w:val="center"/>
              <w:rPr>
                <w:rFonts w:ascii="宋体" w:hAnsi="宋体" w:cs="宋体"/>
                <w:szCs w:val="20"/>
              </w:rPr>
            </w:pPr>
          </w:p>
        </w:tc>
        <w:tc>
          <w:tcPr>
            <w:tcW w:w="320" w:type="pct"/>
            <w:vAlign w:val="center"/>
          </w:tcPr>
          <w:p w14:paraId="31D5BDCD">
            <w:pPr>
              <w:spacing w:line="400" w:lineRule="exact"/>
              <w:jc w:val="center"/>
              <w:rPr>
                <w:rFonts w:ascii="宋体" w:hAnsi="宋体" w:cs="宋体"/>
                <w:szCs w:val="21"/>
              </w:rPr>
            </w:pPr>
            <w:r>
              <w:rPr>
                <w:rFonts w:ascii="宋体" w:hAnsi="宋体" w:cs="宋体"/>
                <w:szCs w:val="21"/>
              </w:rPr>
              <w:t>2</w:t>
            </w:r>
          </w:p>
        </w:tc>
        <w:tc>
          <w:tcPr>
            <w:tcW w:w="3884" w:type="pct"/>
            <w:vAlign w:val="center"/>
          </w:tcPr>
          <w:p w14:paraId="3493ED88">
            <w:pPr>
              <w:spacing w:line="400" w:lineRule="exact"/>
              <w:jc w:val="left"/>
              <w:rPr>
                <w:rFonts w:ascii="宋体" w:hAnsi="宋体" w:cs="宋体"/>
              </w:rPr>
            </w:pPr>
            <w:r>
              <w:rPr>
                <w:rFonts w:hint="eastAsia" w:ascii="宋体" w:hAnsi="宋体" w:cs="宋体"/>
              </w:rPr>
              <w:t>根据供应商提供的施工质量保证措施（包含但不仅限于材料及设备质量保证措施、成品保护措施等）进行综合评议，最高得10分。</w:t>
            </w:r>
          </w:p>
          <w:p w14:paraId="77F3E14A">
            <w:pPr>
              <w:spacing w:line="400" w:lineRule="exact"/>
              <w:jc w:val="left"/>
              <w:rPr>
                <w:rFonts w:ascii="宋体" w:hAnsi="宋体" w:cs="宋体"/>
                <w:szCs w:val="21"/>
              </w:rPr>
            </w:pPr>
            <w:r>
              <w:rPr>
                <w:rFonts w:hint="eastAsia" w:ascii="宋体" w:hAnsi="宋体" w:cs="宋体"/>
                <w:szCs w:val="21"/>
              </w:rPr>
              <w:t>（1）施工质量保证措施方案详实，对材料及设备质量管控具有针对性，成品保护措施完善，可执行力度符合采购人需求的得8.0-10.0分；</w:t>
            </w:r>
          </w:p>
          <w:p w14:paraId="6FFA98B8">
            <w:pPr>
              <w:spacing w:line="400" w:lineRule="exact"/>
              <w:jc w:val="left"/>
              <w:rPr>
                <w:rFonts w:ascii="宋体" w:hAnsi="宋体" w:cs="宋体"/>
                <w:szCs w:val="21"/>
              </w:rPr>
            </w:pPr>
            <w:r>
              <w:rPr>
                <w:rFonts w:hint="eastAsia" w:ascii="宋体" w:hAnsi="宋体" w:cs="宋体"/>
                <w:szCs w:val="21"/>
              </w:rPr>
              <w:t>（2）施工质量保证措施方案较为详实，对材料及设备质量管控具有一定针对性，成品保护措施较完善，可执行力度符合采购人需求的得5.0-7.9分；</w:t>
            </w:r>
          </w:p>
          <w:p w14:paraId="32AA3B31">
            <w:pPr>
              <w:spacing w:line="400" w:lineRule="exact"/>
              <w:jc w:val="left"/>
              <w:rPr>
                <w:rFonts w:ascii="宋体" w:hAnsi="宋体" w:cs="宋体"/>
                <w:szCs w:val="21"/>
              </w:rPr>
            </w:pPr>
            <w:r>
              <w:rPr>
                <w:rFonts w:hint="eastAsia" w:ascii="宋体" w:hAnsi="宋体" w:cs="宋体"/>
                <w:szCs w:val="21"/>
              </w:rPr>
              <w:t>（3）施工质量保证措施方案内容较少，对材料及设备质量管控及成品保护措施存在较大缺陷，可执行力度基本符合采购人需求的得2.0-4.9分；</w:t>
            </w:r>
          </w:p>
          <w:p w14:paraId="49334941">
            <w:pPr>
              <w:spacing w:line="400" w:lineRule="exact"/>
              <w:jc w:val="left"/>
              <w:rPr>
                <w:rFonts w:ascii="宋体" w:hAnsi="宋体" w:cs="宋体"/>
                <w:szCs w:val="21"/>
              </w:rPr>
            </w:pPr>
            <w:r>
              <w:rPr>
                <w:rFonts w:hint="eastAsia" w:ascii="宋体" w:hAnsi="宋体" w:cs="宋体"/>
                <w:szCs w:val="21"/>
              </w:rPr>
              <w:t>（4）施工质量保证措施方案存在较大缺陷，对材料及设备质量管控及成品保护措施无法切合实际要求，可执行力度不足的得0.1-1.9分；</w:t>
            </w:r>
          </w:p>
          <w:p w14:paraId="7E5E03E1">
            <w:pPr>
              <w:spacing w:line="400" w:lineRule="exact"/>
              <w:rPr>
                <w:rFonts w:ascii="宋体" w:hAnsi="宋体" w:cs="宋体"/>
              </w:rPr>
            </w:pPr>
            <w:r>
              <w:rPr>
                <w:rFonts w:hint="eastAsia" w:ascii="宋体" w:hAnsi="宋体" w:cs="宋体"/>
                <w:szCs w:val="21"/>
              </w:rPr>
              <w:t>（5）未提供施工质量保证措施的本项不得分。</w:t>
            </w:r>
          </w:p>
        </w:tc>
        <w:tc>
          <w:tcPr>
            <w:tcW w:w="430" w:type="pct"/>
            <w:vAlign w:val="center"/>
          </w:tcPr>
          <w:p w14:paraId="46BAFE9C">
            <w:pPr>
              <w:spacing w:line="400" w:lineRule="exact"/>
              <w:jc w:val="center"/>
              <w:rPr>
                <w:rFonts w:ascii="宋体" w:hAnsi="宋体" w:cs="宋体"/>
              </w:rPr>
            </w:pPr>
            <w:r>
              <w:rPr>
                <w:rFonts w:hint="eastAsia" w:ascii="宋体" w:hAnsi="宋体" w:cs="宋体"/>
                <w:szCs w:val="21"/>
              </w:rPr>
              <w:t>0-10</w:t>
            </w:r>
          </w:p>
        </w:tc>
      </w:tr>
      <w:tr w14:paraId="5567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523A8E48">
            <w:pPr>
              <w:spacing w:line="400" w:lineRule="exact"/>
              <w:jc w:val="center"/>
              <w:rPr>
                <w:rFonts w:ascii="宋体" w:hAnsi="宋体" w:cs="宋体"/>
                <w:szCs w:val="20"/>
              </w:rPr>
            </w:pPr>
          </w:p>
        </w:tc>
        <w:tc>
          <w:tcPr>
            <w:tcW w:w="320" w:type="pct"/>
            <w:vAlign w:val="center"/>
          </w:tcPr>
          <w:p w14:paraId="16709FA8">
            <w:pPr>
              <w:spacing w:line="400" w:lineRule="exact"/>
              <w:jc w:val="center"/>
              <w:rPr>
                <w:rFonts w:ascii="宋体" w:hAnsi="宋体" w:cs="宋体"/>
                <w:szCs w:val="21"/>
              </w:rPr>
            </w:pPr>
            <w:r>
              <w:rPr>
                <w:rFonts w:ascii="宋体" w:hAnsi="宋体" w:cs="宋体"/>
                <w:szCs w:val="21"/>
              </w:rPr>
              <w:t>3</w:t>
            </w:r>
          </w:p>
        </w:tc>
        <w:tc>
          <w:tcPr>
            <w:tcW w:w="3884" w:type="pct"/>
            <w:vAlign w:val="center"/>
          </w:tcPr>
          <w:p w14:paraId="50C0EBCA">
            <w:pPr>
              <w:spacing w:line="400" w:lineRule="exact"/>
              <w:jc w:val="left"/>
              <w:rPr>
                <w:rFonts w:ascii="宋体" w:hAnsi="宋体" w:cs="宋体"/>
              </w:rPr>
            </w:pPr>
            <w:r>
              <w:rPr>
                <w:rFonts w:hint="eastAsia" w:ascii="宋体" w:hAnsi="宋体" w:cs="宋体"/>
              </w:rPr>
              <w:t>施工进度计划安排和保障措施、安全保障措施、文明施工方案及措施等；对方案的完整性、科学性、严谨性进行综合评议，最高得9分。</w:t>
            </w:r>
          </w:p>
          <w:p w14:paraId="2471C1B1">
            <w:pPr>
              <w:spacing w:line="400" w:lineRule="exact"/>
              <w:jc w:val="left"/>
              <w:rPr>
                <w:rFonts w:ascii="宋体" w:hAnsi="宋体" w:cs="宋体"/>
                <w:szCs w:val="21"/>
              </w:rPr>
            </w:pPr>
            <w:r>
              <w:rPr>
                <w:rFonts w:hint="eastAsia" w:ascii="宋体" w:hAnsi="宋体" w:cs="宋体"/>
                <w:szCs w:val="21"/>
              </w:rPr>
              <w:t>（1）施工进度计划安排合理，能够在规定时间内完成项目施工并通过验收，进度保障措施、安全保障措施完善，文明施工方案及措施切合实际要求的得7</w:t>
            </w:r>
            <w:r>
              <w:rPr>
                <w:rFonts w:ascii="宋体" w:hAnsi="宋体" w:cs="宋体"/>
                <w:szCs w:val="21"/>
              </w:rPr>
              <w:t>.0-</w:t>
            </w:r>
            <w:r>
              <w:rPr>
                <w:rFonts w:hint="eastAsia" w:ascii="宋体" w:hAnsi="宋体" w:cs="宋体"/>
                <w:szCs w:val="21"/>
              </w:rPr>
              <w:t>9</w:t>
            </w:r>
            <w:r>
              <w:rPr>
                <w:rFonts w:ascii="宋体" w:hAnsi="宋体" w:cs="宋体"/>
                <w:szCs w:val="21"/>
              </w:rPr>
              <w:t>.0</w:t>
            </w:r>
            <w:r>
              <w:rPr>
                <w:rFonts w:hint="eastAsia" w:ascii="宋体" w:hAnsi="宋体" w:cs="宋体"/>
                <w:szCs w:val="21"/>
              </w:rPr>
              <w:t>分；</w:t>
            </w:r>
          </w:p>
          <w:p w14:paraId="6BE2E2CC">
            <w:pPr>
              <w:spacing w:line="400" w:lineRule="exact"/>
              <w:jc w:val="left"/>
              <w:rPr>
                <w:rFonts w:ascii="宋体" w:hAnsi="宋体" w:cs="宋体"/>
                <w:szCs w:val="21"/>
              </w:rPr>
            </w:pPr>
            <w:r>
              <w:rPr>
                <w:rFonts w:hint="eastAsia" w:ascii="宋体" w:hAnsi="宋体" w:cs="宋体"/>
                <w:szCs w:val="21"/>
              </w:rPr>
              <w:t>（2）施工进度计划安排较为合理，能够在规定时间内完成项目施工并通过验收，进度保障措施、安全保障措施较为完善，文明施工方案及措施切合实际要求的得5</w:t>
            </w:r>
            <w:r>
              <w:rPr>
                <w:rFonts w:ascii="宋体" w:hAnsi="宋体" w:cs="宋体"/>
                <w:szCs w:val="21"/>
              </w:rPr>
              <w:t>.0-</w:t>
            </w:r>
            <w:r>
              <w:rPr>
                <w:rFonts w:hint="eastAsia" w:ascii="宋体" w:hAnsi="宋体" w:cs="宋体"/>
                <w:szCs w:val="21"/>
              </w:rPr>
              <w:t>6</w:t>
            </w:r>
            <w:r>
              <w:rPr>
                <w:rFonts w:ascii="宋体" w:hAnsi="宋体" w:cs="宋体"/>
                <w:szCs w:val="21"/>
              </w:rPr>
              <w:t>.9</w:t>
            </w:r>
            <w:r>
              <w:rPr>
                <w:rFonts w:hint="eastAsia" w:ascii="宋体" w:hAnsi="宋体" w:cs="宋体"/>
                <w:szCs w:val="21"/>
              </w:rPr>
              <w:t>分；</w:t>
            </w:r>
          </w:p>
          <w:p w14:paraId="102C7044">
            <w:pPr>
              <w:spacing w:line="400" w:lineRule="exact"/>
              <w:jc w:val="left"/>
              <w:rPr>
                <w:rFonts w:ascii="宋体" w:hAnsi="宋体" w:cs="宋体"/>
                <w:szCs w:val="21"/>
              </w:rPr>
            </w:pPr>
            <w:r>
              <w:rPr>
                <w:rFonts w:hint="eastAsia" w:ascii="宋体" w:hAnsi="宋体" w:cs="宋体"/>
                <w:szCs w:val="21"/>
              </w:rPr>
              <w:t>（3）施工进度计划安排存在一定缺陷，但基本能够保证在规定时间内完成项目施工并通过验收，进度保障措施、安全保障措施存在一定缺陷，文明施工方案及措施基本切合实际要求的得3</w:t>
            </w:r>
            <w:r>
              <w:rPr>
                <w:rFonts w:ascii="宋体" w:hAnsi="宋体" w:cs="宋体"/>
                <w:szCs w:val="21"/>
              </w:rPr>
              <w:t>.0-</w:t>
            </w:r>
            <w:r>
              <w:rPr>
                <w:rFonts w:hint="eastAsia" w:ascii="宋体" w:hAnsi="宋体" w:cs="宋体"/>
                <w:szCs w:val="21"/>
              </w:rPr>
              <w:t>4</w:t>
            </w:r>
            <w:r>
              <w:rPr>
                <w:rFonts w:ascii="宋体" w:hAnsi="宋体" w:cs="宋体"/>
                <w:szCs w:val="21"/>
              </w:rPr>
              <w:t>.9</w:t>
            </w:r>
            <w:r>
              <w:rPr>
                <w:rFonts w:hint="eastAsia" w:ascii="宋体" w:hAnsi="宋体" w:cs="宋体"/>
                <w:szCs w:val="21"/>
              </w:rPr>
              <w:t>分；</w:t>
            </w:r>
          </w:p>
          <w:p w14:paraId="10326CFE">
            <w:pPr>
              <w:spacing w:line="400" w:lineRule="exact"/>
              <w:jc w:val="left"/>
              <w:rPr>
                <w:rFonts w:ascii="宋体" w:hAnsi="宋体" w:cs="宋体"/>
                <w:szCs w:val="21"/>
              </w:rPr>
            </w:pPr>
            <w:r>
              <w:rPr>
                <w:rFonts w:hint="eastAsia" w:ascii="宋体" w:hAnsi="宋体" w:cs="宋体"/>
                <w:szCs w:val="21"/>
              </w:rPr>
              <w:t>（4）施工进度计划安排明显不妥，进度保障措施、安全保障措施存在较大漏洞，文明施工方案及措施未切合实际要求，甚至会影响项目履约的得</w:t>
            </w:r>
            <w:r>
              <w:rPr>
                <w:rFonts w:ascii="宋体" w:hAnsi="宋体" w:cs="宋体"/>
                <w:szCs w:val="21"/>
              </w:rPr>
              <w:t>0.1-</w:t>
            </w:r>
            <w:r>
              <w:rPr>
                <w:rFonts w:hint="eastAsia" w:ascii="宋体" w:hAnsi="宋体" w:cs="宋体"/>
                <w:szCs w:val="21"/>
              </w:rPr>
              <w:t>2</w:t>
            </w:r>
            <w:r>
              <w:rPr>
                <w:rFonts w:ascii="宋体" w:hAnsi="宋体" w:cs="宋体"/>
                <w:szCs w:val="21"/>
              </w:rPr>
              <w:t>.9</w:t>
            </w:r>
            <w:r>
              <w:rPr>
                <w:rFonts w:hint="eastAsia" w:ascii="宋体" w:hAnsi="宋体" w:cs="宋体"/>
                <w:szCs w:val="21"/>
              </w:rPr>
              <w:t>分；</w:t>
            </w:r>
          </w:p>
          <w:p w14:paraId="352C4485">
            <w:pPr>
              <w:spacing w:line="400" w:lineRule="exact"/>
              <w:jc w:val="left"/>
              <w:rPr>
                <w:rFonts w:ascii="宋体" w:hAnsi="宋体" w:cs="宋体"/>
              </w:rPr>
            </w:pPr>
            <w:r>
              <w:rPr>
                <w:rFonts w:hint="eastAsia" w:ascii="宋体" w:hAnsi="宋体" w:cs="宋体"/>
                <w:szCs w:val="21"/>
              </w:rPr>
              <w:t>（5）未提供不得分。</w:t>
            </w:r>
          </w:p>
        </w:tc>
        <w:tc>
          <w:tcPr>
            <w:tcW w:w="430" w:type="pct"/>
            <w:vAlign w:val="center"/>
          </w:tcPr>
          <w:p w14:paraId="67AEBED2">
            <w:pPr>
              <w:spacing w:line="400" w:lineRule="exact"/>
              <w:jc w:val="center"/>
              <w:rPr>
                <w:rFonts w:ascii="宋体" w:hAnsi="宋体" w:cs="宋体"/>
              </w:rPr>
            </w:pPr>
            <w:r>
              <w:rPr>
                <w:rFonts w:ascii="宋体" w:hAnsi="宋体" w:cs="宋体"/>
              </w:rPr>
              <w:t>0</w:t>
            </w:r>
            <w:r>
              <w:rPr>
                <w:rFonts w:hint="eastAsia" w:ascii="宋体" w:hAnsi="宋体" w:cs="宋体"/>
              </w:rPr>
              <w:t>-9</w:t>
            </w:r>
          </w:p>
        </w:tc>
      </w:tr>
      <w:tr w14:paraId="32AB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61E7B9A0">
            <w:pPr>
              <w:spacing w:line="400" w:lineRule="exact"/>
              <w:jc w:val="center"/>
              <w:rPr>
                <w:rFonts w:ascii="宋体" w:hAnsi="宋体" w:cs="宋体"/>
                <w:szCs w:val="20"/>
              </w:rPr>
            </w:pPr>
          </w:p>
        </w:tc>
        <w:tc>
          <w:tcPr>
            <w:tcW w:w="320" w:type="pct"/>
            <w:vAlign w:val="center"/>
          </w:tcPr>
          <w:p w14:paraId="62AB4606">
            <w:pPr>
              <w:spacing w:line="400" w:lineRule="exact"/>
              <w:jc w:val="center"/>
              <w:rPr>
                <w:rFonts w:ascii="宋体" w:hAnsi="宋体" w:cs="宋体"/>
                <w:szCs w:val="21"/>
              </w:rPr>
            </w:pPr>
            <w:r>
              <w:rPr>
                <w:rFonts w:ascii="宋体" w:hAnsi="宋体" w:cs="宋体"/>
                <w:szCs w:val="21"/>
              </w:rPr>
              <w:t>4</w:t>
            </w:r>
          </w:p>
        </w:tc>
        <w:tc>
          <w:tcPr>
            <w:tcW w:w="3884" w:type="pct"/>
            <w:vAlign w:val="center"/>
          </w:tcPr>
          <w:p w14:paraId="51B176AA">
            <w:pPr>
              <w:spacing w:line="400" w:lineRule="exact"/>
              <w:rPr>
                <w:rFonts w:ascii="宋体" w:hAnsi="宋体" w:cs="宋体"/>
              </w:rPr>
            </w:pPr>
            <w:r>
              <w:rPr>
                <w:rFonts w:ascii="宋体" w:hAnsi="宋体" w:cs="宋体"/>
              </w:rPr>
              <w:t>根据供应商提供的项目关键点、重难点分析及合理化建议进行综合评议，最高得</w:t>
            </w:r>
            <w:r>
              <w:rPr>
                <w:rFonts w:hint="eastAsia" w:ascii="宋体" w:hAnsi="宋体" w:cs="宋体"/>
              </w:rPr>
              <w:t>9</w:t>
            </w:r>
            <w:r>
              <w:rPr>
                <w:rFonts w:ascii="宋体" w:hAnsi="宋体" w:cs="宋体"/>
              </w:rPr>
              <w:t>分</w:t>
            </w:r>
            <w:r>
              <w:rPr>
                <w:rFonts w:hint="eastAsia" w:ascii="宋体" w:hAnsi="宋体" w:cs="宋体"/>
              </w:rPr>
              <w:t>。</w:t>
            </w:r>
          </w:p>
          <w:p w14:paraId="6E9A4668">
            <w:pPr>
              <w:spacing w:line="400" w:lineRule="exact"/>
              <w:rPr>
                <w:rFonts w:ascii="宋体" w:hAnsi="宋体" w:cs="宋体"/>
                <w:szCs w:val="21"/>
              </w:rPr>
            </w:pPr>
            <w:r>
              <w:rPr>
                <w:rFonts w:hint="eastAsia" w:ascii="宋体" w:hAnsi="宋体" w:cs="宋体"/>
                <w:szCs w:val="21"/>
              </w:rPr>
              <w:t>（1）项目关键点、重难点分析到位且具有可行的解决方案的得7</w:t>
            </w:r>
            <w:r>
              <w:rPr>
                <w:rFonts w:ascii="宋体" w:hAnsi="宋体" w:cs="宋体"/>
                <w:szCs w:val="21"/>
              </w:rPr>
              <w:t>.0-</w:t>
            </w:r>
            <w:r>
              <w:rPr>
                <w:rFonts w:hint="eastAsia" w:ascii="宋体" w:hAnsi="宋体" w:cs="宋体"/>
                <w:szCs w:val="21"/>
              </w:rPr>
              <w:t>9</w:t>
            </w:r>
            <w:r>
              <w:rPr>
                <w:rFonts w:ascii="宋体" w:hAnsi="宋体" w:cs="宋体"/>
                <w:szCs w:val="21"/>
              </w:rPr>
              <w:t>.0</w:t>
            </w:r>
            <w:r>
              <w:rPr>
                <w:rFonts w:hint="eastAsia" w:ascii="宋体" w:hAnsi="宋体" w:cs="宋体"/>
                <w:szCs w:val="21"/>
              </w:rPr>
              <w:t>分；</w:t>
            </w:r>
          </w:p>
          <w:p w14:paraId="36613C94">
            <w:pPr>
              <w:spacing w:line="400" w:lineRule="exact"/>
              <w:rPr>
                <w:rFonts w:ascii="宋体" w:hAnsi="宋体" w:cs="宋体"/>
                <w:szCs w:val="21"/>
              </w:rPr>
            </w:pPr>
            <w:r>
              <w:rPr>
                <w:rFonts w:hint="eastAsia" w:ascii="宋体" w:hAnsi="宋体" w:cs="宋体"/>
                <w:szCs w:val="21"/>
              </w:rPr>
              <w:t>（2）项目关键点、重难点分析到位，具有较为可行的解决方案的得5</w:t>
            </w:r>
            <w:r>
              <w:rPr>
                <w:rFonts w:ascii="宋体" w:hAnsi="宋体" w:cs="宋体"/>
                <w:szCs w:val="21"/>
              </w:rPr>
              <w:t>.0-</w:t>
            </w:r>
            <w:r>
              <w:rPr>
                <w:rFonts w:hint="eastAsia" w:ascii="宋体" w:hAnsi="宋体" w:cs="宋体"/>
                <w:szCs w:val="21"/>
              </w:rPr>
              <w:t>6</w:t>
            </w:r>
            <w:r>
              <w:rPr>
                <w:rFonts w:ascii="宋体" w:hAnsi="宋体" w:cs="宋体"/>
                <w:szCs w:val="21"/>
              </w:rPr>
              <w:t>.9</w:t>
            </w:r>
            <w:r>
              <w:rPr>
                <w:rFonts w:hint="eastAsia" w:ascii="宋体" w:hAnsi="宋体" w:cs="宋体"/>
                <w:szCs w:val="21"/>
              </w:rPr>
              <w:t>分；</w:t>
            </w:r>
          </w:p>
          <w:p w14:paraId="294256DD">
            <w:pPr>
              <w:spacing w:line="400" w:lineRule="exact"/>
              <w:rPr>
                <w:rFonts w:ascii="宋体" w:hAnsi="宋体" w:cs="宋体"/>
                <w:szCs w:val="21"/>
              </w:rPr>
            </w:pPr>
            <w:r>
              <w:rPr>
                <w:rFonts w:hint="eastAsia" w:ascii="宋体" w:hAnsi="宋体" w:cs="宋体"/>
                <w:szCs w:val="21"/>
              </w:rPr>
              <w:t>（3）项目关键点、重难点分析基本到位，解决方案能够对应分析结果但存在欠缺的得3</w:t>
            </w:r>
            <w:r>
              <w:rPr>
                <w:rFonts w:ascii="宋体" w:hAnsi="宋体" w:cs="宋体"/>
                <w:szCs w:val="21"/>
              </w:rPr>
              <w:t>.0-4.9</w:t>
            </w:r>
            <w:r>
              <w:rPr>
                <w:rFonts w:hint="eastAsia" w:ascii="宋体" w:hAnsi="宋体" w:cs="宋体"/>
                <w:szCs w:val="21"/>
              </w:rPr>
              <w:t>分；</w:t>
            </w:r>
          </w:p>
          <w:p w14:paraId="1770AD0D">
            <w:pPr>
              <w:spacing w:line="400" w:lineRule="exact"/>
              <w:rPr>
                <w:rFonts w:ascii="宋体" w:hAnsi="宋体" w:cs="宋体"/>
                <w:szCs w:val="21"/>
              </w:rPr>
            </w:pPr>
            <w:r>
              <w:rPr>
                <w:rFonts w:hint="eastAsia" w:ascii="宋体" w:hAnsi="宋体" w:cs="宋体"/>
                <w:szCs w:val="21"/>
              </w:rPr>
              <w:t>（4）项目关键点、重难点分析不足，解决方案与关键点、重难点分析不能够充分对应的得</w:t>
            </w:r>
            <w:r>
              <w:rPr>
                <w:rFonts w:ascii="宋体" w:hAnsi="宋体" w:cs="宋体"/>
                <w:szCs w:val="21"/>
              </w:rPr>
              <w:t>0.1-</w:t>
            </w:r>
            <w:r>
              <w:rPr>
                <w:rFonts w:hint="eastAsia" w:ascii="宋体" w:hAnsi="宋体" w:cs="宋体"/>
                <w:szCs w:val="21"/>
              </w:rPr>
              <w:t>2</w:t>
            </w:r>
            <w:r>
              <w:rPr>
                <w:rFonts w:ascii="宋体" w:hAnsi="宋体" w:cs="宋体"/>
                <w:szCs w:val="21"/>
              </w:rPr>
              <w:t>.9</w:t>
            </w:r>
            <w:r>
              <w:rPr>
                <w:rFonts w:hint="eastAsia" w:ascii="宋体" w:hAnsi="宋体" w:cs="宋体"/>
                <w:szCs w:val="21"/>
              </w:rPr>
              <w:t>分；</w:t>
            </w:r>
          </w:p>
          <w:p w14:paraId="0C8DFA28">
            <w:pPr>
              <w:spacing w:line="400" w:lineRule="exact"/>
              <w:rPr>
                <w:rFonts w:ascii="宋体" w:hAnsi="宋体" w:cs="宋体"/>
              </w:rPr>
            </w:pPr>
            <w:r>
              <w:rPr>
                <w:rFonts w:hint="eastAsia" w:ascii="宋体" w:hAnsi="宋体" w:cs="宋体"/>
                <w:szCs w:val="21"/>
              </w:rPr>
              <w:t>（5）未提供不得分。</w:t>
            </w:r>
          </w:p>
        </w:tc>
        <w:tc>
          <w:tcPr>
            <w:tcW w:w="430" w:type="pct"/>
            <w:vAlign w:val="center"/>
          </w:tcPr>
          <w:p w14:paraId="109353CB">
            <w:pPr>
              <w:spacing w:line="400" w:lineRule="exact"/>
              <w:jc w:val="center"/>
              <w:rPr>
                <w:rFonts w:ascii="宋体" w:hAnsi="宋体" w:cs="宋体"/>
              </w:rPr>
            </w:pPr>
            <w:r>
              <w:rPr>
                <w:rFonts w:hint="eastAsia" w:ascii="宋体" w:hAnsi="宋体" w:cs="宋体"/>
              </w:rPr>
              <w:t>0-9</w:t>
            </w:r>
          </w:p>
        </w:tc>
      </w:tr>
      <w:tr w14:paraId="46DE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45B08F45">
            <w:pPr>
              <w:spacing w:line="400" w:lineRule="exact"/>
              <w:jc w:val="center"/>
              <w:rPr>
                <w:rFonts w:ascii="宋体" w:hAnsi="宋体" w:cs="宋体"/>
                <w:szCs w:val="20"/>
              </w:rPr>
            </w:pPr>
          </w:p>
        </w:tc>
        <w:tc>
          <w:tcPr>
            <w:tcW w:w="320" w:type="pct"/>
            <w:vAlign w:val="center"/>
          </w:tcPr>
          <w:p w14:paraId="69F947B7">
            <w:pPr>
              <w:spacing w:line="400" w:lineRule="exact"/>
              <w:jc w:val="center"/>
              <w:rPr>
                <w:rFonts w:ascii="宋体" w:hAnsi="宋体" w:cs="宋体"/>
                <w:szCs w:val="21"/>
              </w:rPr>
            </w:pPr>
            <w:r>
              <w:rPr>
                <w:rFonts w:ascii="宋体" w:hAnsi="宋体" w:cs="宋体"/>
                <w:szCs w:val="21"/>
              </w:rPr>
              <w:t>5</w:t>
            </w:r>
          </w:p>
        </w:tc>
        <w:tc>
          <w:tcPr>
            <w:tcW w:w="3884" w:type="pct"/>
            <w:vAlign w:val="center"/>
          </w:tcPr>
          <w:p w14:paraId="3FDD0A12">
            <w:pPr>
              <w:spacing w:line="400" w:lineRule="exact"/>
              <w:rPr>
                <w:rFonts w:ascii="宋体" w:hAnsi="宋体" w:cs="宋体"/>
              </w:rPr>
            </w:pPr>
            <w:r>
              <w:rPr>
                <w:rFonts w:hint="eastAsia" w:ascii="宋体" w:hAnsi="宋体" w:cs="宋体"/>
              </w:rPr>
              <w:t>根据供应商提供的突发事件应急措施进行综合评议，最高得9分。</w:t>
            </w:r>
          </w:p>
          <w:p w14:paraId="26C31048">
            <w:pPr>
              <w:spacing w:line="400" w:lineRule="exact"/>
              <w:rPr>
                <w:rFonts w:ascii="宋体" w:hAnsi="宋体" w:cs="宋体"/>
                <w:szCs w:val="21"/>
              </w:rPr>
            </w:pPr>
            <w:r>
              <w:rPr>
                <w:rFonts w:hint="eastAsia" w:ascii="宋体" w:hAnsi="宋体" w:cs="宋体"/>
                <w:szCs w:val="21"/>
              </w:rPr>
              <w:t>（1）应急措施方案完善，具体有效，对发生突发事件所提供的措施得力，可行性符合项目需求的得7</w:t>
            </w:r>
            <w:r>
              <w:rPr>
                <w:rFonts w:ascii="宋体" w:hAnsi="宋体" w:cs="宋体"/>
                <w:szCs w:val="21"/>
              </w:rPr>
              <w:t>.0-</w:t>
            </w:r>
            <w:r>
              <w:rPr>
                <w:rFonts w:hint="eastAsia" w:ascii="宋体" w:hAnsi="宋体" w:cs="宋体"/>
                <w:szCs w:val="21"/>
              </w:rPr>
              <w:t>9</w:t>
            </w:r>
            <w:r>
              <w:rPr>
                <w:rFonts w:ascii="宋体" w:hAnsi="宋体" w:cs="宋体"/>
                <w:szCs w:val="21"/>
              </w:rPr>
              <w:t>.0</w:t>
            </w:r>
            <w:r>
              <w:rPr>
                <w:rFonts w:hint="eastAsia" w:ascii="宋体" w:hAnsi="宋体" w:cs="宋体"/>
                <w:szCs w:val="21"/>
              </w:rPr>
              <w:t>分；</w:t>
            </w:r>
          </w:p>
          <w:p w14:paraId="3B529A12">
            <w:pPr>
              <w:spacing w:line="400" w:lineRule="exact"/>
              <w:rPr>
                <w:rFonts w:ascii="宋体" w:hAnsi="宋体" w:cs="宋体"/>
                <w:szCs w:val="21"/>
              </w:rPr>
            </w:pPr>
            <w:r>
              <w:rPr>
                <w:rFonts w:hint="eastAsia" w:ascii="宋体" w:hAnsi="宋体" w:cs="宋体"/>
                <w:szCs w:val="21"/>
              </w:rPr>
              <w:t>（2）应急措施方案内容较为充分，对发生突发事件所提供的措施得当，合理可行的得</w:t>
            </w:r>
            <w:r>
              <w:rPr>
                <w:rFonts w:ascii="宋体" w:hAnsi="宋体" w:cs="宋体"/>
                <w:szCs w:val="21"/>
              </w:rPr>
              <w:t>5.0-</w:t>
            </w:r>
            <w:r>
              <w:rPr>
                <w:rFonts w:hint="eastAsia" w:ascii="宋体" w:hAnsi="宋体" w:cs="宋体"/>
                <w:szCs w:val="21"/>
              </w:rPr>
              <w:t>6</w:t>
            </w:r>
            <w:r>
              <w:rPr>
                <w:rFonts w:ascii="宋体" w:hAnsi="宋体" w:cs="宋体"/>
                <w:szCs w:val="21"/>
              </w:rPr>
              <w:t>.9</w:t>
            </w:r>
            <w:r>
              <w:rPr>
                <w:rFonts w:hint="eastAsia" w:ascii="宋体" w:hAnsi="宋体" w:cs="宋体"/>
                <w:szCs w:val="21"/>
              </w:rPr>
              <w:t>分；</w:t>
            </w:r>
          </w:p>
          <w:p w14:paraId="0F8A7027">
            <w:pPr>
              <w:spacing w:line="400" w:lineRule="exact"/>
              <w:rPr>
                <w:rFonts w:ascii="宋体" w:hAnsi="宋体" w:cs="宋体"/>
                <w:szCs w:val="21"/>
              </w:rPr>
            </w:pPr>
            <w:r>
              <w:rPr>
                <w:rFonts w:hint="eastAsia" w:ascii="宋体" w:hAnsi="宋体" w:cs="宋体"/>
                <w:szCs w:val="21"/>
              </w:rPr>
              <w:t>（3）应急措施方案内容简单，对发生突发事件所提供的措施较为得当，基本可行的得3</w:t>
            </w:r>
            <w:r>
              <w:rPr>
                <w:rFonts w:ascii="宋体" w:hAnsi="宋体" w:cs="宋体"/>
                <w:szCs w:val="21"/>
              </w:rPr>
              <w:t>.0-4.9</w:t>
            </w:r>
            <w:r>
              <w:rPr>
                <w:rFonts w:hint="eastAsia" w:ascii="宋体" w:hAnsi="宋体" w:cs="宋体"/>
                <w:szCs w:val="21"/>
              </w:rPr>
              <w:t>分；</w:t>
            </w:r>
          </w:p>
          <w:p w14:paraId="010377EE">
            <w:pPr>
              <w:spacing w:line="400" w:lineRule="exact"/>
              <w:rPr>
                <w:rFonts w:ascii="宋体" w:hAnsi="宋体" w:cs="宋体"/>
                <w:szCs w:val="21"/>
              </w:rPr>
            </w:pPr>
            <w:r>
              <w:rPr>
                <w:rFonts w:hint="eastAsia" w:ascii="宋体" w:hAnsi="宋体" w:cs="宋体"/>
                <w:szCs w:val="21"/>
              </w:rPr>
              <w:t>（4）应急措施方案考虑不足，内容存在较大缺陷，如发生突发事件不能够及时有效处理甚至会影响项目履约的得</w:t>
            </w:r>
            <w:r>
              <w:rPr>
                <w:rFonts w:ascii="宋体" w:hAnsi="宋体" w:cs="宋体"/>
                <w:szCs w:val="21"/>
              </w:rPr>
              <w:t>0.1-</w:t>
            </w:r>
            <w:r>
              <w:rPr>
                <w:rFonts w:hint="eastAsia" w:ascii="宋体" w:hAnsi="宋体" w:cs="宋体"/>
                <w:szCs w:val="21"/>
              </w:rPr>
              <w:t>2</w:t>
            </w:r>
            <w:r>
              <w:rPr>
                <w:rFonts w:ascii="宋体" w:hAnsi="宋体" w:cs="宋体"/>
                <w:szCs w:val="21"/>
              </w:rPr>
              <w:t>.9</w:t>
            </w:r>
            <w:r>
              <w:rPr>
                <w:rFonts w:hint="eastAsia" w:ascii="宋体" w:hAnsi="宋体" w:cs="宋体"/>
                <w:szCs w:val="21"/>
              </w:rPr>
              <w:t>分；</w:t>
            </w:r>
          </w:p>
          <w:p w14:paraId="524B358A">
            <w:pPr>
              <w:spacing w:line="400" w:lineRule="exact"/>
              <w:rPr>
                <w:rFonts w:ascii="宋体" w:hAnsi="宋体" w:cs="宋体"/>
              </w:rPr>
            </w:pPr>
            <w:r>
              <w:rPr>
                <w:rFonts w:hint="eastAsia" w:ascii="宋体" w:hAnsi="宋体" w:cs="宋体"/>
                <w:szCs w:val="21"/>
              </w:rPr>
              <w:t>（5）未提供不得分。</w:t>
            </w:r>
          </w:p>
        </w:tc>
        <w:tc>
          <w:tcPr>
            <w:tcW w:w="430" w:type="pct"/>
            <w:vAlign w:val="center"/>
          </w:tcPr>
          <w:p w14:paraId="312BE5B1">
            <w:pPr>
              <w:spacing w:line="400" w:lineRule="exact"/>
              <w:jc w:val="center"/>
              <w:rPr>
                <w:rFonts w:ascii="宋体" w:hAnsi="宋体" w:cs="宋体"/>
              </w:rPr>
            </w:pPr>
            <w:r>
              <w:rPr>
                <w:rFonts w:hint="eastAsia" w:ascii="宋体" w:hAnsi="宋体" w:cs="宋体"/>
              </w:rPr>
              <w:t>0-9</w:t>
            </w:r>
          </w:p>
        </w:tc>
      </w:tr>
      <w:tr w14:paraId="4957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2CF448CD">
            <w:pPr>
              <w:spacing w:line="400" w:lineRule="exact"/>
              <w:jc w:val="center"/>
              <w:rPr>
                <w:rFonts w:ascii="宋体" w:hAnsi="宋体" w:cs="宋体"/>
                <w:szCs w:val="20"/>
              </w:rPr>
            </w:pPr>
          </w:p>
        </w:tc>
        <w:tc>
          <w:tcPr>
            <w:tcW w:w="320" w:type="pct"/>
            <w:vAlign w:val="center"/>
          </w:tcPr>
          <w:p w14:paraId="230D97F3">
            <w:pPr>
              <w:spacing w:line="400" w:lineRule="exact"/>
              <w:jc w:val="center"/>
              <w:rPr>
                <w:rFonts w:ascii="宋体" w:hAnsi="宋体" w:cs="宋体"/>
                <w:szCs w:val="21"/>
              </w:rPr>
            </w:pPr>
            <w:r>
              <w:rPr>
                <w:rFonts w:ascii="宋体" w:hAnsi="宋体" w:cs="宋体"/>
                <w:szCs w:val="21"/>
              </w:rPr>
              <w:t>6</w:t>
            </w:r>
          </w:p>
        </w:tc>
        <w:tc>
          <w:tcPr>
            <w:tcW w:w="3884" w:type="pct"/>
            <w:vAlign w:val="center"/>
          </w:tcPr>
          <w:p w14:paraId="483CFCEA">
            <w:pPr>
              <w:spacing w:line="400" w:lineRule="exact"/>
              <w:rPr>
                <w:rFonts w:ascii="宋体" w:hAnsi="宋体" w:cs="宋体"/>
              </w:rPr>
            </w:pPr>
            <w:r>
              <w:rPr>
                <w:rFonts w:hint="eastAsia" w:ascii="宋体" w:hAnsi="宋体" w:cs="宋体"/>
              </w:rPr>
              <w:t>对民工工资管理、保障措施进行综合评议，最高得5分。</w:t>
            </w:r>
          </w:p>
          <w:p w14:paraId="31790BAC">
            <w:pPr>
              <w:spacing w:line="400" w:lineRule="exact"/>
              <w:rPr>
                <w:rFonts w:ascii="宋体" w:hAnsi="宋体" w:cs="宋体"/>
                <w:szCs w:val="21"/>
              </w:rPr>
            </w:pPr>
            <w:r>
              <w:rPr>
                <w:rFonts w:hint="eastAsia" w:ascii="宋体" w:hAnsi="宋体" w:cs="宋体"/>
                <w:szCs w:val="21"/>
              </w:rPr>
              <w:t>（1）管理完善、保障措施可行的得</w:t>
            </w:r>
            <w:r>
              <w:rPr>
                <w:rFonts w:ascii="宋体" w:hAnsi="宋体" w:cs="宋体"/>
                <w:szCs w:val="21"/>
              </w:rPr>
              <w:t>4.0</w:t>
            </w:r>
            <w:r>
              <w:rPr>
                <w:rFonts w:hint="eastAsia" w:ascii="宋体" w:hAnsi="宋体" w:cs="宋体"/>
                <w:szCs w:val="21"/>
              </w:rPr>
              <w:t>-5.0</w:t>
            </w:r>
            <w:r>
              <w:rPr>
                <w:rFonts w:ascii="宋体" w:hAnsi="宋体" w:cs="宋体"/>
                <w:szCs w:val="21"/>
              </w:rPr>
              <w:t>分；</w:t>
            </w:r>
          </w:p>
          <w:p w14:paraId="1B01D0EB">
            <w:pPr>
              <w:spacing w:line="400" w:lineRule="exact"/>
              <w:rPr>
                <w:rFonts w:ascii="宋体" w:hAnsi="宋体" w:cs="宋体"/>
                <w:szCs w:val="21"/>
              </w:rPr>
            </w:pPr>
            <w:r>
              <w:rPr>
                <w:rFonts w:hint="eastAsia" w:ascii="宋体" w:hAnsi="宋体" w:cs="宋体"/>
                <w:szCs w:val="21"/>
              </w:rPr>
              <w:t>（2）管理基本完善、保障措施基本可行的得2.0-</w:t>
            </w:r>
            <w:r>
              <w:rPr>
                <w:rFonts w:ascii="宋体" w:hAnsi="宋体" w:cs="宋体"/>
                <w:szCs w:val="21"/>
              </w:rPr>
              <w:t>3</w:t>
            </w:r>
            <w:r>
              <w:rPr>
                <w:rFonts w:hint="eastAsia" w:ascii="宋体" w:hAnsi="宋体" w:cs="宋体"/>
                <w:szCs w:val="21"/>
              </w:rPr>
              <w:t>.9</w:t>
            </w:r>
            <w:r>
              <w:rPr>
                <w:rFonts w:ascii="宋体" w:hAnsi="宋体" w:cs="宋体"/>
                <w:szCs w:val="21"/>
              </w:rPr>
              <w:t>分；</w:t>
            </w:r>
          </w:p>
          <w:p w14:paraId="0286C317">
            <w:pPr>
              <w:spacing w:line="400" w:lineRule="exact"/>
              <w:rPr>
                <w:rFonts w:ascii="宋体" w:hAnsi="宋体" w:cs="宋体"/>
                <w:szCs w:val="21"/>
              </w:rPr>
            </w:pPr>
            <w:r>
              <w:rPr>
                <w:rFonts w:hint="eastAsia" w:ascii="宋体" w:hAnsi="宋体" w:cs="宋体"/>
                <w:szCs w:val="21"/>
              </w:rPr>
              <w:t>（3）管理欠完善、保障措施不可行的得0.1-1.9</w:t>
            </w:r>
            <w:r>
              <w:rPr>
                <w:rFonts w:ascii="宋体" w:hAnsi="宋体" w:cs="宋体"/>
                <w:szCs w:val="21"/>
              </w:rPr>
              <w:t>分；</w:t>
            </w:r>
          </w:p>
          <w:p w14:paraId="40E0FA23">
            <w:pPr>
              <w:spacing w:line="400" w:lineRule="exact"/>
              <w:rPr>
                <w:rFonts w:ascii="宋体" w:hAnsi="宋体" w:cs="宋体"/>
              </w:rPr>
            </w:pPr>
            <w:r>
              <w:rPr>
                <w:rFonts w:hint="eastAsia" w:ascii="宋体" w:hAnsi="宋体" w:cs="宋体"/>
                <w:szCs w:val="21"/>
              </w:rPr>
              <w:t>（4）未提供不得分。</w:t>
            </w:r>
          </w:p>
        </w:tc>
        <w:tc>
          <w:tcPr>
            <w:tcW w:w="430" w:type="pct"/>
            <w:vAlign w:val="center"/>
          </w:tcPr>
          <w:p w14:paraId="62547DC1">
            <w:pPr>
              <w:spacing w:line="400" w:lineRule="exact"/>
              <w:jc w:val="center"/>
              <w:rPr>
                <w:rFonts w:ascii="宋体" w:hAnsi="宋体" w:cs="宋体"/>
              </w:rPr>
            </w:pPr>
            <w:r>
              <w:rPr>
                <w:rFonts w:hint="eastAsia" w:ascii="宋体" w:hAnsi="宋体" w:cs="宋体"/>
              </w:rPr>
              <w:t>0-5</w:t>
            </w:r>
          </w:p>
        </w:tc>
      </w:tr>
      <w:tr w14:paraId="6565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53CCEAEA">
            <w:pPr>
              <w:spacing w:line="400" w:lineRule="exact"/>
              <w:jc w:val="center"/>
              <w:rPr>
                <w:rFonts w:ascii="宋体" w:hAnsi="宋体" w:cs="宋体"/>
                <w:szCs w:val="20"/>
              </w:rPr>
            </w:pPr>
          </w:p>
        </w:tc>
        <w:tc>
          <w:tcPr>
            <w:tcW w:w="320" w:type="pct"/>
            <w:vAlign w:val="center"/>
          </w:tcPr>
          <w:p w14:paraId="747E4C71">
            <w:pPr>
              <w:spacing w:line="400" w:lineRule="exact"/>
              <w:jc w:val="center"/>
              <w:rPr>
                <w:rFonts w:ascii="宋体" w:hAnsi="宋体" w:cs="宋体"/>
                <w:szCs w:val="21"/>
              </w:rPr>
            </w:pPr>
            <w:r>
              <w:rPr>
                <w:rFonts w:ascii="宋体" w:hAnsi="宋体" w:cs="宋体"/>
                <w:szCs w:val="21"/>
              </w:rPr>
              <w:t>7</w:t>
            </w:r>
          </w:p>
        </w:tc>
        <w:tc>
          <w:tcPr>
            <w:tcW w:w="3884" w:type="pct"/>
            <w:vAlign w:val="center"/>
          </w:tcPr>
          <w:p w14:paraId="26C8D140">
            <w:pPr>
              <w:spacing w:line="400" w:lineRule="exact"/>
              <w:rPr>
                <w:rFonts w:ascii="宋体" w:hAnsi="宋体" w:cs="宋体"/>
              </w:rPr>
            </w:pPr>
            <w:r>
              <w:rPr>
                <w:rFonts w:hint="eastAsia" w:ascii="宋体" w:hAnsi="宋体" w:cs="宋体"/>
              </w:rPr>
              <w:t>售后服务响应情况：供应商提供确保按时到达的承诺、服务措施等资料，对用户故障维修服务处理响应的方案进行综合评议，最高得5分。</w:t>
            </w:r>
          </w:p>
          <w:p w14:paraId="218DA509">
            <w:pPr>
              <w:spacing w:line="400" w:lineRule="exact"/>
              <w:rPr>
                <w:rFonts w:ascii="宋体" w:hAnsi="宋体" w:cs="宋体"/>
                <w:szCs w:val="21"/>
              </w:rPr>
            </w:pPr>
            <w:r>
              <w:rPr>
                <w:rFonts w:hint="eastAsia" w:ascii="宋体" w:hAnsi="宋体" w:cs="宋体"/>
                <w:szCs w:val="21"/>
              </w:rPr>
              <w:t>（1）服务措施等资料完善、详实，能及时处理用户故障，各项售后服务方案与项目需求相互对应的得</w:t>
            </w:r>
            <w:r>
              <w:rPr>
                <w:rFonts w:ascii="宋体" w:hAnsi="宋体" w:cs="宋体"/>
                <w:szCs w:val="21"/>
              </w:rPr>
              <w:t>4</w:t>
            </w:r>
            <w:r>
              <w:rPr>
                <w:rFonts w:hint="eastAsia" w:ascii="宋体" w:hAnsi="宋体" w:cs="宋体"/>
                <w:szCs w:val="21"/>
              </w:rPr>
              <w:t>.0-5.0分；</w:t>
            </w:r>
          </w:p>
          <w:p w14:paraId="5DB22714">
            <w:pPr>
              <w:spacing w:line="400" w:lineRule="exact"/>
              <w:rPr>
                <w:rFonts w:ascii="宋体" w:hAnsi="宋体" w:cs="宋体"/>
                <w:szCs w:val="21"/>
              </w:rPr>
            </w:pPr>
            <w:r>
              <w:rPr>
                <w:rFonts w:hint="eastAsia" w:ascii="宋体" w:hAnsi="宋体" w:cs="宋体"/>
                <w:szCs w:val="21"/>
              </w:rPr>
              <w:t>（2）服务措施等方案内容比较完善，服务响应时效及服务措施基本合理可行的得2.0-</w:t>
            </w:r>
            <w:r>
              <w:rPr>
                <w:rFonts w:ascii="宋体" w:hAnsi="宋体" w:cs="宋体"/>
                <w:szCs w:val="21"/>
              </w:rPr>
              <w:t>3</w:t>
            </w:r>
            <w:r>
              <w:rPr>
                <w:rFonts w:hint="eastAsia" w:ascii="宋体" w:hAnsi="宋体" w:cs="宋体"/>
                <w:szCs w:val="21"/>
              </w:rPr>
              <w:t>.9分；</w:t>
            </w:r>
          </w:p>
          <w:p w14:paraId="32D48BFB">
            <w:pPr>
              <w:spacing w:line="400" w:lineRule="exact"/>
              <w:rPr>
                <w:rFonts w:ascii="宋体" w:hAnsi="宋体" w:cs="宋体"/>
                <w:szCs w:val="21"/>
              </w:rPr>
            </w:pPr>
            <w:r>
              <w:rPr>
                <w:rFonts w:hint="eastAsia" w:ascii="宋体" w:hAnsi="宋体" w:cs="宋体"/>
                <w:szCs w:val="21"/>
              </w:rPr>
              <w:t>（3）服务措施等方案内容较少，服务响应不够及时，措施不妥的得0.1-1.9分；</w:t>
            </w:r>
          </w:p>
          <w:p w14:paraId="43E12C5D">
            <w:pPr>
              <w:spacing w:line="400" w:lineRule="exact"/>
              <w:rPr>
                <w:rFonts w:ascii="宋体" w:hAnsi="宋体"/>
              </w:rPr>
            </w:pPr>
            <w:r>
              <w:rPr>
                <w:rFonts w:hint="eastAsia" w:ascii="宋体" w:hAnsi="宋体" w:cs="宋体"/>
                <w:szCs w:val="21"/>
              </w:rPr>
              <w:t>（4）未提供不得分。</w:t>
            </w:r>
          </w:p>
        </w:tc>
        <w:tc>
          <w:tcPr>
            <w:tcW w:w="430" w:type="pct"/>
            <w:vAlign w:val="center"/>
          </w:tcPr>
          <w:p w14:paraId="30013BA1">
            <w:pPr>
              <w:spacing w:line="400" w:lineRule="exact"/>
              <w:jc w:val="center"/>
              <w:rPr>
                <w:rFonts w:ascii="宋体" w:hAnsi="宋体" w:cs="宋体"/>
              </w:rPr>
            </w:pPr>
            <w:r>
              <w:rPr>
                <w:rFonts w:hint="eastAsia" w:ascii="宋体" w:hAnsi="宋体" w:cs="宋体"/>
              </w:rPr>
              <w:t>0-5</w:t>
            </w:r>
          </w:p>
        </w:tc>
      </w:tr>
      <w:tr w14:paraId="767F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66FF3DE7">
            <w:pPr>
              <w:spacing w:line="400" w:lineRule="exact"/>
              <w:jc w:val="center"/>
              <w:rPr>
                <w:rFonts w:ascii="宋体" w:hAnsi="宋体" w:cs="宋体"/>
                <w:szCs w:val="20"/>
              </w:rPr>
            </w:pPr>
          </w:p>
        </w:tc>
        <w:tc>
          <w:tcPr>
            <w:tcW w:w="320" w:type="pct"/>
            <w:vAlign w:val="center"/>
          </w:tcPr>
          <w:p w14:paraId="59F78CE8">
            <w:pPr>
              <w:spacing w:line="400" w:lineRule="exact"/>
              <w:jc w:val="center"/>
              <w:rPr>
                <w:rFonts w:ascii="宋体" w:hAnsi="宋体" w:cs="宋体"/>
                <w:szCs w:val="21"/>
              </w:rPr>
            </w:pPr>
            <w:r>
              <w:rPr>
                <w:rFonts w:ascii="宋体" w:hAnsi="宋体" w:cs="宋体"/>
                <w:szCs w:val="21"/>
              </w:rPr>
              <w:t>8</w:t>
            </w:r>
          </w:p>
        </w:tc>
        <w:tc>
          <w:tcPr>
            <w:tcW w:w="3884" w:type="pct"/>
            <w:vAlign w:val="center"/>
          </w:tcPr>
          <w:p w14:paraId="74D70504">
            <w:pPr>
              <w:spacing w:line="400" w:lineRule="exact"/>
              <w:jc w:val="left"/>
              <w:rPr>
                <w:rFonts w:ascii="宋体" w:hAnsi="宋体" w:cs="宋体"/>
              </w:rPr>
            </w:pPr>
            <w:r>
              <w:rPr>
                <w:rFonts w:hint="eastAsia" w:ascii="宋体" w:hAnsi="宋体" w:cs="宋体"/>
              </w:rPr>
              <w:t>项目实施的技术力量和人力资源安排，根据供应商提供的技术力量和人力资源进行综合评议，最高得4分。</w:t>
            </w:r>
          </w:p>
          <w:p w14:paraId="668B94D0">
            <w:pPr>
              <w:spacing w:line="400" w:lineRule="exact"/>
              <w:jc w:val="left"/>
              <w:rPr>
                <w:rFonts w:ascii="宋体" w:hAnsi="宋体" w:cs="宋体"/>
                <w:szCs w:val="21"/>
              </w:rPr>
            </w:pPr>
            <w:r>
              <w:rPr>
                <w:rFonts w:hint="eastAsia" w:ascii="宋体" w:hAnsi="宋体" w:cs="宋体"/>
                <w:szCs w:val="21"/>
              </w:rPr>
              <w:t>（1）技术力量和人力资源安排充足，充分满足项目施工要求及条件的得3.0-4.0分；</w:t>
            </w:r>
          </w:p>
          <w:p w14:paraId="34FE2EC9">
            <w:pPr>
              <w:spacing w:line="400" w:lineRule="exact"/>
              <w:jc w:val="left"/>
              <w:rPr>
                <w:rFonts w:ascii="宋体" w:hAnsi="宋体" w:cs="宋体"/>
                <w:szCs w:val="21"/>
              </w:rPr>
            </w:pPr>
            <w:r>
              <w:rPr>
                <w:rFonts w:hint="eastAsia" w:ascii="宋体" w:hAnsi="宋体" w:cs="宋体"/>
                <w:szCs w:val="21"/>
              </w:rPr>
              <w:t>（2）技术力量和人力资源安排较为充分，能够良好满足项目施工要求及条件的得1.5-2.9分；</w:t>
            </w:r>
          </w:p>
          <w:p w14:paraId="05486D2D">
            <w:pPr>
              <w:spacing w:line="400" w:lineRule="exact"/>
              <w:jc w:val="left"/>
              <w:rPr>
                <w:rFonts w:ascii="宋体" w:hAnsi="宋体" w:cs="宋体"/>
                <w:szCs w:val="21"/>
              </w:rPr>
            </w:pPr>
            <w:r>
              <w:rPr>
                <w:rFonts w:hint="eastAsia" w:ascii="宋体" w:hAnsi="宋体" w:cs="宋体"/>
                <w:szCs w:val="21"/>
              </w:rPr>
              <w:t>（3）技术力量和人力资源安排不足，可能影响项目施工要求及条件的得0.1-1.4分；</w:t>
            </w:r>
          </w:p>
          <w:p w14:paraId="699F5714">
            <w:pPr>
              <w:spacing w:line="400" w:lineRule="exact"/>
              <w:jc w:val="left"/>
              <w:rPr>
                <w:rFonts w:ascii="宋体" w:hAnsi="宋体" w:cs="宋体"/>
                <w:szCs w:val="21"/>
              </w:rPr>
            </w:pPr>
            <w:r>
              <w:rPr>
                <w:rFonts w:hint="eastAsia" w:ascii="宋体" w:hAnsi="宋体" w:cs="宋体"/>
                <w:szCs w:val="21"/>
              </w:rPr>
              <w:t>（4）未提供不得分。</w:t>
            </w:r>
          </w:p>
          <w:p w14:paraId="7266536D">
            <w:pPr>
              <w:spacing w:line="400" w:lineRule="exact"/>
              <w:jc w:val="left"/>
              <w:rPr>
                <w:rFonts w:ascii="宋体" w:hAnsi="宋体" w:cs="宋体"/>
              </w:rPr>
            </w:pPr>
            <w:r>
              <w:rPr>
                <w:rFonts w:hint="eastAsia" w:ascii="宋体" w:hAnsi="宋体" w:cs="宋体"/>
                <w:szCs w:val="21"/>
              </w:rPr>
              <w:t>注：响应文件内提供相关资质证书、社保证明等材料。</w:t>
            </w:r>
          </w:p>
        </w:tc>
        <w:tc>
          <w:tcPr>
            <w:tcW w:w="430" w:type="pct"/>
            <w:vAlign w:val="center"/>
          </w:tcPr>
          <w:p w14:paraId="0BB058ED">
            <w:pPr>
              <w:spacing w:line="400" w:lineRule="exact"/>
              <w:jc w:val="center"/>
              <w:rPr>
                <w:rFonts w:ascii="宋体" w:hAnsi="宋体" w:cs="宋体"/>
              </w:rPr>
            </w:pPr>
            <w:r>
              <w:rPr>
                <w:rFonts w:hint="eastAsia" w:ascii="宋体" w:hAnsi="宋体" w:cs="宋体"/>
              </w:rPr>
              <w:t>0-4</w:t>
            </w:r>
          </w:p>
        </w:tc>
      </w:tr>
      <w:tr w14:paraId="691C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38FC5386">
            <w:pPr>
              <w:spacing w:line="400" w:lineRule="exact"/>
              <w:jc w:val="center"/>
              <w:rPr>
                <w:rFonts w:ascii="宋体" w:hAnsi="宋体" w:cs="宋体"/>
                <w:szCs w:val="20"/>
              </w:rPr>
            </w:pPr>
          </w:p>
        </w:tc>
        <w:tc>
          <w:tcPr>
            <w:tcW w:w="320" w:type="pct"/>
            <w:vAlign w:val="center"/>
          </w:tcPr>
          <w:p w14:paraId="7228F1CB">
            <w:pPr>
              <w:spacing w:line="400" w:lineRule="exact"/>
              <w:jc w:val="center"/>
              <w:rPr>
                <w:rFonts w:ascii="宋体" w:hAnsi="宋体" w:cs="宋体"/>
                <w:szCs w:val="21"/>
              </w:rPr>
            </w:pPr>
            <w:r>
              <w:rPr>
                <w:rFonts w:ascii="宋体" w:hAnsi="宋体" w:cs="宋体"/>
                <w:szCs w:val="21"/>
              </w:rPr>
              <w:t>9</w:t>
            </w:r>
          </w:p>
        </w:tc>
        <w:tc>
          <w:tcPr>
            <w:tcW w:w="3884" w:type="pct"/>
            <w:vAlign w:val="center"/>
          </w:tcPr>
          <w:p w14:paraId="707B3385">
            <w:pPr>
              <w:spacing w:line="400" w:lineRule="exact"/>
              <w:jc w:val="left"/>
              <w:rPr>
                <w:rFonts w:ascii="宋体" w:hAnsi="宋体" w:cs="宋体"/>
              </w:rPr>
            </w:pPr>
            <w:r>
              <w:rPr>
                <w:rFonts w:hint="eastAsia" w:ascii="宋体" w:hAnsi="宋体" w:cs="宋体"/>
              </w:rPr>
              <w:t>根据供应商提供的配合采购人统一管理措施进行综合评议，最高得4分。</w:t>
            </w:r>
          </w:p>
          <w:p w14:paraId="6DE4DD7A">
            <w:pPr>
              <w:spacing w:line="400" w:lineRule="exact"/>
              <w:jc w:val="left"/>
              <w:rPr>
                <w:rFonts w:ascii="宋体" w:hAnsi="宋体" w:cs="宋体"/>
              </w:rPr>
            </w:pPr>
            <w:r>
              <w:rPr>
                <w:rFonts w:hint="eastAsia" w:ascii="宋体" w:hAnsi="宋体" w:cs="宋体"/>
              </w:rPr>
              <w:t>（1）配合和协调采购人单位的统一管理及措施完善，有详实的施工过程减少对采购人日常工作影响的制度和措施，得</w:t>
            </w:r>
            <w:r>
              <w:rPr>
                <w:rFonts w:hint="eastAsia" w:ascii="宋体" w:hAnsi="宋体" w:cs="宋体"/>
                <w:szCs w:val="21"/>
              </w:rPr>
              <w:t>3.0-4.0</w:t>
            </w:r>
            <w:r>
              <w:rPr>
                <w:rFonts w:hint="eastAsia" w:ascii="宋体" w:hAnsi="宋体" w:cs="宋体"/>
              </w:rPr>
              <w:t>分；</w:t>
            </w:r>
          </w:p>
          <w:p w14:paraId="0CDED8C5">
            <w:pPr>
              <w:spacing w:line="400" w:lineRule="exact"/>
              <w:jc w:val="left"/>
              <w:rPr>
                <w:rFonts w:ascii="宋体" w:hAnsi="宋体" w:cs="宋体"/>
              </w:rPr>
            </w:pPr>
            <w:r>
              <w:rPr>
                <w:rFonts w:hint="eastAsia" w:ascii="宋体" w:hAnsi="宋体" w:cs="宋体"/>
              </w:rPr>
              <w:t>（2）配合和协调采购人单位的统一管理及措施基本完善，有施工过程减少对采购人日常工作影响的制度和措施的基本内容，得</w:t>
            </w:r>
            <w:r>
              <w:rPr>
                <w:rFonts w:hint="eastAsia" w:ascii="宋体" w:hAnsi="宋体" w:cs="宋体"/>
                <w:szCs w:val="21"/>
              </w:rPr>
              <w:t>1.5-2.9</w:t>
            </w:r>
            <w:r>
              <w:rPr>
                <w:rFonts w:hint="eastAsia" w:ascii="宋体" w:hAnsi="宋体" w:cs="宋体"/>
              </w:rPr>
              <w:t>分；</w:t>
            </w:r>
          </w:p>
          <w:p w14:paraId="5F913488">
            <w:pPr>
              <w:spacing w:line="400" w:lineRule="exact"/>
              <w:jc w:val="left"/>
              <w:rPr>
                <w:rFonts w:ascii="宋体" w:hAnsi="宋体" w:cs="宋体"/>
              </w:rPr>
            </w:pPr>
            <w:r>
              <w:rPr>
                <w:rFonts w:hint="eastAsia" w:ascii="宋体" w:hAnsi="宋体" w:cs="宋体"/>
              </w:rPr>
              <w:t>（3）配合和协调采购人单位的统一管理及措施有明显欠缺，仅有简略的施工过程减少对采购人日常工作影响的制度和措施，得</w:t>
            </w:r>
            <w:r>
              <w:rPr>
                <w:rFonts w:hint="eastAsia" w:ascii="宋体" w:hAnsi="宋体" w:cs="宋体"/>
                <w:szCs w:val="21"/>
              </w:rPr>
              <w:t>0.1-1.4</w:t>
            </w:r>
            <w:r>
              <w:rPr>
                <w:rFonts w:hint="eastAsia" w:ascii="宋体" w:hAnsi="宋体" w:cs="宋体"/>
              </w:rPr>
              <w:t>分。</w:t>
            </w:r>
          </w:p>
          <w:p w14:paraId="6B532679">
            <w:pPr>
              <w:spacing w:line="400" w:lineRule="exact"/>
              <w:jc w:val="left"/>
              <w:rPr>
                <w:rFonts w:ascii="宋体" w:hAnsi="宋体"/>
              </w:rPr>
            </w:pPr>
            <w:r>
              <w:rPr>
                <w:rFonts w:hint="eastAsia" w:ascii="宋体" w:hAnsi="宋体" w:cs="宋体"/>
              </w:rPr>
              <w:t>（4）</w:t>
            </w:r>
            <w:r>
              <w:rPr>
                <w:rFonts w:hint="eastAsia" w:ascii="宋体" w:hAnsi="宋体" w:cs="宋体"/>
                <w:szCs w:val="21"/>
              </w:rPr>
              <w:t>未提供不得分。</w:t>
            </w:r>
          </w:p>
        </w:tc>
        <w:tc>
          <w:tcPr>
            <w:tcW w:w="430" w:type="pct"/>
            <w:vAlign w:val="center"/>
          </w:tcPr>
          <w:p w14:paraId="0FDE9B1D">
            <w:pPr>
              <w:spacing w:line="400" w:lineRule="exact"/>
              <w:jc w:val="center"/>
              <w:rPr>
                <w:rFonts w:ascii="宋体" w:hAnsi="宋体" w:cs="宋体"/>
              </w:rPr>
            </w:pPr>
            <w:r>
              <w:rPr>
                <w:rFonts w:hint="eastAsia" w:ascii="宋体" w:hAnsi="宋体" w:cs="宋体"/>
                <w:szCs w:val="21"/>
              </w:rPr>
              <w:t>0-4</w:t>
            </w:r>
          </w:p>
        </w:tc>
      </w:tr>
      <w:tr w14:paraId="6177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366" w:type="pct"/>
            <w:vMerge w:val="continue"/>
            <w:vAlign w:val="center"/>
          </w:tcPr>
          <w:p w14:paraId="366CB1F1">
            <w:pPr>
              <w:spacing w:line="400" w:lineRule="exact"/>
              <w:jc w:val="center"/>
              <w:rPr>
                <w:rFonts w:ascii="宋体" w:hAnsi="宋体" w:cs="宋体"/>
                <w:szCs w:val="20"/>
              </w:rPr>
            </w:pPr>
          </w:p>
        </w:tc>
        <w:tc>
          <w:tcPr>
            <w:tcW w:w="320" w:type="pct"/>
            <w:vMerge w:val="restart"/>
            <w:vAlign w:val="center"/>
          </w:tcPr>
          <w:p w14:paraId="4C393504">
            <w:pPr>
              <w:spacing w:line="400" w:lineRule="exact"/>
              <w:jc w:val="center"/>
              <w:rPr>
                <w:rFonts w:ascii="宋体" w:hAnsi="宋体" w:cs="宋体"/>
                <w:szCs w:val="21"/>
              </w:rPr>
            </w:pPr>
            <w:r>
              <w:rPr>
                <w:rFonts w:hint="eastAsia" w:ascii="宋体" w:hAnsi="宋体" w:cs="宋体"/>
                <w:szCs w:val="21"/>
              </w:rPr>
              <w:t>10</w:t>
            </w:r>
          </w:p>
        </w:tc>
        <w:tc>
          <w:tcPr>
            <w:tcW w:w="3884" w:type="pct"/>
            <w:vAlign w:val="center"/>
          </w:tcPr>
          <w:p w14:paraId="5D2F20CA">
            <w:pPr>
              <w:spacing w:line="400" w:lineRule="exact"/>
              <w:rPr>
                <w:rFonts w:hint="eastAsia" w:ascii="inherit" w:hAnsi="inherit" w:cs="宋体"/>
                <w:kern w:val="0"/>
                <w:szCs w:val="21"/>
              </w:rPr>
            </w:pPr>
            <w:bookmarkStart w:id="63" w:name="OLE_LINK17"/>
            <w:bookmarkStart w:id="64" w:name="OLE_LINK16"/>
            <w:r>
              <w:rPr>
                <w:rFonts w:hint="eastAsia" w:ascii="宋体" w:hAnsi="宋体" w:cs="宋体"/>
              </w:rPr>
              <w:t>根据供应商提供的瓷砖样品情况进行综合评议，要求样品</w:t>
            </w:r>
            <w:r>
              <w:rPr>
                <w:rFonts w:ascii="宋体" w:hAnsi="宋体" w:cs="宋体"/>
              </w:rPr>
              <w:t>表面平整光滑，无明显凹凸不平或波纹现象</w:t>
            </w:r>
            <w:r>
              <w:rPr>
                <w:rFonts w:hint="eastAsia" w:ascii="宋体" w:hAnsi="宋体" w:cs="宋体"/>
              </w:rPr>
              <w:t>；</w:t>
            </w:r>
            <w:r>
              <w:rPr>
                <w:rFonts w:ascii="宋体" w:hAnsi="宋体" w:cs="宋体"/>
              </w:rPr>
              <w:t>色泽均匀一致，无色差、色斑或杂色</w:t>
            </w:r>
            <w:r>
              <w:rPr>
                <w:rFonts w:hint="eastAsia" w:ascii="宋体" w:hAnsi="宋体" w:cs="宋体"/>
              </w:rPr>
              <w:t>；</w:t>
            </w:r>
            <w:r>
              <w:rPr>
                <w:rFonts w:ascii="宋体" w:hAnsi="宋体" w:cs="宋体"/>
              </w:rPr>
              <w:t>无明显瑕疵，如裂纹、黑点、气孔等，整体美观</w:t>
            </w:r>
            <w:r>
              <w:rPr>
                <w:rFonts w:hint="eastAsia" w:ascii="宋体" w:hAnsi="宋体" w:cs="宋体"/>
              </w:rPr>
              <w:t>；</w:t>
            </w:r>
            <w:r>
              <w:rPr>
                <w:rFonts w:ascii="宋体" w:hAnsi="宋体" w:cs="宋体"/>
              </w:rPr>
              <w:t>手感坚实厚重，无松软或轻浮感</w:t>
            </w:r>
            <w:r>
              <w:rPr>
                <w:rFonts w:hint="eastAsia" w:ascii="宋体" w:hAnsi="宋体" w:cs="宋体"/>
              </w:rPr>
              <w:t>；</w:t>
            </w:r>
            <w:r>
              <w:rPr>
                <w:rFonts w:ascii="宋体" w:hAnsi="宋体" w:cs="宋体"/>
              </w:rPr>
              <w:t>敲击声清脆，无沉闷或破裂声</w:t>
            </w:r>
            <w:r>
              <w:rPr>
                <w:rFonts w:hint="eastAsia" w:ascii="宋体" w:hAnsi="宋体" w:cs="宋体"/>
              </w:rPr>
              <w:t>；</w:t>
            </w:r>
            <w:r>
              <w:rPr>
                <w:rFonts w:ascii="宋体" w:hAnsi="宋体" w:cs="宋体"/>
              </w:rPr>
              <w:t>边缘整齐，无毛刺、缺角或崩边现象，整体质感优良</w:t>
            </w:r>
            <w:r>
              <w:rPr>
                <w:rFonts w:hint="eastAsia" w:ascii="宋体" w:hAnsi="宋体" w:cs="宋体"/>
              </w:rPr>
              <w:t>；</w:t>
            </w:r>
            <w:r>
              <w:rPr>
                <w:rFonts w:ascii="宋体" w:hAnsi="宋体" w:cs="宋体"/>
              </w:rPr>
              <w:t>实测尺寸与标称尺寸一致，公差控制在国家标准范围内</w:t>
            </w:r>
            <w:r>
              <w:rPr>
                <w:rFonts w:hint="eastAsia" w:ascii="宋体" w:hAnsi="宋体" w:cs="宋体"/>
              </w:rPr>
              <w:t>；</w:t>
            </w:r>
            <w:r>
              <w:rPr>
                <w:rFonts w:ascii="宋体" w:hAnsi="宋体" w:cs="宋体"/>
              </w:rPr>
              <w:t>对角线误差小，符合高精度要求。</w:t>
            </w:r>
          </w:p>
          <w:p w14:paraId="12B8F7F2">
            <w:pPr>
              <w:spacing w:line="400" w:lineRule="exact"/>
              <w:rPr>
                <w:rFonts w:ascii="宋体" w:hAnsi="宋体" w:cs="宋体"/>
              </w:rPr>
            </w:pPr>
            <w:r>
              <w:rPr>
                <w:rFonts w:hint="eastAsia" w:ascii="宋体" w:hAnsi="宋体" w:cs="宋体"/>
              </w:rPr>
              <w:t>(1)样品材质优良，做工精良的得0.8-1分；</w:t>
            </w:r>
          </w:p>
          <w:p w14:paraId="3FC95E6D">
            <w:pPr>
              <w:spacing w:line="400" w:lineRule="exact"/>
              <w:rPr>
                <w:rFonts w:ascii="宋体" w:hAnsi="宋体" w:cs="宋体"/>
              </w:rPr>
            </w:pPr>
            <w:r>
              <w:rPr>
                <w:rFonts w:hint="eastAsia" w:ascii="宋体" w:hAnsi="宋体" w:cs="宋体"/>
              </w:rPr>
              <w:t>(2)样品材质中等，做工良好的得0.5-0.7分；</w:t>
            </w:r>
          </w:p>
          <w:p w14:paraId="658FA661">
            <w:pPr>
              <w:spacing w:line="400" w:lineRule="exact"/>
              <w:rPr>
                <w:rFonts w:ascii="宋体" w:hAnsi="宋体" w:cs="宋体"/>
              </w:rPr>
            </w:pPr>
            <w:r>
              <w:rPr>
                <w:rFonts w:hint="eastAsia" w:ascii="宋体" w:hAnsi="宋体" w:cs="宋体"/>
              </w:rPr>
              <w:t>(3)样品材质一般，做工一般0.1-0.4分。</w:t>
            </w:r>
            <w:bookmarkEnd w:id="63"/>
            <w:bookmarkEnd w:id="64"/>
          </w:p>
        </w:tc>
        <w:tc>
          <w:tcPr>
            <w:tcW w:w="430" w:type="pct"/>
            <w:vAlign w:val="center"/>
          </w:tcPr>
          <w:p w14:paraId="1AD21CAD">
            <w:pPr>
              <w:spacing w:line="400" w:lineRule="exact"/>
              <w:jc w:val="center"/>
              <w:rPr>
                <w:rFonts w:ascii="宋体" w:hAnsi="宋体" w:cs="宋体"/>
                <w:szCs w:val="21"/>
              </w:rPr>
            </w:pPr>
            <w:r>
              <w:rPr>
                <w:rFonts w:hint="eastAsia" w:ascii="宋体" w:hAnsi="宋体" w:cs="宋体"/>
                <w:szCs w:val="21"/>
              </w:rPr>
              <w:t>1</w:t>
            </w:r>
          </w:p>
        </w:tc>
      </w:tr>
      <w:tr w14:paraId="339D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366" w:type="pct"/>
            <w:vMerge w:val="continue"/>
            <w:vAlign w:val="center"/>
          </w:tcPr>
          <w:p w14:paraId="3C904052">
            <w:pPr>
              <w:spacing w:line="400" w:lineRule="exact"/>
              <w:jc w:val="center"/>
              <w:rPr>
                <w:rFonts w:ascii="宋体" w:hAnsi="宋体" w:cs="宋体"/>
                <w:szCs w:val="20"/>
              </w:rPr>
            </w:pPr>
          </w:p>
        </w:tc>
        <w:tc>
          <w:tcPr>
            <w:tcW w:w="320" w:type="pct"/>
            <w:vMerge w:val="continue"/>
            <w:vAlign w:val="center"/>
          </w:tcPr>
          <w:p w14:paraId="3A4142E8">
            <w:pPr>
              <w:spacing w:line="400" w:lineRule="exact"/>
              <w:jc w:val="center"/>
              <w:rPr>
                <w:rFonts w:ascii="宋体" w:hAnsi="宋体" w:cs="宋体"/>
                <w:szCs w:val="21"/>
              </w:rPr>
            </w:pPr>
          </w:p>
        </w:tc>
        <w:tc>
          <w:tcPr>
            <w:tcW w:w="3884" w:type="pct"/>
            <w:vAlign w:val="center"/>
          </w:tcPr>
          <w:p w14:paraId="6BBDB869">
            <w:pPr>
              <w:spacing w:line="400" w:lineRule="exact"/>
              <w:rPr>
                <w:rFonts w:ascii="宋体" w:hAnsi="宋体" w:cs="Segoe UI"/>
                <w:shd w:val="clear" w:color="auto" w:fill="FFFFFF"/>
              </w:rPr>
            </w:pPr>
            <w:bookmarkStart w:id="65" w:name="OLE_LINK18"/>
            <w:bookmarkStart w:id="66" w:name="OLE_LINK19"/>
            <w:r>
              <w:rPr>
                <w:rFonts w:hint="eastAsia" w:ascii="宋体" w:hAnsi="宋体" w:cs="宋体"/>
              </w:rPr>
              <w:t>根据供应商提</w:t>
            </w:r>
            <w:r>
              <w:rPr>
                <w:rFonts w:hint="eastAsia" w:ascii="宋体" w:hAnsi="宋体" w:cs="Segoe UI"/>
                <w:shd w:val="clear" w:color="auto" w:fill="FFFFFF"/>
              </w:rPr>
              <w:t>供的淋浴器样品情况进行综合评议，要求顶喷、手持花洒采用优质不锈钢、黄铜或高强度工程塑料等优质材料制造，</w:t>
            </w:r>
            <w:r>
              <w:rPr>
                <w:rFonts w:ascii="宋体" w:hAnsi="宋体" w:cs="Segoe UI"/>
                <w:shd w:val="clear" w:color="auto" w:fill="FFFFFF"/>
              </w:rPr>
              <w:t>顶喷、手持花洒的边缘进行圆滑处理，无割手感</w:t>
            </w:r>
            <w:r>
              <w:rPr>
                <w:rFonts w:hint="eastAsia" w:ascii="宋体" w:hAnsi="宋体" w:cs="Segoe UI"/>
                <w:shd w:val="clear" w:color="auto" w:fill="FFFFFF"/>
              </w:rPr>
              <w:t>，样品整体做工精细，无装配瑕疵。</w:t>
            </w:r>
          </w:p>
          <w:p w14:paraId="47423954">
            <w:pPr>
              <w:spacing w:line="400" w:lineRule="exact"/>
              <w:rPr>
                <w:rFonts w:ascii="宋体" w:hAnsi="宋体" w:cs="宋体"/>
              </w:rPr>
            </w:pPr>
            <w:r>
              <w:rPr>
                <w:rFonts w:hint="eastAsia" w:ascii="宋体" w:hAnsi="宋体" w:cs="宋体"/>
              </w:rPr>
              <w:t>(1)样品材质优良，做工精良的得0.8-1分；</w:t>
            </w:r>
          </w:p>
          <w:p w14:paraId="1AAAE5C8">
            <w:pPr>
              <w:spacing w:line="400" w:lineRule="exact"/>
              <w:rPr>
                <w:rFonts w:ascii="宋体" w:hAnsi="宋体" w:cs="宋体"/>
              </w:rPr>
            </w:pPr>
            <w:r>
              <w:rPr>
                <w:rFonts w:hint="eastAsia" w:ascii="宋体" w:hAnsi="宋体" w:cs="宋体"/>
              </w:rPr>
              <w:t>(2)样品材质中等，做工良好的得0.5-0.7分；</w:t>
            </w:r>
          </w:p>
          <w:p w14:paraId="306D59A8">
            <w:pPr>
              <w:spacing w:line="400" w:lineRule="exact"/>
              <w:rPr>
                <w:rFonts w:ascii="宋体" w:hAnsi="宋体" w:cs="宋体"/>
              </w:rPr>
            </w:pPr>
            <w:r>
              <w:rPr>
                <w:rFonts w:hint="eastAsia" w:ascii="宋体" w:hAnsi="宋体" w:cs="宋体"/>
              </w:rPr>
              <w:t>(3)样品材质一般，做工一般0.1-0.4分。</w:t>
            </w:r>
            <w:bookmarkEnd w:id="65"/>
            <w:bookmarkEnd w:id="66"/>
          </w:p>
        </w:tc>
        <w:tc>
          <w:tcPr>
            <w:tcW w:w="430" w:type="pct"/>
            <w:vAlign w:val="center"/>
          </w:tcPr>
          <w:p w14:paraId="785309C3">
            <w:pPr>
              <w:spacing w:line="400" w:lineRule="exact"/>
              <w:jc w:val="center"/>
              <w:rPr>
                <w:rFonts w:ascii="宋体" w:hAnsi="宋体" w:cs="宋体"/>
                <w:szCs w:val="21"/>
              </w:rPr>
            </w:pPr>
            <w:r>
              <w:rPr>
                <w:rFonts w:hint="eastAsia" w:ascii="宋体" w:hAnsi="宋体" w:cs="宋体"/>
                <w:szCs w:val="21"/>
              </w:rPr>
              <w:t>1</w:t>
            </w:r>
          </w:p>
        </w:tc>
      </w:tr>
      <w:tr w14:paraId="65B5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366" w:type="pct"/>
            <w:vMerge w:val="continue"/>
            <w:vAlign w:val="center"/>
          </w:tcPr>
          <w:p w14:paraId="5F447ECC">
            <w:pPr>
              <w:spacing w:line="400" w:lineRule="exact"/>
              <w:jc w:val="center"/>
              <w:rPr>
                <w:rFonts w:ascii="宋体" w:hAnsi="宋体" w:cs="宋体"/>
                <w:szCs w:val="20"/>
              </w:rPr>
            </w:pPr>
          </w:p>
        </w:tc>
        <w:tc>
          <w:tcPr>
            <w:tcW w:w="320" w:type="pct"/>
            <w:vMerge w:val="continue"/>
            <w:vAlign w:val="center"/>
          </w:tcPr>
          <w:p w14:paraId="4B2326B5">
            <w:pPr>
              <w:spacing w:line="400" w:lineRule="exact"/>
              <w:jc w:val="center"/>
              <w:rPr>
                <w:rFonts w:ascii="宋体" w:hAnsi="宋体" w:cs="宋体"/>
                <w:szCs w:val="21"/>
              </w:rPr>
            </w:pPr>
          </w:p>
        </w:tc>
        <w:tc>
          <w:tcPr>
            <w:tcW w:w="3884" w:type="pct"/>
            <w:vAlign w:val="center"/>
          </w:tcPr>
          <w:p w14:paraId="09F749BC">
            <w:pPr>
              <w:spacing w:line="400" w:lineRule="exact"/>
              <w:rPr>
                <w:rFonts w:ascii="宋体" w:hAnsi="宋体" w:cs="宋体"/>
                <w:szCs w:val="21"/>
              </w:rPr>
            </w:pPr>
            <w:bookmarkStart w:id="67" w:name="OLE_LINK20"/>
            <w:bookmarkStart w:id="68" w:name="OLE_LINK21"/>
            <w:r>
              <w:rPr>
                <w:rFonts w:hint="eastAsia" w:ascii="宋体" w:hAnsi="宋体" w:cs="宋体"/>
                <w:szCs w:val="21"/>
              </w:rPr>
              <w:t>根据供应商提供的门和锁具样品情况进行综合评议，要求锁具</w:t>
            </w:r>
            <w:r>
              <w:rPr>
                <w:rFonts w:ascii="宋体" w:hAnsi="宋体" w:cs="宋体"/>
                <w:szCs w:val="21"/>
              </w:rPr>
              <w:t>表面处理精细，电镀层或烤漆均匀，无划痕、气泡、脱落现象；锁芯转动灵活，无卡顿</w:t>
            </w:r>
            <w:r>
              <w:rPr>
                <w:rFonts w:hint="eastAsia" w:ascii="宋体" w:hAnsi="宋体" w:cs="宋体"/>
                <w:szCs w:val="21"/>
              </w:rPr>
              <w:t>，</w:t>
            </w:r>
            <w:r>
              <w:rPr>
                <w:rFonts w:ascii="宋体" w:hAnsi="宋体" w:cs="宋体"/>
                <w:szCs w:val="21"/>
              </w:rPr>
              <w:t>锁舌伸缩顺畅</w:t>
            </w:r>
            <w:r>
              <w:rPr>
                <w:rFonts w:hint="eastAsia" w:ascii="宋体" w:hAnsi="宋体" w:cs="宋体"/>
                <w:szCs w:val="21"/>
              </w:rPr>
              <w:t>，</w:t>
            </w:r>
            <w:r>
              <w:rPr>
                <w:rFonts w:ascii="宋体" w:hAnsi="宋体" w:cs="宋体"/>
                <w:szCs w:val="21"/>
              </w:rPr>
              <w:t>钥匙插拔轻松。</w:t>
            </w:r>
            <w:r>
              <w:rPr>
                <w:rFonts w:hint="eastAsia" w:ascii="宋体" w:hAnsi="宋体" w:cs="宋体"/>
                <w:szCs w:val="21"/>
              </w:rPr>
              <w:t>门板与门套采用优质钢材，</w:t>
            </w:r>
            <w:r>
              <w:rPr>
                <w:rFonts w:ascii="-apple-system" w:hAnsi="-apple-system"/>
                <w:spacing w:val="-4"/>
                <w:szCs w:val="21"/>
                <w:shd w:val="clear" w:color="auto" w:fill="FFFFFF"/>
              </w:rPr>
              <w:t>有合理的内部填充材料</w:t>
            </w:r>
            <w:r>
              <w:rPr>
                <w:rFonts w:hint="eastAsia" w:ascii="-apple-system" w:hAnsi="-apple-system"/>
                <w:spacing w:val="-4"/>
                <w:szCs w:val="21"/>
                <w:shd w:val="clear" w:color="auto" w:fill="FFFFFF"/>
              </w:rPr>
              <w:t>。</w:t>
            </w:r>
            <w:r>
              <w:rPr>
                <w:rFonts w:hint="eastAsia" w:ascii="宋体" w:hAnsi="宋体" w:cs="宋体"/>
                <w:szCs w:val="21"/>
              </w:rPr>
              <w:t>门板与门套表面平整，无气孔、砂眼，漆面或涂层色泽一致，无流挂、气泡、划痕，表面处理工艺精湛，触感细腻。</w:t>
            </w:r>
          </w:p>
          <w:p w14:paraId="77E00C31">
            <w:pPr>
              <w:spacing w:line="400" w:lineRule="exact"/>
              <w:rPr>
                <w:rFonts w:ascii="宋体" w:hAnsi="宋体" w:cs="宋体"/>
              </w:rPr>
            </w:pPr>
            <w:bookmarkStart w:id="69" w:name="OLE_LINK12"/>
            <w:bookmarkStart w:id="70" w:name="OLE_LINK13"/>
            <w:r>
              <w:rPr>
                <w:rFonts w:hint="eastAsia" w:ascii="宋体" w:hAnsi="宋体" w:cs="宋体"/>
              </w:rPr>
              <w:t>(1)样品材质优良，做工精良的得0.8-1分；</w:t>
            </w:r>
          </w:p>
          <w:p w14:paraId="02CD289E">
            <w:pPr>
              <w:spacing w:line="400" w:lineRule="exact"/>
              <w:rPr>
                <w:rFonts w:ascii="宋体" w:hAnsi="宋体" w:cs="宋体"/>
              </w:rPr>
            </w:pPr>
            <w:r>
              <w:rPr>
                <w:rFonts w:hint="eastAsia" w:ascii="宋体" w:hAnsi="宋体" w:cs="宋体"/>
              </w:rPr>
              <w:t>(2)样品材质中等，做工良好的得0.5-0.7分；</w:t>
            </w:r>
          </w:p>
          <w:p w14:paraId="28A28152">
            <w:pPr>
              <w:spacing w:line="400" w:lineRule="exact"/>
              <w:rPr>
                <w:rFonts w:ascii="宋体" w:hAnsi="宋体" w:cs="宋体"/>
              </w:rPr>
            </w:pPr>
            <w:r>
              <w:rPr>
                <w:rFonts w:hint="eastAsia" w:ascii="宋体" w:hAnsi="宋体" w:cs="宋体"/>
              </w:rPr>
              <w:t>(3)样品材质一般，做工一般0.1-0.4分。</w:t>
            </w:r>
            <w:bookmarkEnd w:id="67"/>
            <w:bookmarkEnd w:id="68"/>
            <w:bookmarkEnd w:id="69"/>
            <w:bookmarkEnd w:id="70"/>
          </w:p>
        </w:tc>
        <w:tc>
          <w:tcPr>
            <w:tcW w:w="430" w:type="pct"/>
            <w:vAlign w:val="center"/>
          </w:tcPr>
          <w:p w14:paraId="4EE1FEC7">
            <w:pPr>
              <w:spacing w:line="400" w:lineRule="exact"/>
              <w:jc w:val="center"/>
              <w:rPr>
                <w:rFonts w:ascii="宋体" w:hAnsi="宋体" w:cs="宋体"/>
                <w:szCs w:val="21"/>
              </w:rPr>
            </w:pPr>
            <w:r>
              <w:rPr>
                <w:rFonts w:hint="eastAsia" w:ascii="宋体" w:hAnsi="宋体" w:cs="宋体"/>
                <w:szCs w:val="21"/>
              </w:rPr>
              <w:t>1</w:t>
            </w:r>
          </w:p>
        </w:tc>
      </w:tr>
      <w:tr w14:paraId="3FE2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0DEC197E">
            <w:pPr>
              <w:spacing w:line="400" w:lineRule="exact"/>
              <w:jc w:val="center"/>
              <w:rPr>
                <w:rFonts w:ascii="宋体" w:hAnsi="宋体" w:cs="宋体"/>
                <w:szCs w:val="20"/>
              </w:rPr>
            </w:pPr>
          </w:p>
        </w:tc>
        <w:tc>
          <w:tcPr>
            <w:tcW w:w="320" w:type="pct"/>
            <w:vAlign w:val="center"/>
          </w:tcPr>
          <w:p w14:paraId="7F32C553">
            <w:pPr>
              <w:spacing w:line="400" w:lineRule="exact"/>
              <w:jc w:val="center"/>
              <w:rPr>
                <w:rFonts w:ascii="宋体" w:hAnsi="宋体" w:cs="宋体"/>
                <w:szCs w:val="21"/>
              </w:rPr>
            </w:pPr>
            <w:r>
              <w:rPr>
                <w:rFonts w:hint="eastAsia" w:ascii="宋体" w:hAnsi="宋体" w:cs="宋体"/>
                <w:szCs w:val="21"/>
              </w:rPr>
              <w:t>11</w:t>
            </w:r>
          </w:p>
        </w:tc>
        <w:tc>
          <w:tcPr>
            <w:tcW w:w="3884" w:type="pct"/>
            <w:vAlign w:val="center"/>
          </w:tcPr>
          <w:p w14:paraId="63EEB333">
            <w:pPr>
              <w:spacing w:line="400" w:lineRule="exact"/>
              <w:rPr>
                <w:rFonts w:ascii="宋体" w:hAnsi="宋体" w:cs="宋体"/>
              </w:rPr>
            </w:pPr>
            <w:r>
              <w:rPr>
                <w:rFonts w:hint="eastAsia" w:ascii="宋体" w:hAnsi="宋体" w:cs="宋体"/>
              </w:rPr>
              <w:t>业绩（1.5分）</w:t>
            </w:r>
          </w:p>
          <w:p w14:paraId="216FCDFE">
            <w:pPr>
              <w:spacing w:line="400" w:lineRule="exact"/>
              <w:rPr>
                <w:rFonts w:ascii="宋体" w:hAnsi="宋体" w:cs="宋体"/>
              </w:rPr>
            </w:pPr>
            <w:r>
              <w:rPr>
                <w:rFonts w:hint="eastAsia" w:ascii="宋体" w:hAnsi="宋体" w:cs="宋体"/>
              </w:rPr>
              <w:t>自202</w:t>
            </w:r>
            <w:r>
              <w:rPr>
                <w:rFonts w:ascii="宋体" w:hAnsi="宋体" w:cs="宋体"/>
              </w:rPr>
              <w:t>2</w:t>
            </w:r>
            <w:r>
              <w:rPr>
                <w:rFonts w:hint="eastAsia" w:ascii="宋体" w:hAnsi="宋体" w:cs="宋体"/>
              </w:rPr>
              <w:t>年1月1日以来供应商承接过类似项目的，每提供1个有效业绩得</w:t>
            </w:r>
            <w:r>
              <w:rPr>
                <w:rFonts w:ascii="宋体" w:hAnsi="宋体" w:cs="宋体"/>
              </w:rPr>
              <w:t>0.5</w:t>
            </w:r>
            <w:r>
              <w:rPr>
                <w:rFonts w:hint="eastAsia" w:ascii="宋体" w:hAnsi="宋体" w:cs="宋体"/>
              </w:rPr>
              <w:t>分，本项最高</w:t>
            </w:r>
            <w:r>
              <w:rPr>
                <w:rFonts w:ascii="宋体" w:hAnsi="宋体" w:cs="宋体"/>
              </w:rPr>
              <w:t>1.5</w:t>
            </w:r>
            <w:r>
              <w:rPr>
                <w:rFonts w:hint="eastAsia" w:ascii="宋体" w:hAnsi="宋体" w:cs="宋体"/>
              </w:rPr>
              <w:t>分。</w:t>
            </w:r>
          </w:p>
          <w:p w14:paraId="696ED109">
            <w:pPr>
              <w:spacing w:line="400" w:lineRule="exact"/>
              <w:rPr>
                <w:rFonts w:ascii="宋体" w:hAnsi="宋体" w:cs="宋体"/>
              </w:rPr>
            </w:pPr>
            <w:r>
              <w:rPr>
                <w:rFonts w:hint="eastAsia" w:ascii="宋体" w:hAnsi="宋体" w:cs="宋体"/>
              </w:rPr>
              <w:t>有效业绩证明材料：响应文件中提供合同关键页、中标（成交）通知书、竣工验收报告复印件和正规的付款发票（不要求提供项目全部发票）复印件，全部加盖供应商公章，四项缺一则不得分。</w:t>
            </w:r>
          </w:p>
        </w:tc>
        <w:tc>
          <w:tcPr>
            <w:tcW w:w="430" w:type="pct"/>
            <w:vAlign w:val="center"/>
          </w:tcPr>
          <w:p w14:paraId="4F195E69">
            <w:pPr>
              <w:spacing w:line="400" w:lineRule="exact"/>
              <w:jc w:val="center"/>
              <w:rPr>
                <w:rFonts w:ascii="宋体" w:hAnsi="宋体" w:cs="宋体"/>
              </w:rPr>
            </w:pPr>
            <w:r>
              <w:rPr>
                <w:rFonts w:hint="eastAsia" w:ascii="宋体" w:hAnsi="宋体" w:cs="宋体"/>
              </w:rPr>
              <w:t>0-</w:t>
            </w:r>
            <w:r>
              <w:rPr>
                <w:rFonts w:ascii="宋体" w:hAnsi="宋体" w:cs="宋体"/>
              </w:rPr>
              <w:t>1.5</w:t>
            </w:r>
          </w:p>
        </w:tc>
      </w:tr>
      <w:tr w14:paraId="18C3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52E71875">
            <w:pPr>
              <w:spacing w:line="400" w:lineRule="exact"/>
              <w:jc w:val="center"/>
              <w:rPr>
                <w:rFonts w:ascii="宋体" w:hAnsi="宋体" w:cs="宋体"/>
                <w:szCs w:val="20"/>
              </w:rPr>
            </w:pPr>
          </w:p>
        </w:tc>
        <w:tc>
          <w:tcPr>
            <w:tcW w:w="320" w:type="pct"/>
            <w:vAlign w:val="center"/>
          </w:tcPr>
          <w:p w14:paraId="0C50CC8D">
            <w:pPr>
              <w:spacing w:line="400" w:lineRule="exact"/>
              <w:jc w:val="center"/>
              <w:rPr>
                <w:rFonts w:ascii="宋体" w:hAnsi="宋体" w:cs="宋体"/>
                <w:szCs w:val="21"/>
              </w:rPr>
            </w:pPr>
            <w:r>
              <w:rPr>
                <w:rFonts w:hint="eastAsia" w:ascii="宋体" w:hAnsi="宋体" w:cs="宋体"/>
                <w:szCs w:val="21"/>
              </w:rPr>
              <w:t>12</w:t>
            </w:r>
          </w:p>
        </w:tc>
        <w:tc>
          <w:tcPr>
            <w:tcW w:w="3884" w:type="pct"/>
            <w:vAlign w:val="center"/>
          </w:tcPr>
          <w:p w14:paraId="677F242E">
            <w:pPr>
              <w:widowControl/>
              <w:spacing w:line="300" w:lineRule="exact"/>
              <w:jc w:val="left"/>
              <w:rPr>
                <w:rFonts w:ascii="宋体" w:hAnsi="宋体" w:cs="宋体"/>
                <w:kern w:val="0"/>
              </w:rPr>
            </w:pPr>
            <w:r>
              <w:rPr>
                <w:rFonts w:hint="eastAsia" w:ascii="宋体" w:hAnsi="宋体" w:cs="宋体"/>
                <w:kern w:val="0"/>
              </w:rPr>
              <w:t>产品属于《节能产品政府采购品目清单》范围的且具有国家确定的认证机构出具的、处于有效期之内的节能产品认证证书的得0.25分；</w:t>
            </w:r>
          </w:p>
          <w:p w14:paraId="60FA56C0">
            <w:pPr>
              <w:widowControl/>
              <w:spacing w:line="300" w:lineRule="exact"/>
              <w:jc w:val="left"/>
              <w:rPr>
                <w:rFonts w:ascii="宋体" w:hAnsi="宋体" w:cs="宋体"/>
                <w:kern w:val="0"/>
              </w:rPr>
            </w:pPr>
            <w:r>
              <w:rPr>
                <w:rFonts w:hint="eastAsia" w:ascii="宋体" w:hAnsi="宋体" w:cs="宋体"/>
                <w:kern w:val="0"/>
              </w:rPr>
              <w:t>投标产品属于《环境标志产品政府采购品目清单》范围的且具有国家确定的认证机构出具的、处于有效期之内的环境标志产品认证证书的得0.25分。</w:t>
            </w:r>
          </w:p>
          <w:p w14:paraId="2CCDD224">
            <w:pPr>
              <w:widowControl/>
              <w:spacing w:line="300" w:lineRule="exact"/>
              <w:jc w:val="left"/>
              <w:rPr>
                <w:rFonts w:ascii="宋体" w:hAnsi="宋体" w:cs="宋体"/>
              </w:rPr>
            </w:pPr>
            <w:r>
              <w:rPr>
                <w:rFonts w:hint="eastAsia" w:ascii="宋体" w:hAnsi="宋体" w:cs="宋体"/>
                <w:kern w:val="0"/>
              </w:rPr>
              <w:t>注：响应文件中提供以下资料：《市场监管总局关于发布参与实施政府采购节能产品、环境标志产品认证机构名录的公告》中的认证机构出具的、处于有效期之内的节能产品/环境标志产品认证证书复印件。</w:t>
            </w:r>
          </w:p>
        </w:tc>
        <w:tc>
          <w:tcPr>
            <w:tcW w:w="430" w:type="pct"/>
            <w:vAlign w:val="center"/>
          </w:tcPr>
          <w:p w14:paraId="0702023E">
            <w:pPr>
              <w:spacing w:line="400" w:lineRule="exact"/>
              <w:jc w:val="center"/>
              <w:rPr>
                <w:rFonts w:ascii="宋体" w:hAnsi="宋体" w:cs="宋体"/>
              </w:rPr>
            </w:pPr>
            <w:r>
              <w:rPr>
                <w:rFonts w:hint="eastAsia" w:ascii="宋体" w:hAnsi="宋体" w:cs="宋体"/>
              </w:rPr>
              <w:t>0.5</w:t>
            </w:r>
          </w:p>
        </w:tc>
      </w:tr>
    </w:tbl>
    <w:p w14:paraId="1B8CC642">
      <w:pPr>
        <w:spacing w:before="120" w:beforeLines="50" w:line="360" w:lineRule="auto"/>
        <w:ind w:firstLine="476"/>
        <w:rPr>
          <w:rFonts w:ascii="宋体" w:hAnsi="宋体"/>
          <w:spacing w:val="14"/>
          <w:szCs w:val="21"/>
        </w:rPr>
      </w:pPr>
      <w:r>
        <w:rPr>
          <w:rFonts w:hint="eastAsia" w:ascii="宋体" w:hAnsi="宋体"/>
          <w:spacing w:val="14"/>
          <w:szCs w:val="21"/>
        </w:rPr>
        <w:t>评委签名：                                 日  期：</w:t>
      </w:r>
    </w:p>
    <w:p w14:paraId="797F4E0A">
      <w:pPr>
        <w:spacing w:before="120" w:beforeLines="50" w:line="360" w:lineRule="auto"/>
        <w:ind w:firstLine="476"/>
        <w:rPr>
          <w:rFonts w:ascii="宋体" w:hAnsi="宋体"/>
          <w:spacing w:val="14"/>
          <w:szCs w:val="21"/>
        </w:rPr>
      </w:pPr>
    </w:p>
    <w:p w14:paraId="1E4B4D65">
      <w:pPr>
        <w:widowControl/>
        <w:snapToGrid w:val="0"/>
        <w:spacing w:line="560" w:lineRule="exact"/>
        <w:jc w:val="center"/>
        <w:rPr>
          <w:rFonts w:ascii="宋体" w:hAnsi="宋体" w:cs="宋体"/>
          <w:b/>
          <w:szCs w:val="21"/>
        </w:rPr>
      </w:pPr>
      <w:r>
        <w:rPr>
          <w:rFonts w:hint="eastAsia" w:ascii="宋体" w:hAnsi="宋体" w:cs="宋体"/>
          <w:b/>
          <w:szCs w:val="21"/>
        </w:rPr>
        <w:t>价格评分表</w:t>
      </w:r>
    </w:p>
    <w:tbl>
      <w:tblPr>
        <w:tblStyle w:val="12"/>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88"/>
        <w:gridCol w:w="772"/>
      </w:tblGrid>
      <w:tr w14:paraId="19F4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763" w:type="dxa"/>
            <w:gridSpan w:val="2"/>
            <w:tcBorders>
              <w:tl2br w:val="single" w:color="000000" w:sz="4" w:space="0"/>
            </w:tcBorders>
          </w:tcPr>
          <w:p w14:paraId="157D18A5">
            <w:pPr>
              <w:spacing w:line="320" w:lineRule="exact"/>
              <w:ind w:right="420" w:firstLine="4410" w:firstLineChars="2100"/>
              <w:rPr>
                <w:rFonts w:ascii="宋体" w:hAnsi="宋体" w:cs="宋体"/>
                <w:szCs w:val="21"/>
              </w:rPr>
            </w:pPr>
            <w:r>
              <w:rPr>
                <w:rFonts w:hint="eastAsia" w:ascii="宋体" w:hAnsi="宋体" w:cs="宋体"/>
                <w:szCs w:val="21"/>
              </w:rPr>
              <w:t xml:space="preserve">                 供应商</w:t>
            </w:r>
          </w:p>
          <w:p w14:paraId="518543FF">
            <w:pPr>
              <w:spacing w:line="320" w:lineRule="exact"/>
              <w:ind w:firstLine="945" w:firstLineChars="450"/>
              <w:rPr>
                <w:rFonts w:ascii="宋体" w:hAnsi="宋体" w:cs="宋体"/>
                <w:szCs w:val="21"/>
                <w:lang w:val="ru-RU"/>
              </w:rPr>
            </w:pPr>
            <w:r>
              <w:rPr>
                <w:rFonts w:hint="eastAsia" w:ascii="宋体" w:hAnsi="宋体" w:cs="宋体"/>
                <w:szCs w:val="21"/>
              </w:rPr>
              <w:t>分值</w:t>
            </w:r>
          </w:p>
        </w:tc>
        <w:tc>
          <w:tcPr>
            <w:tcW w:w="772" w:type="dxa"/>
            <w:vAlign w:val="center"/>
          </w:tcPr>
          <w:p w14:paraId="057E9BF3">
            <w:pPr>
              <w:spacing w:line="320" w:lineRule="exact"/>
              <w:jc w:val="center"/>
              <w:rPr>
                <w:rFonts w:ascii="宋体" w:hAnsi="宋体" w:cs="宋体"/>
                <w:szCs w:val="21"/>
                <w:lang w:val="ru-RU"/>
              </w:rPr>
            </w:pPr>
          </w:p>
        </w:tc>
      </w:tr>
      <w:tr w14:paraId="0980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trPr>
        <w:tc>
          <w:tcPr>
            <w:tcW w:w="675" w:type="dxa"/>
            <w:vAlign w:val="center"/>
          </w:tcPr>
          <w:p w14:paraId="13853987">
            <w:pPr>
              <w:jc w:val="center"/>
              <w:rPr>
                <w:rFonts w:ascii="宋体" w:hAnsi="宋体" w:cs="宋体"/>
                <w:szCs w:val="21"/>
              </w:rPr>
            </w:pPr>
            <w:r>
              <w:rPr>
                <w:rFonts w:hint="eastAsia" w:ascii="宋体" w:hAnsi="宋体" w:cs="宋体"/>
                <w:szCs w:val="21"/>
              </w:rPr>
              <w:t>价</w:t>
            </w:r>
          </w:p>
          <w:p w14:paraId="5D681165">
            <w:pPr>
              <w:jc w:val="center"/>
              <w:rPr>
                <w:rFonts w:ascii="宋体" w:hAnsi="宋体" w:cs="宋体"/>
                <w:szCs w:val="21"/>
              </w:rPr>
            </w:pPr>
            <w:r>
              <w:rPr>
                <w:rFonts w:hint="eastAsia" w:ascii="宋体" w:hAnsi="宋体" w:cs="宋体"/>
                <w:szCs w:val="21"/>
              </w:rPr>
              <w:t>格</w:t>
            </w:r>
          </w:p>
          <w:p w14:paraId="72A20E2D">
            <w:pPr>
              <w:jc w:val="center"/>
              <w:rPr>
                <w:rFonts w:ascii="宋体" w:hAnsi="宋体" w:cs="宋体"/>
                <w:szCs w:val="21"/>
              </w:rPr>
            </w:pPr>
            <w:r>
              <w:rPr>
                <w:rFonts w:hint="eastAsia" w:ascii="宋体" w:hAnsi="宋体" w:cs="宋体"/>
                <w:szCs w:val="21"/>
              </w:rPr>
              <w:t>分</w:t>
            </w:r>
          </w:p>
          <w:p w14:paraId="30A5E0F6">
            <w:pPr>
              <w:jc w:val="center"/>
              <w:rPr>
                <w:rFonts w:ascii="宋体" w:hAnsi="宋体" w:cs="宋体"/>
                <w:szCs w:val="21"/>
              </w:rPr>
            </w:pPr>
            <w:r>
              <w:rPr>
                <w:rFonts w:hint="eastAsia" w:ascii="宋体" w:hAnsi="宋体" w:cs="宋体"/>
                <w:szCs w:val="21"/>
              </w:rPr>
              <w:t>30</w:t>
            </w:r>
          </w:p>
          <w:p w14:paraId="72BB973B">
            <w:pPr>
              <w:jc w:val="center"/>
              <w:rPr>
                <w:rFonts w:ascii="宋体" w:hAnsi="宋体" w:cs="宋体"/>
                <w:szCs w:val="21"/>
              </w:rPr>
            </w:pPr>
            <w:r>
              <w:rPr>
                <w:rFonts w:hint="eastAsia" w:ascii="宋体" w:hAnsi="宋体" w:cs="宋体"/>
                <w:szCs w:val="21"/>
              </w:rPr>
              <w:t>分</w:t>
            </w:r>
          </w:p>
        </w:tc>
        <w:tc>
          <w:tcPr>
            <w:tcW w:w="7088" w:type="dxa"/>
          </w:tcPr>
          <w:p w14:paraId="7CE345B5">
            <w:pPr>
              <w:spacing w:before="48" w:beforeLines="20" w:line="320" w:lineRule="exact"/>
              <w:ind w:left="105" w:hanging="105" w:hangingChars="50"/>
              <w:rPr>
                <w:rFonts w:ascii="宋体" w:hAnsi="宋体" w:cs="宋体"/>
                <w:szCs w:val="21"/>
              </w:rPr>
            </w:pPr>
            <w:r>
              <w:rPr>
                <w:rFonts w:hint="eastAsia" w:ascii="宋体" w:hAnsi="宋体" w:cs="宋体"/>
                <w:szCs w:val="21"/>
              </w:rPr>
              <w:t>评审基准价=满足采购文件要求且最低的参与评审的价格（最后报价）</w:t>
            </w:r>
          </w:p>
          <w:p w14:paraId="0E6EC875">
            <w:pPr>
              <w:spacing w:before="48" w:beforeLines="20" w:line="320" w:lineRule="exact"/>
              <w:rPr>
                <w:rFonts w:ascii="宋体" w:hAnsi="宋体" w:cs="宋体"/>
                <w:szCs w:val="21"/>
              </w:rPr>
            </w:pPr>
            <w:r>
              <w:rPr>
                <w:rFonts w:hint="eastAsia" w:ascii="宋体" w:hAnsi="宋体" w:cs="宋体"/>
                <w:szCs w:val="21"/>
              </w:rPr>
              <w:t>参与评审的价格=响应报价</w:t>
            </w:r>
          </w:p>
          <w:p w14:paraId="2958020B">
            <w:pPr>
              <w:widowControl/>
              <w:spacing w:before="48" w:beforeLines="20" w:line="320" w:lineRule="exact"/>
              <w:jc w:val="left"/>
              <w:rPr>
                <w:rFonts w:ascii="宋体" w:hAnsi="宋体" w:cs="宋体"/>
                <w:kern w:val="0"/>
                <w:szCs w:val="21"/>
              </w:rPr>
            </w:pPr>
            <w:r>
              <w:rPr>
                <w:rFonts w:hint="eastAsia" w:ascii="宋体" w:hAnsi="宋体" w:cs="宋体"/>
                <w:kern w:val="0"/>
                <w:szCs w:val="21"/>
              </w:rPr>
              <w:t>响应报价得分=(评审基准价/</w:t>
            </w:r>
            <w:r>
              <w:rPr>
                <w:rFonts w:hint="eastAsia" w:ascii="宋体" w:hAnsi="宋体" w:cs="宋体"/>
                <w:szCs w:val="21"/>
              </w:rPr>
              <w:t>参与评审的价格</w:t>
            </w:r>
            <w:r>
              <w:rPr>
                <w:rFonts w:hint="eastAsia" w:ascii="宋体" w:hAnsi="宋体" w:cs="宋体"/>
                <w:kern w:val="0"/>
                <w:szCs w:val="21"/>
              </w:rPr>
              <w:t>)×30</w:t>
            </w:r>
          </w:p>
          <w:p w14:paraId="44528BF5">
            <w:pPr>
              <w:spacing w:line="400" w:lineRule="exact"/>
              <w:rPr>
                <w:rFonts w:ascii="宋体" w:hAnsi="宋体" w:cs="宋体"/>
                <w:kern w:val="0"/>
                <w:szCs w:val="21"/>
              </w:rPr>
            </w:pPr>
            <w:r>
              <w:rPr>
                <w:rFonts w:hint="eastAsia" w:ascii="宋体" w:hAnsi="宋体" w:cs="宋体"/>
                <w:kern w:val="0"/>
                <w:szCs w:val="21"/>
              </w:rPr>
              <w:t>响应报价得分以四舍五入保留小数点后二位。</w:t>
            </w:r>
          </w:p>
        </w:tc>
        <w:tc>
          <w:tcPr>
            <w:tcW w:w="772" w:type="dxa"/>
            <w:vAlign w:val="center"/>
          </w:tcPr>
          <w:p w14:paraId="4145C263">
            <w:pPr>
              <w:spacing w:line="320" w:lineRule="exact"/>
              <w:jc w:val="center"/>
              <w:rPr>
                <w:rFonts w:ascii="宋体" w:hAnsi="宋体" w:cs="宋体"/>
                <w:szCs w:val="21"/>
              </w:rPr>
            </w:pPr>
          </w:p>
        </w:tc>
      </w:tr>
      <w:tr w14:paraId="2D3C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763" w:type="dxa"/>
            <w:gridSpan w:val="2"/>
            <w:vAlign w:val="center"/>
          </w:tcPr>
          <w:p w14:paraId="0FBF8BF3">
            <w:pPr>
              <w:spacing w:line="320" w:lineRule="exact"/>
              <w:jc w:val="center"/>
              <w:rPr>
                <w:rFonts w:ascii="宋体" w:hAnsi="宋体" w:cs="宋体"/>
                <w:szCs w:val="21"/>
              </w:rPr>
            </w:pPr>
            <w:r>
              <w:rPr>
                <w:rFonts w:hint="eastAsia" w:ascii="宋体" w:hAnsi="宋体" w:cs="宋体"/>
                <w:bCs/>
                <w:szCs w:val="21"/>
              </w:rPr>
              <w:t>报价合计（30分）</w:t>
            </w:r>
          </w:p>
        </w:tc>
        <w:tc>
          <w:tcPr>
            <w:tcW w:w="772" w:type="dxa"/>
            <w:vAlign w:val="center"/>
          </w:tcPr>
          <w:p w14:paraId="12CC5257">
            <w:pPr>
              <w:spacing w:line="320" w:lineRule="exact"/>
              <w:jc w:val="center"/>
              <w:rPr>
                <w:rFonts w:ascii="宋体" w:hAnsi="宋体" w:cs="宋体"/>
                <w:szCs w:val="21"/>
              </w:rPr>
            </w:pPr>
          </w:p>
        </w:tc>
      </w:tr>
    </w:tbl>
    <w:p w14:paraId="2E060E85">
      <w:pPr>
        <w:spacing w:line="400" w:lineRule="exact"/>
        <w:rPr>
          <w:rFonts w:ascii="宋体" w:hAnsi="宋体" w:cs="宋体"/>
          <w:b/>
          <w:bCs/>
          <w:szCs w:val="21"/>
        </w:rPr>
      </w:pPr>
    </w:p>
    <w:p w14:paraId="57362FB1">
      <w:pPr>
        <w:spacing w:line="400" w:lineRule="exact"/>
        <w:ind w:left="360" w:firstLine="105" w:firstLineChars="50"/>
        <w:rPr>
          <w:rFonts w:ascii="宋体" w:hAnsi="宋体" w:cs="宋体"/>
          <w:szCs w:val="21"/>
        </w:rPr>
      </w:pPr>
      <w:r>
        <w:rPr>
          <w:rFonts w:hint="eastAsia" w:ascii="宋体" w:hAnsi="宋体" w:cs="宋体"/>
          <w:szCs w:val="21"/>
        </w:rPr>
        <w:t>磋商小组成员签名：                                       年  月  日</w:t>
      </w:r>
    </w:p>
    <w:p w14:paraId="6C789E6D">
      <w:pPr>
        <w:spacing w:before="120" w:beforeLines="50" w:line="360" w:lineRule="auto"/>
        <w:ind w:firstLine="476"/>
        <w:rPr>
          <w:rFonts w:ascii="宋体" w:hAnsi="宋体"/>
          <w:spacing w:val="14"/>
          <w:szCs w:val="21"/>
        </w:rPr>
      </w:pPr>
    </w:p>
    <w:p w14:paraId="49E79C61">
      <w:pPr>
        <w:spacing w:before="120" w:beforeLines="50" w:line="360" w:lineRule="auto"/>
        <w:ind w:firstLine="476"/>
        <w:rPr>
          <w:rFonts w:ascii="宋体" w:hAnsi="宋体"/>
          <w:spacing w:val="14"/>
          <w:szCs w:val="21"/>
        </w:rPr>
      </w:pPr>
    </w:p>
    <w:p w14:paraId="0E708F23">
      <w:pPr>
        <w:spacing w:before="120" w:beforeLines="50" w:line="360" w:lineRule="auto"/>
        <w:ind w:firstLine="476"/>
        <w:rPr>
          <w:rFonts w:ascii="宋体" w:hAnsi="宋体"/>
          <w:spacing w:val="14"/>
          <w:szCs w:val="21"/>
        </w:rPr>
      </w:pPr>
    </w:p>
    <w:p w14:paraId="717FDBE8">
      <w:pPr>
        <w:spacing w:before="120" w:beforeLines="50" w:line="360" w:lineRule="auto"/>
        <w:ind w:firstLine="476"/>
        <w:rPr>
          <w:rFonts w:ascii="宋体" w:hAnsi="宋体"/>
          <w:spacing w:val="14"/>
          <w:szCs w:val="21"/>
        </w:rPr>
      </w:pPr>
      <w:r>
        <w:rPr>
          <w:rFonts w:ascii="宋体" w:hAnsi="宋体"/>
          <w:spacing w:val="14"/>
          <w:szCs w:val="21"/>
        </w:rPr>
        <w:br w:type="page"/>
      </w:r>
    </w:p>
    <w:p w14:paraId="0788482F">
      <w:pPr>
        <w:pStyle w:val="4"/>
        <w:rPr>
          <w:rFonts w:ascii="宋体" w:hAnsi="宋体"/>
          <w:color w:val="auto"/>
        </w:rPr>
      </w:pPr>
      <w:bookmarkStart w:id="71" w:name="_Toc387415171"/>
      <w:bookmarkEnd w:id="71"/>
      <w:bookmarkStart w:id="72" w:name="_Toc387415176"/>
      <w:bookmarkEnd w:id="72"/>
      <w:bookmarkStart w:id="73" w:name="_Toc387415172"/>
      <w:bookmarkEnd w:id="73"/>
      <w:bookmarkStart w:id="74" w:name="_Toc387415175"/>
      <w:bookmarkEnd w:id="74"/>
      <w:bookmarkStart w:id="75" w:name="_Toc387415177"/>
      <w:bookmarkEnd w:id="75"/>
      <w:bookmarkStart w:id="76" w:name="_Toc387415178"/>
      <w:bookmarkEnd w:id="76"/>
      <w:bookmarkStart w:id="77" w:name="_Toc387415174"/>
      <w:bookmarkEnd w:id="77"/>
      <w:bookmarkStart w:id="78" w:name="_Toc387415173"/>
      <w:bookmarkEnd w:id="78"/>
      <w:bookmarkStart w:id="79" w:name="_Toc34844745"/>
      <w:bookmarkStart w:id="80" w:name="_Toc86053875"/>
      <w:r>
        <w:rPr>
          <w:rFonts w:hint="eastAsia" w:ascii="宋体" w:hAnsi="宋体"/>
          <w:color w:val="auto"/>
        </w:rPr>
        <w:t>第五章  合同草案条款</w:t>
      </w:r>
      <w:bookmarkEnd w:id="79"/>
      <w:bookmarkEnd w:id="80"/>
    </w:p>
    <w:p w14:paraId="6A14AD43">
      <w:pPr>
        <w:pStyle w:val="11"/>
        <w:spacing w:before="0" w:after="0" w:line="360" w:lineRule="auto"/>
        <w:ind w:firstLine="422"/>
        <w:jc w:val="left"/>
        <w:rPr>
          <w:rFonts w:ascii="宋体" w:hAnsi="宋体" w:eastAsia="宋体"/>
          <w:sz w:val="21"/>
          <w:szCs w:val="21"/>
        </w:rPr>
      </w:pPr>
      <w:r>
        <w:rPr>
          <w:rFonts w:hint="eastAsia" w:ascii="宋体" w:hAnsi="宋体" w:eastAsia="宋体"/>
          <w:sz w:val="21"/>
        </w:rPr>
        <w:t>注：本合同文本为成交后签订合同的草案，并根据磋商结果签订，请供应商仔细阅读并理解。</w:t>
      </w:r>
    </w:p>
    <w:p w14:paraId="7503AA9D">
      <w:pPr>
        <w:pStyle w:val="23"/>
      </w:pPr>
    </w:p>
    <w:p w14:paraId="482E3354">
      <w:pPr>
        <w:pStyle w:val="23"/>
      </w:pPr>
    </w:p>
    <w:p w14:paraId="7853CD03">
      <w:pPr>
        <w:jc w:val="center"/>
        <w:rPr>
          <w:rFonts w:ascii="宋体" w:hAnsi="宋体" w:cs="宋体"/>
          <w:b/>
          <w:sz w:val="48"/>
        </w:rPr>
      </w:pPr>
    </w:p>
    <w:p w14:paraId="384D2AEE">
      <w:pPr>
        <w:jc w:val="center"/>
        <w:rPr>
          <w:rFonts w:asciiTheme="minorEastAsia" w:hAnsiTheme="minorEastAsia" w:cstheme="minorEastAsia"/>
          <w:b/>
          <w:sz w:val="24"/>
        </w:rPr>
      </w:pPr>
      <w:r>
        <w:rPr>
          <w:rFonts w:hint="eastAsia" w:asciiTheme="minorEastAsia" w:hAnsiTheme="minorEastAsia" w:cstheme="minorEastAsia"/>
          <w:b/>
          <w:sz w:val="18"/>
        </w:rPr>
        <w:t xml:space="preserve">  </w:t>
      </w:r>
      <w:r>
        <w:rPr>
          <w:rFonts w:hint="eastAsia" w:asciiTheme="minorEastAsia" w:hAnsiTheme="minorEastAsia" w:cstheme="minorEastAsia"/>
          <w:b/>
        </w:rPr>
        <w:t xml:space="preserve"> </w:t>
      </w:r>
      <w:r>
        <w:rPr>
          <w:rFonts w:hint="eastAsia" w:asciiTheme="minorEastAsia" w:hAnsiTheme="minorEastAsia" w:cstheme="minorEastAsia"/>
          <w:b/>
          <w:sz w:val="24"/>
        </w:rPr>
        <w:t>合同编号：</w:t>
      </w:r>
    </w:p>
    <w:p w14:paraId="3DBB4FEC">
      <w:pPr>
        <w:rPr>
          <w:rFonts w:asciiTheme="minorEastAsia" w:hAnsiTheme="minorEastAsia" w:cstheme="minorEastAsia"/>
          <w:b/>
          <w:sz w:val="48"/>
          <w:u w:val="single"/>
        </w:rPr>
      </w:pPr>
    </w:p>
    <w:p w14:paraId="3C7EC2E1">
      <w:pPr>
        <w:rPr>
          <w:rFonts w:asciiTheme="minorEastAsia" w:hAnsiTheme="minorEastAsia" w:cstheme="minorEastAsia"/>
          <w:b/>
          <w:sz w:val="48"/>
          <w:u w:val="single"/>
        </w:rPr>
      </w:pPr>
    </w:p>
    <w:p w14:paraId="0452BF21">
      <w:pPr>
        <w:rPr>
          <w:rFonts w:asciiTheme="minorEastAsia" w:hAnsiTheme="minorEastAsia" w:cstheme="minorEastAsia"/>
          <w:b/>
          <w:sz w:val="48"/>
        </w:rPr>
      </w:pPr>
    </w:p>
    <w:p w14:paraId="14706610">
      <w:pPr>
        <w:jc w:val="center"/>
        <w:rPr>
          <w:rFonts w:asciiTheme="minorEastAsia" w:hAnsiTheme="minorEastAsia" w:cstheme="minorEastAsia"/>
          <w:b/>
          <w:sz w:val="48"/>
        </w:rPr>
      </w:pPr>
    </w:p>
    <w:p w14:paraId="31DBDF70">
      <w:pPr>
        <w:spacing w:line="480" w:lineRule="exact"/>
        <w:jc w:val="center"/>
        <w:rPr>
          <w:rFonts w:asciiTheme="minorEastAsia" w:hAnsiTheme="minorEastAsia" w:cstheme="minorEastAsia"/>
          <w:b/>
          <w:sz w:val="48"/>
        </w:rPr>
      </w:pPr>
      <w:r>
        <w:rPr>
          <w:rFonts w:hint="eastAsia" w:asciiTheme="minorEastAsia" w:hAnsiTheme="minorEastAsia" w:cstheme="minorEastAsia"/>
          <w:b/>
          <w:sz w:val="44"/>
          <w:szCs w:val="44"/>
          <w:u w:val="thick"/>
        </w:rPr>
        <w:t>浙江工商职业技术学院慈溪学院7#宿舍楼修缮项目</w:t>
      </w:r>
      <w:r>
        <w:rPr>
          <w:rFonts w:hint="eastAsia" w:asciiTheme="minorEastAsia" w:hAnsiTheme="minorEastAsia" w:cstheme="minorEastAsia"/>
          <w:b/>
          <w:sz w:val="48"/>
        </w:rPr>
        <w:t>建设工程施工合同</w:t>
      </w:r>
    </w:p>
    <w:p w14:paraId="644EE73F">
      <w:pPr>
        <w:spacing w:line="480" w:lineRule="exact"/>
        <w:jc w:val="center"/>
        <w:rPr>
          <w:rFonts w:asciiTheme="minorEastAsia" w:hAnsiTheme="minorEastAsia" w:cstheme="minorEastAsia"/>
          <w:sz w:val="24"/>
        </w:rPr>
      </w:pPr>
    </w:p>
    <w:p w14:paraId="634D4419">
      <w:pPr>
        <w:spacing w:line="480" w:lineRule="exact"/>
        <w:rPr>
          <w:rFonts w:asciiTheme="minorEastAsia" w:hAnsiTheme="minorEastAsia" w:cstheme="minorEastAsia"/>
          <w:sz w:val="36"/>
          <w:szCs w:val="36"/>
        </w:rPr>
      </w:pPr>
    </w:p>
    <w:p w14:paraId="0ABB18C6">
      <w:pPr>
        <w:spacing w:line="480" w:lineRule="exact"/>
        <w:rPr>
          <w:rFonts w:asciiTheme="minorEastAsia" w:hAnsiTheme="minorEastAsia" w:cstheme="minorEastAsia"/>
          <w:sz w:val="36"/>
          <w:szCs w:val="36"/>
        </w:rPr>
      </w:pPr>
    </w:p>
    <w:p w14:paraId="24F09AEE">
      <w:pPr>
        <w:spacing w:line="480" w:lineRule="exact"/>
        <w:rPr>
          <w:rFonts w:asciiTheme="minorEastAsia" w:hAnsiTheme="minorEastAsia" w:cstheme="minorEastAsia"/>
          <w:sz w:val="36"/>
          <w:szCs w:val="36"/>
        </w:rPr>
      </w:pPr>
    </w:p>
    <w:p w14:paraId="128195ED">
      <w:pPr>
        <w:spacing w:line="480" w:lineRule="exact"/>
        <w:rPr>
          <w:rFonts w:asciiTheme="minorEastAsia" w:hAnsiTheme="minorEastAsia" w:cstheme="minorEastAsia"/>
          <w:sz w:val="36"/>
          <w:szCs w:val="36"/>
        </w:rPr>
      </w:pPr>
    </w:p>
    <w:p w14:paraId="012DA5A4">
      <w:pPr>
        <w:spacing w:line="480" w:lineRule="exact"/>
        <w:rPr>
          <w:rFonts w:asciiTheme="minorEastAsia" w:hAnsiTheme="minorEastAsia" w:cstheme="minorEastAsia"/>
          <w:sz w:val="36"/>
          <w:szCs w:val="36"/>
        </w:rPr>
      </w:pPr>
    </w:p>
    <w:p w14:paraId="164DE82C">
      <w:pPr>
        <w:spacing w:line="480" w:lineRule="exact"/>
        <w:rPr>
          <w:rFonts w:asciiTheme="minorEastAsia" w:hAnsiTheme="minorEastAsia" w:cstheme="minorEastAsia"/>
          <w:sz w:val="36"/>
          <w:szCs w:val="36"/>
        </w:rPr>
      </w:pPr>
    </w:p>
    <w:p w14:paraId="347DFC35">
      <w:pPr>
        <w:spacing w:line="480" w:lineRule="exact"/>
        <w:rPr>
          <w:rFonts w:asciiTheme="minorEastAsia" w:hAnsiTheme="minorEastAsia" w:cstheme="minorEastAsia"/>
          <w:sz w:val="36"/>
          <w:szCs w:val="36"/>
        </w:rPr>
      </w:pPr>
    </w:p>
    <w:p w14:paraId="52C0768F">
      <w:pPr>
        <w:spacing w:line="480" w:lineRule="exact"/>
        <w:rPr>
          <w:rFonts w:asciiTheme="minorEastAsia" w:hAnsiTheme="minorEastAsia" w:cstheme="minorEastAsia"/>
          <w:sz w:val="36"/>
          <w:szCs w:val="36"/>
        </w:rPr>
      </w:pPr>
    </w:p>
    <w:p w14:paraId="4624E79D">
      <w:pPr>
        <w:spacing w:line="480" w:lineRule="exact"/>
        <w:rPr>
          <w:rFonts w:asciiTheme="minorEastAsia" w:hAnsiTheme="minorEastAsia" w:cstheme="minorEastAsia"/>
          <w:sz w:val="36"/>
          <w:szCs w:val="36"/>
        </w:rPr>
      </w:pPr>
    </w:p>
    <w:p w14:paraId="719BAA65">
      <w:pPr>
        <w:spacing w:line="480" w:lineRule="exact"/>
        <w:rPr>
          <w:rFonts w:asciiTheme="minorEastAsia" w:hAnsiTheme="minorEastAsia" w:cstheme="minorEastAsia"/>
          <w:sz w:val="36"/>
          <w:szCs w:val="36"/>
        </w:rPr>
      </w:pPr>
    </w:p>
    <w:p w14:paraId="4087E6DB">
      <w:pPr>
        <w:widowControl/>
        <w:spacing w:before="120" w:beforeLines="50" w:after="120" w:afterLines="50" w:line="360" w:lineRule="auto"/>
        <w:rPr>
          <w:rFonts w:asciiTheme="minorEastAsia" w:hAnsiTheme="minorEastAsia" w:cstheme="minorEastAsia"/>
          <w:b/>
          <w:kern w:val="0"/>
          <w:sz w:val="36"/>
          <w:szCs w:val="36"/>
        </w:rPr>
      </w:pPr>
      <w:r>
        <w:rPr>
          <w:rFonts w:hint="eastAsia" w:asciiTheme="minorEastAsia" w:hAnsiTheme="minorEastAsia" w:cstheme="minorEastAsia"/>
          <w:b/>
          <w:kern w:val="0"/>
          <w:sz w:val="36"/>
          <w:szCs w:val="36"/>
        </w:rPr>
        <w:t>甲方（发包人）：</w:t>
      </w:r>
      <w:r>
        <w:rPr>
          <w:rFonts w:hint="eastAsia" w:asciiTheme="minorEastAsia" w:hAnsiTheme="minorEastAsia" w:cstheme="minorEastAsia"/>
          <w:b/>
          <w:kern w:val="0"/>
          <w:sz w:val="36"/>
          <w:szCs w:val="36"/>
          <w:u w:val="single"/>
        </w:rPr>
        <w:t xml:space="preserve">浙江工商职业技术学院        </w:t>
      </w:r>
    </w:p>
    <w:p w14:paraId="798C4D40">
      <w:pPr>
        <w:rPr>
          <w:rFonts w:asciiTheme="minorEastAsia" w:hAnsiTheme="minorEastAsia" w:cstheme="minorEastAsia"/>
          <w:b/>
          <w:kern w:val="0"/>
          <w:sz w:val="36"/>
          <w:szCs w:val="36"/>
          <w:u w:val="single"/>
        </w:rPr>
      </w:pPr>
      <w:r>
        <w:rPr>
          <w:rFonts w:hint="eastAsia" w:asciiTheme="minorEastAsia" w:hAnsiTheme="minorEastAsia" w:cstheme="minorEastAsia"/>
          <w:b/>
          <w:kern w:val="0"/>
          <w:sz w:val="36"/>
          <w:szCs w:val="36"/>
        </w:rPr>
        <w:t>乙方（承包方）：</w:t>
      </w:r>
      <w:r>
        <w:rPr>
          <w:rFonts w:hint="eastAsia" w:asciiTheme="minorEastAsia" w:hAnsiTheme="minorEastAsia" w:cstheme="minorEastAsia"/>
          <w:b/>
          <w:kern w:val="0"/>
          <w:sz w:val="36"/>
          <w:szCs w:val="36"/>
          <w:u w:val="single"/>
        </w:rPr>
        <w:t xml:space="preserve">                            </w:t>
      </w:r>
    </w:p>
    <w:p w14:paraId="2DF8F778">
      <w:pPr>
        <w:widowControl/>
        <w:jc w:val="left"/>
        <w:rPr>
          <w:rFonts w:asciiTheme="minorEastAsia" w:hAnsiTheme="minorEastAsia" w:cstheme="minorEastAsia"/>
          <w:b/>
          <w:kern w:val="0"/>
          <w:sz w:val="36"/>
          <w:szCs w:val="36"/>
        </w:rPr>
      </w:pPr>
      <w:r>
        <w:rPr>
          <w:rFonts w:asciiTheme="minorEastAsia" w:hAnsiTheme="minorEastAsia" w:cstheme="minorEastAsia"/>
          <w:b/>
          <w:kern w:val="0"/>
          <w:sz w:val="36"/>
          <w:szCs w:val="36"/>
        </w:rPr>
        <w:br w:type="page"/>
      </w:r>
    </w:p>
    <w:p w14:paraId="32F038B2">
      <w:pPr>
        <w:spacing w:line="400" w:lineRule="exact"/>
        <w:jc w:val="center"/>
        <w:rPr>
          <w:rFonts w:asciiTheme="minorEastAsia" w:hAnsiTheme="minorEastAsia" w:cstheme="minorEastAsia"/>
          <w:b/>
          <w:bCs/>
          <w:sz w:val="40"/>
          <w:szCs w:val="30"/>
        </w:rPr>
      </w:pPr>
      <w:r>
        <w:rPr>
          <w:rFonts w:hint="eastAsia" w:asciiTheme="minorEastAsia" w:hAnsiTheme="minorEastAsia" w:cstheme="minorEastAsia"/>
          <w:b/>
          <w:bCs/>
          <w:sz w:val="40"/>
          <w:szCs w:val="30"/>
        </w:rPr>
        <w:t>第一部分 合同协议书</w:t>
      </w:r>
    </w:p>
    <w:p w14:paraId="449D8B14">
      <w:pPr>
        <w:spacing w:line="400" w:lineRule="exact"/>
        <w:jc w:val="center"/>
        <w:rPr>
          <w:rFonts w:asciiTheme="minorEastAsia" w:hAnsiTheme="minorEastAsia" w:cstheme="minorEastAsia"/>
          <w:b/>
          <w:bCs/>
          <w:sz w:val="40"/>
          <w:szCs w:val="30"/>
        </w:rPr>
      </w:pPr>
    </w:p>
    <w:p w14:paraId="276753A9">
      <w:pPr>
        <w:spacing w:line="300" w:lineRule="exact"/>
        <w:rPr>
          <w:rFonts w:asciiTheme="minorEastAsia" w:hAnsiTheme="minorEastAsia" w:cstheme="minorEastAsia"/>
          <w:b/>
          <w:sz w:val="24"/>
        </w:rPr>
      </w:pPr>
      <w:r>
        <w:rPr>
          <w:rFonts w:hint="eastAsia" w:asciiTheme="minorEastAsia" w:hAnsiTheme="minorEastAsia" w:cstheme="minorEastAsia"/>
          <w:b/>
          <w:sz w:val="24"/>
        </w:rPr>
        <w:t>甲方（发包人）：</w:t>
      </w:r>
      <w:r>
        <w:rPr>
          <w:rFonts w:hint="eastAsia" w:asciiTheme="minorEastAsia" w:hAnsiTheme="minorEastAsia" w:cstheme="minorEastAsia"/>
          <w:b/>
          <w:sz w:val="24"/>
          <w:u w:val="single"/>
        </w:rPr>
        <w:t xml:space="preserve">  </w:t>
      </w:r>
      <w:r>
        <w:rPr>
          <w:rFonts w:hint="eastAsia" w:asciiTheme="minorEastAsia" w:hAnsiTheme="minorEastAsia" w:cstheme="minorEastAsia"/>
          <w:u w:val="single"/>
        </w:rPr>
        <w:t xml:space="preserve">浙江工商职业技术学院   </w:t>
      </w:r>
      <w:r>
        <w:rPr>
          <w:rFonts w:hint="eastAsia" w:asciiTheme="minorEastAsia" w:hAnsiTheme="minorEastAsia" w:cstheme="minorEastAsia"/>
          <w:b/>
          <w:sz w:val="24"/>
          <w:u w:val="single"/>
        </w:rPr>
        <w:t xml:space="preserve">                 </w:t>
      </w:r>
    </w:p>
    <w:p w14:paraId="383DAF61">
      <w:pPr>
        <w:spacing w:line="300" w:lineRule="exact"/>
        <w:rPr>
          <w:rFonts w:asciiTheme="minorEastAsia" w:hAnsiTheme="minorEastAsia" w:cstheme="minorEastAsia"/>
          <w:b/>
          <w:sz w:val="24"/>
          <w:u w:val="single"/>
        </w:rPr>
      </w:pPr>
      <w:r>
        <w:rPr>
          <w:rFonts w:hint="eastAsia" w:asciiTheme="minorEastAsia" w:hAnsiTheme="minorEastAsia" w:cstheme="minorEastAsia"/>
          <w:b/>
          <w:sz w:val="24"/>
        </w:rPr>
        <w:t xml:space="preserve">               </w:t>
      </w:r>
      <w:r>
        <w:rPr>
          <w:rFonts w:hint="eastAsia" w:asciiTheme="minorEastAsia" w:hAnsiTheme="minorEastAsia" w:cstheme="minorEastAsia"/>
          <w:b/>
          <w:sz w:val="24"/>
          <w:u w:val="single"/>
        </w:rPr>
        <w:t xml:space="preserve">  </w:t>
      </w:r>
      <w:r>
        <w:rPr>
          <w:rFonts w:hint="eastAsia" w:asciiTheme="minorEastAsia" w:hAnsiTheme="minorEastAsia" w:cstheme="minorEastAsia"/>
          <w:u w:val="single"/>
        </w:rPr>
        <w:t>组织机构代码：12330000470002828U</w:t>
      </w:r>
      <w:r>
        <w:rPr>
          <w:rFonts w:hint="eastAsia" w:asciiTheme="minorEastAsia" w:hAnsiTheme="minorEastAsia" w:cstheme="minorEastAsia"/>
          <w:b/>
          <w:sz w:val="24"/>
          <w:u w:val="single"/>
        </w:rPr>
        <w:t xml:space="preserve">         </w:t>
      </w:r>
    </w:p>
    <w:p w14:paraId="44904EFA">
      <w:pPr>
        <w:spacing w:line="300" w:lineRule="exact"/>
        <w:rPr>
          <w:rFonts w:asciiTheme="minorEastAsia" w:hAnsiTheme="minorEastAsia" w:cstheme="minorEastAsia"/>
          <w:u w:val="single"/>
        </w:rPr>
      </w:pPr>
      <w:r>
        <w:rPr>
          <w:rFonts w:hint="eastAsia" w:asciiTheme="minorEastAsia" w:hAnsiTheme="minorEastAsia" w:cstheme="minorEastAsia"/>
          <w:b/>
          <w:sz w:val="24"/>
        </w:rPr>
        <w:t>乙方（承包方）：</w:t>
      </w:r>
      <w:r>
        <w:rPr>
          <w:rFonts w:hint="eastAsia" w:asciiTheme="minorEastAsia" w:hAnsiTheme="minorEastAsia" w:cstheme="minorEastAsia"/>
          <w:b/>
          <w:sz w:val="24"/>
          <w:u w:val="single"/>
        </w:rPr>
        <w:t xml:space="preserve">                                       </w:t>
      </w:r>
    </w:p>
    <w:p w14:paraId="4F60D40B">
      <w:pPr>
        <w:spacing w:line="300" w:lineRule="exact"/>
        <w:ind w:firstLine="560" w:firstLineChars="200"/>
        <w:rPr>
          <w:rFonts w:asciiTheme="minorEastAsia" w:hAnsiTheme="minorEastAsia" w:cstheme="minorEastAsia"/>
          <w:bCs/>
          <w:sz w:val="28"/>
          <w:szCs w:val="21"/>
        </w:rPr>
      </w:pPr>
      <w:r>
        <w:rPr>
          <w:rFonts w:hint="eastAsia" w:asciiTheme="minorEastAsia" w:hAnsiTheme="minorEastAsia" w:cstheme="minorEastAsia"/>
          <w:bCs/>
          <w:sz w:val="28"/>
          <w:szCs w:val="21"/>
        </w:rPr>
        <w:t xml:space="preserve">         </w:t>
      </w:r>
      <w:r>
        <w:rPr>
          <w:rFonts w:hint="eastAsia" w:asciiTheme="minorEastAsia" w:hAnsiTheme="minorEastAsia" w:cstheme="minorEastAsia"/>
          <w:bCs/>
          <w:sz w:val="28"/>
          <w:szCs w:val="21"/>
          <w:u w:val="single"/>
        </w:rPr>
        <w:t xml:space="preserve">  </w:t>
      </w:r>
      <w:r>
        <w:rPr>
          <w:rFonts w:hint="eastAsia" w:asciiTheme="minorEastAsia" w:hAnsiTheme="minorEastAsia" w:cstheme="minorEastAsia"/>
          <w:u w:val="single"/>
        </w:rPr>
        <w:t xml:space="preserve">                                         </w:t>
      </w:r>
      <w:r>
        <w:rPr>
          <w:rFonts w:hint="eastAsia" w:asciiTheme="minorEastAsia" w:hAnsiTheme="minorEastAsia" w:cstheme="minorEastAsia"/>
          <w:bCs/>
          <w:sz w:val="28"/>
          <w:szCs w:val="21"/>
          <w:u w:val="single"/>
        </w:rPr>
        <w:t xml:space="preserve"> </w:t>
      </w:r>
    </w:p>
    <w:p w14:paraId="6854D1BB">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依据《中华人民共和国民法典》、《中华人民共和国建筑法》等相关法律法规，甲、乙双方经充分协商，为进一步明确各方责任，加强互相配合协作，现就</w:t>
      </w:r>
      <w:r>
        <w:rPr>
          <w:rFonts w:hint="eastAsia" w:asciiTheme="minorEastAsia" w:hAnsiTheme="minorEastAsia" w:cstheme="minorEastAsia"/>
          <w:szCs w:val="21"/>
          <w:u w:val="single"/>
        </w:rPr>
        <w:t>浙江工商职业技术学院慈溪学院7#宿舍楼修缮项目</w:t>
      </w:r>
      <w:r>
        <w:rPr>
          <w:rFonts w:hint="eastAsia" w:asciiTheme="minorEastAsia" w:hAnsiTheme="minorEastAsia" w:cstheme="minorEastAsia"/>
        </w:rPr>
        <w:t>工程施工及有关事项达成如下协议，以资共守：</w:t>
      </w:r>
    </w:p>
    <w:p w14:paraId="59E2C618">
      <w:pPr>
        <w:pStyle w:val="24"/>
        <w:spacing w:line="400" w:lineRule="exac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第一条 工程概况</w:t>
      </w:r>
    </w:p>
    <w:p w14:paraId="5D80F0F4">
      <w:pPr>
        <w:spacing w:line="400" w:lineRule="exact"/>
        <w:jc w:val="left"/>
        <w:rPr>
          <w:rFonts w:asciiTheme="minorEastAsia" w:hAnsiTheme="minorEastAsia" w:cstheme="minorEastAsia"/>
          <w:szCs w:val="21"/>
          <w:u w:val="single"/>
        </w:rPr>
      </w:pPr>
      <w:r>
        <w:rPr>
          <w:rFonts w:hint="eastAsia" w:asciiTheme="minorEastAsia" w:hAnsiTheme="minorEastAsia" w:cstheme="minorEastAsia"/>
          <w:kern w:val="0"/>
          <w:szCs w:val="21"/>
        </w:rPr>
        <w:t xml:space="preserve">1.1 </w:t>
      </w:r>
      <w:r>
        <w:rPr>
          <w:rFonts w:hint="eastAsia" w:asciiTheme="minorEastAsia" w:hAnsiTheme="minorEastAsia" w:cstheme="minorEastAsia"/>
          <w:szCs w:val="21"/>
        </w:rPr>
        <w:t>工程名称：</w:t>
      </w:r>
      <w:r>
        <w:rPr>
          <w:rFonts w:hint="eastAsia" w:asciiTheme="minorEastAsia" w:hAnsiTheme="minorEastAsia" w:cstheme="minorEastAsia"/>
          <w:szCs w:val="21"/>
          <w:u w:val="single"/>
        </w:rPr>
        <w:t xml:space="preserve">浙江工商职业技术学院慈溪学院7#宿舍楼修缮项目                     </w:t>
      </w:r>
    </w:p>
    <w:p w14:paraId="150124C3">
      <w:pPr>
        <w:spacing w:line="400" w:lineRule="exact"/>
        <w:jc w:val="left"/>
        <w:rPr>
          <w:rFonts w:asciiTheme="minorEastAsia" w:hAnsiTheme="minorEastAsia" w:cstheme="minorEastAsia"/>
          <w:szCs w:val="21"/>
        </w:rPr>
      </w:pPr>
      <w:r>
        <w:rPr>
          <w:rFonts w:hint="eastAsia" w:asciiTheme="minorEastAsia" w:hAnsiTheme="minorEastAsia" w:cstheme="minorEastAsia"/>
          <w:kern w:val="0"/>
          <w:szCs w:val="21"/>
        </w:rPr>
        <w:t xml:space="preserve">1.2 </w:t>
      </w:r>
      <w:r>
        <w:rPr>
          <w:rFonts w:hint="eastAsia" w:asciiTheme="minorEastAsia" w:hAnsiTheme="minorEastAsia" w:cstheme="minorEastAsia"/>
          <w:szCs w:val="21"/>
        </w:rPr>
        <w:t>工程地点：</w:t>
      </w:r>
      <w:r>
        <w:rPr>
          <w:rFonts w:hint="eastAsia" w:asciiTheme="minorEastAsia" w:hAnsiTheme="minorEastAsia" w:cstheme="minorEastAsia"/>
          <w:szCs w:val="21"/>
          <w:u w:val="single"/>
        </w:rPr>
        <w:t xml:space="preserve">浙江工商职业技术学院慈溪学院                                     </w:t>
      </w:r>
    </w:p>
    <w:p w14:paraId="61A845BE">
      <w:pPr>
        <w:spacing w:line="400" w:lineRule="exact"/>
        <w:jc w:val="left"/>
        <w:rPr>
          <w:rFonts w:asciiTheme="minorEastAsia" w:hAnsiTheme="minorEastAsia" w:cstheme="minorEastAsia"/>
          <w:szCs w:val="21"/>
          <w:u w:val="single"/>
        </w:rPr>
      </w:pPr>
      <w:r>
        <w:rPr>
          <w:rFonts w:hint="eastAsia" w:asciiTheme="minorEastAsia" w:hAnsiTheme="minorEastAsia" w:cstheme="minorEastAsia"/>
          <w:kern w:val="0"/>
          <w:szCs w:val="21"/>
        </w:rPr>
        <w:t xml:space="preserve">1.3 </w:t>
      </w:r>
      <w:r>
        <w:rPr>
          <w:rFonts w:hint="eastAsia" w:asciiTheme="minorEastAsia" w:hAnsiTheme="minorEastAsia" w:cstheme="minorEastAsia"/>
          <w:szCs w:val="21"/>
        </w:rPr>
        <w:t>承包范围：</w:t>
      </w:r>
      <w:r>
        <w:rPr>
          <w:rFonts w:hint="eastAsia" w:asciiTheme="minorEastAsia" w:hAnsiTheme="minorEastAsia" w:cstheme="minorEastAsia"/>
          <w:szCs w:val="21"/>
          <w:u w:val="single"/>
        </w:rPr>
        <w:t xml:space="preserve"> 对浙江工商职业技术学院慈溪学院7#宿舍楼修缮项目的施工总承包（具体详见图纸及工程清单）</w:t>
      </w:r>
    </w:p>
    <w:p w14:paraId="314B938D">
      <w:pPr>
        <w:spacing w:line="400" w:lineRule="exact"/>
        <w:jc w:val="left"/>
        <w:rPr>
          <w:rFonts w:asciiTheme="minorEastAsia" w:hAnsiTheme="minorEastAsia" w:cstheme="minorEastAsia"/>
          <w:szCs w:val="21"/>
          <w:u w:val="single"/>
        </w:rPr>
      </w:pPr>
      <w:r>
        <w:rPr>
          <w:rFonts w:hint="eastAsia" w:asciiTheme="minorEastAsia" w:hAnsiTheme="minorEastAsia" w:cstheme="minorEastAsia"/>
          <w:kern w:val="0"/>
          <w:szCs w:val="21"/>
        </w:rPr>
        <w:t>1.4 承包面积</w:t>
      </w:r>
      <w:r>
        <w:rPr>
          <w:rFonts w:hint="eastAsia" w:asciiTheme="minorEastAsia" w:hAnsiTheme="minorEastAsia" w:cstheme="minorEastAsia"/>
          <w:szCs w:val="21"/>
        </w:rPr>
        <w:t>：</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 xml:space="preserve">   </w:t>
      </w:r>
      <w:r>
        <w:rPr>
          <w:rFonts w:hint="eastAsia" w:asciiTheme="minorEastAsia" w:hAnsiTheme="minorEastAsia" w:cstheme="minorEastAsia"/>
          <w:szCs w:val="21"/>
          <w:u w:val="single"/>
        </w:rPr>
        <w:t xml:space="preserve">                  </w:t>
      </w:r>
    </w:p>
    <w:p w14:paraId="42F62E85">
      <w:pPr>
        <w:spacing w:line="400" w:lineRule="exact"/>
        <w:ind w:left="1680" w:hanging="1680" w:hangingChars="800"/>
        <w:jc w:val="left"/>
        <w:rPr>
          <w:rFonts w:asciiTheme="minorEastAsia" w:hAnsiTheme="minorEastAsia" w:cstheme="minorEastAsia"/>
          <w:szCs w:val="21"/>
          <w:u w:val="single"/>
        </w:rPr>
      </w:pPr>
      <w:r>
        <w:rPr>
          <w:rFonts w:hint="eastAsia" w:asciiTheme="minorEastAsia" w:hAnsiTheme="minorEastAsia" w:cstheme="minorEastAsia"/>
          <w:kern w:val="0"/>
          <w:szCs w:val="21"/>
        </w:rPr>
        <w:t xml:space="preserve">1.5 </w:t>
      </w:r>
      <w:r>
        <w:rPr>
          <w:rFonts w:hint="eastAsia" w:asciiTheme="minorEastAsia" w:hAnsiTheme="minorEastAsia" w:cstheme="minorEastAsia"/>
          <w:szCs w:val="21"/>
        </w:rPr>
        <w:t>承包方式：</w:t>
      </w:r>
      <w:r>
        <w:rPr>
          <w:rFonts w:hint="eastAsia" w:asciiTheme="minorEastAsia" w:hAnsiTheme="minorEastAsia" w:cstheme="minorEastAsia"/>
          <w:szCs w:val="21"/>
          <w:u w:val="single"/>
        </w:rPr>
        <w:t xml:space="preserve">                                                                   </w:t>
      </w:r>
    </w:p>
    <w:p w14:paraId="50C1F4C8">
      <w:pPr>
        <w:spacing w:line="400" w:lineRule="exact"/>
        <w:ind w:left="1680" w:hanging="1680" w:hangingChars="800"/>
        <w:jc w:val="left"/>
        <w:rPr>
          <w:rFonts w:asciiTheme="minorEastAsia" w:hAnsiTheme="minorEastAsia" w:cstheme="minorEastAsia"/>
          <w:kern w:val="0"/>
          <w:szCs w:val="21"/>
        </w:rPr>
      </w:pPr>
      <w:r>
        <w:rPr>
          <w:rFonts w:hint="eastAsia" w:asciiTheme="minorEastAsia" w:hAnsiTheme="minorEastAsia" w:cstheme="minorEastAsia"/>
          <w:kern w:val="0"/>
          <w:szCs w:val="21"/>
        </w:rPr>
        <w:t>1.6资金来源：</w:t>
      </w:r>
      <w:r>
        <w:rPr>
          <w:rFonts w:hint="eastAsia" w:asciiTheme="minorEastAsia" w:hAnsiTheme="minorEastAsia" w:cstheme="minorEastAsia"/>
          <w:kern w:val="0"/>
          <w:szCs w:val="21"/>
          <w:u w:val="single"/>
        </w:rPr>
        <w:t xml:space="preserve">                                                                   </w:t>
      </w:r>
    </w:p>
    <w:p w14:paraId="6275777F">
      <w:pPr>
        <w:pStyle w:val="24"/>
        <w:spacing w:line="400" w:lineRule="exac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第二条 合同工期</w:t>
      </w:r>
    </w:p>
    <w:p w14:paraId="48E73274">
      <w:pPr>
        <w:adjustRightInd w:val="0"/>
        <w:spacing w:line="400" w:lineRule="exact"/>
        <w:rPr>
          <w:rFonts w:asciiTheme="minorEastAsia" w:hAnsiTheme="minorEastAsia" w:cstheme="minorEastAsia"/>
        </w:rPr>
      </w:pPr>
      <w:r>
        <w:rPr>
          <w:rFonts w:hint="eastAsia" w:asciiTheme="minorEastAsia" w:hAnsiTheme="minorEastAsia" w:cstheme="minorEastAsia"/>
        </w:rPr>
        <w:t>2.1 计划开工日期：</w:t>
      </w:r>
      <w:r>
        <w:rPr>
          <w:rFonts w:hint="eastAsia" w:asciiTheme="minorEastAsia" w:hAnsiTheme="minorEastAsia" w:cstheme="minorEastAsia"/>
          <w:u w:val="single"/>
        </w:rPr>
        <w:t>以开工报告日期为准</w:t>
      </w:r>
      <w:r>
        <w:rPr>
          <w:rFonts w:hint="eastAsia" w:asciiTheme="minorEastAsia" w:hAnsiTheme="minorEastAsia" w:cstheme="minorEastAsia"/>
        </w:rPr>
        <w:t>；计划竣工日期：</w:t>
      </w:r>
      <w:r>
        <w:rPr>
          <w:rFonts w:hint="eastAsia" w:asciiTheme="minorEastAsia" w:hAnsiTheme="minorEastAsia" w:cstheme="minorEastAsia"/>
          <w:u w:val="single"/>
        </w:rPr>
        <w:t>以竣工报告日期为准</w:t>
      </w:r>
      <w:r>
        <w:rPr>
          <w:rFonts w:hint="eastAsia" w:asciiTheme="minorEastAsia" w:hAnsiTheme="minorEastAsia" w:cstheme="minorEastAsia"/>
        </w:rPr>
        <w:t>。</w:t>
      </w:r>
    </w:p>
    <w:p w14:paraId="35F27E12">
      <w:pPr>
        <w:adjustRightInd w:val="0"/>
        <w:spacing w:line="400" w:lineRule="exact"/>
        <w:rPr>
          <w:rFonts w:asciiTheme="minorEastAsia" w:hAnsiTheme="minorEastAsia" w:cstheme="minorEastAsia"/>
          <w:u w:val="single"/>
        </w:rPr>
      </w:pPr>
      <w:r>
        <w:rPr>
          <w:rFonts w:hint="eastAsia" w:asciiTheme="minorEastAsia" w:hAnsiTheme="minorEastAsia" w:cstheme="minorEastAsia"/>
        </w:rPr>
        <w:t>2.2 工期：</w:t>
      </w:r>
      <w:r>
        <w:rPr>
          <w:rFonts w:hint="eastAsia" w:asciiTheme="minorEastAsia" w:hAnsiTheme="minorEastAsia" w:cstheme="minorEastAsia"/>
          <w:u w:val="single"/>
        </w:rPr>
        <w:t xml:space="preserve">                                                                     </w:t>
      </w:r>
    </w:p>
    <w:p w14:paraId="6CF77506">
      <w:pPr>
        <w:adjustRightInd w:val="0"/>
        <w:spacing w:line="400" w:lineRule="exact"/>
        <w:rPr>
          <w:rFonts w:asciiTheme="minorEastAsia" w:hAnsiTheme="minorEastAsia" w:cstheme="minorEastAsia"/>
        </w:rPr>
      </w:pPr>
      <w:r>
        <w:rPr>
          <w:rFonts w:hint="eastAsia" w:asciiTheme="minorEastAsia" w:hAnsiTheme="minorEastAsia" w:cstheme="minorEastAsia"/>
        </w:rPr>
        <w:t>2.3 本工程开工日期若有调整，以发包人的书面通知为准，</w:t>
      </w:r>
      <w:r>
        <w:rPr>
          <w:rFonts w:hint="eastAsia" w:asciiTheme="minorEastAsia" w:hAnsiTheme="minorEastAsia" w:cstheme="minorEastAsia"/>
          <w:kern w:val="0"/>
          <w:szCs w:val="21"/>
        </w:rPr>
        <w:t>并根据发包人要求更改的施工进度计划完成整个工程的施工</w:t>
      </w:r>
      <w:r>
        <w:rPr>
          <w:rFonts w:hint="eastAsia" w:asciiTheme="minorEastAsia" w:hAnsiTheme="minorEastAsia" w:cstheme="minorEastAsia"/>
        </w:rPr>
        <w:t>、验收等工作。</w:t>
      </w:r>
      <w:bookmarkStart w:id="81" w:name="_Toc351203484"/>
    </w:p>
    <w:p w14:paraId="3F5C53F7">
      <w:pPr>
        <w:pStyle w:val="24"/>
        <w:spacing w:line="400" w:lineRule="exac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第三条 合同价款、</w:t>
      </w:r>
      <w:bookmarkEnd w:id="81"/>
      <w:r>
        <w:rPr>
          <w:rFonts w:hint="eastAsia" w:asciiTheme="minorEastAsia" w:hAnsiTheme="minorEastAsia" w:eastAsiaTheme="minorEastAsia" w:cstheme="minorEastAsia"/>
          <w:sz w:val="24"/>
          <w:szCs w:val="21"/>
        </w:rPr>
        <w:t>形式与支付</w:t>
      </w:r>
    </w:p>
    <w:p w14:paraId="2A2AC531">
      <w:pPr>
        <w:spacing w:line="400" w:lineRule="exact"/>
        <w:jc w:val="left"/>
        <w:rPr>
          <w:rFonts w:asciiTheme="minorEastAsia" w:hAnsiTheme="minorEastAsia" w:cstheme="minorEastAsia"/>
          <w:b/>
          <w:kern w:val="0"/>
          <w:szCs w:val="21"/>
        </w:rPr>
      </w:pPr>
      <w:r>
        <w:rPr>
          <w:rFonts w:hint="eastAsia" w:asciiTheme="minorEastAsia" w:hAnsiTheme="minorEastAsia" w:cstheme="minorEastAsia"/>
          <w:b/>
          <w:kern w:val="0"/>
          <w:szCs w:val="21"/>
        </w:rPr>
        <w:t>3.1 合同价格</w:t>
      </w:r>
    </w:p>
    <w:p w14:paraId="304F0A35">
      <w:pPr>
        <w:rPr>
          <w:rFonts w:asciiTheme="minorEastAsia" w:hAnsiTheme="minorEastAsia" w:cstheme="minorEastAsia"/>
          <w:kern w:val="0"/>
          <w:sz w:val="24"/>
        </w:rPr>
      </w:pPr>
      <w:r>
        <w:rPr>
          <w:rFonts w:hint="eastAsia" w:asciiTheme="minorEastAsia" w:hAnsiTheme="minorEastAsia" w:cstheme="minorEastAsia"/>
        </w:rPr>
        <w:t>□是否为暂定合同价；合同价款人民币</w:t>
      </w:r>
      <w:r>
        <w:rPr>
          <w:rFonts w:hint="eastAsia" w:asciiTheme="minorEastAsia" w:hAnsiTheme="minorEastAsia" w:cstheme="minorEastAsia"/>
          <w:kern w:val="0"/>
          <w:sz w:val="24"/>
          <w:u w:val="single"/>
        </w:rPr>
        <w:t xml:space="preserve">       </w:t>
      </w:r>
      <w:r>
        <w:rPr>
          <w:rFonts w:hint="eastAsia" w:asciiTheme="minorEastAsia" w:hAnsiTheme="minorEastAsia" w:cstheme="minorEastAsia"/>
        </w:rPr>
        <w:t>元（小写），</w:t>
      </w:r>
      <w:r>
        <w:rPr>
          <w:rFonts w:hint="eastAsia" w:asciiTheme="minorEastAsia" w:hAnsiTheme="minorEastAsia" w:cstheme="minorEastAsia"/>
          <w:u w:val="single"/>
        </w:rPr>
        <w:t xml:space="preserve">                </w:t>
      </w:r>
      <w:r>
        <w:rPr>
          <w:rFonts w:hint="eastAsia" w:asciiTheme="minorEastAsia" w:hAnsiTheme="minorEastAsia" w:cstheme="minorEastAsia"/>
        </w:rPr>
        <w:t>元（大写）。</w:t>
      </w:r>
    </w:p>
    <w:p w14:paraId="2485587C">
      <w:pPr>
        <w:spacing w:line="400" w:lineRule="exact"/>
        <w:jc w:val="left"/>
        <w:rPr>
          <w:rFonts w:asciiTheme="minorEastAsia" w:hAnsiTheme="minorEastAsia" w:cstheme="minorEastAsia"/>
          <w:b/>
          <w:kern w:val="0"/>
          <w:szCs w:val="21"/>
        </w:rPr>
      </w:pPr>
      <w:r>
        <w:rPr>
          <w:rFonts w:hint="eastAsia" w:asciiTheme="minorEastAsia" w:hAnsiTheme="minorEastAsia" w:cstheme="minorEastAsia"/>
          <w:b/>
          <w:kern w:val="0"/>
          <w:szCs w:val="21"/>
        </w:rPr>
        <w:t>3.2 价格形式</w:t>
      </w:r>
    </w:p>
    <w:p w14:paraId="0FC4C69C">
      <w:pPr>
        <w:tabs>
          <w:tab w:val="right" w:pos="9036"/>
        </w:tabs>
        <w:spacing w:line="400" w:lineRule="exact"/>
        <w:rPr>
          <w:rFonts w:asciiTheme="minorEastAsia" w:hAnsiTheme="minorEastAsia" w:cstheme="minorEastAsia"/>
          <w:szCs w:val="21"/>
        </w:rPr>
      </w:pPr>
      <w:r>
        <w:rPr>
          <w:rFonts w:hint="eastAsia" w:asciiTheme="minorEastAsia" w:hAnsiTheme="minorEastAsia" w:cstheme="minorEastAsia"/>
          <w:kern w:val="0"/>
          <w:szCs w:val="21"/>
        </w:rPr>
        <w:t xml:space="preserve">3.2.1 </w:t>
      </w:r>
      <w:r>
        <w:rPr>
          <w:rFonts w:hint="eastAsia" w:asciiTheme="minorEastAsia" w:hAnsiTheme="minorEastAsia" w:cstheme="minorEastAsia"/>
          <w:szCs w:val="21"/>
        </w:rPr>
        <w:t>本工程为</w:t>
      </w:r>
      <w:r>
        <w:rPr>
          <w:rFonts w:hint="eastAsia" w:asciiTheme="minorEastAsia" w:hAnsiTheme="minorEastAsia" w:cstheme="minorEastAsia"/>
          <w:szCs w:val="21"/>
          <w:u w:val="single"/>
        </w:rPr>
        <w:t xml:space="preserve"> A </w:t>
      </w:r>
      <w:r>
        <w:rPr>
          <w:rFonts w:hint="eastAsia" w:asciiTheme="minorEastAsia" w:hAnsiTheme="minorEastAsia" w:cstheme="minorEastAsia"/>
          <w:szCs w:val="21"/>
        </w:rPr>
        <w:t>（A、固定单价合同；B、固定总价合同；C、其他形式</w:t>
      </w:r>
      <w:r>
        <w:rPr>
          <w:rFonts w:hint="eastAsia" w:asciiTheme="minorEastAsia" w:hAnsiTheme="minorEastAsia" w:cstheme="minorEastAsia"/>
          <w:szCs w:val="21"/>
          <w:u w:val="single"/>
        </w:rPr>
        <w:t xml:space="preserve">      /         </w:t>
      </w:r>
      <w:r>
        <w:rPr>
          <w:rFonts w:hint="eastAsia" w:asciiTheme="minorEastAsia" w:hAnsiTheme="minorEastAsia" w:cstheme="minorEastAsia"/>
          <w:szCs w:val="21"/>
        </w:rPr>
        <w:t>）。</w:t>
      </w:r>
    </w:p>
    <w:p w14:paraId="79E47F83">
      <w:pPr>
        <w:tabs>
          <w:tab w:val="right" w:pos="9036"/>
        </w:tabs>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3.2.2 若合同为固定总价合同，则本合同项下关于固定单价合同特用的条款将不再适用，且除根据合同约定的在工程实施过程中需进行增减的款项外，合同价格不予调整。</w:t>
      </w:r>
    </w:p>
    <w:p w14:paraId="0294FEE0">
      <w:pPr>
        <w:tabs>
          <w:tab w:val="right" w:pos="9036"/>
        </w:tabs>
        <w:spacing w:line="400" w:lineRule="exact"/>
        <w:rPr>
          <w:rFonts w:asciiTheme="minorEastAsia" w:hAnsiTheme="minorEastAsia" w:cstheme="minorEastAsia"/>
          <w:kern w:val="0"/>
          <w:szCs w:val="21"/>
        </w:rPr>
      </w:pPr>
      <w:r>
        <w:rPr>
          <w:rFonts w:hint="eastAsia" w:asciiTheme="minorEastAsia" w:hAnsiTheme="minorEastAsia" w:cstheme="minorEastAsia"/>
          <w:b/>
          <w:kern w:val="0"/>
          <w:szCs w:val="21"/>
        </w:rPr>
        <w:t>3.3支付方式</w:t>
      </w:r>
    </w:p>
    <w:p w14:paraId="6466EC43">
      <w:pPr>
        <w:tabs>
          <w:tab w:val="right" w:pos="9036"/>
        </w:tabs>
        <w:spacing w:line="400" w:lineRule="exact"/>
        <w:rPr>
          <w:rFonts w:asciiTheme="minorEastAsia" w:hAnsiTheme="minorEastAsia" w:cstheme="minorEastAsia"/>
          <w:b/>
          <w:kern w:val="0"/>
          <w:szCs w:val="21"/>
        </w:rPr>
      </w:pPr>
    </w:p>
    <w:p w14:paraId="3EDFC6DC">
      <w:pPr>
        <w:tabs>
          <w:tab w:val="right" w:pos="9036"/>
        </w:tabs>
        <w:spacing w:line="400" w:lineRule="exact"/>
        <w:rPr>
          <w:rFonts w:asciiTheme="minorEastAsia" w:hAnsiTheme="minorEastAsia" w:cstheme="minorEastAsia"/>
          <w:b/>
          <w:kern w:val="0"/>
          <w:szCs w:val="21"/>
        </w:rPr>
      </w:pPr>
      <w:r>
        <w:rPr>
          <w:rFonts w:hint="eastAsia" w:asciiTheme="minorEastAsia" w:hAnsiTheme="minorEastAsia" w:cstheme="minorEastAsia"/>
          <w:b/>
          <w:kern w:val="0"/>
          <w:szCs w:val="21"/>
        </w:rPr>
        <w:t>3.4付款账号</w:t>
      </w:r>
    </w:p>
    <w:p w14:paraId="396AB334">
      <w:pPr>
        <w:tabs>
          <w:tab w:val="right" w:pos="9036"/>
        </w:tabs>
        <w:spacing w:line="400" w:lineRule="exact"/>
        <w:rPr>
          <w:rFonts w:asciiTheme="minorEastAsia" w:hAnsiTheme="minorEastAsia" w:cstheme="minorEastAsia"/>
          <w:kern w:val="0"/>
          <w:szCs w:val="21"/>
          <w:u w:val="single"/>
        </w:rPr>
      </w:pPr>
      <w:r>
        <w:rPr>
          <w:rFonts w:hint="eastAsia" w:asciiTheme="minorEastAsia" w:hAnsiTheme="minorEastAsia" w:cstheme="minorEastAsia"/>
          <w:kern w:val="0"/>
          <w:szCs w:val="21"/>
        </w:rPr>
        <w:t>开户银行：</w:t>
      </w:r>
      <w:r>
        <w:rPr>
          <w:rFonts w:hint="eastAsia" w:asciiTheme="minorEastAsia" w:hAnsiTheme="minorEastAsia" w:cstheme="minorEastAsia"/>
          <w:kern w:val="0"/>
          <w:szCs w:val="21"/>
          <w:u w:val="single"/>
        </w:rPr>
        <w:t xml:space="preserve">                                                                        </w:t>
      </w:r>
    </w:p>
    <w:p w14:paraId="6A85B8C1">
      <w:pPr>
        <w:tabs>
          <w:tab w:val="right" w:pos="9036"/>
        </w:tabs>
        <w:spacing w:line="400" w:lineRule="exact"/>
        <w:rPr>
          <w:rFonts w:asciiTheme="minorEastAsia" w:hAnsiTheme="minorEastAsia" w:cstheme="minorEastAsia"/>
          <w:kern w:val="0"/>
          <w:szCs w:val="21"/>
          <w:u w:val="single"/>
        </w:rPr>
      </w:pPr>
      <w:r>
        <w:rPr>
          <w:rFonts w:hint="eastAsia" w:asciiTheme="minorEastAsia" w:hAnsiTheme="minorEastAsia" w:cstheme="minorEastAsia"/>
          <w:kern w:val="0"/>
          <w:szCs w:val="21"/>
        </w:rPr>
        <w:t>开户名称：</w:t>
      </w:r>
      <w:r>
        <w:rPr>
          <w:rFonts w:hint="eastAsia" w:asciiTheme="minorEastAsia" w:hAnsiTheme="minorEastAsia" w:cstheme="minorEastAsia"/>
          <w:kern w:val="0"/>
          <w:szCs w:val="21"/>
          <w:u w:val="single"/>
        </w:rPr>
        <w:t xml:space="preserve">                                                                         </w:t>
      </w:r>
    </w:p>
    <w:p w14:paraId="7DDF3D2B">
      <w:pPr>
        <w:tabs>
          <w:tab w:val="right" w:pos="9036"/>
        </w:tabs>
        <w:spacing w:line="400" w:lineRule="exact"/>
        <w:rPr>
          <w:rFonts w:asciiTheme="minorEastAsia" w:hAnsiTheme="minorEastAsia" w:cstheme="minorEastAsia"/>
          <w:kern w:val="0"/>
          <w:szCs w:val="21"/>
          <w:u w:val="single"/>
        </w:rPr>
      </w:pPr>
      <w:r>
        <w:rPr>
          <w:rFonts w:hint="eastAsia" w:asciiTheme="minorEastAsia" w:hAnsiTheme="minorEastAsia" w:cstheme="minorEastAsia"/>
          <w:kern w:val="0"/>
          <w:szCs w:val="21"/>
        </w:rPr>
        <w:t>开户号码：</w:t>
      </w:r>
      <w:r>
        <w:rPr>
          <w:rFonts w:hint="eastAsia" w:asciiTheme="minorEastAsia" w:hAnsiTheme="minorEastAsia" w:cstheme="minorEastAsia"/>
          <w:kern w:val="0"/>
          <w:szCs w:val="21"/>
          <w:u w:val="single"/>
        </w:rPr>
        <w:t xml:space="preserve">                                                                          </w:t>
      </w:r>
    </w:p>
    <w:p w14:paraId="3A3E6BD7">
      <w:pPr>
        <w:pStyle w:val="24"/>
        <w:spacing w:line="400" w:lineRule="exac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第四条 工程质量</w:t>
      </w:r>
    </w:p>
    <w:p w14:paraId="493B6EFD">
      <w:pPr>
        <w:spacing w:line="400" w:lineRule="exact"/>
        <w:rPr>
          <w:rFonts w:asciiTheme="minorEastAsia" w:hAnsiTheme="minorEastAsia" w:cstheme="minorEastAsia"/>
          <w:b/>
          <w:kern w:val="0"/>
          <w:szCs w:val="21"/>
        </w:rPr>
      </w:pPr>
      <w:r>
        <w:rPr>
          <w:rFonts w:hint="eastAsia" w:asciiTheme="minorEastAsia" w:hAnsiTheme="minorEastAsia" w:cstheme="minorEastAsia"/>
          <w:b/>
          <w:szCs w:val="21"/>
        </w:rPr>
        <w:t>4.1</w:t>
      </w:r>
      <w:r>
        <w:rPr>
          <w:rFonts w:hint="eastAsia" w:asciiTheme="minorEastAsia" w:hAnsiTheme="minorEastAsia" w:cstheme="minorEastAsia"/>
          <w:b/>
          <w:kern w:val="0"/>
          <w:szCs w:val="21"/>
        </w:rPr>
        <w:t xml:space="preserve"> 质量要求</w:t>
      </w:r>
    </w:p>
    <w:p w14:paraId="0D8A5230">
      <w:pPr>
        <w:spacing w:line="400" w:lineRule="exact"/>
        <w:rPr>
          <w:rFonts w:asciiTheme="minorEastAsia" w:hAnsiTheme="minorEastAsia" w:cstheme="minorEastAsia"/>
          <w:kern w:val="0"/>
          <w:szCs w:val="21"/>
        </w:rPr>
      </w:pPr>
      <w:r>
        <w:rPr>
          <w:rFonts w:hint="eastAsia" w:asciiTheme="minorEastAsia" w:hAnsiTheme="minorEastAsia" w:cstheme="minorEastAsia"/>
          <w:szCs w:val="21"/>
        </w:rPr>
        <w:t xml:space="preserve">4.1.1 </w:t>
      </w:r>
      <w:r>
        <w:rPr>
          <w:rFonts w:hint="eastAsia" w:asciiTheme="minorEastAsia" w:hAnsiTheme="minorEastAsia" w:cstheme="minorEastAsia"/>
          <w:kern w:val="0"/>
          <w:szCs w:val="21"/>
        </w:rPr>
        <w:t>工程质量达到</w:t>
      </w:r>
      <w:r>
        <w:rPr>
          <w:rFonts w:hint="eastAsia" w:asciiTheme="minorEastAsia" w:hAnsiTheme="minorEastAsia" w:cstheme="minorEastAsia"/>
          <w:kern w:val="0"/>
          <w:szCs w:val="21"/>
          <w:u w:val="single"/>
        </w:rPr>
        <w:t xml:space="preserve">  合格  </w:t>
      </w:r>
      <w:r>
        <w:rPr>
          <w:rFonts w:hint="eastAsia" w:asciiTheme="minorEastAsia" w:hAnsiTheme="minorEastAsia" w:cstheme="minorEastAsia"/>
          <w:kern w:val="0"/>
          <w:szCs w:val="21"/>
        </w:rPr>
        <w:t>标准</w:t>
      </w:r>
    </w:p>
    <w:p w14:paraId="23FD3EED">
      <w:pPr>
        <w:spacing w:line="400" w:lineRule="exact"/>
        <w:rPr>
          <w:rFonts w:asciiTheme="minorEastAsia" w:hAnsiTheme="minorEastAsia" w:cstheme="minorEastAsia"/>
          <w:kern w:val="0"/>
          <w:szCs w:val="21"/>
        </w:rPr>
      </w:pPr>
      <w:r>
        <w:rPr>
          <w:rFonts w:hint="eastAsia" w:asciiTheme="minorEastAsia" w:hAnsiTheme="minorEastAsia" w:cstheme="minorEastAsia"/>
          <w:szCs w:val="21"/>
        </w:rPr>
        <w:t>4.1.2</w:t>
      </w:r>
      <w:r>
        <w:rPr>
          <w:rFonts w:hint="eastAsia" w:asciiTheme="minorEastAsia" w:hAnsiTheme="minorEastAsia" w:cstheme="minorEastAsia"/>
          <w:kern w:val="0"/>
          <w:szCs w:val="21"/>
        </w:rPr>
        <w:t xml:space="preserve"> 特殊质量与保修标准： </w:t>
      </w:r>
      <w:r>
        <w:rPr>
          <w:rFonts w:hint="eastAsia" w:asciiTheme="minorEastAsia" w:hAnsiTheme="minorEastAsia" w:cstheme="minorEastAsia"/>
          <w:kern w:val="0"/>
          <w:szCs w:val="21"/>
          <w:u w:val="single"/>
        </w:rPr>
        <w:t xml:space="preserve">   /                                            </w:t>
      </w:r>
    </w:p>
    <w:p w14:paraId="6D6B05DD">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4.1.3 关于工程奖项的约定：</w:t>
      </w:r>
      <w:r>
        <w:rPr>
          <w:rFonts w:hint="eastAsia" w:asciiTheme="minorEastAsia" w:hAnsiTheme="minorEastAsia" w:cstheme="minorEastAsia"/>
          <w:kern w:val="0"/>
          <w:szCs w:val="21"/>
          <w:u w:val="single"/>
        </w:rPr>
        <w:t xml:space="preserve">    /                                                  </w:t>
      </w:r>
    </w:p>
    <w:p w14:paraId="6DE2F08F">
      <w:pPr>
        <w:pStyle w:val="24"/>
        <w:spacing w:line="400" w:lineRule="exac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第五条 联络</w:t>
      </w:r>
    </w:p>
    <w:p w14:paraId="1D048309">
      <w:pPr>
        <w:rPr>
          <w:rFonts w:asciiTheme="minorEastAsia" w:hAnsiTheme="minorEastAsia" w:cstheme="minorEastAsia"/>
          <w:szCs w:val="21"/>
        </w:rPr>
      </w:pPr>
      <w:r>
        <w:rPr>
          <w:rFonts w:hint="eastAsia" w:asciiTheme="minorEastAsia" w:hAnsiTheme="minorEastAsia" w:cstheme="minorEastAsia"/>
          <w:szCs w:val="21"/>
        </w:rPr>
        <w:t>5.1 承包人项目经理：</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 xml:space="preserve">       </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14:paraId="15A92CB3">
      <w:pPr>
        <w:spacing w:line="400" w:lineRule="exact"/>
        <w:rPr>
          <w:rFonts w:asciiTheme="minorEastAsia" w:hAnsiTheme="minorEastAsia" w:cstheme="minorEastAsia"/>
          <w:szCs w:val="21"/>
        </w:rPr>
      </w:pPr>
      <w:r>
        <w:rPr>
          <w:rFonts w:hint="eastAsia" w:asciiTheme="minorEastAsia" w:hAnsiTheme="minorEastAsia" w:cstheme="minorEastAsia"/>
          <w:kern w:val="0"/>
          <w:szCs w:val="21"/>
        </w:rPr>
        <w:t xml:space="preserve">5.2 </w:t>
      </w:r>
      <w:r>
        <w:rPr>
          <w:rFonts w:hint="eastAsia" w:asciiTheme="minorEastAsia" w:hAnsiTheme="minorEastAsia" w:cstheme="minorEastAsia"/>
          <w:szCs w:val="21"/>
        </w:rPr>
        <w:t>发包人和承包方应当在本合同约定的时间内将与合同有关的通知、批准、证明、证书、指示、指令、要求、请求、同意、意见、确定和决定等书面函件送达对方当事人。</w:t>
      </w:r>
    </w:p>
    <w:p w14:paraId="5EC6D424">
      <w:pPr>
        <w:spacing w:line="400" w:lineRule="exact"/>
        <w:rPr>
          <w:rFonts w:asciiTheme="minorEastAsia" w:hAnsiTheme="minorEastAsia" w:cstheme="minorEastAsia"/>
          <w:szCs w:val="21"/>
        </w:rPr>
      </w:pPr>
      <w:r>
        <w:rPr>
          <w:rFonts w:hint="eastAsia" w:asciiTheme="minorEastAsia" w:hAnsiTheme="minorEastAsia" w:cstheme="minorEastAsia"/>
          <w:szCs w:val="21"/>
        </w:rPr>
        <w:t>发包人指定的接收地点与联络人：</w:t>
      </w:r>
      <w:r>
        <w:rPr>
          <w:rFonts w:hint="eastAsia" w:asciiTheme="minorEastAsia" w:hAnsiTheme="minorEastAsia" w:cstheme="minorEastAsia"/>
          <w:szCs w:val="21"/>
          <w:u w:val="single"/>
        </w:rPr>
        <w:t xml:space="preserve">    发包人驻项目办公所在地                         </w:t>
      </w:r>
    </w:p>
    <w:p w14:paraId="0DE1F515">
      <w:pPr>
        <w:spacing w:line="400" w:lineRule="exact"/>
        <w:rPr>
          <w:rFonts w:asciiTheme="minorEastAsia" w:hAnsiTheme="minorEastAsia" w:cstheme="minorEastAsia"/>
          <w:szCs w:val="21"/>
          <w:u w:val="single"/>
        </w:rPr>
      </w:pPr>
      <w:r>
        <w:rPr>
          <w:rFonts w:hint="eastAsia" w:asciiTheme="minorEastAsia" w:hAnsiTheme="minorEastAsia" w:cstheme="minorEastAsia"/>
          <w:szCs w:val="21"/>
        </w:rPr>
        <w:t>承包方指定的接收地点与联络人：</w:t>
      </w:r>
      <w:r>
        <w:rPr>
          <w:rFonts w:hint="eastAsia" w:asciiTheme="minorEastAsia" w:hAnsiTheme="minorEastAsia" w:cstheme="minorEastAsia"/>
          <w:szCs w:val="21"/>
          <w:u w:val="single"/>
        </w:rPr>
        <w:t xml:space="preserve">    承包方驻项目办公所在地                         </w:t>
      </w:r>
    </w:p>
    <w:p w14:paraId="019D658B">
      <w:pPr>
        <w:adjustRightInd w:val="0"/>
        <w:spacing w:line="400" w:lineRule="exact"/>
        <w:rPr>
          <w:rFonts w:asciiTheme="minorEastAsia" w:hAnsiTheme="minorEastAsia" w:cstheme="minorEastAsia"/>
        </w:rPr>
      </w:pPr>
      <w:r>
        <w:rPr>
          <w:rFonts w:hint="eastAsia" w:asciiTheme="minorEastAsia" w:hAnsiTheme="minorEastAsia" w:cstheme="minorEastAsia"/>
        </w:rPr>
        <w:t>监理人指定的接收地点与联络人：</w:t>
      </w:r>
      <w:r>
        <w:rPr>
          <w:rFonts w:hint="eastAsia" w:asciiTheme="minorEastAsia" w:hAnsiTheme="minorEastAsia" w:cstheme="minorEastAsia"/>
          <w:u w:val="single"/>
        </w:rPr>
        <w:t xml:space="preserve">    监理人驻项目办公所在地                          </w:t>
      </w:r>
    </w:p>
    <w:p w14:paraId="798C4852">
      <w:pPr>
        <w:pStyle w:val="24"/>
        <w:spacing w:line="400" w:lineRule="exact"/>
        <w:rPr>
          <w:rFonts w:asciiTheme="minorEastAsia" w:hAnsiTheme="minorEastAsia" w:eastAsiaTheme="minorEastAsia" w:cstheme="minorEastAsia"/>
          <w:sz w:val="24"/>
          <w:szCs w:val="21"/>
        </w:rPr>
      </w:pPr>
      <w:bookmarkStart w:id="82" w:name="_Toc351203486"/>
      <w:r>
        <w:rPr>
          <w:rFonts w:hint="eastAsia" w:asciiTheme="minorEastAsia" w:hAnsiTheme="minorEastAsia" w:eastAsiaTheme="minorEastAsia" w:cstheme="minorEastAsia"/>
          <w:sz w:val="24"/>
          <w:szCs w:val="21"/>
        </w:rPr>
        <w:t>第六条 合同文件构成</w:t>
      </w:r>
      <w:bookmarkEnd w:id="82"/>
    </w:p>
    <w:p w14:paraId="42B9A698">
      <w:pPr>
        <w:spacing w:line="400" w:lineRule="exact"/>
        <w:rPr>
          <w:rFonts w:asciiTheme="minorEastAsia" w:hAnsiTheme="minorEastAsia" w:cstheme="minorEastAsia"/>
          <w:szCs w:val="21"/>
          <w:u w:val="single"/>
        </w:rPr>
      </w:pPr>
      <w:r>
        <w:rPr>
          <w:rFonts w:hint="eastAsia" w:asciiTheme="minorEastAsia" w:hAnsiTheme="minorEastAsia" w:cstheme="minorEastAsia"/>
          <w:szCs w:val="21"/>
        </w:rPr>
        <w:t>6.1 本协议书与下列文件一起构成合同文件：</w:t>
      </w:r>
      <w:r>
        <w:rPr>
          <w:rFonts w:hint="eastAsia" w:asciiTheme="minorEastAsia" w:hAnsiTheme="minorEastAsia" w:cstheme="minorEastAsia"/>
        </w:rPr>
        <w:t>确定成交通知书</w:t>
      </w:r>
      <w:r>
        <w:rPr>
          <w:rFonts w:hint="eastAsia" w:asciiTheme="minorEastAsia" w:hAnsiTheme="minorEastAsia" w:cstheme="minorEastAsia"/>
          <w:szCs w:val="21"/>
        </w:rPr>
        <w:t>；磋商响应函及其附录（如果有）；专用合同条款及其附件；通用合同条款；技术标准和要求；图纸；已标价工程量清单；其他</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14:paraId="04E71695">
      <w:pPr>
        <w:spacing w:line="400" w:lineRule="exact"/>
        <w:rPr>
          <w:rFonts w:asciiTheme="minorEastAsia" w:hAnsiTheme="minorEastAsia" w:cstheme="minorEastAsia"/>
          <w:szCs w:val="21"/>
        </w:rPr>
      </w:pPr>
      <w:r>
        <w:rPr>
          <w:rFonts w:hint="eastAsia" w:asciiTheme="minorEastAsia" w:hAnsiTheme="minorEastAsia" w:cstheme="minorEastAsia"/>
          <w:kern w:val="0"/>
          <w:szCs w:val="21"/>
        </w:rPr>
        <w:t xml:space="preserve">6.2 </w:t>
      </w:r>
      <w:r>
        <w:rPr>
          <w:rFonts w:hint="eastAsia" w:asciiTheme="minorEastAsia" w:hAnsiTheme="minorEastAsia" w:cstheme="minorEastAsia"/>
          <w:szCs w:val="21"/>
        </w:rPr>
        <w:t>在合同订立及履行过程中形成的与合同有关的文件均构成合同文件组成部分。</w:t>
      </w:r>
    </w:p>
    <w:p w14:paraId="5FDF7F2F">
      <w:pPr>
        <w:spacing w:line="400" w:lineRule="exact"/>
        <w:rPr>
          <w:rFonts w:asciiTheme="minorEastAsia" w:hAnsiTheme="minorEastAsia" w:cstheme="minorEastAsia"/>
          <w:szCs w:val="21"/>
        </w:rPr>
      </w:pPr>
      <w:r>
        <w:rPr>
          <w:rFonts w:hint="eastAsia" w:asciiTheme="minorEastAsia" w:hAnsiTheme="minorEastAsia" w:cstheme="minorEastAsia"/>
          <w:kern w:val="0"/>
          <w:szCs w:val="21"/>
        </w:rPr>
        <w:t xml:space="preserve">6.3 </w:t>
      </w:r>
      <w:r>
        <w:rPr>
          <w:rFonts w:hint="eastAsia" w:asciiTheme="minorEastAsia" w:hAnsiTheme="minorEastAsia" w:cstheme="minorEastAsia"/>
          <w:szCs w:val="21"/>
        </w:rPr>
        <w:t>上述各项合同文件包括合同当事人就该项合同文件所作出的补充和修改，属于同一类内容的文件，应以最新签署的为准。专用合同条款及其附件须经合同当事人签字或盖章。</w:t>
      </w:r>
    </w:p>
    <w:p w14:paraId="0E859857">
      <w:pPr>
        <w:pStyle w:val="24"/>
        <w:spacing w:line="400" w:lineRule="exact"/>
        <w:rPr>
          <w:rFonts w:asciiTheme="minorEastAsia" w:hAnsiTheme="minorEastAsia" w:eastAsiaTheme="minorEastAsia" w:cstheme="minorEastAsia"/>
          <w:sz w:val="24"/>
          <w:szCs w:val="21"/>
        </w:rPr>
      </w:pPr>
      <w:bookmarkStart w:id="83" w:name="_Toc351203487"/>
      <w:r>
        <w:rPr>
          <w:rFonts w:hint="eastAsia" w:asciiTheme="minorEastAsia" w:hAnsiTheme="minorEastAsia" w:eastAsiaTheme="minorEastAsia" w:cstheme="minorEastAsia"/>
          <w:sz w:val="24"/>
          <w:szCs w:val="21"/>
        </w:rPr>
        <w:t>第七条 承诺</w:t>
      </w:r>
      <w:bookmarkEnd w:id="83"/>
    </w:p>
    <w:p w14:paraId="06B7DA56">
      <w:pPr>
        <w:adjustRightInd w:val="0"/>
        <w:spacing w:line="400" w:lineRule="exact"/>
        <w:rPr>
          <w:rFonts w:asciiTheme="minorEastAsia" w:hAnsiTheme="minorEastAsia" w:cstheme="minorEastAsia"/>
          <w:bCs/>
        </w:rPr>
      </w:pPr>
      <w:r>
        <w:rPr>
          <w:rFonts w:hint="eastAsia" w:asciiTheme="minorEastAsia" w:hAnsiTheme="minorEastAsia" w:cstheme="minorEastAsia"/>
        </w:rPr>
        <w:t xml:space="preserve">7.1 </w:t>
      </w:r>
      <w:r>
        <w:rPr>
          <w:rFonts w:hint="eastAsia" w:asciiTheme="minorEastAsia" w:hAnsiTheme="minorEastAsia" w:cstheme="minorEastAsia"/>
          <w:bCs/>
        </w:rPr>
        <w:t>发包人承诺按照法律规定履行项目审批手续、筹集工程建设资金并按照合同约定的期限和方式支付合同价款。</w:t>
      </w:r>
    </w:p>
    <w:p w14:paraId="560698C3">
      <w:pPr>
        <w:adjustRightInd w:val="0"/>
        <w:spacing w:line="400" w:lineRule="exact"/>
        <w:rPr>
          <w:rFonts w:asciiTheme="minorEastAsia" w:hAnsiTheme="minorEastAsia" w:cstheme="minorEastAsia"/>
          <w:bCs/>
        </w:rPr>
      </w:pPr>
      <w:r>
        <w:rPr>
          <w:rFonts w:hint="eastAsia" w:asciiTheme="minorEastAsia" w:hAnsiTheme="minorEastAsia" w:cstheme="minorEastAsia"/>
        </w:rPr>
        <w:t xml:space="preserve">7.2 </w:t>
      </w:r>
      <w:r>
        <w:rPr>
          <w:rFonts w:hint="eastAsia" w:asciiTheme="minorEastAsia" w:hAnsiTheme="minorEastAsia" w:cstheme="minorEastAsia"/>
          <w:bCs/>
        </w:rPr>
        <w:t>承包方承诺按照法律规定及合同约定组织完成工程施工，确保工程质量和安全，不进行转包及违法分包，并在缺陷责任期及保修期内承担相应的工程维修责任。</w:t>
      </w:r>
    </w:p>
    <w:p w14:paraId="510DA810">
      <w:pPr>
        <w:adjustRightInd w:val="0"/>
        <w:spacing w:line="400" w:lineRule="exact"/>
        <w:rPr>
          <w:rFonts w:asciiTheme="minorEastAsia" w:hAnsiTheme="minorEastAsia" w:cstheme="minorEastAsia"/>
          <w:bCs/>
        </w:rPr>
      </w:pPr>
      <w:r>
        <w:rPr>
          <w:rFonts w:hint="eastAsia" w:asciiTheme="minorEastAsia" w:hAnsiTheme="minorEastAsia" w:cstheme="minorEastAsia"/>
        </w:rPr>
        <w:t xml:space="preserve">7.3 </w:t>
      </w:r>
      <w:r>
        <w:rPr>
          <w:rFonts w:hint="eastAsia" w:asciiTheme="minorEastAsia" w:hAnsiTheme="minorEastAsia" w:cstheme="minorEastAsia"/>
          <w:bCs/>
        </w:rPr>
        <w:t>发包人和承包方通过竞争性磋商采购形式签订合同的，双方理解并承诺不再就同一工程另行签订与合同实质性内容相背离的协议。</w:t>
      </w:r>
    </w:p>
    <w:p w14:paraId="08D60232">
      <w:pPr>
        <w:pStyle w:val="24"/>
        <w:spacing w:line="400" w:lineRule="exact"/>
        <w:rPr>
          <w:rFonts w:asciiTheme="minorEastAsia" w:hAnsiTheme="minorEastAsia" w:eastAsiaTheme="minorEastAsia" w:cstheme="minorEastAsia"/>
          <w:sz w:val="24"/>
          <w:szCs w:val="21"/>
        </w:rPr>
      </w:pPr>
      <w:bookmarkStart w:id="84" w:name="_Toc351203488"/>
      <w:r>
        <w:rPr>
          <w:rFonts w:hint="eastAsia" w:asciiTheme="minorEastAsia" w:hAnsiTheme="minorEastAsia" w:eastAsiaTheme="minorEastAsia" w:cstheme="minorEastAsia"/>
          <w:sz w:val="24"/>
          <w:szCs w:val="21"/>
        </w:rPr>
        <w:t>第八条 词语含义</w:t>
      </w:r>
      <w:bookmarkEnd w:id="84"/>
    </w:p>
    <w:p w14:paraId="018FE708">
      <w:pPr>
        <w:adjustRightInd w:val="0"/>
        <w:spacing w:line="400" w:lineRule="exact"/>
        <w:rPr>
          <w:rFonts w:asciiTheme="minorEastAsia" w:hAnsiTheme="minorEastAsia" w:cstheme="minorEastAsia"/>
          <w:bCs/>
        </w:rPr>
      </w:pPr>
      <w:r>
        <w:rPr>
          <w:rFonts w:hint="eastAsia" w:asciiTheme="minorEastAsia" w:hAnsiTheme="minorEastAsia" w:cstheme="minorEastAsia"/>
          <w:bCs/>
        </w:rPr>
        <w:t>本协议书中词语含义与第二部分通用合同条款中赋予的含义相同。</w:t>
      </w:r>
    </w:p>
    <w:p w14:paraId="075D7998">
      <w:pPr>
        <w:pStyle w:val="24"/>
        <w:spacing w:line="400" w:lineRule="exac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第九条</w:t>
      </w:r>
      <w:bookmarkStart w:id="85" w:name="_Toc351203489"/>
      <w:r>
        <w:rPr>
          <w:rFonts w:hint="eastAsia" w:asciiTheme="minorEastAsia" w:hAnsiTheme="minorEastAsia" w:eastAsiaTheme="minorEastAsia" w:cstheme="minorEastAsia"/>
          <w:sz w:val="24"/>
          <w:szCs w:val="21"/>
        </w:rPr>
        <w:t xml:space="preserve"> 签订时间</w:t>
      </w:r>
      <w:bookmarkEnd w:id="85"/>
      <w:r>
        <w:rPr>
          <w:rFonts w:hint="eastAsia" w:asciiTheme="minorEastAsia" w:hAnsiTheme="minorEastAsia" w:eastAsiaTheme="minorEastAsia" w:cstheme="minorEastAsia"/>
          <w:sz w:val="24"/>
          <w:szCs w:val="21"/>
        </w:rPr>
        <w:t>、地点、生效时间</w:t>
      </w:r>
    </w:p>
    <w:p w14:paraId="699244D2">
      <w:pPr>
        <w:adjustRightInd w:val="0"/>
        <w:spacing w:line="400" w:lineRule="exact"/>
        <w:rPr>
          <w:rFonts w:asciiTheme="minorEastAsia" w:hAnsiTheme="minorEastAsia" w:cstheme="minorEastAsia"/>
          <w:bCs/>
        </w:rPr>
      </w:pPr>
      <w:r>
        <w:rPr>
          <w:rFonts w:hint="eastAsia" w:asciiTheme="minorEastAsia" w:hAnsiTheme="minorEastAsia" w:cstheme="minorEastAsia"/>
          <w:bCs/>
        </w:rPr>
        <w:t>本合同于</w:t>
      </w:r>
      <w:r>
        <w:rPr>
          <w:rFonts w:hint="eastAsia" w:asciiTheme="minorEastAsia" w:hAnsiTheme="minorEastAsia" w:cstheme="minorEastAsia"/>
          <w:bCs/>
          <w:u w:val="single"/>
        </w:rPr>
        <w:t xml:space="preserve">        </w:t>
      </w:r>
      <w:r>
        <w:rPr>
          <w:rFonts w:hint="eastAsia" w:asciiTheme="minorEastAsia" w:hAnsiTheme="minorEastAsia" w:cstheme="minorEastAsia"/>
          <w:bCs/>
        </w:rPr>
        <w:t>年</w:t>
      </w:r>
      <w:r>
        <w:rPr>
          <w:rFonts w:hint="eastAsia" w:asciiTheme="minorEastAsia" w:hAnsiTheme="minorEastAsia" w:cstheme="minorEastAsia"/>
          <w:bCs/>
          <w:u w:val="single"/>
        </w:rPr>
        <w:t xml:space="preserve">        </w:t>
      </w:r>
      <w:r>
        <w:rPr>
          <w:rFonts w:hint="eastAsia" w:asciiTheme="minorEastAsia" w:hAnsiTheme="minorEastAsia" w:cstheme="minorEastAsia"/>
          <w:bCs/>
        </w:rPr>
        <w:t>月</w:t>
      </w:r>
      <w:r>
        <w:rPr>
          <w:rFonts w:hint="eastAsia" w:asciiTheme="minorEastAsia" w:hAnsiTheme="minorEastAsia" w:cstheme="minorEastAsia"/>
          <w:bCs/>
          <w:u w:val="single"/>
        </w:rPr>
        <w:t xml:space="preserve">        </w:t>
      </w:r>
      <w:r>
        <w:rPr>
          <w:rFonts w:hint="eastAsia" w:asciiTheme="minorEastAsia" w:hAnsiTheme="minorEastAsia" w:cstheme="minorEastAsia"/>
          <w:bCs/>
        </w:rPr>
        <w:t>日签订；本合同在</w:t>
      </w:r>
      <w:r>
        <w:rPr>
          <w:rFonts w:hint="eastAsia" w:asciiTheme="minorEastAsia" w:hAnsiTheme="minorEastAsia" w:cstheme="minorEastAsia"/>
          <w:bCs/>
          <w:u w:val="single"/>
        </w:rPr>
        <w:t xml:space="preserve"> 宁波 </w:t>
      </w:r>
      <w:r>
        <w:rPr>
          <w:rFonts w:hint="eastAsia" w:asciiTheme="minorEastAsia" w:hAnsiTheme="minorEastAsia" w:cstheme="minorEastAsia"/>
          <w:bCs/>
        </w:rPr>
        <w:t>签订；本合同自</w:t>
      </w:r>
      <w:r>
        <w:rPr>
          <w:rFonts w:hint="eastAsia" w:asciiTheme="minorEastAsia" w:hAnsiTheme="minorEastAsia" w:cstheme="minorEastAsia"/>
          <w:spacing w:val="14"/>
          <w:u w:val="single"/>
        </w:rPr>
        <w:t>双方签字盖章后</w:t>
      </w:r>
      <w:r>
        <w:rPr>
          <w:rFonts w:hint="eastAsia" w:asciiTheme="minorEastAsia" w:hAnsiTheme="minorEastAsia" w:cstheme="minorEastAsia"/>
          <w:bCs/>
          <w:u w:val="single"/>
        </w:rPr>
        <w:t xml:space="preserve"> </w:t>
      </w:r>
      <w:r>
        <w:rPr>
          <w:rFonts w:hint="eastAsia" w:asciiTheme="minorEastAsia" w:hAnsiTheme="minorEastAsia" w:cstheme="minorEastAsia"/>
          <w:bCs/>
        </w:rPr>
        <w:t>生效。</w:t>
      </w:r>
    </w:p>
    <w:p w14:paraId="7FAA92FF">
      <w:pPr>
        <w:pStyle w:val="24"/>
        <w:spacing w:line="400" w:lineRule="exact"/>
        <w:rPr>
          <w:rFonts w:asciiTheme="minorEastAsia" w:hAnsiTheme="minorEastAsia" w:eastAsiaTheme="minorEastAsia" w:cstheme="minorEastAsia"/>
          <w:sz w:val="24"/>
          <w:szCs w:val="21"/>
        </w:rPr>
      </w:pPr>
      <w:bookmarkStart w:id="86" w:name="_Toc351203491"/>
      <w:r>
        <w:rPr>
          <w:rFonts w:hint="eastAsia" w:asciiTheme="minorEastAsia" w:hAnsiTheme="minorEastAsia" w:eastAsiaTheme="minorEastAsia" w:cstheme="minorEastAsia"/>
          <w:sz w:val="24"/>
          <w:szCs w:val="21"/>
        </w:rPr>
        <w:t>第十条 补充协议</w:t>
      </w:r>
      <w:bookmarkEnd w:id="86"/>
    </w:p>
    <w:p w14:paraId="7EC64C1D">
      <w:pPr>
        <w:adjustRightInd w:val="0"/>
        <w:spacing w:line="400" w:lineRule="exact"/>
        <w:rPr>
          <w:rFonts w:asciiTheme="minorEastAsia" w:hAnsiTheme="minorEastAsia" w:cstheme="minorEastAsia"/>
          <w:b/>
          <w:bCs/>
        </w:rPr>
      </w:pPr>
      <w:r>
        <w:rPr>
          <w:rFonts w:hint="eastAsia" w:asciiTheme="minorEastAsia" w:hAnsiTheme="minorEastAsia" w:cstheme="minorEastAsia"/>
          <w:bCs/>
        </w:rPr>
        <w:t>合同未尽事宜，合同当事人另行签订补充协议，补充协议是合同的组成部分。</w:t>
      </w:r>
      <w:bookmarkStart w:id="87" w:name="_Toc351203492"/>
    </w:p>
    <w:bookmarkEnd w:id="87"/>
    <w:p w14:paraId="18607B00">
      <w:pPr>
        <w:pStyle w:val="24"/>
        <w:spacing w:line="400" w:lineRule="exact"/>
        <w:rPr>
          <w:rFonts w:asciiTheme="minorEastAsia" w:hAnsiTheme="minorEastAsia" w:eastAsiaTheme="minorEastAsia" w:cstheme="minorEastAsia"/>
          <w:sz w:val="24"/>
          <w:szCs w:val="21"/>
        </w:rPr>
      </w:pPr>
      <w:bookmarkStart w:id="88" w:name="_Toc351203493"/>
      <w:r>
        <w:rPr>
          <w:rFonts w:hint="eastAsia" w:asciiTheme="minorEastAsia" w:hAnsiTheme="minorEastAsia" w:eastAsiaTheme="minorEastAsia" w:cstheme="minorEastAsia"/>
          <w:sz w:val="24"/>
          <w:szCs w:val="21"/>
        </w:rPr>
        <w:t>第十一条 合同份数</w:t>
      </w:r>
      <w:bookmarkEnd w:id="88"/>
    </w:p>
    <w:p w14:paraId="0887E301">
      <w:pPr>
        <w:adjustRightInd w:val="0"/>
        <w:spacing w:line="400" w:lineRule="exact"/>
        <w:rPr>
          <w:rFonts w:asciiTheme="minorEastAsia" w:hAnsiTheme="minorEastAsia" w:cstheme="minorEastAsia"/>
          <w:bCs/>
        </w:rPr>
      </w:pPr>
      <w:r>
        <w:rPr>
          <w:rFonts w:hint="eastAsia" w:asciiTheme="minorEastAsia" w:hAnsiTheme="minorEastAsia" w:cstheme="minorEastAsia"/>
          <w:bCs/>
        </w:rPr>
        <w:t>本合同一式</w:t>
      </w:r>
      <w:r>
        <w:rPr>
          <w:rFonts w:hint="eastAsia" w:asciiTheme="minorEastAsia" w:hAnsiTheme="minorEastAsia" w:cstheme="minorEastAsia"/>
          <w:bCs/>
          <w:u w:val="single"/>
        </w:rPr>
        <w:t xml:space="preserve">   6   </w:t>
      </w:r>
      <w:r>
        <w:rPr>
          <w:rFonts w:hint="eastAsia" w:asciiTheme="minorEastAsia" w:hAnsiTheme="minorEastAsia" w:cstheme="minorEastAsia"/>
          <w:bCs/>
        </w:rPr>
        <w:t>份，均具有同等法律效力，发包人、承包方各执</w:t>
      </w:r>
      <w:r>
        <w:rPr>
          <w:rFonts w:hint="eastAsia" w:asciiTheme="minorEastAsia" w:hAnsiTheme="minorEastAsia" w:cstheme="minorEastAsia"/>
          <w:bCs/>
          <w:u w:val="single"/>
        </w:rPr>
        <w:t xml:space="preserve">   3  </w:t>
      </w:r>
      <w:r>
        <w:rPr>
          <w:rFonts w:hint="eastAsia" w:asciiTheme="minorEastAsia" w:hAnsiTheme="minorEastAsia" w:cstheme="minorEastAsia"/>
          <w:bCs/>
        </w:rPr>
        <w:t>份。</w:t>
      </w:r>
    </w:p>
    <w:p w14:paraId="3EFC93C7">
      <w:pPr>
        <w:spacing w:line="400" w:lineRule="exact"/>
        <w:rPr>
          <w:rFonts w:asciiTheme="minorEastAsia" w:hAnsiTheme="minorEastAsia" w:cstheme="minorEastAsia"/>
          <w:b/>
          <w:sz w:val="24"/>
        </w:rPr>
      </w:pPr>
    </w:p>
    <w:p w14:paraId="3814E60E">
      <w:pPr>
        <w:spacing w:line="400" w:lineRule="exact"/>
        <w:jc w:val="center"/>
        <w:rPr>
          <w:rFonts w:asciiTheme="minorEastAsia" w:hAnsiTheme="minorEastAsia" w:cstheme="minorEastAsia"/>
          <w:b/>
          <w:bCs/>
          <w:sz w:val="40"/>
          <w:szCs w:val="30"/>
        </w:rPr>
      </w:pPr>
      <w:r>
        <w:rPr>
          <w:rFonts w:hint="eastAsia" w:asciiTheme="minorEastAsia" w:hAnsiTheme="minorEastAsia" w:cstheme="minorEastAsia"/>
          <w:b/>
          <w:bCs/>
          <w:sz w:val="40"/>
          <w:szCs w:val="30"/>
        </w:rPr>
        <w:t>第二部分 通用合同条款</w:t>
      </w:r>
    </w:p>
    <w:p w14:paraId="323A7110">
      <w:pPr>
        <w:spacing w:line="400" w:lineRule="exact"/>
        <w:rPr>
          <w:rFonts w:asciiTheme="minorEastAsia" w:hAnsiTheme="minorEastAsia" w:cstheme="minorEastAsia"/>
          <w:bCs/>
        </w:rPr>
      </w:pPr>
      <w:r>
        <w:rPr>
          <w:rFonts w:hint="eastAsia" w:asciiTheme="minorEastAsia" w:hAnsiTheme="minorEastAsia" w:cstheme="minorEastAsia"/>
          <w:bCs/>
        </w:rPr>
        <w:t>通用合同条款直接引用中国建筑工业出版社出版的《建设工程施工合同（示范文本）（GF-2017-0201）第二部分“通用合同条款”内容。</w:t>
      </w:r>
    </w:p>
    <w:p w14:paraId="5B36751D">
      <w:pPr>
        <w:pStyle w:val="3"/>
      </w:pPr>
    </w:p>
    <w:p w14:paraId="301A983F">
      <w:pPr>
        <w:spacing w:line="400" w:lineRule="exact"/>
        <w:jc w:val="center"/>
        <w:rPr>
          <w:rFonts w:asciiTheme="minorEastAsia" w:hAnsiTheme="minorEastAsia" w:cstheme="minorEastAsia"/>
          <w:b/>
          <w:bCs/>
          <w:sz w:val="40"/>
          <w:szCs w:val="30"/>
        </w:rPr>
      </w:pPr>
      <w:r>
        <w:rPr>
          <w:rFonts w:hint="eastAsia" w:asciiTheme="minorEastAsia" w:hAnsiTheme="minorEastAsia" w:cstheme="minorEastAsia"/>
          <w:b/>
          <w:bCs/>
          <w:sz w:val="40"/>
          <w:szCs w:val="30"/>
        </w:rPr>
        <w:t>第三部分 专用合同条款</w:t>
      </w:r>
    </w:p>
    <w:p w14:paraId="6E134105">
      <w:pPr>
        <w:spacing w:line="400" w:lineRule="exact"/>
        <w:rPr>
          <w:rFonts w:asciiTheme="minorEastAsia" w:hAnsiTheme="minorEastAsia" w:cstheme="minorEastAsia"/>
          <w:b/>
          <w:sz w:val="24"/>
        </w:rPr>
      </w:pPr>
      <w:bookmarkStart w:id="89" w:name="_Toc351203633"/>
      <w:bookmarkStart w:id="90" w:name="_Toc296503156"/>
      <w:bookmarkStart w:id="91" w:name="_Toc296347155"/>
      <w:bookmarkStart w:id="92" w:name="_Toc296891196"/>
      <w:bookmarkStart w:id="93" w:name="_Toc297048342"/>
      <w:bookmarkStart w:id="94" w:name="_Toc297120456"/>
      <w:bookmarkStart w:id="95" w:name="_Toc296890984"/>
      <w:bookmarkStart w:id="96" w:name="_Toc296944495"/>
      <w:bookmarkStart w:id="97" w:name="_Toc292559361"/>
      <w:bookmarkStart w:id="98" w:name="_Toc292559866"/>
      <w:bookmarkStart w:id="99" w:name="_Toc296346657"/>
      <w:r>
        <w:rPr>
          <w:rFonts w:hint="eastAsia" w:asciiTheme="minorEastAsia" w:hAnsiTheme="minorEastAsia" w:cstheme="minorEastAsia"/>
          <w:b/>
          <w:sz w:val="24"/>
        </w:rPr>
        <w:t>第一条 一般约定</w:t>
      </w:r>
      <w:bookmarkEnd w:id="89"/>
    </w:p>
    <w:p w14:paraId="7F2854A6">
      <w:pPr>
        <w:spacing w:line="400" w:lineRule="exact"/>
        <w:rPr>
          <w:rFonts w:asciiTheme="minorEastAsia" w:hAnsiTheme="minorEastAsia" w:cstheme="minorEastAsia"/>
          <w:b/>
          <w:kern w:val="0"/>
          <w:szCs w:val="21"/>
        </w:rPr>
      </w:pPr>
      <w:r>
        <w:rPr>
          <w:rFonts w:hint="eastAsia" w:asciiTheme="minorEastAsia" w:hAnsiTheme="minorEastAsia" w:cstheme="minorEastAsia"/>
          <w:b/>
          <w:szCs w:val="21"/>
        </w:rPr>
        <w:t xml:space="preserve">1.1 </w:t>
      </w:r>
      <w:r>
        <w:rPr>
          <w:rFonts w:hint="eastAsia" w:asciiTheme="minorEastAsia" w:hAnsiTheme="minorEastAsia" w:cstheme="minorEastAsia"/>
          <w:b/>
          <w:kern w:val="0"/>
          <w:szCs w:val="21"/>
        </w:rPr>
        <w:t>词语定义与解释</w:t>
      </w:r>
    </w:p>
    <w:p w14:paraId="42ADAB6D">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本合同项下的词语定义与解释参照住房和城乡建设部、国家工商行政管理总局制定的《建设工程施工合同（示范文本）》（GF-2017-0201）通用条款中的相关描述。</w:t>
      </w:r>
    </w:p>
    <w:p w14:paraId="6598CF9D">
      <w:pPr>
        <w:pStyle w:val="18"/>
        <w:spacing w:before="120" w:line="400" w:lineRule="exact"/>
        <w:rPr>
          <w:rFonts w:asciiTheme="minorEastAsia" w:hAnsiTheme="minorEastAsia" w:cstheme="minorEastAsia"/>
          <w:kern w:val="0"/>
          <w:sz w:val="21"/>
          <w:szCs w:val="21"/>
        </w:rPr>
      </w:pPr>
      <w:r>
        <w:rPr>
          <w:rFonts w:hint="eastAsia" w:asciiTheme="minorEastAsia" w:hAnsiTheme="minorEastAsia" w:cstheme="minorEastAsia"/>
          <w:sz w:val="21"/>
          <w:szCs w:val="21"/>
        </w:rPr>
        <w:t>1.2</w:t>
      </w:r>
      <w:r>
        <w:rPr>
          <w:rFonts w:hint="eastAsia" w:asciiTheme="minorEastAsia" w:hAnsiTheme="minorEastAsia" w:cstheme="minorEastAsia"/>
          <w:kern w:val="0"/>
          <w:sz w:val="21"/>
          <w:szCs w:val="21"/>
        </w:rPr>
        <w:t xml:space="preserve"> 法律 </w:t>
      </w:r>
    </w:p>
    <w:p w14:paraId="7CEAF5DF">
      <w:pPr>
        <w:autoSpaceDE w:val="0"/>
        <w:autoSpaceDN w:val="0"/>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适用于合同的其他规范性文件：国家、建设部、浙江省及宁波市有关工程建设的法律、法规、规定、办法（如有冲突，按就高原则处理）。</w:t>
      </w:r>
    </w:p>
    <w:p w14:paraId="6D8D14A4">
      <w:pPr>
        <w:autoSpaceDE w:val="0"/>
        <w:autoSpaceDN w:val="0"/>
        <w:adjustRightInd w:val="0"/>
        <w:spacing w:line="400" w:lineRule="exact"/>
        <w:rPr>
          <w:rFonts w:asciiTheme="minorEastAsia" w:hAnsiTheme="minorEastAsia" w:cstheme="minorEastAsia"/>
          <w:b/>
          <w:szCs w:val="21"/>
        </w:rPr>
      </w:pPr>
      <w:r>
        <w:rPr>
          <w:rFonts w:hint="eastAsia" w:asciiTheme="minorEastAsia" w:hAnsiTheme="minorEastAsia" w:cstheme="minorEastAsia"/>
          <w:b/>
          <w:szCs w:val="21"/>
        </w:rPr>
        <w:t>1.3 标准和规范</w:t>
      </w:r>
    </w:p>
    <w:p w14:paraId="03FFDC98">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适用于工程的标准规范包括：现行国家、建设部、浙江省及宁波市与本工程相关的施工及验收规范、标准（如有冲突，按就高原则处理）。</w:t>
      </w:r>
    </w:p>
    <w:p w14:paraId="4582FFA9">
      <w:pPr>
        <w:spacing w:line="400" w:lineRule="exact"/>
        <w:rPr>
          <w:rFonts w:asciiTheme="minorEastAsia" w:hAnsiTheme="minorEastAsia" w:cstheme="minorEastAsia"/>
          <w:b/>
          <w:kern w:val="0"/>
          <w:szCs w:val="21"/>
        </w:rPr>
      </w:pPr>
      <w:r>
        <w:rPr>
          <w:rFonts w:hint="eastAsia" w:asciiTheme="minorEastAsia" w:hAnsiTheme="minorEastAsia" w:cstheme="minorEastAsia"/>
          <w:b/>
          <w:szCs w:val="21"/>
        </w:rPr>
        <w:t>1.4</w:t>
      </w:r>
      <w:r>
        <w:rPr>
          <w:rFonts w:hint="eastAsia" w:asciiTheme="minorEastAsia" w:hAnsiTheme="minorEastAsia" w:cstheme="minorEastAsia"/>
          <w:b/>
          <w:kern w:val="0"/>
          <w:szCs w:val="21"/>
        </w:rPr>
        <w:t xml:space="preserve"> 合同文件的组成</w:t>
      </w:r>
    </w:p>
    <w:p w14:paraId="7991F844">
      <w:pPr>
        <w:autoSpaceDE w:val="0"/>
        <w:autoSpaceDN w:val="0"/>
        <w:adjustRightInd w:val="0"/>
        <w:spacing w:line="4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本合同文件的组成包括：</w:t>
      </w:r>
      <w:r>
        <w:rPr>
          <w:rFonts w:hint="eastAsia" w:asciiTheme="minorEastAsia" w:hAnsiTheme="minorEastAsia" w:cstheme="minorEastAsia"/>
        </w:rPr>
        <w:t>（1）</w:t>
      </w:r>
      <w:r>
        <w:rPr>
          <w:rFonts w:hint="eastAsia" w:asciiTheme="minorEastAsia" w:hAnsiTheme="minorEastAsia" w:cstheme="minorEastAsia"/>
          <w:u w:val="single"/>
        </w:rPr>
        <w:t>本合同协议书</w:t>
      </w:r>
      <w:r>
        <w:rPr>
          <w:rFonts w:hint="eastAsia" w:asciiTheme="minorEastAsia" w:hAnsiTheme="minorEastAsia" w:cstheme="minorEastAsia"/>
          <w:kern w:val="0"/>
          <w:szCs w:val="21"/>
          <w:u w:val="single"/>
        </w:rPr>
        <w:t>及其附件；</w:t>
      </w:r>
      <w:r>
        <w:rPr>
          <w:rFonts w:hint="eastAsia" w:asciiTheme="minorEastAsia" w:hAnsiTheme="minorEastAsia" w:cstheme="minorEastAsia"/>
          <w:u w:val="single"/>
        </w:rPr>
        <w:t>（2）确定成交通知书；（3）本合同专用条款；（4）补充协议；（5）</w:t>
      </w:r>
      <w:r>
        <w:rPr>
          <w:rFonts w:hint="eastAsia" w:asciiTheme="minorEastAsia" w:hAnsiTheme="minorEastAsia" w:cstheme="minorEastAsia"/>
          <w:szCs w:val="21"/>
          <w:u w:val="single"/>
        </w:rPr>
        <w:t>合同履行过程中经双方确认的会议纪要；</w:t>
      </w:r>
      <w:r>
        <w:rPr>
          <w:rFonts w:hint="eastAsia" w:asciiTheme="minorEastAsia" w:hAnsiTheme="minorEastAsia" w:cstheme="minorEastAsia"/>
          <w:u w:val="single"/>
        </w:rPr>
        <w:t>（6）采购文件及附件；（7）响应文件及附件；（8）本合同通用条款；（9）施工图纸；（10）</w:t>
      </w:r>
      <w:r>
        <w:rPr>
          <w:rFonts w:hint="eastAsia" w:asciiTheme="minorEastAsia" w:hAnsiTheme="minorEastAsia" w:cstheme="minorEastAsia"/>
          <w:kern w:val="0"/>
          <w:szCs w:val="21"/>
          <w:u w:val="single"/>
        </w:rPr>
        <w:t>已标价工程量清单或预算书；</w:t>
      </w:r>
      <w:r>
        <w:rPr>
          <w:rFonts w:hint="eastAsia" w:asciiTheme="minorEastAsia" w:hAnsiTheme="minorEastAsia" w:cstheme="minorEastAsia"/>
          <w:u w:val="single"/>
        </w:rPr>
        <w:t>（11）</w:t>
      </w:r>
      <w:r>
        <w:rPr>
          <w:rFonts w:hint="eastAsia" w:asciiTheme="minorEastAsia" w:hAnsiTheme="minorEastAsia" w:cstheme="minorEastAsia"/>
          <w:szCs w:val="21"/>
          <w:u w:val="single"/>
        </w:rPr>
        <w:t>经发包方批准的施工组织设计；</w:t>
      </w:r>
      <w:r>
        <w:rPr>
          <w:rFonts w:hint="eastAsia" w:asciiTheme="minorEastAsia" w:hAnsiTheme="minorEastAsia" w:cstheme="minorEastAsia"/>
          <w:u w:val="single"/>
        </w:rPr>
        <w:t>（12）相关技术标准及规范等;</w:t>
      </w:r>
    </w:p>
    <w:p w14:paraId="555EA83D">
      <w:pPr>
        <w:pStyle w:val="18"/>
        <w:spacing w:before="120" w:line="400" w:lineRule="exact"/>
        <w:rPr>
          <w:rFonts w:asciiTheme="minorEastAsia" w:hAnsiTheme="minorEastAsia" w:cstheme="minorEastAsia"/>
          <w:sz w:val="21"/>
          <w:szCs w:val="21"/>
        </w:rPr>
      </w:pPr>
      <w:r>
        <w:rPr>
          <w:rFonts w:hint="eastAsia" w:asciiTheme="minorEastAsia" w:hAnsiTheme="minorEastAsia" w:cstheme="minorEastAsia"/>
          <w:sz w:val="21"/>
          <w:szCs w:val="21"/>
        </w:rPr>
        <w:t>1.5 合同文件的优先顺序</w:t>
      </w:r>
    </w:p>
    <w:p w14:paraId="6DBFB7A3">
      <w:pPr>
        <w:spacing w:line="400" w:lineRule="exact"/>
        <w:rPr>
          <w:rFonts w:asciiTheme="minorEastAsia" w:hAnsiTheme="minorEastAsia" w:cstheme="minorEastAsia"/>
          <w:szCs w:val="21"/>
        </w:rPr>
      </w:pPr>
      <w:r>
        <w:rPr>
          <w:rFonts w:hint="eastAsia" w:asciiTheme="minorEastAsia" w:hAnsiTheme="minorEastAsia" w:cstheme="minorEastAsia"/>
          <w:szCs w:val="21"/>
        </w:rPr>
        <w:t>本合同文件的优先解释顺序执行通用条款。</w:t>
      </w:r>
      <w:bookmarkEnd w:id="90"/>
      <w:bookmarkEnd w:id="91"/>
      <w:bookmarkEnd w:id="92"/>
      <w:bookmarkEnd w:id="93"/>
      <w:bookmarkEnd w:id="94"/>
      <w:bookmarkEnd w:id="95"/>
      <w:bookmarkEnd w:id="96"/>
      <w:bookmarkEnd w:id="97"/>
      <w:bookmarkEnd w:id="98"/>
      <w:bookmarkEnd w:id="99"/>
    </w:p>
    <w:p w14:paraId="5886C592">
      <w:pPr>
        <w:spacing w:line="400" w:lineRule="exact"/>
        <w:rPr>
          <w:rFonts w:asciiTheme="minorEastAsia" w:hAnsiTheme="minorEastAsia" w:cstheme="minorEastAsia"/>
          <w:b/>
          <w:szCs w:val="21"/>
        </w:rPr>
      </w:pPr>
      <w:r>
        <w:rPr>
          <w:rFonts w:hint="eastAsia" w:asciiTheme="minorEastAsia" w:hAnsiTheme="minorEastAsia" w:cstheme="minorEastAsia"/>
          <w:b/>
          <w:szCs w:val="21"/>
        </w:rPr>
        <w:t>1.6 图纸交底和承包方文件</w:t>
      </w:r>
    </w:p>
    <w:p w14:paraId="225B474A">
      <w:pPr>
        <w:spacing w:line="400" w:lineRule="exact"/>
        <w:jc w:val="left"/>
        <w:rPr>
          <w:rFonts w:asciiTheme="minorEastAsia" w:hAnsiTheme="minorEastAsia" w:cstheme="minorEastAsia"/>
          <w:szCs w:val="21"/>
        </w:rPr>
      </w:pPr>
      <w:r>
        <w:rPr>
          <w:rFonts w:hint="eastAsia" w:asciiTheme="minorEastAsia" w:hAnsiTheme="minorEastAsia" w:cstheme="minorEastAsia"/>
          <w:szCs w:val="21"/>
        </w:rPr>
        <w:t>1.6.1 图纸的提供和交底</w:t>
      </w:r>
    </w:p>
    <w:p w14:paraId="31E1DFD4">
      <w:pPr>
        <w:spacing w:line="400" w:lineRule="exact"/>
        <w:jc w:val="left"/>
        <w:rPr>
          <w:rFonts w:asciiTheme="minorEastAsia" w:hAnsiTheme="minorEastAsia" w:cstheme="minorEastAsia"/>
          <w:szCs w:val="21"/>
          <w:u w:val="single"/>
        </w:rPr>
      </w:pPr>
      <w:r>
        <w:rPr>
          <w:rFonts w:hint="eastAsia" w:asciiTheme="minorEastAsia" w:hAnsiTheme="minorEastAsia" w:cstheme="minorEastAsia"/>
          <w:szCs w:val="21"/>
        </w:rPr>
        <w:t>1.6.1.1 需要由发包人提供和交底的文件，包括：</w:t>
      </w:r>
      <w:r>
        <w:rPr>
          <w:rFonts w:hint="eastAsia" w:asciiTheme="minorEastAsia" w:hAnsiTheme="minorEastAsia" w:cstheme="minorEastAsia"/>
          <w:szCs w:val="21"/>
          <w:u w:val="single"/>
        </w:rPr>
        <w:t xml:space="preserve">      /                              </w:t>
      </w:r>
    </w:p>
    <w:p w14:paraId="409AFD5F">
      <w:pPr>
        <w:spacing w:line="400" w:lineRule="exact"/>
        <w:jc w:val="left"/>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p>
    <w:p w14:paraId="02ED945F">
      <w:pPr>
        <w:spacing w:line="400" w:lineRule="exact"/>
        <w:jc w:val="left"/>
        <w:rPr>
          <w:rFonts w:asciiTheme="minorEastAsia" w:hAnsiTheme="minorEastAsia" w:cstheme="minorEastAsia"/>
          <w:szCs w:val="21"/>
          <w:u w:val="single"/>
        </w:rPr>
      </w:pPr>
      <w:r>
        <w:rPr>
          <w:rFonts w:hint="eastAsia" w:asciiTheme="minorEastAsia" w:hAnsiTheme="minorEastAsia" w:cstheme="minorEastAsia"/>
          <w:szCs w:val="21"/>
        </w:rPr>
        <w:t>1.6.1.2 发包人提供的文件的期限与数量：</w:t>
      </w:r>
      <w:r>
        <w:rPr>
          <w:rFonts w:hint="eastAsia" w:asciiTheme="minorEastAsia" w:hAnsiTheme="minorEastAsia" w:cstheme="minorEastAsia"/>
          <w:szCs w:val="21"/>
          <w:u w:val="single"/>
        </w:rPr>
        <w:t xml:space="preserve">           /                               </w:t>
      </w:r>
    </w:p>
    <w:p w14:paraId="523E1803">
      <w:pPr>
        <w:spacing w:line="400" w:lineRule="exact"/>
        <w:jc w:val="left"/>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p>
    <w:p w14:paraId="0325E56A">
      <w:pPr>
        <w:spacing w:line="400" w:lineRule="exact"/>
        <w:jc w:val="left"/>
        <w:rPr>
          <w:rFonts w:asciiTheme="minorEastAsia" w:hAnsiTheme="minorEastAsia" w:cstheme="minorEastAsia"/>
          <w:szCs w:val="21"/>
        </w:rPr>
      </w:pPr>
      <w:r>
        <w:rPr>
          <w:rFonts w:hint="eastAsia" w:asciiTheme="minorEastAsia" w:hAnsiTheme="minorEastAsia" w:cstheme="minorEastAsia"/>
          <w:szCs w:val="21"/>
        </w:rPr>
        <w:t>1.6.2 图纸的修改和补充</w:t>
      </w:r>
    </w:p>
    <w:p w14:paraId="262F9EE7">
      <w:pPr>
        <w:spacing w:line="400" w:lineRule="exact"/>
        <w:jc w:val="left"/>
        <w:rPr>
          <w:rFonts w:asciiTheme="minorEastAsia" w:hAnsiTheme="minorEastAsia" w:cstheme="minorEastAsia"/>
          <w:szCs w:val="21"/>
        </w:rPr>
      </w:pPr>
      <w:r>
        <w:rPr>
          <w:rFonts w:hint="eastAsia" w:asciiTheme="minorEastAsia" w:hAnsiTheme="minorEastAsia" w:cstheme="minorEastAsia"/>
          <w:szCs w:val="21"/>
        </w:rPr>
        <w:t>承包方在收到发包人提供的图纸后，发现图纸存在差错、遗漏或缺陷的，应及时书面通知发包人和监理人。图纸需要修改和补充的，应经图纸原设计人及审批部门同意，并由监理人在工程或工程相应部位施工前将修改后的图纸或补充图纸提交给承包方，承包方应当按修改或补充后的图纸施工。</w:t>
      </w:r>
    </w:p>
    <w:p w14:paraId="6EBD4A03">
      <w:pPr>
        <w:spacing w:line="400" w:lineRule="exact"/>
        <w:jc w:val="left"/>
        <w:rPr>
          <w:rFonts w:asciiTheme="minorEastAsia" w:hAnsiTheme="minorEastAsia" w:cstheme="minorEastAsia"/>
          <w:b/>
          <w:szCs w:val="21"/>
        </w:rPr>
      </w:pPr>
      <w:r>
        <w:rPr>
          <w:rFonts w:hint="eastAsia" w:asciiTheme="minorEastAsia" w:hAnsiTheme="minorEastAsia" w:cstheme="minorEastAsia"/>
          <w:b/>
          <w:szCs w:val="21"/>
        </w:rPr>
        <w:t>1.7 承包方文件</w:t>
      </w:r>
    </w:p>
    <w:p w14:paraId="32D2737F">
      <w:pPr>
        <w:spacing w:line="400" w:lineRule="exact"/>
        <w:rPr>
          <w:rFonts w:asciiTheme="minorEastAsia" w:hAnsiTheme="minorEastAsia" w:cstheme="minorEastAsia"/>
          <w:szCs w:val="21"/>
        </w:rPr>
      </w:pPr>
      <w:r>
        <w:rPr>
          <w:rFonts w:hint="eastAsia" w:asciiTheme="minorEastAsia" w:hAnsiTheme="minorEastAsia" w:cstheme="minorEastAsia"/>
          <w:szCs w:val="21"/>
        </w:rPr>
        <w:t>1.7.1需要由承包方提供的文件，包括：施工组织设计、工程进度计划、专项施工方案、加工图、大样图、协调配合图等其他与工程有关发包人认为需要向其提供的材料。</w:t>
      </w:r>
    </w:p>
    <w:p w14:paraId="15B57C70">
      <w:pPr>
        <w:spacing w:line="400" w:lineRule="exact"/>
        <w:rPr>
          <w:rFonts w:asciiTheme="minorEastAsia" w:hAnsiTheme="minorEastAsia" w:cstheme="minorEastAsia"/>
          <w:szCs w:val="21"/>
          <w:u w:val="single"/>
        </w:rPr>
      </w:pPr>
      <w:r>
        <w:rPr>
          <w:rFonts w:hint="eastAsia" w:asciiTheme="minorEastAsia" w:hAnsiTheme="minorEastAsia" w:cstheme="minorEastAsia"/>
          <w:szCs w:val="21"/>
        </w:rPr>
        <w:t>1.7.2 承包方提供的文件的期限与数量：</w:t>
      </w:r>
      <w:r>
        <w:rPr>
          <w:rFonts w:hint="eastAsia" w:asciiTheme="minorEastAsia" w:hAnsiTheme="minorEastAsia" w:cstheme="minorEastAsia"/>
          <w:szCs w:val="21"/>
          <w:u w:val="single"/>
        </w:rPr>
        <w:t xml:space="preserve">      /                                        </w:t>
      </w:r>
    </w:p>
    <w:p w14:paraId="3ED53003">
      <w:pPr>
        <w:spacing w:line="400" w:lineRule="exact"/>
        <w:rPr>
          <w:rFonts w:asciiTheme="minorEastAsia" w:hAnsiTheme="minorEastAsia" w:cstheme="minorEastAsia"/>
          <w:szCs w:val="21"/>
        </w:rPr>
      </w:pPr>
      <w:r>
        <w:rPr>
          <w:rFonts w:hint="eastAsia" w:asciiTheme="minorEastAsia" w:hAnsiTheme="minorEastAsia" w:cstheme="minorEastAsia"/>
          <w:szCs w:val="21"/>
        </w:rPr>
        <w:t>1.7.3 现场图纸准备</w:t>
      </w:r>
    </w:p>
    <w:p w14:paraId="4C6FDA86">
      <w:pPr>
        <w:spacing w:line="400" w:lineRule="exact"/>
        <w:rPr>
          <w:rFonts w:asciiTheme="minorEastAsia" w:hAnsiTheme="minorEastAsia" w:cstheme="minorEastAsia"/>
          <w:szCs w:val="21"/>
        </w:rPr>
      </w:pPr>
      <w:r>
        <w:rPr>
          <w:rFonts w:hint="eastAsia" w:asciiTheme="minorEastAsia" w:hAnsiTheme="minorEastAsia" w:cstheme="minorEastAsia"/>
          <w:szCs w:val="21"/>
        </w:rPr>
        <w:t>承包方应在施工现场保存至少一套完整的图纸和承包方文件。</w:t>
      </w:r>
    </w:p>
    <w:p w14:paraId="58D9CBE6">
      <w:pPr>
        <w:pStyle w:val="18"/>
        <w:spacing w:before="120" w:line="400" w:lineRule="exact"/>
        <w:rPr>
          <w:rFonts w:asciiTheme="minorEastAsia" w:hAnsiTheme="minorEastAsia" w:cstheme="minorEastAsia"/>
          <w:sz w:val="21"/>
          <w:szCs w:val="21"/>
        </w:rPr>
      </w:pPr>
      <w:r>
        <w:rPr>
          <w:rFonts w:hint="eastAsia" w:asciiTheme="minorEastAsia" w:hAnsiTheme="minorEastAsia" w:cstheme="minorEastAsia"/>
          <w:sz w:val="21"/>
          <w:szCs w:val="21"/>
        </w:rPr>
        <w:t>1.8 交通运输</w:t>
      </w:r>
    </w:p>
    <w:p w14:paraId="325B4E69">
      <w:pPr>
        <w:spacing w:line="400" w:lineRule="exact"/>
        <w:rPr>
          <w:rFonts w:asciiTheme="minorEastAsia" w:hAnsiTheme="minorEastAsia" w:cstheme="minorEastAsia"/>
          <w:szCs w:val="21"/>
        </w:rPr>
      </w:pPr>
      <w:r>
        <w:rPr>
          <w:rFonts w:hint="eastAsia" w:asciiTheme="minorEastAsia" w:hAnsiTheme="minorEastAsia" w:cstheme="minorEastAsia"/>
          <w:szCs w:val="21"/>
        </w:rPr>
        <w:t>1.8.1 承包方出入现场的权利执行通用条款。</w:t>
      </w:r>
    </w:p>
    <w:p w14:paraId="72ABCE5B">
      <w:pPr>
        <w:spacing w:line="400" w:lineRule="exact"/>
        <w:rPr>
          <w:rFonts w:asciiTheme="minorEastAsia" w:hAnsiTheme="minorEastAsia" w:cstheme="minorEastAsia"/>
          <w:szCs w:val="21"/>
          <w:u w:val="single"/>
        </w:rPr>
      </w:pPr>
      <w:r>
        <w:rPr>
          <w:rFonts w:hint="eastAsia" w:asciiTheme="minorEastAsia" w:hAnsiTheme="minorEastAsia" w:cstheme="minorEastAsia"/>
          <w:szCs w:val="21"/>
        </w:rPr>
        <w:t>1.8.2 关于场外交通和场内交通边界的约定：</w:t>
      </w:r>
      <w:r>
        <w:rPr>
          <w:rFonts w:hint="eastAsia" w:asciiTheme="minorEastAsia" w:hAnsiTheme="minorEastAsia" w:cstheme="minorEastAsia"/>
          <w:szCs w:val="21"/>
          <w:u w:val="single"/>
        </w:rPr>
        <w:t xml:space="preserve">  按本工程用地红线范围界定</w:t>
      </w:r>
      <w:r>
        <w:rPr>
          <w:rFonts w:hint="eastAsia" w:asciiTheme="minorEastAsia" w:hAnsiTheme="minorEastAsia" w:cstheme="minorEastAsia"/>
          <w:szCs w:val="21"/>
        </w:rPr>
        <w:t xml:space="preserve">。             </w:t>
      </w:r>
    </w:p>
    <w:p w14:paraId="7090936C">
      <w:pPr>
        <w:spacing w:line="400" w:lineRule="exact"/>
        <w:rPr>
          <w:rFonts w:asciiTheme="minorEastAsia" w:hAnsiTheme="minorEastAsia" w:cstheme="minorEastAsia"/>
          <w:szCs w:val="21"/>
        </w:rPr>
      </w:pPr>
      <w:r>
        <w:rPr>
          <w:rFonts w:hint="eastAsia" w:asciiTheme="minorEastAsia" w:hAnsiTheme="minorEastAsia" w:cstheme="minorEastAsia"/>
          <w:szCs w:val="21"/>
        </w:rPr>
        <w:t>1.8.3关于发包人向承包方免费提供满足工程施工需要的场内道路和交通设施的约定：</w:t>
      </w:r>
      <w:r>
        <w:rPr>
          <w:rFonts w:hint="eastAsia" w:asciiTheme="minorEastAsia" w:hAnsiTheme="minorEastAsia" w:cstheme="minorEastAsia"/>
          <w:szCs w:val="21"/>
          <w:u w:val="single"/>
        </w:rPr>
        <w:t>发包人仅提供通往指定区域通道。场地内临时及出入通道的修建与养护由承包方负责，工程完工前承包方应对因施工造成的原有道路、排水等设施的损坏进行修缮，恢复原有使用功能，并包括到养护、道路部门办理所有相关手续，所有费用包含在合同价中</w:t>
      </w:r>
      <w:r>
        <w:rPr>
          <w:rFonts w:hint="eastAsia" w:asciiTheme="minorEastAsia" w:hAnsiTheme="minorEastAsia" w:cstheme="minorEastAsia"/>
          <w:szCs w:val="21"/>
        </w:rPr>
        <w:t xml:space="preserve">。                 </w:t>
      </w:r>
    </w:p>
    <w:p w14:paraId="2E959707">
      <w:pPr>
        <w:spacing w:line="400" w:lineRule="exact"/>
        <w:rPr>
          <w:rFonts w:asciiTheme="minorEastAsia" w:hAnsiTheme="minorEastAsia" w:cstheme="minorEastAsia"/>
          <w:szCs w:val="21"/>
        </w:rPr>
      </w:pPr>
      <w:r>
        <w:rPr>
          <w:rFonts w:hint="eastAsia" w:asciiTheme="minorEastAsia" w:hAnsiTheme="minorEastAsia" w:cstheme="minorEastAsia"/>
          <w:szCs w:val="21"/>
        </w:rPr>
        <w:t>1.8.4 超大件和超重件的运输</w:t>
      </w:r>
    </w:p>
    <w:p w14:paraId="4DB98D8D">
      <w:pPr>
        <w:spacing w:line="400" w:lineRule="exact"/>
        <w:rPr>
          <w:rFonts w:asciiTheme="minorEastAsia" w:hAnsiTheme="minorEastAsia" w:cstheme="minorEastAsia"/>
          <w:szCs w:val="21"/>
        </w:rPr>
      </w:pPr>
      <w:r>
        <w:rPr>
          <w:rFonts w:hint="eastAsia" w:asciiTheme="minorEastAsia" w:hAnsiTheme="minorEastAsia" w:cstheme="minorEastAsia"/>
          <w:szCs w:val="21"/>
        </w:rPr>
        <w:t>运输超大件或超重件所需的道路和桥梁临时加固改造费用和其他有关费用由</w:t>
      </w:r>
      <w:r>
        <w:rPr>
          <w:rFonts w:hint="eastAsia" w:asciiTheme="minorEastAsia" w:hAnsiTheme="minorEastAsia" w:cstheme="minorEastAsia"/>
          <w:szCs w:val="21"/>
          <w:u w:val="single"/>
        </w:rPr>
        <w:t xml:space="preserve"> B </w:t>
      </w:r>
      <w:r>
        <w:rPr>
          <w:rFonts w:hint="eastAsia" w:asciiTheme="minorEastAsia" w:hAnsiTheme="minorEastAsia" w:cstheme="minorEastAsia"/>
          <w:szCs w:val="21"/>
        </w:rPr>
        <w:t xml:space="preserve">（A、发包人/B、承包方）承担。 </w:t>
      </w:r>
    </w:p>
    <w:p w14:paraId="56A8567E">
      <w:pPr>
        <w:pStyle w:val="18"/>
        <w:spacing w:before="120" w:line="400" w:lineRule="exact"/>
        <w:rPr>
          <w:rFonts w:asciiTheme="minorEastAsia" w:hAnsiTheme="minorEastAsia" w:cstheme="minorEastAsia"/>
          <w:sz w:val="21"/>
          <w:szCs w:val="21"/>
        </w:rPr>
      </w:pPr>
      <w:r>
        <w:rPr>
          <w:rFonts w:hint="eastAsia" w:asciiTheme="minorEastAsia" w:hAnsiTheme="minorEastAsia" w:cstheme="minorEastAsia"/>
          <w:sz w:val="21"/>
          <w:szCs w:val="21"/>
        </w:rPr>
        <w:t>1.9 知识产权</w:t>
      </w:r>
    </w:p>
    <w:p w14:paraId="45232180">
      <w:pPr>
        <w:pStyle w:val="18"/>
        <w:tabs>
          <w:tab w:val="left" w:pos="7587"/>
        </w:tabs>
        <w:spacing w:line="400" w:lineRule="exact"/>
        <w:rPr>
          <w:rFonts w:asciiTheme="minorEastAsia" w:hAnsiTheme="minorEastAsia" w:cstheme="minorEastAsia"/>
          <w:b w:val="0"/>
          <w:sz w:val="21"/>
          <w:szCs w:val="21"/>
        </w:rPr>
      </w:pPr>
      <w:r>
        <w:rPr>
          <w:rFonts w:hint="eastAsia" w:asciiTheme="minorEastAsia" w:hAnsiTheme="minorEastAsia" w:cstheme="minorEastAsia"/>
          <w:b w:val="0"/>
          <w:sz w:val="21"/>
          <w:szCs w:val="21"/>
        </w:rPr>
        <w:t>1.9.1关于本合同的知识产权、使用及使用费用约定：执行通用条款。</w:t>
      </w:r>
    </w:p>
    <w:p w14:paraId="7656D8DD">
      <w:pPr>
        <w:pStyle w:val="18"/>
        <w:tabs>
          <w:tab w:val="left" w:pos="7587"/>
        </w:tabs>
        <w:spacing w:line="400" w:lineRule="exact"/>
        <w:rPr>
          <w:rFonts w:asciiTheme="minorEastAsia" w:hAnsiTheme="minorEastAsia" w:cstheme="minorEastAsia"/>
          <w:b w:val="0"/>
          <w:sz w:val="21"/>
          <w:szCs w:val="21"/>
        </w:rPr>
      </w:pPr>
      <w:r>
        <w:rPr>
          <w:rFonts w:hint="eastAsia" w:asciiTheme="minorEastAsia" w:hAnsiTheme="minorEastAsia" w:cstheme="minorEastAsia"/>
          <w:b w:val="0"/>
          <w:sz w:val="21"/>
          <w:szCs w:val="21"/>
        </w:rPr>
        <w:t>1.</w:t>
      </w:r>
      <w:r>
        <w:rPr>
          <w:rFonts w:asciiTheme="minorEastAsia" w:hAnsiTheme="minorEastAsia" w:cstheme="minorEastAsia"/>
          <w:b w:val="0"/>
          <w:sz w:val="21"/>
          <w:szCs w:val="21"/>
        </w:rPr>
        <w:t>9</w:t>
      </w:r>
      <w:r>
        <w:rPr>
          <w:rFonts w:hint="eastAsia" w:asciiTheme="minorEastAsia" w:hAnsiTheme="minorEastAsia" w:cstheme="minorEastAsia"/>
          <w:b w:val="0"/>
          <w:sz w:val="21"/>
          <w:szCs w:val="21"/>
        </w:rPr>
        <w:t>.</w:t>
      </w:r>
      <w:r>
        <w:rPr>
          <w:rFonts w:asciiTheme="minorEastAsia" w:hAnsiTheme="minorEastAsia" w:cstheme="minorEastAsia"/>
          <w:b w:val="0"/>
          <w:sz w:val="21"/>
          <w:szCs w:val="21"/>
        </w:rPr>
        <w:t>2</w:t>
      </w:r>
      <w:r>
        <w:rPr>
          <w:rFonts w:hint="eastAsia" w:asciiTheme="minorEastAsia" w:hAnsiTheme="minorEastAsia" w:cstheme="minorEastAsia"/>
          <w:b w:val="0"/>
          <w:sz w:val="21"/>
          <w:szCs w:val="21"/>
        </w:rPr>
        <w:t xml:space="preserve"> 承包人在施工过程中所采用的专利、专有技术、技术秘密的使用费的承担方式：</w:t>
      </w:r>
      <w:r>
        <w:rPr>
          <w:rFonts w:hint="eastAsia" w:asciiTheme="minorEastAsia" w:hAnsiTheme="minorEastAsia" w:cstheme="minorEastAsia"/>
          <w:b w:val="0"/>
          <w:sz w:val="21"/>
          <w:szCs w:val="21"/>
          <w:u w:val="single"/>
        </w:rPr>
        <w:t xml:space="preserve">均已在合同综合单价中考虑，并均已包含在合同总价中 </w:t>
      </w:r>
      <w:r>
        <w:rPr>
          <w:rFonts w:hint="eastAsia" w:asciiTheme="minorEastAsia" w:hAnsiTheme="minorEastAsia" w:cstheme="minorEastAsia"/>
          <w:b w:val="0"/>
          <w:sz w:val="21"/>
          <w:szCs w:val="21"/>
        </w:rPr>
        <w:t>。</w:t>
      </w:r>
    </w:p>
    <w:p w14:paraId="2F3C5C8F">
      <w:pPr>
        <w:pStyle w:val="18"/>
        <w:tabs>
          <w:tab w:val="left" w:pos="7587"/>
        </w:tabs>
        <w:spacing w:line="400" w:lineRule="exact"/>
        <w:rPr>
          <w:rFonts w:asciiTheme="minorEastAsia" w:hAnsiTheme="minorEastAsia" w:cstheme="minorEastAsia"/>
          <w:sz w:val="21"/>
          <w:szCs w:val="21"/>
        </w:rPr>
      </w:pPr>
      <w:r>
        <w:rPr>
          <w:rFonts w:hint="eastAsia" w:asciiTheme="minorEastAsia" w:hAnsiTheme="minorEastAsia" w:cstheme="minorEastAsia"/>
          <w:sz w:val="21"/>
          <w:szCs w:val="21"/>
        </w:rPr>
        <w:t>1.10 工程量清单错误的修正</w:t>
      </w:r>
    </w:p>
    <w:p w14:paraId="643B907A">
      <w:pPr>
        <w:pStyle w:val="24"/>
        <w:spacing w:line="400" w:lineRule="exact"/>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甲、乙双方约定允许对下列工程量清单的错误进行调整：</w:t>
      </w:r>
    </w:p>
    <w:p w14:paraId="78140DD8">
      <w:pPr>
        <w:pStyle w:val="24"/>
        <w:spacing w:line="400" w:lineRule="exact"/>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（1）工程量清单存在缺项、漏项；</w:t>
      </w:r>
    </w:p>
    <w:p w14:paraId="2ACD9C58">
      <w:pPr>
        <w:pStyle w:val="24"/>
        <w:spacing w:line="400" w:lineRule="exact"/>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（2）任一招标工程量清单项目的工程量有偏差；</w:t>
      </w:r>
    </w:p>
    <w:p w14:paraId="749EA9D3">
      <w:pPr>
        <w:pStyle w:val="24"/>
        <w:spacing w:line="400" w:lineRule="exact"/>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（3）未按照国家现行计量规范强制性规定计量。</w:t>
      </w:r>
    </w:p>
    <w:p w14:paraId="7B398A18">
      <w:pPr>
        <w:pStyle w:val="24"/>
        <w:spacing w:line="400" w:lineRule="exact"/>
        <w:rPr>
          <w:rFonts w:asciiTheme="minorEastAsia" w:hAnsiTheme="minorEastAsia" w:eastAsiaTheme="minorEastAsia" w:cstheme="minorEastAsia"/>
          <w:sz w:val="24"/>
          <w:szCs w:val="21"/>
        </w:rPr>
      </w:pPr>
    </w:p>
    <w:p w14:paraId="5BC4C7E3">
      <w:pPr>
        <w:pStyle w:val="24"/>
        <w:spacing w:line="400" w:lineRule="exac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第二条 发包人</w:t>
      </w:r>
    </w:p>
    <w:p w14:paraId="1AD00259">
      <w:pPr>
        <w:pStyle w:val="18"/>
        <w:spacing w:before="120" w:line="400" w:lineRule="exact"/>
        <w:rPr>
          <w:rFonts w:asciiTheme="minorEastAsia" w:hAnsiTheme="minorEastAsia" w:cstheme="minorEastAsia"/>
          <w:sz w:val="21"/>
          <w:szCs w:val="21"/>
        </w:rPr>
      </w:pPr>
      <w:r>
        <w:rPr>
          <w:rFonts w:hint="eastAsia" w:asciiTheme="minorEastAsia" w:hAnsiTheme="minorEastAsia" w:cstheme="minorEastAsia"/>
          <w:sz w:val="21"/>
          <w:szCs w:val="21"/>
        </w:rPr>
        <w:t>2.1 发包人代表</w:t>
      </w:r>
    </w:p>
    <w:p w14:paraId="4EE11396">
      <w:pPr>
        <w:spacing w:line="400" w:lineRule="exact"/>
        <w:rPr>
          <w:rFonts w:asciiTheme="minorEastAsia" w:hAnsiTheme="minorEastAsia" w:cstheme="minorEastAsia"/>
          <w:szCs w:val="21"/>
        </w:rPr>
      </w:pPr>
      <w:r>
        <w:rPr>
          <w:rFonts w:hint="eastAsia" w:asciiTheme="minorEastAsia" w:hAnsiTheme="minorEastAsia" w:cstheme="minorEastAsia"/>
          <w:szCs w:val="21"/>
        </w:rPr>
        <w:t>发包人对发包人代表的授权范围如下：代表发包人履行发包人对工程建设管理的权利和义务，签发（或会签）各项工程联系单，对承包方、监理人有监督、协调的权利。工程价款洽商、索赔事项的处理、合同的变更等事项，由发包人代表在监理人的配合下完成，但最终需经发包人同意。</w:t>
      </w:r>
    </w:p>
    <w:p w14:paraId="368BCBB3">
      <w:pPr>
        <w:pStyle w:val="18"/>
        <w:spacing w:before="120" w:line="400" w:lineRule="exact"/>
        <w:rPr>
          <w:rFonts w:asciiTheme="minorEastAsia" w:hAnsiTheme="minorEastAsia" w:cstheme="minorEastAsia"/>
          <w:sz w:val="21"/>
          <w:szCs w:val="21"/>
        </w:rPr>
      </w:pPr>
      <w:r>
        <w:rPr>
          <w:rFonts w:hint="eastAsia" w:asciiTheme="minorEastAsia" w:hAnsiTheme="minorEastAsia" w:cstheme="minorEastAsia"/>
          <w:sz w:val="21"/>
          <w:szCs w:val="21"/>
        </w:rPr>
        <w:t>2.2 资金来源支付担保</w:t>
      </w:r>
    </w:p>
    <w:p w14:paraId="7AB8607F">
      <w:pPr>
        <w:spacing w:line="400" w:lineRule="exact"/>
        <w:rPr>
          <w:rFonts w:asciiTheme="minorEastAsia" w:hAnsiTheme="minorEastAsia" w:cstheme="minorEastAsia"/>
          <w:szCs w:val="21"/>
        </w:rPr>
      </w:pPr>
      <w:r>
        <w:rPr>
          <w:rFonts w:hint="eastAsia" w:asciiTheme="minorEastAsia" w:hAnsiTheme="minorEastAsia" w:cstheme="minorEastAsia"/>
          <w:szCs w:val="21"/>
        </w:rPr>
        <w:t>按《宁波市房屋建筑和市政基础设施工程担保管理办法（试行）》规定，发包人</w:t>
      </w:r>
      <w:r>
        <w:rPr>
          <w:rFonts w:hint="eastAsia" w:asciiTheme="minorEastAsia" w:hAnsiTheme="minorEastAsia" w:cstheme="minorEastAsia"/>
          <w:kern w:val="0"/>
          <w:szCs w:val="21"/>
          <w:u w:val="single"/>
        </w:rPr>
        <w:t xml:space="preserve"> B </w:t>
      </w:r>
      <w:r>
        <w:rPr>
          <w:rFonts w:hint="eastAsia" w:asciiTheme="minorEastAsia" w:hAnsiTheme="minorEastAsia" w:cstheme="minorEastAsia"/>
          <w:szCs w:val="21"/>
        </w:rPr>
        <w:t>（A、应当；/B、不需）向承包方提供合同款的支付担保。</w:t>
      </w:r>
    </w:p>
    <w:p w14:paraId="7E516D54">
      <w:pPr>
        <w:spacing w:before="120" w:line="400" w:lineRule="exact"/>
        <w:rPr>
          <w:rFonts w:asciiTheme="minorEastAsia" w:hAnsiTheme="minorEastAsia" w:cstheme="minorEastAsia"/>
          <w:b/>
          <w:szCs w:val="21"/>
        </w:rPr>
      </w:pPr>
      <w:r>
        <w:rPr>
          <w:rFonts w:hint="eastAsia" w:asciiTheme="minorEastAsia" w:hAnsiTheme="minorEastAsia" w:cstheme="minorEastAsia"/>
          <w:b/>
          <w:szCs w:val="21"/>
        </w:rPr>
        <w:t>2.</w:t>
      </w:r>
      <w:r>
        <w:rPr>
          <w:rFonts w:asciiTheme="minorEastAsia" w:hAnsiTheme="minorEastAsia" w:cstheme="minorEastAsia"/>
          <w:b/>
          <w:szCs w:val="21"/>
        </w:rPr>
        <w:t>3</w:t>
      </w:r>
      <w:r>
        <w:rPr>
          <w:rFonts w:hint="eastAsia" w:asciiTheme="minorEastAsia" w:hAnsiTheme="minorEastAsia" w:cstheme="minorEastAsia"/>
          <w:b/>
          <w:szCs w:val="21"/>
        </w:rPr>
        <w:t xml:space="preserve"> 施工现场的提供</w:t>
      </w:r>
    </w:p>
    <w:p w14:paraId="4BF4A818">
      <w:pPr>
        <w:spacing w:line="400" w:lineRule="exact"/>
        <w:jc w:val="left"/>
        <w:rPr>
          <w:rFonts w:asciiTheme="minorEastAsia" w:hAnsiTheme="minorEastAsia" w:cstheme="minorEastAsia"/>
          <w:szCs w:val="21"/>
        </w:rPr>
      </w:pPr>
      <w:r>
        <w:rPr>
          <w:rFonts w:hint="eastAsia" w:asciiTheme="minorEastAsia" w:hAnsiTheme="minorEastAsia" w:cstheme="minorEastAsia"/>
          <w:szCs w:val="21"/>
        </w:rPr>
        <w:t>关于发包人移交施工现场的期限要求：发包人在合同签订时已向承包人移交施工现场，合同签订完视同承包人已对现有场地有充分了解，承包人就无条件接受发包人提供的场地现状，其他需满足施工要求的现场条件均由承包人自行解决。</w:t>
      </w:r>
    </w:p>
    <w:p w14:paraId="7D24467A">
      <w:pPr>
        <w:pStyle w:val="24"/>
        <w:spacing w:line="400" w:lineRule="exact"/>
        <w:rPr>
          <w:rFonts w:asciiTheme="minorEastAsia" w:hAnsiTheme="minorEastAsia" w:eastAsiaTheme="minorEastAsia" w:cstheme="minorEastAsia"/>
          <w:sz w:val="24"/>
          <w:szCs w:val="21"/>
        </w:rPr>
      </w:pPr>
    </w:p>
    <w:p w14:paraId="243EEF22">
      <w:pPr>
        <w:pStyle w:val="24"/>
        <w:spacing w:line="400" w:lineRule="exac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第三条 承包方</w:t>
      </w:r>
    </w:p>
    <w:p w14:paraId="1129F98D">
      <w:pPr>
        <w:pStyle w:val="18"/>
        <w:spacing w:before="120" w:line="400" w:lineRule="exact"/>
        <w:rPr>
          <w:rFonts w:asciiTheme="minorEastAsia" w:hAnsiTheme="minorEastAsia" w:cstheme="minorEastAsia"/>
          <w:sz w:val="21"/>
          <w:szCs w:val="21"/>
        </w:rPr>
      </w:pPr>
      <w:r>
        <w:rPr>
          <w:rFonts w:hint="eastAsia" w:asciiTheme="minorEastAsia" w:hAnsiTheme="minorEastAsia" w:cstheme="minorEastAsia"/>
          <w:sz w:val="21"/>
          <w:szCs w:val="21"/>
        </w:rPr>
        <w:t>3.1 承包方的一般义务</w:t>
      </w:r>
    </w:p>
    <w:p w14:paraId="2F99288C">
      <w:pPr>
        <w:autoSpaceDE w:val="0"/>
        <w:autoSpaceDN w:val="0"/>
        <w:adjustRightInd w:val="0"/>
        <w:spacing w:line="400" w:lineRule="exact"/>
        <w:jc w:val="left"/>
        <w:rPr>
          <w:rFonts w:asciiTheme="minorEastAsia" w:hAnsiTheme="minorEastAsia" w:cstheme="minorEastAsia"/>
          <w:szCs w:val="21"/>
        </w:rPr>
      </w:pPr>
      <w:r>
        <w:rPr>
          <w:rFonts w:hint="eastAsia" w:asciiTheme="minorEastAsia" w:hAnsiTheme="minorEastAsia" w:cstheme="minorEastAsia"/>
          <w:szCs w:val="21"/>
        </w:rPr>
        <w:t>（1）办理法律规定应由承包方办理的许可和批准，并将办理结果书面报送发包人留存；</w:t>
      </w:r>
    </w:p>
    <w:p w14:paraId="6F910F77">
      <w:pPr>
        <w:autoSpaceDE w:val="0"/>
        <w:autoSpaceDN w:val="0"/>
        <w:adjustRightInd w:val="0"/>
        <w:spacing w:line="400" w:lineRule="exact"/>
        <w:jc w:val="left"/>
        <w:rPr>
          <w:rFonts w:asciiTheme="minorEastAsia" w:hAnsiTheme="minorEastAsia" w:cstheme="minorEastAsia"/>
          <w:szCs w:val="21"/>
        </w:rPr>
      </w:pPr>
      <w:r>
        <w:rPr>
          <w:rFonts w:hint="eastAsia" w:asciiTheme="minorEastAsia" w:hAnsiTheme="minorEastAsia" w:cstheme="minorEastAsia"/>
          <w:szCs w:val="21"/>
        </w:rPr>
        <w:t>（2）按法律规定和合同约定完成工程，并在保修期内承担保修义务；</w:t>
      </w:r>
    </w:p>
    <w:p w14:paraId="7702686E">
      <w:pPr>
        <w:autoSpaceDE w:val="0"/>
        <w:autoSpaceDN w:val="0"/>
        <w:adjustRightInd w:val="0"/>
        <w:spacing w:line="400" w:lineRule="exact"/>
        <w:jc w:val="left"/>
        <w:rPr>
          <w:rFonts w:asciiTheme="minorEastAsia" w:hAnsiTheme="minorEastAsia" w:cstheme="minorEastAsia"/>
          <w:szCs w:val="21"/>
        </w:rPr>
      </w:pPr>
      <w:r>
        <w:rPr>
          <w:rFonts w:hint="eastAsia" w:asciiTheme="minorEastAsia" w:hAnsiTheme="minorEastAsia" w:cstheme="minorEastAsia"/>
          <w:szCs w:val="21"/>
        </w:rPr>
        <w:t>（3）按法律规定和合同约定采取施工安全和环境保护措施，办理工伤保险，确保工程及人员、材料、设备和设施的安全；</w:t>
      </w:r>
    </w:p>
    <w:p w14:paraId="14E81C40">
      <w:pPr>
        <w:autoSpaceDE w:val="0"/>
        <w:autoSpaceDN w:val="0"/>
        <w:adjustRightInd w:val="0"/>
        <w:spacing w:line="400" w:lineRule="exact"/>
        <w:jc w:val="left"/>
        <w:rPr>
          <w:rFonts w:asciiTheme="minorEastAsia" w:hAnsiTheme="minorEastAsia" w:cstheme="minorEastAsia"/>
          <w:szCs w:val="21"/>
        </w:rPr>
      </w:pPr>
      <w:r>
        <w:rPr>
          <w:rFonts w:hint="eastAsia" w:asciiTheme="minorEastAsia" w:hAnsiTheme="minorEastAsia" w:cstheme="minorEastAsia"/>
          <w:szCs w:val="21"/>
        </w:rPr>
        <w:t>（4）按合同约定的工作内容和施工进度要求，编制施工组织设计和施工措施计划，开工前7天提交施工组织设计，并根据中标工期同时提交详细的施工进度计划，并对所有施工作业和施工方法的完备性和安全可靠性负责；</w:t>
      </w:r>
    </w:p>
    <w:p w14:paraId="67773A5F">
      <w:pPr>
        <w:autoSpaceDE w:val="0"/>
        <w:autoSpaceDN w:val="0"/>
        <w:adjustRightInd w:val="0"/>
        <w:spacing w:line="400" w:lineRule="exact"/>
        <w:jc w:val="left"/>
        <w:rPr>
          <w:rFonts w:asciiTheme="minorEastAsia" w:hAnsiTheme="minorEastAsia" w:cstheme="minorEastAsia"/>
          <w:szCs w:val="21"/>
        </w:rPr>
      </w:pPr>
      <w:r>
        <w:rPr>
          <w:rFonts w:hint="eastAsia" w:asciiTheme="minorEastAsia" w:hAnsiTheme="minorEastAsia" w:cstheme="minorEastAsia"/>
          <w:szCs w:val="21"/>
        </w:rPr>
        <w:t>（5）在进行合同约定的各项工作时，不得侵害发包人与他人使用公用道路、水源、市政管网等公共设施的权利，避免对邻近的公共设施产生干扰。承包方占用或使用他人的施工场地，影响他人作业或生活的，应承担相应责任；</w:t>
      </w:r>
    </w:p>
    <w:p w14:paraId="69F87596">
      <w:pPr>
        <w:autoSpaceDE w:val="0"/>
        <w:autoSpaceDN w:val="0"/>
        <w:adjustRightInd w:val="0"/>
        <w:spacing w:line="400" w:lineRule="exact"/>
        <w:jc w:val="left"/>
        <w:rPr>
          <w:rFonts w:asciiTheme="minorEastAsia" w:hAnsiTheme="minorEastAsia" w:cstheme="minorEastAsia"/>
          <w:szCs w:val="21"/>
        </w:rPr>
      </w:pPr>
      <w:r>
        <w:rPr>
          <w:rFonts w:hint="eastAsia" w:asciiTheme="minorEastAsia" w:hAnsiTheme="minorEastAsia" w:cstheme="minorEastAsia"/>
          <w:szCs w:val="21"/>
        </w:rPr>
        <w:t>（6）按照本合同项下关于环境保护的约定负责施工场地及其周边环境与生态的保护工作；</w:t>
      </w:r>
    </w:p>
    <w:p w14:paraId="1E9E2B57">
      <w:pPr>
        <w:autoSpaceDE w:val="0"/>
        <w:autoSpaceDN w:val="0"/>
        <w:adjustRightInd w:val="0"/>
        <w:spacing w:line="400" w:lineRule="exact"/>
        <w:jc w:val="left"/>
        <w:rPr>
          <w:rFonts w:asciiTheme="minorEastAsia" w:hAnsiTheme="minorEastAsia" w:cstheme="minorEastAsia"/>
          <w:szCs w:val="21"/>
        </w:rPr>
      </w:pPr>
      <w:r>
        <w:rPr>
          <w:rFonts w:hint="eastAsia" w:asciiTheme="minorEastAsia" w:hAnsiTheme="minorEastAsia" w:cstheme="minorEastAsia"/>
          <w:szCs w:val="21"/>
        </w:rPr>
        <w:t>（7）按本合同项下关于安全文明施工的约定采取施工安全措施，确保工程及其人员、材料、设备和设施的安全，若发生因工程施工造成的人身伤害和财产损失，承包方应承担赔偿责任；</w:t>
      </w:r>
    </w:p>
    <w:p w14:paraId="43388F40">
      <w:pPr>
        <w:autoSpaceDE w:val="0"/>
        <w:autoSpaceDN w:val="0"/>
        <w:adjustRightInd w:val="0"/>
        <w:spacing w:line="400" w:lineRule="exact"/>
        <w:jc w:val="left"/>
        <w:rPr>
          <w:rFonts w:asciiTheme="minorEastAsia" w:hAnsiTheme="minorEastAsia" w:cstheme="minorEastAsia"/>
          <w:szCs w:val="21"/>
        </w:rPr>
      </w:pPr>
      <w:r>
        <w:rPr>
          <w:rFonts w:hint="eastAsia" w:asciiTheme="minorEastAsia" w:hAnsiTheme="minorEastAsia" w:cstheme="minorEastAsia"/>
          <w:szCs w:val="21"/>
        </w:rPr>
        <w:t>（8）将发包人按合同约定支付的各项价款专用于合同工程，且应及时支付其雇用人员工资；</w:t>
      </w:r>
    </w:p>
    <w:p w14:paraId="3898FD21">
      <w:pPr>
        <w:spacing w:line="400" w:lineRule="exact"/>
        <w:rPr>
          <w:rFonts w:asciiTheme="minorEastAsia" w:hAnsiTheme="minorEastAsia" w:cstheme="minorEastAsia"/>
          <w:szCs w:val="21"/>
        </w:rPr>
      </w:pPr>
      <w:r>
        <w:rPr>
          <w:rFonts w:hint="eastAsia" w:asciiTheme="minorEastAsia" w:hAnsiTheme="minorEastAsia" w:cstheme="minorEastAsia"/>
          <w:kern w:val="0"/>
          <w:szCs w:val="21"/>
        </w:rPr>
        <w:t>（9）</w:t>
      </w:r>
      <w:r>
        <w:rPr>
          <w:rFonts w:hint="eastAsia" w:asciiTheme="minorEastAsia" w:hAnsiTheme="minorEastAsia" w:cstheme="minorEastAsia"/>
          <w:szCs w:val="21"/>
        </w:rPr>
        <w:t>工程完工后，具备初步验收条件10天内，提供完整的竣工资料2套，竣工图纸2套，初步竣工结算报告及相关的结算资料2套，以及上述资料的电子文档或影印资料1份。工程综合验收后，承包方根据初步验收情况，须向发包人递交初步竣工结算资料的补充材料及完整的结算资料二套。由此产生的费用由承包方承担；</w:t>
      </w:r>
    </w:p>
    <w:p w14:paraId="2CB6D1BB">
      <w:pPr>
        <w:spacing w:line="400" w:lineRule="exact"/>
        <w:rPr>
          <w:rFonts w:asciiTheme="minorEastAsia" w:hAnsiTheme="minorEastAsia" w:cstheme="minorEastAsia"/>
          <w:szCs w:val="21"/>
        </w:rPr>
      </w:pPr>
      <w:r>
        <w:rPr>
          <w:rFonts w:hint="eastAsia" w:asciiTheme="minorEastAsia" w:hAnsiTheme="minorEastAsia" w:cstheme="minorEastAsia"/>
          <w:szCs w:val="21"/>
        </w:rPr>
        <w:t>（10）施工用水、电按中标合同价格的1‰计取，费用承包方承担，粉刷项目和1</w:t>
      </w:r>
      <w:r>
        <w:rPr>
          <w:rFonts w:asciiTheme="minorEastAsia" w:hAnsiTheme="minorEastAsia" w:cstheme="minorEastAsia"/>
          <w:szCs w:val="21"/>
        </w:rPr>
        <w:t>0</w:t>
      </w:r>
      <w:r>
        <w:rPr>
          <w:rFonts w:hint="eastAsia" w:asciiTheme="minorEastAsia" w:hAnsiTheme="minorEastAsia" w:cstheme="minorEastAsia"/>
          <w:szCs w:val="21"/>
        </w:rPr>
        <w:t>万以下的小额工程除外；电讯设施由承包方自行解决，承包方负责保管发包人移交的水电线路及设备，费用由承包方承担；承包方负责将水电线路接至施工时所需的地点，相关费用由承包方承担。</w:t>
      </w:r>
    </w:p>
    <w:p w14:paraId="6231540D">
      <w:pPr>
        <w:spacing w:line="440" w:lineRule="exact"/>
        <w:rPr>
          <w:rFonts w:asciiTheme="minorEastAsia" w:hAnsiTheme="minorEastAsia" w:cstheme="minorEastAsia"/>
        </w:rPr>
      </w:pPr>
      <w:r>
        <w:rPr>
          <w:rFonts w:hint="eastAsia" w:asciiTheme="minorEastAsia" w:hAnsiTheme="minorEastAsia" w:cstheme="minorEastAsia"/>
          <w:szCs w:val="21"/>
        </w:rPr>
        <w:t>（11）</w:t>
      </w:r>
      <w:r>
        <w:rPr>
          <w:rFonts w:hint="eastAsia" w:asciiTheme="minorEastAsia" w:hAnsiTheme="minorEastAsia" w:cstheme="minorEastAsia"/>
        </w:rPr>
        <w:t>承包方采购材料设备的约定：</w:t>
      </w:r>
    </w:p>
    <w:p w14:paraId="5940106E">
      <w:pPr>
        <w:spacing w:line="400" w:lineRule="exact"/>
        <w:rPr>
          <w:rFonts w:asciiTheme="minorEastAsia" w:hAnsiTheme="minorEastAsia" w:cstheme="minorEastAsia"/>
          <w:szCs w:val="21"/>
        </w:rPr>
      </w:pPr>
      <w:r>
        <w:rPr>
          <w:rFonts w:hint="eastAsia" w:asciiTheme="minorEastAsia" w:hAnsiTheme="minorEastAsia" w:cstheme="minorEastAsia"/>
          <w:szCs w:val="21"/>
        </w:rPr>
        <w:t>材料设备采购应根据磋商文件、设计文件和国家有关规定的具体要求进行采购，所有材料应选用具有一定生产规模和市场信誉好的制造商的产品，产品需经发包人和发包人委托的监理单位确认后方可采购，否则，因此引起的一切后果都由承包方自行承担；所有材料均应有合格证和质保书、国家规定的认证证书、报告、符合国家规定的技术标准和本工程质量要求，发包人和委托的监理单位均有权委托具有相应资质的检测机构进行检测，但该检测仅为初步质量检验，并不免除承包方的产品质量保证责任；当承包方选定的材料质量达不到预期质量目标要求时，发包人有权要求承包方立即进行更换返工，更换返工的费用由承包方承担；若使用不合格材料或不符合本工程质量要求的材料施工，一经发现，发包人或监理有权制止使用并要求承包方无偿负责更换，甚至停工、返工或解除合同，并要求承包方赔偿损失。无论发包人和发包人委托的监理单位是否发现和制止，由于使用不合格材料或不符合工程质量目标要求的材料施工后所引起的一切责任均由承包方自负。</w:t>
      </w:r>
    </w:p>
    <w:p w14:paraId="6155A658">
      <w:pPr>
        <w:pStyle w:val="18"/>
        <w:spacing w:before="120" w:line="400" w:lineRule="exact"/>
        <w:rPr>
          <w:rFonts w:asciiTheme="minorEastAsia" w:hAnsiTheme="minorEastAsia" w:cstheme="minorEastAsia"/>
          <w:sz w:val="21"/>
          <w:szCs w:val="21"/>
        </w:rPr>
      </w:pPr>
      <w:r>
        <w:rPr>
          <w:rFonts w:hint="eastAsia" w:asciiTheme="minorEastAsia" w:hAnsiTheme="minorEastAsia" w:cstheme="minorEastAsia"/>
          <w:sz w:val="21"/>
          <w:szCs w:val="21"/>
        </w:rPr>
        <w:t>3.2 项目经理</w:t>
      </w:r>
    </w:p>
    <w:p w14:paraId="3C90316B">
      <w:pPr>
        <w:pStyle w:val="7"/>
        <w:spacing w:line="400" w:lineRule="exact"/>
        <w:ind w:firstLine="0" w:firstLineChars="0"/>
        <w:rPr>
          <w:rFonts w:asciiTheme="minorEastAsia" w:hAnsiTheme="minorEastAsia" w:cstheme="minorEastAsia"/>
        </w:rPr>
      </w:pPr>
      <w:r>
        <w:rPr>
          <w:rFonts w:hint="eastAsia" w:asciiTheme="minorEastAsia" w:hAnsiTheme="minorEastAsia" w:cstheme="minorEastAsia"/>
        </w:rPr>
        <w:t>3.2.1承包方委派的项目经理及其执业行为应遵守通用条款约定，违反约定的，发包人将要求承包方承担相应的违约责任。</w:t>
      </w:r>
    </w:p>
    <w:p w14:paraId="6CDAA820">
      <w:pPr>
        <w:spacing w:line="400" w:lineRule="exact"/>
        <w:rPr>
          <w:rFonts w:asciiTheme="minorEastAsia" w:hAnsiTheme="minorEastAsia" w:cstheme="minorEastAsia"/>
          <w:kern w:val="0"/>
          <w:szCs w:val="21"/>
        </w:rPr>
      </w:pPr>
      <w:r>
        <w:rPr>
          <w:rFonts w:hint="eastAsia" w:asciiTheme="minorEastAsia" w:hAnsiTheme="minorEastAsia" w:cstheme="minorEastAsia"/>
          <w:szCs w:val="21"/>
        </w:rPr>
        <w:t>3.2.2承包方项目经理必须与承包方投标时所承诺的人员一致，并在根据本合同约定的开工日期前到任。项目经理不得违反本市建设行政主管部门对项目经理的管理规定。未经发包人书面许可，承包方不得更换项目经理。承包方项目经理以及项目管理机构关键岗位人员的姓名、职称、身份证号、执业资格证书号、注册证书号、执业印章号、安全生产考核合格证书号等资料应当在合同中作为附件载明。</w:t>
      </w:r>
    </w:p>
    <w:p w14:paraId="0FD3F717">
      <w:pPr>
        <w:spacing w:line="400" w:lineRule="exact"/>
        <w:rPr>
          <w:rFonts w:asciiTheme="minorEastAsia" w:hAnsiTheme="minorEastAsia" w:cstheme="minorEastAsia"/>
          <w:kern w:val="0"/>
          <w:szCs w:val="21"/>
        </w:rPr>
      </w:pPr>
      <w:r>
        <w:rPr>
          <w:rFonts w:hint="eastAsia" w:asciiTheme="minorEastAsia" w:hAnsiTheme="minorEastAsia" w:cstheme="minorEastAsia"/>
          <w:szCs w:val="21"/>
        </w:rPr>
        <w:t>3.2.3</w:t>
      </w:r>
      <w:r>
        <w:rPr>
          <w:rFonts w:hint="eastAsia" w:asciiTheme="minorEastAsia" w:hAnsiTheme="minorEastAsia" w:cstheme="minorEastAsia"/>
          <w:kern w:val="0"/>
          <w:szCs w:val="21"/>
        </w:rPr>
        <w:t>承包方对项目经理的授权如下：在承包方授权范围内履行承包方的职权，对工程建设的质量、安全、工期以及工程造价控制负责，所有上报给发包人的文件均需项目经理签字。</w:t>
      </w:r>
    </w:p>
    <w:p w14:paraId="69A4BCEF">
      <w:pPr>
        <w:spacing w:line="400" w:lineRule="exact"/>
        <w:rPr>
          <w:rFonts w:asciiTheme="minorEastAsia" w:hAnsiTheme="minorEastAsia" w:cstheme="minorEastAsia"/>
          <w:kern w:val="0"/>
          <w:szCs w:val="21"/>
        </w:rPr>
      </w:pPr>
      <w:r>
        <w:rPr>
          <w:rFonts w:hint="eastAsia" w:asciiTheme="minorEastAsia" w:hAnsiTheme="minorEastAsia" w:cstheme="minorEastAsia"/>
          <w:szCs w:val="21"/>
        </w:rPr>
        <w:t xml:space="preserve">3.2.4 </w:t>
      </w:r>
      <w:r>
        <w:rPr>
          <w:rFonts w:hint="eastAsia" w:asciiTheme="minorEastAsia" w:hAnsiTheme="minorEastAsia" w:cstheme="minorEastAsia"/>
          <w:kern w:val="0"/>
          <w:szCs w:val="21"/>
        </w:rPr>
        <w:t>承包方未提交项目经理及其施工人员的劳动合同与社会保险缴纳证明的违约责任：考虑到工程施工类安全保障的重要性，承包方应当向发包人提交项目经理及其施工人员的劳动合同与社会保险缴纳证明。否则造成的一切损失均由承包方承担。</w:t>
      </w:r>
    </w:p>
    <w:p w14:paraId="1362B906">
      <w:pPr>
        <w:spacing w:line="400" w:lineRule="exact"/>
        <w:rPr>
          <w:rFonts w:asciiTheme="minorEastAsia" w:hAnsiTheme="minorEastAsia" w:cstheme="minorEastAsia"/>
          <w:kern w:val="0"/>
          <w:szCs w:val="21"/>
        </w:rPr>
      </w:pPr>
      <w:r>
        <w:rPr>
          <w:rFonts w:hint="eastAsia" w:asciiTheme="minorEastAsia" w:hAnsiTheme="minorEastAsia" w:cstheme="minorEastAsia"/>
          <w:szCs w:val="21"/>
        </w:rPr>
        <w:t xml:space="preserve">3.2.5 </w:t>
      </w:r>
      <w:r>
        <w:rPr>
          <w:rFonts w:hint="eastAsia" w:asciiTheme="minorEastAsia" w:hAnsiTheme="minorEastAsia" w:cstheme="minorEastAsia"/>
          <w:kern w:val="0"/>
          <w:szCs w:val="21"/>
        </w:rPr>
        <w:t>关于项目经理每月在施工现场的时间要求：每月在施工现场时间不得少于</w:t>
      </w:r>
      <w:r>
        <w:rPr>
          <w:rFonts w:hint="eastAsia" w:asciiTheme="minorEastAsia" w:hAnsiTheme="minorEastAsia" w:cstheme="minorEastAsia"/>
          <w:kern w:val="0"/>
          <w:szCs w:val="21"/>
          <w:u w:val="single"/>
        </w:rPr>
        <w:t xml:space="preserve"> B </w:t>
      </w:r>
      <w:r>
        <w:rPr>
          <w:rFonts w:hint="eastAsia" w:asciiTheme="minorEastAsia" w:hAnsiTheme="minorEastAsia" w:cstheme="minorEastAsia"/>
          <w:kern w:val="0"/>
          <w:szCs w:val="21"/>
        </w:rPr>
        <w:t>（A、15；/B、25）天，每天工作时间不得少于</w:t>
      </w:r>
      <w:r>
        <w:rPr>
          <w:rFonts w:hint="eastAsia" w:asciiTheme="minorEastAsia" w:hAnsiTheme="minorEastAsia" w:cstheme="minorEastAsia"/>
          <w:kern w:val="0"/>
          <w:szCs w:val="21"/>
          <w:u w:val="single"/>
        </w:rPr>
        <w:t xml:space="preserve"> B </w:t>
      </w:r>
      <w:r>
        <w:rPr>
          <w:rFonts w:hint="eastAsia" w:asciiTheme="minorEastAsia" w:hAnsiTheme="minorEastAsia" w:cstheme="minorEastAsia"/>
          <w:kern w:val="0"/>
          <w:szCs w:val="21"/>
        </w:rPr>
        <w:t>（A、5；/B、8）小时，且重要工程例会及验收环节等必须由项目经理参加。</w:t>
      </w:r>
    </w:p>
    <w:p w14:paraId="0C22958D">
      <w:pPr>
        <w:spacing w:line="400" w:lineRule="exact"/>
        <w:rPr>
          <w:rFonts w:asciiTheme="minorEastAsia" w:hAnsiTheme="minorEastAsia" w:cstheme="minorEastAsia"/>
          <w:kern w:val="0"/>
          <w:szCs w:val="21"/>
        </w:rPr>
      </w:pPr>
      <w:r>
        <w:rPr>
          <w:rFonts w:hint="eastAsia" w:asciiTheme="minorEastAsia" w:hAnsiTheme="minorEastAsia" w:cstheme="minorEastAsia"/>
          <w:szCs w:val="21"/>
        </w:rPr>
        <w:t xml:space="preserve">3.2.6 </w:t>
      </w:r>
      <w:r>
        <w:rPr>
          <w:rFonts w:hint="eastAsia" w:asciiTheme="minorEastAsia" w:hAnsiTheme="minorEastAsia" w:cstheme="minorEastAsia"/>
          <w:kern w:val="0"/>
          <w:szCs w:val="21"/>
        </w:rPr>
        <w:t>项目经理未经批准，擅自离开施工现场的违约责任：处违约金</w:t>
      </w:r>
      <w:r>
        <w:rPr>
          <w:rFonts w:hint="eastAsia" w:asciiTheme="minorEastAsia" w:hAnsiTheme="minorEastAsia" w:cstheme="minorEastAsia"/>
          <w:kern w:val="0"/>
          <w:szCs w:val="21"/>
          <w:u w:val="single"/>
        </w:rPr>
        <w:t xml:space="preserve"> C </w:t>
      </w:r>
      <w:r>
        <w:rPr>
          <w:rFonts w:hint="eastAsia" w:asciiTheme="minorEastAsia" w:hAnsiTheme="minorEastAsia" w:cstheme="minorEastAsia"/>
          <w:kern w:val="0"/>
          <w:szCs w:val="21"/>
        </w:rPr>
        <w:t>（A、500；/ B、1000； /C、2000）元/次，违约金从合同款中扣除，</w:t>
      </w:r>
      <w:r>
        <w:rPr>
          <w:rFonts w:hint="eastAsia" w:asciiTheme="minorEastAsia" w:hAnsiTheme="minorEastAsia" w:cstheme="minorEastAsia"/>
        </w:rPr>
        <w:t>违约金限额为工程质量保证金金额的30%</w:t>
      </w:r>
      <w:r>
        <w:rPr>
          <w:rFonts w:hint="eastAsia" w:asciiTheme="minorEastAsia" w:hAnsiTheme="minorEastAsia" w:cstheme="minorEastAsia"/>
          <w:kern w:val="0"/>
          <w:szCs w:val="21"/>
        </w:rPr>
        <w:t>，该项限额不足时，</w:t>
      </w:r>
      <w:r>
        <w:rPr>
          <w:rFonts w:hint="eastAsia" w:ascii="宋体" w:hAnsi="宋体" w:cs="宋体"/>
          <w:szCs w:val="21"/>
        </w:rPr>
        <w:t>发包人有权向承包人合同金额中追偿</w:t>
      </w:r>
      <w:r>
        <w:rPr>
          <w:rFonts w:hint="eastAsia" w:asciiTheme="minorEastAsia" w:hAnsiTheme="minorEastAsia" w:cstheme="minorEastAsia"/>
          <w:kern w:val="0"/>
          <w:szCs w:val="21"/>
        </w:rPr>
        <w:t>。发包人对项目经理擅自离开施工现场的违约处理，应根据监理人对项目经理的考勤结果进行。</w:t>
      </w:r>
    </w:p>
    <w:p w14:paraId="4ECA0B54">
      <w:pPr>
        <w:spacing w:line="400" w:lineRule="exact"/>
        <w:rPr>
          <w:rFonts w:asciiTheme="minorEastAsia" w:hAnsiTheme="minorEastAsia" w:cstheme="minorEastAsia"/>
          <w:kern w:val="0"/>
          <w:szCs w:val="21"/>
        </w:rPr>
      </w:pPr>
      <w:r>
        <w:rPr>
          <w:rFonts w:hint="eastAsia" w:asciiTheme="minorEastAsia" w:hAnsiTheme="minorEastAsia" w:cstheme="minorEastAsia"/>
          <w:szCs w:val="21"/>
        </w:rPr>
        <w:t xml:space="preserve">3.2.7 </w:t>
      </w:r>
      <w:r>
        <w:rPr>
          <w:rFonts w:hint="eastAsia" w:asciiTheme="minorEastAsia" w:hAnsiTheme="minorEastAsia" w:cstheme="minorEastAsia"/>
          <w:kern w:val="0"/>
          <w:szCs w:val="21"/>
        </w:rPr>
        <w:t>承包方擅自更换项目经理的违约责任：处违约金</w:t>
      </w:r>
      <w:r>
        <w:rPr>
          <w:rFonts w:hint="eastAsia" w:asciiTheme="minorEastAsia" w:hAnsiTheme="minorEastAsia" w:cstheme="minorEastAsia"/>
          <w:kern w:val="0"/>
          <w:szCs w:val="21"/>
          <w:u w:val="single"/>
        </w:rPr>
        <w:t xml:space="preserve"> A </w:t>
      </w:r>
      <w:r>
        <w:rPr>
          <w:rFonts w:hint="eastAsia" w:asciiTheme="minorEastAsia" w:hAnsiTheme="minorEastAsia" w:cstheme="minorEastAsia"/>
          <w:kern w:val="0"/>
          <w:szCs w:val="21"/>
        </w:rPr>
        <w:t>(A、20000；/B、50000)元/次，违约金从合同款中扣除，</w:t>
      </w:r>
      <w:r>
        <w:rPr>
          <w:rFonts w:hint="eastAsia" w:asciiTheme="minorEastAsia" w:hAnsiTheme="minorEastAsia" w:cstheme="minorEastAsia"/>
        </w:rPr>
        <w:t>违约金限额为工程质量保证金金额的30%</w:t>
      </w:r>
      <w:r>
        <w:rPr>
          <w:rFonts w:hint="eastAsia" w:asciiTheme="minorEastAsia" w:hAnsiTheme="minorEastAsia" w:cstheme="minorEastAsia"/>
          <w:kern w:val="0"/>
          <w:szCs w:val="21"/>
        </w:rPr>
        <w:t>，该项限额不足时，</w:t>
      </w:r>
      <w:r>
        <w:rPr>
          <w:rFonts w:hint="eastAsia" w:ascii="宋体" w:hAnsi="宋体" w:cs="宋体"/>
          <w:szCs w:val="21"/>
          <w:u w:val="single"/>
        </w:rPr>
        <w:t>发包人有权向承包方合同金额中追偿</w:t>
      </w:r>
      <w:r>
        <w:rPr>
          <w:rFonts w:hint="eastAsia" w:asciiTheme="minorEastAsia" w:hAnsiTheme="minorEastAsia" w:cstheme="minorEastAsia"/>
          <w:kern w:val="0"/>
          <w:szCs w:val="21"/>
        </w:rPr>
        <w:t>，且有权拒绝接受其擅自更换的项目经理。</w:t>
      </w:r>
    </w:p>
    <w:p w14:paraId="77BCCA40">
      <w:pPr>
        <w:spacing w:line="400" w:lineRule="exact"/>
        <w:rPr>
          <w:rFonts w:asciiTheme="minorEastAsia" w:hAnsiTheme="minorEastAsia" w:cstheme="minorEastAsia"/>
          <w:kern w:val="0"/>
          <w:szCs w:val="21"/>
        </w:rPr>
      </w:pPr>
      <w:r>
        <w:rPr>
          <w:rFonts w:hint="eastAsia" w:asciiTheme="minorEastAsia" w:hAnsiTheme="minorEastAsia" w:cstheme="minorEastAsia"/>
          <w:szCs w:val="21"/>
        </w:rPr>
        <w:t xml:space="preserve">3.2.8 </w:t>
      </w:r>
      <w:r>
        <w:rPr>
          <w:rFonts w:hint="eastAsia" w:asciiTheme="minorEastAsia" w:hAnsiTheme="minorEastAsia" w:cstheme="minorEastAsia"/>
          <w:kern w:val="0"/>
          <w:szCs w:val="21"/>
        </w:rPr>
        <w:t>承包方无正当理由拒绝更换项目经理的违约责任：发包人认为项目经理无法履行职责，应提供相关证明材料，并签发《整改通知书》，承包方在收到《整改通知书》3日内后仍无改善的，发包人有权要求承包方更换项目经理。承包方无正当理由拒绝更换的，发包人可以一次性扣除承包方</w:t>
      </w:r>
      <w:r>
        <w:rPr>
          <w:rFonts w:hint="eastAsia" w:asciiTheme="minorEastAsia" w:hAnsiTheme="minorEastAsia" w:cstheme="minorEastAsia"/>
        </w:rPr>
        <w:t>工程质量保证金金额的30%</w:t>
      </w:r>
      <w:r>
        <w:rPr>
          <w:rFonts w:hint="eastAsia" w:asciiTheme="minorEastAsia" w:hAnsiTheme="minorEastAsia" w:cstheme="minorEastAsia"/>
          <w:kern w:val="0"/>
          <w:szCs w:val="21"/>
        </w:rPr>
        <w:t>，款项在合同款中扣除，由此造成的一切损失由承包方承担。</w:t>
      </w:r>
    </w:p>
    <w:p w14:paraId="403F6917">
      <w:pPr>
        <w:pStyle w:val="18"/>
        <w:spacing w:before="120" w:line="400" w:lineRule="exact"/>
        <w:rPr>
          <w:rFonts w:asciiTheme="minorEastAsia" w:hAnsiTheme="minorEastAsia" w:cstheme="minorEastAsia"/>
          <w:sz w:val="21"/>
          <w:szCs w:val="21"/>
        </w:rPr>
      </w:pPr>
      <w:r>
        <w:rPr>
          <w:rFonts w:hint="eastAsia" w:asciiTheme="minorEastAsia" w:hAnsiTheme="minorEastAsia" w:cstheme="minorEastAsia"/>
          <w:sz w:val="21"/>
          <w:szCs w:val="21"/>
        </w:rPr>
        <w:t>3.3 承包方人员</w:t>
      </w:r>
    </w:p>
    <w:p w14:paraId="4C0AFB42">
      <w:pPr>
        <w:spacing w:line="400" w:lineRule="exact"/>
        <w:rPr>
          <w:rFonts w:asciiTheme="minorEastAsia" w:hAnsiTheme="minorEastAsia" w:cstheme="minorEastAsia"/>
          <w:kern w:val="0"/>
          <w:szCs w:val="21"/>
        </w:rPr>
      </w:pPr>
      <w:r>
        <w:rPr>
          <w:rFonts w:hint="eastAsia" w:asciiTheme="minorEastAsia" w:hAnsiTheme="minorEastAsia" w:cstheme="minorEastAsia"/>
          <w:szCs w:val="21"/>
        </w:rPr>
        <w:t xml:space="preserve">3.3.1 </w:t>
      </w:r>
      <w:r>
        <w:rPr>
          <w:rFonts w:hint="eastAsia" w:asciiTheme="minorEastAsia" w:hAnsiTheme="minorEastAsia" w:cstheme="minorEastAsia"/>
          <w:kern w:val="0"/>
          <w:szCs w:val="21"/>
        </w:rPr>
        <w:t>承包方应接到开工通知后7天内提交与</w:t>
      </w:r>
      <w:r>
        <w:rPr>
          <w:rFonts w:hint="eastAsia" w:asciiTheme="minorEastAsia" w:hAnsiTheme="minorEastAsia" w:cstheme="minorEastAsia"/>
          <w:szCs w:val="21"/>
        </w:rPr>
        <w:t>投标时所承诺的人员一致的</w:t>
      </w:r>
      <w:r>
        <w:rPr>
          <w:rFonts w:hint="eastAsia" w:asciiTheme="minorEastAsia" w:hAnsiTheme="minorEastAsia" w:cstheme="minorEastAsia"/>
          <w:kern w:val="0"/>
          <w:szCs w:val="21"/>
        </w:rPr>
        <w:t>项目管理机构及施工现场管理人员安排报告。</w:t>
      </w:r>
    </w:p>
    <w:p w14:paraId="5207BC32">
      <w:pPr>
        <w:spacing w:line="400" w:lineRule="exact"/>
        <w:rPr>
          <w:rFonts w:asciiTheme="minorEastAsia" w:hAnsiTheme="minorEastAsia" w:cstheme="minorEastAsia"/>
          <w:kern w:val="0"/>
          <w:szCs w:val="21"/>
        </w:rPr>
      </w:pPr>
      <w:r>
        <w:rPr>
          <w:rFonts w:hint="eastAsia" w:asciiTheme="minorEastAsia" w:hAnsiTheme="minorEastAsia" w:cstheme="minorEastAsia"/>
          <w:szCs w:val="21"/>
        </w:rPr>
        <w:t xml:space="preserve">3.3.2 </w:t>
      </w:r>
      <w:r>
        <w:rPr>
          <w:rFonts w:hint="eastAsia" w:asciiTheme="minorEastAsia" w:hAnsiTheme="minorEastAsia" w:cstheme="minorEastAsia"/>
          <w:kern w:val="0"/>
          <w:szCs w:val="21"/>
        </w:rPr>
        <w:t>承包方无正当理由拒绝撤换主要施工管理人员的违约责任：发包人认为主要施工管理人员（指技术负责人、安全员、施工员、质量员）无法履行职责的，应提供相关证明材料，并签发《整改通知书》。承包方在收到《整改通知书》后仍无改善的，发包人有权要求承包方更换管理人员。承包方无正当理由拒绝更换的，发包人可以一次性扣除工程质量保证金</w:t>
      </w:r>
      <w:r>
        <w:rPr>
          <w:rFonts w:hint="eastAsia" w:asciiTheme="minorEastAsia" w:hAnsiTheme="minorEastAsia" w:cstheme="minorEastAsia"/>
        </w:rPr>
        <w:t>金额的30%</w:t>
      </w:r>
      <w:r>
        <w:rPr>
          <w:rFonts w:hint="eastAsia" w:asciiTheme="minorEastAsia" w:hAnsiTheme="minorEastAsia" w:cstheme="minorEastAsia"/>
          <w:kern w:val="0"/>
          <w:szCs w:val="21"/>
        </w:rPr>
        <w:t>。</w:t>
      </w:r>
    </w:p>
    <w:p w14:paraId="58F23A7B">
      <w:pPr>
        <w:spacing w:line="400" w:lineRule="exact"/>
        <w:rPr>
          <w:rFonts w:asciiTheme="minorEastAsia" w:hAnsiTheme="minorEastAsia" w:cstheme="minorEastAsia"/>
          <w:kern w:val="0"/>
          <w:szCs w:val="21"/>
        </w:rPr>
      </w:pPr>
      <w:r>
        <w:rPr>
          <w:rFonts w:hint="eastAsia" w:asciiTheme="minorEastAsia" w:hAnsiTheme="minorEastAsia" w:cstheme="minorEastAsia"/>
          <w:szCs w:val="21"/>
        </w:rPr>
        <w:t xml:space="preserve">3.3.3 </w:t>
      </w:r>
      <w:r>
        <w:rPr>
          <w:rFonts w:hint="eastAsia" w:asciiTheme="minorEastAsia" w:hAnsiTheme="minorEastAsia" w:cstheme="minorEastAsia"/>
          <w:kern w:val="0"/>
          <w:szCs w:val="21"/>
        </w:rPr>
        <w:t>承包方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76972E8E">
      <w:pPr>
        <w:spacing w:line="400" w:lineRule="exact"/>
        <w:rPr>
          <w:rFonts w:asciiTheme="minorEastAsia" w:hAnsiTheme="minorEastAsia" w:cstheme="minorEastAsia"/>
          <w:kern w:val="0"/>
          <w:szCs w:val="21"/>
        </w:rPr>
      </w:pPr>
      <w:r>
        <w:rPr>
          <w:rFonts w:hint="eastAsia" w:asciiTheme="minorEastAsia" w:hAnsiTheme="minorEastAsia" w:cstheme="minorEastAsia"/>
          <w:szCs w:val="21"/>
        </w:rPr>
        <w:t>3.3.4</w:t>
      </w:r>
      <w:r>
        <w:rPr>
          <w:rFonts w:hint="eastAsia" w:asciiTheme="minorEastAsia" w:hAnsiTheme="minorEastAsia" w:cstheme="minorEastAsia"/>
          <w:kern w:val="0"/>
          <w:szCs w:val="21"/>
        </w:rPr>
        <w:t xml:space="preserve"> 承包方擅自更换主要施工管理人员的违约责任：处违约金5000元/人/次，违约金从合同款中扣除，</w:t>
      </w:r>
      <w:r>
        <w:rPr>
          <w:rFonts w:hint="eastAsia" w:asciiTheme="minorEastAsia" w:hAnsiTheme="minorEastAsia" w:cstheme="minorEastAsia"/>
        </w:rPr>
        <w:t>违约金限额为工程质量保证金金额的30%</w:t>
      </w:r>
      <w:r>
        <w:rPr>
          <w:rFonts w:hint="eastAsia" w:asciiTheme="minorEastAsia" w:hAnsiTheme="minorEastAsia" w:cstheme="minorEastAsia"/>
          <w:kern w:val="0"/>
          <w:szCs w:val="21"/>
        </w:rPr>
        <w:t>，该项限额不足时，</w:t>
      </w:r>
      <w:r>
        <w:rPr>
          <w:rFonts w:hint="eastAsia" w:ascii="宋体" w:hAnsi="宋体" w:cs="宋体"/>
          <w:szCs w:val="21"/>
        </w:rPr>
        <w:t>发包人有权向承包方合同金额中追偿</w:t>
      </w:r>
      <w:r>
        <w:rPr>
          <w:rFonts w:hint="eastAsia" w:asciiTheme="minorEastAsia" w:hAnsiTheme="minorEastAsia" w:cstheme="minorEastAsia"/>
          <w:kern w:val="0"/>
          <w:szCs w:val="21"/>
        </w:rPr>
        <w:t>，且有权拒绝接受其擅自更换的主要施工管理人员。</w:t>
      </w:r>
    </w:p>
    <w:p w14:paraId="53A70E19">
      <w:pPr>
        <w:spacing w:line="400" w:lineRule="exact"/>
        <w:rPr>
          <w:rFonts w:asciiTheme="minorEastAsia" w:hAnsiTheme="minorEastAsia" w:cstheme="minorEastAsia"/>
          <w:kern w:val="0"/>
          <w:szCs w:val="21"/>
        </w:rPr>
      </w:pPr>
      <w:r>
        <w:rPr>
          <w:rFonts w:hint="eastAsia" w:asciiTheme="minorEastAsia" w:hAnsiTheme="minorEastAsia" w:cstheme="minorEastAsia"/>
          <w:szCs w:val="21"/>
        </w:rPr>
        <w:t xml:space="preserve">3.3.5 </w:t>
      </w:r>
      <w:r>
        <w:rPr>
          <w:rFonts w:hint="eastAsia" w:asciiTheme="minorEastAsia" w:hAnsiTheme="minorEastAsia" w:cstheme="minorEastAsia"/>
          <w:kern w:val="0"/>
          <w:szCs w:val="21"/>
        </w:rPr>
        <w:t>承包方主要施工管理人员擅自离开施工现场的违约责任：处违约金2000元/人/次，违约金从工程质量保证金中扣除，</w:t>
      </w:r>
      <w:r>
        <w:rPr>
          <w:rFonts w:hint="eastAsia" w:asciiTheme="minorEastAsia" w:hAnsiTheme="minorEastAsia" w:cstheme="minorEastAsia"/>
        </w:rPr>
        <w:t>违约金限额为工程质量保证金金额的30%</w:t>
      </w:r>
      <w:r>
        <w:rPr>
          <w:rFonts w:hint="eastAsia" w:asciiTheme="minorEastAsia" w:hAnsiTheme="minorEastAsia" w:cstheme="minorEastAsia"/>
          <w:kern w:val="0"/>
          <w:szCs w:val="21"/>
        </w:rPr>
        <w:t>，该项限额不足时，</w:t>
      </w:r>
      <w:r>
        <w:rPr>
          <w:rFonts w:hint="eastAsia" w:ascii="宋体" w:hAnsi="宋体" w:cs="宋体"/>
          <w:szCs w:val="21"/>
        </w:rPr>
        <w:t>发包人有权向承包方合同金额中追偿</w:t>
      </w:r>
      <w:r>
        <w:rPr>
          <w:rFonts w:hint="eastAsia" w:asciiTheme="minorEastAsia" w:hAnsiTheme="minorEastAsia" w:cstheme="minorEastAsia"/>
          <w:kern w:val="0"/>
          <w:szCs w:val="21"/>
        </w:rPr>
        <w:t>。</w:t>
      </w:r>
    </w:p>
    <w:p w14:paraId="1C27C4C2">
      <w:pPr>
        <w:pStyle w:val="18"/>
        <w:spacing w:before="120" w:line="400" w:lineRule="exact"/>
        <w:rPr>
          <w:rFonts w:asciiTheme="minorEastAsia" w:hAnsiTheme="minorEastAsia" w:cstheme="minorEastAsia"/>
          <w:sz w:val="21"/>
          <w:szCs w:val="21"/>
        </w:rPr>
      </w:pPr>
      <w:r>
        <w:rPr>
          <w:rFonts w:hint="eastAsia" w:asciiTheme="minorEastAsia" w:hAnsiTheme="minorEastAsia" w:cstheme="minorEastAsia"/>
          <w:sz w:val="21"/>
          <w:szCs w:val="21"/>
        </w:rPr>
        <w:t>3.4</w:t>
      </w:r>
      <w:r>
        <w:rPr>
          <w:rFonts w:hint="eastAsia" w:asciiTheme="minorEastAsia" w:hAnsiTheme="minorEastAsia" w:cstheme="minorEastAsia"/>
          <w:b w:val="0"/>
          <w:sz w:val="21"/>
          <w:szCs w:val="21"/>
        </w:rPr>
        <w:t xml:space="preserve"> </w:t>
      </w:r>
      <w:r>
        <w:rPr>
          <w:rFonts w:hint="eastAsia" w:asciiTheme="minorEastAsia" w:hAnsiTheme="minorEastAsia" w:cstheme="minorEastAsia"/>
          <w:sz w:val="21"/>
          <w:szCs w:val="21"/>
        </w:rPr>
        <w:t>工程照管与成品、半成品保护</w:t>
      </w:r>
    </w:p>
    <w:p w14:paraId="492E17B3">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工程照管与成品、半成品保护的相关约定执行通用条款</w:t>
      </w:r>
    </w:p>
    <w:p w14:paraId="70686883">
      <w:pPr>
        <w:pStyle w:val="24"/>
        <w:spacing w:line="400" w:lineRule="exact"/>
        <w:rPr>
          <w:rFonts w:asciiTheme="minorEastAsia" w:hAnsiTheme="minorEastAsia" w:eastAsiaTheme="minorEastAsia" w:cstheme="minorEastAsia"/>
          <w:sz w:val="24"/>
          <w:szCs w:val="21"/>
        </w:rPr>
      </w:pPr>
    </w:p>
    <w:p w14:paraId="4A4D0254">
      <w:pPr>
        <w:pStyle w:val="24"/>
        <w:spacing w:line="400" w:lineRule="exac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第四条 监理人</w:t>
      </w:r>
    </w:p>
    <w:p w14:paraId="71302C1A">
      <w:pPr>
        <w:pStyle w:val="18"/>
        <w:spacing w:before="120" w:line="400" w:lineRule="exact"/>
        <w:rPr>
          <w:rFonts w:asciiTheme="minorEastAsia" w:hAnsiTheme="minorEastAsia" w:cstheme="minorEastAsia"/>
          <w:sz w:val="21"/>
          <w:szCs w:val="21"/>
        </w:rPr>
      </w:pPr>
      <w:r>
        <w:rPr>
          <w:rFonts w:hint="eastAsia" w:asciiTheme="minorEastAsia" w:hAnsiTheme="minorEastAsia" w:cstheme="minorEastAsia"/>
          <w:sz w:val="21"/>
          <w:szCs w:val="21"/>
        </w:rPr>
        <w:t>4.1 监理人的一般规定</w:t>
      </w:r>
    </w:p>
    <w:p w14:paraId="1E0B65C3">
      <w:pPr>
        <w:spacing w:line="400" w:lineRule="exact"/>
        <w:rPr>
          <w:rFonts w:asciiTheme="minorEastAsia" w:hAnsiTheme="minorEastAsia" w:cstheme="minorEastAsia"/>
          <w:kern w:val="0"/>
          <w:szCs w:val="21"/>
        </w:rPr>
      </w:pPr>
      <w:r>
        <w:rPr>
          <w:rFonts w:hint="eastAsia" w:asciiTheme="minorEastAsia" w:hAnsiTheme="minorEastAsia" w:cstheme="minorEastAsia"/>
          <w:szCs w:val="21"/>
        </w:rPr>
        <w:t xml:space="preserve">4.1.1 </w:t>
      </w:r>
      <w:r>
        <w:rPr>
          <w:rFonts w:hint="eastAsia" w:asciiTheme="minorEastAsia" w:hAnsiTheme="minorEastAsia" w:cstheme="minorEastAsia"/>
          <w:kern w:val="0"/>
          <w:szCs w:val="21"/>
        </w:rPr>
        <w:t>关于监理人的监理内容：工程建设监理合同授予监理人的权利。</w:t>
      </w:r>
    </w:p>
    <w:p w14:paraId="21C72642">
      <w:pPr>
        <w:spacing w:line="400" w:lineRule="exact"/>
        <w:rPr>
          <w:rFonts w:asciiTheme="minorEastAsia" w:hAnsiTheme="minorEastAsia" w:cstheme="minorEastAsia"/>
          <w:kern w:val="0"/>
          <w:szCs w:val="21"/>
        </w:rPr>
      </w:pPr>
      <w:r>
        <w:rPr>
          <w:rFonts w:hint="eastAsia" w:asciiTheme="minorEastAsia" w:hAnsiTheme="minorEastAsia" w:cstheme="minorEastAsia"/>
          <w:szCs w:val="21"/>
        </w:rPr>
        <w:t xml:space="preserve">4.1.2 </w:t>
      </w:r>
      <w:r>
        <w:rPr>
          <w:rFonts w:hint="eastAsia" w:asciiTheme="minorEastAsia" w:hAnsiTheme="minorEastAsia" w:cstheme="minorEastAsia"/>
          <w:kern w:val="0"/>
          <w:szCs w:val="21"/>
        </w:rPr>
        <w:t xml:space="preserve">关于监理人的监理权限：涉及费用、工期、图纸更改等工程变更指令和付款、暂停工程施工指令的下达权需取得发包人书面批准方可执行。 </w:t>
      </w:r>
    </w:p>
    <w:p w14:paraId="2D88218C">
      <w:pPr>
        <w:autoSpaceDE w:val="0"/>
        <w:autoSpaceDN w:val="0"/>
        <w:adjustRightInd w:val="0"/>
        <w:spacing w:line="400" w:lineRule="exact"/>
        <w:jc w:val="left"/>
        <w:rPr>
          <w:rFonts w:asciiTheme="minorEastAsia" w:hAnsiTheme="minorEastAsia" w:cstheme="minorEastAsia"/>
          <w:kern w:val="0"/>
          <w:szCs w:val="21"/>
        </w:rPr>
      </w:pPr>
      <w:r>
        <w:rPr>
          <w:rFonts w:hint="eastAsia" w:asciiTheme="minorEastAsia" w:hAnsiTheme="minorEastAsia" w:cstheme="minorEastAsia"/>
          <w:szCs w:val="21"/>
        </w:rPr>
        <w:t xml:space="preserve">4.1.3 </w:t>
      </w:r>
      <w:r>
        <w:rPr>
          <w:rFonts w:hint="eastAsia" w:asciiTheme="minorEastAsia" w:hAnsiTheme="minorEastAsia" w:cstheme="minorEastAsia"/>
          <w:kern w:val="0"/>
          <w:szCs w:val="21"/>
        </w:rPr>
        <w:t>关于监理人在施工现场的办公场所、生活场所的提供的约定：监理人在施工现场的办公场所、生活场所由发包人提供。</w:t>
      </w:r>
    </w:p>
    <w:p w14:paraId="6FF5D322">
      <w:pPr>
        <w:pStyle w:val="18"/>
        <w:spacing w:before="120" w:line="400" w:lineRule="exact"/>
        <w:rPr>
          <w:rFonts w:asciiTheme="minorEastAsia" w:hAnsiTheme="minorEastAsia" w:cstheme="minorEastAsia"/>
          <w:sz w:val="21"/>
          <w:szCs w:val="21"/>
        </w:rPr>
      </w:pPr>
      <w:r>
        <w:rPr>
          <w:rFonts w:hint="eastAsia" w:asciiTheme="minorEastAsia" w:hAnsiTheme="minorEastAsia" w:cstheme="minorEastAsia"/>
          <w:sz w:val="21"/>
          <w:szCs w:val="21"/>
        </w:rPr>
        <w:t>4.2 商定或确定</w:t>
      </w:r>
    </w:p>
    <w:p w14:paraId="1C7EF431">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当合同当事人对需要商定或确定的事项不能达成一致时，总监理工程师应按照合同约定作出公正确定，应在合同当事人会商之日起</w:t>
      </w:r>
      <w:r>
        <w:rPr>
          <w:rFonts w:hint="eastAsia" w:asciiTheme="minorEastAsia" w:hAnsiTheme="minorEastAsia" w:cstheme="minorEastAsia"/>
          <w:kern w:val="0"/>
          <w:szCs w:val="21"/>
          <w:u w:val="single"/>
        </w:rPr>
        <w:t xml:space="preserve"> A </w:t>
      </w:r>
      <w:r>
        <w:rPr>
          <w:rFonts w:hint="eastAsia" w:asciiTheme="minorEastAsia" w:hAnsiTheme="minorEastAsia" w:cstheme="minorEastAsia"/>
          <w:kern w:val="0"/>
          <w:szCs w:val="21"/>
        </w:rPr>
        <w:t>（A、7；/ B、14；/ C、21 ）天内提供书面确定意见。</w:t>
      </w:r>
    </w:p>
    <w:p w14:paraId="0F22F375">
      <w:pPr>
        <w:pStyle w:val="18"/>
        <w:spacing w:before="120" w:line="400" w:lineRule="exact"/>
        <w:rPr>
          <w:rFonts w:asciiTheme="minorEastAsia" w:hAnsiTheme="minorEastAsia" w:cstheme="minorEastAsia"/>
          <w:sz w:val="21"/>
          <w:szCs w:val="21"/>
        </w:rPr>
      </w:pPr>
      <w:r>
        <w:rPr>
          <w:rFonts w:hint="eastAsia" w:asciiTheme="minorEastAsia" w:hAnsiTheme="minorEastAsia" w:cstheme="minorEastAsia"/>
          <w:sz w:val="21"/>
          <w:szCs w:val="21"/>
        </w:rPr>
        <w:t>4.3 隐蔽工程检查</w:t>
      </w:r>
    </w:p>
    <w:p w14:paraId="171786D7">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4.3.1承包方提前通知监理人隐蔽工程检查的期限的约定：承包方应在共同检查前</w:t>
      </w:r>
      <w:r>
        <w:rPr>
          <w:rFonts w:hint="eastAsia" w:asciiTheme="minorEastAsia" w:hAnsiTheme="minorEastAsia" w:cstheme="minorEastAsia"/>
          <w:kern w:val="0"/>
          <w:szCs w:val="21"/>
          <w:u w:val="single"/>
        </w:rPr>
        <w:t xml:space="preserve"> A </w:t>
      </w:r>
      <w:r>
        <w:rPr>
          <w:rFonts w:hint="eastAsia" w:asciiTheme="minorEastAsia" w:hAnsiTheme="minorEastAsia" w:cstheme="minorEastAsia"/>
          <w:kern w:val="0"/>
          <w:szCs w:val="21"/>
        </w:rPr>
        <w:t>（A、24；/ B、48；/ C、72 ）小时书面通知监理人检查 。</w:t>
      </w:r>
    </w:p>
    <w:p w14:paraId="4D2F4713">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4.3.2监理人不能按时进行检查时，应提前</w:t>
      </w:r>
      <w:r>
        <w:rPr>
          <w:rFonts w:hint="eastAsia" w:asciiTheme="minorEastAsia" w:hAnsiTheme="minorEastAsia" w:cstheme="minorEastAsia"/>
          <w:kern w:val="0"/>
          <w:szCs w:val="21"/>
          <w:u w:val="single"/>
        </w:rPr>
        <w:t xml:space="preserve"> B </w:t>
      </w:r>
      <w:r>
        <w:rPr>
          <w:rFonts w:hint="eastAsia" w:asciiTheme="minorEastAsia" w:hAnsiTheme="minorEastAsia" w:cstheme="minorEastAsia"/>
          <w:kern w:val="0"/>
          <w:szCs w:val="21"/>
        </w:rPr>
        <w:t>（A、12；/ B、24；/ C、36 ）小时提交书面延期要求。延期最长不得超过：</w:t>
      </w:r>
      <w:r>
        <w:rPr>
          <w:rFonts w:hint="eastAsia" w:asciiTheme="minorEastAsia" w:hAnsiTheme="minorEastAsia" w:cstheme="minorEastAsia"/>
          <w:kern w:val="0"/>
          <w:szCs w:val="21"/>
          <w:u w:val="single"/>
        </w:rPr>
        <w:t xml:space="preserve"> B </w:t>
      </w:r>
      <w:r>
        <w:rPr>
          <w:rFonts w:hint="eastAsia" w:asciiTheme="minorEastAsia" w:hAnsiTheme="minorEastAsia" w:cstheme="minorEastAsia"/>
          <w:kern w:val="0"/>
          <w:szCs w:val="21"/>
        </w:rPr>
        <w:t>（A、24；/ B、48；/ C、72 ）小时。</w:t>
      </w:r>
    </w:p>
    <w:p w14:paraId="4C33E924">
      <w:pPr>
        <w:pStyle w:val="24"/>
        <w:spacing w:line="400" w:lineRule="exact"/>
        <w:rPr>
          <w:rFonts w:asciiTheme="minorEastAsia" w:hAnsiTheme="minorEastAsia" w:eastAsiaTheme="minorEastAsia" w:cstheme="minorEastAsia"/>
          <w:sz w:val="24"/>
          <w:szCs w:val="21"/>
        </w:rPr>
      </w:pPr>
    </w:p>
    <w:p w14:paraId="2BBD2988">
      <w:pPr>
        <w:pStyle w:val="24"/>
        <w:spacing w:line="400" w:lineRule="exac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第五条 安全文明施工与环境保护</w:t>
      </w:r>
    </w:p>
    <w:p w14:paraId="53319072">
      <w:pPr>
        <w:pStyle w:val="18"/>
        <w:spacing w:before="120" w:line="400" w:lineRule="exact"/>
        <w:rPr>
          <w:rFonts w:asciiTheme="minorEastAsia" w:hAnsiTheme="minorEastAsia" w:cstheme="minorEastAsia"/>
          <w:sz w:val="21"/>
          <w:szCs w:val="21"/>
        </w:rPr>
      </w:pPr>
      <w:r>
        <w:rPr>
          <w:rFonts w:hint="eastAsia" w:asciiTheme="minorEastAsia" w:hAnsiTheme="minorEastAsia" w:cstheme="minorEastAsia"/>
          <w:kern w:val="0"/>
          <w:sz w:val="21"/>
          <w:szCs w:val="21"/>
        </w:rPr>
        <w:t>5.1</w:t>
      </w:r>
      <w:r>
        <w:rPr>
          <w:rFonts w:hint="eastAsia" w:asciiTheme="minorEastAsia" w:hAnsiTheme="minorEastAsia" w:cstheme="minorEastAsia"/>
          <w:sz w:val="21"/>
          <w:szCs w:val="21"/>
        </w:rPr>
        <w:t>安全文明施工</w:t>
      </w:r>
    </w:p>
    <w:p w14:paraId="68A6FDFC">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5.1.1 项目安全生产的达标目标及相应事项的约定：</w:t>
      </w:r>
      <w:r>
        <w:rPr>
          <w:rFonts w:hint="eastAsia" w:asciiTheme="minorEastAsia" w:hAnsiTheme="minorEastAsia" w:cstheme="minorEastAsia"/>
          <w:kern w:val="0"/>
          <w:szCs w:val="21"/>
          <w:u w:val="single"/>
        </w:rPr>
        <w:t xml:space="preserve"> 合格 </w:t>
      </w:r>
      <w:r>
        <w:rPr>
          <w:rFonts w:hint="eastAsia" w:asciiTheme="minorEastAsia" w:hAnsiTheme="minorEastAsia" w:cstheme="minorEastAsia"/>
          <w:kern w:val="0"/>
          <w:szCs w:val="21"/>
        </w:rPr>
        <w:t>。</w:t>
      </w:r>
    </w:p>
    <w:p w14:paraId="4577E6ED">
      <w:pPr>
        <w:adjustRightInd w:val="0"/>
        <w:snapToGri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5.1.2 关于治安保卫的特别约定：执行通用条款。</w:t>
      </w:r>
    </w:p>
    <w:p w14:paraId="1D2B2D69">
      <w:pPr>
        <w:adjustRightInd w:val="0"/>
        <w:snapToGri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5.1.3文明施工应按《宁波市建设工程文明施工管理规定》、“宁波市城市管理局关于印发市政公用（轨道交通）工程扬尘综合整治专项行动实施方案的通知（市政安质监【2013】16号）”文件要求执行。</w:t>
      </w:r>
    </w:p>
    <w:p w14:paraId="068BF192">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 xml:space="preserve">5.1.4 关于安全文明施工费支付比例和支付期限的约定： </w:t>
      </w:r>
      <w:r>
        <w:rPr>
          <w:rFonts w:hint="eastAsia" w:asciiTheme="minorEastAsia" w:hAnsiTheme="minorEastAsia" w:cstheme="minorEastAsia"/>
          <w:kern w:val="0"/>
          <w:szCs w:val="21"/>
          <w:u w:val="single"/>
        </w:rPr>
        <w:t xml:space="preserve">  /  </w:t>
      </w:r>
      <w:r>
        <w:rPr>
          <w:rFonts w:hint="eastAsia" w:asciiTheme="minorEastAsia" w:hAnsiTheme="minorEastAsia" w:cstheme="minorEastAsia"/>
          <w:kern w:val="0"/>
          <w:szCs w:val="21"/>
        </w:rPr>
        <w:t>。</w:t>
      </w:r>
    </w:p>
    <w:p w14:paraId="18ABF6AF">
      <w:pPr>
        <w:pStyle w:val="24"/>
        <w:spacing w:line="400" w:lineRule="exact"/>
        <w:rPr>
          <w:rFonts w:asciiTheme="minorEastAsia" w:hAnsiTheme="minorEastAsia" w:eastAsiaTheme="minorEastAsia" w:cstheme="minorEastAsia"/>
          <w:sz w:val="24"/>
          <w:szCs w:val="21"/>
        </w:rPr>
      </w:pPr>
    </w:p>
    <w:p w14:paraId="4AABB0F5">
      <w:pPr>
        <w:pStyle w:val="24"/>
        <w:spacing w:line="400" w:lineRule="exact"/>
        <w:rPr>
          <w:rFonts w:asciiTheme="minorEastAsia" w:hAnsiTheme="minorEastAsia" w:eastAsiaTheme="minorEastAsia" w:cstheme="minorEastAsia"/>
          <w:sz w:val="24"/>
          <w:szCs w:val="21"/>
        </w:rPr>
      </w:pPr>
      <w:r>
        <w:rPr>
          <w:rFonts w:asciiTheme="minorEastAsia" w:hAnsiTheme="minorEastAsia" w:eastAsiaTheme="minorEastAsia" w:cstheme="minorEastAsia"/>
          <w:sz w:val="24"/>
          <w:szCs w:val="21"/>
        </w:rPr>
        <mc:AlternateContent>
          <mc:Choice Requires="wps">
            <w:drawing>
              <wp:anchor distT="0" distB="0" distL="114300" distR="114300" simplePos="0" relativeHeight="251659264" behindDoc="0" locked="0" layoutInCell="1" allowOverlap="1">
                <wp:simplePos x="0" y="0"/>
                <wp:positionH relativeFrom="column">
                  <wp:posOffset>4400550</wp:posOffset>
                </wp:positionH>
                <wp:positionV relativeFrom="paragraph">
                  <wp:posOffset>165100</wp:posOffset>
                </wp:positionV>
                <wp:extent cx="635" cy="0"/>
                <wp:effectExtent l="0" t="4445" r="0" b="5080"/>
                <wp:wrapNone/>
                <wp:docPr id="3"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346.5pt;margin-top:13pt;height:0pt;width:0.05pt;z-index:251659264;mso-width-relative:page;mso-height-relative:page;" filled="f" stroked="t" coordsize="21600,21600" o:gfxdata="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ctq0tUAAAAJAQAADwAA&#10;AAAAAAABACAAAAAiAAAAZHJzL2Rvd25yZXYueG1sUEsBAhQAFAAAAAgAh07iQCnEV9HgAQAA2QMA&#10;AA4AAAAAAAAAAQAgAAAAJAEAAGRycy9lMm9Eb2MueG1sUEsFBgAAAAAGAAYAWQEAAHY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4"/>
          <w:szCs w:val="21"/>
        </w:rPr>
        <w:t>第六条工期进度</w:t>
      </w:r>
    </w:p>
    <w:p w14:paraId="271F3347">
      <w:pPr>
        <w:spacing w:line="400" w:lineRule="exact"/>
        <w:jc w:val="left"/>
        <w:rPr>
          <w:rFonts w:asciiTheme="minorEastAsia" w:hAnsiTheme="minorEastAsia" w:cstheme="minorEastAsia"/>
          <w:b/>
          <w:kern w:val="0"/>
          <w:szCs w:val="21"/>
        </w:rPr>
      </w:pPr>
      <w:r>
        <w:rPr>
          <w:rFonts w:hint="eastAsia" w:asciiTheme="minorEastAsia" w:hAnsiTheme="minorEastAsia" w:cstheme="minorEastAsia"/>
          <w:b/>
          <w:kern w:val="0"/>
          <w:szCs w:val="21"/>
        </w:rPr>
        <w:t>6.2 施工组织设计</w:t>
      </w:r>
    </w:p>
    <w:p w14:paraId="33875A13">
      <w:pPr>
        <w:widowControl/>
        <w:spacing w:line="400" w:lineRule="exact"/>
        <w:jc w:val="left"/>
        <w:rPr>
          <w:rFonts w:asciiTheme="minorEastAsia" w:hAnsiTheme="minorEastAsia" w:cstheme="minorEastAsia"/>
        </w:rPr>
      </w:pPr>
      <w:r>
        <w:rPr>
          <w:rFonts w:hint="eastAsia" w:asciiTheme="minorEastAsia" w:hAnsiTheme="minorEastAsia" w:cstheme="minorEastAsia"/>
          <w:kern w:val="0"/>
          <w:szCs w:val="21"/>
        </w:rPr>
        <w:t xml:space="preserve">6.2.1 </w:t>
      </w:r>
      <w:r>
        <w:rPr>
          <w:rFonts w:hint="eastAsia" w:asciiTheme="minorEastAsia" w:hAnsiTheme="minorEastAsia" w:cstheme="minorEastAsia"/>
        </w:rPr>
        <w:t>自本合同签订后</w:t>
      </w:r>
      <w:r>
        <w:rPr>
          <w:rFonts w:hint="eastAsia" w:asciiTheme="minorEastAsia" w:hAnsiTheme="minorEastAsia" w:cstheme="minorEastAsia"/>
          <w:u w:val="single"/>
        </w:rPr>
        <w:t xml:space="preserve">    7   </w:t>
      </w:r>
      <w:r>
        <w:rPr>
          <w:rFonts w:hint="eastAsia" w:asciiTheme="minorEastAsia" w:hAnsiTheme="minorEastAsia" w:cstheme="minorEastAsia"/>
        </w:rPr>
        <w:t>日内承包方应向发包人和监理人分别提交</w:t>
      </w:r>
      <w:r>
        <w:rPr>
          <w:rFonts w:hint="eastAsia" w:asciiTheme="minorEastAsia" w:hAnsiTheme="minorEastAsia" w:cstheme="minorEastAsia"/>
          <w:u w:val="single"/>
        </w:rPr>
        <w:t xml:space="preserve">   1    </w:t>
      </w:r>
      <w:r>
        <w:rPr>
          <w:rFonts w:hint="eastAsia" w:asciiTheme="minorEastAsia" w:hAnsiTheme="minorEastAsia" w:cstheme="minorEastAsia"/>
        </w:rPr>
        <w:t>套施工组织设计，施工组织设计的内容选择包含以下内容：□各分部分项施工方案与技术措施；□工程进度管理体系与措施；□工程质量管理体系与措施；□施工现场平面布置图；□施工进度计划和保证措施；□劳动力及材料供应计划；□施工机械设备的选用；□安全生产、文明施工措施；□环境保护、成本控制措施；□约定的其他内容：</w:t>
      </w:r>
      <w:r>
        <w:rPr>
          <w:rFonts w:hint="eastAsia" w:asciiTheme="minorEastAsia" w:hAnsiTheme="minorEastAsia" w:cstheme="minorEastAsia"/>
          <w:u w:val="single"/>
        </w:rPr>
        <w:t xml:space="preserve">        /             </w:t>
      </w:r>
      <w:r>
        <w:rPr>
          <w:rFonts w:hint="eastAsia" w:asciiTheme="minorEastAsia" w:hAnsiTheme="minorEastAsia" w:cstheme="minorEastAsia"/>
        </w:rPr>
        <w:t>。</w:t>
      </w:r>
    </w:p>
    <w:p w14:paraId="36651208">
      <w:pPr>
        <w:autoSpaceDE w:val="0"/>
        <w:autoSpaceDN w:val="0"/>
        <w:adjustRightInd w:val="0"/>
        <w:spacing w:line="400" w:lineRule="exact"/>
        <w:jc w:val="left"/>
        <w:rPr>
          <w:rFonts w:asciiTheme="minorEastAsia" w:hAnsiTheme="minorEastAsia" w:cstheme="minorEastAsia"/>
        </w:rPr>
      </w:pPr>
      <w:r>
        <w:rPr>
          <w:rFonts w:hint="eastAsia" w:asciiTheme="minorEastAsia" w:hAnsiTheme="minorEastAsia" w:cstheme="minorEastAsia"/>
          <w:kern w:val="0"/>
          <w:szCs w:val="21"/>
        </w:rPr>
        <w:t xml:space="preserve">6.2.2 </w:t>
      </w:r>
      <w:r>
        <w:rPr>
          <w:rFonts w:hint="eastAsia" w:asciiTheme="minorEastAsia" w:hAnsiTheme="minorEastAsia" w:cstheme="minorEastAsia"/>
        </w:rPr>
        <w:t>发包人和监理人应在收到施工组织设计后合理期限内确认或提出修改意见。对发包人和监理人提出的意见和要求，承包方应自费修改完善。根据工程实际情况需要修改施工组织设计的，承包方应向发包人和监理人提交修改后的施工组织设计。</w:t>
      </w:r>
    </w:p>
    <w:p w14:paraId="027CDD52">
      <w:pPr>
        <w:spacing w:line="400" w:lineRule="exact"/>
        <w:jc w:val="left"/>
        <w:rPr>
          <w:rFonts w:asciiTheme="minorEastAsia" w:hAnsiTheme="minorEastAsia" w:cstheme="minorEastAsia"/>
          <w:b/>
          <w:kern w:val="0"/>
          <w:szCs w:val="21"/>
        </w:rPr>
      </w:pPr>
      <w:r>
        <w:rPr>
          <w:rFonts w:hint="eastAsia" w:asciiTheme="minorEastAsia" w:hAnsiTheme="minorEastAsia" w:cstheme="minorEastAsia"/>
          <w:b/>
          <w:kern w:val="0"/>
          <w:szCs w:val="21"/>
        </w:rPr>
        <w:t>6.3 施工进度计划</w:t>
      </w:r>
    </w:p>
    <w:p w14:paraId="74D04628">
      <w:pPr>
        <w:autoSpaceDE w:val="0"/>
        <w:autoSpaceDN w:val="0"/>
        <w:adjustRightInd w:val="0"/>
        <w:spacing w:line="400" w:lineRule="exact"/>
        <w:jc w:val="left"/>
        <w:rPr>
          <w:rFonts w:asciiTheme="minorEastAsia" w:hAnsiTheme="minorEastAsia" w:cstheme="minorEastAsia"/>
        </w:rPr>
      </w:pPr>
      <w:r>
        <w:rPr>
          <w:rFonts w:hint="eastAsia" w:asciiTheme="minorEastAsia" w:hAnsiTheme="minorEastAsia" w:cstheme="minorEastAsia"/>
          <w:kern w:val="0"/>
          <w:szCs w:val="21"/>
        </w:rPr>
        <w:t xml:space="preserve">6.3.1 </w:t>
      </w:r>
      <w:r>
        <w:rPr>
          <w:rFonts w:hint="eastAsia" w:asciiTheme="minorEastAsia" w:hAnsiTheme="minorEastAsia" w:cstheme="minorEastAsia"/>
        </w:rPr>
        <w:t>承包方应按照本合同关于施工组织设计的约定向发包人和监理人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AB72597">
      <w:pPr>
        <w:autoSpaceDE w:val="0"/>
        <w:autoSpaceDN w:val="0"/>
        <w:adjustRightInd w:val="0"/>
        <w:spacing w:line="400" w:lineRule="exact"/>
        <w:jc w:val="left"/>
        <w:rPr>
          <w:rFonts w:asciiTheme="minorEastAsia" w:hAnsiTheme="minorEastAsia" w:cstheme="minorEastAsia"/>
        </w:rPr>
      </w:pPr>
      <w:r>
        <w:rPr>
          <w:rFonts w:hint="eastAsia" w:asciiTheme="minorEastAsia" w:hAnsiTheme="minorEastAsia" w:cstheme="minorEastAsia"/>
          <w:kern w:val="0"/>
          <w:szCs w:val="21"/>
        </w:rPr>
        <w:t xml:space="preserve">6.3.2 </w:t>
      </w:r>
      <w:r>
        <w:rPr>
          <w:rFonts w:hint="eastAsia" w:asciiTheme="minorEastAsia" w:hAnsiTheme="minorEastAsia" w:cstheme="minorEastAsia"/>
        </w:rPr>
        <w:t>施工进度计划不符合合同要求或与工程的实际进度不一致的，承包方应向发包人和监理人提交修订的施工进度计划，并附具有关措施和相关资料，发包人和监理人应在收到修订的施工进度计划后合理期限内确认或提出修改意见。发包人和监理人对承包方提交的施工进度计划的确认，不能减轻或免除承包方根据法律规定和合同约定应承担的责任或义务。</w:t>
      </w:r>
    </w:p>
    <w:p w14:paraId="4D7DC05C">
      <w:pPr>
        <w:spacing w:line="400" w:lineRule="exact"/>
        <w:jc w:val="left"/>
        <w:rPr>
          <w:rFonts w:asciiTheme="minorEastAsia" w:hAnsiTheme="minorEastAsia" w:cstheme="minorEastAsia"/>
          <w:b/>
          <w:kern w:val="0"/>
          <w:szCs w:val="21"/>
        </w:rPr>
      </w:pPr>
      <w:r>
        <w:rPr>
          <w:rFonts w:hint="eastAsia" w:asciiTheme="minorEastAsia" w:hAnsiTheme="minorEastAsia" w:cstheme="minorEastAsia"/>
          <w:b/>
          <w:kern w:val="0"/>
          <w:szCs w:val="21"/>
        </w:rPr>
        <w:t>6.4 开工</w:t>
      </w:r>
    </w:p>
    <w:p w14:paraId="57AC9400">
      <w:pPr>
        <w:autoSpaceDE w:val="0"/>
        <w:autoSpaceDN w:val="0"/>
        <w:adjustRightInd w:val="0"/>
        <w:spacing w:line="400" w:lineRule="exact"/>
        <w:rPr>
          <w:rFonts w:asciiTheme="minorEastAsia" w:hAnsiTheme="minorEastAsia" w:cstheme="minorEastAsia"/>
        </w:rPr>
      </w:pPr>
      <w:r>
        <w:rPr>
          <w:rFonts w:hint="eastAsia" w:asciiTheme="minorEastAsia" w:hAnsiTheme="minorEastAsia" w:cstheme="minorEastAsia"/>
          <w:kern w:val="0"/>
          <w:szCs w:val="21"/>
        </w:rPr>
        <w:t>6.4.1</w:t>
      </w:r>
      <w:r>
        <w:rPr>
          <w:rFonts w:hint="eastAsia" w:asciiTheme="minorEastAsia" w:hAnsiTheme="minorEastAsia" w:cstheme="minorEastAsia"/>
          <w:b/>
          <w:kern w:val="0"/>
          <w:szCs w:val="21"/>
        </w:rPr>
        <w:t xml:space="preserve"> </w:t>
      </w:r>
      <w:r>
        <w:rPr>
          <w:rFonts w:hint="eastAsia" w:asciiTheme="minorEastAsia" w:hAnsiTheme="minorEastAsia" w:cstheme="minorEastAsia"/>
        </w:rPr>
        <w:t>开工准备</w:t>
      </w:r>
    </w:p>
    <w:p w14:paraId="617F8985">
      <w:pPr>
        <w:autoSpaceDE w:val="0"/>
        <w:autoSpaceDN w:val="0"/>
        <w:adjustRightInd w:val="0"/>
        <w:spacing w:line="400" w:lineRule="exact"/>
        <w:rPr>
          <w:rFonts w:asciiTheme="minorEastAsia" w:hAnsiTheme="minorEastAsia" w:cstheme="minorEastAsia"/>
        </w:rPr>
      </w:pPr>
      <w:r>
        <w:rPr>
          <w:rFonts w:hint="eastAsia" w:asciiTheme="minorEastAsia" w:hAnsiTheme="minorEastAsia" w:cstheme="minorEastAsia"/>
        </w:rPr>
        <w:t>承包方应按第</w:t>
      </w:r>
      <w:r>
        <w:rPr>
          <w:rFonts w:asciiTheme="minorEastAsia" w:hAnsiTheme="minorEastAsia" w:cstheme="minorEastAsia"/>
        </w:rPr>
        <w:t>6.2</w:t>
      </w:r>
      <w:r>
        <w:rPr>
          <w:rFonts w:hint="eastAsia" w:asciiTheme="minorEastAsia" w:hAnsiTheme="minorEastAsia" w:cstheme="minorEastAsia"/>
        </w:rPr>
        <w:t>条[施工组织设计]约定的时间向发包人和监理人提交工程开工报审表，经发包人批准后执行，承包方且需要在开工7日前办理完成所有开工的各项行政审批和许可。开工报审表应详细说明按施工进度计划正常施工所需的施工道路、临时设施、材料、工程设备、施工设备、施工人员等落实情况以及工程的进度安排。</w:t>
      </w:r>
    </w:p>
    <w:p w14:paraId="00DBB1A4">
      <w:pPr>
        <w:autoSpaceDE w:val="0"/>
        <w:autoSpaceDN w:val="0"/>
        <w:adjustRightInd w:val="0"/>
        <w:spacing w:line="400" w:lineRule="exact"/>
        <w:rPr>
          <w:rFonts w:asciiTheme="minorEastAsia" w:hAnsiTheme="minorEastAsia" w:cstheme="minorEastAsia"/>
        </w:rPr>
      </w:pPr>
      <w:r>
        <w:rPr>
          <w:rFonts w:hint="eastAsia" w:asciiTheme="minorEastAsia" w:hAnsiTheme="minorEastAsia" w:cstheme="minorEastAsia"/>
          <w:kern w:val="0"/>
          <w:szCs w:val="21"/>
        </w:rPr>
        <w:t xml:space="preserve">6.4.2 </w:t>
      </w:r>
      <w:r>
        <w:rPr>
          <w:rFonts w:hint="eastAsia" w:asciiTheme="minorEastAsia" w:hAnsiTheme="minorEastAsia" w:cstheme="minorEastAsia"/>
        </w:rPr>
        <w:t>开工通知</w:t>
      </w:r>
    </w:p>
    <w:p w14:paraId="6702C5A9">
      <w:pPr>
        <w:autoSpaceDE w:val="0"/>
        <w:autoSpaceDN w:val="0"/>
        <w:adjustRightInd w:val="0"/>
        <w:spacing w:line="400" w:lineRule="exact"/>
        <w:rPr>
          <w:rFonts w:asciiTheme="minorEastAsia" w:hAnsiTheme="minorEastAsia" w:cstheme="minorEastAsia"/>
        </w:rPr>
      </w:pPr>
      <w:r>
        <w:rPr>
          <w:rFonts w:hint="eastAsia" w:asciiTheme="minorEastAsia" w:hAnsiTheme="minorEastAsia" w:cstheme="minorEastAsia"/>
        </w:rPr>
        <w:t>发包人应在计划开工日期前7天内向承包方下达开工通知，因发包人原因未能在期限内发出开工通知的，承包方应当向发包人书面发函敦促，不得直接提出价格调整和要求违约诉求。</w:t>
      </w:r>
    </w:p>
    <w:p w14:paraId="4563116F">
      <w:pPr>
        <w:spacing w:line="400" w:lineRule="exact"/>
        <w:jc w:val="left"/>
        <w:rPr>
          <w:rFonts w:asciiTheme="minorEastAsia" w:hAnsiTheme="minorEastAsia" w:cstheme="minorEastAsia"/>
          <w:b/>
          <w:kern w:val="0"/>
          <w:szCs w:val="21"/>
        </w:rPr>
      </w:pPr>
      <w:r>
        <w:rPr>
          <w:rFonts w:hint="eastAsia" w:asciiTheme="minorEastAsia" w:hAnsiTheme="minorEastAsia" w:cstheme="minorEastAsia"/>
          <w:b/>
          <w:kern w:val="0"/>
          <w:szCs w:val="21"/>
        </w:rPr>
        <w:t>6.5 工期延误</w:t>
      </w:r>
    </w:p>
    <w:p w14:paraId="41C2D905">
      <w:pPr>
        <w:spacing w:line="400" w:lineRule="exact"/>
        <w:rPr>
          <w:rFonts w:asciiTheme="minorEastAsia" w:hAnsiTheme="minorEastAsia" w:cstheme="minorEastAsia"/>
        </w:rPr>
      </w:pPr>
      <w:r>
        <w:rPr>
          <w:rFonts w:hint="eastAsia" w:asciiTheme="minorEastAsia" w:hAnsiTheme="minorEastAsia" w:cstheme="minorEastAsia"/>
        </w:rPr>
        <w:t>（1）因承包方原因导致工期延误，逾期竣工5天以内的按10000元人民币/天扣除工期延误费，5天以上的，则以上天数按20000元人民币/天计算，10天以上的，则以上天数按100000元人民币/天计算，（以上含本数，以下不含）。竣工日期以监理单位和甲方批复的竣工验收申请日期为准。</w:t>
      </w:r>
    </w:p>
    <w:p w14:paraId="109A93AE">
      <w:pPr>
        <w:spacing w:line="400" w:lineRule="exact"/>
        <w:rPr>
          <w:rFonts w:ascii="宋体" w:hAnsi="宋体"/>
          <w:szCs w:val="21"/>
        </w:rPr>
      </w:pPr>
      <w:r>
        <w:rPr>
          <w:rFonts w:hint="eastAsia" w:ascii="宋体" w:hAnsi="宋体"/>
          <w:szCs w:val="21"/>
        </w:rPr>
        <w:t>（2）承包方未能在规定的工期内完成施工内容，延误项目或因施工单位自身能力等主观原因造成不能完成发包人要求的，发包人有权扣除该项目合同总额的10%作为违约金；连续三次未达到施工要求或延误工期的，发包人有权解除合同。</w:t>
      </w:r>
    </w:p>
    <w:p w14:paraId="56E0A946">
      <w:pPr>
        <w:numPr>
          <w:ilvl w:val="0"/>
          <w:numId w:val="2"/>
        </w:numPr>
        <w:autoSpaceDE w:val="0"/>
        <w:autoSpaceDN w:val="0"/>
        <w:adjustRightInd w:val="0"/>
        <w:spacing w:line="400" w:lineRule="exact"/>
        <w:rPr>
          <w:rFonts w:asciiTheme="minorEastAsia" w:hAnsiTheme="minorEastAsia" w:cstheme="minorEastAsia"/>
        </w:rPr>
      </w:pPr>
      <w:r>
        <w:rPr>
          <w:rFonts w:hint="eastAsia" w:asciiTheme="minorEastAsia" w:hAnsiTheme="minorEastAsia" w:cstheme="minorEastAsia"/>
        </w:rPr>
        <w:t>为了保证学校开学后的正常运营，本工程所有楼幢影响学生住宿的建筑装饰以及土建施工最迟必须于开学前完成，并保证开学后宿舍正常使用。如开学后施工的改造内容如需采取相应安全措施的，施工方自行承担费用。</w:t>
      </w:r>
    </w:p>
    <w:p w14:paraId="43D6751E">
      <w:pPr>
        <w:numPr>
          <w:ilvl w:val="0"/>
          <w:numId w:val="2"/>
        </w:numPr>
        <w:autoSpaceDE w:val="0"/>
        <w:autoSpaceDN w:val="0"/>
        <w:adjustRightInd w:val="0"/>
        <w:spacing w:line="400" w:lineRule="exact"/>
        <w:rPr>
          <w:rFonts w:asciiTheme="minorEastAsia" w:hAnsiTheme="minorEastAsia" w:cstheme="minorEastAsia"/>
        </w:rPr>
      </w:pPr>
      <w:r>
        <w:rPr>
          <w:rFonts w:hint="eastAsia" w:asciiTheme="minorEastAsia" w:hAnsiTheme="minorEastAsia" w:cstheme="minorEastAsia"/>
        </w:rPr>
        <w:t>如施工方未能按上述时间点完工建筑装饰以及土建施工，并且影响学生宿舍正常使用的，则此部分施工内容完工工期延期的实际损失均由承包方承担，承包方支付违约金以及支付发包人由此引起的损失费用后，不免除施工期间保障学生住宿安全的责任和对承包方追责惩罚的权利。</w:t>
      </w:r>
    </w:p>
    <w:p w14:paraId="00A9FDCF">
      <w:pPr>
        <w:autoSpaceDE w:val="0"/>
        <w:autoSpaceDN w:val="0"/>
        <w:spacing w:line="400" w:lineRule="exact"/>
        <w:rPr>
          <w:rFonts w:ascii="宋体" w:hAnsi="宋体"/>
          <w:szCs w:val="21"/>
        </w:rPr>
      </w:pPr>
      <w:r>
        <w:rPr>
          <w:rFonts w:hint="eastAsia" w:ascii="宋体" w:hAnsi="宋体"/>
          <w:szCs w:val="21"/>
        </w:rPr>
        <w:t>（5）承包方在工程完工日起15日内配合发包人完成验收，对验收过程中需要整改的项目三天内完成整改；若整改不能按期完成，发包人有权扣除该项目总额的10%作为违约金。</w:t>
      </w:r>
    </w:p>
    <w:p w14:paraId="44C6FE0B">
      <w:pPr>
        <w:spacing w:line="400" w:lineRule="exact"/>
        <w:jc w:val="left"/>
        <w:rPr>
          <w:rFonts w:asciiTheme="minorEastAsia" w:hAnsiTheme="minorEastAsia" w:cstheme="minorEastAsia"/>
          <w:b/>
          <w:kern w:val="0"/>
          <w:szCs w:val="21"/>
        </w:rPr>
      </w:pPr>
      <w:r>
        <w:rPr>
          <w:rFonts w:hint="eastAsia" w:asciiTheme="minorEastAsia" w:hAnsiTheme="minorEastAsia" w:cstheme="minorEastAsia"/>
          <w:b/>
          <w:kern w:val="0"/>
          <w:szCs w:val="21"/>
        </w:rPr>
        <w:t>6.6 异常恶劣的气候条件</w:t>
      </w:r>
    </w:p>
    <w:p w14:paraId="079A64B2">
      <w:pPr>
        <w:spacing w:line="400" w:lineRule="exact"/>
        <w:rPr>
          <w:rFonts w:asciiTheme="minorEastAsia" w:hAnsiTheme="minorEastAsia" w:cstheme="minorEastAsia"/>
        </w:rPr>
      </w:pPr>
      <w:r>
        <w:rPr>
          <w:rFonts w:hint="eastAsia" w:asciiTheme="minorEastAsia" w:hAnsiTheme="minorEastAsia" w:cstheme="minorEastAsia"/>
        </w:rPr>
        <w:t>发包人和承包方同意以下情形视为异常恶劣的气候条件：</w:t>
      </w:r>
    </w:p>
    <w:p w14:paraId="0ED52C54">
      <w:pPr>
        <w:autoSpaceDE w:val="0"/>
        <w:autoSpaceDN w:val="0"/>
        <w:adjustRightInd w:val="0"/>
        <w:spacing w:line="400" w:lineRule="exact"/>
        <w:rPr>
          <w:rFonts w:asciiTheme="minorEastAsia" w:hAnsiTheme="minorEastAsia" w:cstheme="minorEastAsia"/>
        </w:rPr>
      </w:pPr>
      <w:r>
        <w:rPr>
          <w:rFonts w:hint="eastAsia" w:asciiTheme="minorEastAsia" w:hAnsiTheme="minorEastAsia" w:cstheme="minorEastAsia"/>
        </w:rPr>
        <w:t>（1）12小时内降雨量达到50mm以上；</w:t>
      </w:r>
    </w:p>
    <w:p w14:paraId="52EB30D9">
      <w:pPr>
        <w:autoSpaceDE w:val="0"/>
        <w:autoSpaceDN w:val="0"/>
        <w:adjustRightInd w:val="0"/>
        <w:spacing w:line="400" w:lineRule="exact"/>
        <w:rPr>
          <w:rFonts w:asciiTheme="minorEastAsia" w:hAnsiTheme="minorEastAsia" w:cstheme="minorEastAsia"/>
        </w:rPr>
      </w:pPr>
      <w:r>
        <w:rPr>
          <w:rFonts w:hint="eastAsia" w:asciiTheme="minorEastAsia" w:hAnsiTheme="minorEastAsia" w:cstheme="minorEastAsia"/>
        </w:rPr>
        <w:t>（2）风速达到8级及以上的热带风暴（或台风）；</w:t>
      </w:r>
    </w:p>
    <w:p w14:paraId="757939B2">
      <w:pPr>
        <w:autoSpaceDE w:val="0"/>
        <w:autoSpaceDN w:val="0"/>
        <w:adjustRightInd w:val="0"/>
        <w:spacing w:line="400" w:lineRule="exact"/>
        <w:rPr>
          <w:rFonts w:asciiTheme="minorEastAsia" w:hAnsiTheme="minorEastAsia" w:cstheme="minorEastAsia"/>
        </w:rPr>
      </w:pPr>
      <w:r>
        <w:rPr>
          <w:rFonts w:hint="eastAsia" w:asciiTheme="minorEastAsia" w:hAnsiTheme="minorEastAsia" w:cstheme="minorEastAsia"/>
        </w:rPr>
        <w:t>（3）日气温超过38度或低于零下10度；</w:t>
      </w:r>
    </w:p>
    <w:p w14:paraId="74246BB9">
      <w:pPr>
        <w:autoSpaceDE w:val="0"/>
        <w:autoSpaceDN w:val="0"/>
        <w:adjustRightInd w:val="0"/>
        <w:spacing w:line="400" w:lineRule="exact"/>
        <w:rPr>
          <w:rFonts w:asciiTheme="minorEastAsia" w:hAnsiTheme="minorEastAsia" w:cstheme="minorEastAsia"/>
        </w:rPr>
      </w:pPr>
      <w:r>
        <w:rPr>
          <w:rFonts w:hint="eastAsia" w:asciiTheme="minorEastAsia" w:hAnsiTheme="minorEastAsia" w:cstheme="minorEastAsia"/>
        </w:rPr>
        <w:t>（4）造成工程损坏的冰雹和12小时内降雪量达到4mm及以上的大雪灾害；</w:t>
      </w:r>
    </w:p>
    <w:p w14:paraId="45624D66">
      <w:pPr>
        <w:autoSpaceDE w:val="0"/>
        <w:autoSpaceDN w:val="0"/>
        <w:adjustRightInd w:val="0"/>
        <w:spacing w:line="400" w:lineRule="exact"/>
        <w:rPr>
          <w:rFonts w:asciiTheme="minorEastAsia" w:hAnsiTheme="minorEastAsia" w:cstheme="minorEastAsia"/>
        </w:rPr>
      </w:pPr>
      <w:r>
        <w:rPr>
          <w:rFonts w:hint="eastAsia" w:asciiTheme="minorEastAsia" w:hAnsiTheme="minorEastAsia" w:cstheme="minorEastAsia"/>
        </w:rPr>
        <w:t>（5）政府有关部门通知停工的其它恶劣气候条件。</w:t>
      </w:r>
    </w:p>
    <w:p w14:paraId="066DA9CF">
      <w:pPr>
        <w:spacing w:line="400" w:lineRule="exact"/>
        <w:rPr>
          <w:rFonts w:asciiTheme="minorEastAsia" w:hAnsiTheme="minorEastAsia" w:cstheme="minorEastAsia"/>
          <w:b/>
          <w:bCs/>
          <w:sz w:val="24"/>
        </w:rPr>
      </w:pPr>
    </w:p>
    <w:p w14:paraId="64CE257E">
      <w:pPr>
        <w:spacing w:line="400" w:lineRule="exact"/>
        <w:rPr>
          <w:rFonts w:asciiTheme="minorEastAsia" w:hAnsiTheme="minorEastAsia" w:cstheme="minorEastAsia"/>
          <w:sz w:val="24"/>
        </w:rPr>
      </w:pPr>
      <w:r>
        <w:rPr>
          <w:rFonts w:hint="eastAsia" w:asciiTheme="minorEastAsia" w:hAnsiTheme="minorEastAsia" w:cstheme="minorEastAsia"/>
          <w:b/>
          <w:bCs/>
          <w:sz w:val="24"/>
        </w:rPr>
        <w:t>第七条 合同计量与取费</w:t>
      </w:r>
    </w:p>
    <w:p w14:paraId="2F606723">
      <w:pPr>
        <w:spacing w:line="400" w:lineRule="exact"/>
        <w:jc w:val="left"/>
        <w:rPr>
          <w:rFonts w:asciiTheme="minorEastAsia" w:hAnsiTheme="minorEastAsia" w:cstheme="minorEastAsia"/>
          <w:b/>
          <w:kern w:val="0"/>
          <w:szCs w:val="21"/>
        </w:rPr>
      </w:pPr>
      <w:r>
        <w:rPr>
          <w:rFonts w:hint="eastAsia" w:asciiTheme="minorEastAsia" w:hAnsiTheme="minorEastAsia" w:cstheme="minorEastAsia"/>
          <w:b/>
          <w:kern w:val="0"/>
          <w:szCs w:val="21"/>
        </w:rPr>
        <w:t>7.3 价格调整</w:t>
      </w:r>
    </w:p>
    <w:p w14:paraId="0893B312">
      <w:pPr>
        <w:autoSpaceDE w:val="0"/>
        <w:autoSpaceDN w:val="0"/>
        <w:adjustRightInd w:val="0"/>
        <w:spacing w:line="360" w:lineRule="auto"/>
        <w:jc w:val="left"/>
        <w:rPr>
          <w:rFonts w:asciiTheme="minorEastAsia" w:hAnsiTheme="minorEastAsia" w:cstheme="minorEastAsia"/>
          <w:kern w:val="0"/>
          <w:u w:val="single"/>
        </w:rPr>
      </w:pPr>
      <w:r>
        <w:rPr>
          <w:rFonts w:hint="eastAsia" w:asciiTheme="minorEastAsia" w:hAnsiTheme="minorEastAsia" w:cstheme="minorEastAsia"/>
          <w:kern w:val="0"/>
          <w:szCs w:val="21"/>
        </w:rPr>
        <w:t>7.3.1 单价</w:t>
      </w:r>
      <w:r>
        <w:rPr>
          <w:rFonts w:hint="eastAsia" w:asciiTheme="minorEastAsia" w:hAnsiTheme="minorEastAsia" w:cstheme="minorEastAsia"/>
          <w:kern w:val="0"/>
          <w:u w:val="single"/>
        </w:rPr>
        <w:t>合同包括的风险范围: 1、合同履行期间物价上涨（另有约定除外）；2、定额、标准及规范调整: 国家政策变化以及一个有经验的承包方可以或应该预见的风险。3、因临时停电、停水引起的费用增加。</w:t>
      </w:r>
    </w:p>
    <w:p w14:paraId="31D1D197">
      <w:pPr>
        <w:adjustRightInd w:val="0"/>
        <w:spacing w:line="400" w:lineRule="exact"/>
        <w:rPr>
          <w:rFonts w:asciiTheme="minorEastAsia" w:hAnsiTheme="minorEastAsia" w:cstheme="minorEastAsia"/>
        </w:rPr>
      </w:pPr>
      <w:r>
        <w:rPr>
          <w:rFonts w:hint="eastAsia" w:asciiTheme="minorEastAsia" w:hAnsiTheme="minorEastAsia" w:cstheme="minorEastAsia"/>
        </w:rPr>
        <w:t>7.3.1.1 风险费用的计算方法:以上风险费用已在投标报价时考虑，不再另行计取。如因此而造成停工、罢工的，除按工期有关条款外，所有损失及费用由乙方自行承担，发包人有权追偿。</w:t>
      </w:r>
    </w:p>
    <w:p w14:paraId="74789D9E">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7.3.1.2 风险范围以外合同价格的调整方法：按照合理的成本与利润构成的原则，由甲乙双方按照第4.2款[商定或确定]确定变更工作的单价。</w:t>
      </w:r>
    </w:p>
    <w:p w14:paraId="5B9B26BA">
      <w:pPr>
        <w:autoSpaceDE w:val="0"/>
        <w:autoSpaceDN w:val="0"/>
        <w:adjustRightInd w:val="0"/>
        <w:spacing w:line="360" w:lineRule="auto"/>
        <w:jc w:val="left"/>
        <w:rPr>
          <w:rFonts w:asciiTheme="minorEastAsia" w:hAnsiTheme="minorEastAsia" w:cstheme="minorEastAsia"/>
          <w:kern w:val="0"/>
          <w:szCs w:val="21"/>
        </w:rPr>
      </w:pPr>
      <w:r>
        <w:rPr>
          <w:rFonts w:hint="eastAsia" w:asciiTheme="minorEastAsia" w:hAnsiTheme="minorEastAsia" w:cstheme="minorEastAsia"/>
          <w:kern w:val="0"/>
          <w:szCs w:val="21"/>
        </w:rPr>
        <w:t>7.3.3 总价合同包含的风险范围：主要建筑材料（设备）及施工机械台班市场价格的增减幅度未超过</w:t>
      </w:r>
      <w:r>
        <w:rPr>
          <w:rFonts w:hint="eastAsia" w:asciiTheme="minorEastAsia" w:hAnsiTheme="minorEastAsia" w:cstheme="minorEastAsia"/>
          <w:kern w:val="0"/>
          <w:szCs w:val="21"/>
          <w:u w:val="single"/>
        </w:rPr>
        <w:t xml:space="preserve"> C </w:t>
      </w:r>
      <w:r>
        <w:rPr>
          <w:rFonts w:hint="eastAsia" w:asciiTheme="minorEastAsia" w:hAnsiTheme="minorEastAsia" w:cstheme="minorEastAsia"/>
          <w:kern w:val="0"/>
          <w:szCs w:val="21"/>
        </w:rPr>
        <w:t xml:space="preserve">（A、5；/B、10；/C、20），根据第8.3.1款约定的价格调整办法。 </w:t>
      </w:r>
    </w:p>
    <w:p w14:paraId="6C9A539C">
      <w:pPr>
        <w:spacing w:line="400" w:lineRule="exact"/>
        <w:jc w:val="left"/>
        <w:rPr>
          <w:rFonts w:asciiTheme="minorEastAsia" w:hAnsiTheme="minorEastAsia" w:cstheme="minorEastAsia"/>
          <w:b/>
          <w:kern w:val="0"/>
          <w:szCs w:val="21"/>
        </w:rPr>
      </w:pPr>
      <w:r>
        <w:rPr>
          <w:rFonts w:hint="eastAsia" w:asciiTheme="minorEastAsia" w:hAnsiTheme="minorEastAsia" w:cstheme="minorEastAsia"/>
          <w:b/>
          <w:kern w:val="0"/>
          <w:szCs w:val="21"/>
        </w:rPr>
        <w:t>7.4 预付款</w:t>
      </w:r>
    </w:p>
    <w:p w14:paraId="329439C6">
      <w:pPr>
        <w:adjustRightInd w:val="0"/>
        <w:spacing w:line="400" w:lineRule="exact"/>
        <w:rPr>
          <w:rFonts w:asciiTheme="minorEastAsia" w:hAnsiTheme="minorEastAsia" w:cstheme="minorEastAsia"/>
        </w:rPr>
      </w:pPr>
      <w:r>
        <w:rPr>
          <w:rFonts w:hint="eastAsia" w:asciiTheme="minorEastAsia" w:hAnsiTheme="minorEastAsia" w:cstheme="minorEastAsia"/>
        </w:rPr>
        <w:t>7.4.1 预付款支付比例约定：</w:t>
      </w:r>
      <w:r>
        <w:rPr>
          <w:rFonts w:hint="eastAsia" w:asciiTheme="minorEastAsia" w:hAnsiTheme="minorEastAsia" w:cstheme="minorEastAsia"/>
          <w:u w:val="single"/>
        </w:rPr>
        <w:t xml:space="preserve">   </w:t>
      </w:r>
      <w:r>
        <w:rPr>
          <w:rFonts w:hint="eastAsia"/>
          <w:u w:val="single"/>
        </w:rPr>
        <w:t xml:space="preserve">  </w:t>
      </w:r>
      <w:r>
        <w:rPr>
          <w:rFonts w:hint="eastAsia" w:asciiTheme="minorEastAsia" w:hAnsiTheme="minorEastAsia" w:cstheme="minorEastAsia"/>
          <w:u w:val="single"/>
        </w:rPr>
        <w:t xml:space="preserve">  </w:t>
      </w:r>
    </w:p>
    <w:p w14:paraId="386052E7">
      <w:pPr>
        <w:adjustRightInd w:val="0"/>
        <w:spacing w:line="400" w:lineRule="exact"/>
        <w:rPr>
          <w:rFonts w:asciiTheme="minorEastAsia" w:hAnsiTheme="minorEastAsia" w:cstheme="minorEastAsia"/>
        </w:rPr>
      </w:pPr>
      <w:r>
        <w:rPr>
          <w:rFonts w:hint="eastAsia" w:asciiTheme="minorEastAsia" w:hAnsiTheme="minorEastAsia" w:cstheme="minorEastAsia"/>
        </w:rPr>
        <w:t>7.4.2 预付款担保</w:t>
      </w:r>
    </w:p>
    <w:p w14:paraId="5BF9A307">
      <w:pPr>
        <w:adjustRightInd w:val="0"/>
        <w:spacing w:line="400" w:lineRule="exact"/>
        <w:rPr>
          <w:rFonts w:asciiTheme="minorEastAsia" w:hAnsiTheme="minorEastAsia" w:cstheme="minorEastAsia"/>
        </w:rPr>
      </w:pPr>
      <w:r>
        <w:rPr>
          <w:rFonts w:hint="eastAsia" w:asciiTheme="minorEastAsia" w:hAnsiTheme="minorEastAsia" w:cstheme="minorEastAsia"/>
        </w:rPr>
        <w:t>（1）当承包方的建筑市场信用等级为C级及以下时，应当向发包人提供符合本合同附件《预付款保函》格式的银行保函一份。担保期限自发包人支付预付款之日至预付款扣回之日止。</w:t>
      </w:r>
    </w:p>
    <w:p w14:paraId="13BE2154">
      <w:pPr>
        <w:adjustRightInd w:val="0"/>
        <w:spacing w:line="400" w:lineRule="exact"/>
        <w:rPr>
          <w:rFonts w:asciiTheme="minorEastAsia" w:hAnsiTheme="minorEastAsia" w:cstheme="minorEastAsia"/>
        </w:rPr>
      </w:pPr>
      <w:r>
        <w:rPr>
          <w:rFonts w:hint="eastAsia" w:asciiTheme="minorEastAsia" w:hAnsiTheme="minorEastAsia" w:cstheme="minorEastAsia"/>
        </w:rPr>
        <w:t>（2）承包方的信用等级以本合同约定的发包人应当支付预付款的时间所在季度的本市建筑市场信用等级确定。</w:t>
      </w:r>
    </w:p>
    <w:p w14:paraId="09A0F3B7">
      <w:pPr>
        <w:adjustRightInd w:val="0"/>
        <w:spacing w:line="400" w:lineRule="exact"/>
        <w:rPr>
          <w:rFonts w:asciiTheme="minorEastAsia" w:hAnsiTheme="minorEastAsia" w:cstheme="minorEastAsia"/>
        </w:rPr>
      </w:pPr>
      <w:r>
        <w:rPr>
          <w:rFonts w:hint="eastAsia" w:asciiTheme="minorEastAsia" w:hAnsiTheme="minorEastAsia" w:cstheme="minorEastAsia"/>
        </w:rPr>
        <w:t>（3）承包方与预付款担保有关的任何利息或其它类似的费用或者收益由承包方承担。</w:t>
      </w:r>
    </w:p>
    <w:p w14:paraId="7B9A6C98">
      <w:pPr>
        <w:spacing w:line="400" w:lineRule="exact"/>
        <w:jc w:val="left"/>
        <w:rPr>
          <w:rFonts w:asciiTheme="minorEastAsia" w:hAnsiTheme="minorEastAsia" w:cstheme="minorEastAsia"/>
          <w:b/>
          <w:kern w:val="0"/>
          <w:szCs w:val="21"/>
        </w:rPr>
      </w:pPr>
      <w:r>
        <w:rPr>
          <w:rFonts w:hint="eastAsia" w:asciiTheme="minorEastAsia" w:hAnsiTheme="minorEastAsia" w:cstheme="minorEastAsia"/>
          <w:b/>
          <w:kern w:val="0"/>
          <w:szCs w:val="21"/>
        </w:rPr>
        <w:t>7.5 计量</w:t>
      </w:r>
    </w:p>
    <w:p w14:paraId="414F3BEF">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7.5.1 关于工程量计算原则约定：工程量计量按照合同约定的工程量计算规则、图纸及变更指示等进行计量。工程量计算规则应以相关的国家标准、行业标准等为依据。</w:t>
      </w:r>
    </w:p>
    <w:p w14:paraId="2F024E41">
      <w:pPr>
        <w:adjustRightInd w:val="0"/>
        <w:spacing w:line="400" w:lineRule="exact"/>
        <w:rPr>
          <w:rFonts w:asciiTheme="minorEastAsia" w:hAnsiTheme="minorEastAsia" w:cstheme="minorEastAsia"/>
          <w:u w:val="single"/>
        </w:rPr>
      </w:pPr>
      <w:r>
        <w:rPr>
          <w:rFonts w:hint="eastAsia" w:asciiTheme="minorEastAsia" w:hAnsiTheme="minorEastAsia" w:cstheme="minorEastAsia"/>
        </w:rPr>
        <w:t>7.5.2 关于计量周期及本合同计量方式和程序的约定：</w:t>
      </w:r>
      <w:r>
        <w:rPr>
          <w:rFonts w:hint="eastAsia" w:asciiTheme="minorEastAsia" w:hAnsiTheme="minorEastAsia" w:cstheme="minorEastAsia"/>
          <w:u w:val="single"/>
        </w:rPr>
        <w:t xml:space="preserve">  除本合同另有约定外执行通用条款。                       </w:t>
      </w:r>
    </w:p>
    <w:p w14:paraId="512E6829">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7.5.3 工程量计算依据</w:t>
      </w:r>
    </w:p>
    <w:p w14:paraId="14807BCD">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可能包括但不限于：</w:t>
      </w:r>
      <w:r>
        <w:rPr>
          <w:rFonts w:hint="eastAsia" w:asciiTheme="minorEastAsia" w:hAnsiTheme="minorEastAsia" w:cstheme="minorEastAsia"/>
          <w:kern w:val="0"/>
          <w:sz w:val="22"/>
          <w:lang w:val="zh-CN"/>
        </w:rPr>
        <w:t>清单根据《浙江省建设工程工程量清单计价指引》（2013）市政工</w:t>
      </w:r>
      <w:r>
        <w:rPr>
          <w:rFonts w:hint="eastAsia" w:asciiTheme="minorEastAsia" w:hAnsiTheme="minorEastAsia" w:cstheme="minorEastAsia"/>
          <w:kern w:val="0"/>
          <w:szCs w:val="21"/>
        </w:rPr>
        <w:t>程、建筑工程、园林景观工程；浙江省相关补充规定及宁波市造价管理处的相关文件；其他：        /</w:t>
      </w:r>
      <w:r>
        <w:rPr>
          <w:rFonts w:hint="eastAsia" w:asciiTheme="minorEastAsia" w:hAnsiTheme="minorEastAsia" w:cstheme="minorEastAsia"/>
          <w:kern w:val="0"/>
          <w:szCs w:val="21"/>
          <w:u w:val="single"/>
        </w:rPr>
        <w:t xml:space="preserve">                                              </w:t>
      </w:r>
      <w:r>
        <w:rPr>
          <w:rFonts w:hint="eastAsia" w:asciiTheme="minorEastAsia" w:hAnsiTheme="minorEastAsia" w:cstheme="minorEastAsia"/>
          <w:kern w:val="0"/>
          <w:szCs w:val="21"/>
        </w:rPr>
        <w:t>。</w:t>
      </w:r>
    </w:p>
    <w:p w14:paraId="178AF575">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7.5.4 取费依据（若发生则按以下依据计取）</w:t>
      </w:r>
    </w:p>
    <w:p w14:paraId="076068F9">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 xml:space="preserve">请参照招标清单编制说明 。      </w:t>
      </w:r>
    </w:p>
    <w:p w14:paraId="77549898">
      <w:pPr>
        <w:spacing w:line="400" w:lineRule="exact"/>
        <w:jc w:val="left"/>
        <w:rPr>
          <w:rFonts w:asciiTheme="minorEastAsia" w:hAnsiTheme="minorEastAsia" w:cstheme="minorEastAsia"/>
          <w:b/>
          <w:kern w:val="0"/>
          <w:szCs w:val="21"/>
        </w:rPr>
      </w:pPr>
      <w:r>
        <w:rPr>
          <w:rFonts w:hint="eastAsia" w:asciiTheme="minorEastAsia" w:hAnsiTheme="minorEastAsia" w:cstheme="minorEastAsia"/>
          <w:b/>
          <w:kern w:val="0"/>
          <w:szCs w:val="21"/>
        </w:rPr>
        <w:t>7.6 关于措施项目费的约定</w:t>
      </w:r>
    </w:p>
    <w:p w14:paraId="281124C7">
      <w:pPr>
        <w:adjustRightInd w:val="0"/>
        <w:spacing w:line="400" w:lineRule="exact"/>
        <w:rPr>
          <w:rFonts w:asciiTheme="minorEastAsia" w:hAnsiTheme="minorEastAsia" w:cstheme="minorEastAsia"/>
        </w:rPr>
      </w:pPr>
      <w:r>
        <w:rPr>
          <w:rFonts w:hint="eastAsia" w:asciiTheme="minorEastAsia" w:hAnsiTheme="minorEastAsia" w:cstheme="minorEastAsia"/>
        </w:rPr>
        <w:t>本工程措施费包干使用，结算时不做调整。</w:t>
      </w:r>
    </w:p>
    <w:p w14:paraId="59C2ACFC">
      <w:pPr>
        <w:pStyle w:val="24"/>
        <w:spacing w:line="400" w:lineRule="exact"/>
        <w:rPr>
          <w:rFonts w:asciiTheme="minorEastAsia" w:hAnsiTheme="minorEastAsia" w:eastAsiaTheme="minorEastAsia" w:cstheme="minorEastAsia"/>
          <w:sz w:val="24"/>
          <w:szCs w:val="21"/>
        </w:rPr>
      </w:pPr>
    </w:p>
    <w:p w14:paraId="12572018">
      <w:pPr>
        <w:pStyle w:val="24"/>
        <w:spacing w:line="400" w:lineRule="exac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第八条 变更</w:t>
      </w:r>
    </w:p>
    <w:p w14:paraId="382EAA23">
      <w:pPr>
        <w:spacing w:line="400" w:lineRule="exact"/>
        <w:jc w:val="left"/>
        <w:rPr>
          <w:rFonts w:asciiTheme="minorEastAsia" w:hAnsiTheme="minorEastAsia" w:cstheme="minorEastAsia"/>
          <w:b/>
          <w:kern w:val="0"/>
          <w:szCs w:val="21"/>
        </w:rPr>
      </w:pPr>
      <w:r>
        <w:rPr>
          <w:rFonts w:hint="eastAsia" w:asciiTheme="minorEastAsia" w:hAnsiTheme="minorEastAsia" w:cstheme="minorEastAsia"/>
          <w:b/>
          <w:kern w:val="0"/>
          <w:szCs w:val="21"/>
        </w:rPr>
        <w:t>8.1变更的范围</w:t>
      </w:r>
    </w:p>
    <w:p w14:paraId="4D142B8F">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合同双方当事人约定：合同履行过程中发生以下情形的，应按照本条约定进行合同变更。</w:t>
      </w:r>
    </w:p>
    <w:p w14:paraId="2B94C3A7">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（1）发包人提供的工程量清单数量误差；</w:t>
      </w:r>
    </w:p>
    <w:p w14:paraId="3450B498">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（2）发包人和监理签证；</w:t>
      </w:r>
    </w:p>
    <w:p w14:paraId="74B5C52C">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（3）暂定价项目或暂列金额。</w:t>
      </w:r>
    </w:p>
    <w:p w14:paraId="47716E89">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设计变更必须经设计单位确认；因工程变更而产生的新增减工程量，经参建各方工程联系单盖章签复意见后，方可作为决算依据。发包人根据工程需要修改施工图或发出指令增加或减少工程量，工程量不论增减多少，承包方均应服从；对变更（或增加）项目中的无价材料（或项目）发包人有权按规定进行招标或进行政府采购确定价格及供货单位。</w:t>
      </w:r>
    </w:p>
    <w:p w14:paraId="4F0D4E02">
      <w:pPr>
        <w:spacing w:line="400" w:lineRule="exact"/>
        <w:jc w:val="left"/>
        <w:rPr>
          <w:rFonts w:asciiTheme="minorEastAsia" w:hAnsiTheme="minorEastAsia" w:cstheme="minorEastAsia"/>
          <w:b/>
          <w:kern w:val="0"/>
          <w:szCs w:val="21"/>
        </w:rPr>
      </w:pPr>
      <w:r>
        <w:rPr>
          <w:rFonts w:hint="eastAsia" w:asciiTheme="minorEastAsia" w:hAnsiTheme="minorEastAsia" w:cstheme="minorEastAsia"/>
          <w:b/>
          <w:kern w:val="0"/>
          <w:szCs w:val="21"/>
        </w:rPr>
        <w:t>8.2 变更估价</w:t>
      </w:r>
    </w:p>
    <w:p w14:paraId="3F6E617F">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8.2.1 关于变更单价的约定：</w:t>
      </w:r>
    </w:p>
    <w:p w14:paraId="01768760">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（1）已标价的预算书有相同项目的，按照相同项目单价认定；</w:t>
      </w:r>
    </w:p>
    <w:p w14:paraId="4EF3ACA4">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2）已标价的预算书中无相同项目，但有类似项目的，参照类似项目单价（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78E83753">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（3）当实际工程量与预算书中列明的该项工程量出现偏差时，该部分单价可选</w:t>
      </w:r>
      <w:r>
        <w:rPr>
          <w:rFonts w:hint="eastAsia" w:asciiTheme="minorEastAsia" w:hAnsiTheme="minorEastAsia" w:cstheme="minorEastAsia"/>
          <w:kern w:val="0"/>
          <w:szCs w:val="21"/>
          <w:u w:val="single"/>
        </w:rPr>
        <w:t xml:space="preserve"> B </w:t>
      </w:r>
      <w:r>
        <w:rPr>
          <w:rFonts w:hint="eastAsia" w:asciiTheme="minorEastAsia" w:hAnsiTheme="minorEastAsia" w:cstheme="minorEastAsia"/>
          <w:kern w:val="0"/>
          <w:szCs w:val="21"/>
        </w:rPr>
        <w:t>（A / B）方式调整：</w:t>
      </w:r>
    </w:p>
    <w:p w14:paraId="6B706132">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A.变更导致实际完成的变更工程量与预算书中列明的该项目工程量的变化幅度超过15%的，增加部分的工程量的综合单价应予调整；当工程量减少15%以上时，减少后剩余部分的工程量的单价应予以调整。</w:t>
      </w:r>
    </w:p>
    <w:p w14:paraId="7785A557">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B.合价金额占合同总价2%及以上的分部分项清单项目，其工程量增加或减少超过本项目工程数量15%及以上时，或合价金额占合同总价不到2%的分部分项清单项目，但其工程量增加或减少超过本项目工程数量25%及以上时，其增加部分工程量或减少后剩余部分工程量的相应单价应予调整。</w:t>
      </w:r>
    </w:p>
    <w:p w14:paraId="7E9D7B50">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4）已标价的预算书中无相同项目及类似项目单价的，应由承包方根据变更工程资料、计量规则和计价办法、工程造价管理机构发布的信息价格和承包方报价浮动率提出变更工程项目的单价，并应报发包人确认后调整。浮动率=（中标价/招标控制价—1）*100%，中标价及招标控制价均指剔除了以项为单位的暂估价、暂列金额后的价格。</w:t>
      </w:r>
    </w:p>
    <w:p w14:paraId="00FC7163">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5）已标价的预算书中无相同项目及类似项目单价的，且工程造价管理机构发布的信息价格缺价的，应由承包方根据变更工程资料、计量规则、计价办法和通过市场调查等取得有合法依据的市场价格提出变更工程项目的单价，并应发包人确认后调整。</w:t>
      </w:r>
    </w:p>
    <w:p w14:paraId="6EA40650">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（6）施工中出现施工图纸或设计变更与工程量清单项目特征描述不符的，发承包双方应按新的项目特征确定相应工程量清单项目，按本条款（1）—（5）的规定重新确定相应预算书项目的单价，并调整合同价款。</w:t>
      </w:r>
      <w:r>
        <w:rPr>
          <w:rFonts w:hint="eastAsia" w:asciiTheme="minorEastAsia" w:hAnsiTheme="minorEastAsia" w:cstheme="minorEastAsia"/>
          <w:b/>
          <w:kern w:val="0"/>
          <w:szCs w:val="21"/>
        </w:rPr>
        <w:t xml:space="preserve"> </w:t>
      </w:r>
    </w:p>
    <w:p w14:paraId="79F05258">
      <w:pPr>
        <w:spacing w:line="400" w:lineRule="exact"/>
        <w:rPr>
          <w:rFonts w:asciiTheme="minorEastAsia" w:hAnsiTheme="minorEastAsia" w:cstheme="minorEastAsia"/>
          <w:b/>
          <w:szCs w:val="21"/>
        </w:rPr>
      </w:pPr>
      <w:r>
        <w:rPr>
          <w:rFonts w:hint="eastAsia" w:asciiTheme="minorEastAsia" w:hAnsiTheme="minorEastAsia" w:cstheme="minorEastAsia"/>
          <w:b/>
          <w:kern w:val="0"/>
          <w:szCs w:val="21"/>
        </w:rPr>
        <w:t xml:space="preserve">8.3 </w:t>
      </w:r>
      <w:r>
        <w:rPr>
          <w:rFonts w:hint="eastAsia" w:asciiTheme="minorEastAsia" w:hAnsiTheme="minorEastAsia" w:cstheme="minorEastAsia"/>
          <w:b/>
          <w:szCs w:val="21"/>
        </w:rPr>
        <w:t>暂估价</w:t>
      </w:r>
    </w:p>
    <w:p w14:paraId="0AB493B0">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8.3.1 暂定材料价的结算办法：工程暂定材料价格由发包人会同监理单位等相关单位根据市场价格确定，由发包人和监理单位在定牌定价签证单上签字盖章后，作为竣工结算的依据，承包方不得以任何理由拒绝或推迟由发包人定牌定价相关材料及项目的施工，否则按竞争性磋商文件相应规定处罚。</w:t>
      </w:r>
    </w:p>
    <w:p w14:paraId="08E93512">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8.3.2 专业工程暂估价项目：按实结算，不发生或采购人不要求承包方完成则不计取。专业工程暂估价在结算时，应先从合同总价中扣除采购人提供的专业工程暂估价及相应的规费、税金，再按发包人签证的综合单价或本合同条款8.2.1款规定确定综合单价，工程量按实调整，进行结算。</w:t>
      </w:r>
    </w:p>
    <w:p w14:paraId="05605375">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8.3.3专业工程暂估价部分实施时由承包方负责提供该部分内容图纸。</w:t>
      </w:r>
    </w:p>
    <w:p w14:paraId="67DBEAF6">
      <w:pPr>
        <w:spacing w:line="400" w:lineRule="exact"/>
        <w:rPr>
          <w:rFonts w:asciiTheme="minorEastAsia" w:hAnsiTheme="minorEastAsia" w:cstheme="minorEastAsia"/>
          <w:b/>
          <w:szCs w:val="21"/>
        </w:rPr>
      </w:pPr>
      <w:r>
        <w:rPr>
          <w:rFonts w:hint="eastAsia" w:asciiTheme="minorEastAsia" w:hAnsiTheme="minorEastAsia" w:cstheme="minorEastAsia"/>
          <w:b/>
          <w:kern w:val="0"/>
          <w:szCs w:val="21"/>
        </w:rPr>
        <w:t xml:space="preserve">8.4 </w:t>
      </w:r>
      <w:r>
        <w:rPr>
          <w:rFonts w:hint="eastAsia" w:asciiTheme="minorEastAsia" w:hAnsiTheme="minorEastAsia" w:cstheme="minorEastAsia"/>
          <w:b/>
          <w:szCs w:val="21"/>
        </w:rPr>
        <w:t>暂列金额</w:t>
      </w:r>
    </w:p>
    <w:p w14:paraId="40FE29D1">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8.4.1 合同当事人关于暂列金额使用的约定：由发包人通过监理人发出使用指令。</w:t>
      </w:r>
    </w:p>
    <w:p w14:paraId="35625ADA">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8.4.2 暂列金额结算办法：暂列金额按实结算，不发生则不计取；暂列金额在结算时，应先从合同总价中扣除采购人提供的暂列金额，再按发包人签证的综合单价或本合同条款8.2.1款规定确定综合单价，工程量按实调整，进行结算。</w:t>
      </w:r>
    </w:p>
    <w:p w14:paraId="18F8404F">
      <w:pPr>
        <w:spacing w:line="400" w:lineRule="exact"/>
        <w:rPr>
          <w:rFonts w:asciiTheme="minorEastAsia" w:hAnsiTheme="minorEastAsia" w:cstheme="minorEastAsia"/>
          <w:b/>
          <w:kern w:val="0"/>
          <w:szCs w:val="21"/>
        </w:rPr>
      </w:pPr>
      <w:r>
        <w:rPr>
          <w:rFonts w:hint="eastAsia" w:asciiTheme="minorEastAsia" w:hAnsiTheme="minorEastAsia" w:cstheme="minorEastAsia"/>
          <w:b/>
          <w:kern w:val="0"/>
          <w:szCs w:val="21"/>
        </w:rPr>
        <w:t xml:space="preserve">8.5 </w:t>
      </w:r>
      <w:r>
        <w:rPr>
          <w:rFonts w:hint="eastAsia" w:asciiTheme="minorEastAsia" w:hAnsiTheme="minorEastAsia" w:cstheme="minorEastAsia"/>
          <w:b/>
          <w:szCs w:val="21"/>
        </w:rPr>
        <w:t>承包方的合理化建议</w:t>
      </w:r>
    </w:p>
    <w:p w14:paraId="17F183EC">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8.5.1 监理人审查承包方合理化建议的期限：执行通用条款。</w:t>
      </w:r>
    </w:p>
    <w:p w14:paraId="5B50C30A">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8.5.2 发包人审批承包方合理化建议的期限：执行通用条款。</w:t>
      </w:r>
    </w:p>
    <w:p w14:paraId="13C1E7D1">
      <w:pPr>
        <w:pStyle w:val="18"/>
        <w:spacing w:line="400" w:lineRule="exact"/>
        <w:rPr>
          <w:rFonts w:asciiTheme="minorEastAsia" w:hAnsiTheme="minorEastAsia" w:cstheme="minorEastAsia"/>
          <w:kern w:val="0"/>
          <w:szCs w:val="21"/>
        </w:rPr>
      </w:pPr>
    </w:p>
    <w:p w14:paraId="31B5F046">
      <w:pPr>
        <w:pStyle w:val="18"/>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第九条 竣工验收与结算</w:t>
      </w:r>
    </w:p>
    <w:p w14:paraId="183F3FBF">
      <w:pPr>
        <w:spacing w:line="400" w:lineRule="exact"/>
        <w:rPr>
          <w:rFonts w:asciiTheme="minorEastAsia" w:hAnsiTheme="minorEastAsia" w:cstheme="minorEastAsia"/>
          <w:b/>
          <w:szCs w:val="21"/>
        </w:rPr>
      </w:pPr>
      <w:r>
        <w:rPr>
          <w:rFonts w:hint="eastAsia" w:asciiTheme="minorEastAsia" w:hAnsiTheme="minorEastAsia" w:cstheme="minorEastAsia"/>
          <w:b/>
          <w:kern w:val="0"/>
          <w:szCs w:val="21"/>
        </w:rPr>
        <w:t>9.1</w:t>
      </w:r>
      <w:r>
        <w:rPr>
          <w:rFonts w:hint="eastAsia" w:asciiTheme="minorEastAsia" w:hAnsiTheme="minorEastAsia" w:cstheme="minorEastAsia"/>
          <w:b/>
          <w:szCs w:val="21"/>
        </w:rPr>
        <w:t>验收</w:t>
      </w:r>
    </w:p>
    <w:p w14:paraId="2E7BCC68">
      <w:pPr>
        <w:pStyle w:val="18"/>
        <w:spacing w:line="400" w:lineRule="exact"/>
        <w:rPr>
          <w:rFonts w:asciiTheme="minorEastAsia" w:hAnsiTheme="minorEastAsia" w:cstheme="minorEastAsia"/>
          <w:b w:val="0"/>
          <w:kern w:val="0"/>
          <w:sz w:val="21"/>
          <w:szCs w:val="21"/>
        </w:rPr>
      </w:pPr>
      <w:r>
        <w:rPr>
          <w:rFonts w:hint="eastAsia" w:asciiTheme="minorEastAsia" w:hAnsiTheme="minorEastAsia" w:cstheme="minorEastAsia"/>
          <w:b w:val="0"/>
          <w:kern w:val="0"/>
          <w:sz w:val="21"/>
          <w:szCs w:val="21"/>
        </w:rPr>
        <w:t>9.1.1 关于分部分项目工程验收的约定：执行通用条款。</w:t>
      </w:r>
    </w:p>
    <w:p w14:paraId="29B09F5B">
      <w:pPr>
        <w:pStyle w:val="18"/>
        <w:spacing w:line="400" w:lineRule="exact"/>
        <w:rPr>
          <w:rFonts w:asciiTheme="minorEastAsia" w:hAnsiTheme="minorEastAsia" w:cstheme="minorEastAsia"/>
          <w:b w:val="0"/>
          <w:kern w:val="0"/>
          <w:sz w:val="21"/>
          <w:szCs w:val="21"/>
        </w:rPr>
      </w:pPr>
      <w:r>
        <w:rPr>
          <w:rFonts w:hint="eastAsia" w:asciiTheme="minorEastAsia" w:hAnsiTheme="minorEastAsia" w:cstheme="minorEastAsia"/>
          <w:b w:val="0"/>
          <w:kern w:val="0"/>
          <w:sz w:val="21"/>
          <w:szCs w:val="21"/>
        </w:rPr>
        <w:t>9.1.2 关于竣工验收程序的约定：执行通用条款。</w:t>
      </w:r>
    </w:p>
    <w:p w14:paraId="1C65F3F9">
      <w:pPr>
        <w:pStyle w:val="18"/>
        <w:spacing w:line="400" w:lineRule="exact"/>
        <w:rPr>
          <w:rFonts w:asciiTheme="minorEastAsia" w:hAnsiTheme="minorEastAsia" w:cstheme="minorEastAsia"/>
          <w:b w:val="0"/>
          <w:kern w:val="0"/>
          <w:sz w:val="21"/>
          <w:szCs w:val="21"/>
        </w:rPr>
      </w:pPr>
      <w:r>
        <w:rPr>
          <w:rFonts w:hint="eastAsia" w:asciiTheme="minorEastAsia" w:hAnsiTheme="minorEastAsia" w:cstheme="minorEastAsia"/>
          <w:b w:val="0"/>
          <w:kern w:val="0"/>
          <w:sz w:val="21"/>
          <w:szCs w:val="21"/>
        </w:rPr>
        <w:t>9.1.3发包人无理由不按照本项约定组织竣工验收、颁发工程接收证书的承包方需书面发函敦促，不得直接向发包人主张违约金。</w:t>
      </w:r>
    </w:p>
    <w:p w14:paraId="40A7EA8A">
      <w:pPr>
        <w:spacing w:line="400" w:lineRule="exact"/>
        <w:rPr>
          <w:rFonts w:asciiTheme="minorEastAsia" w:hAnsiTheme="minorEastAsia" w:cstheme="minorEastAsia"/>
          <w:b/>
          <w:szCs w:val="21"/>
        </w:rPr>
      </w:pPr>
      <w:r>
        <w:rPr>
          <w:rFonts w:hint="eastAsia" w:asciiTheme="minorEastAsia" w:hAnsiTheme="minorEastAsia" w:cstheme="minorEastAsia"/>
          <w:b/>
          <w:kern w:val="0"/>
          <w:szCs w:val="21"/>
        </w:rPr>
        <w:t xml:space="preserve">9.2 </w:t>
      </w:r>
      <w:r>
        <w:rPr>
          <w:rFonts w:hint="eastAsia" w:asciiTheme="minorEastAsia" w:hAnsiTheme="minorEastAsia" w:cstheme="minorEastAsia"/>
          <w:b/>
          <w:szCs w:val="21"/>
        </w:rPr>
        <w:t>移交、接收全部与部分工程</w:t>
      </w:r>
    </w:p>
    <w:p w14:paraId="3908E6AA">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9.2.1 承包方向发包人移交工程的期限：在颁发工程接收证书后</w:t>
      </w:r>
      <w:r>
        <w:rPr>
          <w:rFonts w:hint="eastAsia" w:asciiTheme="minorEastAsia" w:hAnsiTheme="minorEastAsia" w:cstheme="minorEastAsia"/>
          <w:kern w:val="0"/>
          <w:szCs w:val="21"/>
          <w:u w:val="single"/>
        </w:rPr>
        <w:t xml:space="preserve"> B </w:t>
      </w:r>
      <w:r>
        <w:rPr>
          <w:rFonts w:hint="eastAsia" w:asciiTheme="minorEastAsia" w:hAnsiTheme="minorEastAsia" w:cstheme="minorEastAsia"/>
          <w:kern w:val="0"/>
          <w:szCs w:val="21"/>
        </w:rPr>
        <w:t>（A、7；/ B、14；/ C、21）天内完成工程的移交。</w:t>
      </w:r>
    </w:p>
    <w:p w14:paraId="222B9C38">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9.2.2 发包人无正当理由未按本合同约定接收全部或部分工程的，除承担自应接收工程之日起的工程照管、成本保护、保管等与工程有关的各项费用外，应当按本合同约定的提前竣工奖励的5倍标准向承包方支付逾期接收工程的违约金。</w:t>
      </w:r>
    </w:p>
    <w:p w14:paraId="75A9A45F">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9.2.3 承包方未按本合同约定移交工程的，除承担自应接收工程之日起的工程照管、成本保护、保管等与工程有关的各项费用外，应当按本合同约定的工期延误赔偿标准的5倍向发包人支付逾期移交工程的违约金。</w:t>
      </w:r>
    </w:p>
    <w:p w14:paraId="02E79243">
      <w:pPr>
        <w:spacing w:line="400" w:lineRule="exact"/>
        <w:rPr>
          <w:rFonts w:asciiTheme="minorEastAsia" w:hAnsiTheme="minorEastAsia" w:cstheme="minorEastAsia"/>
          <w:b/>
          <w:szCs w:val="21"/>
        </w:rPr>
      </w:pPr>
      <w:r>
        <w:rPr>
          <w:rFonts w:hint="eastAsia" w:asciiTheme="minorEastAsia" w:hAnsiTheme="minorEastAsia" w:cstheme="minorEastAsia"/>
          <w:b/>
          <w:kern w:val="0"/>
          <w:szCs w:val="21"/>
        </w:rPr>
        <w:t xml:space="preserve">9.3 </w:t>
      </w:r>
      <w:r>
        <w:rPr>
          <w:rFonts w:hint="eastAsia" w:asciiTheme="minorEastAsia" w:hAnsiTheme="minorEastAsia" w:cstheme="minorEastAsia"/>
          <w:b/>
          <w:szCs w:val="21"/>
        </w:rPr>
        <w:t>工程试车</w:t>
      </w:r>
    </w:p>
    <w:p w14:paraId="0E269E58">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9.3.1 关于试车程序及费用的约定：执行通用条款。</w:t>
      </w:r>
    </w:p>
    <w:p w14:paraId="39BF2A7E">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9.3.2 关于投料试车相关事项的约定：执行通用条款。</w:t>
      </w:r>
    </w:p>
    <w:p w14:paraId="560223DC">
      <w:pPr>
        <w:spacing w:line="400" w:lineRule="exact"/>
        <w:rPr>
          <w:rFonts w:asciiTheme="minorEastAsia" w:hAnsiTheme="minorEastAsia" w:cstheme="minorEastAsia"/>
          <w:b/>
          <w:szCs w:val="21"/>
        </w:rPr>
      </w:pPr>
      <w:r>
        <w:rPr>
          <w:rFonts w:hint="eastAsia" w:asciiTheme="minorEastAsia" w:hAnsiTheme="minorEastAsia" w:cstheme="minorEastAsia"/>
          <w:b/>
          <w:kern w:val="0"/>
          <w:szCs w:val="21"/>
        </w:rPr>
        <w:t xml:space="preserve">9.4 </w:t>
      </w:r>
      <w:r>
        <w:rPr>
          <w:rFonts w:hint="eastAsia" w:asciiTheme="minorEastAsia" w:hAnsiTheme="minorEastAsia" w:cstheme="minorEastAsia"/>
          <w:b/>
          <w:szCs w:val="21"/>
        </w:rPr>
        <w:t>竣工退场</w:t>
      </w:r>
    </w:p>
    <w:p w14:paraId="7328A2C4">
      <w:pPr>
        <w:adjustRightInd w:val="0"/>
        <w:spacing w:line="400" w:lineRule="exact"/>
        <w:rPr>
          <w:rFonts w:asciiTheme="minorEastAsia" w:hAnsiTheme="minorEastAsia" w:cstheme="minorEastAsia"/>
          <w:szCs w:val="21"/>
        </w:rPr>
      </w:pPr>
      <w:r>
        <w:rPr>
          <w:rFonts w:hint="eastAsia" w:asciiTheme="minorEastAsia" w:hAnsiTheme="minorEastAsia" w:cstheme="minorEastAsia"/>
          <w:kern w:val="0"/>
          <w:szCs w:val="21"/>
        </w:rPr>
        <w:t xml:space="preserve">9.4.1 </w:t>
      </w:r>
      <w:r>
        <w:rPr>
          <w:rFonts w:hint="eastAsia" w:asciiTheme="minorEastAsia" w:hAnsiTheme="minorEastAsia" w:cstheme="minorEastAsia"/>
          <w:szCs w:val="21"/>
        </w:rPr>
        <w:t>承包方应当在发包人颁发工程接收证书后</w:t>
      </w:r>
      <w:r>
        <w:rPr>
          <w:rFonts w:hint="eastAsia" w:asciiTheme="minorEastAsia" w:hAnsiTheme="minorEastAsia" w:cstheme="minorEastAsia"/>
          <w:szCs w:val="21"/>
          <w:u w:val="single"/>
        </w:rPr>
        <w:t xml:space="preserve"> B </w:t>
      </w:r>
      <w:r>
        <w:rPr>
          <w:rFonts w:hint="eastAsia" w:asciiTheme="minorEastAsia" w:hAnsiTheme="minorEastAsia" w:cstheme="minorEastAsia"/>
          <w:kern w:val="0"/>
          <w:szCs w:val="21"/>
        </w:rPr>
        <w:t>（A、7；/ B、14；/ C、21）天</w:t>
      </w:r>
      <w:r>
        <w:rPr>
          <w:rFonts w:hint="eastAsia" w:asciiTheme="minorEastAsia" w:hAnsiTheme="minorEastAsia" w:cstheme="minorEastAsia"/>
          <w:szCs w:val="21"/>
        </w:rPr>
        <w:t>内完成竣工退场，逾期未完成的，按通用条款执行。</w:t>
      </w:r>
    </w:p>
    <w:p w14:paraId="6800CAFE">
      <w:pPr>
        <w:spacing w:line="400" w:lineRule="exact"/>
        <w:rPr>
          <w:rFonts w:asciiTheme="minorEastAsia" w:hAnsiTheme="minorEastAsia" w:cstheme="minorEastAsia"/>
          <w:b/>
          <w:szCs w:val="21"/>
        </w:rPr>
      </w:pPr>
      <w:r>
        <w:rPr>
          <w:rFonts w:hint="eastAsia" w:asciiTheme="minorEastAsia" w:hAnsiTheme="minorEastAsia" w:cstheme="minorEastAsia"/>
          <w:b/>
          <w:kern w:val="0"/>
          <w:szCs w:val="21"/>
        </w:rPr>
        <w:t xml:space="preserve">9.5 </w:t>
      </w:r>
      <w:r>
        <w:rPr>
          <w:rFonts w:hint="eastAsia" w:asciiTheme="minorEastAsia" w:hAnsiTheme="minorEastAsia" w:cstheme="minorEastAsia"/>
          <w:b/>
          <w:szCs w:val="21"/>
        </w:rPr>
        <w:t>竣工结算</w:t>
      </w:r>
    </w:p>
    <w:p w14:paraId="5CE61074">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9.5.1 承包方应当在工程竣工验收合格后</w:t>
      </w:r>
      <w:r>
        <w:rPr>
          <w:rFonts w:hint="eastAsia" w:asciiTheme="minorEastAsia" w:hAnsiTheme="minorEastAsia" w:cstheme="minorEastAsia"/>
          <w:kern w:val="0"/>
          <w:szCs w:val="21"/>
          <w:u w:val="single"/>
        </w:rPr>
        <w:t xml:space="preserve"> A </w:t>
      </w:r>
      <w:r>
        <w:rPr>
          <w:rFonts w:hint="eastAsia" w:asciiTheme="minorEastAsia" w:hAnsiTheme="minorEastAsia" w:cstheme="minorEastAsia"/>
          <w:kern w:val="0"/>
          <w:szCs w:val="21"/>
        </w:rPr>
        <w:t>（A、14；/ B、21；/ C、28）天内向发包人或其委托的工程造价咨询人提交竣工结算申请单及其完整的结算资料3份。</w:t>
      </w:r>
    </w:p>
    <w:p w14:paraId="17BE9565">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9.5.2 发包人或其委托的工程造价咨询人对竣工结算申请单有异议或者结算资料不符合要求的，有权要求承包方进行修正和提供补充资料，但应当出具书面的意见。承包方应当按照发包人或其委托的工程造价咨询人出具的书面意见提交修正后的竣工结算申请单或结算资料，竣工结算申请的时间从提交修正后的竣工结算申请单或结算资料起计算。</w:t>
      </w:r>
    </w:p>
    <w:p w14:paraId="2EFF51A5">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9.5.3 竣工结算申请单应包括的内容：按通用条款执行。</w:t>
      </w:r>
    </w:p>
    <w:p w14:paraId="2965B2E0">
      <w:pPr>
        <w:spacing w:line="400" w:lineRule="exact"/>
        <w:rPr>
          <w:rFonts w:asciiTheme="minorEastAsia" w:hAnsiTheme="minorEastAsia" w:cstheme="minorEastAsia"/>
          <w:b/>
          <w:szCs w:val="21"/>
        </w:rPr>
      </w:pPr>
      <w:r>
        <w:rPr>
          <w:rFonts w:hint="eastAsia" w:asciiTheme="minorEastAsia" w:hAnsiTheme="minorEastAsia" w:cstheme="minorEastAsia"/>
          <w:b/>
          <w:kern w:val="0"/>
          <w:szCs w:val="21"/>
        </w:rPr>
        <w:t xml:space="preserve">9.6 </w:t>
      </w:r>
      <w:r>
        <w:rPr>
          <w:rFonts w:hint="eastAsia" w:asciiTheme="minorEastAsia" w:hAnsiTheme="minorEastAsia" w:cstheme="minorEastAsia"/>
          <w:b/>
          <w:szCs w:val="21"/>
        </w:rPr>
        <w:t>结算审核</w:t>
      </w:r>
    </w:p>
    <w:p w14:paraId="3E75389C">
      <w:pPr>
        <w:pStyle w:val="7"/>
        <w:adjustRightInd w:val="0"/>
        <w:spacing w:line="400" w:lineRule="exact"/>
        <w:ind w:firstLine="0" w:firstLineChars="0"/>
        <w:rPr>
          <w:rFonts w:asciiTheme="minorEastAsia" w:hAnsiTheme="minorEastAsia" w:cstheme="minorEastAsia"/>
          <w:u w:val="single"/>
        </w:rPr>
      </w:pPr>
      <w:r>
        <w:rPr>
          <w:rFonts w:hint="eastAsia" w:asciiTheme="minorEastAsia" w:hAnsiTheme="minorEastAsia" w:cstheme="minorEastAsia"/>
        </w:rPr>
        <w:t>9.6.1 发包人或其委托的工程造价咨询人应在收到符合要求的竣工结算申请单及其结算资料后</w:t>
      </w:r>
      <w:r>
        <w:rPr>
          <w:rFonts w:hint="eastAsia" w:asciiTheme="minorEastAsia" w:hAnsiTheme="minorEastAsia" w:cstheme="minorEastAsia"/>
          <w:u w:val="single"/>
        </w:rPr>
        <w:t xml:space="preserve"> C </w:t>
      </w:r>
      <w:r>
        <w:rPr>
          <w:rFonts w:hint="eastAsia" w:asciiTheme="minorEastAsia" w:hAnsiTheme="minorEastAsia" w:cstheme="minorEastAsia"/>
        </w:rPr>
        <w:t>（A、14；/ B、28；/ C、56）天内完成审批，并由监理人向承包方签发经发包人签认的竣工付款证书。</w:t>
      </w:r>
    </w:p>
    <w:p w14:paraId="1A3BDCC0">
      <w:pPr>
        <w:spacing w:line="400" w:lineRule="exact"/>
        <w:rPr>
          <w:rFonts w:asciiTheme="minorEastAsia" w:hAnsiTheme="minorEastAsia" w:cstheme="minorEastAsia"/>
          <w:szCs w:val="21"/>
        </w:rPr>
      </w:pPr>
      <w:r>
        <w:rPr>
          <w:rFonts w:hint="eastAsia" w:asciiTheme="minorEastAsia" w:hAnsiTheme="minorEastAsia" w:cstheme="minorEastAsia"/>
          <w:kern w:val="0"/>
          <w:szCs w:val="21"/>
        </w:rPr>
        <w:t xml:space="preserve">9.6.2 </w:t>
      </w:r>
      <w:r>
        <w:rPr>
          <w:rFonts w:hint="eastAsia" w:asciiTheme="minorEastAsia" w:hAnsiTheme="minorEastAsia" w:cstheme="minorEastAsia"/>
          <w:szCs w:val="21"/>
        </w:rPr>
        <w:t>发包人在收到承包方提交的竣工结算申请单后</w:t>
      </w:r>
      <w:r>
        <w:rPr>
          <w:rFonts w:hint="eastAsia" w:asciiTheme="minorEastAsia" w:hAnsiTheme="minorEastAsia" w:cstheme="minorEastAsia"/>
          <w:szCs w:val="21"/>
          <w:u w:val="single"/>
        </w:rPr>
        <w:t xml:space="preserve"> B </w:t>
      </w:r>
      <w:r>
        <w:rPr>
          <w:rFonts w:hint="eastAsia" w:asciiTheme="minorEastAsia" w:hAnsiTheme="minorEastAsia" w:cstheme="minorEastAsia"/>
          <w:kern w:val="0"/>
          <w:szCs w:val="21"/>
        </w:rPr>
        <w:t>（A、28；/ B、56；/ C、112）</w:t>
      </w:r>
      <w:r>
        <w:rPr>
          <w:rFonts w:hint="eastAsia" w:asciiTheme="minorEastAsia" w:hAnsiTheme="minorEastAsia" w:cstheme="minorEastAsia"/>
          <w:szCs w:val="21"/>
        </w:rPr>
        <w:t>天应当提出异议或者出具结算报告的，若未出具则不视为发包人认可承包方提交的竣工结算申请单的默许。</w:t>
      </w:r>
    </w:p>
    <w:p w14:paraId="18F4B6F4">
      <w:pPr>
        <w:spacing w:line="400" w:lineRule="exact"/>
        <w:rPr>
          <w:rFonts w:asciiTheme="minorEastAsia" w:hAnsiTheme="minorEastAsia" w:cstheme="minorEastAsia"/>
          <w:szCs w:val="21"/>
        </w:rPr>
      </w:pPr>
      <w:r>
        <w:rPr>
          <w:rFonts w:hint="eastAsia" w:asciiTheme="minorEastAsia" w:hAnsiTheme="minorEastAsia" w:cstheme="minorEastAsia"/>
          <w:kern w:val="0"/>
          <w:szCs w:val="21"/>
        </w:rPr>
        <w:t xml:space="preserve">9.6.3 </w:t>
      </w:r>
      <w:r>
        <w:rPr>
          <w:rFonts w:hint="eastAsia" w:asciiTheme="minorEastAsia" w:hAnsiTheme="minorEastAsia" w:cstheme="minorEastAsia"/>
          <w:szCs w:val="21"/>
        </w:rPr>
        <w:t>发包人应在签发竣工付款证书后</w:t>
      </w:r>
      <w:r>
        <w:rPr>
          <w:rFonts w:hint="eastAsia" w:asciiTheme="minorEastAsia" w:hAnsiTheme="minorEastAsia" w:cstheme="minorEastAsia"/>
          <w:szCs w:val="21"/>
          <w:u w:val="single"/>
        </w:rPr>
        <w:t xml:space="preserve"> C </w:t>
      </w:r>
      <w:r>
        <w:rPr>
          <w:rFonts w:hint="eastAsia" w:asciiTheme="minorEastAsia" w:hAnsiTheme="minorEastAsia" w:cstheme="minorEastAsia"/>
          <w:kern w:val="0"/>
          <w:szCs w:val="21"/>
        </w:rPr>
        <w:t>（A、7；/ B、14；/ C、21）</w:t>
      </w:r>
      <w:r>
        <w:rPr>
          <w:rFonts w:hint="eastAsia" w:asciiTheme="minorEastAsia" w:hAnsiTheme="minorEastAsia" w:cstheme="minorEastAsia"/>
          <w:szCs w:val="21"/>
        </w:rPr>
        <w:t>个工作日内，完成对承包方的竣工付款。发包人逾期支付的违约责任按通用条款执行。</w:t>
      </w:r>
    </w:p>
    <w:p w14:paraId="1022A0EA">
      <w:pPr>
        <w:spacing w:line="400" w:lineRule="exact"/>
        <w:rPr>
          <w:rFonts w:asciiTheme="minorEastAsia" w:hAnsiTheme="minorEastAsia" w:cstheme="minorEastAsia"/>
          <w:szCs w:val="21"/>
        </w:rPr>
      </w:pPr>
      <w:r>
        <w:rPr>
          <w:rFonts w:hint="eastAsia" w:asciiTheme="minorEastAsia" w:hAnsiTheme="minorEastAsia" w:cstheme="minorEastAsia"/>
          <w:kern w:val="0"/>
          <w:szCs w:val="21"/>
        </w:rPr>
        <w:t xml:space="preserve">9.6.4 </w:t>
      </w:r>
      <w:r>
        <w:rPr>
          <w:rFonts w:hint="eastAsia" w:asciiTheme="minorEastAsia" w:hAnsiTheme="minorEastAsia" w:cstheme="minorEastAsia"/>
          <w:szCs w:val="21"/>
        </w:rPr>
        <w:t>承包方对发包人签发的竣工付款证书有异议的内容，应在收到竣工付款证书后7天内提出；承包方逾期未提出异议的，视为认可发包人的审核结果。</w:t>
      </w:r>
    </w:p>
    <w:p w14:paraId="56A9675B">
      <w:pPr>
        <w:adjustRightInd w:val="0"/>
        <w:spacing w:line="400" w:lineRule="exact"/>
        <w:rPr>
          <w:rFonts w:asciiTheme="minorEastAsia" w:hAnsiTheme="minorEastAsia" w:cstheme="minorEastAsia"/>
        </w:rPr>
      </w:pPr>
      <w:r>
        <w:rPr>
          <w:rFonts w:hint="eastAsia" w:asciiTheme="minorEastAsia" w:hAnsiTheme="minorEastAsia" w:cstheme="minorEastAsia"/>
          <w:b/>
        </w:rPr>
        <w:t>9.7 审计</w:t>
      </w:r>
      <w:r>
        <w:rPr>
          <w:rFonts w:hint="eastAsia" w:asciiTheme="minorEastAsia" w:hAnsiTheme="minorEastAsia" w:cstheme="minorEastAsia"/>
        </w:rPr>
        <w:t>（本项适用按规定需要进行固定资产投资审计的项目）</w:t>
      </w:r>
    </w:p>
    <w:p w14:paraId="469E33FB">
      <w:pPr>
        <w:adjustRightInd w:val="0"/>
        <w:spacing w:line="400" w:lineRule="exact"/>
        <w:rPr>
          <w:rFonts w:asciiTheme="minorEastAsia" w:hAnsiTheme="minorEastAsia" w:cstheme="minorEastAsia"/>
        </w:rPr>
      </w:pPr>
      <w:r>
        <w:rPr>
          <w:rFonts w:hint="eastAsia" w:asciiTheme="minorEastAsia" w:hAnsiTheme="minorEastAsia" w:cstheme="minorEastAsia"/>
        </w:rPr>
        <w:t>9.7.1 发包人应在完成竣工结算审批后</w:t>
      </w:r>
      <w:r>
        <w:rPr>
          <w:rFonts w:hint="eastAsia" w:asciiTheme="minorEastAsia" w:hAnsiTheme="minorEastAsia" w:cstheme="minorEastAsia"/>
          <w:u w:val="single"/>
        </w:rPr>
        <w:t xml:space="preserve"> C </w:t>
      </w:r>
      <w:r>
        <w:rPr>
          <w:rFonts w:hint="eastAsia" w:asciiTheme="minorEastAsia" w:hAnsiTheme="minorEastAsia" w:cstheme="minorEastAsia"/>
        </w:rPr>
        <w:t>（A、7；/ B、14；/ C、21）天内向审计部门提交符合审计要求的资料。</w:t>
      </w:r>
    </w:p>
    <w:p w14:paraId="60AFB5CD">
      <w:pPr>
        <w:adjustRightInd w:val="0"/>
        <w:spacing w:line="400" w:lineRule="exact"/>
        <w:rPr>
          <w:rFonts w:asciiTheme="minorEastAsia" w:hAnsiTheme="minorEastAsia" w:cstheme="minorEastAsia"/>
        </w:rPr>
      </w:pPr>
      <w:r>
        <w:rPr>
          <w:rFonts w:hint="eastAsia" w:asciiTheme="minorEastAsia" w:hAnsiTheme="minorEastAsia" w:cstheme="minorEastAsia"/>
        </w:rPr>
        <w:t>9.7.2 承包方有义务积极配合审计工作，确保审计工作的顺利开展。</w:t>
      </w:r>
    </w:p>
    <w:p w14:paraId="1A23ACE6">
      <w:pPr>
        <w:adjustRightInd w:val="0"/>
        <w:spacing w:line="400" w:lineRule="exact"/>
        <w:rPr>
          <w:rFonts w:asciiTheme="minorEastAsia" w:hAnsiTheme="minorEastAsia" w:cstheme="minorEastAsia"/>
        </w:rPr>
      </w:pPr>
      <w:r>
        <w:rPr>
          <w:rFonts w:hint="eastAsia" w:asciiTheme="minorEastAsia" w:hAnsiTheme="minorEastAsia" w:cstheme="minorEastAsia"/>
        </w:rPr>
        <w:t>9.7.3 预付合同尾款</w:t>
      </w:r>
    </w:p>
    <w:p w14:paraId="07E06B93">
      <w:pPr>
        <w:adjustRightInd w:val="0"/>
        <w:spacing w:line="400" w:lineRule="exact"/>
        <w:rPr>
          <w:rFonts w:asciiTheme="minorEastAsia" w:hAnsiTheme="minorEastAsia" w:cstheme="minorEastAsia"/>
        </w:rPr>
      </w:pPr>
      <w:r>
        <w:rPr>
          <w:rFonts w:hint="eastAsia" w:asciiTheme="minorEastAsia" w:hAnsiTheme="minorEastAsia" w:cstheme="minorEastAsia"/>
        </w:rPr>
        <w:t>（1）在发包人向审计部门提交审计资料后</w:t>
      </w:r>
      <w:r>
        <w:rPr>
          <w:rFonts w:hint="eastAsia" w:asciiTheme="minorEastAsia" w:hAnsiTheme="minorEastAsia" w:cstheme="minorEastAsia"/>
          <w:u w:val="single"/>
        </w:rPr>
        <w:t xml:space="preserve"> C </w:t>
      </w:r>
      <w:r>
        <w:rPr>
          <w:rFonts w:hint="eastAsia" w:asciiTheme="minorEastAsia" w:hAnsiTheme="minorEastAsia" w:cstheme="minorEastAsia"/>
        </w:rPr>
        <w:t>（A、2 ；/  B、4；/ C、6；/D、其他)个月内未完成审计工作的，经承包方申请，发包人</w:t>
      </w:r>
      <w:r>
        <w:rPr>
          <w:rFonts w:hint="eastAsia" w:asciiTheme="minorEastAsia" w:hAnsiTheme="minorEastAsia" w:cstheme="minorEastAsia"/>
          <w:u w:val="single"/>
        </w:rPr>
        <w:t xml:space="preserve"> B </w:t>
      </w:r>
      <w:r>
        <w:rPr>
          <w:rFonts w:hint="eastAsia" w:asciiTheme="minorEastAsia" w:hAnsiTheme="minorEastAsia" w:cstheme="minorEastAsia"/>
        </w:rPr>
        <w:t>（ A、同意；/ B、不同意）向承包方先预付经工程竣工结算确认的合同尾款。</w:t>
      </w:r>
    </w:p>
    <w:p w14:paraId="50D28596">
      <w:pPr>
        <w:adjustRightInd w:val="0"/>
        <w:spacing w:line="400" w:lineRule="exact"/>
        <w:rPr>
          <w:rFonts w:asciiTheme="minorEastAsia" w:hAnsiTheme="minorEastAsia" w:cstheme="minorEastAsia"/>
        </w:rPr>
      </w:pPr>
      <w:r>
        <w:rPr>
          <w:rFonts w:hint="eastAsia" w:asciiTheme="minorEastAsia" w:hAnsiTheme="minorEastAsia" w:cstheme="minorEastAsia"/>
        </w:rPr>
        <w:t>9.7.4 合同尾款预付担保</w:t>
      </w:r>
    </w:p>
    <w:p w14:paraId="417101A5">
      <w:pPr>
        <w:adjustRightInd w:val="0"/>
        <w:spacing w:line="400" w:lineRule="exact"/>
        <w:rPr>
          <w:rFonts w:asciiTheme="minorEastAsia" w:hAnsiTheme="minorEastAsia" w:cstheme="minorEastAsia"/>
        </w:rPr>
      </w:pPr>
      <w:r>
        <w:rPr>
          <w:rFonts w:hint="eastAsia" w:asciiTheme="minorEastAsia" w:hAnsiTheme="minorEastAsia" w:cstheme="minorEastAsia"/>
        </w:rPr>
        <w:t>（1）发包人同意向承包方预付部分或全部合同尾款的，承包方</w:t>
      </w:r>
      <w:r>
        <w:rPr>
          <w:rFonts w:hint="eastAsia" w:asciiTheme="minorEastAsia" w:hAnsiTheme="minorEastAsia" w:cstheme="minorEastAsia"/>
          <w:u w:val="single"/>
        </w:rPr>
        <w:t xml:space="preserve"> A </w:t>
      </w:r>
      <w:r>
        <w:rPr>
          <w:rFonts w:hint="eastAsia" w:asciiTheme="minorEastAsia" w:hAnsiTheme="minorEastAsia" w:cstheme="minorEastAsia"/>
        </w:rPr>
        <w:t>（A、需要；B不需要）在提交申请书的同时向发包人提交符合格式的银行保函一份。合同尾款预付担保金额与预付的合同尾款金额对等。</w:t>
      </w:r>
    </w:p>
    <w:p w14:paraId="15F892E5">
      <w:pPr>
        <w:spacing w:line="400" w:lineRule="exact"/>
        <w:rPr>
          <w:rFonts w:asciiTheme="minorEastAsia" w:hAnsiTheme="minorEastAsia" w:cstheme="minorEastAsia"/>
          <w:szCs w:val="21"/>
        </w:rPr>
      </w:pPr>
      <w:r>
        <w:rPr>
          <w:rFonts w:hint="eastAsia" w:asciiTheme="minorEastAsia" w:hAnsiTheme="minorEastAsia" w:cstheme="minorEastAsia"/>
          <w:szCs w:val="21"/>
        </w:rPr>
        <w:t>（2）合同尾款预付担保期限自发包人签发合同尾款预付款证书之日起至发包人和承包方经审计确认的工程尾款结清止。</w:t>
      </w:r>
    </w:p>
    <w:p w14:paraId="068371EC">
      <w:pPr>
        <w:adjustRightInd w:val="0"/>
        <w:spacing w:line="400" w:lineRule="exact"/>
        <w:rPr>
          <w:rFonts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kern w:val="0"/>
          <w:szCs w:val="21"/>
        </w:rPr>
        <w:t>承包方与合同尾款预付担保有关的任何利息或其它类似的费用或者收益由承包方承担</w:t>
      </w:r>
      <w:r>
        <w:rPr>
          <w:rFonts w:hint="eastAsia" w:asciiTheme="minorEastAsia" w:hAnsiTheme="minorEastAsia" w:cstheme="minorEastAsia"/>
        </w:rPr>
        <w:t>。</w:t>
      </w:r>
    </w:p>
    <w:p w14:paraId="5E440A3A">
      <w:pPr>
        <w:adjustRightInd w:val="0"/>
        <w:spacing w:line="400" w:lineRule="exact"/>
        <w:rPr>
          <w:rFonts w:asciiTheme="minorEastAsia" w:hAnsiTheme="minorEastAsia" w:cstheme="minorEastAsia"/>
          <w:b/>
        </w:rPr>
      </w:pPr>
      <w:r>
        <w:rPr>
          <w:rFonts w:hint="eastAsia" w:asciiTheme="minorEastAsia" w:hAnsiTheme="minorEastAsia" w:cstheme="minorEastAsia"/>
        </w:rPr>
        <w:t>（4）发包人应在签发合同尾款预付款证书后</w:t>
      </w:r>
      <w:r>
        <w:rPr>
          <w:rFonts w:hint="eastAsia" w:asciiTheme="minorEastAsia" w:hAnsiTheme="minorEastAsia" w:cstheme="minorEastAsia"/>
          <w:u w:val="single"/>
        </w:rPr>
        <w:t xml:space="preserve"> C </w:t>
      </w:r>
      <w:r>
        <w:rPr>
          <w:rFonts w:hint="eastAsia" w:asciiTheme="minorEastAsia" w:hAnsiTheme="minorEastAsia" w:cstheme="minorEastAsia"/>
        </w:rPr>
        <w:t>（A、7；/ B、14；/ C、21）天内，向承包方预付合同尾款。</w:t>
      </w:r>
    </w:p>
    <w:p w14:paraId="3AD6D941">
      <w:pPr>
        <w:adjustRightInd w:val="0"/>
        <w:spacing w:line="400" w:lineRule="exact"/>
        <w:rPr>
          <w:rFonts w:asciiTheme="minorEastAsia" w:hAnsiTheme="minorEastAsia" w:cstheme="minorEastAsia"/>
        </w:rPr>
      </w:pPr>
      <w:r>
        <w:rPr>
          <w:rFonts w:hint="eastAsia" w:asciiTheme="minorEastAsia" w:hAnsiTheme="minorEastAsia" w:cstheme="minorEastAsia"/>
        </w:rPr>
        <w:t>（5）经审计确认承包方需要退还部分或全部合同尾款预付款项的，承包方须按审计报告要求的时间内将应退款项退还给发包人，否则发包人有权向第三方担保人提出索赔。</w:t>
      </w:r>
    </w:p>
    <w:p w14:paraId="1EF31915">
      <w:pPr>
        <w:adjustRightInd w:val="0"/>
        <w:spacing w:line="400" w:lineRule="exact"/>
        <w:rPr>
          <w:rFonts w:asciiTheme="minorEastAsia" w:hAnsiTheme="minorEastAsia" w:cstheme="minorEastAsia"/>
        </w:rPr>
      </w:pPr>
      <w:r>
        <w:rPr>
          <w:rFonts w:hint="eastAsia" w:asciiTheme="minorEastAsia" w:hAnsiTheme="minorEastAsia" w:cstheme="minorEastAsia"/>
        </w:rPr>
        <w:t>（6）承包方提交质量保证金的，合同尾款应扣除本合同约定的质量保证金额度。</w:t>
      </w:r>
    </w:p>
    <w:p w14:paraId="37BC01E5">
      <w:pPr>
        <w:spacing w:line="400" w:lineRule="exact"/>
        <w:rPr>
          <w:rFonts w:asciiTheme="minorEastAsia" w:hAnsiTheme="minorEastAsia" w:cstheme="minorEastAsia"/>
          <w:b/>
          <w:szCs w:val="21"/>
        </w:rPr>
      </w:pPr>
      <w:r>
        <w:rPr>
          <w:rFonts w:hint="eastAsia" w:asciiTheme="minorEastAsia" w:hAnsiTheme="minorEastAsia" w:cstheme="minorEastAsia"/>
          <w:b/>
          <w:kern w:val="0"/>
          <w:szCs w:val="21"/>
        </w:rPr>
        <w:t xml:space="preserve">9.8 </w:t>
      </w:r>
      <w:r>
        <w:rPr>
          <w:rFonts w:hint="eastAsia" w:asciiTheme="minorEastAsia" w:hAnsiTheme="minorEastAsia" w:cstheme="minorEastAsia"/>
          <w:b/>
          <w:szCs w:val="21"/>
        </w:rPr>
        <w:t>最终结清</w:t>
      </w:r>
    </w:p>
    <w:p w14:paraId="2997947F">
      <w:pPr>
        <w:spacing w:line="400" w:lineRule="exact"/>
        <w:rPr>
          <w:rFonts w:asciiTheme="minorEastAsia" w:hAnsiTheme="minorEastAsia" w:cstheme="minorEastAsia"/>
          <w:szCs w:val="21"/>
        </w:rPr>
      </w:pPr>
      <w:r>
        <w:rPr>
          <w:rFonts w:hint="eastAsia" w:asciiTheme="minorEastAsia" w:hAnsiTheme="minorEastAsia" w:cstheme="minorEastAsia"/>
          <w:kern w:val="0"/>
          <w:szCs w:val="21"/>
        </w:rPr>
        <w:t xml:space="preserve">9.8.1 </w:t>
      </w:r>
      <w:r>
        <w:rPr>
          <w:rFonts w:hint="eastAsia" w:asciiTheme="minorEastAsia" w:hAnsiTheme="minorEastAsia" w:cstheme="minorEastAsia"/>
          <w:szCs w:val="21"/>
        </w:rPr>
        <w:t>最终结清申请单</w:t>
      </w:r>
    </w:p>
    <w:p w14:paraId="15C9C90B">
      <w:pPr>
        <w:spacing w:line="400" w:lineRule="exact"/>
        <w:rPr>
          <w:rFonts w:asciiTheme="minorEastAsia" w:hAnsiTheme="minorEastAsia" w:cstheme="minorEastAsia"/>
          <w:szCs w:val="21"/>
        </w:rPr>
      </w:pPr>
      <w:r>
        <w:rPr>
          <w:rFonts w:hint="eastAsia" w:asciiTheme="minorEastAsia" w:hAnsiTheme="minorEastAsia" w:cstheme="minorEastAsia"/>
          <w:szCs w:val="21"/>
        </w:rPr>
        <w:t>（1）承包方应在缺陷责任期终止证书颁发后7天内提交3份最终结清申请，并提供相关证明材料。最终结清申请应列明质量保证金、应扣除的质量保证金、缺陷责任期内发生的增减费用。</w:t>
      </w:r>
    </w:p>
    <w:p w14:paraId="1B31072D">
      <w:pPr>
        <w:spacing w:line="400" w:lineRule="exact"/>
        <w:rPr>
          <w:rFonts w:asciiTheme="minorEastAsia" w:hAnsiTheme="minorEastAsia" w:cstheme="minorEastAsia"/>
          <w:szCs w:val="21"/>
        </w:rPr>
      </w:pPr>
      <w:r>
        <w:rPr>
          <w:rFonts w:hint="eastAsia" w:asciiTheme="minorEastAsia" w:hAnsiTheme="minorEastAsia" w:cstheme="minorEastAsia"/>
          <w:szCs w:val="21"/>
        </w:rPr>
        <w:t>（2）发包人对最终结清申请单内容有异议的，有权要求承包方进行修正和提供补充资料，但应当出具书面意见。承包方应当按照发包人的书面意见提交修正后的最终结清申请单。</w:t>
      </w:r>
    </w:p>
    <w:p w14:paraId="202D5828">
      <w:pPr>
        <w:spacing w:line="400" w:lineRule="exact"/>
        <w:rPr>
          <w:rFonts w:asciiTheme="minorEastAsia" w:hAnsiTheme="minorEastAsia" w:cstheme="minorEastAsia"/>
          <w:szCs w:val="21"/>
        </w:rPr>
      </w:pPr>
      <w:r>
        <w:rPr>
          <w:rFonts w:hint="eastAsia" w:asciiTheme="minorEastAsia" w:hAnsiTheme="minorEastAsia" w:cstheme="minorEastAsia"/>
          <w:kern w:val="0"/>
          <w:szCs w:val="21"/>
        </w:rPr>
        <w:t xml:space="preserve">9.8.2 </w:t>
      </w:r>
      <w:r>
        <w:rPr>
          <w:rFonts w:hint="eastAsia" w:asciiTheme="minorEastAsia" w:hAnsiTheme="minorEastAsia" w:cstheme="minorEastAsia"/>
          <w:szCs w:val="21"/>
        </w:rPr>
        <w:t>最终结清证书和支付</w:t>
      </w:r>
    </w:p>
    <w:p w14:paraId="2CEAB929">
      <w:pPr>
        <w:spacing w:line="400" w:lineRule="exact"/>
        <w:rPr>
          <w:rFonts w:asciiTheme="minorEastAsia" w:hAnsiTheme="minorEastAsia" w:cstheme="minorEastAsia"/>
          <w:szCs w:val="21"/>
        </w:rPr>
      </w:pPr>
      <w:r>
        <w:rPr>
          <w:rFonts w:hint="eastAsia" w:asciiTheme="minorEastAsia" w:hAnsiTheme="minorEastAsia" w:cstheme="minorEastAsia"/>
          <w:szCs w:val="21"/>
        </w:rPr>
        <w:t>（1）发包人应在收到承包方提交的最终结清申请单后</w:t>
      </w:r>
      <w:r>
        <w:rPr>
          <w:rFonts w:hint="eastAsia" w:asciiTheme="minorEastAsia" w:hAnsiTheme="minorEastAsia" w:cstheme="minorEastAsia"/>
          <w:szCs w:val="21"/>
          <w:u w:val="single"/>
        </w:rPr>
        <w:t xml:space="preserve"> C </w:t>
      </w:r>
      <w:r>
        <w:rPr>
          <w:rFonts w:hint="eastAsia" w:asciiTheme="minorEastAsia" w:hAnsiTheme="minorEastAsia" w:cstheme="minorEastAsia"/>
          <w:kern w:val="0"/>
          <w:szCs w:val="21"/>
        </w:rPr>
        <w:t>（A、7；/ B、14；/ C、21）</w:t>
      </w:r>
      <w:r>
        <w:rPr>
          <w:rFonts w:hint="eastAsia" w:asciiTheme="minorEastAsia" w:hAnsiTheme="minorEastAsia" w:cstheme="minorEastAsia"/>
          <w:szCs w:val="21"/>
        </w:rPr>
        <w:t>天内完成审批并向承包方颁发最终结清证书。发包人逾期未完成审批，又未提出修改意见的，视为发包人同意承包方提交的最终结清申请单并已颁发最终结清证书 。</w:t>
      </w:r>
    </w:p>
    <w:p w14:paraId="72565F4A">
      <w:pPr>
        <w:spacing w:line="400" w:lineRule="exact"/>
        <w:rPr>
          <w:rFonts w:asciiTheme="minorEastAsia" w:hAnsiTheme="minorEastAsia" w:cstheme="minorEastAsia"/>
          <w:szCs w:val="21"/>
        </w:rPr>
      </w:pPr>
      <w:r>
        <w:rPr>
          <w:rFonts w:hint="eastAsia" w:asciiTheme="minorEastAsia" w:hAnsiTheme="minorEastAsia" w:cstheme="minorEastAsia"/>
          <w:szCs w:val="21"/>
        </w:rPr>
        <w:t>（2）发包人应在颁发最终结清证书后</w:t>
      </w:r>
      <w:r>
        <w:rPr>
          <w:rFonts w:hint="eastAsia" w:asciiTheme="minorEastAsia" w:hAnsiTheme="minorEastAsia" w:cstheme="minorEastAsia"/>
          <w:szCs w:val="21"/>
          <w:u w:val="single"/>
        </w:rPr>
        <w:t xml:space="preserve"> C </w:t>
      </w:r>
      <w:r>
        <w:rPr>
          <w:rFonts w:hint="eastAsia" w:asciiTheme="minorEastAsia" w:hAnsiTheme="minorEastAsia" w:cstheme="minorEastAsia"/>
          <w:kern w:val="0"/>
          <w:szCs w:val="21"/>
        </w:rPr>
        <w:t>（A、7；/ B、14；/ C、21）天</w:t>
      </w:r>
      <w:r>
        <w:rPr>
          <w:rFonts w:hint="eastAsia" w:asciiTheme="minorEastAsia" w:hAnsiTheme="minorEastAsia" w:cstheme="minorEastAsia"/>
          <w:szCs w:val="21"/>
        </w:rPr>
        <w:t>内完成支付。发包人逾期支付的违约责任按通用条款执行。</w:t>
      </w:r>
    </w:p>
    <w:p w14:paraId="360F6317">
      <w:pPr>
        <w:pStyle w:val="18"/>
        <w:spacing w:before="120" w:line="400" w:lineRule="exact"/>
        <w:rPr>
          <w:rFonts w:asciiTheme="minorEastAsia" w:hAnsiTheme="minorEastAsia" w:cstheme="minorEastAsia"/>
          <w:kern w:val="0"/>
          <w:szCs w:val="21"/>
        </w:rPr>
      </w:pPr>
    </w:p>
    <w:p w14:paraId="546A3430">
      <w:pPr>
        <w:pStyle w:val="18"/>
        <w:spacing w:before="120" w:line="400" w:lineRule="exact"/>
        <w:rPr>
          <w:rFonts w:asciiTheme="minorEastAsia" w:hAnsiTheme="minorEastAsia" w:cstheme="minorEastAsia"/>
          <w:kern w:val="0"/>
          <w:szCs w:val="21"/>
        </w:rPr>
      </w:pPr>
      <w:r>
        <w:rPr>
          <w:rFonts w:hint="eastAsia" w:asciiTheme="minorEastAsia" w:hAnsiTheme="minorEastAsia" w:cstheme="minorEastAsia"/>
          <w:kern w:val="0"/>
          <w:szCs w:val="21"/>
        </w:rPr>
        <w:t>第十条 缺陷责任期与保修</w:t>
      </w:r>
    </w:p>
    <w:p w14:paraId="00374705">
      <w:pPr>
        <w:spacing w:line="400" w:lineRule="exact"/>
        <w:rPr>
          <w:rFonts w:asciiTheme="minorEastAsia" w:hAnsiTheme="minorEastAsia" w:cstheme="minorEastAsia"/>
          <w:b/>
          <w:szCs w:val="21"/>
        </w:rPr>
      </w:pPr>
      <w:r>
        <w:rPr>
          <w:rFonts w:hint="eastAsia" w:asciiTheme="minorEastAsia" w:hAnsiTheme="minorEastAsia" w:cstheme="minorEastAsia"/>
          <w:b/>
          <w:kern w:val="0"/>
          <w:szCs w:val="21"/>
        </w:rPr>
        <w:t>10.1</w:t>
      </w:r>
      <w:r>
        <w:rPr>
          <w:rFonts w:hint="eastAsia" w:asciiTheme="minorEastAsia" w:hAnsiTheme="minorEastAsia" w:cstheme="minorEastAsia"/>
          <w:b/>
          <w:szCs w:val="21"/>
        </w:rPr>
        <w:t>缺陷责任期</w:t>
      </w:r>
    </w:p>
    <w:p w14:paraId="7B9760F7">
      <w:pPr>
        <w:spacing w:line="400" w:lineRule="exact"/>
        <w:rPr>
          <w:rFonts w:asciiTheme="minorEastAsia" w:hAnsiTheme="minorEastAsia" w:cstheme="minorEastAsia"/>
          <w:szCs w:val="21"/>
        </w:rPr>
      </w:pPr>
      <w:r>
        <w:rPr>
          <w:rFonts w:hint="eastAsia" w:asciiTheme="minorEastAsia" w:hAnsiTheme="minorEastAsia" w:cstheme="minorEastAsia"/>
          <w:kern w:val="0"/>
          <w:szCs w:val="21"/>
        </w:rPr>
        <w:t>10.1.1</w:t>
      </w:r>
      <w:r>
        <w:rPr>
          <w:rFonts w:hint="eastAsia" w:asciiTheme="minorEastAsia" w:hAnsiTheme="minorEastAsia" w:cstheme="minorEastAsia"/>
          <w:szCs w:val="21"/>
        </w:rPr>
        <w:t>本合同缺陷责任期为</w:t>
      </w:r>
      <w:r>
        <w:rPr>
          <w:rFonts w:hint="eastAsia" w:asciiTheme="minorEastAsia" w:hAnsiTheme="minorEastAsia" w:cstheme="minorEastAsia"/>
          <w:szCs w:val="21"/>
          <w:u w:val="single"/>
        </w:rPr>
        <w:t xml:space="preserve"> C </w:t>
      </w:r>
      <w:r>
        <w:rPr>
          <w:rFonts w:hint="eastAsia" w:asciiTheme="minorEastAsia" w:hAnsiTheme="minorEastAsia" w:cstheme="minorEastAsia"/>
          <w:kern w:val="0"/>
          <w:szCs w:val="21"/>
        </w:rPr>
        <w:t>（A、6；/ B、12；/ C、24）</w:t>
      </w:r>
      <w:r>
        <w:rPr>
          <w:rFonts w:hint="eastAsia" w:asciiTheme="minorEastAsia" w:hAnsiTheme="minorEastAsia" w:cstheme="minorEastAsia"/>
          <w:szCs w:val="21"/>
        </w:rPr>
        <w:t>个月。</w:t>
      </w:r>
    </w:p>
    <w:p w14:paraId="795C8711">
      <w:pPr>
        <w:spacing w:line="400" w:lineRule="exact"/>
        <w:rPr>
          <w:rFonts w:asciiTheme="minorEastAsia" w:hAnsiTheme="minorEastAsia" w:cstheme="minorEastAsia"/>
          <w:szCs w:val="21"/>
        </w:rPr>
      </w:pPr>
      <w:r>
        <w:rPr>
          <w:rFonts w:hint="eastAsia" w:asciiTheme="minorEastAsia" w:hAnsiTheme="minorEastAsia" w:cstheme="minorEastAsia"/>
          <w:szCs w:val="21"/>
        </w:rPr>
        <w:t>5.1.2工程竣工验收合格后，因承包方原因导致的缺陷使工程或某项主要设备不能按原定目的使用的，发包人有权在原缺陷责任期届满前要求承包方延长缺陷责任期，延长的缺陷责任期为</w:t>
      </w:r>
      <w:r>
        <w:rPr>
          <w:rFonts w:hint="eastAsia" w:asciiTheme="minorEastAsia" w:hAnsiTheme="minorEastAsia" w:cstheme="minorEastAsia"/>
          <w:szCs w:val="21"/>
          <w:u w:val="single"/>
        </w:rPr>
        <w:t xml:space="preserve"> C </w:t>
      </w:r>
      <w:r>
        <w:rPr>
          <w:rFonts w:hint="eastAsia" w:asciiTheme="minorEastAsia" w:hAnsiTheme="minorEastAsia" w:cstheme="minorEastAsia"/>
          <w:kern w:val="0"/>
          <w:szCs w:val="21"/>
        </w:rPr>
        <w:t>（A、6；/ B、12；/ C、24）</w:t>
      </w:r>
      <w:r>
        <w:rPr>
          <w:rFonts w:hint="eastAsia" w:asciiTheme="minorEastAsia" w:hAnsiTheme="minorEastAsia" w:cstheme="minorEastAsia"/>
          <w:szCs w:val="21"/>
        </w:rPr>
        <w:t>个月。</w:t>
      </w:r>
    </w:p>
    <w:p w14:paraId="4CAE853F">
      <w:pPr>
        <w:pStyle w:val="18"/>
        <w:spacing w:before="120" w:line="400" w:lineRule="exact"/>
        <w:rPr>
          <w:rFonts w:asciiTheme="minorEastAsia" w:hAnsiTheme="minorEastAsia" w:cstheme="minorEastAsia"/>
          <w:sz w:val="21"/>
          <w:szCs w:val="21"/>
        </w:rPr>
      </w:pPr>
      <w:r>
        <w:rPr>
          <w:rFonts w:hint="eastAsia" w:asciiTheme="minorEastAsia" w:hAnsiTheme="minorEastAsia" w:cstheme="minorEastAsia"/>
          <w:sz w:val="21"/>
          <w:szCs w:val="21"/>
        </w:rPr>
        <w:t xml:space="preserve">10.2 质量保证担保 </w:t>
      </w:r>
    </w:p>
    <w:p w14:paraId="386E4FA5">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 xml:space="preserve">10.2.1 </w:t>
      </w:r>
      <w:r>
        <w:rPr>
          <w:rFonts w:hint="eastAsia" w:asciiTheme="minorEastAsia" w:hAnsiTheme="minorEastAsia" w:cstheme="minorEastAsia"/>
          <w:szCs w:val="21"/>
        </w:rPr>
        <w:t>按《宁波市房屋建筑和市政基础设施工程担保管理办法（试行）》规定，</w:t>
      </w:r>
      <w:r>
        <w:rPr>
          <w:rFonts w:hint="eastAsia" w:asciiTheme="minorEastAsia" w:hAnsiTheme="minorEastAsia" w:cstheme="minorEastAsia"/>
          <w:kern w:val="0"/>
          <w:szCs w:val="21"/>
        </w:rPr>
        <w:t>承包方提供的质量保证担保形式为</w:t>
      </w:r>
      <w:r>
        <w:rPr>
          <w:rFonts w:hint="eastAsia" w:asciiTheme="minorEastAsia" w:hAnsiTheme="minorEastAsia" w:cstheme="minorEastAsia"/>
          <w:kern w:val="0"/>
          <w:szCs w:val="21"/>
          <w:u w:val="single"/>
        </w:rPr>
        <w:t xml:space="preserve"> </w:t>
      </w:r>
      <w:r>
        <w:rPr>
          <w:rFonts w:asciiTheme="minorEastAsia" w:hAnsiTheme="minorEastAsia" w:cstheme="minorEastAsia"/>
          <w:kern w:val="0"/>
          <w:szCs w:val="21"/>
          <w:u w:val="single"/>
        </w:rPr>
        <w:t xml:space="preserve">  </w:t>
      </w:r>
      <w:r>
        <w:rPr>
          <w:rFonts w:hint="eastAsia" w:asciiTheme="minorEastAsia" w:hAnsiTheme="minorEastAsia" w:cstheme="minorEastAsia"/>
          <w:kern w:val="0"/>
          <w:szCs w:val="21"/>
          <w:u w:val="single"/>
        </w:rPr>
        <w:t xml:space="preserve"> </w:t>
      </w:r>
      <w:r>
        <w:rPr>
          <w:rFonts w:hint="eastAsia" w:asciiTheme="minorEastAsia" w:hAnsiTheme="minorEastAsia" w:cstheme="minorEastAsia"/>
          <w:kern w:val="0"/>
          <w:szCs w:val="21"/>
        </w:rPr>
        <w:t>（A、质量保证金保函；/ B、质量保证金）。</w:t>
      </w:r>
    </w:p>
    <w:p w14:paraId="393935F8">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 xml:space="preserve">10.2.2 </w:t>
      </w:r>
      <w:r>
        <w:rPr>
          <w:rFonts w:hint="eastAsia" w:asciiTheme="minorEastAsia" w:hAnsiTheme="minorEastAsia" w:cstheme="minorEastAsia"/>
          <w:szCs w:val="21"/>
        </w:rPr>
        <w:t>采用质量保证金保函的，承包方最迟在缺陷责任期开始前7日将向发包人提供符合格式的银行保函一份。</w:t>
      </w:r>
    </w:p>
    <w:p w14:paraId="1DFD7148">
      <w:pPr>
        <w:spacing w:line="400" w:lineRule="exact"/>
        <w:rPr>
          <w:rFonts w:asciiTheme="minorEastAsia" w:hAnsiTheme="minorEastAsia" w:cstheme="minorEastAsia"/>
          <w:szCs w:val="21"/>
        </w:rPr>
      </w:pPr>
      <w:r>
        <w:rPr>
          <w:rFonts w:hint="eastAsia" w:asciiTheme="minorEastAsia" w:hAnsiTheme="minorEastAsia" w:cstheme="minorEastAsia"/>
          <w:kern w:val="0"/>
          <w:szCs w:val="21"/>
        </w:rPr>
        <w:t xml:space="preserve">10.2.3 </w:t>
      </w:r>
      <w:r>
        <w:rPr>
          <w:rFonts w:hint="eastAsia" w:asciiTheme="minorEastAsia" w:hAnsiTheme="minorEastAsia" w:cstheme="minorEastAsia"/>
          <w:szCs w:val="21"/>
        </w:rPr>
        <w:t>缺陷责任期延长的，承包方最迟应在原缺陷责任期届满之日前14天向发包人提交延长缺陷责任期的质量保证金保函或顺延原保函的有效期截止时间，否则发包人有权向第三方担保人提出索赔。</w:t>
      </w:r>
    </w:p>
    <w:p w14:paraId="270748E3">
      <w:pPr>
        <w:spacing w:line="400" w:lineRule="exact"/>
        <w:rPr>
          <w:rFonts w:asciiTheme="minorEastAsia" w:hAnsiTheme="minorEastAsia" w:cstheme="minorEastAsia"/>
          <w:szCs w:val="21"/>
        </w:rPr>
      </w:pPr>
      <w:r>
        <w:rPr>
          <w:rFonts w:hint="eastAsia" w:asciiTheme="minorEastAsia" w:hAnsiTheme="minorEastAsia" w:cstheme="minorEastAsia"/>
          <w:kern w:val="0"/>
          <w:szCs w:val="21"/>
        </w:rPr>
        <w:t xml:space="preserve">10.2.4 </w:t>
      </w:r>
      <w:r>
        <w:rPr>
          <w:rFonts w:hint="eastAsia" w:asciiTheme="minorEastAsia" w:hAnsiTheme="minorEastAsia" w:cstheme="minorEastAsia"/>
          <w:szCs w:val="21"/>
        </w:rPr>
        <w:t>质量保证金保函担保时间或质量保证金扣留期限与第10.1款约定的责任期保持一致。</w:t>
      </w:r>
    </w:p>
    <w:p w14:paraId="764DA4AE">
      <w:pPr>
        <w:spacing w:line="400" w:lineRule="exact"/>
        <w:rPr>
          <w:rFonts w:asciiTheme="minorEastAsia" w:hAnsiTheme="minorEastAsia" w:cstheme="minorEastAsia"/>
          <w:bCs/>
          <w:szCs w:val="21"/>
        </w:rPr>
      </w:pPr>
      <w:r>
        <w:rPr>
          <w:rFonts w:hint="eastAsia" w:asciiTheme="minorEastAsia" w:hAnsiTheme="minorEastAsia" w:cstheme="minorEastAsia"/>
          <w:bCs/>
          <w:kern w:val="0"/>
          <w:szCs w:val="21"/>
        </w:rPr>
        <w:t xml:space="preserve">10.2.5 </w:t>
      </w:r>
      <w:r>
        <w:rPr>
          <w:rFonts w:hint="eastAsia" w:asciiTheme="minorEastAsia" w:hAnsiTheme="minorEastAsia" w:cstheme="minorEastAsia"/>
          <w:bCs/>
          <w:szCs w:val="21"/>
        </w:rPr>
        <w:t>质量保证金额度暂定为</w:t>
      </w:r>
      <w:r>
        <w:rPr>
          <w:rFonts w:hint="eastAsia" w:asciiTheme="minorEastAsia" w:hAnsiTheme="minorEastAsia" w:cstheme="minorEastAsia"/>
          <w:bCs/>
          <w:kern w:val="0"/>
          <w:szCs w:val="21"/>
        </w:rPr>
        <w:t>合同金额</w:t>
      </w:r>
      <w:r>
        <w:rPr>
          <w:rFonts w:hint="eastAsia" w:asciiTheme="minorEastAsia" w:hAnsiTheme="minorEastAsia" w:cstheme="minorEastAsia"/>
          <w:bCs/>
          <w:szCs w:val="21"/>
          <w:u w:val="single"/>
        </w:rPr>
        <w:t xml:space="preserve">  1.5 % ；</w:t>
      </w:r>
      <w:r>
        <w:rPr>
          <w:rFonts w:hint="eastAsia" w:cs="宋体"/>
          <w:szCs w:val="21"/>
        </w:rPr>
        <w:t>承包人最迟在缺陷责任期开始前7日内向发包人提交质量保证金。</w:t>
      </w:r>
    </w:p>
    <w:p w14:paraId="22C0691C">
      <w:pPr>
        <w:spacing w:line="400" w:lineRule="exact"/>
        <w:rPr>
          <w:rFonts w:asciiTheme="minorEastAsia" w:hAnsiTheme="minorEastAsia" w:cstheme="minorEastAsia"/>
          <w:szCs w:val="21"/>
        </w:rPr>
      </w:pPr>
      <w:r>
        <w:rPr>
          <w:rFonts w:hint="eastAsia" w:asciiTheme="minorEastAsia" w:hAnsiTheme="minorEastAsia" w:cstheme="minorEastAsia"/>
          <w:kern w:val="0"/>
          <w:szCs w:val="21"/>
        </w:rPr>
        <w:t xml:space="preserve">10.2.6 </w:t>
      </w:r>
      <w:r>
        <w:rPr>
          <w:rFonts w:hint="eastAsia" w:asciiTheme="minorEastAsia" w:hAnsiTheme="minorEastAsia" w:cstheme="minorEastAsia"/>
          <w:szCs w:val="21"/>
        </w:rPr>
        <w:t>承包方与质量保证担保有关的任何利息或其它类似的费用或者收益由承包方承担；因承包方原因导致缺陷责任期延长的，继续提供质量保证担保所增加的费用由承包方承担。</w:t>
      </w:r>
    </w:p>
    <w:p w14:paraId="3CBF6F3D">
      <w:pPr>
        <w:pStyle w:val="18"/>
        <w:spacing w:line="400" w:lineRule="exact"/>
        <w:rPr>
          <w:rFonts w:asciiTheme="minorEastAsia" w:hAnsiTheme="minorEastAsia" w:cstheme="minorEastAsia"/>
          <w:b w:val="0"/>
          <w:kern w:val="0"/>
          <w:sz w:val="21"/>
          <w:szCs w:val="21"/>
        </w:rPr>
      </w:pPr>
      <w:r>
        <w:rPr>
          <w:rFonts w:hint="eastAsia" w:asciiTheme="minorEastAsia" w:hAnsiTheme="minorEastAsia" w:cstheme="minorEastAsia"/>
          <w:b w:val="0"/>
          <w:kern w:val="0"/>
          <w:sz w:val="21"/>
          <w:szCs w:val="21"/>
        </w:rPr>
        <w:t>10.2.7质量保修金的退还：质量缺陷责任期满并管理移交乙方开具收据后，3</w:t>
      </w:r>
      <w:r>
        <w:rPr>
          <w:rFonts w:asciiTheme="minorEastAsia" w:hAnsiTheme="minorEastAsia" w:cstheme="minorEastAsia"/>
          <w:b w:val="0"/>
          <w:kern w:val="0"/>
          <w:sz w:val="21"/>
          <w:szCs w:val="21"/>
        </w:rPr>
        <w:t>0</w:t>
      </w:r>
      <w:r>
        <w:rPr>
          <w:rFonts w:hint="eastAsia" w:asciiTheme="minorEastAsia" w:hAnsiTheme="minorEastAsia" w:cstheme="minorEastAsia"/>
          <w:b w:val="0"/>
          <w:kern w:val="0"/>
          <w:sz w:val="21"/>
          <w:szCs w:val="21"/>
        </w:rPr>
        <w:t>日内无息退还。</w:t>
      </w:r>
    </w:p>
    <w:p w14:paraId="6F58E9F5">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10.3 保修的一般规定</w:t>
      </w:r>
    </w:p>
    <w:p w14:paraId="2EA76DEB">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10.3.1 根据国务院的《建设工程质量管理条例》第三十二条规定：施工单位对施工中出现质量问题的建设工程或者竣工验收不合格的建设工程，应当负责返修。</w:t>
      </w:r>
    </w:p>
    <w:p w14:paraId="4F80FCDF">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10.3.2 基础设施工程、房屋建筑的</w:t>
      </w:r>
      <w:r>
        <w:fldChar w:fldCharType="begin"/>
      </w:r>
      <w:r>
        <w:instrText xml:space="preserve"> HYPERLINK "http://baike.baidu.com/item/%E5%9C%B0%E5%9F%BA%E5%9F%BA%E7%A1%80%E5%B7%A5%E7%A8%8B" \t "_blank" </w:instrText>
      </w:r>
      <w:r>
        <w:fldChar w:fldCharType="separate"/>
      </w:r>
      <w:r>
        <w:rPr>
          <w:rFonts w:hint="eastAsia" w:asciiTheme="minorEastAsia" w:hAnsiTheme="minorEastAsia" w:cstheme="minorEastAsia"/>
          <w:kern w:val="0"/>
          <w:szCs w:val="21"/>
        </w:rPr>
        <w:t>地基基础工程</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和</w:t>
      </w:r>
      <w:r>
        <w:fldChar w:fldCharType="begin"/>
      </w:r>
      <w:r>
        <w:instrText xml:space="preserve"> HYPERLINK "http://baike.baidu.com/item/%E4%B8%BB%E4%BD%93%E7%BB%93%E6%9E%84%E5%B7%A5%E7%A8%8B" \t "_blank" </w:instrText>
      </w:r>
      <w:r>
        <w:fldChar w:fldCharType="separate"/>
      </w:r>
      <w:r>
        <w:rPr>
          <w:rFonts w:hint="eastAsia" w:asciiTheme="minorEastAsia" w:hAnsiTheme="minorEastAsia" w:cstheme="minorEastAsia"/>
          <w:kern w:val="0"/>
          <w:szCs w:val="21"/>
        </w:rPr>
        <w:t>主体结构工程</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，为设计文件规定的该工程的合理使用年限。</w:t>
      </w:r>
    </w:p>
    <w:p w14:paraId="4B8584F5">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10.3.3 屋面防水工程、有防水要求的卫生间、房间和外墙面的防渗漏，为5年。</w:t>
      </w:r>
    </w:p>
    <w:p w14:paraId="1617C103">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10.3.4 供热与供冷系统，为2个采暖期、供冷期。</w:t>
      </w:r>
    </w:p>
    <w:p w14:paraId="38F4193A">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10.3.5 电气管线、给排水管道、设备安装和装修工程，为2年，本项目质保期为2年。</w:t>
      </w:r>
    </w:p>
    <w:p w14:paraId="7C3ED351">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10.3.6 根据国务院的《建设工程质量管理条例》第四十一条规定：建设工程在保修范围和保修期限内发生质量问题的，施工单位应当履行保修义务，并对造成的损失承担赔偿责任。</w:t>
      </w:r>
    </w:p>
    <w:p w14:paraId="49E15576">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10.4 修复通知</w:t>
      </w:r>
    </w:p>
    <w:p w14:paraId="012B6E63">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合同当事人约定：保修期内，出现质量问题，承包方在接到发包人通知必须立即组织人员进场维修，响应时间（到现场）不得大于</w:t>
      </w:r>
      <w:r>
        <w:rPr>
          <w:rFonts w:asciiTheme="minorEastAsia" w:hAnsiTheme="minorEastAsia" w:cstheme="minorEastAsia"/>
          <w:kern w:val="0"/>
          <w:szCs w:val="21"/>
        </w:rPr>
        <w:t>4</w:t>
      </w:r>
      <w:r>
        <w:rPr>
          <w:rFonts w:hint="eastAsia" w:asciiTheme="minorEastAsia" w:hAnsiTheme="minorEastAsia" w:cstheme="minorEastAsia"/>
          <w:kern w:val="0"/>
          <w:szCs w:val="21"/>
        </w:rPr>
        <w:t>小时，一般质量维修需在</w:t>
      </w:r>
      <w:r>
        <w:rPr>
          <w:rFonts w:asciiTheme="minorEastAsia" w:hAnsiTheme="minorEastAsia" w:cstheme="minorEastAsia"/>
          <w:kern w:val="0"/>
          <w:szCs w:val="21"/>
        </w:rPr>
        <w:t>3</w:t>
      </w:r>
      <w:r>
        <w:rPr>
          <w:rFonts w:hint="eastAsia" w:asciiTheme="minorEastAsia" w:hAnsiTheme="minorEastAsia" w:cstheme="minorEastAsia"/>
          <w:kern w:val="0"/>
          <w:szCs w:val="21"/>
        </w:rPr>
        <w:t>天内维修完毕，严重质量问题需在接到发包人通知后</w:t>
      </w:r>
      <w:r>
        <w:rPr>
          <w:rFonts w:asciiTheme="minorEastAsia" w:hAnsiTheme="minorEastAsia" w:cstheme="minorEastAsia"/>
          <w:kern w:val="0"/>
          <w:szCs w:val="21"/>
        </w:rPr>
        <w:t>3</w:t>
      </w:r>
      <w:r>
        <w:rPr>
          <w:rFonts w:hint="eastAsia" w:asciiTheme="minorEastAsia" w:hAnsiTheme="minorEastAsia" w:cstheme="minorEastAsia"/>
          <w:kern w:val="0"/>
          <w:szCs w:val="21"/>
        </w:rPr>
        <w:t>天内拿出维修方案（须经发包人认可），按维修方案进行维修。若承包方未按约定时间到场，发包人有权自行组织修复或委托第三方修复，发生的修理费用从承包方工程质量保证金中扣除，并视具体情况追究承包方延误维修时间造成的直接损失。</w:t>
      </w:r>
    </w:p>
    <w:p w14:paraId="179F8652">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10.4.1本项目保修期执行《建设工程质量管理条例》及浙江省、宁波市相关保修规定。</w:t>
      </w:r>
    </w:p>
    <w:p w14:paraId="5B64C52D">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10.4.2本工程保修期《工程质量保修书》所约定的期间，保修期始于项目正式竣工验收合格的日期。在保修期内承包方应无偿对项目进行修理。</w:t>
      </w:r>
    </w:p>
    <w:p w14:paraId="58627D76">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10.4.3在保修期内，接到发包人指令后，及时赶到现场并采取切实可行的措施进行抢险抢修，完成相关维修工作内容，否则发包人有权采取一切措施自行完成，相关费用由承包方承担，并扣罚该分部工程保修费。</w:t>
      </w:r>
    </w:p>
    <w:p w14:paraId="4525DCAF">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10.4.4若因维修人员不到位，保修金不予退还，影响恶劣的，发包人有权向承包方索赔，且由此所造成的一切损失由承包方负责。</w:t>
      </w:r>
    </w:p>
    <w:p w14:paraId="0D0EF19E">
      <w:pPr>
        <w:pStyle w:val="18"/>
        <w:spacing w:before="120" w:line="400" w:lineRule="exact"/>
        <w:rPr>
          <w:rFonts w:asciiTheme="minorEastAsia" w:hAnsiTheme="minorEastAsia" w:cstheme="minorEastAsia"/>
          <w:kern w:val="0"/>
          <w:szCs w:val="21"/>
        </w:rPr>
      </w:pPr>
    </w:p>
    <w:p w14:paraId="70B4B49E">
      <w:pPr>
        <w:pStyle w:val="18"/>
        <w:spacing w:before="120" w:line="400" w:lineRule="exact"/>
        <w:rPr>
          <w:rFonts w:asciiTheme="minorEastAsia" w:hAnsiTheme="minorEastAsia" w:cstheme="minorEastAsia"/>
          <w:kern w:val="0"/>
          <w:szCs w:val="21"/>
        </w:rPr>
      </w:pPr>
      <w:r>
        <w:rPr>
          <w:rFonts w:hint="eastAsia" w:asciiTheme="minorEastAsia" w:hAnsiTheme="minorEastAsia" w:cstheme="minorEastAsia"/>
          <w:kern w:val="0"/>
          <w:szCs w:val="21"/>
        </w:rPr>
        <w:t>第十一条 违约</w:t>
      </w:r>
    </w:p>
    <w:p w14:paraId="03E906F7">
      <w:pPr>
        <w:pStyle w:val="18"/>
        <w:spacing w:before="120" w:line="4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11.1 发包人违约</w:t>
      </w:r>
    </w:p>
    <w:p w14:paraId="6B703343">
      <w:pPr>
        <w:spacing w:line="400" w:lineRule="exact"/>
        <w:rPr>
          <w:rFonts w:asciiTheme="minorEastAsia" w:hAnsiTheme="minorEastAsia" w:cstheme="minorEastAsia"/>
          <w:szCs w:val="21"/>
        </w:rPr>
      </w:pPr>
      <w:r>
        <w:rPr>
          <w:rFonts w:hint="eastAsia" w:asciiTheme="minorEastAsia" w:hAnsiTheme="minorEastAsia" w:cstheme="minorEastAsia"/>
          <w:kern w:val="0"/>
          <w:szCs w:val="21"/>
        </w:rPr>
        <w:t>11.1.1</w:t>
      </w:r>
      <w:r>
        <w:rPr>
          <w:rFonts w:hint="eastAsia" w:asciiTheme="minorEastAsia" w:hAnsiTheme="minorEastAsia" w:cstheme="minorEastAsia"/>
          <w:szCs w:val="21"/>
        </w:rPr>
        <w:t xml:space="preserve"> 发包人在合同履行过程中发生的违约情形：参照通用条款。</w:t>
      </w:r>
    </w:p>
    <w:p w14:paraId="007BA0C9">
      <w:pPr>
        <w:autoSpaceDE w:val="0"/>
        <w:autoSpaceDN w:val="0"/>
        <w:adjustRightInd w:val="0"/>
        <w:spacing w:line="400" w:lineRule="exact"/>
        <w:jc w:val="left"/>
        <w:rPr>
          <w:rFonts w:asciiTheme="minorEastAsia" w:hAnsiTheme="minorEastAsia" w:cstheme="minorEastAsia"/>
          <w:szCs w:val="21"/>
        </w:rPr>
      </w:pPr>
      <w:r>
        <w:rPr>
          <w:rFonts w:hint="eastAsia" w:asciiTheme="minorEastAsia" w:hAnsiTheme="minorEastAsia" w:cstheme="minorEastAsia"/>
          <w:kern w:val="0"/>
          <w:szCs w:val="21"/>
        </w:rPr>
        <w:t xml:space="preserve">11.1.2 </w:t>
      </w:r>
      <w:r>
        <w:rPr>
          <w:rFonts w:hint="eastAsia" w:asciiTheme="minorEastAsia" w:hAnsiTheme="minorEastAsia" w:cstheme="minorEastAsia"/>
          <w:szCs w:val="21"/>
        </w:rPr>
        <w:t>发包人发生上款约定的违约情形时，承包方应当先行向发包人书面发出通知，要求发包人采取有效措施纠正违约行为。发包人收到承包方通知后28天内仍不纠正违约行为的，承包方方可暂停相应部位工程施工，并追究发包人的违约责任或解除合同。</w:t>
      </w:r>
    </w:p>
    <w:p w14:paraId="5F69BFD8">
      <w:pPr>
        <w:autoSpaceDE w:val="0"/>
        <w:autoSpaceDN w:val="0"/>
        <w:adjustRightInd w:val="0"/>
        <w:spacing w:line="400" w:lineRule="exact"/>
        <w:jc w:val="left"/>
        <w:rPr>
          <w:rFonts w:asciiTheme="minorEastAsia" w:hAnsiTheme="minorEastAsia" w:cstheme="minorEastAsia"/>
          <w:szCs w:val="21"/>
        </w:rPr>
      </w:pPr>
      <w:r>
        <w:rPr>
          <w:rFonts w:hint="eastAsia" w:asciiTheme="minorEastAsia" w:hAnsiTheme="minorEastAsia" w:cstheme="minorEastAsia"/>
          <w:kern w:val="0"/>
          <w:szCs w:val="21"/>
        </w:rPr>
        <w:t xml:space="preserve">11.1.3 </w:t>
      </w:r>
      <w:r>
        <w:rPr>
          <w:rFonts w:hint="eastAsia" w:asciiTheme="minorEastAsia" w:hAnsiTheme="minorEastAsia" w:cstheme="minorEastAsia"/>
          <w:szCs w:val="21"/>
        </w:rPr>
        <w:t>发包人违约的责任</w:t>
      </w:r>
    </w:p>
    <w:p w14:paraId="4706E8FC">
      <w:pPr>
        <w:spacing w:line="400" w:lineRule="exact"/>
        <w:rPr>
          <w:rFonts w:asciiTheme="minorEastAsia" w:hAnsiTheme="minorEastAsia" w:cstheme="minorEastAsia"/>
          <w:szCs w:val="21"/>
        </w:rPr>
      </w:pPr>
      <w:r>
        <w:rPr>
          <w:rFonts w:hint="eastAsia" w:asciiTheme="minorEastAsia" w:hAnsiTheme="minorEastAsia" w:cstheme="minorEastAsia"/>
          <w:szCs w:val="21"/>
        </w:rPr>
        <w:t>违约金以未按合同约定支付部分的合同价款为基数计算（以全国银行间同业拆借中心公布的贷款市场报价利率为准）；逾期支付超过56天的，承包方可要求发包人支付两倍违约金（以全国银行间同业拆借中心公布的贷款市场报价利率为准），同时承包方可要求发包人支付合同价款。除此之外，承包方有权向发包人追偿由于发包人违约行为给承包方造成的重大经济损失。</w:t>
      </w:r>
    </w:p>
    <w:p w14:paraId="2548059B">
      <w:pPr>
        <w:autoSpaceDE w:val="0"/>
        <w:autoSpaceDN w:val="0"/>
        <w:adjustRightInd w:val="0"/>
        <w:spacing w:line="400" w:lineRule="exact"/>
        <w:jc w:val="left"/>
        <w:rPr>
          <w:rFonts w:asciiTheme="minorEastAsia" w:hAnsiTheme="minorEastAsia" w:cstheme="minorEastAsia"/>
          <w:szCs w:val="21"/>
        </w:rPr>
      </w:pPr>
      <w:r>
        <w:rPr>
          <w:rFonts w:hint="eastAsia" w:asciiTheme="minorEastAsia" w:hAnsiTheme="minorEastAsia" w:cstheme="minorEastAsia"/>
          <w:kern w:val="0"/>
          <w:szCs w:val="21"/>
        </w:rPr>
        <w:t xml:space="preserve">11.1.4 </w:t>
      </w:r>
      <w:r>
        <w:rPr>
          <w:rFonts w:hint="eastAsia" w:asciiTheme="minorEastAsia" w:hAnsiTheme="minorEastAsia" w:cstheme="minorEastAsia"/>
          <w:szCs w:val="21"/>
        </w:rPr>
        <w:t>因发包人违约解除合同后的付款</w:t>
      </w:r>
    </w:p>
    <w:p w14:paraId="709902F3">
      <w:pPr>
        <w:spacing w:line="400" w:lineRule="exact"/>
        <w:jc w:val="left"/>
        <w:rPr>
          <w:rFonts w:asciiTheme="minorEastAsia" w:hAnsiTheme="minorEastAsia" w:cstheme="minorEastAsia"/>
          <w:szCs w:val="21"/>
        </w:rPr>
      </w:pPr>
      <w:r>
        <w:rPr>
          <w:rFonts w:hint="eastAsia" w:asciiTheme="minorEastAsia" w:hAnsiTheme="minorEastAsia" w:cstheme="minorEastAsia"/>
          <w:szCs w:val="21"/>
        </w:rPr>
        <w:t>承包方按照本款约定解除合同后，发包人应在28天内支付下列款项，并解除履约担保：</w:t>
      </w:r>
    </w:p>
    <w:p w14:paraId="4A79C7D7">
      <w:pPr>
        <w:spacing w:line="400" w:lineRule="exact"/>
        <w:jc w:val="left"/>
        <w:rPr>
          <w:rFonts w:asciiTheme="minorEastAsia" w:hAnsiTheme="minorEastAsia" w:cstheme="minorEastAsia"/>
          <w:szCs w:val="21"/>
        </w:rPr>
      </w:pPr>
      <w:r>
        <w:rPr>
          <w:rFonts w:hint="eastAsia" w:asciiTheme="minorEastAsia" w:hAnsiTheme="minorEastAsia" w:cstheme="minorEastAsia"/>
          <w:szCs w:val="21"/>
        </w:rPr>
        <w:t>（1）合同解除前所完成工作的价款；</w:t>
      </w:r>
    </w:p>
    <w:p w14:paraId="11D76AFF">
      <w:pPr>
        <w:spacing w:line="400" w:lineRule="exact"/>
        <w:jc w:val="left"/>
        <w:rPr>
          <w:rFonts w:asciiTheme="minorEastAsia" w:hAnsiTheme="minorEastAsia" w:cstheme="minorEastAsia"/>
          <w:szCs w:val="21"/>
        </w:rPr>
      </w:pPr>
      <w:r>
        <w:rPr>
          <w:rFonts w:hint="eastAsia" w:asciiTheme="minorEastAsia" w:hAnsiTheme="minorEastAsia" w:cstheme="minorEastAsia"/>
          <w:szCs w:val="21"/>
        </w:rPr>
        <w:t>（2）按照合同约定在合同解除前应支付的违约金；</w:t>
      </w:r>
    </w:p>
    <w:p w14:paraId="57BAC0F9">
      <w:pPr>
        <w:spacing w:line="400" w:lineRule="exact"/>
        <w:jc w:val="left"/>
        <w:rPr>
          <w:rFonts w:asciiTheme="minorEastAsia" w:hAnsiTheme="minorEastAsia" w:cstheme="minorEastAsia"/>
          <w:szCs w:val="21"/>
        </w:rPr>
      </w:pPr>
      <w:r>
        <w:rPr>
          <w:rFonts w:hint="eastAsia" w:asciiTheme="minorEastAsia" w:hAnsiTheme="minorEastAsia" w:cstheme="minorEastAsia"/>
          <w:szCs w:val="21"/>
        </w:rPr>
        <w:t>（3）按照合同约定应退还的工程质量保证金。</w:t>
      </w:r>
    </w:p>
    <w:p w14:paraId="0702F4F5">
      <w:pPr>
        <w:pStyle w:val="18"/>
        <w:spacing w:before="120" w:line="4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11.2 承包方违约</w:t>
      </w:r>
    </w:p>
    <w:p w14:paraId="7C8D2534">
      <w:pPr>
        <w:spacing w:line="400" w:lineRule="exact"/>
        <w:rPr>
          <w:rFonts w:asciiTheme="minorEastAsia" w:hAnsiTheme="minorEastAsia" w:cstheme="minorEastAsia"/>
          <w:szCs w:val="21"/>
        </w:rPr>
      </w:pPr>
      <w:r>
        <w:rPr>
          <w:rFonts w:hint="eastAsia" w:asciiTheme="minorEastAsia" w:hAnsiTheme="minorEastAsia" w:cstheme="minorEastAsia"/>
          <w:kern w:val="0"/>
          <w:szCs w:val="21"/>
        </w:rPr>
        <w:t xml:space="preserve">11.2.1 </w:t>
      </w:r>
      <w:r>
        <w:rPr>
          <w:rFonts w:hint="eastAsia" w:asciiTheme="minorEastAsia" w:hAnsiTheme="minorEastAsia" w:cstheme="minorEastAsia"/>
          <w:szCs w:val="21"/>
        </w:rPr>
        <w:t>承包方违约的情形按通用条款确定。</w:t>
      </w:r>
    </w:p>
    <w:p w14:paraId="66004510">
      <w:pPr>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 xml:space="preserve">11.2.2 </w:t>
      </w:r>
      <w:r>
        <w:rPr>
          <w:rFonts w:hint="eastAsia" w:asciiTheme="minorEastAsia" w:hAnsiTheme="minorEastAsia" w:cstheme="minorEastAsia"/>
          <w:szCs w:val="21"/>
        </w:rPr>
        <w:t>本工程禁止承包方将其承包的全部建筑工程转包给他人，禁止将其承包的全部建筑工程肢解以后以分包的名义分别转包给他人。若有违反，发包人有权一次性没收全部工程质量保证金并解除合同，</w:t>
      </w:r>
      <w:r>
        <w:rPr>
          <w:rFonts w:hint="eastAsia" w:asciiTheme="minorEastAsia" w:hAnsiTheme="minorEastAsia" w:cstheme="minorEastAsia"/>
          <w:kern w:val="0"/>
          <w:szCs w:val="21"/>
        </w:rPr>
        <w:t>由此造成的费用增加和工期延误损失均由承包方承担。承包方违反合同约定采购和使用不合格的材料和工程设备的；每发现一次，根据情节严重程度处于1000-100000元罚款。发包人有权对承包方不服从工程质量、进度、安全文明等管理的行为，酌情处以1000-10000元/次的罚款，并在当期工程款中扣除。</w:t>
      </w:r>
    </w:p>
    <w:p w14:paraId="295B13E0">
      <w:pPr>
        <w:spacing w:line="400" w:lineRule="exact"/>
        <w:rPr>
          <w:rFonts w:asciiTheme="minorEastAsia" w:hAnsiTheme="minorEastAsia" w:cstheme="minorEastAsia"/>
          <w:szCs w:val="21"/>
        </w:rPr>
      </w:pPr>
      <w:r>
        <w:rPr>
          <w:rFonts w:hint="eastAsia" w:asciiTheme="minorEastAsia" w:hAnsiTheme="minorEastAsia" w:cstheme="minorEastAsia"/>
          <w:kern w:val="0"/>
          <w:szCs w:val="21"/>
        </w:rPr>
        <w:t xml:space="preserve">11.2.3 </w:t>
      </w:r>
      <w:r>
        <w:rPr>
          <w:rFonts w:hint="eastAsia" w:asciiTheme="minorEastAsia" w:hAnsiTheme="minorEastAsia" w:cstheme="minorEastAsia"/>
          <w:szCs w:val="21"/>
        </w:rPr>
        <w:t>承包方违约的责任</w:t>
      </w:r>
    </w:p>
    <w:p w14:paraId="16AFB76D">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szCs w:val="21"/>
        </w:rPr>
        <w:t>承包方应承担其违约行为及纠正其违约行为而增加的费用和（或）延误的工期。延误工期的，根据实际延误的时间，按</w:t>
      </w:r>
      <w:r>
        <w:rPr>
          <w:rFonts w:hint="eastAsia" w:asciiTheme="minorEastAsia" w:hAnsiTheme="minorEastAsia" w:cstheme="minorEastAsia"/>
          <w:kern w:val="0"/>
          <w:szCs w:val="21"/>
        </w:rPr>
        <w:t>本合同约定的工期延误赔偿标准向发</w:t>
      </w:r>
      <w:r>
        <w:rPr>
          <w:rFonts w:hint="eastAsia" w:asciiTheme="minorEastAsia" w:hAnsiTheme="minorEastAsia" w:cstheme="minorEastAsia"/>
          <w:szCs w:val="21"/>
        </w:rPr>
        <w:t>包人支付违约金；延误超过56天的，按</w:t>
      </w:r>
      <w:r>
        <w:rPr>
          <w:rFonts w:hint="eastAsia" w:asciiTheme="minorEastAsia" w:hAnsiTheme="minorEastAsia" w:cstheme="minorEastAsia"/>
          <w:kern w:val="0"/>
          <w:szCs w:val="21"/>
        </w:rPr>
        <w:t>本合同约定的工期延误赔偿标准两倍支付违约金；逾期竣工违约金的限额不足时，发包人有权向承包方追偿。</w:t>
      </w:r>
    </w:p>
    <w:p w14:paraId="2ED7EAFE">
      <w:pPr>
        <w:pStyle w:val="24"/>
        <w:spacing w:line="400" w:lineRule="exact"/>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kern w:val="0"/>
          <w:sz w:val="21"/>
          <w:szCs w:val="21"/>
        </w:rPr>
        <w:t>11.2.4</w:t>
      </w:r>
      <w:r>
        <w:rPr>
          <w:rFonts w:hint="eastAsia" w:asciiTheme="minorEastAsia" w:hAnsiTheme="minorEastAsia" w:eastAsiaTheme="minorEastAsia" w:cstheme="minorEastAsia"/>
          <w:b w:val="0"/>
          <w:sz w:val="21"/>
          <w:szCs w:val="21"/>
        </w:rPr>
        <w:t xml:space="preserve"> 根本违约</w:t>
      </w:r>
    </w:p>
    <w:p w14:paraId="7177EE54">
      <w:pPr>
        <w:spacing w:line="400" w:lineRule="exact"/>
        <w:rPr>
          <w:rFonts w:ascii="宋体" w:hAnsi="宋体"/>
          <w:szCs w:val="21"/>
        </w:rPr>
      </w:pPr>
      <w:r>
        <w:rPr>
          <w:rFonts w:hint="eastAsia" w:ascii="宋体" w:hAnsi="宋体"/>
          <w:szCs w:val="21"/>
        </w:rPr>
        <w:t>承包方未能在规定的工期内完成施工内容，延误项目或因施工单位自身能力等主观原因造成不能完成发包人要求的，发包人有权按本协议约定追究承包方的违约责任。连续三次未达到施工要求或延误工期的，发包人有权解除合同。</w:t>
      </w:r>
    </w:p>
    <w:p w14:paraId="0672EF44">
      <w:pPr>
        <w:pStyle w:val="24"/>
        <w:spacing w:line="400" w:lineRule="exact"/>
        <w:rPr>
          <w:rFonts w:asciiTheme="minorEastAsia" w:hAnsiTheme="minorEastAsia" w:eastAsiaTheme="minorEastAsia" w:cstheme="minorEastAsia"/>
          <w:kern w:val="0"/>
          <w:sz w:val="24"/>
          <w:szCs w:val="21"/>
        </w:rPr>
      </w:pPr>
    </w:p>
    <w:p w14:paraId="6CE66382">
      <w:pPr>
        <w:pStyle w:val="24"/>
        <w:spacing w:line="400" w:lineRule="exact"/>
        <w:rPr>
          <w:rFonts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第十二条 不可抗力</w:t>
      </w:r>
    </w:p>
    <w:p w14:paraId="701EA559">
      <w:pPr>
        <w:pStyle w:val="24"/>
        <w:spacing w:line="40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12.1 不可抗力的确认</w:t>
      </w:r>
    </w:p>
    <w:p w14:paraId="6A8D40AB">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除通用合同条款约定的不可抗力事件之外，视为不可抗力的其他情形： 火灾、洪水、罢工、政府征用、政府禁止令、疫情等。</w:t>
      </w:r>
    </w:p>
    <w:p w14:paraId="34E5771D">
      <w:pPr>
        <w:pStyle w:val="18"/>
        <w:spacing w:before="120" w:line="4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12.2 因不可抗力解除合同</w:t>
      </w:r>
    </w:p>
    <w:p w14:paraId="31DA46A0">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合同解除后，发包人应在商定或确定发包人应支付款项后28 天内完成款项的支付。</w:t>
      </w:r>
    </w:p>
    <w:p w14:paraId="254CDC17">
      <w:pPr>
        <w:pStyle w:val="24"/>
        <w:spacing w:line="400" w:lineRule="exact"/>
        <w:rPr>
          <w:rFonts w:asciiTheme="minorEastAsia" w:hAnsiTheme="minorEastAsia" w:eastAsiaTheme="minorEastAsia" w:cstheme="minorEastAsia"/>
          <w:sz w:val="24"/>
          <w:szCs w:val="21"/>
        </w:rPr>
      </w:pPr>
    </w:p>
    <w:p w14:paraId="6969805A">
      <w:pPr>
        <w:pStyle w:val="24"/>
        <w:spacing w:line="400" w:lineRule="exac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第十三条 保险</w:t>
      </w:r>
    </w:p>
    <w:p w14:paraId="14458B7A">
      <w:pPr>
        <w:pStyle w:val="18"/>
        <w:spacing w:before="120" w:line="4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13.1 工程保险</w:t>
      </w:r>
    </w:p>
    <w:p w14:paraId="3A8279FE">
      <w:pPr>
        <w:pStyle w:val="18"/>
        <w:spacing w:before="120" w:line="400" w:lineRule="exact"/>
        <w:rPr>
          <w:rFonts w:asciiTheme="minorEastAsia" w:hAnsiTheme="minorEastAsia" w:cstheme="minorEastAsia"/>
          <w:b w:val="0"/>
          <w:kern w:val="0"/>
          <w:sz w:val="21"/>
          <w:szCs w:val="21"/>
          <w:u w:val="single"/>
        </w:rPr>
      </w:pPr>
      <w:r>
        <w:rPr>
          <w:rFonts w:hint="eastAsia" w:asciiTheme="minorEastAsia" w:hAnsiTheme="minorEastAsia" w:cstheme="minorEastAsia"/>
          <w:b w:val="0"/>
          <w:kern w:val="0"/>
          <w:sz w:val="21"/>
          <w:szCs w:val="21"/>
        </w:rPr>
        <w:t>关于工程保险的特别约定：</w:t>
      </w:r>
      <w:r>
        <w:rPr>
          <w:rFonts w:hint="eastAsia" w:asciiTheme="minorEastAsia" w:hAnsiTheme="minorEastAsia" w:cstheme="minorEastAsia"/>
          <w:b w:val="0"/>
          <w:kern w:val="0"/>
          <w:sz w:val="21"/>
          <w:szCs w:val="21"/>
          <w:u w:val="single"/>
        </w:rPr>
        <w:t>承包人进场施工前必须办妥职工意外伤害险及发包人另有要求的其余险种，费用均在承包人的投标报价和合同总价中综合考虑，承包人不再向发包人另外计取；在施工过程中发生的一切安全生产事故及其他事故，由承包人负担一切责任，同发包人无涉。</w:t>
      </w:r>
    </w:p>
    <w:p w14:paraId="7522187C">
      <w:pPr>
        <w:pStyle w:val="18"/>
        <w:spacing w:before="120" w:line="4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13.2 其他保险</w:t>
      </w:r>
    </w:p>
    <w:p w14:paraId="0E489757">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关于其他保险的约定：除第三者责任险外，保险费用由被保险人承担；承包方</w:t>
      </w:r>
      <w:r>
        <w:rPr>
          <w:rFonts w:hint="eastAsia" w:asciiTheme="minorEastAsia" w:hAnsiTheme="minorEastAsia" w:cstheme="minorEastAsia"/>
          <w:kern w:val="0"/>
          <w:szCs w:val="21"/>
          <w:u w:val="single"/>
        </w:rPr>
        <w:t xml:space="preserve"> B </w:t>
      </w:r>
      <w:r>
        <w:rPr>
          <w:rFonts w:hint="eastAsia" w:asciiTheme="minorEastAsia" w:hAnsiTheme="minorEastAsia" w:cstheme="minorEastAsia"/>
          <w:kern w:val="0"/>
          <w:szCs w:val="21"/>
        </w:rPr>
        <w:t>（A、应当；/ B、不需）为其施工设备等办理财产保险。</w:t>
      </w:r>
    </w:p>
    <w:p w14:paraId="41B487DD">
      <w:pPr>
        <w:pStyle w:val="24"/>
        <w:spacing w:line="400" w:lineRule="exact"/>
        <w:rPr>
          <w:rFonts w:asciiTheme="minorEastAsia" w:hAnsiTheme="minorEastAsia" w:eastAsiaTheme="minorEastAsia" w:cstheme="minorEastAsia"/>
          <w:sz w:val="24"/>
          <w:szCs w:val="21"/>
        </w:rPr>
      </w:pPr>
    </w:p>
    <w:p w14:paraId="35EB39AA">
      <w:pPr>
        <w:pStyle w:val="24"/>
        <w:spacing w:line="400" w:lineRule="exac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第十四条 争议解决</w:t>
      </w:r>
    </w:p>
    <w:p w14:paraId="55BA9FC1">
      <w:pPr>
        <w:pStyle w:val="18"/>
        <w:spacing w:before="120" w:line="4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14.1 争议评审</w:t>
      </w:r>
    </w:p>
    <w:p w14:paraId="4A2421FB">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合同当事人</w:t>
      </w:r>
      <w:r>
        <w:rPr>
          <w:rFonts w:hint="eastAsia" w:asciiTheme="minorEastAsia" w:hAnsiTheme="minorEastAsia" w:cstheme="minorEastAsia"/>
          <w:kern w:val="0"/>
          <w:szCs w:val="21"/>
          <w:u w:val="single"/>
        </w:rPr>
        <w:t xml:space="preserve"> B </w:t>
      </w:r>
      <w:r>
        <w:rPr>
          <w:rFonts w:hint="eastAsia" w:asciiTheme="minorEastAsia" w:hAnsiTheme="minorEastAsia" w:cstheme="minorEastAsia"/>
          <w:kern w:val="0"/>
          <w:szCs w:val="21"/>
        </w:rPr>
        <w:t xml:space="preserve">（A、同意；/ B、不同意）将工程争议提交争议评审小组决定。  </w:t>
      </w:r>
    </w:p>
    <w:p w14:paraId="7ACD7843">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14.1.1 争议评审小组的确定</w:t>
      </w:r>
    </w:p>
    <w:p w14:paraId="0736B045">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（1）争议评审小组组成：发包人和承包方共同选择3名争议评审员组成争议评审小组。</w:t>
      </w:r>
    </w:p>
    <w:p w14:paraId="60F34C36">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选定争议评审员的期限：自合同签订后28天内，或者争议发生后14天内，选定争议评审员。</w:t>
      </w:r>
    </w:p>
    <w:p w14:paraId="26F23859">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（2）争议评审小组成员的报酬承担方式：甲乙双方各承担一半。</w:t>
      </w:r>
    </w:p>
    <w:p w14:paraId="65070615">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（3）其他事项的约定：</w:t>
      </w:r>
      <w:r>
        <w:rPr>
          <w:rFonts w:hint="eastAsia" w:asciiTheme="minorEastAsia" w:hAnsiTheme="minorEastAsia" w:cstheme="minorEastAsia"/>
          <w:kern w:val="0"/>
          <w:szCs w:val="21"/>
          <w:u w:val="single"/>
        </w:rPr>
        <w:t xml:space="preserve">   /   </w:t>
      </w:r>
      <w:r>
        <w:rPr>
          <w:rFonts w:hint="eastAsia" w:asciiTheme="minorEastAsia" w:hAnsiTheme="minorEastAsia" w:cstheme="minorEastAsia"/>
          <w:kern w:val="0"/>
          <w:szCs w:val="21"/>
        </w:rPr>
        <w:t>。</w:t>
      </w:r>
    </w:p>
    <w:p w14:paraId="24B49815">
      <w:pPr>
        <w:pStyle w:val="18"/>
        <w:spacing w:before="120" w:line="400" w:lineRule="exact"/>
        <w:rPr>
          <w:rFonts w:asciiTheme="minorEastAsia" w:hAnsiTheme="minorEastAsia" w:cstheme="minorEastAsia"/>
          <w:sz w:val="21"/>
          <w:szCs w:val="21"/>
        </w:rPr>
      </w:pPr>
      <w:r>
        <w:rPr>
          <w:rFonts w:hint="eastAsia" w:asciiTheme="minorEastAsia" w:hAnsiTheme="minorEastAsia" w:cstheme="minorEastAsia"/>
          <w:kern w:val="0"/>
          <w:sz w:val="21"/>
          <w:szCs w:val="21"/>
        </w:rPr>
        <w:t xml:space="preserve">14.2 </w:t>
      </w:r>
      <w:r>
        <w:rPr>
          <w:rFonts w:hint="eastAsia" w:asciiTheme="minorEastAsia" w:hAnsiTheme="minorEastAsia" w:cstheme="minorEastAsia"/>
          <w:sz w:val="21"/>
          <w:szCs w:val="21"/>
        </w:rPr>
        <w:t>仲裁或诉讼</w:t>
      </w:r>
    </w:p>
    <w:p w14:paraId="72CB8B4E">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因合同及合同有关事项发生的争议，按下列第</w:t>
      </w:r>
      <w:r>
        <w:rPr>
          <w:rFonts w:hint="eastAsia" w:asciiTheme="minorEastAsia" w:hAnsiTheme="minorEastAsia" w:cstheme="minorEastAsia"/>
          <w:kern w:val="0"/>
          <w:szCs w:val="21"/>
          <w:u w:val="single"/>
        </w:rPr>
        <w:t xml:space="preserve"> 1 </w:t>
      </w:r>
      <w:r>
        <w:rPr>
          <w:rFonts w:hint="eastAsia" w:asciiTheme="minorEastAsia" w:hAnsiTheme="minorEastAsia" w:cstheme="minorEastAsia"/>
          <w:kern w:val="0"/>
          <w:szCs w:val="21"/>
        </w:rPr>
        <w:t>种方式解决：</w:t>
      </w:r>
    </w:p>
    <w:p w14:paraId="573882AB">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（1）向</w:t>
      </w:r>
      <w:r>
        <w:rPr>
          <w:rFonts w:hint="eastAsia" w:asciiTheme="minorEastAsia" w:hAnsiTheme="minorEastAsia" w:cstheme="minorEastAsia"/>
          <w:kern w:val="0"/>
          <w:szCs w:val="21"/>
          <w:u w:val="single"/>
        </w:rPr>
        <w:t xml:space="preserve">  宁波  </w:t>
      </w:r>
      <w:r>
        <w:rPr>
          <w:rFonts w:hint="eastAsia" w:asciiTheme="minorEastAsia" w:hAnsiTheme="minorEastAsia" w:cstheme="minorEastAsia"/>
          <w:kern w:val="0"/>
          <w:szCs w:val="21"/>
        </w:rPr>
        <w:t>仲裁委员会申请仲裁；</w:t>
      </w:r>
    </w:p>
    <w:p w14:paraId="51116543">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（2）向</w:t>
      </w:r>
      <w:r>
        <w:rPr>
          <w:rFonts w:hint="eastAsia" w:asciiTheme="minorEastAsia" w:hAnsiTheme="minorEastAsia" w:cstheme="minorEastAsia"/>
          <w:kern w:val="0"/>
          <w:szCs w:val="21"/>
          <w:u w:val="single"/>
        </w:rPr>
        <w:t xml:space="preserve"> 宁波市海曙区 </w:t>
      </w:r>
      <w:r>
        <w:rPr>
          <w:rFonts w:hint="eastAsia" w:asciiTheme="minorEastAsia" w:hAnsiTheme="minorEastAsia" w:cstheme="minorEastAsia"/>
          <w:kern w:val="0"/>
          <w:szCs w:val="21"/>
        </w:rPr>
        <w:t>人民法院起诉。</w:t>
      </w:r>
    </w:p>
    <w:p w14:paraId="54F397BD">
      <w:pPr>
        <w:adjustRightInd w:val="0"/>
        <w:spacing w:line="400" w:lineRule="exact"/>
        <w:rPr>
          <w:rFonts w:asciiTheme="minorEastAsia" w:hAnsiTheme="minorEastAsia" w:cstheme="minorEastAsia"/>
          <w:b/>
          <w:sz w:val="24"/>
          <w:szCs w:val="21"/>
        </w:rPr>
      </w:pPr>
    </w:p>
    <w:p w14:paraId="73EFE411">
      <w:pPr>
        <w:adjustRightInd w:val="0"/>
        <w:spacing w:line="400" w:lineRule="exact"/>
        <w:rPr>
          <w:rFonts w:asciiTheme="minorEastAsia" w:hAnsiTheme="minorEastAsia" w:cstheme="minorEastAsia"/>
          <w:b/>
          <w:sz w:val="24"/>
          <w:szCs w:val="21"/>
        </w:rPr>
      </w:pPr>
      <w:r>
        <w:rPr>
          <w:rFonts w:hint="eastAsia" w:asciiTheme="minorEastAsia" w:hAnsiTheme="minorEastAsia" w:cstheme="minorEastAsia"/>
          <w:b/>
          <w:sz w:val="24"/>
          <w:szCs w:val="21"/>
        </w:rPr>
        <w:t>第十五条 补充约定</w:t>
      </w:r>
    </w:p>
    <w:p w14:paraId="6A41015A">
      <w:pPr>
        <w:adjustRightInd w:val="0"/>
        <w:spacing w:line="400" w:lineRule="exact"/>
        <w:rPr>
          <w:rFonts w:asciiTheme="minorEastAsia" w:hAnsiTheme="minorEastAsia" w:cstheme="minorEastAsia"/>
          <w:szCs w:val="21"/>
        </w:rPr>
      </w:pPr>
      <w:r>
        <w:rPr>
          <w:rFonts w:hint="eastAsia" w:asciiTheme="minorEastAsia" w:hAnsiTheme="minorEastAsia" w:cstheme="minorEastAsia"/>
          <w:kern w:val="0"/>
          <w:szCs w:val="21"/>
        </w:rPr>
        <w:t xml:space="preserve">15.1 </w:t>
      </w:r>
      <w:r>
        <w:rPr>
          <w:rFonts w:hint="eastAsia" w:asciiTheme="minorEastAsia" w:hAnsiTheme="minorEastAsia" w:cstheme="minorEastAsia"/>
          <w:szCs w:val="21"/>
        </w:rPr>
        <w:t>本合同内涉及监理人的相关内容，可按发包人理解，由发包人行使监理人权力。</w:t>
      </w:r>
    </w:p>
    <w:p w14:paraId="20E1E95F">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15.2 承包方施工时所使用材料都必须保证安全环保，并在项目竣工后对发包人指定的地点委托具有相关检测资质的第三方检测机构进行现场空气质量检测报告作为发包人验收时的必要资料。承包方在投标时应将检测费用综合考虑在投标报价内，发包人不再另行支付。检测报告数据未达标的，承包方应自行承担整改的责任及费用，直至达到标准，未达标期间承包方应按日向发包人支付违约金。施工过程中所涉及的设备及材料进场前须提供样品供采购人确认后方可进场。</w:t>
      </w:r>
    </w:p>
    <w:p w14:paraId="0BCEE26D">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 xml:space="preserve"> 15.3响应文件的充分性</w:t>
      </w:r>
    </w:p>
    <w:p w14:paraId="77AF8CDE">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承包方已经认真研究了发包人提供的合同文件，对任何有可能存在的问题已经得到发包人的澄清和解答，并对由合同文件所定义的承包方合同工作内容达到彻底和充分的理解，并已将这种理解全部反映到承包方的响应文件中。报价必须与施工组织设计相一致，对施工组织设计的内容未在报价中体现的均视同承包方优惠。施工期间由于承包方原因造成施工方案的更改，所增加的工程费用及工期一概不予调整，属施工技术组织措施失误造成的费用及延误工期均由承包方承担。</w:t>
      </w:r>
    </w:p>
    <w:p w14:paraId="051BFBFD">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15.4合同双方确认，本合同及本合同约定的其它文件组成部分中的各项约定都是通过磋商采购过程形成的合法成果，不存在与采购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682D61AD">
      <w:pPr>
        <w:spacing w:line="400" w:lineRule="exact"/>
        <w:rPr>
          <w:rFonts w:ascii="宋体" w:hAnsi="宋体"/>
          <w:szCs w:val="21"/>
        </w:rPr>
      </w:pPr>
      <w:r>
        <w:rPr>
          <w:rFonts w:hint="eastAsia" w:ascii="宋体" w:hAnsi="宋体"/>
          <w:szCs w:val="21"/>
        </w:rPr>
        <w:t>15.5承包方需完全协助配合发包人。</w:t>
      </w:r>
    </w:p>
    <w:p w14:paraId="52B7FB7E">
      <w:pPr>
        <w:spacing w:line="400" w:lineRule="exact"/>
        <w:rPr>
          <w:rFonts w:ascii="宋体" w:hAnsi="宋体"/>
          <w:szCs w:val="21"/>
        </w:rPr>
      </w:pPr>
      <w:r>
        <w:rPr>
          <w:rFonts w:hint="eastAsia" w:ascii="宋体" w:hAnsi="宋体"/>
          <w:szCs w:val="21"/>
        </w:rPr>
        <w:t>15.6针对本维修项目，接到采购人通知后，承包方需及时做好工程施工日期安排、材料报验、施工方案等报送，在发包人规定的竣工日内必须无条件完成整个项目的竣工及验收，并及时做好验收整改。</w:t>
      </w:r>
    </w:p>
    <w:p w14:paraId="3D8D64BB">
      <w:pPr>
        <w:spacing w:line="400" w:lineRule="exact"/>
        <w:rPr>
          <w:rFonts w:ascii="宋体" w:hAnsi="宋体"/>
          <w:szCs w:val="21"/>
        </w:rPr>
      </w:pPr>
      <w:r>
        <w:rPr>
          <w:rFonts w:hint="eastAsia" w:ascii="宋体" w:hAnsi="宋体"/>
          <w:szCs w:val="21"/>
        </w:rPr>
        <w:t>15.7承包方必须按规定为全体作业员工购买社保及人身意外保险，必须重视安全生产工作，确保全年不出生产责任事故。如因承包方管理不当原因发生安全生产责任事故或交通事故，由承包方承担一切责任及损失。</w:t>
      </w:r>
    </w:p>
    <w:p w14:paraId="20A2B015">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15.8承包方必须按期如实支付工人的劳动工资，发包人有权监督承包方对工人工资的发放。如若发生因承包方拖欠民工工资导致民工到发包人处闹事，造成阻挠施工进度、扰乱发包人正常的工作秩序及校园环境，每发生一次，发包人有权扣罚承包方10%的工程质量保证金。并且由承包方承担由此造成的损失和责任，由此导致的工期拖延，发包人不顺延工期。同时，发包人有权在工程款中扣除相应费用代为支付民工工资。</w:t>
      </w:r>
    </w:p>
    <w:p w14:paraId="36B1A7B9">
      <w:pPr>
        <w:spacing w:line="400" w:lineRule="exact"/>
        <w:rPr>
          <w:rFonts w:asciiTheme="minorEastAsia" w:hAnsiTheme="minorEastAsia" w:cstheme="minorEastAsia"/>
          <w:kern w:val="0"/>
          <w:szCs w:val="21"/>
        </w:rPr>
      </w:pPr>
      <w:r>
        <w:rPr>
          <w:rFonts w:hint="eastAsia" w:ascii="宋体" w:hAnsi="宋体"/>
          <w:szCs w:val="21"/>
        </w:rPr>
        <w:t xml:space="preserve">15.9主材的相关要求：乙方提供的施工材料必须全部符合绿色环保、消防环保等规定要求，不得使用任何三无产品。施工前需将进行采购的材料品牌及要求提交给业主方确定，未经甲方同意不得更换已确定的装修材料。 </w:t>
      </w:r>
    </w:p>
    <w:p w14:paraId="6DEE8606">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15.10结算审核费用由发包人、承包方按“浙价服（2009）84号”文件计取，其中核增额、超过5%以上的核减额产生的追加费用由承包方支付。审核机构对承包方提交的竣工结算报告进行审核时，承包方须根据发包人及审核机构的要求履行配合义务，因承包方不配合导致审核机构无法及时完成造价审核的，责任由承包方承担，承包方不得要求发包人承担逾期付款违约责任。</w:t>
      </w:r>
    </w:p>
    <w:p w14:paraId="5B2C9A4B">
      <w:pPr>
        <w:spacing w:line="400" w:lineRule="exact"/>
      </w:pPr>
      <w:r>
        <w:rPr>
          <w:rFonts w:hint="eastAsia" w:ascii="宋体" w:hAnsi="宋体"/>
          <w:szCs w:val="21"/>
        </w:rPr>
        <w:t>15.11中标人未能履行投标文件中提供的售后服务承诺，采购人有权追偿。</w:t>
      </w:r>
    </w:p>
    <w:p w14:paraId="7BED8568">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15.12工程质量要求的其他约定</w:t>
      </w:r>
    </w:p>
    <w:p w14:paraId="7F168EC8">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承包方必须严格按合同条款、施工图纸及设计说明文件、施工验收规范、国家和省市的有关质量验收标准，精心组织施工，确保工程质量达到国家合格验收标准。承包方应详细编制施工方案，详细叙述关键部位的质量保证措施，并在响应文件中对质量目标进行承诺。</w:t>
      </w:r>
    </w:p>
    <w:p w14:paraId="6817323D">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工程经各方验收，质量未达到合同约定“合格”标准的，由承包方负责整改直至通过验收，承包方承担由此产生的所有费用及给发包人造成的损失，且工期不予顺延；工程经过承包方的全面整改后，经各方验收仍然未达到合同约定“合格”标准的，承包方必须按工程总造价的5%向发包人支付违约金，该违约金从工程质量保证金及工程款中扣除。若承包方不按发包人要求整改的，发包人有权委托第三方进行整改，整改费用由承包方承担，在工程款中扣除。发包人委托第三方整改不能免除承包方根据合同约定应当承担的工程维修责任。</w:t>
      </w:r>
    </w:p>
    <w:p w14:paraId="473E8393">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15.13本合同签订后，发包人如发现存在以下情形之一的，有权解除本合同：</w:t>
      </w:r>
    </w:p>
    <w:p w14:paraId="3BD25BC1">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（1）本合同签订前的磋商采购过程中未发现的错误，可能导致承包方潜在获利，而承包方在接到发包人对本合同的相应修正要求后，在发包人指定的期限内拒绝按要求予以修正的；</w:t>
      </w:r>
    </w:p>
    <w:p w14:paraId="029C2080">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（2）承包方实施出借或借用他人资质；在谈判中实施虚假承诺、隐瞒或虚构事实等弄虚作假行为；有串通谈判；向采购人或磋商小组成员行贿等不正当行为；</w:t>
      </w:r>
    </w:p>
    <w:p w14:paraId="2D5747B5">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 xml:space="preserve">（3）承包方正处于或将面临重大诉讼、仲裁，且发包人认为该等情形对承包方是否能全面履行谈判承诺存在重大不确定性的； </w:t>
      </w:r>
    </w:p>
    <w:p w14:paraId="5897EFED">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（4）承包方与本工程相关的应有资格、资质、认证或其他行政许可已被终止或中止或暂扣的；</w:t>
      </w:r>
    </w:p>
    <w:p w14:paraId="796A5D48">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5）当承包方未按合同约定履行义务，造成质量低下、进度迟缓、管理混乱或将成交项目转让（转包给他人），发包人有权解除合同，没收工程质量保证金，如给发包人造成的损失超过保证金数额的还应当对超过部分予以赔偿，并依法承担相应的法律责任；</w:t>
      </w:r>
    </w:p>
    <w:p w14:paraId="33BA29F7">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对发包人按前述约定而解除本合同的，承包方均予以接受并同意放弃和/或豁免采购人因此而可能对承包方造成的现实和/或有损害的任何赔偿、补偿责任；承包方因前述情形而导致本工程停工、窝工、发生质量事故等，造成发包人损害的，应承担违约责任。</w:t>
      </w:r>
    </w:p>
    <w:p w14:paraId="77994176">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15.14施工场地清洁卫生的要求：</w:t>
      </w:r>
    </w:p>
    <w:p w14:paraId="17A0805D">
      <w:pPr>
        <w:adjustRightInd w:val="0"/>
        <w:spacing w:line="400" w:lineRule="exact"/>
        <w:rPr>
          <w:rFonts w:asciiTheme="minorEastAsia" w:hAnsiTheme="minorEastAsia" w:cstheme="minorEastAsia"/>
          <w:kern w:val="0"/>
          <w:szCs w:val="21"/>
        </w:rPr>
      </w:pPr>
      <w:r>
        <w:rPr>
          <w:rFonts w:hint="eastAsia" w:asciiTheme="minorEastAsia" w:hAnsiTheme="minorEastAsia" w:cstheme="minorEastAsia"/>
          <w:kern w:val="0"/>
          <w:szCs w:val="21"/>
        </w:rPr>
        <w:t>每天清扫一次，现场公共部位的清洁工作，工程完工后2天内现场应清除所有不再需要的临时工程，承包方的设备和多余材料，全部建筑和生活垃圾。</w:t>
      </w:r>
    </w:p>
    <w:p w14:paraId="1173564A">
      <w:pPr>
        <w:adjustRightInd w:val="0"/>
        <w:spacing w:line="400" w:lineRule="exact"/>
        <w:rPr>
          <w:rFonts w:asciiTheme="minorEastAsia" w:hAnsiTheme="minorEastAsia" w:cstheme="minorEastAsia"/>
          <w:kern w:val="0"/>
          <w:szCs w:val="21"/>
        </w:rPr>
      </w:pPr>
    </w:p>
    <w:p w14:paraId="71F95F29">
      <w:pPr>
        <w:tabs>
          <w:tab w:val="left" w:pos="180"/>
        </w:tabs>
        <w:jc w:val="left"/>
        <w:rPr>
          <w:rFonts w:asciiTheme="minorEastAsia" w:hAnsiTheme="minorEastAsia" w:cstheme="minorEastAsia"/>
          <w:sz w:val="24"/>
        </w:rPr>
      </w:pPr>
    </w:p>
    <w:p w14:paraId="62FEB860">
      <w:pPr>
        <w:tabs>
          <w:tab w:val="left" w:pos="180"/>
        </w:tabs>
        <w:jc w:val="left"/>
        <w:rPr>
          <w:rFonts w:asciiTheme="minorEastAsia" w:hAnsiTheme="minorEastAsia" w:cstheme="minorEastAsia"/>
          <w:sz w:val="24"/>
        </w:rPr>
      </w:pPr>
      <w:r>
        <w:rPr>
          <w:rFonts w:hint="eastAsia" w:asciiTheme="minorEastAsia" w:hAnsiTheme="minorEastAsia" w:cstheme="minorEastAsia"/>
          <w:sz w:val="24"/>
        </w:rPr>
        <w:t>（以下无正文）</w:t>
      </w:r>
    </w:p>
    <w:p w14:paraId="46DA2327">
      <w:pPr>
        <w:spacing w:before="240" w:after="120" w:line="280" w:lineRule="exact"/>
        <w:rPr>
          <w:rFonts w:asciiTheme="minorEastAsia" w:hAnsiTheme="minorEastAsia" w:cstheme="minorEastAsia"/>
          <w:sz w:val="24"/>
        </w:rPr>
      </w:pPr>
      <w:r>
        <w:rPr>
          <w:rFonts w:hint="eastAsia" w:asciiTheme="minorEastAsia" w:hAnsiTheme="minorEastAsia" w:cstheme="minorEastAsia"/>
          <w:sz w:val="24"/>
        </w:rPr>
        <w:t xml:space="preserve">甲方：（盖章）                        乙方：（盖章） </w:t>
      </w:r>
    </w:p>
    <w:p w14:paraId="669E833F">
      <w:pPr>
        <w:spacing w:before="120" w:after="120" w:line="280" w:lineRule="exact"/>
        <w:rPr>
          <w:rFonts w:asciiTheme="minorEastAsia" w:hAnsiTheme="minorEastAsia" w:cstheme="minorEastAsia"/>
          <w:sz w:val="24"/>
        </w:rPr>
      </w:pPr>
      <w:r>
        <w:rPr>
          <w:rFonts w:hint="eastAsia" w:asciiTheme="minorEastAsia" w:hAnsiTheme="minorEastAsia" w:cstheme="minorEastAsia"/>
          <w:sz w:val="24"/>
        </w:rPr>
        <w:t>法定代表人：（签字）                  法定代表人：（签字）</w:t>
      </w:r>
    </w:p>
    <w:p w14:paraId="5E6ACF6C">
      <w:pPr>
        <w:spacing w:before="120" w:after="120" w:line="280" w:lineRule="exact"/>
        <w:rPr>
          <w:rFonts w:asciiTheme="minorEastAsia" w:hAnsiTheme="minorEastAsia" w:cstheme="minorEastAsia"/>
          <w:sz w:val="24"/>
        </w:rPr>
      </w:pPr>
      <w:r>
        <w:rPr>
          <w:rFonts w:hint="eastAsia" w:asciiTheme="minorEastAsia" w:hAnsiTheme="minorEastAsia" w:cstheme="minorEastAsia"/>
          <w:sz w:val="24"/>
        </w:rPr>
        <w:t>或委托代理人：（签字）                或委托代理人:（签字）</w:t>
      </w:r>
    </w:p>
    <w:p w14:paraId="418A1ECE">
      <w:pPr>
        <w:spacing w:before="120" w:after="120" w:line="280" w:lineRule="exact"/>
        <w:rPr>
          <w:rFonts w:asciiTheme="minorEastAsia" w:hAnsiTheme="minorEastAsia" w:cstheme="minorEastAsia"/>
          <w:sz w:val="24"/>
        </w:rPr>
      </w:pPr>
      <w:r>
        <w:rPr>
          <w:rFonts w:hint="eastAsia" w:asciiTheme="minorEastAsia" w:hAnsiTheme="minorEastAsia" w:cstheme="minorEastAsia"/>
          <w:sz w:val="24"/>
        </w:rPr>
        <w:t>指定联系方式                         指定联系方式</w:t>
      </w:r>
    </w:p>
    <w:p w14:paraId="0F7EC240">
      <w:pPr>
        <w:spacing w:before="120" w:after="120" w:line="280" w:lineRule="exact"/>
        <w:rPr>
          <w:rFonts w:asciiTheme="minorEastAsia" w:hAnsiTheme="minorEastAsia" w:cstheme="minorEastAsia"/>
          <w:sz w:val="24"/>
          <w:u w:val="single"/>
        </w:rPr>
      </w:pPr>
      <w:r>
        <w:rPr>
          <w:rFonts w:hint="eastAsia" w:asciiTheme="minorEastAsia" w:hAnsiTheme="minorEastAsia" w:cstheme="minorEastAsia"/>
          <w:sz w:val="24"/>
        </w:rPr>
        <w:t>邮箱/电话：</w:t>
      </w:r>
      <w:r>
        <w:rPr>
          <w:rFonts w:hint="eastAsia" w:asciiTheme="minorEastAsia" w:hAnsiTheme="minorEastAsia" w:cstheme="minorEastAsia"/>
          <w:sz w:val="24"/>
          <w:u w:val="single"/>
        </w:rPr>
        <w:t xml:space="preserve">  xygl@zjbti.net.cn   </w:t>
      </w:r>
      <w:r>
        <w:rPr>
          <w:rFonts w:hint="eastAsia" w:asciiTheme="minorEastAsia" w:hAnsiTheme="minorEastAsia" w:cstheme="minorEastAsia"/>
          <w:sz w:val="24"/>
        </w:rPr>
        <w:t xml:space="preserve">    邮箱/电话：</w:t>
      </w:r>
      <w:r>
        <w:rPr>
          <w:rFonts w:hint="eastAsia" w:asciiTheme="minorEastAsia" w:hAnsiTheme="minorEastAsia" w:cstheme="minorEastAsia"/>
          <w:sz w:val="24"/>
          <w:u w:val="single"/>
        </w:rPr>
        <w:t xml:space="preserve">                     </w:t>
      </w:r>
    </w:p>
    <w:p w14:paraId="14CE04DC">
      <w:pPr>
        <w:spacing w:before="120" w:after="120" w:line="280" w:lineRule="exact"/>
        <w:rPr>
          <w:rFonts w:asciiTheme="minorEastAsia" w:hAnsiTheme="minorEastAsia" w:cstheme="minorEastAsia"/>
          <w:sz w:val="24"/>
        </w:rPr>
      </w:pPr>
      <w:r>
        <w:rPr>
          <w:rFonts w:hint="eastAsia" w:asciiTheme="minorEastAsia" w:hAnsiTheme="minorEastAsia" w:cstheme="minorEastAsia"/>
          <w:sz w:val="24"/>
        </w:rPr>
        <w:t>地址： 宁波市机场路1988号           地址：</w:t>
      </w:r>
    </w:p>
    <w:p w14:paraId="157551D8">
      <w:pPr>
        <w:spacing w:before="120" w:after="120" w:line="280" w:lineRule="exact"/>
        <w:rPr>
          <w:rFonts w:asciiTheme="minorEastAsia" w:hAnsiTheme="minorEastAsia" w:cstheme="minorEastAsia"/>
          <w:sz w:val="24"/>
        </w:rPr>
      </w:pPr>
      <w:r>
        <w:rPr>
          <w:rFonts w:hint="eastAsia" w:asciiTheme="minorEastAsia" w:hAnsiTheme="minorEastAsia" w:cstheme="minorEastAsia"/>
          <w:sz w:val="24"/>
        </w:rPr>
        <w:t>签订日期：______________________     签订日期：______________________</w:t>
      </w:r>
    </w:p>
    <w:p w14:paraId="7A12C29D">
      <w:pPr>
        <w:spacing w:before="120" w:after="120" w:line="280" w:lineRule="exact"/>
        <w:rPr>
          <w:rFonts w:asciiTheme="minorEastAsia" w:hAnsiTheme="minorEastAsia" w:cstheme="minorEastAsia"/>
          <w:sz w:val="24"/>
        </w:rPr>
      </w:pPr>
      <w:r>
        <w:rPr>
          <w:rFonts w:hint="eastAsia" w:asciiTheme="minorEastAsia" w:hAnsiTheme="minorEastAsia" w:cstheme="minorEastAsia"/>
          <w:sz w:val="24"/>
        </w:rPr>
        <w:t>签订地点：_____</w:t>
      </w:r>
      <w:r>
        <w:rPr>
          <w:rFonts w:hint="eastAsia" w:asciiTheme="minorEastAsia" w:hAnsiTheme="minorEastAsia" w:cstheme="minorEastAsia"/>
          <w:sz w:val="24"/>
          <w:u w:val="single"/>
        </w:rPr>
        <w:t>_宁波__</w:t>
      </w:r>
      <w:r>
        <w:rPr>
          <w:rFonts w:hint="eastAsia" w:asciiTheme="minorEastAsia" w:hAnsiTheme="minorEastAsia" w:cstheme="minorEastAsia"/>
          <w:sz w:val="24"/>
        </w:rPr>
        <w:t>_______        签订地点：_______</w:t>
      </w:r>
      <w:r>
        <w:rPr>
          <w:rFonts w:hint="eastAsia" w:asciiTheme="minorEastAsia" w:hAnsiTheme="minorEastAsia" w:cstheme="minorEastAsia"/>
          <w:sz w:val="24"/>
          <w:u w:val="single"/>
        </w:rPr>
        <w:t>宁波</w:t>
      </w:r>
      <w:r>
        <w:rPr>
          <w:rFonts w:hint="eastAsia" w:asciiTheme="minorEastAsia" w:hAnsiTheme="minorEastAsia" w:cstheme="minorEastAsia"/>
          <w:sz w:val="24"/>
        </w:rPr>
        <w:t>__________</w:t>
      </w:r>
    </w:p>
    <w:p w14:paraId="7C2412A6">
      <w:pPr>
        <w:pStyle w:val="7"/>
        <w:spacing w:line="360" w:lineRule="exact"/>
        <w:rPr>
          <w:rFonts w:asciiTheme="minorEastAsia" w:hAnsiTheme="minorEastAsia" w:cstheme="minorEastAsia"/>
        </w:rPr>
      </w:pPr>
      <w:bookmarkStart w:id="100" w:name="_Toc221445460"/>
      <w:bookmarkStart w:id="101" w:name="_Toc233733860"/>
      <w:bookmarkStart w:id="102" w:name="_Toc235951024"/>
      <w:bookmarkStart w:id="103" w:name="_Toc238368957"/>
      <w:bookmarkStart w:id="104" w:name="_Toc222020804"/>
    </w:p>
    <w:p w14:paraId="72702CF2">
      <w:pPr>
        <w:pStyle w:val="7"/>
        <w:spacing w:line="360" w:lineRule="exact"/>
        <w:rPr>
          <w:rFonts w:asciiTheme="minorEastAsia" w:hAnsiTheme="minorEastAsia" w:cstheme="minorEastAsia"/>
        </w:rPr>
      </w:pPr>
    </w:p>
    <w:p w14:paraId="27E7E5D7">
      <w:pPr>
        <w:widowControl/>
        <w:jc w:val="left"/>
        <w:rPr>
          <w:rFonts w:asciiTheme="minorEastAsia" w:hAnsiTheme="minorEastAsia" w:cstheme="minorEastAsia"/>
          <w:szCs w:val="21"/>
        </w:rPr>
      </w:pPr>
      <w:r>
        <w:rPr>
          <w:rFonts w:asciiTheme="minorEastAsia" w:hAnsiTheme="minorEastAsia" w:cstheme="minorEastAsia"/>
          <w:szCs w:val="21"/>
        </w:rPr>
        <w:br w:type="page"/>
      </w:r>
    </w:p>
    <w:bookmarkEnd w:id="100"/>
    <w:bookmarkEnd w:id="101"/>
    <w:bookmarkEnd w:id="102"/>
    <w:bookmarkEnd w:id="103"/>
    <w:bookmarkEnd w:id="104"/>
    <w:p w14:paraId="66980660">
      <w:pPr>
        <w:pStyle w:val="7"/>
        <w:ind w:firstLine="480"/>
        <w:rPr>
          <w:rFonts w:asciiTheme="minorEastAsia" w:hAnsiTheme="minorEastAsia" w:cstheme="minorEastAsia"/>
          <w:sz w:val="24"/>
          <w:szCs w:val="24"/>
        </w:rPr>
      </w:pPr>
      <w:r>
        <w:rPr>
          <w:rFonts w:hint="eastAsia" w:asciiTheme="minorEastAsia" w:hAnsiTheme="minorEastAsia" w:cstheme="minorEastAsia"/>
          <w:sz w:val="24"/>
          <w:szCs w:val="24"/>
        </w:rPr>
        <w:t>附件1：</w:t>
      </w:r>
    </w:p>
    <w:p w14:paraId="18A0749A">
      <w:pPr>
        <w:jc w:val="center"/>
        <w:rPr>
          <w:rFonts w:asciiTheme="minorEastAsia" w:hAnsiTheme="minorEastAsia" w:cstheme="minorEastAsia"/>
          <w:b/>
          <w:sz w:val="28"/>
          <w:szCs w:val="28"/>
        </w:rPr>
      </w:pPr>
      <w:r>
        <w:rPr>
          <w:rFonts w:hint="eastAsia" w:asciiTheme="minorEastAsia" w:hAnsiTheme="minorEastAsia" w:cstheme="minorEastAsia"/>
          <w:b/>
          <w:sz w:val="28"/>
          <w:szCs w:val="28"/>
        </w:rPr>
        <w:t>工程项目廉政合同</w:t>
      </w:r>
    </w:p>
    <w:p w14:paraId="56527759">
      <w:pPr>
        <w:snapToGrid w:val="0"/>
        <w:spacing w:line="360" w:lineRule="auto"/>
        <w:rPr>
          <w:rFonts w:asciiTheme="minorEastAsia" w:hAnsiTheme="minorEastAsia" w:cstheme="minorEastAsia"/>
          <w:sz w:val="24"/>
        </w:rPr>
      </w:pPr>
      <w:r>
        <w:rPr>
          <w:rFonts w:hint="eastAsia" w:asciiTheme="minorEastAsia" w:hAnsiTheme="minorEastAsia" w:cstheme="minorEastAsia"/>
          <w:sz w:val="24"/>
        </w:rPr>
        <w:t>工程项目名称：</w:t>
      </w:r>
      <w:r>
        <w:rPr>
          <w:rFonts w:hint="eastAsia" w:ascii="宋体" w:hAnsi="宋体" w:cs="宋体"/>
          <w:szCs w:val="21"/>
          <w:u w:val="single"/>
        </w:rPr>
        <w:t>浙江工商职业技术学院慈溪学院7#宿舍楼修缮项目</w:t>
      </w:r>
      <w:r>
        <w:rPr>
          <w:rFonts w:hint="eastAsia" w:asciiTheme="minorEastAsia" w:hAnsiTheme="minorEastAsia" w:cstheme="minorEastAsia"/>
          <w:sz w:val="24"/>
          <w:u w:val="single"/>
        </w:rPr>
        <w:t xml:space="preserve">                </w:t>
      </w:r>
    </w:p>
    <w:p w14:paraId="4692F37A">
      <w:pPr>
        <w:snapToGrid w:val="0"/>
        <w:spacing w:line="360" w:lineRule="auto"/>
        <w:rPr>
          <w:rFonts w:asciiTheme="minorEastAsia" w:hAnsiTheme="minorEastAsia" w:cstheme="minorEastAsia"/>
          <w:sz w:val="24"/>
        </w:rPr>
      </w:pPr>
      <w:r>
        <w:rPr>
          <w:rFonts w:hint="eastAsia" w:asciiTheme="minorEastAsia" w:hAnsiTheme="minorEastAsia" w:cstheme="minorEastAsia"/>
          <w:sz w:val="24"/>
        </w:rPr>
        <w:t>工程项目地址：</w:t>
      </w:r>
      <w:r>
        <w:rPr>
          <w:rFonts w:hint="eastAsia" w:asciiTheme="minorEastAsia" w:hAnsiTheme="minorEastAsia" w:cstheme="minorEastAsia"/>
          <w:szCs w:val="21"/>
          <w:u w:val="single"/>
        </w:rPr>
        <w:t>浙江工商职业技术学院慈溪学院</w:t>
      </w:r>
      <w:r>
        <w:rPr>
          <w:rFonts w:hint="eastAsia" w:asciiTheme="minorEastAsia" w:hAnsiTheme="minorEastAsia" w:cstheme="minorEastAsia"/>
          <w:sz w:val="24"/>
          <w:u w:val="single"/>
        </w:rPr>
        <w:t xml:space="preserve">              </w:t>
      </w:r>
    </w:p>
    <w:p w14:paraId="19D0D98D">
      <w:pPr>
        <w:snapToGrid w:val="0"/>
        <w:spacing w:line="360" w:lineRule="auto"/>
        <w:rPr>
          <w:rFonts w:asciiTheme="minorEastAsia" w:hAnsiTheme="minorEastAsia" w:cstheme="minorEastAsia"/>
          <w:sz w:val="24"/>
        </w:rPr>
      </w:pPr>
      <w:r>
        <w:rPr>
          <w:rFonts w:hint="eastAsia" w:asciiTheme="minorEastAsia" w:hAnsiTheme="minorEastAsia" w:cstheme="minorEastAsia"/>
          <w:sz w:val="24"/>
        </w:rPr>
        <w:t>发包单位名称（以下称甲方）：</w:t>
      </w:r>
      <w:r>
        <w:rPr>
          <w:rFonts w:hint="eastAsia" w:asciiTheme="minorEastAsia" w:hAnsiTheme="minorEastAsia" w:cstheme="minorEastAsia"/>
          <w:sz w:val="24"/>
          <w:u w:val="single"/>
        </w:rPr>
        <w:t xml:space="preserve">    </w:t>
      </w:r>
      <w:r>
        <w:rPr>
          <w:rFonts w:hint="eastAsia" w:asciiTheme="minorEastAsia" w:hAnsiTheme="minorEastAsia" w:cstheme="minorEastAsia"/>
          <w:szCs w:val="21"/>
          <w:u w:val="single"/>
        </w:rPr>
        <w:t xml:space="preserve">浙江工商职业技术学院 </w:t>
      </w:r>
      <w:r>
        <w:rPr>
          <w:rFonts w:hint="eastAsia" w:asciiTheme="minorEastAsia" w:hAnsiTheme="minorEastAsia" w:cstheme="minorEastAsia"/>
          <w:sz w:val="24"/>
          <w:u w:val="single"/>
        </w:rPr>
        <w:t xml:space="preserve">       </w:t>
      </w:r>
    </w:p>
    <w:p w14:paraId="65D4A8ED">
      <w:pPr>
        <w:snapToGrid w:val="0"/>
        <w:spacing w:line="360" w:lineRule="auto"/>
        <w:ind w:left="3281" w:hanging="3280" w:hangingChars="1367"/>
        <w:rPr>
          <w:rFonts w:asciiTheme="minorEastAsia" w:hAnsiTheme="minorEastAsia" w:cstheme="minorEastAsia"/>
          <w:sz w:val="24"/>
          <w:u w:val="single"/>
        </w:rPr>
      </w:pPr>
      <w:r>
        <w:rPr>
          <w:rFonts w:hint="eastAsia" w:asciiTheme="minorEastAsia" w:hAnsiTheme="minorEastAsia" w:cstheme="minorEastAsia"/>
          <w:sz w:val="24"/>
        </w:rPr>
        <w:t>承包单位名称（以下称乙方）：</w:t>
      </w:r>
      <w:r>
        <w:rPr>
          <w:rFonts w:hint="eastAsia" w:asciiTheme="minorEastAsia" w:hAnsiTheme="minorEastAsia" w:cstheme="minorEastAsia"/>
          <w:sz w:val="24"/>
          <w:u w:val="single"/>
        </w:rPr>
        <w:t xml:space="preserve">                                         </w:t>
      </w:r>
    </w:p>
    <w:p w14:paraId="6423029B">
      <w:pPr>
        <w:snapToGrid w:val="0"/>
        <w:spacing w:line="360" w:lineRule="auto"/>
        <w:ind w:firstLine="570"/>
        <w:rPr>
          <w:rFonts w:asciiTheme="minorEastAsia" w:hAnsiTheme="minorEastAsia" w:cstheme="minorEastAsia"/>
          <w:szCs w:val="21"/>
        </w:rPr>
      </w:pPr>
      <w:r>
        <w:rPr>
          <w:rFonts w:hint="eastAsia" w:asciiTheme="minorEastAsia" w:hAnsiTheme="minorEastAsia" w:cstheme="minorEastAsia"/>
          <w:szCs w:val="21"/>
        </w:rPr>
        <w:t>为加强工程项目建设中的廉政建设，规范工程建设承包、发包双方的各项活动，防止发生各种谋取不正当利益的违法违纪行为，保护国家、集体和当事人的合法权益，根据国家有关工程建设的法律法规和廉政建设规定，特订立本廉政合同。</w:t>
      </w:r>
    </w:p>
    <w:p w14:paraId="6E427CF9">
      <w:pPr>
        <w:numPr>
          <w:ilvl w:val="0"/>
          <w:numId w:val="3"/>
        </w:num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甲乙双方的权利和义务</w:t>
      </w:r>
    </w:p>
    <w:p w14:paraId="52275B16">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（一）严格遵守国家关于市场准入、勘测设计、施工监理、招标投标、工程施工、设备安装和市场经营活动等有关法律法规和相关政策，以及廉政建设的各项规定。</w:t>
      </w:r>
    </w:p>
    <w:p w14:paraId="1DD8C0C5">
      <w:pPr>
        <w:snapToGrid w:val="0"/>
        <w:spacing w:line="360" w:lineRule="auto"/>
        <w:ind w:firstLine="570"/>
        <w:rPr>
          <w:rFonts w:asciiTheme="minorEastAsia" w:hAnsiTheme="minorEastAsia" w:cstheme="minorEastAsia"/>
          <w:szCs w:val="21"/>
        </w:rPr>
      </w:pPr>
      <w:r>
        <w:rPr>
          <w:rFonts w:hint="eastAsia" w:asciiTheme="minorEastAsia" w:hAnsiTheme="minorEastAsia" w:cstheme="minorEastAsia"/>
          <w:szCs w:val="21"/>
        </w:rPr>
        <w:t>（二）严格执行本项目发包承包双方签订的</w:t>
      </w:r>
      <w:r>
        <w:rPr>
          <w:rFonts w:hint="eastAsia" w:asciiTheme="minorEastAsia" w:hAnsiTheme="minorEastAsia" w:cstheme="minorEastAsia"/>
          <w:szCs w:val="21"/>
          <w:u w:val="single"/>
        </w:rPr>
        <w:t xml:space="preserve"> 施工合同 </w:t>
      </w:r>
      <w:r>
        <w:rPr>
          <w:rFonts w:hint="eastAsia" w:asciiTheme="minorEastAsia" w:hAnsiTheme="minorEastAsia" w:cstheme="minorEastAsia"/>
          <w:szCs w:val="21"/>
        </w:rPr>
        <w:t>，自觉按合同办事。</w:t>
      </w:r>
    </w:p>
    <w:p w14:paraId="57642B23">
      <w:pPr>
        <w:snapToGrid w:val="0"/>
        <w:spacing w:line="360" w:lineRule="auto"/>
        <w:ind w:firstLine="570"/>
        <w:rPr>
          <w:rFonts w:asciiTheme="minorEastAsia" w:hAnsiTheme="minorEastAsia" w:cstheme="minorEastAsia"/>
          <w:szCs w:val="21"/>
        </w:rPr>
      </w:pPr>
      <w:r>
        <w:rPr>
          <w:rFonts w:hint="eastAsia" w:asciiTheme="minorEastAsia" w:hAnsiTheme="minorEastAsia" w:cstheme="minorEastAsia"/>
          <w:szCs w:val="21"/>
        </w:rPr>
        <w:t>（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w:t>
      </w:r>
    </w:p>
    <w:p w14:paraId="3AA9EFF4">
      <w:pPr>
        <w:snapToGrid w:val="0"/>
        <w:spacing w:line="360" w:lineRule="auto"/>
        <w:ind w:firstLine="570"/>
        <w:rPr>
          <w:rFonts w:asciiTheme="minorEastAsia" w:hAnsiTheme="minorEastAsia" w:cstheme="minorEastAsia"/>
          <w:szCs w:val="21"/>
        </w:rPr>
      </w:pPr>
      <w:r>
        <w:rPr>
          <w:rFonts w:hint="eastAsia" w:asciiTheme="minorEastAsia" w:hAnsiTheme="minorEastAsia" w:cstheme="minorEastAsia"/>
          <w:szCs w:val="21"/>
        </w:rPr>
        <w:t xml:space="preserve">（四）建立健全廉政制度，开展廉政教育，设立廉政告示牌，公布举报电话，监督并认真查处违法违纪行为。发现对方在业务活动中有违反本合同行为的，有及时提醒对方纠正的权利和义务。情节严重的，有向其上级有关部门举报、建议给予处理并要求告知处理结果的权利。 </w:t>
      </w:r>
    </w:p>
    <w:p w14:paraId="27247F54">
      <w:pPr>
        <w:numPr>
          <w:ilvl w:val="0"/>
          <w:numId w:val="3"/>
        </w:num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甲方的责任</w:t>
      </w:r>
    </w:p>
    <w:p w14:paraId="2C61D1F9">
      <w:pPr>
        <w:snapToGrid w:val="0"/>
        <w:spacing w:line="360" w:lineRule="auto"/>
        <w:ind w:firstLine="570"/>
        <w:rPr>
          <w:rFonts w:asciiTheme="minorEastAsia" w:hAnsiTheme="minorEastAsia" w:cstheme="minorEastAsia"/>
          <w:szCs w:val="21"/>
        </w:rPr>
      </w:pPr>
      <w:r>
        <w:rPr>
          <w:rFonts w:hint="eastAsia" w:asciiTheme="minorEastAsia" w:hAnsiTheme="minorEastAsia" w:cstheme="minorEastAsia"/>
          <w:szCs w:val="21"/>
        </w:rPr>
        <w:t>甲方的领导和从事该工程项目的工作人员，在工程项目的事前、事中、事后应遵守以下规定：</w:t>
      </w:r>
    </w:p>
    <w:p w14:paraId="5F46C79B">
      <w:pPr>
        <w:snapToGrid w:val="0"/>
        <w:spacing w:line="360" w:lineRule="auto"/>
        <w:ind w:firstLine="570"/>
        <w:rPr>
          <w:rFonts w:asciiTheme="minorEastAsia" w:hAnsiTheme="minorEastAsia" w:cstheme="minorEastAsia"/>
          <w:szCs w:val="21"/>
        </w:rPr>
      </w:pPr>
      <w:r>
        <w:rPr>
          <w:rFonts w:hint="eastAsia" w:asciiTheme="minorEastAsia" w:hAnsiTheme="minorEastAsia" w:cstheme="minorEastAsia"/>
          <w:szCs w:val="21"/>
        </w:rPr>
        <w:t>（一）不准向乙方索要或接受回扣、礼金、有价证券、贵重物品和好处费、感谢费等；不准在乙方报销任何由甲方或个人支付的费用。</w:t>
      </w:r>
    </w:p>
    <w:p w14:paraId="71351253">
      <w:pPr>
        <w:snapToGrid w:val="0"/>
        <w:spacing w:line="360" w:lineRule="auto"/>
        <w:ind w:firstLine="570"/>
        <w:rPr>
          <w:rFonts w:asciiTheme="minorEastAsia" w:hAnsiTheme="minorEastAsia" w:cstheme="minorEastAsia"/>
          <w:szCs w:val="21"/>
        </w:rPr>
      </w:pPr>
      <w:r>
        <w:rPr>
          <w:rFonts w:hint="eastAsia" w:asciiTheme="minorEastAsia" w:hAnsiTheme="minorEastAsia" w:cstheme="minorEastAsia"/>
          <w:szCs w:val="21"/>
        </w:rPr>
        <w:t>（二）不准参加乙方安排违反有关规定的宴请及健身、娱乐等活动；不得接受乙方提供合同约定以外的通讯工具、交通工具、办公用房用品等。</w:t>
      </w:r>
    </w:p>
    <w:p w14:paraId="4D504A38">
      <w:pPr>
        <w:snapToGrid w:val="0"/>
        <w:spacing w:line="360" w:lineRule="auto"/>
        <w:ind w:firstLine="570"/>
        <w:rPr>
          <w:rFonts w:asciiTheme="minorEastAsia" w:hAnsiTheme="minorEastAsia" w:cstheme="minorEastAsia"/>
          <w:szCs w:val="21"/>
        </w:rPr>
      </w:pPr>
      <w:r>
        <w:rPr>
          <w:rFonts w:hint="eastAsia" w:asciiTheme="minorEastAsia" w:hAnsiTheme="minorEastAsia" w:cstheme="minorEastAsia"/>
          <w:szCs w:val="21"/>
        </w:rPr>
        <w:t>（三）不准要求、暗示和接受乙方为个人装修住房、婚丧嫁娶、配偶子女的工作安排以及出国（境）、旅游等提供方便。</w:t>
      </w:r>
    </w:p>
    <w:p w14:paraId="19B5210F">
      <w:pPr>
        <w:snapToGrid w:val="0"/>
        <w:spacing w:line="360" w:lineRule="auto"/>
        <w:ind w:firstLine="570"/>
        <w:rPr>
          <w:rFonts w:asciiTheme="minorEastAsia" w:hAnsiTheme="minorEastAsia" w:cstheme="minorEastAsia"/>
          <w:szCs w:val="21"/>
        </w:rPr>
      </w:pPr>
      <w:r>
        <w:rPr>
          <w:rFonts w:hint="eastAsia" w:asciiTheme="minorEastAsia" w:hAnsiTheme="minorEastAsia" w:cstheme="minorEastAsia"/>
          <w:szCs w:val="21"/>
        </w:rPr>
        <w:t>（四）配偶、子女不得从事与乙方承包本工程有关的设备材料供应、工程分包、劳务等经济活动。</w:t>
      </w:r>
    </w:p>
    <w:p w14:paraId="69B93383">
      <w:pPr>
        <w:snapToGrid w:val="0"/>
        <w:spacing w:line="360" w:lineRule="auto"/>
        <w:ind w:firstLine="570"/>
        <w:rPr>
          <w:rFonts w:asciiTheme="minorEastAsia" w:hAnsiTheme="minorEastAsia" w:cstheme="minorEastAsia"/>
          <w:szCs w:val="21"/>
        </w:rPr>
      </w:pPr>
      <w:r>
        <w:rPr>
          <w:rFonts w:hint="eastAsia" w:asciiTheme="minorEastAsia" w:hAnsiTheme="minorEastAsia" w:cstheme="minorEastAsia"/>
          <w:szCs w:val="21"/>
        </w:rPr>
        <w:t>（五）不得以任何理由向乙方推荐合同约定以外分包单位或要求乙方购买项目合同规定以外的材料、设备和服务等。</w:t>
      </w:r>
    </w:p>
    <w:p w14:paraId="5ACD5170">
      <w:pPr>
        <w:numPr>
          <w:ilvl w:val="0"/>
          <w:numId w:val="3"/>
        </w:num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乙方的责任</w:t>
      </w:r>
    </w:p>
    <w:p w14:paraId="4F9D17EA">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乙方应与甲方保持正常的业务交往，按照有关法律法规和程序开展业务工作，严格执行工程建设的有关方针、政策，尤其是有关强制性标准和规范，并遵守以下规定：</w:t>
      </w:r>
    </w:p>
    <w:p w14:paraId="201842C7">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（一）不准以任何理由向甲方及其工作人员行贿或赠送礼金、有价证券、贵重物品。</w:t>
      </w:r>
    </w:p>
    <w:p w14:paraId="5FF96B23">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（二）不准以任何名义为甲方及其工作人员报销应由对方或个人支付的费用。</w:t>
      </w:r>
    </w:p>
    <w:p w14:paraId="77379EFE">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（三）不准以任何理由安排甲方工作人员参加违反有关规定的宴请及健身、娱乐和旅游等活动。</w:t>
      </w:r>
    </w:p>
    <w:p w14:paraId="438A8E79">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（四）不准为甲方单位和工作人员购置或提供合同约定以外的通讯工具、交通工具、办公用房用品和装修住房等。</w:t>
      </w:r>
    </w:p>
    <w:p w14:paraId="354DE951">
      <w:pPr>
        <w:numPr>
          <w:ilvl w:val="0"/>
          <w:numId w:val="3"/>
        </w:num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违约责任</w:t>
      </w:r>
    </w:p>
    <w:p w14:paraId="1F4A3D16">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一）甲方工作人员有违反本合同第一、二条责任行为的，按照管理权限，依据有关法律法规和规定给予党纪、政纪处分或组织处理；涉嫌犯罪的，移交司法机关追究刑事责任；给乙方单位造成经济损失的，应予以赔偿。</w:t>
      </w:r>
    </w:p>
    <w:p w14:paraId="112DA9EE">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二）乙方工作人员有违反本合同第一、第三条责任行为的，按照管理权限，依据有关法律法规和规定给予党纪、政纪处分或组织处理；涉嫌犯罪的，移交司法机关追究刑事责任；给甲方单位造成经济损失的，应予以赔偿。情节严重的，甲方视工程项目级别可以决定或建议项目主管部门（或者市招投标管理办公室）给予乙方一至三年内不得承包相关工程的处罚。</w:t>
      </w:r>
    </w:p>
    <w:p w14:paraId="2563A6C4">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（三）乙方如将部分辅助项目分包的，乙方有责任向分包单位交待本合同的具体内容，</w:t>
      </w:r>
      <w:r>
        <w:rPr>
          <w:rFonts w:hint="eastAsia" w:asciiTheme="minorEastAsia" w:hAnsiTheme="minorEastAsia" w:cstheme="minorEastAsia"/>
          <w:szCs w:val="21"/>
        </w:rPr>
        <w:t>并严格执行本合同之规定</w:t>
      </w:r>
      <w:r>
        <w:rPr>
          <w:rFonts w:hint="eastAsia" w:asciiTheme="minorEastAsia" w:hAnsiTheme="minorEastAsia" w:eastAsiaTheme="minorEastAsia" w:cstheme="minorEastAsia"/>
          <w:szCs w:val="21"/>
        </w:rPr>
        <w:t>，分包单位如有违反上述责任行为的，乙方将承担连带责任。</w:t>
      </w:r>
    </w:p>
    <w:p w14:paraId="7DFCD4D3">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第五条  双方约定：本合同由市招投标管理办公室和市监察局负责监督。日常监管由甲、乙双方的监察部门或主管单位负责实施，并对本合同履行情况进行检查。</w:t>
      </w:r>
    </w:p>
    <w:p w14:paraId="69ED476F">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第六条  本合同作为</w:t>
      </w:r>
      <w:r>
        <w:rPr>
          <w:rFonts w:hint="eastAsia" w:asciiTheme="minorEastAsia" w:hAnsiTheme="minorEastAsia" w:cstheme="minorEastAsia"/>
          <w:szCs w:val="21"/>
          <w:u w:val="single"/>
        </w:rPr>
        <w:t xml:space="preserve"> 施工合同  </w:t>
      </w:r>
      <w:r>
        <w:rPr>
          <w:rFonts w:hint="eastAsia" w:asciiTheme="minorEastAsia" w:hAnsiTheme="minorEastAsia" w:cstheme="minorEastAsia"/>
          <w:szCs w:val="21"/>
        </w:rPr>
        <w:t>的附件，与主合同具有同等法律效力。甲乙双方签署后立即生效。</w:t>
      </w:r>
    </w:p>
    <w:p w14:paraId="0DB7E9D6">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第七条  本合同的有效期为双方签署之日起至该工程项目竣工验收合格时止。</w:t>
      </w:r>
    </w:p>
    <w:p w14:paraId="2479D9EE">
      <w:pPr>
        <w:pStyle w:val="25"/>
        <w:ind w:firstLine="420" w:firstLineChars="200"/>
        <w:rPr>
          <w:rFonts w:asciiTheme="minorEastAsia" w:hAnsiTheme="minorEastAsia" w:cstheme="minorEastAsia"/>
          <w:szCs w:val="24"/>
        </w:rPr>
      </w:pPr>
      <w:r>
        <w:rPr>
          <w:rFonts w:hint="eastAsia" w:asciiTheme="minorEastAsia" w:hAnsiTheme="minorEastAsia" w:cstheme="minorEastAsia"/>
          <w:sz w:val="21"/>
          <w:szCs w:val="21"/>
        </w:rPr>
        <w:t xml:space="preserve">第八条  本合同一式 </w:t>
      </w:r>
      <w:r>
        <w:rPr>
          <w:rFonts w:hint="eastAsia" w:asciiTheme="minorEastAsia" w:hAnsiTheme="minorEastAsia" w:cstheme="minorEastAsia"/>
          <w:sz w:val="21"/>
          <w:szCs w:val="21"/>
          <w:u w:val="single"/>
        </w:rPr>
        <w:t xml:space="preserve"> 六</w:t>
      </w:r>
      <w:r>
        <w:rPr>
          <w:rFonts w:hint="eastAsia" w:asciiTheme="minorEastAsia" w:hAnsiTheme="minorEastAsia" w:cstheme="minorEastAsia"/>
          <w:sz w:val="21"/>
          <w:szCs w:val="21"/>
        </w:rPr>
        <w:t>份，由甲乙双方各执两份，送交甲、乙双方的监督单位各一份。</w:t>
      </w:r>
    </w:p>
    <w:p w14:paraId="3E3BAAD4">
      <w:pPr>
        <w:pStyle w:val="25"/>
        <w:ind w:firstLine="480" w:firstLineChars="200"/>
        <w:rPr>
          <w:rFonts w:asciiTheme="minorEastAsia" w:hAnsiTheme="minorEastAsia" w:cstheme="minorEastAsia"/>
          <w:szCs w:val="24"/>
        </w:rPr>
      </w:pPr>
      <w:r>
        <w:rPr>
          <w:rFonts w:hint="eastAsia" w:asciiTheme="minorEastAsia" w:hAnsiTheme="minorEastAsia" w:cstheme="minorEastAsia"/>
          <w:szCs w:val="24"/>
        </w:rPr>
        <w:t>甲方单位：（盖章）                      乙方单位：（盖章）</w:t>
      </w:r>
    </w:p>
    <w:p w14:paraId="6417C813">
      <w:pPr>
        <w:pStyle w:val="25"/>
        <w:ind w:firstLine="480" w:firstLineChars="200"/>
        <w:rPr>
          <w:rFonts w:asciiTheme="minorEastAsia" w:hAnsiTheme="minorEastAsia" w:cstheme="minorEastAsia"/>
          <w:szCs w:val="24"/>
        </w:rPr>
      </w:pPr>
      <w:r>
        <w:rPr>
          <w:rFonts w:hint="eastAsia" w:asciiTheme="minorEastAsia" w:hAnsiTheme="minorEastAsia" w:cstheme="minorEastAsia"/>
          <w:szCs w:val="24"/>
        </w:rPr>
        <w:t>法人代表人：                            法人代表人：</w:t>
      </w:r>
    </w:p>
    <w:p w14:paraId="69345EC4">
      <w:pPr>
        <w:pStyle w:val="25"/>
        <w:ind w:firstLine="480" w:firstLineChars="200"/>
        <w:rPr>
          <w:rFonts w:asciiTheme="minorEastAsia" w:hAnsiTheme="minorEastAsia" w:cstheme="minorEastAsia"/>
          <w:szCs w:val="24"/>
        </w:rPr>
      </w:pPr>
      <w:r>
        <w:rPr>
          <w:rFonts w:hint="eastAsia" w:asciiTheme="minorEastAsia" w:hAnsiTheme="minorEastAsia" w:cstheme="minorEastAsia"/>
          <w:szCs w:val="24"/>
        </w:rPr>
        <w:t>年   月   日                            年   月   日</w:t>
      </w:r>
    </w:p>
    <w:p w14:paraId="469B98F2">
      <w:pPr>
        <w:pStyle w:val="25"/>
        <w:ind w:firstLine="480" w:firstLineChars="200"/>
        <w:rPr>
          <w:rFonts w:asciiTheme="minorEastAsia" w:hAnsiTheme="minorEastAsia" w:cstheme="minorEastAsia"/>
          <w:szCs w:val="24"/>
        </w:rPr>
      </w:pPr>
      <w:r>
        <w:rPr>
          <w:rFonts w:hint="eastAsia" w:asciiTheme="minorEastAsia" w:hAnsiTheme="minorEastAsia" w:cstheme="minorEastAsia"/>
          <w:szCs w:val="24"/>
        </w:rPr>
        <w:t xml:space="preserve">甲方监督单位（盖章）                   </w:t>
      </w:r>
      <w:r>
        <w:rPr>
          <w:rFonts w:asciiTheme="minorEastAsia" w:hAnsiTheme="minorEastAsia" w:cstheme="minorEastAsia"/>
          <w:szCs w:val="24"/>
        </w:rPr>
        <w:t xml:space="preserve"> </w:t>
      </w:r>
      <w:r>
        <w:rPr>
          <w:rFonts w:hint="eastAsia" w:asciiTheme="minorEastAsia" w:hAnsiTheme="minorEastAsia" w:cstheme="minorEastAsia"/>
          <w:szCs w:val="24"/>
        </w:rPr>
        <w:t>乙方监督单位（盖章）</w:t>
      </w:r>
    </w:p>
    <w:p w14:paraId="5A6A2DA7">
      <w:pPr>
        <w:pStyle w:val="25"/>
        <w:ind w:firstLine="480" w:firstLineChars="200"/>
        <w:rPr>
          <w:rFonts w:asciiTheme="minorEastAsia" w:hAnsiTheme="minorEastAsia" w:cstheme="minorEastAsia"/>
          <w:szCs w:val="24"/>
        </w:rPr>
      </w:pPr>
      <w:r>
        <w:rPr>
          <w:rFonts w:hint="eastAsia" w:asciiTheme="minorEastAsia" w:hAnsiTheme="minorEastAsia" w:cstheme="minorEastAsia"/>
          <w:szCs w:val="24"/>
        </w:rPr>
        <w:t xml:space="preserve">     年   月   日                          年     月     日</w:t>
      </w:r>
    </w:p>
    <w:p w14:paraId="68B75D90">
      <w:pPr>
        <w:pStyle w:val="7"/>
        <w:rPr>
          <w:rFonts w:asciiTheme="minorEastAsia" w:hAnsiTheme="minorEastAsia" w:cstheme="minorEastAsia"/>
          <w:sz w:val="24"/>
          <w:szCs w:val="24"/>
        </w:rPr>
      </w:pPr>
      <w:r>
        <w:rPr>
          <w:rFonts w:hint="eastAsia" w:asciiTheme="minorEastAsia" w:hAnsiTheme="minorEastAsia" w:cstheme="minorEastAsia"/>
        </w:rPr>
        <w:br w:type="page"/>
      </w:r>
      <w:r>
        <w:rPr>
          <w:rFonts w:hint="eastAsia" w:asciiTheme="minorEastAsia" w:hAnsiTheme="minorEastAsia" w:cstheme="minorEastAsia"/>
          <w:sz w:val="24"/>
          <w:szCs w:val="24"/>
        </w:rPr>
        <w:t>附件2：</w:t>
      </w:r>
    </w:p>
    <w:p w14:paraId="45FCE797">
      <w:pPr>
        <w:jc w:val="center"/>
        <w:rPr>
          <w:rFonts w:asciiTheme="minorEastAsia" w:hAnsiTheme="minorEastAsia" w:cstheme="minorEastAsia"/>
          <w:b/>
          <w:sz w:val="28"/>
          <w:szCs w:val="28"/>
        </w:rPr>
      </w:pPr>
      <w:r>
        <w:rPr>
          <w:rFonts w:hint="eastAsia" w:asciiTheme="minorEastAsia" w:hAnsiTheme="minorEastAsia" w:cstheme="minorEastAsia"/>
          <w:b/>
          <w:sz w:val="28"/>
          <w:szCs w:val="28"/>
        </w:rPr>
        <w:t>安全生产责任书</w:t>
      </w:r>
    </w:p>
    <w:p w14:paraId="2F646571">
      <w:pPr>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为在</w:t>
      </w:r>
      <w:r>
        <w:rPr>
          <w:rFonts w:hint="eastAsia" w:ascii="宋体" w:hAnsi="宋体" w:cs="宋体"/>
          <w:szCs w:val="21"/>
          <w:u w:val="single"/>
        </w:rPr>
        <w:t>浙江工商职业技术学院慈溪学院7#宿舍楼修缮项目</w:t>
      </w:r>
      <w:r>
        <w:rPr>
          <w:rFonts w:hint="eastAsia" w:asciiTheme="minorEastAsia" w:hAnsiTheme="minorEastAsia" w:cstheme="minorEastAsia"/>
          <w:szCs w:val="21"/>
        </w:rPr>
        <w:t>施工合同的实施过程中创造安全、高效的施工环境，切实搞好本项目的安全管理工作，本项目业主</w:t>
      </w:r>
      <w:r>
        <w:rPr>
          <w:rFonts w:hint="eastAsia" w:asciiTheme="minorEastAsia" w:hAnsiTheme="minorEastAsia" w:cstheme="minorEastAsia"/>
          <w:bCs/>
          <w:szCs w:val="21"/>
          <w:u w:val="single"/>
        </w:rPr>
        <w:t xml:space="preserve"> 浙江工商职业技术学院</w:t>
      </w:r>
      <w:r>
        <w:rPr>
          <w:rFonts w:hint="eastAsia" w:asciiTheme="minorEastAsia" w:hAnsiTheme="minorEastAsia" w:cstheme="minorEastAsia"/>
          <w:szCs w:val="21"/>
          <w:u w:val="single"/>
        </w:rPr>
        <w:t>（</w:t>
      </w:r>
      <w:r>
        <w:rPr>
          <w:rFonts w:hint="eastAsia" w:asciiTheme="minorEastAsia" w:hAnsiTheme="minorEastAsia" w:cstheme="minorEastAsia"/>
          <w:szCs w:val="21"/>
        </w:rPr>
        <w:t>以下简称“甲方”）与承包方</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以下简称“乙方”）特此签订安全生产责任书：</w:t>
      </w:r>
    </w:p>
    <w:p w14:paraId="1AD79DB3">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一、甲方职责</w:t>
      </w:r>
    </w:p>
    <w:p w14:paraId="16497B9C">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1、严格遵守国家有关安全生产的法律法规，认真执行工程承包合同中的有关安全要求。</w:t>
      </w:r>
    </w:p>
    <w:p w14:paraId="42290DBA">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2、按照“安全第一、预防为主”和坚持“管生产必须管安全”的原则进行安全生产管理，做到生产与安全工作同时计划、布置、检查和评比。</w:t>
      </w:r>
    </w:p>
    <w:p w14:paraId="193C82A1">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3、召开安全生产调度会，及时传达中央及地方有关安全生产的精神。</w:t>
      </w:r>
    </w:p>
    <w:p w14:paraId="464C9651">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4、组织对乙方施工现场安全生产检查，监督乙方及时处理发现的各项安全隐患。</w:t>
      </w:r>
    </w:p>
    <w:p w14:paraId="5F1F0441">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二、乙方职责</w:t>
      </w:r>
    </w:p>
    <w:p w14:paraId="753499B8">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1、严格遵守国家和省政府有关安全生产的法律法规，认真执行工程承包合同中的有关安全要求。</w:t>
      </w:r>
    </w:p>
    <w:p w14:paraId="60FFE091">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坚持“安全第一、预防为主”和坚持“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0A7DBBA">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2%～3%配备安全员，专职负责所有员工的安全和治安保卫工作及预防事故的发生。安全机构人员，有权按有关规定发布指令，并采取保护性措施防止事故发生。</w:t>
      </w:r>
    </w:p>
    <w:p w14:paraId="44501BBB">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4、乙方在任何时候都应采取各种合理的预防措施，防止其员工发生任何违法、违禁、暴力或防碍治安的行为。</w:t>
      </w:r>
    </w:p>
    <w:p w14:paraId="65BA80A8">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5、施工企业必须具有劳动安全管理部门颁发的安全生产证书，参加施工的人员，必须接受安全技术教育，熟知和遵守本工种的各项安全技术操作规程，定期进行安全技术考核，合格者方准上岗操作。对于从事电器、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93E5D79">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988A407">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7、操作人员上岗，必须按规定穿戴防护用品。施工负责人和安全检查员应随时检查劳动防护用品的穿戴情况，不按规定穿戴防护用品的人员不得上岗。</w:t>
      </w:r>
    </w:p>
    <w:p w14:paraId="7074876B">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8、所有施工机具设备和高空作业的设备均应定期检查，并有安全员的签字记录，保证其经常处于完好状态；不合格的机具设备和劳动保护用品严禁使用。</w:t>
      </w:r>
    </w:p>
    <w:p w14:paraId="3F9B33A1">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9、施工中采用新技术、新工艺、新设备、新材料时，必须制定相应的安全技术措施，施工现场必须具有相关的安全标志牌。</w:t>
      </w:r>
    </w:p>
    <w:p w14:paraId="29DC31C1">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558C5EB9">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三、违约责任</w:t>
      </w:r>
    </w:p>
    <w:p w14:paraId="2584744C">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如因甲方或乙方违约造成安全事故，将依法追究责任。</w:t>
      </w:r>
    </w:p>
    <w:p w14:paraId="1A8E55B0">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四、由双方法定代表人签署与加盖公章后生效，全部工程竣工验收后失效。</w:t>
      </w:r>
    </w:p>
    <w:p w14:paraId="1FED3CBF">
      <w:pPr>
        <w:spacing w:line="360" w:lineRule="auto"/>
        <w:ind w:firstLine="420" w:firstLineChars="200"/>
        <w:rPr>
          <w:rFonts w:asciiTheme="minorEastAsia" w:hAnsiTheme="minorEastAsia" w:cstheme="minorEastAsia"/>
          <w:szCs w:val="21"/>
        </w:rPr>
      </w:pPr>
    </w:p>
    <w:tbl>
      <w:tblPr>
        <w:tblStyle w:val="12"/>
        <w:tblW w:w="8832" w:type="dxa"/>
        <w:tblInd w:w="-100" w:type="dxa"/>
        <w:tblLayout w:type="fixed"/>
        <w:tblCellMar>
          <w:top w:w="0" w:type="dxa"/>
          <w:left w:w="0" w:type="dxa"/>
          <w:bottom w:w="0" w:type="dxa"/>
          <w:right w:w="0" w:type="dxa"/>
        </w:tblCellMar>
      </w:tblPr>
      <w:tblGrid>
        <w:gridCol w:w="4420"/>
        <w:gridCol w:w="4412"/>
      </w:tblGrid>
      <w:tr w14:paraId="08770631">
        <w:tc>
          <w:tcPr>
            <w:tcW w:w="4420" w:type="dxa"/>
          </w:tcPr>
          <w:p w14:paraId="3A5A401D">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甲  方：  （盖 章） </w:t>
            </w:r>
          </w:p>
        </w:tc>
        <w:tc>
          <w:tcPr>
            <w:tcW w:w="4412" w:type="dxa"/>
          </w:tcPr>
          <w:p w14:paraId="241F66D5">
            <w:pPr>
              <w:spacing w:line="360" w:lineRule="auto"/>
              <w:ind w:firstLine="240" w:firstLineChars="100"/>
              <w:rPr>
                <w:rFonts w:asciiTheme="minorEastAsia" w:hAnsiTheme="minorEastAsia" w:cstheme="minorEastAsia"/>
                <w:sz w:val="24"/>
              </w:rPr>
            </w:pPr>
            <w:r>
              <w:rPr>
                <w:rFonts w:hint="eastAsia" w:asciiTheme="minorEastAsia" w:hAnsiTheme="minorEastAsia" w:cstheme="minorEastAsia"/>
                <w:sz w:val="24"/>
              </w:rPr>
              <w:t xml:space="preserve">乙  方： （盖 章） </w:t>
            </w:r>
          </w:p>
        </w:tc>
      </w:tr>
      <w:tr w14:paraId="103B56B9">
        <w:tblPrEx>
          <w:tblCellMar>
            <w:top w:w="0" w:type="dxa"/>
            <w:left w:w="0" w:type="dxa"/>
            <w:bottom w:w="0" w:type="dxa"/>
            <w:right w:w="0" w:type="dxa"/>
          </w:tblCellMar>
        </w:tblPrEx>
        <w:tc>
          <w:tcPr>
            <w:tcW w:w="4420" w:type="dxa"/>
          </w:tcPr>
          <w:p w14:paraId="4463CC3F">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法定代表人 ：</w:t>
            </w:r>
          </w:p>
        </w:tc>
        <w:tc>
          <w:tcPr>
            <w:tcW w:w="4412" w:type="dxa"/>
          </w:tcPr>
          <w:p w14:paraId="6BCABC61">
            <w:pPr>
              <w:pStyle w:val="26"/>
              <w:overflowPunct/>
              <w:autoSpaceDE/>
              <w:autoSpaceDN/>
              <w:adjustRightInd/>
              <w:spacing w:before="0" w:line="360" w:lineRule="auto"/>
              <w:ind w:firstLine="240" w:firstLineChars="100"/>
              <w:textAlignment w:val="auto"/>
              <w:rPr>
                <w:rFonts w:asciiTheme="minorEastAsia" w:hAnsiTheme="minorEastAsia" w:cstheme="minorEastAsia"/>
                <w:kern w:val="2"/>
                <w:szCs w:val="24"/>
              </w:rPr>
            </w:pPr>
            <w:r>
              <w:rPr>
                <w:rFonts w:hint="eastAsia" w:asciiTheme="minorEastAsia" w:hAnsiTheme="minorEastAsia" w:cstheme="minorEastAsia"/>
                <w:kern w:val="2"/>
                <w:szCs w:val="24"/>
              </w:rPr>
              <w:t>法定代表人（签字、盖章）：</w:t>
            </w:r>
          </w:p>
        </w:tc>
      </w:tr>
      <w:tr w14:paraId="6F72552D">
        <w:tblPrEx>
          <w:tblCellMar>
            <w:top w:w="0" w:type="dxa"/>
            <w:left w:w="0" w:type="dxa"/>
            <w:bottom w:w="0" w:type="dxa"/>
            <w:right w:w="0" w:type="dxa"/>
          </w:tblCellMar>
        </w:tblPrEx>
        <w:tc>
          <w:tcPr>
            <w:tcW w:w="4420" w:type="dxa"/>
          </w:tcPr>
          <w:p w14:paraId="3D052DBF">
            <w:pPr>
              <w:spacing w:line="360" w:lineRule="auto"/>
              <w:rPr>
                <w:rFonts w:asciiTheme="minorEastAsia" w:hAnsiTheme="minorEastAsia" w:cstheme="minorEastAsia"/>
                <w:sz w:val="24"/>
              </w:rPr>
            </w:pPr>
          </w:p>
          <w:p w14:paraId="454BD7F6">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日期：  年  月 日</w:t>
            </w:r>
          </w:p>
        </w:tc>
        <w:tc>
          <w:tcPr>
            <w:tcW w:w="4412" w:type="dxa"/>
          </w:tcPr>
          <w:p w14:paraId="24D62BCB">
            <w:pPr>
              <w:spacing w:line="360" w:lineRule="auto"/>
              <w:rPr>
                <w:rFonts w:asciiTheme="minorEastAsia" w:hAnsiTheme="minorEastAsia" w:cstheme="minorEastAsia"/>
                <w:sz w:val="24"/>
              </w:rPr>
            </w:pPr>
          </w:p>
          <w:p w14:paraId="2730EE4D">
            <w:pPr>
              <w:spacing w:line="360" w:lineRule="auto"/>
              <w:ind w:firstLine="240" w:firstLineChars="100"/>
              <w:rPr>
                <w:rFonts w:asciiTheme="minorEastAsia" w:hAnsiTheme="minorEastAsia" w:cstheme="minorEastAsia"/>
                <w:sz w:val="24"/>
              </w:rPr>
            </w:pPr>
            <w:r>
              <w:rPr>
                <w:rFonts w:hint="eastAsia" w:asciiTheme="minorEastAsia" w:hAnsiTheme="minorEastAsia" w:cstheme="minorEastAsia"/>
                <w:sz w:val="24"/>
              </w:rPr>
              <w:t>日期：   年  月  日</w:t>
            </w:r>
          </w:p>
          <w:p w14:paraId="6F7704D1">
            <w:pPr>
              <w:spacing w:line="360" w:lineRule="auto"/>
              <w:ind w:firstLine="720" w:firstLineChars="300"/>
              <w:rPr>
                <w:rFonts w:asciiTheme="minorEastAsia" w:hAnsiTheme="minorEastAsia" w:cstheme="minorEastAsia"/>
                <w:sz w:val="24"/>
              </w:rPr>
            </w:pPr>
          </w:p>
        </w:tc>
      </w:tr>
    </w:tbl>
    <w:p w14:paraId="0F539B23">
      <w:pPr>
        <w:rPr>
          <w:rFonts w:asciiTheme="minorEastAsia" w:hAnsiTheme="minorEastAsia" w:cstheme="minorEastAsia"/>
          <w:b/>
        </w:rPr>
      </w:pPr>
    </w:p>
    <w:p w14:paraId="0F2359B1">
      <w:pPr>
        <w:spacing w:line="480" w:lineRule="auto"/>
        <w:jc w:val="center"/>
        <w:rPr>
          <w:rFonts w:asciiTheme="minorEastAsia" w:hAnsiTheme="minorEastAsia" w:cstheme="minorEastAsia"/>
          <w:b/>
          <w:sz w:val="32"/>
          <w:szCs w:val="32"/>
        </w:rPr>
      </w:pPr>
    </w:p>
    <w:p w14:paraId="7C159A35">
      <w:pPr>
        <w:pStyle w:val="23"/>
      </w:pPr>
    </w:p>
    <w:p w14:paraId="300704AB">
      <w:pPr>
        <w:pStyle w:val="23"/>
      </w:pPr>
    </w:p>
    <w:p w14:paraId="4BAF1C7C">
      <w:pPr>
        <w:pStyle w:val="23"/>
      </w:pPr>
    </w:p>
    <w:p w14:paraId="4FAD7424">
      <w:pPr>
        <w:pStyle w:val="4"/>
        <w:rPr>
          <w:rFonts w:ascii="宋体" w:hAnsi="宋体"/>
          <w:color w:val="auto"/>
        </w:rPr>
      </w:pPr>
      <w:r>
        <w:rPr>
          <w:rFonts w:hint="eastAsia" w:ascii="宋体" w:hAnsi="宋体" w:cs="宋体"/>
          <w:color w:val="auto"/>
          <w:sz w:val="32"/>
          <w:szCs w:val="32"/>
        </w:rPr>
        <w:br w:type="page"/>
      </w:r>
      <w:bookmarkStart w:id="105" w:name="_Toc86053876"/>
      <w:bookmarkStart w:id="106" w:name="_Toc34844746"/>
      <w:r>
        <w:rPr>
          <w:rFonts w:hint="eastAsia" w:ascii="宋体" w:hAnsi="宋体"/>
          <w:color w:val="auto"/>
        </w:rPr>
        <w:t>第六章  响应文件格式</w:t>
      </w:r>
      <w:bookmarkEnd w:id="105"/>
      <w:bookmarkEnd w:id="106"/>
    </w:p>
    <w:p w14:paraId="4A2E0E4F">
      <w:pPr>
        <w:snapToGrid w:val="0"/>
        <w:spacing w:line="360" w:lineRule="auto"/>
        <w:ind w:left="-23" w:leftChars="-11" w:right="-214" w:rightChars="-102" w:firstLine="21" w:firstLineChars="10"/>
        <w:jc w:val="left"/>
        <w:rPr>
          <w:rFonts w:ascii="宋体" w:hAnsi="宋体"/>
          <w:b/>
        </w:rPr>
      </w:pPr>
      <w:r>
        <w:rPr>
          <w:rFonts w:hint="eastAsia" w:ascii="宋体" w:hAnsi="宋体"/>
          <w:b/>
        </w:rPr>
        <w:t>1.资格要求响应文件的有关格式</w:t>
      </w:r>
    </w:p>
    <w:p w14:paraId="158140F6">
      <w:pPr>
        <w:pStyle w:val="6"/>
        <w:spacing w:after="0" w:line="360" w:lineRule="auto"/>
        <w:ind w:left="0" w:leftChars="0" w:firstLine="422"/>
        <w:jc w:val="center"/>
        <w:rPr>
          <w:rFonts w:ascii="宋体" w:hAnsi="宋体" w:cs="宋体"/>
          <w:b/>
          <w:kern w:val="1"/>
          <w:szCs w:val="21"/>
        </w:rPr>
      </w:pPr>
      <w:r>
        <w:rPr>
          <w:rFonts w:hint="eastAsia" w:ascii="宋体" w:hAnsi="宋体" w:cs="宋体"/>
          <w:b/>
          <w:sz w:val="21"/>
          <w:szCs w:val="21"/>
        </w:rPr>
        <w:t>（1）</w:t>
      </w:r>
      <w:r>
        <w:rPr>
          <w:rFonts w:ascii="宋体" w:hAnsi="宋体" w:cs="宋体"/>
          <w:b/>
          <w:sz w:val="21"/>
          <w:szCs w:val="21"/>
        </w:rPr>
        <w:t>供应商资格声明函</w:t>
      </w:r>
    </w:p>
    <w:p w14:paraId="1428E511">
      <w:pPr>
        <w:spacing w:line="360" w:lineRule="auto"/>
        <w:rPr>
          <w:rFonts w:ascii="宋体" w:hAnsi="宋体" w:cs="宋体"/>
          <w:b/>
          <w:kern w:val="1"/>
          <w:szCs w:val="21"/>
        </w:rPr>
      </w:pPr>
      <w:r>
        <w:rPr>
          <w:rFonts w:hint="eastAsia" w:ascii="宋体" w:hAnsi="宋体"/>
          <w:bCs/>
          <w:szCs w:val="21"/>
        </w:rPr>
        <w:t>致：</w:t>
      </w:r>
      <w:r>
        <w:rPr>
          <w:rFonts w:ascii="宋体" w:hAnsi="宋体"/>
          <w:szCs w:val="21"/>
          <w:u w:val="single"/>
        </w:rPr>
        <w:t>浙江工商职业技术学院</w:t>
      </w:r>
      <w:r>
        <w:rPr>
          <w:rFonts w:hint="eastAsia" w:ascii="宋体" w:hAnsi="宋体"/>
          <w:szCs w:val="21"/>
          <w:u w:val="single"/>
        </w:rPr>
        <w:t>、宁波名诚招标代理有限公司</w:t>
      </w:r>
    </w:p>
    <w:p w14:paraId="79D31A60">
      <w:pPr>
        <w:spacing w:line="360" w:lineRule="auto"/>
        <w:ind w:firstLine="420"/>
        <w:rPr>
          <w:rFonts w:ascii="宋体" w:hAnsi="宋体" w:cs="Arial"/>
          <w:szCs w:val="21"/>
        </w:rPr>
      </w:pPr>
      <w:r>
        <w:rPr>
          <w:rFonts w:hint="eastAsia" w:ascii="宋体" w:hAnsi="宋体" w:cs="Arial"/>
          <w:szCs w:val="21"/>
        </w:rPr>
        <w:t>我方自愿参与本项目政府采购活动，郑重承诺：</w:t>
      </w:r>
    </w:p>
    <w:p w14:paraId="14401225">
      <w:pPr>
        <w:spacing w:line="360" w:lineRule="auto"/>
        <w:ind w:firstLine="420"/>
        <w:rPr>
          <w:rFonts w:ascii="宋体" w:hAnsi="宋体" w:cs="Arial"/>
          <w:szCs w:val="21"/>
        </w:rPr>
      </w:pPr>
      <w:r>
        <w:rPr>
          <w:rFonts w:hint="eastAsia" w:ascii="宋体" w:hAnsi="宋体" w:cs="Arial"/>
          <w:szCs w:val="21"/>
        </w:rPr>
        <w:t>一、具备《中华人民共和国政府采购法》第二十二条第一款规定的条件：</w:t>
      </w:r>
    </w:p>
    <w:p w14:paraId="4B9046C7">
      <w:pPr>
        <w:spacing w:line="360" w:lineRule="auto"/>
        <w:ind w:firstLine="420"/>
        <w:rPr>
          <w:rFonts w:ascii="宋体" w:hAnsi="宋体" w:cs="Arial"/>
          <w:szCs w:val="21"/>
        </w:rPr>
      </w:pPr>
      <w:r>
        <w:rPr>
          <w:rFonts w:hint="eastAsia" w:ascii="宋体" w:hAnsi="宋体" w:cs="Arial"/>
          <w:szCs w:val="21"/>
        </w:rPr>
        <w:t>1.具有独立承担民事责任的能力；</w:t>
      </w:r>
    </w:p>
    <w:p w14:paraId="65783CF4">
      <w:pPr>
        <w:spacing w:line="360" w:lineRule="auto"/>
        <w:ind w:firstLine="420"/>
        <w:rPr>
          <w:rFonts w:ascii="宋体" w:hAnsi="宋体" w:cs="Arial"/>
          <w:szCs w:val="21"/>
        </w:rPr>
      </w:pPr>
      <w:r>
        <w:rPr>
          <w:rFonts w:hint="eastAsia" w:ascii="宋体" w:hAnsi="宋体" w:cs="Arial"/>
          <w:szCs w:val="21"/>
        </w:rPr>
        <w:t>2.具有良好的商业信誉和健全的财务会计制度；</w:t>
      </w:r>
    </w:p>
    <w:p w14:paraId="27C69E44">
      <w:pPr>
        <w:spacing w:line="360" w:lineRule="auto"/>
        <w:ind w:firstLine="420"/>
        <w:rPr>
          <w:rFonts w:ascii="宋体" w:hAnsi="宋体" w:cs="Arial"/>
          <w:szCs w:val="21"/>
        </w:rPr>
      </w:pPr>
      <w:r>
        <w:rPr>
          <w:rFonts w:hint="eastAsia" w:ascii="宋体" w:hAnsi="宋体" w:cs="Arial"/>
          <w:szCs w:val="21"/>
        </w:rPr>
        <w:t>3.具有履行本项目合同所必需的设备和专业技术能力；</w:t>
      </w:r>
    </w:p>
    <w:p w14:paraId="6B5399C4">
      <w:pPr>
        <w:spacing w:line="360" w:lineRule="auto"/>
        <w:ind w:firstLine="420"/>
        <w:rPr>
          <w:rFonts w:ascii="宋体" w:hAnsi="宋体" w:cs="Arial"/>
          <w:szCs w:val="21"/>
        </w:rPr>
      </w:pPr>
      <w:r>
        <w:rPr>
          <w:rFonts w:hint="eastAsia" w:ascii="宋体" w:hAnsi="宋体" w:cs="Arial"/>
          <w:szCs w:val="21"/>
        </w:rPr>
        <w:t>4.有依法缴纳税收和社会保障资金的良好记录；</w:t>
      </w:r>
    </w:p>
    <w:p w14:paraId="2D07D629">
      <w:pPr>
        <w:spacing w:line="360" w:lineRule="auto"/>
        <w:ind w:firstLine="420"/>
        <w:rPr>
          <w:rFonts w:ascii="宋体" w:hAnsi="宋体" w:cs="Arial"/>
          <w:szCs w:val="21"/>
        </w:rPr>
      </w:pPr>
      <w:r>
        <w:rPr>
          <w:rFonts w:hint="eastAsia" w:ascii="宋体" w:hAnsi="宋体" w:cs="Arial"/>
          <w:szCs w:val="21"/>
        </w:rPr>
        <w:t>5.在参加本次政府采购活动前三年内，在经营活动中没有重大违法记录（没有因违法经营受到刑事处罚或者责令停产停业、吊销许可证或者执照、较大数额罚款等行政处罚）；</w:t>
      </w:r>
    </w:p>
    <w:p w14:paraId="31051138">
      <w:pPr>
        <w:spacing w:line="360" w:lineRule="auto"/>
        <w:ind w:firstLine="420"/>
        <w:rPr>
          <w:rFonts w:ascii="宋体" w:hAnsi="宋体" w:cs="Arial"/>
          <w:szCs w:val="21"/>
        </w:rPr>
      </w:pPr>
      <w:r>
        <w:rPr>
          <w:rFonts w:hint="eastAsia" w:ascii="宋体" w:hAnsi="宋体" w:cs="Arial"/>
          <w:szCs w:val="21"/>
        </w:rPr>
        <w:t>6.具有</w:t>
      </w:r>
      <w:r>
        <w:rPr>
          <w:rFonts w:ascii="宋体" w:hAnsi="宋体" w:cs="Arial"/>
          <w:szCs w:val="21"/>
        </w:rPr>
        <w:t>法律、行政法规规定的其他条件</w:t>
      </w:r>
      <w:r>
        <w:rPr>
          <w:rFonts w:hint="eastAsia" w:ascii="宋体" w:hAnsi="宋体" w:cs="Arial"/>
          <w:szCs w:val="21"/>
        </w:rPr>
        <w:t>。</w:t>
      </w:r>
    </w:p>
    <w:p w14:paraId="158100AA">
      <w:pPr>
        <w:spacing w:line="360" w:lineRule="auto"/>
        <w:ind w:firstLine="420"/>
        <w:rPr>
          <w:rFonts w:ascii="宋体" w:hAnsi="宋体" w:cs="Arial"/>
          <w:szCs w:val="21"/>
        </w:rPr>
      </w:pPr>
      <w:r>
        <w:rPr>
          <w:rFonts w:hint="eastAsia" w:ascii="宋体" w:hAnsi="宋体" w:cs="Arial"/>
          <w:szCs w:val="21"/>
        </w:rPr>
        <w:t>二、未被“信用中国”（www.creditchina.gov.cn)、中国政府采购网（www.ccgp.gov.cn）列入失信被执行人、重大税收违法失信主体、政府采购严重违法失信行为记录名单。</w:t>
      </w:r>
    </w:p>
    <w:p w14:paraId="5612F05A">
      <w:pPr>
        <w:spacing w:line="360" w:lineRule="auto"/>
        <w:ind w:firstLine="420"/>
        <w:rPr>
          <w:rFonts w:ascii="宋体" w:hAnsi="宋体" w:cs="Arial"/>
          <w:szCs w:val="21"/>
        </w:rPr>
      </w:pPr>
      <w:r>
        <w:rPr>
          <w:rFonts w:hint="eastAsia" w:ascii="宋体" w:hAnsi="宋体" w:cs="Arial"/>
          <w:szCs w:val="21"/>
        </w:rPr>
        <w:t>三、不存在以下情况：</w:t>
      </w:r>
    </w:p>
    <w:p w14:paraId="0619F54F">
      <w:pPr>
        <w:spacing w:line="360" w:lineRule="auto"/>
        <w:ind w:firstLine="420"/>
        <w:rPr>
          <w:rFonts w:ascii="宋体" w:hAnsi="宋体" w:cs="Arial"/>
          <w:szCs w:val="21"/>
        </w:rPr>
      </w:pPr>
      <w:r>
        <w:rPr>
          <w:rFonts w:hint="eastAsia" w:ascii="宋体" w:hAnsi="宋体" w:cs="Arial"/>
          <w:szCs w:val="21"/>
        </w:rPr>
        <w:t>1.</w:t>
      </w:r>
      <w:r>
        <w:rPr>
          <w:rFonts w:ascii="宋体" w:hAnsi="宋体" w:cs="Arial"/>
          <w:szCs w:val="21"/>
        </w:rPr>
        <w:t>单位负责人为同一人或者存在直接控股、管理关系的不同供应商参加同一合同项下的</w:t>
      </w:r>
      <w:r>
        <w:rPr>
          <w:rFonts w:hint="eastAsia" w:ascii="宋体" w:hAnsi="宋体" w:cs="Arial"/>
          <w:szCs w:val="21"/>
        </w:rPr>
        <w:t>政府</w:t>
      </w:r>
      <w:r>
        <w:rPr>
          <w:rFonts w:ascii="宋体" w:hAnsi="宋体" w:cs="Arial"/>
          <w:szCs w:val="21"/>
        </w:rPr>
        <w:t>采购活动的；</w:t>
      </w:r>
    </w:p>
    <w:p w14:paraId="10D4DE5A">
      <w:pPr>
        <w:spacing w:line="360" w:lineRule="auto"/>
        <w:ind w:firstLine="420"/>
        <w:rPr>
          <w:rFonts w:ascii="宋体" w:hAnsi="宋体" w:cs="Arial"/>
          <w:szCs w:val="21"/>
        </w:rPr>
      </w:pPr>
      <w:r>
        <w:rPr>
          <w:rFonts w:hint="eastAsia" w:ascii="宋体" w:hAnsi="宋体" w:cs="Arial"/>
          <w:szCs w:val="21"/>
        </w:rPr>
        <w:t>2.</w:t>
      </w:r>
      <w:r>
        <w:rPr>
          <w:rFonts w:ascii="宋体" w:hAnsi="宋体" w:cs="Arial"/>
          <w:szCs w:val="21"/>
        </w:rPr>
        <w:t>为采购项目提供整体设计、规范编制或者项目管理、监理、检测等服务后再参加该采购项目的其他采购活动的。</w:t>
      </w:r>
    </w:p>
    <w:p w14:paraId="1DD6B50A">
      <w:pPr>
        <w:spacing w:line="360" w:lineRule="auto"/>
        <w:ind w:firstLine="420"/>
        <w:rPr>
          <w:rFonts w:ascii="宋体" w:hAnsi="宋体" w:cs="宋体"/>
          <w:szCs w:val="21"/>
        </w:rPr>
      </w:pPr>
    </w:p>
    <w:p w14:paraId="44FA4C0B">
      <w:pPr>
        <w:snapToGrid w:val="0"/>
        <w:spacing w:line="360" w:lineRule="auto"/>
        <w:ind w:firstLine="3685" w:firstLineChars="1755"/>
        <w:rPr>
          <w:rFonts w:ascii="宋体" w:hAnsi="宋体"/>
          <w:szCs w:val="21"/>
        </w:rPr>
      </w:pPr>
    </w:p>
    <w:p w14:paraId="018B691D">
      <w:pPr>
        <w:snapToGrid w:val="0"/>
        <w:spacing w:line="360" w:lineRule="auto"/>
        <w:ind w:firstLine="3685" w:firstLineChars="1755"/>
        <w:rPr>
          <w:rFonts w:ascii="宋体" w:hAnsi="宋体"/>
          <w:szCs w:val="21"/>
        </w:rPr>
      </w:pPr>
      <w:r>
        <w:rPr>
          <w:rFonts w:hint="eastAsia" w:ascii="宋体" w:hAnsi="宋体"/>
          <w:szCs w:val="21"/>
        </w:rPr>
        <w:t>供应商：</w:t>
      </w:r>
      <w:r>
        <w:rPr>
          <w:rFonts w:hint="eastAsia" w:ascii="宋体" w:hAnsi="宋体"/>
          <w:szCs w:val="21"/>
          <w:u w:val="single"/>
        </w:rPr>
        <w:t xml:space="preserve">   （填写全称并加盖公章)      </w:t>
      </w:r>
    </w:p>
    <w:p w14:paraId="67FB2B2D">
      <w:pPr>
        <w:snapToGrid w:val="0"/>
        <w:spacing w:line="360" w:lineRule="auto"/>
        <w:ind w:firstLine="3685" w:firstLineChars="1755"/>
        <w:rPr>
          <w:rFonts w:ascii="宋体" w:hAnsi="宋体"/>
          <w:szCs w:val="21"/>
        </w:rPr>
      </w:pPr>
      <w:r>
        <w:rPr>
          <w:rFonts w:hint="eastAsia" w:ascii="宋体" w:hAnsi="宋体"/>
          <w:szCs w:val="21"/>
        </w:rPr>
        <w:t>日  期：</w:t>
      </w:r>
    </w:p>
    <w:p w14:paraId="1C903887">
      <w:pPr>
        <w:snapToGrid w:val="0"/>
        <w:spacing w:line="360" w:lineRule="auto"/>
        <w:ind w:firstLine="3685" w:firstLineChars="1755"/>
        <w:rPr>
          <w:rFonts w:ascii="宋体" w:hAnsi="宋体"/>
          <w:szCs w:val="21"/>
        </w:rPr>
      </w:pPr>
    </w:p>
    <w:p w14:paraId="6681207C">
      <w:pPr>
        <w:pStyle w:val="23"/>
      </w:pPr>
    </w:p>
    <w:p w14:paraId="1A75D2DF">
      <w:pPr>
        <w:pStyle w:val="23"/>
      </w:pPr>
    </w:p>
    <w:p w14:paraId="2AD66FC1">
      <w:pPr>
        <w:pStyle w:val="23"/>
      </w:pPr>
    </w:p>
    <w:p w14:paraId="6CBA597D">
      <w:pPr>
        <w:pStyle w:val="23"/>
      </w:pPr>
      <w:r>
        <w:br w:type="page"/>
      </w:r>
    </w:p>
    <w:p w14:paraId="2C45C9C5">
      <w:pPr>
        <w:pStyle w:val="6"/>
        <w:spacing w:after="0" w:line="360" w:lineRule="auto"/>
        <w:ind w:left="0" w:leftChars="0"/>
        <w:jc w:val="center"/>
        <w:rPr>
          <w:rFonts w:ascii="宋体" w:hAnsi="宋体" w:cs="宋体"/>
          <w:b/>
          <w:sz w:val="21"/>
          <w:szCs w:val="21"/>
        </w:rPr>
      </w:pPr>
      <w:r>
        <w:rPr>
          <w:rFonts w:hint="eastAsia" w:ascii="宋体" w:hAnsi="宋体" w:cs="宋体"/>
          <w:b/>
          <w:sz w:val="21"/>
          <w:szCs w:val="21"/>
        </w:rPr>
        <w:t>（</w:t>
      </w:r>
      <w:r>
        <w:rPr>
          <w:rFonts w:ascii="宋体" w:hAnsi="宋体" w:cs="宋体"/>
          <w:b/>
          <w:sz w:val="21"/>
          <w:szCs w:val="21"/>
        </w:rPr>
        <w:t>2</w:t>
      </w:r>
      <w:r>
        <w:rPr>
          <w:rFonts w:hint="eastAsia" w:ascii="宋体" w:hAnsi="宋体" w:cs="宋体"/>
          <w:b/>
          <w:sz w:val="21"/>
          <w:szCs w:val="21"/>
        </w:rPr>
        <w:t>）</w:t>
      </w:r>
      <w:r>
        <w:rPr>
          <w:rFonts w:ascii="宋体" w:hAnsi="宋体" w:cs="宋体"/>
          <w:b/>
          <w:sz w:val="21"/>
          <w:szCs w:val="21"/>
        </w:rPr>
        <w:t>中小企业声明函</w:t>
      </w:r>
    </w:p>
    <w:p w14:paraId="3E64F218">
      <w:pPr>
        <w:spacing w:line="360" w:lineRule="auto"/>
        <w:ind w:firstLine="420" w:firstLineChars="200"/>
        <w:rPr>
          <w:rFonts w:ascii="宋体" w:hAnsi="宋体" w:cs="仿宋"/>
          <w:szCs w:val="21"/>
        </w:rPr>
      </w:pPr>
      <w:r>
        <w:rPr>
          <w:rFonts w:ascii="宋体" w:hAnsi="宋体" w:cs="仿宋"/>
          <w:szCs w:val="21"/>
        </w:rPr>
        <w:t>本公司（联合体）郑重声明，根据《政府采购促进中小企业发展管理办法》（财库﹝2020﹞46号）的规定，本公司（联合体）参加</w:t>
      </w:r>
      <w:r>
        <w:rPr>
          <w:rFonts w:hint="eastAsia" w:ascii="宋体" w:hAnsi="宋体" w:cs="仿宋"/>
          <w:b/>
          <w:szCs w:val="21"/>
          <w:u w:val="single"/>
        </w:rPr>
        <w:t xml:space="preserve">   浙江工商职业技术学院</w:t>
      </w:r>
      <w:r>
        <w:rPr>
          <w:rFonts w:ascii="宋体" w:hAnsi="宋体" w:cs="仿宋"/>
          <w:b/>
          <w:szCs w:val="21"/>
          <w:u w:val="single"/>
        </w:rPr>
        <w:t xml:space="preserve">  </w:t>
      </w:r>
      <w:r>
        <w:rPr>
          <w:rFonts w:ascii="宋体" w:hAnsi="宋体" w:cs="仿宋"/>
          <w:szCs w:val="21"/>
        </w:rPr>
        <w:t>的</w:t>
      </w:r>
      <w:r>
        <w:rPr>
          <w:rFonts w:hint="eastAsia" w:ascii="宋体" w:hAnsi="宋体" w:cs="仿宋"/>
          <w:b/>
          <w:szCs w:val="21"/>
          <w:u w:val="single"/>
        </w:rPr>
        <w:t xml:space="preserve">  浙江工商职业技术学院慈溪学院7#宿舍楼修缮项目</w:t>
      </w:r>
      <w:r>
        <w:rPr>
          <w:rFonts w:ascii="宋体" w:hAnsi="宋体" w:cs="仿宋"/>
          <w:b/>
          <w:szCs w:val="21"/>
          <w:u w:val="single"/>
        </w:rPr>
        <w:t xml:space="preserve">  </w:t>
      </w:r>
      <w:r>
        <w:rPr>
          <w:rFonts w:ascii="宋体" w:hAnsi="宋体" w:cs="仿宋"/>
          <w:szCs w:val="21"/>
        </w:rPr>
        <w:t>采购活动，工程的施工单位全部为符合政策要求的中小企业。相关企业（含联合体中的中小企业、签订分包意向协议的中小企业）的具体情况如下：</w:t>
      </w:r>
    </w:p>
    <w:p w14:paraId="049AA24F">
      <w:pPr>
        <w:spacing w:line="360" w:lineRule="auto"/>
        <w:ind w:firstLine="420" w:firstLineChars="200"/>
        <w:rPr>
          <w:rFonts w:ascii="宋体" w:hAnsi="宋体" w:cs="仿宋"/>
          <w:szCs w:val="21"/>
        </w:rPr>
      </w:pPr>
      <w:r>
        <w:rPr>
          <w:rFonts w:hint="eastAsia" w:ascii="宋体" w:hAnsi="宋体" w:cs="仿宋"/>
          <w:szCs w:val="21"/>
        </w:rPr>
        <w:t>1.</w:t>
      </w:r>
      <w:r>
        <w:rPr>
          <w:rFonts w:hint="eastAsia" w:ascii="宋体" w:hAnsi="宋体" w:cs="仿宋"/>
          <w:b/>
          <w:szCs w:val="21"/>
          <w:u w:val="single"/>
        </w:rPr>
        <w:t xml:space="preserve">  浙江工商职业技术学院慈溪学院7#宿舍楼修缮项目</w:t>
      </w:r>
      <w:r>
        <w:rPr>
          <w:rFonts w:ascii="宋体" w:hAnsi="宋体" w:cs="仿宋"/>
          <w:b/>
          <w:szCs w:val="21"/>
          <w:u w:val="single"/>
        </w:rPr>
        <w:t xml:space="preserve">  </w:t>
      </w:r>
      <w:r>
        <w:rPr>
          <w:rFonts w:hint="eastAsia" w:ascii="宋体" w:hAnsi="宋体" w:cs="仿宋"/>
          <w:szCs w:val="21"/>
        </w:rPr>
        <w:t>，属于</w:t>
      </w:r>
      <w:r>
        <w:rPr>
          <w:rFonts w:hint="eastAsia" w:ascii="宋体" w:hAnsi="宋体" w:cs="仿宋"/>
          <w:b/>
          <w:szCs w:val="21"/>
          <w:u w:val="single"/>
        </w:rPr>
        <w:t xml:space="preserve"> </w:t>
      </w:r>
      <w:r>
        <w:rPr>
          <w:rFonts w:ascii="宋体" w:hAnsi="宋体" w:cs="仿宋"/>
          <w:b/>
          <w:szCs w:val="21"/>
          <w:u w:val="single"/>
        </w:rPr>
        <w:t xml:space="preserve"> </w:t>
      </w:r>
      <w:r>
        <w:rPr>
          <w:rFonts w:hint="eastAsia" w:ascii="宋体" w:hAnsi="宋体" w:cs="仿宋"/>
          <w:b/>
          <w:szCs w:val="21"/>
          <w:u w:val="single"/>
        </w:rPr>
        <w:t>建筑业</w:t>
      </w:r>
      <w:r>
        <w:rPr>
          <w:rFonts w:ascii="宋体" w:hAnsi="宋体" w:cs="仿宋"/>
          <w:b/>
          <w:szCs w:val="21"/>
          <w:u w:val="single"/>
        </w:rPr>
        <w:t xml:space="preserve">  </w:t>
      </w:r>
      <w:r>
        <w:rPr>
          <w:rFonts w:hint="eastAsia" w:ascii="宋体" w:hAnsi="宋体" w:cs="仿宋"/>
          <w:szCs w:val="21"/>
        </w:rPr>
        <w:t xml:space="preserve">；承建（承接）企业为 </w:t>
      </w:r>
      <w:r>
        <w:rPr>
          <w:rFonts w:hint="eastAsia" w:ascii="宋体" w:hAnsi="宋体" w:cs="仿宋"/>
          <w:szCs w:val="21"/>
          <w:u w:val="single"/>
        </w:rPr>
        <w:t xml:space="preserve">  （企业名称）  </w:t>
      </w:r>
      <w:r>
        <w:rPr>
          <w:rFonts w:hint="eastAsia" w:ascii="宋体" w:hAnsi="宋体" w:cs="仿宋"/>
          <w:szCs w:val="21"/>
        </w:rPr>
        <w:t xml:space="preserve"> ，从业人员</w:t>
      </w:r>
      <w:r>
        <w:rPr>
          <w:rFonts w:hint="eastAsia" w:ascii="宋体" w:hAnsi="宋体" w:cs="仿宋"/>
          <w:szCs w:val="21"/>
          <w:u w:val="single"/>
        </w:rPr>
        <w:t xml:space="preserve">   </w:t>
      </w:r>
      <w:r>
        <w:rPr>
          <w:rFonts w:hint="eastAsia" w:ascii="宋体" w:hAnsi="宋体" w:cs="仿宋"/>
          <w:szCs w:val="21"/>
        </w:rPr>
        <w:t>人，营业收入为</w:t>
      </w:r>
      <w:r>
        <w:rPr>
          <w:rFonts w:hint="eastAsia" w:ascii="宋体" w:hAnsi="宋体" w:cs="仿宋"/>
          <w:szCs w:val="21"/>
          <w:u w:val="single"/>
        </w:rPr>
        <w:t xml:space="preserve">   </w:t>
      </w:r>
      <w:r>
        <w:rPr>
          <w:rFonts w:hint="eastAsia" w:ascii="宋体" w:hAnsi="宋体" w:cs="仿宋"/>
          <w:szCs w:val="21"/>
        </w:rPr>
        <w:t>万元，资产总额为</w:t>
      </w:r>
      <w:r>
        <w:rPr>
          <w:rFonts w:hint="eastAsia" w:ascii="宋体" w:hAnsi="宋体" w:cs="仿宋"/>
          <w:szCs w:val="21"/>
          <w:u w:val="single"/>
        </w:rPr>
        <w:t xml:space="preserve">   </w:t>
      </w:r>
      <w:r>
        <w:rPr>
          <w:rFonts w:hint="eastAsia" w:ascii="宋体" w:hAnsi="宋体" w:cs="仿宋"/>
          <w:szCs w:val="21"/>
        </w:rPr>
        <w:t>万元，属于</w:t>
      </w:r>
      <w:r>
        <w:rPr>
          <w:rFonts w:hint="eastAsia" w:ascii="宋体" w:hAnsi="宋体" w:cs="仿宋"/>
          <w:szCs w:val="21"/>
          <w:u w:val="single"/>
        </w:rPr>
        <w:t xml:space="preserve">   </w:t>
      </w:r>
      <w:r>
        <w:rPr>
          <w:rFonts w:ascii="宋体" w:hAnsi="宋体" w:cs="仿宋"/>
          <w:szCs w:val="21"/>
          <w:u w:val="single"/>
        </w:rPr>
        <w:t xml:space="preserve">          </w:t>
      </w:r>
      <w:r>
        <w:rPr>
          <w:rFonts w:hint="eastAsia" w:ascii="宋体" w:hAnsi="宋体" w:cs="仿宋"/>
          <w:szCs w:val="21"/>
          <w:u w:val="single"/>
        </w:rPr>
        <w:t xml:space="preserve"> （中型企业、小型企业、微型企业）   </w:t>
      </w:r>
      <w:r>
        <w:rPr>
          <w:rFonts w:hint="eastAsia" w:ascii="宋体" w:hAnsi="宋体" w:cs="仿宋"/>
          <w:szCs w:val="21"/>
        </w:rPr>
        <w:t>；</w:t>
      </w:r>
    </w:p>
    <w:p w14:paraId="7C6FB8D0">
      <w:pPr>
        <w:spacing w:line="360" w:lineRule="auto"/>
        <w:ind w:firstLine="420" w:firstLineChars="200"/>
        <w:rPr>
          <w:rFonts w:ascii="宋体" w:hAnsi="宋体" w:cs="仿宋"/>
          <w:szCs w:val="21"/>
        </w:rPr>
      </w:pPr>
      <w:r>
        <w:rPr>
          <w:rFonts w:hint="eastAsia" w:ascii="宋体" w:hAnsi="宋体" w:cs="仿宋"/>
          <w:szCs w:val="21"/>
        </w:rPr>
        <w:t>2.</w:t>
      </w:r>
      <w:r>
        <w:rPr>
          <w:rFonts w:hint="eastAsia" w:ascii="宋体" w:hAnsi="宋体" w:cs="仿宋"/>
          <w:b/>
          <w:szCs w:val="21"/>
          <w:u w:val="single"/>
        </w:rPr>
        <w:t xml:space="preserve">  </w:t>
      </w:r>
      <w:r>
        <w:rPr>
          <w:rFonts w:ascii="宋体" w:hAnsi="宋体" w:cs="仿宋"/>
          <w:b/>
          <w:szCs w:val="21"/>
          <w:u w:val="single"/>
        </w:rPr>
        <w:t xml:space="preserve">                  </w:t>
      </w:r>
      <w:r>
        <w:rPr>
          <w:rFonts w:hint="eastAsia" w:ascii="宋体" w:hAnsi="宋体" w:cs="仿宋"/>
          <w:b/>
          <w:szCs w:val="21"/>
          <w:u w:val="single"/>
        </w:rPr>
        <w:t xml:space="preserve"> </w:t>
      </w:r>
      <w:r>
        <w:rPr>
          <w:rFonts w:hint="eastAsia" w:ascii="宋体" w:hAnsi="宋体" w:cs="仿宋"/>
          <w:szCs w:val="21"/>
          <w:u w:val="single"/>
        </w:rPr>
        <w:t xml:space="preserve"> </w:t>
      </w:r>
      <w:r>
        <w:rPr>
          <w:rFonts w:hint="eastAsia" w:ascii="宋体" w:hAnsi="宋体" w:cs="仿宋"/>
          <w:szCs w:val="21"/>
        </w:rPr>
        <w:t>，属于</w:t>
      </w:r>
      <w:r>
        <w:rPr>
          <w:rFonts w:hint="eastAsia" w:ascii="宋体" w:hAnsi="宋体" w:cs="仿宋"/>
          <w:b/>
          <w:szCs w:val="21"/>
          <w:u w:val="single"/>
        </w:rPr>
        <w:t xml:space="preserve"> </w:t>
      </w:r>
      <w:r>
        <w:rPr>
          <w:rFonts w:ascii="宋体" w:hAnsi="宋体" w:cs="仿宋"/>
          <w:b/>
          <w:szCs w:val="21"/>
          <w:u w:val="single"/>
        </w:rPr>
        <w:t xml:space="preserve"> </w:t>
      </w:r>
      <w:r>
        <w:rPr>
          <w:rFonts w:hint="eastAsia" w:ascii="宋体" w:hAnsi="宋体" w:cs="仿宋"/>
          <w:b/>
          <w:szCs w:val="21"/>
          <w:u w:val="single"/>
        </w:rPr>
        <w:t xml:space="preserve"> </w:t>
      </w:r>
      <w:r>
        <w:rPr>
          <w:rFonts w:ascii="宋体" w:hAnsi="宋体" w:cs="仿宋"/>
          <w:b/>
          <w:szCs w:val="21"/>
          <w:u w:val="single"/>
        </w:rPr>
        <w:t xml:space="preserve">     </w:t>
      </w:r>
      <w:r>
        <w:rPr>
          <w:rFonts w:hint="eastAsia" w:ascii="宋体" w:hAnsi="宋体" w:cs="仿宋"/>
          <w:szCs w:val="21"/>
        </w:rPr>
        <w:t xml:space="preserve">；承建（承接）企业为 </w:t>
      </w:r>
      <w:r>
        <w:rPr>
          <w:rFonts w:hint="eastAsia" w:ascii="宋体" w:hAnsi="宋体" w:cs="仿宋"/>
          <w:szCs w:val="21"/>
          <w:u w:val="single"/>
        </w:rPr>
        <w:t>（企业名称）</w:t>
      </w:r>
      <w:r>
        <w:rPr>
          <w:rFonts w:hint="eastAsia" w:ascii="宋体" w:hAnsi="宋体" w:cs="仿宋"/>
          <w:szCs w:val="21"/>
        </w:rPr>
        <w:t xml:space="preserve"> ，从业人员</w:t>
      </w:r>
      <w:r>
        <w:rPr>
          <w:rFonts w:hint="eastAsia" w:ascii="宋体" w:hAnsi="宋体" w:cs="仿宋"/>
          <w:szCs w:val="21"/>
          <w:u w:val="single"/>
        </w:rPr>
        <w:t xml:space="preserve">   </w:t>
      </w:r>
      <w:r>
        <w:rPr>
          <w:rFonts w:hint="eastAsia" w:ascii="宋体" w:hAnsi="宋体" w:cs="仿宋"/>
          <w:szCs w:val="21"/>
        </w:rPr>
        <w:t>人，营业收入为</w:t>
      </w:r>
      <w:r>
        <w:rPr>
          <w:rFonts w:hint="eastAsia" w:ascii="宋体" w:hAnsi="宋体" w:cs="仿宋"/>
          <w:szCs w:val="21"/>
          <w:u w:val="single"/>
        </w:rPr>
        <w:t xml:space="preserve">   </w:t>
      </w:r>
      <w:r>
        <w:rPr>
          <w:rFonts w:hint="eastAsia" w:ascii="宋体" w:hAnsi="宋体" w:cs="仿宋"/>
          <w:szCs w:val="21"/>
        </w:rPr>
        <w:t>万元，资产总额为</w:t>
      </w:r>
      <w:r>
        <w:rPr>
          <w:rFonts w:hint="eastAsia" w:ascii="宋体" w:hAnsi="宋体" w:cs="仿宋"/>
          <w:szCs w:val="21"/>
          <w:u w:val="single"/>
        </w:rPr>
        <w:t xml:space="preserve">   </w:t>
      </w:r>
      <w:r>
        <w:rPr>
          <w:rFonts w:hint="eastAsia" w:ascii="宋体" w:hAnsi="宋体" w:cs="仿宋"/>
          <w:szCs w:val="21"/>
        </w:rPr>
        <w:t>万元，属于</w:t>
      </w:r>
      <w:r>
        <w:rPr>
          <w:rFonts w:hint="eastAsia" w:ascii="宋体" w:hAnsi="宋体" w:cs="仿宋"/>
          <w:szCs w:val="21"/>
          <w:u w:val="single"/>
        </w:rPr>
        <w:t xml:space="preserve">    </w:t>
      </w:r>
      <w:r>
        <w:rPr>
          <w:rFonts w:ascii="宋体" w:hAnsi="宋体" w:cs="仿宋"/>
          <w:szCs w:val="21"/>
          <w:u w:val="single"/>
        </w:rPr>
        <w:t xml:space="preserve">             </w:t>
      </w:r>
      <w:r>
        <w:rPr>
          <w:rFonts w:hint="eastAsia" w:ascii="宋体" w:hAnsi="宋体" w:cs="仿宋"/>
          <w:szCs w:val="21"/>
          <w:u w:val="single"/>
        </w:rPr>
        <w:t xml:space="preserve">（中型企业、小型企业、微型企业）    </w:t>
      </w:r>
      <w:r>
        <w:rPr>
          <w:rFonts w:hint="eastAsia" w:ascii="宋体" w:hAnsi="宋体" w:cs="仿宋"/>
          <w:szCs w:val="21"/>
        </w:rPr>
        <w:t>；</w:t>
      </w:r>
    </w:p>
    <w:p w14:paraId="18CE6938">
      <w:pPr>
        <w:spacing w:line="360" w:lineRule="auto"/>
        <w:ind w:firstLine="420" w:firstLineChars="200"/>
        <w:rPr>
          <w:rFonts w:ascii="宋体" w:hAnsi="宋体" w:cs="仿宋"/>
          <w:szCs w:val="21"/>
        </w:rPr>
      </w:pPr>
      <w:r>
        <w:rPr>
          <w:rFonts w:hint="eastAsia" w:ascii="宋体" w:hAnsi="宋体" w:cs="仿宋"/>
          <w:szCs w:val="21"/>
        </w:rPr>
        <w:t>……</w:t>
      </w:r>
    </w:p>
    <w:p w14:paraId="583DAE43">
      <w:pPr>
        <w:spacing w:line="360" w:lineRule="auto"/>
        <w:ind w:firstLine="422" w:firstLineChars="200"/>
        <w:rPr>
          <w:rFonts w:ascii="宋体" w:hAnsi="宋体" w:cs="仿宋"/>
          <w:b/>
          <w:szCs w:val="21"/>
        </w:rPr>
      </w:pPr>
      <w:r>
        <w:rPr>
          <w:rFonts w:hint="eastAsia" w:ascii="宋体" w:hAnsi="宋体" w:cs="仿宋"/>
          <w:b/>
          <w:szCs w:val="21"/>
        </w:rPr>
        <w:t>以上企业，不属于大企业的分支机构，不存在控股股东为大企业的情形，也不存在与大企业的负责人为同一人的情形。</w:t>
      </w:r>
    </w:p>
    <w:p w14:paraId="3A975EAB">
      <w:pPr>
        <w:spacing w:line="360" w:lineRule="auto"/>
        <w:ind w:firstLine="420" w:firstLineChars="200"/>
        <w:rPr>
          <w:rFonts w:ascii="宋体" w:hAnsi="宋体" w:cs="仿宋"/>
          <w:szCs w:val="21"/>
        </w:rPr>
      </w:pPr>
      <w:r>
        <w:rPr>
          <w:rFonts w:hint="eastAsia" w:ascii="宋体" w:hAnsi="宋体" w:cs="仿宋"/>
          <w:szCs w:val="21"/>
        </w:rPr>
        <w:t>本企业对上述声明内容的真实性负责。如有虚假，将依法承担相应责任。</w:t>
      </w:r>
    </w:p>
    <w:p w14:paraId="2ABA98C0">
      <w:pPr>
        <w:spacing w:line="360" w:lineRule="auto"/>
        <w:ind w:right="1760"/>
        <w:jc w:val="right"/>
        <w:rPr>
          <w:rFonts w:ascii="宋体" w:hAnsi="宋体" w:cs="仿宋"/>
          <w:szCs w:val="21"/>
        </w:rPr>
      </w:pPr>
    </w:p>
    <w:p w14:paraId="27D4C1FB">
      <w:pPr>
        <w:spacing w:line="360" w:lineRule="auto"/>
        <w:ind w:right="1760"/>
        <w:jc w:val="right"/>
        <w:rPr>
          <w:rFonts w:ascii="宋体" w:hAnsi="宋体" w:cs="仿宋"/>
          <w:szCs w:val="21"/>
        </w:rPr>
      </w:pPr>
      <w:r>
        <w:rPr>
          <w:rFonts w:hint="eastAsia" w:ascii="宋体" w:hAnsi="宋体" w:cs="仿宋"/>
          <w:szCs w:val="21"/>
        </w:rPr>
        <w:t>企业名称（加盖公章）：</w:t>
      </w:r>
    </w:p>
    <w:p w14:paraId="736F1BCB">
      <w:pPr>
        <w:spacing w:line="360" w:lineRule="auto"/>
        <w:ind w:right="3147"/>
        <w:jc w:val="right"/>
        <w:rPr>
          <w:rFonts w:ascii="宋体" w:hAnsi="宋体" w:cs="仿宋"/>
          <w:szCs w:val="21"/>
        </w:rPr>
      </w:pPr>
      <w:r>
        <w:rPr>
          <w:rFonts w:hint="eastAsia" w:ascii="宋体" w:hAnsi="宋体" w:cs="仿宋"/>
          <w:szCs w:val="21"/>
        </w:rPr>
        <w:t>日 期：</w:t>
      </w:r>
    </w:p>
    <w:p w14:paraId="7D50A7DB">
      <w:pPr>
        <w:spacing w:line="360" w:lineRule="auto"/>
        <w:ind w:firstLine="310" w:firstLineChars="147"/>
        <w:rPr>
          <w:rFonts w:ascii="宋体" w:hAnsi="宋体" w:cs="仿宋"/>
          <w:b/>
          <w:szCs w:val="21"/>
        </w:rPr>
      </w:pPr>
    </w:p>
    <w:p w14:paraId="69E63ECA">
      <w:pPr>
        <w:spacing w:line="360" w:lineRule="auto"/>
        <w:ind w:firstLine="310" w:firstLineChars="147"/>
        <w:rPr>
          <w:rFonts w:ascii="宋体" w:hAnsi="宋体" w:cs="仿宋"/>
          <w:b/>
          <w:szCs w:val="21"/>
        </w:rPr>
      </w:pPr>
    </w:p>
    <w:p w14:paraId="5E39DA86">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填写说明：</w:t>
      </w:r>
    </w:p>
    <w:p w14:paraId="031EAC20">
      <w:pPr>
        <w:snapToGrid w:val="0"/>
        <w:spacing w:before="50" w:after="50" w:line="360" w:lineRule="auto"/>
        <w:ind w:right="-214" w:rightChars="-102"/>
        <w:jc w:val="left"/>
        <w:rPr>
          <w:rFonts w:ascii="宋体" w:hAnsi="宋体"/>
          <w:b/>
        </w:rPr>
      </w:pPr>
      <w:r>
        <w:rPr>
          <w:rFonts w:hint="eastAsia" w:ascii="宋体" w:hAnsi="宋体"/>
          <w:b/>
        </w:rPr>
        <w:t>1.从业人员、营业收入、资产总额填报上一年度数据，无上一年度数据的新成立企业可不填报。</w:t>
      </w:r>
    </w:p>
    <w:p w14:paraId="7225673B">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2.供应商应当对其出具的《中小企业声明函》真实性负责，出具的《中小企业声明函》内容不实的，属于提供虚假材料。</w:t>
      </w:r>
    </w:p>
    <w:p w14:paraId="7DD96BA4">
      <w:pPr>
        <w:snapToGrid w:val="0"/>
        <w:spacing w:before="50" w:after="50" w:line="360" w:lineRule="auto"/>
        <w:ind w:left="-23" w:leftChars="-11" w:right="-214" w:rightChars="-102" w:firstLine="21" w:firstLineChars="10"/>
        <w:jc w:val="left"/>
        <w:rPr>
          <w:rFonts w:ascii="宋体" w:hAnsi="宋体" w:cs="仿宋"/>
          <w:b/>
          <w:szCs w:val="21"/>
        </w:rPr>
      </w:pPr>
      <w:r>
        <w:rPr>
          <w:rFonts w:hint="eastAsia" w:ascii="宋体" w:hAnsi="宋体"/>
          <w:b/>
        </w:rPr>
        <w:t>3.</w:t>
      </w:r>
      <w:r>
        <w:rPr>
          <w:rFonts w:hint="eastAsia" w:ascii="宋体" w:hAnsi="宋体" w:cs="宋体"/>
          <w:b/>
          <w:kern w:val="0"/>
          <w:szCs w:val="21"/>
          <w:u w:val="thick" w:color="FF0000"/>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CD00A64">
      <w:pPr>
        <w:pStyle w:val="23"/>
      </w:pPr>
    </w:p>
    <w:p w14:paraId="5D679889">
      <w:pPr>
        <w:widowControl/>
        <w:ind w:firstLine="422"/>
        <w:jc w:val="left"/>
        <w:rPr>
          <w:rFonts w:ascii="宋体" w:hAnsi="宋体"/>
          <w:b/>
        </w:rPr>
      </w:pPr>
      <w:r>
        <w:rPr>
          <w:rFonts w:ascii="宋体" w:hAnsi="宋体"/>
          <w:b/>
        </w:rPr>
        <w:br w:type="page"/>
      </w:r>
    </w:p>
    <w:p w14:paraId="560E9AAD">
      <w:pPr>
        <w:pStyle w:val="6"/>
        <w:spacing w:after="0" w:line="360" w:lineRule="auto"/>
        <w:ind w:left="0" w:leftChars="0" w:firstLine="422"/>
        <w:jc w:val="center"/>
        <w:rPr>
          <w:rFonts w:ascii="宋体" w:hAnsi="宋体" w:cs="宋体"/>
          <w:b/>
          <w:sz w:val="21"/>
          <w:szCs w:val="21"/>
        </w:rPr>
      </w:pPr>
      <w:r>
        <w:rPr>
          <w:rFonts w:hint="eastAsia" w:ascii="宋体" w:hAnsi="宋体" w:cs="宋体"/>
          <w:b/>
          <w:sz w:val="21"/>
          <w:szCs w:val="21"/>
        </w:rPr>
        <w:t>（</w:t>
      </w:r>
      <w:r>
        <w:rPr>
          <w:rFonts w:ascii="宋体" w:hAnsi="宋体" w:cs="宋体"/>
          <w:b/>
          <w:sz w:val="21"/>
          <w:szCs w:val="21"/>
        </w:rPr>
        <w:t>3</w:t>
      </w:r>
      <w:r>
        <w:rPr>
          <w:rFonts w:hint="eastAsia" w:ascii="宋体" w:hAnsi="宋体" w:cs="宋体"/>
          <w:b/>
          <w:sz w:val="21"/>
          <w:szCs w:val="21"/>
        </w:rPr>
        <w:t>）残疾人福利性单位声明函</w:t>
      </w:r>
    </w:p>
    <w:p w14:paraId="284720B4">
      <w:pPr>
        <w:spacing w:line="360" w:lineRule="auto"/>
        <w:ind w:firstLine="444" w:firstLineChars="200"/>
        <w:rPr>
          <w:rFonts w:ascii="宋体" w:hAnsi="宋体"/>
          <w:spacing w:val="6"/>
        </w:rPr>
      </w:pPr>
      <w:r>
        <w:rPr>
          <w:rFonts w:hint="eastAsia" w:ascii="宋体" w:hAnsi="宋体"/>
          <w:spacing w:val="6"/>
        </w:rPr>
        <w:t>本单位郑重声明，根据《财政部 民政部 中国残疾人联合会关于促进残疾人就业政府采购政策的通知》（财库</w:t>
      </w:r>
      <w:r>
        <w:rPr>
          <w:rFonts w:hint="eastAsia" w:ascii="宋体" w:hAnsi="宋体"/>
        </w:rPr>
        <w:t>〔2017〕 141</w:t>
      </w:r>
      <w:r>
        <w:rPr>
          <w:rFonts w:hint="eastAsia" w:ascii="宋体" w:hAnsi="宋体"/>
          <w:spacing w:val="6"/>
        </w:rPr>
        <w:t>号）的规定，本单位为符合条件的残疾人福利性单位，且本单位参加</w:t>
      </w:r>
      <w:r>
        <w:rPr>
          <w:rFonts w:hint="eastAsia" w:ascii="宋体" w:hAnsi="宋体"/>
          <w:spacing w:val="6"/>
          <w:u w:val="single"/>
        </w:rPr>
        <w:t xml:space="preserve"> </w:t>
      </w:r>
      <w:r>
        <w:rPr>
          <w:rFonts w:ascii="宋体" w:hAnsi="宋体"/>
          <w:spacing w:val="6"/>
          <w:u w:val="single"/>
        </w:rPr>
        <w:t xml:space="preserve">     </w:t>
      </w:r>
      <w:r>
        <w:rPr>
          <w:rFonts w:hint="eastAsia" w:ascii="宋体" w:hAnsi="宋体"/>
          <w:spacing w:val="6"/>
          <w:u w:val="single"/>
        </w:rPr>
        <w:t xml:space="preserve">（填采购人名称）    </w:t>
      </w:r>
      <w:r>
        <w:rPr>
          <w:rFonts w:hint="eastAsia" w:ascii="宋体" w:hAnsi="宋体"/>
          <w:spacing w:val="6"/>
        </w:rPr>
        <w:t>单位的</w:t>
      </w:r>
      <w:r>
        <w:rPr>
          <w:rFonts w:hint="eastAsia" w:ascii="宋体" w:hAnsi="宋体"/>
          <w:spacing w:val="6"/>
          <w:u w:val="single"/>
        </w:rPr>
        <w:t xml:space="preserve"> </w:t>
      </w:r>
      <w:r>
        <w:rPr>
          <w:rFonts w:ascii="宋体" w:hAnsi="宋体"/>
          <w:spacing w:val="6"/>
          <w:u w:val="single"/>
        </w:rPr>
        <w:t xml:space="preserve"> </w:t>
      </w:r>
      <w:r>
        <w:rPr>
          <w:rFonts w:hint="eastAsia" w:ascii="宋体" w:hAnsi="宋体"/>
          <w:spacing w:val="6"/>
          <w:u w:val="single"/>
        </w:rPr>
        <w:t xml:space="preserve">（填项目名称）  </w:t>
      </w:r>
      <w:r>
        <w:rPr>
          <w:rFonts w:hint="eastAsia" w:ascii="宋体" w:hAnsi="宋体"/>
          <w:spacing w:val="6"/>
        </w:rPr>
        <w:t>项目采购活动提供本单位制造的货物（由本单位承担工程/提供服务），或者提供其他残疾人福利性单位制造的货物（不包括使用非残疾人福利性单位注册商标的货物）。</w:t>
      </w:r>
    </w:p>
    <w:p w14:paraId="36A4E077">
      <w:pPr>
        <w:spacing w:line="360" w:lineRule="auto"/>
        <w:ind w:firstLine="444" w:firstLineChars="200"/>
        <w:rPr>
          <w:rFonts w:ascii="宋体" w:hAnsi="宋体"/>
          <w:spacing w:val="6"/>
        </w:rPr>
      </w:pPr>
      <w:r>
        <w:rPr>
          <w:rFonts w:hint="eastAsia" w:ascii="宋体" w:hAnsi="宋体"/>
          <w:spacing w:val="6"/>
        </w:rPr>
        <w:t>本单位对上述声明的真实性负责。如有虚假，将依法承担相应责任。</w:t>
      </w:r>
    </w:p>
    <w:p w14:paraId="171FE508">
      <w:pPr>
        <w:spacing w:line="360" w:lineRule="auto"/>
        <w:ind w:firstLine="444" w:firstLineChars="200"/>
        <w:rPr>
          <w:rFonts w:ascii="宋体" w:hAnsi="宋体"/>
          <w:spacing w:val="6"/>
        </w:rPr>
      </w:pPr>
    </w:p>
    <w:p w14:paraId="28CD277D">
      <w:pPr>
        <w:spacing w:line="360" w:lineRule="auto"/>
        <w:ind w:firstLine="444" w:firstLineChars="200"/>
        <w:rPr>
          <w:rFonts w:ascii="宋体" w:hAnsi="宋体"/>
          <w:spacing w:val="6"/>
        </w:rPr>
      </w:pPr>
    </w:p>
    <w:p w14:paraId="212F8BE3">
      <w:pPr>
        <w:tabs>
          <w:tab w:val="left" w:pos="4860"/>
        </w:tabs>
        <w:spacing w:line="360" w:lineRule="auto"/>
        <w:ind w:right="-50" w:firstLine="444" w:firstLineChars="200"/>
        <w:jc w:val="center"/>
        <w:rPr>
          <w:rFonts w:ascii="宋体" w:hAnsi="宋体"/>
          <w:spacing w:val="6"/>
        </w:rPr>
      </w:pPr>
      <w:r>
        <w:rPr>
          <w:rFonts w:hint="eastAsia" w:ascii="宋体" w:hAnsi="宋体"/>
          <w:spacing w:val="6"/>
        </w:rPr>
        <w:t>单位名称（盖章）：</w:t>
      </w:r>
    </w:p>
    <w:p w14:paraId="152E28E3">
      <w:pPr>
        <w:tabs>
          <w:tab w:val="left" w:pos="4860"/>
        </w:tabs>
        <w:spacing w:line="360" w:lineRule="auto"/>
        <w:ind w:right="-50" w:firstLine="444" w:firstLineChars="200"/>
        <w:jc w:val="center"/>
        <w:rPr>
          <w:rFonts w:ascii="宋体" w:hAnsi="宋体"/>
          <w:spacing w:val="6"/>
        </w:rPr>
      </w:pPr>
      <w:r>
        <w:rPr>
          <w:rFonts w:hint="eastAsia" w:ascii="宋体" w:hAnsi="宋体"/>
          <w:spacing w:val="6"/>
        </w:rPr>
        <w:t>日  期：</w:t>
      </w:r>
    </w:p>
    <w:p w14:paraId="3BF468CD">
      <w:pPr>
        <w:pStyle w:val="6"/>
        <w:snapToGrid w:val="0"/>
        <w:spacing w:line="360" w:lineRule="auto"/>
        <w:ind w:firstLine="437" w:firstLineChars="196"/>
        <w:rPr>
          <w:rFonts w:ascii="宋体" w:hAnsi="宋体" w:cs="宋体"/>
          <w:b/>
          <w:spacing w:val="6"/>
          <w:sz w:val="21"/>
          <w:szCs w:val="21"/>
        </w:rPr>
      </w:pPr>
    </w:p>
    <w:p w14:paraId="12207A9E">
      <w:pPr>
        <w:pStyle w:val="6"/>
        <w:snapToGrid w:val="0"/>
        <w:spacing w:line="360" w:lineRule="auto"/>
        <w:ind w:firstLine="437" w:firstLineChars="196"/>
        <w:rPr>
          <w:rFonts w:ascii="宋体" w:hAnsi="宋体" w:cs="宋体"/>
          <w:b/>
          <w:spacing w:val="6"/>
          <w:sz w:val="21"/>
          <w:szCs w:val="21"/>
        </w:rPr>
      </w:pPr>
    </w:p>
    <w:p w14:paraId="044F87DE">
      <w:pPr>
        <w:pStyle w:val="6"/>
        <w:snapToGrid w:val="0"/>
        <w:spacing w:line="360" w:lineRule="auto"/>
        <w:ind w:firstLine="437" w:firstLineChars="196"/>
        <w:rPr>
          <w:rFonts w:ascii="宋体" w:hAnsi="宋体" w:cs="宋体"/>
          <w:b/>
          <w:spacing w:val="6"/>
          <w:sz w:val="21"/>
          <w:szCs w:val="21"/>
        </w:rPr>
      </w:pPr>
    </w:p>
    <w:p w14:paraId="14CBCE1D">
      <w:pPr>
        <w:pStyle w:val="6"/>
        <w:snapToGrid w:val="0"/>
        <w:spacing w:line="360" w:lineRule="auto"/>
        <w:ind w:firstLine="437" w:firstLineChars="196"/>
        <w:rPr>
          <w:rFonts w:ascii="宋体" w:hAnsi="宋体" w:cs="宋体"/>
          <w:b/>
          <w:spacing w:val="6"/>
          <w:sz w:val="21"/>
          <w:szCs w:val="21"/>
        </w:rPr>
      </w:pPr>
    </w:p>
    <w:p w14:paraId="79AD940C">
      <w:pPr>
        <w:spacing w:line="360" w:lineRule="auto"/>
        <w:ind w:firstLine="422"/>
        <w:rPr>
          <w:rFonts w:ascii="宋体" w:hAnsi="宋体"/>
          <w:b/>
          <w:szCs w:val="21"/>
        </w:rPr>
      </w:pPr>
    </w:p>
    <w:p w14:paraId="7065EC56">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填写说明：</w:t>
      </w:r>
      <w:r>
        <w:rPr>
          <w:rFonts w:hint="eastAsia" w:ascii="宋体" w:hAnsi="宋体"/>
          <w:b/>
          <w:szCs w:val="21"/>
        </w:rPr>
        <w:t>供应商不属于残疾人福利性单位无需且不应当提供本声明函，否则自行承担相应的责任。</w:t>
      </w:r>
    </w:p>
    <w:p w14:paraId="7D3914FF">
      <w:pPr>
        <w:widowControl/>
        <w:spacing w:line="360" w:lineRule="auto"/>
        <w:ind w:firstLine="420"/>
        <w:jc w:val="left"/>
        <w:rPr>
          <w:rFonts w:ascii="宋体" w:hAnsi="宋体"/>
        </w:rPr>
      </w:pPr>
    </w:p>
    <w:p w14:paraId="31EC60EF">
      <w:pPr>
        <w:snapToGrid w:val="0"/>
        <w:spacing w:line="360" w:lineRule="auto"/>
        <w:ind w:left="-23" w:leftChars="-11" w:right="-214" w:rightChars="-102" w:firstLine="21" w:firstLineChars="10"/>
        <w:jc w:val="left"/>
        <w:rPr>
          <w:rFonts w:ascii="宋体" w:hAnsi="宋体" w:cs="宋体"/>
          <w:b/>
          <w:szCs w:val="21"/>
        </w:rPr>
      </w:pPr>
      <w:r>
        <w:rPr>
          <w:rFonts w:ascii="宋体" w:hAnsi="宋体" w:cs="宋体"/>
          <w:b/>
          <w:szCs w:val="21"/>
        </w:rPr>
        <w:br w:type="page"/>
      </w:r>
      <w:r>
        <w:rPr>
          <w:rFonts w:hint="eastAsia" w:ascii="宋体" w:hAnsi="宋体"/>
          <w:b/>
        </w:rPr>
        <w:t>2.商务技术文件的有关格式</w:t>
      </w:r>
    </w:p>
    <w:p w14:paraId="6A0F1359">
      <w:pPr>
        <w:pStyle w:val="6"/>
        <w:spacing w:after="0" w:line="360" w:lineRule="auto"/>
        <w:ind w:left="0" w:leftChars="0" w:firstLine="422"/>
        <w:jc w:val="center"/>
        <w:rPr>
          <w:rFonts w:ascii="宋体" w:hAnsi="宋体" w:cs="宋体"/>
          <w:b/>
          <w:sz w:val="21"/>
          <w:szCs w:val="21"/>
        </w:rPr>
      </w:pPr>
      <w:r>
        <w:rPr>
          <w:rFonts w:hint="eastAsia" w:ascii="宋体" w:hAnsi="宋体" w:cs="宋体"/>
          <w:b/>
          <w:sz w:val="21"/>
          <w:szCs w:val="21"/>
        </w:rPr>
        <w:t>（1）响应函</w:t>
      </w:r>
    </w:p>
    <w:p w14:paraId="6122370D">
      <w:pPr>
        <w:snapToGrid w:val="0"/>
        <w:spacing w:line="360" w:lineRule="auto"/>
        <w:rPr>
          <w:rFonts w:ascii="宋体" w:hAnsi="宋体"/>
          <w:szCs w:val="21"/>
        </w:rPr>
      </w:pPr>
      <w:r>
        <w:rPr>
          <w:rFonts w:hint="eastAsia" w:ascii="宋体" w:hAnsi="宋体"/>
          <w:szCs w:val="21"/>
        </w:rPr>
        <w:t>致：</w:t>
      </w:r>
      <w:r>
        <w:rPr>
          <w:rFonts w:ascii="宋体" w:hAnsi="宋体"/>
          <w:szCs w:val="21"/>
          <w:u w:val="single"/>
        </w:rPr>
        <w:t>浙江工商职业技术学院</w:t>
      </w:r>
      <w:r>
        <w:rPr>
          <w:rFonts w:hint="eastAsia" w:ascii="宋体" w:hAnsi="宋体"/>
          <w:szCs w:val="21"/>
          <w:u w:val="single"/>
        </w:rPr>
        <w:t>、宁波名诚招标代理有限公司</w:t>
      </w:r>
    </w:p>
    <w:p w14:paraId="02EE51A9">
      <w:pPr>
        <w:snapToGrid w:val="0"/>
        <w:spacing w:line="360" w:lineRule="auto"/>
        <w:ind w:left="-23" w:leftChars="-11" w:right="-214" w:rightChars="-102" w:firstLine="447" w:firstLineChars="213"/>
        <w:jc w:val="left"/>
        <w:rPr>
          <w:rFonts w:ascii="宋体" w:hAnsi="宋体"/>
          <w:szCs w:val="21"/>
        </w:rPr>
      </w:pPr>
      <w:r>
        <w:rPr>
          <w:rFonts w:hint="eastAsia" w:ascii="宋体" w:hAnsi="宋体"/>
          <w:szCs w:val="21"/>
        </w:rPr>
        <w:t>根据贵方的采购公告和邀请，我方兹宣布同意如下：</w:t>
      </w:r>
    </w:p>
    <w:p w14:paraId="529B5BF2">
      <w:pPr>
        <w:snapToGrid w:val="0"/>
        <w:spacing w:line="360" w:lineRule="auto"/>
        <w:ind w:left="-23" w:leftChars="-11" w:right="-214" w:rightChars="-102" w:firstLine="447" w:firstLineChars="213"/>
        <w:jc w:val="left"/>
        <w:rPr>
          <w:rFonts w:ascii="宋体" w:hAnsi="宋体"/>
        </w:rPr>
      </w:pPr>
      <w:r>
        <w:rPr>
          <w:rFonts w:hint="eastAsia" w:ascii="宋体" w:hAnsi="宋体"/>
        </w:rPr>
        <w:t>1.</w:t>
      </w:r>
      <w:r>
        <w:rPr>
          <w:rFonts w:hint="eastAsia" w:ascii="宋体" w:hAnsi="宋体"/>
          <w:szCs w:val="21"/>
        </w:rPr>
        <w:t>按磋商文件规定提供的工程的初次报价见</w:t>
      </w:r>
      <w:r>
        <w:rPr>
          <w:rFonts w:hint="eastAsia" w:ascii="宋体" w:hAnsi="宋体"/>
        </w:rPr>
        <w:t>《初次报价表》。</w:t>
      </w:r>
    </w:p>
    <w:p w14:paraId="0F1BE86D">
      <w:pPr>
        <w:snapToGrid w:val="0"/>
        <w:spacing w:line="360" w:lineRule="auto"/>
        <w:ind w:left="-23" w:leftChars="-11" w:right="-214" w:rightChars="-102" w:firstLine="447" w:firstLineChars="213"/>
        <w:jc w:val="left"/>
        <w:rPr>
          <w:rFonts w:ascii="宋体" w:hAnsi="宋体"/>
        </w:rPr>
      </w:pPr>
      <w:r>
        <w:rPr>
          <w:rFonts w:hint="eastAsia" w:ascii="宋体" w:hAnsi="宋体"/>
        </w:rPr>
        <w:t>2.</w:t>
      </w:r>
      <w:r>
        <w:rPr>
          <w:rFonts w:hint="eastAsia" w:ascii="宋体" w:hAnsi="宋体"/>
          <w:szCs w:val="21"/>
        </w:rPr>
        <w:t>我方将根据磋商文件的规定</w:t>
      </w:r>
      <w:r>
        <w:rPr>
          <w:rFonts w:hint="eastAsia" w:ascii="宋体" w:hAnsi="宋体"/>
        </w:rPr>
        <w:t>，严格履行合同的责任和义务。</w:t>
      </w:r>
    </w:p>
    <w:p w14:paraId="73DBE6A0">
      <w:pPr>
        <w:snapToGrid w:val="0"/>
        <w:spacing w:line="360" w:lineRule="auto"/>
        <w:ind w:left="-23" w:leftChars="-11" w:right="-214" w:rightChars="-102" w:firstLine="447" w:firstLineChars="213"/>
        <w:jc w:val="left"/>
        <w:rPr>
          <w:rFonts w:ascii="宋体" w:hAnsi="宋体"/>
        </w:rPr>
      </w:pPr>
      <w:r>
        <w:rPr>
          <w:rFonts w:hint="eastAsia" w:ascii="宋体" w:hAnsi="宋体"/>
        </w:rPr>
        <w:t>3.</w:t>
      </w:r>
      <w:r>
        <w:rPr>
          <w:rFonts w:hint="eastAsia" w:ascii="宋体" w:hAnsi="宋体"/>
          <w:szCs w:val="21"/>
        </w:rPr>
        <w:t>我方已详细审核全部磋商文件</w:t>
      </w:r>
      <w:r>
        <w:rPr>
          <w:rFonts w:hint="eastAsia" w:ascii="宋体" w:hAnsi="宋体"/>
        </w:rPr>
        <w:t>，包括磋商文件的澄清或修改（如有），参考资料及有关附件，</w:t>
      </w:r>
      <w:r>
        <w:rPr>
          <w:rFonts w:hint="eastAsia" w:ascii="宋体" w:hAnsi="宋体"/>
          <w:szCs w:val="21"/>
        </w:rPr>
        <w:t>我方正式认可并遵守本项目磋商文件</w:t>
      </w:r>
      <w:r>
        <w:rPr>
          <w:rFonts w:hint="eastAsia" w:ascii="宋体" w:hAnsi="宋体"/>
        </w:rPr>
        <w:t>，并对磋商文件各项条款、规定及要求均无异议。</w:t>
      </w:r>
      <w:r>
        <w:rPr>
          <w:rFonts w:hint="eastAsia" w:ascii="宋体" w:hAnsi="宋体"/>
          <w:szCs w:val="21"/>
        </w:rPr>
        <w:t>我方知道必须放弃提出含糊不清或误解问题的权利</w:t>
      </w:r>
      <w:r>
        <w:rPr>
          <w:rFonts w:hint="eastAsia" w:ascii="宋体" w:hAnsi="宋体"/>
        </w:rPr>
        <w:t>。</w:t>
      </w:r>
    </w:p>
    <w:p w14:paraId="7E92D6D8">
      <w:pPr>
        <w:snapToGrid w:val="0"/>
        <w:spacing w:line="360" w:lineRule="auto"/>
        <w:ind w:left="-23" w:leftChars="-11" w:right="-214" w:rightChars="-102" w:firstLine="447" w:firstLineChars="213"/>
        <w:jc w:val="left"/>
        <w:rPr>
          <w:rFonts w:ascii="宋体" w:hAnsi="宋体"/>
        </w:rPr>
      </w:pPr>
      <w:r>
        <w:rPr>
          <w:rFonts w:hint="eastAsia" w:ascii="宋体" w:hAnsi="宋体"/>
        </w:rPr>
        <w:t>4.</w:t>
      </w:r>
      <w:r>
        <w:rPr>
          <w:rFonts w:hint="eastAsia" w:ascii="宋体" w:hAnsi="宋体"/>
          <w:szCs w:val="21"/>
        </w:rPr>
        <w:t>我方的响应文件在磋商文件规定的响应有效期之前均对我方具有约束力</w:t>
      </w:r>
      <w:r>
        <w:rPr>
          <w:rFonts w:hint="eastAsia" w:ascii="宋体" w:hAnsi="宋体"/>
        </w:rPr>
        <w:t>。</w:t>
      </w:r>
    </w:p>
    <w:p w14:paraId="42667DEF">
      <w:pPr>
        <w:snapToGrid w:val="0"/>
        <w:spacing w:line="360" w:lineRule="auto"/>
        <w:ind w:left="-23" w:leftChars="-11" w:right="-214" w:rightChars="-102" w:firstLine="447" w:firstLineChars="213"/>
        <w:jc w:val="left"/>
        <w:rPr>
          <w:rFonts w:ascii="宋体" w:hAnsi="宋体"/>
        </w:rPr>
      </w:pPr>
      <w:r>
        <w:rPr>
          <w:rFonts w:hint="eastAsia" w:ascii="宋体" w:hAnsi="宋体"/>
        </w:rPr>
        <w:t>5.</w:t>
      </w:r>
      <w:r>
        <w:rPr>
          <w:rFonts w:hint="eastAsia" w:ascii="宋体" w:hAnsi="宋体"/>
          <w:szCs w:val="21"/>
        </w:rPr>
        <w:t>我方声明响应文件所提供的一切资料均真实无误</w:t>
      </w:r>
      <w:r>
        <w:rPr>
          <w:rFonts w:hint="eastAsia" w:ascii="宋体" w:hAnsi="宋体"/>
        </w:rPr>
        <w:t>、及时、有效，企业（单位）运营正常。</w:t>
      </w:r>
      <w:r>
        <w:rPr>
          <w:rFonts w:hint="eastAsia" w:ascii="宋体" w:hAnsi="宋体"/>
          <w:szCs w:val="21"/>
        </w:rPr>
        <w:t>由于我方提供资料不实而造成的责任和后果由我方独自承担</w:t>
      </w:r>
      <w:r>
        <w:rPr>
          <w:rFonts w:hint="eastAsia" w:ascii="宋体" w:hAnsi="宋体"/>
        </w:rPr>
        <w:t>。我方同意按照贵方提出的要求，提供与本项目磋商有关的任何证据、数据或资料。</w:t>
      </w:r>
    </w:p>
    <w:p w14:paraId="069FF170">
      <w:pPr>
        <w:snapToGrid w:val="0"/>
        <w:spacing w:line="360" w:lineRule="auto"/>
        <w:ind w:left="-23" w:leftChars="-11" w:right="-214" w:rightChars="-102" w:firstLine="447" w:firstLineChars="213"/>
        <w:jc w:val="left"/>
        <w:rPr>
          <w:rFonts w:ascii="宋体" w:hAnsi="宋体"/>
        </w:rPr>
      </w:pPr>
      <w:r>
        <w:rPr>
          <w:rFonts w:hint="eastAsia" w:ascii="宋体" w:hAnsi="宋体"/>
        </w:rPr>
        <w:t>6.</w:t>
      </w:r>
      <w:r>
        <w:rPr>
          <w:rFonts w:hint="eastAsia" w:ascii="宋体" w:hAnsi="宋体"/>
          <w:szCs w:val="21"/>
        </w:rPr>
        <w:t>我方完全理解最低报价并不是获得成交的唯一标准</w:t>
      </w:r>
      <w:r>
        <w:rPr>
          <w:rFonts w:hint="eastAsia" w:ascii="宋体" w:hAnsi="宋体"/>
        </w:rPr>
        <w:t>。</w:t>
      </w:r>
    </w:p>
    <w:p w14:paraId="6FE568C4">
      <w:pPr>
        <w:snapToGrid w:val="0"/>
        <w:spacing w:line="360" w:lineRule="auto"/>
        <w:ind w:left="-23" w:leftChars="-11" w:right="-214" w:rightChars="-102" w:firstLine="447" w:firstLineChars="213"/>
        <w:jc w:val="left"/>
        <w:rPr>
          <w:rFonts w:ascii="宋体" w:hAnsi="宋体"/>
          <w:szCs w:val="21"/>
        </w:rPr>
      </w:pPr>
      <w:r>
        <w:rPr>
          <w:rFonts w:hint="eastAsia" w:ascii="宋体" w:hAnsi="宋体"/>
        </w:rPr>
        <w:t>7</w:t>
      </w:r>
      <w:r>
        <w:rPr>
          <w:rFonts w:ascii="宋体" w:hAnsi="宋体"/>
        </w:rPr>
        <w:t>.如我方获得</w:t>
      </w:r>
      <w:r>
        <w:rPr>
          <w:rFonts w:hint="eastAsia" w:ascii="宋体" w:hAnsi="宋体"/>
        </w:rPr>
        <w:t>成交</w:t>
      </w:r>
      <w:r>
        <w:rPr>
          <w:rFonts w:ascii="宋体" w:hAnsi="宋体"/>
          <w:szCs w:val="21"/>
        </w:rPr>
        <w:t>，承诺按照磋商文件规定的金额、时间和方式支付</w:t>
      </w:r>
      <w:r>
        <w:rPr>
          <w:rFonts w:hint="eastAsia" w:ascii="宋体" w:hAnsi="宋体"/>
          <w:szCs w:val="21"/>
        </w:rPr>
        <w:t>采购</w:t>
      </w:r>
      <w:r>
        <w:rPr>
          <w:rFonts w:ascii="宋体" w:hAnsi="宋体"/>
          <w:szCs w:val="21"/>
        </w:rPr>
        <w:t>代理服务费。因我方违约致使</w:t>
      </w:r>
      <w:r>
        <w:rPr>
          <w:rFonts w:hint="eastAsia" w:ascii="宋体" w:hAnsi="宋体"/>
          <w:szCs w:val="21"/>
        </w:rPr>
        <w:t>采购</w:t>
      </w:r>
      <w:r>
        <w:rPr>
          <w:rFonts w:ascii="宋体" w:hAnsi="宋体"/>
          <w:szCs w:val="21"/>
        </w:rPr>
        <w:t>代理机构采取诉讼或仲裁等方式实现债权，为此支付的</w:t>
      </w:r>
      <w:r>
        <w:rPr>
          <w:rFonts w:hint="eastAsia" w:ascii="宋体" w:hAnsi="宋体"/>
          <w:szCs w:val="21"/>
        </w:rPr>
        <w:t>律师费、诉讼费、</w:t>
      </w:r>
      <w:r>
        <w:rPr>
          <w:rFonts w:ascii="宋体" w:hAnsi="宋体"/>
          <w:szCs w:val="21"/>
        </w:rPr>
        <w:t>执行费</w:t>
      </w:r>
      <w:r>
        <w:rPr>
          <w:rFonts w:hint="eastAsia" w:ascii="宋体" w:hAnsi="宋体"/>
          <w:szCs w:val="21"/>
        </w:rPr>
        <w:t>、公证费、认证费、鉴定费、保全费、担保费、差旅费等为</w:t>
      </w:r>
      <w:r>
        <w:rPr>
          <w:rFonts w:ascii="宋体" w:hAnsi="宋体"/>
          <w:szCs w:val="21"/>
        </w:rPr>
        <w:t>实现债权的一切费用由我方承担。</w:t>
      </w:r>
    </w:p>
    <w:p w14:paraId="019B6096">
      <w:pPr>
        <w:snapToGrid w:val="0"/>
        <w:spacing w:line="360" w:lineRule="auto"/>
        <w:ind w:left="-23" w:leftChars="-11" w:right="-214" w:rightChars="-102" w:firstLine="447" w:firstLineChars="213"/>
        <w:jc w:val="left"/>
        <w:rPr>
          <w:rFonts w:ascii="宋体" w:hAnsi="宋体"/>
          <w:szCs w:val="21"/>
        </w:rPr>
      </w:pPr>
      <w:r>
        <w:rPr>
          <w:rFonts w:hint="eastAsia" w:ascii="宋体" w:hAnsi="宋体"/>
          <w:szCs w:val="21"/>
        </w:rPr>
        <w:t>8.所有有关本次磋商的函电请寄：</w:t>
      </w:r>
    </w:p>
    <w:p w14:paraId="35F7533A">
      <w:pPr>
        <w:snapToGrid w:val="0"/>
        <w:spacing w:line="360" w:lineRule="auto"/>
        <w:ind w:firstLine="420"/>
        <w:rPr>
          <w:rFonts w:ascii="宋体" w:hAnsi="宋体"/>
          <w:szCs w:val="21"/>
        </w:rPr>
      </w:pPr>
      <w:r>
        <w:rPr>
          <w:rFonts w:hint="eastAsia" w:ascii="宋体" w:hAnsi="宋体"/>
          <w:szCs w:val="21"/>
        </w:rPr>
        <w:t>地址：</w:t>
      </w:r>
      <w:r>
        <w:rPr>
          <w:rFonts w:hint="eastAsia" w:ascii="宋体" w:hAnsi="宋体"/>
          <w:u w:val="single"/>
        </w:rPr>
        <w:t xml:space="preserve">           </w:t>
      </w:r>
    </w:p>
    <w:p w14:paraId="3E9D1786">
      <w:pPr>
        <w:snapToGrid w:val="0"/>
        <w:spacing w:line="360" w:lineRule="auto"/>
        <w:ind w:firstLine="420"/>
        <w:rPr>
          <w:rFonts w:ascii="宋体" w:hAnsi="宋体"/>
          <w:u w:val="single"/>
        </w:rPr>
      </w:pPr>
      <w:r>
        <w:rPr>
          <w:rFonts w:hint="eastAsia" w:ascii="宋体" w:hAnsi="宋体"/>
          <w:szCs w:val="21"/>
        </w:rPr>
        <w:t>邮编：</w:t>
      </w:r>
      <w:r>
        <w:rPr>
          <w:rFonts w:hint="eastAsia" w:ascii="宋体" w:hAnsi="宋体"/>
          <w:u w:val="single"/>
        </w:rPr>
        <w:t xml:space="preserve">          </w:t>
      </w:r>
    </w:p>
    <w:p w14:paraId="47F90A35">
      <w:pPr>
        <w:snapToGrid w:val="0"/>
        <w:spacing w:line="360" w:lineRule="auto"/>
        <w:ind w:right="-214" w:rightChars="-102" w:firstLine="420"/>
        <w:jc w:val="left"/>
        <w:rPr>
          <w:rFonts w:ascii="宋体" w:hAnsi="宋体"/>
          <w:szCs w:val="21"/>
        </w:rPr>
      </w:pPr>
    </w:p>
    <w:p w14:paraId="78379648">
      <w:pPr>
        <w:snapToGrid w:val="0"/>
        <w:spacing w:line="360" w:lineRule="auto"/>
        <w:ind w:firstLine="420"/>
        <w:rPr>
          <w:rFonts w:ascii="宋体" w:hAnsi="宋体"/>
          <w:szCs w:val="21"/>
        </w:rPr>
      </w:pPr>
    </w:p>
    <w:p w14:paraId="6D9F743B">
      <w:pPr>
        <w:snapToGrid w:val="0"/>
        <w:spacing w:line="360" w:lineRule="auto"/>
        <w:ind w:firstLine="3685" w:firstLineChars="1755"/>
        <w:rPr>
          <w:rFonts w:ascii="宋体" w:hAnsi="宋体"/>
          <w:szCs w:val="21"/>
        </w:rPr>
      </w:pPr>
      <w:r>
        <w:rPr>
          <w:rFonts w:hint="eastAsia" w:ascii="宋体" w:hAnsi="宋体"/>
          <w:szCs w:val="21"/>
        </w:rPr>
        <w:t>供应商：</w:t>
      </w:r>
      <w:r>
        <w:rPr>
          <w:rFonts w:hint="eastAsia" w:ascii="宋体" w:hAnsi="宋体"/>
          <w:szCs w:val="21"/>
          <w:u w:val="single"/>
        </w:rPr>
        <w:t xml:space="preserve">        （填写全称并加盖公章)       </w:t>
      </w:r>
    </w:p>
    <w:p w14:paraId="682A1702">
      <w:pPr>
        <w:snapToGrid w:val="0"/>
        <w:spacing w:line="360" w:lineRule="auto"/>
        <w:ind w:firstLine="3685" w:firstLineChars="1755"/>
        <w:rPr>
          <w:rFonts w:ascii="宋体" w:hAnsi="宋体"/>
          <w:szCs w:val="21"/>
        </w:rPr>
      </w:pPr>
      <w:r>
        <w:rPr>
          <w:rFonts w:hint="eastAsia" w:ascii="宋体" w:hAnsi="宋体"/>
          <w:szCs w:val="21"/>
        </w:rPr>
        <w:t>日  期：</w:t>
      </w:r>
    </w:p>
    <w:p w14:paraId="139B1AA0">
      <w:pPr>
        <w:pStyle w:val="2"/>
        <w:rPr>
          <w:rFonts w:ascii="宋体" w:hAnsi="宋体"/>
        </w:rPr>
      </w:pPr>
    </w:p>
    <w:p w14:paraId="314CEEBB">
      <w:pPr>
        <w:pStyle w:val="2"/>
        <w:rPr>
          <w:rFonts w:ascii="宋体" w:hAnsi="宋体"/>
        </w:rPr>
      </w:pPr>
    </w:p>
    <w:p w14:paraId="4832267C">
      <w:pPr>
        <w:pStyle w:val="2"/>
        <w:rPr>
          <w:rFonts w:ascii="宋体" w:hAnsi="宋体"/>
        </w:rPr>
      </w:pPr>
    </w:p>
    <w:p w14:paraId="7564C463">
      <w:pPr>
        <w:pStyle w:val="2"/>
        <w:rPr>
          <w:rFonts w:ascii="宋体" w:hAnsi="宋体"/>
        </w:rPr>
      </w:pPr>
    </w:p>
    <w:p w14:paraId="17A25125">
      <w:pPr>
        <w:pStyle w:val="2"/>
        <w:rPr>
          <w:rFonts w:ascii="宋体" w:hAnsi="宋体"/>
        </w:rPr>
      </w:pPr>
    </w:p>
    <w:p w14:paraId="581CABF8">
      <w:pPr>
        <w:widowControl/>
        <w:ind w:firstLine="420"/>
        <w:jc w:val="left"/>
        <w:rPr>
          <w:rFonts w:ascii="宋体" w:hAnsi="宋体"/>
          <w:b/>
          <w:bCs/>
          <w:kern w:val="0"/>
          <w:sz w:val="32"/>
          <w:szCs w:val="32"/>
        </w:rPr>
      </w:pPr>
      <w:r>
        <w:rPr>
          <w:rFonts w:ascii="宋体" w:hAnsi="宋体"/>
        </w:rPr>
        <w:br w:type="page"/>
      </w:r>
    </w:p>
    <w:p w14:paraId="4DC503E9">
      <w:pPr>
        <w:pStyle w:val="6"/>
        <w:spacing w:after="0" w:line="360" w:lineRule="auto"/>
        <w:ind w:left="0" w:leftChars="0" w:firstLine="422"/>
        <w:jc w:val="center"/>
        <w:rPr>
          <w:rFonts w:ascii="宋体" w:hAnsi="宋体" w:cs="宋体"/>
          <w:b/>
          <w:sz w:val="21"/>
          <w:szCs w:val="21"/>
        </w:rPr>
      </w:pPr>
      <w:r>
        <w:rPr>
          <w:rFonts w:hint="eastAsia" w:ascii="宋体" w:hAnsi="宋体" w:cs="宋体"/>
          <w:b/>
          <w:sz w:val="21"/>
          <w:szCs w:val="21"/>
        </w:rPr>
        <w:t>（2）</w:t>
      </w:r>
      <w:r>
        <w:rPr>
          <w:rFonts w:ascii="宋体" w:hAnsi="宋体" w:cs="宋体"/>
          <w:b/>
          <w:sz w:val="21"/>
          <w:szCs w:val="21"/>
        </w:rPr>
        <w:t>授权委托书</w:t>
      </w:r>
    </w:p>
    <w:p w14:paraId="5E51E209">
      <w:pPr>
        <w:snapToGrid w:val="0"/>
        <w:spacing w:line="360" w:lineRule="auto"/>
        <w:rPr>
          <w:rFonts w:ascii="宋体" w:hAnsi="宋体"/>
        </w:rPr>
      </w:pPr>
      <w:r>
        <w:rPr>
          <w:rFonts w:hint="eastAsia" w:ascii="宋体" w:hAnsi="宋体"/>
        </w:rPr>
        <w:t>致：</w:t>
      </w:r>
      <w:r>
        <w:rPr>
          <w:rFonts w:ascii="宋体" w:hAnsi="宋体"/>
          <w:szCs w:val="21"/>
          <w:u w:val="single"/>
        </w:rPr>
        <w:t>浙江工商职业技术学院</w:t>
      </w:r>
      <w:r>
        <w:rPr>
          <w:rFonts w:hint="eastAsia" w:ascii="宋体" w:hAnsi="宋体"/>
          <w:u w:val="single"/>
        </w:rPr>
        <w:t>、宁波名诚招标代理有限公司</w:t>
      </w:r>
    </w:p>
    <w:p w14:paraId="048EB232">
      <w:pPr>
        <w:snapToGrid w:val="0"/>
        <w:spacing w:line="360" w:lineRule="auto"/>
        <w:ind w:firstLine="424" w:firstLineChars="202"/>
        <w:rPr>
          <w:rFonts w:ascii="宋体" w:hAnsi="宋体"/>
        </w:rPr>
      </w:pPr>
      <w:r>
        <w:rPr>
          <w:rFonts w:hint="eastAsia" w:ascii="宋体" w:hAnsi="宋体"/>
        </w:rPr>
        <w:t>我</w:t>
      </w:r>
      <w:r>
        <w:rPr>
          <w:rFonts w:hint="eastAsia" w:ascii="宋体" w:hAnsi="宋体"/>
          <w:u w:val="single"/>
        </w:rPr>
        <w:t xml:space="preserve">    （姓名）     </w:t>
      </w:r>
      <w:r>
        <w:rPr>
          <w:rFonts w:hint="eastAsia" w:ascii="宋体" w:hAnsi="宋体"/>
        </w:rPr>
        <w:t>系</w:t>
      </w:r>
      <w:r>
        <w:rPr>
          <w:rFonts w:hint="eastAsia" w:ascii="宋体" w:hAnsi="宋体"/>
          <w:u w:val="single"/>
        </w:rPr>
        <w:t xml:space="preserve">    （供应商名称）   </w:t>
      </w:r>
      <w:r>
        <w:rPr>
          <w:rFonts w:hint="eastAsia" w:ascii="宋体" w:hAnsi="宋体"/>
        </w:rPr>
        <w:t>的法定代表人，现授权委托</w:t>
      </w:r>
      <w:r>
        <w:rPr>
          <w:rFonts w:hint="eastAsia" w:ascii="宋体" w:hAnsi="宋体"/>
          <w:u w:val="single"/>
        </w:rPr>
        <w:t xml:space="preserve">  （姓名）   </w:t>
      </w:r>
      <w:r>
        <w:rPr>
          <w:rFonts w:hint="eastAsia" w:ascii="宋体" w:hAnsi="宋体"/>
        </w:rPr>
        <w:t>、身份证号：</w:t>
      </w:r>
      <w:r>
        <w:rPr>
          <w:rFonts w:hint="eastAsia" w:ascii="宋体" w:hAnsi="宋体"/>
          <w:u w:val="single"/>
        </w:rPr>
        <w:t xml:space="preserve">                  </w:t>
      </w:r>
      <w:r>
        <w:rPr>
          <w:rFonts w:hint="eastAsia" w:ascii="宋体" w:hAnsi="宋体"/>
        </w:rPr>
        <w:t>以我方的名义参加</w:t>
      </w:r>
      <w:r>
        <w:rPr>
          <w:rFonts w:hint="eastAsia" w:ascii="宋体" w:hAnsi="宋体"/>
          <w:u w:val="single"/>
        </w:rPr>
        <w:t xml:space="preserve">         （项目名称）       </w:t>
      </w:r>
      <w:r>
        <w:rPr>
          <w:rFonts w:hint="eastAsia" w:ascii="宋体" w:hAnsi="宋体" w:cs="仿宋_GB2312"/>
          <w:kern w:val="0"/>
          <w:lang w:val="zh-CN"/>
        </w:rPr>
        <w:t>政府采购磋商响应的一切事项，其法律后果由我方承担。</w:t>
      </w:r>
    </w:p>
    <w:p w14:paraId="58480FB5">
      <w:pPr>
        <w:snapToGrid w:val="0"/>
        <w:spacing w:line="360" w:lineRule="auto"/>
        <w:ind w:firstLine="424" w:firstLineChars="202"/>
        <w:rPr>
          <w:rFonts w:ascii="宋体" w:hAnsi="宋体"/>
        </w:rPr>
      </w:pPr>
      <w:r>
        <w:rPr>
          <w:rFonts w:hint="eastAsia" w:ascii="宋体" w:hAnsi="宋体"/>
        </w:rPr>
        <w:t>本授权书自出具之日起生效，在撤销授权的书面通知以前，本授权委托书一直有效。授权代表在授权委托书有效期内签署的所有文件不因授权的撤销而失效。</w:t>
      </w:r>
    </w:p>
    <w:p w14:paraId="4194414D">
      <w:pPr>
        <w:snapToGrid w:val="0"/>
        <w:spacing w:line="360" w:lineRule="auto"/>
        <w:ind w:firstLine="424" w:firstLineChars="202"/>
        <w:rPr>
          <w:rFonts w:ascii="宋体" w:hAnsi="宋体"/>
        </w:rPr>
      </w:pPr>
      <w:r>
        <w:rPr>
          <w:rFonts w:hint="eastAsia" w:ascii="宋体" w:hAnsi="宋体"/>
        </w:rPr>
        <w:t>授权代表无转委托权，特此授权。</w:t>
      </w:r>
    </w:p>
    <w:p w14:paraId="73A20F89">
      <w:pPr>
        <w:snapToGrid w:val="0"/>
        <w:spacing w:line="360" w:lineRule="auto"/>
        <w:rPr>
          <w:rFonts w:ascii="宋体" w:hAnsi="宋体"/>
        </w:rPr>
      </w:pPr>
    </w:p>
    <w:p w14:paraId="657BCC6F">
      <w:pPr>
        <w:snapToGrid w:val="0"/>
        <w:spacing w:line="360" w:lineRule="auto"/>
        <w:ind w:firstLine="3685" w:firstLineChars="1755"/>
        <w:rPr>
          <w:rFonts w:ascii="宋体" w:hAnsi="宋体"/>
        </w:rPr>
      </w:pPr>
      <w:r>
        <w:rPr>
          <w:rFonts w:hint="eastAsia" w:ascii="宋体" w:hAnsi="宋体"/>
        </w:rPr>
        <w:t>供应商：</w:t>
      </w:r>
      <w:r>
        <w:rPr>
          <w:rFonts w:hint="eastAsia" w:ascii="宋体" w:hAnsi="宋体"/>
          <w:u w:val="single"/>
        </w:rPr>
        <w:t xml:space="preserve">          （填写全称并加盖公章）     </w:t>
      </w:r>
    </w:p>
    <w:p w14:paraId="162A6793">
      <w:pPr>
        <w:snapToGrid w:val="0"/>
        <w:spacing w:line="360" w:lineRule="auto"/>
        <w:ind w:firstLine="3685" w:firstLineChars="1755"/>
        <w:rPr>
          <w:rFonts w:ascii="宋体" w:hAnsi="宋体"/>
        </w:rPr>
      </w:pPr>
      <w:r>
        <w:rPr>
          <w:rFonts w:hint="eastAsia" w:ascii="宋体" w:hAnsi="宋体"/>
        </w:rPr>
        <w:t>授权委托日期：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031B57AE">
      <w:pPr>
        <w:pStyle w:val="6"/>
        <w:spacing w:line="360" w:lineRule="auto"/>
        <w:ind w:left="460" w:leftChars="0" w:firstLine="422"/>
        <w:jc w:val="center"/>
        <w:rPr>
          <w:rFonts w:ascii="宋体" w:hAnsi="宋体"/>
          <w:b/>
          <w:sz w:val="21"/>
        </w:rPr>
      </w:pPr>
    </w:p>
    <w:p w14:paraId="4BCD38B5">
      <w:pPr>
        <w:snapToGrid w:val="0"/>
        <w:spacing w:before="120" w:beforeLines="50" w:after="120" w:afterLines="50" w:line="360" w:lineRule="auto"/>
        <w:ind w:firstLine="4109" w:firstLineChars="1957"/>
        <w:rPr>
          <w:rFonts w:ascii="宋体" w:hAnsi="宋体" w:cs="仿宋_GB2312"/>
          <w:kern w:val="0"/>
          <w:lang w:val="zh-CN"/>
        </w:rPr>
      </w:pPr>
    </w:p>
    <w:p w14:paraId="562E8619">
      <w:pPr>
        <w:spacing w:line="360" w:lineRule="auto"/>
        <w:ind w:right="112"/>
        <w:rPr>
          <w:rFonts w:ascii="宋体" w:hAnsi="宋体"/>
          <w:b/>
        </w:rPr>
      </w:pPr>
    </w:p>
    <w:p w14:paraId="408A04C6">
      <w:pPr>
        <w:spacing w:line="360" w:lineRule="auto"/>
        <w:ind w:right="112"/>
        <w:rPr>
          <w:rFonts w:ascii="宋体" w:hAnsi="宋体"/>
          <w:b/>
        </w:rPr>
      </w:pPr>
    </w:p>
    <w:p w14:paraId="717F507C">
      <w:pPr>
        <w:spacing w:line="360" w:lineRule="auto"/>
        <w:ind w:right="112"/>
        <w:rPr>
          <w:rFonts w:ascii="宋体" w:hAnsi="宋体"/>
          <w:b/>
        </w:rPr>
      </w:pPr>
    </w:p>
    <w:p w14:paraId="3BDD1B59">
      <w:pPr>
        <w:spacing w:line="360" w:lineRule="auto"/>
        <w:ind w:right="112"/>
        <w:rPr>
          <w:rFonts w:ascii="宋体" w:hAnsi="宋体"/>
          <w:b/>
        </w:rPr>
      </w:pPr>
    </w:p>
    <w:p w14:paraId="0B78D38A">
      <w:pPr>
        <w:spacing w:line="360" w:lineRule="auto"/>
        <w:ind w:right="112"/>
        <w:rPr>
          <w:rFonts w:ascii="宋体" w:hAnsi="宋体"/>
          <w:b/>
        </w:rPr>
      </w:pPr>
    </w:p>
    <w:p w14:paraId="150EDD5A">
      <w:pPr>
        <w:spacing w:line="360" w:lineRule="auto"/>
        <w:ind w:right="112"/>
        <w:rPr>
          <w:rFonts w:ascii="宋体" w:hAnsi="宋体"/>
          <w:b/>
        </w:rPr>
      </w:pPr>
      <w:r>
        <w:rPr>
          <w:rFonts w:hint="eastAsia" w:ascii="宋体" w:hAnsi="宋体"/>
          <w:b/>
        </w:rPr>
        <w:t>注：本项目只允许有唯一的供应商授权代表，后附供应商的法定代表人和授权代表身份证正反面复印件，本表及其附件只要求供应商的法定代表人或其授权代表在响应文件中签署资料的情况下提交。</w:t>
      </w:r>
    </w:p>
    <w:p w14:paraId="0D51AFFB">
      <w:pPr>
        <w:pStyle w:val="6"/>
        <w:spacing w:after="0" w:line="360" w:lineRule="auto"/>
        <w:ind w:left="0" w:leftChars="0" w:firstLine="400"/>
        <w:jc w:val="center"/>
        <w:rPr>
          <w:rFonts w:ascii="宋体" w:hAnsi="宋体"/>
          <w:szCs w:val="21"/>
        </w:rPr>
      </w:pPr>
      <w:r>
        <w:rPr>
          <w:rFonts w:ascii="宋体" w:hAnsi="宋体"/>
          <w:szCs w:val="21"/>
        </w:rPr>
        <w:br w:type="page"/>
      </w:r>
      <w:r>
        <w:rPr>
          <w:rFonts w:hint="eastAsia" w:ascii="宋体" w:hAnsi="宋体" w:cs="宋体"/>
          <w:b/>
          <w:sz w:val="21"/>
          <w:szCs w:val="21"/>
        </w:rPr>
        <w:t>（3）评委打分索引表</w:t>
      </w:r>
    </w:p>
    <w:tbl>
      <w:tblPr>
        <w:tblStyle w:val="12"/>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033"/>
        <w:gridCol w:w="1701"/>
        <w:gridCol w:w="2835"/>
      </w:tblGrid>
      <w:tr w14:paraId="4DD6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DCD4072">
            <w:pPr>
              <w:contextualSpacing/>
              <w:jc w:val="center"/>
              <w:rPr>
                <w:rFonts w:ascii="宋体" w:hAnsi="宋体"/>
                <w:szCs w:val="21"/>
              </w:rPr>
            </w:pPr>
            <w:r>
              <w:rPr>
                <w:rFonts w:hint="eastAsia" w:ascii="宋体" w:hAnsi="宋体"/>
                <w:szCs w:val="21"/>
              </w:rPr>
              <w:t>序号</w:t>
            </w:r>
          </w:p>
        </w:tc>
        <w:tc>
          <w:tcPr>
            <w:tcW w:w="3033" w:type="dxa"/>
            <w:vAlign w:val="center"/>
          </w:tcPr>
          <w:p w14:paraId="28CBC7FC">
            <w:pPr>
              <w:contextualSpacing/>
              <w:jc w:val="center"/>
              <w:rPr>
                <w:rFonts w:ascii="宋体" w:hAnsi="宋体"/>
                <w:szCs w:val="21"/>
              </w:rPr>
            </w:pPr>
            <w:r>
              <w:rPr>
                <w:rFonts w:hint="eastAsia" w:ascii="宋体" w:hAnsi="宋体"/>
                <w:szCs w:val="21"/>
              </w:rPr>
              <w:t>评审因素</w:t>
            </w:r>
          </w:p>
        </w:tc>
        <w:tc>
          <w:tcPr>
            <w:tcW w:w="1701" w:type="dxa"/>
            <w:vAlign w:val="center"/>
          </w:tcPr>
          <w:p w14:paraId="53DB8CAB">
            <w:pPr>
              <w:contextualSpacing/>
              <w:jc w:val="center"/>
              <w:rPr>
                <w:rFonts w:ascii="宋体" w:hAnsi="宋体"/>
                <w:szCs w:val="21"/>
              </w:rPr>
            </w:pPr>
            <w:r>
              <w:rPr>
                <w:rFonts w:hint="eastAsia" w:ascii="宋体" w:hAnsi="宋体"/>
                <w:szCs w:val="21"/>
              </w:rPr>
              <w:t>文件或证明材料所在页码区间</w:t>
            </w:r>
          </w:p>
        </w:tc>
        <w:tc>
          <w:tcPr>
            <w:tcW w:w="2835" w:type="dxa"/>
            <w:vAlign w:val="center"/>
          </w:tcPr>
          <w:p w14:paraId="3D2AB498">
            <w:pPr>
              <w:contextualSpacing/>
              <w:jc w:val="center"/>
              <w:rPr>
                <w:rFonts w:ascii="宋体" w:hAnsi="宋体"/>
                <w:szCs w:val="21"/>
              </w:rPr>
            </w:pPr>
            <w:r>
              <w:rPr>
                <w:rFonts w:hint="eastAsia" w:ascii="宋体" w:hAnsi="宋体"/>
                <w:szCs w:val="21"/>
              </w:rPr>
              <w:t>自评得分（由评委进行主观评审的无需填写自评得分）</w:t>
            </w:r>
          </w:p>
        </w:tc>
      </w:tr>
      <w:tr w14:paraId="4117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AEA520F">
            <w:pPr>
              <w:contextualSpacing/>
              <w:jc w:val="center"/>
              <w:rPr>
                <w:rFonts w:ascii="宋体" w:hAnsi="宋体"/>
                <w:szCs w:val="21"/>
              </w:rPr>
            </w:pPr>
            <w:r>
              <w:rPr>
                <w:rFonts w:hint="eastAsia" w:ascii="宋体" w:hAnsi="宋体"/>
                <w:szCs w:val="21"/>
              </w:rPr>
              <w:t>1</w:t>
            </w:r>
          </w:p>
        </w:tc>
        <w:tc>
          <w:tcPr>
            <w:tcW w:w="3033" w:type="dxa"/>
            <w:vAlign w:val="center"/>
          </w:tcPr>
          <w:p w14:paraId="052A8D06">
            <w:pPr>
              <w:contextualSpacing/>
              <w:jc w:val="center"/>
              <w:rPr>
                <w:rFonts w:ascii="宋体" w:hAnsi="宋体"/>
                <w:szCs w:val="21"/>
              </w:rPr>
            </w:pPr>
          </w:p>
        </w:tc>
        <w:tc>
          <w:tcPr>
            <w:tcW w:w="1701" w:type="dxa"/>
            <w:vAlign w:val="center"/>
          </w:tcPr>
          <w:p w14:paraId="60B509FD">
            <w:pPr>
              <w:contextualSpacing/>
              <w:rPr>
                <w:rFonts w:ascii="宋体" w:hAnsi="宋体"/>
                <w:szCs w:val="21"/>
              </w:rPr>
            </w:pPr>
          </w:p>
        </w:tc>
        <w:tc>
          <w:tcPr>
            <w:tcW w:w="2835" w:type="dxa"/>
            <w:vAlign w:val="center"/>
          </w:tcPr>
          <w:p w14:paraId="0D30EE62">
            <w:pPr>
              <w:contextualSpacing/>
              <w:rPr>
                <w:rFonts w:ascii="宋体" w:hAnsi="宋体"/>
                <w:szCs w:val="21"/>
              </w:rPr>
            </w:pPr>
          </w:p>
        </w:tc>
      </w:tr>
      <w:tr w14:paraId="5B02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DBE76F1">
            <w:pPr>
              <w:contextualSpacing/>
              <w:jc w:val="center"/>
              <w:rPr>
                <w:rFonts w:ascii="宋体" w:hAnsi="宋体"/>
                <w:szCs w:val="21"/>
              </w:rPr>
            </w:pPr>
            <w:r>
              <w:rPr>
                <w:rFonts w:hint="eastAsia" w:ascii="宋体" w:hAnsi="宋体"/>
                <w:szCs w:val="21"/>
              </w:rPr>
              <w:t>2</w:t>
            </w:r>
          </w:p>
        </w:tc>
        <w:tc>
          <w:tcPr>
            <w:tcW w:w="3033" w:type="dxa"/>
            <w:vAlign w:val="center"/>
          </w:tcPr>
          <w:p w14:paraId="0B909BAE">
            <w:pPr>
              <w:contextualSpacing/>
              <w:rPr>
                <w:rFonts w:ascii="宋体" w:hAnsi="宋体"/>
                <w:szCs w:val="21"/>
              </w:rPr>
            </w:pPr>
          </w:p>
        </w:tc>
        <w:tc>
          <w:tcPr>
            <w:tcW w:w="1701" w:type="dxa"/>
            <w:vAlign w:val="center"/>
          </w:tcPr>
          <w:p w14:paraId="7ADE524F">
            <w:pPr>
              <w:contextualSpacing/>
              <w:rPr>
                <w:rFonts w:ascii="宋体" w:hAnsi="宋体"/>
                <w:szCs w:val="21"/>
              </w:rPr>
            </w:pPr>
          </w:p>
        </w:tc>
        <w:tc>
          <w:tcPr>
            <w:tcW w:w="2835" w:type="dxa"/>
            <w:vAlign w:val="center"/>
          </w:tcPr>
          <w:p w14:paraId="333E1972">
            <w:pPr>
              <w:contextualSpacing/>
              <w:rPr>
                <w:rFonts w:ascii="宋体" w:hAnsi="宋体"/>
                <w:szCs w:val="21"/>
              </w:rPr>
            </w:pPr>
          </w:p>
        </w:tc>
      </w:tr>
      <w:tr w14:paraId="2504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2AB5BE61">
            <w:pPr>
              <w:contextualSpacing/>
              <w:jc w:val="center"/>
              <w:rPr>
                <w:rFonts w:ascii="宋体" w:hAnsi="宋体"/>
                <w:szCs w:val="21"/>
              </w:rPr>
            </w:pPr>
            <w:r>
              <w:rPr>
                <w:rFonts w:hint="eastAsia" w:ascii="宋体" w:hAnsi="宋体"/>
                <w:szCs w:val="21"/>
              </w:rPr>
              <w:t>3</w:t>
            </w:r>
          </w:p>
        </w:tc>
        <w:tc>
          <w:tcPr>
            <w:tcW w:w="3033" w:type="dxa"/>
            <w:vAlign w:val="center"/>
          </w:tcPr>
          <w:p w14:paraId="703A9E0D">
            <w:pPr>
              <w:contextualSpacing/>
              <w:jc w:val="center"/>
              <w:rPr>
                <w:rFonts w:ascii="宋体" w:hAnsi="宋体"/>
                <w:szCs w:val="21"/>
              </w:rPr>
            </w:pPr>
          </w:p>
        </w:tc>
        <w:tc>
          <w:tcPr>
            <w:tcW w:w="1701" w:type="dxa"/>
            <w:vAlign w:val="center"/>
          </w:tcPr>
          <w:p w14:paraId="11FE2C60">
            <w:pPr>
              <w:contextualSpacing/>
              <w:rPr>
                <w:rFonts w:ascii="宋体" w:hAnsi="宋体"/>
                <w:szCs w:val="21"/>
              </w:rPr>
            </w:pPr>
          </w:p>
        </w:tc>
        <w:tc>
          <w:tcPr>
            <w:tcW w:w="2835" w:type="dxa"/>
            <w:vAlign w:val="center"/>
          </w:tcPr>
          <w:p w14:paraId="5F10A3E7">
            <w:pPr>
              <w:contextualSpacing/>
              <w:rPr>
                <w:rFonts w:ascii="宋体" w:hAnsi="宋体"/>
                <w:szCs w:val="21"/>
              </w:rPr>
            </w:pPr>
          </w:p>
        </w:tc>
      </w:tr>
      <w:tr w14:paraId="313F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664C76F7">
            <w:pPr>
              <w:contextualSpacing/>
              <w:jc w:val="center"/>
              <w:rPr>
                <w:rFonts w:ascii="宋体" w:hAnsi="宋体"/>
                <w:szCs w:val="21"/>
              </w:rPr>
            </w:pPr>
            <w:r>
              <w:rPr>
                <w:rFonts w:hint="eastAsia" w:ascii="宋体" w:hAnsi="宋体"/>
                <w:szCs w:val="21"/>
              </w:rPr>
              <w:t>4</w:t>
            </w:r>
          </w:p>
        </w:tc>
        <w:tc>
          <w:tcPr>
            <w:tcW w:w="3033" w:type="dxa"/>
            <w:vAlign w:val="center"/>
          </w:tcPr>
          <w:p w14:paraId="4AFC9DE3">
            <w:pPr>
              <w:contextualSpacing/>
              <w:rPr>
                <w:rFonts w:ascii="宋体" w:hAnsi="宋体"/>
                <w:szCs w:val="21"/>
              </w:rPr>
            </w:pPr>
          </w:p>
        </w:tc>
        <w:tc>
          <w:tcPr>
            <w:tcW w:w="1701" w:type="dxa"/>
            <w:vAlign w:val="center"/>
          </w:tcPr>
          <w:p w14:paraId="24600CBD">
            <w:pPr>
              <w:contextualSpacing/>
              <w:rPr>
                <w:rFonts w:ascii="宋体" w:hAnsi="宋体"/>
                <w:szCs w:val="21"/>
              </w:rPr>
            </w:pPr>
          </w:p>
        </w:tc>
        <w:tc>
          <w:tcPr>
            <w:tcW w:w="2835" w:type="dxa"/>
            <w:vAlign w:val="center"/>
          </w:tcPr>
          <w:p w14:paraId="6A0DA165">
            <w:pPr>
              <w:contextualSpacing/>
              <w:rPr>
                <w:rFonts w:ascii="宋体" w:hAnsi="宋体"/>
                <w:szCs w:val="21"/>
              </w:rPr>
            </w:pPr>
          </w:p>
        </w:tc>
      </w:tr>
      <w:tr w14:paraId="4237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D312403">
            <w:pPr>
              <w:contextualSpacing/>
              <w:jc w:val="center"/>
              <w:rPr>
                <w:rFonts w:ascii="宋体" w:hAnsi="宋体"/>
                <w:szCs w:val="21"/>
              </w:rPr>
            </w:pPr>
            <w:r>
              <w:rPr>
                <w:rFonts w:hint="eastAsia" w:ascii="宋体" w:hAnsi="宋体"/>
                <w:szCs w:val="21"/>
              </w:rPr>
              <w:t>5</w:t>
            </w:r>
          </w:p>
        </w:tc>
        <w:tc>
          <w:tcPr>
            <w:tcW w:w="3033" w:type="dxa"/>
            <w:vAlign w:val="center"/>
          </w:tcPr>
          <w:p w14:paraId="537F7B03">
            <w:pPr>
              <w:contextualSpacing/>
              <w:rPr>
                <w:rFonts w:ascii="宋体" w:hAnsi="宋体"/>
                <w:szCs w:val="21"/>
              </w:rPr>
            </w:pPr>
          </w:p>
        </w:tc>
        <w:tc>
          <w:tcPr>
            <w:tcW w:w="1701" w:type="dxa"/>
            <w:vAlign w:val="center"/>
          </w:tcPr>
          <w:p w14:paraId="087E97DA">
            <w:pPr>
              <w:contextualSpacing/>
              <w:rPr>
                <w:rFonts w:ascii="宋体" w:hAnsi="宋体"/>
                <w:szCs w:val="21"/>
              </w:rPr>
            </w:pPr>
          </w:p>
        </w:tc>
        <w:tc>
          <w:tcPr>
            <w:tcW w:w="2835" w:type="dxa"/>
            <w:vAlign w:val="center"/>
          </w:tcPr>
          <w:p w14:paraId="141B9290">
            <w:pPr>
              <w:contextualSpacing/>
              <w:rPr>
                <w:rFonts w:ascii="宋体" w:hAnsi="宋体"/>
                <w:szCs w:val="21"/>
              </w:rPr>
            </w:pPr>
          </w:p>
        </w:tc>
      </w:tr>
      <w:tr w14:paraId="70C0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13592F4">
            <w:pPr>
              <w:contextualSpacing/>
              <w:jc w:val="center"/>
              <w:rPr>
                <w:rFonts w:ascii="宋体" w:hAnsi="宋体"/>
                <w:szCs w:val="21"/>
              </w:rPr>
            </w:pPr>
            <w:r>
              <w:rPr>
                <w:rFonts w:hint="eastAsia" w:ascii="宋体" w:hAnsi="宋体"/>
                <w:szCs w:val="21"/>
              </w:rPr>
              <w:t>...</w:t>
            </w:r>
          </w:p>
        </w:tc>
        <w:tc>
          <w:tcPr>
            <w:tcW w:w="3033" w:type="dxa"/>
            <w:vAlign w:val="center"/>
          </w:tcPr>
          <w:p w14:paraId="17BC0352">
            <w:pPr>
              <w:contextualSpacing/>
              <w:rPr>
                <w:rFonts w:ascii="宋体" w:hAnsi="宋体"/>
                <w:szCs w:val="21"/>
              </w:rPr>
            </w:pPr>
          </w:p>
        </w:tc>
        <w:tc>
          <w:tcPr>
            <w:tcW w:w="1701" w:type="dxa"/>
            <w:vAlign w:val="center"/>
          </w:tcPr>
          <w:p w14:paraId="54FB5A8C">
            <w:pPr>
              <w:contextualSpacing/>
              <w:rPr>
                <w:rFonts w:ascii="宋体" w:hAnsi="宋体"/>
                <w:szCs w:val="21"/>
              </w:rPr>
            </w:pPr>
          </w:p>
        </w:tc>
        <w:tc>
          <w:tcPr>
            <w:tcW w:w="2835" w:type="dxa"/>
            <w:vAlign w:val="center"/>
          </w:tcPr>
          <w:p w14:paraId="06281011">
            <w:pPr>
              <w:contextualSpacing/>
              <w:rPr>
                <w:rFonts w:ascii="宋体" w:hAnsi="宋体"/>
                <w:szCs w:val="21"/>
              </w:rPr>
            </w:pPr>
          </w:p>
        </w:tc>
      </w:tr>
    </w:tbl>
    <w:p w14:paraId="6519AEBC">
      <w:pPr>
        <w:pStyle w:val="6"/>
        <w:spacing w:before="120" w:beforeLines="50" w:line="360" w:lineRule="auto"/>
        <w:ind w:left="141" w:leftChars="67" w:firstLine="420"/>
        <w:rPr>
          <w:rFonts w:ascii="宋体" w:hAnsi="宋体"/>
          <w:sz w:val="21"/>
          <w:szCs w:val="21"/>
        </w:rPr>
      </w:pPr>
      <w:r>
        <w:rPr>
          <w:rFonts w:hint="eastAsia" w:ascii="宋体" w:hAnsi="宋体"/>
          <w:sz w:val="21"/>
          <w:szCs w:val="21"/>
        </w:rPr>
        <w:t>注：按照评委打分表内容逐项填写，报价部分无需列入。</w:t>
      </w:r>
    </w:p>
    <w:p w14:paraId="5488F4FF">
      <w:pPr>
        <w:pStyle w:val="6"/>
        <w:spacing w:line="360" w:lineRule="auto"/>
        <w:ind w:firstLine="422"/>
        <w:rPr>
          <w:rFonts w:ascii="宋体" w:hAnsi="宋体"/>
          <w:b/>
          <w:sz w:val="21"/>
          <w:szCs w:val="21"/>
        </w:rPr>
      </w:pPr>
    </w:p>
    <w:p w14:paraId="7BFFFF5C">
      <w:pPr>
        <w:snapToGrid w:val="0"/>
        <w:spacing w:before="50" w:after="50" w:line="360" w:lineRule="auto"/>
        <w:ind w:left="-21" w:leftChars="-72" w:right="-817" w:rightChars="-389" w:hanging="130" w:hangingChars="62"/>
        <w:rPr>
          <w:rFonts w:ascii="宋体" w:hAnsi="宋体"/>
          <w:szCs w:val="21"/>
        </w:rPr>
      </w:pPr>
    </w:p>
    <w:p w14:paraId="7169E7FD">
      <w:pPr>
        <w:pStyle w:val="6"/>
        <w:spacing w:line="360" w:lineRule="auto"/>
        <w:ind w:left="0" w:leftChars="0" w:firstLine="420"/>
        <w:jc w:val="center"/>
        <w:rPr>
          <w:rFonts w:ascii="宋体" w:hAnsi="宋体"/>
          <w:szCs w:val="21"/>
        </w:rPr>
      </w:pPr>
      <w:r>
        <w:rPr>
          <w:rFonts w:ascii="宋体" w:hAnsi="宋体"/>
          <w:kern w:val="1"/>
          <w:sz w:val="21"/>
          <w:szCs w:val="21"/>
        </w:rPr>
        <w:br w:type="page"/>
      </w:r>
    </w:p>
    <w:p w14:paraId="62EF9CA8">
      <w:pPr>
        <w:pStyle w:val="6"/>
        <w:spacing w:after="0" w:line="360" w:lineRule="auto"/>
        <w:ind w:left="0" w:leftChars="0" w:firstLine="422"/>
        <w:jc w:val="center"/>
        <w:rPr>
          <w:rFonts w:ascii="宋体" w:hAnsi="宋体" w:cs="宋体"/>
          <w:b/>
          <w:sz w:val="21"/>
          <w:szCs w:val="21"/>
        </w:rPr>
      </w:pPr>
      <w:r>
        <w:rPr>
          <w:rFonts w:hint="eastAsia" w:ascii="宋体" w:hAnsi="宋体" w:cs="宋体"/>
          <w:b/>
          <w:sz w:val="21"/>
          <w:szCs w:val="21"/>
        </w:rPr>
        <w:t>（4）采购需求偏离和建议调整表</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826"/>
        <w:gridCol w:w="3551"/>
        <w:gridCol w:w="1276"/>
      </w:tblGrid>
      <w:tr w14:paraId="0CBA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472" w:type="dxa"/>
            <w:gridSpan w:val="4"/>
            <w:vAlign w:val="center"/>
          </w:tcPr>
          <w:p w14:paraId="603A9858">
            <w:pPr>
              <w:adjustRightInd w:val="0"/>
              <w:snapToGrid w:val="0"/>
              <w:spacing w:after="120" w:afterLines="50"/>
              <w:jc w:val="left"/>
              <w:rPr>
                <w:rFonts w:ascii="宋体" w:hAnsi="宋体"/>
                <w:b/>
              </w:rPr>
            </w:pPr>
            <w:r>
              <w:rPr>
                <w:rFonts w:ascii="宋体" w:hAnsi="宋体"/>
                <w:b/>
              </w:rPr>
              <w:t>对本</w:t>
            </w:r>
            <w:r>
              <w:rPr>
                <w:rFonts w:hint="eastAsia" w:ascii="宋体" w:hAnsi="宋体"/>
                <w:b/>
              </w:rPr>
              <w:t>项目采购需求</w:t>
            </w:r>
            <w:r>
              <w:rPr>
                <w:rFonts w:ascii="宋体" w:hAnsi="宋体"/>
                <w:b/>
              </w:rPr>
              <w:t>的偏离情况</w:t>
            </w:r>
            <w:r>
              <w:rPr>
                <w:rFonts w:hint="eastAsia" w:ascii="宋体" w:hAnsi="宋体"/>
                <w:b/>
              </w:rPr>
              <w:t>和调整建议</w:t>
            </w:r>
            <w:r>
              <w:rPr>
                <w:rFonts w:ascii="宋体" w:hAnsi="宋体"/>
                <w:b/>
              </w:rPr>
              <w:t>（请进行勾选）：</w:t>
            </w:r>
          </w:p>
          <w:p w14:paraId="56E46F39">
            <w:pPr>
              <w:adjustRightInd w:val="0"/>
              <w:snapToGrid w:val="0"/>
              <w:spacing w:after="120" w:afterLines="50"/>
              <w:jc w:val="left"/>
              <w:rPr>
                <w:rFonts w:ascii="宋体" w:hAnsi="宋体"/>
                <w:b/>
              </w:rPr>
            </w:pPr>
            <w:r>
              <w:rPr>
                <w:rFonts w:ascii="宋体" w:hAnsi="宋体"/>
                <w:b/>
              </w:rPr>
              <w:t>□无偏离</w:t>
            </w:r>
            <w:r>
              <w:rPr>
                <w:rFonts w:hint="eastAsia" w:ascii="宋体" w:hAnsi="宋体"/>
                <w:b/>
              </w:rPr>
              <w:t>和调整建议</w:t>
            </w:r>
            <w:r>
              <w:rPr>
                <w:rFonts w:ascii="宋体" w:hAnsi="宋体"/>
              </w:rPr>
              <w:t>（如无偏离</w:t>
            </w:r>
            <w:r>
              <w:rPr>
                <w:rFonts w:hint="eastAsia" w:ascii="宋体" w:hAnsi="宋体"/>
              </w:rPr>
              <w:t>和调整建议</w:t>
            </w:r>
            <w:r>
              <w:rPr>
                <w:rFonts w:ascii="宋体" w:hAnsi="宋体"/>
              </w:rPr>
              <w:t>，勾选</w:t>
            </w:r>
            <w:r>
              <w:rPr>
                <w:rFonts w:hint="eastAsia" w:ascii="宋体" w:hAnsi="宋体"/>
              </w:rPr>
              <w:t>本条</w:t>
            </w:r>
            <w:r>
              <w:rPr>
                <w:rFonts w:ascii="宋体" w:hAnsi="宋体"/>
              </w:rPr>
              <w:t>即可）</w:t>
            </w:r>
          </w:p>
          <w:p w14:paraId="500223BC">
            <w:pPr>
              <w:adjustRightInd w:val="0"/>
              <w:snapToGrid w:val="0"/>
              <w:spacing w:after="120" w:afterLines="50"/>
              <w:jc w:val="left"/>
              <w:rPr>
                <w:rFonts w:ascii="宋体" w:hAnsi="宋体"/>
              </w:rPr>
            </w:pPr>
            <w:r>
              <w:rPr>
                <w:rFonts w:ascii="宋体" w:hAnsi="宋体"/>
                <w:b/>
              </w:rPr>
              <w:t>□有偏离</w:t>
            </w:r>
            <w:r>
              <w:rPr>
                <w:rFonts w:hint="eastAsia" w:ascii="宋体" w:hAnsi="宋体"/>
                <w:b/>
              </w:rPr>
              <w:t>和调整建议</w:t>
            </w:r>
            <w:r>
              <w:rPr>
                <w:rFonts w:ascii="宋体" w:hAnsi="宋体"/>
              </w:rPr>
              <w:t>（如有偏离</w:t>
            </w:r>
            <w:r>
              <w:rPr>
                <w:rFonts w:hint="eastAsia" w:ascii="宋体" w:hAnsi="宋体"/>
              </w:rPr>
              <w:t>或建议调整的条款</w:t>
            </w:r>
            <w:r>
              <w:rPr>
                <w:rFonts w:ascii="宋体" w:hAnsi="宋体"/>
              </w:rPr>
              <w:t>，勾选</w:t>
            </w:r>
            <w:r>
              <w:rPr>
                <w:rFonts w:hint="eastAsia" w:ascii="宋体" w:hAnsi="宋体"/>
              </w:rPr>
              <w:t>本条并</w:t>
            </w:r>
            <w:r>
              <w:rPr>
                <w:rFonts w:ascii="宋体" w:hAnsi="宋体"/>
              </w:rPr>
              <w:t>在本表中逐一列明）</w:t>
            </w:r>
          </w:p>
        </w:tc>
      </w:tr>
      <w:tr w14:paraId="609A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068BE329">
            <w:pPr>
              <w:contextualSpacing/>
              <w:jc w:val="center"/>
              <w:rPr>
                <w:rFonts w:ascii="宋体" w:hAnsi="宋体"/>
                <w:szCs w:val="21"/>
              </w:rPr>
            </w:pPr>
            <w:r>
              <w:rPr>
                <w:rFonts w:ascii="宋体" w:hAnsi="宋体"/>
                <w:szCs w:val="21"/>
              </w:rPr>
              <w:t>序号</w:t>
            </w:r>
          </w:p>
        </w:tc>
        <w:tc>
          <w:tcPr>
            <w:tcW w:w="2826" w:type="dxa"/>
            <w:vAlign w:val="center"/>
          </w:tcPr>
          <w:p w14:paraId="5CB71C89">
            <w:pPr>
              <w:contextualSpacing/>
              <w:jc w:val="center"/>
              <w:rPr>
                <w:rFonts w:ascii="宋体" w:hAnsi="宋体"/>
                <w:szCs w:val="21"/>
              </w:rPr>
            </w:pPr>
            <w:r>
              <w:rPr>
                <w:rFonts w:hint="eastAsia" w:ascii="宋体" w:hAnsi="宋体"/>
                <w:szCs w:val="21"/>
              </w:rPr>
              <w:t>原采购需求条款内容</w:t>
            </w:r>
          </w:p>
        </w:tc>
        <w:tc>
          <w:tcPr>
            <w:tcW w:w="3551" w:type="dxa"/>
            <w:vAlign w:val="center"/>
          </w:tcPr>
          <w:p w14:paraId="700A4BE0">
            <w:pPr>
              <w:contextualSpacing/>
              <w:jc w:val="center"/>
              <w:rPr>
                <w:rFonts w:ascii="宋体" w:hAnsi="宋体"/>
                <w:szCs w:val="21"/>
              </w:rPr>
            </w:pPr>
            <w:r>
              <w:rPr>
                <w:rFonts w:ascii="宋体" w:hAnsi="宋体"/>
                <w:szCs w:val="21"/>
              </w:rPr>
              <w:t>偏离情况</w:t>
            </w:r>
            <w:r>
              <w:rPr>
                <w:rFonts w:hint="eastAsia" w:ascii="宋体" w:hAnsi="宋体"/>
                <w:szCs w:val="21"/>
              </w:rPr>
              <w:t>或调整建议</w:t>
            </w:r>
            <w:r>
              <w:rPr>
                <w:rFonts w:ascii="宋体" w:hAnsi="宋体"/>
                <w:szCs w:val="21"/>
              </w:rPr>
              <w:t>（据实填写）</w:t>
            </w:r>
          </w:p>
        </w:tc>
        <w:tc>
          <w:tcPr>
            <w:tcW w:w="1276" w:type="dxa"/>
            <w:vAlign w:val="center"/>
          </w:tcPr>
          <w:p w14:paraId="5BB5341C">
            <w:pPr>
              <w:contextualSpacing/>
              <w:jc w:val="center"/>
              <w:rPr>
                <w:rFonts w:ascii="宋体" w:hAnsi="宋体"/>
                <w:szCs w:val="21"/>
              </w:rPr>
            </w:pPr>
            <w:r>
              <w:rPr>
                <w:rFonts w:ascii="宋体" w:hAnsi="宋体"/>
                <w:szCs w:val="21"/>
              </w:rPr>
              <w:t>说明</w:t>
            </w:r>
          </w:p>
        </w:tc>
      </w:tr>
      <w:tr w14:paraId="70A3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302945EF">
            <w:pPr>
              <w:adjustRightInd w:val="0"/>
              <w:snapToGrid w:val="0"/>
              <w:jc w:val="center"/>
              <w:rPr>
                <w:rFonts w:ascii="宋体" w:hAnsi="宋体"/>
              </w:rPr>
            </w:pPr>
            <w:r>
              <w:rPr>
                <w:rFonts w:ascii="宋体" w:hAnsi="宋体"/>
              </w:rPr>
              <w:t>1</w:t>
            </w:r>
          </w:p>
        </w:tc>
        <w:tc>
          <w:tcPr>
            <w:tcW w:w="2826" w:type="dxa"/>
            <w:vAlign w:val="center"/>
          </w:tcPr>
          <w:p w14:paraId="29CD656D">
            <w:pPr>
              <w:contextualSpacing/>
              <w:jc w:val="center"/>
              <w:rPr>
                <w:rFonts w:ascii="宋体" w:hAnsi="宋体"/>
                <w:szCs w:val="21"/>
              </w:rPr>
            </w:pPr>
          </w:p>
        </w:tc>
        <w:tc>
          <w:tcPr>
            <w:tcW w:w="3551" w:type="dxa"/>
            <w:vAlign w:val="center"/>
          </w:tcPr>
          <w:p w14:paraId="6BEC8503">
            <w:pPr>
              <w:contextualSpacing/>
              <w:jc w:val="center"/>
              <w:rPr>
                <w:rFonts w:ascii="宋体" w:hAnsi="宋体"/>
                <w:szCs w:val="21"/>
              </w:rPr>
            </w:pPr>
          </w:p>
        </w:tc>
        <w:tc>
          <w:tcPr>
            <w:tcW w:w="1276" w:type="dxa"/>
            <w:vAlign w:val="center"/>
          </w:tcPr>
          <w:p w14:paraId="51B75237">
            <w:pPr>
              <w:contextualSpacing/>
              <w:jc w:val="center"/>
              <w:rPr>
                <w:rFonts w:ascii="宋体" w:hAnsi="宋体"/>
                <w:szCs w:val="21"/>
              </w:rPr>
            </w:pPr>
          </w:p>
        </w:tc>
      </w:tr>
      <w:tr w14:paraId="5DA4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54039285">
            <w:pPr>
              <w:adjustRightInd w:val="0"/>
              <w:snapToGrid w:val="0"/>
              <w:jc w:val="center"/>
              <w:rPr>
                <w:rFonts w:ascii="宋体" w:hAnsi="宋体"/>
              </w:rPr>
            </w:pPr>
            <w:r>
              <w:rPr>
                <w:rFonts w:ascii="宋体" w:hAnsi="宋体"/>
              </w:rPr>
              <w:t>2</w:t>
            </w:r>
          </w:p>
        </w:tc>
        <w:tc>
          <w:tcPr>
            <w:tcW w:w="2826" w:type="dxa"/>
            <w:vAlign w:val="center"/>
          </w:tcPr>
          <w:p w14:paraId="7FC6D9C7">
            <w:pPr>
              <w:contextualSpacing/>
              <w:jc w:val="center"/>
              <w:rPr>
                <w:rFonts w:ascii="宋体" w:hAnsi="宋体"/>
                <w:szCs w:val="21"/>
              </w:rPr>
            </w:pPr>
          </w:p>
        </w:tc>
        <w:tc>
          <w:tcPr>
            <w:tcW w:w="3551" w:type="dxa"/>
            <w:vAlign w:val="center"/>
          </w:tcPr>
          <w:p w14:paraId="3CA8D692">
            <w:pPr>
              <w:contextualSpacing/>
              <w:jc w:val="center"/>
              <w:rPr>
                <w:rFonts w:ascii="宋体" w:hAnsi="宋体"/>
                <w:szCs w:val="21"/>
              </w:rPr>
            </w:pPr>
          </w:p>
        </w:tc>
        <w:tc>
          <w:tcPr>
            <w:tcW w:w="1276" w:type="dxa"/>
            <w:vAlign w:val="center"/>
          </w:tcPr>
          <w:p w14:paraId="7002F21D">
            <w:pPr>
              <w:contextualSpacing/>
              <w:jc w:val="center"/>
              <w:rPr>
                <w:rFonts w:ascii="宋体" w:hAnsi="宋体"/>
                <w:szCs w:val="21"/>
              </w:rPr>
            </w:pPr>
          </w:p>
        </w:tc>
      </w:tr>
      <w:tr w14:paraId="1805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7FE399EB">
            <w:pPr>
              <w:adjustRightInd w:val="0"/>
              <w:snapToGrid w:val="0"/>
              <w:jc w:val="center"/>
              <w:rPr>
                <w:rFonts w:ascii="宋体" w:hAnsi="宋体"/>
              </w:rPr>
            </w:pPr>
            <w:r>
              <w:rPr>
                <w:rFonts w:ascii="宋体" w:hAnsi="宋体"/>
              </w:rPr>
              <w:t>3</w:t>
            </w:r>
          </w:p>
        </w:tc>
        <w:tc>
          <w:tcPr>
            <w:tcW w:w="2826" w:type="dxa"/>
            <w:vAlign w:val="center"/>
          </w:tcPr>
          <w:p w14:paraId="7C355A56">
            <w:pPr>
              <w:contextualSpacing/>
              <w:jc w:val="center"/>
              <w:rPr>
                <w:rFonts w:ascii="宋体" w:hAnsi="宋体"/>
                <w:szCs w:val="21"/>
              </w:rPr>
            </w:pPr>
          </w:p>
        </w:tc>
        <w:tc>
          <w:tcPr>
            <w:tcW w:w="3551" w:type="dxa"/>
            <w:vAlign w:val="center"/>
          </w:tcPr>
          <w:p w14:paraId="391571BB">
            <w:pPr>
              <w:contextualSpacing/>
              <w:jc w:val="center"/>
              <w:rPr>
                <w:rFonts w:ascii="宋体" w:hAnsi="宋体"/>
                <w:szCs w:val="21"/>
              </w:rPr>
            </w:pPr>
          </w:p>
        </w:tc>
        <w:tc>
          <w:tcPr>
            <w:tcW w:w="1276" w:type="dxa"/>
            <w:vAlign w:val="center"/>
          </w:tcPr>
          <w:p w14:paraId="2FFC185F">
            <w:pPr>
              <w:contextualSpacing/>
              <w:jc w:val="center"/>
              <w:rPr>
                <w:rFonts w:ascii="宋体" w:hAnsi="宋体"/>
                <w:szCs w:val="21"/>
              </w:rPr>
            </w:pPr>
          </w:p>
        </w:tc>
      </w:tr>
      <w:tr w14:paraId="44A9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6011B84C">
            <w:pPr>
              <w:adjustRightInd w:val="0"/>
              <w:snapToGrid w:val="0"/>
              <w:jc w:val="center"/>
              <w:rPr>
                <w:rFonts w:ascii="宋体" w:hAnsi="宋体"/>
              </w:rPr>
            </w:pPr>
            <w:r>
              <w:rPr>
                <w:rFonts w:ascii="宋体" w:hAnsi="宋体"/>
              </w:rPr>
              <w:t>…</w:t>
            </w:r>
          </w:p>
        </w:tc>
        <w:tc>
          <w:tcPr>
            <w:tcW w:w="2826" w:type="dxa"/>
            <w:vAlign w:val="center"/>
          </w:tcPr>
          <w:p w14:paraId="5D8891E8">
            <w:pPr>
              <w:contextualSpacing/>
              <w:jc w:val="center"/>
              <w:rPr>
                <w:rFonts w:ascii="宋体" w:hAnsi="宋体"/>
                <w:szCs w:val="21"/>
              </w:rPr>
            </w:pPr>
          </w:p>
        </w:tc>
        <w:tc>
          <w:tcPr>
            <w:tcW w:w="3551" w:type="dxa"/>
            <w:vAlign w:val="center"/>
          </w:tcPr>
          <w:p w14:paraId="4E25999C">
            <w:pPr>
              <w:contextualSpacing/>
              <w:jc w:val="center"/>
              <w:rPr>
                <w:rFonts w:ascii="宋体" w:hAnsi="宋体"/>
                <w:szCs w:val="21"/>
              </w:rPr>
            </w:pPr>
          </w:p>
        </w:tc>
        <w:tc>
          <w:tcPr>
            <w:tcW w:w="1276" w:type="dxa"/>
            <w:vAlign w:val="center"/>
          </w:tcPr>
          <w:p w14:paraId="28724841">
            <w:pPr>
              <w:contextualSpacing/>
              <w:jc w:val="center"/>
              <w:rPr>
                <w:rFonts w:ascii="宋体" w:hAnsi="宋体"/>
                <w:szCs w:val="21"/>
              </w:rPr>
            </w:pPr>
          </w:p>
        </w:tc>
      </w:tr>
    </w:tbl>
    <w:p w14:paraId="2DF4FC73">
      <w:pPr>
        <w:snapToGrid w:val="0"/>
        <w:spacing w:line="360" w:lineRule="auto"/>
        <w:ind w:left="-23" w:leftChars="-11" w:right="-57" w:rightChars="-27" w:firstLine="21" w:firstLineChars="10"/>
        <w:rPr>
          <w:rFonts w:ascii="宋体" w:hAnsi="宋体"/>
        </w:rPr>
      </w:pPr>
      <w:r>
        <w:rPr>
          <w:rFonts w:hint="eastAsia" w:ascii="宋体" w:hAnsi="宋体"/>
        </w:rPr>
        <w:t>注：</w:t>
      </w:r>
    </w:p>
    <w:p w14:paraId="37262827">
      <w:pPr>
        <w:snapToGrid w:val="0"/>
        <w:spacing w:line="360" w:lineRule="auto"/>
        <w:ind w:left="-23" w:leftChars="-11" w:right="-57" w:rightChars="-27" w:firstLine="21" w:firstLineChars="10"/>
        <w:rPr>
          <w:rFonts w:ascii="宋体" w:hAnsi="宋体"/>
        </w:rPr>
      </w:pPr>
      <w:r>
        <w:rPr>
          <w:rFonts w:ascii="宋体" w:hAnsi="宋体"/>
        </w:rPr>
        <w:t>1.</w:t>
      </w:r>
      <w:r>
        <w:rPr>
          <w:rFonts w:hint="eastAsia" w:ascii="宋体" w:hAnsi="宋体"/>
        </w:rPr>
        <w:t>供应商保证：除本表列出的偏离外，响应磋商文件《第二章</w:t>
      </w:r>
      <w:r>
        <w:rPr>
          <w:rFonts w:ascii="宋体" w:hAnsi="宋体"/>
        </w:rPr>
        <w:t xml:space="preserve">  </w:t>
      </w:r>
      <w:r>
        <w:rPr>
          <w:rFonts w:hint="eastAsia" w:ascii="宋体" w:hAnsi="宋体"/>
        </w:rPr>
        <w:t>采购需求》列明的所有要求。供应商应当与磋商文件《第二章</w:t>
      </w:r>
      <w:r>
        <w:rPr>
          <w:rFonts w:ascii="宋体" w:hAnsi="宋体"/>
        </w:rPr>
        <w:t xml:space="preserve">  </w:t>
      </w:r>
      <w:r>
        <w:rPr>
          <w:rFonts w:hint="eastAsia" w:ascii="宋体" w:hAnsi="宋体"/>
        </w:rPr>
        <w:t>采购需求》的所有条款逐项比较，如有偏离（不满足或优于）的，须在本表中列明，并填写偏离情况。如供应商未在本表中列出偏离项并填写偏离情况，即使其在响应文件的其他部分说明与磋商文件要求有所不同或回避不答，亦视为响应磋商文件《第二章</w:t>
      </w:r>
      <w:r>
        <w:rPr>
          <w:rFonts w:ascii="宋体" w:hAnsi="宋体"/>
        </w:rPr>
        <w:t xml:space="preserve">  </w:t>
      </w:r>
      <w:r>
        <w:rPr>
          <w:rFonts w:hint="eastAsia" w:ascii="宋体" w:hAnsi="宋体"/>
        </w:rPr>
        <w:t>采购需求》所提出的要求并签署合同。若成交供应商以上述事项为借口而不履行合同签订手续及履行合同，则按照政府采购法律法规的规定处理，响应情况由磋商小组认定。</w:t>
      </w:r>
    </w:p>
    <w:p w14:paraId="63C3F63D">
      <w:pPr>
        <w:snapToGrid w:val="0"/>
        <w:spacing w:line="360" w:lineRule="auto"/>
        <w:ind w:left="-23" w:leftChars="-11" w:right="-57" w:rightChars="-27" w:firstLine="21" w:firstLineChars="10"/>
        <w:rPr>
          <w:rFonts w:ascii="宋体" w:hAnsi="宋体"/>
        </w:rPr>
      </w:pPr>
      <w:r>
        <w:rPr>
          <w:rFonts w:ascii="宋体" w:hAnsi="宋体"/>
        </w:rPr>
        <w:t>2.</w:t>
      </w:r>
      <w:r>
        <w:rPr>
          <w:rFonts w:hint="eastAsia" w:ascii="宋体" w:hAnsi="宋体"/>
        </w:rPr>
        <w:t>供应商针对《第二章</w:t>
      </w:r>
      <w:r>
        <w:rPr>
          <w:rFonts w:ascii="宋体" w:hAnsi="宋体"/>
        </w:rPr>
        <w:t xml:space="preserve">  </w:t>
      </w:r>
      <w:r>
        <w:rPr>
          <w:rFonts w:hint="eastAsia" w:ascii="宋体" w:hAnsi="宋体"/>
        </w:rPr>
        <w:t>采购需求》的要求，建议采购人修改或增加的有利于本项目采购目标达成的内容，请列入本表。</w:t>
      </w:r>
      <w:r>
        <w:rPr>
          <w:rFonts w:hint="eastAsia" w:ascii="宋体" w:hAnsi="宋体" w:cs="宋体"/>
          <w:bCs/>
        </w:rPr>
        <w:t>增加的条款可以不在“原采购需求条款内容”栏填写内容。</w:t>
      </w:r>
    </w:p>
    <w:p w14:paraId="2A22722C">
      <w:pPr>
        <w:snapToGrid w:val="0"/>
        <w:spacing w:line="360" w:lineRule="auto"/>
        <w:ind w:left="-23" w:leftChars="-11" w:right="-57" w:rightChars="-27" w:firstLine="21" w:firstLineChars="10"/>
        <w:rPr>
          <w:rFonts w:ascii="宋体" w:hAnsi="宋体"/>
        </w:rPr>
      </w:pPr>
      <w:r>
        <w:rPr>
          <w:rFonts w:ascii="宋体" w:hAnsi="宋体"/>
        </w:rPr>
        <w:t>3.</w:t>
      </w:r>
      <w:r>
        <w:rPr>
          <w:rFonts w:hint="eastAsia" w:ascii="宋体" w:hAnsi="宋体"/>
        </w:rPr>
        <w:t>供应商无论对《第二章</w:t>
      </w:r>
      <w:r>
        <w:rPr>
          <w:rFonts w:ascii="宋体" w:hAnsi="宋体"/>
        </w:rPr>
        <w:t xml:space="preserve">  </w:t>
      </w:r>
      <w:r>
        <w:rPr>
          <w:rFonts w:hint="eastAsia" w:ascii="宋体" w:hAnsi="宋体"/>
        </w:rPr>
        <w:t>采购需求》有无偏离（不满足或优于）和调整建议都应当将本表盖章后作为响应文件的一部分提交，未提供本表的按照无效响应处理。</w:t>
      </w:r>
    </w:p>
    <w:p w14:paraId="671ABEF9">
      <w:pPr>
        <w:snapToGrid w:val="0"/>
        <w:spacing w:line="360" w:lineRule="auto"/>
        <w:ind w:left="-23" w:leftChars="-11" w:right="-57" w:rightChars="-27" w:firstLine="21" w:firstLineChars="10"/>
        <w:rPr>
          <w:rFonts w:ascii="宋体" w:hAnsi="宋体"/>
        </w:rPr>
      </w:pPr>
    </w:p>
    <w:p w14:paraId="113DF4CA">
      <w:pPr>
        <w:ind w:firstLine="420"/>
        <w:rPr>
          <w:rFonts w:ascii="宋体" w:hAnsi="宋体"/>
        </w:rPr>
      </w:pPr>
    </w:p>
    <w:p w14:paraId="7033A79F">
      <w:pPr>
        <w:snapToGrid w:val="0"/>
        <w:spacing w:line="360" w:lineRule="auto"/>
        <w:ind w:firstLine="4536" w:firstLineChars="2160"/>
        <w:rPr>
          <w:rFonts w:ascii="宋体" w:hAnsi="宋体"/>
        </w:rPr>
      </w:pPr>
      <w:r>
        <w:rPr>
          <w:rFonts w:hint="eastAsia" w:ascii="宋体" w:hAnsi="宋体"/>
        </w:rPr>
        <w:t>供应商：</w:t>
      </w:r>
      <w:r>
        <w:rPr>
          <w:rFonts w:ascii="宋体" w:hAnsi="宋体"/>
          <w:u w:val="single"/>
        </w:rPr>
        <w:t xml:space="preserve">    填写全称并加盖公章    </w:t>
      </w:r>
    </w:p>
    <w:p w14:paraId="1453B79E">
      <w:pPr>
        <w:snapToGrid w:val="0"/>
        <w:spacing w:line="360" w:lineRule="auto"/>
        <w:ind w:firstLine="4536" w:firstLineChars="2160"/>
        <w:rPr>
          <w:rFonts w:ascii="宋体" w:hAnsi="宋体"/>
        </w:rPr>
      </w:pPr>
      <w:r>
        <w:rPr>
          <w:rFonts w:hint="eastAsia" w:ascii="宋体" w:hAnsi="宋体"/>
        </w:rPr>
        <w:t>日</w:t>
      </w:r>
      <w:r>
        <w:rPr>
          <w:rFonts w:ascii="宋体" w:hAnsi="宋体"/>
        </w:rPr>
        <w:t xml:space="preserve">  </w:t>
      </w:r>
      <w:r>
        <w:rPr>
          <w:rFonts w:hint="eastAsia" w:ascii="宋体" w:hAnsi="宋体"/>
        </w:rPr>
        <w:t>期：</w:t>
      </w:r>
    </w:p>
    <w:p w14:paraId="2C513B76">
      <w:pPr>
        <w:widowControl/>
        <w:ind w:firstLine="420"/>
        <w:jc w:val="left"/>
        <w:rPr>
          <w:rFonts w:ascii="宋体" w:hAnsi="宋体"/>
        </w:rPr>
      </w:pPr>
    </w:p>
    <w:p w14:paraId="3BA87B29">
      <w:pPr>
        <w:widowControl/>
        <w:ind w:firstLine="420"/>
        <w:jc w:val="left"/>
        <w:rPr>
          <w:rFonts w:ascii="宋体" w:hAnsi="宋体"/>
        </w:rPr>
      </w:pPr>
    </w:p>
    <w:p w14:paraId="4B50DBF0">
      <w:pPr>
        <w:widowControl/>
        <w:ind w:firstLine="420"/>
        <w:jc w:val="left"/>
        <w:rPr>
          <w:rFonts w:ascii="宋体" w:hAnsi="宋体"/>
        </w:rPr>
      </w:pPr>
    </w:p>
    <w:p w14:paraId="4429337D">
      <w:pPr>
        <w:widowControl/>
        <w:ind w:firstLine="420"/>
        <w:jc w:val="left"/>
        <w:rPr>
          <w:rFonts w:ascii="宋体" w:hAnsi="宋体"/>
        </w:rPr>
      </w:pPr>
    </w:p>
    <w:p w14:paraId="21E855E1">
      <w:pPr>
        <w:widowControl/>
        <w:ind w:firstLine="420"/>
        <w:jc w:val="left"/>
        <w:rPr>
          <w:rFonts w:ascii="宋体" w:hAnsi="宋体"/>
        </w:rPr>
      </w:pPr>
    </w:p>
    <w:p w14:paraId="111C0602">
      <w:pPr>
        <w:widowControl/>
        <w:ind w:firstLine="420"/>
        <w:jc w:val="left"/>
        <w:rPr>
          <w:rFonts w:ascii="宋体" w:hAnsi="宋体"/>
          <w:szCs w:val="20"/>
        </w:rPr>
      </w:pPr>
      <w:r>
        <w:rPr>
          <w:rFonts w:ascii="宋体" w:hAnsi="宋体"/>
        </w:rPr>
        <w:br w:type="page"/>
      </w:r>
    </w:p>
    <w:p w14:paraId="3CE16BA0">
      <w:pPr>
        <w:pStyle w:val="6"/>
        <w:spacing w:after="0" w:line="360" w:lineRule="auto"/>
        <w:ind w:left="0" w:leftChars="0" w:firstLine="422"/>
        <w:jc w:val="center"/>
        <w:rPr>
          <w:rFonts w:ascii="宋体" w:hAnsi="宋体" w:cs="宋体"/>
          <w:b/>
          <w:sz w:val="21"/>
          <w:szCs w:val="21"/>
        </w:rPr>
      </w:pPr>
      <w:r>
        <w:rPr>
          <w:rFonts w:hint="eastAsia" w:ascii="宋体" w:hAnsi="宋体" w:cs="宋体"/>
          <w:b/>
          <w:sz w:val="21"/>
          <w:szCs w:val="21"/>
        </w:rPr>
        <w:t>（</w:t>
      </w:r>
      <w:r>
        <w:rPr>
          <w:rFonts w:ascii="宋体" w:hAnsi="宋体" w:cs="宋体"/>
          <w:b/>
          <w:sz w:val="21"/>
          <w:szCs w:val="21"/>
        </w:rPr>
        <w:t>5</w:t>
      </w:r>
      <w:r>
        <w:rPr>
          <w:rFonts w:hint="eastAsia" w:ascii="宋体" w:hAnsi="宋体" w:cs="宋体"/>
          <w:b/>
          <w:sz w:val="21"/>
          <w:szCs w:val="21"/>
        </w:rPr>
        <w:t>）</w:t>
      </w:r>
      <w:r>
        <w:rPr>
          <w:rFonts w:ascii="宋体" w:hAnsi="宋体" w:cs="宋体"/>
          <w:b/>
          <w:sz w:val="21"/>
          <w:szCs w:val="21"/>
        </w:rPr>
        <w:t>合同条款偏离</w:t>
      </w:r>
      <w:r>
        <w:rPr>
          <w:rFonts w:hint="eastAsia" w:ascii="宋体" w:hAnsi="宋体" w:cs="宋体"/>
          <w:b/>
          <w:sz w:val="21"/>
          <w:szCs w:val="21"/>
        </w:rPr>
        <w:t>和建议调整</w:t>
      </w:r>
      <w:r>
        <w:rPr>
          <w:rFonts w:ascii="宋体" w:hAnsi="宋体" w:cs="宋体"/>
          <w:b/>
          <w:sz w:val="21"/>
          <w:szCs w:val="21"/>
        </w:rPr>
        <w:t>表</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826"/>
        <w:gridCol w:w="3693"/>
        <w:gridCol w:w="1134"/>
      </w:tblGrid>
      <w:tr w14:paraId="65C6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472" w:type="dxa"/>
            <w:gridSpan w:val="4"/>
            <w:vAlign w:val="center"/>
          </w:tcPr>
          <w:p w14:paraId="55A157CC">
            <w:pPr>
              <w:adjustRightInd w:val="0"/>
              <w:snapToGrid w:val="0"/>
              <w:spacing w:after="120" w:afterLines="50"/>
              <w:jc w:val="left"/>
              <w:rPr>
                <w:rFonts w:ascii="宋体" w:hAnsi="宋体"/>
                <w:b/>
              </w:rPr>
            </w:pPr>
            <w:r>
              <w:rPr>
                <w:rFonts w:ascii="宋体" w:hAnsi="宋体"/>
                <w:b/>
              </w:rPr>
              <w:t>对本</w:t>
            </w:r>
            <w:r>
              <w:rPr>
                <w:rFonts w:hint="eastAsia" w:ascii="宋体" w:hAnsi="宋体"/>
                <w:b/>
              </w:rPr>
              <w:t>项目</w:t>
            </w:r>
            <w:r>
              <w:rPr>
                <w:rFonts w:ascii="宋体" w:hAnsi="宋体"/>
                <w:b/>
              </w:rPr>
              <w:t>合同条款的偏离情况</w:t>
            </w:r>
            <w:r>
              <w:rPr>
                <w:rFonts w:hint="eastAsia" w:ascii="宋体" w:hAnsi="宋体"/>
                <w:b/>
              </w:rPr>
              <w:t>和调整建议</w:t>
            </w:r>
            <w:r>
              <w:rPr>
                <w:rFonts w:ascii="宋体" w:hAnsi="宋体"/>
                <w:b/>
              </w:rPr>
              <w:t>（请进行勾选）：</w:t>
            </w:r>
          </w:p>
          <w:p w14:paraId="69729893">
            <w:pPr>
              <w:adjustRightInd w:val="0"/>
              <w:snapToGrid w:val="0"/>
              <w:spacing w:after="120" w:afterLines="50"/>
              <w:jc w:val="left"/>
              <w:rPr>
                <w:rFonts w:ascii="宋体" w:hAnsi="宋体"/>
                <w:b/>
              </w:rPr>
            </w:pPr>
            <w:r>
              <w:rPr>
                <w:rFonts w:ascii="宋体" w:hAnsi="宋体"/>
                <w:b/>
              </w:rPr>
              <w:t>□无偏离</w:t>
            </w:r>
            <w:r>
              <w:rPr>
                <w:rFonts w:hint="eastAsia" w:ascii="宋体" w:hAnsi="宋体"/>
                <w:b/>
              </w:rPr>
              <w:t>和调整建议</w:t>
            </w:r>
            <w:r>
              <w:rPr>
                <w:rFonts w:ascii="宋体" w:hAnsi="宋体"/>
              </w:rPr>
              <w:t>（如无偏离</w:t>
            </w:r>
            <w:r>
              <w:rPr>
                <w:rFonts w:hint="eastAsia" w:ascii="宋体" w:hAnsi="宋体"/>
              </w:rPr>
              <w:t>和调整建议</w:t>
            </w:r>
            <w:r>
              <w:rPr>
                <w:rFonts w:ascii="宋体" w:hAnsi="宋体"/>
              </w:rPr>
              <w:t>，勾选</w:t>
            </w:r>
            <w:r>
              <w:rPr>
                <w:rFonts w:hint="eastAsia" w:ascii="宋体" w:hAnsi="宋体"/>
              </w:rPr>
              <w:t>本条</w:t>
            </w:r>
            <w:r>
              <w:rPr>
                <w:rFonts w:ascii="宋体" w:hAnsi="宋体"/>
              </w:rPr>
              <w:t>即可）</w:t>
            </w:r>
          </w:p>
          <w:p w14:paraId="4DD105F3">
            <w:pPr>
              <w:adjustRightInd w:val="0"/>
              <w:snapToGrid w:val="0"/>
              <w:spacing w:after="120" w:afterLines="50"/>
              <w:jc w:val="left"/>
              <w:rPr>
                <w:rFonts w:ascii="宋体" w:hAnsi="宋体"/>
              </w:rPr>
            </w:pPr>
            <w:r>
              <w:rPr>
                <w:rFonts w:ascii="宋体" w:hAnsi="宋体"/>
                <w:b/>
              </w:rPr>
              <w:t>□有偏离</w:t>
            </w:r>
            <w:r>
              <w:rPr>
                <w:rFonts w:hint="eastAsia" w:ascii="宋体" w:hAnsi="宋体"/>
                <w:b/>
              </w:rPr>
              <w:t>和调整建议</w:t>
            </w:r>
            <w:r>
              <w:rPr>
                <w:rFonts w:ascii="宋体" w:hAnsi="宋体"/>
              </w:rPr>
              <w:t>（如有偏离</w:t>
            </w:r>
            <w:r>
              <w:rPr>
                <w:rFonts w:hint="eastAsia" w:ascii="宋体" w:hAnsi="宋体"/>
              </w:rPr>
              <w:t>或建议调整的条款</w:t>
            </w:r>
            <w:r>
              <w:rPr>
                <w:rFonts w:ascii="宋体" w:hAnsi="宋体"/>
              </w:rPr>
              <w:t>，勾选</w:t>
            </w:r>
            <w:r>
              <w:rPr>
                <w:rFonts w:hint="eastAsia" w:ascii="宋体" w:hAnsi="宋体"/>
              </w:rPr>
              <w:t>本条并</w:t>
            </w:r>
            <w:r>
              <w:rPr>
                <w:rFonts w:ascii="宋体" w:hAnsi="宋体"/>
              </w:rPr>
              <w:t>在本表中逐一列明）</w:t>
            </w:r>
          </w:p>
        </w:tc>
      </w:tr>
      <w:tr w14:paraId="05AC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664FDA44">
            <w:pPr>
              <w:adjustRightInd w:val="0"/>
              <w:snapToGrid w:val="0"/>
              <w:jc w:val="center"/>
              <w:rPr>
                <w:rFonts w:ascii="宋体" w:hAnsi="宋体"/>
              </w:rPr>
            </w:pPr>
            <w:r>
              <w:rPr>
                <w:rFonts w:ascii="宋体" w:hAnsi="宋体"/>
              </w:rPr>
              <w:t>序号</w:t>
            </w:r>
          </w:p>
        </w:tc>
        <w:tc>
          <w:tcPr>
            <w:tcW w:w="2826" w:type="dxa"/>
            <w:vAlign w:val="center"/>
          </w:tcPr>
          <w:p w14:paraId="13E5B26F">
            <w:pPr>
              <w:adjustRightInd w:val="0"/>
              <w:snapToGrid w:val="0"/>
              <w:jc w:val="center"/>
              <w:rPr>
                <w:rFonts w:ascii="宋体" w:hAnsi="宋体"/>
              </w:rPr>
            </w:pPr>
            <w:r>
              <w:rPr>
                <w:rFonts w:hint="eastAsia" w:ascii="宋体" w:hAnsi="宋体"/>
              </w:rPr>
              <w:t>原合同条款内容</w:t>
            </w:r>
          </w:p>
        </w:tc>
        <w:tc>
          <w:tcPr>
            <w:tcW w:w="3693" w:type="dxa"/>
            <w:vAlign w:val="center"/>
          </w:tcPr>
          <w:p w14:paraId="3839C3DD">
            <w:pPr>
              <w:adjustRightInd w:val="0"/>
              <w:snapToGrid w:val="0"/>
              <w:jc w:val="center"/>
              <w:rPr>
                <w:rFonts w:ascii="宋体" w:hAnsi="宋体"/>
              </w:rPr>
            </w:pPr>
            <w:r>
              <w:rPr>
                <w:rFonts w:ascii="宋体" w:hAnsi="宋体"/>
              </w:rPr>
              <w:t>偏离情况</w:t>
            </w:r>
            <w:r>
              <w:rPr>
                <w:rFonts w:hint="eastAsia" w:ascii="宋体" w:hAnsi="宋体"/>
              </w:rPr>
              <w:t>或调整建议</w:t>
            </w:r>
            <w:r>
              <w:rPr>
                <w:rFonts w:ascii="宋体" w:hAnsi="宋体"/>
              </w:rPr>
              <w:t>（据实填写）</w:t>
            </w:r>
          </w:p>
        </w:tc>
        <w:tc>
          <w:tcPr>
            <w:tcW w:w="1134" w:type="dxa"/>
            <w:vAlign w:val="center"/>
          </w:tcPr>
          <w:p w14:paraId="58EFC63C">
            <w:pPr>
              <w:adjustRightInd w:val="0"/>
              <w:snapToGrid w:val="0"/>
              <w:jc w:val="center"/>
              <w:rPr>
                <w:rFonts w:ascii="宋体" w:hAnsi="宋体"/>
              </w:rPr>
            </w:pPr>
            <w:r>
              <w:rPr>
                <w:rFonts w:ascii="宋体" w:hAnsi="宋体"/>
              </w:rPr>
              <w:t>说明</w:t>
            </w:r>
          </w:p>
        </w:tc>
      </w:tr>
      <w:tr w14:paraId="1C20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33AC13FF">
            <w:pPr>
              <w:adjustRightInd w:val="0"/>
              <w:snapToGrid w:val="0"/>
              <w:jc w:val="center"/>
              <w:rPr>
                <w:rFonts w:ascii="宋体" w:hAnsi="宋体"/>
              </w:rPr>
            </w:pPr>
            <w:r>
              <w:rPr>
                <w:rFonts w:hint="eastAsia" w:ascii="宋体" w:hAnsi="宋体"/>
              </w:rPr>
              <w:t>1</w:t>
            </w:r>
          </w:p>
        </w:tc>
        <w:tc>
          <w:tcPr>
            <w:tcW w:w="2826" w:type="dxa"/>
            <w:vAlign w:val="center"/>
          </w:tcPr>
          <w:p w14:paraId="7EC10351">
            <w:pPr>
              <w:adjustRightInd w:val="0"/>
              <w:snapToGrid w:val="0"/>
              <w:jc w:val="center"/>
              <w:rPr>
                <w:rFonts w:ascii="宋体" w:hAnsi="宋体"/>
              </w:rPr>
            </w:pPr>
          </w:p>
        </w:tc>
        <w:tc>
          <w:tcPr>
            <w:tcW w:w="3693" w:type="dxa"/>
            <w:vAlign w:val="center"/>
          </w:tcPr>
          <w:p w14:paraId="0EFA2250">
            <w:pPr>
              <w:adjustRightInd w:val="0"/>
              <w:snapToGrid w:val="0"/>
              <w:jc w:val="center"/>
              <w:rPr>
                <w:rFonts w:ascii="宋体" w:hAnsi="宋体"/>
              </w:rPr>
            </w:pPr>
          </w:p>
        </w:tc>
        <w:tc>
          <w:tcPr>
            <w:tcW w:w="1134" w:type="dxa"/>
            <w:vAlign w:val="center"/>
          </w:tcPr>
          <w:p w14:paraId="5EE119FA">
            <w:pPr>
              <w:adjustRightInd w:val="0"/>
              <w:snapToGrid w:val="0"/>
              <w:jc w:val="center"/>
              <w:rPr>
                <w:rFonts w:ascii="宋体" w:hAnsi="宋体"/>
              </w:rPr>
            </w:pPr>
          </w:p>
        </w:tc>
      </w:tr>
      <w:tr w14:paraId="6F10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4194C21E">
            <w:pPr>
              <w:adjustRightInd w:val="0"/>
              <w:snapToGrid w:val="0"/>
              <w:jc w:val="center"/>
              <w:rPr>
                <w:rFonts w:ascii="宋体" w:hAnsi="宋体"/>
              </w:rPr>
            </w:pPr>
            <w:r>
              <w:rPr>
                <w:rFonts w:hint="eastAsia" w:ascii="宋体" w:hAnsi="宋体"/>
              </w:rPr>
              <w:t>2</w:t>
            </w:r>
          </w:p>
        </w:tc>
        <w:tc>
          <w:tcPr>
            <w:tcW w:w="2826" w:type="dxa"/>
            <w:vAlign w:val="center"/>
          </w:tcPr>
          <w:p w14:paraId="20728DEF">
            <w:pPr>
              <w:adjustRightInd w:val="0"/>
              <w:snapToGrid w:val="0"/>
              <w:jc w:val="center"/>
              <w:rPr>
                <w:rFonts w:ascii="宋体" w:hAnsi="宋体"/>
              </w:rPr>
            </w:pPr>
          </w:p>
        </w:tc>
        <w:tc>
          <w:tcPr>
            <w:tcW w:w="3693" w:type="dxa"/>
            <w:vAlign w:val="center"/>
          </w:tcPr>
          <w:p w14:paraId="0CF5D2E6">
            <w:pPr>
              <w:adjustRightInd w:val="0"/>
              <w:snapToGrid w:val="0"/>
              <w:jc w:val="center"/>
              <w:rPr>
                <w:rFonts w:ascii="宋体" w:hAnsi="宋体"/>
              </w:rPr>
            </w:pPr>
          </w:p>
        </w:tc>
        <w:tc>
          <w:tcPr>
            <w:tcW w:w="1134" w:type="dxa"/>
            <w:vAlign w:val="center"/>
          </w:tcPr>
          <w:p w14:paraId="2600B5D1">
            <w:pPr>
              <w:adjustRightInd w:val="0"/>
              <w:snapToGrid w:val="0"/>
              <w:jc w:val="center"/>
              <w:rPr>
                <w:rFonts w:ascii="宋体" w:hAnsi="宋体"/>
              </w:rPr>
            </w:pPr>
          </w:p>
        </w:tc>
      </w:tr>
      <w:tr w14:paraId="2EF5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5E61C9FE">
            <w:pPr>
              <w:adjustRightInd w:val="0"/>
              <w:snapToGrid w:val="0"/>
              <w:jc w:val="center"/>
              <w:rPr>
                <w:rFonts w:ascii="宋体" w:hAnsi="宋体"/>
              </w:rPr>
            </w:pPr>
            <w:r>
              <w:rPr>
                <w:rFonts w:hint="eastAsia" w:ascii="宋体" w:hAnsi="宋体"/>
              </w:rPr>
              <w:t>3</w:t>
            </w:r>
          </w:p>
        </w:tc>
        <w:tc>
          <w:tcPr>
            <w:tcW w:w="2826" w:type="dxa"/>
            <w:vAlign w:val="center"/>
          </w:tcPr>
          <w:p w14:paraId="7BDC79AF">
            <w:pPr>
              <w:adjustRightInd w:val="0"/>
              <w:snapToGrid w:val="0"/>
              <w:jc w:val="center"/>
              <w:rPr>
                <w:rFonts w:ascii="宋体" w:hAnsi="宋体"/>
              </w:rPr>
            </w:pPr>
          </w:p>
        </w:tc>
        <w:tc>
          <w:tcPr>
            <w:tcW w:w="3693" w:type="dxa"/>
            <w:vAlign w:val="center"/>
          </w:tcPr>
          <w:p w14:paraId="19C5775D">
            <w:pPr>
              <w:adjustRightInd w:val="0"/>
              <w:snapToGrid w:val="0"/>
              <w:jc w:val="center"/>
              <w:rPr>
                <w:rFonts w:ascii="宋体" w:hAnsi="宋体"/>
              </w:rPr>
            </w:pPr>
          </w:p>
        </w:tc>
        <w:tc>
          <w:tcPr>
            <w:tcW w:w="1134" w:type="dxa"/>
            <w:vAlign w:val="center"/>
          </w:tcPr>
          <w:p w14:paraId="6391253B">
            <w:pPr>
              <w:adjustRightInd w:val="0"/>
              <w:snapToGrid w:val="0"/>
              <w:jc w:val="center"/>
              <w:rPr>
                <w:rFonts w:ascii="宋体" w:hAnsi="宋体"/>
              </w:rPr>
            </w:pPr>
          </w:p>
        </w:tc>
      </w:tr>
      <w:tr w14:paraId="15AE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0D7808B1">
            <w:pPr>
              <w:adjustRightInd w:val="0"/>
              <w:snapToGrid w:val="0"/>
              <w:jc w:val="center"/>
              <w:rPr>
                <w:rFonts w:ascii="宋体" w:hAnsi="宋体"/>
              </w:rPr>
            </w:pPr>
            <w:r>
              <w:rPr>
                <w:rFonts w:ascii="宋体" w:hAnsi="宋体"/>
              </w:rPr>
              <w:t>…</w:t>
            </w:r>
          </w:p>
        </w:tc>
        <w:tc>
          <w:tcPr>
            <w:tcW w:w="2826" w:type="dxa"/>
            <w:vAlign w:val="center"/>
          </w:tcPr>
          <w:p w14:paraId="50E441CA">
            <w:pPr>
              <w:adjustRightInd w:val="0"/>
              <w:snapToGrid w:val="0"/>
              <w:jc w:val="center"/>
              <w:rPr>
                <w:rFonts w:ascii="宋体" w:hAnsi="宋体"/>
              </w:rPr>
            </w:pPr>
          </w:p>
        </w:tc>
        <w:tc>
          <w:tcPr>
            <w:tcW w:w="3693" w:type="dxa"/>
            <w:vAlign w:val="center"/>
          </w:tcPr>
          <w:p w14:paraId="255C7831">
            <w:pPr>
              <w:adjustRightInd w:val="0"/>
              <w:snapToGrid w:val="0"/>
              <w:jc w:val="center"/>
              <w:rPr>
                <w:rFonts w:ascii="宋体" w:hAnsi="宋体"/>
              </w:rPr>
            </w:pPr>
          </w:p>
        </w:tc>
        <w:tc>
          <w:tcPr>
            <w:tcW w:w="1134" w:type="dxa"/>
            <w:vAlign w:val="center"/>
          </w:tcPr>
          <w:p w14:paraId="4E517DEB">
            <w:pPr>
              <w:adjustRightInd w:val="0"/>
              <w:snapToGrid w:val="0"/>
              <w:jc w:val="center"/>
              <w:rPr>
                <w:rFonts w:ascii="宋体" w:hAnsi="宋体"/>
              </w:rPr>
            </w:pPr>
          </w:p>
        </w:tc>
      </w:tr>
    </w:tbl>
    <w:p w14:paraId="35662C0C">
      <w:pPr>
        <w:snapToGrid w:val="0"/>
        <w:spacing w:line="360" w:lineRule="auto"/>
        <w:ind w:left="-23" w:leftChars="-11" w:right="-57" w:rightChars="-27" w:firstLine="21" w:firstLineChars="10"/>
        <w:rPr>
          <w:rFonts w:ascii="宋体" w:hAnsi="宋体"/>
          <w:szCs w:val="22"/>
        </w:rPr>
      </w:pPr>
      <w:r>
        <w:rPr>
          <w:rFonts w:hint="eastAsia" w:ascii="宋体" w:hAnsi="宋体"/>
          <w:szCs w:val="22"/>
        </w:rPr>
        <w:t>注：</w:t>
      </w:r>
    </w:p>
    <w:p w14:paraId="35A22925">
      <w:pPr>
        <w:snapToGrid w:val="0"/>
        <w:spacing w:line="360" w:lineRule="auto"/>
        <w:ind w:left="-23" w:leftChars="-11" w:right="-57" w:rightChars="-27" w:firstLine="21" w:firstLineChars="10"/>
        <w:rPr>
          <w:rFonts w:ascii="宋体" w:hAnsi="宋体"/>
          <w:szCs w:val="22"/>
        </w:rPr>
      </w:pPr>
      <w:r>
        <w:rPr>
          <w:rFonts w:hint="eastAsia" w:ascii="宋体" w:hAnsi="宋体"/>
          <w:szCs w:val="22"/>
        </w:rPr>
        <w:t>1.供应商保证：除本表列出的偏离外，响应磋商文件《第五章  合同草案条款》列明的所有条款。供应商应当与采购文件《第五章  合同草案条款》的所有条款逐项比较，如有偏离</w:t>
      </w:r>
      <w:r>
        <w:rPr>
          <w:rFonts w:hint="eastAsia" w:ascii="宋体" w:hAnsi="宋体"/>
        </w:rPr>
        <w:t>（不满足或优于）</w:t>
      </w:r>
      <w:r>
        <w:rPr>
          <w:rFonts w:hint="eastAsia" w:ascii="宋体" w:hAnsi="宋体"/>
          <w:szCs w:val="22"/>
        </w:rPr>
        <w:t>的，须在本表中列明，并填写偏离情况。如供应商未在本表中列出偏离项并填写偏离情况，即使其在响应文件的其他部分说明与磋商文件要求有所不同或回避不答，亦视为响应磋商文件《第五章  合同草案条款》所提出的条款要求并签署合同。若成交供应商以上述事项为借口而不履行合同签订手续及履行合同，则按照政府采购法律法规的规定处理。响应情况由磋商小组认定。</w:t>
      </w:r>
    </w:p>
    <w:p w14:paraId="7720B5F6">
      <w:pPr>
        <w:snapToGrid w:val="0"/>
        <w:spacing w:line="360" w:lineRule="auto"/>
        <w:ind w:left="-23" w:leftChars="-11" w:right="-57" w:rightChars="-27" w:firstLine="21" w:firstLineChars="10"/>
        <w:rPr>
          <w:rFonts w:ascii="宋体" w:hAnsi="宋体"/>
          <w:szCs w:val="22"/>
        </w:rPr>
      </w:pPr>
      <w:r>
        <w:rPr>
          <w:rFonts w:hint="eastAsia" w:ascii="宋体" w:hAnsi="宋体"/>
          <w:szCs w:val="22"/>
        </w:rPr>
        <w:t>2</w:t>
      </w:r>
      <w:r>
        <w:rPr>
          <w:rFonts w:ascii="宋体" w:hAnsi="宋体"/>
          <w:szCs w:val="22"/>
        </w:rPr>
        <w:t>.</w:t>
      </w:r>
      <w:r>
        <w:rPr>
          <w:rFonts w:hint="eastAsia" w:ascii="宋体" w:hAnsi="宋体"/>
          <w:szCs w:val="22"/>
        </w:rPr>
        <w:t>供应商针对《第五章  合同草案条款》，建议采购人修改或增加的有利于本项目采购目标达成的内容，请列入本表。</w:t>
      </w:r>
      <w:r>
        <w:rPr>
          <w:rFonts w:hint="eastAsia" w:ascii="宋体" w:hAnsi="宋体" w:cs="宋体"/>
          <w:bCs/>
        </w:rPr>
        <w:t>增加的条款可以不在“</w:t>
      </w:r>
      <w:r>
        <w:rPr>
          <w:rFonts w:hint="eastAsia" w:ascii="宋体" w:hAnsi="宋体"/>
        </w:rPr>
        <w:t>原合同条款内容</w:t>
      </w:r>
      <w:r>
        <w:rPr>
          <w:rFonts w:hint="eastAsia" w:ascii="宋体" w:hAnsi="宋体" w:cs="宋体"/>
          <w:bCs/>
        </w:rPr>
        <w:t>”栏填写内容。</w:t>
      </w:r>
    </w:p>
    <w:p w14:paraId="68B1622E">
      <w:pPr>
        <w:snapToGrid w:val="0"/>
        <w:spacing w:line="360" w:lineRule="auto"/>
        <w:ind w:left="-23" w:leftChars="-11" w:right="-57" w:rightChars="-27" w:firstLine="21" w:firstLineChars="10"/>
        <w:rPr>
          <w:rFonts w:ascii="宋体" w:hAnsi="宋体"/>
          <w:szCs w:val="22"/>
        </w:rPr>
      </w:pPr>
      <w:r>
        <w:rPr>
          <w:rFonts w:hint="eastAsia" w:ascii="宋体" w:hAnsi="宋体"/>
          <w:szCs w:val="22"/>
        </w:rPr>
        <w:t>3.供应商无论对《第五章  合同草案条款》有无偏离（</w:t>
      </w:r>
      <w:r>
        <w:rPr>
          <w:rFonts w:hint="eastAsia" w:ascii="宋体" w:hAnsi="宋体"/>
        </w:rPr>
        <w:t>不满足或优于</w:t>
      </w:r>
      <w:r>
        <w:rPr>
          <w:rFonts w:hint="eastAsia" w:ascii="宋体" w:hAnsi="宋体"/>
          <w:szCs w:val="22"/>
        </w:rPr>
        <w:t>）和调整建议都应当将本表盖章后作为响应文件的一部分提交，未提供本表的按照无效响应处理。</w:t>
      </w:r>
    </w:p>
    <w:p w14:paraId="408B759B">
      <w:pPr>
        <w:tabs>
          <w:tab w:val="left" w:pos="1800"/>
          <w:tab w:val="left" w:pos="5580"/>
        </w:tabs>
        <w:ind w:firstLine="480"/>
        <w:jc w:val="left"/>
        <w:rPr>
          <w:rFonts w:ascii="宋体" w:hAnsi="宋体"/>
          <w:sz w:val="24"/>
        </w:rPr>
      </w:pPr>
    </w:p>
    <w:p w14:paraId="25058173">
      <w:pPr>
        <w:tabs>
          <w:tab w:val="left" w:pos="1800"/>
          <w:tab w:val="left" w:pos="5580"/>
        </w:tabs>
        <w:ind w:firstLine="420"/>
        <w:jc w:val="left"/>
        <w:rPr>
          <w:rFonts w:ascii="宋体" w:hAnsi="宋体"/>
        </w:rPr>
      </w:pPr>
    </w:p>
    <w:p w14:paraId="62ED06ED">
      <w:pPr>
        <w:snapToGrid w:val="0"/>
        <w:spacing w:line="360" w:lineRule="auto"/>
        <w:ind w:firstLine="4536" w:firstLineChars="2160"/>
        <w:rPr>
          <w:rFonts w:ascii="宋体" w:hAnsi="宋体"/>
        </w:rPr>
      </w:pPr>
      <w:r>
        <w:rPr>
          <w:rFonts w:hint="eastAsia" w:ascii="宋体" w:hAnsi="宋体"/>
        </w:rPr>
        <w:t>供应商：</w:t>
      </w:r>
      <w:r>
        <w:rPr>
          <w:rFonts w:hint="eastAsia" w:ascii="宋体" w:hAnsi="宋体"/>
          <w:u w:val="single"/>
        </w:rPr>
        <w:t xml:space="preserve">    填写全称并加盖公章    </w:t>
      </w:r>
    </w:p>
    <w:p w14:paraId="62FBA4E1">
      <w:pPr>
        <w:snapToGrid w:val="0"/>
        <w:spacing w:line="360" w:lineRule="auto"/>
        <w:ind w:firstLine="4536" w:firstLineChars="2160"/>
        <w:rPr>
          <w:rFonts w:ascii="宋体" w:hAnsi="宋体"/>
        </w:rPr>
      </w:pPr>
      <w:r>
        <w:rPr>
          <w:rFonts w:hint="eastAsia" w:ascii="宋体" w:hAnsi="宋体"/>
        </w:rPr>
        <w:t>日  期：</w:t>
      </w:r>
    </w:p>
    <w:p w14:paraId="18DABDC5">
      <w:pPr>
        <w:pStyle w:val="23"/>
      </w:pPr>
    </w:p>
    <w:p w14:paraId="6D5C25C9">
      <w:pPr>
        <w:widowControl/>
        <w:ind w:firstLine="420"/>
        <w:jc w:val="left"/>
        <w:rPr>
          <w:rFonts w:ascii="宋体" w:hAnsi="宋体"/>
        </w:rPr>
      </w:pPr>
    </w:p>
    <w:p w14:paraId="718491B7">
      <w:pPr>
        <w:widowControl/>
        <w:ind w:firstLine="420"/>
        <w:jc w:val="left"/>
        <w:rPr>
          <w:rFonts w:ascii="宋体" w:hAnsi="宋体"/>
        </w:rPr>
      </w:pPr>
    </w:p>
    <w:p w14:paraId="04B1D7D7">
      <w:pPr>
        <w:widowControl/>
        <w:ind w:firstLine="420"/>
        <w:jc w:val="left"/>
        <w:rPr>
          <w:rFonts w:ascii="宋体" w:hAnsi="宋体"/>
        </w:rPr>
      </w:pPr>
    </w:p>
    <w:p w14:paraId="26084501">
      <w:pPr>
        <w:widowControl/>
        <w:ind w:firstLine="420"/>
        <w:jc w:val="left"/>
        <w:rPr>
          <w:rFonts w:ascii="宋体" w:hAnsi="宋体"/>
        </w:rPr>
      </w:pPr>
    </w:p>
    <w:p w14:paraId="0CC0989C">
      <w:pPr>
        <w:widowControl/>
        <w:ind w:firstLine="420"/>
        <w:jc w:val="left"/>
        <w:rPr>
          <w:rFonts w:ascii="宋体" w:hAnsi="宋体"/>
        </w:rPr>
      </w:pPr>
    </w:p>
    <w:p w14:paraId="190AC6E1">
      <w:pPr>
        <w:widowControl/>
        <w:ind w:firstLine="420"/>
        <w:jc w:val="left"/>
        <w:rPr>
          <w:rFonts w:ascii="宋体" w:hAnsi="宋体"/>
          <w:szCs w:val="20"/>
        </w:rPr>
      </w:pPr>
      <w:r>
        <w:rPr>
          <w:rFonts w:ascii="宋体" w:hAnsi="宋体"/>
        </w:rPr>
        <w:br w:type="page"/>
      </w:r>
    </w:p>
    <w:p w14:paraId="39481FAE">
      <w:pPr>
        <w:pStyle w:val="6"/>
        <w:spacing w:after="0" w:line="360" w:lineRule="auto"/>
        <w:ind w:left="0" w:leftChars="0"/>
        <w:jc w:val="center"/>
        <w:rPr>
          <w:rFonts w:ascii="宋体" w:hAnsi="宋体" w:cs="宋体"/>
          <w:b/>
          <w:sz w:val="21"/>
          <w:szCs w:val="21"/>
        </w:rPr>
      </w:pPr>
      <w:r>
        <w:rPr>
          <w:rFonts w:hint="eastAsia" w:ascii="宋体" w:hAnsi="宋体" w:cs="宋体"/>
          <w:b/>
          <w:sz w:val="21"/>
          <w:szCs w:val="21"/>
        </w:rPr>
        <w:t>（</w:t>
      </w:r>
      <w:r>
        <w:rPr>
          <w:rFonts w:ascii="宋体" w:hAnsi="宋体" w:cs="宋体"/>
          <w:b/>
          <w:sz w:val="21"/>
          <w:szCs w:val="21"/>
        </w:rPr>
        <w:t>6</w:t>
      </w:r>
      <w:r>
        <w:rPr>
          <w:rFonts w:hint="eastAsia" w:ascii="宋体" w:hAnsi="宋体" w:cs="宋体"/>
          <w:b/>
          <w:sz w:val="21"/>
          <w:szCs w:val="21"/>
        </w:rPr>
        <w:t>）类似项目业绩一览表</w:t>
      </w:r>
    </w:p>
    <w:tbl>
      <w:tblPr>
        <w:tblStyle w:val="12"/>
        <w:tblW w:w="8544"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985"/>
        <w:gridCol w:w="2410"/>
        <w:gridCol w:w="1701"/>
        <w:gridCol w:w="1701"/>
      </w:tblGrid>
      <w:tr w14:paraId="26185C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4428163">
            <w:pPr>
              <w:autoSpaceDN w:val="0"/>
              <w:snapToGrid w:val="0"/>
              <w:jc w:val="center"/>
              <w:rPr>
                <w:rFonts w:ascii="宋体" w:hAnsi="宋体" w:cs="宋体"/>
                <w:szCs w:val="21"/>
              </w:rPr>
            </w:pPr>
            <w:r>
              <w:rPr>
                <w:rFonts w:hint="eastAsia" w:ascii="宋体" w:hAnsi="宋体" w:cs="宋体"/>
                <w:szCs w:val="21"/>
              </w:rPr>
              <w:t>序号</w:t>
            </w:r>
          </w:p>
        </w:tc>
        <w:tc>
          <w:tcPr>
            <w:tcW w:w="1985" w:type="dxa"/>
            <w:vAlign w:val="center"/>
          </w:tcPr>
          <w:p w14:paraId="3F16FED7">
            <w:pPr>
              <w:autoSpaceDN w:val="0"/>
              <w:snapToGrid w:val="0"/>
              <w:jc w:val="center"/>
              <w:rPr>
                <w:rFonts w:ascii="宋体" w:hAnsi="宋体" w:cs="宋体"/>
                <w:szCs w:val="21"/>
              </w:rPr>
            </w:pPr>
            <w:r>
              <w:rPr>
                <w:rFonts w:hint="eastAsia" w:ascii="宋体" w:hAnsi="宋体" w:cs="宋体"/>
                <w:szCs w:val="21"/>
              </w:rPr>
              <w:t>项目名称</w:t>
            </w:r>
          </w:p>
        </w:tc>
        <w:tc>
          <w:tcPr>
            <w:tcW w:w="2410" w:type="dxa"/>
            <w:tcBorders>
              <w:right w:val="single" w:color="auto" w:sz="4" w:space="0"/>
            </w:tcBorders>
            <w:vAlign w:val="center"/>
          </w:tcPr>
          <w:p w14:paraId="6B81EC5A">
            <w:pPr>
              <w:autoSpaceDN w:val="0"/>
              <w:snapToGrid w:val="0"/>
              <w:jc w:val="center"/>
              <w:rPr>
                <w:rFonts w:ascii="宋体" w:hAnsi="宋体" w:cs="宋体"/>
                <w:szCs w:val="21"/>
              </w:rPr>
            </w:pPr>
            <w:r>
              <w:rPr>
                <w:rFonts w:hint="eastAsia" w:ascii="宋体" w:hAnsi="宋体" w:cs="宋体"/>
                <w:szCs w:val="21"/>
              </w:rPr>
              <w:t>合同内容（主要标的）</w:t>
            </w:r>
          </w:p>
        </w:tc>
        <w:tc>
          <w:tcPr>
            <w:tcW w:w="1701" w:type="dxa"/>
            <w:tcBorders>
              <w:left w:val="single" w:color="auto" w:sz="4" w:space="0"/>
            </w:tcBorders>
            <w:vAlign w:val="center"/>
          </w:tcPr>
          <w:p w14:paraId="6E234322">
            <w:pPr>
              <w:autoSpaceDN w:val="0"/>
              <w:snapToGrid w:val="0"/>
              <w:jc w:val="center"/>
              <w:rPr>
                <w:rFonts w:ascii="宋体" w:hAnsi="宋体" w:cs="宋体"/>
                <w:szCs w:val="21"/>
              </w:rPr>
            </w:pPr>
            <w:r>
              <w:rPr>
                <w:rFonts w:hint="eastAsia" w:ascii="宋体" w:hAnsi="宋体" w:cs="宋体"/>
                <w:szCs w:val="21"/>
              </w:rPr>
              <w:t>合同金额（元）</w:t>
            </w:r>
          </w:p>
        </w:tc>
        <w:tc>
          <w:tcPr>
            <w:tcW w:w="1701" w:type="dxa"/>
            <w:tcBorders>
              <w:right w:val="single" w:color="auto" w:sz="4" w:space="0"/>
            </w:tcBorders>
            <w:vAlign w:val="center"/>
          </w:tcPr>
          <w:p w14:paraId="02913212">
            <w:pPr>
              <w:autoSpaceDN w:val="0"/>
              <w:snapToGrid w:val="0"/>
              <w:jc w:val="center"/>
              <w:rPr>
                <w:rFonts w:ascii="宋体" w:hAnsi="宋体" w:cs="宋体"/>
                <w:szCs w:val="21"/>
              </w:rPr>
            </w:pPr>
            <w:r>
              <w:rPr>
                <w:rFonts w:hint="eastAsia" w:ascii="宋体" w:hAnsi="宋体" w:cs="宋体"/>
                <w:szCs w:val="21"/>
              </w:rPr>
              <w:t>用户联系人及其联系电话</w:t>
            </w:r>
          </w:p>
        </w:tc>
      </w:tr>
      <w:tr w14:paraId="037ADD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3BEFEC95">
            <w:pPr>
              <w:autoSpaceDN w:val="0"/>
              <w:snapToGrid w:val="0"/>
              <w:jc w:val="center"/>
              <w:rPr>
                <w:rFonts w:ascii="宋体" w:hAnsi="宋体" w:cs="宋体"/>
                <w:szCs w:val="21"/>
              </w:rPr>
            </w:pPr>
            <w:r>
              <w:rPr>
                <w:rFonts w:hint="eastAsia" w:ascii="宋体" w:hAnsi="宋体" w:cs="宋体"/>
                <w:szCs w:val="21"/>
              </w:rPr>
              <w:t>1</w:t>
            </w:r>
          </w:p>
        </w:tc>
        <w:tc>
          <w:tcPr>
            <w:tcW w:w="1985" w:type="dxa"/>
            <w:vAlign w:val="center"/>
          </w:tcPr>
          <w:p w14:paraId="6E54F27F">
            <w:pPr>
              <w:autoSpaceDN w:val="0"/>
              <w:snapToGrid w:val="0"/>
              <w:jc w:val="center"/>
              <w:rPr>
                <w:rFonts w:ascii="宋体" w:hAnsi="宋体" w:cs="宋体"/>
                <w:szCs w:val="21"/>
              </w:rPr>
            </w:pPr>
          </w:p>
        </w:tc>
        <w:tc>
          <w:tcPr>
            <w:tcW w:w="2410" w:type="dxa"/>
            <w:tcBorders>
              <w:right w:val="single" w:color="auto" w:sz="4" w:space="0"/>
            </w:tcBorders>
            <w:vAlign w:val="center"/>
          </w:tcPr>
          <w:p w14:paraId="75ED2F77">
            <w:pPr>
              <w:autoSpaceDN w:val="0"/>
              <w:snapToGrid w:val="0"/>
              <w:jc w:val="center"/>
              <w:rPr>
                <w:rFonts w:ascii="宋体" w:hAnsi="宋体" w:cs="宋体"/>
                <w:szCs w:val="21"/>
              </w:rPr>
            </w:pPr>
          </w:p>
        </w:tc>
        <w:tc>
          <w:tcPr>
            <w:tcW w:w="1701" w:type="dxa"/>
            <w:tcBorders>
              <w:left w:val="single" w:color="auto" w:sz="4" w:space="0"/>
            </w:tcBorders>
            <w:vAlign w:val="center"/>
          </w:tcPr>
          <w:p w14:paraId="1E72A4C0">
            <w:pPr>
              <w:autoSpaceDN w:val="0"/>
              <w:snapToGrid w:val="0"/>
              <w:jc w:val="center"/>
              <w:rPr>
                <w:rFonts w:ascii="宋体" w:hAnsi="宋体" w:cs="宋体"/>
                <w:szCs w:val="21"/>
              </w:rPr>
            </w:pPr>
          </w:p>
        </w:tc>
        <w:tc>
          <w:tcPr>
            <w:tcW w:w="1701" w:type="dxa"/>
            <w:tcBorders>
              <w:right w:val="single" w:color="auto" w:sz="4" w:space="0"/>
            </w:tcBorders>
            <w:vAlign w:val="center"/>
          </w:tcPr>
          <w:p w14:paraId="133CF3FF">
            <w:pPr>
              <w:autoSpaceDN w:val="0"/>
              <w:snapToGrid w:val="0"/>
              <w:jc w:val="center"/>
              <w:rPr>
                <w:rFonts w:ascii="宋体" w:hAnsi="宋体" w:cs="宋体"/>
                <w:szCs w:val="21"/>
              </w:rPr>
            </w:pPr>
          </w:p>
        </w:tc>
      </w:tr>
      <w:tr w14:paraId="7E05CB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4FBC969E">
            <w:pPr>
              <w:autoSpaceDN w:val="0"/>
              <w:snapToGrid w:val="0"/>
              <w:jc w:val="center"/>
              <w:rPr>
                <w:rFonts w:ascii="宋体" w:hAnsi="宋体" w:cs="宋体"/>
                <w:szCs w:val="21"/>
              </w:rPr>
            </w:pPr>
            <w:r>
              <w:rPr>
                <w:rFonts w:hint="eastAsia" w:ascii="宋体" w:hAnsi="宋体" w:cs="宋体"/>
                <w:szCs w:val="21"/>
              </w:rPr>
              <w:t>2</w:t>
            </w:r>
          </w:p>
        </w:tc>
        <w:tc>
          <w:tcPr>
            <w:tcW w:w="1985" w:type="dxa"/>
            <w:vAlign w:val="center"/>
          </w:tcPr>
          <w:p w14:paraId="3704597A">
            <w:pPr>
              <w:autoSpaceDN w:val="0"/>
              <w:snapToGrid w:val="0"/>
              <w:jc w:val="center"/>
              <w:rPr>
                <w:rFonts w:ascii="宋体" w:hAnsi="宋体" w:cs="宋体"/>
                <w:szCs w:val="21"/>
              </w:rPr>
            </w:pPr>
          </w:p>
        </w:tc>
        <w:tc>
          <w:tcPr>
            <w:tcW w:w="2410" w:type="dxa"/>
            <w:tcBorders>
              <w:right w:val="single" w:color="auto" w:sz="4" w:space="0"/>
            </w:tcBorders>
            <w:vAlign w:val="center"/>
          </w:tcPr>
          <w:p w14:paraId="0AE6E42C">
            <w:pPr>
              <w:autoSpaceDN w:val="0"/>
              <w:snapToGrid w:val="0"/>
              <w:jc w:val="center"/>
              <w:rPr>
                <w:rFonts w:ascii="宋体" w:hAnsi="宋体" w:cs="宋体"/>
                <w:szCs w:val="21"/>
              </w:rPr>
            </w:pPr>
          </w:p>
        </w:tc>
        <w:tc>
          <w:tcPr>
            <w:tcW w:w="1701" w:type="dxa"/>
            <w:tcBorders>
              <w:left w:val="single" w:color="auto" w:sz="4" w:space="0"/>
            </w:tcBorders>
            <w:vAlign w:val="center"/>
          </w:tcPr>
          <w:p w14:paraId="160767DF">
            <w:pPr>
              <w:autoSpaceDN w:val="0"/>
              <w:snapToGrid w:val="0"/>
              <w:jc w:val="center"/>
              <w:rPr>
                <w:rFonts w:ascii="宋体" w:hAnsi="宋体" w:cs="宋体"/>
                <w:szCs w:val="21"/>
              </w:rPr>
            </w:pPr>
          </w:p>
        </w:tc>
        <w:tc>
          <w:tcPr>
            <w:tcW w:w="1701" w:type="dxa"/>
            <w:tcBorders>
              <w:right w:val="single" w:color="auto" w:sz="4" w:space="0"/>
            </w:tcBorders>
            <w:vAlign w:val="center"/>
          </w:tcPr>
          <w:p w14:paraId="1D2AD94F">
            <w:pPr>
              <w:autoSpaceDN w:val="0"/>
              <w:snapToGrid w:val="0"/>
              <w:jc w:val="center"/>
              <w:rPr>
                <w:rFonts w:ascii="宋体" w:hAnsi="宋体" w:cs="宋体"/>
                <w:szCs w:val="21"/>
              </w:rPr>
            </w:pPr>
          </w:p>
        </w:tc>
      </w:tr>
      <w:tr w14:paraId="4CA2E2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5DF633F6">
            <w:pPr>
              <w:autoSpaceDN w:val="0"/>
              <w:snapToGrid w:val="0"/>
              <w:jc w:val="center"/>
              <w:rPr>
                <w:rFonts w:ascii="宋体" w:hAnsi="宋体" w:cs="宋体"/>
                <w:szCs w:val="21"/>
              </w:rPr>
            </w:pPr>
            <w:r>
              <w:rPr>
                <w:rFonts w:hint="eastAsia" w:ascii="宋体" w:hAnsi="宋体" w:cs="宋体"/>
                <w:szCs w:val="21"/>
              </w:rPr>
              <w:t>3</w:t>
            </w:r>
          </w:p>
        </w:tc>
        <w:tc>
          <w:tcPr>
            <w:tcW w:w="1985" w:type="dxa"/>
            <w:vAlign w:val="center"/>
          </w:tcPr>
          <w:p w14:paraId="2D1F0C05">
            <w:pPr>
              <w:autoSpaceDN w:val="0"/>
              <w:snapToGrid w:val="0"/>
              <w:jc w:val="center"/>
              <w:rPr>
                <w:rFonts w:ascii="宋体" w:hAnsi="宋体" w:cs="宋体"/>
                <w:szCs w:val="21"/>
              </w:rPr>
            </w:pPr>
          </w:p>
        </w:tc>
        <w:tc>
          <w:tcPr>
            <w:tcW w:w="2410" w:type="dxa"/>
            <w:tcBorders>
              <w:right w:val="single" w:color="auto" w:sz="4" w:space="0"/>
            </w:tcBorders>
            <w:vAlign w:val="center"/>
          </w:tcPr>
          <w:p w14:paraId="6E5CF21F">
            <w:pPr>
              <w:autoSpaceDN w:val="0"/>
              <w:snapToGrid w:val="0"/>
              <w:jc w:val="center"/>
              <w:rPr>
                <w:rFonts w:ascii="宋体" w:hAnsi="宋体" w:cs="宋体"/>
                <w:szCs w:val="21"/>
              </w:rPr>
            </w:pPr>
          </w:p>
        </w:tc>
        <w:tc>
          <w:tcPr>
            <w:tcW w:w="1701" w:type="dxa"/>
            <w:tcBorders>
              <w:left w:val="single" w:color="auto" w:sz="4" w:space="0"/>
            </w:tcBorders>
            <w:vAlign w:val="center"/>
          </w:tcPr>
          <w:p w14:paraId="5782F0E2">
            <w:pPr>
              <w:autoSpaceDN w:val="0"/>
              <w:snapToGrid w:val="0"/>
              <w:jc w:val="center"/>
              <w:rPr>
                <w:rFonts w:ascii="宋体" w:hAnsi="宋体" w:cs="宋体"/>
                <w:szCs w:val="21"/>
              </w:rPr>
            </w:pPr>
          </w:p>
        </w:tc>
        <w:tc>
          <w:tcPr>
            <w:tcW w:w="1701" w:type="dxa"/>
            <w:tcBorders>
              <w:right w:val="single" w:color="auto" w:sz="4" w:space="0"/>
            </w:tcBorders>
            <w:vAlign w:val="center"/>
          </w:tcPr>
          <w:p w14:paraId="228BC639">
            <w:pPr>
              <w:autoSpaceDN w:val="0"/>
              <w:snapToGrid w:val="0"/>
              <w:jc w:val="center"/>
              <w:rPr>
                <w:rFonts w:ascii="宋体" w:hAnsi="宋体" w:cs="宋体"/>
                <w:szCs w:val="21"/>
              </w:rPr>
            </w:pPr>
          </w:p>
        </w:tc>
      </w:tr>
      <w:tr w14:paraId="078A9C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F5A98F2">
            <w:pPr>
              <w:autoSpaceDN w:val="0"/>
              <w:snapToGrid w:val="0"/>
              <w:jc w:val="center"/>
              <w:rPr>
                <w:rFonts w:ascii="宋体" w:hAnsi="宋体" w:cs="宋体"/>
                <w:szCs w:val="21"/>
              </w:rPr>
            </w:pPr>
            <w:r>
              <w:rPr>
                <w:rFonts w:hint="eastAsia" w:ascii="宋体" w:hAnsi="宋体" w:cs="宋体"/>
                <w:szCs w:val="21"/>
              </w:rPr>
              <w:t>4</w:t>
            </w:r>
          </w:p>
        </w:tc>
        <w:tc>
          <w:tcPr>
            <w:tcW w:w="1985" w:type="dxa"/>
            <w:vAlign w:val="center"/>
          </w:tcPr>
          <w:p w14:paraId="73FBA7E5">
            <w:pPr>
              <w:autoSpaceDN w:val="0"/>
              <w:snapToGrid w:val="0"/>
              <w:jc w:val="center"/>
              <w:rPr>
                <w:rFonts w:ascii="宋体" w:hAnsi="宋体" w:cs="宋体"/>
                <w:szCs w:val="21"/>
              </w:rPr>
            </w:pPr>
          </w:p>
        </w:tc>
        <w:tc>
          <w:tcPr>
            <w:tcW w:w="2410" w:type="dxa"/>
            <w:tcBorders>
              <w:right w:val="single" w:color="auto" w:sz="4" w:space="0"/>
            </w:tcBorders>
            <w:vAlign w:val="center"/>
          </w:tcPr>
          <w:p w14:paraId="3FC8E61F">
            <w:pPr>
              <w:autoSpaceDN w:val="0"/>
              <w:snapToGrid w:val="0"/>
              <w:jc w:val="center"/>
              <w:rPr>
                <w:rFonts w:ascii="宋体" w:hAnsi="宋体" w:cs="宋体"/>
                <w:szCs w:val="21"/>
              </w:rPr>
            </w:pPr>
          </w:p>
        </w:tc>
        <w:tc>
          <w:tcPr>
            <w:tcW w:w="1701" w:type="dxa"/>
            <w:tcBorders>
              <w:left w:val="single" w:color="auto" w:sz="4" w:space="0"/>
            </w:tcBorders>
            <w:vAlign w:val="center"/>
          </w:tcPr>
          <w:p w14:paraId="6B94BCBB">
            <w:pPr>
              <w:autoSpaceDN w:val="0"/>
              <w:snapToGrid w:val="0"/>
              <w:jc w:val="center"/>
              <w:rPr>
                <w:rFonts w:ascii="宋体" w:hAnsi="宋体" w:cs="宋体"/>
                <w:szCs w:val="21"/>
              </w:rPr>
            </w:pPr>
          </w:p>
        </w:tc>
        <w:tc>
          <w:tcPr>
            <w:tcW w:w="1701" w:type="dxa"/>
            <w:tcBorders>
              <w:right w:val="single" w:color="auto" w:sz="4" w:space="0"/>
            </w:tcBorders>
            <w:vAlign w:val="center"/>
          </w:tcPr>
          <w:p w14:paraId="7D331C2A">
            <w:pPr>
              <w:autoSpaceDN w:val="0"/>
              <w:snapToGrid w:val="0"/>
              <w:jc w:val="center"/>
              <w:rPr>
                <w:rFonts w:ascii="宋体" w:hAnsi="宋体" w:cs="宋体"/>
                <w:szCs w:val="21"/>
              </w:rPr>
            </w:pPr>
          </w:p>
        </w:tc>
      </w:tr>
      <w:tr w14:paraId="7BFA3F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4C4C702A">
            <w:pPr>
              <w:autoSpaceDN w:val="0"/>
              <w:snapToGrid w:val="0"/>
              <w:jc w:val="center"/>
              <w:rPr>
                <w:rFonts w:ascii="宋体" w:hAnsi="宋体" w:cs="宋体"/>
                <w:szCs w:val="21"/>
              </w:rPr>
            </w:pPr>
            <w:r>
              <w:rPr>
                <w:rFonts w:hint="eastAsia" w:ascii="宋体" w:hAnsi="宋体" w:cs="宋体"/>
                <w:szCs w:val="21"/>
              </w:rPr>
              <w:t>5</w:t>
            </w:r>
          </w:p>
        </w:tc>
        <w:tc>
          <w:tcPr>
            <w:tcW w:w="1985" w:type="dxa"/>
            <w:vAlign w:val="center"/>
          </w:tcPr>
          <w:p w14:paraId="4D378915">
            <w:pPr>
              <w:autoSpaceDN w:val="0"/>
              <w:snapToGrid w:val="0"/>
              <w:jc w:val="center"/>
              <w:rPr>
                <w:rFonts w:ascii="宋体" w:hAnsi="宋体" w:cs="宋体"/>
                <w:szCs w:val="21"/>
              </w:rPr>
            </w:pPr>
          </w:p>
        </w:tc>
        <w:tc>
          <w:tcPr>
            <w:tcW w:w="2410" w:type="dxa"/>
            <w:tcBorders>
              <w:right w:val="single" w:color="auto" w:sz="4" w:space="0"/>
            </w:tcBorders>
            <w:vAlign w:val="center"/>
          </w:tcPr>
          <w:p w14:paraId="45C2889D">
            <w:pPr>
              <w:autoSpaceDN w:val="0"/>
              <w:snapToGrid w:val="0"/>
              <w:jc w:val="center"/>
              <w:rPr>
                <w:rFonts w:ascii="宋体" w:hAnsi="宋体" w:cs="宋体"/>
                <w:szCs w:val="21"/>
              </w:rPr>
            </w:pPr>
          </w:p>
        </w:tc>
        <w:tc>
          <w:tcPr>
            <w:tcW w:w="1701" w:type="dxa"/>
            <w:tcBorders>
              <w:left w:val="single" w:color="auto" w:sz="4" w:space="0"/>
            </w:tcBorders>
            <w:vAlign w:val="center"/>
          </w:tcPr>
          <w:p w14:paraId="4F39BEAE">
            <w:pPr>
              <w:autoSpaceDN w:val="0"/>
              <w:snapToGrid w:val="0"/>
              <w:jc w:val="center"/>
              <w:rPr>
                <w:rFonts w:ascii="宋体" w:hAnsi="宋体" w:cs="宋体"/>
                <w:szCs w:val="21"/>
              </w:rPr>
            </w:pPr>
          </w:p>
        </w:tc>
        <w:tc>
          <w:tcPr>
            <w:tcW w:w="1701" w:type="dxa"/>
            <w:tcBorders>
              <w:right w:val="single" w:color="auto" w:sz="4" w:space="0"/>
            </w:tcBorders>
            <w:vAlign w:val="center"/>
          </w:tcPr>
          <w:p w14:paraId="4491F104">
            <w:pPr>
              <w:autoSpaceDN w:val="0"/>
              <w:snapToGrid w:val="0"/>
              <w:jc w:val="center"/>
              <w:rPr>
                <w:rFonts w:ascii="宋体" w:hAnsi="宋体" w:cs="宋体"/>
                <w:szCs w:val="21"/>
              </w:rPr>
            </w:pPr>
          </w:p>
        </w:tc>
      </w:tr>
      <w:tr w14:paraId="462207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E49462D">
            <w:pPr>
              <w:autoSpaceDN w:val="0"/>
              <w:snapToGrid w:val="0"/>
              <w:jc w:val="center"/>
              <w:rPr>
                <w:rFonts w:ascii="宋体" w:hAnsi="宋体" w:cs="宋体"/>
                <w:szCs w:val="21"/>
              </w:rPr>
            </w:pPr>
            <w:r>
              <w:rPr>
                <w:rFonts w:hint="eastAsia" w:ascii="宋体" w:hAnsi="宋体" w:cs="宋体"/>
                <w:szCs w:val="21"/>
              </w:rPr>
              <w:t>...</w:t>
            </w:r>
          </w:p>
        </w:tc>
        <w:tc>
          <w:tcPr>
            <w:tcW w:w="1985" w:type="dxa"/>
            <w:vAlign w:val="center"/>
          </w:tcPr>
          <w:p w14:paraId="19BE944E">
            <w:pPr>
              <w:autoSpaceDN w:val="0"/>
              <w:snapToGrid w:val="0"/>
              <w:jc w:val="center"/>
              <w:rPr>
                <w:rFonts w:ascii="宋体" w:hAnsi="宋体" w:cs="宋体"/>
                <w:szCs w:val="21"/>
              </w:rPr>
            </w:pPr>
          </w:p>
        </w:tc>
        <w:tc>
          <w:tcPr>
            <w:tcW w:w="2410" w:type="dxa"/>
            <w:tcBorders>
              <w:right w:val="single" w:color="auto" w:sz="4" w:space="0"/>
            </w:tcBorders>
            <w:vAlign w:val="center"/>
          </w:tcPr>
          <w:p w14:paraId="69613F08">
            <w:pPr>
              <w:autoSpaceDN w:val="0"/>
              <w:snapToGrid w:val="0"/>
              <w:jc w:val="center"/>
              <w:rPr>
                <w:rFonts w:ascii="宋体" w:hAnsi="宋体" w:cs="宋体"/>
                <w:szCs w:val="21"/>
              </w:rPr>
            </w:pPr>
          </w:p>
        </w:tc>
        <w:tc>
          <w:tcPr>
            <w:tcW w:w="1701" w:type="dxa"/>
            <w:tcBorders>
              <w:left w:val="single" w:color="auto" w:sz="4" w:space="0"/>
            </w:tcBorders>
            <w:vAlign w:val="center"/>
          </w:tcPr>
          <w:p w14:paraId="1D320C36">
            <w:pPr>
              <w:autoSpaceDN w:val="0"/>
              <w:snapToGrid w:val="0"/>
              <w:jc w:val="center"/>
              <w:rPr>
                <w:rFonts w:ascii="宋体" w:hAnsi="宋体" w:cs="宋体"/>
                <w:szCs w:val="21"/>
              </w:rPr>
            </w:pPr>
          </w:p>
        </w:tc>
        <w:tc>
          <w:tcPr>
            <w:tcW w:w="1701" w:type="dxa"/>
            <w:tcBorders>
              <w:right w:val="single" w:color="auto" w:sz="4" w:space="0"/>
            </w:tcBorders>
            <w:vAlign w:val="center"/>
          </w:tcPr>
          <w:p w14:paraId="1948605A">
            <w:pPr>
              <w:autoSpaceDN w:val="0"/>
              <w:snapToGrid w:val="0"/>
              <w:jc w:val="center"/>
              <w:rPr>
                <w:rFonts w:ascii="宋体" w:hAnsi="宋体" w:cs="宋体"/>
                <w:szCs w:val="21"/>
              </w:rPr>
            </w:pPr>
          </w:p>
        </w:tc>
      </w:tr>
    </w:tbl>
    <w:p w14:paraId="5F57E8AC">
      <w:pPr>
        <w:spacing w:line="360" w:lineRule="auto"/>
        <w:ind w:left="924" w:hanging="924" w:hangingChars="440"/>
        <w:rPr>
          <w:rFonts w:ascii="宋体" w:hAnsi="宋体"/>
          <w:szCs w:val="21"/>
        </w:rPr>
      </w:pPr>
      <w:r>
        <w:rPr>
          <w:rFonts w:hint="eastAsia" w:ascii="宋体" w:hAnsi="宋体" w:cs="宋体"/>
          <w:bCs/>
          <w:szCs w:val="21"/>
        </w:rPr>
        <w:t>注：根据评委打分表的要求提供证明材料</w:t>
      </w:r>
      <w:r>
        <w:rPr>
          <w:rFonts w:hint="eastAsia" w:ascii="宋体" w:hAnsi="宋体"/>
          <w:szCs w:val="21"/>
        </w:rPr>
        <w:t>。</w:t>
      </w:r>
    </w:p>
    <w:p w14:paraId="24CCC810">
      <w:pPr>
        <w:pStyle w:val="23"/>
      </w:pPr>
    </w:p>
    <w:p w14:paraId="3C74E323">
      <w:pPr>
        <w:widowControl/>
        <w:jc w:val="left"/>
        <w:rPr>
          <w:rFonts w:ascii="宋体" w:hAnsi="宋体"/>
          <w:kern w:val="0"/>
          <w:sz w:val="28"/>
        </w:rPr>
      </w:pPr>
      <w:r>
        <w:rPr>
          <w:rFonts w:ascii="宋体" w:hAnsi="宋体"/>
          <w:kern w:val="0"/>
          <w:sz w:val="28"/>
        </w:rPr>
        <w:br w:type="page"/>
      </w:r>
    </w:p>
    <w:p w14:paraId="28A4C525">
      <w:pPr>
        <w:pStyle w:val="6"/>
        <w:spacing w:after="0" w:line="360" w:lineRule="auto"/>
        <w:ind w:left="0" w:leftChars="0"/>
        <w:jc w:val="center"/>
        <w:rPr>
          <w:rFonts w:ascii="宋体" w:hAnsi="宋体" w:cs="宋体"/>
          <w:b/>
          <w:sz w:val="21"/>
          <w:szCs w:val="21"/>
        </w:rPr>
      </w:pPr>
      <w:r>
        <w:rPr>
          <w:rFonts w:hint="eastAsia" w:ascii="宋体" w:hAnsi="宋体" w:cs="宋体"/>
          <w:b/>
          <w:sz w:val="21"/>
          <w:szCs w:val="21"/>
        </w:rPr>
        <w:t>（7）材料品牌响应表</w:t>
      </w:r>
    </w:p>
    <w:tbl>
      <w:tblPr>
        <w:tblStyle w:val="12"/>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5206"/>
        <w:gridCol w:w="2268"/>
      </w:tblGrid>
      <w:tr w14:paraId="48B5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0C0E8141">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序号</w:t>
            </w:r>
          </w:p>
        </w:tc>
        <w:tc>
          <w:tcPr>
            <w:tcW w:w="5206" w:type="dxa"/>
            <w:tcBorders>
              <w:top w:val="single" w:color="auto" w:sz="4" w:space="0"/>
              <w:left w:val="single" w:color="auto" w:sz="4" w:space="0"/>
              <w:bottom w:val="single" w:color="auto" w:sz="4" w:space="0"/>
              <w:right w:val="single" w:color="auto" w:sz="4" w:space="0"/>
            </w:tcBorders>
            <w:vAlign w:val="center"/>
          </w:tcPr>
          <w:p w14:paraId="48BE275D">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材料、设备名称</w:t>
            </w:r>
          </w:p>
        </w:tc>
        <w:tc>
          <w:tcPr>
            <w:tcW w:w="2268" w:type="dxa"/>
            <w:tcBorders>
              <w:top w:val="single" w:color="auto" w:sz="4" w:space="0"/>
              <w:left w:val="single" w:color="auto" w:sz="4" w:space="0"/>
              <w:bottom w:val="single" w:color="auto" w:sz="4" w:space="0"/>
              <w:right w:val="single" w:color="auto" w:sz="4" w:space="0"/>
            </w:tcBorders>
            <w:vAlign w:val="center"/>
          </w:tcPr>
          <w:p w14:paraId="59D84BA0">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Cs w:val="21"/>
              </w:rPr>
              <w:t>响应品牌</w:t>
            </w:r>
          </w:p>
        </w:tc>
      </w:tr>
      <w:tr w14:paraId="59AD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52EC6947">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1</w:t>
            </w:r>
          </w:p>
        </w:tc>
        <w:tc>
          <w:tcPr>
            <w:tcW w:w="5206" w:type="dxa"/>
            <w:tcBorders>
              <w:top w:val="single" w:color="auto" w:sz="4" w:space="0"/>
              <w:left w:val="single" w:color="auto" w:sz="4" w:space="0"/>
              <w:bottom w:val="single" w:color="auto" w:sz="4" w:space="0"/>
              <w:right w:val="single" w:color="auto" w:sz="4" w:space="0"/>
            </w:tcBorders>
            <w:vAlign w:val="center"/>
          </w:tcPr>
          <w:p w14:paraId="767A17D1">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乳胶漆</w:t>
            </w:r>
          </w:p>
        </w:tc>
        <w:tc>
          <w:tcPr>
            <w:tcW w:w="2268" w:type="dxa"/>
            <w:tcBorders>
              <w:top w:val="single" w:color="auto" w:sz="4" w:space="0"/>
              <w:left w:val="single" w:color="auto" w:sz="4" w:space="0"/>
              <w:bottom w:val="single" w:color="auto" w:sz="4" w:space="0"/>
              <w:right w:val="single" w:color="auto" w:sz="4" w:space="0"/>
            </w:tcBorders>
            <w:vAlign w:val="center"/>
          </w:tcPr>
          <w:p w14:paraId="7A35E122">
            <w:pPr>
              <w:tabs>
                <w:tab w:val="left" w:pos="1080"/>
                <w:tab w:val="left" w:pos="9180"/>
                <w:tab w:val="left" w:pos="9360"/>
              </w:tabs>
              <w:ind w:right="25" w:rightChars="12"/>
              <w:jc w:val="center"/>
              <w:rPr>
                <w:rFonts w:ascii="宋体" w:hAnsi="宋体" w:cs="宋体"/>
                <w:sz w:val="22"/>
                <w:szCs w:val="22"/>
              </w:rPr>
            </w:pPr>
          </w:p>
        </w:tc>
      </w:tr>
      <w:tr w14:paraId="5105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0DB035F7">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2</w:t>
            </w:r>
          </w:p>
        </w:tc>
        <w:tc>
          <w:tcPr>
            <w:tcW w:w="5206" w:type="dxa"/>
            <w:tcBorders>
              <w:top w:val="single" w:color="auto" w:sz="4" w:space="0"/>
              <w:left w:val="single" w:color="auto" w:sz="4" w:space="0"/>
              <w:bottom w:val="single" w:color="auto" w:sz="4" w:space="0"/>
              <w:right w:val="single" w:color="auto" w:sz="4" w:space="0"/>
            </w:tcBorders>
            <w:vAlign w:val="center"/>
          </w:tcPr>
          <w:p w14:paraId="1B770851">
            <w:pPr>
              <w:jc w:val="center"/>
              <w:rPr>
                <w:rFonts w:ascii="宋体" w:hAnsi="宋体" w:cs="宋体"/>
                <w:sz w:val="22"/>
                <w:szCs w:val="22"/>
              </w:rPr>
            </w:pPr>
            <w:r>
              <w:rPr>
                <w:rFonts w:hint="eastAsia" w:ascii="宋体" w:hAnsi="宋体" w:cs="宋体"/>
                <w:sz w:val="22"/>
                <w:szCs w:val="22"/>
              </w:rPr>
              <w:t>三夹板、九夹板、细木工板、木饰面、阻燃板等</w:t>
            </w:r>
          </w:p>
        </w:tc>
        <w:tc>
          <w:tcPr>
            <w:tcW w:w="2268" w:type="dxa"/>
            <w:tcBorders>
              <w:top w:val="single" w:color="auto" w:sz="4" w:space="0"/>
              <w:left w:val="single" w:color="auto" w:sz="4" w:space="0"/>
              <w:bottom w:val="single" w:color="auto" w:sz="4" w:space="0"/>
              <w:right w:val="single" w:color="auto" w:sz="4" w:space="0"/>
            </w:tcBorders>
            <w:vAlign w:val="center"/>
          </w:tcPr>
          <w:p w14:paraId="626B4CBF">
            <w:pPr>
              <w:jc w:val="center"/>
              <w:rPr>
                <w:rFonts w:ascii="宋体" w:hAnsi="宋体" w:cs="宋体"/>
                <w:sz w:val="22"/>
                <w:szCs w:val="22"/>
              </w:rPr>
            </w:pPr>
          </w:p>
        </w:tc>
      </w:tr>
      <w:tr w14:paraId="5E84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5A0FF6E2">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3</w:t>
            </w:r>
          </w:p>
        </w:tc>
        <w:tc>
          <w:tcPr>
            <w:tcW w:w="5206" w:type="dxa"/>
            <w:tcBorders>
              <w:top w:val="single" w:color="auto" w:sz="4" w:space="0"/>
              <w:left w:val="single" w:color="auto" w:sz="4" w:space="0"/>
              <w:bottom w:val="single" w:color="auto" w:sz="4" w:space="0"/>
              <w:right w:val="single" w:color="auto" w:sz="4" w:space="0"/>
            </w:tcBorders>
            <w:vAlign w:val="center"/>
          </w:tcPr>
          <w:p w14:paraId="2EA6FC3B">
            <w:pPr>
              <w:jc w:val="center"/>
              <w:rPr>
                <w:rFonts w:ascii="宋体" w:hAnsi="宋体"/>
                <w:sz w:val="22"/>
                <w:szCs w:val="22"/>
              </w:rPr>
            </w:pPr>
            <w:r>
              <w:rPr>
                <w:rFonts w:hint="eastAsia" w:ascii="宋体" w:hAnsi="宋体"/>
                <w:sz w:val="22"/>
                <w:szCs w:val="22"/>
              </w:rPr>
              <w:t>电表</w:t>
            </w:r>
          </w:p>
        </w:tc>
        <w:tc>
          <w:tcPr>
            <w:tcW w:w="2268" w:type="dxa"/>
            <w:tcBorders>
              <w:top w:val="single" w:color="auto" w:sz="4" w:space="0"/>
              <w:left w:val="single" w:color="auto" w:sz="4" w:space="0"/>
              <w:bottom w:val="single" w:color="auto" w:sz="4" w:space="0"/>
              <w:right w:val="single" w:color="auto" w:sz="4" w:space="0"/>
            </w:tcBorders>
            <w:vAlign w:val="center"/>
          </w:tcPr>
          <w:p w14:paraId="534D7B5D">
            <w:pPr>
              <w:jc w:val="center"/>
              <w:rPr>
                <w:rFonts w:ascii="宋体" w:hAnsi="宋体"/>
                <w:sz w:val="22"/>
                <w:szCs w:val="22"/>
              </w:rPr>
            </w:pPr>
          </w:p>
        </w:tc>
      </w:tr>
      <w:tr w14:paraId="6D6A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23C29D4A">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4</w:t>
            </w:r>
          </w:p>
        </w:tc>
        <w:tc>
          <w:tcPr>
            <w:tcW w:w="5206" w:type="dxa"/>
            <w:tcBorders>
              <w:top w:val="single" w:color="auto" w:sz="4" w:space="0"/>
              <w:left w:val="single" w:color="auto" w:sz="4" w:space="0"/>
              <w:bottom w:val="single" w:color="auto" w:sz="4" w:space="0"/>
              <w:right w:val="single" w:color="auto" w:sz="4" w:space="0"/>
            </w:tcBorders>
            <w:vAlign w:val="center"/>
          </w:tcPr>
          <w:p w14:paraId="5E3A8998">
            <w:pPr>
              <w:widowControl/>
              <w:jc w:val="center"/>
              <w:rPr>
                <w:rFonts w:ascii="宋体" w:hAnsi="宋体" w:cs="宋体"/>
                <w:sz w:val="22"/>
                <w:szCs w:val="22"/>
              </w:rPr>
            </w:pPr>
            <w:r>
              <w:rPr>
                <w:rFonts w:hint="eastAsia" w:ascii="宋体" w:hAnsi="宋体" w:cs="宋体"/>
                <w:kern w:val="0"/>
                <w:sz w:val="22"/>
                <w:szCs w:val="22"/>
              </w:rPr>
              <w:t>墙砖、地砖</w:t>
            </w:r>
          </w:p>
        </w:tc>
        <w:tc>
          <w:tcPr>
            <w:tcW w:w="2268" w:type="dxa"/>
            <w:tcBorders>
              <w:top w:val="single" w:color="auto" w:sz="4" w:space="0"/>
              <w:left w:val="single" w:color="auto" w:sz="4" w:space="0"/>
              <w:bottom w:val="single" w:color="auto" w:sz="4" w:space="0"/>
              <w:right w:val="single" w:color="auto" w:sz="4" w:space="0"/>
            </w:tcBorders>
            <w:vAlign w:val="center"/>
          </w:tcPr>
          <w:p w14:paraId="34287FC9">
            <w:pPr>
              <w:widowControl/>
              <w:jc w:val="center"/>
              <w:rPr>
                <w:rFonts w:ascii="宋体" w:hAnsi="宋体" w:cs="宋体"/>
                <w:sz w:val="22"/>
                <w:szCs w:val="22"/>
              </w:rPr>
            </w:pPr>
          </w:p>
        </w:tc>
      </w:tr>
      <w:tr w14:paraId="6803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39FD159E">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5</w:t>
            </w:r>
          </w:p>
        </w:tc>
        <w:tc>
          <w:tcPr>
            <w:tcW w:w="5206" w:type="dxa"/>
            <w:tcBorders>
              <w:top w:val="single" w:color="auto" w:sz="4" w:space="0"/>
              <w:left w:val="single" w:color="auto" w:sz="4" w:space="0"/>
              <w:bottom w:val="single" w:color="auto" w:sz="4" w:space="0"/>
              <w:right w:val="single" w:color="auto" w:sz="4" w:space="0"/>
            </w:tcBorders>
            <w:vAlign w:val="center"/>
          </w:tcPr>
          <w:p w14:paraId="54B8088A">
            <w:pPr>
              <w:jc w:val="center"/>
              <w:rPr>
                <w:rFonts w:ascii="宋体" w:hAnsi="宋体" w:cs="宋体"/>
                <w:sz w:val="22"/>
                <w:szCs w:val="22"/>
              </w:rPr>
            </w:pPr>
            <w:r>
              <w:rPr>
                <w:rFonts w:hint="eastAsia" w:ascii="宋体" w:hAnsi="宋体" w:cs="宋体"/>
                <w:sz w:val="22"/>
                <w:szCs w:val="22"/>
              </w:rPr>
              <w:t>开关、插座</w:t>
            </w:r>
          </w:p>
        </w:tc>
        <w:tc>
          <w:tcPr>
            <w:tcW w:w="2268" w:type="dxa"/>
            <w:tcBorders>
              <w:top w:val="single" w:color="auto" w:sz="4" w:space="0"/>
              <w:left w:val="single" w:color="auto" w:sz="4" w:space="0"/>
              <w:bottom w:val="single" w:color="auto" w:sz="4" w:space="0"/>
              <w:right w:val="single" w:color="auto" w:sz="4" w:space="0"/>
            </w:tcBorders>
            <w:vAlign w:val="center"/>
          </w:tcPr>
          <w:p w14:paraId="43BB569B">
            <w:pPr>
              <w:widowControl/>
              <w:jc w:val="center"/>
              <w:rPr>
                <w:rFonts w:ascii="宋体" w:hAnsi="宋体" w:cs="宋体"/>
                <w:sz w:val="22"/>
                <w:szCs w:val="22"/>
              </w:rPr>
            </w:pPr>
          </w:p>
        </w:tc>
      </w:tr>
      <w:tr w14:paraId="0B20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20C2FD5A">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6</w:t>
            </w:r>
          </w:p>
        </w:tc>
        <w:tc>
          <w:tcPr>
            <w:tcW w:w="5206" w:type="dxa"/>
            <w:tcBorders>
              <w:top w:val="single" w:color="auto" w:sz="4" w:space="0"/>
              <w:left w:val="single" w:color="auto" w:sz="4" w:space="0"/>
              <w:bottom w:val="single" w:color="auto" w:sz="4" w:space="0"/>
              <w:right w:val="single" w:color="auto" w:sz="4" w:space="0"/>
            </w:tcBorders>
            <w:vAlign w:val="center"/>
          </w:tcPr>
          <w:p w14:paraId="48E8A649">
            <w:pPr>
              <w:jc w:val="center"/>
              <w:rPr>
                <w:rFonts w:ascii="宋体" w:hAnsi="宋体" w:cs="宋体"/>
                <w:sz w:val="22"/>
                <w:szCs w:val="22"/>
              </w:rPr>
            </w:pPr>
            <w:r>
              <w:rPr>
                <w:rFonts w:hint="eastAsia" w:ascii="宋体" w:hAnsi="宋体" w:cs="宋体"/>
                <w:sz w:val="22"/>
                <w:szCs w:val="22"/>
              </w:rPr>
              <w:t>空气开关</w:t>
            </w:r>
          </w:p>
        </w:tc>
        <w:tc>
          <w:tcPr>
            <w:tcW w:w="2268" w:type="dxa"/>
            <w:tcBorders>
              <w:top w:val="single" w:color="auto" w:sz="4" w:space="0"/>
              <w:left w:val="single" w:color="auto" w:sz="4" w:space="0"/>
              <w:bottom w:val="single" w:color="auto" w:sz="4" w:space="0"/>
              <w:right w:val="single" w:color="auto" w:sz="4" w:space="0"/>
            </w:tcBorders>
            <w:vAlign w:val="center"/>
          </w:tcPr>
          <w:p w14:paraId="551B62A7">
            <w:pPr>
              <w:widowControl/>
              <w:jc w:val="center"/>
              <w:rPr>
                <w:rFonts w:ascii="宋体" w:hAnsi="宋体" w:cs="宋体"/>
                <w:kern w:val="0"/>
                <w:sz w:val="22"/>
                <w:szCs w:val="22"/>
              </w:rPr>
            </w:pPr>
          </w:p>
        </w:tc>
      </w:tr>
      <w:tr w14:paraId="1EAC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562D71C7">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7</w:t>
            </w:r>
          </w:p>
        </w:tc>
        <w:tc>
          <w:tcPr>
            <w:tcW w:w="5206" w:type="dxa"/>
            <w:tcBorders>
              <w:top w:val="single" w:color="auto" w:sz="4" w:space="0"/>
              <w:left w:val="single" w:color="auto" w:sz="4" w:space="0"/>
              <w:bottom w:val="single" w:color="auto" w:sz="4" w:space="0"/>
              <w:right w:val="single" w:color="auto" w:sz="4" w:space="0"/>
            </w:tcBorders>
            <w:vAlign w:val="center"/>
          </w:tcPr>
          <w:p w14:paraId="20AFD97C">
            <w:pPr>
              <w:jc w:val="center"/>
              <w:rPr>
                <w:rFonts w:ascii="宋体" w:hAnsi="宋体" w:cs="宋体"/>
                <w:sz w:val="22"/>
                <w:szCs w:val="22"/>
              </w:rPr>
            </w:pPr>
            <w:r>
              <w:rPr>
                <w:rFonts w:hint="eastAsia" w:ascii="宋体" w:hAnsi="宋体" w:cs="宋体"/>
                <w:sz w:val="22"/>
                <w:szCs w:val="22"/>
              </w:rPr>
              <w:t>灯具照明</w:t>
            </w:r>
          </w:p>
        </w:tc>
        <w:tc>
          <w:tcPr>
            <w:tcW w:w="2268" w:type="dxa"/>
            <w:tcBorders>
              <w:top w:val="single" w:color="auto" w:sz="4" w:space="0"/>
              <w:left w:val="single" w:color="auto" w:sz="4" w:space="0"/>
              <w:bottom w:val="single" w:color="auto" w:sz="4" w:space="0"/>
              <w:right w:val="single" w:color="auto" w:sz="4" w:space="0"/>
            </w:tcBorders>
            <w:vAlign w:val="center"/>
          </w:tcPr>
          <w:p w14:paraId="7BC55589">
            <w:pPr>
              <w:widowControl/>
              <w:jc w:val="center"/>
              <w:rPr>
                <w:rFonts w:ascii="宋体" w:hAnsi="宋体" w:cs="宋体"/>
                <w:sz w:val="22"/>
                <w:szCs w:val="22"/>
              </w:rPr>
            </w:pPr>
          </w:p>
        </w:tc>
      </w:tr>
      <w:tr w14:paraId="5A16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7450CCF5">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8</w:t>
            </w:r>
          </w:p>
        </w:tc>
        <w:tc>
          <w:tcPr>
            <w:tcW w:w="5206" w:type="dxa"/>
            <w:tcBorders>
              <w:top w:val="single" w:color="auto" w:sz="4" w:space="0"/>
              <w:left w:val="single" w:color="auto" w:sz="4" w:space="0"/>
              <w:bottom w:val="single" w:color="auto" w:sz="4" w:space="0"/>
              <w:right w:val="single" w:color="auto" w:sz="4" w:space="0"/>
            </w:tcBorders>
            <w:vAlign w:val="center"/>
          </w:tcPr>
          <w:p w14:paraId="1CE93362">
            <w:pPr>
              <w:jc w:val="center"/>
              <w:rPr>
                <w:rFonts w:ascii="宋体" w:hAnsi="宋体" w:cs="宋体"/>
                <w:sz w:val="22"/>
                <w:szCs w:val="22"/>
              </w:rPr>
            </w:pPr>
            <w:r>
              <w:rPr>
                <w:rFonts w:hint="eastAsia" w:ascii="宋体" w:hAnsi="宋体" w:cs="宋体"/>
                <w:sz w:val="22"/>
                <w:szCs w:val="22"/>
              </w:rPr>
              <w:t>电线、电缆</w:t>
            </w:r>
          </w:p>
        </w:tc>
        <w:tc>
          <w:tcPr>
            <w:tcW w:w="2268" w:type="dxa"/>
            <w:tcBorders>
              <w:top w:val="single" w:color="auto" w:sz="4" w:space="0"/>
              <w:left w:val="single" w:color="auto" w:sz="4" w:space="0"/>
              <w:bottom w:val="single" w:color="auto" w:sz="4" w:space="0"/>
              <w:right w:val="single" w:color="auto" w:sz="4" w:space="0"/>
            </w:tcBorders>
            <w:vAlign w:val="center"/>
          </w:tcPr>
          <w:p w14:paraId="40194339">
            <w:pPr>
              <w:jc w:val="center"/>
              <w:rPr>
                <w:rFonts w:ascii="宋体" w:hAnsi="宋体" w:cs="宋体"/>
                <w:sz w:val="22"/>
                <w:szCs w:val="22"/>
              </w:rPr>
            </w:pPr>
          </w:p>
        </w:tc>
      </w:tr>
      <w:tr w14:paraId="775D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46333573">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9</w:t>
            </w:r>
          </w:p>
        </w:tc>
        <w:tc>
          <w:tcPr>
            <w:tcW w:w="5206" w:type="dxa"/>
            <w:tcBorders>
              <w:top w:val="single" w:color="auto" w:sz="4" w:space="0"/>
              <w:left w:val="single" w:color="auto" w:sz="4" w:space="0"/>
              <w:bottom w:val="single" w:color="auto" w:sz="4" w:space="0"/>
              <w:right w:val="single" w:color="auto" w:sz="4" w:space="0"/>
            </w:tcBorders>
            <w:vAlign w:val="center"/>
          </w:tcPr>
          <w:p w14:paraId="32B15703">
            <w:pPr>
              <w:jc w:val="center"/>
              <w:rPr>
                <w:rFonts w:ascii="宋体" w:hAnsi="宋体" w:cs="宋体"/>
                <w:sz w:val="22"/>
                <w:szCs w:val="22"/>
              </w:rPr>
            </w:pPr>
            <w:r>
              <w:rPr>
                <w:rFonts w:hint="eastAsia" w:ascii="宋体" w:hAnsi="宋体" w:cs="宋体"/>
                <w:sz w:val="22"/>
                <w:szCs w:val="22"/>
              </w:rPr>
              <w:t>卫生洁具（坐便器、蹲便器、洗脸盆、水龙头、花洒、冲水阀、地漏、配套五金件等）节水型</w:t>
            </w:r>
          </w:p>
        </w:tc>
        <w:tc>
          <w:tcPr>
            <w:tcW w:w="2268" w:type="dxa"/>
            <w:tcBorders>
              <w:top w:val="single" w:color="auto" w:sz="4" w:space="0"/>
              <w:left w:val="single" w:color="auto" w:sz="4" w:space="0"/>
              <w:bottom w:val="single" w:color="auto" w:sz="4" w:space="0"/>
              <w:right w:val="single" w:color="auto" w:sz="4" w:space="0"/>
            </w:tcBorders>
            <w:vAlign w:val="center"/>
          </w:tcPr>
          <w:p w14:paraId="0656E3ED">
            <w:pPr>
              <w:jc w:val="center"/>
              <w:rPr>
                <w:rFonts w:ascii="宋体" w:hAnsi="宋体" w:cs="宋体"/>
                <w:sz w:val="22"/>
                <w:szCs w:val="22"/>
              </w:rPr>
            </w:pPr>
          </w:p>
        </w:tc>
      </w:tr>
      <w:tr w14:paraId="5FDA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773923BE">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10</w:t>
            </w:r>
          </w:p>
        </w:tc>
        <w:tc>
          <w:tcPr>
            <w:tcW w:w="5206" w:type="dxa"/>
            <w:tcBorders>
              <w:top w:val="single" w:color="auto" w:sz="4" w:space="0"/>
              <w:left w:val="single" w:color="auto" w:sz="4" w:space="0"/>
              <w:bottom w:val="single" w:color="auto" w:sz="4" w:space="0"/>
              <w:right w:val="single" w:color="auto" w:sz="4" w:space="0"/>
            </w:tcBorders>
            <w:vAlign w:val="center"/>
          </w:tcPr>
          <w:p w14:paraId="12A32778">
            <w:pPr>
              <w:jc w:val="center"/>
              <w:rPr>
                <w:rFonts w:ascii="宋体" w:hAnsi="宋体" w:cs="宋体"/>
                <w:sz w:val="22"/>
                <w:szCs w:val="22"/>
              </w:rPr>
            </w:pPr>
            <w:r>
              <w:rPr>
                <w:rFonts w:hint="eastAsia" w:ascii="宋体" w:hAnsi="宋体" w:cs="宋体"/>
                <w:sz w:val="22"/>
                <w:szCs w:val="22"/>
              </w:rPr>
              <w:t>水表</w:t>
            </w:r>
          </w:p>
        </w:tc>
        <w:tc>
          <w:tcPr>
            <w:tcW w:w="2268" w:type="dxa"/>
            <w:tcBorders>
              <w:top w:val="single" w:color="auto" w:sz="4" w:space="0"/>
              <w:left w:val="single" w:color="auto" w:sz="4" w:space="0"/>
              <w:bottom w:val="single" w:color="auto" w:sz="4" w:space="0"/>
              <w:right w:val="single" w:color="auto" w:sz="4" w:space="0"/>
            </w:tcBorders>
            <w:vAlign w:val="center"/>
          </w:tcPr>
          <w:p w14:paraId="6650B318">
            <w:pPr>
              <w:jc w:val="center"/>
              <w:rPr>
                <w:rFonts w:ascii="宋体" w:hAnsi="宋体" w:cs="宋体"/>
                <w:sz w:val="22"/>
                <w:szCs w:val="22"/>
              </w:rPr>
            </w:pPr>
          </w:p>
        </w:tc>
      </w:tr>
      <w:tr w14:paraId="5175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0EFAE0B8">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11</w:t>
            </w:r>
          </w:p>
        </w:tc>
        <w:tc>
          <w:tcPr>
            <w:tcW w:w="5206" w:type="dxa"/>
            <w:tcBorders>
              <w:top w:val="single" w:color="auto" w:sz="4" w:space="0"/>
              <w:left w:val="single" w:color="auto" w:sz="4" w:space="0"/>
              <w:bottom w:val="single" w:color="auto" w:sz="4" w:space="0"/>
              <w:right w:val="single" w:color="auto" w:sz="4" w:space="0"/>
            </w:tcBorders>
            <w:vAlign w:val="center"/>
          </w:tcPr>
          <w:p w14:paraId="2D4F1FEB">
            <w:pPr>
              <w:jc w:val="center"/>
              <w:rPr>
                <w:rFonts w:ascii="宋体" w:hAnsi="宋体" w:cs="宋体"/>
                <w:sz w:val="22"/>
                <w:szCs w:val="22"/>
              </w:rPr>
            </w:pPr>
            <w:r>
              <w:rPr>
                <w:rFonts w:hint="eastAsia" w:ascii="宋体" w:hAnsi="宋体" w:cs="宋体"/>
                <w:sz w:val="22"/>
                <w:szCs w:val="22"/>
              </w:rPr>
              <w:t>PVC-U排水管、PP-R给水管</w:t>
            </w:r>
          </w:p>
        </w:tc>
        <w:tc>
          <w:tcPr>
            <w:tcW w:w="2268" w:type="dxa"/>
            <w:tcBorders>
              <w:top w:val="single" w:color="auto" w:sz="4" w:space="0"/>
              <w:left w:val="single" w:color="auto" w:sz="4" w:space="0"/>
              <w:bottom w:val="single" w:color="auto" w:sz="4" w:space="0"/>
              <w:right w:val="single" w:color="auto" w:sz="4" w:space="0"/>
            </w:tcBorders>
            <w:vAlign w:val="center"/>
          </w:tcPr>
          <w:p w14:paraId="2B5F033C">
            <w:pPr>
              <w:jc w:val="center"/>
              <w:rPr>
                <w:rFonts w:ascii="宋体" w:hAnsi="宋体" w:cs="宋体"/>
                <w:sz w:val="22"/>
                <w:szCs w:val="22"/>
              </w:rPr>
            </w:pPr>
          </w:p>
        </w:tc>
      </w:tr>
      <w:tr w14:paraId="18EC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426EAC4D">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12</w:t>
            </w:r>
          </w:p>
        </w:tc>
        <w:tc>
          <w:tcPr>
            <w:tcW w:w="5206" w:type="dxa"/>
            <w:tcBorders>
              <w:top w:val="single" w:color="auto" w:sz="4" w:space="0"/>
              <w:left w:val="single" w:color="auto" w:sz="4" w:space="0"/>
              <w:bottom w:val="single" w:color="auto" w:sz="4" w:space="0"/>
              <w:right w:val="single" w:color="auto" w:sz="4" w:space="0"/>
            </w:tcBorders>
            <w:vAlign w:val="center"/>
          </w:tcPr>
          <w:p w14:paraId="27708BD9">
            <w:pPr>
              <w:jc w:val="center"/>
              <w:rPr>
                <w:rFonts w:ascii="宋体" w:hAnsi="宋体" w:cs="宋体"/>
                <w:sz w:val="22"/>
                <w:szCs w:val="22"/>
              </w:rPr>
            </w:pPr>
            <w:r>
              <w:rPr>
                <w:rFonts w:hint="eastAsia" w:ascii="宋体" w:hAnsi="宋体" w:cs="宋体"/>
                <w:sz w:val="22"/>
                <w:szCs w:val="22"/>
              </w:rPr>
              <w:t>综合布线系统（网线超六类等）</w:t>
            </w:r>
          </w:p>
        </w:tc>
        <w:tc>
          <w:tcPr>
            <w:tcW w:w="2268" w:type="dxa"/>
            <w:tcBorders>
              <w:top w:val="single" w:color="auto" w:sz="4" w:space="0"/>
              <w:left w:val="single" w:color="auto" w:sz="4" w:space="0"/>
              <w:bottom w:val="single" w:color="auto" w:sz="4" w:space="0"/>
              <w:right w:val="single" w:color="auto" w:sz="4" w:space="0"/>
            </w:tcBorders>
            <w:vAlign w:val="center"/>
          </w:tcPr>
          <w:p w14:paraId="2ED1E8C9">
            <w:pPr>
              <w:jc w:val="center"/>
              <w:rPr>
                <w:rFonts w:ascii="宋体" w:hAnsi="宋体" w:cs="宋体"/>
                <w:sz w:val="22"/>
                <w:szCs w:val="22"/>
              </w:rPr>
            </w:pPr>
          </w:p>
        </w:tc>
      </w:tr>
      <w:tr w14:paraId="6340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418D592B">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13</w:t>
            </w:r>
          </w:p>
        </w:tc>
        <w:tc>
          <w:tcPr>
            <w:tcW w:w="5206" w:type="dxa"/>
            <w:tcBorders>
              <w:top w:val="single" w:color="auto" w:sz="4" w:space="0"/>
              <w:left w:val="single" w:color="auto" w:sz="4" w:space="0"/>
              <w:bottom w:val="single" w:color="auto" w:sz="4" w:space="0"/>
              <w:right w:val="single" w:color="auto" w:sz="4" w:space="0"/>
            </w:tcBorders>
            <w:vAlign w:val="center"/>
          </w:tcPr>
          <w:p w14:paraId="5D9D148D">
            <w:pPr>
              <w:jc w:val="center"/>
              <w:rPr>
                <w:rFonts w:ascii="宋体" w:hAnsi="宋体" w:cs="宋体"/>
                <w:sz w:val="22"/>
                <w:szCs w:val="22"/>
              </w:rPr>
            </w:pPr>
            <w:r>
              <w:rPr>
                <w:rFonts w:hint="eastAsia" w:ascii="宋体" w:hAnsi="宋体" w:cs="宋体"/>
                <w:sz w:val="22"/>
                <w:szCs w:val="22"/>
              </w:rPr>
              <w:t>吊扇</w:t>
            </w:r>
          </w:p>
        </w:tc>
        <w:tc>
          <w:tcPr>
            <w:tcW w:w="2268" w:type="dxa"/>
            <w:tcBorders>
              <w:top w:val="single" w:color="auto" w:sz="4" w:space="0"/>
              <w:left w:val="single" w:color="auto" w:sz="4" w:space="0"/>
              <w:bottom w:val="single" w:color="auto" w:sz="4" w:space="0"/>
              <w:right w:val="single" w:color="auto" w:sz="4" w:space="0"/>
            </w:tcBorders>
            <w:vAlign w:val="center"/>
          </w:tcPr>
          <w:p w14:paraId="78F7CA1D">
            <w:pPr>
              <w:jc w:val="center"/>
              <w:rPr>
                <w:rFonts w:ascii="宋体" w:hAnsi="宋体" w:cs="宋体"/>
                <w:sz w:val="22"/>
                <w:szCs w:val="22"/>
              </w:rPr>
            </w:pPr>
          </w:p>
        </w:tc>
      </w:tr>
      <w:tr w14:paraId="0160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3F289FBD">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14</w:t>
            </w:r>
          </w:p>
        </w:tc>
        <w:tc>
          <w:tcPr>
            <w:tcW w:w="5206" w:type="dxa"/>
            <w:tcBorders>
              <w:top w:val="single" w:color="auto" w:sz="4" w:space="0"/>
              <w:left w:val="single" w:color="auto" w:sz="4" w:space="0"/>
              <w:bottom w:val="single" w:color="auto" w:sz="4" w:space="0"/>
              <w:right w:val="single" w:color="auto" w:sz="4" w:space="0"/>
            </w:tcBorders>
            <w:vAlign w:val="center"/>
          </w:tcPr>
          <w:p w14:paraId="605F8D14">
            <w:pPr>
              <w:jc w:val="center"/>
              <w:rPr>
                <w:rFonts w:ascii="宋体" w:hAnsi="宋体" w:cs="宋体"/>
                <w:sz w:val="22"/>
                <w:szCs w:val="22"/>
              </w:rPr>
            </w:pPr>
            <w:r>
              <w:rPr>
                <w:rFonts w:hint="eastAsia" w:ascii="宋体" w:hAnsi="宋体" w:cs="宋体"/>
                <w:sz w:val="22"/>
                <w:szCs w:val="22"/>
              </w:rPr>
              <w:t>排气扇</w:t>
            </w:r>
          </w:p>
        </w:tc>
        <w:tc>
          <w:tcPr>
            <w:tcW w:w="2268" w:type="dxa"/>
            <w:tcBorders>
              <w:top w:val="single" w:color="auto" w:sz="4" w:space="0"/>
              <w:left w:val="single" w:color="auto" w:sz="4" w:space="0"/>
              <w:bottom w:val="single" w:color="auto" w:sz="4" w:space="0"/>
              <w:right w:val="single" w:color="auto" w:sz="4" w:space="0"/>
            </w:tcBorders>
            <w:vAlign w:val="center"/>
          </w:tcPr>
          <w:p w14:paraId="109D6F74">
            <w:pPr>
              <w:jc w:val="center"/>
              <w:rPr>
                <w:rFonts w:ascii="宋体" w:hAnsi="宋体" w:cs="宋体"/>
                <w:sz w:val="22"/>
                <w:szCs w:val="22"/>
              </w:rPr>
            </w:pPr>
          </w:p>
        </w:tc>
      </w:tr>
      <w:tr w14:paraId="64B6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7947EC70">
            <w:pPr>
              <w:tabs>
                <w:tab w:val="left" w:pos="1080"/>
                <w:tab w:val="left" w:pos="9180"/>
                <w:tab w:val="left" w:pos="9360"/>
              </w:tabs>
              <w:ind w:right="25" w:rightChars="12"/>
              <w:jc w:val="center"/>
              <w:rPr>
                <w:rFonts w:ascii="宋体" w:hAnsi="宋体" w:cs="宋体"/>
                <w:sz w:val="22"/>
                <w:szCs w:val="22"/>
              </w:rPr>
            </w:pPr>
            <w:r>
              <w:rPr>
                <w:rFonts w:hint="eastAsia" w:ascii="宋体" w:hAnsi="宋体" w:cs="宋体"/>
                <w:sz w:val="22"/>
                <w:szCs w:val="22"/>
              </w:rPr>
              <w:t>15</w:t>
            </w:r>
          </w:p>
        </w:tc>
        <w:tc>
          <w:tcPr>
            <w:tcW w:w="5206" w:type="dxa"/>
            <w:tcBorders>
              <w:top w:val="single" w:color="auto" w:sz="4" w:space="0"/>
              <w:left w:val="single" w:color="auto" w:sz="4" w:space="0"/>
              <w:bottom w:val="single" w:color="auto" w:sz="4" w:space="0"/>
              <w:right w:val="single" w:color="auto" w:sz="4" w:space="0"/>
            </w:tcBorders>
            <w:vAlign w:val="center"/>
          </w:tcPr>
          <w:p w14:paraId="30F49FEC">
            <w:pPr>
              <w:jc w:val="center"/>
              <w:rPr>
                <w:rFonts w:ascii="宋体" w:hAnsi="宋体" w:cs="宋体"/>
                <w:sz w:val="22"/>
                <w:szCs w:val="22"/>
              </w:rPr>
            </w:pPr>
            <w:r>
              <w:rPr>
                <w:rFonts w:hint="eastAsia" w:ascii="宋体" w:hAnsi="宋体" w:cs="宋体"/>
                <w:sz w:val="22"/>
                <w:szCs w:val="22"/>
              </w:rPr>
              <w:t>阀门</w:t>
            </w:r>
          </w:p>
        </w:tc>
        <w:tc>
          <w:tcPr>
            <w:tcW w:w="2268" w:type="dxa"/>
            <w:tcBorders>
              <w:top w:val="single" w:color="auto" w:sz="4" w:space="0"/>
              <w:left w:val="single" w:color="auto" w:sz="4" w:space="0"/>
              <w:bottom w:val="single" w:color="auto" w:sz="4" w:space="0"/>
              <w:right w:val="single" w:color="auto" w:sz="4" w:space="0"/>
            </w:tcBorders>
            <w:vAlign w:val="center"/>
          </w:tcPr>
          <w:p w14:paraId="21C018CF">
            <w:pPr>
              <w:jc w:val="center"/>
              <w:rPr>
                <w:rFonts w:ascii="宋体" w:hAnsi="宋体" w:cs="宋体"/>
                <w:sz w:val="22"/>
                <w:szCs w:val="22"/>
              </w:rPr>
            </w:pPr>
          </w:p>
        </w:tc>
      </w:tr>
    </w:tbl>
    <w:p w14:paraId="59E80692">
      <w:pPr>
        <w:pStyle w:val="2"/>
        <w:rPr>
          <w:rFonts w:ascii="宋体" w:hAnsi="宋体"/>
        </w:rPr>
      </w:pPr>
    </w:p>
    <w:p w14:paraId="0BD24486">
      <w:pPr>
        <w:widowControl/>
        <w:ind w:firstLine="422"/>
        <w:jc w:val="left"/>
        <w:rPr>
          <w:rFonts w:ascii="宋体" w:hAnsi="宋体"/>
          <w:b/>
          <w:szCs w:val="21"/>
        </w:rPr>
      </w:pPr>
      <w:r>
        <w:rPr>
          <w:rFonts w:ascii="宋体" w:hAnsi="宋体"/>
          <w:b/>
          <w:szCs w:val="21"/>
        </w:rPr>
        <w:br w:type="page"/>
      </w:r>
    </w:p>
    <w:p w14:paraId="54A41C8E">
      <w:pPr>
        <w:snapToGrid w:val="0"/>
        <w:spacing w:line="360" w:lineRule="auto"/>
        <w:ind w:left="-23" w:leftChars="-11" w:right="-214" w:rightChars="-102" w:firstLine="21" w:firstLineChars="10"/>
        <w:jc w:val="left"/>
        <w:rPr>
          <w:rFonts w:ascii="宋体" w:hAnsi="宋体"/>
          <w:b/>
        </w:rPr>
      </w:pPr>
      <w:r>
        <w:rPr>
          <w:rFonts w:hint="eastAsia" w:ascii="宋体" w:hAnsi="宋体"/>
          <w:b/>
        </w:rPr>
        <w:t>3.报价要求响应文件的有关格式</w:t>
      </w:r>
    </w:p>
    <w:p w14:paraId="72FB8BCF">
      <w:pPr>
        <w:pStyle w:val="6"/>
        <w:spacing w:after="0" w:line="360" w:lineRule="auto"/>
        <w:ind w:left="0" w:leftChars="0" w:firstLine="422"/>
        <w:jc w:val="center"/>
        <w:rPr>
          <w:rFonts w:ascii="宋体" w:hAnsi="宋体" w:cs="宋体"/>
          <w:b/>
          <w:sz w:val="21"/>
          <w:szCs w:val="21"/>
        </w:rPr>
      </w:pPr>
      <w:r>
        <w:rPr>
          <w:rFonts w:hint="eastAsia" w:ascii="宋体" w:hAnsi="宋体" w:cs="宋体"/>
          <w:b/>
          <w:sz w:val="21"/>
          <w:szCs w:val="21"/>
        </w:rPr>
        <w:t>（1）初次报价表</w:t>
      </w:r>
    </w:p>
    <w:tbl>
      <w:tblPr>
        <w:tblStyle w:val="12"/>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738"/>
        <w:gridCol w:w="1560"/>
        <w:gridCol w:w="2409"/>
        <w:gridCol w:w="851"/>
      </w:tblGrid>
      <w:tr w14:paraId="2954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72" w:type="dxa"/>
            <w:vAlign w:val="center"/>
          </w:tcPr>
          <w:p w14:paraId="17B8233E">
            <w:pPr>
              <w:jc w:val="center"/>
              <w:rPr>
                <w:rFonts w:ascii="宋体" w:hAnsi="宋体" w:cs="宋体"/>
                <w:szCs w:val="21"/>
              </w:rPr>
            </w:pPr>
            <w:r>
              <w:rPr>
                <w:rFonts w:hint="eastAsia" w:ascii="宋体" w:hAnsi="宋体"/>
                <w:szCs w:val="21"/>
              </w:rPr>
              <w:t>项目编号</w:t>
            </w:r>
          </w:p>
        </w:tc>
        <w:tc>
          <w:tcPr>
            <w:tcW w:w="6558" w:type="dxa"/>
            <w:gridSpan w:val="4"/>
            <w:vAlign w:val="center"/>
          </w:tcPr>
          <w:p w14:paraId="6B706204">
            <w:pPr>
              <w:wordWrap w:val="0"/>
              <w:jc w:val="center"/>
              <w:rPr>
                <w:rFonts w:ascii="宋体" w:hAnsi="宋体"/>
                <w:szCs w:val="21"/>
              </w:rPr>
            </w:pPr>
            <w:r>
              <w:rPr>
                <w:rFonts w:ascii="宋体" w:hAnsi="宋体"/>
                <w:szCs w:val="21"/>
              </w:rPr>
              <w:t>NBMC-20252143G磋</w:t>
            </w:r>
          </w:p>
        </w:tc>
      </w:tr>
      <w:tr w14:paraId="7A3D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72" w:type="dxa"/>
            <w:vAlign w:val="center"/>
          </w:tcPr>
          <w:p w14:paraId="0922FA8C">
            <w:pPr>
              <w:wordWrap w:val="0"/>
              <w:jc w:val="center"/>
              <w:rPr>
                <w:rFonts w:ascii="宋体" w:hAnsi="宋体" w:cs="宋体"/>
                <w:szCs w:val="21"/>
              </w:rPr>
            </w:pPr>
            <w:r>
              <w:rPr>
                <w:rFonts w:hint="eastAsia" w:ascii="宋体" w:hAnsi="宋体" w:cs="宋体"/>
                <w:szCs w:val="21"/>
              </w:rPr>
              <w:t>项目名称</w:t>
            </w:r>
          </w:p>
        </w:tc>
        <w:tc>
          <w:tcPr>
            <w:tcW w:w="6558" w:type="dxa"/>
            <w:gridSpan w:val="4"/>
            <w:vAlign w:val="center"/>
          </w:tcPr>
          <w:p w14:paraId="7D3B7B4F">
            <w:pPr>
              <w:wordWrap w:val="0"/>
              <w:jc w:val="center"/>
              <w:rPr>
                <w:rFonts w:ascii="宋体" w:hAnsi="宋体" w:cs="宋体"/>
                <w:szCs w:val="21"/>
              </w:rPr>
            </w:pPr>
            <w:r>
              <w:rPr>
                <w:rFonts w:hint="eastAsia" w:ascii="宋体" w:hAnsi="宋体"/>
                <w:szCs w:val="21"/>
              </w:rPr>
              <w:t>浙江工商职业技术学院慈溪学院7#宿舍楼修缮项目</w:t>
            </w:r>
          </w:p>
        </w:tc>
      </w:tr>
      <w:tr w14:paraId="4D80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72" w:type="dxa"/>
            <w:vAlign w:val="center"/>
          </w:tcPr>
          <w:p w14:paraId="0B35C64B">
            <w:pPr>
              <w:wordWrap w:val="0"/>
              <w:jc w:val="center"/>
              <w:rPr>
                <w:rFonts w:ascii="宋体" w:hAnsi="宋体" w:cs="宋体"/>
                <w:szCs w:val="21"/>
              </w:rPr>
            </w:pPr>
            <w:r>
              <w:rPr>
                <w:rFonts w:hint="eastAsia" w:ascii="宋体" w:hAnsi="宋体" w:cs="宋体"/>
                <w:szCs w:val="21"/>
              </w:rPr>
              <w:t>项目内容</w:t>
            </w:r>
          </w:p>
        </w:tc>
        <w:tc>
          <w:tcPr>
            <w:tcW w:w="1738" w:type="dxa"/>
            <w:vAlign w:val="center"/>
          </w:tcPr>
          <w:p w14:paraId="6D7F5EBB">
            <w:pPr>
              <w:wordWrap w:val="0"/>
              <w:jc w:val="center"/>
              <w:rPr>
                <w:rFonts w:ascii="宋体" w:hAnsi="宋体" w:cs="宋体"/>
                <w:szCs w:val="21"/>
              </w:rPr>
            </w:pPr>
            <w:r>
              <w:rPr>
                <w:rFonts w:hint="eastAsia" w:ascii="宋体" w:hAnsi="宋体" w:cs="宋体"/>
                <w:szCs w:val="21"/>
              </w:rPr>
              <w:t>最高限价（元）</w:t>
            </w:r>
          </w:p>
        </w:tc>
        <w:tc>
          <w:tcPr>
            <w:tcW w:w="1560" w:type="dxa"/>
            <w:vAlign w:val="center"/>
          </w:tcPr>
          <w:p w14:paraId="003DFF43">
            <w:pPr>
              <w:wordWrap w:val="0"/>
              <w:jc w:val="center"/>
              <w:rPr>
                <w:rFonts w:ascii="宋体" w:hAnsi="宋体" w:cs="宋体"/>
                <w:szCs w:val="21"/>
              </w:rPr>
            </w:pPr>
            <w:r>
              <w:rPr>
                <w:rFonts w:hint="eastAsia" w:ascii="宋体" w:hAnsi="宋体" w:cs="宋体"/>
                <w:szCs w:val="21"/>
              </w:rPr>
              <w:t>报价浮动率</w:t>
            </w:r>
          </w:p>
        </w:tc>
        <w:tc>
          <w:tcPr>
            <w:tcW w:w="2409" w:type="dxa"/>
            <w:vAlign w:val="center"/>
          </w:tcPr>
          <w:p w14:paraId="19083B31">
            <w:pPr>
              <w:wordWrap w:val="0"/>
              <w:jc w:val="center"/>
              <w:rPr>
                <w:rFonts w:ascii="宋体" w:hAnsi="宋体" w:cs="宋体"/>
                <w:szCs w:val="21"/>
              </w:rPr>
            </w:pPr>
            <w:r>
              <w:rPr>
                <w:rFonts w:hint="eastAsia" w:ascii="宋体" w:hAnsi="宋体" w:cs="宋体"/>
                <w:szCs w:val="21"/>
              </w:rPr>
              <w:t>响应报价（小写，元）</w:t>
            </w:r>
          </w:p>
        </w:tc>
        <w:tc>
          <w:tcPr>
            <w:tcW w:w="851" w:type="dxa"/>
            <w:vAlign w:val="center"/>
          </w:tcPr>
          <w:p w14:paraId="3010BD25">
            <w:pPr>
              <w:wordWrap w:val="0"/>
              <w:jc w:val="center"/>
              <w:rPr>
                <w:rFonts w:ascii="宋体" w:hAnsi="宋体" w:cs="宋体"/>
                <w:szCs w:val="21"/>
              </w:rPr>
            </w:pPr>
            <w:r>
              <w:rPr>
                <w:rFonts w:hint="eastAsia" w:ascii="宋体" w:hAnsi="宋体" w:cs="宋体"/>
                <w:szCs w:val="21"/>
              </w:rPr>
              <w:t>备注</w:t>
            </w:r>
          </w:p>
        </w:tc>
      </w:tr>
      <w:tr w14:paraId="1DB8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772" w:type="dxa"/>
            <w:vAlign w:val="center"/>
          </w:tcPr>
          <w:p w14:paraId="2F2AEABB">
            <w:pPr>
              <w:wordWrap w:val="0"/>
              <w:jc w:val="center"/>
              <w:rPr>
                <w:rFonts w:ascii="宋体" w:hAnsi="宋体" w:cs="宋体"/>
                <w:szCs w:val="21"/>
              </w:rPr>
            </w:pPr>
            <w:r>
              <w:rPr>
                <w:rFonts w:hint="eastAsia" w:ascii="宋体" w:hAnsi="宋体" w:cs="宋体"/>
                <w:szCs w:val="21"/>
              </w:rPr>
              <w:t>浙江工商职业技术学院慈溪学院7#宿舍楼修缮项目</w:t>
            </w:r>
          </w:p>
        </w:tc>
        <w:tc>
          <w:tcPr>
            <w:tcW w:w="1738" w:type="dxa"/>
            <w:vAlign w:val="center"/>
          </w:tcPr>
          <w:p w14:paraId="4D6BEDA0">
            <w:pPr>
              <w:wordWrap w:val="0"/>
              <w:jc w:val="center"/>
              <w:rPr>
                <w:rFonts w:ascii="宋体" w:hAnsi="宋体" w:cs="宋体"/>
                <w:szCs w:val="21"/>
              </w:rPr>
            </w:pPr>
            <w:r>
              <w:rPr>
                <w:rFonts w:ascii="宋体" w:hAnsi="宋体" w:cs="宋体"/>
                <w:szCs w:val="21"/>
              </w:rPr>
              <w:t>1840445</w:t>
            </w:r>
          </w:p>
        </w:tc>
        <w:tc>
          <w:tcPr>
            <w:tcW w:w="1560" w:type="dxa"/>
            <w:vAlign w:val="center"/>
          </w:tcPr>
          <w:p w14:paraId="1DD2DF8C">
            <w:pPr>
              <w:wordWrap w:val="0"/>
              <w:jc w:val="center"/>
              <w:rPr>
                <w:rFonts w:ascii="宋体" w:hAnsi="宋体" w:cs="宋体"/>
                <w:szCs w:val="21"/>
              </w:rPr>
            </w:pPr>
            <w:r>
              <w:rPr>
                <w:rFonts w:hint="eastAsia" w:ascii="宋体" w:hAnsi="宋体" w:cs="宋体"/>
                <w:szCs w:val="21"/>
                <w:u w:val="single"/>
              </w:rPr>
              <w:t>-    %</w:t>
            </w:r>
          </w:p>
        </w:tc>
        <w:tc>
          <w:tcPr>
            <w:tcW w:w="2409" w:type="dxa"/>
            <w:vAlign w:val="center"/>
          </w:tcPr>
          <w:p w14:paraId="33D95E06">
            <w:pPr>
              <w:wordWrap w:val="0"/>
              <w:jc w:val="center"/>
              <w:rPr>
                <w:rFonts w:ascii="宋体" w:hAnsi="宋体" w:cs="宋体"/>
                <w:szCs w:val="21"/>
              </w:rPr>
            </w:pPr>
          </w:p>
        </w:tc>
        <w:tc>
          <w:tcPr>
            <w:tcW w:w="851" w:type="dxa"/>
            <w:vAlign w:val="center"/>
          </w:tcPr>
          <w:p w14:paraId="241A3341">
            <w:pPr>
              <w:wordWrap w:val="0"/>
              <w:jc w:val="center"/>
              <w:rPr>
                <w:rFonts w:ascii="宋体" w:hAnsi="宋体" w:cs="宋体"/>
                <w:szCs w:val="21"/>
              </w:rPr>
            </w:pPr>
          </w:p>
        </w:tc>
      </w:tr>
      <w:tr w14:paraId="4657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72" w:type="dxa"/>
            <w:vAlign w:val="center"/>
          </w:tcPr>
          <w:p w14:paraId="1D8F35FA">
            <w:pPr>
              <w:wordWrap w:val="0"/>
              <w:jc w:val="center"/>
              <w:rPr>
                <w:rFonts w:ascii="宋体" w:hAnsi="宋体" w:cs="宋体"/>
                <w:szCs w:val="21"/>
              </w:rPr>
            </w:pPr>
            <w:r>
              <w:rPr>
                <w:rFonts w:hint="eastAsia" w:ascii="宋体" w:hAnsi="宋体" w:cs="宋体"/>
                <w:szCs w:val="21"/>
              </w:rPr>
              <w:t>响应报价（大写）</w:t>
            </w:r>
          </w:p>
        </w:tc>
        <w:tc>
          <w:tcPr>
            <w:tcW w:w="5707" w:type="dxa"/>
            <w:gridSpan w:val="3"/>
            <w:vAlign w:val="center"/>
          </w:tcPr>
          <w:p w14:paraId="4559EC07">
            <w:pPr>
              <w:wordWrap w:val="0"/>
              <w:jc w:val="center"/>
              <w:rPr>
                <w:rFonts w:ascii="宋体" w:hAnsi="宋体" w:cs="宋体"/>
                <w:szCs w:val="21"/>
              </w:rPr>
            </w:pPr>
          </w:p>
        </w:tc>
        <w:tc>
          <w:tcPr>
            <w:tcW w:w="851" w:type="dxa"/>
            <w:vAlign w:val="center"/>
          </w:tcPr>
          <w:p w14:paraId="6ABF00AF">
            <w:pPr>
              <w:wordWrap w:val="0"/>
              <w:jc w:val="center"/>
              <w:rPr>
                <w:rFonts w:ascii="宋体" w:hAnsi="宋体" w:cs="宋体"/>
                <w:szCs w:val="21"/>
              </w:rPr>
            </w:pPr>
          </w:p>
        </w:tc>
      </w:tr>
    </w:tbl>
    <w:p w14:paraId="122C3027">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注</w:t>
      </w:r>
      <w:r>
        <w:rPr>
          <w:rFonts w:ascii="宋体" w:hAnsi="宋体" w:cs="宋体"/>
          <w:bCs/>
          <w:szCs w:val="21"/>
        </w:rPr>
        <w:t>：</w:t>
      </w:r>
    </w:p>
    <w:p w14:paraId="685D1C7A">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1</w:t>
      </w:r>
      <w:r>
        <w:rPr>
          <w:rFonts w:ascii="宋体" w:hAnsi="宋体" w:cs="宋体"/>
          <w:bCs/>
          <w:szCs w:val="21"/>
        </w:rPr>
        <w:t>.</w:t>
      </w:r>
      <w:r>
        <w:rPr>
          <w:rFonts w:hint="eastAsia" w:ascii="宋体" w:hAnsi="宋体" w:cs="宋体"/>
          <w:bCs/>
          <w:szCs w:val="21"/>
        </w:rPr>
        <w:t>报价一经涂改，应在涂改处加盖单位公章或由法定代表人或其授权代表签字，否则磋商小组将不接受该修改内容。</w:t>
      </w:r>
    </w:p>
    <w:p w14:paraId="19765698">
      <w:pPr>
        <w:snapToGrid w:val="0"/>
        <w:spacing w:before="50" w:after="50" w:line="360" w:lineRule="auto"/>
        <w:ind w:left="-23" w:leftChars="-11" w:right="27" w:rightChars="13" w:firstLine="21" w:firstLineChars="10"/>
        <w:rPr>
          <w:rFonts w:ascii="宋体" w:hAnsi="宋体"/>
          <w:b/>
        </w:rPr>
      </w:pPr>
      <w:r>
        <w:rPr>
          <w:rFonts w:hint="eastAsia" w:ascii="宋体" w:hAnsi="宋体"/>
          <w:b/>
        </w:rPr>
        <w:t>2</w:t>
      </w:r>
      <w:r>
        <w:rPr>
          <w:rFonts w:ascii="宋体" w:hAnsi="宋体"/>
          <w:b/>
        </w:rPr>
        <w:t>.</w:t>
      </w:r>
      <w:r>
        <w:rPr>
          <w:rFonts w:hint="eastAsia" w:ascii="宋体" w:hAnsi="宋体"/>
          <w:b/>
        </w:rPr>
        <w:t>磋商小组认为供应商的报价有可能影响项目质量或者不能诚信履约的，磋商小组有权要求其在评审现场提供书面说明及证明材料。供应商不能证明报价合理性的，磋商小组有权将其作为无效响应处理。为此，</w:t>
      </w:r>
      <w:r>
        <w:rPr>
          <w:rFonts w:hint="eastAsia" w:ascii="宋体" w:hAnsi="宋体" w:cs="宋体"/>
          <w:b/>
          <w:bCs/>
          <w:szCs w:val="21"/>
        </w:rPr>
        <w:t>请供应商在磋商前提前充分测算完成本项目所需的费用成本情况</w:t>
      </w:r>
      <w:r>
        <w:rPr>
          <w:rFonts w:hint="eastAsia" w:ascii="宋体" w:hAnsi="宋体"/>
          <w:b/>
        </w:rPr>
        <w:t>，评审现场给予提供说明及证明材料的时间不超过</w:t>
      </w:r>
      <w:r>
        <w:rPr>
          <w:rFonts w:ascii="宋体" w:hAnsi="宋体"/>
          <w:b/>
        </w:rPr>
        <w:t>1</w:t>
      </w:r>
      <w:r>
        <w:rPr>
          <w:rFonts w:hint="eastAsia" w:ascii="宋体" w:hAnsi="宋体"/>
          <w:b/>
        </w:rPr>
        <w:t>小时，如供应商在评审现场以时间不足等各种理由推脱或在规定的时间内提供的说明及材料不能充分证明其报价合理性或拒绝提交说明及材料或仅提交简单的承诺说明而被认定为无效响应的后果均由供应商自行承担。</w:t>
      </w:r>
    </w:p>
    <w:p w14:paraId="32E83B8B">
      <w:pPr>
        <w:snapToGrid w:val="0"/>
        <w:spacing w:line="360" w:lineRule="auto"/>
        <w:ind w:firstLine="420"/>
        <w:rPr>
          <w:rFonts w:ascii="宋体" w:hAnsi="宋体"/>
          <w:szCs w:val="21"/>
        </w:rPr>
      </w:pPr>
    </w:p>
    <w:p w14:paraId="2FB8AB37">
      <w:pPr>
        <w:pStyle w:val="2"/>
        <w:rPr>
          <w:rFonts w:ascii="宋体" w:hAnsi="宋体"/>
        </w:rPr>
      </w:pPr>
    </w:p>
    <w:p w14:paraId="774E41E0">
      <w:pPr>
        <w:snapToGrid w:val="0"/>
        <w:spacing w:line="360" w:lineRule="auto"/>
        <w:ind w:firstLine="3685" w:firstLineChars="1755"/>
        <w:rPr>
          <w:rFonts w:ascii="宋体" w:hAnsi="宋体"/>
          <w:szCs w:val="21"/>
        </w:rPr>
      </w:pPr>
      <w:r>
        <w:rPr>
          <w:rFonts w:hint="eastAsia" w:ascii="宋体" w:hAnsi="宋体"/>
          <w:szCs w:val="21"/>
        </w:rPr>
        <w:t>供应商：</w:t>
      </w:r>
      <w:r>
        <w:rPr>
          <w:rFonts w:hint="eastAsia" w:ascii="宋体" w:hAnsi="宋体"/>
          <w:szCs w:val="21"/>
          <w:u w:val="single"/>
        </w:rPr>
        <w:t xml:space="preserve">        （填写全称并加盖公章)       </w:t>
      </w:r>
    </w:p>
    <w:p w14:paraId="30D84553">
      <w:pPr>
        <w:snapToGrid w:val="0"/>
        <w:spacing w:line="360" w:lineRule="auto"/>
        <w:ind w:firstLine="3685" w:firstLineChars="1755"/>
        <w:rPr>
          <w:rFonts w:ascii="宋体" w:hAnsi="宋体"/>
          <w:szCs w:val="21"/>
        </w:rPr>
      </w:pPr>
      <w:r>
        <w:rPr>
          <w:rFonts w:hint="eastAsia" w:ascii="宋体" w:hAnsi="宋体"/>
          <w:szCs w:val="21"/>
        </w:rPr>
        <w:t>日  期：</w:t>
      </w:r>
    </w:p>
    <w:p w14:paraId="166246BA">
      <w:pPr>
        <w:pStyle w:val="23"/>
      </w:pPr>
    </w:p>
    <w:p w14:paraId="7872BF98">
      <w:pPr>
        <w:pStyle w:val="23"/>
      </w:pPr>
    </w:p>
    <w:p w14:paraId="586EF20D">
      <w:pPr>
        <w:pStyle w:val="23"/>
      </w:pPr>
    </w:p>
    <w:p w14:paraId="2E847319">
      <w:pPr>
        <w:widowControl/>
        <w:jc w:val="left"/>
        <w:rPr>
          <w:rFonts w:ascii="宋体" w:hAnsi="宋体" w:cs="宋体"/>
          <w:b/>
          <w:bCs/>
          <w:kern w:val="0"/>
          <w:szCs w:val="28"/>
        </w:rPr>
      </w:pPr>
      <w:r>
        <w:rPr>
          <w:rFonts w:ascii="宋体" w:hAnsi="宋体"/>
        </w:rPr>
        <w:br w:type="page"/>
      </w:r>
    </w:p>
    <w:p w14:paraId="03A37EA8">
      <w:pPr>
        <w:pStyle w:val="6"/>
        <w:spacing w:after="0" w:line="360" w:lineRule="auto"/>
        <w:ind w:left="0" w:leftChars="0"/>
        <w:jc w:val="center"/>
        <w:rPr>
          <w:rFonts w:ascii="宋体" w:hAnsi="宋体" w:cs="宋体"/>
          <w:b/>
          <w:sz w:val="21"/>
          <w:szCs w:val="21"/>
        </w:rPr>
      </w:pPr>
      <w:r>
        <w:rPr>
          <w:rFonts w:hint="eastAsia" w:ascii="宋体" w:hAnsi="宋体" w:cs="宋体"/>
          <w:b/>
          <w:sz w:val="21"/>
          <w:szCs w:val="21"/>
        </w:rPr>
        <w:t>（2）磋商控制价预算书确认单</w:t>
      </w:r>
    </w:p>
    <w:p w14:paraId="631FAAE5">
      <w:pPr>
        <w:tabs>
          <w:tab w:val="left" w:pos="0"/>
        </w:tabs>
        <w:wordWrap w:val="0"/>
        <w:spacing w:line="480" w:lineRule="auto"/>
        <w:ind w:firstLine="420"/>
        <w:rPr>
          <w:rFonts w:ascii="宋体" w:hAnsi="宋体" w:cs="宋体"/>
          <w:szCs w:val="21"/>
        </w:rPr>
      </w:pPr>
      <w:r>
        <w:rPr>
          <w:rFonts w:hint="eastAsia" w:ascii="宋体" w:hAnsi="宋体" w:cs="宋体"/>
          <w:szCs w:val="21"/>
        </w:rPr>
        <w:t>经核算，本单位对采购人提供的</w:t>
      </w:r>
      <w:r>
        <w:rPr>
          <w:rFonts w:hint="eastAsia" w:ascii="宋体" w:hAnsi="宋体" w:cs="宋体"/>
          <w:szCs w:val="21"/>
          <w:u w:val="single"/>
        </w:rPr>
        <w:t>浙江工商职业技术学院慈溪学院7#宿舍楼修缮项目（项目编号：NBMC-20252143G磋）</w:t>
      </w:r>
      <w:r>
        <w:rPr>
          <w:rFonts w:hint="eastAsia" w:ascii="宋体" w:hAnsi="宋体" w:cs="宋体"/>
          <w:szCs w:val="21"/>
        </w:rPr>
        <w:t>的《工程造价咨询报告书》（控制价）内容予以认可，承诺以最后响应报价作为合同总价，并按采购文件约定的合同条款与采购人签订施工承包合同。</w:t>
      </w:r>
    </w:p>
    <w:p w14:paraId="5157A2EB">
      <w:pPr>
        <w:pStyle w:val="27"/>
        <w:ind w:firstLine="420"/>
        <w:rPr>
          <w:rFonts w:ascii="宋体" w:hAnsi="宋体" w:cs="宋体"/>
        </w:rPr>
      </w:pPr>
    </w:p>
    <w:p w14:paraId="05EADE39">
      <w:pPr>
        <w:pStyle w:val="27"/>
        <w:ind w:firstLine="420"/>
        <w:rPr>
          <w:rFonts w:ascii="宋体" w:hAnsi="宋体" w:cs="宋体"/>
        </w:rPr>
      </w:pPr>
    </w:p>
    <w:p w14:paraId="6E812B08">
      <w:pPr>
        <w:tabs>
          <w:tab w:val="left" w:pos="0"/>
        </w:tabs>
        <w:wordWrap w:val="0"/>
        <w:spacing w:line="480" w:lineRule="auto"/>
        <w:ind w:firstLine="420"/>
        <w:rPr>
          <w:rFonts w:ascii="宋体" w:hAnsi="宋体" w:cs="宋体"/>
          <w:szCs w:val="21"/>
        </w:rPr>
      </w:pPr>
    </w:p>
    <w:p w14:paraId="7FB109C2">
      <w:pPr>
        <w:snapToGrid w:val="0"/>
        <w:spacing w:line="360" w:lineRule="auto"/>
        <w:ind w:firstLine="3685" w:firstLineChars="1755"/>
        <w:rPr>
          <w:rFonts w:ascii="宋体" w:hAnsi="宋体"/>
          <w:szCs w:val="21"/>
        </w:rPr>
      </w:pPr>
      <w:r>
        <w:rPr>
          <w:rFonts w:hint="eastAsia" w:ascii="宋体" w:hAnsi="宋体"/>
          <w:szCs w:val="21"/>
        </w:rPr>
        <w:t>供应商：</w:t>
      </w:r>
      <w:r>
        <w:rPr>
          <w:rFonts w:hint="eastAsia" w:ascii="宋体" w:hAnsi="宋体"/>
          <w:szCs w:val="21"/>
          <w:u w:val="single"/>
        </w:rPr>
        <w:t xml:space="preserve">        （填写全称并加盖公章)       </w:t>
      </w:r>
    </w:p>
    <w:p w14:paraId="654EAD9E">
      <w:pPr>
        <w:snapToGrid w:val="0"/>
        <w:spacing w:line="360" w:lineRule="auto"/>
        <w:ind w:firstLine="3685" w:firstLineChars="1755"/>
        <w:rPr>
          <w:rFonts w:ascii="宋体" w:hAnsi="宋体"/>
          <w:szCs w:val="21"/>
        </w:rPr>
      </w:pPr>
      <w:r>
        <w:rPr>
          <w:rFonts w:hint="eastAsia" w:ascii="宋体" w:hAnsi="宋体"/>
          <w:szCs w:val="21"/>
        </w:rPr>
        <w:t>日  期：</w:t>
      </w:r>
    </w:p>
    <w:p w14:paraId="19C15EFB">
      <w:pPr>
        <w:widowControl/>
        <w:jc w:val="left"/>
        <w:rPr>
          <w:rFonts w:ascii="宋体" w:hAnsi="宋体" w:cs="宋体"/>
          <w:b/>
          <w:szCs w:val="21"/>
        </w:rPr>
      </w:pPr>
    </w:p>
    <w:p w14:paraId="7F9CB0A9">
      <w:pPr>
        <w:widowControl/>
        <w:jc w:val="left"/>
        <w:rPr>
          <w:rFonts w:ascii="宋体" w:hAnsi="宋体" w:cs="宋体"/>
          <w:b/>
          <w:szCs w:val="21"/>
        </w:rPr>
      </w:pPr>
    </w:p>
    <w:p w14:paraId="2565E2E8">
      <w:pPr>
        <w:widowControl/>
        <w:jc w:val="left"/>
        <w:rPr>
          <w:rFonts w:ascii="宋体" w:hAnsi="宋体" w:cs="宋体"/>
          <w:b/>
          <w:szCs w:val="21"/>
        </w:rPr>
      </w:pPr>
    </w:p>
    <w:p w14:paraId="6F1A8458">
      <w:pPr>
        <w:widowControl/>
        <w:jc w:val="left"/>
        <w:rPr>
          <w:rFonts w:ascii="宋体" w:hAnsi="宋体" w:cs="宋体"/>
          <w:b/>
          <w:szCs w:val="21"/>
        </w:rPr>
      </w:pPr>
    </w:p>
    <w:p w14:paraId="5E94D132">
      <w:pPr>
        <w:widowControl/>
        <w:jc w:val="left"/>
        <w:rPr>
          <w:rFonts w:ascii="宋体" w:hAnsi="宋体" w:cs="宋体"/>
          <w:b/>
          <w:szCs w:val="21"/>
        </w:rPr>
      </w:pPr>
    </w:p>
    <w:p w14:paraId="5ABA57C1">
      <w:pPr>
        <w:widowControl/>
        <w:jc w:val="left"/>
        <w:rPr>
          <w:rFonts w:ascii="宋体" w:hAnsi="宋体" w:cs="宋体"/>
          <w:b/>
          <w:szCs w:val="21"/>
        </w:rPr>
      </w:pPr>
    </w:p>
    <w:p w14:paraId="5057AD87">
      <w:pPr>
        <w:widowControl/>
        <w:jc w:val="left"/>
        <w:rPr>
          <w:rFonts w:ascii="宋体" w:hAnsi="宋体" w:cs="宋体"/>
          <w:b/>
          <w:szCs w:val="21"/>
        </w:rPr>
      </w:pPr>
    </w:p>
    <w:p w14:paraId="2409574C">
      <w:pPr>
        <w:widowControl/>
        <w:jc w:val="left"/>
        <w:rPr>
          <w:rFonts w:ascii="宋体" w:hAnsi="宋体" w:cs="宋体"/>
          <w:b/>
          <w:szCs w:val="21"/>
        </w:rPr>
      </w:pPr>
    </w:p>
    <w:p w14:paraId="3756EE9E">
      <w:pPr>
        <w:widowControl/>
        <w:jc w:val="left"/>
        <w:rPr>
          <w:rFonts w:ascii="宋体" w:hAnsi="宋体" w:cs="宋体"/>
          <w:b/>
          <w:szCs w:val="21"/>
        </w:rPr>
      </w:pPr>
    </w:p>
    <w:p w14:paraId="182DD5A0">
      <w:pPr>
        <w:widowControl/>
        <w:jc w:val="left"/>
        <w:rPr>
          <w:rFonts w:ascii="宋体" w:hAnsi="宋体" w:cs="宋体"/>
          <w:b/>
          <w:szCs w:val="21"/>
        </w:rPr>
      </w:pPr>
    </w:p>
    <w:p w14:paraId="6047FAD6">
      <w:pPr>
        <w:widowControl/>
        <w:jc w:val="left"/>
        <w:rPr>
          <w:rFonts w:ascii="宋体" w:hAnsi="宋体" w:cs="宋体"/>
          <w:b/>
          <w:szCs w:val="21"/>
        </w:rPr>
      </w:pPr>
    </w:p>
    <w:p w14:paraId="1766A7BA">
      <w:pPr>
        <w:widowControl/>
        <w:jc w:val="left"/>
        <w:rPr>
          <w:rFonts w:ascii="宋体" w:hAnsi="宋体" w:cs="宋体"/>
          <w:b/>
          <w:kern w:val="0"/>
          <w:szCs w:val="21"/>
        </w:rPr>
      </w:pPr>
      <w:r>
        <w:rPr>
          <w:rFonts w:ascii="宋体" w:hAnsi="宋体" w:cs="宋体"/>
          <w:b/>
          <w:szCs w:val="21"/>
        </w:rPr>
        <w:br w:type="page"/>
      </w:r>
    </w:p>
    <w:p w14:paraId="23590467">
      <w:pPr>
        <w:pStyle w:val="6"/>
        <w:spacing w:after="0" w:line="360" w:lineRule="auto"/>
        <w:ind w:left="0" w:leftChars="0" w:firstLine="422"/>
        <w:jc w:val="center"/>
        <w:rPr>
          <w:rFonts w:ascii="宋体" w:hAnsi="宋体" w:cs="宋体"/>
          <w:b/>
          <w:sz w:val="21"/>
          <w:szCs w:val="21"/>
        </w:rPr>
      </w:pPr>
      <w:r>
        <w:rPr>
          <w:rFonts w:hint="eastAsia" w:ascii="宋体" w:hAnsi="宋体" w:cs="宋体"/>
          <w:b/>
          <w:sz w:val="21"/>
          <w:szCs w:val="21"/>
        </w:rPr>
        <w:t>（3）报价合理性说明</w:t>
      </w:r>
    </w:p>
    <w:p w14:paraId="0F1BAD82">
      <w:pPr>
        <w:spacing w:line="360" w:lineRule="auto"/>
        <w:ind w:left="-2" w:leftChars="-1" w:firstLine="420" w:firstLineChars="200"/>
        <w:rPr>
          <w:rFonts w:ascii="宋体" w:hAnsi="宋体" w:cs="宋体"/>
          <w:bCs/>
          <w:kern w:val="0"/>
          <w:szCs w:val="21"/>
        </w:rPr>
      </w:pPr>
      <w:r>
        <w:rPr>
          <w:rFonts w:hint="eastAsia" w:ascii="宋体" w:hAnsi="宋体" w:cs="宋体"/>
          <w:bCs/>
          <w:kern w:val="0"/>
          <w:szCs w:val="21"/>
        </w:rPr>
        <w:t>供应商应当做好详细且依据充分的报价合理性的书面说明材料，有下列情形之一的，将视为不合理报价作无效响应处理：</w:t>
      </w:r>
    </w:p>
    <w:p w14:paraId="437927A4">
      <w:pPr>
        <w:spacing w:line="360" w:lineRule="auto"/>
        <w:ind w:left="-2" w:leftChars="-1" w:firstLine="420" w:firstLineChars="200"/>
        <w:rPr>
          <w:rFonts w:ascii="宋体" w:hAnsi="宋体" w:cs="宋体"/>
          <w:bCs/>
          <w:kern w:val="0"/>
          <w:szCs w:val="21"/>
        </w:rPr>
      </w:pPr>
      <w:r>
        <w:rPr>
          <w:rFonts w:hint="eastAsia" w:ascii="宋体" w:hAnsi="宋体" w:cs="宋体"/>
          <w:bCs/>
          <w:kern w:val="0"/>
          <w:szCs w:val="21"/>
        </w:rPr>
        <w:t>（1）对于最后报价低于最高限价</w:t>
      </w:r>
      <w:r>
        <w:rPr>
          <w:rFonts w:ascii="宋体" w:hAnsi="宋体" w:cs="宋体"/>
          <w:bCs/>
          <w:kern w:val="0"/>
          <w:szCs w:val="21"/>
        </w:rPr>
        <w:t>85</w:t>
      </w:r>
      <w:r>
        <w:rPr>
          <w:rFonts w:hint="eastAsia" w:ascii="宋体" w:hAnsi="宋体" w:cs="宋体"/>
          <w:bCs/>
          <w:kern w:val="0"/>
          <w:szCs w:val="21"/>
        </w:rPr>
        <w:t>%（浮动率大于1</w:t>
      </w:r>
      <w:r>
        <w:rPr>
          <w:rFonts w:ascii="宋体" w:hAnsi="宋体" w:cs="宋体"/>
          <w:bCs/>
          <w:kern w:val="0"/>
          <w:szCs w:val="21"/>
        </w:rPr>
        <w:t>5%</w:t>
      </w:r>
      <w:r>
        <w:rPr>
          <w:rFonts w:hint="eastAsia" w:ascii="宋体" w:hAnsi="宋体" w:cs="宋体"/>
          <w:bCs/>
          <w:kern w:val="0"/>
          <w:szCs w:val="21"/>
        </w:rPr>
        <w:t>）的响应报价，供应商未在规定时间内提供报价合理性的书面说明材料（至少包括工程量清单综合单价工料分析表、措施项目清单综合单价工料分析表）；</w:t>
      </w:r>
    </w:p>
    <w:p w14:paraId="574FF82A">
      <w:pPr>
        <w:spacing w:line="360" w:lineRule="auto"/>
        <w:ind w:left="-2" w:leftChars="-1" w:firstLine="420" w:firstLineChars="200"/>
        <w:rPr>
          <w:rFonts w:ascii="宋体" w:hAnsi="宋体" w:cs="宋体"/>
          <w:bCs/>
          <w:kern w:val="0"/>
          <w:szCs w:val="21"/>
        </w:rPr>
      </w:pPr>
      <w:r>
        <w:rPr>
          <w:rFonts w:hint="eastAsia" w:ascii="宋体" w:hAnsi="宋体" w:cs="宋体"/>
          <w:bCs/>
          <w:kern w:val="0"/>
          <w:szCs w:val="21"/>
        </w:rPr>
        <w:t>（2）磋商小组认为供应商的报价明显低于其他通过响应性审查供应商的报价，有可能影响工程质量或者不能诚信履约的，且供应商未在1小时内向磋商小组提供报价合理性的书面说明材料（至少包括工程量清单综合单价工料分析表、措施项目清单综合单价工料分析表）；</w:t>
      </w:r>
    </w:p>
    <w:p w14:paraId="30EE117A">
      <w:pPr>
        <w:spacing w:line="360" w:lineRule="auto"/>
        <w:ind w:left="-2" w:leftChars="-1" w:firstLine="420" w:firstLineChars="200"/>
        <w:rPr>
          <w:rFonts w:ascii="宋体" w:hAnsi="宋体" w:cs="宋体"/>
          <w:kern w:val="0"/>
          <w:szCs w:val="21"/>
        </w:rPr>
      </w:pPr>
      <w:r>
        <w:rPr>
          <w:rFonts w:hint="eastAsia" w:ascii="宋体" w:hAnsi="宋体" w:cs="宋体"/>
          <w:bCs/>
          <w:kern w:val="0"/>
          <w:szCs w:val="21"/>
        </w:rPr>
        <w:t>（3）供应商虽然提供了书面说明材料，但材料内容不完整、或依据不充分、或磋商小组经分析认为其依据不合理。</w:t>
      </w:r>
    </w:p>
    <w:p w14:paraId="7ED2109A">
      <w:pPr>
        <w:pStyle w:val="2"/>
        <w:spacing w:after="0" w:line="360" w:lineRule="auto"/>
        <w:ind w:firstLine="211"/>
        <w:rPr>
          <w:rFonts w:ascii="宋体" w:hAnsi="宋体" w:cs="宋体"/>
          <w:b/>
          <w:sz w:val="21"/>
          <w:szCs w:val="21"/>
        </w:rPr>
      </w:pPr>
    </w:p>
    <w:p w14:paraId="44DC66DB">
      <w:pPr>
        <w:pStyle w:val="2"/>
        <w:rPr>
          <w:rFonts w:ascii="宋体" w:hAnsi="宋体"/>
        </w:rPr>
      </w:pPr>
    </w:p>
    <w:p w14:paraId="41DF09BD">
      <w:pPr>
        <w:pStyle w:val="2"/>
        <w:rPr>
          <w:rFonts w:ascii="宋体" w:hAnsi="宋体"/>
        </w:rPr>
      </w:pPr>
    </w:p>
    <w:p w14:paraId="6FA5D7F9">
      <w:pPr>
        <w:pStyle w:val="2"/>
        <w:rPr>
          <w:rFonts w:ascii="宋体" w:hAnsi="宋体"/>
        </w:rPr>
      </w:pPr>
    </w:p>
    <w:p w14:paraId="1FF37E2E">
      <w:pPr>
        <w:pStyle w:val="2"/>
        <w:rPr>
          <w:rFonts w:ascii="宋体" w:hAnsi="宋体"/>
        </w:rPr>
      </w:pPr>
    </w:p>
    <w:p w14:paraId="52A3C361">
      <w:pPr>
        <w:snapToGrid w:val="0"/>
        <w:spacing w:before="50" w:after="50" w:line="360" w:lineRule="auto"/>
        <w:ind w:left="-23" w:leftChars="-11" w:right="27" w:rightChars="13" w:firstLine="21" w:firstLineChars="10"/>
        <w:rPr>
          <w:rFonts w:ascii="宋体" w:hAnsi="宋体" w:cs="宋体"/>
          <w:b/>
        </w:rPr>
      </w:pPr>
      <w:r>
        <w:rPr>
          <w:rFonts w:hint="eastAsia" w:ascii="宋体" w:hAnsi="宋体"/>
          <w:b/>
        </w:rPr>
        <w:t>注：</w:t>
      </w:r>
      <w:r>
        <w:rPr>
          <w:rFonts w:hint="eastAsia" w:ascii="宋体" w:hAnsi="宋体" w:cs="宋体"/>
          <w:b/>
        </w:rPr>
        <w:t>请提前做好说明及证明材料的准备，否则因不能在规定时间按照规定要求提交相关材料导致的后果自行承担。</w:t>
      </w:r>
    </w:p>
    <w:p w14:paraId="685AC85B">
      <w:pPr>
        <w:pStyle w:val="2"/>
        <w:rPr>
          <w:rFonts w:ascii="宋体" w:hAnsi="宋体"/>
        </w:rPr>
      </w:pPr>
    </w:p>
    <w:p w14:paraId="0D1F8A27">
      <w:pPr>
        <w:pStyle w:val="2"/>
        <w:rPr>
          <w:rFonts w:ascii="宋体" w:hAnsi="宋体"/>
        </w:rPr>
      </w:pPr>
    </w:p>
    <w:p w14:paraId="24047531">
      <w:pPr>
        <w:pStyle w:val="2"/>
        <w:rPr>
          <w:rFonts w:ascii="宋体" w:hAnsi="宋体"/>
        </w:rPr>
        <w:sectPr>
          <w:pgSz w:w="11906" w:h="16838"/>
          <w:pgMar w:top="1276" w:right="1983" w:bottom="1276" w:left="1610" w:header="426" w:footer="851" w:gutter="0"/>
          <w:cols w:space="720" w:num="1"/>
          <w:docGrid w:linePitch="312" w:charSpace="0"/>
        </w:sectPr>
      </w:pPr>
    </w:p>
    <w:tbl>
      <w:tblPr>
        <w:tblStyle w:val="12"/>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0E659BF3">
        <w:tblPrEx>
          <w:tblCellMar>
            <w:top w:w="0" w:type="dxa"/>
            <w:left w:w="108" w:type="dxa"/>
            <w:bottom w:w="0" w:type="dxa"/>
            <w:right w:w="108" w:type="dxa"/>
          </w:tblCellMar>
        </w:tblPrEx>
        <w:trPr>
          <w:trHeight w:val="450" w:hRule="atLeast"/>
        </w:trPr>
        <w:tc>
          <w:tcPr>
            <w:tcW w:w="15077" w:type="dxa"/>
            <w:gridSpan w:val="11"/>
            <w:tcBorders>
              <w:top w:val="nil"/>
              <w:left w:val="nil"/>
              <w:bottom w:val="nil"/>
              <w:right w:val="nil"/>
            </w:tcBorders>
            <w:vAlign w:val="bottom"/>
          </w:tcPr>
          <w:p w14:paraId="42FA4446">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14:paraId="7A8E6F51">
        <w:tblPrEx>
          <w:tblCellMar>
            <w:top w:w="0" w:type="dxa"/>
            <w:left w:w="108" w:type="dxa"/>
            <w:bottom w:w="0" w:type="dxa"/>
            <w:right w:w="108" w:type="dxa"/>
          </w:tblCellMar>
        </w:tblPrEx>
        <w:trPr>
          <w:gridAfter w:val="1"/>
          <w:wAfter w:w="3" w:type="dxa"/>
          <w:trHeight w:val="283" w:hRule="atLeast"/>
        </w:trPr>
        <w:tc>
          <w:tcPr>
            <w:tcW w:w="2004" w:type="dxa"/>
            <w:vMerge w:val="restart"/>
            <w:tcBorders>
              <w:top w:val="single" w:color="auto" w:sz="8" w:space="0"/>
              <w:left w:val="single" w:color="auto" w:sz="8" w:space="0"/>
              <w:bottom w:val="single" w:color="000000" w:sz="4" w:space="0"/>
              <w:right w:val="single" w:color="auto" w:sz="8" w:space="0"/>
            </w:tcBorders>
            <w:vAlign w:val="center"/>
          </w:tcPr>
          <w:p w14:paraId="67FCE5CB">
            <w:pPr>
              <w:widowControl/>
              <w:jc w:val="center"/>
              <w:rPr>
                <w:rFonts w:ascii="宋体" w:hAnsi="宋体" w:cs="宋体"/>
                <w:b/>
                <w:bCs/>
                <w:kern w:val="0"/>
                <w:sz w:val="24"/>
              </w:rPr>
            </w:pPr>
            <w:r>
              <w:rPr>
                <w:rFonts w:hint="eastAsia" w:ascii="宋体" w:hAnsi="宋体" w:cs="宋体"/>
                <w:b/>
                <w:bCs/>
                <w:kern w:val="0"/>
                <w:sz w:val="24"/>
              </w:rPr>
              <w:t>行业</w:t>
            </w:r>
          </w:p>
        </w:tc>
        <w:tc>
          <w:tcPr>
            <w:tcW w:w="4970" w:type="dxa"/>
            <w:gridSpan w:val="3"/>
            <w:tcBorders>
              <w:top w:val="single" w:color="auto" w:sz="8" w:space="0"/>
              <w:left w:val="nil"/>
              <w:bottom w:val="single" w:color="auto" w:sz="4" w:space="0"/>
              <w:right w:val="single" w:color="000000" w:sz="8" w:space="0"/>
            </w:tcBorders>
            <w:vAlign w:val="bottom"/>
          </w:tcPr>
          <w:p w14:paraId="7B6170CE">
            <w:pPr>
              <w:widowControl/>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2AFD4196">
            <w:pPr>
              <w:widowControl/>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1FC8C670">
            <w:pPr>
              <w:widowControl/>
              <w:jc w:val="center"/>
              <w:rPr>
                <w:rFonts w:ascii="宋体" w:hAnsi="宋体" w:cs="宋体"/>
                <w:b/>
                <w:bCs/>
                <w:kern w:val="0"/>
                <w:sz w:val="24"/>
              </w:rPr>
            </w:pPr>
            <w:r>
              <w:rPr>
                <w:rFonts w:hint="eastAsia" w:ascii="宋体" w:hAnsi="宋体" w:cs="宋体"/>
                <w:b/>
                <w:bCs/>
                <w:kern w:val="0"/>
                <w:sz w:val="24"/>
              </w:rPr>
              <w:t>微型企业</w:t>
            </w:r>
          </w:p>
        </w:tc>
      </w:tr>
      <w:tr w14:paraId="39D28E56">
        <w:tblPrEx>
          <w:tblCellMar>
            <w:top w:w="0" w:type="dxa"/>
            <w:left w:w="108" w:type="dxa"/>
            <w:bottom w:w="0" w:type="dxa"/>
            <w:right w:w="108" w:type="dxa"/>
          </w:tblCellMar>
        </w:tblPrEx>
        <w:trPr>
          <w:gridAfter w:val="1"/>
          <w:wAfter w:w="6" w:type="dxa"/>
          <w:trHeight w:val="283" w:hRule="atLeast"/>
        </w:trPr>
        <w:tc>
          <w:tcPr>
            <w:tcW w:w="2004" w:type="dxa"/>
            <w:vMerge w:val="continue"/>
            <w:tcBorders>
              <w:top w:val="single" w:color="auto" w:sz="8" w:space="0"/>
              <w:left w:val="single" w:color="auto" w:sz="8" w:space="0"/>
              <w:bottom w:val="single" w:color="000000" w:sz="4" w:space="0"/>
              <w:right w:val="single" w:color="auto" w:sz="8" w:space="0"/>
            </w:tcBorders>
            <w:vAlign w:val="center"/>
          </w:tcPr>
          <w:p w14:paraId="54B9EBDF">
            <w:pPr>
              <w:widowControl/>
              <w:jc w:val="left"/>
              <w:rPr>
                <w:rFonts w:ascii="宋体" w:hAnsi="宋体" w:cs="宋体"/>
                <w:b/>
                <w:bCs/>
                <w:kern w:val="0"/>
                <w:sz w:val="24"/>
              </w:rPr>
            </w:pPr>
          </w:p>
        </w:tc>
        <w:tc>
          <w:tcPr>
            <w:tcW w:w="1513" w:type="dxa"/>
            <w:tcBorders>
              <w:top w:val="nil"/>
              <w:left w:val="nil"/>
              <w:bottom w:val="single" w:color="auto" w:sz="4" w:space="0"/>
              <w:right w:val="single" w:color="auto" w:sz="4" w:space="0"/>
            </w:tcBorders>
            <w:vAlign w:val="bottom"/>
          </w:tcPr>
          <w:p w14:paraId="510274A6">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80" w:type="dxa"/>
            <w:tcBorders>
              <w:top w:val="nil"/>
              <w:left w:val="nil"/>
              <w:bottom w:val="single" w:color="auto" w:sz="4" w:space="0"/>
              <w:right w:val="single" w:color="auto" w:sz="4" w:space="0"/>
            </w:tcBorders>
            <w:vAlign w:val="bottom"/>
          </w:tcPr>
          <w:p w14:paraId="371B3AB0">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24BDD965">
            <w:pPr>
              <w:widowControl/>
              <w:jc w:val="center"/>
              <w:rPr>
                <w:rFonts w:ascii="宋体" w:hAnsi="宋体" w:cs="宋体"/>
                <w:kern w:val="0"/>
                <w:sz w:val="20"/>
              </w:rPr>
            </w:pPr>
            <w:r>
              <w:rPr>
                <w:rFonts w:hint="eastAsia" w:ascii="宋体" w:hAnsi="宋体" w:cs="宋体"/>
                <w:kern w:val="0"/>
                <w:sz w:val="20"/>
              </w:rPr>
              <w:t>（万元）</w:t>
            </w:r>
          </w:p>
        </w:tc>
        <w:tc>
          <w:tcPr>
            <w:tcW w:w="1676" w:type="dxa"/>
            <w:tcBorders>
              <w:top w:val="nil"/>
              <w:left w:val="nil"/>
              <w:bottom w:val="single" w:color="auto" w:sz="4" w:space="0"/>
              <w:right w:val="single" w:color="auto" w:sz="8" w:space="0"/>
            </w:tcBorders>
            <w:vAlign w:val="bottom"/>
          </w:tcPr>
          <w:p w14:paraId="23BA1283">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06DE537F">
            <w:pPr>
              <w:widowControl/>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vAlign w:val="bottom"/>
          </w:tcPr>
          <w:p w14:paraId="07B775B4">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vAlign w:val="bottom"/>
          </w:tcPr>
          <w:p w14:paraId="0B125659">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7F580C28">
            <w:pPr>
              <w:widowControl/>
              <w:jc w:val="center"/>
              <w:rPr>
                <w:rFonts w:ascii="宋体" w:hAnsi="宋体" w:cs="宋体"/>
                <w:kern w:val="0"/>
                <w:sz w:val="20"/>
              </w:rPr>
            </w:pPr>
            <w:r>
              <w:rPr>
                <w:rFonts w:hint="eastAsia" w:ascii="宋体" w:hAnsi="宋体" w:cs="宋体"/>
                <w:kern w:val="0"/>
                <w:sz w:val="20"/>
              </w:rPr>
              <w:t>（万元）</w:t>
            </w:r>
          </w:p>
        </w:tc>
        <w:tc>
          <w:tcPr>
            <w:tcW w:w="1535" w:type="dxa"/>
            <w:tcBorders>
              <w:top w:val="nil"/>
              <w:left w:val="nil"/>
              <w:bottom w:val="single" w:color="auto" w:sz="4" w:space="0"/>
              <w:right w:val="single" w:color="auto" w:sz="8" w:space="0"/>
            </w:tcBorders>
            <w:vAlign w:val="bottom"/>
          </w:tcPr>
          <w:p w14:paraId="1D081508">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145C02A7">
            <w:pPr>
              <w:widowControl/>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vAlign w:val="bottom"/>
          </w:tcPr>
          <w:p w14:paraId="077AB97B">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vAlign w:val="bottom"/>
          </w:tcPr>
          <w:p w14:paraId="5A60EEFB">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3" w:type="dxa"/>
            <w:tcBorders>
              <w:top w:val="nil"/>
              <w:left w:val="nil"/>
              <w:bottom w:val="single" w:color="auto" w:sz="4" w:space="0"/>
              <w:right w:val="single" w:color="auto" w:sz="8" w:space="0"/>
            </w:tcBorders>
            <w:vAlign w:val="bottom"/>
          </w:tcPr>
          <w:p w14:paraId="2773FBB9">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14:paraId="7E18BEBF">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4F6ADCF2">
            <w:pPr>
              <w:widowControl/>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3" w:type="dxa"/>
            <w:tcBorders>
              <w:top w:val="nil"/>
              <w:left w:val="nil"/>
              <w:bottom w:val="single" w:color="auto" w:sz="4" w:space="0"/>
              <w:right w:val="single" w:color="auto" w:sz="4" w:space="0"/>
            </w:tcBorders>
            <w:vAlign w:val="center"/>
          </w:tcPr>
          <w:p w14:paraId="4DF193EB">
            <w:pPr>
              <w:widowControl/>
              <w:rPr>
                <w:rFonts w:ascii="宋体" w:hAnsi="宋体" w:cs="宋体"/>
                <w:kern w:val="0"/>
                <w:sz w:val="20"/>
              </w:rPr>
            </w:pPr>
            <w:r>
              <w:rPr>
                <w:rFonts w:hint="eastAsia" w:ascii="宋体" w:hAnsi="宋体" w:cs="宋体"/>
                <w:kern w:val="0"/>
                <w:sz w:val="20"/>
              </w:rPr>
              <w:t>　</w:t>
            </w:r>
          </w:p>
        </w:tc>
        <w:tc>
          <w:tcPr>
            <w:tcW w:w="1780" w:type="dxa"/>
            <w:tcBorders>
              <w:top w:val="nil"/>
              <w:left w:val="nil"/>
              <w:bottom w:val="single" w:color="auto" w:sz="4" w:space="0"/>
              <w:right w:val="single" w:color="auto" w:sz="4" w:space="0"/>
            </w:tcBorders>
            <w:vAlign w:val="center"/>
          </w:tcPr>
          <w:p w14:paraId="53FA1016">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6" w:type="dxa"/>
            <w:tcBorders>
              <w:top w:val="nil"/>
              <w:left w:val="nil"/>
              <w:bottom w:val="single" w:color="auto" w:sz="4" w:space="0"/>
              <w:right w:val="single" w:color="auto" w:sz="8" w:space="0"/>
            </w:tcBorders>
            <w:vAlign w:val="center"/>
          </w:tcPr>
          <w:p w14:paraId="72ED1DBD">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22A2CEA6">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vAlign w:val="center"/>
          </w:tcPr>
          <w:p w14:paraId="3A621315">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5" w:type="dxa"/>
            <w:tcBorders>
              <w:top w:val="nil"/>
              <w:left w:val="nil"/>
              <w:bottom w:val="single" w:color="auto" w:sz="4" w:space="0"/>
              <w:right w:val="single" w:color="auto" w:sz="8" w:space="0"/>
            </w:tcBorders>
            <w:vAlign w:val="center"/>
          </w:tcPr>
          <w:p w14:paraId="1F28299C">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3A094B6C">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vAlign w:val="center"/>
          </w:tcPr>
          <w:p w14:paraId="7BB3DBB5">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3" w:type="dxa"/>
            <w:tcBorders>
              <w:top w:val="nil"/>
              <w:left w:val="nil"/>
              <w:bottom w:val="single" w:color="auto" w:sz="4" w:space="0"/>
              <w:right w:val="single" w:color="auto" w:sz="8" w:space="0"/>
            </w:tcBorders>
            <w:vAlign w:val="center"/>
          </w:tcPr>
          <w:p w14:paraId="7385B292">
            <w:pPr>
              <w:widowControl/>
              <w:rPr>
                <w:rFonts w:ascii="宋体" w:hAnsi="宋体" w:cs="宋体"/>
                <w:kern w:val="0"/>
                <w:sz w:val="20"/>
              </w:rPr>
            </w:pPr>
            <w:r>
              <w:rPr>
                <w:rFonts w:hint="eastAsia" w:ascii="宋体" w:hAnsi="宋体" w:cs="宋体"/>
                <w:kern w:val="0"/>
                <w:sz w:val="20"/>
              </w:rPr>
              <w:t>　</w:t>
            </w:r>
          </w:p>
        </w:tc>
      </w:tr>
      <w:tr w14:paraId="6A2296D0">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0F0179C2">
            <w:pPr>
              <w:widowControl/>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13" w:type="dxa"/>
            <w:tcBorders>
              <w:top w:val="nil"/>
              <w:left w:val="nil"/>
              <w:bottom w:val="single" w:color="auto" w:sz="4" w:space="0"/>
              <w:right w:val="single" w:color="auto" w:sz="4" w:space="0"/>
            </w:tcBorders>
            <w:vAlign w:val="center"/>
          </w:tcPr>
          <w:p w14:paraId="2512046F">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0" w:type="dxa"/>
            <w:tcBorders>
              <w:top w:val="nil"/>
              <w:left w:val="nil"/>
              <w:bottom w:val="single" w:color="auto" w:sz="4" w:space="0"/>
              <w:right w:val="single" w:color="auto" w:sz="4" w:space="0"/>
            </w:tcBorders>
            <w:vAlign w:val="center"/>
          </w:tcPr>
          <w:p w14:paraId="30ABB5DA">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6" w:type="dxa"/>
            <w:tcBorders>
              <w:top w:val="nil"/>
              <w:left w:val="nil"/>
              <w:bottom w:val="single" w:color="auto" w:sz="4" w:space="0"/>
              <w:right w:val="single" w:color="auto" w:sz="8" w:space="0"/>
            </w:tcBorders>
            <w:vAlign w:val="center"/>
          </w:tcPr>
          <w:p w14:paraId="02042C10">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4C543EAC">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6DED4FB2">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5" w:type="dxa"/>
            <w:tcBorders>
              <w:top w:val="nil"/>
              <w:left w:val="nil"/>
              <w:bottom w:val="single" w:color="auto" w:sz="4" w:space="0"/>
              <w:right w:val="single" w:color="auto" w:sz="8" w:space="0"/>
            </w:tcBorders>
            <w:vAlign w:val="center"/>
          </w:tcPr>
          <w:p w14:paraId="5658467A">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5B46B093">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57272E6C">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3" w:type="dxa"/>
            <w:tcBorders>
              <w:top w:val="nil"/>
              <w:left w:val="nil"/>
              <w:bottom w:val="single" w:color="auto" w:sz="4" w:space="0"/>
              <w:right w:val="single" w:color="auto" w:sz="8" w:space="0"/>
            </w:tcBorders>
            <w:vAlign w:val="center"/>
          </w:tcPr>
          <w:p w14:paraId="206B5701">
            <w:pPr>
              <w:widowControl/>
              <w:rPr>
                <w:rFonts w:ascii="宋体" w:hAnsi="宋体" w:cs="宋体"/>
                <w:kern w:val="0"/>
                <w:sz w:val="20"/>
              </w:rPr>
            </w:pPr>
            <w:r>
              <w:rPr>
                <w:rFonts w:hint="eastAsia" w:ascii="宋体" w:hAnsi="宋体" w:cs="宋体"/>
                <w:kern w:val="0"/>
                <w:sz w:val="20"/>
              </w:rPr>
              <w:t>　</w:t>
            </w:r>
          </w:p>
        </w:tc>
      </w:tr>
      <w:tr w14:paraId="14F951DB">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6D826A90">
            <w:pPr>
              <w:widowControl/>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3" w:type="dxa"/>
            <w:tcBorders>
              <w:top w:val="nil"/>
              <w:left w:val="nil"/>
              <w:bottom w:val="single" w:color="auto" w:sz="4" w:space="0"/>
              <w:right w:val="single" w:color="auto" w:sz="4" w:space="0"/>
            </w:tcBorders>
            <w:vAlign w:val="center"/>
          </w:tcPr>
          <w:p w14:paraId="16F93CCD">
            <w:pPr>
              <w:widowControl/>
              <w:rPr>
                <w:rFonts w:ascii="宋体" w:hAnsi="宋体" w:cs="宋体"/>
                <w:kern w:val="0"/>
                <w:sz w:val="20"/>
              </w:rPr>
            </w:pPr>
            <w:r>
              <w:rPr>
                <w:rFonts w:hint="eastAsia" w:ascii="宋体" w:hAnsi="宋体" w:cs="宋体"/>
                <w:kern w:val="0"/>
                <w:sz w:val="20"/>
              </w:rPr>
              <w:t>　</w:t>
            </w:r>
          </w:p>
        </w:tc>
        <w:tc>
          <w:tcPr>
            <w:tcW w:w="1780" w:type="dxa"/>
            <w:tcBorders>
              <w:top w:val="nil"/>
              <w:left w:val="nil"/>
              <w:bottom w:val="single" w:color="auto" w:sz="4" w:space="0"/>
              <w:right w:val="single" w:color="auto" w:sz="4" w:space="0"/>
            </w:tcBorders>
            <w:vAlign w:val="center"/>
          </w:tcPr>
          <w:p w14:paraId="1040A30D">
            <w:pPr>
              <w:widowControl/>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6" w:type="dxa"/>
            <w:tcBorders>
              <w:top w:val="nil"/>
              <w:left w:val="nil"/>
              <w:bottom w:val="single" w:color="auto" w:sz="4" w:space="0"/>
              <w:right w:val="single" w:color="auto" w:sz="8" w:space="0"/>
            </w:tcBorders>
            <w:vAlign w:val="center"/>
          </w:tcPr>
          <w:p w14:paraId="15D8C1B4">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vAlign w:val="center"/>
          </w:tcPr>
          <w:p w14:paraId="6A5C241B">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vAlign w:val="center"/>
          </w:tcPr>
          <w:p w14:paraId="748CF667">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5" w:type="dxa"/>
            <w:tcBorders>
              <w:top w:val="nil"/>
              <w:left w:val="nil"/>
              <w:bottom w:val="single" w:color="auto" w:sz="4" w:space="0"/>
              <w:right w:val="single" w:color="auto" w:sz="8" w:space="0"/>
            </w:tcBorders>
            <w:vAlign w:val="center"/>
          </w:tcPr>
          <w:p w14:paraId="0F1B0CBD">
            <w:pPr>
              <w:widowControl/>
              <w:rPr>
                <w:rFonts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vAlign w:val="center"/>
          </w:tcPr>
          <w:p w14:paraId="7895C507">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vAlign w:val="center"/>
          </w:tcPr>
          <w:p w14:paraId="43ABC6E0">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3" w:type="dxa"/>
            <w:tcBorders>
              <w:top w:val="nil"/>
              <w:left w:val="nil"/>
              <w:bottom w:val="single" w:color="auto" w:sz="4" w:space="0"/>
              <w:right w:val="single" w:color="auto" w:sz="8" w:space="0"/>
            </w:tcBorders>
            <w:vAlign w:val="center"/>
          </w:tcPr>
          <w:p w14:paraId="2CA3A696">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14:paraId="68CB292D">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1EF689A2">
            <w:pPr>
              <w:widowControl/>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3" w:type="dxa"/>
            <w:tcBorders>
              <w:top w:val="nil"/>
              <w:left w:val="nil"/>
              <w:bottom w:val="single" w:color="auto" w:sz="4" w:space="0"/>
              <w:right w:val="single" w:color="auto" w:sz="4" w:space="0"/>
            </w:tcBorders>
            <w:vAlign w:val="center"/>
          </w:tcPr>
          <w:p w14:paraId="6BB595EB">
            <w:pPr>
              <w:widowControl/>
              <w:rPr>
                <w:rFonts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80" w:type="dxa"/>
            <w:tcBorders>
              <w:top w:val="nil"/>
              <w:left w:val="nil"/>
              <w:bottom w:val="single" w:color="auto" w:sz="4" w:space="0"/>
              <w:right w:val="single" w:color="auto" w:sz="4" w:space="0"/>
            </w:tcBorders>
            <w:vAlign w:val="center"/>
          </w:tcPr>
          <w:p w14:paraId="64197884">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6" w:type="dxa"/>
            <w:tcBorders>
              <w:top w:val="nil"/>
              <w:left w:val="nil"/>
              <w:bottom w:val="single" w:color="auto" w:sz="4" w:space="0"/>
              <w:right w:val="single" w:color="auto" w:sz="8" w:space="0"/>
            </w:tcBorders>
            <w:vAlign w:val="center"/>
          </w:tcPr>
          <w:p w14:paraId="6CDE2C13">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684DBA62">
            <w:pPr>
              <w:widowControl/>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vAlign w:val="center"/>
          </w:tcPr>
          <w:p w14:paraId="4A9B7809">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5" w:type="dxa"/>
            <w:tcBorders>
              <w:top w:val="nil"/>
              <w:left w:val="nil"/>
              <w:bottom w:val="single" w:color="auto" w:sz="4" w:space="0"/>
              <w:right w:val="single" w:color="auto" w:sz="8" w:space="0"/>
            </w:tcBorders>
            <w:vAlign w:val="center"/>
          </w:tcPr>
          <w:p w14:paraId="4455024F">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5CDE5236">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vAlign w:val="center"/>
          </w:tcPr>
          <w:p w14:paraId="7FBEAD56">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3" w:type="dxa"/>
            <w:tcBorders>
              <w:top w:val="nil"/>
              <w:left w:val="nil"/>
              <w:bottom w:val="single" w:color="auto" w:sz="4" w:space="0"/>
              <w:right w:val="single" w:color="auto" w:sz="8" w:space="0"/>
            </w:tcBorders>
            <w:vAlign w:val="center"/>
          </w:tcPr>
          <w:p w14:paraId="631790B6">
            <w:pPr>
              <w:widowControl/>
              <w:rPr>
                <w:rFonts w:ascii="宋体" w:hAnsi="宋体" w:cs="宋体"/>
                <w:kern w:val="0"/>
                <w:sz w:val="20"/>
              </w:rPr>
            </w:pPr>
            <w:r>
              <w:rPr>
                <w:rFonts w:hint="eastAsia" w:ascii="宋体" w:hAnsi="宋体" w:cs="宋体"/>
                <w:kern w:val="0"/>
                <w:sz w:val="20"/>
              </w:rPr>
              <w:t>　</w:t>
            </w:r>
          </w:p>
        </w:tc>
      </w:tr>
      <w:tr w14:paraId="27574D01">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7AF8B78C">
            <w:pPr>
              <w:widowControl/>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3" w:type="dxa"/>
            <w:tcBorders>
              <w:top w:val="nil"/>
              <w:left w:val="nil"/>
              <w:bottom w:val="single" w:color="auto" w:sz="4" w:space="0"/>
              <w:right w:val="single" w:color="auto" w:sz="4" w:space="0"/>
            </w:tcBorders>
            <w:vAlign w:val="center"/>
          </w:tcPr>
          <w:p w14:paraId="6565557F">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4" w:space="0"/>
              <w:right w:val="single" w:color="auto" w:sz="4" w:space="0"/>
            </w:tcBorders>
            <w:vAlign w:val="center"/>
          </w:tcPr>
          <w:p w14:paraId="2ADA1B34">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6" w:type="dxa"/>
            <w:tcBorders>
              <w:top w:val="nil"/>
              <w:left w:val="nil"/>
              <w:bottom w:val="single" w:color="auto" w:sz="4" w:space="0"/>
              <w:right w:val="single" w:color="auto" w:sz="8" w:space="0"/>
            </w:tcBorders>
            <w:vAlign w:val="center"/>
          </w:tcPr>
          <w:p w14:paraId="659915B6">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34586833">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vAlign w:val="center"/>
          </w:tcPr>
          <w:p w14:paraId="5840E8DE">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5" w:type="dxa"/>
            <w:tcBorders>
              <w:top w:val="nil"/>
              <w:left w:val="nil"/>
              <w:bottom w:val="single" w:color="auto" w:sz="4" w:space="0"/>
              <w:right w:val="single" w:color="auto" w:sz="8" w:space="0"/>
            </w:tcBorders>
            <w:vAlign w:val="center"/>
          </w:tcPr>
          <w:p w14:paraId="1253377B">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54836FE4">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74C17D47">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vAlign w:val="center"/>
          </w:tcPr>
          <w:p w14:paraId="5F8D69FD">
            <w:pPr>
              <w:widowControl/>
              <w:rPr>
                <w:rFonts w:ascii="宋体" w:hAnsi="宋体" w:cs="宋体"/>
                <w:kern w:val="0"/>
                <w:sz w:val="20"/>
              </w:rPr>
            </w:pPr>
            <w:r>
              <w:rPr>
                <w:rFonts w:hint="eastAsia" w:ascii="宋体" w:hAnsi="宋体" w:cs="宋体"/>
                <w:kern w:val="0"/>
                <w:sz w:val="20"/>
              </w:rPr>
              <w:t>　</w:t>
            </w:r>
          </w:p>
        </w:tc>
      </w:tr>
      <w:tr w14:paraId="29AE7D02">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1EC208A3">
            <w:pPr>
              <w:widowControl/>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3" w:type="dxa"/>
            <w:tcBorders>
              <w:top w:val="nil"/>
              <w:left w:val="nil"/>
              <w:bottom w:val="single" w:color="auto" w:sz="4" w:space="0"/>
              <w:right w:val="single" w:color="auto" w:sz="4" w:space="0"/>
            </w:tcBorders>
            <w:vAlign w:val="center"/>
          </w:tcPr>
          <w:p w14:paraId="159CC0B6">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0" w:type="dxa"/>
            <w:tcBorders>
              <w:top w:val="nil"/>
              <w:left w:val="nil"/>
              <w:bottom w:val="single" w:color="auto" w:sz="4" w:space="0"/>
              <w:right w:val="single" w:color="auto" w:sz="4" w:space="0"/>
            </w:tcBorders>
            <w:vAlign w:val="center"/>
          </w:tcPr>
          <w:p w14:paraId="6115380D">
            <w:pPr>
              <w:widowControl/>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6" w:type="dxa"/>
            <w:tcBorders>
              <w:top w:val="nil"/>
              <w:left w:val="nil"/>
              <w:bottom w:val="single" w:color="auto" w:sz="4" w:space="0"/>
              <w:right w:val="single" w:color="auto" w:sz="8" w:space="0"/>
            </w:tcBorders>
            <w:vAlign w:val="center"/>
          </w:tcPr>
          <w:p w14:paraId="7A70E534">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16BD77E4">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1F41C72D">
            <w:pPr>
              <w:widowControl/>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5" w:type="dxa"/>
            <w:tcBorders>
              <w:top w:val="nil"/>
              <w:left w:val="nil"/>
              <w:bottom w:val="single" w:color="auto" w:sz="4" w:space="0"/>
              <w:right w:val="single" w:color="auto" w:sz="8" w:space="0"/>
            </w:tcBorders>
            <w:vAlign w:val="center"/>
          </w:tcPr>
          <w:p w14:paraId="0E62773B">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20186E89">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559C1518">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3" w:type="dxa"/>
            <w:tcBorders>
              <w:top w:val="nil"/>
              <w:left w:val="nil"/>
              <w:bottom w:val="single" w:color="auto" w:sz="4" w:space="0"/>
              <w:right w:val="single" w:color="auto" w:sz="8" w:space="0"/>
            </w:tcBorders>
            <w:vAlign w:val="center"/>
          </w:tcPr>
          <w:p w14:paraId="07C1EB23">
            <w:pPr>
              <w:widowControl/>
              <w:rPr>
                <w:rFonts w:ascii="宋体" w:hAnsi="宋体" w:cs="宋体"/>
                <w:kern w:val="0"/>
                <w:sz w:val="20"/>
              </w:rPr>
            </w:pPr>
            <w:r>
              <w:rPr>
                <w:rFonts w:hint="eastAsia" w:ascii="宋体" w:hAnsi="宋体" w:cs="宋体"/>
                <w:kern w:val="0"/>
                <w:sz w:val="20"/>
              </w:rPr>
              <w:t>　</w:t>
            </w:r>
          </w:p>
        </w:tc>
      </w:tr>
      <w:tr w14:paraId="620B9AEA">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4A47ED42">
            <w:pPr>
              <w:widowControl/>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3" w:type="dxa"/>
            <w:tcBorders>
              <w:top w:val="nil"/>
              <w:left w:val="nil"/>
              <w:bottom w:val="single" w:color="auto" w:sz="4" w:space="0"/>
              <w:right w:val="single" w:color="auto" w:sz="4" w:space="0"/>
            </w:tcBorders>
            <w:vAlign w:val="center"/>
          </w:tcPr>
          <w:p w14:paraId="08ADB0C9">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80" w:type="dxa"/>
            <w:tcBorders>
              <w:top w:val="nil"/>
              <w:left w:val="nil"/>
              <w:bottom w:val="single" w:color="auto" w:sz="4" w:space="0"/>
              <w:right w:val="single" w:color="auto" w:sz="4" w:space="0"/>
            </w:tcBorders>
            <w:vAlign w:val="center"/>
          </w:tcPr>
          <w:p w14:paraId="29695DFF">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6" w:type="dxa"/>
            <w:tcBorders>
              <w:top w:val="nil"/>
              <w:left w:val="nil"/>
              <w:bottom w:val="single" w:color="auto" w:sz="4" w:space="0"/>
              <w:right w:val="single" w:color="auto" w:sz="8" w:space="0"/>
            </w:tcBorders>
            <w:vAlign w:val="center"/>
          </w:tcPr>
          <w:p w14:paraId="02915048">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67555C42">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5FF2830E">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5" w:type="dxa"/>
            <w:tcBorders>
              <w:top w:val="nil"/>
              <w:left w:val="nil"/>
              <w:bottom w:val="single" w:color="auto" w:sz="4" w:space="0"/>
              <w:right w:val="single" w:color="auto" w:sz="8" w:space="0"/>
            </w:tcBorders>
            <w:vAlign w:val="center"/>
          </w:tcPr>
          <w:p w14:paraId="1F11CDA8">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550C97A5">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09D58C93">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vAlign w:val="center"/>
          </w:tcPr>
          <w:p w14:paraId="1B22C29C">
            <w:pPr>
              <w:widowControl/>
              <w:rPr>
                <w:rFonts w:ascii="宋体" w:hAnsi="宋体" w:cs="宋体"/>
                <w:kern w:val="0"/>
                <w:sz w:val="20"/>
              </w:rPr>
            </w:pPr>
            <w:r>
              <w:rPr>
                <w:rFonts w:hint="eastAsia" w:ascii="宋体" w:hAnsi="宋体" w:cs="宋体"/>
                <w:kern w:val="0"/>
                <w:sz w:val="20"/>
              </w:rPr>
              <w:t>　</w:t>
            </w:r>
          </w:p>
        </w:tc>
      </w:tr>
      <w:tr w14:paraId="69A0C900">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7C7419B6">
            <w:pPr>
              <w:widowControl/>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3" w:type="dxa"/>
            <w:tcBorders>
              <w:top w:val="nil"/>
              <w:left w:val="nil"/>
              <w:bottom w:val="single" w:color="auto" w:sz="4" w:space="0"/>
              <w:right w:val="single" w:color="auto" w:sz="4" w:space="0"/>
            </w:tcBorders>
            <w:vAlign w:val="center"/>
          </w:tcPr>
          <w:p w14:paraId="4EFD7591">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0" w:type="dxa"/>
            <w:tcBorders>
              <w:top w:val="nil"/>
              <w:left w:val="nil"/>
              <w:bottom w:val="single" w:color="auto" w:sz="4" w:space="0"/>
              <w:right w:val="single" w:color="auto" w:sz="4" w:space="0"/>
            </w:tcBorders>
            <w:vAlign w:val="center"/>
          </w:tcPr>
          <w:p w14:paraId="74DFBFC1">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6" w:type="dxa"/>
            <w:tcBorders>
              <w:top w:val="nil"/>
              <w:left w:val="nil"/>
              <w:bottom w:val="single" w:color="auto" w:sz="4" w:space="0"/>
              <w:right w:val="single" w:color="auto" w:sz="8" w:space="0"/>
            </w:tcBorders>
            <w:vAlign w:val="center"/>
          </w:tcPr>
          <w:p w14:paraId="2EC27B73">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347418A9">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0123BC97">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5" w:type="dxa"/>
            <w:tcBorders>
              <w:top w:val="nil"/>
              <w:left w:val="nil"/>
              <w:bottom w:val="single" w:color="auto" w:sz="4" w:space="0"/>
              <w:right w:val="single" w:color="auto" w:sz="8" w:space="0"/>
            </w:tcBorders>
            <w:vAlign w:val="center"/>
          </w:tcPr>
          <w:p w14:paraId="34DB9355">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62B206CD">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412B311D">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vAlign w:val="center"/>
          </w:tcPr>
          <w:p w14:paraId="1E8559E5">
            <w:pPr>
              <w:widowControl/>
              <w:rPr>
                <w:rFonts w:ascii="宋体" w:hAnsi="宋体" w:cs="宋体"/>
                <w:kern w:val="0"/>
                <w:sz w:val="20"/>
              </w:rPr>
            </w:pPr>
            <w:r>
              <w:rPr>
                <w:rFonts w:hint="eastAsia" w:ascii="宋体" w:hAnsi="宋体" w:cs="宋体"/>
                <w:kern w:val="0"/>
                <w:sz w:val="20"/>
              </w:rPr>
              <w:t>　</w:t>
            </w:r>
          </w:p>
        </w:tc>
      </w:tr>
      <w:tr w14:paraId="6F0F69C8">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4B6EDB49">
            <w:pPr>
              <w:widowControl/>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3" w:type="dxa"/>
            <w:tcBorders>
              <w:top w:val="nil"/>
              <w:left w:val="nil"/>
              <w:bottom w:val="single" w:color="auto" w:sz="4" w:space="0"/>
              <w:right w:val="single" w:color="auto" w:sz="4" w:space="0"/>
            </w:tcBorders>
            <w:vAlign w:val="center"/>
          </w:tcPr>
          <w:p w14:paraId="769C74B3">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4" w:space="0"/>
              <w:right w:val="single" w:color="auto" w:sz="4" w:space="0"/>
            </w:tcBorders>
            <w:vAlign w:val="center"/>
          </w:tcPr>
          <w:p w14:paraId="5B5FDA8A">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6" w:type="dxa"/>
            <w:tcBorders>
              <w:top w:val="nil"/>
              <w:left w:val="nil"/>
              <w:bottom w:val="single" w:color="auto" w:sz="4" w:space="0"/>
              <w:right w:val="single" w:color="auto" w:sz="8" w:space="0"/>
            </w:tcBorders>
            <w:vAlign w:val="center"/>
          </w:tcPr>
          <w:p w14:paraId="0F9BA769">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5C038939">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226E45A5">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5" w:type="dxa"/>
            <w:tcBorders>
              <w:top w:val="nil"/>
              <w:left w:val="nil"/>
              <w:bottom w:val="single" w:color="auto" w:sz="4" w:space="0"/>
              <w:right w:val="single" w:color="auto" w:sz="8" w:space="0"/>
            </w:tcBorders>
            <w:vAlign w:val="center"/>
          </w:tcPr>
          <w:p w14:paraId="08B325D0">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3E567307">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7CBD5FB0">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vAlign w:val="center"/>
          </w:tcPr>
          <w:p w14:paraId="4634AF93">
            <w:pPr>
              <w:widowControl/>
              <w:rPr>
                <w:rFonts w:ascii="宋体" w:hAnsi="宋体" w:cs="宋体"/>
                <w:kern w:val="0"/>
                <w:sz w:val="20"/>
              </w:rPr>
            </w:pPr>
            <w:r>
              <w:rPr>
                <w:rFonts w:hint="eastAsia" w:ascii="宋体" w:hAnsi="宋体" w:cs="宋体"/>
                <w:kern w:val="0"/>
                <w:sz w:val="20"/>
              </w:rPr>
              <w:t>　</w:t>
            </w:r>
          </w:p>
        </w:tc>
      </w:tr>
      <w:tr w14:paraId="0DB71857">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1B03416B">
            <w:pPr>
              <w:widowControl/>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3" w:type="dxa"/>
            <w:tcBorders>
              <w:top w:val="nil"/>
              <w:left w:val="nil"/>
              <w:bottom w:val="single" w:color="auto" w:sz="4" w:space="0"/>
              <w:right w:val="single" w:color="auto" w:sz="4" w:space="0"/>
            </w:tcBorders>
            <w:vAlign w:val="center"/>
          </w:tcPr>
          <w:p w14:paraId="45C25635">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4" w:space="0"/>
              <w:right w:val="single" w:color="auto" w:sz="4" w:space="0"/>
            </w:tcBorders>
            <w:vAlign w:val="center"/>
          </w:tcPr>
          <w:p w14:paraId="1C626657">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6" w:type="dxa"/>
            <w:tcBorders>
              <w:top w:val="nil"/>
              <w:left w:val="nil"/>
              <w:bottom w:val="single" w:color="auto" w:sz="4" w:space="0"/>
              <w:right w:val="single" w:color="auto" w:sz="8" w:space="0"/>
            </w:tcBorders>
            <w:vAlign w:val="center"/>
          </w:tcPr>
          <w:p w14:paraId="442D348C">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14CE011E">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5B3E5E74">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5" w:type="dxa"/>
            <w:tcBorders>
              <w:top w:val="nil"/>
              <w:left w:val="nil"/>
              <w:bottom w:val="single" w:color="auto" w:sz="4" w:space="0"/>
              <w:right w:val="single" w:color="auto" w:sz="8" w:space="0"/>
            </w:tcBorders>
            <w:vAlign w:val="center"/>
          </w:tcPr>
          <w:p w14:paraId="6600EE35">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5FF14619">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245372AC">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vAlign w:val="center"/>
          </w:tcPr>
          <w:p w14:paraId="6FA53E15">
            <w:pPr>
              <w:widowControl/>
              <w:rPr>
                <w:rFonts w:ascii="宋体" w:hAnsi="宋体" w:cs="宋体"/>
                <w:kern w:val="0"/>
                <w:sz w:val="20"/>
              </w:rPr>
            </w:pPr>
            <w:r>
              <w:rPr>
                <w:rFonts w:hint="eastAsia" w:ascii="宋体" w:hAnsi="宋体" w:cs="宋体"/>
                <w:kern w:val="0"/>
                <w:sz w:val="20"/>
              </w:rPr>
              <w:t>　</w:t>
            </w:r>
          </w:p>
        </w:tc>
      </w:tr>
      <w:tr w14:paraId="5EB16867">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47B8A425">
            <w:pPr>
              <w:widowControl/>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3" w:type="dxa"/>
            <w:tcBorders>
              <w:top w:val="nil"/>
              <w:left w:val="nil"/>
              <w:bottom w:val="single" w:color="auto" w:sz="4" w:space="0"/>
              <w:right w:val="single" w:color="auto" w:sz="4" w:space="0"/>
            </w:tcBorders>
            <w:vAlign w:val="center"/>
          </w:tcPr>
          <w:p w14:paraId="0CFB7920">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80" w:type="dxa"/>
            <w:tcBorders>
              <w:top w:val="nil"/>
              <w:left w:val="nil"/>
              <w:bottom w:val="single" w:color="auto" w:sz="4" w:space="0"/>
              <w:right w:val="single" w:color="auto" w:sz="4" w:space="0"/>
            </w:tcBorders>
            <w:vAlign w:val="center"/>
          </w:tcPr>
          <w:p w14:paraId="1145E14B">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6" w:type="dxa"/>
            <w:tcBorders>
              <w:top w:val="nil"/>
              <w:left w:val="nil"/>
              <w:bottom w:val="single" w:color="auto" w:sz="4" w:space="0"/>
              <w:right w:val="single" w:color="auto" w:sz="8" w:space="0"/>
            </w:tcBorders>
            <w:vAlign w:val="center"/>
          </w:tcPr>
          <w:p w14:paraId="527B2152">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3B652326">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2BDC0238">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5" w:type="dxa"/>
            <w:tcBorders>
              <w:top w:val="nil"/>
              <w:left w:val="nil"/>
              <w:bottom w:val="single" w:color="auto" w:sz="4" w:space="0"/>
              <w:right w:val="single" w:color="auto" w:sz="8" w:space="0"/>
            </w:tcBorders>
            <w:vAlign w:val="center"/>
          </w:tcPr>
          <w:p w14:paraId="0FFF8AE4">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3FEAC319">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3A3D5EA9">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vAlign w:val="center"/>
          </w:tcPr>
          <w:p w14:paraId="11A9B483">
            <w:pPr>
              <w:widowControl/>
              <w:rPr>
                <w:rFonts w:ascii="宋体" w:hAnsi="宋体" w:cs="宋体"/>
                <w:kern w:val="0"/>
                <w:sz w:val="20"/>
              </w:rPr>
            </w:pPr>
            <w:r>
              <w:rPr>
                <w:rFonts w:hint="eastAsia" w:ascii="宋体" w:hAnsi="宋体" w:cs="宋体"/>
                <w:kern w:val="0"/>
                <w:sz w:val="20"/>
              </w:rPr>
              <w:t>　</w:t>
            </w:r>
          </w:p>
        </w:tc>
      </w:tr>
      <w:tr w14:paraId="75474B32">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145A6561">
            <w:pPr>
              <w:widowControl/>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13" w:type="dxa"/>
            <w:tcBorders>
              <w:top w:val="nil"/>
              <w:left w:val="nil"/>
              <w:bottom w:val="single" w:color="auto" w:sz="4" w:space="0"/>
              <w:right w:val="single" w:color="auto" w:sz="4" w:space="0"/>
            </w:tcBorders>
            <w:vAlign w:val="center"/>
          </w:tcPr>
          <w:p w14:paraId="104597FC">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4" w:space="0"/>
              <w:right w:val="single" w:color="auto" w:sz="4" w:space="0"/>
            </w:tcBorders>
            <w:vAlign w:val="center"/>
          </w:tcPr>
          <w:p w14:paraId="3D14092A">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6" w:type="dxa"/>
            <w:tcBorders>
              <w:top w:val="nil"/>
              <w:left w:val="nil"/>
              <w:bottom w:val="single" w:color="auto" w:sz="4" w:space="0"/>
              <w:right w:val="single" w:color="auto" w:sz="8" w:space="0"/>
            </w:tcBorders>
            <w:vAlign w:val="center"/>
          </w:tcPr>
          <w:p w14:paraId="0BD7987B">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03A0BB61">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159D4FA6">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5" w:type="dxa"/>
            <w:tcBorders>
              <w:top w:val="nil"/>
              <w:left w:val="nil"/>
              <w:bottom w:val="single" w:color="auto" w:sz="4" w:space="0"/>
              <w:right w:val="single" w:color="auto" w:sz="8" w:space="0"/>
            </w:tcBorders>
            <w:vAlign w:val="center"/>
          </w:tcPr>
          <w:p w14:paraId="07CDEACD">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6F4B8F2D">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1CF7FD2B">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3" w:type="dxa"/>
            <w:tcBorders>
              <w:top w:val="nil"/>
              <w:left w:val="nil"/>
              <w:bottom w:val="single" w:color="auto" w:sz="4" w:space="0"/>
              <w:right w:val="single" w:color="auto" w:sz="8" w:space="0"/>
            </w:tcBorders>
            <w:vAlign w:val="center"/>
          </w:tcPr>
          <w:p w14:paraId="63A003CE">
            <w:pPr>
              <w:widowControl/>
              <w:rPr>
                <w:rFonts w:ascii="宋体" w:hAnsi="宋体" w:cs="宋体"/>
                <w:kern w:val="0"/>
                <w:sz w:val="20"/>
              </w:rPr>
            </w:pPr>
            <w:r>
              <w:rPr>
                <w:rFonts w:hint="eastAsia" w:ascii="宋体" w:hAnsi="宋体" w:cs="宋体"/>
                <w:kern w:val="0"/>
                <w:sz w:val="20"/>
              </w:rPr>
              <w:t>　</w:t>
            </w:r>
          </w:p>
        </w:tc>
      </w:tr>
      <w:tr w14:paraId="346E34E7">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1D6935E0">
            <w:pPr>
              <w:widowControl/>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3" w:type="dxa"/>
            <w:tcBorders>
              <w:top w:val="nil"/>
              <w:left w:val="nil"/>
              <w:bottom w:val="single" w:color="auto" w:sz="4" w:space="0"/>
              <w:right w:val="single" w:color="auto" w:sz="4" w:space="0"/>
            </w:tcBorders>
            <w:vAlign w:val="center"/>
          </w:tcPr>
          <w:p w14:paraId="2B696E11">
            <w:pPr>
              <w:widowControl/>
              <w:rPr>
                <w:rFonts w:ascii="宋体" w:hAnsi="宋体" w:cs="宋体"/>
                <w:kern w:val="0"/>
                <w:sz w:val="20"/>
              </w:rPr>
            </w:pPr>
            <w:r>
              <w:rPr>
                <w:rFonts w:hint="eastAsia" w:ascii="宋体" w:hAnsi="宋体" w:cs="宋体"/>
                <w:kern w:val="0"/>
                <w:sz w:val="20"/>
              </w:rPr>
              <w:t>　</w:t>
            </w:r>
          </w:p>
        </w:tc>
        <w:tc>
          <w:tcPr>
            <w:tcW w:w="1780" w:type="dxa"/>
            <w:tcBorders>
              <w:top w:val="nil"/>
              <w:left w:val="nil"/>
              <w:bottom w:val="single" w:color="auto" w:sz="4" w:space="0"/>
              <w:right w:val="single" w:color="auto" w:sz="4" w:space="0"/>
            </w:tcBorders>
            <w:vAlign w:val="center"/>
          </w:tcPr>
          <w:p w14:paraId="174E98E2">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6" w:type="dxa"/>
            <w:tcBorders>
              <w:top w:val="nil"/>
              <w:left w:val="nil"/>
              <w:bottom w:val="single" w:color="auto" w:sz="4" w:space="0"/>
              <w:right w:val="single" w:color="auto" w:sz="8" w:space="0"/>
            </w:tcBorders>
            <w:vAlign w:val="center"/>
          </w:tcPr>
          <w:p w14:paraId="14C80B00">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vAlign w:val="center"/>
          </w:tcPr>
          <w:p w14:paraId="3895A961">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vAlign w:val="center"/>
          </w:tcPr>
          <w:p w14:paraId="5684E6E3">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5" w:type="dxa"/>
            <w:tcBorders>
              <w:top w:val="nil"/>
              <w:left w:val="nil"/>
              <w:bottom w:val="single" w:color="auto" w:sz="4" w:space="0"/>
              <w:right w:val="single" w:color="auto" w:sz="8" w:space="0"/>
            </w:tcBorders>
            <w:vAlign w:val="center"/>
          </w:tcPr>
          <w:p w14:paraId="26BE7631">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vAlign w:val="center"/>
          </w:tcPr>
          <w:p w14:paraId="799FB836">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vAlign w:val="center"/>
          </w:tcPr>
          <w:p w14:paraId="200D094E">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vAlign w:val="center"/>
          </w:tcPr>
          <w:p w14:paraId="433EC7E0">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14:paraId="6EB3235E">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257CB67E">
            <w:pPr>
              <w:widowControl/>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3" w:type="dxa"/>
            <w:tcBorders>
              <w:top w:val="nil"/>
              <w:left w:val="nil"/>
              <w:bottom w:val="single" w:color="auto" w:sz="4" w:space="0"/>
              <w:right w:val="single" w:color="auto" w:sz="4" w:space="0"/>
            </w:tcBorders>
            <w:vAlign w:val="center"/>
          </w:tcPr>
          <w:p w14:paraId="59B0572F">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0" w:type="dxa"/>
            <w:tcBorders>
              <w:top w:val="nil"/>
              <w:left w:val="nil"/>
              <w:bottom w:val="single" w:color="auto" w:sz="4" w:space="0"/>
              <w:right w:val="single" w:color="auto" w:sz="4" w:space="0"/>
            </w:tcBorders>
            <w:vAlign w:val="center"/>
          </w:tcPr>
          <w:p w14:paraId="0B82CFA6">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6" w:type="dxa"/>
            <w:tcBorders>
              <w:top w:val="nil"/>
              <w:left w:val="nil"/>
              <w:bottom w:val="single" w:color="auto" w:sz="4" w:space="0"/>
              <w:right w:val="single" w:color="auto" w:sz="8" w:space="0"/>
            </w:tcBorders>
            <w:vAlign w:val="center"/>
          </w:tcPr>
          <w:p w14:paraId="3A44FEC7">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410135EF">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2E8C2BAF">
            <w:pPr>
              <w:widowControl/>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5" w:type="dxa"/>
            <w:tcBorders>
              <w:top w:val="nil"/>
              <w:left w:val="nil"/>
              <w:bottom w:val="single" w:color="auto" w:sz="4" w:space="0"/>
              <w:right w:val="single" w:color="auto" w:sz="8" w:space="0"/>
            </w:tcBorders>
            <w:vAlign w:val="center"/>
          </w:tcPr>
          <w:p w14:paraId="4705828F">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62E645D3">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vAlign w:val="center"/>
          </w:tcPr>
          <w:p w14:paraId="4C435C55">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3" w:type="dxa"/>
            <w:tcBorders>
              <w:top w:val="nil"/>
              <w:left w:val="nil"/>
              <w:bottom w:val="single" w:color="auto" w:sz="4" w:space="0"/>
              <w:right w:val="single" w:color="auto" w:sz="8" w:space="0"/>
            </w:tcBorders>
            <w:vAlign w:val="center"/>
          </w:tcPr>
          <w:p w14:paraId="70DFBD07">
            <w:pPr>
              <w:widowControl/>
              <w:rPr>
                <w:rFonts w:ascii="宋体" w:hAnsi="宋体" w:cs="宋体"/>
                <w:kern w:val="0"/>
                <w:sz w:val="20"/>
              </w:rPr>
            </w:pPr>
            <w:r>
              <w:rPr>
                <w:rFonts w:hint="eastAsia" w:ascii="宋体" w:hAnsi="宋体" w:cs="宋体"/>
                <w:kern w:val="0"/>
                <w:sz w:val="20"/>
              </w:rPr>
              <w:t>　</w:t>
            </w:r>
          </w:p>
        </w:tc>
      </w:tr>
      <w:tr w14:paraId="64ECA5D9">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7859182B">
            <w:pPr>
              <w:widowControl/>
              <w:jc w:val="left"/>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13" w:type="dxa"/>
            <w:tcBorders>
              <w:top w:val="nil"/>
              <w:left w:val="nil"/>
              <w:bottom w:val="single" w:color="auto" w:sz="4" w:space="0"/>
              <w:right w:val="single" w:color="auto" w:sz="4" w:space="0"/>
            </w:tcBorders>
            <w:vAlign w:val="center"/>
          </w:tcPr>
          <w:p w14:paraId="27981599">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4" w:space="0"/>
              <w:right w:val="single" w:color="auto" w:sz="4" w:space="0"/>
            </w:tcBorders>
            <w:vAlign w:val="center"/>
          </w:tcPr>
          <w:p w14:paraId="27E555B3">
            <w:pPr>
              <w:widowControl/>
              <w:rPr>
                <w:rFonts w:ascii="宋体" w:hAnsi="宋体" w:cs="宋体"/>
                <w:kern w:val="0"/>
                <w:sz w:val="20"/>
              </w:rPr>
            </w:pPr>
            <w:r>
              <w:rPr>
                <w:rFonts w:hint="eastAsia" w:ascii="宋体" w:hAnsi="宋体" w:cs="宋体"/>
                <w:kern w:val="0"/>
                <w:sz w:val="20"/>
              </w:rPr>
              <w:t>　</w:t>
            </w:r>
          </w:p>
        </w:tc>
        <w:tc>
          <w:tcPr>
            <w:tcW w:w="1676" w:type="dxa"/>
            <w:tcBorders>
              <w:top w:val="nil"/>
              <w:left w:val="nil"/>
              <w:bottom w:val="single" w:color="auto" w:sz="4" w:space="0"/>
              <w:right w:val="single" w:color="auto" w:sz="8" w:space="0"/>
            </w:tcBorders>
            <w:vAlign w:val="center"/>
          </w:tcPr>
          <w:p w14:paraId="5CFDCA7C">
            <w:pPr>
              <w:widowControl/>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52" w:type="dxa"/>
            <w:tcBorders>
              <w:top w:val="nil"/>
              <w:left w:val="nil"/>
              <w:bottom w:val="single" w:color="auto" w:sz="4" w:space="0"/>
              <w:right w:val="single" w:color="auto" w:sz="4" w:space="0"/>
            </w:tcBorders>
            <w:vAlign w:val="center"/>
          </w:tcPr>
          <w:p w14:paraId="41F6404E">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16D33541">
            <w:pPr>
              <w:widowControl/>
              <w:rPr>
                <w:rFonts w:ascii="宋体" w:hAnsi="宋体" w:cs="宋体"/>
                <w:kern w:val="0"/>
                <w:sz w:val="20"/>
              </w:rPr>
            </w:pPr>
            <w:r>
              <w:rPr>
                <w:rFonts w:hint="eastAsia" w:ascii="宋体" w:hAnsi="宋体" w:cs="宋体"/>
                <w:kern w:val="0"/>
                <w:sz w:val="20"/>
              </w:rPr>
              <w:t>　</w:t>
            </w:r>
          </w:p>
        </w:tc>
        <w:tc>
          <w:tcPr>
            <w:tcW w:w="1535" w:type="dxa"/>
            <w:tcBorders>
              <w:top w:val="nil"/>
              <w:left w:val="nil"/>
              <w:bottom w:val="single" w:color="auto" w:sz="4" w:space="0"/>
              <w:right w:val="single" w:color="auto" w:sz="8" w:space="0"/>
            </w:tcBorders>
            <w:vAlign w:val="center"/>
          </w:tcPr>
          <w:p w14:paraId="2319ED54">
            <w:pPr>
              <w:widowControl/>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7" w:type="dxa"/>
            <w:tcBorders>
              <w:top w:val="nil"/>
              <w:left w:val="nil"/>
              <w:bottom w:val="single" w:color="auto" w:sz="4" w:space="0"/>
              <w:right w:val="single" w:color="auto" w:sz="4" w:space="0"/>
            </w:tcBorders>
            <w:vAlign w:val="center"/>
          </w:tcPr>
          <w:p w14:paraId="098C6A37">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67F9EB3B">
            <w:pPr>
              <w:widowControl/>
              <w:rPr>
                <w:rFonts w:ascii="宋体" w:hAnsi="宋体" w:cs="宋体"/>
                <w:kern w:val="0"/>
                <w:sz w:val="20"/>
              </w:rPr>
            </w:pPr>
            <w:r>
              <w:rPr>
                <w:rFonts w:hint="eastAsia" w:ascii="宋体" w:hAnsi="宋体" w:cs="宋体"/>
                <w:kern w:val="0"/>
                <w:sz w:val="20"/>
              </w:rPr>
              <w:t>　</w:t>
            </w:r>
          </w:p>
        </w:tc>
        <w:tc>
          <w:tcPr>
            <w:tcW w:w="1233" w:type="dxa"/>
            <w:tcBorders>
              <w:top w:val="nil"/>
              <w:left w:val="nil"/>
              <w:bottom w:val="single" w:color="auto" w:sz="4" w:space="0"/>
              <w:right w:val="single" w:color="auto" w:sz="8" w:space="0"/>
            </w:tcBorders>
            <w:vAlign w:val="center"/>
          </w:tcPr>
          <w:p w14:paraId="6E74E91F">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14:paraId="34DC3F46">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8" w:space="0"/>
              <w:right w:val="single" w:color="auto" w:sz="8" w:space="0"/>
            </w:tcBorders>
            <w:vAlign w:val="bottom"/>
          </w:tcPr>
          <w:p w14:paraId="42533C56">
            <w:pPr>
              <w:widowControl/>
              <w:jc w:val="left"/>
              <w:rPr>
                <w:rFonts w:ascii="宋体" w:hAnsi="宋体" w:cs="宋体"/>
                <w:kern w:val="0"/>
                <w:sz w:val="20"/>
              </w:rPr>
            </w:pPr>
            <w:r>
              <w:rPr>
                <w:rFonts w:ascii="宋体" w:hAnsi="宋体" w:cs="宋体"/>
                <w:kern w:val="0"/>
                <w:sz w:val="20"/>
              </w:rPr>
              <w:t>16</w:t>
            </w:r>
            <w:r>
              <w:rPr>
                <w:rFonts w:hint="eastAsia" w:ascii="宋体" w:hAnsi="宋体" w:cs="宋体"/>
                <w:kern w:val="0"/>
                <w:sz w:val="20"/>
              </w:rPr>
              <w:t>、其他未列明行业</w:t>
            </w:r>
          </w:p>
        </w:tc>
        <w:tc>
          <w:tcPr>
            <w:tcW w:w="1513" w:type="dxa"/>
            <w:tcBorders>
              <w:top w:val="nil"/>
              <w:left w:val="nil"/>
              <w:bottom w:val="single" w:color="auto" w:sz="8" w:space="0"/>
              <w:right w:val="single" w:color="auto" w:sz="4" w:space="0"/>
            </w:tcBorders>
            <w:vAlign w:val="center"/>
          </w:tcPr>
          <w:p w14:paraId="1E22DDCE">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8" w:space="0"/>
              <w:right w:val="single" w:color="auto" w:sz="4" w:space="0"/>
            </w:tcBorders>
            <w:vAlign w:val="center"/>
          </w:tcPr>
          <w:p w14:paraId="3816181A">
            <w:pPr>
              <w:widowControl/>
              <w:rPr>
                <w:rFonts w:ascii="宋体" w:hAnsi="宋体" w:cs="宋体"/>
                <w:kern w:val="0"/>
                <w:sz w:val="20"/>
              </w:rPr>
            </w:pPr>
            <w:r>
              <w:rPr>
                <w:rFonts w:hint="eastAsia" w:ascii="宋体" w:hAnsi="宋体" w:cs="宋体"/>
                <w:kern w:val="0"/>
                <w:sz w:val="20"/>
              </w:rPr>
              <w:t>　</w:t>
            </w:r>
          </w:p>
        </w:tc>
        <w:tc>
          <w:tcPr>
            <w:tcW w:w="1676" w:type="dxa"/>
            <w:tcBorders>
              <w:top w:val="nil"/>
              <w:left w:val="nil"/>
              <w:bottom w:val="single" w:color="auto" w:sz="8" w:space="0"/>
              <w:right w:val="single" w:color="auto" w:sz="8" w:space="0"/>
            </w:tcBorders>
            <w:vAlign w:val="center"/>
          </w:tcPr>
          <w:p w14:paraId="1113655F">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8" w:space="0"/>
              <w:right w:val="single" w:color="auto" w:sz="4" w:space="0"/>
            </w:tcBorders>
            <w:vAlign w:val="center"/>
          </w:tcPr>
          <w:p w14:paraId="44220AFF">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8" w:space="0"/>
              <w:right w:val="single" w:color="auto" w:sz="4" w:space="0"/>
            </w:tcBorders>
            <w:vAlign w:val="center"/>
          </w:tcPr>
          <w:p w14:paraId="6147F2EC">
            <w:pPr>
              <w:widowControl/>
              <w:rPr>
                <w:rFonts w:ascii="宋体" w:hAnsi="宋体" w:cs="宋体"/>
                <w:kern w:val="0"/>
                <w:sz w:val="20"/>
              </w:rPr>
            </w:pPr>
            <w:r>
              <w:rPr>
                <w:rFonts w:hint="eastAsia" w:ascii="宋体" w:hAnsi="宋体" w:cs="宋体"/>
                <w:kern w:val="0"/>
                <w:sz w:val="20"/>
              </w:rPr>
              <w:t>　</w:t>
            </w:r>
          </w:p>
        </w:tc>
        <w:tc>
          <w:tcPr>
            <w:tcW w:w="1535" w:type="dxa"/>
            <w:tcBorders>
              <w:top w:val="nil"/>
              <w:left w:val="nil"/>
              <w:bottom w:val="single" w:color="auto" w:sz="8" w:space="0"/>
              <w:right w:val="single" w:color="auto" w:sz="8" w:space="0"/>
            </w:tcBorders>
            <w:vAlign w:val="center"/>
          </w:tcPr>
          <w:p w14:paraId="07BBDC3A">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8" w:space="0"/>
              <w:right w:val="single" w:color="auto" w:sz="4" w:space="0"/>
            </w:tcBorders>
            <w:vAlign w:val="center"/>
          </w:tcPr>
          <w:p w14:paraId="5CFCA3F5">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8" w:space="0"/>
              <w:right w:val="single" w:color="auto" w:sz="4" w:space="0"/>
            </w:tcBorders>
            <w:vAlign w:val="center"/>
          </w:tcPr>
          <w:p w14:paraId="07ED1F39">
            <w:pPr>
              <w:widowControl/>
              <w:rPr>
                <w:rFonts w:ascii="宋体" w:hAnsi="宋体" w:cs="宋体"/>
                <w:kern w:val="0"/>
                <w:sz w:val="20"/>
              </w:rPr>
            </w:pPr>
            <w:r>
              <w:rPr>
                <w:rFonts w:hint="eastAsia" w:ascii="宋体" w:hAnsi="宋体" w:cs="宋体"/>
                <w:kern w:val="0"/>
                <w:sz w:val="20"/>
              </w:rPr>
              <w:t>　</w:t>
            </w:r>
          </w:p>
        </w:tc>
        <w:tc>
          <w:tcPr>
            <w:tcW w:w="1233" w:type="dxa"/>
            <w:tcBorders>
              <w:top w:val="nil"/>
              <w:left w:val="nil"/>
              <w:bottom w:val="single" w:color="auto" w:sz="8" w:space="0"/>
              <w:right w:val="single" w:color="auto" w:sz="8" w:space="0"/>
            </w:tcBorders>
            <w:vAlign w:val="center"/>
          </w:tcPr>
          <w:p w14:paraId="29DC5A34">
            <w:pPr>
              <w:widowControl/>
              <w:rPr>
                <w:rFonts w:ascii="宋体" w:hAnsi="宋体" w:cs="宋体"/>
                <w:kern w:val="0"/>
                <w:sz w:val="20"/>
              </w:rPr>
            </w:pPr>
            <w:r>
              <w:rPr>
                <w:rFonts w:hint="eastAsia" w:ascii="宋体" w:hAnsi="宋体" w:cs="宋体"/>
                <w:kern w:val="0"/>
                <w:sz w:val="20"/>
              </w:rPr>
              <w:t>　</w:t>
            </w:r>
          </w:p>
        </w:tc>
      </w:tr>
      <w:tr w14:paraId="4070FA2D">
        <w:tblPrEx>
          <w:tblCellMar>
            <w:top w:w="0" w:type="dxa"/>
            <w:left w:w="108" w:type="dxa"/>
            <w:bottom w:w="0" w:type="dxa"/>
            <w:right w:w="108" w:type="dxa"/>
          </w:tblCellMar>
        </w:tblPrEx>
        <w:trPr>
          <w:trHeight w:val="1009" w:hRule="atLeast"/>
        </w:trPr>
        <w:tc>
          <w:tcPr>
            <w:tcW w:w="15077" w:type="dxa"/>
            <w:gridSpan w:val="11"/>
            <w:tcBorders>
              <w:top w:val="nil"/>
              <w:left w:val="nil"/>
              <w:bottom w:val="nil"/>
              <w:right w:val="nil"/>
            </w:tcBorders>
            <w:vAlign w:val="bottom"/>
          </w:tcPr>
          <w:p w14:paraId="1EAE2FC5">
            <w:pPr>
              <w:widowControl/>
              <w:spacing w:line="320" w:lineRule="exact"/>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14:paraId="644758B8">
            <w:pPr>
              <w:widowControl/>
              <w:spacing w:line="320" w:lineRule="exact"/>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14:paraId="7009D548">
            <w:pPr>
              <w:widowControl/>
              <w:spacing w:line="320" w:lineRule="exact"/>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14:paraId="56F24835">
      <w:pPr>
        <w:pStyle w:val="2"/>
        <w:ind w:firstLine="0" w:firstLineChars="0"/>
        <w:jc w:val="both"/>
        <w:rPr>
          <w:rFonts w:ascii="宋体" w:hAnsi="宋体"/>
        </w:rPr>
      </w:pPr>
    </w:p>
    <w:p w14:paraId="379714B4"/>
    <w:sectPr>
      <w:pgSz w:w="16838" w:h="11906" w:orient="landscape"/>
      <w:pgMar w:top="1134" w:right="1276" w:bottom="1983" w:left="1276" w:header="426"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20B0504020202020204"/>
    <w:charset w:val="00"/>
    <w:family w:val="swiss"/>
    <w:pitch w:val="default"/>
    <w:sig w:usb0="00000000" w:usb1="00000000" w:usb2="00000009" w:usb3="00000000" w:csb0="000001FF" w:csb1="00000000"/>
  </w:font>
  <w:font w:name="inheri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F3EB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DD4C0">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E9D4DB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14:paraId="0E9D4DB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548143"/>
    </w:sdtPr>
    <w:sdtContent>
      <w:p w14:paraId="083B9750">
        <w:pPr>
          <w:pStyle w:val="8"/>
          <w:ind w:firstLine="353"/>
          <w:jc w:val="center"/>
        </w:pPr>
        <w:r>
          <w:fldChar w:fldCharType="begin"/>
        </w:r>
        <w:r>
          <w:instrText xml:space="preserve">PAGE   \* MERGEFORMAT</w:instrText>
        </w:r>
        <w:r>
          <w:fldChar w:fldCharType="separate"/>
        </w:r>
        <w:r>
          <w:rPr>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F7C69">
    <w:pPr>
      <w:pStyle w:val="8"/>
      <w:framePr w:wrap="around" w:vAnchor="text" w:hAnchor="margin" w:xAlign="outside" w:y="1"/>
      <w:ind w:firstLine="353"/>
      <w:rPr>
        <w:rStyle w:val="15"/>
      </w:rPr>
    </w:pPr>
    <w:r>
      <w:fldChar w:fldCharType="begin"/>
    </w:r>
    <w:r>
      <w:rPr>
        <w:rStyle w:val="15"/>
      </w:rPr>
      <w:instrText xml:space="preserve">PAGE  </w:instrText>
    </w:r>
    <w:r>
      <w:fldChar w:fldCharType="end"/>
    </w:r>
  </w:p>
  <w:p w14:paraId="5BBE7DC6">
    <w:pPr>
      <w:pStyle w:val="8"/>
      <w:ind w:right="-50" w:firstLine="353"/>
    </w:pPr>
  </w:p>
  <w:p w14:paraId="31C994CE"/>
  <w:p w14:paraId="3054B4C6"/>
  <w:p w14:paraId="3019F955"/>
  <w:p w14:paraId="6CD70C02"/>
  <w:p w14:paraId="6D549975"/>
  <w:p w14:paraId="1D0FCE40"/>
  <w:p w14:paraId="0710913E"/>
  <w:p w14:paraId="0E4CAA8F"/>
  <w:p w14:paraId="47AAC6C2"/>
  <w:p w14:paraId="7146EE11"/>
  <w:p w14:paraId="24768CFC"/>
  <w:p w14:paraId="1E308E03"/>
  <w:p w14:paraId="33EA6774"/>
  <w:p w14:paraId="398189B2"/>
  <w:p w14:paraId="37A31A32"/>
  <w:p w14:paraId="50780C2C"/>
  <w:p w14:paraId="662D90A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E5FCA">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F4A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5EF78"/>
    <w:multiLevelType w:val="singleLevel"/>
    <w:tmpl w:val="9B65EF78"/>
    <w:lvl w:ilvl="0" w:tentative="0">
      <w:start w:val="3"/>
      <w:numFmt w:val="decimal"/>
      <w:suff w:val="nothing"/>
      <w:lvlText w:val="（%1）"/>
      <w:lvlJc w:val="left"/>
    </w:lvl>
  </w:abstractNum>
  <w:abstractNum w:abstractNumId="1">
    <w:nsid w:val="CAB64BA7"/>
    <w:multiLevelType w:val="singleLevel"/>
    <w:tmpl w:val="CAB64BA7"/>
    <w:lvl w:ilvl="0" w:tentative="0">
      <w:start w:val="1"/>
      <w:numFmt w:val="decimal"/>
      <w:pStyle w:val="5"/>
      <w:lvlText w:val="%1."/>
      <w:lvlJc w:val="left"/>
      <w:pPr>
        <w:tabs>
          <w:tab w:val="left" w:pos="360"/>
        </w:tabs>
        <w:ind w:left="360" w:hanging="360"/>
      </w:pPr>
    </w:lvl>
  </w:abstractNum>
  <w:abstractNum w:abstractNumId="2">
    <w:nsid w:val="380379F0"/>
    <w:multiLevelType w:val="singleLevel"/>
    <w:tmpl w:val="380379F0"/>
    <w:lvl w:ilvl="0" w:tentative="0">
      <w:start w:val="1"/>
      <w:numFmt w:val="japaneseCounting"/>
      <w:lvlText w:val="第%1条"/>
      <w:lvlJc w:val="left"/>
      <w:pPr>
        <w:tabs>
          <w:tab w:val="left" w:pos="1695"/>
        </w:tabs>
        <w:ind w:left="1695" w:hanging="1125"/>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CA3EA6"/>
    <w:rsid w:val="48061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20" w:after="20" w:line="360" w:lineRule="auto"/>
      <w:jc w:val="center"/>
      <w:outlineLvl w:val="0"/>
    </w:pPr>
    <w:rPr>
      <w:b/>
      <w:bCs/>
      <w:color w:val="000000" w:themeColor="text1"/>
      <w:kern w:val="44"/>
      <w:sz w:val="24"/>
      <w:szCs w:val="44"/>
      <w14:textFill>
        <w14:solidFill>
          <w14:schemeClr w14:val="tx1"/>
        </w14:solidFill>
      </w14:textFill>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280" w:firstLineChars="100"/>
      <w:jc w:val="center"/>
    </w:pPr>
  </w:style>
  <w:style w:type="paragraph" w:styleId="3">
    <w:name w:val="Body Text"/>
    <w:basedOn w:val="1"/>
    <w:qFormat/>
    <w:uiPriority w:val="0"/>
    <w:pPr>
      <w:spacing w:after="120"/>
    </w:pPr>
    <w:rPr>
      <w:rFonts w:ascii="Calibri" w:hAnsi="Calibri"/>
      <w:kern w:val="0"/>
      <w:sz w:val="28"/>
    </w:rPr>
  </w:style>
  <w:style w:type="paragraph" w:styleId="5">
    <w:name w:val="List Number"/>
    <w:basedOn w:val="1"/>
    <w:qFormat/>
    <w:uiPriority w:val="0"/>
    <w:pPr>
      <w:numPr>
        <w:ilvl w:val="0"/>
        <w:numId w:val="1"/>
      </w:numPr>
    </w:pPr>
  </w:style>
  <w:style w:type="paragraph" w:styleId="6">
    <w:name w:val="Body Text Indent"/>
    <w:basedOn w:val="1"/>
    <w:unhideWhenUsed/>
    <w:qFormat/>
    <w:uiPriority w:val="99"/>
    <w:pPr>
      <w:spacing w:after="120"/>
      <w:ind w:left="420" w:leftChars="200"/>
    </w:pPr>
    <w:rPr>
      <w:kern w:val="0"/>
      <w:sz w:val="20"/>
    </w:rPr>
  </w:style>
  <w:style w:type="paragraph" w:styleId="7">
    <w:name w:val="Plain Text"/>
    <w:basedOn w:val="1"/>
    <w:qFormat/>
    <w:uiPriority w:val="0"/>
    <w:pPr>
      <w:snapToGrid w:val="0"/>
      <w:spacing w:line="360" w:lineRule="auto"/>
      <w:ind w:firstLine="420" w:firstLineChars="200"/>
      <w:contextualSpacing/>
      <w:jc w:val="left"/>
    </w:pPr>
    <w:rPr>
      <w:rFonts w:ascii="宋体" w:hAnsi="宋体" w:cs="宋体"/>
      <w:kern w:val="0"/>
      <w:szCs w:val="21"/>
    </w:rPr>
  </w:style>
  <w:style w:type="paragraph" w:styleId="8">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39"/>
    <w:pPr>
      <w:tabs>
        <w:tab w:val="right" w:leader="dot" w:pos="8846"/>
      </w:tabs>
      <w:spacing w:line="360" w:lineRule="auto"/>
    </w:pPr>
  </w:style>
  <w:style w:type="paragraph" w:styleId="11">
    <w:name w:val="Title"/>
    <w:basedOn w:val="1"/>
    <w:qFormat/>
    <w:uiPriority w:val="0"/>
    <w:pPr>
      <w:spacing w:before="240" w:after="60"/>
      <w:jc w:val="center"/>
      <w:outlineLvl w:val="0"/>
    </w:pPr>
    <w:rPr>
      <w:rFonts w:ascii="Arial" w:hAnsi="Arial" w:eastAsia="仿宋_GB2312"/>
      <w:b/>
      <w:bCs/>
      <w:kern w:val="0"/>
      <w:sz w:val="36"/>
      <w:szCs w:val="32"/>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99"/>
    <w:rPr>
      <w:color w:val="0000FF"/>
      <w:u w:val="single"/>
    </w:rPr>
  </w:style>
  <w:style w:type="paragraph" w:customStyle="1" w:styleId="17">
    <w:name w:val="TOC 标题1"/>
    <w:basedOn w:val="4"/>
    <w:next w:val="1"/>
    <w:autoRedefine/>
    <w:qFormat/>
    <w:uiPriority w:val="0"/>
    <w:pPr>
      <w:outlineLvl w:val="9"/>
    </w:pPr>
  </w:style>
  <w:style w:type="paragraph" w:customStyle="1" w:styleId="18">
    <w:name w:val="须知二级小标题"/>
    <w:basedOn w:val="1"/>
    <w:autoRedefine/>
    <w:qFormat/>
    <w:uiPriority w:val="0"/>
    <w:pPr>
      <w:spacing w:line="500" w:lineRule="exact"/>
    </w:pPr>
    <w:rPr>
      <w:rFonts w:ascii="宋体"/>
      <w:b/>
      <w:sz w:val="24"/>
      <w:szCs w:val="20"/>
    </w:rPr>
  </w:style>
  <w:style w:type="character" w:customStyle="1" w:styleId="19">
    <w:name w:val="fontstyle01"/>
    <w:autoRedefine/>
    <w:qFormat/>
    <w:uiPriority w:val="0"/>
    <w:rPr>
      <w:rFonts w:hint="eastAsia" w:ascii="宋体" w:hAnsi="宋体" w:eastAsia="宋体"/>
      <w:color w:val="000000"/>
      <w:sz w:val="22"/>
      <w:szCs w:val="22"/>
    </w:rPr>
  </w:style>
  <w:style w:type="paragraph" w:customStyle="1" w:styleId="20">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1">
    <w:name w:val="正文段"/>
    <w:basedOn w:val="1"/>
    <w:autoRedefine/>
    <w:qFormat/>
    <w:uiPriority w:val="0"/>
    <w:pPr>
      <w:widowControl/>
      <w:snapToGrid w:val="0"/>
      <w:spacing w:afterLines="50"/>
      <w:ind w:firstLine="200" w:firstLineChars="200"/>
    </w:pPr>
    <w:rPr>
      <w:kern w:val="0"/>
      <w:sz w:val="24"/>
      <w:szCs w:val="20"/>
    </w:rPr>
  </w:style>
  <w:style w:type="paragraph" w:customStyle="1" w:styleId="22">
    <w:name w:val="D&amp;L"/>
    <w:basedOn w:val="9"/>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styleId="23">
    <w:name w:val="List Paragraph"/>
    <w:basedOn w:val="1"/>
    <w:autoRedefine/>
    <w:qFormat/>
    <w:uiPriority w:val="0"/>
    <w:pPr>
      <w:spacing w:line="360" w:lineRule="auto"/>
      <w:ind w:firstLine="632" w:firstLineChars="300"/>
      <w:jc w:val="left"/>
    </w:pPr>
    <w:rPr>
      <w:rFonts w:ascii="宋体" w:hAnsi="宋体" w:cs="宋体"/>
      <w:b/>
      <w:bCs/>
      <w:kern w:val="0"/>
      <w:szCs w:val="28"/>
    </w:rPr>
  </w:style>
  <w:style w:type="paragraph" w:customStyle="1" w:styleId="24">
    <w:name w:val="须知小标题"/>
    <w:basedOn w:val="1"/>
    <w:autoRedefine/>
    <w:qFormat/>
    <w:uiPriority w:val="0"/>
    <w:pPr>
      <w:spacing w:line="500" w:lineRule="exact"/>
    </w:pPr>
    <w:rPr>
      <w:rFonts w:ascii="黑体" w:eastAsia="黑体" w:hAnsiTheme="minorHAnsi" w:cstheme="minorBidi"/>
      <w:b/>
      <w:sz w:val="28"/>
      <w:szCs w:val="20"/>
    </w:rPr>
  </w:style>
  <w:style w:type="paragraph" w:customStyle="1" w:styleId="25">
    <w:name w:val="Blockquote"/>
    <w:basedOn w:val="1"/>
    <w:autoRedefine/>
    <w:qFormat/>
    <w:uiPriority w:val="0"/>
    <w:pPr>
      <w:tabs>
        <w:tab w:val="left" w:pos="0"/>
      </w:tabs>
      <w:autoSpaceDE w:val="0"/>
      <w:autoSpaceDN w:val="0"/>
      <w:adjustRightInd w:val="0"/>
      <w:spacing w:line="360" w:lineRule="auto"/>
      <w:ind w:firstLine="425" w:firstLineChars="177"/>
      <w:jc w:val="left"/>
    </w:pPr>
    <w:rPr>
      <w:rFonts w:asciiTheme="minorHAnsi" w:hAnsiTheme="minorHAnsi" w:eastAsiaTheme="minorEastAsia" w:cstheme="minorBidi"/>
      <w:kern w:val="0"/>
      <w:sz w:val="24"/>
      <w:szCs w:val="20"/>
    </w:rPr>
  </w:style>
  <w:style w:type="paragraph" w:customStyle="1" w:styleId="26">
    <w:name w:val="表1"/>
    <w:basedOn w:val="1"/>
    <w:qFormat/>
    <w:uiPriority w:val="0"/>
    <w:pPr>
      <w:overflowPunct w:val="0"/>
      <w:autoSpaceDE w:val="0"/>
      <w:autoSpaceDN w:val="0"/>
      <w:adjustRightInd w:val="0"/>
      <w:spacing w:before="200" w:line="320" w:lineRule="atLeast"/>
      <w:textAlignment w:val="baseline"/>
    </w:pPr>
    <w:rPr>
      <w:kern w:val="0"/>
      <w:sz w:val="24"/>
      <w:szCs w:val="20"/>
    </w:rPr>
  </w:style>
  <w:style w:type="paragraph" w:customStyle="1" w:styleId="27">
    <w:name w:val="首行缩进"/>
    <w:basedOn w:val="1"/>
    <w:qFormat/>
    <w:uiPriority w:val="0"/>
    <w:pPr>
      <w:ind w:firstLine="480" w:firstLineChars="200"/>
    </w:pPr>
    <w:rPr>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19517</Words>
  <Characters>20835</Characters>
  <Lines>0</Lines>
  <Paragraphs>0</Paragraphs>
  <TotalTime>0</TotalTime>
  <ScaleCrop>false</ScaleCrop>
  <LinksUpToDate>false</LinksUpToDate>
  <CharactersWithSpaces>20907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2025-06-11T03:24:00Z</dcterms:created>
  <dc:creator>Administrator</dc:creator>
  <cp:lastModifiedBy>Limerence</cp:lastModifiedBy>
  <dcterms:modified xsi:type="dcterms:W3CDTF">2025-06-17T07:20:02Z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eyJoZGlkIjoiOGIwYmQzMzE0NGM4NDg4MzZmNWMxMzI3OGJmMjdkODEiLCJ1c2VySWQiOiIzODU0MzkyODkifQ==</vt:lpwstr>
  </property>
  <property fmtid="{D5CDD505-2E9C-101B-9397-08002B2CF9AE}" pid="4" name="ICV">
    <vt:lpwstr>0D1221C508624DA8963B74238C198692_12</vt:lpwstr>
  </property>
</Properties>
</file>