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80"/>
        </w:tabs>
        <w:spacing w:after="120" w:line="360" w:lineRule="auto"/>
        <w:jc w:val="center"/>
        <w:rPr>
          <w:rFonts w:ascii="宋体" w:hAnsi="宋体" w:cs="宋体"/>
          <w:b/>
          <w:sz w:val="52"/>
          <w:highlight w:val="none"/>
        </w:rPr>
      </w:pPr>
      <w:bookmarkStart w:id="324" w:name="_GoBack"/>
    </w:p>
    <w:p>
      <w:pPr>
        <w:pStyle w:val="48"/>
        <w:rPr>
          <w:highlight w:val="none"/>
        </w:rPr>
      </w:pPr>
    </w:p>
    <w:p>
      <w:pPr>
        <w:pStyle w:val="48"/>
        <w:rPr>
          <w:highlight w:val="none"/>
        </w:rPr>
      </w:pPr>
    </w:p>
    <w:p>
      <w:pPr>
        <w:spacing w:after="120" w:line="360" w:lineRule="auto"/>
        <w:jc w:val="center"/>
        <w:rPr>
          <w:rFonts w:ascii="宋体" w:hAnsi="宋体" w:cs="宋体"/>
          <w:b/>
          <w:sz w:val="48"/>
          <w:highlight w:val="none"/>
        </w:rPr>
      </w:pPr>
      <w:r>
        <w:rPr>
          <w:rFonts w:hint="eastAsia" w:ascii="宋体" w:hAnsi="宋体" w:cs="宋体"/>
          <w:b/>
          <w:sz w:val="48"/>
          <w:highlight w:val="none"/>
        </w:rPr>
        <w:t>政府采购项目</w:t>
      </w:r>
    </w:p>
    <w:p>
      <w:pPr>
        <w:spacing w:after="120" w:line="360" w:lineRule="auto"/>
        <w:jc w:val="center"/>
        <w:rPr>
          <w:rFonts w:ascii="宋体" w:hAnsi="宋体" w:cs="宋体"/>
          <w:b/>
          <w:sz w:val="72"/>
          <w:highlight w:val="none"/>
        </w:rPr>
      </w:pPr>
      <w:r>
        <w:rPr>
          <w:rFonts w:hint="eastAsia" w:ascii="宋体" w:hAnsi="宋体" w:cs="宋体"/>
          <w:b/>
          <w:sz w:val="72"/>
          <w:highlight w:val="none"/>
        </w:rPr>
        <w:t>公开招标采购文件</w:t>
      </w:r>
    </w:p>
    <w:p>
      <w:pPr>
        <w:spacing w:line="360" w:lineRule="auto"/>
        <w:jc w:val="center"/>
        <w:rPr>
          <w:rFonts w:ascii="宋体" w:hAnsi="宋体" w:cs="宋体"/>
          <w:b/>
          <w:sz w:val="52"/>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pStyle w:val="48"/>
        <w:rPr>
          <w:highlight w:val="none"/>
        </w:rPr>
      </w:pPr>
    </w:p>
    <w:p>
      <w:pPr>
        <w:spacing w:line="360" w:lineRule="auto"/>
        <w:ind w:firstLine="529" w:firstLineChars="147"/>
        <w:rPr>
          <w:rFonts w:ascii="宋体" w:hAnsi="宋体" w:cs="宋体"/>
          <w:b/>
          <w:sz w:val="36"/>
          <w:szCs w:val="36"/>
          <w:highlight w:val="none"/>
        </w:rPr>
      </w:pPr>
    </w:p>
    <w:p>
      <w:pPr>
        <w:spacing w:line="360" w:lineRule="auto"/>
        <w:rPr>
          <w:rFonts w:ascii="宋体" w:hAnsi="宋体" w:cs="宋体"/>
          <w:b/>
          <w:sz w:val="36"/>
          <w:szCs w:val="36"/>
          <w:highlight w:val="none"/>
        </w:rPr>
      </w:pPr>
      <w:r>
        <w:rPr>
          <w:rFonts w:hint="eastAsia" w:ascii="宋体" w:hAnsi="宋体" w:cs="宋体"/>
          <w:b/>
          <w:sz w:val="36"/>
          <w:szCs w:val="36"/>
          <w:highlight w:val="none"/>
        </w:rPr>
        <w:t>招标编号：</w:t>
      </w:r>
      <w:r>
        <w:rPr>
          <w:rFonts w:hint="eastAsia" w:ascii="宋体" w:hAnsi="宋体" w:cs="宋体"/>
          <w:b/>
          <w:sz w:val="36"/>
          <w:szCs w:val="36"/>
          <w:highlight w:val="none"/>
          <w:u w:val="single"/>
        </w:rPr>
        <w:t xml:space="preserve">   </w:t>
      </w:r>
      <w:r>
        <w:rPr>
          <w:rFonts w:ascii="宋体" w:hAnsi="宋体" w:cs="宋体"/>
          <w:b/>
          <w:sz w:val="36"/>
          <w:szCs w:val="36"/>
          <w:highlight w:val="none"/>
          <w:u w:val="single"/>
        </w:rPr>
        <w:t xml:space="preserve">   </w:t>
      </w:r>
      <w:r>
        <w:rPr>
          <w:rFonts w:hint="eastAsia" w:ascii="宋体" w:hAnsi="宋体" w:cs="宋体"/>
          <w:b/>
          <w:sz w:val="36"/>
          <w:szCs w:val="36"/>
          <w:highlight w:val="none"/>
          <w:u w:val="single"/>
        </w:rPr>
        <w:t xml:space="preserve">NBGZZB123150                </w:t>
      </w:r>
    </w:p>
    <w:p>
      <w:pPr>
        <w:spacing w:line="360" w:lineRule="auto"/>
        <w:rPr>
          <w:rFonts w:ascii="宋体" w:hAnsi="宋体" w:cs="宋体"/>
          <w:b/>
          <w:sz w:val="36"/>
          <w:szCs w:val="36"/>
          <w:highlight w:val="none"/>
        </w:rPr>
      </w:pPr>
    </w:p>
    <w:p>
      <w:pPr>
        <w:spacing w:line="360" w:lineRule="auto"/>
        <w:rPr>
          <w:rFonts w:ascii="宋体" w:hAnsi="宋体" w:cs="宋体"/>
          <w:b/>
          <w:sz w:val="36"/>
          <w:szCs w:val="36"/>
          <w:highlight w:val="none"/>
          <w:u w:val="single"/>
        </w:rPr>
      </w:pPr>
      <w:r>
        <w:rPr>
          <w:rFonts w:hint="eastAsia" w:ascii="宋体" w:hAnsi="宋体" w:cs="宋体"/>
          <w:b/>
          <w:sz w:val="36"/>
          <w:szCs w:val="36"/>
          <w:highlight w:val="none"/>
        </w:rPr>
        <w:t>项目名称：</w:t>
      </w:r>
      <w:r>
        <w:rPr>
          <w:rFonts w:hint="eastAsia" w:ascii="宋体" w:hAnsi="宋体" w:cs="宋体"/>
          <w:b/>
          <w:sz w:val="36"/>
          <w:szCs w:val="36"/>
          <w:highlight w:val="none"/>
          <w:u w:val="single"/>
        </w:rPr>
        <w:t xml:space="preserve"> </w:t>
      </w:r>
      <w:r>
        <w:rPr>
          <w:rFonts w:ascii="宋体" w:hAnsi="宋体" w:cs="宋体"/>
          <w:b/>
          <w:sz w:val="36"/>
          <w:szCs w:val="36"/>
          <w:highlight w:val="none"/>
          <w:u w:val="single"/>
        </w:rPr>
        <w:t xml:space="preserve"> </w:t>
      </w:r>
      <w:r>
        <w:rPr>
          <w:rFonts w:hint="eastAsia" w:ascii="宋体" w:hAnsi="宋体" w:cs="宋体"/>
          <w:b/>
          <w:sz w:val="36"/>
          <w:szCs w:val="36"/>
          <w:highlight w:val="none"/>
          <w:u w:val="single"/>
        </w:rPr>
        <w:t xml:space="preserve">余姚市电子政务外网网络安全服务集成项目 </w:t>
      </w:r>
      <w:r>
        <w:rPr>
          <w:rFonts w:ascii="宋体" w:hAnsi="宋体" w:cs="宋体"/>
          <w:b/>
          <w:sz w:val="36"/>
          <w:szCs w:val="36"/>
          <w:highlight w:val="none"/>
          <w:u w:val="single"/>
        </w:rPr>
        <w:t xml:space="preserve"> </w:t>
      </w:r>
    </w:p>
    <w:p>
      <w:pPr>
        <w:spacing w:line="360" w:lineRule="auto"/>
        <w:ind w:left="361" w:leftChars="172" w:firstLine="180" w:firstLineChars="50"/>
        <w:rPr>
          <w:rFonts w:ascii="宋体" w:hAnsi="宋体" w:cs="宋体"/>
          <w:b/>
          <w:sz w:val="36"/>
          <w:szCs w:val="36"/>
          <w:highlight w:val="none"/>
        </w:rPr>
      </w:pPr>
    </w:p>
    <w:p>
      <w:pPr>
        <w:spacing w:line="360" w:lineRule="auto"/>
        <w:rPr>
          <w:rFonts w:ascii="宋体" w:hAnsi="宋体" w:cs="宋体"/>
          <w:b/>
          <w:sz w:val="34"/>
          <w:szCs w:val="36"/>
          <w:highlight w:val="none"/>
          <w:u w:val="single"/>
        </w:rPr>
      </w:pPr>
      <w:r>
        <w:rPr>
          <w:rFonts w:hint="eastAsia" w:ascii="宋体" w:hAnsi="宋体" w:cs="宋体"/>
          <w:b/>
          <w:sz w:val="36"/>
          <w:szCs w:val="36"/>
          <w:highlight w:val="none"/>
        </w:rPr>
        <w:t>采 购 人：</w:t>
      </w:r>
      <w:r>
        <w:rPr>
          <w:rFonts w:hint="eastAsia" w:ascii="宋体" w:hAnsi="宋体" w:cs="宋体"/>
          <w:b/>
          <w:sz w:val="34"/>
          <w:szCs w:val="36"/>
          <w:highlight w:val="none"/>
          <w:u w:val="single"/>
        </w:rPr>
        <w:t xml:space="preserve"> </w:t>
      </w:r>
      <w:r>
        <w:rPr>
          <w:rFonts w:ascii="宋体" w:hAnsi="宋体" w:cs="宋体"/>
          <w:b/>
          <w:sz w:val="34"/>
          <w:szCs w:val="36"/>
          <w:highlight w:val="none"/>
          <w:u w:val="single"/>
        </w:rPr>
        <w:t xml:space="preserve">    </w:t>
      </w:r>
      <w:r>
        <w:rPr>
          <w:rFonts w:hint="eastAsia" w:ascii="宋体" w:hAnsi="宋体" w:cs="宋体"/>
          <w:b/>
          <w:sz w:val="34"/>
          <w:szCs w:val="36"/>
          <w:highlight w:val="none"/>
          <w:u w:val="single"/>
        </w:rPr>
        <w:t xml:space="preserve">余姚市大数据发展管理局              </w:t>
      </w:r>
    </w:p>
    <w:p>
      <w:pPr>
        <w:spacing w:line="360" w:lineRule="auto"/>
        <w:ind w:left="361" w:leftChars="172" w:firstLine="180" w:firstLineChars="50"/>
        <w:rPr>
          <w:rFonts w:ascii="宋体" w:hAnsi="宋体" w:cs="宋体"/>
          <w:b/>
          <w:sz w:val="36"/>
          <w:szCs w:val="36"/>
          <w:highlight w:val="none"/>
        </w:rPr>
      </w:pPr>
    </w:p>
    <w:p>
      <w:pPr>
        <w:spacing w:line="360" w:lineRule="auto"/>
        <w:rPr>
          <w:rFonts w:ascii="宋体" w:hAnsi="宋体" w:cs="宋体"/>
          <w:b/>
          <w:sz w:val="36"/>
          <w:szCs w:val="36"/>
          <w:highlight w:val="none"/>
        </w:rPr>
      </w:pPr>
    </w:p>
    <w:p>
      <w:pPr>
        <w:spacing w:line="360" w:lineRule="auto"/>
        <w:rPr>
          <w:rFonts w:ascii="宋体" w:hAnsi="宋体" w:cs="宋体"/>
          <w:b/>
          <w:sz w:val="36"/>
          <w:szCs w:val="36"/>
          <w:highlight w:val="none"/>
        </w:rPr>
      </w:pPr>
      <w:r>
        <w:rPr>
          <w:rFonts w:hint="eastAsia" w:ascii="宋体" w:hAnsi="宋体" w:cs="宋体"/>
          <w:b/>
          <w:sz w:val="36"/>
          <w:szCs w:val="36"/>
          <w:highlight w:val="none"/>
        </w:rPr>
        <w:t>采购代理机构：</w:t>
      </w:r>
      <w:r>
        <w:rPr>
          <w:rFonts w:hint="eastAsia" w:ascii="宋体" w:hAnsi="宋体" w:cs="宋体"/>
          <w:b/>
          <w:sz w:val="34"/>
          <w:szCs w:val="36"/>
          <w:highlight w:val="none"/>
          <w:u w:val="single"/>
        </w:rPr>
        <w:t xml:space="preserve">宁波国咨工程造价咨询有限公司  </w:t>
      </w:r>
    </w:p>
    <w:p>
      <w:pPr>
        <w:spacing w:line="360" w:lineRule="auto"/>
        <w:jc w:val="center"/>
        <w:rPr>
          <w:rFonts w:ascii="宋体" w:hAnsi="宋体" w:cs="宋体"/>
          <w:b/>
          <w:sz w:val="36"/>
          <w:szCs w:val="36"/>
          <w:highlight w:val="none"/>
        </w:rPr>
      </w:pPr>
    </w:p>
    <w:p>
      <w:pPr>
        <w:pStyle w:val="48"/>
        <w:rPr>
          <w:highlight w:val="none"/>
        </w:rPr>
      </w:pP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rPr>
        <w:t>202</w:t>
      </w:r>
      <w:r>
        <w:rPr>
          <w:rFonts w:hint="eastAsia" w:ascii="宋体" w:hAnsi="宋体" w:cs="宋体"/>
          <w:b/>
          <w:sz w:val="36"/>
          <w:szCs w:val="36"/>
          <w:highlight w:val="none"/>
          <w:lang w:val="en-US" w:eastAsia="zh-CN"/>
        </w:rPr>
        <w:t>4</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1</w:t>
      </w:r>
      <w:r>
        <w:rPr>
          <w:rFonts w:hint="eastAsia" w:ascii="宋体" w:hAnsi="宋体" w:cs="宋体"/>
          <w:b/>
          <w:sz w:val="36"/>
          <w:szCs w:val="36"/>
          <w:highlight w:val="none"/>
        </w:rPr>
        <w:t>月</w:t>
      </w:r>
    </w:p>
    <w:p>
      <w:pPr>
        <w:spacing w:line="360" w:lineRule="auto"/>
        <w:jc w:val="center"/>
        <w:rPr>
          <w:rFonts w:ascii="宋体" w:hAnsi="宋体" w:cs="宋体"/>
          <w:b/>
          <w:sz w:val="36"/>
          <w:highlight w:val="none"/>
        </w:rPr>
      </w:pPr>
    </w:p>
    <w:p>
      <w:pPr>
        <w:spacing w:line="360" w:lineRule="auto"/>
        <w:jc w:val="center"/>
        <w:rPr>
          <w:rFonts w:ascii="宋体" w:hAnsi="宋体" w:cs="宋体"/>
          <w:b/>
          <w:sz w:val="36"/>
          <w:highlight w:val="none"/>
        </w:rPr>
      </w:pPr>
    </w:p>
    <w:p>
      <w:pPr>
        <w:spacing w:line="360" w:lineRule="auto"/>
        <w:jc w:val="center"/>
        <w:rPr>
          <w:rFonts w:ascii="宋体" w:hAnsi="宋体" w:cs="宋体"/>
          <w:b/>
          <w:sz w:val="36"/>
          <w:highlight w:val="none"/>
        </w:rPr>
      </w:pPr>
      <w:r>
        <w:rPr>
          <w:rFonts w:hint="eastAsia" w:ascii="宋体" w:hAnsi="宋体" w:cs="宋体"/>
          <w:b/>
          <w:sz w:val="36"/>
          <w:highlight w:val="none"/>
        </w:rPr>
        <w:t>目    录</w:t>
      </w:r>
    </w:p>
    <w:p>
      <w:pPr>
        <w:spacing w:line="360" w:lineRule="auto"/>
        <w:jc w:val="center"/>
        <w:rPr>
          <w:rFonts w:ascii="宋体" w:hAnsi="宋体" w:cs="宋体"/>
          <w:b/>
          <w:sz w:val="36"/>
          <w:highlight w:val="none"/>
        </w:rPr>
      </w:pPr>
    </w:p>
    <w:p>
      <w:pPr>
        <w:pStyle w:val="29"/>
        <w:tabs>
          <w:tab w:val="right" w:leader="dot" w:pos="8495"/>
        </w:tabs>
        <w:rPr>
          <w:rFonts w:ascii="宋体" w:hAnsi="宋体" w:cs="宋体"/>
          <w:sz w:val="21"/>
          <w:szCs w:val="22"/>
          <w:highlight w:val="none"/>
        </w:rPr>
      </w:pPr>
      <w:r>
        <w:rPr>
          <w:rFonts w:hint="eastAsia" w:ascii="宋体" w:hAnsi="宋体" w:cs="宋体"/>
          <w:b/>
          <w:highlight w:val="none"/>
        </w:rPr>
        <w:fldChar w:fldCharType="begin"/>
      </w:r>
      <w:r>
        <w:rPr>
          <w:rFonts w:hint="eastAsia" w:ascii="宋体" w:hAnsi="宋体" w:cs="宋体"/>
          <w:b/>
          <w:highlight w:val="none"/>
        </w:rPr>
        <w:instrText xml:space="preserve"> TOC \o "1-3" \h \z \u </w:instrText>
      </w:r>
      <w:r>
        <w:rPr>
          <w:rFonts w:hint="eastAsia" w:ascii="宋体" w:hAnsi="宋体" w:cs="宋体"/>
          <w:b/>
          <w:highlight w:val="none"/>
        </w:rPr>
        <w:fldChar w:fldCharType="separate"/>
      </w:r>
      <w:r>
        <w:rPr>
          <w:highlight w:val="none"/>
        </w:rPr>
        <w:fldChar w:fldCharType="begin"/>
      </w:r>
      <w:r>
        <w:rPr>
          <w:highlight w:val="none"/>
        </w:rPr>
        <w:instrText xml:space="preserve"> HYPERLINK \l "_Toc520902391" </w:instrText>
      </w:r>
      <w:r>
        <w:rPr>
          <w:highlight w:val="none"/>
        </w:rPr>
        <w:fldChar w:fldCharType="separate"/>
      </w:r>
      <w:r>
        <w:rPr>
          <w:rStyle w:val="44"/>
          <w:rFonts w:hint="eastAsia" w:ascii="宋体" w:hAnsi="宋体" w:cs="宋体"/>
          <w:color w:val="auto"/>
          <w:highlight w:val="none"/>
        </w:rPr>
        <w:t>第一部分 采购公告</w:t>
      </w:r>
      <w:r>
        <w:rPr>
          <w:rFonts w:hint="eastAsia" w:ascii="宋体" w:hAnsi="宋体" w:cs="宋体"/>
          <w:highlight w:val="none"/>
        </w:rPr>
        <w:tab/>
      </w:r>
      <w:r>
        <w:rPr>
          <w:rFonts w:hint="eastAsia" w:ascii="宋体" w:hAnsi="宋体" w:cs="宋体"/>
          <w:highlight w:val="none"/>
        </w:rPr>
        <w:t>3</w:t>
      </w:r>
      <w:r>
        <w:rPr>
          <w:rFonts w:hint="eastAsia" w:ascii="宋体" w:hAnsi="宋体" w:cs="宋体"/>
          <w:highlight w:val="none"/>
        </w:rPr>
        <w:fldChar w:fldCharType="end"/>
      </w:r>
    </w:p>
    <w:p>
      <w:pPr>
        <w:pStyle w:val="29"/>
        <w:tabs>
          <w:tab w:val="right" w:leader="dot" w:pos="8495"/>
        </w:tabs>
        <w:rPr>
          <w:rFonts w:ascii="宋体" w:hAnsi="宋体" w:cs="宋体"/>
          <w:highlight w:val="none"/>
        </w:rPr>
      </w:pPr>
      <w:r>
        <w:rPr>
          <w:highlight w:val="none"/>
        </w:rPr>
        <w:fldChar w:fldCharType="begin"/>
      </w:r>
      <w:r>
        <w:rPr>
          <w:highlight w:val="none"/>
        </w:rPr>
        <w:instrText xml:space="preserve"> HYPERLINK \l "_Toc520902406" </w:instrText>
      </w:r>
      <w:r>
        <w:rPr>
          <w:highlight w:val="none"/>
        </w:rPr>
        <w:fldChar w:fldCharType="separate"/>
      </w:r>
      <w:r>
        <w:rPr>
          <w:rStyle w:val="44"/>
          <w:rFonts w:hint="eastAsia" w:ascii="宋体" w:hAnsi="宋体" w:cs="宋体"/>
          <w:color w:val="auto"/>
          <w:highlight w:val="none"/>
        </w:rPr>
        <w:t>第二部分 招标项目需求</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rPr>
        <w:t>9</w:t>
      </w:r>
    </w:p>
    <w:p>
      <w:pPr>
        <w:pStyle w:val="29"/>
        <w:tabs>
          <w:tab w:val="right" w:leader="dot" w:pos="8495"/>
        </w:tabs>
        <w:rPr>
          <w:rFonts w:ascii="宋体" w:hAnsi="宋体" w:cs="宋体"/>
          <w:sz w:val="21"/>
          <w:szCs w:val="22"/>
          <w:highlight w:val="none"/>
        </w:rPr>
      </w:pPr>
      <w:r>
        <w:rPr>
          <w:highlight w:val="none"/>
        </w:rPr>
        <w:fldChar w:fldCharType="begin"/>
      </w:r>
      <w:r>
        <w:rPr>
          <w:highlight w:val="none"/>
        </w:rPr>
        <w:instrText xml:space="preserve"> HYPERLINK \l "_Toc520902392" </w:instrText>
      </w:r>
      <w:r>
        <w:rPr>
          <w:highlight w:val="none"/>
        </w:rPr>
        <w:fldChar w:fldCharType="separate"/>
      </w:r>
      <w:r>
        <w:rPr>
          <w:rStyle w:val="44"/>
          <w:rFonts w:hint="eastAsia" w:ascii="宋体" w:hAnsi="宋体" w:cs="宋体"/>
          <w:color w:val="auto"/>
          <w:highlight w:val="none"/>
        </w:rPr>
        <w:t>第三部分 投标资料表</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rPr>
        <w:t>119</w:t>
      </w:r>
    </w:p>
    <w:p>
      <w:pPr>
        <w:pStyle w:val="29"/>
        <w:tabs>
          <w:tab w:val="right" w:leader="dot" w:pos="8495"/>
        </w:tabs>
        <w:rPr>
          <w:rFonts w:ascii="宋体" w:hAnsi="宋体" w:cs="宋体"/>
          <w:sz w:val="21"/>
          <w:szCs w:val="22"/>
          <w:highlight w:val="none"/>
        </w:rPr>
      </w:pPr>
      <w:r>
        <w:rPr>
          <w:highlight w:val="none"/>
        </w:rPr>
        <w:fldChar w:fldCharType="begin"/>
      </w:r>
      <w:r>
        <w:rPr>
          <w:highlight w:val="none"/>
        </w:rPr>
        <w:instrText xml:space="preserve"> HYPERLINK \l "_Toc520902393" </w:instrText>
      </w:r>
      <w:r>
        <w:rPr>
          <w:highlight w:val="none"/>
        </w:rPr>
        <w:fldChar w:fldCharType="separate"/>
      </w:r>
      <w:r>
        <w:rPr>
          <w:rStyle w:val="44"/>
          <w:rFonts w:hint="eastAsia" w:ascii="宋体" w:hAnsi="宋体" w:cs="宋体"/>
          <w:color w:val="auto"/>
          <w:highlight w:val="none"/>
        </w:rPr>
        <w:t>第四部分 投标人须知</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rPr>
        <w:t>122</w:t>
      </w:r>
    </w:p>
    <w:p>
      <w:pPr>
        <w:pStyle w:val="29"/>
        <w:tabs>
          <w:tab w:val="right" w:leader="dot" w:pos="8495"/>
        </w:tabs>
        <w:rPr>
          <w:rFonts w:ascii="宋体" w:hAnsi="宋体" w:cs="宋体"/>
          <w:highlight w:val="none"/>
        </w:rPr>
      </w:pPr>
      <w:r>
        <w:rPr>
          <w:highlight w:val="none"/>
        </w:rPr>
        <w:fldChar w:fldCharType="begin"/>
      </w:r>
      <w:r>
        <w:rPr>
          <w:highlight w:val="none"/>
        </w:rPr>
        <w:instrText xml:space="preserve"> HYPERLINK \l "_Toc520902405" </w:instrText>
      </w:r>
      <w:r>
        <w:rPr>
          <w:highlight w:val="none"/>
        </w:rPr>
        <w:fldChar w:fldCharType="separate"/>
      </w:r>
      <w:r>
        <w:rPr>
          <w:rStyle w:val="44"/>
          <w:rFonts w:hint="eastAsia" w:ascii="宋体" w:hAnsi="宋体" w:cs="宋体"/>
          <w:color w:val="auto"/>
          <w:highlight w:val="none"/>
        </w:rPr>
        <w:t>第五部分 评标办法</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rPr>
        <w:t>138</w:t>
      </w:r>
    </w:p>
    <w:p>
      <w:pPr>
        <w:pStyle w:val="29"/>
        <w:tabs>
          <w:tab w:val="right" w:leader="dot" w:pos="8495"/>
        </w:tabs>
        <w:rPr>
          <w:rFonts w:ascii="宋体" w:hAnsi="宋体" w:cs="宋体"/>
          <w:sz w:val="21"/>
          <w:szCs w:val="22"/>
          <w:highlight w:val="none"/>
        </w:rPr>
      </w:pPr>
      <w:r>
        <w:rPr>
          <w:highlight w:val="none"/>
        </w:rPr>
        <w:fldChar w:fldCharType="begin"/>
      </w:r>
      <w:r>
        <w:rPr>
          <w:highlight w:val="none"/>
        </w:rPr>
        <w:instrText xml:space="preserve"> HYPERLINK \l "_Toc520902404" </w:instrText>
      </w:r>
      <w:r>
        <w:rPr>
          <w:highlight w:val="none"/>
        </w:rPr>
        <w:fldChar w:fldCharType="separate"/>
      </w:r>
      <w:r>
        <w:rPr>
          <w:rStyle w:val="44"/>
          <w:rFonts w:hint="eastAsia" w:ascii="宋体" w:hAnsi="宋体" w:cs="宋体"/>
          <w:color w:val="auto"/>
          <w:highlight w:val="none"/>
        </w:rPr>
        <w:t>第六部分 合同格式</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rPr>
        <w:t>1</w:t>
      </w:r>
      <w:r>
        <w:rPr>
          <w:rFonts w:ascii="宋体" w:hAnsi="宋体" w:cs="宋体"/>
          <w:highlight w:val="none"/>
        </w:rPr>
        <w:t>4</w:t>
      </w:r>
      <w:r>
        <w:rPr>
          <w:rFonts w:hint="eastAsia" w:ascii="宋体" w:hAnsi="宋体" w:cs="宋体"/>
          <w:highlight w:val="none"/>
        </w:rPr>
        <w:t>6</w:t>
      </w:r>
    </w:p>
    <w:p>
      <w:pPr>
        <w:pStyle w:val="29"/>
        <w:tabs>
          <w:tab w:val="right" w:leader="dot" w:pos="8495"/>
        </w:tabs>
        <w:rPr>
          <w:rFonts w:ascii="宋体" w:hAnsi="宋体" w:cs="宋体"/>
          <w:sz w:val="21"/>
          <w:szCs w:val="22"/>
          <w:highlight w:val="none"/>
        </w:rPr>
      </w:pPr>
      <w:r>
        <w:rPr>
          <w:highlight w:val="none"/>
        </w:rPr>
        <w:fldChar w:fldCharType="begin"/>
      </w:r>
      <w:r>
        <w:rPr>
          <w:highlight w:val="none"/>
        </w:rPr>
        <w:instrText xml:space="preserve"> HYPERLINK \l "_Toc520902407" </w:instrText>
      </w:r>
      <w:r>
        <w:rPr>
          <w:highlight w:val="none"/>
        </w:rPr>
        <w:fldChar w:fldCharType="separate"/>
      </w:r>
      <w:r>
        <w:rPr>
          <w:rStyle w:val="44"/>
          <w:rFonts w:hint="eastAsia" w:ascii="宋体" w:hAnsi="宋体" w:cs="宋体"/>
          <w:color w:val="auto"/>
          <w:highlight w:val="none"/>
        </w:rPr>
        <w:t>第七部分 附件（投标文件格式）</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rPr>
        <w:t>1</w:t>
      </w:r>
      <w:r>
        <w:rPr>
          <w:rFonts w:ascii="宋体" w:hAnsi="宋体" w:cs="宋体"/>
          <w:highlight w:val="none"/>
        </w:rPr>
        <w:t>5</w:t>
      </w:r>
      <w:r>
        <w:rPr>
          <w:rFonts w:hint="eastAsia" w:ascii="宋体" w:hAnsi="宋体" w:cs="宋体"/>
          <w:highlight w:val="none"/>
        </w:rPr>
        <w:t>4</w:t>
      </w:r>
    </w:p>
    <w:p>
      <w:pPr>
        <w:spacing w:line="360" w:lineRule="auto"/>
        <w:rPr>
          <w:rFonts w:ascii="宋体" w:hAnsi="宋体" w:cs="宋体"/>
          <w:b/>
          <w:sz w:val="36"/>
          <w:highlight w:val="none"/>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hint="eastAsia" w:ascii="宋体" w:hAnsi="宋体" w:cs="宋体"/>
          <w:b/>
          <w:highlight w:val="none"/>
        </w:rPr>
        <w:fldChar w:fldCharType="end"/>
      </w:r>
    </w:p>
    <w:p>
      <w:pPr>
        <w:pStyle w:val="3"/>
        <w:spacing w:beforeLines="0" w:afterLines="0" w:line="360" w:lineRule="auto"/>
        <w:rPr>
          <w:rFonts w:ascii="宋体" w:hAnsi="宋体" w:cs="宋体"/>
          <w:sz w:val="32"/>
          <w:szCs w:val="32"/>
          <w:highlight w:val="none"/>
        </w:rPr>
      </w:pPr>
      <w:bookmarkStart w:id="0" w:name="_Toc298230957"/>
      <w:bookmarkStart w:id="1" w:name="_Toc520902391"/>
      <w:r>
        <w:rPr>
          <w:rFonts w:hint="eastAsia" w:ascii="宋体" w:hAnsi="宋体" w:cs="宋体"/>
          <w:sz w:val="32"/>
          <w:szCs w:val="32"/>
          <w:highlight w:val="none"/>
        </w:rPr>
        <w:t>第一部分</w:t>
      </w:r>
      <w:bookmarkEnd w:id="0"/>
      <w:r>
        <w:rPr>
          <w:rFonts w:hint="eastAsia" w:ascii="宋体" w:hAnsi="宋体" w:cs="宋体"/>
          <w:sz w:val="32"/>
          <w:szCs w:val="32"/>
          <w:highlight w:val="none"/>
        </w:rPr>
        <w:t xml:space="preserve">  采购公告</w:t>
      </w:r>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highlight w:val="none"/>
        </w:rPr>
      </w:pPr>
      <w:r>
        <w:rPr>
          <w:rFonts w:hint="eastAsia" w:ascii="宋体" w:hAnsi="宋体" w:cs="宋体"/>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highlight w:val="none"/>
        </w:rPr>
      </w:pPr>
      <w:r>
        <w:rPr>
          <w:rFonts w:hint="eastAsia" w:ascii="宋体" w:hAnsi="宋体" w:cs="宋体"/>
          <w:highlight w:val="none"/>
          <w:u w:val="single"/>
        </w:rPr>
        <w:t>余姚市电子政务外网网络安全服务集成项目</w:t>
      </w:r>
      <w:r>
        <w:rPr>
          <w:rFonts w:hint="eastAsia" w:ascii="宋体" w:hAnsi="宋体" w:cs="宋体"/>
          <w:highlight w:val="none"/>
        </w:rPr>
        <w:t>招标项目的潜在投标人应在</w:t>
      </w:r>
      <w:r>
        <w:rPr>
          <w:rFonts w:hint="eastAsia" w:ascii="宋体" w:hAnsi="宋体" w:cs="宋体"/>
          <w:highlight w:val="none"/>
          <w:u w:val="single"/>
        </w:rPr>
        <w:t>政府采购云平台（</w:t>
      </w:r>
      <w:r>
        <w:rPr>
          <w:highlight w:val="none"/>
        </w:rPr>
        <w:fldChar w:fldCharType="begin"/>
      </w:r>
      <w:r>
        <w:rPr>
          <w:highlight w:val="none"/>
        </w:rPr>
        <w:instrText xml:space="preserve"> HYPERLINK "http://www.zcygov.cn）获取（下载）招标文件，并于2022年" </w:instrText>
      </w:r>
      <w:r>
        <w:rPr>
          <w:highlight w:val="none"/>
        </w:rPr>
        <w:fldChar w:fldCharType="separate"/>
      </w:r>
      <w:r>
        <w:rPr>
          <w:rStyle w:val="44"/>
          <w:rFonts w:hint="eastAsia" w:ascii="宋体" w:hAnsi="宋体" w:cs="宋体"/>
          <w:color w:val="auto"/>
          <w:highlight w:val="none"/>
        </w:rPr>
        <w:t>www.zcygov.cn）获取（下载）招标文件，并于202</w:t>
      </w:r>
      <w:r>
        <w:rPr>
          <w:rStyle w:val="44"/>
          <w:rFonts w:hint="eastAsia" w:ascii="宋体" w:hAnsi="宋体" w:cs="宋体"/>
          <w:color w:val="auto"/>
          <w:highlight w:val="none"/>
          <w:lang w:val="en-US" w:eastAsia="zh-CN"/>
        </w:rPr>
        <w:t>4</w:t>
      </w:r>
      <w:r>
        <w:rPr>
          <w:rStyle w:val="44"/>
          <w:rFonts w:hint="eastAsia" w:ascii="宋体" w:hAnsi="宋体" w:cs="宋体"/>
          <w:bCs/>
          <w:color w:val="auto"/>
          <w:highlight w:val="none"/>
        </w:rPr>
        <w:t>年</w:t>
      </w:r>
      <w:r>
        <w:rPr>
          <w:rStyle w:val="44"/>
          <w:rFonts w:hint="eastAsia" w:ascii="宋体" w:hAnsi="宋体" w:cs="宋体"/>
          <w:bCs/>
          <w:color w:val="auto"/>
          <w:highlight w:val="none"/>
        </w:rPr>
        <w:fldChar w:fldCharType="end"/>
      </w:r>
      <w:r>
        <w:rPr>
          <w:rStyle w:val="44"/>
          <w:rFonts w:hint="eastAsia" w:ascii="宋体" w:hAnsi="宋体" w:cs="宋体"/>
          <w:bCs/>
          <w:color w:val="auto"/>
          <w:highlight w:val="none"/>
          <w:lang w:val="en-US" w:eastAsia="zh-CN"/>
        </w:rPr>
        <w:t>2</w:t>
      </w:r>
      <w:r>
        <w:rPr>
          <w:rFonts w:hint="eastAsia" w:ascii="宋体" w:hAnsi="宋体" w:cs="宋体"/>
          <w:bCs/>
          <w:highlight w:val="none"/>
          <w:u w:val="single"/>
        </w:rPr>
        <w:t>月</w:t>
      </w:r>
      <w:r>
        <w:rPr>
          <w:rFonts w:hint="eastAsia" w:ascii="宋体" w:hAnsi="宋体" w:cs="宋体"/>
          <w:bCs/>
          <w:highlight w:val="none"/>
          <w:u w:val="single"/>
          <w:lang w:val="en-US" w:eastAsia="zh-CN"/>
        </w:rPr>
        <w:t>21</w:t>
      </w:r>
      <w:r>
        <w:rPr>
          <w:rFonts w:hint="eastAsia" w:ascii="宋体" w:hAnsi="宋体" w:cs="宋体"/>
          <w:bCs/>
          <w:highlight w:val="none"/>
          <w:u w:val="single"/>
        </w:rPr>
        <w:t>日</w:t>
      </w:r>
      <w:r>
        <w:rPr>
          <w:rFonts w:hint="eastAsia" w:ascii="宋体" w:hAnsi="宋体" w:cs="宋体"/>
          <w:bCs/>
          <w:highlight w:val="none"/>
          <w:u w:val="single"/>
          <w:lang w:val="en-US" w:eastAsia="zh-CN"/>
        </w:rPr>
        <w:t>14</w:t>
      </w:r>
      <w:r>
        <w:rPr>
          <w:rFonts w:hint="eastAsia" w:ascii="宋体" w:hAnsi="宋体" w:cs="宋体"/>
          <w:bCs/>
          <w:highlight w:val="none"/>
          <w:u w:val="single"/>
        </w:rPr>
        <w:t>点00分（</w:t>
      </w:r>
      <w:r>
        <w:rPr>
          <w:rFonts w:hint="eastAsia" w:ascii="宋体" w:hAnsi="宋体" w:cs="宋体"/>
          <w:bCs/>
          <w:highlight w:val="none"/>
        </w:rPr>
        <w:t>北京时间）前递交（上传）投标文件</w:t>
      </w:r>
      <w:r>
        <w:rPr>
          <w:rFonts w:hint="eastAsia" w:ascii="宋体" w:hAnsi="宋体" w:cs="宋体"/>
          <w:highlight w:val="none"/>
        </w:rPr>
        <w:t>。</w:t>
      </w:r>
    </w:p>
    <w:p>
      <w:pPr>
        <w:ind w:firstLine="200"/>
        <w:rPr>
          <w:rFonts w:ascii="宋体" w:hAnsi="宋体" w:cs="宋体"/>
          <w:highlight w:val="none"/>
        </w:rPr>
      </w:pPr>
    </w:p>
    <w:p>
      <w:pPr>
        <w:pStyle w:val="4"/>
        <w:spacing w:line="360" w:lineRule="auto"/>
        <w:jc w:val="both"/>
        <w:rPr>
          <w:rFonts w:ascii="宋体" w:hAnsi="宋体" w:cs="宋体"/>
          <w:sz w:val="21"/>
          <w:szCs w:val="21"/>
          <w:highlight w:val="none"/>
        </w:rPr>
      </w:pPr>
      <w:bookmarkStart w:id="2" w:name="_Toc28359002"/>
      <w:bookmarkStart w:id="3" w:name="_Toc35393790"/>
      <w:bookmarkStart w:id="4" w:name="_Toc28359079"/>
      <w:bookmarkStart w:id="5" w:name="_Toc35393621"/>
      <w:bookmarkStart w:id="6" w:name="_Hlk24379207"/>
      <w:r>
        <w:rPr>
          <w:rFonts w:hint="eastAsia" w:ascii="宋体" w:hAnsi="宋体" w:cs="宋体"/>
          <w:sz w:val="21"/>
          <w:szCs w:val="21"/>
          <w:highlight w:val="none"/>
        </w:rPr>
        <w:t>一、项目基本情况</w:t>
      </w:r>
      <w:bookmarkEnd w:id="2"/>
      <w:bookmarkEnd w:id="3"/>
      <w:bookmarkEnd w:id="4"/>
      <w:bookmarkEnd w:id="5"/>
    </w:p>
    <w:bookmarkEnd w:id="6"/>
    <w:p>
      <w:pPr>
        <w:spacing w:line="360" w:lineRule="auto"/>
        <w:ind w:firstLine="420" w:firstLineChars="200"/>
        <w:rPr>
          <w:rFonts w:ascii="宋体" w:hAnsi="宋体" w:cs="宋体"/>
          <w:highlight w:val="none"/>
        </w:rPr>
      </w:pPr>
      <w:r>
        <w:rPr>
          <w:rFonts w:hint="eastAsia" w:ascii="宋体" w:hAnsi="宋体" w:cs="宋体"/>
          <w:highlight w:val="none"/>
        </w:rPr>
        <w:t>项目编号：NBGZZB123150</w:t>
      </w:r>
    </w:p>
    <w:p>
      <w:pPr>
        <w:spacing w:line="360" w:lineRule="auto"/>
        <w:ind w:firstLine="420" w:firstLineChars="200"/>
        <w:rPr>
          <w:rFonts w:ascii="宋体" w:hAnsi="宋体" w:cs="宋体"/>
          <w:highlight w:val="none"/>
        </w:rPr>
      </w:pPr>
      <w:r>
        <w:rPr>
          <w:rFonts w:hint="eastAsia" w:ascii="宋体" w:hAnsi="宋体" w:cs="宋体"/>
          <w:highlight w:val="none"/>
        </w:rPr>
        <w:t>项目名称：余姚市电子政务外网网络安全服务集成项目</w:t>
      </w:r>
    </w:p>
    <w:p>
      <w:pPr>
        <w:spacing w:line="360" w:lineRule="auto"/>
        <w:ind w:firstLine="420" w:firstLineChars="200"/>
        <w:rPr>
          <w:rFonts w:ascii="宋体" w:hAnsi="宋体" w:cs="宋体"/>
          <w:highlight w:val="none"/>
        </w:rPr>
      </w:pPr>
      <w:r>
        <w:rPr>
          <w:rFonts w:hint="eastAsia" w:ascii="宋体" w:hAnsi="宋体" w:cs="宋体"/>
          <w:highlight w:val="none"/>
        </w:rPr>
        <w:t>预算金额（元）：4193800</w:t>
      </w:r>
    </w:p>
    <w:p>
      <w:pPr>
        <w:spacing w:line="360" w:lineRule="auto"/>
        <w:ind w:firstLine="420" w:firstLineChars="200"/>
        <w:rPr>
          <w:rFonts w:ascii="宋体" w:hAnsi="宋体" w:cs="宋体"/>
          <w:highlight w:val="none"/>
        </w:rPr>
      </w:pPr>
      <w:r>
        <w:rPr>
          <w:rFonts w:hint="eastAsia" w:ascii="宋体" w:hAnsi="宋体" w:cs="宋体"/>
          <w:highlight w:val="none"/>
        </w:rPr>
        <w:t>最高限价（元）：4193800</w:t>
      </w:r>
    </w:p>
    <w:p>
      <w:pPr>
        <w:spacing w:line="360" w:lineRule="auto"/>
        <w:ind w:firstLine="420" w:firstLineChars="200"/>
        <w:rPr>
          <w:rFonts w:ascii="宋体" w:hAnsi="宋体" w:cs="宋体"/>
          <w:highlight w:val="none"/>
        </w:rPr>
      </w:pPr>
      <w:r>
        <w:rPr>
          <w:rFonts w:hint="eastAsia" w:ascii="宋体" w:hAnsi="宋体" w:cs="宋体"/>
          <w:highlight w:val="none"/>
        </w:rPr>
        <w:t>采购需求：</w:t>
      </w:r>
    </w:p>
    <w:p>
      <w:pPr>
        <w:spacing w:line="360" w:lineRule="auto"/>
        <w:ind w:firstLine="630" w:firstLineChars="300"/>
        <w:rPr>
          <w:rFonts w:ascii="宋体" w:hAnsi="宋体" w:cs="宋体"/>
          <w:highlight w:val="none"/>
        </w:rPr>
      </w:pPr>
      <w:r>
        <w:rPr>
          <w:rFonts w:hint="eastAsia" w:ascii="宋体" w:hAnsi="宋体" w:cs="宋体"/>
          <w:highlight w:val="none"/>
        </w:rPr>
        <w:t>标项名称：余姚市电子政务外网网络安全服务集成项目</w:t>
      </w:r>
    </w:p>
    <w:p>
      <w:pPr>
        <w:spacing w:line="360" w:lineRule="auto"/>
        <w:ind w:firstLine="420" w:firstLineChars="200"/>
        <w:rPr>
          <w:rFonts w:ascii="宋体" w:hAnsi="宋体" w:cs="宋体"/>
          <w:highlight w:val="none"/>
        </w:rPr>
      </w:pPr>
      <w:r>
        <w:rPr>
          <w:rFonts w:hint="eastAsia" w:ascii="宋体" w:hAnsi="宋体" w:cs="宋体"/>
          <w:highlight w:val="none"/>
        </w:rPr>
        <w:t xml:space="preserve">  数量：1</w:t>
      </w:r>
    </w:p>
    <w:p>
      <w:pPr>
        <w:spacing w:line="400" w:lineRule="exact"/>
        <w:ind w:firstLine="630" w:firstLineChars="300"/>
        <w:rPr>
          <w:rFonts w:ascii="宋体" w:hAnsi="宋体" w:cs="宋体"/>
          <w:highlight w:val="none"/>
        </w:rPr>
      </w:pPr>
      <w:r>
        <w:rPr>
          <w:rFonts w:hint="eastAsia" w:ascii="宋体" w:hAnsi="宋体" w:cs="宋体"/>
          <w:highlight w:val="none"/>
        </w:rPr>
        <w:t>简要规格描述或项目基本概况介绍、用途：余姚市电子政务外网网络安全服务集成，具体采购内容见第二部分招标项目需求。</w:t>
      </w:r>
    </w:p>
    <w:p>
      <w:pPr>
        <w:spacing w:line="400" w:lineRule="exact"/>
        <w:ind w:firstLine="630" w:firstLineChars="300"/>
        <w:rPr>
          <w:rFonts w:ascii="宋体" w:hAnsi="宋体" w:cs="宋体"/>
          <w:highlight w:val="none"/>
        </w:rPr>
      </w:pPr>
      <w:r>
        <w:rPr>
          <w:rFonts w:hint="eastAsia" w:ascii="宋体" w:hAnsi="宋体" w:cs="宋体"/>
          <w:szCs w:val="21"/>
          <w:highlight w:val="none"/>
        </w:rPr>
        <w:t>备注：/</w:t>
      </w:r>
    </w:p>
    <w:p>
      <w:pPr>
        <w:spacing w:line="400" w:lineRule="exact"/>
        <w:ind w:firstLine="630" w:firstLineChars="300"/>
        <w:rPr>
          <w:rFonts w:ascii="宋体" w:hAnsi="宋体" w:cs="宋体"/>
          <w:szCs w:val="22"/>
          <w:highlight w:val="none"/>
        </w:rPr>
      </w:pPr>
      <w:r>
        <w:rPr>
          <w:rFonts w:hint="eastAsia" w:ascii="宋体" w:hAnsi="宋体" w:cs="宋体"/>
          <w:szCs w:val="22"/>
          <w:highlight w:val="none"/>
        </w:rPr>
        <w:t>合同履约期限：</w:t>
      </w:r>
      <w:r>
        <w:rPr>
          <w:rFonts w:hint="eastAsia" w:ascii="宋体" w:hAnsi="宋体"/>
          <w:szCs w:val="21"/>
          <w:highlight w:val="none"/>
        </w:rPr>
        <w:t>自合同签订之日起至合同履约完成之日止。</w:t>
      </w:r>
    </w:p>
    <w:p>
      <w:pPr>
        <w:spacing w:line="360" w:lineRule="auto"/>
        <w:ind w:firstLine="630" w:firstLineChars="300"/>
        <w:rPr>
          <w:rFonts w:ascii="宋体" w:hAnsi="宋体" w:cs="宋体"/>
          <w:szCs w:val="22"/>
          <w:highlight w:val="none"/>
        </w:rPr>
      </w:pPr>
      <w:r>
        <w:rPr>
          <w:rFonts w:hint="eastAsia" w:ascii="宋体" w:hAnsi="宋体" w:cs="宋体"/>
          <w:szCs w:val="22"/>
          <w:highlight w:val="none"/>
        </w:rPr>
        <w:t>本项目接受联合体投标。</w:t>
      </w:r>
    </w:p>
    <w:p>
      <w:pPr>
        <w:pStyle w:val="4"/>
        <w:spacing w:line="360" w:lineRule="auto"/>
        <w:jc w:val="both"/>
        <w:rPr>
          <w:rFonts w:ascii="宋体" w:hAnsi="宋体" w:cs="宋体"/>
          <w:sz w:val="21"/>
          <w:szCs w:val="21"/>
          <w:highlight w:val="none"/>
        </w:rPr>
      </w:pPr>
      <w:bookmarkStart w:id="7" w:name="_Toc35393622"/>
      <w:bookmarkStart w:id="8" w:name="_Toc35393791"/>
      <w:bookmarkStart w:id="9" w:name="_Toc28359080"/>
      <w:bookmarkStart w:id="10" w:name="_Toc28359003"/>
      <w:r>
        <w:rPr>
          <w:rFonts w:hint="eastAsia" w:ascii="宋体" w:hAnsi="宋体" w:cs="宋体"/>
          <w:sz w:val="21"/>
          <w:szCs w:val="21"/>
          <w:highlight w:val="none"/>
        </w:rPr>
        <w:t>二、申请人的资格要求：</w:t>
      </w:r>
      <w:bookmarkEnd w:id="7"/>
      <w:bookmarkEnd w:id="8"/>
      <w:bookmarkEnd w:id="9"/>
      <w:bookmarkEnd w:id="10"/>
    </w:p>
    <w:p>
      <w:pPr>
        <w:spacing w:line="360" w:lineRule="auto"/>
        <w:ind w:firstLine="420" w:firstLineChars="200"/>
        <w:rPr>
          <w:rFonts w:ascii="宋体" w:hAnsi="宋体" w:cs="宋体"/>
          <w:szCs w:val="21"/>
          <w:highlight w:val="none"/>
        </w:rPr>
      </w:pPr>
      <w:bookmarkStart w:id="11" w:name="_Toc28359081"/>
      <w:bookmarkStart w:id="12" w:name="_Toc28359004"/>
      <w:r>
        <w:rPr>
          <w:rFonts w:hint="eastAsia" w:ascii="宋体" w:hAnsi="宋体" w:cs="宋体"/>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highlight w:val="none"/>
        </w:rPr>
      </w:pPr>
      <w:r>
        <w:rPr>
          <w:rFonts w:hint="eastAsia" w:ascii="宋体" w:hAnsi="宋体" w:cs="宋体"/>
          <w:highlight w:val="none"/>
        </w:rPr>
        <w:t>2.落实政府采购政策需满足的资格要求：</w:t>
      </w:r>
      <w:r>
        <w:rPr>
          <w:rFonts w:hint="eastAsia"/>
          <w:szCs w:val="21"/>
          <w:highlight w:val="none"/>
        </w:rPr>
        <w:t>无。</w:t>
      </w:r>
      <w:r>
        <w:rPr>
          <w:rFonts w:hint="eastAsia" w:ascii="宋体" w:hAnsi="宋体" w:cs="宋体"/>
          <w:highlight w:val="none"/>
        </w:rPr>
        <w:t xml:space="preserve"> </w:t>
      </w:r>
    </w:p>
    <w:p>
      <w:pPr>
        <w:spacing w:line="360" w:lineRule="auto"/>
        <w:ind w:firstLine="420" w:firstLineChars="200"/>
        <w:rPr>
          <w:rFonts w:ascii="宋体" w:hAnsi="宋体" w:cs="宋体"/>
          <w:highlight w:val="none"/>
        </w:rPr>
      </w:pPr>
      <w:r>
        <w:rPr>
          <w:rFonts w:hint="eastAsia" w:ascii="宋体" w:hAnsi="宋体" w:cs="宋体"/>
          <w:highlight w:val="none"/>
        </w:rPr>
        <w:t>3.本项目的特定资格要求：无。</w:t>
      </w:r>
    </w:p>
    <w:p>
      <w:pPr>
        <w:pStyle w:val="4"/>
        <w:spacing w:line="360" w:lineRule="auto"/>
        <w:jc w:val="both"/>
        <w:rPr>
          <w:rFonts w:ascii="宋体" w:hAnsi="宋体" w:cs="宋体"/>
          <w:sz w:val="21"/>
          <w:szCs w:val="21"/>
          <w:highlight w:val="none"/>
        </w:rPr>
      </w:pPr>
      <w:bookmarkStart w:id="13" w:name="_Toc35393792"/>
      <w:bookmarkStart w:id="14" w:name="_Toc35393623"/>
      <w:r>
        <w:rPr>
          <w:rFonts w:hint="eastAsia" w:ascii="宋体" w:hAnsi="宋体" w:cs="宋体"/>
          <w:sz w:val="21"/>
          <w:szCs w:val="21"/>
          <w:highlight w:val="none"/>
        </w:rPr>
        <w:t>三、获取招标文件</w:t>
      </w:r>
      <w:bookmarkEnd w:id="11"/>
      <w:bookmarkEnd w:id="12"/>
      <w:bookmarkEnd w:id="13"/>
      <w:bookmarkEnd w:id="14"/>
    </w:p>
    <w:p>
      <w:pPr>
        <w:spacing w:line="360" w:lineRule="auto"/>
        <w:ind w:firstLine="420" w:firstLineChars="200"/>
        <w:rPr>
          <w:rFonts w:ascii="宋体" w:hAnsi="宋体" w:cs="宋体"/>
          <w:szCs w:val="21"/>
          <w:highlight w:val="none"/>
        </w:rPr>
      </w:pPr>
      <w:r>
        <w:rPr>
          <w:rFonts w:hint="eastAsia" w:ascii="宋体" w:hAnsi="宋体" w:cs="宋体"/>
          <w:highlight w:val="none"/>
        </w:rPr>
        <w:t>时间：</w:t>
      </w:r>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bCs/>
          <w:highlight w:val="none"/>
          <w:u w:val="single"/>
        </w:rPr>
        <w:t>年</w:t>
      </w:r>
      <w:r>
        <w:rPr>
          <w:rFonts w:hint="eastAsia" w:ascii="宋体" w:hAnsi="宋体" w:cs="宋体"/>
          <w:bCs/>
          <w:highlight w:val="none"/>
          <w:u w:val="single"/>
          <w:lang w:val="en-US" w:eastAsia="zh-CN"/>
        </w:rPr>
        <w:t>1</w:t>
      </w:r>
      <w:r>
        <w:rPr>
          <w:rFonts w:hint="eastAsia" w:ascii="宋体" w:hAnsi="宋体" w:cs="宋体"/>
          <w:bCs/>
          <w:highlight w:val="none"/>
          <w:u w:val="single"/>
        </w:rPr>
        <w:t>月</w:t>
      </w:r>
      <w:r>
        <w:rPr>
          <w:rFonts w:hint="eastAsia" w:ascii="宋体" w:hAnsi="宋体" w:cs="宋体"/>
          <w:bCs/>
          <w:highlight w:val="none"/>
          <w:u w:val="single"/>
          <w:lang w:val="en-US" w:eastAsia="zh-CN"/>
        </w:rPr>
        <w:t>17</w:t>
      </w:r>
      <w:r>
        <w:rPr>
          <w:rFonts w:hint="eastAsia" w:ascii="宋体" w:hAnsi="宋体" w:cs="宋体"/>
          <w:bCs/>
          <w:highlight w:val="none"/>
          <w:u w:val="single"/>
        </w:rPr>
        <w:t>日</w:t>
      </w:r>
      <w:r>
        <w:rPr>
          <w:rFonts w:hint="eastAsia" w:ascii="宋体" w:hAnsi="宋体" w:cs="宋体"/>
          <w:highlight w:val="none"/>
        </w:rPr>
        <w:t>至</w:t>
      </w:r>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bCs/>
          <w:highlight w:val="none"/>
          <w:u w:val="single"/>
        </w:rPr>
        <w:t>年</w:t>
      </w:r>
      <w:r>
        <w:rPr>
          <w:rFonts w:hint="eastAsia" w:ascii="宋体" w:hAnsi="宋体" w:cs="宋体"/>
          <w:bCs/>
          <w:highlight w:val="none"/>
          <w:u w:val="single"/>
          <w:lang w:val="en-US" w:eastAsia="zh-CN"/>
        </w:rPr>
        <w:t>1</w:t>
      </w:r>
      <w:r>
        <w:rPr>
          <w:rFonts w:hint="eastAsia" w:ascii="宋体" w:hAnsi="宋体" w:cs="宋体"/>
          <w:bCs/>
          <w:highlight w:val="none"/>
          <w:u w:val="single"/>
        </w:rPr>
        <w:t>月</w:t>
      </w:r>
      <w:r>
        <w:rPr>
          <w:rFonts w:hint="eastAsia" w:ascii="宋体" w:hAnsi="宋体" w:cs="宋体"/>
          <w:bCs/>
          <w:highlight w:val="none"/>
          <w:u w:val="single"/>
          <w:lang w:val="en-US" w:eastAsia="zh-CN"/>
        </w:rPr>
        <w:t>24</w:t>
      </w:r>
      <w:r>
        <w:rPr>
          <w:rFonts w:hint="eastAsia" w:ascii="宋体" w:hAnsi="宋体" w:cs="宋体"/>
          <w:bCs/>
          <w:highlight w:val="none"/>
          <w:u w:val="single"/>
        </w:rPr>
        <w:t>日</w:t>
      </w:r>
      <w:r>
        <w:rPr>
          <w:rFonts w:hint="eastAsia" w:ascii="宋体" w:hAnsi="宋体" w:cs="宋体"/>
          <w:highlight w:val="none"/>
        </w:rPr>
        <w:t>，每天上午</w:t>
      </w:r>
      <w:r>
        <w:rPr>
          <w:rFonts w:hint="eastAsia" w:ascii="宋体" w:hAnsi="宋体" w:cs="宋体"/>
          <w:highlight w:val="none"/>
          <w:u w:val="single"/>
        </w:rPr>
        <w:t>00:00</w:t>
      </w:r>
      <w:r>
        <w:rPr>
          <w:rFonts w:hint="eastAsia" w:ascii="宋体" w:hAnsi="宋体" w:cs="宋体"/>
          <w:highlight w:val="none"/>
        </w:rPr>
        <w:t>至</w:t>
      </w:r>
      <w:r>
        <w:rPr>
          <w:rFonts w:hint="eastAsia" w:ascii="宋体" w:hAnsi="宋体" w:cs="宋体"/>
          <w:highlight w:val="none"/>
          <w:u w:val="single"/>
        </w:rPr>
        <w:t>12:00</w:t>
      </w:r>
      <w:r>
        <w:rPr>
          <w:rFonts w:hint="eastAsia" w:ascii="宋体" w:hAnsi="宋体" w:cs="宋体"/>
          <w:highlight w:val="none"/>
        </w:rPr>
        <w:t>，下午</w:t>
      </w:r>
      <w:r>
        <w:rPr>
          <w:rFonts w:hint="eastAsia" w:ascii="宋体" w:hAnsi="宋体" w:cs="宋体"/>
          <w:highlight w:val="none"/>
          <w:u w:val="single"/>
        </w:rPr>
        <w:t>12:00</w:t>
      </w:r>
      <w:r>
        <w:rPr>
          <w:rFonts w:hint="eastAsia" w:ascii="宋体" w:hAnsi="宋体" w:cs="宋体"/>
          <w:highlight w:val="none"/>
        </w:rPr>
        <w:t>至</w:t>
      </w:r>
      <w:r>
        <w:rPr>
          <w:rFonts w:hint="eastAsia" w:ascii="宋体" w:hAnsi="宋体" w:cs="宋体"/>
          <w:highlight w:val="none"/>
          <w:u w:val="single"/>
        </w:rPr>
        <w:t>23:59</w:t>
      </w:r>
      <w:r>
        <w:rPr>
          <w:rFonts w:hint="eastAsia" w:ascii="宋体" w:hAnsi="宋体" w:cs="宋体"/>
          <w:highlight w:val="none"/>
        </w:rPr>
        <w:t>（北京时间）</w:t>
      </w:r>
    </w:p>
    <w:p>
      <w:pPr>
        <w:spacing w:line="360" w:lineRule="auto"/>
        <w:ind w:firstLine="420" w:firstLineChars="200"/>
        <w:rPr>
          <w:rFonts w:ascii="宋体" w:hAnsi="宋体" w:cs="宋体"/>
          <w:highlight w:val="none"/>
          <w:u w:val="single"/>
        </w:rPr>
      </w:pPr>
      <w:r>
        <w:rPr>
          <w:rFonts w:hint="eastAsia" w:ascii="宋体" w:hAnsi="宋体" w:cs="宋体"/>
          <w:highlight w:val="none"/>
        </w:rPr>
        <w:t>地点：政府采购云平台（http://www.zcygov.cn/）。</w:t>
      </w:r>
    </w:p>
    <w:p>
      <w:pPr>
        <w:spacing w:line="360" w:lineRule="auto"/>
        <w:ind w:firstLine="420" w:firstLineChars="200"/>
        <w:rPr>
          <w:rFonts w:ascii="宋体" w:hAnsi="宋体" w:cs="宋体"/>
          <w:highlight w:val="none"/>
        </w:rPr>
      </w:pPr>
      <w:r>
        <w:rPr>
          <w:rFonts w:hint="eastAsia" w:ascii="宋体" w:hAnsi="宋体" w:cs="宋体"/>
          <w:highlight w:val="none"/>
        </w:rPr>
        <w:t>方式：本项目实行“政府采购云平台”（http://www.zcygov.cn/）网上获取。</w:t>
      </w:r>
    </w:p>
    <w:p>
      <w:pPr>
        <w:spacing w:line="360" w:lineRule="auto"/>
        <w:ind w:firstLine="420" w:firstLineChars="200"/>
        <w:rPr>
          <w:rFonts w:ascii="宋体" w:hAnsi="宋体" w:cs="宋体"/>
          <w:highlight w:val="none"/>
        </w:rPr>
      </w:pPr>
      <w:r>
        <w:rPr>
          <w:rFonts w:hint="eastAsia" w:ascii="宋体" w:hAnsi="宋体" w:cs="宋体"/>
          <w:highlight w:val="none"/>
        </w:rPr>
        <w:t>（1）根据《浙江省政府采购供应商注册及诚信管理暂行办法》规定，已在“政府采购云平台”（www.zcygov.cn）或“浙江政府采购网”（ zfcg.czt.zj.gov.cn）注册的投标人获取路径：【用户登录】—【项目采购】—【获取采购文件】</w:t>
      </w:r>
    </w:p>
    <w:p>
      <w:pPr>
        <w:spacing w:line="360" w:lineRule="auto"/>
        <w:ind w:firstLine="420" w:firstLineChars="200"/>
        <w:rPr>
          <w:rFonts w:ascii="宋体" w:hAnsi="宋体" w:cs="宋体"/>
          <w:highlight w:val="none"/>
        </w:rPr>
      </w:pPr>
      <w:r>
        <w:rPr>
          <w:rFonts w:hint="eastAsia" w:ascii="宋体" w:hAnsi="宋体" w:cs="宋体"/>
          <w:highlight w:val="none"/>
        </w:rPr>
        <w:t>（2）未注册投标人获取路径：【商家入驻】—完成政府采购供应商入驻注册—【项目采购】—【获取采购文件】</w:t>
      </w:r>
    </w:p>
    <w:p>
      <w:pPr>
        <w:spacing w:line="360" w:lineRule="auto"/>
        <w:ind w:firstLine="420" w:firstLineChars="200"/>
        <w:rPr>
          <w:rFonts w:ascii="宋体" w:hAnsi="宋体" w:cs="宋体"/>
          <w:highlight w:val="none"/>
        </w:rPr>
      </w:pPr>
      <w:r>
        <w:rPr>
          <w:rFonts w:hint="eastAsia" w:ascii="宋体" w:hAnsi="宋体" w:cs="宋体"/>
          <w:highlight w:val="none"/>
        </w:rPr>
        <w:t>请注意注册所需时间。</w:t>
      </w:r>
    </w:p>
    <w:p>
      <w:pPr>
        <w:spacing w:line="360" w:lineRule="auto"/>
        <w:ind w:firstLine="420" w:firstLineChars="200"/>
        <w:jc w:val="left"/>
        <w:rPr>
          <w:rFonts w:ascii="宋体" w:hAnsi="宋体" w:cs="宋体"/>
          <w:highlight w:val="none"/>
        </w:rPr>
      </w:pPr>
      <w:r>
        <w:rPr>
          <w:rFonts w:hint="eastAsia" w:ascii="宋体" w:hAnsi="宋体" w:cs="宋体"/>
          <w:highlight w:val="none"/>
        </w:rPr>
        <w:t>注册入驻操作指南：https://service.zcygov.cn/#/knowledges/cm2eqWwBFdiHxlNd_otq/w3Cd3GwBFdiHxlNd-BRD</w:t>
      </w:r>
    </w:p>
    <w:p>
      <w:pPr>
        <w:spacing w:line="360" w:lineRule="auto"/>
        <w:ind w:firstLine="420" w:firstLineChars="200"/>
        <w:rPr>
          <w:rFonts w:ascii="宋体" w:hAnsi="宋体" w:cs="宋体"/>
          <w:highlight w:val="none"/>
        </w:rPr>
      </w:pPr>
      <w:r>
        <w:rPr>
          <w:rFonts w:hint="eastAsia" w:ascii="宋体" w:hAnsi="宋体" w:cs="宋体"/>
          <w:highlight w:val="none"/>
        </w:rPr>
        <w:t>注册咨询电话：</w:t>
      </w:r>
      <w:r>
        <w:rPr>
          <w:rFonts w:ascii="宋体" w:hAnsi="宋体" w:cs="宋体"/>
          <w:bCs/>
          <w:szCs w:val="21"/>
          <w:highlight w:val="none"/>
        </w:rPr>
        <w:t>95763</w:t>
      </w:r>
    </w:p>
    <w:p>
      <w:pPr>
        <w:spacing w:line="360" w:lineRule="auto"/>
        <w:ind w:firstLine="420" w:firstLineChars="200"/>
        <w:rPr>
          <w:rFonts w:ascii="宋体" w:hAnsi="宋体" w:cs="宋体"/>
          <w:highlight w:val="none"/>
        </w:rPr>
      </w:pPr>
      <w:r>
        <w:rPr>
          <w:rFonts w:hint="eastAsia" w:ascii="宋体" w:hAnsi="宋体" w:cs="宋体"/>
          <w:highlight w:val="none"/>
        </w:rPr>
        <w:t>（3）供应商只有在“浙江政府采购网”完成获取采购文件申请并下载了采购文件后才视作依法获取采购文件（法律法规所指的供应商获取采购文件时间以供应商完成获取采购文件申请后下载采购文件的时间为准）。</w:t>
      </w:r>
    </w:p>
    <w:p>
      <w:pPr>
        <w:spacing w:line="360" w:lineRule="auto"/>
        <w:ind w:firstLine="420" w:firstLineChars="200"/>
        <w:rPr>
          <w:rFonts w:ascii="宋体" w:hAnsi="宋体" w:cs="宋体"/>
          <w:highlight w:val="none"/>
          <w:u w:val="single"/>
        </w:rPr>
      </w:pPr>
      <w:r>
        <w:rPr>
          <w:rFonts w:hint="eastAsia" w:ascii="宋体" w:hAnsi="宋体" w:cs="宋体"/>
          <w:highlight w:val="none"/>
        </w:rPr>
        <w:t>通过本公告下方“游客，浏览采购文件”下载的采购文件仅供浏览，不视作参与本项目。</w:t>
      </w:r>
    </w:p>
    <w:p>
      <w:pPr>
        <w:spacing w:line="360" w:lineRule="auto"/>
        <w:ind w:firstLine="420" w:firstLineChars="200"/>
        <w:rPr>
          <w:rFonts w:ascii="宋体" w:hAnsi="宋体" w:cs="宋体"/>
          <w:highlight w:val="none"/>
        </w:rPr>
      </w:pPr>
      <w:r>
        <w:rPr>
          <w:rFonts w:hint="eastAsia" w:ascii="宋体" w:hAnsi="宋体" w:cs="宋体"/>
          <w:highlight w:val="none"/>
        </w:rPr>
        <w:t>售价：免费。</w:t>
      </w:r>
    </w:p>
    <w:p>
      <w:pPr>
        <w:spacing w:line="360" w:lineRule="auto"/>
        <w:ind w:firstLine="420" w:firstLineChars="200"/>
        <w:rPr>
          <w:rFonts w:ascii="宋体" w:hAnsi="宋体" w:cs="宋体"/>
          <w:highlight w:val="none"/>
        </w:rPr>
      </w:pPr>
    </w:p>
    <w:p>
      <w:pPr>
        <w:pStyle w:val="4"/>
        <w:spacing w:line="360" w:lineRule="auto"/>
        <w:jc w:val="both"/>
        <w:rPr>
          <w:rFonts w:ascii="宋体" w:hAnsi="宋体" w:cs="宋体"/>
          <w:sz w:val="21"/>
          <w:szCs w:val="21"/>
          <w:highlight w:val="none"/>
        </w:rPr>
      </w:pPr>
      <w:bookmarkStart w:id="15" w:name="_Toc28359082"/>
      <w:bookmarkStart w:id="16" w:name="_Toc28359005"/>
      <w:bookmarkStart w:id="17" w:name="_Toc35393624"/>
      <w:bookmarkStart w:id="18" w:name="_Toc35393793"/>
      <w:r>
        <w:rPr>
          <w:rFonts w:hint="eastAsia" w:ascii="宋体" w:hAnsi="宋体" w:cs="宋体"/>
          <w:sz w:val="21"/>
          <w:szCs w:val="21"/>
          <w:highlight w:val="none"/>
        </w:rPr>
        <w:t>四、提交投标文件</w:t>
      </w:r>
      <w:bookmarkEnd w:id="15"/>
      <w:bookmarkEnd w:id="16"/>
      <w:r>
        <w:rPr>
          <w:rFonts w:hint="eastAsia" w:ascii="宋体" w:hAnsi="宋体" w:cs="宋体"/>
          <w:sz w:val="21"/>
          <w:szCs w:val="21"/>
          <w:highlight w:val="none"/>
        </w:rPr>
        <w:t>截止时间、开标时间和地点</w:t>
      </w:r>
      <w:bookmarkEnd w:id="17"/>
      <w:bookmarkEnd w:id="18"/>
    </w:p>
    <w:p>
      <w:pPr>
        <w:spacing w:line="360" w:lineRule="auto"/>
        <w:ind w:firstLine="420" w:firstLineChars="200"/>
        <w:rPr>
          <w:rFonts w:ascii="宋体" w:hAnsi="宋体" w:cs="宋体"/>
          <w:bCs/>
          <w:szCs w:val="21"/>
          <w:highlight w:val="none"/>
        </w:rPr>
      </w:pPr>
      <w:r>
        <w:rPr>
          <w:rFonts w:hint="eastAsia" w:ascii="宋体" w:hAnsi="宋体" w:cs="宋体"/>
          <w:highlight w:val="none"/>
        </w:rPr>
        <w:t>提交投标文件截止时间：</w:t>
      </w:r>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bCs/>
          <w:highlight w:val="none"/>
          <w:u w:val="single"/>
        </w:rPr>
        <w:t>年</w:t>
      </w:r>
      <w:r>
        <w:rPr>
          <w:rFonts w:hint="eastAsia" w:ascii="宋体" w:hAnsi="宋体" w:cs="宋体"/>
          <w:bCs/>
          <w:highlight w:val="none"/>
          <w:u w:val="single"/>
          <w:lang w:val="en-US" w:eastAsia="zh-CN"/>
        </w:rPr>
        <w:t>2</w:t>
      </w:r>
      <w:r>
        <w:rPr>
          <w:rFonts w:hint="eastAsia" w:ascii="宋体" w:hAnsi="宋体" w:cs="宋体"/>
          <w:bCs/>
          <w:highlight w:val="none"/>
          <w:u w:val="single"/>
        </w:rPr>
        <w:t>月</w:t>
      </w:r>
      <w:r>
        <w:rPr>
          <w:rFonts w:hint="default" w:ascii="宋体" w:hAnsi="宋体" w:cs="宋体"/>
          <w:bCs/>
          <w:highlight w:val="none"/>
          <w:u w:val="single"/>
          <w:lang w:val="en-US"/>
        </w:rPr>
        <w:t>21</w:t>
      </w:r>
      <w:r>
        <w:rPr>
          <w:rFonts w:hint="eastAsia" w:ascii="宋体" w:hAnsi="宋体" w:cs="宋体"/>
          <w:bCs/>
          <w:highlight w:val="none"/>
          <w:u w:val="single"/>
        </w:rPr>
        <w:t>日</w:t>
      </w:r>
      <w:r>
        <w:rPr>
          <w:rFonts w:hint="eastAsia" w:ascii="宋体" w:hAnsi="宋体" w:cs="宋体"/>
          <w:bCs/>
          <w:highlight w:val="none"/>
          <w:u w:val="single"/>
          <w:lang w:val="en-US" w:eastAsia="zh-CN"/>
        </w:rPr>
        <w:t>14</w:t>
      </w:r>
      <w:r>
        <w:rPr>
          <w:rFonts w:hint="eastAsia" w:ascii="宋体" w:hAnsi="宋体" w:cs="宋体"/>
          <w:bCs/>
          <w:highlight w:val="none"/>
          <w:u w:val="single"/>
        </w:rPr>
        <w:t>点00分</w:t>
      </w:r>
      <w:r>
        <w:rPr>
          <w:rFonts w:hint="eastAsia" w:ascii="宋体" w:hAnsi="宋体" w:cs="宋体"/>
          <w:bCs/>
          <w:highlight w:val="none"/>
        </w:rPr>
        <w:t>（北京时间），</w:t>
      </w:r>
      <w:r>
        <w:rPr>
          <w:rFonts w:hint="eastAsia" w:ascii="宋体" w:hAnsi="宋体" w:cs="宋体"/>
          <w:szCs w:val="21"/>
          <w:highlight w:val="none"/>
        </w:rPr>
        <w:t>投标人应在投标截止时间前将电子加密投标文件上传到“政采云”平台，逾期上传或上传不成功的，其投标无效。</w:t>
      </w:r>
    </w:p>
    <w:p>
      <w:pPr>
        <w:widowControl/>
        <w:spacing w:line="400" w:lineRule="exact"/>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投标地点（网址）：政采云平台（https://www.zcygov.cn/）</w:t>
      </w:r>
    </w:p>
    <w:p>
      <w:pPr>
        <w:widowControl/>
        <w:spacing w:line="400" w:lineRule="exact"/>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开标时间：</w:t>
      </w:r>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bCs/>
          <w:highlight w:val="none"/>
          <w:u w:val="single"/>
        </w:rPr>
        <w:t>年</w:t>
      </w:r>
      <w:r>
        <w:rPr>
          <w:rFonts w:hint="eastAsia" w:ascii="宋体" w:hAnsi="宋体" w:cs="宋体"/>
          <w:bCs/>
          <w:highlight w:val="none"/>
          <w:u w:val="single"/>
          <w:lang w:val="en-US" w:eastAsia="zh-CN"/>
        </w:rPr>
        <w:t>2</w:t>
      </w:r>
      <w:r>
        <w:rPr>
          <w:rFonts w:hint="eastAsia" w:ascii="宋体" w:hAnsi="宋体" w:cs="宋体"/>
          <w:bCs/>
          <w:highlight w:val="none"/>
          <w:u w:val="single"/>
        </w:rPr>
        <w:t>月</w:t>
      </w:r>
      <w:r>
        <w:rPr>
          <w:rFonts w:hint="default" w:ascii="宋体" w:hAnsi="宋体" w:cs="宋体"/>
          <w:bCs/>
          <w:highlight w:val="none"/>
          <w:u w:val="single"/>
          <w:lang w:val="en-US"/>
        </w:rPr>
        <w:t>21</w:t>
      </w:r>
      <w:r>
        <w:rPr>
          <w:rFonts w:hint="eastAsia" w:ascii="宋体" w:hAnsi="宋体" w:cs="宋体"/>
          <w:bCs/>
          <w:highlight w:val="none"/>
          <w:u w:val="single"/>
        </w:rPr>
        <w:t>日</w:t>
      </w:r>
      <w:r>
        <w:rPr>
          <w:rFonts w:hint="eastAsia" w:ascii="宋体" w:hAnsi="宋体" w:cs="宋体"/>
          <w:bCs/>
          <w:highlight w:val="none"/>
          <w:u w:val="single"/>
          <w:lang w:val="en-US" w:eastAsia="zh-CN"/>
        </w:rPr>
        <w:t>14</w:t>
      </w:r>
      <w:r>
        <w:rPr>
          <w:rFonts w:hint="eastAsia" w:ascii="宋体" w:hAnsi="宋体" w:cs="宋体"/>
          <w:bCs/>
          <w:highlight w:val="none"/>
          <w:u w:val="single"/>
        </w:rPr>
        <w:t>点00分</w:t>
      </w:r>
      <w:r>
        <w:rPr>
          <w:rFonts w:hint="eastAsia" w:ascii="宋体" w:hAnsi="宋体" w:cs="宋体"/>
          <w:bCs/>
          <w:highlight w:val="none"/>
        </w:rPr>
        <w:t>（北京时间）</w:t>
      </w:r>
    </w:p>
    <w:p>
      <w:pPr>
        <w:widowControl/>
        <w:spacing w:line="400" w:lineRule="exact"/>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开标地点（网址）：政采云平台（https://www.zcygov.cn/）</w:t>
      </w:r>
    </w:p>
    <w:p>
      <w:pPr>
        <w:rPr>
          <w:highlight w:val="none"/>
        </w:rPr>
      </w:pPr>
      <w:bookmarkStart w:id="19" w:name="_Toc28359007"/>
      <w:bookmarkStart w:id="20" w:name="_Toc28359084"/>
      <w:bookmarkStart w:id="21" w:name="_Toc35393794"/>
      <w:bookmarkStart w:id="22" w:name="_Toc35393625"/>
    </w:p>
    <w:p>
      <w:pPr>
        <w:pStyle w:val="4"/>
        <w:spacing w:line="360" w:lineRule="auto"/>
        <w:jc w:val="both"/>
        <w:rPr>
          <w:rFonts w:ascii="宋体" w:hAnsi="宋体" w:cs="宋体"/>
          <w:sz w:val="21"/>
          <w:szCs w:val="21"/>
          <w:highlight w:val="none"/>
        </w:rPr>
      </w:pPr>
      <w:r>
        <w:rPr>
          <w:rFonts w:hint="eastAsia" w:ascii="宋体" w:hAnsi="宋体" w:cs="宋体"/>
          <w:sz w:val="21"/>
          <w:szCs w:val="21"/>
          <w:highlight w:val="none"/>
        </w:rPr>
        <w:t>五、公告期限</w:t>
      </w:r>
      <w:bookmarkEnd w:id="19"/>
      <w:bookmarkEnd w:id="20"/>
      <w:bookmarkEnd w:id="21"/>
      <w:bookmarkEnd w:id="22"/>
    </w:p>
    <w:p>
      <w:pPr>
        <w:spacing w:line="360" w:lineRule="auto"/>
        <w:ind w:firstLine="420" w:firstLineChars="200"/>
        <w:rPr>
          <w:rFonts w:ascii="宋体" w:hAnsi="宋体" w:cs="宋体"/>
          <w:kern w:val="0"/>
          <w:highlight w:val="none"/>
        </w:rPr>
      </w:pPr>
      <w:r>
        <w:rPr>
          <w:rFonts w:hint="eastAsia" w:ascii="宋体" w:hAnsi="宋体" w:cs="宋体"/>
          <w:kern w:val="0"/>
          <w:highlight w:val="none"/>
        </w:rPr>
        <w:t>自本公告发布之日起5个工作日。</w:t>
      </w:r>
    </w:p>
    <w:p>
      <w:pPr>
        <w:rPr>
          <w:highlight w:val="none"/>
        </w:rPr>
      </w:pPr>
      <w:bookmarkStart w:id="23" w:name="_Toc35393795"/>
      <w:bookmarkStart w:id="24" w:name="_Toc35393626"/>
      <w:bookmarkStart w:id="25" w:name="_Toc28359008"/>
      <w:bookmarkStart w:id="26" w:name="_Toc28359085"/>
      <w:bookmarkStart w:id="27" w:name="_Toc35393796"/>
      <w:bookmarkStart w:id="28" w:name="_Toc35393627"/>
    </w:p>
    <w:p>
      <w:pPr>
        <w:pStyle w:val="4"/>
        <w:spacing w:line="360" w:lineRule="auto"/>
        <w:jc w:val="both"/>
        <w:rPr>
          <w:rFonts w:ascii="宋体" w:hAnsi="宋体" w:cs="宋体"/>
          <w:sz w:val="21"/>
          <w:szCs w:val="21"/>
          <w:highlight w:val="none"/>
        </w:rPr>
      </w:pPr>
      <w:r>
        <w:rPr>
          <w:rFonts w:hint="eastAsia" w:ascii="宋体" w:hAnsi="宋体" w:cs="宋体"/>
          <w:sz w:val="21"/>
          <w:szCs w:val="21"/>
          <w:highlight w:val="none"/>
        </w:rPr>
        <w:t>六、其他补充事宜</w:t>
      </w:r>
      <w:bookmarkEnd w:id="23"/>
      <w:bookmarkEnd w:id="24"/>
    </w:p>
    <w:p>
      <w:pPr>
        <w:spacing w:line="400" w:lineRule="exact"/>
        <w:ind w:firstLine="476" w:firstLineChars="227"/>
        <w:rPr>
          <w:rFonts w:ascii="宋体" w:hAnsi="宋体" w:cs="宋体"/>
          <w:szCs w:val="21"/>
          <w:highlight w:val="none"/>
        </w:rPr>
      </w:pPr>
      <w:r>
        <w:rPr>
          <w:rFonts w:hint="eastAsia" w:ascii="宋体" w:hAnsi="宋体" w:cs="宋体"/>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76" w:firstLineChars="227"/>
        <w:rPr>
          <w:rFonts w:ascii="宋体" w:hAnsi="宋体" w:cs="宋体"/>
          <w:b/>
          <w:bCs/>
          <w:szCs w:val="21"/>
          <w:highlight w:val="none"/>
        </w:rPr>
      </w:pPr>
      <w:r>
        <w:rPr>
          <w:rFonts w:hint="eastAsia" w:ascii="宋体" w:hAnsi="宋体" w:cs="宋体"/>
          <w:b/>
          <w:bCs/>
          <w:szCs w:val="21"/>
          <w:highlight w:val="none"/>
        </w:rPr>
        <w:t>2．其他事项：</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2.1 在线询问及在线质疑操作方式</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2.1.1在线询问</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潜在供应商获取采购文件后，对政府采购活动事项有疑问的，可对该项目进行在线询问及查看询问答复，访问路径如下：应用中心（登录首页）—项目采购—询问质疑投诉—询问列表；</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2.1.2在线质疑</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供应商认为采购文件、采购过程、中标或者成交结果使自己的权益受到损害的，可以在知道或者应知其权益受到损害之日起7个工作日内，对采购文件、采购过程、采购结果进行在线质疑（需在线签章）并查看质疑答复，访问路径如下：</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应用中心（登录首页）—项目采购—询问质疑投诉—质疑列表。</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 xml:space="preserve">2.2 供应商应于提交投标文件截止时间前将电子加密投标文件上传到政府采购云平台www.zcygov.cn，未上传电子投标文件，视为供应商放弃投标。 </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2.3 供应商在“政府采购云平台”完成“电子加密投标文件”的上传递交之外，还可以（邮寄形式或派人现场提交，以招标代理机构联系人签收时间为准）在投标截止时间前提交以介质（U盘</w:t>
      </w:r>
      <w:r>
        <w:rPr>
          <w:rFonts w:hint="eastAsia" w:ascii="宋体" w:hAnsi="宋体" w:cs="宋体"/>
          <w:kern w:val="0"/>
          <w:szCs w:val="21"/>
          <w:highlight w:val="none"/>
        </w:rPr>
        <w:t>或光盘</w:t>
      </w:r>
      <w:r>
        <w:rPr>
          <w:rFonts w:hint="eastAsia" w:ascii="宋体" w:hAnsi="宋体" w:cs="宋体"/>
          <w:bCs/>
          <w:szCs w:val="21"/>
          <w:highlight w:val="none"/>
        </w:rPr>
        <w:t xml:space="preserve">）存储的数据电文形式的“备份投标文件”，备份电子投标文件递交可采用现场递交或邮寄的方式。 </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 xml:space="preserve">（一）现场递交方式，请供应商安排在投标截止时间前将电子备份投标文件送至余姚市公共资源交易中心（余姚市谭家岭东路2号，南雷大厦附楼4楼，详见开评标场所安排），投标文件递交时须同时递交供应商的法定代表人（或其授权代表）联系方式，并保证开标期间联系方式畅通。 </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 xml:space="preserve">（二）邮寄送达。供应商可以通过邮寄送达电子备份投标文件，送达地址宁波国咨工程造价咨询有限公司（宁波市鄞州区和源路510号宁兴国贸大厦2102室），联系方式：0574-87312175。供应商邮寄后须将邮件单号发送至代理机构电子邮箱（电子邮箱：625740900@qq.com），并致电采购代理机构，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电子备份投标文件邮寄送达截止时间为投标截止时间前一天17时00分。  </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2.4 开标时间后30分钟内供应商可以登录政采云平台，用“项目采购-开标评标”功能</w:t>
      </w:r>
      <w:r>
        <w:rPr>
          <w:rFonts w:hint="eastAsia" w:ascii="宋体" w:hAnsi="宋体" w:cs="宋体"/>
          <w:szCs w:val="21"/>
          <w:highlight w:val="none"/>
        </w:rPr>
        <w:t>对电子投标文件进行在线解密</w:t>
      </w:r>
      <w:r>
        <w:rPr>
          <w:rFonts w:hint="eastAsia" w:ascii="宋体" w:hAnsi="宋体" w:cs="宋体"/>
          <w:bCs/>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 xml:space="preserve">3．采购项目需要落实的政府采购政策：《政府采购促进中小企业发展管理办法》（财库〔2020〕46号）、《关于政府采购支持监狱企业发展有关问题的通知》(财库〔2014〕68号)、《关于促进残疾人就业政府采购政策的通知》（财库〔2017〕141号）。 </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 xml:space="preserve">4．投标与开标注意事项： 投标形式：本项目实行网上投标，采用电子投标文件。若供应商参与投标，自行承担投标一切费用。 标前准备：各供应商应在开标前应确保成为浙江省政府采购网正式注册入库供应商，并完成CA数字证书办理（供应商CA申领操作指南：https://help.zcygov.cn/web/site_2/2018/11-29/2452.html，完成CA数字证书办理预计一周左右，请供应商自行把握时间）。因未注册入库、未办理CA数字证书等原因造成无法获取采购文件、无法投标或投标失败等后果由供应商自行承担。 </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5．投标文件制作： 应按照本项目招标文件和政采云平台的要求编制、加密并递交投标文件。供应商在使用系统进行投标的过程中遇到涉及平台使用的任何问题，可致电政采云平台技术支持热线</w:t>
      </w:r>
      <w:r>
        <w:rPr>
          <w:rFonts w:ascii="宋体" w:hAnsi="宋体" w:cs="宋体"/>
          <w:bCs/>
          <w:szCs w:val="21"/>
          <w:highlight w:val="none"/>
        </w:rPr>
        <w:t>95763</w:t>
      </w:r>
      <w:r>
        <w:rPr>
          <w:rFonts w:hint="eastAsia" w:ascii="宋体" w:hAnsi="宋体" w:cs="宋体"/>
          <w:bCs/>
          <w:szCs w:val="21"/>
          <w:highlight w:val="none"/>
        </w:rPr>
        <w:t>或政采云服务专员电话0574-63917219。 投标人通过政采云平台电子投标工具制作投标文件，电子投标工具请供应商自行前往浙江省政府采购网下载并安装，下载网址：http://zfcg.czt.zj.gov.cn/bidClientTemplate/2019-05-27/12946.html， 供应商投标文件制作及电子交易操作指南：https://help.zcygov.cn/web/site_2/2018/12-28/2575.html （PDF操作指南）。制作电子投标文件的系统配置要求：请使用windows7及以上64位操作系统，不适用于mac或linux桌面系统。</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 xml:space="preserve"> 6．根据财库〔2016〕125号文要求，采购人或采购代理机构对投标人的信用记录进行查询并甄别：</w:t>
      </w:r>
    </w:p>
    <w:p>
      <w:pPr>
        <w:spacing w:line="400" w:lineRule="exact"/>
        <w:ind w:firstLine="476" w:firstLineChars="227"/>
        <w:rPr>
          <w:rFonts w:ascii="宋体" w:hAnsi="宋体" w:cs="宋体"/>
          <w:bCs/>
          <w:szCs w:val="21"/>
          <w:highlight w:val="none"/>
        </w:rPr>
      </w:pPr>
      <w:r>
        <w:rPr>
          <w:rFonts w:ascii="宋体" w:hAnsi="宋体" w:cs="宋体"/>
          <w:bCs/>
          <w:szCs w:val="21"/>
          <w:highlight w:val="none"/>
        </w:rPr>
        <w:t>6.1</w:t>
      </w:r>
      <w:r>
        <w:rPr>
          <w:rFonts w:hint="eastAsia" w:ascii="宋体" w:hAnsi="宋体" w:cs="宋体"/>
          <w:bCs/>
          <w:szCs w:val="21"/>
          <w:highlight w:val="none"/>
        </w:rPr>
        <w:t>信用信息查询的截止时点：投标截止时间；</w:t>
      </w:r>
    </w:p>
    <w:p>
      <w:pPr>
        <w:spacing w:line="400" w:lineRule="exact"/>
        <w:ind w:firstLine="476" w:firstLineChars="227"/>
        <w:rPr>
          <w:rFonts w:ascii="宋体" w:hAnsi="宋体" w:cs="宋体"/>
          <w:bCs/>
          <w:szCs w:val="21"/>
          <w:highlight w:val="none"/>
        </w:rPr>
      </w:pPr>
      <w:r>
        <w:rPr>
          <w:rFonts w:ascii="宋体" w:hAnsi="宋体" w:cs="宋体"/>
          <w:bCs/>
          <w:szCs w:val="21"/>
          <w:highlight w:val="none"/>
        </w:rPr>
        <w:t>6.2</w:t>
      </w:r>
      <w:r>
        <w:rPr>
          <w:rFonts w:hint="eastAsia" w:ascii="宋体" w:hAnsi="宋体" w:cs="宋体"/>
          <w:bCs/>
          <w:szCs w:val="21"/>
          <w:highlight w:val="none"/>
        </w:rPr>
        <w:t>查询渠道：“信用中国”（www.creditchina.gov.cn)、中国政府采购网（www.ccgp.gov.cn）；</w:t>
      </w:r>
    </w:p>
    <w:p>
      <w:pPr>
        <w:spacing w:line="400" w:lineRule="exact"/>
        <w:ind w:firstLine="476" w:firstLineChars="227"/>
        <w:rPr>
          <w:rFonts w:ascii="宋体" w:hAnsi="宋体" w:cs="宋体"/>
          <w:bCs/>
          <w:szCs w:val="21"/>
          <w:highlight w:val="none"/>
        </w:rPr>
      </w:pPr>
      <w:r>
        <w:rPr>
          <w:rFonts w:ascii="宋体" w:hAnsi="宋体" w:cs="宋体"/>
          <w:bCs/>
          <w:szCs w:val="21"/>
          <w:highlight w:val="none"/>
        </w:rPr>
        <w:t>6.3</w:t>
      </w:r>
      <w:r>
        <w:rPr>
          <w:rFonts w:hint="eastAsia" w:ascii="宋体" w:hAnsi="宋体" w:cs="宋体"/>
          <w:bCs/>
          <w:szCs w:val="21"/>
          <w:highlight w:val="none"/>
        </w:rPr>
        <w:t>信用信息查询记录和证据留存具体方式：打印查询网页并与其他采购文件一并保存；</w:t>
      </w:r>
    </w:p>
    <w:p>
      <w:pPr>
        <w:spacing w:line="400" w:lineRule="exact"/>
        <w:ind w:firstLine="476" w:firstLineChars="227"/>
        <w:rPr>
          <w:rFonts w:ascii="宋体" w:hAnsi="宋体" w:cs="宋体"/>
          <w:bCs/>
          <w:szCs w:val="21"/>
          <w:highlight w:val="none"/>
        </w:rPr>
      </w:pPr>
      <w:r>
        <w:rPr>
          <w:rFonts w:ascii="宋体" w:hAnsi="宋体" w:cs="宋体"/>
          <w:bCs/>
          <w:szCs w:val="21"/>
          <w:highlight w:val="none"/>
        </w:rPr>
        <w:t>6.4</w:t>
      </w:r>
      <w:r>
        <w:rPr>
          <w:rFonts w:hint="eastAsia" w:ascii="宋体" w:hAnsi="宋体" w:cs="宋体"/>
          <w:bCs/>
          <w:szCs w:val="21"/>
          <w:highlight w:val="none"/>
        </w:rPr>
        <w:t>信用信息的使用规则：投标人存在不良信用记录的，其投标将被作为无效投标处理。不良信用记录指：被列入失信被执行人、重大税收违法案件当事人名单、政府采购严重违法失信行为记录名单。</w:t>
      </w:r>
    </w:p>
    <w:p>
      <w:pPr>
        <w:spacing w:line="400" w:lineRule="exact"/>
        <w:ind w:firstLine="476" w:firstLineChars="227"/>
        <w:rPr>
          <w:rFonts w:ascii="宋体" w:hAnsi="宋体" w:cs="宋体"/>
          <w:bCs/>
          <w:szCs w:val="21"/>
          <w:highlight w:val="none"/>
        </w:rPr>
      </w:pPr>
      <w:r>
        <w:rPr>
          <w:rFonts w:hint="eastAsia" w:ascii="宋体" w:hAnsi="宋体" w:cs="宋体"/>
          <w:bCs/>
          <w:szCs w:val="21"/>
          <w:highlight w:val="none"/>
        </w:rPr>
        <w:t>若在开标当天因不可抗力事件导致无法查询且一时无法恢复查询的，可在发布中标结果公告之前对中标候选人进行事后查询。中标候选人被列入失信被执行人、重大税收违法案件当事人名单、政府采购严重违法失信行为记录名单的，采购人将依法取消其中标资格</w:t>
      </w:r>
      <w:bookmarkEnd w:id="25"/>
      <w:bookmarkEnd w:id="26"/>
      <w:bookmarkEnd w:id="27"/>
      <w:bookmarkEnd w:id="28"/>
      <w:r>
        <w:rPr>
          <w:rFonts w:hint="eastAsia" w:ascii="宋体" w:hAnsi="宋体" w:cs="宋体"/>
          <w:bCs/>
          <w:szCs w:val="21"/>
          <w:highlight w:val="none"/>
        </w:rPr>
        <w:t>。</w:t>
      </w:r>
    </w:p>
    <w:p>
      <w:pPr>
        <w:spacing w:line="400" w:lineRule="exact"/>
        <w:ind w:firstLine="420" w:firstLineChars="200"/>
        <w:rPr>
          <w:highlight w:val="none"/>
        </w:rPr>
      </w:pPr>
      <w:r>
        <w:rPr>
          <w:rFonts w:hint="eastAsia"/>
          <w:highlight w:val="none"/>
        </w:rPr>
        <w:t>7</w:t>
      </w:r>
      <w:r>
        <w:rPr>
          <w:highlight w:val="none"/>
        </w:rPr>
        <w:t>、其他补充事宜</w:t>
      </w:r>
    </w:p>
    <w:p>
      <w:pPr>
        <w:spacing w:line="400" w:lineRule="exact"/>
        <w:ind w:firstLine="420" w:firstLineChars="200"/>
        <w:rPr>
          <w:highlight w:val="none"/>
        </w:rPr>
      </w:pPr>
      <w:r>
        <w:rPr>
          <w:highlight w:val="none"/>
        </w:rPr>
        <w:t xml:space="preserve">1） </w:t>
      </w:r>
      <w:r>
        <w:rPr>
          <w:rFonts w:hint="eastAsia" w:ascii="宋体" w:hAnsi="宋体" w:cs="宋体"/>
          <w:color w:val="000000"/>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widowControl/>
        <w:spacing w:line="400" w:lineRule="exact"/>
        <w:ind w:firstLine="420" w:firstLineChars="200"/>
        <w:jc w:val="left"/>
        <w:rPr>
          <w:highlight w:val="none"/>
        </w:rPr>
      </w:pPr>
      <w:r>
        <w:rPr>
          <w:highlight w:val="none"/>
        </w:rPr>
        <w:t>2）</w:t>
      </w:r>
      <w:r>
        <w:rPr>
          <w:rFonts w:hint="eastAsia"/>
          <w:highlight w:val="none"/>
        </w:rPr>
        <w:t xml:space="preserve"> </w:t>
      </w:r>
      <w:r>
        <w:rPr>
          <w:highlight w:val="none"/>
        </w:rPr>
        <w:t>根据《浙江省财政厅关于进一步促进政府采购公平竞争打造最优营商环境的通知》（浙财采监</w:t>
      </w:r>
      <w:r>
        <w:rPr>
          <w:rFonts w:hint="eastAsia" w:ascii="宋体" w:hAnsi="宋体" w:cs="宋体"/>
          <w:bCs/>
          <w:szCs w:val="21"/>
          <w:highlight w:val="none"/>
        </w:rPr>
        <w:t>〔</w:t>
      </w:r>
      <w:r>
        <w:rPr>
          <w:highlight w:val="none"/>
        </w:rPr>
        <w:t>2021</w:t>
      </w:r>
      <w:r>
        <w:rPr>
          <w:rFonts w:hint="eastAsia" w:ascii="宋体" w:hAnsi="宋体" w:cs="宋体"/>
          <w:bCs/>
          <w:szCs w:val="21"/>
          <w:highlight w:val="none"/>
        </w:rPr>
        <w:t>〕</w:t>
      </w:r>
      <w:r>
        <w:rPr>
          <w:highlight w:val="none"/>
        </w:rPr>
        <w:t>22号）文件关于“健全行政裁决机制”要求，鼓励供应商提起询问</w:t>
      </w:r>
      <w:r>
        <w:rPr>
          <w:rFonts w:hint="eastAsia"/>
          <w:highlight w:val="none"/>
        </w:rPr>
        <w:t>、</w:t>
      </w:r>
      <w:r>
        <w:rPr>
          <w:highlight w:val="none"/>
        </w:rPr>
        <w:t>质疑，质疑供应商对质疑答复不满意的，可在线提起投诉。</w:t>
      </w:r>
    </w:p>
    <w:p>
      <w:pPr>
        <w:spacing w:line="400" w:lineRule="exact"/>
        <w:ind w:firstLine="420" w:firstLineChars="200"/>
        <w:rPr>
          <w:highlight w:val="none"/>
        </w:rPr>
      </w:pPr>
      <w:r>
        <w:rPr>
          <w:rFonts w:hint="eastAsia"/>
          <w:highlight w:val="none"/>
        </w:rPr>
        <w:t>3）</w:t>
      </w:r>
      <w:r>
        <w:rPr>
          <w:rFonts w:ascii="宋体" w:hAnsi="宋体"/>
          <w:szCs w:val="21"/>
          <w:highlight w:val="none"/>
        </w:rPr>
        <w:t>中小企业信用融资的相关政策</w:t>
      </w:r>
      <w:r>
        <w:rPr>
          <w:rFonts w:hint="eastAsia" w:ascii="宋体" w:hAnsi="宋体"/>
          <w:szCs w:val="21"/>
          <w:highlight w:val="none"/>
        </w:rPr>
        <w:t>:</w:t>
      </w:r>
      <w:r>
        <w:rPr>
          <w:rFonts w:ascii="宋体" w:hAnsi="宋体"/>
          <w:szCs w:val="21"/>
          <w:highlight w:val="none"/>
        </w:rPr>
        <w:t>中小企业信用融资：供应商中标后也可在“政采云”平台申请政采贷：操作路径：登录政采云平台-金融服务中心-</w:t>
      </w:r>
      <w:r>
        <w:rPr>
          <w:rFonts w:hint="eastAsia" w:ascii="宋体" w:hAnsi="宋体"/>
          <w:szCs w:val="21"/>
          <w:highlight w:val="none"/>
        </w:rPr>
        <w:t>[</w:t>
      </w:r>
      <w:r>
        <w:rPr>
          <w:rFonts w:ascii="宋体" w:hAnsi="宋体"/>
          <w:szCs w:val="21"/>
          <w:highlight w:val="none"/>
        </w:rPr>
        <w:t>融资服务</w:t>
      </w:r>
      <w:r>
        <w:rPr>
          <w:rFonts w:hint="eastAsia" w:ascii="宋体" w:hAnsi="宋体"/>
          <w:szCs w:val="21"/>
          <w:highlight w:val="none"/>
        </w:rPr>
        <w:t>]</w:t>
      </w:r>
      <w:r>
        <w:rPr>
          <w:rFonts w:ascii="宋体" w:hAnsi="宋体"/>
          <w:szCs w:val="21"/>
          <w:highlight w:val="none"/>
        </w:rPr>
        <w:t>，可在热门申请中选择产品直接申请，也可点击云智贷匹配适合产品进行申请，或者在可申请项目中根据该项目进行申请。</w:t>
      </w:r>
    </w:p>
    <w:p>
      <w:pPr>
        <w:pStyle w:val="4"/>
        <w:keepLines/>
        <w:spacing w:before="260" w:after="260" w:line="360" w:lineRule="exact"/>
        <w:jc w:val="both"/>
        <w:rPr>
          <w:rFonts w:ascii="宋体" w:hAnsi="宋体" w:cs="宋体"/>
          <w:bCs w:val="0"/>
          <w:sz w:val="21"/>
          <w:szCs w:val="21"/>
          <w:highlight w:val="none"/>
        </w:rPr>
      </w:pPr>
      <w:r>
        <w:rPr>
          <w:rFonts w:ascii="宋体" w:hAnsi="宋体" w:cs="宋体"/>
          <w:bCs w:val="0"/>
          <w:sz w:val="21"/>
          <w:szCs w:val="21"/>
          <w:highlight w:val="none"/>
        </w:rPr>
        <w:t>七、</w:t>
      </w:r>
      <w:r>
        <w:rPr>
          <w:rFonts w:hint="eastAsia" w:ascii="宋体" w:hAnsi="宋体" w:cs="宋体"/>
          <w:bCs w:val="0"/>
          <w:sz w:val="21"/>
          <w:szCs w:val="21"/>
          <w:highlight w:val="none"/>
        </w:rPr>
        <w:t>对本次采购提出询问、质疑、投诉，请按以下方式联系。</w:t>
      </w:r>
    </w:p>
    <w:p>
      <w:pPr>
        <w:widowControl/>
        <w:spacing w:line="400" w:lineRule="exact"/>
        <w:ind w:left="141" w:leftChars="67" w:hanging="1"/>
        <w:jc w:val="left"/>
        <w:rPr>
          <w:rFonts w:ascii="宋体" w:hAnsi="宋体" w:cs="宋体"/>
          <w:szCs w:val="21"/>
          <w:highlight w:val="none"/>
        </w:rPr>
      </w:pPr>
      <w:r>
        <w:rPr>
          <w:rFonts w:hint="eastAsia" w:ascii="宋体" w:hAnsi="宋体" w:cs="宋体"/>
          <w:szCs w:val="21"/>
          <w:highlight w:val="none"/>
        </w:rPr>
        <w:t>1.采购人信息</w:t>
      </w:r>
    </w:p>
    <w:p>
      <w:pPr>
        <w:widowControl/>
        <w:spacing w:line="360" w:lineRule="auto"/>
        <w:ind w:firstLine="420" w:firstLineChars="200"/>
        <w:jc w:val="left"/>
        <w:rPr>
          <w:rFonts w:ascii="宋体" w:hAnsi="宋体" w:cs="宋体"/>
          <w:highlight w:val="none"/>
          <w:u w:val="single"/>
        </w:rPr>
      </w:pPr>
      <w:r>
        <w:rPr>
          <w:rFonts w:hint="eastAsia" w:ascii="宋体" w:hAnsi="宋体" w:cs="宋体"/>
          <w:highlight w:val="none"/>
        </w:rPr>
        <w:t>名    称：</w:t>
      </w:r>
      <w:r>
        <w:rPr>
          <w:rFonts w:hint="eastAsia" w:ascii="宋体" w:hAnsi="宋体" w:cs="宋体"/>
          <w:highlight w:val="none"/>
          <w:u w:val="single"/>
        </w:rPr>
        <w:t>余姚市大数据发展管理局</w:t>
      </w:r>
    </w:p>
    <w:p>
      <w:pPr>
        <w:widowControl/>
        <w:spacing w:line="360" w:lineRule="auto"/>
        <w:ind w:firstLine="420" w:firstLineChars="200"/>
        <w:jc w:val="left"/>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single"/>
        </w:rPr>
        <w:t>余姚市梨洲街道谭家岭东路2号</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项目联系人（询问）：</w:t>
      </w:r>
      <w:r>
        <w:rPr>
          <w:rFonts w:hint="eastAsia" w:ascii="宋体" w:hAnsi="宋体" w:cs="宋体"/>
          <w:highlight w:val="none"/>
          <w:u w:val="single"/>
        </w:rPr>
        <w:t>沈老师</w:t>
      </w:r>
      <w:r>
        <w:rPr>
          <w:rFonts w:hint="eastAsia" w:ascii="宋体" w:hAnsi="宋体" w:cs="宋体"/>
          <w:highlight w:val="none"/>
        </w:rPr>
        <w:t xml:space="preserve"> </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项目联系方式（询问）：</w:t>
      </w:r>
      <w:r>
        <w:rPr>
          <w:rFonts w:hint="eastAsia" w:ascii="宋体" w:hAnsi="宋体" w:cs="宋体"/>
          <w:highlight w:val="none"/>
          <w:u w:val="single"/>
        </w:rPr>
        <w:t xml:space="preserve"> 0574-89553573</w:t>
      </w:r>
    </w:p>
    <w:p>
      <w:pPr>
        <w:widowControl/>
        <w:spacing w:line="360" w:lineRule="auto"/>
        <w:ind w:firstLine="420" w:firstLineChars="200"/>
        <w:jc w:val="left"/>
        <w:rPr>
          <w:rFonts w:hint="default" w:ascii="宋体" w:hAnsi="宋体" w:eastAsia="宋体" w:cs="宋体"/>
          <w:highlight w:val="none"/>
          <w:lang w:val="en-US" w:eastAsia="zh-CN"/>
        </w:rPr>
      </w:pPr>
      <w:r>
        <w:rPr>
          <w:rFonts w:hint="eastAsia" w:ascii="宋体" w:hAnsi="宋体" w:cs="宋体"/>
          <w:highlight w:val="none"/>
        </w:rPr>
        <w:t>质疑联系人：</w:t>
      </w:r>
      <w:r>
        <w:rPr>
          <w:rFonts w:hint="eastAsia" w:ascii="宋体" w:hAnsi="宋体" w:cs="宋体"/>
          <w:highlight w:val="none"/>
          <w:u w:val="single"/>
        </w:rPr>
        <w:t xml:space="preserve"> </w:t>
      </w:r>
      <w:r>
        <w:rPr>
          <w:rFonts w:hint="eastAsia" w:ascii="宋体" w:hAnsi="宋体" w:cs="宋体"/>
          <w:highlight w:val="none"/>
          <w:u w:val="single"/>
          <w:lang w:val="en-US" w:eastAsia="zh-CN"/>
        </w:rPr>
        <w:t>吕老师</w:t>
      </w:r>
    </w:p>
    <w:p>
      <w:pPr>
        <w:widowControl/>
        <w:spacing w:line="360" w:lineRule="auto"/>
        <w:ind w:firstLine="420" w:firstLineChars="200"/>
        <w:jc w:val="left"/>
        <w:rPr>
          <w:rFonts w:ascii="宋体" w:hAnsi="宋体" w:cs="宋体"/>
          <w:highlight w:val="none"/>
          <w:u w:val="single"/>
        </w:rPr>
      </w:pPr>
      <w:r>
        <w:rPr>
          <w:rFonts w:hint="eastAsia" w:ascii="宋体" w:hAnsi="宋体" w:cs="宋体"/>
          <w:highlight w:val="none"/>
        </w:rPr>
        <w:t>质疑联系方式：</w:t>
      </w:r>
      <w:r>
        <w:rPr>
          <w:rFonts w:hint="eastAsia" w:ascii="宋体" w:hAnsi="宋体" w:cs="宋体"/>
          <w:highlight w:val="none"/>
          <w:u w:val="single"/>
        </w:rPr>
        <w:t xml:space="preserve"> 0574-89553568</w:t>
      </w:r>
    </w:p>
    <w:p>
      <w:pPr>
        <w:pStyle w:val="36"/>
        <w:ind w:firstLine="400"/>
        <w:rPr>
          <w:rFonts w:ascii="宋体" w:hAnsi="宋体" w:cs="宋体"/>
          <w:highlight w:val="none"/>
        </w:rPr>
      </w:pPr>
    </w:p>
    <w:p>
      <w:pPr>
        <w:widowControl/>
        <w:spacing w:line="360" w:lineRule="auto"/>
        <w:ind w:firstLine="210" w:firstLineChars="100"/>
        <w:jc w:val="left"/>
        <w:rPr>
          <w:rFonts w:ascii="宋体" w:hAnsi="宋体" w:cs="宋体"/>
          <w:highlight w:val="none"/>
        </w:rPr>
      </w:pPr>
      <w:r>
        <w:rPr>
          <w:rFonts w:hint="eastAsia" w:ascii="宋体" w:hAnsi="宋体" w:cs="宋体"/>
          <w:highlight w:val="none"/>
        </w:rPr>
        <w:t>2.采购代理机构信息</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名    称：</w:t>
      </w:r>
      <w:r>
        <w:rPr>
          <w:rFonts w:hint="eastAsia" w:ascii="宋体" w:hAnsi="宋体" w:cs="宋体"/>
          <w:highlight w:val="none"/>
          <w:u w:val="single"/>
        </w:rPr>
        <w:t>宁波国咨工程造价咨询有限公司</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宁波市鄞州区和源路510号宁兴国贸大厦21楼2102室</w:t>
      </w:r>
    </w:p>
    <w:p>
      <w:pPr>
        <w:widowControl/>
        <w:spacing w:line="360" w:lineRule="auto"/>
        <w:ind w:firstLine="420" w:firstLineChars="200"/>
        <w:jc w:val="left"/>
        <w:rPr>
          <w:rFonts w:ascii="宋体" w:hAnsi="宋体" w:cs="宋体"/>
          <w:highlight w:val="none"/>
          <w:u w:val="single"/>
        </w:rPr>
      </w:pPr>
      <w:r>
        <w:rPr>
          <w:rFonts w:hint="eastAsia" w:ascii="宋体" w:hAnsi="宋体" w:cs="宋体"/>
          <w:highlight w:val="none"/>
        </w:rPr>
        <w:t>项目联系人（询问）：</w:t>
      </w:r>
      <w:r>
        <w:rPr>
          <w:rFonts w:hint="eastAsia" w:ascii="宋体" w:hAnsi="宋体" w:cs="宋体"/>
          <w:highlight w:val="none"/>
          <w:u w:val="single"/>
        </w:rPr>
        <w:t xml:space="preserve"> 戴佳颖、黄一达、唐权勇、李莺</w:t>
      </w:r>
    </w:p>
    <w:p>
      <w:pPr>
        <w:widowControl/>
        <w:spacing w:line="360" w:lineRule="auto"/>
        <w:ind w:firstLine="420" w:firstLineChars="200"/>
        <w:jc w:val="left"/>
        <w:rPr>
          <w:rFonts w:ascii="宋体" w:hAnsi="宋体" w:cs="宋体"/>
          <w:highlight w:val="none"/>
          <w:u w:val="single"/>
        </w:rPr>
      </w:pPr>
      <w:r>
        <w:rPr>
          <w:rFonts w:hint="eastAsia" w:ascii="宋体" w:hAnsi="宋体" w:cs="宋体"/>
          <w:highlight w:val="none"/>
        </w:rPr>
        <w:t>项目联系方式（询问）：</w:t>
      </w:r>
      <w:r>
        <w:rPr>
          <w:rFonts w:hint="eastAsia" w:ascii="宋体" w:hAnsi="宋体" w:cs="宋体"/>
          <w:highlight w:val="none"/>
          <w:u w:val="single"/>
        </w:rPr>
        <w:t>0574-87312175</w:t>
      </w:r>
    </w:p>
    <w:p>
      <w:pPr>
        <w:widowControl/>
        <w:spacing w:line="360" w:lineRule="auto"/>
        <w:ind w:firstLine="420" w:firstLineChars="200"/>
        <w:jc w:val="left"/>
        <w:rPr>
          <w:rFonts w:ascii="宋体" w:hAnsi="宋体" w:cs="宋体"/>
          <w:highlight w:val="none"/>
          <w:u w:val="single"/>
        </w:rPr>
      </w:pPr>
      <w:r>
        <w:rPr>
          <w:rFonts w:hint="eastAsia" w:ascii="宋体" w:hAnsi="宋体" w:cs="宋体"/>
          <w:highlight w:val="none"/>
        </w:rPr>
        <w:t>质疑联系人：</w:t>
      </w:r>
      <w:r>
        <w:rPr>
          <w:rFonts w:hint="eastAsia" w:ascii="宋体" w:hAnsi="宋体" w:cs="宋体"/>
          <w:highlight w:val="none"/>
          <w:u w:val="single"/>
        </w:rPr>
        <w:t>王月</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质疑联系方式：</w:t>
      </w:r>
      <w:r>
        <w:rPr>
          <w:rFonts w:hint="eastAsia" w:ascii="宋体" w:hAnsi="宋体" w:cs="宋体"/>
          <w:highlight w:val="none"/>
          <w:u w:val="single"/>
        </w:rPr>
        <w:t>0574-87321998</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电子邮箱：</w:t>
      </w:r>
      <w:r>
        <w:rPr>
          <w:rFonts w:hint="eastAsia" w:ascii="宋体" w:hAnsi="宋体" w:cs="宋体"/>
          <w:bCs/>
          <w:szCs w:val="21"/>
          <w:highlight w:val="none"/>
          <w:u w:val="single"/>
        </w:rPr>
        <w:t>625740900@qq.com</w:t>
      </w:r>
    </w:p>
    <w:p>
      <w:pPr>
        <w:widowControl/>
        <w:spacing w:line="360" w:lineRule="auto"/>
        <w:ind w:firstLine="210" w:firstLineChars="100"/>
        <w:jc w:val="left"/>
        <w:rPr>
          <w:rFonts w:ascii="宋体" w:hAnsi="宋体" w:cs="宋体"/>
          <w:highlight w:val="none"/>
        </w:rPr>
      </w:pPr>
      <w:r>
        <w:rPr>
          <w:rFonts w:hint="eastAsia" w:ascii="宋体" w:hAnsi="宋体" w:cs="宋体"/>
          <w:highlight w:val="none"/>
        </w:rPr>
        <w:t xml:space="preserve"> </w:t>
      </w:r>
    </w:p>
    <w:p>
      <w:pPr>
        <w:spacing w:line="360" w:lineRule="auto"/>
        <w:rPr>
          <w:rFonts w:ascii="宋体" w:hAnsi="宋体" w:cs="宋体"/>
          <w:highlight w:val="none"/>
        </w:rPr>
      </w:pPr>
      <w:r>
        <w:rPr>
          <w:rFonts w:ascii="宋体" w:hAnsi="宋体" w:cs="宋体"/>
          <w:highlight w:val="none"/>
        </w:rPr>
        <w:t>3.</w:t>
      </w:r>
      <w:r>
        <w:rPr>
          <w:rFonts w:hint="eastAsia" w:ascii="宋体" w:hAnsi="宋体" w:cs="宋体"/>
          <w:highlight w:val="none"/>
        </w:rPr>
        <w:t>同级政府采购监督管理部门</w:t>
      </w:r>
    </w:p>
    <w:p>
      <w:pPr>
        <w:spacing w:line="360" w:lineRule="auto"/>
        <w:ind w:firstLine="420" w:firstLineChars="200"/>
        <w:rPr>
          <w:rFonts w:ascii="宋体" w:hAnsi="宋体" w:cs="宋体"/>
          <w:highlight w:val="none"/>
        </w:rPr>
      </w:pPr>
      <w:r>
        <w:rPr>
          <w:rFonts w:hint="eastAsia" w:ascii="宋体" w:hAnsi="宋体" w:cs="宋体"/>
          <w:highlight w:val="none"/>
        </w:rPr>
        <w:t>名称：余姚市财政局 </w:t>
      </w:r>
    </w:p>
    <w:p>
      <w:pPr>
        <w:spacing w:line="360" w:lineRule="auto"/>
        <w:ind w:firstLine="420" w:firstLineChars="200"/>
        <w:rPr>
          <w:rFonts w:ascii="宋体" w:hAnsi="宋体" w:cs="宋体"/>
          <w:highlight w:val="none"/>
        </w:rPr>
      </w:pPr>
      <w:r>
        <w:rPr>
          <w:rFonts w:hint="eastAsia" w:ascii="宋体" w:hAnsi="宋体" w:cs="宋体"/>
          <w:highlight w:val="none"/>
        </w:rPr>
        <w:t>地址：余姚市南滨江路118号； </w:t>
      </w:r>
    </w:p>
    <w:p>
      <w:pPr>
        <w:spacing w:line="360" w:lineRule="auto"/>
        <w:ind w:firstLine="420" w:firstLineChars="200"/>
        <w:rPr>
          <w:rFonts w:ascii="宋体" w:hAnsi="宋体" w:cs="宋体"/>
          <w:highlight w:val="none"/>
        </w:rPr>
      </w:pPr>
      <w:r>
        <w:rPr>
          <w:rFonts w:hint="eastAsia" w:ascii="宋体" w:hAnsi="宋体" w:cs="宋体"/>
          <w:highlight w:val="none"/>
        </w:rPr>
        <w:t>联系人 ：303办公室 </w:t>
      </w:r>
    </w:p>
    <w:p>
      <w:pPr>
        <w:spacing w:line="360" w:lineRule="auto"/>
        <w:ind w:firstLine="420" w:firstLineChars="200"/>
        <w:rPr>
          <w:rFonts w:ascii="宋体" w:hAnsi="宋体" w:cs="宋体"/>
          <w:szCs w:val="21"/>
          <w:highlight w:val="none"/>
        </w:rPr>
      </w:pPr>
      <w:r>
        <w:rPr>
          <w:rFonts w:hint="eastAsia" w:ascii="宋体" w:hAnsi="宋体" w:cs="宋体"/>
          <w:highlight w:val="none"/>
        </w:rPr>
        <w:t>监督投诉电话：0574-</w:t>
      </w:r>
      <w:r>
        <w:rPr>
          <w:rFonts w:hint="eastAsia" w:ascii="宋体" w:hAnsi="宋体" w:cs="宋体"/>
          <w:highlight w:val="none"/>
          <w:lang w:val="en-US" w:eastAsia="zh-CN"/>
        </w:rPr>
        <w:t>89553033</w:t>
      </w:r>
      <w:r>
        <w:rPr>
          <w:rFonts w:hint="eastAsia" w:ascii="宋体" w:hAnsi="宋体" w:cs="宋体"/>
          <w:highlight w:val="none"/>
        </w:rPr>
        <w:t>；</w:t>
      </w: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若对项目采购电子交易系统操作有疑问，可登录政采云（https://www.zcygov.cn/），点击右侧咨询小采，获取采小蜜智能服务管家帮助，或拨打政采云服务热线</w:t>
      </w:r>
      <w:r>
        <w:rPr>
          <w:rFonts w:ascii="宋体" w:hAnsi="宋体" w:cs="宋体"/>
          <w:szCs w:val="21"/>
          <w:highlight w:val="none"/>
        </w:rPr>
        <w:t>95763</w:t>
      </w:r>
      <w:r>
        <w:rPr>
          <w:rFonts w:hint="eastAsia" w:ascii="宋体" w:hAnsi="宋体" w:cs="宋体"/>
          <w:szCs w:val="21"/>
          <w:highlight w:val="none"/>
        </w:rPr>
        <w:t>获取热线服务帮助。</w:t>
      </w:r>
    </w:p>
    <w:p>
      <w:pPr>
        <w:spacing w:line="360" w:lineRule="auto"/>
        <w:rPr>
          <w:rFonts w:ascii="宋体" w:hAnsi="宋体" w:cs="宋体"/>
          <w:szCs w:val="21"/>
          <w:highlight w:val="none"/>
        </w:rPr>
      </w:pPr>
      <w:r>
        <w:rPr>
          <w:rFonts w:hint="eastAsia" w:ascii="宋体" w:hAnsi="宋体" w:cs="宋体"/>
          <w:szCs w:val="21"/>
          <w:highlight w:val="none"/>
        </w:rPr>
        <w:t>CA问题联系电话（人工）：汇信CA 400-888-4636；天谷CA 400-087-8198。</w:t>
      </w:r>
    </w:p>
    <w:p>
      <w:pPr>
        <w:pStyle w:val="48"/>
        <w:rPr>
          <w:highlight w:val="none"/>
        </w:rPr>
      </w:pPr>
    </w:p>
    <w:p>
      <w:pPr>
        <w:pStyle w:val="3"/>
        <w:spacing w:beforeLines="0" w:afterLines="0" w:line="360" w:lineRule="auto"/>
        <w:rPr>
          <w:rFonts w:hint="eastAsia" w:ascii="宋体" w:hAnsi="宋体" w:cs="宋体"/>
          <w:sz w:val="32"/>
          <w:szCs w:val="32"/>
          <w:highlight w:val="none"/>
        </w:rPr>
        <w:sectPr>
          <w:headerReference r:id="rId7" w:type="default"/>
          <w:footerReference r:id="rId8" w:type="default"/>
          <w:pgSz w:w="11907" w:h="16840"/>
          <w:pgMar w:top="1276" w:right="1701" w:bottom="1428" w:left="1701" w:header="720" w:footer="720" w:gutter="0"/>
          <w:cols w:space="720" w:num="1"/>
          <w:docGrid w:type="linesAndChars" w:linePitch="286" w:charSpace="0"/>
        </w:sectPr>
      </w:pPr>
    </w:p>
    <w:p>
      <w:pPr>
        <w:pStyle w:val="3"/>
        <w:spacing w:beforeLines="0" w:afterLines="0" w:line="360" w:lineRule="auto"/>
        <w:rPr>
          <w:rFonts w:ascii="宋体" w:hAnsi="宋体" w:cs="宋体"/>
          <w:sz w:val="32"/>
          <w:szCs w:val="32"/>
          <w:highlight w:val="none"/>
        </w:rPr>
      </w:pPr>
      <w:r>
        <w:rPr>
          <w:rFonts w:hint="eastAsia" w:ascii="宋体" w:hAnsi="宋体" w:cs="宋体"/>
          <w:sz w:val="32"/>
          <w:szCs w:val="32"/>
          <w:highlight w:val="none"/>
        </w:rPr>
        <w:t>第二部分 招标项目需求</w:t>
      </w:r>
    </w:p>
    <w:p>
      <w:pPr>
        <w:jc w:val="center"/>
        <w:rPr>
          <w:rFonts w:ascii="宋体" w:hAnsi="宋体" w:cs="宋体"/>
          <w:sz w:val="28"/>
          <w:szCs w:val="28"/>
          <w:highlight w:val="none"/>
        </w:rPr>
      </w:pPr>
      <w:r>
        <w:rPr>
          <w:rFonts w:hint="eastAsia" w:ascii="宋体" w:hAnsi="宋体" w:cs="宋体"/>
          <w:sz w:val="28"/>
          <w:szCs w:val="28"/>
          <w:highlight w:val="none"/>
        </w:rPr>
        <w:t>项目需求前附表</w:t>
      </w:r>
    </w:p>
    <w:tbl>
      <w:tblPr>
        <w:tblStyle w:val="37"/>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679"/>
      </w:tblGrid>
      <w:tr>
        <w:trPr>
          <w:trHeight w:val="23" w:hRule="atLeast"/>
          <w:tblHeader/>
          <w:jc w:val="center"/>
        </w:trPr>
        <w:tc>
          <w:tcPr>
            <w:tcW w:w="742"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序号</w:t>
            </w:r>
          </w:p>
        </w:tc>
        <w:tc>
          <w:tcPr>
            <w:tcW w:w="2382"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项目</w:t>
            </w:r>
          </w:p>
        </w:tc>
        <w:tc>
          <w:tcPr>
            <w:tcW w:w="5679"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采购需求内容</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采购内容</w:t>
            </w:r>
          </w:p>
        </w:tc>
        <w:tc>
          <w:tcPr>
            <w:tcW w:w="5679"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详见第一部分《采购公告》及本部分“技术要求”</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2</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单位及数量</w:t>
            </w:r>
          </w:p>
        </w:tc>
        <w:tc>
          <w:tcPr>
            <w:tcW w:w="5679"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详见第一部分《采购公告》及本部分“技术要求”</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3</w:t>
            </w:r>
          </w:p>
        </w:tc>
        <w:tc>
          <w:tcPr>
            <w:tcW w:w="2382" w:type="dxa"/>
            <w:vAlign w:val="center"/>
          </w:tcPr>
          <w:p>
            <w:pPr>
              <w:spacing w:line="360" w:lineRule="exact"/>
              <w:jc w:val="left"/>
              <w:textAlignment w:val="baseline"/>
              <w:rPr>
                <w:rFonts w:ascii="宋体" w:hAnsi="宋体" w:cs="宋体"/>
                <w:szCs w:val="21"/>
                <w:highlight w:val="none"/>
              </w:rPr>
            </w:pPr>
            <w:r>
              <w:rPr>
                <w:rFonts w:hint="eastAsia" w:ascii="宋体" w:hAnsi="宋体" w:cs="宋体"/>
                <w:szCs w:val="21"/>
                <w:highlight w:val="none"/>
              </w:rPr>
              <w:t>交付或者实施的时间和地点</w:t>
            </w:r>
          </w:p>
        </w:tc>
        <w:tc>
          <w:tcPr>
            <w:tcW w:w="5679"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详见商务要求表</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4</w:t>
            </w:r>
          </w:p>
        </w:tc>
        <w:tc>
          <w:tcPr>
            <w:tcW w:w="2382" w:type="dxa"/>
            <w:vAlign w:val="bottom"/>
          </w:tcPr>
          <w:p>
            <w:pPr>
              <w:spacing w:line="360" w:lineRule="exact"/>
              <w:textAlignment w:val="baseline"/>
              <w:rPr>
                <w:rFonts w:ascii="宋体" w:hAnsi="宋体" w:cs="宋体"/>
                <w:szCs w:val="21"/>
                <w:highlight w:val="none"/>
              </w:rPr>
            </w:pPr>
            <w:r>
              <w:rPr>
                <w:rFonts w:hint="eastAsia" w:ascii="宋体" w:hAnsi="宋体" w:cs="宋体"/>
                <w:szCs w:val="21"/>
                <w:highlight w:val="none"/>
              </w:rPr>
              <w:t>需实现的功能或者目标</w:t>
            </w:r>
          </w:p>
        </w:tc>
        <w:tc>
          <w:tcPr>
            <w:tcW w:w="5679" w:type="dxa"/>
            <w:vAlign w:val="bottom"/>
          </w:tcPr>
          <w:p>
            <w:pPr>
              <w:spacing w:line="360" w:lineRule="exact"/>
              <w:rPr>
                <w:rFonts w:ascii="宋体" w:hAnsi="宋体" w:cs="宋体"/>
                <w:szCs w:val="21"/>
                <w:highlight w:val="none"/>
              </w:rPr>
            </w:pPr>
            <w:r>
              <w:rPr>
                <w:rFonts w:hint="eastAsia" w:ascii="宋体" w:hAnsi="宋体" w:cs="宋体"/>
                <w:szCs w:val="21"/>
                <w:highlight w:val="none"/>
              </w:rPr>
              <w:t>详见技术要求</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5</w:t>
            </w:r>
          </w:p>
        </w:tc>
        <w:tc>
          <w:tcPr>
            <w:tcW w:w="2382" w:type="dxa"/>
            <w:vAlign w:val="center"/>
          </w:tcPr>
          <w:p>
            <w:pPr>
              <w:spacing w:line="360" w:lineRule="exact"/>
              <w:jc w:val="left"/>
              <w:textAlignment w:val="baseline"/>
              <w:rPr>
                <w:rFonts w:ascii="宋体" w:hAnsi="宋体" w:cs="宋体"/>
                <w:szCs w:val="21"/>
                <w:highlight w:val="none"/>
              </w:rPr>
            </w:pPr>
            <w:r>
              <w:rPr>
                <w:rFonts w:hint="eastAsia" w:ascii="宋体" w:hAnsi="宋体" w:cs="宋体"/>
                <w:szCs w:val="21"/>
                <w:highlight w:val="none"/>
              </w:rPr>
              <w:t>采购标的需执行的标准</w:t>
            </w:r>
          </w:p>
        </w:tc>
        <w:tc>
          <w:tcPr>
            <w:tcW w:w="5679"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执行国家、地方、有关机构所有相关的技术规范与标准，且确保所采用的技术规范、标准必须是国家或有关机构发布的最新版本，无论此版本在此有无提及。</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6</w:t>
            </w:r>
          </w:p>
        </w:tc>
        <w:tc>
          <w:tcPr>
            <w:tcW w:w="2382" w:type="dxa"/>
            <w:vAlign w:val="center"/>
          </w:tcPr>
          <w:p>
            <w:pPr>
              <w:spacing w:line="360" w:lineRule="exact"/>
              <w:jc w:val="left"/>
              <w:textAlignment w:val="baseline"/>
              <w:rPr>
                <w:rFonts w:ascii="宋体" w:hAnsi="宋体" w:cs="宋体"/>
                <w:szCs w:val="21"/>
                <w:highlight w:val="none"/>
              </w:rPr>
            </w:pPr>
            <w:r>
              <w:rPr>
                <w:rFonts w:hint="eastAsia" w:ascii="宋体" w:hAnsi="宋体" w:cs="宋体"/>
                <w:szCs w:val="21"/>
                <w:highlight w:val="none"/>
              </w:rPr>
              <w:t>采购标的对应的中小企业划分标准所属行业</w:t>
            </w:r>
          </w:p>
        </w:tc>
        <w:tc>
          <w:tcPr>
            <w:tcW w:w="5679"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软件和信息技术服务业</w:t>
            </w:r>
          </w:p>
        </w:tc>
      </w:tr>
      <w:tr>
        <w:trPr>
          <w:trHeight w:val="308"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7</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技术规格要求</w:t>
            </w:r>
          </w:p>
        </w:tc>
        <w:tc>
          <w:tcPr>
            <w:tcW w:w="5679" w:type="dxa"/>
            <w:vAlign w:val="center"/>
          </w:tcPr>
          <w:p>
            <w:pPr>
              <w:spacing w:line="360" w:lineRule="exact"/>
              <w:rPr>
                <w:rFonts w:ascii="宋体" w:hAnsi="宋体" w:cs="宋体"/>
                <w:highlight w:val="none"/>
              </w:rPr>
            </w:pPr>
            <w:r>
              <w:rPr>
                <w:rFonts w:hint="eastAsia" w:ascii="宋体" w:hAnsi="宋体" w:cs="宋体"/>
                <w:highlight w:val="none"/>
              </w:rPr>
              <w:t>详见技术要求</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8</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物理特性要求</w:t>
            </w:r>
          </w:p>
        </w:tc>
        <w:tc>
          <w:tcPr>
            <w:tcW w:w="5679" w:type="dxa"/>
            <w:vAlign w:val="center"/>
          </w:tcPr>
          <w:p>
            <w:pPr>
              <w:spacing w:line="360" w:lineRule="exact"/>
              <w:rPr>
                <w:rFonts w:ascii="宋体" w:hAnsi="宋体" w:cs="宋体"/>
                <w:highlight w:val="none"/>
              </w:rPr>
            </w:pPr>
            <w:r>
              <w:rPr>
                <w:rFonts w:hint="eastAsia" w:ascii="宋体" w:hAnsi="宋体" w:cs="宋体"/>
                <w:highlight w:val="none"/>
              </w:rPr>
              <w:t>/</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9</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质量、安全要求</w:t>
            </w:r>
          </w:p>
        </w:tc>
        <w:tc>
          <w:tcPr>
            <w:tcW w:w="5679" w:type="dxa"/>
            <w:vAlign w:val="center"/>
          </w:tcPr>
          <w:p>
            <w:pPr>
              <w:spacing w:line="360" w:lineRule="exact"/>
              <w:rPr>
                <w:rFonts w:ascii="宋体" w:hAnsi="宋体" w:cs="宋体"/>
                <w:highlight w:val="none"/>
              </w:rPr>
            </w:pPr>
            <w:r>
              <w:rPr>
                <w:rFonts w:hint="eastAsia" w:ascii="宋体" w:hAnsi="宋体" w:cs="宋体"/>
                <w:highlight w:val="none"/>
              </w:rPr>
              <w:t>/</w:t>
            </w:r>
          </w:p>
        </w:tc>
      </w:tr>
      <w:tr>
        <w:trPr>
          <w:trHeight w:val="860"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10</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服务标准、期限、效率(培训等）</w:t>
            </w:r>
          </w:p>
        </w:tc>
        <w:tc>
          <w:tcPr>
            <w:tcW w:w="5679" w:type="dxa"/>
            <w:vAlign w:val="center"/>
          </w:tcPr>
          <w:p>
            <w:pPr>
              <w:spacing w:line="360" w:lineRule="exact"/>
              <w:rPr>
                <w:rFonts w:ascii="宋体" w:hAnsi="宋体" w:cs="宋体"/>
                <w:color w:val="000000"/>
                <w:szCs w:val="21"/>
                <w:highlight w:val="none"/>
              </w:rPr>
            </w:pPr>
            <w:r>
              <w:rPr>
                <w:rFonts w:hint="eastAsia" w:ascii="宋体" w:hAnsi="宋体" w:cs="宋体"/>
                <w:color w:val="000000"/>
                <w:szCs w:val="21"/>
                <w:highlight w:val="none"/>
              </w:rPr>
              <w:t>服务质量必须执行国家相关标准、行业标准、地方标准或者其它标准、规范，按照就高原则执行。</w:t>
            </w:r>
          </w:p>
          <w:p>
            <w:pPr>
              <w:spacing w:line="360" w:lineRule="exact"/>
              <w:rPr>
                <w:rFonts w:ascii="宋体" w:hAnsi="宋体" w:cs="宋体"/>
                <w:color w:val="000000"/>
                <w:szCs w:val="21"/>
                <w:highlight w:val="none"/>
              </w:rPr>
            </w:pPr>
            <w:r>
              <w:rPr>
                <w:rFonts w:hint="eastAsia" w:ascii="宋体" w:hAnsi="宋体" w:cs="宋体"/>
                <w:color w:val="000000"/>
                <w:szCs w:val="21"/>
                <w:highlight w:val="none"/>
              </w:rPr>
              <w:t>1、本项目必须达到现行中华人民共和国及省市行业的一切有关法规规范的要求。</w:t>
            </w:r>
          </w:p>
          <w:p>
            <w:pPr>
              <w:spacing w:line="360" w:lineRule="exact"/>
              <w:rPr>
                <w:rFonts w:ascii="宋体" w:hAnsi="宋体" w:cs="宋体"/>
                <w:color w:val="000000"/>
                <w:szCs w:val="21"/>
                <w:highlight w:val="none"/>
              </w:rPr>
            </w:pPr>
            <w:r>
              <w:rPr>
                <w:rFonts w:hint="eastAsia" w:ascii="宋体" w:hAnsi="宋体" w:cs="宋体"/>
                <w:color w:val="000000"/>
                <w:szCs w:val="21"/>
                <w:highlight w:val="none"/>
              </w:rPr>
              <w:t>2、技术要求：按照相关图纸和相关的技术规范、验收规范。</w:t>
            </w:r>
          </w:p>
          <w:p>
            <w:pPr>
              <w:spacing w:line="360" w:lineRule="exact"/>
              <w:rPr>
                <w:rFonts w:ascii="宋体" w:hAnsi="宋体" w:cs="宋体"/>
                <w:color w:val="000000"/>
                <w:szCs w:val="21"/>
                <w:highlight w:val="none"/>
              </w:rPr>
            </w:pPr>
            <w:r>
              <w:rPr>
                <w:rFonts w:hint="eastAsia" w:ascii="宋体" w:hAnsi="宋体" w:cs="宋体"/>
                <w:color w:val="000000"/>
                <w:szCs w:val="21"/>
                <w:highlight w:val="none"/>
              </w:rPr>
              <w:t>3、中标人应负责在项目现场进行服务直至该项目验收合格、交付使用，其费用应包括在项目总价中。</w:t>
            </w:r>
          </w:p>
          <w:p>
            <w:pPr>
              <w:spacing w:line="360" w:lineRule="exact"/>
              <w:rPr>
                <w:rFonts w:ascii="宋体" w:hAnsi="宋体" w:cs="宋体"/>
                <w:highlight w:val="none"/>
              </w:rPr>
            </w:pPr>
            <w:r>
              <w:rPr>
                <w:rFonts w:hint="eastAsia" w:ascii="宋体" w:hAnsi="宋体" w:cs="宋体"/>
                <w:color w:val="000000"/>
                <w:szCs w:val="21"/>
                <w:highlight w:val="none"/>
              </w:rPr>
              <w:t>4、项目验收：由采购人验收，依据为国家有关规定、采购文件、中标人的投标文件以及其他相关文件和资料。</w:t>
            </w:r>
          </w:p>
        </w:tc>
      </w:tr>
      <w:tr>
        <w:trPr>
          <w:trHeight w:val="1018"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11</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验收标准</w:t>
            </w:r>
          </w:p>
        </w:tc>
        <w:tc>
          <w:tcPr>
            <w:tcW w:w="5679" w:type="dxa"/>
            <w:vAlign w:val="center"/>
          </w:tcPr>
          <w:p>
            <w:pPr>
              <w:adjustRightInd w:val="0"/>
              <w:spacing w:line="360" w:lineRule="exact"/>
              <w:rPr>
                <w:rFonts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szCs w:val="21"/>
                <w:highlight w:val="none"/>
              </w:rPr>
              <w:t>根据中华人民共和国现行技术标准，按采购文件以及合同规定的验收评定标准等规范，由采购人组织验收。</w:t>
            </w:r>
          </w:p>
          <w:p>
            <w:pPr>
              <w:adjustRightInd w:val="0"/>
              <w:spacing w:line="360" w:lineRule="exact"/>
              <w:rPr>
                <w:rFonts w:ascii="宋体" w:hAnsi="宋体" w:cs="宋体"/>
                <w:szCs w:val="21"/>
                <w:highlight w:val="none"/>
              </w:rPr>
            </w:pPr>
            <w:r>
              <w:rPr>
                <w:rFonts w:hint="eastAsia" w:ascii="宋体" w:hAnsi="宋体" w:cs="宋体"/>
                <w:color w:val="000000"/>
                <w:highlight w:val="none"/>
              </w:rPr>
              <w:t>2、中标人应对提交的服务成果作出全面检查和整理，并列出清单，作为采购人验收和使用的技术条件依据，清单应随提交的服务成果交给采购人。</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12</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现场踏勘</w:t>
            </w:r>
          </w:p>
        </w:tc>
        <w:tc>
          <w:tcPr>
            <w:tcW w:w="5679" w:type="dxa"/>
            <w:vAlign w:val="center"/>
          </w:tcPr>
          <w:p>
            <w:pPr>
              <w:spacing w:line="360" w:lineRule="exact"/>
              <w:rPr>
                <w:rFonts w:ascii="宋体" w:hAnsi="宋体" w:cs="宋体"/>
                <w:b/>
                <w:bCs/>
                <w:szCs w:val="21"/>
                <w:highlight w:val="none"/>
              </w:rPr>
            </w:pPr>
            <w:r>
              <w:rPr>
                <w:rFonts w:hint="eastAsia" w:ascii="宋体" w:hAnsi="宋体" w:cs="宋体"/>
                <w:bCs/>
                <w:szCs w:val="21"/>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13</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lang w:val="en-US" w:eastAsia="zh-CN"/>
              </w:rPr>
              <w:t>演试</w:t>
            </w:r>
            <w:r>
              <w:rPr>
                <w:rFonts w:hint="eastAsia" w:ascii="宋体" w:hAnsi="宋体" w:cs="宋体"/>
                <w:szCs w:val="21"/>
                <w:highlight w:val="none"/>
              </w:rPr>
              <w:t>时间及地点</w:t>
            </w:r>
          </w:p>
        </w:tc>
        <w:tc>
          <w:tcPr>
            <w:tcW w:w="5679" w:type="dxa"/>
            <w:vAlign w:val="center"/>
          </w:tcPr>
          <w:p>
            <w:pPr>
              <w:spacing w:line="360" w:lineRule="exact"/>
              <w:rPr>
                <w:rFonts w:ascii="宋体" w:hAnsi="宋体" w:cs="宋体"/>
                <w:highlight w:val="none"/>
              </w:rPr>
            </w:pPr>
            <w:r>
              <w:rPr>
                <w:rFonts w:hint="eastAsia" w:ascii="宋体" w:hAnsi="宋体" w:cs="宋体"/>
                <w:highlight w:val="none"/>
              </w:rPr>
              <w:t>无</w:t>
            </w:r>
          </w:p>
        </w:tc>
      </w:tr>
    </w:tbl>
    <w:p>
      <w:pPr>
        <w:widowControl/>
        <w:jc w:val="left"/>
        <w:rPr>
          <w:rFonts w:ascii="宋体" w:hAnsi="宋体" w:cs="宋体"/>
          <w:sz w:val="24"/>
          <w:szCs w:val="24"/>
          <w:highlight w:val="none"/>
        </w:rPr>
      </w:pPr>
      <w:r>
        <w:rPr>
          <w:rFonts w:hint="eastAsia" w:ascii="宋体" w:hAnsi="宋体" w:cs="宋体"/>
          <w:sz w:val="24"/>
          <w:szCs w:val="24"/>
          <w:highlight w:val="none"/>
        </w:rPr>
        <w:br w:type="page"/>
      </w:r>
    </w:p>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商务要求</w:t>
      </w:r>
    </w:p>
    <w:tbl>
      <w:tblPr>
        <w:tblStyle w:val="37"/>
        <w:tblW w:w="87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6"/>
        <w:gridCol w:w="6904"/>
      </w:tblGrid>
      <w:tr>
        <w:trPr>
          <w:trHeight w:val="454"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bCs/>
                <w:szCs w:val="21"/>
                <w:highlight w:val="none"/>
              </w:rPr>
            </w:pPr>
            <w:r>
              <w:rPr>
                <w:rFonts w:hint="eastAsia" w:ascii="宋体" w:hAnsi="宋体" w:cs="宋体"/>
                <w:b/>
                <w:bCs/>
                <w:szCs w:val="21"/>
                <w:highlight w:val="none"/>
              </w:rPr>
              <w:t>项目</w:t>
            </w:r>
          </w:p>
        </w:tc>
        <w:tc>
          <w:tcPr>
            <w:tcW w:w="6904"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bCs/>
                <w:szCs w:val="21"/>
                <w:highlight w:val="none"/>
              </w:rPr>
            </w:pPr>
            <w:r>
              <w:rPr>
                <w:rFonts w:hint="eastAsia" w:ascii="宋体" w:hAnsi="宋体" w:cs="宋体"/>
                <w:b/>
                <w:bCs/>
                <w:szCs w:val="21"/>
                <w:highlight w:val="none"/>
              </w:rPr>
              <w:t>要 求</w:t>
            </w:r>
          </w:p>
        </w:tc>
      </w:tr>
      <w:tr>
        <w:trPr>
          <w:trHeight w:val="454"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1"/>
                <w:highlight w:val="none"/>
              </w:rPr>
            </w:pPr>
            <w:r>
              <w:rPr>
                <w:rFonts w:hint="eastAsia" w:ascii="宋体" w:hAnsi="宋体" w:cs="宋体"/>
                <w:szCs w:val="21"/>
                <w:highlight w:val="none"/>
              </w:rPr>
              <w:t>★</w:t>
            </w:r>
            <w:r>
              <w:rPr>
                <w:rFonts w:hint="eastAsia" w:ascii="宋体" w:hAnsi="宋体" w:cs="宋体"/>
                <w:highlight w:val="none"/>
              </w:rPr>
              <w:t>1.签订合同时间</w:t>
            </w:r>
          </w:p>
        </w:tc>
        <w:tc>
          <w:tcPr>
            <w:tcW w:w="690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highlight w:val="none"/>
              </w:rPr>
            </w:pPr>
            <w:r>
              <w:rPr>
                <w:rFonts w:hint="eastAsia" w:ascii="宋体" w:hAnsi="宋体" w:cs="宋体"/>
                <w:szCs w:val="21"/>
                <w:highlight w:val="none"/>
              </w:rPr>
              <w:t>中标通知书发出之日起30日内签订合同，具体签约时间以采购人通知为准。</w:t>
            </w:r>
          </w:p>
        </w:tc>
      </w:tr>
      <w:tr>
        <w:trPr>
          <w:trHeight w:val="454"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highlight w:val="none"/>
              </w:rPr>
            </w:pPr>
            <w:r>
              <w:rPr>
                <w:rFonts w:hint="eastAsia" w:ascii="宋体" w:hAnsi="宋体" w:cs="宋体"/>
                <w:highlight w:val="none"/>
              </w:rPr>
              <w:t>★2.服务期</w:t>
            </w:r>
          </w:p>
        </w:tc>
        <w:tc>
          <w:tcPr>
            <w:tcW w:w="690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highlight w:val="none"/>
              </w:rPr>
            </w:pPr>
            <w:r>
              <w:rPr>
                <w:rFonts w:hint="eastAsia" w:ascii="宋体" w:hAnsi="宋体" w:cs="宋体"/>
                <w:highlight w:val="none"/>
                <w:lang w:val="en-US" w:eastAsia="zh-CN"/>
              </w:rPr>
              <w:t>本项目工期为</w:t>
            </w:r>
            <w:r>
              <w:rPr>
                <w:rFonts w:hint="eastAsia" w:ascii="宋体" w:hAnsi="宋体" w:cs="宋体"/>
                <w:highlight w:val="none"/>
              </w:rPr>
              <w:t>自合同签订之日起</w:t>
            </w:r>
            <w:r>
              <w:rPr>
                <w:rFonts w:hint="eastAsia" w:ascii="宋体" w:hAnsi="宋体" w:cs="宋体"/>
                <w:highlight w:val="none"/>
                <w:lang w:val="en-US" w:eastAsia="zh-CN"/>
              </w:rPr>
              <w:t>2个月</w:t>
            </w:r>
            <w:r>
              <w:rPr>
                <w:rFonts w:hint="eastAsia" w:ascii="宋体" w:hAnsi="宋体" w:cs="宋体"/>
                <w:highlight w:val="none"/>
              </w:rPr>
              <w:t>内完成实施并进入试运行，试运行时间为3个月</w:t>
            </w:r>
            <w:r>
              <w:rPr>
                <w:rFonts w:hint="eastAsia" w:ascii="宋体" w:hAnsi="宋体" w:cs="宋体"/>
                <w:highlight w:val="none"/>
                <w:lang w:eastAsia="zh-CN"/>
              </w:rPr>
              <w:t>；</w:t>
            </w:r>
            <w:r>
              <w:rPr>
                <w:rFonts w:hint="eastAsia" w:ascii="宋体" w:hAnsi="宋体" w:cs="宋体"/>
                <w:highlight w:val="none"/>
                <w:lang w:val="en-US" w:eastAsia="zh-CN"/>
              </w:rPr>
              <w:t>服务期自</w:t>
            </w:r>
            <w:r>
              <w:rPr>
                <w:rFonts w:hint="eastAsia" w:ascii="宋体" w:hAnsi="宋体" w:cs="宋体"/>
                <w:highlight w:val="none"/>
              </w:rPr>
              <w:t>项目通过</w:t>
            </w:r>
            <w:r>
              <w:rPr>
                <w:rFonts w:hint="eastAsia" w:ascii="宋体" w:hAnsi="宋体" w:cs="宋体"/>
                <w:highlight w:val="none"/>
                <w:lang w:val="en-US" w:eastAsia="zh-CN"/>
              </w:rPr>
              <w:t>交付</w:t>
            </w:r>
            <w:r>
              <w:rPr>
                <w:rFonts w:hint="eastAsia" w:ascii="宋体" w:hAnsi="宋体" w:cs="宋体"/>
                <w:highlight w:val="none"/>
              </w:rPr>
              <w:t>验收之日起计算，服务期限叁年。</w:t>
            </w:r>
          </w:p>
        </w:tc>
      </w:tr>
      <w:tr>
        <w:trPr>
          <w:trHeight w:val="698"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264" w:lineRule="auto"/>
              <w:ind w:left="36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w:t>
            </w:r>
            <w:r>
              <w:rPr>
                <w:rFonts w:hint="eastAsia" w:ascii="宋体" w:hAnsi="宋体" w:cs="宋体"/>
                <w:szCs w:val="21"/>
                <w:highlight w:val="none"/>
              </w:rPr>
              <w:t>服务地点</w:t>
            </w:r>
          </w:p>
        </w:tc>
        <w:tc>
          <w:tcPr>
            <w:tcW w:w="6904" w:type="dxa"/>
            <w:tcBorders>
              <w:top w:val="single" w:color="auto" w:sz="4" w:space="0"/>
              <w:left w:val="single" w:color="auto" w:sz="4" w:space="0"/>
              <w:bottom w:val="single" w:color="auto" w:sz="4" w:space="0"/>
              <w:right w:val="single" w:color="auto" w:sz="4" w:space="0"/>
            </w:tcBorders>
            <w:vAlign w:val="center"/>
          </w:tcPr>
          <w:p>
            <w:pPr>
              <w:pStyle w:val="23"/>
              <w:snapToGrid w:val="0"/>
              <w:spacing w:line="400" w:lineRule="exact"/>
              <w:rPr>
                <w:rFonts w:hAnsi="宋体" w:cs="宋体"/>
                <w:sz w:val="21"/>
                <w:highlight w:val="none"/>
              </w:rPr>
            </w:pPr>
            <w:r>
              <w:rPr>
                <w:rFonts w:hint="eastAsia" w:hAnsi="宋体" w:cs="宋体"/>
                <w:sz w:val="21"/>
                <w:highlight w:val="none"/>
              </w:rPr>
              <w:t>招标人指定地点。</w:t>
            </w:r>
          </w:p>
        </w:tc>
      </w:tr>
      <w:tr>
        <w:trPr>
          <w:trHeight w:val="454"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highlight w:val="none"/>
              </w:rPr>
            </w:pPr>
            <w:r>
              <w:rPr>
                <w:rFonts w:hint="eastAsia" w:ascii="宋体" w:hAnsi="宋体" w:cs="宋体"/>
                <w:szCs w:val="21"/>
                <w:highlight w:val="none"/>
              </w:rPr>
              <w:t>★4.付款条件</w:t>
            </w:r>
          </w:p>
        </w:tc>
        <w:tc>
          <w:tcPr>
            <w:tcW w:w="69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宋体"/>
                <w:highlight w:val="none"/>
              </w:rPr>
            </w:pPr>
            <w:r>
              <w:rPr>
                <w:rFonts w:hint="eastAsia" w:hAnsi="宋体" w:cs="宋体"/>
                <w:highlight w:val="none"/>
              </w:rPr>
              <w:t>1</w:t>
            </w:r>
            <w:r>
              <w:rPr>
                <w:rFonts w:hint="eastAsia" w:hAnsi="宋体" w:cs="宋体"/>
                <w:highlight w:val="none"/>
                <w:lang w:val="en-US" w:eastAsia="zh-CN"/>
              </w:rPr>
              <w:t>-1</w:t>
            </w:r>
            <w:r>
              <w:rPr>
                <w:rFonts w:hint="eastAsia" w:hAnsi="宋体" w:cs="宋体"/>
                <w:highlight w:val="none"/>
              </w:rPr>
              <w:t>）合同生效后7个工作日内支付合同总价的</w:t>
            </w:r>
            <w:r>
              <w:rPr>
                <w:rFonts w:hint="eastAsia" w:hAnsi="宋体" w:cs="宋体"/>
                <w:highlight w:val="none"/>
                <w:lang w:val="en-US" w:eastAsia="zh-CN"/>
              </w:rPr>
              <w:t>30</w:t>
            </w:r>
            <w:r>
              <w:rPr>
                <w:rFonts w:hint="eastAsia" w:hAnsi="宋体" w:cs="宋体"/>
                <w:highlight w:val="none"/>
              </w:rPr>
              <w:t>%（中标人为非中小微企业）；1-</w:t>
            </w:r>
            <w:r>
              <w:rPr>
                <w:rFonts w:hint="eastAsia" w:hAnsi="宋体" w:cs="宋体"/>
                <w:highlight w:val="none"/>
                <w:lang w:val="en-US" w:eastAsia="zh-CN"/>
              </w:rPr>
              <w:t>2</w:t>
            </w:r>
            <w:r>
              <w:rPr>
                <w:rFonts w:hint="eastAsia" w:hAnsi="宋体" w:cs="宋体"/>
                <w:highlight w:val="none"/>
              </w:rPr>
              <w:t>）合同生效后7个工作日内支付合同总价的40%（中标人为中小微企业）；</w:t>
            </w:r>
          </w:p>
          <w:p>
            <w:pPr>
              <w:spacing w:line="400" w:lineRule="exact"/>
              <w:rPr>
                <w:rFonts w:hint="eastAsia" w:hAnsi="宋体" w:cs="宋体"/>
                <w:highlight w:val="none"/>
              </w:rPr>
            </w:pPr>
            <w:r>
              <w:rPr>
                <w:rFonts w:hint="eastAsia" w:hAnsi="宋体" w:cs="宋体"/>
                <w:highlight w:val="none"/>
                <w:lang w:val="en-US" w:eastAsia="zh-CN"/>
              </w:rPr>
              <w:t>2-1</w:t>
            </w:r>
            <w:r>
              <w:rPr>
                <w:rFonts w:hint="eastAsia" w:hAnsi="宋体" w:cs="宋体"/>
                <w:highlight w:val="none"/>
                <w:lang w:eastAsia="zh-CN"/>
              </w:rPr>
              <w:t>）</w:t>
            </w:r>
            <w:r>
              <w:rPr>
                <w:rFonts w:hint="eastAsia" w:hAnsi="宋体" w:cs="宋体"/>
                <w:highlight w:val="none"/>
              </w:rPr>
              <w:t>第二年服务期</w:t>
            </w:r>
            <w:r>
              <w:rPr>
                <w:rFonts w:hint="eastAsia" w:hAnsi="宋体" w:cs="宋体"/>
                <w:highlight w:val="none"/>
                <w:lang w:val="en-US" w:eastAsia="zh-CN"/>
              </w:rPr>
              <w:t>结束前两个月</w:t>
            </w:r>
            <w:r>
              <w:rPr>
                <w:rFonts w:hint="eastAsia" w:hAnsi="宋体" w:cs="宋体"/>
                <w:highlight w:val="none"/>
              </w:rPr>
              <w:t>，甲方收到乙方开具的税务发票确认无误后30个工作日内支付合同总价的</w:t>
            </w:r>
            <w:r>
              <w:rPr>
                <w:rFonts w:hint="eastAsia" w:hAnsi="宋体" w:cs="宋体"/>
                <w:highlight w:val="none"/>
                <w:lang w:val="en-US" w:eastAsia="zh-CN"/>
              </w:rPr>
              <w:t>35</w:t>
            </w:r>
            <w:r>
              <w:rPr>
                <w:rFonts w:hint="eastAsia" w:hAnsi="宋体" w:cs="宋体"/>
                <w:highlight w:val="none"/>
              </w:rPr>
              <w:t>%（如有违约金，在扣除</w:t>
            </w:r>
            <w:r>
              <w:rPr>
                <w:rFonts w:hint="eastAsia" w:hAnsi="宋体" w:cs="宋体"/>
                <w:highlight w:val="none"/>
                <w:lang w:val="en-US" w:eastAsia="zh-CN"/>
              </w:rPr>
              <w:t>第一</w:t>
            </w:r>
            <w:r>
              <w:rPr>
                <w:rFonts w:hint="eastAsia" w:hAnsi="宋体" w:cs="宋体"/>
                <w:highlight w:val="none"/>
              </w:rPr>
              <w:t>年度违约金后支付）（中标人为非中小微企业）；</w:t>
            </w:r>
            <w:r>
              <w:rPr>
                <w:rFonts w:hint="eastAsia" w:hAnsi="宋体" w:cs="宋体"/>
                <w:highlight w:val="none"/>
                <w:lang w:val="en-US" w:eastAsia="zh-CN"/>
              </w:rPr>
              <w:t>2-2</w:t>
            </w:r>
            <w:r>
              <w:rPr>
                <w:rFonts w:hint="eastAsia" w:hAnsi="宋体" w:cs="宋体"/>
                <w:highlight w:val="none"/>
                <w:lang w:eastAsia="zh-CN"/>
              </w:rPr>
              <w:t>）</w:t>
            </w:r>
            <w:r>
              <w:rPr>
                <w:rFonts w:hint="eastAsia" w:hAnsi="宋体" w:cs="宋体"/>
                <w:highlight w:val="none"/>
              </w:rPr>
              <w:t>第二年服务期</w:t>
            </w:r>
            <w:r>
              <w:rPr>
                <w:rFonts w:hint="eastAsia" w:hAnsi="宋体" w:cs="宋体"/>
                <w:highlight w:val="none"/>
                <w:lang w:val="en-US" w:eastAsia="zh-CN"/>
              </w:rPr>
              <w:t>结束前两个月</w:t>
            </w:r>
            <w:r>
              <w:rPr>
                <w:rFonts w:hint="eastAsia" w:hAnsi="宋体" w:cs="宋体"/>
                <w:highlight w:val="none"/>
              </w:rPr>
              <w:t>，甲方收到乙方开具的税务发票确认无误后30个工作日内支付合同总价的</w:t>
            </w:r>
            <w:r>
              <w:rPr>
                <w:rFonts w:hint="eastAsia" w:hAnsi="宋体" w:cs="宋体"/>
                <w:highlight w:val="none"/>
                <w:lang w:val="en-US" w:eastAsia="zh-CN"/>
              </w:rPr>
              <w:t>3</w:t>
            </w:r>
            <w:r>
              <w:rPr>
                <w:rFonts w:hint="eastAsia" w:hAnsi="宋体" w:cs="宋体"/>
                <w:highlight w:val="none"/>
              </w:rPr>
              <w:t>0%（如有违约金，在扣除</w:t>
            </w:r>
            <w:r>
              <w:rPr>
                <w:rFonts w:hint="eastAsia" w:hAnsi="宋体" w:cs="宋体"/>
                <w:highlight w:val="none"/>
                <w:lang w:val="en-US" w:eastAsia="zh-CN"/>
              </w:rPr>
              <w:t>第一</w:t>
            </w:r>
            <w:r>
              <w:rPr>
                <w:rFonts w:hint="eastAsia" w:hAnsi="宋体" w:cs="宋体"/>
                <w:highlight w:val="none"/>
              </w:rPr>
              <w:t>年度违约金后支付）（中标人为中小微企业）；</w:t>
            </w:r>
          </w:p>
          <w:p>
            <w:pPr>
              <w:spacing w:line="400" w:lineRule="exact"/>
              <w:rPr>
                <w:rFonts w:hint="eastAsia" w:hAnsi="宋体" w:cs="宋体"/>
                <w:highlight w:val="none"/>
              </w:rPr>
            </w:pPr>
            <w:r>
              <w:rPr>
                <w:rFonts w:hint="eastAsia" w:hAnsi="宋体" w:cs="宋体"/>
                <w:highlight w:val="none"/>
                <w:lang w:val="en-US" w:eastAsia="zh-CN"/>
              </w:rPr>
              <w:t>3-1</w:t>
            </w:r>
            <w:r>
              <w:rPr>
                <w:rFonts w:hint="eastAsia" w:hAnsi="宋体" w:cs="宋体"/>
                <w:highlight w:val="none"/>
                <w:lang w:eastAsia="zh-CN"/>
              </w:rPr>
              <w:t>）第三年服务期</w:t>
            </w:r>
            <w:r>
              <w:rPr>
                <w:rFonts w:hint="eastAsia" w:hAnsi="宋体" w:cs="宋体"/>
                <w:highlight w:val="none"/>
                <w:lang w:val="en-US" w:eastAsia="zh-CN"/>
              </w:rPr>
              <w:t>开始并完成资产移交</w:t>
            </w:r>
            <w:r>
              <w:rPr>
                <w:rFonts w:hint="eastAsia" w:hAnsi="宋体" w:cs="宋体"/>
                <w:highlight w:val="none"/>
                <w:lang w:eastAsia="zh-CN"/>
              </w:rPr>
              <w:t>后</w:t>
            </w:r>
            <w:r>
              <w:rPr>
                <w:rFonts w:hint="eastAsia" w:hAnsi="宋体" w:cs="宋体"/>
                <w:highlight w:val="none"/>
              </w:rPr>
              <w:t>，甲方收到乙方开具的税务发票确认无误后30个工作日内支付合同总价的</w:t>
            </w:r>
            <w:r>
              <w:rPr>
                <w:rFonts w:hint="eastAsia" w:hAnsi="宋体" w:cs="宋体"/>
                <w:highlight w:val="none"/>
                <w:lang w:val="en-US" w:eastAsia="zh-CN"/>
              </w:rPr>
              <w:t>35</w:t>
            </w:r>
            <w:r>
              <w:rPr>
                <w:rFonts w:hint="eastAsia" w:hAnsi="宋体" w:cs="宋体"/>
                <w:highlight w:val="none"/>
              </w:rPr>
              <w:t>%（如有违约金，在扣除</w:t>
            </w:r>
            <w:r>
              <w:rPr>
                <w:rFonts w:hint="eastAsia" w:hAnsi="宋体" w:cs="宋体"/>
                <w:highlight w:val="none"/>
                <w:lang w:val="en-US" w:eastAsia="zh-CN"/>
              </w:rPr>
              <w:t>第二</w:t>
            </w:r>
            <w:r>
              <w:rPr>
                <w:rFonts w:hint="eastAsia" w:hAnsi="宋体" w:cs="宋体"/>
                <w:highlight w:val="none"/>
              </w:rPr>
              <w:t>年度违约金后支付）（中标人为非中小微企业）</w:t>
            </w:r>
            <w:r>
              <w:rPr>
                <w:rFonts w:hint="eastAsia" w:hAnsi="宋体" w:cs="宋体"/>
                <w:highlight w:val="none"/>
                <w:lang w:eastAsia="zh-CN"/>
              </w:rPr>
              <w:t>；</w:t>
            </w:r>
            <w:r>
              <w:rPr>
                <w:rFonts w:hint="eastAsia" w:hAnsi="宋体" w:cs="宋体"/>
                <w:highlight w:val="none"/>
                <w:lang w:val="en-US" w:eastAsia="zh-CN"/>
              </w:rPr>
              <w:t>3-2</w:t>
            </w:r>
            <w:r>
              <w:rPr>
                <w:rFonts w:hint="eastAsia" w:hAnsi="宋体" w:cs="宋体"/>
                <w:highlight w:val="none"/>
                <w:lang w:eastAsia="zh-CN"/>
              </w:rPr>
              <w:t>）第三年服务期</w:t>
            </w:r>
            <w:r>
              <w:rPr>
                <w:rFonts w:hint="eastAsia" w:hAnsi="宋体" w:cs="宋体"/>
                <w:highlight w:val="none"/>
                <w:lang w:val="en-US" w:eastAsia="zh-CN"/>
              </w:rPr>
              <w:t>开始并完成资产移交</w:t>
            </w:r>
            <w:r>
              <w:rPr>
                <w:rFonts w:hint="eastAsia" w:hAnsi="宋体" w:cs="宋体"/>
                <w:highlight w:val="none"/>
                <w:lang w:eastAsia="zh-CN"/>
              </w:rPr>
              <w:t>后</w:t>
            </w:r>
            <w:r>
              <w:rPr>
                <w:rFonts w:hint="eastAsia" w:hAnsi="宋体" w:cs="宋体"/>
                <w:highlight w:val="none"/>
              </w:rPr>
              <w:t>，甲方收到乙方开具的税务发票确认无误后30个工作日内支付合同总价的</w:t>
            </w:r>
            <w:r>
              <w:rPr>
                <w:rFonts w:hint="eastAsia" w:hAnsi="宋体" w:cs="宋体"/>
                <w:highlight w:val="none"/>
                <w:lang w:val="en-US" w:eastAsia="zh-CN"/>
              </w:rPr>
              <w:t>30</w:t>
            </w:r>
            <w:r>
              <w:rPr>
                <w:rFonts w:hint="eastAsia" w:hAnsi="宋体" w:cs="宋体"/>
                <w:highlight w:val="none"/>
              </w:rPr>
              <w:t>%（如有违约金，在扣除</w:t>
            </w:r>
            <w:r>
              <w:rPr>
                <w:rFonts w:hint="eastAsia" w:hAnsi="宋体" w:cs="宋体"/>
                <w:highlight w:val="none"/>
                <w:lang w:val="en-US" w:eastAsia="zh-CN"/>
              </w:rPr>
              <w:t>第二</w:t>
            </w:r>
            <w:r>
              <w:rPr>
                <w:rFonts w:hint="eastAsia" w:hAnsi="宋体" w:cs="宋体"/>
                <w:highlight w:val="none"/>
              </w:rPr>
              <w:t>年度违约金后支付）（中标人为中小微企业）。</w:t>
            </w:r>
          </w:p>
          <w:p>
            <w:pPr>
              <w:spacing w:line="400" w:lineRule="exact"/>
              <w:rPr>
                <w:rFonts w:hAnsi="宋体" w:cs="宋体"/>
                <w:highlight w:val="none"/>
              </w:rPr>
            </w:pPr>
            <w:r>
              <w:rPr>
                <w:rFonts w:hint="eastAsia" w:hAnsi="宋体" w:cs="宋体"/>
                <w:highlight w:val="none"/>
              </w:rPr>
              <w:t>注：约定的支付时间以政府财政性资金支付要求为准，如因财政等原因导致支付延迟，采购人不承担相应责任。</w:t>
            </w:r>
          </w:p>
        </w:tc>
      </w:tr>
      <w:tr>
        <w:trPr>
          <w:trHeight w:val="454"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highlight w:val="none"/>
              </w:rPr>
            </w:pPr>
            <w:r>
              <w:rPr>
                <w:rFonts w:hint="eastAsia" w:ascii="宋体" w:hAnsi="宋体" w:cs="宋体"/>
                <w:szCs w:val="21"/>
                <w:highlight w:val="none"/>
              </w:rPr>
              <w:t>★5.履约保证金</w:t>
            </w:r>
          </w:p>
        </w:tc>
        <w:tc>
          <w:tcPr>
            <w:tcW w:w="69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6"/>
              </w:numPr>
              <w:snapToGrid w:val="0"/>
              <w:spacing w:line="400" w:lineRule="exact"/>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履约保证金金额：合同金额的1%；</w:t>
            </w:r>
          </w:p>
          <w:p>
            <w:pPr>
              <w:widowControl w:val="0"/>
              <w:numPr>
                <w:ilvl w:val="0"/>
                <w:numId w:val="6"/>
              </w:numPr>
              <w:snapToGrid w:val="0"/>
              <w:spacing w:line="400" w:lineRule="exact"/>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履约保证金形式：支票、汇票、本票或者金融机构、担保机构出具的保函等非现金形式；</w:t>
            </w:r>
          </w:p>
          <w:p>
            <w:pPr>
              <w:widowControl w:val="0"/>
              <w:snapToGrid w:val="0"/>
              <w:spacing w:line="400" w:lineRule="exact"/>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（3）担保收件人：采购人；</w:t>
            </w:r>
          </w:p>
          <w:p>
            <w:pPr>
              <w:widowControl w:val="0"/>
              <w:snapToGrid w:val="0"/>
              <w:spacing w:line="400" w:lineRule="exact"/>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（4）提交时间：签订本项目合同后7个工作日内；</w:t>
            </w:r>
          </w:p>
          <w:p>
            <w:pPr>
              <w:pStyle w:val="23"/>
              <w:snapToGrid w:val="0"/>
              <w:spacing w:line="400" w:lineRule="exact"/>
              <w:rPr>
                <w:rFonts w:hint="eastAsia"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SA"/>
              </w:rPr>
              <w:t>（5）履约保证金的</w:t>
            </w:r>
            <w:r>
              <w:rPr>
                <w:rFonts w:hint="eastAsia" w:hAnsi="宋体" w:cs="宋体"/>
                <w:color w:val="000000"/>
                <w:kern w:val="0"/>
                <w:sz w:val="21"/>
                <w:szCs w:val="21"/>
                <w:highlight w:val="none"/>
                <w:lang w:val="en-US" w:eastAsia="zh-CN" w:bidi="ar-SA"/>
              </w:rPr>
              <w:t>方式</w:t>
            </w:r>
            <w:r>
              <w:rPr>
                <w:rFonts w:hint="eastAsia" w:ascii="宋体" w:hAnsi="宋体" w:eastAsia="宋体" w:cs="宋体"/>
                <w:color w:val="000000"/>
                <w:kern w:val="0"/>
                <w:sz w:val="21"/>
                <w:szCs w:val="21"/>
                <w:highlight w:val="none"/>
                <w:lang w:val="en-US" w:eastAsia="zh-CN" w:bidi="ar-SA"/>
              </w:rPr>
              <w:t>：</w:t>
            </w:r>
            <w:r>
              <w:rPr>
                <w:rFonts w:hint="eastAsia" w:ascii="宋体" w:hAnsi="宋体" w:cs="宋体"/>
                <w:sz w:val="21"/>
                <w:szCs w:val="21"/>
                <w:highlight w:val="none"/>
              </w:rPr>
              <w:t>合同履行完毕并经</w:t>
            </w:r>
            <w:r>
              <w:rPr>
                <w:rFonts w:hint="eastAsia" w:hAnsi="宋体" w:cs="宋体"/>
                <w:sz w:val="21"/>
                <w:szCs w:val="21"/>
                <w:highlight w:val="none"/>
                <w:lang w:val="en-US" w:eastAsia="zh-CN"/>
              </w:rPr>
              <w:t>项目服务</w:t>
            </w:r>
            <w:r>
              <w:rPr>
                <w:rFonts w:hint="eastAsia" w:ascii="宋体" w:hAnsi="宋体" w:cs="宋体"/>
                <w:sz w:val="21"/>
                <w:szCs w:val="21"/>
                <w:highlight w:val="none"/>
              </w:rPr>
              <w:t>验收</w:t>
            </w:r>
            <w:r>
              <w:rPr>
                <w:rFonts w:hint="eastAsia" w:hAnsi="宋体" w:eastAsia="宋体" w:cs="宋体"/>
                <w:color w:val="000000"/>
                <w:sz w:val="21"/>
                <w:szCs w:val="21"/>
                <w:highlight w:val="none"/>
                <w:lang w:val="en-US" w:eastAsia="zh-CN"/>
              </w:rPr>
              <w:t>后退还。</w:t>
            </w:r>
          </w:p>
          <w:p>
            <w:pPr>
              <w:pStyle w:val="23"/>
              <w:snapToGrid w:val="0"/>
              <w:spacing w:line="400" w:lineRule="exact"/>
              <w:rPr>
                <w:rFonts w:hint="default" w:hAnsi="宋体" w:cs="宋体"/>
                <w:sz w:val="21"/>
                <w:highlight w:val="none"/>
                <w:lang w:val="en-US"/>
              </w:rPr>
            </w:pPr>
            <w:r>
              <w:rPr>
                <w:rFonts w:hint="eastAsia" w:hAnsi="宋体" w:cs="宋体"/>
                <w:color w:val="000000"/>
                <w:sz w:val="21"/>
                <w:szCs w:val="21"/>
                <w:highlight w:val="none"/>
                <w:lang w:val="en-US" w:eastAsia="zh-CN"/>
              </w:rPr>
              <w:t>（6）</w:t>
            </w:r>
            <w:r>
              <w:rPr>
                <w:rFonts w:hint="eastAsia" w:ascii="宋体" w:hAnsi="宋体" w:eastAsia="宋体" w:cs="宋体"/>
                <w:color w:val="000000"/>
                <w:kern w:val="0"/>
                <w:sz w:val="21"/>
                <w:szCs w:val="21"/>
                <w:highlight w:val="none"/>
                <w:lang w:val="en-US" w:eastAsia="zh-CN" w:bidi="ar-SA"/>
              </w:rPr>
              <w:t>履约保证金不予退还的情形：如中标人未履行或未完全履行合同规定的任何义务，给采购人造成损失的，采购人有权在其提交的履约保证金终获得相应赔偿，不足部分采购人有权继续向中标人赔偿。</w:t>
            </w:r>
          </w:p>
        </w:tc>
      </w:tr>
      <w:tr>
        <w:trPr>
          <w:trHeight w:val="869" w:hRule="atLeast"/>
          <w:jc w:val="center"/>
        </w:trPr>
        <w:tc>
          <w:tcPr>
            <w:tcW w:w="1846"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highlight w:val="none"/>
              </w:rPr>
            </w:pPr>
            <w:r>
              <w:rPr>
                <w:rFonts w:hint="eastAsia" w:ascii="宋体" w:hAnsi="宋体" w:cs="宋体"/>
                <w:szCs w:val="21"/>
                <w:highlight w:val="none"/>
              </w:rPr>
              <w:t>★</w:t>
            </w:r>
            <w:r>
              <w:rPr>
                <w:rFonts w:hint="eastAsia" w:ascii="宋体" w:hAnsi="宋体" w:cs="宋体"/>
                <w:bCs/>
                <w:highlight w:val="none"/>
              </w:rPr>
              <w:t>6.</w:t>
            </w:r>
            <w:r>
              <w:rPr>
                <w:rFonts w:hint="eastAsia" w:ascii="宋体" w:hAnsi="宋体" w:cs="宋体"/>
                <w:highlight w:val="none"/>
              </w:rPr>
              <w:t>其他</w:t>
            </w:r>
          </w:p>
        </w:tc>
        <w:tc>
          <w:tcPr>
            <w:tcW w:w="69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highlight w:val="none"/>
              </w:rPr>
            </w:pPr>
            <w:r>
              <w:rPr>
                <w:rFonts w:hint="eastAsia" w:ascii="宋体" w:hAnsi="宋体" w:cs="宋体"/>
                <w:highlight w:val="none"/>
              </w:rPr>
              <w:t>1.在采购及合同执行过程中，供应商应承担由于其行为所造成的人身伤害、财产损失或损坏的责任，无论何种原因所造成，采购人均不负责。</w:t>
            </w:r>
          </w:p>
        </w:tc>
      </w:tr>
      <w:tr>
        <w:trPr>
          <w:trHeight w:val="869" w:hRule="atLeast"/>
          <w:jc w:val="center"/>
        </w:trPr>
        <w:tc>
          <w:tcPr>
            <w:tcW w:w="1846" w:type="dxa"/>
            <w:vMerge w:val="continue"/>
            <w:tcBorders>
              <w:left w:val="single" w:color="auto" w:sz="4" w:space="0"/>
              <w:bottom w:val="single" w:color="auto" w:sz="4" w:space="0"/>
              <w:right w:val="single" w:color="auto" w:sz="4" w:space="0"/>
            </w:tcBorders>
            <w:vAlign w:val="center"/>
          </w:tcPr>
          <w:p>
            <w:pPr>
              <w:spacing w:line="400" w:lineRule="exact"/>
              <w:jc w:val="left"/>
              <w:rPr>
                <w:rFonts w:ascii="宋体" w:hAnsi="宋体" w:cs="宋体"/>
                <w:highlight w:val="none"/>
              </w:rPr>
            </w:pPr>
          </w:p>
        </w:tc>
        <w:tc>
          <w:tcPr>
            <w:tcW w:w="69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highlight w:val="none"/>
              </w:rPr>
            </w:pPr>
            <w:r>
              <w:rPr>
                <w:rFonts w:hint="eastAsia" w:ascii="宋体" w:hAnsi="宋体" w:cs="宋体"/>
                <w:highlight w:val="none"/>
              </w:rPr>
              <w:t>2.在合同履行过程中，中标人不得存在与本项目实施有利害冲突，影响或可能影响考核公正的情形，一旦出现，采购人有权</w:t>
            </w:r>
            <w:r>
              <w:rPr>
                <w:rFonts w:hint="eastAsia" w:ascii="宋体" w:hAnsi="宋体" w:cs="宋体"/>
                <w:szCs w:val="21"/>
                <w:highlight w:val="none"/>
              </w:rPr>
              <w:t>解除合同。</w:t>
            </w:r>
          </w:p>
        </w:tc>
      </w:tr>
    </w:tbl>
    <w:p>
      <w:pPr>
        <w:widowControl/>
        <w:spacing w:line="360" w:lineRule="auto"/>
        <w:jc w:val="center"/>
        <w:rPr>
          <w:rFonts w:ascii="宋体" w:hAnsi="宋体" w:cs="宋体"/>
          <w:sz w:val="24"/>
          <w:szCs w:val="28"/>
          <w:highlight w:val="none"/>
        </w:rPr>
        <w:sectPr>
          <w:pgSz w:w="11907" w:h="16840"/>
          <w:pgMar w:top="1276" w:right="1701" w:bottom="1428" w:left="1701" w:header="720" w:footer="720" w:gutter="0"/>
          <w:cols w:space="720" w:num="1"/>
          <w:docGrid w:type="linesAndChars" w:linePitch="286" w:charSpace="0"/>
        </w:sectPr>
      </w:pPr>
    </w:p>
    <w:p>
      <w:pPr>
        <w:widowControl/>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采购需求</w:t>
      </w:r>
    </w:p>
    <w:p>
      <w:pPr>
        <w:keepNext/>
        <w:keepLines/>
        <w:spacing w:line="360" w:lineRule="auto"/>
        <w:outlineLvl w:val="0"/>
        <w:rPr>
          <w:rFonts w:ascii="宋体" w:hAnsi="宋体" w:cs="宋体"/>
          <w:b/>
          <w:bCs/>
          <w:kern w:val="44"/>
          <w:szCs w:val="21"/>
          <w:highlight w:val="none"/>
        </w:rPr>
      </w:pPr>
      <w:bookmarkStart w:id="29" w:name="_Toc298230958"/>
      <w:bookmarkStart w:id="30" w:name="_Toc520902392"/>
      <w:r>
        <w:rPr>
          <w:rFonts w:hint="eastAsia" w:ascii="宋体" w:hAnsi="宋体" w:cs="宋体"/>
          <w:b/>
          <w:bCs/>
          <w:kern w:val="44"/>
          <w:szCs w:val="21"/>
          <w:highlight w:val="none"/>
        </w:rPr>
        <w:t>一、项目建设目标</w:t>
      </w:r>
    </w:p>
    <w:p>
      <w:pPr>
        <w:spacing w:line="360" w:lineRule="auto"/>
        <w:ind w:firstLine="476" w:firstLineChars="225"/>
        <w:rPr>
          <w:rFonts w:ascii="宋体" w:hAnsi="宋体" w:cs="宋体"/>
          <w:szCs w:val="21"/>
          <w:highlight w:val="none"/>
        </w:rPr>
      </w:pPr>
      <w:r>
        <w:rPr>
          <w:rFonts w:hint="eastAsia" w:ascii="宋体" w:hAnsi="宋体" w:cs="宋体"/>
          <w:szCs w:val="21"/>
          <w:highlight w:val="none"/>
        </w:rPr>
        <w:t>根据国家网络安全等级保护相关要求，在余姚市电子政务外网网络安全建设已有成果的基础上，充分分析</w:t>
      </w:r>
      <w:r>
        <w:rPr>
          <w:rFonts w:hint="eastAsia" w:ascii="宋体" w:hAnsi="宋体" w:cs="宋体"/>
          <w:szCs w:val="21"/>
          <w:highlight w:val="none"/>
          <w:lang w:eastAsia="zh-CN"/>
        </w:rPr>
        <w:t>余姚市电子政务外网网络</w:t>
      </w:r>
      <w:r>
        <w:rPr>
          <w:rFonts w:hint="eastAsia" w:ascii="宋体" w:hAnsi="宋体" w:cs="宋体"/>
          <w:szCs w:val="21"/>
          <w:highlight w:val="none"/>
        </w:rPr>
        <w:t>的实际安全需求，结合其业务的实际特性，通过购买服务的方式，建立余姚市电子政务外网网络及数据安全保障体系框架，构建集约高效、具有特色的余姚市电子政务外网网络安全管理和运行平台，实现新形势下安全管理上台阶、安全技术见实效、综合实力有提升的建设成效，形成具有主动防御和协同运营能力的新一代网络安全保障体系，综合提升业务系统的安全保障能力和防护水平，确保入驻业务系统的网络和数据安全。</w:t>
      </w:r>
    </w:p>
    <w:p>
      <w:pPr>
        <w:keepNext/>
        <w:keepLines/>
        <w:spacing w:line="360" w:lineRule="auto"/>
        <w:outlineLvl w:val="0"/>
        <w:rPr>
          <w:rFonts w:ascii="宋体" w:hAnsi="宋体" w:cs="宋体"/>
          <w:b/>
          <w:bCs/>
          <w:kern w:val="44"/>
          <w:szCs w:val="21"/>
          <w:highlight w:val="none"/>
        </w:rPr>
      </w:pPr>
      <w:bookmarkStart w:id="31" w:name="_Toc124516905"/>
      <w:r>
        <w:rPr>
          <w:rFonts w:hint="eastAsia" w:ascii="宋体" w:hAnsi="宋体" w:cs="宋体"/>
          <w:b/>
          <w:bCs/>
          <w:kern w:val="44"/>
          <w:szCs w:val="21"/>
          <w:highlight w:val="none"/>
        </w:rPr>
        <w:t>二、项目建设需求</w:t>
      </w:r>
    </w:p>
    <w:p>
      <w:pPr>
        <w:spacing w:line="360" w:lineRule="auto"/>
        <w:ind w:firstLine="476" w:firstLineChars="225"/>
        <w:rPr>
          <w:rFonts w:ascii="宋体" w:hAnsi="宋体" w:cs="宋体"/>
          <w:szCs w:val="21"/>
          <w:highlight w:val="none"/>
        </w:rPr>
      </w:pPr>
      <w:r>
        <w:rPr>
          <w:rFonts w:hint="eastAsia" w:ascii="宋体" w:hAnsi="宋体" w:cs="宋体"/>
          <w:szCs w:val="21"/>
          <w:highlight w:val="none"/>
        </w:rPr>
        <w:t>为了保障余姚市电子政务外网网络数据安全，同时符合《网络安全法》、《数据安全法》、等级保护基本要求以及浙江省大数据发展管理局关于开展市县一体化智能化公共数据平台综合评价、公共数据安全体系建设指南所提出的数据安全要求，根据上述法律法规以及要求，平台需针对本地数据的分级分类管理和对数据库开展态势感知分析等数据安全内容进行全面建设。</w:t>
      </w:r>
    </w:p>
    <w:p>
      <w:pPr>
        <w:spacing w:line="360" w:lineRule="auto"/>
        <w:ind w:firstLine="476" w:firstLineChars="225"/>
        <w:rPr>
          <w:rFonts w:ascii="宋体" w:hAnsi="宋体" w:cs="宋体"/>
          <w:szCs w:val="21"/>
          <w:highlight w:val="none"/>
        </w:rPr>
      </w:pPr>
      <w:r>
        <w:rPr>
          <w:rFonts w:hint="eastAsia" w:ascii="宋体" w:hAnsi="宋体" w:cs="宋体"/>
          <w:szCs w:val="21"/>
          <w:highlight w:val="none"/>
        </w:rPr>
        <w:t>以及面对余姚市关键信息基础设施网络安全防护需求，为了应对日趋严峻的网络安全威胁形势，需要通过对余姚市电子政务外网网络统一的安全建设和运营，提高对网络安全威胁事件的检测、发现、分析和处置能力，确保关键信息基础设施网络和信息系统的正常安全运行。面对余姚市网络安全防护建设、运行和应急处置能力参差不齐的现状，基于网络安全动态、开放、共同的特点，建立面向部门的网络安全管理和运营平台、技术工具、人员和服务业务，形成有特点、场景化的运营模式，统一提升余姚市网络安全防护能力，建立、完善余姚市电子政务外网网络安全联防联控体系，从而提升余姚市电子政务外网网络安全整体防控能力。</w:t>
      </w:r>
    </w:p>
    <w:p>
      <w:pPr>
        <w:keepNext/>
        <w:keepLines/>
        <w:spacing w:line="360" w:lineRule="auto"/>
        <w:outlineLvl w:val="0"/>
        <w:rPr>
          <w:rFonts w:ascii="宋体" w:hAnsi="宋体" w:cs="宋体"/>
          <w:b/>
          <w:bCs/>
          <w:kern w:val="44"/>
          <w:szCs w:val="21"/>
          <w:highlight w:val="none"/>
        </w:rPr>
      </w:pPr>
      <w:r>
        <w:rPr>
          <w:rFonts w:hint="eastAsia" w:ascii="宋体" w:hAnsi="宋体" w:cs="宋体"/>
          <w:b/>
          <w:bCs/>
          <w:kern w:val="44"/>
          <w:szCs w:val="21"/>
          <w:highlight w:val="none"/>
        </w:rPr>
        <w:t>三、项目建设</w:t>
      </w:r>
      <w:bookmarkEnd w:id="31"/>
      <w:r>
        <w:rPr>
          <w:rFonts w:hint="eastAsia" w:ascii="宋体" w:hAnsi="宋体" w:cs="宋体"/>
          <w:b/>
          <w:bCs/>
          <w:kern w:val="44"/>
          <w:szCs w:val="21"/>
          <w:highlight w:val="none"/>
        </w:rPr>
        <w:t>内容</w:t>
      </w:r>
    </w:p>
    <w:p>
      <w:pPr>
        <w:spacing w:line="360" w:lineRule="auto"/>
        <w:ind w:firstLine="476" w:firstLineChars="225"/>
        <w:rPr>
          <w:rFonts w:ascii="宋体" w:hAnsi="宋体" w:cs="宋体"/>
          <w:szCs w:val="21"/>
          <w:highlight w:val="none"/>
        </w:rPr>
      </w:pPr>
      <w:r>
        <w:rPr>
          <w:rFonts w:hint="eastAsia" w:ascii="宋体" w:hAnsi="宋体" w:cs="宋体"/>
          <w:szCs w:val="21"/>
          <w:highlight w:val="none"/>
        </w:rPr>
        <w:t>本项目建设内容主要包括数据安全服务和网络安全服务购置，</w:t>
      </w:r>
      <w:r>
        <w:rPr>
          <w:rFonts w:hint="eastAsia" w:ascii="宋体" w:hAnsi="宋体" w:cs="宋体"/>
          <w:szCs w:val="21"/>
          <w:highlight w:val="none"/>
          <w:lang w:val="en-US" w:eastAsia="zh-CN"/>
        </w:rPr>
        <w:t>服务</w:t>
      </w:r>
      <w:r>
        <w:rPr>
          <w:rFonts w:hint="eastAsia" w:ascii="宋体" w:hAnsi="宋体" w:cs="宋体"/>
          <w:szCs w:val="21"/>
          <w:highlight w:val="none"/>
        </w:rPr>
        <w:t>年限为三年。</w:t>
      </w:r>
    </w:p>
    <w:p>
      <w:pPr>
        <w:spacing w:line="360" w:lineRule="auto"/>
        <w:ind w:firstLine="476" w:firstLineChars="225"/>
        <w:rPr>
          <w:rFonts w:ascii="宋体" w:hAnsi="宋体" w:cs="宋体"/>
          <w:szCs w:val="21"/>
          <w:highlight w:val="none"/>
        </w:rPr>
      </w:pPr>
      <w:r>
        <w:rPr>
          <w:rFonts w:hint="eastAsia" w:ascii="宋体" w:hAnsi="宋体" w:cs="宋体"/>
          <w:szCs w:val="21"/>
          <w:highlight w:val="none"/>
        </w:rPr>
        <w:t>1、数据安全服务</w:t>
      </w:r>
    </w:p>
    <w:p>
      <w:pPr>
        <w:spacing w:line="360" w:lineRule="auto"/>
        <w:ind w:firstLine="476" w:firstLineChars="225"/>
        <w:rPr>
          <w:rFonts w:ascii="宋体" w:hAnsi="宋体" w:cs="宋体"/>
          <w:szCs w:val="21"/>
          <w:highlight w:val="none"/>
        </w:rPr>
      </w:pPr>
      <w:r>
        <w:rPr>
          <w:rFonts w:hint="eastAsia" w:ascii="宋体" w:hAnsi="宋体" w:cs="宋体"/>
          <w:szCs w:val="21"/>
          <w:highlight w:val="none"/>
        </w:rPr>
        <w:t>包含数据分级分类、数据安全态势感知平台、数据库加密扩展、数据安全管理系统和数据库软件等服务的购置。</w:t>
      </w:r>
    </w:p>
    <w:p>
      <w:pPr>
        <w:spacing w:line="360" w:lineRule="auto"/>
        <w:ind w:firstLine="476" w:firstLineChars="225"/>
        <w:rPr>
          <w:rFonts w:ascii="宋体" w:hAnsi="宋体" w:cs="宋体"/>
          <w:szCs w:val="21"/>
          <w:highlight w:val="none"/>
        </w:rPr>
      </w:pPr>
      <w:r>
        <w:rPr>
          <w:rFonts w:hint="eastAsia" w:ascii="宋体" w:hAnsi="宋体" w:cs="宋体"/>
          <w:szCs w:val="21"/>
          <w:highlight w:val="none"/>
        </w:rPr>
        <w:t>2、网络安全服务</w:t>
      </w:r>
    </w:p>
    <w:p>
      <w:pPr>
        <w:spacing w:line="360" w:lineRule="auto"/>
        <w:ind w:firstLine="476" w:firstLineChars="225"/>
        <w:rPr>
          <w:rFonts w:ascii="宋体" w:hAnsi="宋体" w:cs="宋体"/>
          <w:szCs w:val="21"/>
          <w:highlight w:val="none"/>
        </w:rPr>
      </w:pPr>
      <w:r>
        <w:rPr>
          <w:rFonts w:hint="eastAsia" w:ascii="宋体" w:hAnsi="宋体" w:cs="宋体"/>
          <w:szCs w:val="21"/>
          <w:highlight w:val="none"/>
        </w:rPr>
        <w:t>包含网络安全管理平台、网络安全运行平台和网络安全配套等服务的购置。</w:t>
      </w:r>
    </w:p>
    <w:p>
      <w:pPr>
        <w:spacing w:line="360" w:lineRule="auto"/>
        <w:ind w:firstLine="476" w:firstLineChars="225"/>
        <w:rPr>
          <w:rFonts w:ascii="宋体" w:hAnsi="宋体" w:cs="宋体"/>
          <w:szCs w:val="21"/>
          <w:highlight w:val="none"/>
        </w:rPr>
      </w:pPr>
      <w:r>
        <w:rPr>
          <w:rFonts w:hint="eastAsia" w:ascii="宋体" w:hAnsi="宋体" w:cs="宋体"/>
          <w:szCs w:val="21"/>
          <w:highlight w:val="none"/>
        </w:rPr>
        <w:t>其中网络安全管理平台主要包括资产中心、威胁中心、分析中心、情报中心、工作指挥、报告中心、考核评估、态势感知等功能服务，以及配套的</w:t>
      </w:r>
      <w:r>
        <w:rPr>
          <w:rFonts w:hint="eastAsia" w:ascii="宋体" w:hAnsi="宋体" w:cs="宋体"/>
          <w:szCs w:val="21"/>
          <w:highlight w:val="none"/>
          <w:lang w:val="en-US" w:eastAsia="zh-CN"/>
        </w:rPr>
        <w:t>4</w:t>
      </w:r>
      <w:r>
        <w:rPr>
          <w:rFonts w:hint="eastAsia" w:ascii="宋体" w:hAnsi="宋体" w:cs="宋体"/>
          <w:szCs w:val="21"/>
          <w:highlight w:val="none"/>
        </w:rPr>
        <w:t>台平台服务器。</w:t>
      </w:r>
    </w:p>
    <w:p>
      <w:pPr>
        <w:spacing w:line="360" w:lineRule="auto"/>
        <w:ind w:firstLine="476" w:firstLineChars="225"/>
        <w:rPr>
          <w:rFonts w:ascii="宋体" w:hAnsi="宋体" w:cs="宋体"/>
          <w:szCs w:val="21"/>
          <w:highlight w:val="none"/>
        </w:rPr>
      </w:pPr>
      <w:r>
        <w:rPr>
          <w:rFonts w:hint="eastAsia" w:ascii="宋体" w:hAnsi="宋体" w:cs="宋体"/>
          <w:szCs w:val="21"/>
          <w:highlight w:val="none"/>
        </w:rPr>
        <w:t>网络安全运行平台主要包括监测中心、资管中心、感知中心、响应中心、web端工作台、移动端、大数据节点、大数据安全检测、云平台安全监测、资产数据治理、检查督查、指挥调度、IP定位、情报中心、分析研判、安全专项等功能服务，以及配套的2台平台服务器。</w:t>
      </w:r>
    </w:p>
    <w:p>
      <w:pPr>
        <w:spacing w:line="360" w:lineRule="auto"/>
        <w:ind w:firstLine="476" w:firstLineChars="225"/>
        <w:rPr>
          <w:rFonts w:ascii="宋体" w:hAnsi="宋体" w:cs="宋体"/>
          <w:szCs w:val="21"/>
          <w:highlight w:val="none"/>
        </w:rPr>
      </w:pPr>
      <w:r>
        <w:rPr>
          <w:rFonts w:hint="eastAsia" w:ascii="宋体" w:hAnsi="宋体" w:cs="宋体"/>
          <w:szCs w:val="21"/>
          <w:highlight w:val="none"/>
        </w:rPr>
        <w:t>网络安全配套服务包括云端安全实时监测服务、漏洞扫描服务、基线检查服务、渗透</w:t>
      </w:r>
      <w:r>
        <w:rPr>
          <w:rFonts w:hint="eastAsia" w:ascii="宋体" w:hAnsi="宋体" w:cs="宋体"/>
          <w:szCs w:val="21"/>
          <w:highlight w:val="none"/>
          <w:lang w:eastAsia="zh-CN"/>
        </w:rPr>
        <w:t>测shi</w:t>
      </w:r>
      <w:r>
        <w:rPr>
          <w:rFonts w:hint="eastAsia" w:ascii="宋体" w:hAnsi="宋体" w:cs="宋体"/>
          <w:szCs w:val="21"/>
          <w:highlight w:val="none"/>
        </w:rPr>
        <w:t>服务、风险隐患与事件通报服务、安全检查服务、安全工作报告服务、运营流程优化服务、运营文件编制服务、资产梳理服务、策略调优服务、重要时期安全保障服务、安全加固服务等。</w:t>
      </w:r>
    </w:p>
    <w:p>
      <w:pPr>
        <w:keepNext/>
        <w:keepLines/>
        <w:spacing w:line="360" w:lineRule="auto"/>
        <w:outlineLvl w:val="0"/>
        <w:rPr>
          <w:rFonts w:ascii="宋体" w:hAnsi="宋体" w:cs="宋体"/>
          <w:b/>
          <w:bCs/>
          <w:kern w:val="44"/>
          <w:szCs w:val="21"/>
          <w:highlight w:val="none"/>
        </w:rPr>
      </w:pPr>
      <w:bookmarkStart w:id="32" w:name="_Toc124516906"/>
      <w:r>
        <w:rPr>
          <w:rFonts w:hint="eastAsia" w:ascii="宋体" w:hAnsi="宋体" w:cs="宋体"/>
          <w:b/>
          <w:bCs/>
          <w:kern w:val="44"/>
          <w:szCs w:val="21"/>
          <w:highlight w:val="none"/>
        </w:rPr>
        <w:t>四、项目采购清单</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2704"/>
        <w:gridCol w:w="2537"/>
        <w:gridCol w:w="1727"/>
      </w:tblGrid>
      <w:tr>
        <w:trPr>
          <w:trHeight w:val="20" w:hRule="atLeast"/>
          <w:jc w:val="center"/>
        </w:trPr>
        <w:tc>
          <w:tcPr>
            <w:tcW w:w="1005" w:type="pct"/>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3004" w:type="pct"/>
            <w:gridSpan w:val="2"/>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服务名称</w:t>
            </w:r>
          </w:p>
        </w:tc>
        <w:tc>
          <w:tcPr>
            <w:tcW w:w="990" w:type="pct"/>
            <w:shd w:val="clear" w:color="auto" w:fill="auto"/>
            <w:vAlign w:val="center"/>
          </w:tcPr>
          <w:p>
            <w:pPr>
              <w:widowControl/>
              <w:jc w:val="center"/>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rPr>
              <w:t>服务年限</w:t>
            </w:r>
          </w:p>
        </w:tc>
      </w:tr>
      <w:tr>
        <w:trPr>
          <w:trHeight w:val="20" w:hRule="atLeast"/>
          <w:jc w:val="center"/>
        </w:trPr>
        <w:tc>
          <w:tcPr>
            <w:tcW w:w="1005" w:type="pct"/>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一</w:t>
            </w:r>
          </w:p>
        </w:tc>
        <w:tc>
          <w:tcPr>
            <w:tcW w:w="3004" w:type="pct"/>
            <w:gridSpan w:val="2"/>
            <w:shd w:val="clear" w:color="auto" w:fill="auto"/>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rPr>
              <w:t>数据安全服务</w:t>
            </w:r>
          </w:p>
        </w:tc>
        <w:tc>
          <w:tcPr>
            <w:tcW w:w="990"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trPr>
          <w:trHeight w:val="20" w:hRule="atLeast"/>
          <w:jc w:val="center"/>
        </w:trPr>
        <w:tc>
          <w:tcPr>
            <w:tcW w:w="1005" w:type="pct"/>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数据分级分类</w:t>
            </w:r>
          </w:p>
        </w:tc>
        <w:tc>
          <w:tcPr>
            <w:tcW w:w="990" w:type="pct"/>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数据安全态势感知平台</w:t>
            </w:r>
          </w:p>
        </w:tc>
        <w:tc>
          <w:tcPr>
            <w:tcW w:w="990"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数据库加密扩展</w:t>
            </w:r>
          </w:p>
        </w:tc>
        <w:tc>
          <w:tcPr>
            <w:tcW w:w="990" w:type="pct"/>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数据安全管理系统</w:t>
            </w:r>
          </w:p>
        </w:tc>
        <w:tc>
          <w:tcPr>
            <w:tcW w:w="990" w:type="pct"/>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二</w:t>
            </w:r>
          </w:p>
        </w:tc>
        <w:tc>
          <w:tcPr>
            <w:tcW w:w="3004" w:type="pct"/>
            <w:gridSpan w:val="2"/>
            <w:shd w:val="clear" w:color="auto" w:fill="auto"/>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rPr>
              <w:t>网络安全监管平台</w:t>
            </w:r>
          </w:p>
        </w:tc>
        <w:tc>
          <w:tcPr>
            <w:tcW w:w="990"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（一）</w:t>
            </w:r>
          </w:p>
        </w:tc>
        <w:tc>
          <w:tcPr>
            <w:tcW w:w="3004" w:type="pct"/>
            <w:gridSpan w:val="2"/>
            <w:shd w:val="clear" w:color="auto" w:fill="auto"/>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安全管理子平台</w:t>
            </w:r>
          </w:p>
        </w:tc>
        <w:tc>
          <w:tcPr>
            <w:tcW w:w="990"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子平台基础软件</w:t>
            </w:r>
          </w:p>
        </w:tc>
        <w:tc>
          <w:tcPr>
            <w:tcW w:w="990"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550" w:type="pct"/>
            <w:vMerge w:val="restar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资产中心</w:t>
            </w:r>
          </w:p>
        </w:tc>
        <w:tc>
          <w:tcPr>
            <w:tcW w:w="1454"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资产脆弱性管理</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550" w:type="pct"/>
            <w:vMerge w:val="continue"/>
            <w:vAlign w:val="center"/>
          </w:tcPr>
          <w:p>
            <w:pPr>
              <w:widowControl/>
              <w:jc w:val="left"/>
              <w:rPr>
                <w:rFonts w:ascii="宋体" w:hAnsi="宋体" w:cs="宋体"/>
                <w:color w:val="000000"/>
                <w:kern w:val="0"/>
                <w:szCs w:val="21"/>
                <w:highlight w:val="none"/>
              </w:rPr>
            </w:pPr>
          </w:p>
        </w:tc>
        <w:tc>
          <w:tcPr>
            <w:tcW w:w="1454"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资产漏洞库管理</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550" w:type="pct"/>
            <w:vMerge w:val="continue"/>
            <w:vAlign w:val="center"/>
          </w:tcPr>
          <w:p>
            <w:pPr>
              <w:widowControl/>
              <w:jc w:val="left"/>
              <w:rPr>
                <w:rFonts w:ascii="宋体" w:hAnsi="宋体" w:cs="宋体"/>
                <w:color w:val="000000"/>
                <w:kern w:val="0"/>
                <w:szCs w:val="21"/>
                <w:highlight w:val="none"/>
              </w:rPr>
            </w:pPr>
          </w:p>
        </w:tc>
        <w:tc>
          <w:tcPr>
            <w:tcW w:w="1454"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资产风险评估管理</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550"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威胁中心</w:t>
            </w:r>
          </w:p>
        </w:tc>
        <w:tc>
          <w:tcPr>
            <w:tcW w:w="1454"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安全事件管理</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550" w:type="pct"/>
            <w:vMerge w:val="restar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分析中心</w:t>
            </w:r>
          </w:p>
        </w:tc>
        <w:tc>
          <w:tcPr>
            <w:tcW w:w="1454"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关联分析</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550" w:type="pct"/>
            <w:vMerge w:val="continue"/>
            <w:vAlign w:val="center"/>
          </w:tcPr>
          <w:p>
            <w:pPr>
              <w:widowControl/>
              <w:jc w:val="left"/>
              <w:rPr>
                <w:rFonts w:ascii="宋体" w:hAnsi="宋体" w:cs="宋体"/>
                <w:color w:val="000000"/>
                <w:kern w:val="0"/>
                <w:szCs w:val="21"/>
                <w:highlight w:val="none"/>
              </w:rPr>
            </w:pPr>
          </w:p>
        </w:tc>
        <w:tc>
          <w:tcPr>
            <w:tcW w:w="1454"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攻击链分析</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550"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情报中心</w:t>
            </w:r>
          </w:p>
        </w:tc>
        <w:tc>
          <w:tcPr>
            <w:tcW w:w="1454" w:type="pct"/>
            <w:shd w:val="clear" w:color="000000" w:fill="FFFFFF"/>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具备根据情报侦察等方法获取攻击者情报信息、攻击方法手段、攻击目标等重要情报信息的能力，能录入和展示重要行业部门报送的情报信息、第三方收集报送的情报信息、上级部门下发的情报信息、下级报送的情报信息以及通过其他方式汇聚的情报信息的能力等。</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550" w:type="pct"/>
            <w:vMerge w:val="restar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指挥中心</w:t>
            </w:r>
          </w:p>
        </w:tc>
        <w:tc>
          <w:tcPr>
            <w:tcW w:w="1454"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流程管理</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550" w:type="pct"/>
            <w:vMerge w:val="continue"/>
            <w:vAlign w:val="center"/>
          </w:tcPr>
          <w:p>
            <w:pPr>
              <w:widowControl/>
              <w:jc w:val="left"/>
              <w:rPr>
                <w:rFonts w:ascii="宋体" w:hAnsi="宋体" w:cs="宋体"/>
                <w:color w:val="000000"/>
                <w:kern w:val="0"/>
                <w:szCs w:val="21"/>
                <w:highlight w:val="none"/>
              </w:rPr>
            </w:pPr>
          </w:p>
        </w:tc>
        <w:tc>
          <w:tcPr>
            <w:tcW w:w="1454"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重要活动保障</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550" w:type="pct"/>
            <w:vMerge w:val="continue"/>
            <w:vAlign w:val="center"/>
          </w:tcPr>
          <w:p>
            <w:pPr>
              <w:widowControl/>
              <w:jc w:val="left"/>
              <w:rPr>
                <w:rFonts w:ascii="宋体" w:hAnsi="宋体" w:cs="宋体"/>
                <w:color w:val="000000"/>
                <w:kern w:val="0"/>
                <w:szCs w:val="21"/>
                <w:highlight w:val="none"/>
              </w:rPr>
            </w:pPr>
          </w:p>
        </w:tc>
        <w:tc>
          <w:tcPr>
            <w:tcW w:w="1454"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突发事件应急处置</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550" w:type="pct"/>
            <w:vMerge w:val="continue"/>
            <w:vAlign w:val="center"/>
          </w:tcPr>
          <w:p>
            <w:pPr>
              <w:widowControl/>
              <w:jc w:val="left"/>
              <w:rPr>
                <w:rFonts w:ascii="宋体" w:hAnsi="宋体" w:cs="宋体"/>
                <w:color w:val="000000"/>
                <w:kern w:val="0"/>
                <w:szCs w:val="21"/>
                <w:highlight w:val="none"/>
              </w:rPr>
            </w:pPr>
          </w:p>
        </w:tc>
        <w:tc>
          <w:tcPr>
            <w:tcW w:w="1454"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日常通报工作</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1550" w:type="pct"/>
            <w:vMerge w:val="continue"/>
            <w:vAlign w:val="center"/>
          </w:tcPr>
          <w:p>
            <w:pPr>
              <w:widowControl/>
              <w:jc w:val="left"/>
              <w:rPr>
                <w:rFonts w:ascii="宋体" w:hAnsi="宋体" w:cs="宋体"/>
                <w:color w:val="000000"/>
                <w:kern w:val="0"/>
                <w:szCs w:val="21"/>
                <w:highlight w:val="none"/>
              </w:rPr>
            </w:pPr>
          </w:p>
        </w:tc>
        <w:tc>
          <w:tcPr>
            <w:tcW w:w="1454"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重大风险预警</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1550"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报告中心</w:t>
            </w:r>
          </w:p>
        </w:tc>
        <w:tc>
          <w:tcPr>
            <w:tcW w:w="1454" w:type="pct"/>
            <w:shd w:val="clear" w:color="000000" w:fill="FFFFFF"/>
            <w:vAlign w:val="center"/>
          </w:tcPr>
          <w:p>
            <w:pPr>
              <w:widowControl/>
              <w:jc w:val="left"/>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　</w:t>
            </w:r>
            <w:r>
              <w:rPr>
                <w:rFonts w:hint="eastAsia" w:ascii="宋体" w:hAnsi="宋体" w:cs="宋体"/>
                <w:color w:val="000000"/>
                <w:kern w:val="0"/>
                <w:szCs w:val="21"/>
                <w:highlight w:val="none"/>
                <w:lang w:val="en-US" w:eastAsia="zh-CN"/>
              </w:rPr>
              <w:t>/</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w:t>
            </w:r>
          </w:p>
        </w:tc>
        <w:tc>
          <w:tcPr>
            <w:tcW w:w="1550"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考核评估</w:t>
            </w:r>
          </w:p>
        </w:tc>
        <w:tc>
          <w:tcPr>
            <w:tcW w:w="1454" w:type="pct"/>
            <w:shd w:val="clear" w:color="000000" w:fill="FFFFFF"/>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r>
              <w:rPr>
                <w:rFonts w:hint="eastAsia" w:ascii="宋体" w:hAnsi="宋体" w:cs="宋体"/>
                <w:color w:val="000000"/>
                <w:kern w:val="0"/>
                <w:szCs w:val="21"/>
                <w:highlight w:val="none"/>
                <w:lang w:val="en-US" w:eastAsia="zh-CN"/>
              </w:rPr>
              <w:t>/</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1550"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态势感知</w:t>
            </w:r>
          </w:p>
        </w:tc>
        <w:tc>
          <w:tcPr>
            <w:tcW w:w="1454" w:type="pct"/>
            <w:shd w:val="clear" w:color="000000" w:fill="FFFFFF"/>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r>
              <w:rPr>
                <w:rFonts w:hint="eastAsia" w:ascii="宋体" w:hAnsi="宋体" w:cs="宋体"/>
                <w:color w:val="000000"/>
                <w:kern w:val="0"/>
                <w:szCs w:val="21"/>
                <w:highlight w:val="none"/>
                <w:lang w:val="en-US" w:eastAsia="zh-CN"/>
              </w:rPr>
              <w:t>/</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w:t>
            </w:r>
          </w:p>
        </w:tc>
        <w:tc>
          <w:tcPr>
            <w:tcW w:w="1550"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子平台基础支撑硬件</w:t>
            </w:r>
          </w:p>
        </w:tc>
        <w:tc>
          <w:tcPr>
            <w:tcW w:w="1454"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子平台服务器（</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台）</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（二）</w:t>
            </w:r>
          </w:p>
        </w:tc>
        <w:tc>
          <w:tcPr>
            <w:tcW w:w="3004" w:type="pct"/>
            <w:gridSpan w:val="2"/>
            <w:shd w:val="clear" w:color="auto" w:fill="auto"/>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安全运行子平台</w:t>
            </w:r>
          </w:p>
        </w:tc>
        <w:tc>
          <w:tcPr>
            <w:tcW w:w="990" w:type="pct"/>
            <w:shd w:val="clear" w:color="auto" w:fill="auto"/>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　</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3004" w:type="pct"/>
            <w:gridSpan w:val="2"/>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安全监管平台</w:t>
            </w:r>
          </w:p>
        </w:tc>
        <w:tc>
          <w:tcPr>
            <w:tcW w:w="990"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550" w:type="pct"/>
            <w:vMerge w:val="restar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基础功能</w:t>
            </w:r>
          </w:p>
        </w:tc>
        <w:tc>
          <w:tcPr>
            <w:tcW w:w="1454"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监测中心</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550" w:type="pct"/>
            <w:vMerge w:val="continue"/>
            <w:vAlign w:val="center"/>
          </w:tcPr>
          <w:p>
            <w:pPr>
              <w:widowControl/>
              <w:jc w:val="left"/>
              <w:rPr>
                <w:rFonts w:ascii="宋体" w:hAnsi="宋体" w:cs="宋体"/>
                <w:kern w:val="0"/>
                <w:szCs w:val="21"/>
                <w:highlight w:val="none"/>
              </w:rPr>
            </w:pPr>
          </w:p>
        </w:tc>
        <w:tc>
          <w:tcPr>
            <w:tcW w:w="1454"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资管中心</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550" w:type="pct"/>
            <w:vMerge w:val="continue"/>
            <w:vAlign w:val="center"/>
          </w:tcPr>
          <w:p>
            <w:pPr>
              <w:widowControl/>
              <w:jc w:val="left"/>
              <w:rPr>
                <w:rFonts w:ascii="宋体" w:hAnsi="宋体" w:cs="宋体"/>
                <w:kern w:val="0"/>
                <w:szCs w:val="21"/>
                <w:highlight w:val="none"/>
              </w:rPr>
            </w:pPr>
          </w:p>
        </w:tc>
        <w:tc>
          <w:tcPr>
            <w:tcW w:w="1454"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感知中心</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550" w:type="pct"/>
            <w:vMerge w:val="continue"/>
            <w:vAlign w:val="center"/>
          </w:tcPr>
          <w:p>
            <w:pPr>
              <w:widowControl/>
              <w:jc w:val="left"/>
              <w:rPr>
                <w:rFonts w:ascii="宋体" w:hAnsi="宋体" w:cs="宋体"/>
                <w:kern w:val="0"/>
                <w:szCs w:val="21"/>
                <w:highlight w:val="none"/>
              </w:rPr>
            </w:pPr>
          </w:p>
        </w:tc>
        <w:tc>
          <w:tcPr>
            <w:tcW w:w="1454"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响应中心</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550" w:type="pct"/>
            <w:vMerge w:val="continue"/>
            <w:vAlign w:val="center"/>
          </w:tcPr>
          <w:p>
            <w:pPr>
              <w:widowControl/>
              <w:jc w:val="left"/>
              <w:rPr>
                <w:rFonts w:ascii="宋体" w:hAnsi="宋体" w:cs="宋体"/>
                <w:kern w:val="0"/>
                <w:szCs w:val="21"/>
                <w:highlight w:val="none"/>
              </w:rPr>
            </w:pPr>
          </w:p>
        </w:tc>
        <w:tc>
          <w:tcPr>
            <w:tcW w:w="1454"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Web端工作台</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550" w:type="pct"/>
            <w:vMerge w:val="continue"/>
            <w:vAlign w:val="center"/>
          </w:tcPr>
          <w:p>
            <w:pPr>
              <w:widowControl/>
              <w:jc w:val="left"/>
              <w:rPr>
                <w:rFonts w:ascii="宋体" w:hAnsi="宋体" w:cs="宋体"/>
                <w:kern w:val="0"/>
                <w:szCs w:val="21"/>
                <w:highlight w:val="none"/>
              </w:rPr>
            </w:pPr>
          </w:p>
        </w:tc>
        <w:tc>
          <w:tcPr>
            <w:tcW w:w="1454"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移动端</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3004" w:type="pct"/>
            <w:gridSpan w:val="2"/>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大数据节点软件</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3004" w:type="pct"/>
            <w:gridSpan w:val="2"/>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大数据安全监测</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3004" w:type="pct"/>
            <w:gridSpan w:val="2"/>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云平台安全监测</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3004" w:type="pct"/>
            <w:gridSpan w:val="2"/>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资产数据治理</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3004" w:type="pct"/>
            <w:gridSpan w:val="2"/>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检查督查</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3004" w:type="pct"/>
            <w:gridSpan w:val="2"/>
            <w:shd w:val="clear" w:color="000000" w:fill="FFFFFF"/>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指挥调度</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3004" w:type="pct"/>
            <w:gridSpan w:val="2"/>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分析研判</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w:t>
            </w:r>
          </w:p>
        </w:tc>
        <w:tc>
          <w:tcPr>
            <w:tcW w:w="3004" w:type="pct"/>
            <w:gridSpan w:val="2"/>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安全专项</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3004" w:type="pct"/>
            <w:gridSpan w:val="2"/>
            <w:shd w:val="clear" w:color="000000" w:fill="FFFFFF"/>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威胁情报模块</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w:t>
            </w:r>
          </w:p>
        </w:tc>
        <w:tc>
          <w:tcPr>
            <w:tcW w:w="3004" w:type="pct"/>
            <w:gridSpan w:val="2"/>
            <w:shd w:val="clear" w:color="000000" w:fill="FFFFFF"/>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重大安保</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w:t>
            </w:r>
          </w:p>
        </w:tc>
        <w:tc>
          <w:tcPr>
            <w:tcW w:w="3004" w:type="pct"/>
            <w:gridSpan w:val="2"/>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考核评价</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19</w:t>
            </w:r>
          </w:p>
        </w:tc>
        <w:tc>
          <w:tcPr>
            <w:tcW w:w="3004" w:type="pct"/>
            <w:gridSpan w:val="2"/>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流量监测模块</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3004" w:type="pct"/>
            <w:gridSpan w:val="2"/>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子平台支撑服务器（2台）</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三</w:t>
            </w:r>
          </w:p>
        </w:tc>
        <w:tc>
          <w:tcPr>
            <w:tcW w:w="3004" w:type="pct"/>
            <w:gridSpan w:val="2"/>
            <w:shd w:val="clear" w:color="auto" w:fill="auto"/>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rPr>
              <w:t>网络安全配套服务</w:t>
            </w:r>
          </w:p>
        </w:tc>
        <w:tc>
          <w:tcPr>
            <w:tcW w:w="990"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云端安全实时监测服务</w:t>
            </w:r>
          </w:p>
        </w:tc>
        <w:tc>
          <w:tcPr>
            <w:tcW w:w="990"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漏洞扫描服务</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基线检查服务</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渗透</w:t>
            </w:r>
            <w:r>
              <w:rPr>
                <w:rFonts w:hint="eastAsia" w:ascii="宋体" w:hAnsi="宋体" w:cs="宋体"/>
                <w:color w:val="000000"/>
                <w:kern w:val="0"/>
                <w:szCs w:val="21"/>
                <w:highlight w:val="none"/>
                <w:lang w:eastAsia="zh-CN"/>
              </w:rPr>
              <w:t>测shi</w:t>
            </w:r>
            <w:r>
              <w:rPr>
                <w:rFonts w:hint="eastAsia" w:ascii="宋体" w:hAnsi="宋体" w:cs="宋体"/>
                <w:color w:val="000000"/>
                <w:kern w:val="0"/>
                <w:szCs w:val="21"/>
                <w:highlight w:val="none"/>
              </w:rPr>
              <w:t>服务</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风险隐患与事件通报服务</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安全检查服务</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安全工作报告服务</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运营流程优化服务</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运营文件编制服务</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资产梳理服务</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策略调优服务</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重要时期安全保障服务</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安全加固服务</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3004" w:type="pct"/>
            <w:gridSpan w:val="2"/>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宣传教育及培训服务</w:t>
            </w:r>
          </w:p>
        </w:tc>
        <w:tc>
          <w:tcPr>
            <w:tcW w:w="990" w:type="pct"/>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四</w:t>
            </w:r>
          </w:p>
        </w:tc>
        <w:tc>
          <w:tcPr>
            <w:tcW w:w="3004" w:type="pct"/>
            <w:gridSpan w:val="2"/>
            <w:shd w:val="clear" w:color="auto" w:fill="auto"/>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rPr>
              <w:t>国产化软件购置</w:t>
            </w:r>
          </w:p>
        </w:tc>
        <w:tc>
          <w:tcPr>
            <w:tcW w:w="990"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trPr>
          <w:trHeight w:val="20" w:hRule="atLeast"/>
          <w:jc w:val="center"/>
        </w:trPr>
        <w:tc>
          <w:tcPr>
            <w:tcW w:w="1005" w:type="pct"/>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3004" w:type="pct"/>
            <w:gridSpan w:val="2"/>
            <w:shd w:val="clear" w:color="auto" w:fill="auto"/>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国产数据库软件</w:t>
            </w:r>
            <w:r>
              <w:rPr>
                <w:rFonts w:hint="eastAsia" w:ascii="宋体" w:hAnsi="宋体" w:cs="宋体"/>
                <w:kern w:val="0"/>
                <w:szCs w:val="21"/>
                <w:highlight w:val="none"/>
                <w:lang w:val="en-US" w:eastAsia="zh-CN"/>
              </w:rPr>
              <w:t>1套</w:t>
            </w:r>
          </w:p>
        </w:tc>
        <w:tc>
          <w:tcPr>
            <w:tcW w:w="1727" w:type="dxa"/>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3年</w:t>
            </w:r>
          </w:p>
        </w:tc>
      </w:tr>
      <w:tr>
        <w:trPr>
          <w:trHeight w:val="20" w:hRule="atLeast"/>
          <w:jc w:val="center"/>
        </w:trPr>
        <w:tc>
          <w:tcPr>
            <w:tcW w:w="100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3004" w:type="pct"/>
            <w:gridSpan w:val="2"/>
            <w:shd w:val="clear" w:color="auto" w:fill="auto"/>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国产应用中间件</w:t>
            </w:r>
            <w:r>
              <w:rPr>
                <w:rFonts w:hint="eastAsia" w:ascii="宋体" w:hAnsi="宋体" w:cs="宋体"/>
                <w:kern w:val="0"/>
                <w:szCs w:val="21"/>
                <w:highlight w:val="none"/>
                <w:lang w:val="en-US" w:eastAsia="zh-CN"/>
              </w:rPr>
              <w:t>1套</w:t>
            </w:r>
          </w:p>
        </w:tc>
        <w:tc>
          <w:tcPr>
            <w:tcW w:w="1727" w:type="dxa"/>
            <w:shd w:val="clear" w:color="auto" w:fill="auto"/>
            <w:vAlign w:val="center"/>
          </w:tcPr>
          <w:p>
            <w:pPr>
              <w:widowControl/>
              <w:jc w:val="center"/>
              <w:rPr>
                <w:rFonts w:ascii="宋体" w:hAnsi="宋体" w:cs="宋体"/>
                <w:kern w:val="0"/>
                <w:szCs w:val="21"/>
                <w:highlight w:val="none"/>
              </w:rPr>
            </w:pPr>
            <w:r>
              <w:rPr>
                <w:rFonts w:hint="eastAsia" w:ascii="宋体" w:hAnsi="宋体" w:cs="宋体"/>
                <w:color w:val="000000"/>
                <w:kern w:val="0"/>
                <w:szCs w:val="21"/>
                <w:highlight w:val="none"/>
              </w:rPr>
              <w:t>3年</w:t>
            </w:r>
          </w:p>
        </w:tc>
      </w:tr>
    </w:tbl>
    <w:p>
      <w:pPr>
        <w:rPr>
          <w:rFonts w:ascii="宋体" w:hAnsi="宋体" w:cs="宋体"/>
          <w:szCs w:val="21"/>
          <w:highlight w:val="none"/>
        </w:rPr>
      </w:pPr>
    </w:p>
    <w:p>
      <w:pPr>
        <w:keepNext/>
        <w:keepLines/>
        <w:spacing w:line="360" w:lineRule="auto"/>
        <w:outlineLvl w:val="0"/>
        <w:rPr>
          <w:rFonts w:ascii="宋体" w:hAnsi="宋体" w:cs="宋体"/>
          <w:b/>
          <w:bCs/>
          <w:kern w:val="44"/>
          <w:szCs w:val="21"/>
          <w:highlight w:val="none"/>
        </w:rPr>
      </w:pPr>
      <w:r>
        <w:rPr>
          <w:rFonts w:hint="eastAsia" w:ascii="宋体" w:hAnsi="宋体" w:cs="宋体"/>
          <w:b/>
          <w:bCs/>
          <w:kern w:val="44"/>
          <w:szCs w:val="21"/>
          <w:highlight w:val="none"/>
        </w:rPr>
        <w:t>五、设备详细参数</w:t>
      </w:r>
    </w:p>
    <w:p>
      <w:pPr>
        <w:keepNext/>
        <w:keepLines/>
        <w:numPr>
          <w:ilvl w:val="0"/>
          <w:numId w:val="7"/>
        </w:numPr>
        <w:spacing w:line="360" w:lineRule="auto"/>
        <w:outlineLvl w:val="1"/>
        <w:rPr>
          <w:rFonts w:ascii="宋体" w:hAnsi="宋体" w:cs="宋体"/>
          <w:b/>
          <w:bCs/>
          <w:szCs w:val="21"/>
          <w:highlight w:val="none"/>
        </w:rPr>
      </w:pPr>
      <w:r>
        <w:rPr>
          <w:rFonts w:hint="eastAsia" w:ascii="宋体" w:hAnsi="宋体" w:cs="宋体"/>
          <w:b/>
          <w:bCs/>
          <w:szCs w:val="21"/>
          <w:highlight w:val="none"/>
        </w:rPr>
        <w:t>数据分类分级服务</w:t>
      </w:r>
    </w:p>
    <w:p>
      <w:pPr>
        <w:keepNext/>
        <w:keepLines/>
        <w:spacing w:line="360" w:lineRule="auto"/>
        <w:outlineLvl w:val="2"/>
        <w:rPr>
          <w:rFonts w:ascii="宋体" w:hAnsi="宋体" w:cs="宋体"/>
          <w:b/>
          <w:bCs/>
          <w:szCs w:val="21"/>
          <w:highlight w:val="none"/>
        </w:rPr>
      </w:pPr>
      <w:r>
        <w:rPr>
          <w:rFonts w:hint="eastAsia" w:ascii="宋体" w:hAnsi="宋体" w:cs="宋体"/>
          <w:b/>
          <w:bCs/>
          <w:szCs w:val="21"/>
          <w:highlight w:val="none"/>
        </w:rPr>
        <w:t>1.服务内容</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7703"/>
      </w:tblGrid>
      <w:tr>
        <w:trPr>
          <w:trHeight w:val="90" w:hRule="atLeast"/>
          <w:jc w:val="center"/>
        </w:trPr>
        <w:tc>
          <w:tcPr>
            <w:tcW w:w="582" w:type="pct"/>
            <w:shd w:val="clear" w:color="auto" w:fill="BEBEBE"/>
            <w:vAlign w:val="center"/>
          </w:tcPr>
          <w:p>
            <w:pPr>
              <w:jc w:val="center"/>
              <w:rPr>
                <w:rFonts w:ascii="宋体" w:hAnsi="宋体" w:cs="宋体"/>
                <w:b/>
                <w:szCs w:val="21"/>
                <w:highlight w:val="none"/>
              </w:rPr>
            </w:pPr>
            <w:r>
              <w:rPr>
                <w:rFonts w:hint="eastAsia" w:ascii="宋体" w:hAnsi="宋体" w:cs="宋体"/>
                <w:b/>
                <w:szCs w:val="21"/>
                <w:highlight w:val="none"/>
              </w:rPr>
              <w:t>指标项</w:t>
            </w:r>
          </w:p>
        </w:tc>
        <w:tc>
          <w:tcPr>
            <w:tcW w:w="4417" w:type="pct"/>
            <w:shd w:val="clear" w:color="auto" w:fill="BEBEBE"/>
            <w:vAlign w:val="center"/>
          </w:tcPr>
          <w:p>
            <w:pPr>
              <w:jc w:val="center"/>
              <w:rPr>
                <w:rFonts w:ascii="宋体" w:hAnsi="宋体" w:cs="宋体"/>
                <w:b/>
                <w:szCs w:val="21"/>
                <w:highlight w:val="none"/>
              </w:rPr>
            </w:pPr>
            <w:r>
              <w:rPr>
                <w:rFonts w:hint="eastAsia" w:ascii="宋体" w:hAnsi="宋体" w:cs="宋体"/>
                <w:b/>
                <w:szCs w:val="21"/>
                <w:highlight w:val="none"/>
              </w:rPr>
              <w:t>指标要求</w:t>
            </w:r>
          </w:p>
        </w:tc>
      </w:tr>
      <w:tr>
        <w:trPr>
          <w:trHeight w:val="115" w:hRule="atLeast"/>
          <w:jc w:val="center"/>
        </w:trPr>
        <w:tc>
          <w:tcPr>
            <w:tcW w:w="582" w:type="pct"/>
            <w:vAlign w:val="center"/>
          </w:tcPr>
          <w:p>
            <w:pPr>
              <w:rPr>
                <w:rFonts w:ascii="宋体" w:hAnsi="宋体" w:cs="宋体"/>
                <w:szCs w:val="21"/>
                <w:highlight w:val="none"/>
              </w:rPr>
            </w:pPr>
            <w:r>
              <w:rPr>
                <w:rFonts w:hint="eastAsia" w:ascii="宋体" w:hAnsi="宋体" w:cs="宋体"/>
                <w:szCs w:val="21"/>
                <w:highlight w:val="none"/>
              </w:rPr>
              <w:t>服务内容</w:t>
            </w:r>
          </w:p>
        </w:tc>
        <w:tc>
          <w:tcPr>
            <w:tcW w:w="4417" w:type="pct"/>
            <w:vAlign w:val="center"/>
          </w:tcPr>
          <w:p>
            <w:pPr>
              <w:rPr>
                <w:rFonts w:ascii="宋体" w:hAnsi="宋体" w:cs="宋体"/>
                <w:szCs w:val="21"/>
                <w:highlight w:val="none"/>
              </w:rPr>
            </w:pPr>
            <w:r>
              <w:rPr>
                <w:rFonts w:hint="eastAsia" w:ascii="宋体" w:hAnsi="宋体" w:cs="宋体"/>
                <w:szCs w:val="21"/>
                <w:highlight w:val="none"/>
              </w:rPr>
              <w:t>1、数据分级分类咨询服务：根据国家、行业相关要求梳理余姚市数据分级分类规范，输出余姚市分级分类标准；</w:t>
            </w:r>
          </w:p>
          <w:p>
            <w:pPr>
              <w:rPr>
                <w:rFonts w:hint="eastAsia" w:ascii="宋体" w:hAnsi="宋体" w:cs="宋体"/>
                <w:szCs w:val="21"/>
                <w:highlight w:val="none"/>
              </w:rPr>
            </w:pPr>
            <w:r>
              <w:rPr>
                <w:rFonts w:hint="eastAsia" w:ascii="宋体" w:hAnsi="宋体" w:cs="宋体"/>
                <w:szCs w:val="21"/>
                <w:highlight w:val="none"/>
              </w:rPr>
              <w:t>2、数据安全服务：做好省市飞检工作和数据安全一本账自查整改</w:t>
            </w:r>
          </w:p>
          <w:p>
            <w:pPr>
              <w:rPr>
                <w:rFonts w:hint="eastAsia" w:ascii="宋体" w:hAnsi="宋体" w:cs="宋体"/>
                <w:szCs w:val="21"/>
                <w:highlight w:val="none"/>
              </w:rPr>
            </w:pPr>
            <w:r>
              <w:rPr>
                <w:rFonts w:hint="eastAsia" w:ascii="宋体" w:hAnsi="宋体" w:cs="宋体"/>
                <w:szCs w:val="21"/>
                <w:highlight w:val="none"/>
              </w:rPr>
              <w:t>根据数据安全管理要求，开展周期性数据安全风险评估，并出具风险评估报告及整改建议。数据安全风险评估服务每年2次，并形成《数据安全风险评估报告》。</w:t>
            </w:r>
          </w:p>
          <w:p>
            <w:pPr>
              <w:rPr>
                <w:rFonts w:ascii="宋体" w:hAnsi="宋体" w:cs="宋体"/>
                <w:szCs w:val="21"/>
                <w:highlight w:val="none"/>
              </w:rPr>
            </w:pPr>
            <w:r>
              <w:rPr>
                <w:rFonts w:hint="eastAsia" w:ascii="宋体" w:hAnsi="宋体" w:cs="宋体"/>
                <w:szCs w:val="21"/>
                <w:highlight w:val="none"/>
              </w:rPr>
              <w:t>按需提供，根据省、市数据安全相关绩效考核和工作要求，辅助用户完成上级数据安全检查项及考核指标解读、相关材料准备、不达标项整改等，并形成《数据安全考核评价检查记录》。提供数据安全咨询服务和数据安全相关建议；</w:t>
            </w:r>
          </w:p>
          <w:p>
            <w:pPr>
              <w:rPr>
                <w:rFonts w:ascii="宋体" w:hAnsi="宋体" w:cs="宋体"/>
                <w:szCs w:val="21"/>
                <w:highlight w:val="none"/>
              </w:rPr>
            </w:pPr>
            <w:r>
              <w:rPr>
                <w:rFonts w:hint="eastAsia" w:ascii="宋体" w:hAnsi="宋体" w:cs="宋体"/>
                <w:szCs w:val="21"/>
                <w:highlight w:val="none"/>
              </w:rPr>
              <w:t>3、暗数据发现和分类分级系统：具备对于余姚市数据资产进行自动发现并进行分类分级，协助采购人全面梳理数据资产，具备数据安全治理和数据基础治理能力，含</w:t>
            </w:r>
            <w:r>
              <w:rPr>
                <w:rFonts w:hint="eastAsia" w:ascii="宋体" w:hAnsi="宋体" w:cs="宋体"/>
                <w:szCs w:val="21"/>
                <w:highlight w:val="none"/>
                <w:lang w:eastAsia="zh-CN"/>
              </w:rPr>
              <w:t>不少于</w:t>
            </w:r>
            <w:r>
              <w:rPr>
                <w:rFonts w:hint="eastAsia" w:ascii="宋体" w:hAnsi="宋体" w:cs="宋体"/>
                <w:szCs w:val="21"/>
                <w:highlight w:val="none"/>
              </w:rPr>
              <w:t>2000张表40000个字段；</w:t>
            </w:r>
          </w:p>
          <w:p>
            <w:pPr>
              <w:rPr>
                <w:rFonts w:ascii="宋体" w:hAnsi="宋体" w:cs="宋体"/>
                <w:szCs w:val="21"/>
                <w:highlight w:val="none"/>
              </w:rPr>
            </w:pPr>
            <w:r>
              <w:rPr>
                <w:rFonts w:hint="eastAsia" w:ascii="宋体" w:hAnsi="宋体" w:cs="宋体"/>
                <w:szCs w:val="21"/>
                <w:highlight w:val="none"/>
              </w:rPr>
              <w:t>4、数据分级分类实施服务：具备利用敏感数据发现分析出敏感数据后，再按照政务数据类型进行敏感数据分级分类，从敏感数据分类出发，选择敏感表格组成敏感数据集合，在保障安全的基础之上实现便捷管理。</w:t>
            </w:r>
          </w:p>
          <w:p>
            <w:pPr>
              <w:rPr>
                <w:rFonts w:ascii="宋体" w:hAnsi="宋体" w:cs="宋体"/>
                <w:szCs w:val="21"/>
                <w:highlight w:val="none"/>
              </w:rPr>
            </w:pPr>
            <w:r>
              <w:rPr>
                <w:rFonts w:hint="eastAsia" w:ascii="宋体" w:hAnsi="宋体" w:cs="宋体"/>
                <w:szCs w:val="21"/>
                <w:highlight w:val="none"/>
              </w:rPr>
              <w:t>5、硬件配置，不低于下列参数及数量：</w:t>
            </w:r>
            <w:r>
              <w:rPr>
                <w:rFonts w:hint="eastAsia" w:ascii="宋体" w:hAnsi="宋体" w:cs="宋体"/>
                <w:szCs w:val="21"/>
                <w:highlight w:val="none"/>
                <w:lang w:val="en-US" w:eastAsia="zh-CN"/>
              </w:rPr>
              <w:t>CPU国产化不低于16核</w:t>
            </w:r>
            <w:r>
              <w:rPr>
                <w:rFonts w:hint="eastAsia" w:ascii="宋体" w:hAnsi="宋体" w:cs="宋体"/>
                <w:szCs w:val="21"/>
                <w:highlight w:val="none"/>
              </w:rPr>
              <w:t xml:space="preserve"> /</w:t>
            </w:r>
            <w:r>
              <w:rPr>
                <w:rFonts w:hint="eastAsia" w:ascii="宋体" w:hAnsi="宋体" w:cs="宋体"/>
                <w:szCs w:val="21"/>
                <w:highlight w:val="none"/>
                <w:lang w:eastAsia="zh-CN"/>
              </w:rPr>
              <w:t>内存不少于</w:t>
            </w:r>
            <w:r>
              <w:rPr>
                <w:rFonts w:hint="eastAsia" w:ascii="宋体" w:hAnsi="宋体" w:cs="宋体"/>
                <w:szCs w:val="21"/>
                <w:highlight w:val="none"/>
              </w:rPr>
              <w:t>DDR4 3200 16G*2 /</w:t>
            </w:r>
            <w:r>
              <w:rPr>
                <w:rFonts w:hint="eastAsia" w:ascii="宋体" w:hAnsi="宋体" w:cs="宋体"/>
                <w:szCs w:val="21"/>
                <w:highlight w:val="none"/>
                <w:lang w:eastAsia="zh-CN"/>
              </w:rPr>
              <w:t>硬盘不少于</w:t>
            </w:r>
            <w:r>
              <w:rPr>
                <w:rFonts w:hint="eastAsia" w:ascii="宋体" w:hAnsi="宋体" w:cs="宋体"/>
                <w:szCs w:val="21"/>
                <w:highlight w:val="none"/>
              </w:rPr>
              <w:t>480G 2.5 SATA 6Gb R SSD*1 /</w:t>
            </w:r>
            <w:r>
              <w:rPr>
                <w:rFonts w:hint="eastAsia" w:ascii="宋体" w:hAnsi="宋体" w:cs="宋体"/>
                <w:szCs w:val="21"/>
                <w:highlight w:val="none"/>
                <w:lang w:eastAsia="zh-CN"/>
              </w:rPr>
              <w:t>硬盘不少于</w:t>
            </w:r>
            <w:r>
              <w:rPr>
                <w:rFonts w:hint="eastAsia" w:ascii="宋体" w:hAnsi="宋体" w:cs="宋体"/>
                <w:szCs w:val="21"/>
                <w:highlight w:val="none"/>
              </w:rPr>
              <w:t>4TB  3.5 SATA 7.2K HDD*2 /</w:t>
            </w:r>
            <w:r>
              <w:rPr>
                <w:rFonts w:hint="eastAsia" w:ascii="宋体" w:hAnsi="宋体" w:cs="宋体"/>
                <w:szCs w:val="21"/>
                <w:highlight w:val="none"/>
                <w:lang w:eastAsia="zh-CN"/>
              </w:rPr>
              <w:t>硬盘背板不低于</w:t>
            </w:r>
            <w:r>
              <w:rPr>
                <w:rFonts w:hint="eastAsia" w:ascii="宋体" w:hAnsi="宋体" w:cs="宋体"/>
                <w:szCs w:val="21"/>
                <w:highlight w:val="none"/>
              </w:rPr>
              <w:t>4盘12G SAS /</w:t>
            </w:r>
            <w:r>
              <w:rPr>
                <w:rFonts w:hint="eastAsia" w:ascii="宋体" w:hAnsi="宋体" w:cs="宋体"/>
                <w:szCs w:val="21"/>
                <w:highlight w:val="none"/>
                <w:lang w:eastAsia="zh-CN"/>
              </w:rPr>
              <w:t>不少于</w:t>
            </w:r>
            <w:r>
              <w:rPr>
                <w:rFonts w:hint="eastAsia" w:ascii="宋体" w:hAnsi="宋体" w:cs="宋体"/>
                <w:szCs w:val="21"/>
                <w:highlight w:val="none"/>
              </w:rPr>
              <w:t>8口SAS卡/</w:t>
            </w:r>
            <w:r>
              <w:rPr>
                <w:rFonts w:hint="eastAsia" w:ascii="宋体" w:hAnsi="宋体" w:cs="宋体"/>
                <w:szCs w:val="21"/>
                <w:highlight w:val="none"/>
                <w:lang w:eastAsia="zh-CN"/>
              </w:rPr>
              <w:t>不低于</w:t>
            </w:r>
            <w:r>
              <w:rPr>
                <w:rFonts w:hint="eastAsia" w:ascii="宋体" w:hAnsi="宋体" w:cs="宋体"/>
                <w:szCs w:val="21"/>
                <w:highlight w:val="none"/>
              </w:rPr>
              <w:t>550W电源模块*2 /双口10G（满配光模块）SFP+光纤网卡*2 /10G SFP+多模光模块*4 （满配光模块）/滑轨 /150cm 国标电源线*2 / 整机三年保修且硬盘免回收。</w:t>
            </w:r>
          </w:p>
          <w:p>
            <w:pPr>
              <w:rPr>
                <w:rFonts w:ascii="宋体" w:hAnsi="宋体" w:cs="宋体"/>
                <w:szCs w:val="21"/>
                <w:highlight w:val="none"/>
              </w:rPr>
            </w:pPr>
            <w:r>
              <w:rPr>
                <w:rFonts w:hint="eastAsia" w:ascii="宋体" w:hAnsi="宋体" w:cs="宋体"/>
                <w:szCs w:val="21"/>
                <w:highlight w:val="none"/>
              </w:rPr>
              <w:t>6、具备服务期内软件、硬件系统全功能免费升级服务。</w:t>
            </w:r>
          </w:p>
        </w:tc>
      </w:tr>
      <w:tr>
        <w:trPr>
          <w:trHeight w:val="115" w:hRule="atLeast"/>
          <w:jc w:val="center"/>
        </w:trPr>
        <w:tc>
          <w:tcPr>
            <w:tcW w:w="582" w:type="pct"/>
            <w:vAlign w:val="center"/>
          </w:tcPr>
          <w:p>
            <w:pPr>
              <w:rPr>
                <w:rFonts w:ascii="宋体" w:hAnsi="宋体" w:cs="宋体"/>
                <w:szCs w:val="21"/>
                <w:highlight w:val="none"/>
              </w:rPr>
            </w:pPr>
            <w:r>
              <w:rPr>
                <w:rFonts w:hint="eastAsia" w:ascii="宋体" w:hAnsi="宋体" w:cs="宋体"/>
                <w:szCs w:val="21"/>
                <w:highlight w:val="none"/>
              </w:rPr>
              <w:t>服务范围</w:t>
            </w:r>
          </w:p>
        </w:tc>
        <w:tc>
          <w:tcPr>
            <w:tcW w:w="4417" w:type="pct"/>
            <w:vAlign w:val="center"/>
          </w:tcPr>
          <w:p>
            <w:pPr>
              <w:rPr>
                <w:rFonts w:ascii="宋体" w:hAnsi="宋体" w:cs="宋体"/>
                <w:szCs w:val="21"/>
                <w:highlight w:val="none"/>
              </w:rPr>
            </w:pPr>
            <w:r>
              <w:rPr>
                <w:rFonts w:hint="eastAsia" w:ascii="宋体" w:hAnsi="宋体" w:cs="宋体"/>
                <w:szCs w:val="21"/>
                <w:highlight w:val="none"/>
              </w:rPr>
              <w:t>为</w:t>
            </w:r>
            <w:r>
              <w:rPr>
                <w:rFonts w:hint="eastAsia" w:ascii="宋体" w:hAnsi="宋体" w:cs="宋体"/>
                <w:szCs w:val="21"/>
                <w:highlight w:val="none"/>
                <w:lang w:eastAsia="zh-CN"/>
              </w:rPr>
              <w:t>余姚市电子政务</w:t>
            </w:r>
            <w:r>
              <w:rPr>
                <w:rFonts w:hint="eastAsia" w:ascii="宋体" w:hAnsi="宋体" w:cs="宋体"/>
                <w:szCs w:val="21"/>
                <w:highlight w:val="none"/>
                <w:lang w:val="en-US" w:eastAsia="zh-CN"/>
              </w:rPr>
              <w:t>数据中心</w:t>
            </w:r>
            <w:r>
              <w:rPr>
                <w:rFonts w:hint="eastAsia" w:ascii="宋体" w:hAnsi="宋体" w:cs="宋体"/>
                <w:szCs w:val="21"/>
                <w:highlight w:val="none"/>
              </w:rPr>
              <w:t>提供三年期的数据分类分级服务。</w:t>
            </w:r>
          </w:p>
        </w:tc>
      </w:tr>
      <w:tr>
        <w:trPr>
          <w:trHeight w:val="115" w:hRule="atLeast"/>
          <w:jc w:val="center"/>
        </w:trPr>
        <w:tc>
          <w:tcPr>
            <w:tcW w:w="582" w:type="pct"/>
            <w:vAlign w:val="center"/>
          </w:tcPr>
          <w:p>
            <w:pPr>
              <w:rPr>
                <w:rFonts w:ascii="宋体" w:hAnsi="宋体" w:cs="宋体"/>
                <w:szCs w:val="21"/>
                <w:highlight w:val="none"/>
              </w:rPr>
            </w:pPr>
            <w:r>
              <w:rPr>
                <w:rFonts w:hint="eastAsia" w:ascii="宋体" w:hAnsi="宋体" w:cs="宋体"/>
                <w:szCs w:val="21"/>
                <w:highlight w:val="none"/>
              </w:rPr>
              <w:t>交付物</w:t>
            </w:r>
          </w:p>
        </w:tc>
        <w:tc>
          <w:tcPr>
            <w:tcW w:w="4417" w:type="pct"/>
            <w:vAlign w:val="center"/>
          </w:tcPr>
          <w:p>
            <w:pPr>
              <w:rPr>
                <w:rFonts w:ascii="宋体" w:hAnsi="宋体" w:cs="宋体"/>
                <w:szCs w:val="21"/>
                <w:highlight w:val="none"/>
              </w:rPr>
            </w:pPr>
            <w:r>
              <w:rPr>
                <w:rFonts w:hint="eastAsia" w:ascii="宋体" w:hAnsi="宋体" w:cs="宋体"/>
                <w:szCs w:val="21"/>
                <w:highlight w:val="none"/>
              </w:rPr>
              <w:t>服务期至少输出《数据资产发现报告》、《数据资产分类分级报告》、《数据源详情展示报告》。</w:t>
            </w:r>
          </w:p>
        </w:tc>
      </w:tr>
    </w:tbl>
    <w:p>
      <w:pPr>
        <w:keepNext/>
        <w:keepLines/>
        <w:spacing w:line="360" w:lineRule="auto"/>
        <w:outlineLvl w:val="2"/>
        <w:rPr>
          <w:rFonts w:ascii="宋体" w:hAnsi="宋体" w:cs="宋体"/>
          <w:b/>
          <w:bCs/>
          <w:szCs w:val="21"/>
          <w:highlight w:val="none"/>
        </w:rPr>
      </w:pPr>
      <w:r>
        <w:rPr>
          <w:rFonts w:hint="eastAsia" w:ascii="宋体" w:hAnsi="宋体" w:cs="宋体"/>
          <w:b/>
          <w:bCs/>
          <w:szCs w:val="21"/>
          <w:highlight w:val="none"/>
        </w:rPr>
        <w:t>2.技术服务工具要求</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7299"/>
      </w:tblGrid>
      <w:tr>
        <w:trPr>
          <w:trHeight w:val="460" w:hRule="atLeast"/>
        </w:trPr>
        <w:tc>
          <w:tcPr>
            <w:tcW w:w="814" w:type="pc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b/>
                <w:bCs/>
                <w:color w:val="000000"/>
                <w:szCs w:val="21"/>
                <w:highlight w:val="none"/>
              </w:rPr>
              <w:t>指标项</w:t>
            </w:r>
          </w:p>
        </w:tc>
        <w:tc>
          <w:tcPr>
            <w:tcW w:w="4185" w:type="pc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b/>
                <w:bCs/>
                <w:color w:val="000000"/>
                <w:szCs w:val="21"/>
                <w:highlight w:val="none"/>
              </w:rPr>
              <w:t>详细功能要求</w:t>
            </w:r>
          </w:p>
        </w:tc>
      </w:tr>
      <w:tr>
        <w:trPr>
          <w:trHeight w:val="341" w:hRule="atLeast"/>
        </w:trPr>
        <w:tc>
          <w:tcPr>
            <w:tcW w:w="814" w:type="pct"/>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数据源适配</w:t>
            </w:r>
          </w:p>
        </w:tc>
        <w:tc>
          <w:tcPr>
            <w:tcW w:w="4185" w:type="pct"/>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适配多种数据源，</w:t>
            </w:r>
            <w:r>
              <w:rPr>
                <w:rFonts w:hint="eastAsia" w:ascii="宋体" w:hAnsi="宋体" w:cs="宋体"/>
                <w:color w:val="000000"/>
                <w:kern w:val="0"/>
                <w:szCs w:val="21"/>
                <w:highlight w:val="none"/>
                <w:lang w:val="en-US" w:eastAsia="zh-CN"/>
              </w:rPr>
              <w:t>配置不少于以下</w:t>
            </w:r>
            <w:r>
              <w:rPr>
                <w:rFonts w:hint="eastAsia" w:ascii="宋体" w:hAnsi="宋体" w:cs="宋体"/>
                <w:color w:val="000000"/>
                <w:kern w:val="0"/>
                <w:szCs w:val="21"/>
                <w:highlight w:val="none"/>
              </w:rPr>
              <w:t>主流关系型数据库（Oracle，Mysql，sqlServer，DB2，PostgreSQL，informix，MariaDB，TiDB，AS400</w:t>
            </w:r>
            <w:r>
              <w:rPr>
                <w:rFonts w:hint="eastAsia" w:ascii="宋体" w:hAnsi="宋体" w:cs="宋体"/>
                <w:color w:val="000000"/>
                <w:kern w:val="0"/>
                <w:szCs w:val="21"/>
                <w:highlight w:val="none"/>
                <w:lang w:val="en-US" w:eastAsia="zh-CN"/>
              </w:rPr>
              <w:t>等</w:t>
            </w:r>
            <w:r>
              <w:rPr>
                <w:rFonts w:hint="eastAsia" w:ascii="宋体" w:hAnsi="宋体" w:cs="宋体"/>
                <w:color w:val="000000"/>
                <w:kern w:val="0"/>
                <w:szCs w:val="21"/>
                <w:highlight w:val="none"/>
              </w:rPr>
              <w:t>）、国产数据库（DM，GaussDB，浪潮K-DB，HotDB，Gbase 8a、Cache</w:t>
            </w:r>
            <w:r>
              <w:rPr>
                <w:rFonts w:hint="eastAsia" w:ascii="宋体" w:hAnsi="宋体" w:cs="宋体"/>
                <w:color w:val="000000"/>
                <w:kern w:val="0"/>
                <w:szCs w:val="21"/>
                <w:highlight w:val="none"/>
                <w:lang w:val="en-US" w:eastAsia="zh-CN"/>
              </w:rPr>
              <w:t>等</w:t>
            </w:r>
            <w:r>
              <w:rPr>
                <w:rFonts w:hint="eastAsia" w:ascii="宋体" w:hAnsi="宋体" w:cs="宋体"/>
                <w:color w:val="000000"/>
                <w:kern w:val="0"/>
                <w:szCs w:val="21"/>
                <w:highlight w:val="none"/>
              </w:rPr>
              <w:t>）、大数据平台（hive，星环，Hbase，Greenplum</w:t>
            </w:r>
            <w:r>
              <w:rPr>
                <w:rFonts w:hint="eastAsia" w:ascii="宋体" w:hAnsi="宋体" w:cs="宋体"/>
                <w:color w:val="000000"/>
                <w:kern w:val="0"/>
                <w:szCs w:val="21"/>
                <w:highlight w:val="none"/>
                <w:lang w:val="en-US" w:eastAsia="zh-CN"/>
              </w:rPr>
              <w:t>等</w:t>
            </w:r>
            <w:r>
              <w:rPr>
                <w:rFonts w:hint="eastAsia" w:ascii="宋体" w:hAnsi="宋体" w:cs="宋体"/>
                <w:color w:val="000000"/>
                <w:kern w:val="0"/>
                <w:szCs w:val="21"/>
                <w:highlight w:val="none"/>
              </w:rPr>
              <w:t>）、云数据库（ODPS，阿里云RDS - MySQL，阿里云RDS - SQL server，阿里云RDS - PostgreSQL，阿里云RDS - MariaDB</w:t>
            </w:r>
            <w:r>
              <w:rPr>
                <w:rFonts w:hint="eastAsia" w:ascii="宋体" w:hAnsi="宋体" w:cs="宋体"/>
                <w:color w:val="000000"/>
                <w:kern w:val="0"/>
                <w:szCs w:val="21"/>
                <w:highlight w:val="none"/>
                <w:lang w:val="en-US" w:eastAsia="zh-CN"/>
              </w:rPr>
              <w:t>等</w:t>
            </w:r>
            <w:r>
              <w:rPr>
                <w:rFonts w:hint="eastAsia" w:ascii="宋体" w:hAnsi="宋体" w:cs="宋体"/>
                <w:color w:val="000000"/>
                <w:kern w:val="0"/>
                <w:szCs w:val="21"/>
                <w:highlight w:val="none"/>
              </w:rPr>
              <w:t>）、文件（txt、csv、xls、xlsx、数据字典</w:t>
            </w:r>
            <w:r>
              <w:rPr>
                <w:rFonts w:hint="eastAsia" w:ascii="宋体" w:hAnsi="宋体" w:cs="宋体"/>
                <w:color w:val="000000"/>
                <w:kern w:val="0"/>
                <w:szCs w:val="21"/>
                <w:highlight w:val="none"/>
                <w:lang w:val="en-US" w:eastAsia="zh-CN"/>
              </w:rPr>
              <w:t>等</w:t>
            </w:r>
            <w:r>
              <w:rPr>
                <w:rFonts w:hint="eastAsia" w:ascii="宋体" w:hAnsi="宋体" w:cs="宋体"/>
                <w:color w:val="000000"/>
                <w:kern w:val="0"/>
                <w:szCs w:val="21"/>
                <w:highlight w:val="none"/>
              </w:rPr>
              <w:t>）。</w:t>
            </w:r>
          </w:p>
        </w:tc>
      </w:tr>
      <w:tr>
        <w:trPr>
          <w:trHeight w:val="341" w:hRule="atLeast"/>
        </w:trPr>
        <w:tc>
          <w:tcPr>
            <w:tcW w:w="814" w:type="pct"/>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可扩展性</w:t>
            </w:r>
          </w:p>
        </w:tc>
        <w:tc>
          <w:tcPr>
            <w:tcW w:w="4185" w:type="pct"/>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提供完整的对接接口方案以及标准接口文档，能与其他系统进行交互。</w:t>
            </w:r>
          </w:p>
        </w:tc>
      </w:tr>
      <w:tr>
        <w:trPr>
          <w:trHeight w:val="341" w:hRule="atLeast"/>
        </w:trPr>
        <w:tc>
          <w:tcPr>
            <w:tcW w:w="814" w:type="pct"/>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数据源管理</w:t>
            </w:r>
          </w:p>
        </w:tc>
        <w:tc>
          <w:tcPr>
            <w:tcW w:w="4185" w:type="pct"/>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配置手工新增、批量导入、数据源发现三种方式添加数据源的功能，可根据业务部门划分归属，页面支持查看数据源的关联用户、角色等。</w:t>
            </w:r>
          </w:p>
        </w:tc>
      </w:tr>
      <w:tr>
        <w:trPr>
          <w:trHeight w:val="283" w:hRule="atLeast"/>
        </w:trPr>
        <w:tc>
          <w:tcPr>
            <w:tcW w:w="814" w:type="pct"/>
            <w:vMerge w:val="restart"/>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数据源发现</w:t>
            </w:r>
          </w:p>
        </w:tc>
        <w:tc>
          <w:tcPr>
            <w:tcW w:w="4185" w:type="pct"/>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配置</w:t>
            </w:r>
            <w:r>
              <w:rPr>
                <w:rFonts w:hint="eastAsia" w:ascii="宋体" w:hAnsi="宋体" w:cs="宋体"/>
                <w:color w:val="000000"/>
                <w:kern w:val="0"/>
                <w:szCs w:val="21"/>
                <w:highlight w:val="none"/>
              </w:rPr>
              <w:t>根据网段范围自动探测网络中的数据库</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，可扫描发现不限于Oracle、MySQL、SQL sever、DB2、postgresql、Sybase、 redis 、hbase、mongodb、informix等类型的数据库IP、端口、数据库类型等信息，</w:t>
            </w:r>
            <w:r>
              <w:rPr>
                <w:rFonts w:hint="eastAsia" w:ascii="宋体" w:hAnsi="宋体" w:cs="宋体"/>
                <w:color w:val="000000"/>
                <w:kern w:val="0"/>
                <w:szCs w:val="21"/>
                <w:highlight w:val="none"/>
                <w:lang w:val="en-US" w:eastAsia="zh-CN"/>
              </w:rPr>
              <w:t>配置</w:t>
            </w:r>
            <w:r>
              <w:rPr>
                <w:rFonts w:hint="eastAsia" w:ascii="宋体" w:hAnsi="宋体" w:cs="宋体"/>
                <w:color w:val="000000"/>
                <w:kern w:val="0"/>
                <w:szCs w:val="21"/>
                <w:highlight w:val="none"/>
              </w:rPr>
              <w:t>支持仅对数据库常见的端口进行扫描以缩短扫描所用时间。</w:t>
            </w:r>
          </w:p>
        </w:tc>
      </w:tr>
      <w:tr>
        <w:trPr>
          <w:trHeight w:val="283" w:hRule="atLeast"/>
        </w:trPr>
        <w:tc>
          <w:tcPr>
            <w:tcW w:w="814" w:type="pct"/>
            <w:vMerge w:val="continue"/>
            <w:vAlign w:val="center"/>
          </w:tcPr>
          <w:p>
            <w:pPr>
              <w:spacing w:line="276" w:lineRule="auto"/>
              <w:jc w:val="center"/>
              <w:rPr>
                <w:rFonts w:ascii="宋体" w:hAnsi="宋体" w:cs="宋体"/>
                <w:color w:val="000000"/>
                <w:kern w:val="0"/>
                <w:szCs w:val="21"/>
                <w:highlight w:val="none"/>
              </w:rPr>
            </w:pPr>
          </w:p>
        </w:tc>
        <w:tc>
          <w:tcPr>
            <w:tcW w:w="4185" w:type="pct"/>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配置</w:t>
            </w:r>
            <w:r>
              <w:rPr>
                <w:rFonts w:hint="eastAsia" w:ascii="宋体" w:hAnsi="宋体" w:cs="宋体"/>
                <w:color w:val="000000"/>
                <w:kern w:val="0"/>
                <w:szCs w:val="21"/>
                <w:highlight w:val="none"/>
              </w:rPr>
              <w:t>定时执行数据源发现任务</w:t>
            </w:r>
            <w:r>
              <w:rPr>
                <w:rFonts w:hint="eastAsia" w:ascii="宋体" w:hAnsi="宋体" w:cs="宋体"/>
                <w:color w:val="000000"/>
                <w:kern w:val="0"/>
                <w:szCs w:val="21"/>
                <w:highlight w:val="none"/>
                <w:lang w:val="en-US" w:eastAsia="zh-CN"/>
              </w:rPr>
              <w:t>的功能</w:t>
            </w:r>
            <w:r>
              <w:rPr>
                <w:rFonts w:hint="eastAsia" w:ascii="宋体" w:hAnsi="宋体" w:cs="宋体"/>
                <w:color w:val="000000"/>
                <w:kern w:val="0"/>
                <w:szCs w:val="21"/>
                <w:highlight w:val="none"/>
              </w:rPr>
              <w:t>，可自定义定时周期和启动时间，启动时间可精确到小时、分、秒。</w:t>
            </w:r>
          </w:p>
        </w:tc>
      </w:tr>
      <w:tr>
        <w:trPr>
          <w:trHeight w:val="427" w:hRule="atLeast"/>
        </w:trPr>
        <w:tc>
          <w:tcPr>
            <w:tcW w:w="814" w:type="pct"/>
            <w:vMerge w:val="continue"/>
            <w:vAlign w:val="center"/>
          </w:tcPr>
          <w:p>
            <w:pPr>
              <w:spacing w:line="276" w:lineRule="auto"/>
              <w:jc w:val="center"/>
              <w:rPr>
                <w:rFonts w:ascii="宋体" w:hAnsi="宋体" w:cs="宋体"/>
                <w:color w:val="000000"/>
                <w:kern w:val="0"/>
                <w:szCs w:val="21"/>
                <w:highlight w:val="none"/>
              </w:rPr>
            </w:pPr>
          </w:p>
        </w:tc>
        <w:tc>
          <w:tcPr>
            <w:tcW w:w="4185" w:type="pct"/>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支持对任务进行跟踪，展示发现作业名称、扫描IP范围、开始时间、扫描用时、发现数据库数量、任务执行状态等信息。</w:t>
            </w:r>
          </w:p>
        </w:tc>
      </w:tr>
      <w:tr>
        <w:trPr>
          <w:trHeight w:val="427" w:hRule="atLeast"/>
        </w:trPr>
        <w:tc>
          <w:tcPr>
            <w:tcW w:w="814" w:type="pct"/>
            <w:vMerge w:val="restar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数据源发现结果对比</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配置用户选择两个不同的作业发现结果进行对比的能力，包括数据库类型分布、数据库IP分布、数据库新增或者信息变化情况，支持导出对比报告。</w:t>
            </w:r>
          </w:p>
        </w:tc>
      </w:tr>
      <w:tr>
        <w:trPr>
          <w:trHeight w:val="427"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支持用户上传数据库台账文件，和扫描结果进行对比，并生成对比分析报告。</w:t>
            </w:r>
          </w:p>
        </w:tc>
      </w:tr>
      <w:tr>
        <w:trPr>
          <w:trHeight w:val="427" w:hRule="atLeast"/>
        </w:trPr>
        <w:tc>
          <w:tcPr>
            <w:tcW w:w="814" w:type="pct"/>
            <w:vMerge w:val="restar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资产发现</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配置</w:t>
            </w:r>
            <w:r>
              <w:rPr>
                <w:rFonts w:hint="eastAsia" w:ascii="宋体" w:hAnsi="宋体" w:cs="宋体"/>
                <w:color w:val="000000"/>
                <w:kern w:val="0"/>
                <w:szCs w:val="21"/>
                <w:highlight w:val="none"/>
              </w:rPr>
              <w:t>用户创建资产发现作业</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，支持按照schema或者表选择需要发现的数据范围。</w:t>
            </w:r>
          </w:p>
        </w:tc>
      </w:tr>
      <w:tr>
        <w:trPr>
          <w:trHeight w:val="427"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配置</w:t>
            </w:r>
            <w:r>
              <w:rPr>
                <w:rFonts w:hint="eastAsia" w:ascii="宋体" w:hAnsi="宋体" w:cs="宋体"/>
                <w:color w:val="000000"/>
                <w:kern w:val="0"/>
                <w:szCs w:val="21"/>
                <w:highlight w:val="none"/>
              </w:rPr>
              <w:t>选择发现模板自定义发现内容</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w:t>
            </w:r>
          </w:p>
        </w:tc>
      </w:tr>
      <w:tr>
        <w:trPr>
          <w:trHeight w:val="427"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配置</w:t>
            </w:r>
            <w:r>
              <w:rPr>
                <w:rFonts w:hint="eastAsia" w:ascii="宋体" w:hAnsi="宋体" w:cs="宋体"/>
                <w:color w:val="000000"/>
                <w:kern w:val="0"/>
                <w:szCs w:val="21"/>
                <w:highlight w:val="none"/>
              </w:rPr>
              <w:t>自定义抽样行数范围、抽样行数（最小为10行）、输出命中率</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w:t>
            </w:r>
          </w:p>
        </w:tc>
      </w:tr>
      <w:tr>
        <w:trPr>
          <w:trHeight w:val="427"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配置</w:t>
            </w:r>
            <w:r>
              <w:rPr>
                <w:rFonts w:hint="eastAsia" w:ascii="宋体" w:hAnsi="宋体" w:cs="宋体"/>
                <w:color w:val="000000"/>
                <w:kern w:val="0"/>
                <w:szCs w:val="21"/>
                <w:highlight w:val="none"/>
              </w:rPr>
              <w:t>定时开启资产发现作业</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w:t>
            </w:r>
          </w:p>
        </w:tc>
      </w:tr>
      <w:tr>
        <w:trPr>
          <w:trHeight w:val="427"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配置</w:t>
            </w:r>
            <w:r>
              <w:rPr>
                <w:rFonts w:hint="eastAsia" w:ascii="宋体" w:hAnsi="宋体" w:cs="宋体"/>
                <w:color w:val="000000"/>
                <w:kern w:val="0"/>
                <w:szCs w:val="21"/>
                <w:highlight w:val="none"/>
              </w:rPr>
              <w:t>配置通过NLP技术对于字段注释进行分析</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，自动识别数据业务类型，并支持相似度基线配置。</w:t>
            </w:r>
          </w:p>
        </w:tc>
      </w:tr>
      <w:tr>
        <w:trPr>
          <w:trHeight w:val="427"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配置</w:t>
            </w:r>
            <w:r>
              <w:rPr>
                <w:rFonts w:hint="eastAsia" w:ascii="宋体" w:hAnsi="宋体" w:cs="宋体"/>
                <w:color w:val="000000"/>
                <w:kern w:val="0"/>
                <w:szCs w:val="21"/>
                <w:highlight w:val="none"/>
              </w:rPr>
              <w:t>查看发现作业分析进度</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，并可以对每一步的结果进行修改和确认。</w:t>
            </w:r>
          </w:p>
        </w:tc>
      </w:tr>
      <w:tr>
        <w:trPr>
          <w:trHeight w:val="427" w:hRule="atLeast"/>
        </w:trPr>
        <w:tc>
          <w:tcPr>
            <w:tcW w:w="814" w:type="pct"/>
            <w:vMerge w:val="restar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资产关系梳理</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配置</w:t>
            </w:r>
            <w:r>
              <w:rPr>
                <w:rFonts w:hint="eastAsia" w:ascii="宋体" w:hAnsi="宋体" w:cs="宋体"/>
                <w:color w:val="000000"/>
                <w:kern w:val="0"/>
                <w:szCs w:val="21"/>
                <w:highlight w:val="none"/>
              </w:rPr>
              <w:t>用户根据schema或表格方式选择需要梳理关系的范围。</w:t>
            </w:r>
          </w:p>
        </w:tc>
      </w:tr>
      <w:tr>
        <w:trPr>
          <w:trHeight w:val="427"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系统自动化对于数据关系进行梳理，并以关系图谱的方式进行展现。</w:t>
            </w:r>
          </w:p>
        </w:tc>
      </w:tr>
      <w:tr>
        <w:trPr>
          <w:trHeight w:val="427"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支持手动对于待确定的数据关系进行确认，以及手动新增或删除数据关系。</w:t>
            </w:r>
          </w:p>
        </w:tc>
      </w:tr>
      <w:tr>
        <w:trPr>
          <w:trHeight w:val="302" w:hRule="atLeast"/>
        </w:trPr>
        <w:tc>
          <w:tcPr>
            <w:tcW w:w="814" w:type="pct"/>
            <w:vMerge w:val="restar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字段业务类型分析</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支持通过列内容匹配、列注释匹配、列名称匹配、函数分析等方式对数据语义内容进行自动识别，识别字段代表的业务类型。</w:t>
            </w:r>
          </w:p>
        </w:tc>
      </w:tr>
      <w:tr>
        <w:trPr>
          <w:trHeight w:val="302"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支持自动分析字段数据内容是否为空数据和脏数据。</w:t>
            </w:r>
          </w:p>
        </w:tc>
      </w:tr>
      <w:tr>
        <w:trPr>
          <w:trHeight w:val="302"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支持通过机器学习算法，自动梳理数据特征，并生成相应的数据发现规则。</w:t>
            </w:r>
          </w:p>
        </w:tc>
      </w:tr>
      <w:tr>
        <w:trPr>
          <w:trHeight w:val="302"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支持通过重要数据识别规则，自动识别重要数据。</w:t>
            </w:r>
          </w:p>
        </w:tc>
      </w:tr>
      <w:tr>
        <w:trPr>
          <w:trHeight w:val="427" w:hRule="atLeast"/>
        </w:trPr>
        <w:tc>
          <w:tcPr>
            <w:tcW w:w="814" w:type="pc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业务类型结果确认</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字段业务类型分析完成后，会分组展示分析结果，支持用户分别查看、确认和修改识别等结果。</w:t>
            </w:r>
          </w:p>
        </w:tc>
      </w:tr>
      <w:tr>
        <w:trPr>
          <w:trHeight w:val="427" w:hRule="atLeast"/>
        </w:trPr>
        <w:tc>
          <w:tcPr>
            <w:tcW w:w="814" w:type="pc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数据分类分级</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配置</w:t>
            </w:r>
            <w:r>
              <w:rPr>
                <w:rFonts w:hint="eastAsia" w:ascii="宋体" w:hAnsi="宋体" w:cs="宋体"/>
                <w:color w:val="000000"/>
                <w:kern w:val="0"/>
                <w:szCs w:val="21"/>
                <w:highlight w:val="none"/>
              </w:rPr>
              <w:t>在业务类型识别的基础上，根据分类分级标准自动化完成数据的分类分级。</w:t>
            </w:r>
          </w:p>
        </w:tc>
      </w:tr>
      <w:tr>
        <w:trPr>
          <w:trHeight w:val="427" w:hRule="atLeast"/>
        </w:trPr>
        <w:tc>
          <w:tcPr>
            <w:tcW w:w="814" w:type="pc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分类结果确认</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在自动完成数据分类分级时，支持用户对业务类型未分类的、字段对应业务类型存在多个分类的字段进行确认，确认完成后输出最终分类分级结果。</w:t>
            </w:r>
          </w:p>
        </w:tc>
      </w:tr>
      <w:tr>
        <w:trPr>
          <w:trHeight w:val="427" w:hRule="atLeast"/>
        </w:trPr>
        <w:tc>
          <w:tcPr>
            <w:tcW w:w="814" w:type="pc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敏感字段识别</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通过业务含义识别对多种敏感数据类型进行自动识别</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；支持用户自定义需要发现的敏感类型，并对识别结果进行确认。</w:t>
            </w:r>
          </w:p>
        </w:tc>
      </w:tr>
      <w:tr>
        <w:trPr>
          <w:trHeight w:val="427" w:hRule="atLeast"/>
        </w:trPr>
        <w:tc>
          <w:tcPr>
            <w:tcW w:w="814" w:type="pct"/>
            <w:vMerge w:val="restar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敏感表格发现</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按照数据表内包含的敏感字段数量和敏感等级，提供敏感指数帮助用户快速确认表格敏感程度，支持查看表格包含的敏感字段信息。</w:t>
            </w:r>
          </w:p>
        </w:tc>
      </w:tr>
      <w:tr>
        <w:trPr>
          <w:trHeight w:val="427"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对敏感表格发现结果进行导出</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，格式为excel。</w:t>
            </w:r>
          </w:p>
        </w:tc>
      </w:tr>
      <w:tr>
        <w:trPr>
          <w:trHeight w:val="427" w:hRule="atLeast"/>
        </w:trPr>
        <w:tc>
          <w:tcPr>
            <w:tcW w:w="814" w:type="pc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资产发现结果</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支持以清单的形式资产发现的结果，包括字段业务类型、分类、分级、是否敏感等信息。</w:t>
            </w:r>
          </w:p>
        </w:tc>
      </w:tr>
      <w:tr>
        <w:trPr>
          <w:trHeight w:val="427" w:hRule="atLeast"/>
        </w:trPr>
        <w:tc>
          <w:tcPr>
            <w:tcW w:w="814" w:type="pct"/>
            <w:vMerge w:val="restar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数据分类分级报告</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导出资产发现清单</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，格式为Excel、XML。</w:t>
            </w:r>
          </w:p>
        </w:tc>
      </w:tr>
      <w:tr>
        <w:trPr>
          <w:trHeight w:val="427"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提供完整、直观、内容丰富的发现结果报告</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，包括数据统计信息，敏感数据统计、数据分类统计等；</w:t>
            </w: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用户进行导出，格式为pdf</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w:t>
            </w:r>
          </w:p>
        </w:tc>
      </w:tr>
      <w:tr>
        <w:trPr>
          <w:trHeight w:val="427" w:hRule="atLeast"/>
        </w:trPr>
        <w:tc>
          <w:tcPr>
            <w:tcW w:w="814" w:type="pc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分类分级总览</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以分类分级目录形式查看数据资产的自动发现的结果和分类分级情况</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w:t>
            </w:r>
          </w:p>
        </w:tc>
      </w:tr>
      <w:tr>
        <w:trPr>
          <w:trHeight w:val="360" w:hRule="atLeast"/>
        </w:trPr>
        <w:tc>
          <w:tcPr>
            <w:tcW w:w="814" w:type="pct"/>
            <w:vMerge w:val="restar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资产总览</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按照分组-数据源-schema-表的维度</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，展示不同对象下的数据分类分级和敏感数据信息。</w:t>
            </w:r>
          </w:p>
        </w:tc>
      </w:tr>
      <w:tr>
        <w:trPr>
          <w:trHeight w:val="360"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用户导出资产发现总览和敏感数据统计报告</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，格式为Excel。</w:t>
            </w:r>
          </w:p>
        </w:tc>
      </w:tr>
      <w:tr>
        <w:trPr>
          <w:trHeight w:val="427" w:hRule="atLeast"/>
        </w:trPr>
        <w:tc>
          <w:tcPr>
            <w:tcW w:w="814" w:type="pc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分类分级大屏</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提供全部数据资产梳理及分类分级大屏</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，包括数据资产的盘点、数据分类分级概况、数据敏感分析、数据库差异分析等，同时支持大屏显示内容配置界面。（提供功能截图）</w:t>
            </w:r>
          </w:p>
        </w:tc>
      </w:tr>
      <w:tr>
        <w:trPr>
          <w:trHeight w:val="427" w:hRule="atLeast"/>
        </w:trPr>
        <w:tc>
          <w:tcPr>
            <w:tcW w:w="814" w:type="pc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数据字典管理</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通过手动新增和批量导入的方式添加规则配置中需要的数据字典。配置完成后可在“业务类型管理-规则配置”中进行选择</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w:t>
            </w:r>
          </w:p>
        </w:tc>
      </w:tr>
      <w:tr>
        <w:trPr>
          <w:trHeight w:val="56" w:hRule="atLeast"/>
        </w:trPr>
        <w:tc>
          <w:tcPr>
            <w:tcW w:w="814" w:type="pct"/>
            <w:vMerge w:val="restar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业务类型配置</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用户维护和定义数据资产的业务标准</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，支持用户自定义业务类型。</w:t>
            </w:r>
          </w:p>
        </w:tc>
      </w:tr>
      <w:tr>
        <w:trPr>
          <w:trHeight w:val="321"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用户自定义发现规则</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，包括列内容匹配、列注释匹配、字段名匹配等方式。</w:t>
            </w:r>
          </w:p>
        </w:tc>
      </w:tr>
      <w:tr>
        <w:trPr>
          <w:trHeight w:val="321"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自定义业务类型的导入和导出</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w:t>
            </w:r>
          </w:p>
        </w:tc>
      </w:tr>
      <w:tr>
        <w:trPr>
          <w:trHeight w:val="427" w:hRule="atLeast"/>
        </w:trPr>
        <w:tc>
          <w:tcPr>
            <w:tcW w:w="814" w:type="pc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发现模版配置</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用户按照资产发现的需求</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，选择需要发现的业务类型，并以模板的形式进行管理。</w:t>
            </w:r>
          </w:p>
        </w:tc>
      </w:tr>
      <w:tr>
        <w:trPr>
          <w:trHeight w:val="427" w:hRule="atLeast"/>
        </w:trPr>
        <w:tc>
          <w:tcPr>
            <w:tcW w:w="814" w:type="pct"/>
            <w:vMerge w:val="restar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分类分级管理</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系统提供行业适配的数据分类分级标准，支持用户自定义分类层级和内容、自定义分级数量和名称。</w:t>
            </w:r>
          </w:p>
        </w:tc>
      </w:tr>
      <w:tr>
        <w:trPr>
          <w:trHeight w:val="427"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表格分类分级配置</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，表格分类包括分类集合和就多原则两种分类策略，表格分级支持就高原则和加权计算两种分级策略。</w:t>
            </w:r>
          </w:p>
        </w:tc>
      </w:tr>
      <w:tr>
        <w:trPr>
          <w:trHeight w:val="427"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配置</w:t>
            </w:r>
            <w:r>
              <w:rPr>
                <w:rFonts w:hint="eastAsia" w:ascii="宋体" w:hAnsi="宋体" w:cs="宋体"/>
                <w:color w:val="000000"/>
                <w:kern w:val="0"/>
                <w:szCs w:val="21"/>
                <w:highlight w:val="none"/>
              </w:rPr>
              <w:t>用户对字段业务类型的分类和分级信息进行编辑</w:t>
            </w:r>
            <w:r>
              <w:rPr>
                <w:rFonts w:hint="eastAsia" w:ascii="宋体" w:hAnsi="宋体" w:cs="宋体"/>
                <w:color w:val="000000"/>
                <w:kern w:val="0"/>
                <w:szCs w:val="21"/>
                <w:highlight w:val="none"/>
                <w:lang w:val="en-US" w:eastAsia="zh-CN"/>
              </w:rPr>
              <w:t>的能力</w:t>
            </w:r>
            <w:r>
              <w:rPr>
                <w:rFonts w:hint="eastAsia" w:ascii="宋体" w:hAnsi="宋体" w:cs="宋体"/>
                <w:color w:val="000000"/>
                <w:kern w:val="0"/>
                <w:szCs w:val="21"/>
                <w:highlight w:val="none"/>
              </w:rPr>
              <w:t>。</w:t>
            </w:r>
          </w:p>
        </w:tc>
      </w:tr>
      <w:tr>
        <w:trPr>
          <w:trHeight w:val="427" w:hRule="atLeast"/>
        </w:trPr>
        <w:tc>
          <w:tcPr>
            <w:tcW w:w="814" w:type="pc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产品资质要求</w:t>
            </w:r>
          </w:p>
        </w:tc>
        <w:tc>
          <w:tcPr>
            <w:tcW w:w="4185" w:type="pct"/>
            <w:shd w:val="clear" w:color="auto" w:fill="auto"/>
            <w:vAlign w:val="center"/>
          </w:tcPr>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具备国家版权局颁发的《计算机软件著作权登记证书》</w:t>
            </w:r>
          </w:p>
          <w:p>
            <w:pPr>
              <w:spacing w:line="276"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具备信创适配实验室颁发的信创适配证书</w:t>
            </w:r>
          </w:p>
          <w:p>
            <w:pPr>
              <w:spacing w:line="276" w:lineRule="auto"/>
              <w:jc w:val="left"/>
              <w:rPr>
                <w:rFonts w:ascii="宋体" w:hAnsi="宋体" w:cs="宋体"/>
                <w:color w:val="000000"/>
                <w:kern w:val="0"/>
                <w:szCs w:val="21"/>
                <w:highlight w:val="none"/>
              </w:rPr>
            </w:pPr>
            <w:r>
              <w:rPr>
                <w:rFonts w:hint="eastAsia" w:ascii="宋体" w:hAnsi="宋体" w:cs="宋体"/>
                <w:szCs w:val="21"/>
                <w:highlight w:val="none"/>
              </w:rPr>
              <w:t>至少支持3种国产化数据库的适配兼容，提供相关数据库的兼容性互认</w:t>
            </w:r>
            <w:r>
              <w:rPr>
                <w:rFonts w:hint="eastAsia" w:ascii="宋体" w:hAnsi="宋体"/>
                <w:szCs w:val="21"/>
                <w:highlight w:val="none"/>
              </w:rPr>
              <w:t>承诺函并加盖公章</w:t>
            </w:r>
            <w:r>
              <w:rPr>
                <w:rFonts w:hint="eastAsia" w:ascii="宋体" w:hAnsi="宋体" w:cs="宋体"/>
                <w:szCs w:val="21"/>
                <w:highlight w:val="none"/>
              </w:rPr>
              <w:t>。</w:t>
            </w:r>
          </w:p>
        </w:tc>
      </w:tr>
      <w:tr>
        <w:trPr>
          <w:trHeight w:val="427" w:hRule="atLeast"/>
        </w:trPr>
        <w:tc>
          <w:tcPr>
            <w:tcW w:w="814" w:type="pct"/>
            <w:vMerge w:val="restar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原厂售后服务</w:t>
            </w:r>
          </w:p>
        </w:tc>
        <w:tc>
          <w:tcPr>
            <w:tcW w:w="4185" w:type="pct"/>
            <w:shd w:val="clear" w:color="auto" w:fill="auto"/>
          </w:tcPr>
          <w:p>
            <w:pPr>
              <w:jc w:val="left"/>
              <w:rPr>
                <w:rFonts w:ascii="宋体" w:hAnsi="宋体" w:cs="宋体"/>
                <w:color w:val="000000"/>
                <w:kern w:val="0"/>
                <w:szCs w:val="21"/>
                <w:highlight w:val="none"/>
              </w:rPr>
            </w:pPr>
            <w:r>
              <w:rPr>
                <w:rFonts w:hint="eastAsia" w:ascii="宋体" w:hAnsi="宋体" w:cs="宋体"/>
                <w:color w:val="000000"/>
                <w:kern w:val="0"/>
                <w:szCs w:val="21"/>
                <w:highlight w:val="none"/>
              </w:rPr>
              <w:t>本项目提供原厂项目管理和售后实施服务。</w:t>
            </w:r>
          </w:p>
        </w:tc>
      </w:tr>
      <w:tr>
        <w:trPr>
          <w:trHeight w:val="427" w:hRule="atLeast"/>
        </w:trPr>
        <w:tc>
          <w:tcPr>
            <w:tcW w:w="814" w:type="pct"/>
            <w:vMerge w:val="continue"/>
            <w:shd w:val="clear" w:color="auto" w:fill="auto"/>
            <w:vAlign w:val="center"/>
          </w:tcPr>
          <w:p>
            <w:pPr>
              <w:spacing w:line="276" w:lineRule="auto"/>
              <w:jc w:val="center"/>
              <w:rPr>
                <w:rFonts w:ascii="宋体" w:hAnsi="宋体" w:cs="宋体"/>
                <w:color w:val="000000"/>
                <w:kern w:val="0"/>
                <w:szCs w:val="21"/>
                <w:highlight w:val="none"/>
              </w:rPr>
            </w:pPr>
          </w:p>
        </w:tc>
        <w:tc>
          <w:tcPr>
            <w:tcW w:w="4185" w:type="pct"/>
            <w:shd w:val="clear" w:color="auto" w:fill="auto"/>
            <w:vAlign w:val="center"/>
          </w:tcPr>
          <w:p>
            <w:pPr>
              <w:jc w:val="left"/>
              <w:rPr>
                <w:rFonts w:ascii="宋体" w:hAnsi="宋体" w:cs="宋体"/>
                <w:color w:val="000000"/>
                <w:kern w:val="0"/>
                <w:szCs w:val="21"/>
                <w:highlight w:val="none"/>
              </w:rPr>
            </w:pPr>
            <w:r>
              <w:rPr>
                <w:rFonts w:hint="eastAsia" w:ascii="宋体" w:hAnsi="宋体" w:cs="宋体"/>
                <w:color w:val="000000"/>
                <w:kern w:val="0"/>
                <w:szCs w:val="21"/>
                <w:highlight w:val="none"/>
              </w:rPr>
              <w:t>遇到产品自身问题时，可以提供2小时以内的上门服务。</w:t>
            </w:r>
          </w:p>
        </w:tc>
      </w:tr>
      <w:tr>
        <w:trPr>
          <w:trHeight w:val="427" w:hRule="atLeast"/>
        </w:trPr>
        <w:tc>
          <w:tcPr>
            <w:tcW w:w="814" w:type="pct"/>
            <w:shd w:val="clear" w:color="auto" w:fill="auto"/>
            <w:vAlign w:val="center"/>
          </w:tcPr>
          <w:p>
            <w:pPr>
              <w:spacing w:line="276"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原厂质保服务</w:t>
            </w:r>
          </w:p>
        </w:tc>
        <w:tc>
          <w:tcPr>
            <w:tcW w:w="4185" w:type="pct"/>
            <w:shd w:val="clear" w:color="auto" w:fill="auto"/>
            <w:vAlign w:val="center"/>
          </w:tcPr>
          <w:p>
            <w:pPr>
              <w:jc w:val="left"/>
              <w:rPr>
                <w:rFonts w:ascii="宋体" w:hAnsi="宋体" w:cs="宋体"/>
                <w:color w:val="000000"/>
                <w:kern w:val="0"/>
                <w:szCs w:val="21"/>
                <w:highlight w:val="none"/>
              </w:rPr>
            </w:pPr>
            <w:r>
              <w:rPr>
                <w:rFonts w:hint="eastAsia" w:ascii="宋体" w:hAnsi="宋体" w:cs="宋体"/>
                <w:color w:val="000000"/>
                <w:kern w:val="0"/>
                <w:szCs w:val="21"/>
                <w:highlight w:val="none"/>
              </w:rPr>
              <w:t>▲中标后，合同签定时提供软件原厂商针对此项目三年7*24原厂质保服务函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服务时间从交付验收后开始计算</w:t>
            </w:r>
            <w:r>
              <w:rPr>
                <w:rFonts w:hint="eastAsia" w:ascii="宋体" w:hAnsi="宋体" w:cs="宋体"/>
                <w:color w:val="000000"/>
                <w:kern w:val="0"/>
                <w:szCs w:val="21"/>
                <w:highlight w:val="none"/>
              </w:rPr>
              <w:t>。</w:t>
            </w:r>
          </w:p>
        </w:tc>
      </w:tr>
    </w:tbl>
    <w:p>
      <w:pPr>
        <w:keepNext/>
        <w:keepLines/>
        <w:numPr>
          <w:ilvl w:val="0"/>
          <w:numId w:val="7"/>
        </w:numPr>
        <w:spacing w:line="360" w:lineRule="auto"/>
        <w:outlineLvl w:val="1"/>
        <w:rPr>
          <w:rFonts w:ascii="宋体" w:hAnsi="宋体" w:cs="宋体"/>
          <w:b/>
          <w:bCs/>
          <w:szCs w:val="21"/>
          <w:highlight w:val="none"/>
        </w:rPr>
      </w:pPr>
      <w:r>
        <w:rPr>
          <w:rFonts w:hint="eastAsia" w:ascii="宋体" w:hAnsi="宋体" w:cs="宋体"/>
          <w:b/>
          <w:bCs/>
          <w:szCs w:val="21"/>
          <w:highlight w:val="none"/>
        </w:rPr>
        <w:t>数据安全态势感知服务</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7327"/>
      </w:tblGrid>
      <w:tr>
        <w:trPr>
          <w:trHeight w:val="20" w:hRule="atLeast"/>
        </w:trPr>
        <w:tc>
          <w:tcPr>
            <w:tcW w:w="799" w:type="pct"/>
            <w:shd w:val="clear" w:color="000000" w:fill="D0CECE"/>
            <w:vAlign w:val="center"/>
          </w:tcPr>
          <w:p>
            <w:pPr>
              <w:jc w:val="center"/>
              <w:rPr>
                <w:rFonts w:ascii="宋体" w:hAnsi="宋体" w:cs="宋体"/>
                <w:b/>
                <w:bCs/>
                <w:szCs w:val="21"/>
                <w:highlight w:val="none"/>
              </w:rPr>
            </w:pPr>
            <w:r>
              <w:rPr>
                <w:rFonts w:hint="eastAsia" w:ascii="宋体" w:hAnsi="宋体" w:cs="宋体"/>
                <w:b/>
                <w:bCs/>
                <w:szCs w:val="21"/>
                <w:highlight w:val="none"/>
              </w:rPr>
              <w:t>指标项</w:t>
            </w:r>
          </w:p>
        </w:tc>
        <w:tc>
          <w:tcPr>
            <w:tcW w:w="4200" w:type="pct"/>
            <w:shd w:val="clear" w:color="000000" w:fill="D0CECE"/>
            <w:vAlign w:val="center"/>
          </w:tcPr>
          <w:p>
            <w:pPr>
              <w:jc w:val="center"/>
              <w:rPr>
                <w:rFonts w:ascii="宋体" w:hAnsi="宋体" w:cs="宋体"/>
                <w:b/>
                <w:bCs/>
                <w:szCs w:val="21"/>
                <w:highlight w:val="none"/>
              </w:rPr>
            </w:pPr>
            <w:r>
              <w:rPr>
                <w:rFonts w:hint="eastAsia" w:ascii="宋体" w:hAnsi="宋体" w:cs="宋体"/>
                <w:b/>
                <w:bCs/>
                <w:szCs w:val="21"/>
                <w:highlight w:val="none"/>
              </w:rPr>
              <w:t>指标要求</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系统架构要求</w:t>
            </w:r>
          </w:p>
        </w:tc>
        <w:tc>
          <w:tcPr>
            <w:tcW w:w="4200" w:type="pct"/>
            <w:vAlign w:val="center"/>
          </w:tcPr>
          <w:p>
            <w:pPr>
              <w:rPr>
                <w:rFonts w:ascii="宋体" w:hAnsi="宋体" w:cs="宋体"/>
                <w:szCs w:val="21"/>
                <w:highlight w:val="none"/>
              </w:rPr>
            </w:pPr>
            <w:r>
              <w:rPr>
                <w:rFonts w:hint="eastAsia" w:ascii="宋体" w:hAnsi="宋体" w:cs="宋体"/>
                <w:szCs w:val="21"/>
                <w:highlight w:val="none"/>
              </w:rPr>
              <w:t>支持Linux主流操作系统、国产化操作系统等。</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数据源类型支持</w:t>
            </w:r>
          </w:p>
        </w:tc>
        <w:tc>
          <w:tcPr>
            <w:tcW w:w="4200" w:type="pct"/>
            <w:vAlign w:val="center"/>
          </w:tcPr>
          <w:p>
            <w:pPr>
              <w:rPr>
                <w:rFonts w:ascii="宋体" w:hAnsi="宋体" w:cs="宋体"/>
                <w:szCs w:val="21"/>
                <w:highlight w:val="none"/>
              </w:rPr>
            </w:pPr>
            <w:r>
              <w:rPr>
                <w:rFonts w:hint="eastAsia" w:ascii="宋体" w:hAnsi="宋体" w:cs="宋体"/>
                <w:szCs w:val="21"/>
                <w:highlight w:val="none"/>
              </w:rPr>
              <w:t>产品应支持Oracle、SQL Server、MySQL、Sybase、DB2等主流关系型数据库，以及高斯、达梦、神通、金仓等国产数据库和Hive、HBase、HDFS、Elasticsearch、Kafka、Kudu等大数据关键组件。支持文件服务器、存储对象等多种形式的非结构化数据源接入。</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数据源发现识别</w:t>
            </w:r>
          </w:p>
        </w:tc>
        <w:tc>
          <w:tcPr>
            <w:tcW w:w="4200" w:type="pct"/>
            <w:vAlign w:val="center"/>
          </w:tcPr>
          <w:p>
            <w:pPr>
              <w:rPr>
                <w:rFonts w:ascii="宋体" w:hAnsi="宋体" w:cs="宋体"/>
                <w:szCs w:val="21"/>
                <w:highlight w:val="none"/>
              </w:rPr>
            </w:pPr>
            <w:r>
              <w:rPr>
                <w:rFonts w:hint="eastAsia" w:ascii="宋体" w:hAnsi="宋体" w:cs="宋体"/>
                <w:szCs w:val="21"/>
                <w:highlight w:val="none"/>
              </w:rPr>
              <w:t>产品配置多种类型数据库的自动发现的能力。包括但不限于余姚本地数仓、ODPS等。通过扫描解析方式，支持在指定IP地址和端口范围进行探测和扫描。能够梳理在线数据源类型、数量、分布等。</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数据扫描方式</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JDBC/ODBC直连采集和文件导入等不同数据资产梳理方式</w:t>
            </w:r>
            <w:r>
              <w:rPr>
                <w:rFonts w:hint="eastAsia" w:ascii="宋体" w:hAnsi="宋体" w:cs="宋体"/>
                <w:szCs w:val="21"/>
                <w:highlight w:val="none"/>
                <w:lang w:val="en-US" w:eastAsia="zh-CN"/>
              </w:rPr>
              <w:t>的能力</w:t>
            </w:r>
            <w:r>
              <w:rPr>
                <w:rFonts w:hint="eastAsia" w:ascii="宋体" w:hAnsi="宋体" w:cs="宋体"/>
                <w:szCs w:val="21"/>
                <w:highlight w:val="none"/>
              </w:rPr>
              <w:t>，可绘制库、表、字段、文件等不同层次的数据目录，能形象地展示数据资产的分布、数量、归属等信息。</w:t>
            </w:r>
          </w:p>
        </w:tc>
      </w:tr>
      <w:tr>
        <w:trPr>
          <w:trHeight w:val="20" w:hRule="atLeast"/>
        </w:trPr>
        <w:tc>
          <w:tcPr>
            <w:tcW w:w="799" w:type="pct"/>
            <w:vMerge w:val="restart"/>
            <w:vAlign w:val="center"/>
          </w:tcPr>
          <w:p>
            <w:pPr>
              <w:jc w:val="center"/>
              <w:rPr>
                <w:rFonts w:ascii="宋体" w:hAnsi="宋体" w:cs="宋体"/>
                <w:szCs w:val="21"/>
                <w:highlight w:val="none"/>
              </w:rPr>
            </w:pPr>
            <w:r>
              <w:rPr>
                <w:rFonts w:hint="eastAsia" w:ascii="宋体" w:hAnsi="宋体" w:cs="宋体"/>
                <w:szCs w:val="21"/>
                <w:highlight w:val="none"/>
              </w:rPr>
              <w:t>敏感数据识别</w:t>
            </w:r>
          </w:p>
        </w:tc>
        <w:tc>
          <w:tcPr>
            <w:tcW w:w="4200" w:type="pct"/>
            <w:vAlign w:val="center"/>
          </w:tcPr>
          <w:p>
            <w:pPr>
              <w:rPr>
                <w:rFonts w:ascii="宋体" w:hAnsi="宋体" w:cs="宋体"/>
                <w:szCs w:val="21"/>
                <w:highlight w:val="none"/>
              </w:rPr>
            </w:pPr>
            <w:r>
              <w:rPr>
                <w:rFonts w:hint="eastAsia" w:ascii="宋体" w:hAnsi="宋体" w:cs="宋体"/>
                <w:szCs w:val="21"/>
                <w:highlight w:val="none"/>
              </w:rPr>
              <w:t>▲内置敏感数据特征库功能，包含不少于60类关键个人隐私的特征规则，包括姓名、身份证号、电话号码等关键个人隐私数据。（提供产品功能截图）</w:t>
            </w:r>
          </w:p>
        </w:tc>
      </w:tr>
      <w:tr>
        <w:trPr>
          <w:trHeight w:val="20" w:hRule="atLeast"/>
        </w:trPr>
        <w:tc>
          <w:tcPr>
            <w:tcW w:w="799" w:type="pct"/>
            <w:vMerge w:val="continue"/>
            <w:vAlign w:val="center"/>
          </w:tcPr>
          <w:p>
            <w:pPr>
              <w:jc w:val="center"/>
              <w:rPr>
                <w:rFonts w:ascii="宋体" w:hAnsi="宋体" w:cs="宋体"/>
                <w:szCs w:val="21"/>
                <w:highlight w:val="none"/>
              </w:rPr>
            </w:pPr>
          </w:p>
        </w:tc>
        <w:tc>
          <w:tcPr>
            <w:tcW w:w="4200" w:type="pct"/>
            <w:vAlign w:val="center"/>
          </w:tcPr>
          <w:p>
            <w:pPr>
              <w:rPr>
                <w:rFonts w:ascii="宋体" w:hAnsi="宋体" w:cs="宋体"/>
                <w:szCs w:val="21"/>
                <w:highlight w:val="none"/>
              </w:rPr>
            </w:pPr>
            <w:r>
              <w:rPr>
                <w:rFonts w:hint="eastAsia" w:ascii="宋体" w:hAnsi="宋体" w:cs="宋体"/>
                <w:szCs w:val="21"/>
                <w:highlight w:val="none"/>
              </w:rPr>
              <w:t>配置通过智能算法、正则表达式、关键词、文档指纹、表格指纹等方式自定义数据特征的能力。</w:t>
            </w:r>
          </w:p>
        </w:tc>
      </w:tr>
      <w:tr>
        <w:trPr>
          <w:trHeight w:val="20" w:hRule="atLeast"/>
        </w:trPr>
        <w:tc>
          <w:tcPr>
            <w:tcW w:w="799" w:type="pct"/>
            <w:vMerge w:val="restart"/>
            <w:vAlign w:val="center"/>
          </w:tcPr>
          <w:p>
            <w:pPr>
              <w:jc w:val="center"/>
              <w:rPr>
                <w:rFonts w:ascii="宋体" w:hAnsi="宋体" w:cs="宋体"/>
                <w:szCs w:val="21"/>
                <w:highlight w:val="none"/>
              </w:rPr>
            </w:pPr>
            <w:r>
              <w:rPr>
                <w:rFonts w:hint="eastAsia" w:ascii="宋体" w:hAnsi="宋体" w:cs="宋体"/>
                <w:szCs w:val="21"/>
                <w:highlight w:val="none"/>
              </w:rPr>
              <w:t>标签管理</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标签库管理</w:t>
            </w:r>
            <w:r>
              <w:rPr>
                <w:rFonts w:hint="eastAsia" w:ascii="宋体" w:hAnsi="宋体" w:cs="宋体"/>
                <w:szCs w:val="21"/>
                <w:highlight w:val="none"/>
                <w:lang w:val="en-US" w:eastAsia="zh-CN"/>
              </w:rPr>
              <w:t>的能力</w:t>
            </w:r>
            <w:r>
              <w:rPr>
                <w:rFonts w:hint="eastAsia" w:ascii="宋体" w:hAnsi="宋体" w:cs="宋体"/>
                <w:szCs w:val="21"/>
                <w:highlight w:val="none"/>
              </w:rPr>
              <w:t>，可建立多维标签体系。</w:t>
            </w:r>
          </w:p>
        </w:tc>
      </w:tr>
      <w:tr>
        <w:trPr>
          <w:trHeight w:val="20" w:hRule="atLeast"/>
        </w:trPr>
        <w:tc>
          <w:tcPr>
            <w:tcW w:w="799" w:type="pct"/>
            <w:vMerge w:val="continue"/>
            <w:vAlign w:val="center"/>
          </w:tcPr>
          <w:p>
            <w:pPr>
              <w:jc w:val="center"/>
              <w:rPr>
                <w:rFonts w:ascii="宋体" w:hAnsi="宋体" w:cs="宋体"/>
                <w:szCs w:val="21"/>
                <w:highlight w:val="none"/>
              </w:rPr>
            </w:pP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自定义数据分级标签</w:t>
            </w:r>
            <w:r>
              <w:rPr>
                <w:rFonts w:hint="eastAsia" w:ascii="宋体" w:hAnsi="宋体" w:cs="宋体"/>
                <w:szCs w:val="21"/>
                <w:highlight w:val="none"/>
                <w:lang w:val="en-US" w:eastAsia="zh-CN"/>
              </w:rPr>
              <w:t>的能力</w:t>
            </w:r>
            <w:r>
              <w:rPr>
                <w:rFonts w:hint="eastAsia" w:ascii="宋体" w:hAnsi="宋体" w:cs="宋体"/>
                <w:szCs w:val="21"/>
                <w:highlight w:val="none"/>
              </w:rPr>
              <w:t>，用户可自定义标签分级名称、标签颜色、标签权重。</w:t>
            </w:r>
          </w:p>
        </w:tc>
      </w:tr>
      <w:tr>
        <w:trPr>
          <w:trHeight w:val="20" w:hRule="atLeast"/>
        </w:trPr>
        <w:tc>
          <w:tcPr>
            <w:tcW w:w="799" w:type="pct"/>
            <w:vMerge w:val="continue"/>
            <w:vAlign w:val="center"/>
          </w:tcPr>
          <w:p>
            <w:pPr>
              <w:jc w:val="center"/>
              <w:rPr>
                <w:rFonts w:ascii="宋体" w:hAnsi="宋体" w:cs="宋体"/>
                <w:szCs w:val="21"/>
                <w:highlight w:val="none"/>
              </w:rPr>
            </w:pP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标签模板管理功能，内置《GB/T35273信息安全技术个人信息安全规范》数据分类标准模板，并支持自定义添加分类标签库。（提供产品功能截图）</w:t>
            </w:r>
          </w:p>
        </w:tc>
      </w:tr>
      <w:tr>
        <w:trPr>
          <w:trHeight w:val="20" w:hRule="atLeast"/>
        </w:trPr>
        <w:tc>
          <w:tcPr>
            <w:tcW w:w="799" w:type="pct"/>
            <w:vMerge w:val="restart"/>
            <w:vAlign w:val="center"/>
          </w:tcPr>
          <w:p>
            <w:pPr>
              <w:jc w:val="center"/>
              <w:rPr>
                <w:rFonts w:ascii="宋体" w:hAnsi="宋体" w:cs="宋体"/>
                <w:szCs w:val="21"/>
                <w:highlight w:val="none"/>
              </w:rPr>
            </w:pPr>
            <w:r>
              <w:rPr>
                <w:rFonts w:hint="eastAsia" w:ascii="宋体" w:hAnsi="宋体" w:cs="宋体"/>
                <w:szCs w:val="21"/>
                <w:highlight w:val="none"/>
              </w:rPr>
              <w:t>分级分类</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分类分级任务管理，任务支持自动化、定期进行分类分级打标。</w:t>
            </w:r>
          </w:p>
        </w:tc>
      </w:tr>
      <w:tr>
        <w:trPr>
          <w:trHeight w:val="20" w:hRule="atLeast"/>
        </w:trPr>
        <w:tc>
          <w:tcPr>
            <w:tcW w:w="799" w:type="pct"/>
            <w:vMerge w:val="continue"/>
            <w:vAlign w:val="center"/>
          </w:tcPr>
          <w:p>
            <w:pPr>
              <w:jc w:val="center"/>
              <w:rPr>
                <w:rFonts w:ascii="宋体" w:hAnsi="宋体" w:cs="宋体"/>
                <w:szCs w:val="21"/>
                <w:highlight w:val="none"/>
              </w:rPr>
            </w:pPr>
          </w:p>
        </w:tc>
        <w:tc>
          <w:tcPr>
            <w:tcW w:w="4200" w:type="pct"/>
            <w:vAlign w:val="center"/>
          </w:tcPr>
          <w:p>
            <w:pPr>
              <w:rPr>
                <w:rFonts w:ascii="宋体" w:hAnsi="宋体" w:cs="宋体"/>
                <w:szCs w:val="21"/>
                <w:highlight w:val="none"/>
              </w:rPr>
            </w:pPr>
            <w:r>
              <w:rPr>
                <w:rFonts w:hint="eastAsia" w:ascii="宋体" w:hAnsi="宋体" w:cs="宋体"/>
                <w:szCs w:val="21"/>
                <w:highlight w:val="none"/>
              </w:rPr>
              <w:t>支持通过数据识别规则对数据资产（表、簇、目录、字段、文件等）进行分类分级打标，并查看打标结果。</w:t>
            </w:r>
          </w:p>
        </w:tc>
      </w:tr>
      <w:tr>
        <w:trPr>
          <w:trHeight w:val="20" w:hRule="atLeast"/>
        </w:trPr>
        <w:tc>
          <w:tcPr>
            <w:tcW w:w="799" w:type="pct"/>
            <w:vMerge w:val="continue"/>
            <w:vAlign w:val="center"/>
          </w:tcPr>
          <w:p>
            <w:pPr>
              <w:jc w:val="center"/>
              <w:rPr>
                <w:rFonts w:ascii="宋体" w:hAnsi="宋体" w:cs="宋体"/>
                <w:szCs w:val="21"/>
                <w:highlight w:val="none"/>
              </w:rPr>
            </w:pPr>
          </w:p>
        </w:tc>
        <w:tc>
          <w:tcPr>
            <w:tcW w:w="4200" w:type="pct"/>
            <w:vAlign w:val="center"/>
          </w:tcPr>
          <w:p>
            <w:pPr>
              <w:rPr>
                <w:rFonts w:hint="eastAsia" w:ascii="宋体" w:hAnsi="宋体" w:eastAsia="宋体" w:cs="宋体"/>
                <w:szCs w:val="21"/>
                <w:highlight w:val="none"/>
                <w:lang w:val="en-US" w:eastAsia="zh-CN"/>
              </w:rPr>
            </w:pPr>
            <w:r>
              <w:rPr>
                <w:rFonts w:hint="eastAsia" w:ascii="宋体" w:hAnsi="宋体" w:cs="宋体"/>
                <w:szCs w:val="21"/>
                <w:highlight w:val="none"/>
                <w:lang w:eastAsia="zh-CN"/>
              </w:rPr>
              <w:t>配置</w:t>
            </w:r>
            <w:r>
              <w:rPr>
                <w:rFonts w:hint="eastAsia" w:ascii="宋体" w:hAnsi="宋体" w:cs="宋体"/>
                <w:szCs w:val="21"/>
                <w:highlight w:val="none"/>
              </w:rPr>
              <w:t>通过数据特征和资产属性构建识别规则</w:t>
            </w:r>
            <w:r>
              <w:rPr>
                <w:rFonts w:hint="eastAsia" w:ascii="宋体" w:hAnsi="宋体" w:cs="宋体"/>
                <w:szCs w:val="21"/>
                <w:highlight w:val="none"/>
                <w:lang w:val="en-US" w:eastAsia="zh-CN"/>
              </w:rPr>
              <w:t>的能力</w:t>
            </w:r>
            <w:r>
              <w:rPr>
                <w:rFonts w:hint="eastAsia" w:ascii="宋体" w:hAnsi="宋体" w:cs="宋体"/>
                <w:szCs w:val="21"/>
                <w:highlight w:val="none"/>
              </w:rPr>
              <w:t>。可针对数据特征（特征项）、资产属性（表名、表注释、字段名、字段注释等）设定单一规则。也可针对多规则之间以“与”、“或”等逻辑关系进行组合形成规则集。</w:t>
            </w:r>
          </w:p>
        </w:tc>
      </w:tr>
      <w:tr>
        <w:trPr>
          <w:trHeight w:val="20" w:hRule="atLeast"/>
        </w:trPr>
        <w:tc>
          <w:tcPr>
            <w:tcW w:w="799" w:type="pct"/>
            <w:vMerge w:val="continue"/>
            <w:vAlign w:val="center"/>
          </w:tcPr>
          <w:p>
            <w:pPr>
              <w:jc w:val="center"/>
              <w:rPr>
                <w:rFonts w:ascii="宋体" w:hAnsi="宋体" w:cs="宋体"/>
                <w:szCs w:val="21"/>
                <w:highlight w:val="none"/>
              </w:rPr>
            </w:pP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识别规则的批量导入和导出</w:t>
            </w:r>
            <w:r>
              <w:rPr>
                <w:rFonts w:hint="eastAsia" w:ascii="宋体" w:hAnsi="宋体" w:cs="宋体"/>
                <w:szCs w:val="21"/>
                <w:highlight w:val="none"/>
                <w:lang w:val="en-US" w:eastAsia="zh-CN"/>
              </w:rPr>
              <w:t>的能力</w:t>
            </w:r>
            <w:r>
              <w:rPr>
                <w:rFonts w:hint="eastAsia" w:ascii="宋体" w:hAnsi="宋体" w:cs="宋体"/>
                <w:szCs w:val="21"/>
                <w:highlight w:val="none"/>
              </w:rPr>
              <w:t>。</w:t>
            </w:r>
          </w:p>
        </w:tc>
      </w:tr>
      <w:tr>
        <w:trPr>
          <w:trHeight w:val="20" w:hRule="atLeast"/>
        </w:trPr>
        <w:tc>
          <w:tcPr>
            <w:tcW w:w="799" w:type="pct"/>
            <w:vMerge w:val="restart"/>
            <w:vAlign w:val="center"/>
          </w:tcPr>
          <w:p>
            <w:pPr>
              <w:jc w:val="center"/>
              <w:rPr>
                <w:rFonts w:ascii="宋体" w:hAnsi="宋体" w:cs="宋体"/>
                <w:szCs w:val="21"/>
                <w:highlight w:val="none"/>
              </w:rPr>
            </w:pPr>
            <w:r>
              <w:rPr>
                <w:rFonts w:hint="eastAsia" w:ascii="宋体" w:hAnsi="宋体" w:cs="宋体"/>
                <w:szCs w:val="21"/>
                <w:highlight w:val="none"/>
              </w:rPr>
              <w:t>标签核验</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标签核验</w:t>
            </w:r>
            <w:r>
              <w:rPr>
                <w:rFonts w:hint="eastAsia" w:ascii="宋体" w:hAnsi="宋体" w:cs="宋体"/>
                <w:szCs w:val="21"/>
                <w:highlight w:val="none"/>
                <w:lang w:val="en-US" w:eastAsia="zh-CN"/>
              </w:rPr>
              <w:t>的能力</w:t>
            </w:r>
            <w:r>
              <w:rPr>
                <w:rFonts w:hint="eastAsia" w:ascii="宋体" w:hAnsi="宋体" w:cs="宋体"/>
                <w:szCs w:val="21"/>
                <w:highlight w:val="none"/>
              </w:rPr>
              <w:t>，对打标结果进行校验，修正打标结果。</w:t>
            </w:r>
          </w:p>
        </w:tc>
      </w:tr>
      <w:tr>
        <w:trPr>
          <w:trHeight w:val="20" w:hRule="atLeast"/>
        </w:trPr>
        <w:tc>
          <w:tcPr>
            <w:tcW w:w="799" w:type="pct"/>
            <w:vMerge w:val="continue"/>
            <w:vAlign w:val="center"/>
          </w:tcPr>
          <w:p>
            <w:pPr>
              <w:jc w:val="center"/>
              <w:rPr>
                <w:rFonts w:ascii="宋体" w:hAnsi="宋体" w:cs="宋体"/>
                <w:szCs w:val="21"/>
                <w:highlight w:val="none"/>
              </w:rPr>
            </w:pP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手动对打标结果进行调整</w:t>
            </w:r>
            <w:r>
              <w:rPr>
                <w:rFonts w:hint="eastAsia" w:ascii="宋体" w:hAnsi="宋体" w:cs="宋体"/>
                <w:szCs w:val="21"/>
                <w:highlight w:val="none"/>
                <w:lang w:val="en-US" w:eastAsia="zh-CN"/>
              </w:rPr>
              <w:t>的能力</w:t>
            </w:r>
            <w:r>
              <w:rPr>
                <w:rFonts w:hint="eastAsia" w:ascii="宋体" w:hAnsi="宋体" w:cs="宋体"/>
                <w:szCs w:val="21"/>
                <w:highlight w:val="none"/>
              </w:rPr>
              <w:t>。</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资产地图</w:t>
            </w:r>
          </w:p>
        </w:tc>
        <w:tc>
          <w:tcPr>
            <w:tcW w:w="4200" w:type="pct"/>
            <w:vAlign w:val="center"/>
          </w:tcPr>
          <w:p>
            <w:pPr>
              <w:rPr>
                <w:rFonts w:ascii="宋体" w:hAnsi="宋体" w:cs="宋体"/>
                <w:szCs w:val="21"/>
                <w:highlight w:val="none"/>
              </w:rPr>
            </w:pPr>
            <w:r>
              <w:rPr>
                <w:rFonts w:hint="eastAsia" w:ascii="宋体" w:hAnsi="宋体" w:cs="宋体"/>
                <w:szCs w:val="21"/>
                <w:highlight w:val="none"/>
              </w:rPr>
              <w:t>配置以资产目录及资产索引方式直观展现数据资产的类别、分布、数量、归属的能力，描绘各数据源、数据库、数据表、字段、文件之间的关系和脉络，为用户提供翔实、直观的数据资产台账。数据资产以数据目录索引或数据映像等方式展现，产品不存储用户真实业务数据，敏感数据样例展现需采用遮蔽脱敏方式以防止泄露。</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数据资产接口</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数据资产API接口，包括数据源添加、分类分级字典、获取资产分类分级信息等接口。</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数据动态监察</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关联数据资产访问行为日志，实时监测目标数据的创建（生成）、修改（更新）、查看、删除等操作或使用行为。</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大屏管理</w:t>
            </w:r>
          </w:p>
        </w:tc>
        <w:tc>
          <w:tcPr>
            <w:tcW w:w="4200" w:type="pct"/>
            <w:vAlign w:val="center"/>
          </w:tcPr>
          <w:p>
            <w:pPr>
              <w:rPr>
                <w:rFonts w:ascii="宋体" w:hAnsi="宋体" w:cs="宋体"/>
                <w:szCs w:val="21"/>
                <w:highlight w:val="none"/>
              </w:rPr>
            </w:pPr>
            <w:r>
              <w:rPr>
                <w:rFonts w:hint="eastAsia" w:ascii="宋体" w:hAnsi="宋体" w:cs="宋体"/>
                <w:szCs w:val="21"/>
                <w:highlight w:val="none"/>
              </w:rPr>
              <w:t>▲提供安全应用运行大屏。能够体现</w:t>
            </w:r>
            <w:r>
              <w:rPr>
                <w:rFonts w:hint="eastAsia" w:ascii="宋体" w:hAnsi="宋体" w:cs="宋体"/>
                <w:szCs w:val="21"/>
                <w:highlight w:val="none"/>
                <w:lang w:eastAsia="zh-CN"/>
              </w:rPr>
              <w:t>不少于</w:t>
            </w:r>
            <w:r>
              <w:rPr>
                <w:rFonts w:hint="eastAsia" w:ascii="宋体" w:hAnsi="宋体" w:cs="宋体"/>
                <w:szCs w:val="21"/>
                <w:highlight w:val="none"/>
              </w:rPr>
              <w:t>安全应用概览（如：安全设备总数、安全应用类型）、近一周的安全应用日志采集趋势、安全应用的实时告警、安全告警等级分布（支持</w:t>
            </w:r>
            <w:r>
              <w:rPr>
                <w:rFonts w:hint="eastAsia" w:ascii="宋体" w:hAnsi="宋体" w:cs="宋体"/>
                <w:szCs w:val="21"/>
                <w:highlight w:val="none"/>
                <w:lang w:eastAsia="zh-CN"/>
              </w:rPr>
              <w:t>不少于</w:t>
            </w:r>
            <w:r>
              <w:rPr>
                <w:rFonts w:hint="eastAsia" w:ascii="宋体" w:hAnsi="宋体" w:cs="宋体"/>
                <w:szCs w:val="21"/>
                <w:highlight w:val="none"/>
              </w:rPr>
              <w:t>近7天、近30天、近半年时间选择）、安全应用的性能告警分布（支持</w:t>
            </w:r>
            <w:r>
              <w:rPr>
                <w:rFonts w:hint="eastAsia" w:ascii="宋体" w:hAnsi="宋体" w:cs="宋体"/>
                <w:szCs w:val="21"/>
                <w:highlight w:val="none"/>
                <w:lang w:eastAsia="zh-CN"/>
              </w:rPr>
              <w:t>不少于</w:t>
            </w:r>
            <w:r>
              <w:rPr>
                <w:rFonts w:hint="eastAsia" w:ascii="宋体" w:hAnsi="宋体" w:cs="宋体"/>
                <w:szCs w:val="21"/>
                <w:highlight w:val="none"/>
              </w:rPr>
              <w:t>近7天、近30天、近半年时间选择）以及系统主机的性能监控（如：CPU的当前使用率/平均使用率，内存的当前使用率/平均使用率</w:t>
            </w:r>
            <w:r>
              <w:rPr>
                <w:rFonts w:hint="eastAsia" w:ascii="宋体" w:hAnsi="宋体" w:cs="宋体"/>
                <w:szCs w:val="21"/>
                <w:highlight w:val="none"/>
                <w:lang w:eastAsia="zh-CN"/>
              </w:rPr>
              <w:t>等</w:t>
            </w:r>
            <w:r>
              <w:rPr>
                <w:rFonts w:hint="eastAsia" w:ascii="宋体" w:hAnsi="宋体" w:cs="宋体"/>
                <w:szCs w:val="21"/>
                <w:highlight w:val="none"/>
              </w:rPr>
              <w:t>）、具体安全应用的基本信息（版本、应用</w:t>
            </w:r>
            <w:r>
              <w:rPr>
                <w:rFonts w:hint="eastAsia" w:ascii="宋体" w:hAnsi="宋体" w:cs="宋体"/>
                <w:szCs w:val="21"/>
                <w:highlight w:val="none"/>
                <w:lang w:val="en-US" w:eastAsia="zh-CN"/>
              </w:rPr>
              <w:t>类别</w:t>
            </w:r>
            <w:r>
              <w:rPr>
                <w:rFonts w:hint="eastAsia" w:ascii="宋体" w:hAnsi="宋体" w:cs="宋体"/>
                <w:szCs w:val="21"/>
                <w:highlight w:val="none"/>
              </w:rPr>
              <w:t>、持续运行时间、CPU使用率、内存使用率、剩余磁盘量）。</w:t>
            </w:r>
          </w:p>
        </w:tc>
      </w:tr>
      <w:tr>
        <w:trPr>
          <w:trHeight w:val="20" w:hRule="atLeast"/>
        </w:trPr>
        <w:tc>
          <w:tcPr>
            <w:tcW w:w="799" w:type="pct"/>
            <w:vMerge w:val="restart"/>
            <w:vAlign w:val="center"/>
          </w:tcPr>
          <w:p>
            <w:pPr>
              <w:jc w:val="center"/>
              <w:rPr>
                <w:rFonts w:ascii="宋体" w:hAnsi="宋体" w:cs="宋体"/>
                <w:szCs w:val="21"/>
                <w:highlight w:val="none"/>
              </w:rPr>
            </w:pPr>
            <w:r>
              <w:rPr>
                <w:rFonts w:hint="eastAsia" w:ascii="宋体" w:hAnsi="宋体" w:cs="宋体"/>
                <w:szCs w:val="21"/>
                <w:highlight w:val="none"/>
              </w:rPr>
              <w:t>数据访问热度</w:t>
            </w:r>
          </w:p>
        </w:tc>
        <w:tc>
          <w:tcPr>
            <w:tcW w:w="4200" w:type="pct"/>
            <w:vAlign w:val="center"/>
          </w:tcPr>
          <w:p>
            <w:pPr>
              <w:rPr>
                <w:rFonts w:ascii="宋体" w:hAnsi="宋体" w:cs="宋体"/>
                <w:szCs w:val="21"/>
                <w:highlight w:val="none"/>
              </w:rPr>
            </w:pPr>
            <w:r>
              <w:rPr>
                <w:rFonts w:hint="eastAsia" w:ascii="宋体" w:hAnsi="宋体" w:cs="宋体"/>
                <w:szCs w:val="21"/>
                <w:highlight w:val="none"/>
              </w:rPr>
              <w:t>可根据数据主体被访问的次数、分布等信息智能分析，生成数据对象调用次数、调用趋势、热度综合排名等分析图表。</w:t>
            </w:r>
          </w:p>
        </w:tc>
      </w:tr>
      <w:tr>
        <w:trPr>
          <w:trHeight w:val="20" w:hRule="atLeast"/>
        </w:trPr>
        <w:tc>
          <w:tcPr>
            <w:tcW w:w="799" w:type="pct"/>
            <w:vMerge w:val="continue"/>
            <w:vAlign w:val="center"/>
          </w:tcPr>
          <w:p>
            <w:pPr>
              <w:jc w:val="center"/>
              <w:rPr>
                <w:rFonts w:ascii="宋体" w:hAnsi="宋体" w:cs="宋体"/>
                <w:szCs w:val="21"/>
                <w:highlight w:val="none"/>
              </w:rPr>
            </w:pP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对数据库中僵尸数据表、空数据表进行发现和统计</w:t>
            </w:r>
            <w:r>
              <w:rPr>
                <w:rFonts w:hint="eastAsia" w:ascii="宋体" w:hAnsi="宋体" w:cs="宋体"/>
                <w:szCs w:val="21"/>
                <w:highlight w:val="none"/>
                <w:lang w:val="en-US" w:eastAsia="zh-CN"/>
              </w:rPr>
              <w:t>的能力</w:t>
            </w:r>
            <w:r>
              <w:rPr>
                <w:rFonts w:hint="eastAsia" w:ascii="宋体" w:hAnsi="宋体" w:cs="宋体"/>
                <w:szCs w:val="21"/>
                <w:highlight w:val="none"/>
              </w:rPr>
              <w:t>。（提供产品功能截图）</w:t>
            </w:r>
          </w:p>
        </w:tc>
      </w:tr>
      <w:tr>
        <w:trPr>
          <w:trHeight w:val="20" w:hRule="atLeast"/>
        </w:trPr>
        <w:tc>
          <w:tcPr>
            <w:tcW w:w="799" w:type="pct"/>
            <w:vMerge w:val="continue"/>
            <w:vAlign w:val="center"/>
          </w:tcPr>
          <w:p>
            <w:pPr>
              <w:jc w:val="center"/>
              <w:rPr>
                <w:rFonts w:ascii="宋体" w:hAnsi="宋体" w:cs="宋体"/>
                <w:szCs w:val="21"/>
                <w:highlight w:val="none"/>
              </w:rPr>
            </w:pP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资产热度分析</w:t>
            </w:r>
            <w:r>
              <w:rPr>
                <w:rFonts w:hint="eastAsia" w:ascii="宋体" w:hAnsi="宋体" w:cs="宋体"/>
                <w:szCs w:val="21"/>
                <w:highlight w:val="none"/>
                <w:lang w:val="en-US" w:eastAsia="zh-CN"/>
              </w:rPr>
              <w:t>的能力</w:t>
            </w:r>
            <w:r>
              <w:rPr>
                <w:rFonts w:hint="eastAsia" w:ascii="宋体" w:hAnsi="宋体" w:cs="宋体"/>
                <w:szCs w:val="21"/>
                <w:highlight w:val="none"/>
              </w:rPr>
              <w:t>，统计数据资产使用情况，可覆盖表级，方便用户了解高频资产、低频资产、静默资产等。</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接入管理</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与现有系统中数据静态脱敏、数据动态脱敏、数据库加密、数据库水印等数据安全产品的接入集中管理</w:t>
            </w:r>
            <w:r>
              <w:rPr>
                <w:rFonts w:hint="eastAsia" w:ascii="宋体" w:hAnsi="宋体" w:cs="宋体"/>
                <w:szCs w:val="21"/>
                <w:highlight w:val="none"/>
                <w:lang w:val="en-US" w:eastAsia="zh-CN"/>
              </w:rPr>
              <w:t>的能力</w:t>
            </w:r>
            <w:r>
              <w:rPr>
                <w:rFonts w:hint="eastAsia" w:ascii="宋体" w:hAnsi="宋体" w:cs="宋体"/>
                <w:szCs w:val="21"/>
                <w:highlight w:val="none"/>
              </w:rPr>
              <w:t>，可查看相关接入产品运行状态以及接入产品对接的数据资源状态。支持提供标准API接口供第三方接入。</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统一策略</w:t>
            </w:r>
          </w:p>
        </w:tc>
        <w:tc>
          <w:tcPr>
            <w:tcW w:w="4200" w:type="pct"/>
            <w:vAlign w:val="center"/>
          </w:tcPr>
          <w:p>
            <w:pP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与现有系统中数据静态脱敏、数据动态脱敏、数据库加密、数据库水印等数据安全产品的统一数据安全策略制定、数据安全策略下发</w:t>
            </w:r>
            <w:r>
              <w:rPr>
                <w:rFonts w:hint="eastAsia" w:ascii="宋体" w:hAnsi="宋体" w:cs="宋体"/>
                <w:szCs w:val="21"/>
                <w:highlight w:val="none"/>
                <w:lang w:val="en-US" w:eastAsia="zh-CN"/>
              </w:rPr>
              <w:t>的能力</w:t>
            </w:r>
            <w:r>
              <w:rPr>
                <w:rFonts w:hint="eastAsia" w:ascii="宋体" w:hAnsi="宋体" w:cs="宋体"/>
                <w:szCs w:val="21"/>
                <w:highlight w:val="none"/>
              </w:rPr>
              <w:t>。支持提供标准API接口供第三方接入。</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安全能力融合</w:t>
            </w:r>
          </w:p>
        </w:tc>
        <w:tc>
          <w:tcPr>
            <w:tcW w:w="4200" w:type="pct"/>
            <w:vAlign w:val="center"/>
          </w:tcPr>
          <w:p>
            <w:pPr>
              <w:rPr>
                <w:rFonts w:ascii="宋体" w:hAnsi="宋体" w:cs="宋体"/>
                <w:szCs w:val="21"/>
                <w:highlight w:val="none"/>
              </w:rPr>
            </w:pPr>
            <w:r>
              <w:rPr>
                <w:rFonts w:hint="eastAsia" w:ascii="宋体" w:hAnsi="宋体" w:cs="宋体"/>
                <w:szCs w:val="21"/>
                <w:highlight w:val="none"/>
              </w:rPr>
              <w:t>产品必须能够与现有系统中数据静态脱敏、数据动态脱敏、数据库加密、数据库水印等数据安全产品进行深度融合、联动工作，可支持产品间数据互通、信息共享等，使的本单位数据安全管理体系原生、融合、统一。（提供产品功能截图）</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数据风险模型</w:t>
            </w:r>
          </w:p>
        </w:tc>
        <w:tc>
          <w:tcPr>
            <w:tcW w:w="4200" w:type="pct"/>
            <w:vAlign w:val="center"/>
          </w:tcPr>
          <w:p>
            <w:pPr>
              <w:rPr>
                <w:rFonts w:ascii="宋体" w:hAnsi="宋体" w:cs="宋体"/>
                <w:szCs w:val="21"/>
                <w:highlight w:val="none"/>
              </w:rPr>
            </w:pPr>
            <w:r>
              <w:rPr>
                <w:rFonts w:hint="eastAsia" w:ascii="宋体" w:hAnsi="宋体" w:cs="宋体"/>
                <w:szCs w:val="21"/>
                <w:highlight w:val="none"/>
              </w:rPr>
              <w:t>需提供数据风险识别模型库，能够有效识别用户异常访问、数据异常流转、数据异常操作等高危风险。</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账号权限信息</w:t>
            </w:r>
          </w:p>
        </w:tc>
        <w:tc>
          <w:tcPr>
            <w:tcW w:w="4200" w:type="pct"/>
            <w:vAlign w:val="center"/>
          </w:tcPr>
          <w:p>
            <w:pPr>
              <w:rPr>
                <w:rFonts w:ascii="宋体" w:hAnsi="宋体" w:cs="宋体"/>
                <w:szCs w:val="21"/>
                <w:highlight w:val="none"/>
              </w:rPr>
            </w:pPr>
            <w:r>
              <w:rPr>
                <w:rFonts w:hint="eastAsia" w:ascii="宋体" w:hAnsi="宋体" w:cs="宋体"/>
                <w:szCs w:val="21"/>
                <w:highlight w:val="none"/>
              </w:rPr>
              <w:t>支持数据库账号权限梳理、监测，用于数据资产关联及风险分析。</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数据采集</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数据安全日志的集中采集、标准化、存储、全文检索功能，如对数据动态脱敏、数据库加密等作业日志、其他数据安全设备的业务日志如数据库审计日志等。</w:t>
            </w:r>
          </w:p>
        </w:tc>
      </w:tr>
      <w:tr>
        <w:trPr>
          <w:trHeight w:val="20" w:hRule="atLeast"/>
        </w:trPr>
        <w:tc>
          <w:tcPr>
            <w:tcW w:w="799" w:type="pct"/>
            <w:vMerge w:val="restart"/>
            <w:vAlign w:val="center"/>
          </w:tcPr>
          <w:p>
            <w:pPr>
              <w:jc w:val="center"/>
              <w:rPr>
                <w:rFonts w:ascii="宋体" w:hAnsi="宋体" w:cs="宋体"/>
                <w:szCs w:val="21"/>
                <w:highlight w:val="none"/>
              </w:rPr>
            </w:pPr>
            <w:r>
              <w:rPr>
                <w:rFonts w:hint="eastAsia" w:ascii="宋体" w:hAnsi="宋体" w:cs="宋体"/>
                <w:szCs w:val="21"/>
                <w:highlight w:val="none"/>
              </w:rPr>
              <w:t>数据分析</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数据风险分析</w:t>
            </w:r>
            <w:r>
              <w:rPr>
                <w:rFonts w:hint="eastAsia" w:ascii="宋体" w:hAnsi="宋体" w:cs="宋体"/>
                <w:szCs w:val="21"/>
                <w:highlight w:val="none"/>
                <w:lang w:val="en-US" w:eastAsia="zh-CN"/>
              </w:rPr>
              <w:t>的能力</w:t>
            </w:r>
            <w:r>
              <w:rPr>
                <w:rFonts w:hint="eastAsia" w:ascii="宋体" w:hAnsi="宋体" w:cs="宋体"/>
                <w:szCs w:val="21"/>
                <w:highlight w:val="none"/>
              </w:rPr>
              <w:t>，包括资产风险趋势，告警增量趋势、数据风险类型分布等。</w:t>
            </w:r>
          </w:p>
        </w:tc>
      </w:tr>
      <w:tr>
        <w:trPr>
          <w:trHeight w:val="20" w:hRule="atLeast"/>
        </w:trPr>
        <w:tc>
          <w:tcPr>
            <w:tcW w:w="799" w:type="pct"/>
            <w:vMerge w:val="continue"/>
            <w:vAlign w:val="center"/>
          </w:tcPr>
          <w:p>
            <w:pPr>
              <w:jc w:val="center"/>
              <w:rPr>
                <w:rFonts w:ascii="宋体" w:hAnsi="宋体" w:cs="宋体"/>
                <w:szCs w:val="21"/>
                <w:highlight w:val="none"/>
              </w:rPr>
            </w:pP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场景化风险分析</w:t>
            </w:r>
            <w:r>
              <w:rPr>
                <w:rFonts w:hint="eastAsia" w:ascii="宋体" w:hAnsi="宋体" w:cs="宋体"/>
                <w:szCs w:val="21"/>
                <w:highlight w:val="none"/>
                <w:lang w:val="en-US" w:eastAsia="zh-CN"/>
              </w:rPr>
              <w:t>的能力</w:t>
            </w:r>
            <w:r>
              <w:rPr>
                <w:rFonts w:hint="eastAsia" w:ascii="宋体" w:hAnsi="宋体" w:cs="宋体"/>
                <w:szCs w:val="21"/>
                <w:highlight w:val="none"/>
              </w:rPr>
              <w:t>，如数据库批量查询（</w:t>
            </w:r>
            <w:r>
              <w:rPr>
                <w:rFonts w:hint="eastAsia" w:ascii="宋体" w:hAnsi="宋体" w:cs="宋体"/>
                <w:szCs w:val="21"/>
                <w:highlight w:val="none"/>
                <w:lang w:eastAsia="zh-CN"/>
              </w:rPr>
              <w:t>不少于</w:t>
            </w:r>
            <w:r>
              <w:rPr>
                <w:rFonts w:hint="eastAsia" w:ascii="宋体" w:hAnsi="宋体" w:cs="宋体"/>
                <w:szCs w:val="21"/>
                <w:highlight w:val="none"/>
              </w:rPr>
              <w:t>3级个人基本信息）</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告警管理</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告警名称自定义</w:t>
            </w:r>
            <w:r>
              <w:rPr>
                <w:rFonts w:hint="eastAsia" w:ascii="宋体" w:hAnsi="宋体" w:cs="宋体"/>
                <w:szCs w:val="21"/>
                <w:highlight w:val="none"/>
                <w:lang w:val="en-US" w:eastAsia="zh-CN"/>
              </w:rPr>
              <w:t>的能力</w:t>
            </w:r>
            <w:r>
              <w:rPr>
                <w:rFonts w:hint="eastAsia" w:ascii="宋体" w:hAnsi="宋体" w:cs="宋体"/>
                <w:szCs w:val="21"/>
                <w:highlight w:val="none"/>
              </w:rPr>
              <w:t>。告警支持通过风险等级与时间窗口进行归并形成事件，并且支持智能化批量处置，如根据“事件名称”、“风险类型”、“风险等级”、“客户端IP”、“关联资产类型”、“关联资产”等进行类似条件事件的处置。</w:t>
            </w:r>
          </w:p>
        </w:tc>
      </w:tr>
      <w:tr>
        <w:trPr>
          <w:trHeight w:val="20" w:hRule="atLeast"/>
        </w:trPr>
        <w:tc>
          <w:tcPr>
            <w:tcW w:w="799" w:type="pct"/>
            <w:vMerge w:val="restart"/>
            <w:vAlign w:val="center"/>
          </w:tcPr>
          <w:p>
            <w:pPr>
              <w:jc w:val="center"/>
              <w:rPr>
                <w:rFonts w:ascii="宋体" w:hAnsi="宋体" w:cs="宋体"/>
                <w:szCs w:val="21"/>
                <w:highlight w:val="none"/>
              </w:rPr>
            </w:pPr>
            <w:r>
              <w:rPr>
                <w:rFonts w:hint="eastAsia" w:ascii="宋体" w:hAnsi="宋体" w:cs="宋体"/>
                <w:szCs w:val="21"/>
                <w:highlight w:val="none"/>
              </w:rPr>
              <w:t>告警定义</w:t>
            </w:r>
          </w:p>
        </w:tc>
        <w:tc>
          <w:tcPr>
            <w:tcW w:w="4200" w:type="pct"/>
            <w:vAlign w:val="center"/>
          </w:tcPr>
          <w:p>
            <w:pPr>
              <w:rPr>
                <w:rFonts w:ascii="宋体" w:hAnsi="宋体" w:cs="宋体"/>
                <w:szCs w:val="21"/>
                <w:highlight w:val="none"/>
              </w:rPr>
            </w:pPr>
            <w:r>
              <w:rPr>
                <w:rFonts w:hint="eastAsia" w:ascii="宋体" w:hAnsi="宋体" w:cs="宋体"/>
                <w:szCs w:val="21"/>
                <w:highlight w:val="none"/>
              </w:rPr>
              <w:t>可以提供紧急、重要、警告、提醒多个级别告警级别，并用对应颜色显著标识区分。</w:t>
            </w:r>
          </w:p>
        </w:tc>
      </w:tr>
      <w:tr>
        <w:trPr>
          <w:trHeight w:val="20" w:hRule="atLeast"/>
        </w:trPr>
        <w:tc>
          <w:tcPr>
            <w:tcW w:w="799" w:type="pct"/>
            <w:vMerge w:val="continue"/>
            <w:vAlign w:val="center"/>
          </w:tcPr>
          <w:p>
            <w:pPr>
              <w:jc w:val="center"/>
              <w:rPr>
                <w:rFonts w:ascii="宋体" w:hAnsi="宋体" w:cs="宋体"/>
                <w:szCs w:val="21"/>
                <w:highlight w:val="none"/>
              </w:rPr>
            </w:pP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通过时间段、告警级别、风险类型、资产名称等条件进行历史告警的组合检索</w:t>
            </w:r>
            <w:r>
              <w:rPr>
                <w:rFonts w:hint="eastAsia" w:ascii="宋体" w:hAnsi="宋体" w:cs="宋体"/>
                <w:szCs w:val="21"/>
                <w:highlight w:val="none"/>
                <w:lang w:val="en-US" w:eastAsia="zh-CN"/>
              </w:rPr>
              <w:t>的能力</w:t>
            </w:r>
            <w:r>
              <w:rPr>
                <w:rFonts w:hint="eastAsia" w:ascii="宋体" w:hAnsi="宋体" w:cs="宋体"/>
                <w:szCs w:val="21"/>
                <w:highlight w:val="none"/>
              </w:rPr>
              <w:t>。</w:t>
            </w:r>
          </w:p>
        </w:tc>
      </w:tr>
      <w:tr>
        <w:trPr>
          <w:trHeight w:val="20" w:hRule="atLeast"/>
        </w:trPr>
        <w:tc>
          <w:tcPr>
            <w:tcW w:w="799" w:type="pct"/>
            <w:vMerge w:val="restart"/>
            <w:vAlign w:val="center"/>
          </w:tcPr>
          <w:p>
            <w:pPr>
              <w:jc w:val="center"/>
              <w:rPr>
                <w:rFonts w:ascii="宋体" w:hAnsi="宋体" w:cs="宋体"/>
                <w:szCs w:val="21"/>
                <w:highlight w:val="none"/>
              </w:rPr>
            </w:pPr>
            <w:r>
              <w:rPr>
                <w:rFonts w:hint="eastAsia" w:ascii="宋体" w:hAnsi="宋体" w:cs="宋体"/>
                <w:szCs w:val="21"/>
                <w:highlight w:val="none"/>
              </w:rPr>
              <w:t>告警处置</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可视化呈现告警概览</w:t>
            </w:r>
            <w:r>
              <w:rPr>
                <w:rFonts w:hint="eastAsia" w:ascii="宋体" w:hAnsi="宋体" w:cs="宋体"/>
                <w:szCs w:val="21"/>
                <w:highlight w:val="none"/>
                <w:lang w:val="en-US" w:eastAsia="zh-CN"/>
              </w:rPr>
              <w:t>的能力</w:t>
            </w:r>
            <w:r>
              <w:rPr>
                <w:rFonts w:hint="eastAsia" w:ascii="宋体" w:hAnsi="宋体" w:cs="宋体"/>
                <w:szCs w:val="21"/>
                <w:highlight w:val="none"/>
              </w:rPr>
              <w:t>，并支持自定义告警的归并规则。</w:t>
            </w:r>
          </w:p>
        </w:tc>
      </w:tr>
      <w:tr>
        <w:trPr>
          <w:trHeight w:val="20" w:hRule="atLeast"/>
        </w:trPr>
        <w:tc>
          <w:tcPr>
            <w:tcW w:w="799" w:type="pct"/>
            <w:vMerge w:val="continue"/>
            <w:vAlign w:val="center"/>
          </w:tcPr>
          <w:p>
            <w:pPr>
              <w:jc w:val="center"/>
              <w:rPr>
                <w:rFonts w:ascii="宋体" w:hAnsi="宋体" w:cs="宋体"/>
                <w:szCs w:val="21"/>
                <w:highlight w:val="none"/>
              </w:rPr>
            </w:pP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忽略、手工处理、工单处理、白名单等方式进行告警处理</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根据告警相关条件进行智能批量处理</w:t>
            </w:r>
            <w:r>
              <w:rPr>
                <w:rFonts w:hint="eastAsia" w:ascii="宋体" w:hAnsi="宋体" w:cs="宋体"/>
                <w:szCs w:val="21"/>
                <w:highlight w:val="none"/>
                <w:lang w:val="en-US" w:eastAsia="zh-CN"/>
              </w:rPr>
              <w:t>的能力</w:t>
            </w:r>
            <w:r>
              <w:rPr>
                <w:rFonts w:hint="eastAsia" w:ascii="宋体" w:hAnsi="宋体" w:cs="宋体"/>
                <w:szCs w:val="21"/>
                <w:highlight w:val="none"/>
              </w:rPr>
              <w:t>。</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告警通知</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将告警信息以邮件方式发送给系统相关责任人</w:t>
            </w:r>
            <w:r>
              <w:rPr>
                <w:rFonts w:hint="eastAsia" w:ascii="宋体" w:hAnsi="宋体" w:cs="宋体"/>
                <w:szCs w:val="21"/>
                <w:highlight w:val="none"/>
                <w:lang w:val="en-US" w:eastAsia="zh-CN"/>
              </w:rPr>
              <w:t>的能力</w:t>
            </w:r>
            <w:r>
              <w:rPr>
                <w:rFonts w:hint="eastAsia" w:ascii="宋体" w:hAnsi="宋体" w:cs="宋体"/>
                <w:szCs w:val="21"/>
                <w:highlight w:val="none"/>
              </w:rPr>
              <w:t>，支持syslog告警信息的定向输出。</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工单管理</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查看工单概览与工单列表</w:t>
            </w:r>
            <w:r>
              <w:rPr>
                <w:rFonts w:hint="eastAsia" w:ascii="宋体" w:hAnsi="宋体" w:cs="宋体"/>
                <w:szCs w:val="21"/>
                <w:highlight w:val="none"/>
                <w:lang w:val="en-US" w:eastAsia="zh-CN"/>
              </w:rPr>
              <w:t>的能力</w:t>
            </w:r>
            <w:r>
              <w:rPr>
                <w:rFonts w:hint="eastAsia" w:ascii="宋体" w:hAnsi="宋体" w:cs="宋体"/>
                <w:szCs w:val="21"/>
                <w:highlight w:val="none"/>
              </w:rPr>
              <w:t>，对工单流程全程监管与处置，形成告警到工单的风险自闭环。</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考核指标</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对告警处理情况进行统计展示</w:t>
            </w:r>
            <w:r>
              <w:rPr>
                <w:rFonts w:hint="eastAsia" w:ascii="宋体" w:hAnsi="宋体" w:cs="宋体"/>
                <w:szCs w:val="21"/>
                <w:highlight w:val="none"/>
                <w:lang w:val="en-US" w:eastAsia="zh-CN"/>
              </w:rPr>
              <w:t>的能力</w:t>
            </w:r>
            <w:r>
              <w:rPr>
                <w:rFonts w:hint="eastAsia" w:ascii="宋体" w:hAnsi="宋体" w:cs="宋体"/>
                <w:szCs w:val="21"/>
                <w:highlight w:val="none"/>
              </w:rPr>
              <w:t>，查看工单列表状态及详情。可通过创建人、工单状态维度，工单平均响应时长进行统计考核指标。</w:t>
            </w:r>
          </w:p>
        </w:tc>
      </w:tr>
      <w:tr>
        <w:trPr>
          <w:trHeight w:val="20" w:hRule="atLeast"/>
        </w:trPr>
        <w:tc>
          <w:tcPr>
            <w:tcW w:w="799" w:type="pct"/>
            <w:vMerge w:val="restart"/>
            <w:vAlign w:val="center"/>
          </w:tcPr>
          <w:p>
            <w:pPr>
              <w:jc w:val="center"/>
              <w:rPr>
                <w:rFonts w:ascii="宋体" w:hAnsi="宋体" w:cs="宋体"/>
                <w:szCs w:val="21"/>
                <w:highlight w:val="none"/>
              </w:rPr>
            </w:pPr>
            <w:r>
              <w:rPr>
                <w:rFonts w:hint="eastAsia" w:ascii="宋体" w:hAnsi="宋体" w:cs="宋体"/>
                <w:szCs w:val="21"/>
                <w:highlight w:val="none"/>
              </w:rPr>
              <w:t>运维报表</w:t>
            </w:r>
          </w:p>
        </w:tc>
        <w:tc>
          <w:tcPr>
            <w:tcW w:w="4200" w:type="pct"/>
            <w:vAlign w:val="center"/>
          </w:tcPr>
          <w:p>
            <w:pPr>
              <w:rPr>
                <w:rFonts w:ascii="宋体" w:hAnsi="宋体" w:cs="宋体"/>
                <w:szCs w:val="21"/>
                <w:highlight w:val="none"/>
              </w:rPr>
            </w:pPr>
            <w:r>
              <w:rPr>
                <w:rFonts w:hint="eastAsia" w:ascii="宋体" w:hAnsi="宋体" w:cs="宋体"/>
                <w:szCs w:val="21"/>
                <w:highlight w:val="none"/>
              </w:rPr>
              <w:t>支持查看，下载生成的报表，可创建报表定时任务，自定义报表。并对数十种参数进行自定义配置。</w:t>
            </w:r>
          </w:p>
        </w:tc>
      </w:tr>
      <w:tr>
        <w:trPr>
          <w:trHeight w:val="20" w:hRule="atLeast"/>
        </w:trPr>
        <w:tc>
          <w:tcPr>
            <w:tcW w:w="799" w:type="pct"/>
            <w:vMerge w:val="continue"/>
            <w:vAlign w:val="center"/>
          </w:tcPr>
          <w:p>
            <w:pPr>
              <w:jc w:val="center"/>
              <w:rPr>
                <w:rFonts w:ascii="宋体" w:hAnsi="宋体" w:cs="宋体"/>
                <w:szCs w:val="21"/>
                <w:highlight w:val="none"/>
              </w:rPr>
            </w:pPr>
          </w:p>
        </w:tc>
        <w:tc>
          <w:tcPr>
            <w:tcW w:w="4200" w:type="pct"/>
            <w:vAlign w:val="center"/>
          </w:tcPr>
          <w:p>
            <w:pPr>
              <w:rPr>
                <w:rFonts w:ascii="宋体" w:hAnsi="宋体" w:cs="宋体"/>
                <w:szCs w:val="21"/>
                <w:highlight w:val="none"/>
              </w:rPr>
            </w:pPr>
            <w:r>
              <w:rPr>
                <w:rFonts w:hint="eastAsia" w:ascii="宋体" w:hAnsi="宋体" w:cs="宋体"/>
                <w:szCs w:val="21"/>
                <w:highlight w:val="none"/>
              </w:rPr>
              <w:t>具备自定义报表功能，并能将自定义的报表保存为模板，方便后续的运维和汇报，作为固定审计模板。</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管理分权</w:t>
            </w:r>
          </w:p>
        </w:tc>
        <w:tc>
          <w:tcPr>
            <w:tcW w:w="4200" w:type="pct"/>
            <w:vAlign w:val="center"/>
          </w:tcPr>
          <w:p>
            <w:pPr>
              <w:rPr>
                <w:rFonts w:ascii="宋体" w:hAnsi="宋体" w:cs="宋体"/>
                <w:szCs w:val="21"/>
                <w:highlight w:val="none"/>
              </w:rPr>
            </w:pPr>
            <w:r>
              <w:rPr>
                <w:rFonts w:hint="eastAsia" w:ascii="宋体" w:hAnsi="宋体" w:cs="宋体"/>
                <w:szCs w:val="21"/>
                <w:highlight w:val="none"/>
              </w:rPr>
              <w:t>▲产品需支持分区域分部门多级管理模式，应支持通过角色为账号赋权，安全角色之间权限相互制约，重要功能(如用户/权限管理、审计记录管理)应由对应赋权角色用户才能执行。</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敏感数据地图</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对全网数据进行拉网式筛查和梳理</w:t>
            </w:r>
            <w:r>
              <w:rPr>
                <w:rFonts w:hint="eastAsia" w:ascii="宋体" w:hAnsi="宋体" w:cs="宋体"/>
                <w:szCs w:val="21"/>
                <w:highlight w:val="none"/>
                <w:lang w:val="en-US" w:eastAsia="zh-CN"/>
              </w:rPr>
              <w:t>的能力</w:t>
            </w:r>
            <w:r>
              <w:rPr>
                <w:rFonts w:hint="eastAsia" w:ascii="宋体" w:hAnsi="宋体" w:cs="宋体"/>
                <w:szCs w:val="21"/>
                <w:highlight w:val="none"/>
              </w:rPr>
              <w:t>，并可依据数据的敏感度、敏感数据类型、敏感数据数量、敏感数据分布以及敏感数据占比等进行统计分析和展示。</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数据资产报表</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数据资产多维度统计分析</w:t>
            </w:r>
            <w:r>
              <w:rPr>
                <w:rFonts w:hint="eastAsia" w:ascii="宋体" w:hAnsi="宋体" w:cs="宋体"/>
                <w:szCs w:val="21"/>
                <w:highlight w:val="none"/>
                <w:lang w:val="en-US" w:eastAsia="zh-CN"/>
              </w:rPr>
              <w:t>的能力</w:t>
            </w:r>
            <w:r>
              <w:rPr>
                <w:rFonts w:hint="eastAsia" w:ascii="宋体" w:hAnsi="宋体" w:cs="宋体"/>
                <w:szCs w:val="21"/>
                <w:highlight w:val="none"/>
              </w:rPr>
              <w:t>，可提供资产梳理统计报告、资产变化趋势分析报告、敏感数据报告、热度分析报告等专项分析报表。</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日志源管理</w:t>
            </w:r>
          </w:p>
        </w:tc>
        <w:tc>
          <w:tcPr>
            <w:tcW w:w="4200" w:type="pct"/>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对接第三方安全设备日志源进行管理</w:t>
            </w:r>
            <w:r>
              <w:rPr>
                <w:rFonts w:hint="eastAsia" w:ascii="宋体" w:hAnsi="宋体" w:cs="宋体"/>
                <w:szCs w:val="21"/>
                <w:highlight w:val="none"/>
                <w:lang w:val="en-US" w:eastAsia="zh-CN"/>
              </w:rPr>
              <w:t>的能力</w:t>
            </w:r>
            <w:r>
              <w:rPr>
                <w:rFonts w:hint="eastAsia" w:ascii="宋体" w:hAnsi="宋体" w:cs="宋体"/>
                <w:szCs w:val="21"/>
                <w:highlight w:val="none"/>
              </w:rPr>
              <w:t>，支持便捷的字段解析设置，例如json、字符串、自定义形式（解析包上传）进行解析。针对日志，支持syslog、kafka的形式进行采集，并进行清洗补全、字段映射的方法进行归一化处理。</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登录安全</w:t>
            </w:r>
          </w:p>
        </w:tc>
        <w:tc>
          <w:tcPr>
            <w:tcW w:w="4200" w:type="pct"/>
            <w:vAlign w:val="center"/>
          </w:tcPr>
          <w:p>
            <w:pPr>
              <w:rPr>
                <w:rFonts w:ascii="宋体" w:hAnsi="宋体" w:cs="宋体"/>
                <w:szCs w:val="21"/>
                <w:highlight w:val="none"/>
              </w:rPr>
            </w:pPr>
            <w:r>
              <w:rPr>
                <w:rFonts w:hint="eastAsia" w:ascii="宋体" w:hAnsi="宋体" w:cs="宋体"/>
                <w:szCs w:val="21"/>
                <w:highlight w:val="none"/>
              </w:rPr>
              <w:t>产品应具备web安全访问（https）、密码长度复杂度校验、密码错误尝试锁定、动态验证码验证、账号超时登出以及IP限制管理等安全性自定义配置功能。</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系统升级</w:t>
            </w:r>
          </w:p>
        </w:tc>
        <w:tc>
          <w:tcPr>
            <w:tcW w:w="4200" w:type="pct"/>
            <w:vAlign w:val="center"/>
          </w:tcPr>
          <w:p>
            <w:pPr>
              <w:rPr>
                <w:rFonts w:ascii="宋体" w:hAnsi="宋体" w:cs="宋体"/>
                <w:szCs w:val="21"/>
                <w:highlight w:val="none"/>
              </w:rPr>
            </w:pPr>
            <w:r>
              <w:rPr>
                <w:rFonts w:hint="eastAsia" w:ascii="宋体" w:hAnsi="宋体" w:cs="宋体"/>
                <w:szCs w:val="21"/>
                <w:highlight w:val="none"/>
              </w:rPr>
              <w:t>产品应</w:t>
            </w:r>
            <w:r>
              <w:rPr>
                <w:rFonts w:hint="eastAsia" w:ascii="宋体" w:hAnsi="宋体" w:cs="宋体"/>
                <w:szCs w:val="21"/>
                <w:highlight w:val="none"/>
                <w:lang w:eastAsia="zh-CN"/>
              </w:rPr>
              <w:t>配置</w:t>
            </w:r>
            <w:r>
              <w:rPr>
                <w:rFonts w:hint="eastAsia" w:ascii="宋体" w:hAnsi="宋体" w:cs="宋体"/>
                <w:szCs w:val="21"/>
                <w:highlight w:val="none"/>
              </w:rPr>
              <w:t>系统在线升级、查看系统历史版本补丁等升级管理功能。</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操作日志</w:t>
            </w:r>
          </w:p>
        </w:tc>
        <w:tc>
          <w:tcPr>
            <w:tcW w:w="4200" w:type="pct"/>
            <w:vAlign w:val="center"/>
          </w:tcPr>
          <w:p>
            <w:pPr>
              <w:rPr>
                <w:rFonts w:ascii="宋体" w:hAnsi="宋体" w:cs="宋体"/>
                <w:szCs w:val="21"/>
                <w:highlight w:val="none"/>
              </w:rPr>
            </w:pPr>
            <w:r>
              <w:rPr>
                <w:rFonts w:hint="eastAsia" w:ascii="宋体" w:hAnsi="宋体" w:cs="宋体"/>
                <w:szCs w:val="21"/>
                <w:highlight w:val="none"/>
              </w:rPr>
              <w:t>产品应</w:t>
            </w:r>
            <w:r>
              <w:rPr>
                <w:rFonts w:hint="eastAsia" w:ascii="宋体" w:hAnsi="宋体" w:cs="宋体"/>
                <w:szCs w:val="21"/>
                <w:highlight w:val="none"/>
                <w:lang w:eastAsia="zh-CN"/>
              </w:rPr>
              <w:t>配置</w:t>
            </w:r>
            <w:r>
              <w:rPr>
                <w:rFonts w:hint="eastAsia" w:ascii="宋体" w:hAnsi="宋体" w:cs="宋体"/>
                <w:szCs w:val="21"/>
                <w:highlight w:val="none"/>
              </w:rPr>
              <w:t>记录用户操作日志，包含操作时间、操作用户、操作IP、操作对象、操作内容等</w:t>
            </w:r>
            <w:r>
              <w:rPr>
                <w:rFonts w:hint="eastAsia" w:ascii="宋体" w:hAnsi="宋体" w:cs="宋体"/>
                <w:szCs w:val="21"/>
                <w:highlight w:val="none"/>
                <w:lang w:val="en-US" w:eastAsia="zh-CN"/>
              </w:rPr>
              <w:t>的能力</w:t>
            </w:r>
            <w:r>
              <w:rPr>
                <w:rFonts w:hint="eastAsia" w:ascii="宋体" w:hAnsi="宋体" w:cs="宋体"/>
                <w:szCs w:val="21"/>
                <w:highlight w:val="none"/>
              </w:rPr>
              <w:t>；</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用户角色</w:t>
            </w:r>
          </w:p>
        </w:tc>
        <w:tc>
          <w:tcPr>
            <w:tcW w:w="4200" w:type="pct"/>
            <w:vAlign w:val="center"/>
          </w:tcPr>
          <w:p>
            <w:pPr>
              <w:rPr>
                <w:rFonts w:ascii="宋体" w:hAnsi="宋体" w:cs="宋体"/>
                <w:szCs w:val="21"/>
                <w:highlight w:val="none"/>
              </w:rPr>
            </w:pPr>
            <w:r>
              <w:rPr>
                <w:rFonts w:hint="eastAsia" w:ascii="宋体" w:hAnsi="宋体" w:cs="宋体"/>
                <w:szCs w:val="21"/>
                <w:highlight w:val="none"/>
              </w:rPr>
              <w:t>产品应</w:t>
            </w:r>
            <w:r>
              <w:rPr>
                <w:rFonts w:hint="eastAsia" w:ascii="宋体" w:hAnsi="宋体" w:cs="宋体"/>
                <w:szCs w:val="21"/>
                <w:highlight w:val="none"/>
                <w:lang w:eastAsia="zh-CN"/>
              </w:rPr>
              <w:t>配置</w:t>
            </w:r>
            <w:r>
              <w:rPr>
                <w:rFonts w:hint="eastAsia" w:ascii="宋体" w:hAnsi="宋体" w:cs="宋体"/>
                <w:szCs w:val="21"/>
                <w:highlight w:val="none"/>
              </w:rPr>
              <w:t>用户角色权限管理等</w:t>
            </w:r>
            <w:r>
              <w:rPr>
                <w:rFonts w:hint="eastAsia" w:ascii="宋体" w:hAnsi="宋体" w:cs="宋体"/>
                <w:szCs w:val="21"/>
                <w:highlight w:val="none"/>
                <w:lang w:val="en-US" w:eastAsia="zh-CN"/>
              </w:rPr>
              <w:t>能力</w:t>
            </w:r>
            <w:r>
              <w:rPr>
                <w:rFonts w:hint="eastAsia" w:ascii="宋体" w:hAnsi="宋体" w:cs="宋体"/>
                <w:szCs w:val="21"/>
                <w:highlight w:val="none"/>
              </w:rPr>
              <w:t>，可配置支持三权分立，提供系统管理员、安全管理员、审计管理员角色。</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系统维护</w:t>
            </w:r>
          </w:p>
        </w:tc>
        <w:tc>
          <w:tcPr>
            <w:tcW w:w="4200" w:type="pct"/>
            <w:vAlign w:val="center"/>
          </w:tcPr>
          <w:p>
            <w:pPr>
              <w:rPr>
                <w:rFonts w:ascii="宋体" w:hAnsi="宋体" w:cs="宋体"/>
                <w:szCs w:val="21"/>
                <w:highlight w:val="none"/>
              </w:rPr>
            </w:pPr>
            <w:r>
              <w:rPr>
                <w:rFonts w:hint="eastAsia" w:ascii="宋体" w:hAnsi="宋体" w:cs="宋体"/>
                <w:szCs w:val="21"/>
                <w:highlight w:val="none"/>
              </w:rPr>
              <w:t>产品应</w:t>
            </w:r>
            <w:r>
              <w:rPr>
                <w:rFonts w:hint="eastAsia" w:ascii="宋体" w:hAnsi="宋体" w:cs="宋体"/>
                <w:szCs w:val="21"/>
                <w:highlight w:val="none"/>
                <w:lang w:eastAsia="zh-CN"/>
              </w:rPr>
              <w:t>配置</w:t>
            </w:r>
            <w:r>
              <w:rPr>
                <w:rFonts w:hint="eastAsia" w:ascii="宋体" w:hAnsi="宋体" w:cs="宋体"/>
                <w:szCs w:val="21"/>
                <w:highlight w:val="none"/>
              </w:rPr>
              <w:t>对系统自身运行状态进行实时监测（如CPU使用率、内存使用率、磁盘使用率、网卡流量等）及网络排查、网络地址配置维护等功能</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数据库探针</w:t>
            </w:r>
          </w:p>
        </w:tc>
        <w:tc>
          <w:tcPr>
            <w:tcW w:w="4200" w:type="pct"/>
            <w:vAlign w:val="center"/>
          </w:tcPr>
          <w:p>
            <w:pPr>
              <w:rPr>
                <w:rFonts w:ascii="宋体" w:hAnsi="宋体" w:cs="宋体"/>
                <w:szCs w:val="21"/>
                <w:highlight w:val="none"/>
              </w:rPr>
            </w:pPr>
            <w:r>
              <w:rPr>
                <w:rFonts w:hint="eastAsia" w:ascii="宋体" w:hAnsi="宋体" w:cs="宋体"/>
                <w:szCs w:val="21"/>
                <w:highlight w:val="none"/>
              </w:rPr>
              <w:t>▲配置数据库探针，支持数据库实例</w:t>
            </w:r>
            <w:r>
              <w:rPr>
                <w:rFonts w:hint="eastAsia" w:ascii="宋体" w:hAnsi="宋体" w:cs="宋体"/>
                <w:szCs w:val="21"/>
                <w:highlight w:val="none"/>
                <w:lang w:val="en-US" w:eastAsia="zh-CN"/>
              </w:rPr>
              <w:t>不少于</w:t>
            </w:r>
            <w:r>
              <w:rPr>
                <w:rFonts w:hint="eastAsia" w:ascii="宋体" w:hAnsi="宋体" w:cs="宋体"/>
                <w:szCs w:val="21"/>
                <w:highlight w:val="none"/>
              </w:rPr>
              <w:t>4</w:t>
            </w:r>
            <w:r>
              <w:rPr>
                <w:rFonts w:hint="eastAsia" w:ascii="宋体" w:hAnsi="宋体" w:cs="宋体"/>
                <w:szCs w:val="21"/>
                <w:highlight w:val="none"/>
                <w:lang w:val="en-US" w:eastAsia="zh-CN"/>
              </w:rPr>
              <w:t>5</w:t>
            </w:r>
            <w:r>
              <w:rPr>
                <w:rFonts w:hint="eastAsia" w:ascii="宋体" w:hAnsi="宋体" w:cs="宋体"/>
                <w:szCs w:val="21"/>
                <w:highlight w:val="none"/>
              </w:rPr>
              <w:t>个，数据库流量</w:t>
            </w:r>
            <w:r>
              <w:rPr>
                <w:rFonts w:hint="eastAsia" w:ascii="宋体" w:hAnsi="宋体" w:cs="宋体"/>
                <w:szCs w:val="21"/>
                <w:highlight w:val="none"/>
                <w:lang w:val="en-US" w:eastAsia="zh-CN"/>
              </w:rPr>
              <w:t>不低于</w:t>
            </w:r>
            <w:r>
              <w:rPr>
                <w:rFonts w:hint="eastAsia" w:ascii="宋体" w:hAnsi="宋体" w:cs="宋体"/>
                <w:szCs w:val="21"/>
                <w:highlight w:val="none"/>
              </w:rPr>
              <w:t>600Mbps，SQL峰值处理能力</w:t>
            </w:r>
            <w:r>
              <w:rPr>
                <w:rFonts w:hint="eastAsia" w:ascii="宋体" w:hAnsi="宋体" w:cs="宋体"/>
                <w:szCs w:val="21"/>
                <w:highlight w:val="none"/>
                <w:lang w:val="en-US" w:eastAsia="zh-CN"/>
              </w:rPr>
              <w:t>不低于</w:t>
            </w:r>
            <w:r>
              <w:rPr>
                <w:rFonts w:hint="eastAsia" w:ascii="宋体" w:hAnsi="宋体" w:cs="宋体"/>
                <w:szCs w:val="21"/>
                <w:highlight w:val="none"/>
              </w:rPr>
              <w:t>60000条/秒，SQL日志存储数量</w:t>
            </w:r>
            <w:r>
              <w:rPr>
                <w:rFonts w:hint="eastAsia" w:ascii="宋体" w:hAnsi="宋体" w:cs="宋体"/>
                <w:szCs w:val="21"/>
                <w:highlight w:val="none"/>
                <w:lang w:val="en-US" w:eastAsia="zh-CN"/>
              </w:rPr>
              <w:t>不少于</w:t>
            </w:r>
            <w:r>
              <w:rPr>
                <w:rFonts w:hint="eastAsia" w:ascii="宋体" w:hAnsi="宋体" w:cs="宋体"/>
                <w:szCs w:val="21"/>
                <w:highlight w:val="none"/>
              </w:rPr>
              <w:t>80亿条；</w:t>
            </w:r>
          </w:p>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在访问的数据库服务器上部署审计插件</w:t>
            </w:r>
            <w:r>
              <w:rPr>
                <w:rFonts w:hint="eastAsia" w:ascii="宋体" w:hAnsi="宋体" w:cs="宋体"/>
                <w:szCs w:val="21"/>
                <w:highlight w:val="none"/>
                <w:lang w:val="en-US" w:eastAsia="zh-CN"/>
              </w:rPr>
              <w:t>的能力</w:t>
            </w:r>
            <w:r>
              <w:rPr>
                <w:rFonts w:hint="eastAsia" w:ascii="宋体" w:hAnsi="宋体" w:cs="宋体"/>
                <w:szCs w:val="21"/>
                <w:highlight w:val="none"/>
              </w:rPr>
              <w:t>，获取数据库访问的数据流量进行审计。并且支持在插件模式下，进行环回流量审计；</w:t>
            </w:r>
          </w:p>
          <w:p>
            <w:pPr>
              <w:rPr>
                <w:rFonts w:ascii="宋体" w:hAnsi="宋体" w:cs="宋体"/>
                <w:szCs w:val="21"/>
                <w:highlight w:val="none"/>
              </w:rPr>
            </w:pPr>
            <w:r>
              <w:rPr>
                <w:rFonts w:hint="eastAsia" w:ascii="宋体" w:hAnsi="宋体" w:cs="宋体"/>
                <w:szCs w:val="21"/>
                <w:highlight w:val="none"/>
              </w:rPr>
              <w:t>审计采集插件支持自动休眠，当所在数据库服务器的CPU、内存消耗超过阈值时，临时暂停抓包工作，避免与数据库服务器抢占资源，并且支持插件抓取流量的阈值设置。支持插件过滤条件设置，包括IP过滤和端口过滤。支持插件更新与升级、远程推送、批量推送。</w:t>
            </w:r>
          </w:p>
        </w:tc>
      </w:tr>
      <w:tr>
        <w:trPr>
          <w:trHeight w:val="20" w:hRule="atLeast"/>
        </w:trPr>
        <w:tc>
          <w:tcPr>
            <w:tcW w:w="799" w:type="pct"/>
            <w:vAlign w:val="center"/>
          </w:tcPr>
          <w:p>
            <w:pPr>
              <w:jc w:val="center"/>
              <w:rPr>
                <w:rFonts w:ascii="宋体" w:hAnsi="宋体" w:cs="宋体"/>
                <w:szCs w:val="21"/>
                <w:highlight w:val="none"/>
              </w:rPr>
            </w:pPr>
            <w:r>
              <w:rPr>
                <w:rFonts w:hint="eastAsia" w:ascii="宋体" w:hAnsi="宋体" w:cs="宋体"/>
                <w:szCs w:val="21"/>
                <w:highlight w:val="none"/>
              </w:rPr>
              <w:t>产品资质</w:t>
            </w:r>
          </w:p>
        </w:tc>
        <w:tc>
          <w:tcPr>
            <w:tcW w:w="4200" w:type="pct"/>
            <w:vAlign w:val="center"/>
          </w:tcPr>
          <w:p>
            <w:pPr>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计算机软件著作权登记证书。</w:t>
            </w:r>
          </w:p>
          <w:p>
            <w:pP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2.由具备资格的机构安全认证合格或安全检测符合要求的检验检测报告，或已经获得《计算机信息系统安全专用产品销售许可证》，且在有效期内的。</w:t>
            </w:r>
          </w:p>
        </w:tc>
      </w:tr>
    </w:tbl>
    <w:p>
      <w:pPr>
        <w:keepNext/>
        <w:keepLines/>
        <w:numPr>
          <w:ilvl w:val="0"/>
          <w:numId w:val="7"/>
        </w:numPr>
        <w:spacing w:line="360" w:lineRule="auto"/>
        <w:outlineLvl w:val="1"/>
        <w:rPr>
          <w:rFonts w:ascii="宋体" w:hAnsi="宋体" w:cs="宋体"/>
          <w:b/>
          <w:bCs/>
          <w:szCs w:val="21"/>
          <w:highlight w:val="none"/>
        </w:rPr>
      </w:pPr>
      <w:r>
        <w:rPr>
          <w:rFonts w:hint="eastAsia" w:ascii="宋体" w:hAnsi="宋体" w:cs="宋体"/>
          <w:b/>
          <w:bCs/>
          <w:szCs w:val="21"/>
          <w:highlight w:val="none"/>
        </w:rPr>
        <w:t>数据库加密扩展服务</w:t>
      </w:r>
    </w:p>
    <w:tbl>
      <w:tblPr>
        <w:tblStyle w:val="37"/>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7083"/>
      </w:tblGrid>
      <w:tr>
        <w:tc>
          <w:tcPr>
            <w:tcW w:w="1349" w:type="dxa"/>
            <w:shd w:val="clear" w:color="auto" w:fill="D8D8D8"/>
          </w:tcPr>
          <w:p>
            <w:pPr>
              <w:jc w:val="center"/>
              <w:rPr>
                <w:rFonts w:ascii="宋体" w:hAnsi="宋体" w:cs="宋体"/>
                <w:b/>
                <w:bCs/>
                <w:szCs w:val="21"/>
                <w:highlight w:val="none"/>
              </w:rPr>
            </w:pPr>
            <w:r>
              <w:rPr>
                <w:rFonts w:hint="eastAsia" w:ascii="宋体" w:hAnsi="宋体" w:cs="宋体"/>
                <w:b/>
                <w:bCs/>
                <w:szCs w:val="21"/>
                <w:highlight w:val="none"/>
              </w:rPr>
              <w:t>指标项</w:t>
            </w:r>
          </w:p>
        </w:tc>
        <w:tc>
          <w:tcPr>
            <w:tcW w:w="7083" w:type="dxa"/>
            <w:shd w:val="clear" w:color="auto" w:fill="D8D8D8"/>
          </w:tcPr>
          <w:p>
            <w:pPr>
              <w:jc w:val="center"/>
              <w:rPr>
                <w:rFonts w:ascii="宋体" w:hAnsi="宋体" w:cs="宋体"/>
                <w:b/>
                <w:bCs/>
                <w:szCs w:val="21"/>
                <w:highlight w:val="none"/>
              </w:rPr>
            </w:pPr>
            <w:r>
              <w:rPr>
                <w:rFonts w:hint="eastAsia" w:ascii="宋体" w:hAnsi="宋体" w:cs="宋体"/>
                <w:b/>
                <w:bCs/>
                <w:szCs w:val="21"/>
                <w:highlight w:val="none"/>
              </w:rPr>
              <w:t>指标要求</w:t>
            </w:r>
          </w:p>
        </w:tc>
      </w:tr>
      <w:tr>
        <w:tc>
          <w:tcPr>
            <w:tcW w:w="1349" w:type="dxa"/>
            <w:vAlign w:val="center"/>
          </w:tcPr>
          <w:p>
            <w:pPr>
              <w:jc w:val="center"/>
              <w:rPr>
                <w:rFonts w:ascii="宋体" w:hAnsi="宋体" w:cs="宋体"/>
                <w:szCs w:val="21"/>
                <w:highlight w:val="none"/>
                <w:lang w:eastAsia="zh-Hans"/>
              </w:rPr>
            </w:pPr>
            <w:r>
              <w:rPr>
                <w:rFonts w:hint="eastAsia" w:ascii="宋体" w:hAnsi="宋体" w:cs="宋体"/>
                <w:szCs w:val="21"/>
                <w:highlight w:val="none"/>
              </w:rPr>
              <w:t>配置及</w:t>
            </w:r>
            <w:r>
              <w:rPr>
                <w:rFonts w:hint="eastAsia" w:ascii="宋体" w:hAnsi="宋体" w:cs="宋体"/>
                <w:szCs w:val="21"/>
                <w:highlight w:val="none"/>
                <w:lang w:eastAsia="zh-Hans"/>
              </w:rPr>
              <w:t>性能要求</w:t>
            </w:r>
          </w:p>
        </w:tc>
        <w:tc>
          <w:tcPr>
            <w:tcW w:w="7083" w:type="dxa"/>
            <w:vAlign w:val="center"/>
          </w:tcPr>
          <w:p>
            <w:pPr>
              <w:rPr>
                <w:rFonts w:ascii="宋体" w:hAnsi="宋体" w:cs="宋体"/>
                <w:szCs w:val="21"/>
                <w:highlight w:val="none"/>
              </w:rPr>
            </w:pPr>
            <w:r>
              <w:rPr>
                <w:rFonts w:hint="eastAsia" w:ascii="宋体" w:hAnsi="宋体" w:cs="宋体"/>
                <w:b/>
                <w:bCs/>
                <w:szCs w:val="21"/>
                <w:highlight w:val="none"/>
              </w:rPr>
              <w:t>▲</w:t>
            </w:r>
            <w:r>
              <w:rPr>
                <w:rFonts w:hint="eastAsia" w:ascii="宋体" w:hAnsi="宋体" w:cs="宋体"/>
                <w:szCs w:val="21"/>
                <w:highlight w:val="none"/>
              </w:rPr>
              <w:t>单机加密速率</w:t>
            </w:r>
            <w:r>
              <w:rPr>
                <w:rFonts w:hint="eastAsia" w:ascii="宋体" w:hAnsi="宋体" w:cs="宋体"/>
                <w:szCs w:val="21"/>
                <w:highlight w:val="none"/>
                <w:lang w:val="en-US" w:eastAsia="zh-CN"/>
              </w:rPr>
              <w:t>不少于</w:t>
            </w:r>
            <w:r>
              <w:rPr>
                <w:rFonts w:hint="eastAsia" w:ascii="宋体" w:hAnsi="宋体" w:cs="宋体"/>
                <w:szCs w:val="21"/>
                <w:highlight w:val="none"/>
              </w:rPr>
              <w:t>25000单元格/秒、SM4最大加密速率</w:t>
            </w:r>
            <w:r>
              <w:rPr>
                <w:rFonts w:hint="eastAsia" w:ascii="宋体" w:hAnsi="宋体" w:cs="宋体"/>
                <w:szCs w:val="21"/>
                <w:highlight w:val="none"/>
                <w:lang w:val="en-US" w:eastAsia="zh-CN"/>
              </w:rPr>
              <w:t>不低于</w:t>
            </w:r>
            <w:r>
              <w:rPr>
                <w:rFonts w:hint="eastAsia" w:ascii="宋体" w:hAnsi="宋体" w:cs="宋体"/>
                <w:szCs w:val="21"/>
                <w:highlight w:val="none"/>
              </w:rPr>
              <w:t>4Gbps、最大并发连接数</w:t>
            </w:r>
            <w:r>
              <w:rPr>
                <w:rFonts w:hint="eastAsia" w:ascii="宋体" w:hAnsi="宋体" w:cs="宋体"/>
                <w:szCs w:val="21"/>
                <w:highlight w:val="none"/>
                <w:lang w:val="en-US" w:eastAsia="zh-CN"/>
              </w:rPr>
              <w:t>不少于</w:t>
            </w:r>
            <w:r>
              <w:rPr>
                <w:rFonts w:hint="eastAsia" w:ascii="宋体" w:hAnsi="宋体" w:cs="宋体"/>
                <w:szCs w:val="21"/>
                <w:highlight w:val="none"/>
              </w:rPr>
              <w:t>3000；最</w:t>
            </w:r>
            <w:r>
              <w:rPr>
                <w:rFonts w:hint="eastAsia" w:ascii="宋体" w:hAnsi="宋体" w:cs="宋体"/>
                <w:szCs w:val="21"/>
                <w:highlight w:val="none"/>
                <w:lang w:eastAsia="zh-CN"/>
              </w:rPr>
              <w:t>小同时</w:t>
            </w:r>
            <w:r>
              <w:rPr>
                <w:rFonts w:hint="eastAsia" w:ascii="宋体" w:hAnsi="宋体" w:cs="宋体"/>
                <w:szCs w:val="21"/>
                <w:highlight w:val="none"/>
              </w:rPr>
              <w:t>百万级表加密；数据库实例</w:t>
            </w:r>
            <w:r>
              <w:rPr>
                <w:rFonts w:hint="eastAsia" w:ascii="宋体" w:hAnsi="宋体" w:cs="宋体"/>
                <w:szCs w:val="21"/>
                <w:highlight w:val="none"/>
                <w:lang w:val="en-US" w:eastAsia="zh-CN"/>
              </w:rPr>
              <w:t>不少于</w:t>
            </w:r>
            <w:r>
              <w:rPr>
                <w:rFonts w:hint="eastAsia" w:ascii="宋体" w:hAnsi="宋体" w:cs="宋体"/>
                <w:szCs w:val="21"/>
                <w:highlight w:val="none"/>
              </w:rPr>
              <w:t>3个、最</w:t>
            </w:r>
            <w:r>
              <w:rPr>
                <w:rFonts w:hint="eastAsia" w:ascii="宋体" w:hAnsi="宋体" w:cs="宋体"/>
                <w:szCs w:val="21"/>
                <w:highlight w:val="none"/>
                <w:lang w:eastAsia="zh-CN"/>
              </w:rPr>
              <w:t>小同时</w:t>
            </w:r>
            <w:r>
              <w:rPr>
                <w:rFonts w:hint="eastAsia" w:ascii="宋体" w:hAnsi="宋体" w:cs="宋体"/>
                <w:szCs w:val="21"/>
                <w:highlight w:val="none"/>
              </w:rPr>
              <w:t>加密列数</w:t>
            </w:r>
            <w:r>
              <w:rPr>
                <w:rFonts w:hint="eastAsia" w:ascii="宋体" w:hAnsi="宋体" w:cs="宋体"/>
                <w:szCs w:val="21"/>
                <w:highlight w:val="none"/>
                <w:lang w:val="en-US" w:eastAsia="zh-CN"/>
              </w:rPr>
              <w:t>不少于</w:t>
            </w:r>
            <w:r>
              <w:rPr>
                <w:rFonts w:hint="eastAsia" w:ascii="宋体" w:hAnsi="宋体" w:cs="宋体"/>
                <w:szCs w:val="21"/>
                <w:highlight w:val="none"/>
              </w:rPr>
              <w:t>60列。</w:t>
            </w:r>
          </w:p>
        </w:tc>
      </w:tr>
      <w:tr>
        <w:trPr>
          <w:trHeight w:val="90" w:hRule="atLeast"/>
        </w:trPr>
        <w:tc>
          <w:tcPr>
            <w:tcW w:w="1349" w:type="dxa"/>
            <w:vAlign w:val="center"/>
          </w:tcPr>
          <w:p>
            <w:pPr>
              <w:jc w:val="center"/>
              <w:rPr>
                <w:rFonts w:ascii="宋体" w:hAnsi="宋体" w:cs="宋体"/>
                <w:szCs w:val="21"/>
                <w:highlight w:val="none"/>
                <w:lang w:eastAsia="zh-Hans"/>
              </w:rPr>
            </w:pPr>
            <w:r>
              <w:rPr>
                <w:rFonts w:hint="eastAsia" w:ascii="宋体" w:hAnsi="宋体" w:cs="宋体"/>
                <w:szCs w:val="21"/>
                <w:highlight w:val="none"/>
                <w:lang w:eastAsia="zh-Hans"/>
              </w:rPr>
              <w:t>高可用</w:t>
            </w:r>
          </w:p>
        </w:tc>
        <w:tc>
          <w:tcPr>
            <w:tcW w:w="7083" w:type="dxa"/>
            <w:vAlign w:val="center"/>
          </w:tcPr>
          <w:p>
            <w:pPr>
              <w:rPr>
                <w:rFonts w:ascii="宋体" w:hAnsi="宋体" w:cs="宋体"/>
                <w:kern w:val="0"/>
                <w:szCs w:val="21"/>
                <w:highlight w:val="none"/>
              </w:rPr>
            </w:pPr>
            <w:r>
              <w:rPr>
                <w:rFonts w:hint="eastAsia" w:ascii="宋体" w:hAnsi="宋体" w:cs="宋体"/>
                <w:b/>
                <w:bCs/>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与现有加密设备实现</w:t>
            </w:r>
            <w:r>
              <w:rPr>
                <w:rFonts w:hint="eastAsia" w:ascii="宋体" w:hAnsi="宋体" w:cs="宋体"/>
                <w:szCs w:val="21"/>
                <w:highlight w:val="none"/>
                <w:lang w:eastAsia="zh-Hans"/>
              </w:rPr>
              <w:t>HA高可用方式部署</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。支持主、从互备，防止主机故障、网络故障、程序故障引起的业务损失</w:t>
            </w:r>
            <w:r>
              <w:rPr>
                <w:rFonts w:hint="eastAsia" w:ascii="宋体" w:hAnsi="宋体" w:cs="宋体"/>
                <w:szCs w:val="21"/>
                <w:highlight w:val="none"/>
              </w:rPr>
              <w:t>；双机设备数据库实例数各扩展</w:t>
            </w:r>
            <w:r>
              <w:rPr>
                <w:rFonts w:hint="eastAsia" w:ascii="宋体" w:hAnsi="宋体" w:cs="宋体"/>
                <w:szCs w:val="21"/>
                <w:highlight w:val="none"/>
                <w:lang w:val="en-US" w:eastAsia="zh-CN"/>
              </w:rPr>
              <w:t>不少于</w:t>
            </w:r>
            <w:r>
              <w:rPr>
                <w:rFonts w:hint="eastAsia" w:ascii="宋体" w:hAnsi="宋体" w:cs="宋体"/>
                <w:szCs w:val="21"/>
                <w:highlight w:val="none"/>
              </w:rPr>
              <w:t>3个。</w:t>
            </w:r>
          </w:p>
        </w:tc>
      </w:tr>
      <w:tr>
        <w:tc>
          <w:tcPr>
            <w:tcW w:w="1349" w:type="dxa"/>
            <w:vAlign w:val="center"/>
          </w:tcPr>
          <w:p>
            <w:pPr>
              <w:jc w:val="center"/>
              <w:rPr>
                <w:rFonts w:ascii="宋体" w:hAnsi="宋体" w:cs="宋体"/>
                <w:szCs w:val="21"/>
                <w:highlight w:val="none"/>
                <w:lang w:eastAsia="zh-Hans"/>
              </w:rPr>
            </w:pPr>
            <w:r>
              <w:rPr>
                <w:rFonts w:hint="eastAsia" w:ascii="宋体" w:hAnsi="宋体" w:cs="宋体"/>
                <w:szCs w:val="21"/>
                <w:highlight w:val="none"/>
              </w:rPr>
              <w:t>单</w:t>
            </w:r>
            <w:r>
              <w:rPr>
                <w:rFonts w:hint="eastAsia" w:ascii="宋体" w:hAnsi="宋体" w:cs="宋体"/>
                <w:szCs w:val="21"/>
                <w:highlight w:val="none"/>
                <w:lang w:eastAsia="zh-Hans"/>
              </w:rPr>
              <w:t>机</w:t>
            </w:r>
            <w:r>
              <w:rPr>
                <w:rFonts w:hint="eastAsia" w:ascii="宋体" w:hAnsi="宋体" w:cs="宋体"/>
                <w:szCs w:val="21"/>
                <w:highlight w:val="none"/>
              </w:rPr>
              <w:t>bypass</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单机bypass功能，当加密网关故障时，可通过bypass插件直接从应用侧加解密数据，绕过加密网关直接访问数据，保证业务访问正常。</w:t>
            </w:r>
          </w:p>
        </w:tc>
      </w:tr>
      <w:tr>
        <w:tc>
          <w:tcPr>
            <w:tcW w:w="1349" w:type="dxa"/>
            <w:vAlign w:val="center"/>
          </w:tcPr>
          <w:p>
            <w:pPr>
              <w:jc w:val="center"/>
              <w:rPr>
                <w:rFonts w:ascii="宋体" w:hAnsi="宋体" w:cs="宋体"/>
                <w:szCs w:val="21"/>
                <w:highlight w:val="none"/>
                <w:lang w:eastAsia="zh-Hans"/>
              </w:rPr>
            </w:pPr>
            <w:r>
              <w:rPr>
                <w:rFonts w:hint="eastAsia" w:ascii="宋体" w:hAnsi="宋体" w:cs="宋体"/>
                <w:szCs w:val="21"/>
                <w:highlight w:val="none"/>
                <w:lang w:eastAsia="zh-Hans"/>
              </w:rPr>
              <w:t>操作系统</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Hans"/>
              </w:rPr>
              <w:t>支持麒麟、UOS等</w:t>
            </w:r>
            <w:r>
              <w:rPr>
                <w:rFonts w:hint="eastAsia" w:ascii="宋体" w:hAnsi="宋体" w:cs="宋体"/>
                <w:szCs w:val="21"/>
                <w:highlight w:val="none"/>
                <w:lang w:eastAsia="zh-CN"/>
              </w:rPr>
              <w:t>所有</w:t>
            </w:r>
            <w:r>
              <w:rPr>
                <w:rFonts w:hint="eastAsia" w:ascii="宋体" w:hAnsi="宋体" w:cs="宋体"/>
                <w:szCs w:val="21"/>
                <w:highlight w:val="none"/>
                <w:lang w:eastAsia="zh-Hans"/>
              </w:rPr>
              <w:t>国产化操作系统，支持鲲鹏、飞腾等</w:t>
            </w:r>
            <w:r>
              <w:rPr>
                <w:rFonts w:hint="eastAsia" w:ascii="宋体" w:hAnsi="宋体" w:cs="宋体"/>
                <w:szCs w:val="21"/>
                <w:highlight w:val="none"/>
                <w:lang w:eastAsia="zh-CN"/>
              </w:rPr>
              <w:t>所有</w:t>
            </w:r>
            <w:r>
              <w:rPr>
                <w:rFonts w:hint="eastAsia" w:ascii="宋体" w:hAnsi="宋体" w:cs="宋体"/>
                <w:szCs w:val="21"/>
                <w:highlight w:val="none"/>
                <w:lang w:eastAsia="zh-Hans"/>
              </w:rPr>
              <w:t>国产处理器芯片。</w:t>
            </w:r>
          </w:p>
        </w:tc>
      </w:tr>
      <w:tr>
        <w:tc>
          <w:tcPr>
            <w:tcW w:w="1349" w:type="dxa"/>
            <w:vAlign w:val="center"/>
          </w:tcPr>
          <w:p>
            <w:pPr>
              <w:jc w:val="center"/>
              <w:rPr>
                <w:rFonts w:ascii="宋体" w:hAnsi="宋体" w:cs="宋体"/>
                <w:szCs w:val="21"/>
                <w:highlight w:val="none"/>
                <w:lang w:eastAsia="zh-Hans"/>
              </w:rPr>
            </w:pPr>
            <w:r>
              <w:rPr>
                <w:rFonts w:hint="eastAsia" w:ascii="宋体" w:hAnsi="宋体" w:cs="宋体"/>
                <w:szCs w:val="21"/>
                <w:highlight w:val="none"/>
                <w:lang w:eastAsia="zh-Hans"/>
              </w:rPr>
              <w:t>国密浏览器</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Hans"/>
              </w:rPr>
              <w:t>支持使用国密浏览器满足密评的要求。</w:t>
            </w:r>
          </w:p>
        </w:tc>
      </w:tr>
      <w:tr>
        <w:trPr>
          <w:trHeight w:val="90" w:hRule="atLeast"/>
        </w:trPr>
        <w:tc>
          <w:tcPr>
            <w:tcW w:w="1349" w:type="dxa"/>
            <w:vAlign w:val="center"/>
          </w:tcPr>
          <w:p>
            <w:pPr>
              <w:jc w:val="center"/>
              <w:rPr>
                <w:rFonts w:ascii="宋体" w:hAnsi="宋体" w:cs="宋体"/>
                <w:szCs w:val="21"/>
                <w:highlight w:val="none"/>
                <w:lang w:eastAsia="zh-Hans"/>
              </w:rPr>
            </w:pPr>
            <w:r>
              <w:rPr>
                <w:rFonts w:hint="eastAsia" w:ascii="宋体" w:hAnsi="宋体" w:cs="宋体"/>
                <w:szCs w:val="21"/>
                <w:highlight w:val="none"/>
              </w:rPr>
              <w:t>数据库兼容性支持</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Hans"/>
              </w:rPr>
              <w:t>支持MySQL、Oracle、达梦、Kingbase、PostgreSQL、SQLServer、HotDB、TDSQL、TBASE、MariaDB</w:t>
            </w:r>
            <w:r>
              <w:rPr>
                <w:rFonts w:hint="eastAsia" w:ascii="宋体" w:hAnsi="宋体" w:cs="宋体"/>
                <w:szCs w:val="21"/>
                <w:highlight w:val="none"/>
                <w:lang w:val="en-US" w:eastAsia="zh-CN"/>
              </w:rPr>
              <w:t>等</w:t>
            </w:r>
            <w:r>
              <w:rPr>
                <w:rFonts w:hint="eastAsia" w:ascii="宋体" w:hAnsi="宋体" w:cs="宋体"/>
                <w:szCs w:val="21"/>
                <w:highlight w:val="none"/>
                <w:lang w:eastAsia="zh-Hans"/>
              </w:rPr>
              <w:t>数据库类型的加密。</w:t>
            </w:r>
          </w:p>
        </w:tc>
      </w:tr>
      <w:tr>
        <w:trPr>
          <w:trHeight w:val="90" w:hRule="atLeast"/>
        </w:trPr>
        <w:tc>
          <w:tcPr>
            <w:tcW w:w="1349" w:type="dxa"/>
            <w:vAlign w:val="center"/>
          </w:tcPr>
          <w:p>
            <w:pPr>
              <w:jc w:val="center"/>
              <w:rPr>
                <w:rFonts w:ascii="宋体" w:hAnsi="宋体" w:cs="宋体"/>
                <w:szCs w:val="21"/>
                <w:highlight w:val="none"/>
                <w:lang w:eastAsia="zh-Hans"/>
              </w:rPr>
            </w:pPr>
            <w:r>
              <w:rPr>
                <w:rFonts w:hint="eastAsia" w:ascii="宋体" w:hAnsi="宋体" w:cs="宋体"/>
                <w:szCs w:val="21"/>
                <w:highlight w:val="none"/>
                <w:lang w:eastAsia="zh-Hans"/>
              </w:rPr>
              <w:t>读写分离</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在数据库的读写分离场景下数据加密</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p>
        </w:tc>
      </w:tr>
      <w:tr>
        <w:trPr>
          <w:trHeight w:val="90" w:hRule="atLeast"/>
        </w:trPr>
        <w:tc>
          <w:tcPr>
            <w:tcW w:w="1349" w:type="dxa"/>
            <w:vAlign w:val="center"/>
          </w:tcPr>
          <w:p>
            <w:pPr>
              <w:jc w:val="center"/>
              <w:rPr>
                <w:rFonts w:ascii="宋体" w:hAnsi="宋体" w:cs="宋体"/>
                <w:szCs w:val="21"/>
                <w:highlight w:val="none"/>
                <w:lang w:eastAsia="zh-Hans"/>
              </w:rPr>
            </w:pPr>
            <w:r>
              <w:rPr>
                <w:rFonts w:hint="eastAsia" w:ascii="宋体" w:hAnsi="宋体" w:cs="宋体"/>
                <w:szCs w:val="21"/>
                <w:highlight w:val="none"/>
              </w:rPr>
              <w:t>数据库加密方式</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应用免改造、数据库免改造的方式实现字段级别的数据加密</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p>
        </w:tc>
      </w:tr>
      <w:tr>
        <w:trPr>
          <w:trHeight w:val="596" w:hRule="atLeast"/>
        </w:trPr>
        <w:tc>
          <w:tcPr>
            <w:tcW w:w="1349" w:type="dxa"/>
            <w:vAlign w:val="center"/>
          </w:tcPr>
          <w:p>
            <w:pPr>
              <w:jc w:val="center"/>
              <w:rPr>
                <w:rFonts w:ascii="宋体" w:hAnsi="宋体" w:cs="宋体"/>
                <w:szCs w:val="21"/>
                <w:highlight w:val="none"/>
                <w:lang w:eastAsia="zh-Hans"/>
              </w:rPr>
            </w:pPr>
            <w:r>
              <w:rPr>
                <w:rFonts w:hint="eastAsia" w:ascii="宋体" w:hAnsi="宋体" w:cs="宋体"/>
                <w:szCs w:val="21"/>
                <w:highlight w:val="none"/>
              </w:rPr>
              <w:t>闲时加密</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数据源主机的指标监控</w:t>
            </w:r>
            <w:r>
              <w:rPr>
                <w:rFonts w:hint="eastAsia" w:ascii="宋体" w:hAnsi="宋体" w:cs="宋体"/>
                <w:szCs w:val="21"/>
                <w:highlight w:val="none"/>
                <w:lang w:val="en-US" w:eastAsia="zh-CN"/>
              </w:rPr>
              <w:t>能力</w:t>
            </w:r>
            <w:r>
              <w:rPr>
                <w:rFonts w:hint="eastAsia" w:ascii="宋体" w:hAnsi="宋体" w:cs="宋体"/>
                <w:szCs w:val="21"/>
                <w:highlight w:val="none"/>
                <w:lang w:eastAsia="zh-Hans"/>
              </w:rPr>
              <w:t>，并进行实时展现。超过阈值时降低加密系统对数据源主机的资源占用，实现“闲时加密”。</w:t>
            </w:r>
          </w:p>
        </w:tc>
      </w:tr>
      <w:tr>
        <w:trPr>
          <w:trHeight w:val="90" w:hRule="atLeast"/>
        </w:trPr>
        <w:tc>
          <w:tcPr>
            <w:tcW w:w="1349" w:type="dxa"/>
            <w:vAlign w:val="center"/>
          </w:tcPr>
          <w:p>
            <w:pPr>
              <w:jc w:val="center"/>
              <w:rPr>
                <w:rFonts w:ascii="宋体" w:hAnsi="宋体" w:cs="宋体"/>
                <w:szCs w:val="21"/>
                <w:highlight w:val="none"/>
              </w:rPr>
            </w:pPr>
            <w:r>
              <w:rPr>
                <w:rFonts w:hint="eastAsia" w:ascii="宋体" w:hAnsi="宋体" w:cs="宋体"/>
                <w:szCs w:val="21"/>
                <w:highlight w:val="none"/>
              </w:rPr>
              <w:t>存量加密</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存量数据加解密</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p>
        </w:tc>
      </w:tr>
      <w:tr>
        <w:trPr>
          <w:trHeight w:val="90" w:hRule="atLeast"/>
        </w:trPr>
        <w:tc>
          <w:tcPr>
            <w:tcW w:w="1349" w:type="dxa"/>
            <w:vAlign w:val="center"/>
          </w:tcPr>
          <w:p>
            <w:pPr>
              <w:jc w:val="center"/>
              <w:rPr>
                <w:rFonts w:ascii="宋体" w:hAnsi="宋体" w:cs="宋体"/>
                <w:szCs w:val="21"/>
                <w:highlight w:val="none"/>
              </w:rPr>
            </w:pPr>
            <w:r>
              <w:rPr>
                <w:rFonts w:hint="eastAsia" w:ascii="宋体" w:hAnsi="宋体" w:cs="宋体"/>
                <w:szCs w:val="21"/>
                <w:highlight w:val="none"/>
              </w:rPr>
              <w:t>实时加密</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实时数据加解密</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p>
        </w:tc>
      </w:tr>
      <w:tr>
        <w:trPr>
          <w:trHeight w:val="90" w:hRule="atLeast"/>
        </w:trPr>
        <w:tc>
          <w:tcPr>
            <w:tcW w:w="1349" w:type="dxa"/>
            <w:vMerge w:val="restart"/>
            <w:vAlign w:val="center"/>
          </w:tcPr>
          <w:p>
            <w:pPr>
              <w:jc w:val="center"/>
              <w:rPr>
                <w:rFonts w:ascii="宋体" w:hAnsi="宋体" w:cs="宋体"/>
                <w:szCs w:val="21"/>
                <w:highlight w:val="none"/>
                <w:lang w:eastAsia="zh-Hans"/>
              </w:rPr>
            </w:pPr>
            <w:r>
              <w:rPr>
                <w:rFonts w:hint="eastAsia" w:ascii="宋体" w:hAnsi="宋体" w:cs="宋体"/>
                <w:szCs w:val="21"/>
                <w:highlight w:val="none"/>
                <w:lang w:eastAsia="zh-Hans"/>
              </w:rPr>
              <w:t>加密算法和完整性校验算法</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rPr>
              <w:t>▲配置使用SM4国密算法和AES国际算法进行加密的能力 ，支持SM2证书认证。</w:t>
            </w:r>
          </w:p>
        </w:tc>
      </w:tr>
      <w:tr>
        <w:tc>
          <w:tcPr>
            <w:tcW w:w="1349" w:type="dxa"/>
            <w:vMerge w:val="continue"/>
            <w:vAlign w:val="center"/>
          </w:tcPr>
          <w:p>
            <w:pPr>
              <w:jc w:val="center"/>
              <w:rPr>
                <w:rFonts w:ascii="宋体" w:hAnsi="宋体" w:cs="宋体"/>
                <w:szCs w:val="21"/>
                <w:highlight w:val="none"/>
                <w:lang w:eastAsia="zh-Hans"/>
              </w:rPr>
            </w:pP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SM3-HMAC算法保证加密数据在解密前的完整性</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，识别加密数据是否被篡改。</w:t>
            </w:r>
          </w:p>
        </w:tc>
      </w:tr>
      <w:tr>
        <w:tc>
          <w:tcPr>
            <w:tcW w:w="1349" w:type="dxa"/>
            <w:vAlign w:val="center"/>
          </w:tcPr>
          <w:p>
            <w:pPr>
              <w:widowControl/>
              <w:jc w:val="center"/>
              <w:textAlignment w:val="center"/>
              <w:rPr>
                <w:rFonts w:ascii="宋体" w:hAnsi="宋体" w:cs="宋体"/>
                <w:szCs w:val="21"/>
                <w:highlight w:val="none"/>
                <w:lang w:eastAsia="zh-Hans"/>
              </w:rPr>
            </w:pPr>
            <w:r>
              <w:rPr>
                <w:rFonts w:hint="eastAsia" w:ascii="宋体" w:hAnsi="宋体" w:cs="宋体"/>
                <w:kern w:val="0"/>
                <w:szCs w:val="21"/>
                <w:highlight w:val="none"/>
                <w:lang w:bidi="ar"/>
              </w:rPr>
              <w:t>任务管理</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Hans"/>
              </w:rPr>
              <w:t>提供加密解密队列任务管理，实现对加密解密队列任务的执行步骤可控化管理。</w:t>
            </w:r>
          </w:p>
        </w:tc>
      </w:tr>
      <w:tr>
        <w:tc>
          <w:tcPr>
            <w:tcW w:w="1349" w:type="dxa"/>
            <w:vAlign w:val="center"/>
          </w:tcPr>
          <w:p>
            <w:pPr>
              <w:widowControl/>
              <w:jc w:val="center"/>
              <w:textAlignment w:val="top"/>
              <w:rPr>
                <w:rFonts w:ascii="宋体" w:hAnsi="宋体" w:cs="宋体"/>
                <w:kern w:val="0"/>
                <w:szCs w:val="21"/>
                <w:highlight w:val="none"/>
                <w:lang w:bidi="ar"/>
              </w:rPr>
            </w:pPr>
            <w:r>
              <w:rPr>
                <w:rFonts w:hint="eastAsia" w:ascii="宋体" w:hAnsi="宋体" w:cs="宋体"/>
                <w:kern w:val="0"/>
                <w:szCs w:val="21"/>
                <w:highlight w:val="none"/>
                <w:lang w:bidi="ar"/>
              </w:rPr>
              <w:t>断点加密</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加密任务的断点加密</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，可以在数据表加密任务的中断点处继续执行加密任务。</w:t>
            </w:r>
          </w:p>
        </w:tc>
      </w:tr>
      <w:tr>
        <w:tc>
          <w:tcPr>
            <w:tcW w:w="1349" w:type="dxa"/>
            <w:vAlign w:val="center"/>
          </w:tcPr>
          <w:p>
            <w:pPr>
              <w:widowControl/>
              <w:jc w:val="center"/>
              <w:textAlignment w:val="center"/>
              <w:rPr>
                <w:rFonts w:ascii="宋体" w:hAnsi="宋体" w:cs="宋体"/>
                <w:kern w:val="0"/>
                <w:szCs w:val="21"/>
                <w:highlight w:val="none"/>
                <w:lang w:eastAsia="zh-Hans" w:bidi="ar"/>
              </w:rPr>
            </w:pPr>
            <w:r>
              <w:rPr>
                <w:rFonts w:hint="eastAsia" w:ascii="宋体" w:hAnsi="宋体" w:cs="宋体"/>
                <w:kern w:val="0"/>
                <w:szCs w:val="21"/>
                <w:highlight w:val="none"/>
                <w:lang w:bidi="ar"/>
              </w:rPr>
              <w:t>用户授权</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独立于数据库以外的用户访问控制</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，未经数据库加密系统授权的数据库用户不能读取、插入、修改、删除敏感数据。</w:t>
            </w:r>
          </w:p>
        </w:tc>
      </w:tr>
      <w:tr>
        <w:tc>
          <w:tcPr>
            <w:tcW w:w="1349" w:type="dxa"/>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客户端授权</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独立于数据库以外的客户端访问控制</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，数据库指定用户、到期时间及多个ip段授权，防止非法访问数据库。</w:t>
            </w:r>
          </w:p>
        </w:tc>
      </w:tr>
      <w:tr>
        <w:tc>
          <w:tcPr>
            <w:tcW w:w="1349" w:type="dxa"/>
            <w:vAlign w:val="center"/>
          </w:tcPr>
          <w:p>
            <w:pPr>
              <w:widowControl/>
              <w:jc w:val="center"/>
              <w:textAlignment w:val="center"/>
              <w:rPr>
                <w:rFonts w:ascii="宋体" w:hAnsi="宋体" w:cs="宋体"/>
                <w:kern w:val="0"/>
                <w:szCs w:val="21"/>
                <w:highlight w:val="none"/>
                <w:lang w:eastAsia="zh-Hans" w:bidi="ar"/>
              </w:rPr>
            </w:pPr>
            <w:r>
              <w:rPr>
                <w:rFonts w:hint="eastAsia" w:ascii="宋体" w:hAnsi="宋体" w:cs="宋体"/>
                <w:kern w:val="0"/>
                <w:szCs w:val="21"/>
                <w:highlight w:val="none"/>
                <w:lang w:eastAsia="zh-Hans" w:bidi="ar"/>
              </w:rPr>
              <w:t>密文索引</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创建密文索引</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，提升数据加密后的查询效率。</w:t>
            </w:r>
          </w:p>
        </w:tc>
      </w:tr>
      <w:tr>
        <w:trPr>
          <w:trHeight w:val="90" w:hRule="atLeast"/>
        </w:trPr>
        <w:tc>
          <w:tcPr>
            <w:tcW w:w="1349" w:type="dxa"/>
            <w:vAlign w:val="center"/>
          </w:tcPr>
          <w:p>
            <w:pPr>
              <w:widowControl/>
              <w:jc w:val="center"/>
              <w:textAlignment w:val="center"/>
              <w:rPr>
                <w:rFonts w:ascii="宋体" w:hAnsi="宋体" w:cs="宋体"/>
                <w:kern w:val="0"/>
                <w:szCs w:val="21"/>
                <w:highlight w:val="none"/>
                <w:lang w:eastAsia="zh-Hans" w:bidi="ar"/>
              </w:rPr>
            </w:pPr>
            <w:r>
              <w:rPr>
                <w:rFonts w:hint="eastAsia" w:ascii="宋体" w:hAnsi="宋体" w:cs="宋体"/>
                <w:kern w:val="0"/>
                <w:szCs w:val="21"/>
                <w:highlight w:val="none"/>
                <w:lang w:eastAsia="zh-Hans" w:bidi="ar"/>
              </w:rPr>
              <w:t>密文模糊查询</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密文列数据进行密文模糊查询</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p>
        </w:tc>
      </w:tr>
      <w:tr>
        <w:tc>
          <w:tcPr>
            <w:tcW w:w="1349" w:type="dxa"/>
            <w:vAlign w:val="center"/>
          </w:tcPr>
          <w:p>
            <w:pPr>
              <w:widowControl/>
              <w:jc w:val="center"/>
              <w:textAlignment w:val="center"/>
              <w:rPr>
                <w:rFonts w:ascii="宋体" w:hAnsi="宋体" w:cs="宋体"/>
                <w:kern w:val="0"/>
                <w:szCs w:val="21"/>
                <w:highlight w:val="none"/>
                <w:lang w:eastAsia="zh-Hans" w:bidi="ar"/>
              </w:rPr>
            </w:pPr>
            <w:r>
              <w:rPr>
                <w:rFonts w:hint="eastAsia" w:ascii="宋体" w:hAnsi="宋体" w:cs="宋体"/>
                <w:kern w:val="0"/>
                <w:szCs w:val="21"/>
                <w:highlight w:val="none"/>
                <w:lang w:eastAsia="zh-Hans" w:bidi="ar"/>
              </w:rPr>
              <w:t>密文管理</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自定义设置无权限访问密文的返回值</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r>
              <w:rPr>
                <w:rFonts w:hint="eastAsia" w:ascii="宋体" w:hAnsi="宋体" w:cs="宋体"/>
                <w:szCs w:val="21"/>
                <w:highlight w:val="none"/>
                <w:lang w:eastAsia="zh-CN"/>
              </w:rPr>
              <w:t>配置</w:t>
            </w:r>
            <w:r>
              <w:rPr>
                <w:rFonts w:hint="eastAsia" w:ascii="宋体" w:hAnsi="宋体" w:cs="宋体"/>
                <w:szCs w:val="21"/>
                <w:highlight w:val="none"/>
                <w:lang w:eastAsia="zh-Hans"/>
              </w:rPr>
              <w:t>设置为密文返回、空值返回、指定值返回</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p>
        </w:tc>
      </w:tr>
      <w:tr>
        <w:tc>
          <w:tcPr>
            <w:tcW w:w="1349" w:type="dxa"/>
            <w:vAlign w:val="center"/>
          </w:tcPr>
          <w:p>
            <w:pPr>
              <w:widowControl/>
              <w:jc w:val="center"/>
              <w:textAlignment w:val="center"/>
              <w:rPr>
                <w:rFonts w:ascii="宋体" w:hAnsi="宋体" w:cs="宋体"/>
                <w:kern w:val="0"/>
                <w:szCs w:val="21"/>
                <w:highlight w:val="none"/>
                <w:lang w:eastAsia="zh-Hans" w:bidi="ar"/>
              </w:rPr>
            </w:pPr>
            <w:r>
              <w:rPr>
                <w:rFonts w:hint="eastAsia" w:ascii="宋体" w:hAnsi="宋体" w:cs="宋体"/>
                <w:kern w:val="0"/>
                <w:szCs w:val="21"/>
                <w:highlight w:val="none"/>
                <w:lang w:eastAsia="zh-Hans" w:bidi="ar"/>
              </w:rPr>
              <w:t>复杂查询</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多表联合查询，子查询，嵌套查询，条件查询，组合查询，分组查询等复杂查询语句</w:t>
            </w:r>
            <w:r>
              <w:rPr>
                <w:rFonts w:hint="eastAsia" w:ascii="宋体" w:hAnsi="宋体" w:cs="宋体"/>
                <w:szCs w:val="21"/>
                <w:highlight w:val="none"/>
                <w:lang w:val="en-US" w:eastAsia="zh-CN"/>
              </w:rPr>
              <w:t>等能力</w:t>
            </w:r>
            <w:r>
              <w:rPr>
                <w:rFonts w:hint="eastAsia" w:ascii="宋体" w:hAnsi="宋体" w:cs="宋体"/>
                <w:szCs w:val="21"/>
                <w:highlight w:val="none"/>
                <w:lang w:eastAsia="zh-Hans"/>
              </w:rPr>
              <w:t>。</w:t>
            </w:r>
          </w:p>
        </w:tc>
      </w:tr>
      <w:tr>
        <w:tc>
          <w:tcPr>
            <w:tcW w:w="1349" w:type="dxa"/>
            <w:vAlign w:val="center"/>
          </w:tcPr>
          <w:p>
            <w:pPr>
              <w:widowControl/>
              <w:jc w:val="center"/>
              <w:textAlignment w:val="top"/>
              <w:rPr>
                <w:rFonts w:ascii="宋体" w:hAnsi="宋体" w:cs="宋体"/>
                <w:kern w:val="0"/>
                <w:szCs w:val="21"/>
                <w:highlight w:val="none"/>
                <w:lang w:bidi="ar"/>
              </w:rPr>
            </w:pPr>
            <w:r>
              <w:rPr>
                <w:rFonts w:hint="eastAsia" w:ascii="宋体" w:hAnsi="宋体" w:cs="宋体"/>
                <w:kern w:val="0"/>
                <w:szCs w:val="21"/>
                <w:highlight w:val="none"/>
                <w:lang w:bidi="ar"/>
              </w:rPr>
              <w:t>行业模版</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根据业务类型组合多种数据类型定制行业模板</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，如企事业单位敏感信息等。</w:t>
            </w:r>
          </w:p>
        </w:tc>
      </w:tr>
      <w:tr>
        <w:tc>
          <w:tcPr>
            <w:tcW w:w="1349" w:type="dxa"/>
            <w:vAlign w:val="center"/>
          </w:tcPr>
          <w:p>
            <w:pPr>
              <w:widowControl/>
              <w:jc w:val="center"/>
              <w:textAlignment w:val="top"/>
              <w:rPr>
                <w:rFonts w:ascii="宋体" w:hAnsi="宋体" w:cs="宋体"/>
                <w:kern w:val="0"/>
                <w:szCs w:val="21"/>
                <w:highlight w:val="none"/>
                <w:lang w:bidi="ar"/>
              </w:rPr>
            </w:pPr>
            <w:r>
              <w:rPr>
                <w:rFonts w:hint="eastAsia" w:ascii="宋体" w:hAnsi="宋体" w:cs="宋体"/>
                <w:kern w:val="0"/>
                <w:szCs w:val="21"/>
                <w:highlight w:val="none"/>
                <w:lang w:bidi="ar"/>
              </w:rPr>
              <w:t>业务数据识别</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val="en-US" w:eastAsia="zh-CN"/>
              </w:rPr>
              <w:t>配置帮助业务识别数据敏感字段和可加密字段的能力；支持扫描识别数据库姓名、地址、银行卡号、身份证号、车牌号等敏感数据及显示命中率。</w:t>
            </w:r>
          </w:p>
        </w:tc>
      </w:tr>
      <w:tr>
        <w:tc>
          <w:tcPr>
            <w:tcW w:w="1349" w:type="dxa"/>
            <w:vAlign w:val="center"/>
          </w:tcPr>
          <w:p>
            <w:pPr>
              <w:widowControl/>
              <w:jc w:val="center"/>
              <w:textAlignment w:val="top"/>
              <w:rPr>
                <w:rFonts w:ascii="宋体" w:hAnsi="宋体" w:cs="宋体"/>
                <w:kern w:val="0"/>
                <w:szCs w:val="21"/>
                <w:highlight w:val="none"/>
                <w:lang w:bidi="ar"/>
              </w:rPr>
            </w:pPr>
            <w:r>
              <w:rPr>
                <w:rFonts w:hint="eastAsia" w:ascii="宋体" w:hAnsi="宋体" w:cs="宋体"/>
                <w:kern w:val="0"/>
                <w:szCs w:val="21"/>
                <w:highlight w:val="none"/>
                <w:lang w:bidi="ar"/>
              </w:rPr>
              <w:t>业务仿真加密</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帮助业务进行加密、解密仿真</w:t>
            </w:r>
            <w:r>
              <w:rPr>
                <w:rFonts w:hint="eastAsia" w:ascii="宋体" w:hAnsi="宋体" w:cs="宋体"/>
                <w:szCs w:val="21"/>
                <w:highlight w:val="none"/>
                <w:lang w:eastAsia="zh-CN"/>
              </w:rPr>
              <w:t>测shi</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，提前模拟真实加密和解密过程。</w:t>
            </w:r>
          </w:p>
        </w:tc>
      </w:tr>
      <w:tr>
        <w:tc>
          <w:tcPr>
            <w:tcW w:w="1349" w:type="dxa"/>
            <w:vAlign w:val="center"/>
          </w:tcPr>
          <w:p>
            <w:pPr>
              <w:widowControl/>
              <w:jc w:val="center"/>
              <w:textAlignment w:val="top"/>
              <w:rPr>
                <w:rFonts w:ascii="宋体" w:hAnsi="宋体" w:cs="宋体"/>
                <w:kern w:val="0"/>
                <w:szCs w:val="21"/>
                <w:highlight w:val="none"/>
                <w:lang w:bidi="ar"/>
              </w:rPr>
            </w:pPr>
            <w:r>
              <w:rPr>
                <w:rFonts w:hint="eastAsia" w:ascii="宋体" w:hAnsi="宋体" w:cs="宋体"/>
                <w:kern w:val="0"/>
                <w:szCs w:val="21"/>
                <w:highlight w:val="none"/>
                <w:lang w:bidi="ar"/>
              </w:rPr>
              <w:t>业务分析</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对加密的业务数据库进行分析</w:t>
            </w:r>
            <w:r>
              <w:rPr>
                <w:rFonts w:hint="eastAsia" w:ascii="宋体" w:hAnsi="宋体" w:cs="宋体"/>
                <w:szCs w:val="21"/>
                <w:highlight w:val="none"/>
                <w:lang w:eastAsia="zh-CN"/>
              </w:rPr>
              <w:t>测shi</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，可自动生成数据加密对业务的影响结果报表；支持加密表的预分析，自动生成加密策略建议。</w:t>
            </w:r>
          </w:p>
        </w:tc>
      </w:tr>
      <w:tr>
        <w:tc>
          <w:tcPr>
            <w:tcW w:w="1349" w:type="dxa"/>
            <w:vAlign w:val="center"/>
          </w:tcPr>
          <w:p>
            <w:pPr>
              <w:widowControl/>
              <w:jc w:val="center"/>
              <w:textAlignment w:val="top"/>
              <w:rPr>
                <w:rFonts w:ascii="宋体" w:hAnsi="宋体" w:cs="宋体"/>
                <w:kern w:val="0"/>
                <w:szCs w:val="21"/>
                <w:highlight w:val="none"/>
                <w:lang w:bidi="ar"/>
              </w:rPr>
            </w:pPr>
            <w:r>
              <w:rPr>
                <w:rFonts w:hint="eastAsia" w:ascii="宋体" w:hAnsi="宋体" w:cs="宋体"/>
                <w:kern w:val="0"/>
                <w:szCs w:val="21"/>
                <w:highlight w:val="none"/>
                <w:lang w:bidi="ar"/>
              </w:rPr>
              <w:t>多级密钥</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标准的主密钥(RK)、密钥加密密钥-库密钥(DSK)、数据密钥-列密钥(DEK)三级密钥管理技术保障密钥安全</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p>
        </w:tc>
      </w:tr>
      <w:tr>
        <w:tc>
          <w:tcPr>
            <w:tcW w:w="1349" w:type="dxa"/>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密钥备份</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密钥自动备份、手动备份至本地和FTP</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；支持加密策略备份。</w:t>
            </w:r>
          </w:p>
        </w:tc>
      </w:tr>
      <w:tr>
        <w:tc>
          <w:tcPr>
            <w:tcW w:w="1349" w:type="dxa"/>
            <w:vAlign w:val="center"/>
          </w:tcPr>
          <w:p>
            <w:pPr>
              <w:widowControl/>
              <w:jc w:val="center"/>
              <w:textAlignment w:val="center"/>
              <w:rPr>
                <w:rFonts w:ascii="宋体" w:hAnsi="宋体" w:cs="宋体"/>
                <w:szCs w:val="21"/>
                <w:highlight w:val="none"/>
                <w:lang w:eastAsia="zh-Hans"/>
              </w:rPr>
            </w:pPr>
            <w:r>
              <w:rPr>
                <w:rFonts w:hint="eastAsia" w:ascii="宋体" w:hAnsi="宋体" w:cs="宋体"/>
                <w:kern w:val="0"/>
                <w:szCs w:val="21"/>
                <w:highlight w:val="none"/>
                <w:lang w:bidi="ar"/>
              </w:rPr>
              <w:t>离线密文恢复工具</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lang w:eastAsia="zh-Hans"/>
              </w:rPr>
              <w:t>使用离线密文恢复工具将密文恢复成明文</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，防止不可预测原因导致系统宕机后数据库数据不可解密。</w:t>
            </w:r>
          </w:p>
        </w:tc>
      </w:tr>
      <w:tr>
        <w:tc>
          <w:tcPr>
            <w:tcW w:w="1349" w:type="dxa"/>
            <w:vAlign w:val="center"/>
          </w:tcPr>
          <w:p>
            <w:pPr>
              <w:widowControl/>
              <w:jc w:val="center"/>
              <w:textAlignment w:val="center"/>
              <w:rPr>
                <w:rFonts w:ascii="宋体" w:hAnsi="宋体" w:cs="宋体"/>
                <w:szCs w:val="21"/>
                <w:highlight w:val="none"/>
                <w:lang w:eastAsia="zh-Hans"/>
              </w:rPr>
            </w:pPr>
            <w:r>
              <w:rPr>
                <w:rFonts w:hint="eastAsia" w:ascii="宋体" w:hAnsi="宋体" w:cs="宋体"/>
                <w:kern w:val="0"/>
                <w:szCs w:val="21"/>
                <w:highlight w:val="none"/>
                <w:lang w:bidi="ar"/>
              </w:rPr>
              <w:t>运维排查</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下载加密过程日志、数据库后台和系统后台日志供排查后台错误</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p>
        </w:tc>
      </w:tr>
      <w:tr>
        <w:tc>
          <w:tcPr>
            <w:tcW w:w="1349" w:type="dxa"/>
            <w:vAlign w:val="center"/>
          </w:tcPr>
          <w:p>
            <w:pPr>
              <w:widowControl/>
              <w:jc w:val="center"/>
              <w:textAlignment w:val="center"/>
              <w:rPr>
                <w:rFonts w:ascii="宋体" w:hAnsi="宋体" w:cs="宋体"/>
                <w:szCs w:val="21"/>
                <w:highlight w:val="none"/>
                <w:lang w:eastAsia="zh-Hans"/>
              </w:rPr>
            </w:pPr>
            <w:r>
              <w:rPr>
                <w:rFonts w:hint="eastAsia" w:ascii="宋体" w:hAnsi="宋体" w:cs="宋体"/>
                <w:kern w:val="0"/>
                <w:szCs w:val="21"/>
                <w:highlight w:val="none"/>
                <w:lang w:bidi="ar"/>
              </w:rPr>
              <w:t>应用访问代理记录</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查看访问数据库的应用系统地址和与之对应的代理访问数据库端口</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，当应用系统查询访问故障时，通过查询应用访问记录查看代理访问数据库的端口，进行网络排查。</w:t>
            </w:r>
          </w:p>
        </w:tc>
      </w:tr>
      <w:tr>
        <w:tc>
          <w:tcPr>
            <w:tcW w:w="1349" w:type="dxa"/>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登录安全</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Hans"/>
              </w:rPr>
              <w:t>产品应具备web安全访问（https）、密码长度复杂度校验、密码错误尝试锁定、动态验证码验证、账号超时登出以及IP限制管理等安全性自定义配置功能。</w:t>
            </w:r>
          </w:p>
        </w:tc>
      </w:tr>
      <w:tr>
        <w:tc>
          <w:tcPr>
            <w:tcW w:w="1349" w:type="dxa"/>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系统升级</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Hans"/>
              </w:rPr>
              <w:t>产品应</w:t>
            </w:r>
            <w:r>
              <w:rPr>
                <w:rFonts w:hint="eastAsia" w:ascii="宋体" w:hAnsi="宋体" w:cs="宋体"/>
                <w:szCs w:val="21"/>
                <w:highlight w:val="none"/>
                <w:lang w:eastAsia="zh-CN"/>
              </w:rPr>
              <w:t>配置</w:t>
            </w:r>
            <w:r>
              <w:rPr>
                <w:rFonts w:hint="eastAsia" w:ascii="宋体" w:hAnsi="宋体" w:cs="宋体"/>
                <w:szCs w:val="21"/>
                <w:highlight w:val="none"/>
                <w:lang w:eastAsia="zh-Hans"/>
              </w:rPr>
              <w:t>系统在线升级、查看系统历史版本补丁等升级管理功能。</w:t>
            </w:r>
          </w:p>
        </w:tc>
      </w:tr>
      <w:tr>
        <w:tc>
          <w:tcPr>
            <w:tcW w:w="1349" w:type="dxa"/>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操作日志</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Hans"/>
              </w:rPr>
              <w:t>产品应</w:t>
            </w:r>
            <w:r>
              <w:rPr>
                <w:rFonts w:hint="eastAsia" w:ascii="宋体" w:hAnsi="宋体" w:cs="宋体"/>
                <w:szCs w:val="21"/>
                <w:highlight w:val="none"/>
                <w:lang w:eastAsia="zh-CN"/>
              </w:rPr>
              <w:t>配置</w:t>
            </w:r>
            <w:r>
              <w:rPr>
                <w:rFonts w:hint="eastAsia" w:ascii="宋体" w:hAnsi="宋体" w:cs="宋体"/>
                <w:szCs w:val="21"/>
                <w:highlight w:val="none"/>
                <w:lang w:eastAsia="zh-Hans"/>
              </w:rPr>
              <w:t>记录用户操作日志，包含操作时间、操作用户、操作IP、操作对象、操作内容等。</w:t>
            </w:r>
          </w:p>
        </w:tc>
      </w:tr>
      <w:tr>
        <w:trPr>
          <w:trHeight w:val="601" w:hRule="atLeast"/>
        </w:trPr>
        <w:tc>
          <w:tcPr>
            <w:tcW w:w="1349" w:type="dxa"/>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用户角色</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Hans"/>
              </w:rPr>
              <w:t>产品应</w:t>
            </w:r>
            <w:r>
              <w:rPr>
                <w:rFonts w:hint="eastAsia" w:ascii="宋体" w:hAnsi="宋体" w:cs="宋体"/>
                <w:szCs w:val="21"/>
                <w:highlight w:val="none"/>
                <w:lang w:eastAsia="zh-CN"/>
              </w:rPr>
              <w:t>配置</w:t>
            </w:r>
            <w:r>
              <w:rPr>
                <w:rFonts w:hint="eastAsia" w:ascii="宋体" w:hAnsi="宋体" w:cs="宋体"/>
                <w:szCs w:val="21"/>
                <w:highlight w:val="none"/>
                <w:lang w:eastAsia="zh-Hans"/>
              </w:rPr>
              <w:t>用户角色权限管理等，可配置支持三权分立，提供系统管理员、安全管理员、审计管理员角色。</w:t>
            </w:r>
          </w:p>
        </w:tc>
      </w:tr>
      <w:tr>
        <w:tc>
          <w:tcPr>
            <w:tcW w:w="1349" w:type="dxa"/>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系统维护</w:t>
            </w:r>
          </w:p>
        </w:tc>
        <w:tc>
          <w:tcPr>
            <w:tcW w:w="7083" w:type="dxa"/>
            <w:vAlign w:val="center"/>
          </w:tcPr>
          <w:p>
            <w:pPr>
              <w:rPr>
                <w:rFonts w:ascii="宋体" w:hAnsi="宋体" w:cs="宋体"/>
                <w:szCs w:val="21"/>
                <w:highlight w:val="none"/>
                <w:lang w:eastAsia="zh-Hans"/>
              </w:rPr>
            </w:pPr>
            <w:r>
              <w:rPr>
                <w:rFonts w:hint="eastAsia" w:ascii="宋体" w:hAnsi="宋体" w:cs="宋体"/>
                <w:szCs w:val="21"/>
                <w:highlight w:val="none"/>
                <w:lang w:eastAsia="zh-Hans"/>
              </w:rPr>
              <w:t>产品应</w:t>
            </w:r>
            <w:r>
              <w:rPr>
                <w:rFonts w:hint="eastAsia" w:ascii="宋体" w:hAnsi="宋体" w:cs="宋体"/>
                <w:szCs w:val="21"/>
                <w:highlight w:val="none"/>
                <w:lang w:eastAsia="zh-CN"/>
              </w:rPr>
              <w:t>配置</w:t>
            </w:r>
            <w:r>
              <w:rPr>
                <w:rFonts w:hint="eastAsia" w:ascii="宋体" w:hAnsi="宋体" w:cs="宋体"/>
                <w:szCs w:val="21"/>
                <w:highlight w:val="none"/>
                <w:lang w:eastAsia="zh-Hans"/>
              </w:rPr>
              <w:t>对系统自身运行状态进行实时监测（如CPU使用率、内存使用率、磁盘使用率、网卡流量等）及网络排查、时间设置、网络地址配置维护等功能。</w:t>
            </w:r>
          </w:p>
        </w:tc>
      </w:tr>
      <w:tr>
        <w:trPr>
          <w:trHeight w:val="90" w:hRule="atLeast"/>
        </w:trPr>
        <w:tc>
          <w:tcPr>
            <w:tcW w:w="1349" w:type="dxa"/>
            <w:vAlign w:val="center"/>
          </w:tcPr>
          <w:p>
            <w:pPr>
              <w:jc w:val="center"/>
              <w:rPr>
                <w:rFonts w:ascii="宋体" w:hAnsi="宋体" w:cs="宋体"/>
                <w:b/>
                <w:bCs/>
                <w:szCs w:val="21"/>
                <w:highlight w:val="none"/>
              </w:rPr>
            </w:pPr>
            <w:r>
              <w:rPr>
                <w:rFonts w:hint="eastAsia" w:ascii="宋体" w:hAnsi="宋体" w:cs="宋体"/>
                <w:szCs w:val="21"/>
                <w:highlight w:val="none"/>
              </w:rPr>
              <w:t>产品资质</w:t>
            </w:r>
          </w:p>
        </w:tc>
        <w:tc>
          <w:tcPr>
            <w:tcW w:w="7083" w:type="dxa"/>
            <w:tcBorders>
              <w:bottom w:val="single" w:color="000000" w:sz="6" w:space="0"/>
            </w:tcBorders>
            <w:vAlign w:val="center"/>
          </w:tcPr>
          <w:p>
            <w:pPr>
              <w:rPr>
                <w:rFonts w:ascii="宋体" w:hAnsi="宋体" w:cs="宋体"/>
                <w:szCs w:val="21"/>
                <w:highlight w:val="none"/>
                <w:lang w:eastAsia="zh-Hans"/>
              </w:rPr>
            </w:pPr>
            <w:r>
              <w:rPr>
                <w:rFonts w:hint="eastAsia" w:ascii="宋体" w:hAnsi="宋体" w:cs="宋体"/>
                <w:szCs w:val="21"/>
                <w:highlight w:val="none"/>
              </w:rPr>
              <w:t>★</w:t>
            </w:r>
            <w:r>
              <w:rPr>
                <w:rFonts w:hint="eastAsia" w:ascii="宋体" w:hAnsi="宋体" w:cs="宋体"/>
                <w:szCs w:val="21"/>
                <w:highlight w:val="none"/>
                <w:lang w:eastAsia="zh-Hans"/>
              </w:rPr>
              <w:t>商用密码产品认证证书（二级）</w:t>
            </w:r>
          </w:p>
          <w:p>
            <w:pPr>
              <w:rPr>
                <w:rFonts w:ascii="宋体" w:hAnsi="宋体" w:cs="宋体"/>
                <w:szCs w:val="21"/>
                <w:highlight w:val="none"/>
                <w:lang w:eastAsia="zh-Hans"/>
              </w:rPr>
            </w:pPr>
            <w:r>
              <w:rPr>
                <w:rFonts w:hint="eastAsia" w:ascii="宋体" w:hAnsi="宋体" w:cs="宋体"/>
                <w:szCs w:val="21"/>
                <w:highlight w:val="none"/>
                <w:lang w:eastAsia="zh-Hans"/>
              </w:rPr>
              <w:t>软件著作权证书</w:t>
            </w:r>
          </w:p>
        </w:tc>
      </w:tr>
    </w:tbl>
    <w:p>
      <w:pPr>
        <w:keepNext/>
        <w:keepLines/>
        <w:numPr>
          <w:ilvl w:val="0"/>
          <w:numId w:val="7"/>
        </w:numPr>
        <w:spacing w:line="360" w:lineRule="auto"/>
        <w:outlineLvl w:val="1"/>
        <w:rPr>
          <w:rFonts w:ascii="宋体" w:hAnsi="宋体" w:cs="宋体"/>
          <w:b/>
          <w:bCs/>
          <w:szCs w:val="21"/>
          <w:highlight w:val="none"/>
        </w:rPr>
      </w:pPr>
      <w:r>
        <w:rPr>
          <w:rFonts w:hint="eastAsia" w:ascii="宋体" w:hAnsi="宋体" w:cs="宋体"/>
          <w:b/>
          <w:bCs/>
          <w:szCs w:val="21"/>
          <w:highlight w:val="none"/>
        </w:rPr>
        <w:t>数据安全管理系统</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7235"/>
      </w:tblGrid>
      <w:tr>
        <w:trPr>
          <w:trHeight w:val="588" w:hRule="atLeast"/>
        </w:trPr>
        <w:tc>
          <w:tcPr>
            <w:tcW w:w="852"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资质要求</w:t>
            </w:r>
          </w:p>
        </w:tc>
        <w:tc>
          <w:tcPr>
            <w:tcW w:w="4148" w:type="pct"/>
            <w:shd w:val="clear" w:color="auto" w:fill="auto"/>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▲兼容国产操作系统及数据库，并提供兼容承诺函加盖投标人公章。</w:t>
            </w:r>
          </w:p>
        </w:tc>
      </w:tr>
      <w:tr>
        <w:trPr>
          <w:trHeight w:val="588" w:hRule="atLeast"/>
        </w:trPr>
        <w:tc>
          <w:tcPr>
            <w:tcW w:w="852"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性能要求</w:t>
            </w:r>
          </w:p>
        </w:tc>
        <w:tc>
          <w:tcPr>
            <w:tcW w:w="4148" w:type="pct"/>
            <w:shd w:val="clear" w:color="auto" w:fill="auto"/>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单台服务器支持客户端数量≥6000个。</w:t>
            </w:r>
            <w:r>
              <w:rPr>
                <w:rFonts w:hint="eastAsia" w:ascii="宋体" w:hAnsi="宋体" w:cs="宋体"/>
                <w:kern w:val="0"/>
                <w:szCs w:val="21"/>
                <w:highlight w:val="none"/>
              </w:rPr>
              <w:br w:type="textWrapping"/>
            </w:r>
            <w:r>
              <w:rPr>
                <w:rFonts w:hint="eastAsia" w:ascii="宋体" w:hAnsi="宋体" w:cs="宋体"/>
                <w:kern w:val="0"/>
                <w:szCs w:val="21"/>
                <w:highlight w:val="none"/>
              </w:rPr>
              <w:t>本次项目客户端数量</w:t>
            </w:r>
            <w:r>
              <w:rPr>
                <w:rFonts w:hint="eastAsia" w:ascii="宋体" w:hAnsi="宋体" w:cs="宋体"/>
                <w:kern w:val="0"/>
                <w:szCs w:val="21"/>
                <w:highlight w:val="none"/>
                <w:lang w:val="en-US" w:eastAsia="zh-CN"/>
              </w:rPr>
              <w:t>不少于</w:t>
            </w:r>
            <w:r>
              <w:rPr>
                <w:rFonts w:hint="eastAsia" w:ascii="宋体" w:hAnsi="宋体" w:cs="宋体"/>
                <w:kern w:val="0"/>
                <w:szCs w:val="21"/>
                <w:highlight w:val="none"/>
              </w:rPr>
              <w:t>200个,支持通过增加授权增加客户端数量。</w:t>
            </w:r>
          </w:p>
        </w:tc>
      </w:tr>
      <w:tr>
        <w:trPr>
          <w:trHeight w:val="588" w:hRule="atLeast"/>
        </w:trPr>
        <w:tc>
          <w:tcPr>
            <w:tcW w:w="852" w:type="pct"/>
            <w:shd w:val="clear" w:color="000000" w:fill="FFFFFF"/>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功能要求</w:t>
            </w:r>
          </w:p>
        </w:tc>
        <w:tc>
          <w:tcPr>
            <w:tcW w:w="4148" w:type="pct"/>
            <w:shd w:val="clear" w:color="auto" w:fill="auto"/>
            <w:vAlign w:val="center"/>
          </w:tcPr>
          <w:p>
            <w:pPr>
              <w:widowControl/>
              <w:numPr>
                <w:ilvl w:val="0"/>
                <w:numId w:val="8"/>
              </w:numPr>
              <w:jc w:val="left"/>
              <w:rPr>
                <w:rFonts w:ascii="宋体" w:hAnsi="宋体" w:cs="宋体"/>
                <w:kern w:val="0"/>
                <w:szCs w:val="21"/>
                <w:highlight w:val="none"/>
              </w:rPr>
            </w:pPr>
            <w:r>
              <w:rPr>
                <w:rFonts w:hint="eastAsia" w:ascii="宋体" w:hAnsi="宋体" w:cs="宋体"/>
                <w:kern w:val="0"/>
                <w:szCs w:val="21"/>
                <w:highlight w:val="none"/>
              </w:rPr>
              <w:t>文件识别：</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对doc、xls、ppt、docx、xlsx、pptx、pdf、txt等常见办公文档扫描识别</w:t>
            </w:r>
            <w:r>
              <w:rPr>
                <w:rFonts w:hint="eastAsia" w:ascii="宋体" w:hAnsi="宋体" w:cs="宋体"/>
                <w:szCs w:val="21"/>
                <w:highlight w:val="none"/>
                <w:lang w:val="en-US" w:eastAsia="zh-CN"/>
              </w:rPr>
              <w:t>的能力</w:t>
            </w:r>
            <w:r>
              <w:rPr>
                <w:rFonts w:hint="eastAsia" w:ascii="宋体" w:hAnsi="宋体" w:cs="宋体"/>
                <w:kern w:val="0"/>
                <w:szCs w:val="21"/>
                <w:highlight w:val="none"/>
              </w:rPr>
              <w:t>；</w:t>
            </w:r>
          </w:p>
          <w:p>
            <w:pPr>
              <w:widowControl/>
              <w:numPr>
                <w:ilvl w:val="0"/>
                <w:numId w:val="8"/>
              </w:numPr>
              <w:jc w:val="left"/>
              <w:rPr>
                <w:rFonts w:ascii="宋体" w:hAnsi="宋体" w:cs="宋体"/>
                <w:kern w:val="0"/>
                <w:szCs w:val="21"/>
                <w:highlight w:val="none"/>
              </w:rPr>
            </w:pPr>
            <w:r>
              <w:rPr>
                <w:rFonts w:hint="eastAsia" w:ascii="宋体" w:hAnsi="宋体" w:cs="宋体"/>
                <w:kern w:val="0"/>
                <w:szCs w:val="21"/>
                <w:highlight w:val="none"/>
                <w:lang w:eastAsia="zh-CN"/>
              </w:rPr>
              <w:t>配置</w:t>
            </w:r>
            <w:r>
              <w:rPr>
                <w:rFonts w:hint="eastAsia" w:ascii="宋体" w:hAnsi="宋体" w:cs="宋体"/>
                <w:kern w:val="0"/>
                <w:szCs w:val="21"/>
                <w:highlight w:val="none"/>
              </w:rPr>
              <w:t>ZIP、7z、RAR等压缩文件</w:t>
            </w:r>
            <w:r>
              <w:rPr>
                <w:rFonts w:hint="eastAsia" w:ascii="宋体" w:hAnsi="宋体" w:cs="宋体"/>
                <w:szCs w:val="21"/>
                <w:highlight w:val="none"/>
                <w:lang w:val="en-US" w:eastAsia="zh-CN"/>
              </w:rPr>
              <w:t>的能力</w:t>
            </w:r>
            <w:r>
              <w:rPr>
                <w:rFonts w:hint="eastAsia" w:ascii="宋体" w:hAnsi="宋体" w:cs="宋体"/>
                <w:kern w:val="0"/>
                <w:szCs w:val="21"/>
                <w:highlight w:val="none"/>
              </w:rPr>
              <w:t>，能识别不少于10层压缩文档，并对压缩文档中的文件进行扫描识别；</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JPG、JPEG、PNG、BMP图片文件扫描识别；</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PDF等电子出版格式扫描识别；</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对加密码格式识别；</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对文件内嵌套文件识别及多层嵌套格式扫描识别；</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对eml邮件格式扫描识别；</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文件名扫描识别。</w:t>
            </w:r>
            <w:r>
              <w:rPr>
                <w:rFonts w:hint="eastAsia" w:ascii="宋体" w:hAnsi="宋体" w:cs="宋体"/>
                <w:kern w:val="0"/>
                <w:szCs w:val="21"/>
                <w:highlight w:val="none"/>
              </w:rPr>
              <w:br w:type="textWrapping"/>
            </w:r>
            <w:r>
              <w:rPr>
                <w:rFonts w:hint="eastAsia" w:ascii="宋体" w:hAnsi="宋体" w:cs="宋体"/>
                <w:kern w:val="0"/>
                <w:szCs w:val="21"/>
                <w:highlight w:val="none"/>
              </w:rPr>
              <w:t>（2）文档加密：</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对Word、Excel、PPT、PDF、书生、OFD和WPS等类型文档进行透明加解密</w:t>
            </w:r>
            <w:r>
              <w:rPr>
                <w:rFonts w:hint="eastAsia" w:ascii="宋体" w:hAnsi="宋体" w:cs="宋体"/>
                <w:szCs w:val="21"/>
                <w:highlight w:val="none"/>
                <w:lang w:val="en-US" w:eastAsia="zh-CN"/>
              </w:rPr>
              <w:t>的能力</w:t>
            </w:r>
            <w:r>
              <w:rPr>
                <w:rFonts w:hint="eastAsia" w:ascii="宋体" w:hAnsi="宋体" w:cs="宋体"/>
                <w:kern w:val="0"/>
                <w:szCs w:val="21"/>
                <w:highlight w:val="none"/>
              </w:rPr>
              <w:t>；</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对指定文档针对指定用户进行手动点对点加密操作</w:t>
            </w:r>
            <w:r>
              <w:rPr>
                <w:rFonts w:hint="eastAsia" w:ascii="宋体" w:hAnsi="宋体" w:cs="宋体"/>
                <w:szCs w:val="21"/>
                <w:highlight w:val="none"/>
                <w:lang w:val="en-US" w:eastAsia="zh-CN"/>
              </w:rPr>
              <w:t>的能力</w:t>
            </w:r>
            <w:r>
              <w:rPr>
                <w:rFonts w:hint="eastAsia" w:ascii="宋体" w:hAnsi="宋体" w:cs="宋体"/>
                <w:kern w:val="0"/>
                <w:szCs w:val="21"/>
                <w:highlight w:val="none"/>
              </w:rPr>
              <w:t>，加密后的文档只有在已成功安装客户端程序，并且拥有权限的用户才可以使用；</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文件外带管控</w:t>
            </w:r>
            <w:r>
              <w:rPr>
                <w:rFonts w:hint="eastAsia" w:ascii="宋体" w:hAnsi="宋体" w:cs="宋体"/>
                <w:szCs w:val="21"/>
                <w:highlight w:val="none"/>
                <w:lang w:val="en-US" w:eastAsia="zh-CN"/>
              </w:rPr>
              <w:t>的能力</w:t>
            </w:r>
            <w:r>
              <w:rPr>
                <w:rFonts w:hint="eastAsia" w:ascii="宋体" w:hAnsi="宋体" w:cs="宋体"/>
                <w:kern w:val="0"/>
                <w:szCs w:val="21"/>
                <w:highlight w:val="none"/>
              </w:rPr>
              <w:t>，即对外发到未安装数据安全管理客户端的环境中的文档进行权限控制，权限包括：口令认证、打开次数、有效期、编辑权限、显示水印、打印次数等。</w:t>
            </w:r>
            <w:r>
              <w:rPr>
                <w:rFonts w:hint="eastAsia" w:ascii="宋体" w:hAnsi="宋体" w:cs="宋体"/>
                <w:kern w:val="0"/>
                <w:szCs w:val="21"/>
                <w:highlight w:val="none"/>
              </w:rPr>
              <w:br w:type="textWrapping"/>
            </w:r>
            <w:r>
              <w:rPr>
                <w:rFonts w:hint="eastAsia" w:ascii="宋体" w:hAnsi="宋体" w:cs="宋体"/>
                <w:kern w:val="0"/>
                <w:szCs w:val="21"/>
                <w:highlight w:val="none"/>
              </w:rPr>
              <w:t>（3）水印管理：</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在终端系统中显示屏幕水印</w:t>
            </w:r>
            <w:r>
              <w:rPr>
                <w:rFonts w:hint="eastAsia" w:ascii="宋体" w:hAnsi="宋体" w:cs="宋体"/>
                <w:szCs w:val="21"/>
                <w:highlight w:val="none"/>
                <w:lang w:val="en-US" w:eastAsia="zh-CN"/>
              </w:rPr>
              <w:t>的能力</w:t>
            </w:r>
            <w:r>
              <w:rPr>
                <w:rFonts w:hint="eastAsia" w:ascii="宋体" w:hAnsi="宋体" w:cs="宋体"/>
                <w:kern w:val="0"/>
                <w:szCs w:val="21"/>
                <w:highlight w:val="none"/>
              </w:rPr>
              <w:t>，水印内容支持文字、二维码和图片等，支持按时间显示水印。</w:t>
            </w:r>
            <w:r>
              <w:rPr>
                <w:rFonts w:hint="eastAsia" w:ascii="宋体" w:hAnsi="宋体" w:cs="宋体"/>
                <w:kern w:val="0"/>
                <w:szCs w:val="21"/>
                <w:highlight w:val="none"/>
              </w:rPr>
              <w:br w:type="textWrapping"/>
            </w:r>
            <w:r>
              <w:rPr>
                <w:rFonts w:hint="eastAsia" w:ascii="宋体" w:hAnsi="宋体" w:cs="宋体"/>
                <w:kern w:val="0"/>
                <w:szCs w:val="21"/>
                <w:highlight w:val="none"/>
              </w:rPr>
              <w:t>（4）移动存储设备管理：</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对U盘等移动存储设备进行管控</w:t>
            </w:r>
            <w:r>
              <w:rPr>
                <w:rFonts w:hint="eastAsia" w:ascii="宋体" w:hAnsi="宋体" w:cs="宋体"/>
                <w:szCs w:val="21"/>
                <w:highlight w:val="none"/>
                <w:lang w:val="en-US" w:eastAsia="zh-CN"/>
              </w:rPr>
              <w:t>的能力</w:t>
            </w:r>
            <w:r>
              <w:rPr>
                <w:rFonts w:hint="eastAsia" w:ascii="宋体" w:hAnsi="宋体" w:cs="宋体"/>
                <w:kern w:val="0"/>
                <w:szCs w:val="21"/>
                <w:highlight w:val="none"/>
              </w:rPr>
              <w:t>，权限包括：禁用、加密读写、只读明文、只读明文+密文、正常读写等。</w:t>
            </w:r>
            <w:r>
              <w:rPr>
                <w:rFonts w:hint="eastAsia" w:ascii="宋体" w:hAnsi="宋体" w:cs="宋体"/>
                <w:kern w:val="0"/>
                <w:szCs w:val="21"/>
                <w:highlight w:val="none"/>
              </w:rPr>
              <w:br w:type="textWrapping"/>
            </w:r>
            <w:r>
              <w:rPr>
                <w:rFonts w:hint="eastAsia" w:ascii="宋体" w:hAnsi="宋体" w:cs="宋体"/>
                <w:kern w:val="0"/>
                <w:szCs w:val="21"/>
                <w:highlight w:val="none"/>
              </w:rPr>
              <w:t>（5）应用程序外发管理：</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对终端用户通过QQ、微信、企业微信等应用软件外发文件的行为进行审计、内嵌水印外发、加密外发、禁止外发等管控</w:t>
            </w:r>
            <w:r>
              <w:rPr>
                <w:rFonts w:hint="eastAsia" w:ascii="宋体" w:hAnsi="宋体" w:cs="宋体"/>
                <w:szCs w:val="21"/>
                <w:highlight w:val="none"/>
                <w:lang w:val="en-US" w:eastAsia="zh-CN"/>
              </w:rPr>
              <w:t>的能力</w:t>
            </w:r>
            <w:r>
              <w:rPr>
                <w:rFonts w:hint="eastAsia" w:ascii="宋体" w:hAnsi="宋体" w:cs="宋体"/>
                <w:kern w:val="0"/>
                <w:szCs w:val="21"/>
                <w:highlight w:val="none"/>
              </w:rPr>
              <w:t>。</w:t>
            </w:r>
            <w:r>
              <w:rPr>
                <w:rFonts w:hint="eastAsia" w:ascii="宋体" w:hAnsi="宋体" w:cs="宋体"/>
                <w:kern w:val="0"/>
                <w:szCs w:val="21"/>
                <w:highlight w:val="none"/>
              </w:rPr>
              <w:br w:type="textWrapping"/>
            </w:r>
            <w:r>
              <w:rPr>
                <w:rFonts w:hint="eastAsia" w:ascii="宋体" w:hAnsi="宋体" w:cs="宋体"/>
                <w:kern w:val="0"/>
                <w:szCs w:val="21"/>
                <w:highlight w:val="none"/>
              </w:rPr>
              <w:t>（6）网页访问与外发管理：</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对终端用户通过浏览器查看网页的上网行为进行审计与管控</w:t>
            </w:r>
            <w:r>
              <w:rPr>
                <w:rFonts w:hint="eastAsia" w:ascii="宋体" w:hAnsi="宋体" w:cs="宋体"/>
                <w:szCs w:val="21"/>
                <w:highlight w:val="none"/>
                <w:lang w:val="en-US" w:eastAsia="zh-CN"/>
              </w:rPr>
              <w:t>的能力</w:t>
            </w:r>
            <w:r>
              <w:rPr>
                <w:rFonts w:hint="eastAsia" w:ascii="宋体" w:hAnsi="宋体" w:cs="宋体"/>
                <w:kern w:val="0"/>
                <w:szCs w:val="21"/>
                <w:highlight w:val="none"/>
              </w:rPr>
              <w:t>，管控的类型包括：允许或者禁止访问对应的网站，审计用户的一般上网记录；</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对特定网盘类型、Web邮箱类型的网址上传附件的行为进行拦截控制；</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下载文件自动加密</w:t>
            </w:r>
            <w:r>
              <w:rPr>
                <w:rFonts w:hint="eastAsia" w:ascii="宋体" w:hAnsi="宋体" w:cs="宋体"/>
                <w:szCs w:val="21"/>
                <w:highlight w:val="none"/>
                <w:lang w:val="en-US" w:eastAsia="zh-CN"/>
              </w:rPr>
              <w:t>的能力</w:t>
            </w:r>
            <w:r>
              <w:rPr>
                <w:rFonts w:hint="eastAsia" w:ascii="宋体" w:hAnsi="宋体" w:cs="宋体"/>
                <w:kern w:val="0"/>
                <w:szCs w:val="21"/>
                <w:highlight w:val="none"/>
              </w:rPr>
              <w:t>，上传文件自动解密的安全保护控制。（提供产品截图）</w:t>
            </w:r>
            <w:r>
              <w:rPr>
                <w:rFonts w:hint="eastAsia" w:ascii="宋体" w:hAnsi="宋体" w:cs="宋体"/>
                <w:kern w:val="0"/>
                <w:szCs w:val="21"/>
                <w:highlight w:val="none"/>
              </w:rPr>
              <w:br w:type="textWrapping"/>
            </w:r>
            <w:r>
              <w:rPr>
                <w:rFonts w:hint="eastAsia" w:ascii="宋体" w:hAnsi="宋体" w:cs="宋体"/>
                <w:kern w:val="0"/>
                <w:szCs w:val="21"/>
                <w:highlight w:val="none"/>
              </w:rPr>
              <w:t>（7）打印管控：</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正常\带水印\禁止打印</w:t>
            </w:r>
            <w:r>
              <w:rPr>
                <w:rFonts w:hint="eastAsia" w:ascii="宋体" w:hAnsi="宋体" w:cs="宋体"/>
                <w:szCs w:val="21"/>
                <w:highlight w:val="none"/>
                <w:lang w:val="en-US" w:eastAsia="zh-CN"/>
              </w:rPr>
              <w:t>的能力</w:t>
            </w:r>
            <w:r>
              <w:rPr>
                <w:rFonts w:hint="eastAsia" w:ascii="宋体" w:hAnsi="宋体" w:cs="宋体"/>
                <w:kern w:val="0"/>
                <w:szCs w:val="21"/>
                <w:highlight w:val="none"/>
              </w:rPr>
              <w:t>；</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根据扫描结果进行打印管控以及设置不同水印管控；</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禁止去水印\允许去水印\审批去水印配置。</w:t>
            </w:r>
            <w:r>
              <w:rPr>
                <w:rFonts w:hint="eastAsia" w:ascii="宋体" w:hAnsi="宋体" w:cs="宋体"/>
                <w:kern w:val="0"/>
                <w:szCs w:val="21"/>
                <w:highlight w:val="none"/>
              </w:rPr>
              <w:br w:type="textWrapping"/>
            </w:r>
            <w:r>
              <w:rPr>
                <w:rFonts w:hint="eastAsia" w:ascii="宋体" w:hAnsi="宋体" w:cs="宋体"/>
                <w:kern w:val="0"/>
                <w:szCs w:val="21"/>
                <w:highlight w:val="none"/>
              </w:rPr>
              <w:t>（8）明文外发管控：</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登记后直接明文外发、审批通过后直接明文外发或者禁止明文外发，实现外发通道加密管控方式下的文件明文外发控制</w:t>
            </w:r>
            <w:r>
              <w:rPr>
                <w:rFonts w:hint="eastAsia" w:ascii="宋体" w:hAnsi="宋体" w:cs="宋体"/>
                <w:szCs w:val="21"/>
                <w:highlight w:val="none"/>
                <w:lang w:val="en-US" w:eastAsia="zh-CN"/>
              </w:rPr>
              <w:t>的能力</w:t>
            </w:r>
            <w:r>
              <w:rPr>
                <w:rFonts w:hint="eastAsia" w:ascii="宋体" w:hAnsi="宋体" w:cs="宋体"/>
                <w:kern w:val="0"/>
                <w:szCs w:val="21"/>
                <w:highlight w:val="none"/>
              </w:rPr>
              <w:t>。</w:t>
            </w:r>
            <w:r>
              <w:rPr>
                <w:rFonts w:hint="eastAsia" w:ascii="宋体" w:hAnsi="宋体" w:cs="宋体"/>
                <w:kern w:val="0"/>
                <w:szCs w:val="21"/>
                <w:highlight w:val="none"/>
              </w:rPr>
              <w:br w:type="textWrapping"/>
            </w:r>
            <w:r>
              <w:rPr>
                <w:rFonts w:hint="eastAsia" w:ascii="宋体" w:hAnsi="宋体" w:cs="宋体"/>
                <w:kern w:val="0"/>
                <w:szCs w:val="21"/>
                <w:highlight w:val="none"/>
              </w:rPr>
              <w:t>（9）数据审计：</w:t>
            </w:r>
            <w:r>
              <w:rPr>
                <w:rFonts w:hint="eastAsia" w:ascii="宋体" w:hAnsi="宋体" w:cs="宋体"/>
                <w:kern w:val="0"/>
                <w:szCs w:val="21"/>
                <w:highlight w:val="none"/>
              </w:rPr>
              <w:br w:type="textWrapping"/>
            </w:r>
            <w:r>
              <w:rPr>
                <w:rFonts w:hint="eastAsia" w:ascii="宋体" w:hAnsi="宋体" w:cs="宋体"/>
                <w:kern w:val="0"/>
                <w:szCs w:val="21"/>
                <w:highlight w:val="none"/>
                <w:lang w:eastAsia="zh-CN"/>
              </w:rPr>
              <w:t>配置</w:t>
            </w:r>
            <w:r>
              <w:rPr>
                <w:rFonts w:hint="eastAsia" w:ascii="宋体" w:hAnsi="宋体" w:cs="宋体"/>
                <w:kern w:val="0"/>
                <w:szCs w:val="21"/>
                <w:highlight w:val="none"/>
              </w:rPr>
              <w:t>对终端行为、终端报表、业务告警等日志数据进行审计</w:t>
            </w:r>
            <w:r>
              <w:rPr>
                <w:rFonts w:hint="eastAsia" w:ascii="宋体" w:hAnsi="宋体" w:cs="宋体"/>
                <w:szCs w:val="21"/>
                <w:highlight w:val="none"/>
                <w:lang w:val="en-US" w:eastAsia="zh-CN"/>
              </w:rPr>
              <w:t>的能力。</w:t>
            </w:r>
          </w:p>
        </w:tc>
      </w:tr>
    </w:tbl>
    <w:p>
      <w:pPr>
        <w:keepNext/>
        <w:keepLines/>
        <w:numPr>
          <w:ilvl w:val="0"/>
          <w:numId w:val="7"/>
        </w:numPr>
        <w:spacing w:line="360" w:lineRule="auto"/>
        <w:outlineLvl w:val="1"/>
        <w:rPr>
          <w:rFonts w:ascii="宋体" w:hAnsi="宋体" w:cs="宋体"/>
          <w:b/>
          <w:bCs/>
          <w:szCs w:val="21"/>
          <w:highlight w:val="none"/>
        </w:rPr>
      </w:pPr>
      <w:r>
        <w:rPr>
          <w:rFonts w:hint="eastAsia" w:ascii="宋体" w:hAnsi="宋体" w:cs="宋体"/>
          <w:b/>
          <w:bCs/>
          <w:szCs w:val="21"/>
          <w:highlight w:val="none"/>
        </w:rPr>
        <w:t>网络安全监管平台</w:t>
      </w:r>
    </w:p>
    <w:p>
      <w:pPr>
        <w:keepNext/>
        <w:keepLines/>
        <w:spacing w:line="360" w:lineRule="auto"/>
        <w:outlineLvl w:val="2"/>
        <w:rPr>
          <w:rFonts w:ascii="宋体" w:hAnsi="宋体" w:cs="宋体"/>
          <w:b/>
          <w:bCs/>
          <w:szCs w:val="21"/>
          <w:highlight w:val="none"/>
        </w:rPr>
      </w:pPr>
      <w:r>
        <w:rPr>
          <w:rFonts w:hint="eastAsia" w:ascii="宋体" w:hAnsi="宋体" w:cs="宋体"/>
          <w:b/>
          <w:bCs/>
          <w:szCs w:val="21"/>
          <w:highlight w:val="none"/>
        </w:rPr>
        <w:t>1.安全管理子平台</w:t>
      </w:r>
    </w:p>
    <w:p>
      <w:pPr>
        <w:keepNext/>
        <w:keepLines/>
        <w:spacing w:line="360" w:lineRule="auto"/>
        <w:ind w:firstLine="424" w:firstLineChars="200"/>
        <w:outlineLvl w:val="1"/>
        <w:rPr>
          <w:rFonts w:ascii="宋体" w:hAnsi="宋体" w:cs="宋体"/>
          <w:b/>
          <w:bCs/>
          <w:szCs w:val="21"/>
          <w:highlight w:val="none"/>
          <w:lang w:eastAsia="zh-Hans"/>
        </w:rPr>
      </w:pPr>
      <w:r>
        <w:rPr>
          <w:rFonts w:hint="eastAsia" w:ascii="宋体" w:hAnsi="宋体" w:cs="宋体"/>
          <w:b/>
          <w:bCs/>
          <w:szCs w:val="21"/>
          <w:highlight w:val="none"/>
          <w:lang w:eastAsia="zh-Hans"/>
        </w:rPr>
        <w:t>1.1资产中心</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41"/>
        <w:gridCol w:w="6647"/>
      </w:tblGrid>
      <w:tr>
        <w:tc>
          <w:tcPr>
            <w:tcW w:w="1189" w:type="pct"/>
            <w:gridSpan w:val="2"/>
          </w:tcPr>
          <w:p>
            <w:pPr>
              <w:jc w:val="center"/>
              <w:rPr>
                <w:rFonts w:ascii="宋体" w:hAnsi="宋体" w:cs="宋体"/>
                <w:b/>
                <w:bCs/>
                <w:color w:val="000000"/>
                <w:kern w:val="0"/>
                <w:szCs w:val="21"/>
                <w:highlight w:val="none"/>
                <w:lang w:eastAsia="zh-Hans"/>
              </w:rPr>
            </w:pPr>
            <w:r>
              <w:rPr>
                <w:rFonts w:hint="eastAsia" w:ascii="宋体" w:hAnsi="宋体" w:cs="宋体"/>
                <w:b/>
                <w:bCs/>
                <w:color w:val="000000"/>
                <w:kern w:val="0"/>
                <w:szCs w:val="21"/>
                <w:highlight w:val="none"/>
                <w:lang w:eastAsia="zh-Hans"/>
              </w:rPr>
              <w:t>功能指标</w:t>
            </w:r>
          </w:p>
        </w:tc>
        <w:tc>
          <w:tcPr>
            <w:tcW w:w="3811" w:type="pct"/>
          </w:tcPr>
          <w:p>
            <w:pPr>
              <w:jc w:val="center"/>
              <w:rPr>
                <w:rFonts w:ascii="宋体" w:hAnsi="宋体" w:cs="宋体"/>
                <w:b/>
                <w:bCs/>
                <w:color w:val="000000"/>
                <w:kern w:val="0"/>
                <w:szCs w:val="21"/>
                <w:highlight w:val="none"/>
                <w:lang w:eastAsia="zh-Hans"/>
              </w:rPr>
            </w:pPr>
            <w:r>
              <w:rPr>
                <w:rFonts w:hint="eastAsia" w:ascii="宋体" w:hAnsi="宋体" w:cs="宋体"/>
                <w:b/>
                <w:bCs/>
                <w:color w:val="000000"/>
                <w:kern w:val="0"/>
                <w:szCs w:val="21"/>
                <w:highlight w:val="none"/>
                <w:lang w:eastAsia="zh-Hans"/>
              </w:rPr>
              <w:t>指标要求</w:t>
            </w:r>
          </w:p>
        </w:tc>
      </w:tr>
      <w:tr>
        <w:tc>
          <w:tcPr>
            <w:tcW w:w="1189" w:type="pct"/>
            <w:gridSpan w:val="2"/>
          </w:tcPr>
          <w:p>
            <w:pPr>
              <w:rPr>
                <w:rFonts w:ascii="宋体" w:hAnsi="宋体" w:cs="宋体"/>
                <w:szCs w:val="21"/>
                <w:highlight w:val="none"/>
                <w:lang w:eastAsia="zh-Hans"/>
              </w:rPr>
            </w:pPr>
            <w:r>
              <w:rPr>
                <w:rFonts w:hint="eastAsia" w:ascii="宋体" w:hAnsi="宋体" w:cs="宋体"/>
                <w:szCs w:val="21"/>
                <w:highlight w:val="none"/>
                <w:lang w:eastAsia="zh-Hans"/>
              </w:rPr>
              <w:t>资产概况</w:t>
            </w:r>
          </w:p>
        </w:tc>
        <w:tc>
          <w:tcPr>
            <w:tcW w:w="3811" w:type="pct"/>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不限于资产总量及各类资产数量的统计</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；资产运营统计；资产重要程度统计；硬件资产分布统计；软件资产分布统计；系统资产分布统计；资产单位分布统计；行业资产分布统计。</w:t>
            </w:r>
          </w:p>
        </w:tc>
      </w:tr>
      <w:tr>
        <w:tc>
          <w:tcPr>
            <w:tcW w:w="1189" w:type="pct"/>
            <w:gridSpan w:val="2"/>
          </w:tcPr>
          <w:p>
            <w:pPr>
              <w:rPr>
                <w:rFonts w:ascii="宋体" w:hAnsi="宋体" w:cs="宋体"/>
                <w:szCs w:val="21"/>
                <w:highlight w:val="none"/>
                <w:lang w:eastAsia="zh-Hans"/>
              </w:rPr>
            </w:pPr>
            <w:r>
              <w:rPr>
                <w:rFonts w:hint="eastAsia" w:ascii="宋体" w:hAnsi="宋体" w:cs="宋体"/>
                <w:szCs w:val="21"/>
                <w:highlight w:val="none"/>
                <w:lang w:eastAsia="zh-Hans"/>
              </w:rPr>
              <w:t>资产检索</w:t>
            </w:r>
          </w:p>
        </w:tc>
        <w:tc>
          <w:tcPr>
            <w:tcW w:w="3811" w:type="pct"/>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单位、设备、软件、服务、系统、网站、机房、网络的全局检索</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，检索方式支持预置条件快速检索方式以及支持高级搜索模式；</w:t>
            </w:r>
          </w:p>
          <w:p>
            <w:pPr>
              <w:rPr>
                <w:rFonts w:ascii="宋体" w:hAnsi="宋体" w:cs="宋体"/>
                <w:szCs w:val="21"/>
                <w:highlight w:val="none"/>
                <w:lang w:eastAsia="zh-Hans"/>
              </w:rPr>
            </w:pPr>
            <w:r>
              <w:rPr>
                <w:rFonts w:hint="eastAsia" w:ascii="宋体" w:hAnsi="宋体" w:cs="宋体"/>
                <w:szCs w:val="21"/>
                <w:highlight w:val="none"/>
                <w:lang w:eastAsia="zh-Hans"/>
              </w:rPr>
              <w:t>高级搜索模式支持查询语句的编写；</w:t>
            </w:r>
          </w:p>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保存搜索场景以及查看搜索历史</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p>
        </w:tc>
      </w:tr>
      <w:tr>
        <w:tc>
          <w:tcPr>
            <w:tcW w:w="592" w:type="pct"/>
            <w:vMerge w:val="restart"/>
          </w:tcPr>
          <w:p>
            <w:pPr>
              <w:rPr>
                <w:rFonts w:ascii="宋体" w:hAnsi="宋体" w:cs="宋体"/>
                <w:szCs w:val="21"/>
                <w:highlight w:val="none"/>
                <w:lang w:eastAsia="zh-Hans"/>
              </w:rPr>
            </w:pPr>
            <w:r>
              <w:rPr>
                <w:rFonts w:hint="eastAsia" w:ascii="宋体" w:hAnsi="宋体" w:cs="宋体"/>
                <w:szCs w:val="21"/>
                <w:highlight w:val="none"/>
                <w:lang w:eastAsia="zh-Hans"/>
              </w:rPr>
              <w:t>资产管理</w:t>
            </w:r>
          </w:p>
        </w:tc>
        <w:tc>
          <w:tcPr>
            <w:tcW w:w="597" w:type="pct"/>
            <w:vAlign w:val="center"/>
          </w:tcPr>
          <w:p>
            <w:pPr>
              <w:rPr>
                <w:rFonts w:ascii="宋体" w:hAnsi="宋体" w:cs="宋体"/>
                <w:szCs w:val="21"/>
                <w:highlight w:val="none"/>
                <w:lang w:eastAsia="zh-Hans"/>
              </w:rPr>
            </w:pPr>
            <w:r>
              <w:rPr>
                <w:rFonts w:hint="eastAsia" w:ascii="宋体" w:hAnsi="宋体" w:cs="宋体"/>
                <w:szCs w:val="21"/>
                <w:highlight w:val="none"/>
              </w:rPr>
              <w:t>单位维护</w:t>
            </w:r>
          </w:p>
        </w:tc>
        <w:tc>
          <w:tcPr>
            <w:tcW w:w="3811" w:type="pct"/>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rPr>
              <w:t>对单位实体的查看、新增、编辑、删除、查看详情、批量操作以及打标签</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单位画像，从单位维度分析安全状况、安全业务响应情况等</w:t>
            </w:r>
            <w:r>
              <w:rPr>
                <w:rFonts w:hint="eastAsia" w:ascii="宋体" w:hAnsi="宋体" w:cs="宋体"/>
                <w:szCs w:val="21"/>
                <w:highlight w:val="none"/>
                <w:lang w:val="en-US" w:eastAsia="zh-CN"/>
              </w:rPr>
              <w:t>能力。</w:t>
            </w:r>
          </w:p>
        </w:tc>
      </w:tr>
      <w:tr>
        <w:tc>
          <w:tcPr>
            <w:tcW w:w="592" w:type="pct"/>
            <w:vMerge w:val="continue"/>
          </w:tcPr>
          <w:p>
            <w:pPr>
              <w:rPr>
                <w:rFonts w:ascii="宋体" w:hAnsi="宋体" w:cs="宋体"/>
                <w:szCs w:val="21"/>
                <w:highlight w:val="none"/>
                <w:lang w:eastAsia="zh-Hans"/>
              </w:rPr>
            </w:pPr>
          </w:p>
        </w:tc>
        <w:tc>
          <w:tcPr>
            <w:tcW w:w="597" w:type="pct"/>
            <w:vAlign w:val="center"/>
          </w:tcPr>
          <w:p>
            <w:pPr>
              <w:rPr>
                <w:rFonts w:ascii="宋体" w:hAnsi="宋体" w:cs="宋体"/>
                <w:szCs w:val="21"/>
                <w:highlight w:val="none"/>
                <w:lang w:eastAsia="zh-Hans"/>
              </w:rPr>
            </w:pPr>
            <w:r>
              <w:rPr>
                <w:rFonts w:hint="eastAsia" w:ascii="宋体" w:hAnsi="宋体" w:cs="宋体"/>
                <w:szCs w:val="21"/>
                <w:highlight w:val="none"/>
              </w:rPr>
              <w:t>系统维护</w:t>
            </w:r>
          </w:p>
        </w:tc>
        <w:tc>
          <w:tcPr>
            <w:tcW w:w="3811" w:type="pct"/>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rPr>
              <w:t>对系统实体的查看、新增、编辑、删除、批量修改和打标签以及详情查看</w:t>
            </w:r>
            <w:r>
              <w:rPr>
                <w:rFonts w:hint="eastAsia" w:ascii="宋体" w:hAnsi="宋体" w:cs="宋体"/>
                <w:szCs w:val="21"/>
                <w:highlight w:val="none"/>
                <w:lang w:val="en-US" w:eastAsia="zh-CN"/>
              </w:rPr>
              <w:t>的能力。</w:t>
            </w:r>
          </w:p>
        </w:tc>
      </w:tr>
      <w:tr>
        <w:tc>
          <w:tcPr>
            <w:tcW w:w="592" w:type="pct"/>
            <w:vMerge w:val="continue"/>
          </w:tcPr>
          <w:p>
            <w:pPr>
              <w:rPr>
                <w:rFonts w:ascii="宋体" w:hAnsi="宋体" w:cs="宋体"/>
                <w:szCs w:val="21"/>
                <w:highlight w:val="none"/>
                <w:lang w:eastAsia="zh-Hans"/>
              </w:rPr>
            </w:pPr>
          </w:p>
        </w:tc>
        <w:tc>
          <w:tcPr>
            <w:tcW w:w="597" w:type="pct"/>
            <w:vAlign w:val="center"/>
          </w:tcPr>
          <w:p>
            <w:pPr>
              <w:rPr>
                <w:rFonts w:ascii="宋体" w:hAnsi="宋体" w:cs="宋体"/>
                <w:szCs w:val="21"/>
                <w:highlight w:val="none"/>
                <w:lang w:eastAsia="zh-Hans"/>
              </w:rPr>
            </w:pPr>
            <w:r>
              <w:rPr>
                <w:rFonts w:hint="eastAsia" w:ascii="宋体" w:hAnsi="宋体" w:cs="宋体"/>
                <w:szCs w:val="21"/>
                <w:highlight w:val="none"/>
              </w:rPr>
              <w:t>软件维护</w:t>
            </w:r>
          </w:p>
        </w:tc>
        <w:tc>
          <w:tcPr>
            <w:tcW w:w="3811" w:type="pct"/>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rPr>
              <w:t>对软件实体的查看、批量打标签和详情查看</w:t>
            </w:r>
            <w:r>
              <w:rPr>
                <w:rFonts w:hint="eastAsia" w:ascii="宋体" w:hAnsi="宋体" w:cs="宋体"/>
                <w:szCs w:val="21"/>
                <w:highlight w:val="none"/>
                <w:lang w:val="en-US" w:eastAsia="zh-CN"/>
              </w:rPr>
              <w:t>的能力。</w:t>
            </w:r>
          </w:p>
        </w:tc>
      </w:tr>
      <w:tr>
        <w:tc>
          <w:tcPr>
            <w:tcW w:w="592" w:type="pct"/>
            <w:vMerge w:val="continue"/>
          </w:tcPr>
          <w:p>
            <w:pPr>
              <w:rPr>
                <w:rFonts w:ascii="宋体" w:hAnsi="宋体" w:cs="宋体"/>
                <w:szCs w:val="21"/>
                <w:highlight w:val="none"/>
                <w:lang w:eastAsia="zh-Hans"/>
              </w:rPr>
            </w:pPr>
          </w:p>
        </w:tc>
        <w:tc>
          <w:tcPr>
            <w:tcW w:w="597" w:type="pct"/>
            <w:vAlign w:val="center"/>
          </w:tcPr>
          <w:p>
            <w:pPr>
              <w:rPr>
                <w:rFonts w:ascii="宋体" w:hAnsi="宋体" w:cs="宋体"/>
                <w:szCs w:val="21"/>
                <w:highlight w:val="none"/>
                <w:lang w:eastAsia="zh-Hans"/>
              </w:rPr>
            </w:pPr>
            <w:r>
              <w:rPr>
                <w:rFonts w:hint="eastAsia" w:ascii="宋体" w:hAnsi="宋体" w:cs="宋体"/>
                <w:szCs w:val="21"/>
                <w:highlight w:val="none"/>
              </w:rPr>
              <w:t>设备维护</w:t>
            </w:r>
          </w:p>
        </w:tc>
        <w:tc>
          <w:tcPr>
            <w:tcW w:w="3811" w:type="pct"/>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rPr>
              <w:t>对设备实体的查看、新增、编辑、删除、批量打标签、详情查看以及多网卡融合</w:t>
            </w:r>
            <w:r>
              <w:rPr>
                <w:rFonts w:hint="eastAsia" w:ascii="宋体" w:hAnsi="宋体" w:cs="宋体"/>
                <w:szCs w:val="21"/>
                <w:highlight w:val="none"/>
                <w:lang w:val="en-US" w:eastAsia="zh-CN"/>
              </w:rPr>
              <w:t>的能力。</w:t>
            </w:r>
          </w:p>
        </w:tc>
      </w:tr>
      <w:tr>
        <w:tc>
          <w:tcPr>
            <w:tcW w:w="592" w:type="pct"/>
            <w:vMerge w:val="continue"/>
          </w:tcPr>
          <w:p>
            <w:pPr>
              <w:rPr>
                <w:rFonts w:ascii="宋体" w:hAnsi="宋体" w:cs="宋体"/>
                <w:szCs w:val="21"/>
                <w:highlight w:val="none"/>
                <w:lang w:eastAsia="zh-Hans"/>
              </w:rPr>
            </w:pPr>
          </w:p>
        </w:tc>
        <w:tc>
          <w:tcPr>
            <w:tcW w:w="597" w:type="pct"/>
            <w:vAlign w:val="center"/>
          </w:tcPr>
          <w:p>
            <w:pPr>
              <w:rPr>
                <w:rFonts w:ascii="宋体" w:hAnsi="宋体" w:cs="宋体"/>
                <w:szCs w:val="21"/>
                <w:highlight w:val="none"/>
                <w:lang w:eastAsia="zh-Hans"/>
              </w:rPr>
            </w:pPr>
            <w:r>
              <w:rPr>
                <w:rFonts w:hint="eastAsia" w:ascii="宋体" w:hAnsi="宋体" w:cs="宋体"/>
                <w:szCs w:val="21"/>
                <w:highlight w:val="none"/>
              </w:rPr>
              <w:t>服务维护</w:t>
            </w:r>
          </w:p>
        </w:tc>
        <w:tc>
          <w:tcPr>
            <w:tcW w:w="3811" w:type="pct"/>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rPr>
              <w:t>对服务实体的查看、批量打标签和详情查看</w:t>
            </w:r>
            <w:r>
              <w:rPr>
                <w:rFonts w:hint="eastAsia" w:ascii="宋体" w:hAnsi="宋体" w:cs="宋体"/>
                <w:szCs w:val="21"/>
                <w:highlight w:val="none"/>
                <w:lang w:val="en-US" w:eastAsia="zh-CN"/>
              </w:rPr>
              <w:t>的能力。</w:t>
            </w:r>
          </w:p>
        </w:tc>
      </w:tr>
      <w:tr>
        <w:tc>
          <w:tcPr>
            <w:tcW w:w="592" w:type="pct"/>
            <w:vMerge w:val="continue"/>
          </w:tcPr>
          <w:p>
            <w:pPr>
              <w:rPr>
                <w:rFonts w:ascii="宋体" w:hAnsi="宋体" w:cs="宋体"/>
                <w:szCs w:val="21"/>
                <w:highlight w:val="none"/>
                <w:lang w:eastAsia="zh-Hans"/>
              </w:rPr>
            </w:pPr>
          </w:p>
        </w:tc>
        <w:tc>
          <w:tcPr>
            <w:tcW w:w="597" w:type="pct"/>
            <w:vAlign w:val="center"/>
          </w:tcPr>
          <w:p>
            <w:pPr>
              <w:rPr>
                <w:rFonts w:ascii="宋体" w:hAnsi="宋体" w:cs="宋体"/>
                <w:szCs w:val="21"/>
                <w:highlight w:val="none"/>
                <w:lang w:eastAsia="zh-Hans"/>
              </w:rPr>
            </w:pPr>
            <w:r>
              <w:rPr>
                <w:rFonts w:hint="eastAsia" w:ascii="宋体" w:hAnsi="宋体" w:cs="宋体"/>
                <w:szCs w:val="21"/>
                <w:highlight w:val="none"/>
              </w:rPr>
              <w:t>网站维护</w:t>
            </w:r>
          </w:p>
        </w:tc>
        <w:tc>
          <w:tcPr>
            <w:tcW w:w="3811" w:type="pct"/>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rPr>
              <w:t>对网站实体的查看、新增、编辑、删除、批量修改和打标签以及详情查看</w:t>
            </w:r>
            <w:r>
              <w:rPr>
                <w:rFonts w:hint="eastAsia" w:ascii="宋体" w:hAnsi="宋体" w:cs="宋体"/>
                <w:szCs w:val="21"/>
                <w:highlight w:val="none"/>
                <w:lang w:val="en-US" w:eastAsia="zh-CN"/>
              </w:rPr>
              <w:t>的能力。</w:t>
            </w:r>
          </w:p>
        </w:tc>
      </w:tr>
      <w:tr>
        <w:tc>
          <w:tcPr>
            <w:tcW w:w="592" w:type="pct"/>
            <w:vMerge w:val="continue"/>
          </w:tcPr>
          <w:p>
            <w:pPr>
              <w:rPr>
                <w:rFonts w:ascii="宋体" w:hAnsi="宋体" w:cs="宋体"/>
                <w:szCs w:val="21"/>
                <w:highlight w:val="none"/>
                <w:lang w:eastAsia="zh-Hans"/>
              </w:rPr>
            </w:pPr>
          </w:p>
        </w:tc>
        <w:tc>
          <w:tcPr>
            <w:tcW w:w="597" w:type="pct"/>
            <w:vAlign w:val="center"/>
          </w:tcPr>
          <w:p>
            <w:pPr>
              <w:rPr>
                <w:rFonts w:ascii="宋体" w:hAnsi="宋体" w:cs="宋体"/>
                <w:szCs w:val="21"/>
                <w:highlight w:val="none"/>
                <w:lang w:eastAsia="zh-Hans"/>
              </w:rPr>
            </w:pPr>
            <w:r>
              <w:rPr>
                <w:rFonts w:hint="eastAsia" w:ascii="宋体" w:hAnsi="宋体" w:cs="宋体"/>
                <w:szCs w:val="21"/>
                <w:highlight w:val="none"/>
              </w:rPr>
              <w:t>机房维护</w:t>
            </w:r>
          </w:p>
        </w:tc>
        <w:tc>
          <w:tcPr>
            <w:tcW w:w="3811" w:type="pct"/>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rPr>
              <w:t>对机房实体的查看、新增、编辑、删除、批量修改和打标签以及详情查看</w:t>
            </w:r>
            <w:r>
              <w:rPr>
                <w:rFonts w:hint="eastAsia" w:ascii="宋体" w:hAnsi="宋体" w:cs="宋体"/>
                <w:szCs w:val="21"/>
                <w:highlight w:val="none"/>
                <w:lang w:val="en-US" w:eastAsia="zh-CN"/>
              </w:rPr>
              <w:t>的能力。</w:t>
            </w:r>
          </w:p>
        </w:tc>
      </w:tr>
      <w:tr>
        <w:tc>
          <w:tcPr>
            <w:tcW w:w="592" w:type="pct"/>
            <w:vMerge w:val="continue"/>
          </w:tcPr>
          <w:p>
            <w:pPr>
              <w:rPr>
                <w:rFonts w:ascii="宋体" w:hAnsi="宋体" w:cs="宋体"/>
                <w:szCs w:val="21"/>
                <w:highlight w:val="none"/>
                <w:lang w:eastAsia="zh-Hans"/>
              </w:rPr>
            </w:pPr>
          </w:p>
        </w:tc>
        <w:tc>
          <w:tcPr>
            <w:tcW w:w="597" w:type="pct"/>
            <w:vMerge w:val="restart"/>
          </w:tcPr>
          <w:p>
            <w:pPr>
              <w:rPr>
                <w:rFonts w:ascii="宋体" w:hAnsi="宋体" w:cs="宋体"/>
                <w:szCs w:val="21"/>
                <w:highlight w:val="none"/>
                <w:lang w:eastAsia="zh-Hans"/>
              </w:rPr>
            </w:pPr>
            <w:r>
              <w:rPr>
                <w:rFonts w:hint="eastAsia" w:ascii="宋体" w:hAnsi="宋体" w:cs="宋体"/>
                <w:szCs w:val="21"/>
                <w:highlight w:val="none"/>
                <w:lang w:eastAsia="zh-Hans"/>
              </w:rPr>
              <w:t>底层资产关系模型</w:t>
            </w:r>
          </w:p>
        </w:tc>
        <w:tc>
          <w:tcPr>
            <w:tcW w:w="3811" w:type="pct"/>
          </w:tcPr>
          <w:p>
            <w:pPr>
              <w:rPr>
                <w:rFonts w:ascii="宋体" w:hAnsi="宋体" w:cs="宋体"/>
                <w:szCs w:val="21"/>
                <w:highlight w:val="none"/>
                <w:lang w:eastAsia="zh-Hans"/>
              </w:rPr>
            </w:pPr>
            <w:r>
              <w:rPr>
                <w:rFonts w:hint="eastAsia" w:ascii="宋体" w:hAnsi="宋体" w:cs="宋体"/>
                <w:szCs w:val="21"/>
                <w:highlight w:val="none"/>
                <w:lang w:eastAsia="zh-CN"/>
              </w:rPr>
              <w:t>实现多源资产数据的汇聚、融合、运营流程以及基础的资产管理能力。</w:t>
            </w:r>
          </w:p>
        </w:tc>
      </w:tr>
      <w:tr>
        <w:tc>
          <w:tcPr>
            <w:tcW w:w="592" w:type="pct"/>
            <w:vMerge w:val="continue"/>
          </w:tcPr>
          <w:p>
            <w:pPr>
              <w:rPr>
                <w:rFonts w:ascii="宋体" w:hAnsi="宋体" w:cs="宋体"/>
                <w:szCs w:val="21"/>
                <w:highlight w:val="none"/>
                <w:lang w:eastAsia="zh-Hans"/>
              </w:rPr>
            </w:pPr>
          </w:p>
        </w:tc>
        <w:tc>
          <w:tcPr>
            <w:tcW w:w="597" w:type="pct"/>
            <w:vMerge w:val="continue"/>
          </w:tcPr>
          <w:p>
            <w:pPr>
              <w:rPr>
                <w:rFonts w:ascii="宋体" w:hAnsi="宋体" w:cs="宋体"/>
                <w:szCs w:val="21"/>
                <w:highlight w:val="none"/>
                <w:lang w:eastAsia="zh-Hans"/>
              </w:rPr>
            </w:pPr>
          </w:p>
        </w:tc>
        <w:tc>
          <w:tcPr>
            <w:tcW w:w="3811" w:type="pct"/>
          </w:tcPr>
          <w:p>
            <w:pPr>
              <w:rPr>
                <w:rFonts w:ascii="宋体" w:hAnsi="宋体" w:cs="宋体"/>
                <w:szCs w:val="21"/>
                <w:highlight w:val="none"/>
                <w:lang w:eastAsia="zh-Hans"/>
              </w:rPr>
            </w:pPr>
            <w:r>
              <w:rPr>
                <w:rFonts w:hint="eastAsia" w:ascii="宋体" w:hAnsi="宋体" w:cs="宋体"/>
                <w:szCs w:val="21"/>
                <w:highlight w:val="none"/>
                <w:lang w:eastAsia="zh-Hans"/>
              </w:rPr>
              <w:t>资产关系模型至少需要建立如下关系：</w:t>
            </w:r>
          </w:p>
          <w:p>
            <w:pPr>
              <w:rPr>
                <w:rFonts w:hint="eastAsia" w:ascii="宋体" w:hAnsi="宋体" w:eastAsia="宋体" w:cs="宋体"/>
                <w:szCs w:val="21"/>
                <w:highlight w:val="none"/>
                <w:lang w:eastAsia="zh-CN"/>
              </w:rPr>
            </w:pPr>
            <w:r>
              <w:rPr>
                <w:rFonts w:hint="eastAsia" w:ascii="宋体" w:hAnsi="宋体" w:cs="宋体"/>
                <w:szCs w:val="21"/>
                <w:highlight w:val="none"/>
                <w:lang w:eastAsia="zh-Hans"/>
              </w:rPr>
              <w:t>设备能够关联软件；软件能关联服务；设备能关联系统；系统能关联网站；设备、系统、网站能关联到云平台、网络、单位、机房、人员等信息</w:t>
            </w:r>
            <w:r>
              <w:rPr>
                <w:rFonts w:hint="eastAsia" w:ascii="宋体" w:hAnsi="宋体" w:cs="宋体"/>
                <w:szCs w:val="21"/>
                <w:highlight w:val="none"/>
                <w:lang w:eastAsia="zh-CN"/>
              </w:rPr>
              <w:t>。</w:t>
            </w:r>
          </w:p>
        </w:tc>
      </w:tr>
      <w:tr>
        <w:tc>
          <w:tcPr>
            <w:tcW w:w="592" w:type="pct"/>
            <w:vMerge w:val="restart"/>
          </w:tcPr>
          <w:p>
            <w:pPr>
              <w:rPr>
                <w:rFonts w:ascii="宋体" w:hAnsi="宋体" w:cs="宋体"/>
                <w:szCs w:val="21"/>
                <w:highlight w:val="none"/>
                <w:lang w:eastAsia="zh-Hans"/>
              </w:rPr>
            </w:pPr>
            <w:r>
              <w:rPr>
                <w:rFonts w:hint="eastAsia" w:ascii="宋体" w:hAnsi="宋体" w:cs="宋体"/>
                <w:szCs w:val="21"/>
                <w:highlight w:val="none"/>
                <w:lang w:eastAsia="zh-Hans"/>
              </w:rPr>
              <w:t>资产发现</w:t>
            </w:r>
          </w:p>
        </w:tc>
        <w:tc>
          <w:tcPr>
            <w:tcW w:w="597" w:type="pct"/>
          </w:tcPr>
          <w:p>
            <w:pPr>
              <w:rPr>
                <w:rFonts w:ascii="宋体" w:hAnsi="宋体" w:cs="宋体"/>
                <w:szCs w:val="21"/>
                <w:highlight w:val="none"/>
                <w:lang w:eastAsia="zh-Hans"/>
              </w:rPr>
            </w:pPr>
            <w:r>
              <w:rPr>
                <w:rFonts w:hint="eastAsia" w:ascii="宋体" w:hAnsi="宋体" w:cs="宋体"/>
                <w:szCs w:val="21"/>
                <w:highlight w:val="none"/>
                <w:lang w:eastAsia="zh-Hans"/>
              </w:rPr>
              <w:t>原始资产查询</w:t>
            </w:r>
          </w:p>
        </w:tc>
        <w:tc>
          <w:tcPr>
            <w:tcW w:w="3811" w:type="pct"/>
            <w:vAlign w:val="center"/>
          </w:tcPr>
          <w:p>
            <w:pP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rPr>
              <w:t>对原始资产使用快捷检索和高级检索两种模式进行检索</w:t>
            </w:r>
            <w:r>
              <w:rPr>
                <w:rFonts w:hint="eastAsia" w:ascii="宋体" w:hAnsi="宋体" w:cs="宋体"/>
                <w:szCs w:val="21"/>
                <w:highlight w:val="none"/>
                <w:lang w:val="en-US" w:eastAsia="zh-CN"/>
              </w:rPr>
              <w:t>的能力</w:t>
            </w:r>
            <w:r>
              <w:rPr>
                <w:rFonts w:hint="eastAsia" w:ascii="宋体" w:hAnsi="宋体" w:cs="宋体"/>
                <w:szCs w:val="21"/>
                <w:highlight w:val="none"/>
              </w:rPr>
              <w:t>。快捷检索支持可选择要输入的快捷搜索字段进行数据检索。语句条件支持【=】【!=】【in】【range】【exists】【no exists】；高级检索支持输出高级检索、高级检索模式支持查询语句的编写；</w:t>
            </w:r>
          </w:p>
        </w:tc>
      </w:tr>
      <w:tr>
        <w:tc>
          <w:tcPr>
            <w:tcW w:w="592" w:type="pct"/>
            <w:vMerge w:val="continue"/>
          </w:tcPr>
          <w:p>
            <w:pPr>
              <w:rPr>
                <w:rFonts w:ascii="宋体" w:hAnsi="宋体" w:cs="宋体"/>
                <w:szCs w:val="21"/>
                <w:highlight w:val="none"/>
                <w:lang w:eastAsia="zh-Hans"/>
              </w:rPr>
            </w:pPr>
          </w:p>
        </w:tc>
        <w:tc>
          <w:tcPr>
            <w:tcW w:w="597" w:type="pct"/>
          </w:tcPr>
          <w:p>
            <w:pPr>
              <w:rPr>
                <w:rFonts w:ascii="宋体" w:hAnsi="宋体" w:cs="宋体"/>
                <w:szCs w:val="21"/>
                <w:highlight w:val="none"/>
                <w:lang w:eastAsia="zh-Hans"/>
              </w:rPr>
            </w:pPr>
            <w:r>
              <w:rPr>
                <w:rFonts w:hint="eastAsia" w:ascii="宋体" w:hAnsi="宋体" w:cs="宋体"/>
                <w:szCs w:val="21"/>
                <w:highlight w:val="none"/>
                <w:lang w:eastAsia="zh-Hans"/>
              </w:rPr>
              <w:t>数据源管理配置</w:t>
            </w:r>
          </w:p>
        </w:tc>
        <w:tc>
          <w:tcPr>
            <w:tcW w:w="3811" w:type="pct"/>
            <w:vAlign w:val="center"/>
          </w:tcPr>
          <w:p>
            <w:pPr>
              <w:rPr>
                <w:rFonts w:ascii="宋体" w:hAnsi="宋体" w:cs="宋体"/>
                <w:szCs w:val="21"/>
                <w:highlight w:val="none"/>
                <w:lang w:eastAsia="zh-Hans"/>
              </w:rPr>
            </w:pPr>
            <w:r>
              <w:rPr>
                <w:rFonts w:hint="eastAsia" w:ascii="宋体" w:hAnsi="宋体" w:cs="宋体"/>
                <w:szCs w:val="21"/>
                <w:highlight w:val="none"/>
              </w:rPr>
              <w:t xml:space="preserve">1 </w:t>
            </w:r>
            <w:r>
              <w:rPr>
                <w:rFonts w:hint="eastAsia" w:ascii="宋体" w:hAnsi="宋体" w:cs="宋体"/>
                <w:szCs w:val="21"/>
                <w:highlight w:val="none"/>
                <w:lang w:eastAsia="zh-CN"/>
              </w:rPr>
              <w:t>配置</w:t>
            </w:r>
            <w:r>
              <w:rPr>
                <w:rFonts w:hint="eastAsia" w:ascii="宋体" w:hAnsi="宋体" w:cs="宋体"/>
                <w:szCs w:val="21"/>
                <w:highlight w:val="none"/>
              </w:rPr>
              <w:t>根据搜索条件查询当前接入的数据源情况以及对应数据源设备的连接状态</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rPr>
              <w:br w:type="textWrapping"/>
            </w:r>
            <w:r>
              <w:rPr>
                <w:rFonts w:hint="eastAsia" w:ascii="宋体" w:hAnsi="宋体" w:cs="宋体"/>
                <w:szCs w:val="21"/>
                <w:highlight w:val="none"/>
              </w:rPr>
              <w:t xml:space="preserve">2 </w:t>
            </w:r>
            <w:r>
              <w:rPr>
                <w:rFonts w:hint="eastAsia" w:ascii="宋体" w:hAnsi="宋体" w:cs="宋体"/>
                <w:szCs w:val="21"/>
                <w:highlight w:val="none"/>
                <w:lang w:eastAsia="zh-CN"/>
              </w:rPr>
              <w:t>配置</w:t>
            </w:r>
            <w:r>
              <w:rPr>
                <w:rFonts w:hint="eastAsia" w:ascii="宋体" w:hAnsi="宋体" w:cs="宋体"/>
                <w:szCs w:val="21"/>
                <w:highlight w:val="none"/>
              </w:rPr>
              <w:t>数据源获取的启用停用状态的切换</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rPr>
              <w:br w:type="textWrapping"/>
            </w:r>
            <w:r>
              <w:rPr>
                <w:rFonts w:hint="eastAsia" w:ascii="宋体" w:hAnsi="宋体" w:cs="宋体"/>
                <w:szCs w:val="21"/>
                <w:highlight w:val="none"/>
              </w:rPr>
              <w:t xml:space="preserve">3 </w:t>
            </w:r>
            <w:r>
              <w:rPr>
                <w:rFonts w:hint="eastAsia" w:ascii="宋体" w:hAnsi="宋体" w:cs="宋体"/>
                <w:szCs w:val="21"/>
                <w:highlight w:val="none"/>
                <w:lang w:eastAsia="zh-CN"/>
              </w:rPr>
              <w:t>配置</w:t>
            </w:r>
            <w:r>
              <w:rPr>
                <w:rFonts w:hint="eastAsia" w:ascii="宋体" w:hAnsi="宋体" w:cs="宋体"/>
                <w:szCs w:val="21"/>
                <w:highlight w:val="none"/>
              </w:rPr>
              <w:t>新增数据源配置（包括新增、编辑、删除）</w:t>
            </w:r>
            <w:r>
              <w:rPr>
                <w:rFonts w:hint="eastAsia" w:ascii="宋体" w:hAnsi="宋体" w:cs="宋体"/>
                <w:szCs w:val="21"/>
                <w:highlight w:val="none"/>
                <w:lang w:val="en-US" w:eastAsia="zh-CN"/>
              </w:rPr>
              <w:t>的能力。</w:t>
            </w:r>
          </w:p>
        </w:tc>
      </w:tr>
      <w:tr>
        <w:tc>
          <w:tcPr>
            <w:tcW w:w="592" w:type="pct"/>
            <w:vMerge w:val="continue"/>
          </w:tcPr>
          <w:p>
            <w:pPr>
              <w:rPr>
                <w:rFonts w:ascii="宋体" w:hAnsi="宋体" w:cs="宋体"/>
                <w:szCs w:val="21"/>
                <w:highlight w:val="none"/>
                <w:lang w:eastAsia="zh-Hans"/>
              </w:rPr>
            </w:pPr>
          </w:p>
        </w:tc>
        <w:tc>
          <w:tcPr>
            <w:tcW w:w="597" w:type="pct"/>
            <w:vAlign w:val="center"/>
          </w:tcPr>
          <w:p>
            <w:pPr>
              <w:rPr>
                <w:rFonts w:ascii="宋体" w:hAnsi="宋体" w:cs="宋体"/>
                <w:szCs w:val="21"/>
                <w:highlight w:val="none"/>
                <w:lang w:eastAsia="zh-Hans"/>
              </w:rPr>
            </w:pPr>
            <w:r>
              <w:rPr>
                <w:rFonts w:hint="eastAsia" w:ascii="宋体" w:hAnsi="宋体" w:cs="宋体"/>
                <w:szCs w:val="21"/>
                <w:highlight w:val="none"/>
              </w:rPr>
              <w:t>扫描任务配置</w:t>
            </w:r>
          </w:p>
        </w:tc>
        <w:tc>
          <w:tcPr>
            <w:tcW w:w="3811" w:type="pct"/>
            <w:vAlign w:val="center"/>
          </w:tcPr>
          <w:p>
            <w:pPr>
              <w:rPr>
                <w:rFonts w:ascii="宋体" w:hAnsi="宋体" w:cs="宋体"/>
                <w:szCs w:val="21"/>
                <w:highlight w:val="none"/>
                <w:lang w:eastAsia="zh-Hans"/>
              </w:rPr>
            </w:pPr>
            <w:r>
              <w:rPr>
                <w:rFonts w:hint="eastAsia" w:ascii="宋体" w:hAnsi="宋体" w:cs="宋体"/>
                <w:szCs w:val="21"/>
                <w:highlight w:val="none"/>
              </w:rPr>
              <w:t xml:space="preserve">1 </w:t>
            </w:r>
            <w:r>
              <w:rPr>
                <w:rFonts w:hint="eastAsia" w:ascii="宋体" w:hAnsi="宋体" w:cs="宋体"/>
                <w:szCs w:val="21"/>
                <w:highlight w:val="none"/>
                <w:lang w:eastAsia="zh-CN"/>
              </w:rPr>
              <w:t>配置</w:t>
            </w:r>
            <w:r>
              <w:rPr>
                <w:rFonts w:hint="eastAsia" w:ascii="宋体" w:hAnsi="宋体" w:cs="宋体"/>
                <w:szCs w:val="21"/>
                <w:highlight w:val="none"/>
              </w:rPr>
              <w:t>对扫描任务的检索</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rPr>
              <w:br w:type="textWrapping"/>
            </w:r>
            <w:r>
              <w:rPr>
                <w:rFonts w:hint="eastAsia" w:ascii="宋体" w:hAnsi="宋体" w:cs="宋体"/>
                <w:szCs w:val="21"/>
                <w:highlight w:val="none"/>
              </w:rPr>
              <w:t xml:space="preserve">2 </w:t>
            </w:r>
            <w:r>
              <w:rPr>
                <w:rFonts w:hint="eastAsia" w:ascii="宋体" w:hAnsi="宋体" w:cs="宋体"/>
                <w:szCs w:val="21"/>
                <w:highlight w:val="none"/>
                <w:lang w:eastAsia="zh-CN"/>
              </w:rPr>
              <w:t>配置</w:t>
            </w:r>
            <w:r>
              <w:rPr>
                <w:rFonts w:hint="eastAsia" w:ascii="宋体" w:hAnsi="宋体" w:cs="宋体"/>
                <w:szCs w:val="21"/>
                <w:highlight w:val="none"/>
              </w:rPr>
              <w:t>扫描任务的管理，包括创建、编辑和删除</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rPr>
              <w:br w:type="textWrapping"/>
            </w:r>
            <w:r>
              <w:rPr>
                <w:rFonts w:hint="eastAsia" w:ascii="宋体" w:hAnsi="宋体" w:cs="宋体"/>
                <w:szCs w:val="21"/>
                <w:highlight w:val="none"/>
              </w:rPr>
              <w:t xml:space="preserve">3 </w:t>
            </w:r>
            <w:r>
              <w:rPr>
                <w:rFonts w:hint="eastAsia" w:ascii="宋体" w:hAnsi="宋体" w:cs="宋体"/>
                <w:szCs w:val="21"/>
                <w:highlight w:val="none"/>
                <w:lang w:eastAsia="zh-CN"/>
              </w:rPr>
              <w:t>配置</w:t>
            </w:r>
            <w:r>
              <w:rPr>
                <w:rFonts w:hint="eastAsia" w:ascii="宋体" w:hAnsi="宋体" w:cs="宋体"/>
                <w:szCs w:val="21"/>
                <w:highlight w:val="none"/>
              </w:rPr>
              <w:t>对扫描任务的批量启动和批量停止</w:t>
            </w:r>
            <w:r>
              <w:rPr>
                <w:rFonts w:hint="eastAsia" w:ascii="宋体" w:hAnsi="宋体" w:cs="宋体"/>
                <w:szCs w:val="21"/>
                <w:highlight w:val="none"/>
                <w:lang w:val="en-US" w:eastAsia="zh-CN"/>
              </w:rPr>
              <w:t>的能力；</w:t>
            </w:r>
            <w:r>
              <w:rPr>
                <w:rFonts w:hint="eastAsia" w:ascii="宋体" w:hAnsi="宋体" w:cs="宋体"/>
                <w:szCs w:val="21"/>
                <w:highlight w:val="none"/>
              </w:rPr>
              <w:br w:type="textWrapping"/>
            </w:r>
            <w:r>
              <w:rPr>
                <w:rFonts w:hint="eastAsia" w:ascii="宋体" w:hAnsi="宋体" w:cs="宋体"/>
                <w:szCs w:val="21"/>
                <w:highlight w:val="none"/>
              </w:rPr>
              <w:t xml:space="preserve">4 </w:t>
            </w:r>
            <w:r>
              <w:rPr>
                <w:rFonts w:hint="eastAsia" w:ascii="宋体" w:hAnsi="宋体" w:cs="宋体"/>
                <w:szCs w:val="21"/>
                <w:highlight w:val="none"/>
                <w:lang w:eastAsia="zh-CN"/>
              </w:rPr>
              <w:t>配置</w:t>
            </w:r>
            <w:r>
              <w:rPr>
                <w:rFonts w:hint="eastAsia" w:ascii="宋体" w:hAnsi="宋体" w:cs="宋体"/>
                <w:szCs w:val="21"/>
                <w:highlight w:val="none"/>
              </w:rPr>
              <w:t>对扫描网段的基本管理，包括创建、编辑和删除</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rPr>
              <w:br w:type="textWrapping"/>
            </w:r>
            <w:r>
              <w:rPr>
                <w:rFonts w:hint="eastAsia" w:ascii="宋体" w:hAnsi="宋体" w:cs="宋体"/>
                <w:szCs w:val="21"/>
                <w:highlight w:val="none"/>
              </w:rPr>
              <w:t xml:space="preserve">5 </w:t>
            </w:r>
            <w:r>
              <w:rPr>
                <w:rFonts w:hint="eastAsia" w:ascii="宋体" w:hAnsi="宋体" w:cs="宋体"/>
                <w:szCs w:val="21"/>
                <w:highlight w:val="none"/>
                <w:lang w:eastAsia="zh-CN"/>
              </w:rPr>
              <w:t>配置</w:t>
            </w:r>
            <w:r>
              <w:rPr>
                <w:rFonts w:hint="eastAsia" w:ascii="宋体" w:hAnsi="宋体" w:cs="宋体"/>
                <w:szCs w:val="21"/>
                <w:highlight w:val="none"/>
              </w:rPr>
              <w:t>对扫描网段的检索</w:t>
            </w:r>
            <w:r>
              <w:rPr>
                <w:rFonts w:hint="eastAsia" w:ascii="宋体" w:hAnsi="宋体" w:cs="宋体"/>
                <w:szCs w:val="21"/>
                <w:highlight w:val="none"/>
                <w:lang w:val="en-US" w:eastAsia="zh-CN"/>
              </w:rPr>
              <w:t>的能力。</w:t>
            </w:r>
          </w:p>
        </w:tc>
      </w:tr>
      <w:tr>
        <w:tc>
          <w:tcPr>
            <w:tcW w:w="592" w:type="pct"/>
            <w:vMerge w:val="restart"/>
          </w:tcPr>
          <w:p>
            <w:pPr>
              <w:rPr>
                <w:rFonts w:ascii="宋体" w:hAnsi="宋体" w:cs="宋体"/>
                <w:szCs w:val="21"/>
                <w:highlight w:val="none"/>
                <w:lang w:eastAsia="zh-Hans"/>
              </w:rPr>
            </w:pPr>
            <w:r>
              <w:rPr>
                <w:rFonts w:hint="eastAsia" w:ascii="宋体" w:hAnsi="宋体" w:cs="宋体"/>
                <w:szCs w:val="21"/>
                <w:highlight w:val="none"/>
                <w:lang w:eastAsia="zh-Hans"/>
              </w:rPr>
              <w:t>资产运营</w:t>
            </w:r>
          </w:p>
        </w:tc>
        <w:tc>
          <w:tcPr>
            <w:tcW w:w="597" w:type="pct"/>
            <w:vAlign w:val="center"/>
          </w:tcPr>
          <w:p>
            <w:pPr>
              <w:rPr>
                <w:rFonts w:ascii="宋体" w:hAnsi="宋体" w:cs="宋体"/>
                <w:szCs w:val="21"/>
                <w:highlight w:val="none"/>
                <w:lang w:eastAsia="zh-Hans"/>
              </w:rPr>
            </w:pPr>
            <w:r>
              <w:rPr>
                <w:rFonts w:hint="eastAsia" w:ascii="宋体" w:hAnsi="宋体" w:cs="宋体"/>
                <w:szCs w:val="21"/>
                <w:highlight w:val="none"/>
              </w:rPr>
              <w:t>▲规则管理</w:t>
            </w:r>
          </w:p>
        </w:tc>
        <w:tc>
          <w:tcPr>
            <w:tcW w:w="3811" w:type="pct"/>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配置运营规则进行资产的自动运营纳管，至少包含三类规则，归属规则、运营规则、忽略规则</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1、归属规则中至少包括基于探针序列号判断归属单位；基于IP判断归属单位；基于域名判断归属单位；自动富化归属信息；基于系统判断关联设备的归属单位；基于设备判断关联系统的归属单位</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2、运营规则中自动纳管规则至少包含自动纳管发现资产；自动更新已纳管资产数据；运营规则中冲突判断最少包含流量探针类发现数据冲突判断规则；主动扫描类发现数据冲突判断规则；运营规则中融合规则至少包含设备类资产基础融合规则；网站类资产基础融合规则；软件类资产基础融合规则；服务类资产基础融合规则</w:t>
            </w:r>
            <w:r>
              <w:rPr>
                <w:rFonts w:hint="eastAsia" w:ascii="宋体" w:hAnsi="宋体" w:cs="宋体"/>
                <w:szCs w:val="21"/>
                <w:highlight w:val="none"/>
                <w:lang w:eastAsia="zh-CN"/>
              </w:rPr>
              <w:t>。</w:t>
            </w:r>
          </w:p>
        </w:tc>
      </w:tr>
      <w:tr>
        <w:tc>
          <w:tcPr>
            <w:tcW w:w="592" w:type="pct"/>
            <w:vMerge w:val="continue"/>
          </w:tcPr>
          <w:p>
            <w:pPr>
              <w:rPr>
                <w:rFonts w:ascii="宋体" w:hAnsi="宋体" w:cs="宋体"/>
                <w:szCs w:val="21"/>
                <w:highlight w:val="none"/>
                <w:lang w:eastAsia="zh-Hans"/>
              </w:rPr>
            </w:pPr>
          </w:p>
        </w:tc>
        <w:tc>
          <w:tcPr>
            <w:tcW w:w="597" w:type="pct"/>
            <w:vAlign w:val="center"/>
          </w:tcPr>
          <w:p>
            <w:pPr>
              <w:rPr>
                <w:rFonts w:ascii="宋体" w:hAnsi="宋体" w:cs="宋体"/>
                <w:szCs w:val="21"/>
                <w:highlight w:val="none"/>
                <w:lang w:eastAsia="zh-Hans"/>
              </w:rPr>
            </w:pPr>
            <w:r>
              <w:rPr>
                <w:rFonts w:hint="eastAsia" w:ascii="宋体" w:hAnsi="宋体" w:cs="宋体"/>
                <w:szCs w:val="21"/>
                <w:highlight w:val="none"/>
              </w:rPr>
              <w:t>资产归属管理</w:t>
            </w:r>
          </w:p>
        </w:tc>
        <w:tc>
          <w:tcPr>
            <w:tcW w:w="3811" w:type="pct"/>
            <w:vAlign w:val="center"/>
          </w:tcPr>
          <w:p>
            <w:pPr>
              <w:rPr>
                <w:rFonts w:ascii="宋体" w:hAnsi="宋体" w:cs="宋体"/>
                <w:szCs w:val="21"/>
                <w:highlight w:val="none"/>
              </w:rPr>
            </w:pPr>
            <w:r>
              <w:rPr>
                <w:rFonts w:hint="eastAsia" w:ascii="宋体" w:hAnsi="宋体" w:cs="宋体"/>
                <w:szCs w:val="21"/>
                <w:highlight w:val="none"/>
              </w:rPr>
              <w:t xml:space="preserve">1 </w:t>
            </w:r>
            <w:r>
              <w:rPr>
                <w:rFonts w:hint="eastAsia" w:ascii="宋体" w:hAnsi="宋体" w:cs="宋体"/>
                <w:szCs w:val="21"/>
                <w:highlight w:val="none"/>
                <w:lang w:eastAsia="zh-CN"/>
              </w:rPr>
              <w:t>配置</w:t>
            </w:r>
            <w:r>
              <w:rPr>
                <w:rFonts w:hint="eastAsia" w:ascii="宋体" w:hAnsi="宋体" w:cs="宋体"/>
                <w:szCs w:val="21"/>
                <w:highlight w:val="none"/>
              </w:rPr>
              <w:t>对资产归属设备根据检索条件进行数据检索</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rPr>
              <w:br w:type="textWrapping"/>
            </w:r>
            <w:r>
              <w:rPr>
                <w:rFonts w:hint="eastAsia" w:ascii="宋体" w:hAnsi="宋体" w:cs="宋体"/>
                <w:szCs w:val="21"/>
                <w:highlight w:val="none"/>
              </w:rPr>
              <w:t xml:space="preserve">2 </w:t>
            </w:r>
            <w:r>
              <w:rPr>
                <w:rFonts w:hint="eastAsia" w:ascii="宋体" w:hAnsi="宋体" w:cs="宋体"/>
                <w:szCs w:val="21"/>
                <w:highlight w:val="none"/>
                <w:lang w:eastAsia="zh-CN"/>
              </w:rPr>
              <w:t>配置</w:t>
            </w:r>
            <w:r>
              <w:rPr>
                <w:rFonts w:hint="eastAsia" w:ascii="宋体" w:hAnsi="宋体" w:cs="宋体"/>
                <w:szCs w:val="21"/>
                <w:highlight w:val="none"/>
              </w:rPr>
              <w:t>对设备资产设置对应的单位</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rPr>
              <w:br w:type="textWrapping"/>
            </w:r>
            <w:r>
              <w:rPr>
                <w:rFonts w:hint="eastAsia" w:ascii="宋体" w:hAnsi="宋体" w:cs="宋体"/>
                <w:szCs w:val="21"/>
                <w:highlight w:val="none"/>
              </w:rPr>
              <w:t xml:space="preserve">3 </w:t>
            </w:r>
            <w:r>
              <w:rPr>
                <w:rFonts w:hint="eastAsia" w:ascii="宋体" w:hAnsi="宋体" w:cs="宋体"/>
                <w:szCs w:val="21"/>
                <w:highlight w:val="none"/>
                <w:lang w:eastAsia="zh-CN"/>
              </w:rPr>
              <w:t>配置</w:t>
            </w:r>
            <w:r>
              <w:rPr>
                <w:rFonts w:hint="eastAsia" w:ascii="宋体" w:hAnsi="宋体" w:cs="宋体"/>
                <w:szCs w:val="21"/>
                <w:highlight w:val="none"/>
              </w:rPr>
              <w:t>对资产归属系统根据检索条件进行数据检索</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rPr>
              <w:br w:type="textWrapping"/>
            </w:r>
            <w:r>
              <w:rPr>
                <w:rFonts w:hint="eastAsia" w:ascii="宋体" w:hAnsi="宋体" w:cs="宋体"/>
                <w:szCs w:val="21"/>
                <w:highlight w:val="none"/>
              </w:rPr>
              <w:t xml:space="preserve">4 </w:t>
            </w:r>
            <w:r>
              <w:rPr>
                <w:rFonts w:hint="eastAsia" w:ascii="宋体" w:hAnsi="宋体" w:cs="宋体"/>
                <w:szCs w:val="21"/>
                <w:highlight w:val="none"/>
                <w:lang w:eastAsia="zh-CN"/>
              </w:rPr>
              <w:t>配置</w:t>
            </w:r>
            <w:r>
              <w:rPr>
                <w:rFonts w:hint="eastAsia" w:ascii="宋体" w:hAnsi="宋体" w:cs="宋体"/>
                <w:szCs w:val="21"/>
                <w:highlight w:val="none"/>
              </w:rPr>
              <w:t>对系统资产设置对应的单位</w:t>
            </w:r>
            <w:r>
              <w:rPr>
                <w:rFonts w:hint="eastAsia" w:ascii="宋体" w:hAnsi="宋体" w:cs="宋体"/>
                <w:szCs w:val="21"/>
                <w:highlight w:val="none"/>
                <w:lang w:val="en-US" w:eastAsia="zh-CN"/>
              </w:rPr>
              <w:t>的能力</w:t>
            </w:r>
            <w:r>
              <w:rPr>
                <w:rFonts w:hint="eastAsia" w:ascii="宋体" w:hAnsi="宋体" w:cs="宋体"/>
                <w:szCs w:val="21"/>
                <w:highlight w:val="none"/>
              </w:rPr>
              <w:t>；</w:t>
            </w:r>
          </w:p>
        </w:tc>
      </w:tr>
      <w:tr>
        <w:tc>
          <w:tcPr>
            <w:tcW w:w="592" w:type="pct"/>
            <w:vMerge w:val="continue"/>
          </w:tcPr>
          <w:p>
            <w:pPr>
              <w:rPr>
                <w:rFonts w:ascii="宋体" w:hAnsi="宋体" w:cs="宋体"/>
                <w:szCs w:val="21"/>
                <w:highlight w:val="none"/>
                <w:lang w:eastAsia="zh-Hans"/>
              </w:rPr>
            </w:pPr>
          </w:p>
        </w:tc>
        <w:tc>
          <w:tcPr>
            <w:tcW w:w="597" w:type="pct"/>
            <w:vAlign w:val="center"/>
          </w:tcPr>
          <w:p>
            <w:pPr>
              <w:rPr>
                <w:rFonts w:ascii="宋体" w:hAnsi="宋体" w:cs="宋体"/>
                <w:szCs w:val="21"/>
                <w:highlight w:val="none"/>
                <w:lang w:eastAsia="zh-Hans"/>
              </w:rPr>
            </w:pPr>
            <w:r>
              <w:rPr>
                <w:rFonts w:hint="eastAsia" w:ascii="宋体" w:hAnsi="宋体" w:cs="宋体"/>
                <w:szCs w:val="21"/>
                <w:highlight w:val="none"/>
              </w:rPr>
              <w:t>发现资产审核</w:t>
            </w:r>
          </w:p>
        </w:tc>
        <w:tc>
          <w:tcPr>
            <w:tcW w:w="3811" w:type="pct"/>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 xml:space="preserve">1 </w:t>
            </w:r>
            <w:r>
              <w:rPr>
                <w:rFonts w:hint="eastAsia" w:ascii="宋体" w:hAnsi="宋体" w:cs="宋体"/>
                <w:szCs w:val="21"/>
                <w:highlight w:val="none"/>
                <w:lang w:eastAsia="zh-CN"/>
              </w:rPr>
              <w:t>配置</w:t>
            </w:r>
            <w:r>
              <w:rPr>
                <w:rFonts w:hint="eastAsia" w:ascii="宋体" w:hAnsi="宋体" w:cs="宋体"/>
                <w:szCs w:val="21"/>
                <w:highlight w:val="none"/>
              </w:rPr>
              <w:t>对待处理新增和更新资产数据根据检索条件进行数据检索；</w:t>
            </w:r>
            <w:r>
              <w:rPr>
                <w:rFonts w:hint="eastAsia" w:ascii="宋体" w:hAnsi="宋体" w:cs="宋体"/>
                <w:szCs w:val="21"/>
                <w:highlight w:val="none"/>
              </w:rPr>
              <w:br w:type="textWrapping"/>
            </w:r>
            <w:r>
              <w:rPr>
                <w:rFonts w:hint="eastAsia" w:ascii="宋体" w:hAnsi="宋体" w:cs="宋体"/>
                <w:szCs w:val="21"/>
                <w:highlight w:val="none"/>
              </w:rPr>
              <w:t xml:space="preserve">2 </w:t>
            </w:r>
            <w:r>
              <w:rPr>
                <w:rFonts w:hint="eastAsia" w:ascii="宋体" w:hAnsi="宋体" w:cs="宋体"/>
                <w:szCs w:val="21"/>
                <w:highlight w:val="none"/>
                <w:lang w:eastAsia="zh-CN"/>
              </w:rPr>
              <w:t>配置</w:t>
            </w:r>
            <w:r>
              <w:rPr>
                <w:rFonts w:hint="eastAsia" w:ascii="宋体" w:hAnsi="宋体" w:cs="宋体"/>
                <w:szCs w:val="21"/>
                <w:highlight w:val="none"/>
              </w:rPr>
              <w:t>对待处理新增和更新资产数据进行数据的纳管或者忽略；</w:t>
            </w:r>
            <w:r>
              <w:rPr>
                <w:rFonts w:hint="eastAsia" w:ascii="宋体" w:hAnsi="宋体" w:cs="宋体"/>
                <w:szCs w:val="21"/>
                <w:highlight w:val="none"/>
              </w:rPr>
              <w:br w:type="textWrapping"/>
            </w:r>
            <w:r>
              <w:rPr>
                <w:rFonts w:hint="eastAsia" w:ascii="宋体" w:hAnsi="宋体" w:cs="宋体"/>
                <w:szCs w:val="21"/>
                <w:highlight w:val="none"/>
              </w:rPr>
              <w:t xml:space="preserve">3 </w:t>
            </w:r>
            <w:r>
              <w:rPr>
                <w:rFonts w:hint="eastAsia" w:ascii="宋体" w:hAnsi="宋体" w:cs="宋体"/>
                <w:szCs w:val="21"/>
                <w:highlight w:val="none"/>
                <w:lang w:eastAsia="zh-CN"/>
              </w:rPr>
              <w:t>配置</w:t>
            </w:r>
            <w:r>
              <w:rPr>
                <w:rFonts w:hint="eastAsia" w:ascii="宋体" w:hAnsi="宋体" w:cs="宋体"/>
                <w:szCs w:val="21"/>
                <w:highlight w:val="none"/>
              </w:rPr>
              <w:t>对被忽略发现数据根据检索条件进行数据检索；</w:t>
            </w:r>
            <w:r>
              <w:rPr>
                <w:rFonts w:hint="eastAsia" w:ascii="宋体" w:hAnsi="宋体" w:cs="宋体"/>
                <w:szCs w:val="21"/>
                <w:highlight w:val="none"/>
              </w:rPr>
              <w:br w:type="textWrapping"/>
            </w:r>
            <w:r>
              <w:rPr>
                <w:rFonts w:hint="eastAsia" w:ascii="宋体" w:hAnsi="宋体" w:cs="宋体"/>
                <w:szCs w:val="21"/>
                <w:highlight w:val="none"/>
              </w:rPr>
              <w:t>4 持对被忽略发现数据移出忽略列表</w:t>
            </w:r>
            <w:r>
              <w:rPr>
                <w:rFonts w:hint="eastAsia" w:ascii="宋体" w:hAnsi="宋体" w:cs="宋体"/>
                <w:szCs w:val="21"/>
                <w:highlight w:val="none"/>
                <w:lang w:eastAsia="zh-CN"/>
              </w:rPr>
              <w:t>。</w:t>
            </w:r>
          </w:p>
        </w:tc>
      </w:tr>
      <w:tr>
        <w:tc>
          <w:tcPr>
            <w:tcW w:w="592" w:type="pct"/>
            <w:vMerge w:val="restart"/>
            <w:vAlign w:val="center"/>
          </w:tcPr>
          <w:p>
            <w:pPr>
              <w:widowControl/>
              <w:jc w:val="center"/>
              <w:textAlignment w:val="center"/>
              <w:rPr>
                <w:rFonts w:ascii="宋体" w:hAnsi="宋体" w:cs="宋体"/>
                <w:szCs w:val="21"/>
                <w:highlight w:val="none"/>
                <w:lang w:eastAsia="zh-Hans"/>
              </w:rPr>
            </w:pPr>
            <w:r>
              <w:rPr>
                <w:rFonts w:hint="eastAsia" w:ascii="宋体" w:hAnsi="宋体" w:cs="宋体"/>
                <w:szCs w:val="21"/>
                <w:highlight w:val="none"/>
              </w:rPr>
              <w:t>脆弱性管理</w:t>
            </w:r>
          </w:p>
        </w:tc>
        <w:tc>
          <w:tcPr>
            <w:tcW w:w="597" w:type="pct"/>
            <w:vAlign w:val="center"/>
          </w:tcPr>
          <w:p>
            <w:pPr>
              <w:rPr>
                <w:rFonts w:ascii="宋体" w:hAnsi="宋体" w:cs="宋体"/>
                <w:szCs w:val="21"/>
                <w:highlight w:val="none"/>
              </w:rPr>
            </w:pPr>
            <w:r>
              <w:rPr>
                <w:rFonts w:hint="eastAsia" w:ascii="宋体" w:hAnsi="宋体" w:cs="宋体"/>
                <w:szCs w:val="21"/>
                <w:highlight w:val="none"/>
              </w:rPr>
              <w:t>资产脆弱性</w:t>
            </w:r>
          </w:p>
        </w:tc>
        <w:tc>
          <w:tcPr>
            <w:tcW w:w="3811" w:type="pct"/>
            <w:vAlign w:val="center"/>
          </w:tcPr>
          <w:p>
            <w:pPr>
              <w:rPr>
                <w:rFonts w:hint="eastAsia" w:ascii="宋体" w:hAnsi="宋体" w:eastAsia="宋体" w:cs="宋体"/>
                <w:szCs w:val="21"/>
                <w:highlight w:val="none"/>
                <w:lang w:eastAsia="zh-CN"/>
              </w:rPr>
            </w:pPr>
            <w:r>
              <w:rPr>
                <w:rFonts w:hint="eastAsia" w:ascii="宋体" w:hAnsi="宋体" w:cs="宋体"/>
                <w:szCs w:val="21"/>
                <w:highlight w:val="none"/>
                <w:lang w:eastAsia="zh-CN"/>
              </w:rPr>
              <w:t>配置</w:t>
            </w:r>
            <w:r>
              <w:rPr>
                <w:rFonts w:hint="eastAsia" w:ascii="宋体" w:hAnsi="宋体" w:cs="宋体"/>
                <w:szCs w:val="21"/>
                <w:highlight w:val="none"/>
              </w:rPr>
              <w:t>接入云端脆弱性结果</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对接第三方漏扫设备</w:t>
            </w:r>
            <w:r>
              <w:rPr>
                <w:rFonts w:hint="eastAsia" w:ascii="宋体" w:hAnsi="宋体" w:cs="宋体"/>
                <w:szCs w:val="21"/>
                <w:highlight w:val="none"/>
                <w:lang w:val="en-US" w:eastAsia="zh-CN"/>
              </w:rPr>
              <w:t>的能力</w:t>
            </w:r>
            <w:r>
              <w:rPr>
                <w:rFonts w:hint="eastAsia" w:ascii="宋体" w:hAnsi="宋体" w:cs="宋体"/>
                <w:szCs w:val="21"/>
                <w:highlight w:val="none"/>
              </w:rPr>
              <w:t>，包括不限于以下功能：</w:t>
            </w:r>
            <w:r>
              <w:rPr>
                <w:rFonts w:hint="eastAsia" w:ascii="宋体" w:hAnsi="宋体" w:cs="宋体"/>
                <w:szCs w:val="21"/>
                <w:highlight w:val="none"/>
              </w:rPr>
              <w:br w:type="textWrapping"/>
            </w:r>
            <w:r>
              <w:rPr>
                <w:rFonts w:hint="eastAsia" w:ascii="宋体" w:hAnsi="宋体" w:cs="宋体"/>
                <w:szCs w:val="21"/>
                <w:highlight w:val="none"/>
              </w:rPr>
              <w:t xml:space="preserve">1 </w:t>
            </w:r>
            <w:r>
              <w:rPr>
                <w:rFonts w:hint="eastAsia" w:ascii="宋体" w:hAnsi="宋体" w:cs="宋体"/>
                <w:szCs w:val="21"/>
                <w:highlight w:val="none"/>
                <w:lang w:eastAsia="zh-CN"/>
              </w:rPr>
              <w:t>配置</w:t>
            </w:r>
            <w:r>
              <w:rPr>
                <w:rFonts w:hint="eastAsia" w:ascii="宋体" w:hAnsi="宋体" w:cs="宋体"/>
                <w:szCs w:val="21"/>
                <w:highlight w:val="none"/>
              </w:rPr>
              <w:t>通过已纳管与漏洞扫描告警数据和漏洞知识库数据进行关联检索当前的漏洞告警列表；</w:t>
            </w:r>
            <w:r>
              <w:rPr>
                <w:rFonts w:hint="eastAsia" w:ascii="宋体" w:hAnsi="宋体" w:cs="宋体"/>
                <w:szCs w:val="21"/>
                <w:highlight w:val="none"/>
              </w:rPr>
              <w:br w:type="textWrapping"/>
            </w:r>
            <w:r>
              <w:rPr>
                <w:rFonts w:hint="eastAsia" w:ascii="宋体" w:hAnsi="宋体" w:cs="宋体"/>
                <w:szCs w:val="21"/>
                <w:highlight w:val="none"/>
              </w:rPr>
              <w:t xml:space="preserve">2 </w:t>
            </w:r>
            <w:r>
              <w:rPr>
                <w:rFonts w:hint="eastAsia" w:ascii="宋体" w:hAnsi="宋体" w:cs="宋体"/>
                <w:szCs w:val="21"/>
                <w:highlight w:val="none"/>
                <w:lang w:eastAsia="zh-CN"/>
              </w:rPr>
              <w:t>配置</w:t>
            </w:r>
            <w:r>
              <w:rPr>
                <w:rFonts w:hint="eastAsia" w:ascii="宋体" w:hAnsi="宋体" w:cs="宋体"/>
                <w:szCs w:val="21"/>
                <w:highlight w:val="none"/>
              </w:rPr>
              <w:t>点击单条漏洞的详情展示详细信息，包括漏洞的基本信息、关联资产信息、证据信息和变更记录；</w:t>
            </w:r>
            <w:r>
              <w:rPr>
                <w:rFonts w:hint="eastAsia" w:ascii="宋体" w:hAnsi="宋体" w:cs="宋体"/>
                <w:szCs w:val="21"/>
                <w:highlight w:val="none"/>
              </w:rPr>
              <w:br w:type="textWrapping"/>
            </w:r>
            <w:r>
              <w:rPr>
                <w:rFonts w:hint="eastAsia" w:ascii="宋体" w:hAnsi="宋体" w:cs="宋体"/>
                <w:szCs w:val="21"/>
                <w:highlight w:val="none"/>
              </w:rPr>
              <w:t xml:space="preserve">3 </w:t>
            </w:r>
            <w:r>
              <w:rPr>
                <w:rFonts w:hint="eastAsia" w:ascii="宋体" w:hAnsi="宋体" w:cs="宋体"/>
                <w:szCs w:val="21"/>
                <w:highlight w:val="none"/>
                <w:lang w:eastAsia="zh-CN"/>
              </w:rPr>
              <w:t>配置</w:t>
            </w:r>
            <w:r>
              <w:rPr>
                <w:rFonts w:hint="eastAsia" w:ascii="宋体" w:hAnsi="宋体" w:cs="宋体"/>
                <w:szCs w:val="21"/>
                <w:highlight w:val="none"/>
              </w:rPr>
              <w:t>对告警状态标记修复状态；</w:t>
            </w:r>
            <w:r>
              <w:rPr>
                <w:rFonts w:hint="eastAsia" w:ascii="宋体" w:hAnsi="宋体" w:cs="宋体"/>
                <w:szCs w:val="21"/>
                <w:highlight w:val="none"/>
              </w:rPr>
              <w:br w:type="textWrapping"/>
            </w:r>
            <w:r>
              <w:rPr>
                <w:rFonts w:hint="eastAsia" w:ascii="宋体" w:hAnsi="宋体" w:cs="宋体"/>
                <w:szCs w:val="21"/>
                <w:highlight w:val="none"/>
              </w:rPr>
              <w:t xml:space="preserve">4 </w:t>
            </w:r>
            <w:r>
              <w:rPr>
                <w:rFonts w:hint="eastAsia" w:ascii="宋体" w:hAnsi="宋体" w:cs="宋体"/>
                <w:szCs w:val="21"/>
                <w:highlight w:val="none"/>
                <w:lang w:eastAsia="zh-CN"/>
              </w:rPr>
              <w:t>配置</w:t>
            </w:r>
            <w:r>
              <w:rPr>
                <w:rFonts w:hint="eastAsia" w:ascii="宋体" w:hAnsi="宋体" w:cs="宋体"/>
                <w:szCs w:val="21"/>
                <w:highlight w:val="none"/>
              </w:rPr>
              <w:t>切换至“资产视角”界面，点击资产列表的下拉按钮，可查看当前资产对应的漏洞告警情况，点击“查看详情”跳转至该条告警的详情信息；点击资产列表的“查看详情”按钮，跳转至资产管理模块，展示该条资产的详情信息</w:t>
            </w:r>
            <w:r>
              <w:rPr>
                <w:rFonts w:hint="eastAsia" w:ascii="宋体" w:hAnsi="宋体" w:cs="宋体"/>
                <w:szCs w:val="21"/>
                <w:highlight w:val="none"/>
                <w:lang w:eastAsia="zh-CN"/>
              </w:rPr>
              <w:t>。</w:t>
            </w:r>
          </w:p>
        </w:tc>
      </w:tr>
      <w:tr>
        <w:tc>
          <w:tcPr>
            <w:tcW w:w="592" w:type="pct"/>
            <w:vMerge w:val="continue"/>
            <w:vAlign w:val="center"/>
          </w:tcPr>
          <w:p>
            <w:pPr>
              <w:jc w:val="center"/>
              <w:rPr>
                <w:rFonts w:ascii="宋体" w:hAnsi="宋体" w:cs="宋体"/>
                <w:szCs w:val="21"/>
                <w:highlight w:val="none"/>
                <w:lang w:eastAsia="zh-Hans"/>
              </w:rPr>
            </w:pPr>
          </w:p>
        </w:tc>
        <w:tc>
          <w:tcPr>
            <w:tcW w:w="597" w:type="pct"/>
            <w:vAlign w:val="center"/>
          </w:tcPr>
          <w:p>
            <w:pPr>
              <w:rPr>
                <w:rFonts w:ascii="宋体" w:hAnsi="宋体" w:cs="宋体"/>
                <w:szCs w:val="21"/>
                <w:highlight w:val="none"/>
              </w:rPr>
            </w:pPr>
            <w:r>
              <w:rPr>
                <w:rFonts w:hint="eastAsia" w:ascii="宋体" w:hAnsi="宋体" w:cs="宋体"/>
                <w:szCs w:val="21"/>
                <w:highlight w:val="none"/>
              </w:rPr>
              <w:t>资产潜在漏洞</w:t>
            </w:r>
          </w:p>
        </w:tc>
        <w:tc>
          <w:tcPr>
            <w:tcW w:w="3811" w:type="pct"/>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 xml:space="preserve">1 </w:t>
            </w:r>
            <w:r>
              <w:rPr>
                <w:rFonts w:hint="eastAsia" w:ascii="宋体" w:hAnsi="宋体" w:cs="宋体"/>
                <w:szCs w:val="21"/>
                <w:highlight w:val="none"/>
                <w:lang w:eastAsia="zh-CN"/>
              </w:rPr>
              <w:t>配置</w:t>
            </w:r>
            <w:r>
              <w:rPr>
                <w:rFonts w:hint="eastAsia" w:ascii="宋体" w:hAnsi="宋体" w:cs="宋体"/>
                <w:szCs w:val="21"/>
                <w:highlight w:val="none"/>
              </w:rPr>
              <w:t>通过已纳管与漏洞扫描告警数据和漏洞知识库数据进行关联检索当前有潜在漏洞的资产列表</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rPr>
              <w:br w:type="textWrapping"/>
            </w:r>
            <w:r>
              <w:rPr>
                <w:rFonts w:hint="eastAsia" w:ascii="宋体" w:hAnsi="宋体" w:cs="宋体"/>
                <w:szCs w:val="21"/>
                <w:highlight w:val="none"/>
              </w:rPr>
              <w:t xml:space="preserve">2 </w:t>
            </w:r>
            <w:r>
              <w:rPr>
                <w:rFonts w:hint="eastAsia" w:ascii="宋体" w:hAnsi="宋体" w:cs="宋体"/>
                <w:szCs w:val="21"/>
                <w:highlight w:val="none"/>
                <w:lang w:eastAsia="zh-CN"/>
              </w:rPr>
              <w:t>配置</w:t>
            </w:r>
            <w:r>
              <w:rPr>
                <w:rFonts w:hint="eastAsia" w:ascii="宋体" w:hAnsi="宋体" w:cs="宋体"/>
                <w:szCs w:val="21"/>
                <w:highlight w:val="none"/>
              </w:rPr>
              <w:t>查看当前资产对应的潜在漏洞列表</w:t>
            </w:r>
            <w:r>
              <w:rPr>
                <w:rFonts w:hint="eastAsia" w:ascii="宋体" w:hAnsi="宋体" w:cs="宋体"/>
                <w:szCs w:val="21"/>
                <w:highlight w:val="none"/>
                <w:lang w:val="en-US" w:eastAsia="zh-CN"/>
              </w:rPr>
              <w:t>的能力</w:t>
            </w:r>
            <w:r>
              <w:rPr>
                <w:rFonts w:hint="eastAsia" w:ascii="宋体" w:hAnsi="宋体" w:cs="宋体"/>
                <w:szCs w:val="21"/>
                <w:highlight w:val="none"/>
              </w:rPr>
              <w:t>，下钻至该条漏洞知识库的详情信息展示界面；</w:t>
            </w:r>
            <w:r>
              <w:rPr>
                <w:rFonts w:hint="eastAsia" w:ascii="宋体" w:hAnsi="宋体" w:cs="宋体"/>
                <w:szCs w:val="21"/>
                <w:highlight w:val="none"/>
              </w:rPr>
              <w:br w:type="textWrapping"/>
            </w:r>
            <w:r>
              <w:rPr>
                <w:rFonts w:hint="eastAsia" w:ascii="宋体" w:hAnsi="宋体" w:cs="宋体"/>
                <w:szCs w:val="21"/>
                <w:highlight w:val="none"/>
              </w:rPr>
              <w:t xml:space="preserve">3 </w:t>
            </w:r>
            <w:r>
              <w:rPr>
                <w:rFonts w:hint="eastAsia" w:ascii="宋体" w:hAnsi="宋体" w:cs="宋体"/>
                <w:szCs w:val="21"/>
                <w:highlight w:val="none"/>
                <w:lang w:eastAsia="zh-CN"/>
              </w:rPr>
              <w:t>配置</w:t>
            </w:r>
            <w:r>
              <w:rPr>
                <w:rFonts w:hint="eastAsia" w:ascii="宋体" w:hAnsi="宋体" w:cs="宋体"/>
                <w:szCs w:val="21"/>
                <w:highlight w:val="none"/>
              </w:rPr>
              <w:t>跳转至资产管理模块</w:t>
            </w:r>
            <w:r>
              <w:rPr>
                <w:rFonts w:hint="eastAsia" w:ascii="宋体" w:hAnsi="宋体" w:cs="宋体"/>
                <w:szCs w:val="21"/>
                <w:highlight w:val="none"/>
                <w:lang w:val="en-US" w:eastAsia="zh-CN"/>
              </w:rPr>
              <w:t>的能力</w:t>
            </w:r>
            <w:r>
              <w:rPr>
                <w:rFonts w:hint="eastAsia" w:ascii="宋体" w:hAnsi="宋体" w:cs="宋体"/>
                <w:szCs w:val="21"/>
                <w:highlight w:val="none"/>
              </w:rPr>
              <w:t>，展示该条存在潜在漏洞资产的详情信息</w:t>
            </w:r>
            <w:r>
              <w:rPr>
                <w:rFonts w:hint="eastAsia" w:ascii="宋体" w:hAnsi="宋体" w:cs="宋体"/>
                <w:szCs w:val="21"/>
                <w:highlight w:val="none"/>
                <w:lang w:eastAsia="zh-CN"/>
              </w:rPr>
              <w:t>。</w:t>
            </w:r>
          </w:p>
        </w:tc>
      </w:tr>
      <w:tr>
        <w:tc>
          <w:tcPr>
            <w:tcW w:w="592" w:type="pct"/>
            <w:vMerge w:val="restart"/>
            <w:vAlign w:val="center"/>
          </w:tcPr>
          <w:p>
            <w:pPr>
              <w:rPr>
                <w:rFonts w:ascii="宋体" w:hAnsi="宋体" w:cs="宋体"/>
                <w:szCs w:val="21"/>
                <w:highlight w:val="none"/>
                <w:lang w:eastAsia="zh-Hans"/>
              </w:rPr>
            </w:pPr>
            <w:r>
              <w:rPr>
                <w:rFonts w:hint="eastAsia" w:ascii="宋体" w:hAnsi="宋体" w:cs="宋体"/>
                <w:szCs w:val="21"/>
                <w:highlight w:val="none"/>
              </w:rPr>
              <w:t>资产风险评估</w:t>
            </w:r>
          </w:p>
        </w:tc>
        <w:tc>
          <w:tcPr>
            <w:tcW w:w="597" w:type="pct"/>
            <w:vAlign w:val="center"/>
          </w:tcPr>
          <w:p>
            <w:pPr>
              <w:rPr>
                <w:rFonts w:ascii="宋体" w:hAnsi="宋体" w:cs="宋体"/>
                <w:szCs w:val="21"/>
                <w:highlight w:val="none"/>
              </w:rPr>
            </w:pPr>
            <w:r>
              <w:rPr>
                <w:rFonts w:hint="eastAsia" w:ascii="宋体" w:hAnsi="宋体" w:cs="宋体"/>
                <w:szCs w:val="21"/>
                <w:highlight w:val="none"/>
              </w:rPr>
              <w:t>风险模型管理</w:t>
            </w:r>
          </w:p>
        </w:tc>
        <w:tc>
          <w:tcPr>
            <w:tcW w:w="3811" w:type="pct"/>
            <w:vAlign w:val="center"/>
          </w:tcPr>
          <w:p>
            <w:pPr>
              <w:rPr>
                <w:rFonts w:hint="eastAsia" w:ascii="宋体" w:hAnsi="宋体" w:cs="宋体"/>
                <w:szCs w:val="21"/>
                <w:highlight w:val="none"/>
                <w:lang w:eastAsia="zh-CN"/>
              </w:rPr>
            </w:pPr>
            <w:r>
              <w:rPr>
                <w:rFonts w:hint="eastAsia" w:ascii="宋体" w:hAnsi="宋体" w:cs="宋体"/>
                <w:szCs w:val="21"/>
                <w:highlight w:val="none"/>
                <w:lang w:eastAsia="zh-CN"/>
              </w:rPr>
              <w:t>配置基于《信息安全风险评估规范》GB/T 20984国标规范的基础上进行风险评估模型的定义与评估参数设置的能力。</w:t>
            </w:r>
          </w:p>
          <w:p>
            <w:pPr>
              <w:rPr>
                <w:rFonts w:hint="eastAsia" w:ascii="宋体" w:hAnsi="宋体" w:cs="宋体"/>
                <w:szCs w:val="21"/>
                <w:highlight w:val="none"/>
                <w:lang w:eastAsia="zh-CN"/>
              </w:rPr>
            </w:pPr>
            <w:r>
              <w:rPr>
                <w:rFonts w:hint="eastAsia" w:ascii="宋体" w:hAnsi="宋体" w:cs="宋体"/>
                <w:szCs w:val="21"/>
                <w:highlight w:val="none"/>
                <w:lang w:eastAsia="zh-CN"/>
              </w:rPr>
              <w:t>1、资产的价值评估维度包括保密性、完整性、可用性等，可对这些维度进行等级定义设置；</w:t>
            </w:r>
          </w:p>
          <w:p>
            <w:pPr>
              <w:rPr>
                <w:rFonts w:hint="eastAsia" w:ascii="宋体" w:hAnsi="宋体" w:cs="宋体"/>
                <w:szCs w:val="21"/>
                <w:highlight w:val="none"/>
                <w:lang w:eastAsia="zh-CN"/>
              </w:rPr>
            </w:pPr>
            <w:r>
              <w:rPr>
                <w:rFonts w:hint="eastAsia" w:ascii="宋体" w:hAnsi="宋体" w:cs="宋体"/>
                <w:szCs w:val="21"/>
                <w:highlight w:val="none"/>
                <w:lang w:eastAsia="zh-CN"/>
              </w:rPr>
              <w:t>2、资产的威胁等级，可设置威胁评估范围；</w:t>
            </w:r>
          </w:p>
          <w:p>
            <w:pPr>
              <w:rPr>
                <w:rFonts w:hint="eastAsia" w:ascii="宋体" w:hAnsi="宋体" w:cs="宋体"/>
                <w:szCs w:val="21"/>
                <w:highlight w:val="none"/>
                <w:lang w:eastAsia="zh-CN"/>
              </w:rPr>
            </w:pPr>
            <w:r>
              <w:rPr>
                <w:rFonts w:hint="eastAsia" w:ascii="宋体" w:hAnsi="宋体" w:cs="宋体"/>
                <w:szCs w:val="21"/>
                <w:highlight w:val="none"/>
                <w:lang w:eastAsia="zh-CN"/>
              </w:rPr>
              <w:t>3、资产的脆弱性等级，可设置脆弱性评估范围；</w:t>
            </w:r>
          </w:p>
          <w:p>
            <w:pPr>
              <w:rPr>
                <w:rFonts w:hint="eastAsia" w:ascii="宋体" w:hAnsi="宋体" w:cs="宋体"/>
                <w:szCs w:val="21"/>
                <w:highlight w:val="none"/>
                <w:lang w:eastAsia="zh-CN"/>
              </w:rPr>
            </w:pPr>
            <w:r>
              <w:rPr>
                <w:rFonts w:hint="eastAsia" w:ascii="宋体" w:hAnsi="宋体" w:cs="宋体"/>
                <w:szCs w:val="21"/>
                <w:highlight w:val="none"/>
                <w:lang w:eastAsia="zh-CN"/>
              </w:rPr>
              <w:t>4、支持根据资产价值、威胁等级、脆弱性定期计算每个资产的风险等级；</w:t>
            </w:r>
          </w:p>
          <w:p>
            <w:pPr>
              <w:rPr>
                <w:rFonts w:hint="eastAsia" w:ascii="宋体" w:hAnsi="宋体" w:cs="宋体"/>
                <w:szCs w:val="21"/>
                <w:highlight w:val="none"/>
                <w:lang w:eastAsia="zh-CN"/>
              </w:rPr>
            </w:pPr>
            <w:r>
              <w:rPr>
                <w:rFonts w:hint="eastAsia" w:ascii="宋体" w:hAnsi="宋体" w:cs="宋体"/>
                <w:szCs w:val="21"/>
                <w:highlight w:val="none"/>
                <w:lang w:eastAsia="zh-CN"/>
              </w:rPr>
              <w:t>5、支持根据资产的风险等级计算总体、区域、单位等资产集合的风险等级；</w:t>
            </w:r>
          </w:p>
          <w:p>
            <w:pPr>
              <w:rPr>
                <w:rFonts w:hint="eastAsia" w:ascii="宋体" w:hAnsi="宋体" w:eastAsia="宋体" w:cs="宋体"/>
                <w:szCs w:val="21"/>
                <w:highlight w:val="none"/>
                <w:lang w:eastAsia="zh-CN"/>
              </w:rPr>
            </w:pPr>
            <w:r>
              <w:rPr>
                <w:rFonts w:hint="eastAsia" w:ascii="宋体" w:hAnsi="宋体" w:cs="宋体"/>
                <w:szCs w:val="21"/>
                <w:highlight w:val="none"/>
                <w:lang w:eastAsia="zh-CN"/>
              </w:rPr>
              <w:t>6、支持呈现资产风险评估模型的多个维度的定义、模型计算逻辑。</w:t>
            </w:r>
          </w:p>
        </w:tc>
      </w:tr>
      <w:tr>
        <w:tc>
          <w:tcPr>
            <w:tcW w:w="592" w:type="pct"/>
            <w:vMerge w:val="continue"/>
            <w:vAlign w:val="center"/>
          </w:tcPr>
          <w:p>
            <w:pPr>
              <w:rPr>
                <w:rFonts w:ascii="宋体" w:hAnsi="宋体" w:cs="宋体"/>
                <w:szCs w:val="21"/>
                <w:highlight w:val="none"/>
                <w:lang w:eastAsia="zh-Hans"/>
              </w:rPr>
            </w:pPr>
          </w:p>
        </w:tc>
        <w:tc>
          <w:tcPr>
            <w:tcW w:w="597" w:type="pct"/>
            <w:vAlign w:val="center"/>
          </w:tcPr>
          <w:p>
            <w:pPr>
              <w:rPr>
                <w:rFonts w:ascii="宋体" w:hAnsi="宋体" w:cs="宋体"/>
                <w:szCs w:val="21"/>
                <w:highlight w:val="none"/>
              </w:rPr>
            </w:pPr>
            <w:r>
              <w:rPr>
                <w:rFonts w:hint="eastAsia" w:ascii="宋体" w:hAnsi="宋体" w:cs="宋体"/>
                <w:szCs w:val="21"/>
                <w:highlight w:val="none"/>
              </w:rPr>
              <w:t>风险概况</w:t>
            </w:r>
          </w:p>
        </w:tc>
        <w:tc>
          <w:tcPr>
            <w:tcW w:w="3811" w:type="pct"/>
            <w:vAlign w:val="center"/>
          </w:tcPr>
          <w:p>
            <w:pPr>
              <w:rPr>
                <w:rFonts w:hint="eastAsia" w:ascii="宋体" w:hAnsi="宋体" w:eastAsia="宋体" w:cs="宋体"/>
                <w:szCs w:val="21"/>
                <w:highlight w:val="none"/>
                <w:lang w:eastAsia="zh-CN"/>
              </w:rPr>
            </w:pPr>
            <w:r>
              <w:rPr>
                <w:rFonts w:hint="eastAsia" w:ascii="宋体" w:hAnsi="宋体" w:cs="宋体"/>
                <w:szCs w:val="21"/>
                <w:highlight w:val="none"/>
                <w:lang w:eastAsia="zh-CN"/>
              </w:rPr>
              <w:t>配置</w:t>
            </w:r>
            <w:r>
              <w:rPr>
                <w:rFonts w:hint="eastAsia" w:ascii="宋体" w:hAnsi="宋体" w:cs="宋体"/>
                <w:szCs w:val="21"/>
                <w:highlight w:val="none"/>
              </w:rPr>
              <w:t>各类风险评估维度统计</w:t>
            </w:r>
            <w:r>
              <w:rPr>
                <w:rFonts w:hint="eastAsia" w:ascii="宋体" w:hAnsi="宋体" w:cs="宋体"/>
                <w:szCs w:val="21"/>
                <w:highlight w:val="none"/>
                <w:lang w:val="en-US" w:eastAsia="zh-CN"/>
              </w:rPr>
              <w:t>的能力</w:t>
            </w:r>
            <w:r>
              <w:rPr>
                <w:rFonts w:hint="eastAsia" w:ascii="宋体" w:hAnsi="宋体" w:cs="宋体"/>
                <w:szCs w:val="21"/>
                <w:highlight w:val="none"/>
              </w:rPr>
              <w:t>，包括不限于资产风险等级统计、网络区域风险统计、单位风险排名、总体风险趋势、资产风险排名、资产威胁等级统计、资产脆弱性等级统计、资产价值分级统计</w:t>
            </w:r>
            <w:r>
              <w:rPr>
                <w:rFonts w:hint="eastAsia" w:ascii="宋体" w:hAnsi="宋体" w:cs="宋体"/>
                <w:szCs w:val="21"/>
                <w:highlight w:val="none"/>
                <w:lang w:eastAsia="zh-CN"/>
              </w:rPr>
              <w:t>。</w:t>
            </w:r>
          </w:p>
        </w:tc>
      </w:tr>
      <w:tr>
        <w:tc>
          <w:tcPr>
            <w:tcW w:w="592" w:type="pct"/>
            <w:vMerge w:val="continue"/>
            <w:vAlign w:val="center"/>
          </w:tcPr>
          <w:p>
            <w:pPr>
              <w:rPr>
                <w:rFonts w:ascii="宋体" w:hAnsi="宋体" w:cs="宋体"/>
                <w:szCs w:val="21"/>
                <w:highlight w:val="none"/>
                <w:lang w:eastAsia="zh-Hans"/>
              </w:rPr>
            </w:pPr>
          </w:p>
        </w:tc>
        <w:tc>
          <w:tcPr>
            <w:tcW w:w="597" w:type="pct"/>
            <w:vAlign w:val="center"/>
          </w:tcPr>
          <w:p>
            <w:pPr>
              <w:rPr>
                <w:rFonts w:ascii="宋体" w:hAnsi="宋体" w:cs="宋体"/>
                <w:szCs w:val="21"/>
                <w:highlight w:val="none"/>
              </w:rPr>
            </w:pPr>
            <w:r>
              <w:rPr>
                <w:rFonts w:hint="eastAsia" w:ascii="宋体" w:hAnsi="宋体" w:cs="宋体"/>
                <w:szCs w:val="21"/>
                <w:highlight w:val="none"/>
              </w:rPr>
              <w:t>▲风险评级</w:t>
            </w:r>
          </w:p>
        </w:tc>
        <w:tc>
          <w:tcPr>
            <w:tcW w:w="3811" w:type="pct"/>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以列表的方式呈现每个资产的风险评估情况</w:t>
            </w:r>
            <w:r>
              <w:rPr>
                <w:rFonts w:hint="eastAsia" w:ascii="宋体" w:hAnsi="宋体" w:cs="宋体"/>
                <w:szCs w:val="21"/>
                <w:highlight w:val="none"/>
                <w:lang w:val="en-US" w:eastAsia="zh-CN"/>
              </w:rPr>
              <w:t>的能力</w:t>
            </w:r>
            <w:r>
              <w:rPr>
                <w:rFonts w:hint="eastAsia" w:ascii="宋体" w:hAnsi="宋体" w:cs="宋体"/>
                <w:szCs w:val="21"/>
                <w:highlight w:val="none"/>
              </w:rPr>
              <w:t>，显示内容包括不限于资产名称、资产ip、业务组、风险等级、资产价值、威胁等级、脆弱性等级</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查看每个资产的风险评估详细依据</w:t>
            </w:r>
            <w:r>
              <w:rPr>
                <w:rFonts w:hint="eastAsia" w:ascii="宋体" w:hAnsi="宋体" w:cs="宋体"/>
                <w:szCs w:val="21"/>
                <w:highlight w:val="none"/>
                <w:lang w:val="en-US" w:eastAsia="zh-CN"/>
              </w:rPr>
              <w:t>的能力</w:t>
            </w:r>
            <w:r>
              <w:rPr>
                <w:rFonts w:hint="eastAsia" w:ascii="宋体" w:hAnsi="宋体" w:cs="宋体"/>
                <w:szCs w:val="21"/>
                <w:highlight w:val="none"/>
              </w:rPr>
              <w:t>，包括显示该资产的基本信息、风险评估趋势、风险等级、评估时间</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3、</w:t>
            </w:r>
            <w:r>
              <w:rPr>
                <w:rFonts w:hint="eastAsia" w:ascii="宋体" w:hAnsi="宋体" w:cs="宋体"/>
                <w:szCs w:val="21"/>
                <w:highlight w:val="none"/>
                <w:lang w:eastAsia="zh-CN"/>
              </w:rPr>
              <w:t>配置</w:t>
            </w:r>
            <w:r>
              <w:rPr>
                <w:rFonts w:hint="eastAsia" w:ascii="宋体" w:hAnsi="宋体" w:cs="宋体"/>
                <w:szCs w:val="21"/>
                <w:highlight w:val="none"/>
              </w:rPr>
              <w:t>查看每个资产的风险过程数据</w:t>
            </w:r>
            <w:r>
              <w:rPr>
                <w:rFonts w:hint="eastAsia" w:ascii="宋体" w:hAnsi="宋体" w:cs="宋体"/>
                <w:szCs w:val="21"/>
                <w:highlight w:val="none"/>
                <w:lang w:val="en-US" w:eastAsia="zh-CN"/>
              </w:rPr>
              <w:t>的能力</w:t>
            </w:r>
            <w:r>
              <w:rPr>
                <w:rFonts w:hint="eastAsia" w:ascii="宋体" w:hAnsi="宋体" w:cs="宋体"/>
                <w:szCs w:val="21"/>
                <w:highlight w:val="none"/>
              </w:rPr>
              <w:t>，包括资产价值评估过程数据、威胁等级评估数据依据、脆弱性等级评估数据依据</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4、</w:t>
            </w:r>
            <w:r>
              <w:rPr>
                <w:rFonts w:hint="eastAsia" w:ascii="宋体" w:hAnsi="宋体" w:cs="宋体"/>
                <w:szCs w:val="21"/>
                <w:highlight w:val="none"/>
                <w:lang w:eastAsia="zh-CN"/>
              </w:rPr>
              <w:t>配置</w:t>
            </w:r>
            <w:r>
              <w:rPr>
                <w:rFonts w:hint="eastAsia" w:ascii="宋体" w:hAnsi="宋体" w:cs="宋体"/>
                <w:szCs w:val="21"/>
                <w:highlight w:val="none"/>
              </w:rPr>
              <w:t>查看资产的价值评分</w:t>
            </w:r>
            <w:r>
              <w:rPr>
                <w:rFonts w:hint="eastAsia" w:ascii="宋体" w:hAnsi="宋体" w:cs="宋体"/>
                <w:szCs w:val="21"/>
                <w:highlight w:val="none"/>
                <w:lang w:val="en-US" w:eastAsia="zh-CN"/>
              </w:rPr>
              <w:t>的能力</w:t>
            </w:r>
            <w:r>
              <w:rPr>
                <w:rFonts w:hint="eastAsia" w:ascii="宋体" w:hAnsi="宋体" w:cs="宋体"/>
                <w:szCs w:val="21"/>
                <w:highlight w:val="none"/>
              </w:rPr>
              <w:t>，并可对资产价值进行四个维度的打分，包括保密性、完整性、可用性、业务相关性；</w:t>
            </w:r>
            <w:r>
              <w:rPr>
                <w:rFonts w:hint="eastAsia" w:ascii="宋体" w:hAnsi="宋体" w:cs="宋体"/>
                <w:szCs w:val="21"/>
                <w:highlight w:val="none"/>
              </w:rPr>
              <w:br w:type="textWrapping"/>
            </w:r>
            <w:r>
              <w:rPr>
                <w:rFonts w:hint="eastAsia" w:ascii="宋体" w:hAnsi="宋体" w:cs="宋体"/>
                <w:szCs w:val="21"/>
                <w:highlight w:val="none"/>
              </w:rPr>
              <w:t>5、针对资产的脆弱性等级、威胁等级评估数据至少需要显示威胁及脆弱性的个等级数量统计、趋势、类型分布以及资产涉及的为处置整改的脆弱性和威胁</w:t>
            </w:r>
            <w:r>
              <w:rPr>
                <w:rFonts w:hint="eastAsia" w:ascii="宋体" w:hAnsi="宋体" w:cs="宋体"/>
                <w:szCs w:val="21"/>
                <w:highlight w:val="none"/>
                <w:lang w:eastAsia="zh-CN"/>
              </w:rPr>
              <w:t>。</w:t>
            </w:r>
          </w:p>
        </w:tc>
      </w:tr>
    </w:tbl>
    <w:p>
      <w:pPr>
        <w:keepNext/>
        <w:keepLines/>
        <w:spacing w:line="360" w:lineRule="auto"/>
        <w:ind w:firstLine="424" w:firstLineChars="200"/>
        <w:outlineLvl w:val="1"/>
        <w:rPr>
          <w:rFonts w:ascii="宋体" w:hAnsi="宋体" w:cs="宋体"/>
          <w:b/>
          <w:bCs/>
          <w:szCs w:val="21"/>
          <w:highlight w:val="none"/>
          <w:lang w:eastAsia="zh-Hans"/>
        </w:rPr>
      </w:pPr>
      <w:r>
        <w:rPr>
          <w:rFonts w:hint="eastAsia" w:ascii="宋体" w:hAnsi="宋体" w:cs="宋体"/>
          <w:b/>
          <w:bCs/>
          <w:szCs w:val="21"/>
          <w:highlight w:val="none"/>
          <w:lang w:eastAsia="zh-Hans"/>
        </w:rPr>
        <w:t>1.2全局检索</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6647"/>
      </w:tblGrid>
      <w:tr>
        <w:tc>
          <w:tcPr>
            <w:tcW w:w="1189" w:type="pct"/>
          </w:tcPr>
          <w:p>
            <w:pPr>
              <w:jc w:val="center"/>
              <w:rPr>
                <w:rFonts w:ascii="宋体" w:hAnsi="宋体" w:cs="宋体"/>
                <w:b/>
                <w:bCs/>
                <w:color w:val="000000"/>
                <w:kern w:val="0"/>
                <w:szCs w:val="21"/>
                <w:highlight w:val="none"/>
                <w:lang w:eastAsia="zh-Hans"/>
              </w:rPr>
            </w:pPr>
            <w:r>
              <w:rPr>
                <w:rFonts w:hint="eastAsia" w:ascii="宋体" w:hAnsi="宋体" w:cs="宋体"/>
                <w:b/>
                <w:bCs/>
                <w:color w:val="000000"/>
                <w:kern w:val="0"/>
                <w:szCs w:val="21"/>
                <w:highlight w:val="none"/>
                <w:lang w:eastAsia="zh-Hans"/>
              </w:rPr>
              <w:t>功能指标</w:t>
            </w:r>
          </w:p>
        </w:tc>
        <w:tc>
          <w:tcPr>
            <w:tcW w:w="3811" w:type="pct"/>
          </w:tcPr>
          <w:p>
            <w:pPr>
              <w:jc w:val="center"/>
              <w:rPr>
                <w:rFonts w:ascii="宋体" w:hAnsi="宋体" w:cs="宋体"/>
                <w:b/>
                <w:bCs/>
                <w:color w:val="000000"/>
                <w:kern w:val="0"/>
                <w:szCs w:val="21"/>
                <w:highlight w:val="none"/>
                <w:lang w:eastAsia="zh-Hans"/>
              </w:rPr>
            </w:pPr>
            <w:r>
              <w:rPr>
                <w:rFonts w:hint="eastAsia" w:ascii="宋体" w:hAnsi="宋体" w:cs="宋体"/>
                <w:b/>
                <w:bCs/>
                <w:color w:val="000000"/>
                <w:kern w:val="0"/>
                <w:szCs w:val="21"/>
                <w:highlight w:val="none"/>
                <w:lang w:eastAsia="zh-Hans"/>
              </w:rPr>
              <w:t>指标要求</w:t>
            </w:r>
          </w:p>
        </w:tc>
      </w:tr>
      <w:tr>
        <w:tc>
          <w:tcPr>
            <w:tcW w:w="1189" w:type="pct"/>
          </w:tcPr>
          <w:p>
            <w:pPr>
              <w:rPr>
                <w:rFonts w:ascii="宋体" w:hAnsi="宋体" w:cs="宋体"/>
                <w:szCs w:val="21"/>
                <w:highlight w:val="none"/>
                <w:lang w:eastAsia="zh-Hans"/>
              </w:rPr>
            </w:pPr>
            <w:r>
              <w:rPr>
                <w:rFonts w:hint="eastAsia" w:ascii="宋体" w:hAnsi="宋体" w:cs="宋体"/>
                <w:szCs w:val="21"/>
                <w:highlight w:val="none"/>
                <w:lang w:eastAsia="zh-Hans"/>
              </w:rPr>
              <w:t>底层技术</w:t>
            </w:r>
          </w:p>
        </w:tc>
        <w:tc>
          <w:tcPr>
            <w:tcW w:w="3811" w:type="pct"/>
          </w:tcPr>
          <w:p>
            <w:pPr>
              <w:rPr>
                <w:rFonts w:hint="eastAsia" w:ascii="宋体" w:hAnsi="宋体" w:eastAsia="宋体" w:cs="宋体"/>
                <w:szCs w:val="21"/>
                <w:highlight w:val="none"/>
                <w:lang w:eastAsia="zh-CN"/>
              </w:rPr>
            </w:pPr>
            <w:r>
              <w:rPr>
                <w:rFonts w:hint="eastAsia" w:ascii="宋体" w:hAnsi="宋体" w:cs="宋体"/>
                <w:szCs w:val="21"/>
                <w:highlight w:val="none"/>
                <w:lang w:eastAsia="zh-CN"/>
              </w:rPr>
              <w:t>配置</w:t>
            </w:r>
            <w:r>
              <w:rPr>
                <w:rFonts w:hint="eastAsia" w:ascii="宋体" w:hAnsi="宋体" w:cs="宋体"/>
                <w:szCs w:val="21"/>
                <w:highlight w:val="none"/>
                <w:lang w:eastAsia="zh-Hans"/>
              </w:rPr>
              <w:t>实时大数据OLAP引擎</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，基于性能突出的Clickhouse，采用列式存储、稀疏索引、倒排索引、向量化执行等技术</w:t>
            </w:r>
            <w:r>
              <w:rPr>
                <w:rFonts w:hint="eastAsia" w:ascii="宋体" w:hAnsi="宋体" w:cs="宋体"/>
                <w:szCs w:val="21"/>
                <w:highlight w:val="none"/>
                <w:lang w:eastAsia="zh-CN"/>
              </w:rPr>
              <w:t>。</w:t>
            </w:r>
          </w:p>
        </w:tc>
      </w:tr>
      <w:tr>
        <w:tc>
          <w:tcPr>
            <w:tcW w:w="1189" w:type="pct"/>
          </w:tcPr>
          <w:p>
            <w:pPr>
              <w:rPr>
                <w:rFonts w:ascii="宋体" w:hAnsi="宋体" w:cs="宋体"/>
                <w:szCs w:val="21"/>
                <w:highlight w:val="none"/>
                <w:lang w:eastAsia="zh-Hans"/>
              </w:rPr>
            </w:pPr>
            <w:r>
              <w:rPr>
                <w:rFonts w:hint="eastAsia" w:ascii="宋体" w:hAnsi="宋体" w:cs="宋体"/>
                <w:szCs w:val="21"/>
                <w:highlight w:val="none"/>
                <w:lang w:eastAsia="zh-Hans"/>
              </w:rPr>
              <w:t>快速检索</w:t>
            </w:r>
          </w:p>
        </w:tc>
        <w:tc>
          <w:tcPr>
            <w:tcW w:w="3811" w:type="pct"/>
          </w:tcPr>
          <w:p>
            <w:pPr>
              <w:rPr>
                <w:rFonts w:hint="eastAsia" w:ascii="宋体" w:hAnsi="宋体" w:eastAsia="宋体" w:cs="宋体"/>
                <w:szCs w:val="21"/>
                <w:highlight w:val="none"/>
                <w:lang w:eastAsia="zh-CN"/>
              </w:rPr>
            </w:pPr>
            <w:r>
              <w:rPr>
                <w:rFonts w:hint="eastAsia" w:ascii="宋体" w:hAnsi="宋体" w:cs="宋体"/>
                <w:szCs w:val="21"/>
                <w:highlight w:val="none"/>
                <w:lang w:eastAsia="zh-CN"/>
              </w:rPr>
              <w:t>配置</w:t>
            </w:r>
            <w:r>
              <w:rPr>
                <w:rFonts w:hint="eastAsia" w:ascii="宋体" w:hAnsi="宋体" w:cs="宋体"/>
                <w:szCs w:val="21"/>
                <w:highlight w:val="none"/>
                <w:lang w:eastAsia="zh-Hans"/>
              </w:rPr>
              <w:t>可选择要输入的快捷搜索字段进行数据检索</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。语句条件支持【=】【!=】【in】【range】【exists】【no exists】</w:t>
            </w:r>
            <w:r>
              <w:rPr>
                <w:rFonts w:hint="eastAsia" w:ascii="宋体" w:hAnsi="宋体" w:cs="宋体"/>
                <w:szCs w:val="21"/>
                <w:highlight w:val="none"/>
                <w:lang w:eastAsia="zh-CN"/>
              </w:rPr>
              <w:t>等。</w:t>
            </w:r>
          </w:p>
        </w:tc>
      </w:tr>
      <w:tr>
        <w:tc>
          <w:tcPr>
            <w:tcW w:w="1189" w:type="pct"/>
          </w:tcPr>
          <w:p>
            <w:pPr>
              <w:rPr>
                <w:rFonts w:ascii="宋体" w:hAnsi="宋体" w:cs="宋体"/>
                <w:szCs w:val="21"/>
                <w:highlight w:val="none"/>
                <w:lang w:eastAsia="zh-Hans"/>
              </w:rPr>
            </w:pPr>
            <w:r>
              <w:rPr>
                <w:rFonts w:hint="eastAsia" w:ascii="宋体" w:hAnsi="宋体" w:cs="宋体"/>
                <w:szCs w:val="21"/>
                <w:highlight w:val="none"/>
                <w:lang w:eastAsia="zh-Hans"/>
              </w:rPr>
              <w:t>检索结果</w:t>
            </w:r>
          </w:p>
        </w:tc>
        <w:tc>
          <w:tcPr>
            <w:tcW w:w="3811" w:type="pct"/>
          </w:tcPr>
          <w:p>
            <w:pPr>
              <w:rPr>
                <w:rFonts w:hint="eastAsia" w:ascii="宋体" w:hAnsi="宋体" w:cs="宋体"/>
                <w:szCs w:val="21"/>
                <w:highlight w:val="none"/>
                <w:lang w:eastAsia="zh-Hans"/>
              </w:rPr>
            </w:pPr>
            <w:r>
              <w:rPr>
                <w:rFonts w:hint="eastAsia" w:ascii="宋体" w:hAnsi="宋体" w:cs="宋体"/>
                <w:szCs w:val="21"/>
                <w:highlight w:val="none"/>
                <w:lang w:eastAsia="zh-Hans"/>
              </w:rPr>
              <w:t>根据快速检索或者高级检索进行符合条件的数据呈现，数据呈现至少包含以下功能及内容：</w:t>
            </w:r>
          </w:p>
          <w:p>
            <w:pPr>
              <w:rPr>
                <w:rFonts w:hint="eastAsia" w:ascii="宋体" w:hAnsi="宋体" w:cs="宋体"/>
                <w:szCs w:val="21"/>
                <w:highlight w:val="none"/>
                <w:lang w:eastAsia="zh-Hans"/>
              </w:rPr>
            </w:pPr>
            <w:r>
              <w:rPr>
                <w:rFonts w:hint="eastAsia" w:ascii="宋体" w:hAnsi="宋体" w:cs="宋体"/>
                <w:szCs w:val="21"/>
                <w:highlight w:val="none"/>
                <w:lang w:eastAsia="zh-Hans"/>
              </w:rPr>
              <w:t>1、配置根据检索出的数据类别进行自动分组呈现，分组类型不限于告警日志、流量日志、终端日志、告警、事件的能力；</w:t>
            </w:r>
          </w:p>
          <w:p>
            <w:pPr>
              <w:rPr>
                <w:rFonts w:hint="eastAsia" w:ascii="宋体" w:hAnsi="宋体" w:cs="宋体"/>
                <w:szCs w:val="21"/>
                <w:highlight w:val="none"/>
                <w:lang w:eastAsia="zh-Hans"/>
              </w:rPr>
            </w:pPr>
            <w:r>
              <w:rPr>
                <w:rFonts w:hint="eastAsia" w:ascii="宋体" w:hAnsi="宋体" w:cs="宋体"/>
                <w:szCs w:val="21"/>
                <w:highlight w:val="none"/>
                <w:lang w:eastAsia="zh-Hans"/>
              </w:rPr>
              <w:t>2、配置根据搜索结果统计本次检索动作的耗时和查询的数据量以及根据搜索时间分析各时间点数据量的能力，呈现每个时间点的数量，统计支持在图表上选择时间段进行二次筛选；</w:t>
            </w:r>
          </w:p>
          <w:p>
            <w:pPr>
              <w:rPr>
                <w:rFonts w:hint="eastAsia" w:ascii="宋体" w:hAnsi="宋体" w:cs="宋体"/>
                <w:szCs w:val="21"/>
                <w:highlight w:val="none"/>
                <w:lang w:eastAsia="zh-Hans"/>
              </w:rPr>
            </w:pPr>
            <w:r>
              <w:rPr>
                <w:rFonts w:hint="eastAsia" w:ascii="宋体" w:hAnsi="宋体" w:cs="宋体"/>
                <w:szCs w:val="21"/>
                <w:highlight w:val="none"/>
                <w:lang w:eastAsia="zh-Hans"/>
              </w:rPr>
              <w:t>3、配置根据搜索的数据结果进行各类别数据的数据类型分类的能力，比如告警日志中可分为漏洞利用告警、攻击利用告警、情报告警等，用于快速二次筛选；</w:t>
            </w:r>
          </w:p>
          <w:p>
            <w:pPr>
              <w:rPr>
                <w:rFonts w:hint="eastAsia" w:ascii="宋体" w:hAnsi="宋体" w:cs="宋体"/>
                <w:szCs w:val="21"/>
                <w:highlight w:val="none"/>
                <w:lang w:eastAsia="zh-Hans"/>
              </w:rPr>
            </w:pPr>
            <w:r>
              <w:rPr>
                <w:rFonts w:hint="eastAsia" w:ascii="宋体" w:hAnsi="宋体" w:cs="宋体"/>
                <w:szCs w:val="21"/>
                <w:highlight w:val="none"/>
                <w:lang w:eastAsia="zh-Hans"/>
              </w:rPr>
              <w:t>4、配置数据字段展示配置功能，用户可自定义每种数据需要展示的字段以及数据列的展示顺序</w:t>
            </w:r>
          </w:p>
          <w:p>
            <w:pPr>
              <w:rPr>
                <w:rFonts w:hint="eastAsia" w:ascii="宋体" w:hAnsi="宋体" w:cs="宋体"/>
                <w:szCs w:val="21"/>
                <w:highlight w:val="none"/>
                <w:lang w:eastAsia="zh-Hans"/>
              </w:rPr>
            </w:pPr>
            <w:r>
              <w:rPr>
                <w:rFonts w:hint="eastAsia" w:ascii="宋体" w:hAnsi="宋体" w:cs="宋体"/>
                <w:szCs w:val="21"/>
                <w:highlight w:val="none"/>
                <w:lang w:eastAsia="zh-Hans"/>
              </w:rPr>
              <w:t>5、配置针对数据表中的常用字段（比如IP、告警类型、攻击结果等）进行添加到搜索、从搜索中排除、新建搜索等二次筛选操作的能力；</w:t>
            </w:r>
          </w:p>
          <w:p>
            <w:pPr>
              <w:rPr>
                <w:rFonts w:hint="eastAsia" w:ascii="宋体" w:hAnsi="宋体" w:cs="宋体"/>
                <w:szCs w:val="21"/>
                <w:highlight w:val="none"/>
                <w:lang w:eastAsia="zh-Hans"/>
              </w:rPr>
            </w:pPr>
            <w:r>
              <w:rPr>
                <w:rFonts w:hint="eastAsia" w:ascii="宋体" w:hAnsi="宋体" w:cs="宋体"/>
                <w:szCs w:val="21"/>
                <w:highlight w:val="none"/>
                <w:lang w:eastAsia="zh-Hans"/>
              </w:rPr>
              <w:t>6、配置检索结果的导出的能力；</w:t>
            </w:r>
          </w:p>
          <w:p>
            <w:pPr>
              <w:rPr>
                <w:rFonts w:hint="eastAsia" w:ascii="宋体" w:hAnsi="宋体" w:eastAsia="宋体" w:cs="宋体"/>
                <w:szCs w:val="21"/>
                <w:highlight w:val="none"/>
                <w:lang w:eastAsia="zh-CN"/>
              </w:rPr>
            </w:pPr>
            <w:r>
              <w:rPr>
                <w:rFonts w:hint="eastAsia" w:ascii="宋体" w:hAnsi="宋体" w:cs="宋体"/>
                <w:szCs w:val="21"/>
                <w:highlight w:val="none"/>
                <w:lang w:eastAsia="zh-Hans"/>
              </w:rPr>
              <w:t>7、配置单条数据的详情查看的能力，数据详情最少支持键值对显示方式，针对数据字段过的的数据支持只看有值字段。</w:t>
            </w:r>
          </w:p>
        </w:tc>
      </w:tr>
      <w:tr>
        <w:tc>
          <w:tcPr>
            <w:tcW w:w="1189" w:type="pct"/>
          </w:tcPr>
          <w:p>
            <w:pPr>
              <w:rPr>
                <w:rFonts w:ascii="宋体" w:hAnsi="宋体" w:cs="宋体"/>
                <w:szCs w:val="21"/>
                <w:highlight w:val="none"/>
                <w:lang w:eastAsia="zh-Hans"/>
              </w:rPr>
            </w:pPr>
            <w:r>
              <w:rPr>
                <w:rFonts w:hint="eastAsia" w:ascii="宋体" w:hAnsi="宋体" w:cs="宋体"/>
                <w:szCs w:val="21"/>
                <w:highlight w:val="none"/>
                <w:lang w:eastAsia="zh-Hans"/>
              </w:rPr>
              <w:t>历史检索</w:t>
            </w:r>
          </w:p>
        </w:tc>
        <w:tc>
          <w:tcPr>
            <w:tcW w:w="3811" w:type="pct"/>
          </w:tcPr>
          <w:p>
            <w:pPr>
              <w:rPr>
                <w:rFonts w:hint="eastAsia" w:ascii="宋体" w:hAnsi="宋体" w:eastAsia="宋体" w:cs="宋体"/>
                <w:szCs w:val="21"/>
                <w:highlight w:val="none"/>
                <w:lang w:eastAsia="zh-CN"/>
              </w:rPr>
            </w:pPr>
            <w:r>
              <w:rPr>
                <w:rFonts w:hint="eastAsia" w:ascii="宋体" w:hAnsi="宋体" w:cs="宋体"/>
                <w:szCs w:val="21"/>
                <w:highlight w:val="none"/>
                <w:lang w:eastAsia="zh-CN"/>
              </w:rPr>
              <w:t>配置</w:t>
            </w:r>
            <w:r>
              <w:rPr>
                <w:rFonts w:hint="eastAsia" w:ascii="宋体" w:hAnsi="宋体" w:cs="宋体"/>
                <w:szCs w:val="21"/>
                <w:highlight w:val="none"/>
                <w:lang w:eastAsia="zh-Hans"/>
              </w:rPr>
              <w:t>保存最近</w:t>
            </w:r>
            <w:r>
              <w:rPr>
                <w:rFonts w:hint="eastAsia" w:ascii="宋体" w:hAnsi="宋体" w:cs="宋体"/>
                <w:szCs w:val="21"/>
                <w:highlight w:val="none"/>
                <w:lang w:val="en-US" w:eastAsia="zh-CN"/>
              </w:rPr>
              <w:t>不少于</w:t>
            </w:r>
            <w:r>
              <w:rPr>
                <w:rFonts w:hint="eastAsia" w:ascii="宋体" w:hAnsi="宋体" w:cs="宋体"/>
                <w:szCs w:val="21"/>
                <w:highlight w:val="none"/>
                <w:lang w:eastAsia="zh-Hans"/>
              </w:rPr>
              <w:t>100条的历史检索条件</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。检索范围、时间范围、检索条件和过滤语句</w:t>
            </w:r>
            <w:r>
              <w:rPr>
                <w:rFonts w:hint="eastAsia" w:ascii="宋体" w:hAnsi="宋体" w:cs="宋体"/>
                <w:szCs w:val="21"/>
                <w:highlight w:val="none"/>
                <w:lang w:eastAsia="zh-CN"/>
              </w:rPr>
              <w:t>。</w:t>
            </w:r>
          </w:p>
        </w:tc>
      </w:tr>
    </w:tbl>
    <w:p>
      <w:pPr>
        <w:rPr>
          <w:rFonts w:ascii="宋体" w:hAnsi="宋体" w:cs="宋体"/>
          <w:szCs w:val="21"/>
          <w:highlight w:val="none"/>
          <w:lang w:eastAsia="zh-Hans"/>
        </w:rPr>
      </w:pPr>
    </w:p>
    <w:p>
      <w:pPr>
        <w:keepNext/>
        <w:keepLines/>
        <w:spacing w:line="360" w:lineRule="auto"/>
        <w:ind w:firstLine="424" w:firstLineChars="200"/>
        <w:outlineLvl w:val="1"/>
        <w:rPr>
          <w:rFonts w:ascii="宋体" w:hAnsi="宋体" w:cs="宋体"/>
          <w:b/>
          <w:bCs/>
          <w:szCs w:val="21"/>
          <w:highlight w:val="none"/>
          <w:lang w:eastAsia="zh-Hans"/>
        </w:rPr>
      </w:pPr>
      <w:r>
        <w:rPr>
          <w:rFonts w:hint="eastAsia" w:ascii="宋体" w:hAnsi="宋体" w:cs="宋体"/>
          <w:b/>
          <w:bCs/>
          <w:szCs w:val="21"/>
          <w:highlight w:val="none"/>
          <w:lang w:eastAsia="zh-Hans"/>
        </w:rPr>
        <w:t>1.3告警管理</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041"/>
        <w:gridCol w:w="6645"/>
      </w:tblGrid>
      <w:tr>
        <w:tc>
          <w:tcPr>
            <w:tcW w:w="1189" w:type="pct"/>
            <w:gridSpan w:val="2"/>
          </w:tcPr>
          <w:p>
            <w:pPr>
              <w:jc w:val="center"/>
              <w:rPr>
                <w:rFonts w:ascii="宋体" w:hAnsi="宋体" w:cs="宋体"/>
                <w:b/>
                <w:bCs/>
                <w:color w:val="000000"/>
                <w:kern w:val="0"/>
                <w:szCs w:val="21"/>
                <w:highlight w:val="none"/>
                <w:lang w:eastAsia="zh-Hans"/>
              </w:rPr>
            </w:pPr>
            <w:r>
              <w:rPr>
                <w:rFonts w:hint="eastAsia" w:ascii="宋体" w:hAnsi="宋体" w:cs="宋体"/>
                <w:b/>
                <w:bCs/>
                <w:color w:val="000000"/>
                <w:kern w:val="0"/>
                <w:szCs w:val="21"/>
                <w:highlight w:val="none"/>
                <w:lang w:eastAsia="zh-Hans"/>
              </w:rPr>
              <w:t>功能指标</w:t>
            </w:r>
          </w:p>
        </w:tc>
        <w:tc>
          <w:tcPr>
            <w:tcW w:w="3810" w:type="pct"/>
          </w:tcPr>
          <w:p>
            <w:pPr>
              <w:jc w:val="center"/>
              <w:rPr>
                <w:rFonts w:ascii="宋体" w:hAnsi="宋体" w:cs="宋体"/>
                <w:b/>
                <w:bCs/>
                <w:color w:val="000000"/>
                <w:kern w:val="0"/>
                <w:szCs w:val="21"/>
                <w:highlight w:val="none"/>
                <w:lang w:eastAsia="zh-Hans"/>
              </w:rPr>
            </w:pPr>
            <w:r>
              <w:rPr>
                <w:rFonts w:hint="eastAsia" w:ascii="宋体" w:hAnsi="宋体" w:cs="宋体"/>
                <w:b/>
                <w:bCs/>
                <w:color w:val="000000"/>
                <w:kern w:val="0"/>
                <w:szCs w:val="21"/>
                <w:highlight w:val="none"/>
                <w:lang w:eastAsia="zh-Hans"/>
              </w:rPr>
              <w:t>指标要求</w:t>
            </w:r>
          </w:p>
        </w:tc>
      </w:tr>
      <w:tr>
        <w:tc>
          <w:tcPr>
            <w:tcW w:w="592" w:type="pct"/>
            <w:vMerge w:val="restart"/>
          </w:tcPr>
          <w:p>
            <w:pPr>
              <w:rPr>
                <w:rFonts w:ascii="宋体" w:hAnsi="宋体" w:cs="宋体"/>
                <w:szCs w:val="21"/>
                <w:highlight w:val="none"/>
                <w:lang w:eastAsia="zh-Hans"/>
              </w:rPr>
            </w:pPr>
            <w:r>
              <w:rPr>
                <w:rFonts w:hint="eastAsia" w:ascii="宋体" w:hAnsi="宋体" w:cs="宋体"/>
                <w:szCs w:val="21"/>
                <w:highlight w:val="none"/>
                <w:lang w:eastAsia="zh-Hans"/>
              </w:rPr>
              <w:t>告警管理</w:t>
            </w:r>
          </w:p>
        </w:tc>
        <w:tc>
          <w:tcPr>
            <w:tcW w:w="596" w:type="pct"/>
          </w:tcPr>
          <w:p>
            <w:pPr>
              <w:rPr>
                <w:rFonts w:ascii="宋体" w:hAnsi="宋体" w:cs="宋体"/>
                <w:szCs w:val="21"/>
                <w:highlight w:val="none"/>
                <w:lang w:eastAsia="zh-Hans"/>
              </w:rPr>
            </w:pPr>
            <w:r>
              <w:rPr>
                <w:rFonts w:hint="eastAsia" w:ascii="宋体" w:hAnsi="宋体" w:cs="宋体"/>
                <w:szCs w:val="21"/>
                <w:highlight w:val="none"/>
                <w:lang w:eastAsia="zh-Hans"/>
              </w:rPr>
              <w:t>告警数据检索</w:t>
            </w:r>
          </w:p>
        </w:tc>
        <w:tc>
          <w:tcPr>
            <w:tcW w:w="3810" w:type="pct"/>
          </w:tcPr>
          <w:p>
            <w:pPr>
              <w:rPr>
                <w:rFonts w:ascii="宋体" w:hAnsi="宋体" w:cs="宋体"/>
                <w:szCs w:val="21"/>
                <w:highlight w:val="none"/>
                <w:lang w:eastAsia="zh-Hans"/>
              </w:rPr>
            </w:pPr>
            <w:r>
              <w:rPr>
                <w:rFonts w:hint="eastAsia" w:ascii="宋体" w:hAnsi="宋体" w:cs="宋体"/>
                <w:szCs w:val="21"/>
                <w:highlight w:val="none"/>
                <w:lang w:eastAsia="zh-Hans"/>
              </w:rPr>
              <w:t>1、</w:t>
            </w:r>
            <w:r>
              <w:rPr>
                <w:rFonts w:hint="eastAsia" w:ascii="宋体" w:hAnsi="宋体" w:cs="宋体"/>
                <w:szCs w:val="21"/>
                <w:highlight w:val="none"/>
                <w:lang w:eastAsia="zh-CN"/>
              </w:rPr>
              <w:t>配置</w:t>
            </w:r>
            <w:r>
              <w:rPr>
                <w:rFonts w:hint="eastAsia" w:ascii="宋体" w:hAnsi="宋体" w:cs="宋体"/>
                <w:szCs w:val="21"/>
                <w:highlight w:val="none"/>
                <w:lang w:eastAsia="zh-Hans"/>
              </w:rPr>
              <w:t>可选择要输入的快捷搜索字段进行数据检索</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。语句条件支持【=】【!=】【in】【range】【exists】【no exists】；</w:t>
            </w:r>
          </w:p>
          <w:p>
            <w:pPr>
              <w:rPr>
                <w:rFonts w:ascii="宋体" w:hAnsi="宋体" w:cs="宋体"/>
                <w:szCs w:val="21"/>
                <w:highlight w:val="none"/>
                <w:lang w:eastAsia="zh-Hans"/>
              </w:rPr>
            </w:pPr>
            <w:r>
              <w:rPr>
                <w:rFonts w:hint="eastAsia" w:ascii="宋体" w:hAnsi="宋体" w:cs="宋体"/>
                <w:szCs w:val="21"/>
                <w:highlight w:val="none"/>
                <w:lang w:eastAsia="zh-Hans"/>
              </w:rPr>
              <w:t>2、</w:t>
            </w:r>
            <w:r>
              <w:rPr>
                <w:rFonts w:hint="eastAsia" w:ascii="宋体" w:hAnsi="宋体" w:cs="宋体"/>
                <w:szCs w:val="21"/>
                <w:highlight w:val="none"/>
                <w:lang w:eastAsia="zh-CN"/>
              </w:rPr>
              <w:t>配置</w:t>
            </w:r>
            <w:r>
              <w:rPr>
                <w:rFonts w:hint="eastAsia" w:ascii="宋体" w:hAnsi="宋体" w:cs="宋体"/>
                <w:szCs w:val="21"/>
                <w:highlight w:val="none"/>
                <w:lang w:eastAsia="zh-Hans"/>
              </w:rPr>
              <w:t>输出高级检索类SQL语句进行数据检索；</w:t>
            </w:r>
          </w:p>
          <w:p>
            <w:pPr>
              <w:rPr>
                <w:rFonts w:ascii="宋体" w:hAnsi="宋体" w:cs="宋体"/>
                <w:szCs w:val="21"/>
                <w:highlight w:val="none"/>
                <w:lang w:eastAsia="zh-Hans"/>
              </w:rPr>
            </w:pPr>
            <w:r>
              <w:rPr>
                <w:rFonts w:hint="eastAsia" w:ascii="宋体" w:hAnsi="宋体" w:cs="宋体"/>
                <w:szCs w:val="21"/>
                <w:highlight w:val="none"/>
                <w:lang w:eastAsia="zh-Hans"/>
              </w:rPr>
              <w:t>3、</w:t>
            </w:r>
            <w:r>
              <w:rPr>
                <w:rFonts w:hint="eastAsia" w:ascii="宋体" w:hAnsi="宋体" w:cs="宋体"/>
                <w:szCs w:val="21"/>
                <w:highlight w:val="none"/>
                <w:lang w:eastAsia="zh-CN"/>
              </w:rPr>
              <w:t>配置</w:t>
            </w:r>
            <w:r>
              <w:rPr>
                <w:rFonts w:hint="eastAsia" w:ascii="宋体" w:hAnsi="宋体" w:cs="宋体"/>
                <w:szCs w:val="21"/>
                <w:highlight w:val="none"/>
                <w:lang w:eastAsia="zh-Hans"/>
              </w:rPr>
              <w:t>对多个检索条件使用AND或OR进行连接以及支持使用（）编辑逻辑连接顺序；</w:t>
            </w:r>
          </w:p>
          <w:p>
            <w:pPr>
              <w:rPr>
                <w:rFonts w:ascii="宋体" w:hAnsi="宋体" w:cs="宋体"/>
                <w:szCs w:val="21"/>
                <w:highlight w:val="none"/>
                <w:lang w:eastAsia="zh-Hans"/>
              </w:rPr>
            </w:pPr>
            <w:r>
              <w:rPr>
                <w:rFonts w:hint="eastAsia" w:ascii="宋体" w:hAnsi="宋体" w:cs="宋体"/>
                <w:szCs w:val="21"/>
                <w:highlight w:val="none"/>
                <w:lang w:eastAsia="zh-Hans"/>
              </w:rPr>
              <w:t>4、</w:t>
            </w:r>
            <w:r>
              <w:rPr>
                <w:rFonts w:hint="eastAsia" w:ascii="宋体" w:hAnsi="宋体" w:cs="宋体"/>
                <w:szCs w:val="21"/>
                <w:highlight w:val="none"/>
                <w:lang w:eastAsia="zh-CN"/>
              </w:rPr>
              <w:t>配置</w:t>
            </w:r>
            <w:r>
              <w:rPr>
                <w:rFonts w:hint="eastAsia" w:ascii="宋体" w:hAnsi="宋体" w:cs="宋体"/>
                <w:szCs w:val="21"/>
                <w:highlight w:val="none"/>
                <w:lang w:eastAsia="zh-Hans"/>
              </w:rPr>
              <w:t>将检索条件保存为常用检索条件</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p>
          <w:p>
            <w:pPr>
              <w:rPr>
                <w:rFonts w:hint="eastAsia" w:ascii="宋体" w:hAnsi="宋体" w:eastAsia="宋体" w:cs="宋体"/>
                <w:szCs w:val="21"/>
                <w:highlight w:val="none"/>
                <w:lang w:eastAsia="zh-CN"/>
              </w:rPr>
            </w:pPr>
            <w:r>
              <w:rPr>
                <w:rFonts w:hint="eastAsia" w:ascii="宋体" w:hAnsi="宋体" w:cs="宋体"/>
                <w:szCs w:val="21"/>
                <w:highlight w:val="none"/>
                <w:lang w:eastAsia="zh-Hans"/>
              </w:rPr>
              <w:t>5、</w:t>
            </w:r>
            <w:r>
              <w:rPr>
                <w:rFonts w:hint="eastAsia" w:ascii="宋体" w:hAnsi="宋体" w:cs="宋体"/>
                <w:szCs w:val="21"/>
                <w:highlight w:val="none"/>
                <w:lang w:eastAsia="zh-CN"/>
              </w:rPr>
              <w:t>配置</w:t>
            </w:r>
            <w:r>
              <w:rPr>
                <w:rFonts w:hint="eastAsia" w:ascii="宋体" w:hAnsi="宋体" w:cs="宋体"/>
                <w:szCs w:val="21"/>
                <w:highlight w:val="none"/>
                <w:lang w:eastAsia="zh-Hans"/>
              </w:rPr>
              <w:t>保存最近</w:t>
            </w:r>
            <w:r>
              <w:rPr>
                <w:rFonts w:hint="eastAsia" w:ascii="宋体" w:hAnsi="宋体" w:cs="宋体"/>
                <w:szCs w:val="21"/>
                <w:highlight w:val="none"/>
                <w:lang w:val="en-US" w:eastAsia="zh-CN"/>
              </w:rPr>
              <w:t>不少于</w:t>
            </w:r>
            <w:r>
              <w:rPr>
                <w:rFonts w:hint="eastAsia" w:ascii="宋体" w:hAnsi="宋体" w:cs="宋体"/>
                <w:szCs w:val="21"/>
                <w:highlight w:val="none"/>
                <w:lang w:eastAsia="zh-Hans"/>
              </w:rPr>
              <w:t>100条的历史检索条件</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。检索范围、时间范围、检索条件和过滤语句</w:t>
            </w:r>
            <w:r>
              <w:rPr>
                <w:rFonts w:hint="eastAsia" w:ascii="宋体" w:hAnsi="宋体" w:cs="宋体"/>
                <w:szCs w:val="21"/>
                <w:highlight w:val="none"/>
                <w:lang w:eastAsia="zh-CN"/>
              </w:rPr>
              <w:t>；</w:t>
            </w:r>
          </w:p>
          <w:p>
            <w:pPr>
              <w:rPr>
                <w:rFonts w:ascii="宋体" w:hAnsi="宋体" w:cs="宋体"/>
                <w:szCs w:val="21"/>
                <w:highlight w:val="none"/>
                <w:lang w:eastAsia="zh-Hans"/>
              </w:rPr>
            </w:pPr>
            <w:r>
              <w:rPr>
                <w:rFonts w:hint="eastAsia" w:ascii="宋体" w:hAnsi="宋体" w:cs="宋体"/>
                <w:szCs w:val="21"/>
                <w:highlight w:val="none"/>
                <w:lang w:eastAsia="zh-Hans"/>
              </w:rPr>
              <w:t>6、</w:t>
            </w:r>
            <w:r>
              <w:rPr>
                <w:rFonts w:hint="eastAsia" w:ascii="宋体" w:hAnsi="宋体" w:cs="宋体"/>
                <w:szCs w:val="21"/>
                <w:highlight w:val="none"/>
                <w:lang w:eastAsia="zh-CN"/>
              </w:rPr>
              <w:t>配置</w:t>
            </w:r>
            <w:r>
              <w:rPr>
                <w:rFonts w:hint="eastAsia" w:ascii="宋体" w:hAnsi="宋体" w:cs="宋体"/>
                <w:szCs w:val="21"/>
                <w:highlight w:val="none"/>
                <w:lang w:eastAsia="zh-Hans"/>
              </w:rPr>
              <w:t>对检索任务的导出</w:t>
            </w:r>
            <w:r>
              <w:rPr>
                <w:rFonts w:hint="eastAsia" w:ascii="宋体" w:hAnsi="宋体" w:cs="宋体"/>
                <w:szCs w:val="21"/>
                <w:highlight w:val="none"/>
                <w:lang w:val="en-US" w:eastAsia="zh-CN"/>
              </w:rPr>
              <w:t>的能力。</w:t>
            </w:r>
          </w:p>
        </w:tc>
      </w:tr>
      <w:tr>
        <w:tc>
          <w:tcPr>
            <w:tcW w:w="592" w:type="pct"/>
            <w:vMerge w:val="continue"/>
          </w:tcPr>
          <w:p>
            <w:pPr>
              <w:rPr>
                <w:rFonts w:ascii="宋体" w:hAnsi="宋体" w:cs="宋体"/>
                <w:szCs w:val="21"/>
                <w:highlight w:val="none"/>
                <w:lang w:eastAsia="zh-Hans"/>
              </w:rPr>
            </w:pPr>
          </w:p>
        </w:tc>
        <w:tc>
          <w:tcPr>
            <w:tcW w:w="596" w:type="pct"/>
          </w:tcPr>
          <w:p>
            <w:pPr>
              <w:rPr>
                <w:rFonts w:ascii="宋体" w:hAnsi="宋体" w:cs="宋体"/>
                <w:szCs w:val="21"/>
                <w:highlight w:val="none"/>
                <w:lang w:eastAsia="zh-Hans"/>
              </w:rPr>
            </w:pPr>
            <w:r>
              <w:rPr>
                <w:rFonts w:hint="eastAsia" w:ascii="宋体" w:hAnsi="宋体" w:cs="宋体"/>
                <w:szCs w:val="21"/>
                <w:highlight w:val="none"/>
                <w:lang w:eastAsia="zh-Hans"/>
              </w:rPr>
              <w:t>告警标记</w:t>
            </w:r>
          </w:p>
        </w:tc>
        <w:tc>
          <w:tcPr>
            <w:tcW w:w="3810" w:type="pct"/>
          </w:tcPr>
          <w:p>
            <w:pPr>
              <w:rPr>
                <w:rFonts w:ascii="宋体" w:hAnsi="宋体" w:cs="宋体"/>
                <w:szCs w:val="21"/>
                <w:highlight w:val="none"/>
                <w:lang w:eastAsia="zh-Hans"/>
              </w:rPr>
            </w:pPr>
            <w:r>
              <w:rPr>
                <w:rFonts w:hint="eastAsia" w:ascii="宋体" w:hAnsi="宋体" w:cs="宋体"/>
                <w:szCs w:val="21"/>
                <w:highlight w:val="none"/>
                <w:lang w:eastAsia="zh-Hans"/>
              </w:rPr>
              <w:t>1、</w:t>
            </w:r>
            <w:r>
              <w:rPr>
                <w:rFonts w:hint="eastAsia" w:ascii="宋体" w:hAnsi="宋体" w:cs="宋体"/>
                <w:szCs w:val="21"/>
                <w:highlight w:val="none"/>
                <w:lang w:eastAsia="zh-CN"/>
              </w:rPr>
              <w:t>配置</w:t>
            </w:r>
            <w:r>
              <w:rPr>
                <w:rFonts w:hint="eastAsia" w:ascii="宋体" w:hAnsi="宋体" w:cs="宋体"/>
                <w:szCs w:val="21"/>
                <w:highlight w:val="none"/>
                <w:lang w:eastAsia="zh-Hans"/>
              </w:rPr>
              <w:t>对告警列表中的数据标记为误报</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p>
          <w:p>
            <w:pPr>
              <w:rPr>
                <w:rFonts w:ascii="宋体" w:hAnsi="宋体" w:cs="宋体"/>
                <w:szCs w:val="21"/>
                <w:highlight w:val="none"/>
                <w:lang w:eastAsia="zh-Hans"/>
              </w:rPr>
            </w:pPr>
            <w:r>
              <w:rPr>
                <w:rFonts w:hint="eastAsia" w:ascii="宋体" w:hAnsi="宋体" w:cs="宋体"/>
                <w:szCs w:val="21"/>
                <w:highlight w:val="none"/>
                <w:lang w:eastAsia="zh-Hans"/>
              </w:rPr>
              <w:t>2、</w:t>
            </w:r>
            <w:r>
              <w:rPr>
                <w:rFonts w:hint="eastAsia" w:ascii="宋体" w:hAnsi="宋体" w:cs="宋体"/>
                <w:szCs w:val="21"/>
                <w:highlight w:val="none"/>
                <w:lang w:eastAsia="zh-CN"/>
              </w:rPr>
              <w:t>配置</w:t>
            </w:r>
            <w:r>
              <w:rPr>
                <w:rFonts w:hint="eastAsia" w:ascii="宋体" w:hAnsi="宋体" w:cs="宋体"/>
                <w:szCs w:val="21"/>
                <w:highlight w:val="none"/>
                <w:lang w:eastAsia="zh-Hans"/>
              </w:rPr>
              <w:t>对告警列表中已经标记为误报的数据取消误表标记</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p>
          <w:p>
            <w:pPr>
              <w:rPr>
                <w:rFonts w:ascii="宋体" w:hAnsi="宋体" w:cs="宋体"/>
                <w:szCs w:val="21"/>
                <w:highlight w:val="none"/>
                <w:lang w:eastAsia="zh-Hans"/>
              </w:rPr>
            </w:pPr>
            <w:r>
              <w:rPr>
                <w:rFonts w:hint="eastAsia" w:ascii="宋体" w:hAnsi="宋体" w:cs="宋体"/>
                <w:szCs w:val="21"/>
                <w:highlight w:val="none"/>
                <w:lang w:eastAsia="zh-Hans"/>
              </w:rPr>
              <w:t>3、</w:t>
            </w:r>
            <w:r>
              <w:rPr>
                <w:rFonts w:hint="eastAsia" w:ascii="宋体" w:hAnsi="宋体" w:cs="宋体"/>
                <w:szCs w:val="21"/>
                <w:highlight w:val="none"/>
                <w:lang w:eastAsia="zh-CN"/>
              </w:rPr>
              <w:t>配置</w:t>
            </w:r>
            <w:r>
              <w:rPr>
                <w:rFonts w:hint="eastAsia" w:ascii="宋体" w:hAnsi="宋体" w:cs="宋体"/>
                <w:szCs w:val="21"/>
                <w:highlight w:val="none"/>
                <w:lang w:eastAsia="zh-Hans"/>
              </w:rPr>
              <w:t>对告警列表中的数据进行已读、维度标记</w:t>
            </w:r>
            <w:r>
              <w:rPr>
                <w:rFonts w:hint="eastAsia" w:ascii="宋体" w:hAnsi="宋体" w:cs="宋体"/>
                <w:szCs w:val="21"/>
                <w:highlight w:val="none"/>
                <w:lang w:val="en-US" w:eastAsia="zh-CN"/>
              </w:rPr>
              <w:t>的能力；</w:t>
            </w:r>
          </w:p>
          <w:p>
            <w:pPr>
              <w:rPr>
                <w:rFonts w:ascii="宋体" w:hAnsi="宋体" w:cs="宋体"/>
                <w:szCs w:val="21"/>
                <w:highlight w:val="none"/>
                <w:lang w:eastAsia="zh-Hans"/>
              </w:rPr>
            </w:pPr>
            <w:r>
              <w:rPr>
                <w:rFonts w:hint="eastAsia" w:ascii="宋体" w:hAnsi="宋体" w:cs="宋体"/>
                <w:szCs w:val="21"/>
                <w:highlight w:val="none"/>
                <w:lang w:eastAsia="zh-Hans"/>
              </w:rPr>
              <w:t>4、</w:t>
            </w:r>
            <w:r>
              <w:rPr>
                <w:rFonts w:hint="eastAsia" w:ascii="宋体" w:hAnsi="宋体" w:cs="宋体"/>
                <w:szCs w:val="21"/>
                <w:highlight w:val="none"/>
                <w:lang w:eastAsia="zh-CN"/>
              </w:rPr>
              <w:t>配置</w:t>
            </w:r>
            <w:r>
              <w:rPr>
                <w:rFonts w:hint="eastAsia" w:ascii="宋体" w:hAnsi="宋体" w:cs="宋体"/>
                <w:szCs w:val="21"/>
                <w:highlight w:val="none"/>
                <w:lang w:eastAsia="zh-Hans"/>
              </w:rPr>
              <w:t>对告警数据进行关注标记</w:t>
            </w:r>
            <w:r>
              <w:rPr>
                <w:rFonts w:hint="eastAsia" w:ascii="宋体" w:hAnsi="宋体" w:cs="宋体"/>
                <w:szCs w:val="21"/>
                <w:highlight w:val="none"/>
                <w:lang w:val="en-US" w:eastAsia="zh-CN"/>
              </w:rPr>
              <w:t>的能力。</w:t>
            </w:r>
          </w:p>
        </w:tc>
      </w:tr>
      <w:tr>
        <w:tc>
          <w:tcPr>
            <w:tcW w:w="592" w:type="pct"/>
            <w:vMerge w:val="continue"/>
          </w:tcPr>
          <w:p>
            <w:pPr>
              <w:rPr>
                <w:rFonts w:ascii="宋体" w:hAnsi="宋体" w:cs="宋体"/>
                <w:szCs w:val="21"/>
                <w:highlight w:val="none"/>
                <w:lang w:eastAsia="zh-Hans"/>
              </w:rPr>
            </w:pPr>
          </w:p>
        </w:tc>
        <w:tc>
          <w:tcPr>
            <w:tcW w:w="596" w:type="pct"/>
          </w:tcPr>
          <w:p>
            <w:pPr>
              <w:rPr>
                <w:rFonts w:ascii="宋体" w:hAnsi="宋体" w:cs="宋体"/>
                <w:szCs w:val="21"/>
                <w:highlight w:val="none"/>
                <w:lang w:eastAsia="zh-Hans"/>
              </w:rPr>
            </w:pPr>
            <w:r>
              <w:rPr>
                <w:rFonts w:hint="eastAsia" w:ascii="宋体" w:hAnsi="宋体" w:cs="宋体"/>
                <w:szCs w:val="21"/>
                <w:highlight w:val="none"/>
                <w:lang w:eastAsia="zh-Hans"/>
              </w:rPr>
              <w:t>二次塞选</w:t>
            </w:r>
          </w:p>
        </w:tc>
        <w:tc>
          <w:tcPr>
            <w:tcW w:w="3810" w:type="pct"/>
          </w:tcPr>
          <w:p>
            <w:pPr>
              <w:rPr>
                <w:rFonts w:hint="eastAsia" w:ascii="宋体" w:hAnsi="宋体" w:eastAsia="宋体" w:cs="宋体"/>
                <w:szCs w:val="21"/>
                <w:highlight w:val="none"/>
                <w:lang w:eastAsia="zh-CN"/>
              </w:rPr>
            </w:pPr>
            <w:r>
              <w:rPr>
                <w:rFonts w:hint="eastAsia" w:ascii="宋体" w:hAnsi="宋体" w:cs="宋体"/>
                <w:szCs w:val="21"/>
                <w:highlight w:val="none"/>
                <w:lang w:eastAsia="zh-Hans"/>
              </w:rPr>
              <w:t>1、</w:t>
            </w:r>
            <w:r>
              <w:rPr>
                <w:rFonts w:hint="eastAsia" w:ascii="宋体" w:hAnsi="宋体" w:cs="宋体"/>
                <w:szCs w:val="21"/>
                <w:highlight w:val="none"/>
                <w:lang w:eastAsia="zh-CN"/>
              </w:rPr>
              <w:t>配置</w:t>
            </w:r>
            <w:r>
              <w:rPr>
                <w:rFonts w:hint="eastAsia" w:ascii="宋体" w:hAnsi="宋体" w:cs="宋体"/>
                <w:szCs w:val="21"/>
                <w:highlight w:val="none"/>
                <w:lang w:eastAsia="zh-Hans"/>
              </w:rPr>
              <w:t>在搜索结果中快速选取结果字段进行二次快速搜索</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，自动生成一个对应主界面搜索时间和搜索数据源，搜索内容为该字段的新的搜索任务</w:t>
            </w:r>
            <w:r>
              <w:rPr>
                <w:rFonts w:hint="eastAsia" w:ascii="宋体" w:hAnsi="宋体" w:cs="宋体"/>
                <w:szCs w:val="21"/>
                <w:highlight w:val="none"/>
                <w:lang w:eastAsia="zh-CN"/>
              </w:rPr>
              <w:t>；</w:t>
            </w:r>
          </w:p>
          <w:p>
            <w:pPr>
              <w:rPr>
                <w:rFonts w:ascii="宋体" w:hAnsi="宋体" w:cs="宋体"/>
                <w:szCs w:val="21"/>
                <w:highlight w:val="none"/>
                <w:lang w:eastAsia="zh-Hans"/>
              </w:rPr>
            </w:pPr>
            <w:r>
              <w:rPr>
                <w:rFonts w:hint="eastAsia" w:ascii="宋体" w:hAnsi="宋体" w:cs="宋体"/>
                <w:szCs w:val="21"/>
                <w:highlight w:val="none"/>
                <w:lang w:eastAsia="zh-Hans"/>
              </w:rPr>
              <w:t>2、</w:t>
            </w:r>
            <w:r>
              <w:rPr>
                <w:rFonts w:hint="eastAsia" w:ascii="宋体" w:hAnsi="宋体" w:cs="宋体"/>
                <w:szCs w:val="21"/>
                <w:highlight w:val="none"/>
                <w:lang w:eastAsia="zh-CN"/>
              </w:rPr>
              <w:t>配置</w:t>
            </w:r>
            <w:r>
              <w:rPr>
                <w:rFonts w:hint="eastAsia" w:ascii="宋体" w:hAnsi="宋体" w:cs="宋体"/>
                <w:szCs w:val="21"/>
                <w:highlight w:val="none"/>
                <w:lang w:eastAsia="zh-Hans"/>
              </w:rPr>
              <w:t>在搜索结果中的某条数据的某个字段进行快速排除操作</w:t>
            </w:r>
            <w:r>
              <w:rPr>
                <w:rFonts w:hint="eastAsia" w:ascii="宋体" w:hAnsi="宋体" w:cs="宋体"/>
                <w:szCs w:val="21"/>
                <w:highlight w:val="none"/>
                <w:lang w:val="en-US" w:eastAsia="zh-CN"/>
              </w:rPr>
              <w:t>的能力。</w:t>
            </w:r>
          </w:p>
        </w:tc>
      </w:tr>
      <w:tr>
        <w:tc>
          <w:tcPr>
            <w:tcW w:w="592" w:type="pct"/>
            <w:vMerge w:val="continue"/>
          </w:tcPr>
          <w:p>
            <w:pPr>
              <w:rPr>
                <w:rFonts w:ascii="宋体" w:hAnsi="宋体" w:cs="宋体"/>
                <w:szCs w:val="21"/>
                <w:highlight w:val="none"/>
                <w:lang w:eastAsia="zh-Hans"/>
              </w:rPr>
            </w:pPr>
          </w:p>
        </w:tc>
        <w:tc>
          <w:tcPr>
            <w:tcW w:w="596" w:type="pct"/>
          </w:tcPr>
          <w:p>
            <w:pPr>
              <w:rPr>
                <w:rFonts w:ascii="宋体" w:hAnsi="宋体" w:cs="宋体"/>
                <w:szCs w:val="21"/>
                <w:highlight w:val="none"/>
                <w:lang w:eastAsia="zh-Hans"/>
              </w:rPr>
            </w:pPr>
            <w:r>
              <w:rPr>
                <w:rFonts w:hint="eastAsia" w:ascii="宋体" w:hAnsi="宋体" w:cs="宋体"/>
                <w:szCs w:val="21"/>
                <w:highlight w:val="none"/>
                <w:lang w:eastAsia="zh-Hans"/>
              </w:rPr>
              <w:t>检索结果展示</w:t>
            </w:r>
          </w:p>
        </w:tc>
        <w:tc>
          <w:tcPr>
            <w:tcW w:w="3810" w:type="pct"/>
          </w:tcPr>
          <w:p>
            <w:pPr>
              <w:rPr>
                <w:rFonts w:hint="eastAsia" w:ascii="宋体" w:hAnsi="宋体" w:cs="宋体"/>
                <w:szCs w:val="21"/>
                <w:highlight w:val="none"/>
                <w:lang w:eastAsia="zh-Hans"/>
              </w:rPr>
            </w:pPr>
            <w:r>
              <w:rPr>
                <w:rFonts w:hint="eastAsia" w:ascii="宋体" w:hAnsi="宋体" w:cs="宋体"/>
                <w:szCs w:val="21"/>
                <w:highlight w:val="none"/>
                <w:lang w:eastAsia="zh-Hans"/>
              </w:rPr>
              <w:t>根据快速检索或者高级检索进行符合条件的数据呈现，数据呈现至少包含以下功能及内容：</w:t>
            </w:r>
          </w:p>
          <w:p>
            <w:pPr>
              <w:rPr>
                <w:rFonts w:hint="eastAsia" w:ascii="宋体" w:hAnsi="宋体" w:cs="宋体"/>
                <w:szCs w:val="21"/>
                <w:highlight w:val="none"/>
                <w:lang w:eastAsia="zh-Hans"/>
              </w:rPr>
            </w:pPr>
            <w:r>
              <w:rPr>
                <w:rFonts w:hint="eastAsia" w:ascii="宋体" w:hAnsi="宋体" w:cs="宋体"/>
                <w:szCs w:val="21"/>
                <w:highlight w:val="none"/>
                <w:lang w:eastAsia="zh-Hans"/>
              </w:rPr>
              <w:t>1、配置根据搜索结果统计本次检索告警的告警类型分布情况、规则命中情况、告警数量趋势统计的能力；</w:t>
            </w:r>
          </w:p>
          <w:p>
            <w:pPr>
              <w:rPr>
                <w:rFonts w:hint="eastAsia" w:ascii="宋体" w:hAnsi="宋体" w:cs="宋体"/>
                <w:szCs w:val="21"/>
                <w:highlight w:val="none"/>
                <w:lang w:eastAsia="zh-Hans"/>
              </w:rPr>
            </w:pPr>
            <w:r>
              <w:rPr>
                <w:rFonts w:hint="eastAsia" w:ascii="宋体" w:hAnsi="宋体" w:cs="宋体"/>
                <w:szCs w:val="21"/>
                <w:highlight w:val="none"/>
                <w:lang w:eastAsia="zh-Hans"/>
              </w:rPr>
              <w:t>2、配置根据搜索的数据结果进行告警类型分类统计的能力，并可根据分类进行快速二次筛选；</w:t>
            </w:r>
          </w:p>
          <w:p>
            <w:pPr>
              <w:rPr>
                <w:rFonts w:hint="eastAsia" w:ascii="宋体" w:hAnsi="宋体" w:cs="宋体"/>
                <w:szCs w:val="21"/>
                <w:highlight w:val="none"/>
                <w:lang w:eastAsia="zh-Hans"/>
              </w:rPr>
            </w:pPr>
            <w:r>
              <w:rPr>
                <w:rFonts w:hint="eastAsia" w:ascii="宋体" w:hAnsi="宋体" w:cs="宋体"/>
                <w:szCs w:val="21"/>
                <w:highlight w:val="none"/>
                <w:lang w:eastAsia="zh-Hans"/>
              </w:rPr>
              <w:t>3、配置数据字段展示配置功能，用户可自定义每种数据需要展示的字段以及数据列的展示顺序；</w:t>
            </w:r>
          </w:p>
          <w:p>
            <w:pPr>
              <w:rPr>
                <w:rFonts w:hint="eastAsia" w:ascii="宋体" w:hAnsi="宋体" w:cs="宋体"/>
                <w:szCs w:val="21"/>
                <w:highlight w:val="none"/>
                <w:lang w:eastAsia="zh-Hans"/>
              </w:rPr>
            </w:pPr>
            <w:r>
              <w:rPr>
                <w:rFonts w:hint="eastAsia" w:ascii="宋体" w:hAnsi="宋体" w:cs="宋体"/>
                <w:szCs w:val="21"/>
                <w:highlight w:val="none"/>
                <w:lang w:eastAsia="zh-Hans"/>
              </w:rPr>
              <w:t>4、配置针对数据表中的常用字段（比如IP、告警类型、攻击结果等）进行添加到搜索、从搜索中排除、新建搜索等二次筛选操作；</w:t>
            </w:r>
          </w:p>
          <w:p>
            <w:pPr>
              <w:rPr>
                <w:rFonts w:hint="eastAsia" w:ascii="宋体" w:hAnsi="宋体" w:cs="宋体"/>
                <w:szCs w:val="21"/>
                <w:highlight w:val="none"/>
                <w:lang w:eastAsia="zh-Hans"/>
              </w:rPr>
            </w:pPr>
            <w:r>
              <w:rPr>
                <w:rFonts w:hint="eastAsia" w:ascii="宋体" w:hAnsi="宋体" w:cs="宋体"/>
                <w:szCs w:val="21"/>
                <w:highlight w:val="none"/>
                <w:lang w:eastAsia="zh-Hans"/>
              </w:rPr>
              <w:t>5、配置检索结果的导出的能力；</w:t>
            </w:r>
          </w:p>
          <w:p>
            <w:pPr>
              <w:rPr>
                <w:rFonts w:hint="eastAsia" w:ascii="宋体" w:hAnsi="宋体" w:cs="宋体"/>
                <w:szCs w:val="21"/>
                <w:highlight w:val="none"/>
                <w:lang w:eastAsia="zh-Hans"/>
              </w:rPr>
            </w:pPr>
            <w:r>
              <w:rPr>
                <w:rFonts w:hint="eastAsia" w:ascii="宋体" w:hAnsi="宋体" w:cs="宋体"/>
                <w:szCs w:val="21"/>
                <w:highlight w:val="none"/>
                <w:lang w:eastAsia="zh-Hans"/>
              </w:rPr>
              <w:t>6、对单条告警的操作至少包括查看详情、打标签、研判动作（误报、无需处置、查实需处置、转事件等操作）；</w:t>
            </w:r>
          </w:p>
          <w:p>
            <w:pPr>
              <w:rPr>
                <w:rFonts w:hint="eastAsia" w:ascii="宋体" w:hAnsi="宋体" w:eastAsia="宋体" w:cs="宋体"/>
                <w:szCs w:val="21"/>
                <w:highlight w:val="none"/>
                <w:lang w:eastAsia="zh-CN"/>
              </w:rPr>
            </w:pPr>
            <w:r>
              <w:rPr>
                <w:rFonts w:hint="eastAsia" w:ascii="宋体" w:hAnsi="宋体" w:cs="宋体"/>
                <w:szCs w:val="21"/>
                <w:highlight w:val="none"/>
                <w:lang w:eastAsia="zh-Hans"/>
              </w:rPr>
              <w:t>7、单条告警显示内容根据告警类型的不同对告警信息进行信息分组显示。</w:t>
            </w:r>
          </w:p>
        </w:tc>
      </w:tr>
      <w:tr>
        <w:tc>
          <w:tcPr>
            <w:tcW w:w="592" w:type="pct"/>
            <w:vMerge w:val="restart"/>
          </w:tcPr>
          <w:p>
            <w:pPr>
              <w:rPr>
                <w:rFonts w:ascii="宋体" w:hAnsi="宋体" w:cs="宋体"/>
                <w:szCs w:val="21"/>
                <w:highlight w:val="none"/>
                <w:lang w:eastAsia="zh-Hans"/>
              </w:rPr>
            </w:pPr>
            <w:r>
              <w:rPr>
                <w:rFonts w:hint="eastAsia" w:ascii="宋体" w:hAnsi="宋体" w:cs="宋体"/>
                <w:szCs w:val="21"/>
                <w:highlight w:val="none"/>
                <w:lang w:eastAsia="zh-Hans"/>
              </w:rPr>
              <w:t>事件管理</w:t>
            </w:r>
          </w:p>
        </w:tc>
        <w:tc>
          <w:tcPr>
            <w:tcW w:w="596" w:type="pct"/>
          </w:tcPr>
          <w:p>
            <w:pPr>
              <w:rPr>
                <w:rFonts w:ascii="宋体" w:hAnsi="宋体" w:cs="宋体"/>
                <w:szCs w:val="21"/>
                <w:highlight w:val="none"/>
                <w:lang w:eastAsia="zh-Hans"/>
              </w:rPr>
            </w:pPr>
            <w:r>
              <w:rPr>
                <w:rFonts w:hint="eastAsia" w:ascii="宋体" w:hAnsi="宋体" w:cs="宋体"/>
                <w:szCs w:val="21"/>
                <w:highlight w:val="none"/>
                <w:lang w:eastAsia="zh-Hans"/>
              </w:rPr>
              <w:t>事件数据检索</w:t>
            </w:r>
          </w:p>
        </w:tc>
        <w:tc>
          <w:tcPr>
            <w:tcW w:w="3810" w:type="pct"/>
          </w:tcPr>
          <w:p>
            <w:pPr>
              <w:rPr>
                <w:rFonts w:ascii="宋体" w:hAnsi="宋体" w:cs="宋体"/>
                <w:szCs w:val="21"/>
                <w:highlight w:val="none"/>
                <w:lang w:eastAsia="zh-Hans"/>
              </w:rPr>
            </w:pPr>
            <w:r>
              <w:rPr>
                <w:rFonts w:hint="eastAsia" w:ascii="宋体" w:hAnsi="宋体" w:cs="宋体"/>
                <w:szCs w:val="21"/>
                <w:highlight w:val="none"/>
                <w:lang w:val="en-US" w:eastAsia="zh-CN"/>
              </w:rPr>
              <w:t>1</w:t>
            </w:r>
            <w:r>
              <w:rPr>
                <w:rFonts w:hint="eastAsia" w:ascii="宋体" w:hAnsi="宋体" w:cs="宋体"/>
                <w:szCs w:val="21"/>
                <w:highlight w:val="none"/>
                <w:lang w:eastAsia="zh-Hans"/>
              </w:rPr>
              <w:t>、</w:t>
            </w:r>
            <w:r>
              <w:rPr>
                <w:rFonts w:hint="eastAsia" w:ascii="宋体" w:hAnsi="宋体" w:cs="宋体"/>
                <w:szCs w:val="21"/>
                <w:highlight w:val="none"/>
                <w:lang w:eastAsia="zh-CN"/>
              </w:rPr>
              <w:t>配置</w:t>
            </w:r>
            <w:r>
              <w:rPr>
                <w:rFonts w:hint="eastAsia" w:ascii="宋体" w:hAnsi="宋体" w:cs="宋体"/>
                <w:szCs w:val="21"/>
                <w:highlight w:val="none"/>
                <w:lang w:eastAsia="zh-Hans"/>
              </w:rPr>
              <w:t>可选择要输入的快捷搜索字段进行数据检索。语句条件支持【=】【!=】【in】【range】【exists】【no exists】；</w:t>
            </w:r>
          </w:p>
          <w:p>
            <w:pPr>
              <w:rPr>
                <w:rFonts w:ascii="宋体" w:hAnsi="宋体" w:cs="宋体"/>
                <w:szCs w:val="21"/>
                <w:highlight w:val="none"/>
                <w:lang w:eastAsia="zh-Hans"/>
              </w:rPr>
            </w:pPr>
            <w:r>
              <w:rPr>
                <w:rFonts w:hint="eastAsia" w:ascii="宋体" w:hAnsi="宋体" w:cs="宋体"/>
                <w:szCs w:val="21"/>
                <w:highlight w:val="none"/>
                <w:lang w:eastAsia="zh-Hans"/>
              </w:rPr>
              <w:t>2、</w:t>
            </w:r>
            <w:r>
              <w:rPr>
                <w:rFonts w:hint="eastAsia" w:ascii="宋体" w:hAnsi="宋体" w:cs="宋体"/>
                <w:szCs w:val="21"/>
                <w:highlight w:val="none"/>
                <w:lang w:eastAsia="zh-CN"/>
              </w:rPr>
              <w:t>配置</w:t>
            </w:r>
            <w:r>
              <w:rPr>
                <w:rFonts w:hint="eastAsia" w:ascii="宋体" w:hAnsi="宋体" w:cs="宋体"/>
                <w:szCs w:val="21"/>
                <w:highlight w:val="none"/>
                <w:lang w:eastAsia="zh-Hans"/>
              </w:rPr>
              <w:t>输出高级检索类SQL语句进行数据检索；</w:t>
            </w:r>
          </w:p>
          <w:p>
            <w:pPr>
              <w:rPr>
                <w:rFonts w:ascii="宋体" w:hAnsi="宋体" w:cs="宋体"/>
                <w:szCs w:val="21"/>
                <w:highlight w:val="none"/>
                <w:lang w:eastAsia="zh-Hans"/>
              </w:rPr>
            </w:pPr>
            <w:r>
              <w:rPr>
                <w:rFonts w:hint="eastAsia" w:ascii="宋体" w:hAnsi="宋体" w:cs="宋体"/>
                <w:szCs w:val="21"/>
                <w:highlight w:val="none"/>
                <w:lang w:eastAsia="zh-Hans"/>
              </w:rPr>
              <w:t>3、</w:t>
            </w:r>
            <w:r>
              <w:rPr>
                <w:rFonts w:hint="eastAsia" w:ascii="宋体" w:hAnsi="宋体" w:cs="宋体"/>
                <w:szCs w:val="21"/>
                <w:highlight w:val="none"/>
                <w:lang w:eastAsia="zh-CN"/>
              </w:rPr>
              <w:t>配置</w:t>
            </w:r>
            <w:r>
              <w:rPr>
                <w:rFonts w:hint="eastAsia" w:ascii="宋体" w:hAnsi="宋体" w:cs="宋体"/>
                <w:szCs w:val="21"/>
                <w:highlight w:val="none"/>
                <w:lang w:eastAsia="zh-Hans"/>
              </w:rPr>
              <w:t>对多个检索条件使用AND或OR进行连接以及支持使用（）编辑逻辑连接顺序；</w:t>
            </w:r>
          </w:p>
          <w:p>
            <w:pPr>
              <w:rPr>
                <w:rFonts w:ascii="宋体" w:hAnsi="宋体" w:cs="宋体"/>
                <w:szCs w:val="21"/>
                <w:highlight w:val="none"/>
                <w:lang w:eastAsia="zh-Hans"/>
              </w:rPr>
            </w:pPr>
            <w:r>
              <w:rPr>
                <w:rFonts w:hint="eastAsia" w:ascii="宋体" w:hAnsi="宋体" w:cs="宋体"/>
                <w:szCs w:val="21"/>
                <w:highlight w:val="none"/>
                <w:lang w:eastAsia="zh-Hans"/>
              </w:rPr>
              <w:t>4、</w:t>
            </w:r>
            <w:r>
              <w:rPr>
                <w:rFonts w:hint="eastAsia" w:ascii="宋体" w:hAnsi="宋体" w:cs="宋体"/>
                <w:szCs w:val="21"/>
                <w:highlight w:val="none"/>
                <w:lang w:eastAsia="zh-CN"/>
              </w:rPr>
              <w:t>配置</w:t>
            </w:r>
            <w:r>
              <w:rPr>
                <w:rFonts w:hint="eastAsia" w:ascii="宋体" w:hAnsi="宋体" w:cs="宋体"/>
                <w:szCs w:val="21"/>
                <w:highlight w:val="none"/>
                <w:lang w:eastAsia="zh-Hans"/>
              </w:rPr>
              <w:t>将检索条件保存为常用检索条件</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w:t>
            </w:r>
          </w:p>
          <w:p>
            <w:pPr>
              <w:rPr>
                <w:rFonts w:hint="eastAsia" w:ascii="宋体" w:hAnsi="宋体" w:eastAsia="宋体" w:cs="宋体"/>
                <w:szCs w:val="21"/>
                <w:highlight w:val="none"/>
                <w:lang w:eastAsia="zh-CN"/>
              </w:rPr>
            </w:pPr>
            <w:r>
              <w:rPr>
                <w:rFonts w:hint="eastAsia" w:ascii="宋体" w:hAnsi="宋体" w:cs="宋体"/>
                <w:szCs w:val="21"/>
                <w:highlight w:val="none"/>
                <w:lang w:eastAsia="zh-Hans"/>
              </w:rPr>
              <w:t>5、</w:t>
            </w:r>
            <w:r>
              <w:rPr>
                <w:rFonts w:hint="eastAsia" w:ascii="宋体" w:hAnsi="宋体" w:cs="宋体"/>
                <w:szCs w:val="21"/>
                <w:highlight w:val="none"/>
                <w:lang w:eastAsia="zh-CN"/>
              </w:rPr>
              <w:t>配置</w:t>
            </w:r>
            <w:r>
              <w:rPr>
                <w:rFonts w:hint="eastAsia" w:ascii="宋体" w:hAnsi="宋体" w:cs="宋体"/>
                <w:szCs w:val="21"/>
                <w:highlight w:val="none"/>
                <w:lang w:eastAsia="zh-Hans"/>
              </w:rPr>
              <w:t>保存最近100条的历史检索条件</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。检索范围、时间范围、检索条件和过滤语句</w:t>
            </w:r>
            <w:r>
              <w:rPr>
                <w:rFonts w:hint="eastAsia" w:ascii="宋体" w:hAnsi="宋体" w:cs="宋体"/>
                <w:szCs w:val="21"/>
                <w:highlight w:val="none"/>
                <w:lang w:eastAsia="zh-CN"/>
              </w:rPr>
              <w:t>；</w:t>
            </w:r>
          </w:p>
          <w:p>
            <w:pPr>
              <w:rPr>
                <w:rFonts w:ascii="宋体" w:hAnsi="宋体" w:cs="宋体"/>
                <w:szCs w:val="21"/>
                <w:highlight w:val="none"/>
                <w:lang w:eastAsia="zh-Hans"/>
              </w:rPr>
            </w:pPr>
            <w:r>
              <w:rPr>
                <w:rFonts w:hint="eastAsia" w:ascii="宋体" w:hAnsi="宋体" w:cs="宋体"/>
                <w:szCs w:val="21"/>
                <w:highlight w:val="none"/>
                <w:lang w:eastAsia="zh-Hans"/>
              </w:rPr>
              <w:t>6、</w:t>
            </w:r>
            <w:r>
              <w:rPr>
                <w:rFonts w:hint="eastAsia" w:ascii="宋体" w:hAnsi="宋体" w:cs="宋体"/>
                <w:szCs w:val="21"/>
                <w:highlight w:val="none"/>
                <w:lang w:eastAsia="zh-CN"/>
              </w:rPr>
              <w:t>配置</w:t>
            </w:r>
            <w:r>
              <w:rPr>
                <w:rFonts w:hint="eastAsia" w:ascii="宋体" w:hAnsi="宋体" w:cs="宋体"/>
                <w:szCs w:val="21"/>
                <w:highlight w:val="none"/>
                <w:lang w:eastAsia="zh-Hans"/>
              </w:rPr>
              <w:t>对检索任务的导出</w:t>
            </w:r>
            <w:r>
              <w:rPr>
                <w:rFonts w:hint="eastAsia" w:ascii="宋体" w:hAnsi="宋体" w:cs="宋体"/>
                <w:szCs w:val="21"/>
                <w:highlight w:val="none"/>
                <w:lang w:val="en-US" w:eastAsia="zh-CN"/>
              </w:rPr>
              <w:t>的能力。</w:t>
            </w:r>
          </w:p>
        </w:tc>
      </w:tr>
      <w:tr>
        <w:tc>
          <w:tcPr>
            <w:tcW w:w="592" w:type="pct"/>
            <w:vMerge w:val="continue"/>
          </w:tcPr>
          <w:p>
            <w:pPr>
              <w:rPr>
                <w:rFonts w:ascii="宋体" w:hAnsi="宋体" w:cs="宋体"/>
                <w:szCs w:val="21"/>
                <w:highlight w:val="none"/>
                <w:lang w:eastAsia="zh-Hans"/>
              </w:rPr>
            </w:pPr>
          </w:p>
        </w:tc>
        <w:tc>
          <w:tcPr>
            <w:tcW w:w="596" w:type="pct"/>
          </w:tcPr>
          <w:p>
            <w:pPr>
              <w:rPr>
                <w:rFonts w:ascii="宋体" w:hAnsi="宋体" w:cs="宋体"/>
                <w:szCs w:val="21"/>
                <w:highlight w:val="none"/>
                <w:lang w:eastAsia="zh-Hans"/>
              </w:rPr>
            </w:pPr>
            <w:r>
              <w:rPr>
                <w:rFonts w:hint="eastAsia" w:ascii="宋体" w:hAnsi="宋体" w:cs="宋体"/>
                <w:szCs w:val="21"/>
                <w:highlight w:val="none"/>
                <w:lang w:eastAsia="zh-Hans"/>
              </w:rPr>
              <w:t>事件管理</w:t>
            </w:r>
          </w:p>
        </w:tc>
        <w:tc>
          <w:tcPr>
            <w:tcW w:w="3810" w:type="pct"/>
          </w:tcPr>
          <w:p>
            <w:pPr>
              <w:rPr>
                <w:rFonts w:ascii="宋体" w:hAnsi="宋体" w:cs="宋体"/>
                <w:szCs w:val="21"/>
                <w:highlight w:val="none"/>
                <w:lang w:eastAsia="zh-Hans"/>
              </w:rPr>
            </w:pPr>
            <w:r>
              <w:rPr>
                <w:rFonts w:hint="eastAsia" w:ascii="宋体" w:hAnsi="宋体" w:cs="宋体"/>
                <w:szCs w:val="21"/>
                <w:highlight w:val="none"/>
                <w:lang w:eastAsia="zh-Hans"/>
              </w:rPr>
              <w:t>1、</w:t>
            </w:r>
            <w:r>
              <w:rPr>
                <w:rFonts w:hint="eastAsia" w:ascii="宋体" w:hAnsi="宋体" w:cs="宋体"/>
                <w:szCs w:val="21"/>
                <w:highlight w:val="none"/>
                <w:lang w:eastAsia="zh-CN"/>
              </w:rPr>
              <w:t>配置</w:t>
            </w:r>
            <w:r>
              <w:rPr>
                <w:rFonts w:hint="eastAsia" w:ascii="宋体" w:hAnsi="宋体" w:cs="宋体"/>
                <w:szCs w:val="21"/>
                <w:highlight w:val="none"/>
                <w:lang w:eastAsia="zh-Hans"/>
              </w:rPr>
              <w:t>在新增事件界面输入基本信息、受害者信息、攻击者信息、攻击利用、举证信息</w:t>
            </w:r>
            <w:r>
              <w:rPr>
                <w:rFonts w:hint="eastAsia" w:ascii="宋体" w:hAnsi="宋体" w:cs="宋体"/>
                <w:szCs w:val="21"/>
                <w:highlight w:val="none"/>
                <w:lang w:val="en-US" w:eastAsia="zh-CN"/>
              </w:rPr>
              <w:t>的能力；</w:t>
            </w:r>
          </w:p>
          <w:p>
            <w:pPr>
              <w:rPr>
                <w:rFonts w:ascii="宋体" w:hAnsi="宋体" w:cs="宋体"/>
                <w:szCs w:val="21"/>
                <w:highlight w:val="none"/>
                <w:lang w:eastAsia="zh-Hans"/>
              </w:rPr>
            </w:pPr>
            <w:r>
              <w:rPr>
                <w:rFonts w:hint="eastAsia" w:ascii="宋体" w:hAnsi="宋体" w:cs="宋体"/>
                <w:szCs w:val="21"/>
                <w:highlight w:val="none"/>
                <w:lang w:eastAsia="zh-Hans"/>
              </w:rPr>
              <w:t>2、</w:t>
            </w:r>
            <w:r>
              <w:rPr>
                <w:rFonts w:hint="eastAsia" w:ascii="宋体" w:hAnsi="宋体" w:cs="宋体"/>
                <w:szCs w:val="21"/>
                <w:highlight w:val="none"/>
                <w:lang w:eastAsia="zh-CN"/>
              </w:rPr>
              <w:t>配置</w:t>
            </w:r>
            <w:r>
              <w:rPr>
                <w:rFonts w:hint="eastAsia" w:ascii="宋体" w:hAnsi="宋体" w:cs="宋体"/>
                <w:szCs w:val="21"/>
                <w:highlight w:val="none"/>
                <w:lang w:eastAsia="zh-Hans"/>
              </w:rPr>
              <w:t>对事件单条或者批量的进行删除操作</w:t>
            </w:r>
            <w:r>
              <w:rPr>
                <w:rFonts w:hint="eastAsia" w:ascii="宋体" w:hAnsi="宋体" w:cs="宋体"/>
                <w:szCs w:val="21"/>
                <w:highlight w:val="none"/>
                <w:lang w:val="en-US" w:eastAsia="zh-CN"/>
              </w:rPr>
              <w:t>的能力；</w:t>
            </w:r>
          </w:p>
          <w:p>
            <w:pPr>
              <w:rPr>
                <w:rFonts w:ascii="宋体" w:hAnsi="宋体" w:cs="宋体"/>
                <w:szCs w:val="21"/>
                <w:highlight w:val="none"/>
                <w:lang w:eastAsia="zh-Hans"/>
              </w:rPr>
            </w:pPr>
            <w:r>
              <w:rPr>
                <w:rFonts w:hint="eastAsia" w:ascii="宋体" w:hAnsi="宋体" w:cs="宋体"/>
                <w:szCs w:val="21"/>
                <w:highlight w:val="none"/>
                <w:lang w:eastAsia="zh-Hans"/>
              </w:rPr>
              <w:t>3、</w:t>
            </w:r>
            <w:r>
              <w:rPr>
                <w:rFonts w:hint="eastAsia" w:ascii="宋体" w:hAnsi="宋体" w:cs="宋体"/>
                <w:szCs w:val="21"/>
                <w:highlight w:val="none"/>
                <w:lang w:eastAsia="zh-CN"/>
              </w:rPr>
              <w:t>配置</w:t>
            </w:r>
            <w:r>
              <w:rPr>
                <w:rFonts w:hint="eastAsia" w:ascii="宋体" w:hAnsi="宋体" w:cs="宋体"/>
                <w:szCs w:val="21"/>
                <w:highlight w:val="none"/>
                <w:lang w:eastAsia="zh-Hans"/>
              </w:rPr>
              <w:t>对事件单条或者批量的标记无需处置状态信息</w:t>
            </w:r>
            <w:r>
              <w:rPr>
                <w:rFonts w:hint="eastAsia" w:ascii="宋体" w:hAnsi="宋体" w:cs="宋体"/>
                <w:szCs w:val="21"/>
                <w:highlight w:val="none"/>
                <w:lang w:val="en-US" w:eastAsia="zh-CN"/>
              </w:rPr>
              <w:t>的能力；</w:t>
            </w:r>
          </w:p>
          <w:p>
            <w:pPr>
              <w:rPr>
                <w:rFonts w:ascii="宋体" w:hAnsi="宋体" w:cs="宋体"/>
                <w:szCs w:val="21"/>
                <w:highlight w:val="none"/>
                <w:lang w:eastAsia="zh-Hans"/>
              </w:rPr>
            </w:pPr>
            <w:r>
              <w:rPr>
                <w:rFonts w:hint="eastAsia" w:ascii="宋体" w:hAnsi="宋体" w:cs="宋体"/>
                <w:szCs w:val="21"/>
                <w:highlight w:val="none"/>
                <w:lang w:eastAsia="zh-Hans"/>
              </w:rPr>
              <w:t>4、</w:t>
            </w:r>
            <w:r>
              <w:rPr>
                <w:rFonts w:hint="eastAsia" w:ascii="宋体" w:hAnsi="宋体" w:cs="宋体"/>
                <w:szCs w:val="21"/>
                <w:highlight w:val="none"/>
                <w:lang w:eastAsia="zh-CN"/>
              </w:rPr>
              <w:t>配置</w:t>
            </w:r>
            <w:r>
              <w:rPr>
                <w:rFonts w:hint="eastAsia" w:ascii="宋体" w:hAnsi="宋体" w:cs="宋体"/>
                <w:szCs w:val="21"/>
                <w:highlight w:val="none"/>
                <w:lang w:eastAsia="zh-Hans"/>
              </w:rPr>
              <w:t>在事件详情界面支持查看基本信息、受害者信息、攻击者信息、攻击利用、告警列表、举证信息</w:t>
            </w:r>
            <w:r>
              <w:rPr>
                <w:rFonts w:hint="eastAsia" w:ascii="宋体" w:hAnsi="宋体" w:cs="宋体"/>
                <w:szCs w:val="21"/>
                <w:highlight w:val="none"/>
                <w:lang w:val="en-US" w:eastAsia="zh-CN"/>
              </w:rPr>
              <w:t>的能力；</w:t>
            </w:r>
          </w:p>
          <w:p>
            <w:pPr>
              <w:rPr>
                <w:rFonts w:ascii="宋体" w:hAnsi="宋体" w:cs="宋体"/>
                <w:szCs w:val="21"/>
                <w:highlight w:val="none"/>
                <w:lang w:eastAsia="zh-Hans"/>
              </w:rPr>
            </w:pPr>
            <w:r>
              <w:rPr>
                <w:rFonts w:hint="eastAsia" w:ascii="宋体" w:hAnsi="宋体" w:cs="宋体"/>
                <w:szCs w:val="21"/>
                <w:highlight w:val="none"/>
                <w:lang w:eastAsia="zh-Hans"/>
              </w:rPr>
              <w:t>5、</w:t>
            </w:r>
            <w:r>
              <w:rPr>
                <w:rFonts w:hint="eastAsia" w:ascii="宋体" w:hAnsi="宋体" w:cs="宋体"/>
                <w:szCs w:val="21"/>
                <w:highlight w:val="none"/>
                <w:lang w:eastAsia="zh-CN"/>
              </w:rPr>
              <w:t>配置</w:t>
            </w:r>
            <w:r>
              <w:rPr>
                <w:rFonts w:hint="eastAsia" w:ascii="宋体" w:hAnsi="宋体" w:cs="宋体"/>
                <w:szCs w:val="21"/>
                <w:highlight w:val="none"/>
                <w:lang w:eastAsia="zh-Hans"/>
              </w:rPr>
              <w:t>在事件编辑界面支持查看基本信息、受害者信息、攻击者信息、攻击利用、告警列表、举证信息</w:t>
            </w:r>
            <w:r>
              <w:rPr>
                <w:rFonts w:hint="eastAsia" w:ascii="宋体" w:hAnsi="宋体" w:cs="宋体"/>
                <w:szCs w:val="21"/>
                <w:highlight w:val="none"/>
                <w:lang w:val="en-US" w:eastAsia="zh-CN"/>
              </w:rPr>
              <w:t>的能力。</w:t>
            </w:r>
          </w:p>
        </w:tc>
      </w:tr>
      <w:tr>
        <w:tc>
          <w:tcPr>
            <w:tcW w:w="1189" w:type="pct"/>
            <w:gridSpan w:val="2"/>
          </w:tcPr>
          <w:p>
            <w:pPr>
              <w:rPr>
                <w:rFonts w:ascii="宋体" w:hAnsi="宋体" w:cs="宋体"/>
                <w:szCs w:val="21"/>
                <w:highlight w:val="none"/>
                <w:lang w:eastAsia="zh-Hans"/>
              </w:rPr>
            </w:pPr>
            <w:r>
              <w:rPr>
                <w:rFonts w:hint="eastAsia" w:ascii="宋体" w:hAnsi="宋体" w:cs="宋体"/>
                <w:szCs w:val="21"/>
                <w:highlight w:val="none"/>
                <w:lang w:eastAsia="zh-Hans"/>
              </w:rPr>
              <w:t>主动防护配置</w:t>
            </w:r>
          </w:p>
        </w:tc>
        <w:tc>
          <w:tcPr>
            <w:tcW w:w="3810" w:type="pct"/>
          </w:tcPr>
          <w:p>
            <w:pPr>
              <w:rPr>
                <w:rFonts w:hint="eastAsia" w:ascii="宋体" w:hAnsi="宋体" w:eastAsia="宋体" w:cs="宋体"/>
                <w:szCs w:val="21"/>
                <w:highlight w:val="none"/>
                <w:lang w:eastAsia="zh-CN"/>
              </w:rPr>
            </w:pPr>
            <w:r>
              <w:rPr>
                <w:rFonts w:hint="eastAsia" w:ascii="宋体" w:hAnsi="宋体" w:cs="宋体"/>
                <w:szCs w:val="21"/>
                <w:highlight w:val="none"/>
                <w:lang w:eastAsia="zh-Hans"/>
              </w:rPr>
              <w:t>1、</w:t>
            </w:r>
            <w:r>
              <w:rPr>
                <w:rFonts w:hint="eastAsia" w:ascii="宋体" w:hAnsi="宋体" w:cs="宋体"/>
                <w:szCs w:val="21"/>
                <w:highlight w:val="none"/>
                <w:lang w:eastAsia="zh-CN"/>
              </w:rPr>
              <w:t>配置</w:t>
            </w:r>
            <w:r>
              <w:rPr>
                <w:rFonts w:hint="eastAsia" w:ascii="宋体" w:hAnsi="宋体" w:cs="宋体"/>
                <w:szCs w:val="21"/>
                <w:highlight w:val="none"/>
                <w:lang w:eastAsia="zh-Hans"/>
              </w:rPr>
              <w:t>事件的一键封禁操作</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，可对项安全设备发送管控数据</w:t>
            </w:r>
            <w:r>
              <w:rPr>
                <w:rFonts w:hint="eastAsia" w:ascii="宋体" w:hAnsi="宋体" w:cs="宋体"/>
                <w:szCs w:val="21"/>
                <w:highlight w:val="none"/>
                <w:lang w:eastAsia="zh-CN"/>
              </w:rPr>
              <w:t>；</w:t>
            </w:r>
          </w:p>
          <w:p>
            <w:pPr>
              <w:rPr>
                <w:rFonts w:ascii="宋体" w:hAnsi="宋体" w:cs="宋体"/>
                <w:szCs w:val="21"/>
                <w:highlight w:val="none"/>
                <w:lang w:eastAsia="zh-Hans"/>
              </w:rPr>
            </w:pPr>
            <w:r>
              <w:rPr>
                <w:rFonts w:hint="eastAsia" w:ascii="宋体" w:hAnsi="宋体" w:cs="宋体"/>
                <w:szCs w:val="21"/>
                <w:highlight w:val="none"/>
                <w:lang w:eastAsia="zh-Hans"/>
              </w:rPr>
              <w:t>2、</w:t>
            </w:r>
            <w:r>
              <w:rPr>
                <w:rFonts w:hint="eastAsia" w:ascii="宋体" w:hAnsi="宋体" w:cs="宋体"/>
                <w:szCs w:val="21"/>
                <w:highlight w:val="none"/>
                <w:lang w:eastAsia="zh-CN"/>
              </w:rPr>
              <w:t>配置</w:t>
            </w:r>
            <w:r>
              <w:rPr>
                <w:rFonts w:hint="eastAsia" w:ascii="宋体" w:hAnsi="宋体" w:cs="宋体"/>
                <w:szCs w:val="21"/>
                <w:highlight w:val="none"/>
                <w:lang w:eastAsia="zh-Hans"/>
              </w:rPr>
              <w:t>通过短信、邮件、蓝信、消息中心方式给运营人员发送</w:t>
            </w:r>
            <w:r>
              <w:rPr>
                <w:rFonts w:hint="eastAsia" w:ascii="宋体" w:hAnsi="宋体" w:cs="宋体"/>
                <w:szCs w:val="21"/>
                <w:highlight w:val="none"/>
                <w:lang w:val="en-US" w:eastAsia="zh-CN"/>
              </w:rPr>
              <w:t>的能力；</w:t>
            </w:r>
          </w:p>
          <w:p>
            <w:pPr>
              <w:rPr>
                <w:rFonts w:ascii="宋体" w:hAnsi="宋体" w:cs="宋体"/>
                <w:szCs w:val="21"/>
                <w:highlight w:val="none"/>
                <w:lang w:eastAsia="zh-Hans"/>
              </w:rPr>
            </w:pPr>
            <w:r>
              <w:rPr>
                <w:rFonts w:hint="eastAsia" w:ascii="宋体" w:hAnsi="宋体" w:cs="宋体"/>
                <w:szCs w:val="21"/>
                <w:highlight w:val="none"/>
                <w:lang w:eastAsia="zh-Hans"/>
              </w:rPr>
              <w:t>3、</w:t>
            </w:r>
            <w:r>
              <w:rPr>
                <w:rFonts w:hint="eastAsia" w:ascii="宋体" w:hAnsi="宋体" w:cs="宋体"/>
                <w:szCs w:val="21"/>
                <w:highlight w:val="none"/>
                <w:lang w:eastAsia="zh-CN"/>
              </w:rPr>
              <w:t>配置</w:t>
            </w:r>
            <w:r>
              <w:rPr>
                <w:rFonts w:hint="eastAsia" w:ascii="宋体" w:hAnsi="宋体" w:cs="宋体"/>
                <w:szCs w:val="21"/>
                <w:highlight w:val="none"/>
                <w:lang w:eastAsia="zh-Hans"/>
              </w:rPr>
              <w:t>联动安全设备进行告警、事件的联动处置</w:t>
            </w:r>
            <w:r>
              <w:rPr>
                <w:rFonts w:hint="eastAsia" w:ascii="宋体" w:hAnsi="宋体" w:cs="宋体"/>
                <w:szCs w:val="21"/>
                <w:highlight w:val="none"/>
                <w:lang w:val="en-US" w:eastAsia="zh-CN"/>
              </w:rPr>
              <w:t>的能力。</w:t>
            </w:r>
          </w:p>
        </w:tc>
      </w:tr>
    </w:tbl>
    <w:p>
      <w:pPr>
        <w:keepNext/>
        <w:keepLines/>
        <w:spacing w:line="360" w:lineRule="auto"/>
        <w:ind w:firstLine="424" w:firstLineChars="200"/>
        <w:outlineLvl w:val="1"/>
        <w:rPr>
          <w:rFonts w:ascii="宋体" w:hAnsi="宋体" w:cs="宋体"/>
          <w:b/>
          <w:bCs/>
          <w:szCs w:val="21"/>
          <w:highlight w:val="none"/>
          <w:lang w:eastAsia="zh-Hans"/>
        </w:rPr>
      </w:pPr>
      <w:r>
        <w:rPr>
          <w:rFonts w:hint="eastAsia" w:ascii="宋体" w:hAnsi="宋体" w:cs="宋体"/>
          <w:b/>
          <w:bCs/>
          <w:szCs w:val="21"/>
          <w:highlight w:val="none"/>
          <w:lang w:eastAsia="zh-Hans"/>
        </w:rPr>
        <w:t>1.4分析引擎</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41"/>
        <w:gridCol w:w="6646"/>
      </w:tblGrid>
      <w:tr>
        <w:tc>
          <w:tcPr>
            <w:tcW w:w="1188" w:type="pct"/>
            <w:gridSpan w:val="2"/>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功能指标</w:t>
            </w:r>
          </w:p>
        </w:tc>
        <w:tc>
          <w:tcPr>
            <w:tcW w:w="3811"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指标要求</w:t>
            </w:r>
          </w:p>
        </w:tc>
      </w:tr>
      <w:tr>
        <w:tc>
          <w:tcPr>
            <w:tcW w:w="591"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规则管理</w:t>
            </w:r>
          </w:p>
        </w:tc>
        <w:tc>
          <w:tcPr>
            <w:tcW w:w="597"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分析规则可视化配置维护</w:t>
            </w:r>
          </w:p>
        </w:tc>
        <w:tc>
          <w:tcPr>
            <w:tcW w:w="3811" w:type="pct"/>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lang w:eastAsia="zh-Hans"/>
              </w:rPr>
              <w:t>1、</w:t>
            </w:r>
            <w:r>
              <w:rPr>
                <w:rFonts w:hint="eastAsia" w:ascii="宋体" w:hAnsi="宋体" w:cs="宋体"/>
                <w:szCs w:val="21"/>
                <w:highlight w:val="none"/>
                <w:lang w:eastAsia="zh-CN"/>
              </w:rPr>
              <w:t>配置</w:t>
            </w:r>
            <w:r>
              <w:rPr>
                <w:rFonts w:hint="eastAsia" w:ascii="宋体" w:hAnsi="宋体" w:cs="宋体"/>
                <w:szCs w:val="21"/>
                <w:highlight w:val="none"/>
                <w:lang w:eastAsia="zh-Hans"/>
              </w:rPr>
              <w:t>规则名称的列表展示</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，支持对规则名称、规则来源以及规则模版等检索条件的搜索</w:t>
            </w:r>
            <w:r>
              <w:rPr>
                <w:rFonts w:hint="eastAsia" w:ascii="宋体" w:hAnsi="宋体" w:cs="宋体"/>
                <w:szCs w:val="21"/>
                <w:highlight w:val="none"/>
                <w:lang w:eastAsia="zh-CN"/>
              </w:rPr>
              <w:t>；</w:t>
            </w:r>
          </w:p>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2、</w:t>
            </w:r>
            <w:r>
              <w:rPr>
                <w:rFonts w:hint="eastAsia" w:ascii="宋体" w:hAnsi="宋体" w:cs="宋体"/>
                <w:szCs w:val="21"/>
                <w:highlight w:val="none"/>
                <w:lang w:eastAsia="zh-CN"/>
              </w:rPr>
              <w:t>配置</w:t>
            </w:r>
            <w:r>
              <w:rPr>
                <w:rFonts w:hint="eastAsia" w:ascii="宋体" w:hAnsi="宋体" w:cs="宋体"/>
                <w:szCs w:val="21"/>
                <w:highlight w:val="none"/>
                <w:lang w:eastAsia="zh-Hans"/>
              </w:rPr>
              <w:t>对单一数据的分析及多类数据的关联分析</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；通过图形化配置、分步骤导航等形式，支撑关联分析策略的设计、发布、编辑；</w:t>
            </w:r>
          </w:p>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3、</w:t>
            </w:r>
            <w:r>
              <w:rPr>
                <w:rFonts w:hint="eastAsia" w:ascii="宋体" w:hAnsi="宋体" w:cs="宋体"/>
                <w:szCs w:val="21"/>
                <w:highlight w:val="none"/>
                <w:lang w:eastAsia="zh-CN"/>
              </w:rPr>
              <w:t>配置</w:t>
            </w:r>
            <w:r>
              <w:rPr>
                <w:rFonts w:hint="eastAsia" w:ascii="宋体" w:hAnsi="宋体" w:cs="宋体"/>
                <w:szCs w:val="21"/>
                <w:highlight w:val="none"/>
                <w:lang w:eastAsia="zh-Hans"/>
              </w:rPr>
              <w:t>规则的导入、导出、批量发布</w:t>
            </w:r>
            <w:r>
              <w:rPr>
                <w:rFonts w:hint="eastAsia" w:ascii="宋体" w:hAnsi="宋体" w:cs="宋体"/>
                <w:szCs w:val="21"/>
                <w:highlight w:val="none"/>
                <w:lang w:val="en-US" w:eastAsia="zh-CN"/>
              </w:rPr>
              <w:t>的能力；</w:t>
            </w:r>
          </w:p>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4、</w:t>
            </w:r>
            <w:r>
              <w:rPr>
                <w:rFonts w:hint="eastAsia" w:ascii="宋体" w:hAnsi="宋体" w:cs="宋体"/>
                <w:szCs w:val="21"/>
                <w:highlight w:val="none"/>
                <w:lang w:eastAsia="zh-CN"/>
              </w:rPr>
              <w:t>配置</w:t>
            </w:r>
            <w:r>
              <w:rPr>
                <w:rFonts w:hint="eastAsia" w:ascii="宋体" w:hAnsi="宋体" w:cs="宋体"/>
                <w:szCs w:val="21"/>
                <w:highlight w:val="none"/>
                <w:lang w:eastAsia="zh-Hans"/>
              </w:rPr>
              <w:t>流式和批式两种规则引擎的灵活配置</w:t>
            </w:r>
            <w:r>
              <w:rPr>
                <w:rFonts w:hint="eastAsia" w:ascii="宋体" w:hAnsi="宋体" w:cs="宋体"/>
                <w:szCs w:val="21"/>
                <w:highlight w:val="none"/>
                <w:lang w:val="en-US" w:eastAsia="zh-CN"/>
              </w:rPr>
              <w:t>的能力。</w:t>
            </w:r>
          </w:p>
        </w:tc>
      </w:tr>
      <w:tr>
        <w:tc>
          <w:tcPr>
            <w:tcW w:w="591" w:type="pct"/>
            <w:vMerge w:val="restar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分析引擎</w:t>
            </w:r>
          </w:p>
        </w:tc>
        <w:tc>
          <w:tcPr>
            <w:tcW w:w="597"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流式分析引擎</w:t>
            </w:r>
          </w:p>
        </w:tc>
        <w:tc>
          <w:tcPr>
            <w:tcW w:w="3811"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rPr>
              <w:t>将在线数据（流式数据）</w:t>
            </w:r>
            <w:r>
              <w:rPr>
                <w:rFonts w:hint="eastAsia" w:ascii="宋体" w:hAnsi="宋体" w:cs="宋体"/>
                <w:szCs w:val="21"/>
                <w:highlight w:val="none"/>
                <w:lang w:val="en-US" w:eastAsia="zh-CN"/>
              </w:rPr>
              <w:t>的能力</w:t>
            </w:r>
            <w:r>
              <w:rPr>
                <w:rFonts w:hint="eastAsia" w:ascii="宋体" w:hAnsi="宋体" w:cs="宋体"/>
                <w:szCs w:val="21"/>
                <w:highlight w:val="none"/>
              </w:rPr>
              <w:t>，把满足条件的数据提取并生成告警，能够将相同类型数据的单一字段进行标注，形成告警。数据类型包括但不限于：流量日志、系统日志、应用日志、告警日志等。</w:t>
            </w:r>
          </w:p>
        </w:tc>
      </w:tr>
      <w:tr>
        <w:tc>
          <w:tcPr>
            <w:tcW w:w="591" w:type="pct"/>
            <w:vMerge w:val="continue"/>
          </w:tcPr>
          <w:p>
            <w:pPr>
              <w:widowControl/>
              <w:jc w:val="left"/>
              <w:textAlignment w:val="center"/>
              <w:rPr>
                <w:rFonts w:ascii="宋体" w:hAnsi="宋体" w:cs="宋体"/>
                <w:szCs w:val="21"/>
                <w:highlight w:val="none"/>
                <w:lang w:eastAsia="zh-Hans"/>
              </w:rPr>
            </w:pPr>
          </w:p>
        </w:tc>
        <w:tc>
          <w:tcPr>
            <w:tcW w:w="597"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批式分析引擎</w:t>
            </w:r>
          </w:p>
        </w:tc>
        <w:tc>
          <w:tcPr>
            <w:tcW w:w="3811"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rPr>
              <w:t>将离线数据（批式数据）</w:t>
            </w:r>
            <w:r>
              <w:rPr>
                <w:rFonts w:hint="eastAsia" w:ascii="宋体" w:hAnsi="宋体" w:cs="宋体"/>
                <w:szCs w:val="21"/>
                <w:highlight w:val="none"/>
                <w:lang w:val="en-US" w:eastAsia="zh-CN"/>
              </w:rPr>
              <w:t>的能力</w:t>
            </w:r>
            <w:r>
              <w:rPr>
                <w:rFonts w:hint="eastAsia" w:ascii="宋体" w:hAnsi="宋体" w:cs="宋体"/>
                <w:szCs w:val="21"/>
                <w:highlight w:val="none"/>
              </w:rPr>
              <w:t>，把满足条件的数据提取并生成告警，能够将相同类型数据的单一字段进行标注，形成告警。数据类型包括但不限于：流量日志、系统日志、应用日志、告警日志等。</w:t>
            </w:r>
          </w:p>
        </w:tc>
      </w:tr>
      <w:tr>
        <w:tc>
          <w:tcPr>
            <w:tcW w:w="591" w:type="pct"/>
            <w:vMerge w:val="continue"/>
          </w:tcPr>
          <w:p>
            <w:pPr>
              <w:widowControl/>
              <w:jc w:val="left"/>
              <w:textAlignment w:val="center"/>
              <w:rPr>
                <w:rFonts w:ascii="宋体" w:hAnsi="宋体" w:cs="宋体"/>
                <w:szCs w:val="21"/>
                <w:highlight w:val="none"/>
                <w:lang w:eastAsia="zh-Hans"/>
              </w:rPr>
            </w:pPr>
          </w:p>
        </w:tc>
        <w:tc>
          <w:tcPr>
            <w:tcW w:w="597"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告警生成引擎</w:t>
            </w:r>
          </w:p>
        </w:tc>
        <w:tc>
          <w:tcPr>
            <w:tcW w:w="3811" w:type="pct"/>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配置将满足条件的数据按照告警数据的结构的能力，填充和富化形成告警。字段操作提供最大值、最小值、输入、规则名、第一条、最后一条、字典映射、来源-威胁情报、生成当前时间。告警富化字段支持可视化配置。</w:t>
            </w:r>
          </w:p>
        </w:tc>
      </w:tr>
      <w:tr>
        <w:tc>
          <w:tcPr>
            <w:tcW w:w="591" w:type="pct"/>
            <w:vMerge w:val="continue"/>
          </w:tcPr>
          <w:p>
            <w:pPr>
              <w:widowControl/>
              <w:jc w:val="left"/>
              <w:textAlignment w:val="center"/>
              <w:rPr>
                <w:rFonts w:ascii="宋体" w:hAnsi="宋体" w:cs="宋体"/>
                <w:szCs w:val="21"/>
                <w:highlight w:val="none"/>
                <w:lang w:eastAsia="zh-Hans"/>
              </w:rPr>
            </w:pPr>
          </w:p>
        </w:tc>
        <w:tc>
          <w:tcPr>
            <w:tcW w:w="597"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归并引擎</w:t>
            </w:r>
          </w:p>
        </w:tc>
        <w:tc>
          <w:tcPr>
            <w:tcW w:w="3811"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rPr>
              <w:t>将命中后的告警数据</w:t>
            </w:r>
            <w:r>
              <w:rPr>
                <w:rFonts w:hint="eastAsia" w:ascii="宋体" w:hAnsi="宋体" w:cs="宋体"/>
                <w:szCs w:val="21"/>
                <w:highlight w:val="none"/>
                <w:lang w:val="en-US" w:eastAsia="zh-CN"/>
              </w:rPr>
              <w:t>的能力</w:t>
            </w:r>
            <w:r>
              <w:rPr>
                <w:rFonts w:hint="eastAsia" w:ascii="宋体" w:hAnsi="宋体" w:cs="宋体"/>
                <w:szCs w:val="21"/>
                <w:highlight w:val="none"/>
              </w:rPr>
              <w:t>，将相同特征的告警数据合并形成一条告警数据，减少告警冗余。字段操作提供最大值、最小值、第一条、最后一条、生成当前时间、合并为字符串、字典映射。</w:t>
            </w:r>
          </w:p>
        </w:tc>
      </w:tr>
      <w:tr>
        <w:tc>
          <w:tcPr>
            <w:tcW w:w="591" w:type="pct"/>
            <w:vMerge w:val="continue"/>
          </w:tcPr>
          <w:p>
            <w:pPr>
              <w:widowControl/>
              <w:jc w:val="left"/>
              <w:textAlignment w:val="center"/>
              <w:rPr>
                <w:rFonts w:ascii="宋体" w:hAnsi="宋体" w:cs="宋体"/>
                <w:szCs w:val="21"/>
                <w:highlight w:val="none"/>
                <w:lang w:eastAsia="zh-Hans"/>
              </w:rPr>
            </w:pPr>
          </w:p>
        </w:tc>
        <w:tc>
          <w:tcPr>
            <w:tcW w:w="597"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后置配置</w:t>
            </w:r>
          </w:p>
        </w:tc>
        <w:tc>
          <w:tcPr>
            <w:tcW w:w="3811"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rPr>
              <w:t>将满足条件的告警</w:t>
            </w:r>
            <w:r>
              <w:rPr>
                <w:rFonts w:hint="eastAsia" w:ascii="宋体" w:hAnsi="宋体" w:cs="宋体"/>
                <w:szCs w:val="21"/>
                <w:highlight w:val="none"/>
                <w:lang w:val="en-US" w:eastAsia="zh-CN"/>
              </w:rPr>
              <w:t>的能力</w:t>
            </w:r>
            <w:r>
              <w:rPr>
                <w:rFonts w:hint="eastAsia" w:ascii="宋体" w:hAnsi="宋体" w:cs="宋体"/>
                <w:szCs w:val="21"/>
                <w:highlight w:val="none"/>
              </w:rPr>
              <w:t>，统一打标签，并且能够对已经生成的告警字段再次手动更新告警信息。系统提供了后置配置规则模板对这类配置信息提供了固化模板，避免重复配置。</w:t>
            </w:r>
          </w:p>
        </w:tc>
      </w:tr>
      <w:tr>
        <w:tc>
          <w:tcPr>
            <w:tcW w:w="591" w:type="pct"/>
            <w:vMerge w:val="restar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规则模版</w:t>
            </w:r>
          </w:p>
        </w:tc>
        <w:tc>
          <w:tcPr>
            <w:tcW w:w="597"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威胁情报模板</w:t>
            </w:r>
          </w:p>
        </w:tc>
        <w:tc>
          <w:tcPr>
            <w:tcW w:w="3811"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将情报信息与流量特征对比和碰撞</w:t>
            </w:r>
            <w:r>
              <w:rPr>
                <w:rFonts w:hint="eastAsia" w:ascii="宋体" w:hAnsi="宋体" w:cs="宋体"/>
                <w:szCs w:val="21"/>
                <w:highlight w:val="none"/>
                <w:lang w:val="en-US" w:eastAsia="zh-CN"/>
              </w:rPr>
              <w:t>的能力</w:t>
            </w:r>
            <w:r>
              <w:rPr>
                <w:rFonts w:hint="eastAsia" w:ascii="宋体" w:hAnsi="宋体" w:cs="宋体"/>
                <w:szCs w:val="21"/>
                <w:highlight w:val="none"/>
              </w:rPr>
              <w:t>，分析用户系统日志中是否存在命中威胁情报的攻击行为，并生成告警。</w:t>
            </w:r>
          </w:p>
        </w:tc>
      </w:tr>
      <w:tr>
        <w:tc>
          <w:tcPr>
            <w:tcW w:w="591" w:type="pct"/>
            <w:vMerge w:val="continue"/>
          </w:tcPr>
          <w:p>
            <w:pPr>
              <w:widowControl/>
              <w:jc w:val="left"/>
              <w:textAlignment w:val="center"/>
              <w:rPr>
                <w:rFonts w:ascii="宋体" w:hAnsi="宋体" w:cs="宋体"/>
                <w:szCs w:val="21"/>
                <w:highlight w:val="none"/>
                <w:lang w:eastAsia="zh-Hans"/>
              </w:rPr>
            </w:pPr>
          </w:p>
        </w:tc>
        <w:tc>
          <w:tcPr>
            <w:tcW w:w="597"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单表过滤模板</w:t>
            </w:r>
          </w:p>
        </w:tc>
        <w:tc>
          <w:tcPr>
            <w:tcW w:w="3811"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将内容匹配、正则匹配、静态资源引用以及相关逻辑条件组合满足条件后产生告警</w:t>
            </w:r>
            <w:r>
              <w:rPr>
                <w:rFonts w:hint="eastAsia" w:ascii="宋体" w:hAnsi="宋体" w:cs="宋体"/>
                <w:szCs w:val="21"/>
                <w:highlight w:val="none"/>
                <w:lang w:val="en-US" w:eastAsia="zh-CN"/>
              </w:rPr>
              <w:t>的能力</w:t>
            </w:r>
            <w:r>
              <w:rPr>
                <w:rFonts w:hint="eastAsia" w:ascii="宋体" w:hAnsi="宋体" w:cs="宋体"/>
                <w:szCs w:val="21"/>
                <w:highlight w:val="none"/>
              </w:rPr>
              <w:t>；支持对日志进行过滤，过滤条件支持AND/OR/NOT等逻辑运算、多层级嵌套；支持引用资源对象和引用过滤器；支持条件表达式字段类型匹配，可使用等于/不等于、匹配/不匹配，包含/不包含、属于/不属于、大于/小于等逻辑；</w:t>
            </w:r>
          </w:p>
        </w:tc>
      </w:tr>
      <w:tr>
        <w:tc>
          <w:tcPr>
            <w:tcW w:w="591" w:type="pct"/>
            <w:vMerge w:val="continue"/>
          </w:tcPr>
          <w:p>
            <w:pPr>
              <w:widowControl/>
              <w:jc w:val="left"/>
              <w:textAlignment w:val="center"/>
              <w:rPr>
                <w:rFonts w:ascii="宋体" w:hAnsi="宋体" w:cs="宋体"/>
                <w:szCs w:val="21"/>
                <w:highlight w:val="none"/>
                <w:lang w:eastAsia="zh-Hans"/>
              </w:rPr>
            </w:pPr>
          </w:p>
        </w:tc>
        <w:tc>
          <w:tcPr>
            <w:tcW w:w="597"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单表统计模板</w:t>
            </w:r>
          </w:p>
        </w:tc>
        <w:tc>
          <w:tcPr>
            <w:tcW w:w="3811"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将单个日志在某个时间窗口内且重复出现后产生告警</w:t>
            </w:r>
            <w:r>
              <w:rPr>
                <w:rFonts w:hint="eastAsia" w:ascii="宋体" w:hAnsi="宋体" w:cs="宋体"/>
                <w:szCs w:val="21"/>
                <w:highlight w:val="none"/>
                <w:lang w:val="en-US" w:eastAsia="zh-CN"/>
              </w:rPr>
              <w:t>的能力</w:t>
            </w:r>
            <w:r>
              <w:rPr>
                <w:rFonts w:hint="eastAsia" w:ascii="宋体" w:hAnsi="宋体" w:cs="宋体"/>
                <w:szCs w:val="21"/>
                <w:highlight w:val="none"/>
              </w:rPr>
              <w:t>；针对单一数据源过滤，过滤条件支持AND/OR/NOT等逻辑运算、多层级嵌套；支持引用资源对象和引用过滤器；支持创建统计节点，通过统计节点建立规则，在指定的时间范围内，对符合过滤条件的字段进行计数、求和、求平均、最大值和最小值计算，将其与阈值进行比较以发现异常威胁告警；支持字段分组和去重；</w:t>
            </w:r>
          </w:p>
        </w:tc>
      </w:tr>
      <w:tr>
        <w:tc>
          <w:tcPr>
            <w:tcW w:w="591" w:type="pct"/>
            <w:vMerge w:val="continue"/>
          </w:tcPr>
          <w:p>
            <w:pPr>
              <w:widowControl/>
              <w:jc w:val="left"/>
              <w:textAlignment w:val="center"/>
              <w:rPr>
                <w:rFonts w:ascii="宋体" w:hAnsi="宋体" w:cs="宋体"/>
                <w:szCs w:val="21"/>
                <w:highlight w:val="none"/>
                <w:lang w:eastAsia="zh-Hans"/>
              </w:rPr>
            </w:pPr>
          </w:p>
        </w:tc>
        <w:tc>
          <w:tcPr>
            <w:tcW w:w="597"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关联统计模板</w:t>
            </w:r>
          </w:p>
        </w:tc>
        <w:tc>
          <w:tcPr>
            <w:tcW w:w="3811"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将两类日志源中条件互相补充且满足条件后产生告警</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创建关联节点，通过日志字段关联匹配，在指定的时间范围内，对符合过滤条件的日志中进行统计，将其与阈值进行比较以发现异常威胁告警；</w:t>
            </w:r>
            <w:r>
              <w:rPr>
                <w:rFonts w:hint="eastAsia" w:ascii="宋体" w:hAnsi="宋体" w:cs="宋体"/>
                <w:szCs w:val="21"/>
                <w:highlight w:val="none"/>
                <w:lang w:eastAsia="zh-CN"/>
              </w:rPr>
              <w:t>配置</w:t>
            </w:r>
            <w:r>
              <w:rPr>
                <w:rFonts w:hint="eastAsia" w:ascii="宋体" w:hAnsi="宋体" w:cs="宋体"/>
                <w:szCs w:val="21"/>
                <w:highlight w:val="none"/>
              </w:rPr>
              <w:t>字段分组和去重</w:t>
            </w:r>
            <w:r>
              <w:rPr>
                <w:rFonts w:hint="eastAsia" w:ascii="宋体" w:hAnsi="宋体" w:cs="宋体"/>
                <w:szCs w:val="21"/>
                <w:highlight w:val="none"/>
                <w:lang w:val="en-US" w:eastAsia="zh-CN"/>
              </w:rPr>
              <w:t>的能力</w:t>
            </w:r>
            <w:r>
              <w:rPr>
                <w:rFonts w:hint="eastAsia" w:ascii="宋体" w:hAnsi="宋体" w:cs="宋体"/>
                <w:szCs w:val="21"/>
                <w:highlight w:val="none"/>
              </w:rPr>
              <w:t>；</w:t>
            </w:r>
          </w:p>
        </w:tc>
      </w:tr>
      <w:tr>
        <w:tc>
          <w:tcPr>
            <w:tcW w:w="591"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运行管理</w:t>
            </w:r>
          </w:p>
        </w:tc>
        <w:tc>
          <w:tcPr>
            <w:tcW w:w="597"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规则分析任务管理</w:t>
            </w:r>
          </w:p>
        </w:tc>
        <w:tc>
          <w:tcPr>
            <w:tcW w:w="3811" w:type="pct"/>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rPr>
              <w:t>支持将运行的任务通过看板的形式展示，能实时展示任务运行中数量，运行失败数量，任务总数量，命中告警数量， CPU和内存使用率；并且能够对运行的任务人工干预， 批量停止，批量启动，批量删除操作</w:t>
            </w:r>
            <w:r>
              <w:rPr>
                <w:rFonts w:hint="eastAsia" w:ascii="宋体" w:hAnsi="宋体" w:cs="宋体"/>
                <w:szCs w:val="21"/>
                <w:highlight w:val="none"/>
                <w:lang w:eastAsia="zh-CN"/>
              </w:rPr>
              <w:t>。</w:t>
            </w:r>
          </w:p>
        </w:tc>
      </w:tr>
      <w:tr>
        <w:tc>
          <w:tcPr>
            <w:tcW w:w="1188" w:type="pct"/>
            <w:gridSpan w:val="2"/>
          </w:tcPr>
          <w:p>
            <w:pPr>
              <w:widowControl/>
              <w:jc w:val="left"/>
              <w:textAlignment w:val="center"/>
              <w:rPr>
                <w:rFonts w:ascii="宋体" w:hAnsi="宋体" w:cs="宋体"/>
                <w:szCs w:val="21"/>
                <w:highlight w:val="none"/>
              </w:rPr>
            </w:pPr>
            <w:r>
              <w:rPr>
                <w:rFonts w:hint="eastAsia" w:ascii="宋体" w:hAnsi="宋体" w:cs="宋体"/>
                <w:szCs w:val="21"/>
                <w:highlight w:val="none"/>
                <w:lang w:eastAsia="zh-Hans"/>
              </w:rPr>
              <w:t>资源管理</w:t>
            </w:r>
          </w:p>
        </w:tc>
        <w:tc>
          <w:tcPr>
            <w:tcW w:w="3811" w:type="pct"/>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rPr>
              <w:t>支持将IP地址，端口，时间， 字符串这些静态信息引入到命中规则中，可以被关联规则过滤或者加白使用，并且静态信息能够多次使用</w:t>
            </w:r>
            <w:r>
              <w:rPr>
                <w:rFonts w:hint="eastAsia" w:ascii="宋体" w:hAnsi="宋体" w:cs="宋体"/>
                <w:szCs w:val="21"/>
                <w:highlight w:val="none"/>
                <w:lang w:eastAsia="zh-CN"/>
              </w:rPr>
              <w:t>。</w:t>
            </w:r>
          </w:p>
        </w:tc>
      </w:tr>
      <w:tr>
        <w:trPr>
          <w:trHeight w:val="629" w:hRule="atLeast"/>
        </w:trPr>
        <w:tc>
          <w:tcPr>
            <w:tcW w:w="1188" w:type="pct"/>
            <w:gridSpan w:val="2"/>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监测分析能力</w:t>
            </w:r>
          </w:p>
        </w:tc>
        <w:tc>
          <w:tcPr>
            <w:tcW w:w="3811"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▲提供</w:t>
            </w:r>
            <w:r>
              <w:rPr>
                <w:rFonts w:hint="eastAsia" w:ascii="宋体" w:hAnsi="宋体" w:cs="宋体"/>
                <w:szCs w:val="21"/>
                <w:highlight w:val="none"/>
                <w:lang w:val="en-US" w:eastAsia="zh-CN"/>
              </w:rPr>
              <w:t>不少于</w:t>
            </w:r>
            <w:r>
              <w:rPr>
                <w:rFonts w:hint="eastAsia" w:ascii="宋体" w:hAnsi="宋体" w:cs="宋体"/>
                <w:szCs w:val="21"/>
                <w:highlight w:val="none"/>
              </w:rPr>
              <w:t>10份以上公开发布的APT报告作为证明；（提供</w:t>
            </w:r>
            <w:r>
              <w:rPr>
                <w:rFonts w:hint="eastAsia" w:ascii="宋体" w:hAnsi="宋体" w:cs="宋体"/>
                <w:szCs w:val="21"/>
                <w:highlight w:val="none"/>
                <w:lang w:eastAsia="zh-Hans"/>
              </w:rPr>
              <w:t>相关</w:t>
            </w:r>
            <w:r>
              <w:rPr>
                <w:rFonts w:hint="eastAsia" w:ascii="宋体" w:hAnsi="宋体" w:cs="宋体"/>
                <w:szCs w:val="21"/>
                <w:highlight w:val="none"/>
              </w:rPr>
              <w:t>截图证明材料）</w:t>
            </w:r>
          </w:p>
        </w:tc>
      </w:tr>
    </w:tbl>
    <w:p>
      <w:pPr>
        <w:keepNext/>
        <w:keepLines/>
        <w:spacing w:line="360" w:lineRule="auto"/>
        <w:ind w:firstLine="424" w:firstLineChars="200"/>
        <w:outlineLvl w:val="1"/>
        <w:rPr>
          <w:rFonts w:ascii="宋体" w:hAnsi="宋体" w:cs="宋体"/>
          <w:b/>
          <w:bCs/>
          <w:szCs w:val="21"/>
          <w:highlight w:val="none"/>
          <w:lang w:eastAsia="zh-Hans"/>
        </w:rPr>
      </w:pPr>
      <w:r>
        <w:rPr>
          <w:rFonts w:hint="eastAsia" w:ascii="宋体" w:hAnsi="宋体" w:cs="宋体"/>
          <w:b/>
          <w:bCs/>
          <w:szCs w:val="21"/>
          <w:highlight w:val="none"/>
          <w:lang w:eastAsia="zh-Hans"/>
        </w:rPr>
        <w:t>1.5分析中心</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41"/>
        <w:gridCol w:w="6646"/>
      </w:tblGrid>
      <w:tr>
        <w:tc>
          <w:tcPr>
            <w:tcW w:w="1188" w:type="pct"/>
            <w:gridSpan w:val="2"/>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功能指标</w:t>
            </w:r>
          </w:p>
        </w:tc>
        <w:tc>
          <w:tcPr>
            <w:tcW w:w="3811"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指标要求</w:t>
            </w:r>
          </w:p>
        </w:tc>
      </w:tr>
      <w:tr>
        <w:trPr>
          <w:trHeight w:val="5840" w:hRule="atLeast"/>
        </w:trPr>
        <w:tc>
          <w:tcPr>
            <w:tcW w:w="1188" w:type="pct"/>
            <w:gridSpan w:val="2"/>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云端实体分析</w:t>
            </w:r>
          </w:p>
        </w:tc>
        <w:tc>
          <w:tcPr>
            <w:tcW w:w="3811"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1、提供云端大网数据特征分析、包括不限于URL、文件MD5的分析，分析内容不限于所属行业、在线状态、所属国家、省市、地理经纬度等基础信息；</w:t>
            </w:r>
          </w:p>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2、</w:t>
            </w:r>
            <w:r>
              <w:rPr>
                <w:rFonts w:hint="eastAsia" w:ascii="宋体" w:hAnsi="宋体" w:cs="宋体"/>
                <w:szCs w:val="21"/>
                <w:highlight w:val="none"/>
                <w:lang w:eastAsia="zh-CN"/>
              </w:rPr>
              <w:t>配置</w:t>
            </w:r>
            <w:r>
              <w:rPr>
                <w:rFonts w:hint="eastAsia" w:ascii="宋体" w:hAnsi="宋体" w:cs="宋体"/>
                <w:szCs w:val="21"/>
                <w:highlight w:val="none"/>
                <w:lang w:eastAsia="zh-Hans"/>
              </w:rPr>
              <w:t>分析IOC信息</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不限于提供ioc标识、主机名称、端口、标签；ioc风险信息，不限于提供风险等级、影响平台、是否定向攻击、恶意代码家族、威胁类型、解析事件、攻击链类型、攻击团伙名称、置信度、样本md5、协议类型、TTP等；IOC家族信息，不限于提供恶意家族名称、恶意家族详情、家族参考连接、风险等级、影响平台、威胁类型等;IOC利用者相关信息，不限于提供攻击事件/团伙名称、参考文档、检测事件、报告连接、攻击手法、报告发布时间、团伙所在国家、团伙别名、涉及行业、攻击者利用漏洞、受影响系统等；</w:t>
            </w:r>
          </w:p>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3、</w:t>
            </w:r>
            <w:r>
              <w:rPr>
                <w:rFonts w:hint="eastAsia" w:ascii="宋体" w:hAnsi="宋体" w:cs="宋体"/>
                <w:szCs w:val="21"/>
                <w:highlight w:val="none"/>
                <w:lang w:eastAsia="zh-CN"/>
              </w:rPr>
              <w:t>配置</w:t>
            </w:r>
            <w:r>
              <w:rPr>
                <w:rFonts w:hint="eastAsia" w:ascii="宋体" w:hAnsi="宋体" w:cs="宋体"/>
                <w:szCs w:val="21"/>
                <w:highlight w:val="none"/>
                <w:lang w:eastAsia="zh-Hans"/>
              </w:rPr>
              <w:t>分析安全信誉</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，提供不限于安全级别、恶意网站分类、网页地址、页面标题、检测发现地域、顶级域名、官网地址、仿冒对象等；</w:t>
            </w:r>
          </w:p>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lang w:eastAsia="zh-Hans"/>
              </w:rPr>
              <w:t>4、</w:t>
            </w:r>
            <w:r>
              <w:rPr>
                <w:rFonts w:hint="eastAsia" w:ascii="宋体" w:hAnsi="宋体" w:cs="宋体"/>
                <w:szCs w:val="21"/>
                <w:highlight w:val="none"/>
                <w:lang w:eastAsia="zh-CN"/>
              </w:rPr>
              <w:t>配置</w:t>
            </w:r>
            <w:r>
              <w:rPr>
                <w:rFonts w:hint="eastAsia" w:ascii="宋体" w:hAnsi="宋体" w:cs="宋体"/>
                <w:szCs w:val="21"/>
                <w:highlight w:val="none"/>
                <w:lang w:eastAsia="zh-Hans"/>
              </w:rPr>
              <w:t>分析whois信息</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，显示内容不限于注册邮箱、注册组织、注册人名称、联系电话、更新时间、创建时间、注册服务商注册到期日期</w:t>
            </w:r>
            <w:r>
              <w:rPr>
                <w:rFonts w:hint="eastAsia" w:ascii="宋体" w:hAnsi="宋体" w:cs="宋体"/>
                <w:szCs w:val="21"/>
                <w:highlight w:val="none"/>
                <w:lang w:eastAsia="zh-CN"/>
              </w:rPr>
              <w:t>；</w:t>
            </w:r>
          </w:p>
          <w:p>
            <w:pPr>
              <w:widowControl/>
              <w:jc w:val="left"/>
              <w:textAlignment w:val="center"/>
              <w:rPr>
                <w:rFonts w:ascii="宋体" w:hAnsi="宋体" w:cs="宋体"/>
                <w:szCs w:val="21"/>
                <w:highlight w:val="none"/>
              </w:rPr>
            </w:pPr>
            <w:r>
              <w:rPr>
                <w:rFonts w:hint="eastAsia" w:ascii="宋体" w:hAnsi="宋体" w:cs="宋体"/>
                <w:szCs w:val="21"/>
                <w:highlight w:val="none"/>
                <w:lang w:eastAsia="zh-Hans"/>
              </w:rPr>
              <w:t>5、</w:t>
            </w:r>
            <w:r>
              <w:rPr>
                <w:rFonts w:hint="eastAsia" w:ascii="宋体" w:hAnsi="宋体" w:cs="宋体"/>
                <w:szCs w:val="21"/>
                <w:highlight w:val="none"/>
                <w:lang w:eastAsia="zh-CN"/>
              </w:rPr>
              <w:t>配置</w:t>
            </w:r>
            <w:r>
              <w:rPr>
                <w:rFonts w:hint="eastAsia" w:ascii="宋体" w:hAnsi="宋体" w:cs="宋体"/>
                <w:szCs w:val="21"/>
                <w:highlight w:val="none"/>
                <w:lang w:eastAsia="zh-Hans"/>
              </w:rPr>
              <w:t>分析备案信息</w:t>
            </w:r>
            <w:r>
              <w:rPr>
                <w:rFonts w:hint="eastAsia" w:ascii="宋体" w:hAnsi="宋体" w:cs="宋体"/>
                <w:szCs w:val="21"/>
                <w:highlight w:val="none"/>
                <w:lang w:val="en-US" w:eastAsia="zh-CN"/>
              </w:rPr>
              <w:t>的能力</w:t>
            </w:r>
            <w:r>
              <w:rPr>
                <w:rFonts w:hint="eastAsia" w:ascii="宋体" w:hAnsi="宋体" w:cs="宋体"/>
                <w:szCs w:val="21"/>
                <w:highlight w:val="none"/>
                <w:lang w:eastAsia="zh-Hans"/>
              </w:rPr>
              <w:t>，包括网站主体域名、网站名称、开办主体、网站类别、开办者名称、公安备案号、备案地等</w:t>
            </w:r>
            <w:r>
              <w:rPr>
                <w:rFonts w:hint="eastAsia" w:ascii="宋体" w:hAnsi="宋体" w:cs="宋体"/>
                <w:szCs w:val="21"/>
                <w:highlight w:val="none"/>
                <w:lang w:eastAsia="zh-CN"/>
              </w:rPr>
              <w:t>。</w:t>
            </w:r>
          </w:p>
        </w:tc>
      </w:tr>
      <w:tr>
        <w:tc>
          <w:tcPr>
            <w:tcW w:w="591" w:type="pct"/>
            <w:vMerge w:val="restar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多维分析</w:t>
            </w:r>
          </w:p>
        </w:tc>
        <w:tc>
          <w:tcPr>
            <w:tcW w:w="597"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分析任务管理</w:t>
            </w:r>
          </w:p>
        </w:tc>
        <w:tc>
          <w:tcPr>
            <w:tcW w:w="3811" w:type="pct"/>
            <w:vAlign w:val="center"/>
          </w:tcPr>
          <w:p>
            <w:pPr>
              <w:widowControl/>
              <w:jc w:val="left"/>
              <w:textAlignment w:val="center"/>
              <w:rPr>
                <w:rFonts w:hint="eastAsia" w:ascii="宋体" w:hAnsi="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对分析任务使用卡片和列表的方式进行呈现</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多维分析任务的创建，创建字段任务名称、任务标签、任务描述与任务分组</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3、</w:t>
            </w:r>
            <w:r>
              <w:rPr>
                <w:rFonts w:hint="eastAsia" w:ascii="宋体" w:hAnsi="宋体" w:cs="宋体"/>
                <w:szCs w:val="21"/>
                <w:highlight w:val="none"/>
                <w:lang w:eastAsia="zh-CN"/>
              </w:rPr>
              <w:t>配置</w:t>
            </w:r>
            <w:r>
              <w:rPr>
                <w:rFonts w:hint="eastAsia" w:ascii="宋体" w:hAnsi="宋体" w:cs="宋体"/>
                <w:szCs w:val="21"/>
                <w:highlight w:val="none"/>
              </w:rPr>
              <w:t>对分析编辑功能，可以修改任务名称、标签、描述。可对分组进行变更</w:t>
            </w:r>
            <w:r>
              <w:rPr>
                <w:rFonts w:hint="eastAsia" w:ascii="宋体" w:hAnsi="宋体" w:cs="宋体"/>
                <w:szCs w:val="21"/>
                <w:highlight w:val="none"/>
                <w:lang w:eastAsia="zh-CN"/>
              </w:rPr>
              <w:t>；</w:t>
            </w:r>
          </w:p>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4、</w:t>
            </w:r>
            <w:r>
              <w:rPr>
                <w:rFonts w:hint="eastAsia" w:ascii="宋体" w:hAnsi="宋体" w:cs="宋体"/>
                <w:szCs w:val="21"/>
                <w:highlight w:val="none"/>
                <w:lang w:eastAsia="zh-CN"/>
              </w:rPr>
              <w:t>配置</w:t>
            </w:r>
            <w:r>
              <w:rPr>
                <w:rFonts w:hint="eastAsia" w:ascii="宋体" w:hAnsi="宋体" w:cs="宋体"/>
                <w:szCs w:val="21"/>
                <w:highlight w:val="none"/>
              </w:rPr>
              <w:t>对分析任务按照创建时间、关键字以及标签进行检索</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5、</w:t>
            </w:r>
            <w:r>
              <w:rPr>
                <w:rFonts w:hint="eastAsia" w:ascii="宋体" w:hAnsi="宋体" w:cs="宋体"/>
                <w:szCs w:val="21"/>
                <w:highlight w:val="none"/>
                <w:lang w:eastAsia="zh-CN"/>
              </w:rPr>
              <w:t>配置</w:t>
            </w:r>
            <w:r>
              <w:rPr>
                <w:rFonts w:hint="eastAsia" w:ascii="宋体" w:hAnsi="宋体" w:cs="宋体"/>
                <w:szCs w:val="21"/>
                <w:highlight w:val="none"/>
              </w:rPr>
              <w:t>对分析任务新增、编辑与删除标签。</w:t>
            </w:r>
            <w:r>
              <w:rPr>
                <w:rFonts w:hint="eastAsia" w:ascii="宋体" w:hAnsi="宋体" w:cs="宋体"/>
                <w:szCs w:val="21"/>
                <w:highlight w:val="none"/>
                <w:lang w:eastAsia="zh-CN"/>
              </w:rPr>
              <w:t>配置</w:t>
            </w:r>
            <w:r>
              <w:rPr>
                <w:rFonts w:hint="eastAsia" w:ascii="宋体" w:hAnsi="宋体" w:cs="宋体"/>
                <w:szCs w:val="21"/>
                <w:highlight w:val="none"/>
              </w:rPr>
              <w:t>对标签的检索</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6、</w:t>
            </w:r>
            <w:r>
              <w:rPr>
                <w:rFonts w:hint="eastAsia" w:ascii="宋体" w:hAnsi="宋体" w:cs="宋体"/>
                <w:szCs w:val="21"/>
                <w:highlight w:val="none"/>
                <w:lang w:eastAsia="zh-CN"/>
              </w:rPr>
              <w:t>配置</w:t>
            </w:r>
            <w:r>
              <w:rPr>
                <w:rFonts w:hint="eastAsia" w:ascii="宋体" w:hAnsi="宋体" w:cs="宋体"/>
                <w:szCs w:val="21"/>
                <w:highlight w:val="none"/>
              </w:rPr>
              <w:t>对分析任务新增、编辑与删除标签。</w:t>
            </w:r>
            <w:r>
              <w:rPr>
                <w:rFonts w:hint="eastAsia" w:ascii="宋体" w:hAnsi="宋体" w:cs="宋体"/>
                <w:szCs w:val="21"/>
                <w:highlight w:val="none"/>
                <w:lang w:eastAsia="zh-CN"/>
              </w:rPr>
              <w:t>配置</w:t>
            </w:r>
            <w:r>
              <w:rPr>
                <w:rFonts w:hint="eastAsia" w:ascii="宋体" w:hAnsi="宋体" w:cs="宋体"/>
                <w:szCs w:val="21"/>
                <w:highlight w:val="none"/>
              </w:rPr>
              <w:t>对标签的检索。</w:t>
            </w:r>
          </w:p>
        </w:tc>
      </w:tr>
      <w:tr>
        <w:tc>
          <w:tcPr>
            <w:tcW w:w="591" w:type="pct"/>
            <w:vMerge w:val="continue"/>
          </w:tcPr>
          <w:p>
            <w:pPr>
              <w:widowControl/>
              <w:jc w:val="left"/>
              <w:textAlignment w:val="center"/>
              <w:rPr>
                <w:rFonts w:ascii="宋体" w:hAnsi="宋体" w:cs="宋体"/>
                <w:szCs w:val="21"/>
                <w:highlight w:val="none"/>
                <w:lang w:eastAsia="zh-Hans"/>
              </w:rPr>
            </w:pPr>
          </w:p>
        </w:tc>
        <w:tc>
          <w:tcPr>
            <w:tcW w:w="597"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可视化交互</w:t>
            </w:r>
          </w:p>
        </w:tc>
        <w:tc>
          <w:tcPr>
            <w:tcW w:w="3811" w:type="pct"/>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以画布的方式进行人机交互</w:t>
            </w:r>
            <w:r>
              <w:rPr>
                <w:rFonts w:hint="eastAsia" w:ascii="宋体" w:hAnsi="宋体" w:cs="宋体"/>
                <w:szCs w:val="21"/>
                <w:highlight w:val="none"/>
                <w:lang w:val="en-US" w:eastAsia="zh-CN"/>
              </w:rPr>
              <w:t>的能力</w:t>
            </w:r>
            <w:r>
              <w:rPr>
                <w:rFonts w:hint="eastAsia" w:ascii="宋体" w:hAnsi="宋体" w:cs="宋体"/>
                <w:szCs w:val="21"/>
                <w:highlight w:val="none"/>
              </w:rPr>
              <w:t>，以人、事、地、物、ip等元素在画布上进行关联关系描绘，直观的以图谱的方式展现各元素之间的关系；</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多维分析可视化画布交互方式</w:t>
            </w:r>
            <w:r>
              <w:rPr>
                <w:rFonts w:hint="eastAsia" w:ascii="宋体" w:hAnsi="宋体" w:cs="宋体"/>
                <w:szCs w:val="21"/>
                <w:highlight w:val="none"/>
                <w:lang w:val="en-US" w:eastAsia="zh-CN"/>
              </w:rPr>
              <w:t>的能力</w:t>
            </w:r>
            <w:r>
              <w:rPr>
                <w:rFonts w:hint="eastAsia" w:ascii="宋体" w:hAnsi="宋体" w:cs="宋体"/>
                <w:szCs w:val="21"/>
                <w:highlight w:val="none"/>
              </w:rPr>
              <w:t>，不限于对检索结果的线索剪枝、对分析拓线结果进行截图、对分析结果一键清空、对分析结果一键清空、对分析任务按照分析时序进行标号，显示分析实体名称、对系统分析结果全局的缩略图展示与移动、多种分析布局方式、每次检索实体的最大数量限制、分析任务全屏和带有组件模式的切换等；</w:t>
            </w:r>
            <w:r>
              <w:rPr>
                <w:rFonts w:hint="eastAsia" w:ascii="宋体" w:hAnsi="宋体" w:cs="宋体"/>
                <w:szCs w:val="21"/>
                <w:highlight w:val="none"/>
              </w:rPr>
              <w:br w:type="textWrapping"/>
            </w:r>
            <w:r>
              <w:rPr>
                <w:rFonts w:hint="eastAsia" w:ascii="宋体" w:hAnsi="宋体" w:cs="宋体"/>
                <w:szCs w:val="21"/>
                <w:highlight w:val="none"/>
              </w:rPr>
              <w:t>3、</w:t>
            </w:r>
            <w:r>
              <w:rPr>
                <w:rFonts w:hint="eastAsia" w:ascii="宋体" w:hAnsi="宋体" w:cs="宋体"/>
                <w:szCs w:val="21"/>
                <w:highlight w:val="none"/>
                <w:lang w:eastAsia="zh-CN"/>
              </w:rPr>
              <w:t>配置</w:t>
            </w:r>
            <w:r>
              <w:rPr>
                <w:rFonts w:hint="eastAsia" w:ascii="宋体" w:hAnsi="宋体" w:cs="宋体"/>
                <w:szCs w:val="21"/>
                <w:highlight w:val="none"/>
              </w:rPr>
              <w:t>将分析任务保存为分析案例</w:t>
            </w:r>
            <w:r>
              <w:rPr>
                <w:rFonts w:hint="eastAsia" w:ascii="宋体" w:hAnsi="宋体" w:cs="宋体"/>
                <w:szCs w:val="21"/>
                <w:highlight w:val="none"/>
                <w:lang w:val="en-US" w:eastAsia="zh-CN"/>
              </w:rPr>
              <w:t>的能力</w:t>
            </w:r>
            <w:r>
              <w:rPr>
                <w:rFonts w:hint="eastAsia" w:ascii="宋体" w:hAnsi="宋体" w:cs="宋体"/>
                <w:szCs w:val="21"/>
                <w:highlight w:val="none"/>
              </w:rPr>
              <w:t>，可对案例进行二次分析；</w:t>
            </w:r>
            <w:r>
              <w:rPr>
                <w:rFonts w:hint="eastAsia" w:ascii="宋体" w:hAnsi="宋体" w:cs="宋体"/>
                <w:szCs w:val="21"/>
                <w:highlight w:val="none"/>
              </w:rPr>
              <w:br w:type="textWrapping"/>
            </w:r>
            <w:r>
              <w:rPr>
                <w:rFonts w:hint="eastAsia" w:ascii="宋体" w:hAnsi="宋体" w:cs="宋体"/>
                <w:szCs w:val="21"/>
                <w:highlight w:val="none"/>
              </w:rPr>
              <w:t>4、</w:t>
            </w:r>
            <w:r>
              <w:rPr>
                <w:rFonts w:hint="eastAsia" w:ascii="宋体" w:hAnsi="宋体" w:cs="宋体"/>
                <w:szCs w:val="21"/>
                <w:highlight w:val="none"/>
                <w:lang w:eastAsia="zh-CN"/>
              </w:rPr>
              <w:t>配置</w:t>
            </w:r>
            <w:r>
              <w:rPr>
                <w:rFonts w:hint="eastAsia" w:ascii="宋体" w:hAnsi="宋体" w:cs="宋体"/>
                <w:szCs w:val="21"/>
                <w:highlight w:val="none"/>
              </w:rPr>
              <w:t>将每一步分析结果保存为分析快照</w:t>
            </w:r>
            <w:r>
              <w:rPr>
                <w:rFonts w:hint="eastAsia" w:ascii="宋体" w:hAnsi="宋体" w:cs="宋体"/>
                <w:szCs w:val="21"/>
                <w:highlight w:val="none"/>
                <w:lang w:val="en-US" w:eastAsia="zh-CN"/>
              </w:rPr>
              <w:t>的能力</w:t>
            </w:r>
            <w:r>
              <w:rPr>
                <w:rFonts w:hint="eastAsia" w:ascii="宋体" w:hAnsi="宋体" w:cs="宋体"/>
                <w:szCs w:val="21"/>
                <w:highlight w:val="none"/>
              </w:rPr>
              <w:t>，并支持以时间轴的方式对分析历史进行数据回放</w:t>
            </w:r>
            <w:r>
              <w:rPr>
                <w:rFonts w:hint="eastAsia" w:ascii="宋体" w:hAnsi="宋体" w:cs="宋体"/>
                <w:szCs w:val="21"/>
                <w:highlight w:val="none"/>
                <w:lang w:eastAsia="zh-CN"/>
              </w:rPr>
              <w:t>。</w:t>
            </w:r>
          </w:p>
        </w:tc>
      </w:tr>
      <w:tr>
        <w:tc>
          <w:tcPr>
            <w:tcW w:w="591" w:type="pct"/>
            <w:vMerge w:val="restar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攻击链分析</w:t>
            </w:r>
          </w:p>
        </w:tc>
        <w:tc>
          <w:tcPr>
            <w:tcW w:w="597"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分析任务管理</w:t>
            </w:r>
          </w:p>
        </w:tc>
        <w:tc>
          <w:tcPr>
            <w:tcW w:w="3811"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对攻击链分析任务进行新增，修改，查询，删除，重启和查看</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攻击链分析任务创建</w:t>
            </w:r>
            <w:r>
              <w:rPr>
                <w:rFonts w:hint="eastAsia" w:ascii="宋体" w:hAnsi="宋体" w:cs="宋体"/>
                <w:szCs w:val="21"/>
                <w:highlight w:val="none"/>
                <w:lang w:val="en-US" w:eastAsia="zh-CN"/>
              </w:rPr>
              <w:t>的能力</w:t>
            </w:r>
            <w:r>
              <w:rPr>
                <w:rFonts w:hint="eastAsia" w:ascii="宋体" w:hAnsi="宋体" w:cs="宋体"/>
                <w:szCs w:val="21"/>
                <w:highlight w:val="none"/>
              </w:rPr>
              <w:t>，创建字段任务名称、攻击者ip，受害者ip，攻击者名称，告警时间范围，任务描述</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3、</w:t>
            </w:r>
            <w:r>
              <w:rPr>
                <w:rFonts w:hint="eastAsia" w:ascii="宋体" w:hAnsi="宋体" w:cs="宋体"/>
                <w:szCs w:val="21"/>
                <w:highlight w:val="none"/>
                <w:lang w:eastAsia="zh-CN"/>
              </w:rPr>
              <w:t>配置</w:t>
            </w:r>
            <w:r>
              <w:rPr>
                <w:rFonts w:hint="eastAsia" w:ascii="宋体" w:hAnsi="宋体" w:cs="宋体"/>
                <w:szCs w:val="21"/>
                <w:highlight w:val="none"/>
              </w:rPr>
              <w:t>分析任务的删除</w:t>
            </w:r>
            <w:r>
              <w:rPr>
                <w:rFonts w:hint="eastAsia" w:ascii="宋体" w:hAnsi="宋体" w:cs="宋体"/>
                <w:szCs w:val="21"/>
                <w:highlight w:val="none"/>
                <w:lang w:val="en-US" w:eastAsia="zh-CN"/>
              </w:rPr>
              <w:t>的能力</w:t>
            </w:r>
            <w:r>
              <w:rPr>
                <w:rFonts w:hint="eastAsia" w:ascii="宋体" w:hAnsi="宋体" w:cs="宋体"/>
                <w:szCs w:val="21"/>
                <w:highlight w:val="none"/>
              </w:rPr>
              <w:t>，确认删除前需要对用户做明显提示</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4、</w:t>
            </w:r>
            <w:r>
              <w:rPr>
                <w:rFonts w:hint="eastAsia" w:ascii="宋体" w:hAnsi="宋体" w:cs="宋体"/>
                <w:szCs w:val="21"/>
                <w:highlight w:val="none"/>
                <w:lang w:eastAsia="zh-CN"/>
              </w:rPr>
              <w:t>配置</w:t>
            </w:r>
            <w:r>
              <w:rPr>
                <w:rFonts w:hint="eastAsia" w:ascii="宋体" w:hAnsi="宋体" w:cs="宋体"/>
                <w:szCs w:val="21"/>
                <w:highlight w:val="none"/>
              </w:rPr>
              <w:t>对攻击链分析任务编辑</w:t>
            </w:r>
            <w:r>
              <w:rPr>
                <w:rFonts w:hint="eastAsia" w:ascii="宋体" w:hAnsi="宋体" w:cs="宋体"/>
                <w:szCs w:val="21"/>
                <w:highlight w:val="none"/>
                <w:lang w:val="en-US" w:eastAsia="zh-CN"/>
              </w:rPr>
              <w:t>的能力</w:t>
            </w:r>
            <w:r>
              <w:rPr>
                <w:rFonts w:hint="eastAsia" w:ascii="宋体" w:hAnsi="宋体" w:cs="宋体"/>
                <w:szCs w:val="21"/>
                <w:highlight w:val="none"/>
              </w:rPr>
              <w:t>，对未执行或完成的任务进行编辑，可对任务名称、攻击者IP,受害者IP,攻击者名称、告警时间范围和任务描述等内容进行修改</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5、</w:t>
            </w:r>
            <w:r>
              <w:rPr>
                <w:rFonts w:hint="eastAsia" w:ascii="宋体" w:hAnsi="宋体" w:cs="宋体"/>
                <w:szCs w:val="21"/>
                <w:highlight w:val="none"/>
                <w:lang w:eastAsia="zh-CN"/>
              </w:rPr>
              <w:t>配置</w:t>
            </w:r>
            <w:r>
              <w:rPr>
                <w:rFonts w:hint="eastAsia" w:ascii="宋体" w:hAnsi="宋体" w:cs="宋体"/>
                <w:szCs w:val="21"/>
                <w:highlight w:val="none"/>
              </w:rPr>
              <w:t>攻击链分析任务检索</w:t>
            </w:r>
            <w:r>
              <w:rPr>
                <w:rFonts w:hint="eastAsia" w:ascii="宋体" w:hAnsi="宋体" w:cs="宋体"/>
                <w:szCs w:val="21"/>
                <w:highlight w:val="none"/>
                <w:lang w:val="en-US" w:eastAsia="zh-CN"/>
              </w:rPr>
              <w:t>的能力</w:t>
            </w:r>
            <w:r>
              <w:rPr>
                <w:rFonts w:hint="eastAsia" w:ascii="宋体" w:hAnsi="宋体" w:cs="宋体"/>
                <w:szCs w:val="21"/>
                <w:highlight w:val="none"/>
              </w:rPr>
              <w:t>，可按任务名称、任务状态、攻击者名称、攻击者IP和受害者IP条件进行模糊和精确检索</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6、</w:t>
            </w:r>
            <w:r>
              <w:rPr>
                <w:rFonts w:hint="eastAsia" w:ascii="宋体" w:hAnsi="宋体" w:cs="宋体"/>
                <w:szCs w:val="21"/>
                <w:highlight w:val="none"/>
                <w:lang w:eastAsia="zh-CN"/>
              </w:rPr>
              <w:t>配置</w:t>
            </w:r>
            <w:r>
              <w:rPr>
                <w:rFonts w:hint="eastAsia" w:ascii="宋体" w:hAnsi="宋体" w:cs="宋体"/>
                <w:szCs w:val="21"/>
                <w:highlight w:val="none"/>
              </w:rPr>
              <w:t>对未执行、完成状态的任务进行任务重启操作</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7、</w:t>
            </w:r>
            <w:r>
              <w:rPr>
                <w:rFonts w:hint="eastAsia" w:ascii="宋体" w:hAnsi="宋体" w:cs="宋体"/>
                <w:szCs w:val="21"/>
                <w:highlight w:val="none"/>
                <w:lang w:eastAsia="zh-CN"/>
              </w:rPr>
              <w:t>配置</w:t>
            </w:r>
            <w:r>
              <w:rPr>
                <w:rFonts w:hint="eastAsia" w:ascii="宋体" w:hAnsi="宋体" w:cs="宋体"/>
                <w:szCs w:val="21"/>
                <w:highlight w:val="none"/>
              </w:rPr>
              <w:t>对未执行、完成状态的任务进行任务重启操作。</w:t>
            </w:r>
          </w:p>
        </w:tc>
      </w:tr>
      <w:tr>
        <w:tc>
          <w:tcPr>
            <w:tcW w:w="591" w:type="pct"/>
            <w:vMerge w:val="continue"/>
          </w:tcPr>
          <w:p>
            <w:pPr>
              <w:widowControl/>
              <w:jc w:val="left"/>
              <w:textAlignment w:val="center"/>
              <w:rPr>
                <w:rFonts w:ascii="宋体" w:hAnsi="宋体" w:cs="宋体"/>
                <w:szCs w:val="21"/>
                <w:highlight w:val="none"/>
                <w:lang w:eastAsia="zh-Hans"/>
              </w:rPr>
            </w:pPr>
          </w:p>
        </w:tc>
        <w:tc>
          <w:tcPr>
            <w:tcW w:w="597"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▲攻击链分析引擎</w:t>
            </w:r>
          </w:p>
        </w:tc>
        <w:tc>
          <w:tcPr>
            <w:tcW w:w="3811" w:type="pct"/>
            <w:vAlign w:val="center"/>
          </w:tcPr>
          <w:p>
            <w:pPr>
              <w:widowControl/>
              <w:numPr>
                <w:ilvl w:val="0"/>
                <w:numId w:val="9"/>
              </w:numPr>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配置</w:t>
            </w:r>
            <w:r>
              <w:rPr>
                <w:rFonts w:hint="eastAsia" w:ascii="宋体" w:hAnsi="宋体" w:cs="宋体"/>
                <w:szCs w:val="21"/>
                <w:highlight w:val="none"/>
              </w:rPr>
              <w:t>基于网络攻击链（Cyber Kill Chain）和MITRE ATT&amp;CK模型进行安全事件攻击链分析</w:t>
            </w:r>
            <w:r>
              <w:rPr>
                <w:rFonts w:hint="eastAsia" w:ascii="宋体" w:hAnsi="宋体" w:cs="宋体"/>
                <w:szCs w:val="21"/>
                <w:highlight w:val="none"/>
                <w:lang w:val="en-US" w:eastAsia="zh-CN"/>
              </w:rPr>
              <w:t>的能力</w:t>
            </w:r>
            <w:r>
              <w:rPr>
                <w:rFonts w:hint="eastAsia" w:ascii="宋体" w:hAnsi="宋体" w:cs="宋体"/>
                <w:szCs w:val="21"/>
                <w:highlight w:val="none"/>
              </w:rPr>
              <w:t>，分析展现侦查追踪、武器构建、载荷投递、突防利用、安装植入、通信控制、达成目标各阶段的攻击手法、攻击结果；最终已时间轴的方式将事件涉及的网络攻击进行攻击过程还原；</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以钻石模型分析展现攻击者、受害者、基础设施、攻击能力之间的关系；分析展示内容不限于原目的IP；基础设施中的邮箱、域名、ip；攻击能力的攻击手法和攻击技能等</w:t>
            </w:r>
            <w:r>
              <w:rPr>
                <w:rFonts w:hint="eastAsia" w:ascii="宋体" w:hAnsi="宋体" w:cs="宋体"/>
                <w:szCs w:val="21"/>
                <w:highlight w:val="none"/>
                <w:lang w:eastAsia="zh-CN"/>
              </w:rPr>
              <w:t>；</w:t>
            </w:r>
          </w:p>
        </w:tc>
      </w:tr>
      <w:tr>
        <w:tc>
          <w:tcPr>
            <w:tcW w:w="1188" w:type="pct"/>
            <w:gridSpan w:val="2"/>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w:t>
            </w:r>
            <w:r>
              <w:rPr>
                <w:rFonts w:hint="eastAsia" w:ascii="宋体" w:hAnsi="宋体" w:cs="宋体"/>
                <w:szCs w:val="21"/>
                <w:highlight w:val="none"/>
                <w:lang w:eastAsia="zh-Hans"/>
              </w:rPr>
              <w:t>APT攻击分析能力</w:t>
            </w:r>
          </w:p>
        </w:tc>
        <w:tc>
          <w:tcPr>
            <w:tcW w:w="3811" w:type="pct"/>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配置</w:t>
            </w:r>
            <w:r>
              <w:rPr>
                <w:rFonts w:hint="eastAsia" w:ascii="宋体" w:hAnsi="宋体" w:cs="宋体"/>
                <w:szCs w:val="21"/>
                <w:highlight w:val="none"/>
                <w:lang w:eastAsia="zh-Hans"/>
              </w:rPr>
              <w:t>APT攻击分析能力</w:t>
            </w:r>
            <w:r>
              <w:rPr>
                <w:rFonts w:hint="eastAsia" w:ascii="宋体" w:hAnsi="宋体" w:cs="宋体"/>
                <w:szCs w:val="21"/>
                <w:highlight w:val="none"/>
                <w:lang w:eastAsia="zh-CN"/>
              </w:rPr>
              <w:t>。</w:t>
            </w:r>
          </w:p>
        </w:tc>
      </w:tr>
    </w:tbl>
    <w:p>
      <w:pPr>
        <w:keepNext/>
        <w:keepLines/>
        <w:spacing w:line="360" w:lineRule="auto"/>
        <w:ind w:firstLine="424" w:firstLineChars="200"/>
        <w:outlineLvl w:val="1"/>
        <w:rPr>
          <w:rFonts w:ascii="宋体" w:hAnsi="宋体" w:cs="宋体"/>
          <w:b/>
          <w:bCs/>
          <w:szCs w:val="21"/>
          <w:highlight w:val="none"/>
          <w:lang w:eastAsia="zh-Hans"/>
        </w:rPr>
      </w:pPr>
      <w:r>
        <w:rPr>
          <w:rFonts w:hint="eastAsia" w:ascii="宋体" w:hAnsi="宋体" w:cs="宋体"/>
          <w:b/>
          <w:bCs/>
          <w:szCs w:val="21"/>
          <w:highlight w:val="none"/>
          <w:lang w:eastAsia="zh-Hans"/>
        </w:rPr>
        <w:t>1.5工作指挥</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041"/>
        <w:gridCol w:w="6645"/>
      </w:tblGrid>
      <w:tr>
        <w:tc>
          <w:tcPr>
            <w:tcW w:w="1189" w:type="pct"/>
            <w:gridSpan w:val="2"/>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功能指标</w:t>
            </w:r>
          </w:p>
        </w:tc>
        <w:tc>
          <w:tcPr>
            <w:tcW w:w="3810"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指标要求</w:t>
            </w:r>
          </w:p>
        </w:tc>
      </w:tr>
      <w:tr>
        <w:tc>
          <w:tcPr>
            <w:tcW w:w="592"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治理资源</w:t>
            </w:r>
          </w:p>
        </w:tc>
        <w:tc>
          <w:tcPr>
            <w:tcW w:w="596" w:type="pct"/>
            <w:vAlign w:val="bottom"/>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单位实体维护</w:t>
            </w:r>
          </w:p>
        </w:tc>
        <w:tc>
          <w:tcPr>
            <w:tcW w:w="3810"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单位的增删改查</w:t>
            </w:r>
            <w:r>
              <w:rPr>
                <w:rFonts w:hint="eastAsia" w:ascii="宋体" w:hAnsi="宋体" w:cs="宋体"/>
                <w:szCs w:val="21"/>
                <w:highlight w:val="none"/>
                <w:lang w:val="en-US" w:eastAsia="zh-CN"/>
              </w:rPr>
              <w:t>的能力</w:t>
            </w:r>
            <w:r>
              <w:rPr>
                <w:rFonts w:hint="eastAsia" w:ascii="宋体" w:hAnsi="宋体" w:cs="宋体"/>
                <w:szCs w:val="21"/>
                <w:highlight w:val="none"/>
              </w:rPr>
              <w:t>，维护信息不限于单位名称、单位简称、组织机构代码、单位类型、行业类别、网站URL、上级主管、单位地址、详细地址、单位标签、单位描述等</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查看单位相关治理资源</w:t>
            </w:r>
            <w:r>
              <w:rPr>
                <w:rFonts w:hint="eastAsia" w:ascii="宋体" w:hAnsi="宋体" w:cs="宋体"/>
                <w:szCs w:val="21"/>
                <w:highlight w:val="none"/>
                <w:lang w:val="en-US" w:eastAsia="zh-CN"/>
              </w:rPr>
              <w:t>的能力</w:t>
            </w:r>
            <w:r>
              <w:rPr>
                <w:rFonts w:hint="eastAsia" w:ascii="宋体" w:hAnsi="宋体" w:cs="宋体"/>
                <w:szCs w:val="21"/>
                <w:highlight w:val="none"/>
              </w:rPr>
              <w:t>，包括单位基本信息、关联人员信息、拥有装备情况、拥有手段情况；</w:t>
            </w:r>
            <w:r>
              <w:rPr>
                <w:rFonts w:hint="eastAsia" w:ascii="宋体" w:hAnsi="宋体" w:cs="宋体"/>
                <w:szCs w:val="21"/>
                <w:highlight w:val="none"/>
              </w:rPr>
              <w:br w:type="textWrapping"/>
            </w:r>
            <w:r>
              <w:rPr>
                <w:rFonts w:hint="eastAsia" w:ascii="宋体" w:hAnsi="宋体" w:cs="宋体"/>
                <w:szCs w:val="21"/>
                <w:highlight w:val="none"/>
              </w:rPr>
              <w:t>3、</w:t>
            </w:r>
            <w:r>
              <w:rPr>
                <w:rFonts w:hint="eastAsia" w:ascii="宋体" w:hAnsi="宋体" w:cs="宋体"/>
                <w:szCs w:val="21"/>
                <w:highlight w:val="none"/>
                <w:lang w:eastAsia="zh-CN"/>
              </w:rPr>
              <w:t>配置</w:t>
            </w:r>
            <w:r>
              <w:rPr>
                <w:rFonts w:hint="eastAsia" w:ascii="宋体" w:hAnsi="宋体" w:cs="宋体"/>
                <w:szCs w:val="21"/>
                <w:highlight w:val="none"/>
              </w:rPr>
              <w:t>单位与其他治理资源之间的关系维护</w:t>
            </w:r>
            <w:r>
              <w:rPr>
                <w:rFonts w:hint="eastAsia" w:ascii="宋体" w:hAnsi="宋体" w:cs="宋体"/>
                <w:szCs w:val="21"/>
                <w:highlight w:val="none"/>
                <w:lang w:val="en-US" w:eastAsia="zh-CN"/>
              </w:rPr>
              <w:t>的能力</w:t>
            </w:r>
            <w:r>
              <w:rPr>
                <w:rFonts w:hint="eastAsia" w:ascii="宋体" w:hAnsi="宋体" w:cs="宋体"/>
                <w:szCs w:val="21"/>
                <w:highlight w:val="none"/>
              </w:rPr>
              <w:t>，建立“单位-人员-装备-手段”关联关系，支持单位视角查看“拥有人员、装备、手段”情况</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4、</w:t>
            </w:r>
            <w:r>
              <w:rPr>
                <w:rFonts w:hint="eastAsia" w:ascii="宋体" w:hAnsi="宋体" w:cs="宋体"/>
                <w:szCs w:val="21"/>
                <w:highlight w:val="none"/>
                <w:lang w:eastAsia="zh-CN"/>
              </w:rPr>
              <w:t>配置</w:t>
            </w:r>
            <w:r>
              <w:rPr>
                <w:rFonts w:hint="eastAsia" w:ascii="宋体" w:hAnsi="宋体" w:cs="宋体"/>
                <w:szCs w:val="21"/>
                <w:highlight w:val="none"/>
              </w:rPr>
              <w:t>单位的关键词检索、排序、标签配置等</w:t>
            </w:r>
            <w:r>
              <w:rPr>
                <w:rFonts w:hint="eastAsia" w:ascii="宋体" w:hAnsi="宋体" w:cs="宋体"/>
                <w:szCs w:val="21"/>
                <w:highlight w:val="none"/>
                <w:lang w:val="en-US" w:eastAsia="zh-CN"/>
              </w:rPr>
              <w:t>的能力。</w:t>
            </w:r>
          </w:p>
        </w:tc>
      </w:tr>
    </w:tbl>
    <w:p>
      <w:pPr>
        <w:keepNext/>
        <w:keepLines/>
        <w:spacing w:line="360" w:lineRule="auto"/>
        <w:ind w:firstLine="424" w:firstLineChars="200"/>
        <w:outlineLvl w:val="1"/>
        <w:rPr>
          <w:rFonts w:ascii="宋体" w:hAnsi="宋体" w:cs="宋体"/>
          <w:b/>
          <w:bCs/>
          <w:szCs w:val="21"/>
          <w:highlight w:val="none"/>
          <w:lang w:eastAsia="zh-Hans"/>
        </w:rPr>
      </w:pPr>
      <w:r>
        <w:rPr>
          <w:rFonts w:hint="eastAsia" w:ascii="宋体" w:hAnsi="宋体" w:cs="宋体"/>
          <w:b/>
          <w:bCs/>
          <w:szCs w:val="21"/>
          <w:highlight w:val="none"/>
          <w:lang w:eastAsia="zh-Hans"/>
        </w:rPr>
        <w:t>1.7数据中心</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41"/>
        <w:gridCol w:w="6646"/>
      </w:tblGrid>
      <w:tr>
        <w:tc>
          <w:tcPr>
            <w:tcW w:w="1188" w:type="pct"/>
            <w:gridSpan w:val="2"/>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功能指标</w:t>
            </w:r>
          </w:p>
        </w:tc>
        <w:tc>
          <w:tcPr>
            <w:tcW w:w="3811"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指标要求</w:t>
            </w:r>
          </w:p>
        </w:tc>
      </w:tr>
      <w:tr>
        <w:tc>
          <w:tcPr>
            <w:tcW w:w="591" w:type="pct"/>
            <w:vMerge w:val="restar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元数据管理</w:t>
            </w:r>
          </w:p>
        </w:tc>
        <w:tc>
          <w:tcPr>
            <w:tcW w:w="597"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数据标准管理</w:t>
            </w:r>
          </w:p>
        </w:tc>
        <w:tc>
          <w:tcPr>
            <w:tcW w:w="3811"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数据标准浏览</w:t>
            </w:r>
            <w:r>
              <w:rPr>
                <w:rFonts w:hint="eastAsia" w:ascii="宋体" w:hAnsi="宋体" w:cs="宋体"/>
                <w:szCs w:val="21"/>
                <w:highlight w:val="none"/>
                <w:lang w:val="en-US" w:eastAsia="zh-CN"/>
              </w:rPr>
              <w:t>功能</w:t>
            </w:r>
            <w:r>
              <w:rPr>
                <w:rFonts w:hint="eastAsia" w:ascii="宋体" w:hAnsi="宋体" w:cs="宋体"/>
                <w:szCs w:val="21"/>
                <w:highlight w:val="none"/>
              </w:rPr>
              <w:t>，支持根据数据标准分类进行管理</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基础主题标准维护</w:t>
            </w:r>
            <w:r>
              <w:rPr>
                <w:rFonts w:hint="eastAsia" w:ascii="宋体" w:hAnsi="宋体" w:cs="宋体"/>
                <w:szCs w:val="21"/>
                <w:highlight w:val="none"/>
                <w:lang w:val="en-US" w:eastAsia="zh-CN"/>
              </w:rPr>
              <w:t>的能力</w:t>
            </w: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对已梳理的基础主题数据标准的管理维护功能，包括修改、提交、发布等基础维护功能。数据标准定义信息不限于标准编码、数据长度、标准中文名称、数据精度、标准英文名称、度量单位、数据业务类型、样例数据、别名、描述、制定依据、业务规则、所属路径等</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3、</w:t>
            </w:r>
            <w:r>
              <w:rPr>
                <w:rFonts w:hint="eastAsia" w:ascii="宋体" w:hAnsi="宋体" w:cs="宋体"/>
                <w:szCs w:val="21"/>
                <w:highlight w:val="none"/>
                <w:lang w:eastAsia="zh-CN"/>
              </w:rPr>
              <w:t>配置</w:t>
            </w:r>
            <w:r>
              <w:rPr>
                <w:rFonts w:hint="eastAsia" w:ascii="宋体" w:hAnsi="宋体" w:cs="宋体"/>
                <w:szCs w:val="21"/>
                <w:highlight w:val="none"/>
              </w:rPr>
              <w:t>标准维护</w:t>
            </w:r>
            <w:r>
              <w:rPr>
                <w:rFonts w:hint="eastAsia" w:ascii="宋体" w:hAnsi="宋体" w:cs="宋体"/>
                <w:szCs w:val="21"/>
                <w:highlight w:val="none"/>
                <w:lang w:val="en-US" w:eastAsia="zh-CN"/>
              </w:rPr>
              <w:t>功能</w:t>
            </w:r>
            <w:r>
              <w:rPr>
                <w:rFonts w:hint="eastAsia" w:ascii="宋体" w:hAnsi="宋体" w:cs="宋体"/>
                <w:szCs w:val="21"/>
                <w:highlight w:val="none"/>
              </w:rPr>
              <w:t>，支持对数据标准定义、关联字典的维护。</w:t>
            </w:r>
          </w:p>
        </w:tc>
      </w:tr>
      <w:tr>
        <w:tc>
          <w:tcPr>
            <w:tcW w:w="591" w:type="pct"/>
            <w:vMerge w:val="continue"/>
            <w:vAlign w:val="center"/>
          </w:tcPr>
          <w:p>
            <w:pPr>
              <w:widowControl/>
              <w:jc w:val="left"/>
              <w:textAlignment w:val="center"/>
              <w:rPr>
                <w:rFonts w:ascii="宋体" w:hAnsi="宋体" w:cs="宋体"/>
                <w:szCs w:val="21"/>
                <w:highlight w:val="none"/>
                <w:lang w:eastAsia="zh-Hans"/>
              </w:rPr>
            </w:pPr>
          </w:p>
        </w:tc>
        <w:tc>
          <w:tcPr>
            <w:tcW w:w="597"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▲元数据管理（</w:t>
            </w:r>
            <w:r>
              <w:rPr>
                <w:rFonts w:hint="eastAsia" w:ascii="宋体" w:hAnsi="宋体" w:cs="宋体"/>
                <w:szCs w:val="21"/>
                <w:highlight w:val="none"/>
                <w:lang w:eastAsia="zh-Hans"/>
              </w:rPr>
              <w:t>提供截图）</w:t>
            </w:r>
          </w:p>
        </w:tc>
        <w:tc>
          <w:tcPr>
            <w:tcW w:w="3811" w:type="pct"/>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丰富的元数据管理功能，包括元数据检索、采集、维护、应用分析等，沉淀企业数据知识，提高数据理解、定位、消费效率</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业务元数据管理，管理业务元数据确定共同认可的词汇和对应的信息资产，确保领域知识的共同理解，保障行业元数据的标准化和归一化</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3、</w:t>
            </w:r>
            <w:r>
              <w:rPr>
                <w:rFonts w:hint="eastAsia" w:ascii="宋体" w:hAnsi="宋体" w:cs="宋体"/>
                <w:szCs w:val="21"/>
                <w:highlight w:val="none"/>
                <w:lang w:eastAsia="zh-CN"/>
              </w:rPr>
              <w:t>配置</w:t>
            </w:r>
            <w:r>
              <w:rPr>
                <w:rFonts w:hint="eastAsia" w:ascii="宋体" w:hAnsi="宋体" w:cs="宋体"/>
                <w:szCs w:val="21"/>
                <w:highlight w:val="none"/>
              </w:rPr>
              <w:t>数据业务类型管理，有助于数据被正确使用、重用并满足各种规范，打通数据孤岛并形成企业级知识传承平台；</w:t>
            </w:r>
            <w:r>
              <w:rPr>
                <w:rFonts w:hint="eastAsia" w:ascii="宋体" w:hAnsi="宋体" w:cs="宋体"/>
                <w:szCs w:val="21"/>
                <w:highlight w:val="none"/>
              </w:rPr>
              <w:br w:type="textWrapping"/>
            </w:r>
            <w:r>
              <w:rPr>
                <w:rFonts w:hint="eastAsia" w:ascii="宋体" w:hAnsi="宋体" w:cs="宋体"/>
                <w:szCs w:val="21"/>
                <w:highlight w:val="none"/>
              </w:rPr>
              <w:t>4、</w:t>
            </w:r>
            <w:r>
              <w:rPr>
                <w:rFonts w:hint="eastAsia" w:ascii="宋体" w:hAnsi="宋体" w:cs="宋体"/>
                <w:szCs w:val="21"/>
                <w:highlight w:val="none"/>
                <w:lang w:eastAsia="zh-CN"/>
              </w:rPr>
              <w:t>配置</w:t>
            </w:r>
            <w:r>
              <w:rPr>
                <w:rFonts w:hint="eastAsia" w:ascii="宋体" w:hAnsi="宋体" w:cs="宋体"/>
                <w:szCs w:val="21"/>
                <w:highlight w:val="none"/>
              </w:rPr>
              <w:t>信息分类编码标准管理，创建并维护数据模型中使用的数据字典。制定并管理系统遵循的统一数据标准，统一数据口径；支持信息分类编码标准目录管理、内容多级管理，支持信息分类编码标准全文检索；</w:t>
            </w:r>
            <w:r>
              <w:rPr>
                <w:rFonts w:hint="eastAsia" w:ascii="宋体" w:hAnsi="宋体" w:cs="宋体"/>
                <w:szCs w:val="21"/>
                <w:highlight w:val="none"/>
              </w:rPr>
              <w:br w:type="textWrapping"/>
            </w:r>
            <w:r>
              <w:rPr>
                <w:rFonts w:hint="eastAsia" w:ascii="宋体" w:hAnsi="宋体" w:cs="宋体"/>
                <w:szCs w:val="21"/>
                <w:highlight w:val="none"/>
              </w:rPr>
              <w:t>5、</w:t>
            </w:r>
            <w:r>
              <w:rPr>
                <w:rFonts w:hint="eastAsia" w:ascii="宋体" w:hAnsi="宋体" w:cs="宋体"/>
                <w:szCs w:val="21"/>
                <w:highlight w:val="none"/>
                <w:lang w:eastAsia="zh-CN"/>
              </w:rPr>
              <w:t>配置</w:t>
            </w:r>
            <w:r>
              <w:rPr>
                <w:rFonts w:hint="eastAsia" w:ascii="宋体" w:hAnsi="宋体" w:cs="宋体"/>
                <w:szCs w:val="21"/>
                <w:highlight w:val="none"/>
              </w:rPr>
              <w:t>信息分类编码标准批量导入/导出</w:t>
            </w:r>
            <w:r>
              <w:rPr>
                <w:rFonts w:hint="eastAsia" w:ascii="宋体" w:hAnsi="宋体" w:cs="宋体"/>
                <w:szCs w:val="21"/>
                <w:highlight w:val="none"/>
                <w:lang w:val="en-US" w:eastAsia="zh-CN"/>
              </w:rPr>
              <w:t>功能</w:t>
            </w:r>
            <w:r>
              <w:rPr>
                <w:rFonts w:hint="eastAsia" w:ascii="宋体" w:hAnsi="宋体" w:cs="宋体"/>
                <w:szCs w:val="21"/>
                <w:highlight w:val="none"/>
              </w:rPr>
              <w:t>，以及导入校验功能；可对信息分类编码进行版本管理，历史版本对比</w:t>
            </w:r>
            <w:r>
              <w:rPr>
                <w:rFonts w:hint="eastAsia" w:ascii="宋体" w:hAnsi="宋体" w:cs="宋体"/>
                <w:szCs w:val="21"/>
                <w:highlight w:val="none"/>
                <w:lang w:eastAsia="zh-CN"/>
              </w:rPr>
              <w:t>。</w:t>
            </w:r>
          </w:p>
        </w:tc>
      </w:tr>
      <w:tr>
        <w:tc>
          <w:tcPr>
            <w:tcW w:w="591" w:type="pct"/>
            <w:vMerge w:val="continue"/>
            <w:vAlign w:val="center"/>
          </w:tcPr>
          <w:p>
            <w:pPr>
              <w:widowControl/>
              <w:jc w:val="left"/>
              <w:textAlignment w:val="center"/>
              <w:rPr>
                <w:rFonts w:ascii="宋体" w:hAnsi="宋体" w:cs="宋体"/>
                <w:szCs w:val="21"/>
                <w:highlight w:val="none"/>
                <w:lang w:eastAsia="zh-Hans"/>
              </w:rPr>
            </w:pPr>
          </w:p>
        </w:tc>
        <w:tc>
          <w:tcPr>
            <w:tcW w:w="597"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数据质量管理</w:t>
            </w:r>
          </w:p>
        </w:tc>
        <w:tc>
          <w:tcPr>
            <w:tcW w:w="3811"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质量评估标准</w:t>
            </w:r>
            <w:r>
              <w:rPr>
                <w:rFonts w:hint="eastAsia" w:ascii="宋体" w:hAnsi="宋体" w:cs="宋体"/>
                <w:szCs w:val="21"/>
                <w:highlight w:val="none"/>
                <w:lang w:val="en-US" w:eastAsia="zh-CN"/>
              </w:rPr>
              <w:t>功能</w:t>
            </w:r>
            <w:r>
              <w:rPr>
                <w:rFonts w:hint="eastAsia" w:ascii="宋体" w:hAnsi="宋体" w:cs="宋体"/>
                <w:szCs w:val="21"/>
                <w:highlight w:val="none"/>
              </w:rPr>
              <w:t>，建立系统数据质量评估标准，从完整性、一致性、准确性、及时性、唯一性评估数据质量</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评分参数配置、质量检测任务配置、质量检测记录查看等统一的质量检测管理功能。</w:t>
            </w:r>
          </w:p>
        </w:tc>
      </w:tr>
      <w:tr>
        <w:tc>
          <w:tcPr>
            <w:tcW w:w="591" w:type="pct"/>
            <w:vMerge w:val="continue"/>
            <w:vAlign w:val="center"/>
          </w:tcPr>
          <w:p>
            <w:pPr>
              <w:widowControl/>
              <w:jc w:val="left"/>
              <w:textAlignment w:val="center"/>
              <w:rPr>
                <w:rFonts w:ascii="宋体" w:hAnsi="宋体" w:cs="宋体"/>
                <w:szCs w:val="21"/>
                <w:highlight w:val="none"/>
                <w:lang w:eastAsia="zh-Hans"/>
              </w:rPr>
            </w:pPr>
          </w:p>
        </w:tc>
        <w:tc>
          <w:tcPr>
            <w:tcW w:w="597"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数据仓库</w:t>
            </w:r>
          </w:p>
        </w:tc>
        <w:tc>
          <w:tcPr>
            <w:tcW w:w="3811" w:type="pct"/>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数据管理中接入的业务系统数据进行统一管理</w:t>
            </w:r>
            <w:r>
              <w:rPr>
                <w:rFonts w:hint="eastAsia" w:ascii="宋体" w:hAnsi="宋体" w:cs="宋体"/>
                <w:szCs w:val="21"/>
                <w:highlight w:val="none"/>
                <w:lang w:val="en-US" w:eastAsia="zh-CN"/>
              </w:rPr>
              <w:t>功能</w:t>
            </w:r>
            <w:r>
              <w:rPr>
                <w:rFonts w:hint="eastAsia" w:ascii="宋体" w:hAnsi="宋体" w:cs="宋体"/>
                <w:szCs w:val="21"/>
                <w:highlight w:val="none"/>
              </w:rPr>
              <w:t>，以便于应用，支持可视化创建数据模型</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展示数据库/数据表列表</w:t>
            </w:r>
            <w:r>
              <w:rPr>
                <w:rFonts w:hint="eastAsia" w:ascii="宋体" w:hAnsi="宋体" w:cs="宋体"/>
                <w:szCs w:val="21"/>
                <w:highlight w:val="none"/>
                <w:lang w:val="en-US" w:eastAsia="zh-CN"/>
              </w:rPr>
              <w:t>功能</w:t>
            </w:r>
            <w:r>
              <w:rPr>
                <w:rFonts w:hint="eastAsia" w:ascii="宋体" w:hAnsi="宋体" w:cs="宋体"/>
                <w:szCs w:val="21"/>
                <w:highlight w:val="none"/>
              </w:rPr>
              <w:t>，支持添加、编辑、删除、检索数据库</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3、</w:t>
            </w:r>
            <w:r>
              <w:rPr>
                <w:rFonts w:hint="eastAsia" w:ascii="宋体" w:hAnsi="宋体" w:cs="宋体"/>
                <w:szCs w:val="21"/>
                <w:highlight w:val="none"/>
                <w:lang w:eastAsia="zh-CN"/>
              </w:rPr>
              <w:t>配置</w:t>
            </w:r>
            <w:r>
              <w:rPr>
                <w:rFonts w:hint="eastAsia" w:ascii="宋体" w:hAnsi="宋体" w:cs="宋体"/>
                <w:szCs w:val="21"/>
                <w:highlight w:val="none"/>
              </w:rPr>
              <w:t>批量导入导出数据表</w:t>
            </w:r>
            <w:r>
              <w:rPr>
                <w:rFonts w:hint="eastAsia" w:ascii="宋体" w:hAnsi="宋体" w:cs="宋体"/>
                <w:szCs w:val="21"/>
                <w:highlight w:val="none"/>
                <w:lang w:val="en-US" w:eastAsia="zh-CN"/>
              </w:rPr>
              <w:t>功能</w:t>
            </w:r>
            <w:r>
              <w:rPr>
                <w:rFonts w:hint="eastAsia" w:ascii="宋体" w:hAnsi="宋体" w:cs="宋体"/>
                <w:szCs w:val="21"/>
                <w:highlight w:val="none"/>
              </w:rPr>
              <w:t>，批量创建数据表，包括字段、字段对应信息项和业务元数据等，支持创建结构体字段</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4、</w:t>
            </w:r>
            <w:r>
              <w:rPr>
                <w:rFonts w:hint="eastAsia" w:ascii="宋体" w:hAnsi="宋体" w:cs="宋体"/>
                <w:szCs w:val="21"/>
                <w:highlight w:val="none"/>
                <w:lang w:eastAsia="zh-CN"/>
              </w:rPr>
              <w:t>配置</w:t>
            </w:r>
            <w:r>
              <w:rPr>
                <w:rFonts w:hint="eastAsia" w:ascii="宋体" w:hAnsi="宋体" w:cs="宋体"/>
                <w:szCs w:val="21"/>
                <w:highlight w:val="none"/>
              </w:rPr>
              <w:t>查看数据库监控信息</w:t>
            </w:r>
            <w:r>
              <w:rPr>
                <w:rFonts w:hint="eastAsia" w:ascii="宋体" w:hAnsi="宋体" w:cs="宋体"/>
                <w:szCs w:val="21"/>
                <w:highlight w:val="none"/>
                <w:lang w:val="en-US" w:eastAsia="zh-CN"/>
              </w:rPr>
              <w:t>功能</w:t>
            </w:r>
            <w:r>
              <w:rPr>
                <w:rFonts w:hint="eastAsia" w:ascii="宋体" w:hAnsi="宋体" w:cs="宋体"/>
                <w:szCs w:val="21"/>
                <w:highlight w:val="none"/>
              </w:rPr>
              <w:t>，包括数据存储趋势、数据产生消费趋势、业务元数据分析；支持查看数据模型以及数据库变更日志</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5、</w:t>
            </w:r>
            <w:r>
              <w:rPr>
                <w:rFonts w:hint="eastAsia" w:ascii="宋体" w:hAnsi="宋体" w:cs="宋体"/>
                <w:szCs w:val="21"/>
                <w:highlight w:val="none"/>
                <w:lang w:eastAsia="zh-CN"/>
              </w:rPr>
              <w:t>配置</w:t>
            </w:r>
            <w:r>
              <w:rPr>
                <w:rFonts w:hint="eastAsia" w:ascii="宋体" w:hAnsi="宋体" w:cs="宋体"/>
                <w:szCs w:val="21"/>
                <w:highlight w:val="none"/>
              </w:rPr>
              <w:t>查看数据表监控信息</w:t>
            </w:r>
            <w:r>
              <w:rPr>
                <w:rFonts w:hint="eastAsia" w:ascii="宋体" w:hAnsi="宋体" w:cs="宋体"/>
                <w:szCs w:val="21"/>
                <w:highlight w:val="none"/>
                <w:lang w:val="en-US" w:eastAsia="zh-CN"/>
              </w:rPr>
              <w:t>功能</w:t>
            </w:r>
            <w:r>
              <w:rPr>
                <w:rFonts w:hint="eastAsia" w:ascii="宋体" w:hAnsi="宋体" w:cs="宋体"/>
                <w:szCs w:val="21"/>
                <w:highlight w:val="none"/>
              </w:rPr>
              <w:t>，包括数据表存储趋势、数据产生消费趋势、数据入库差值；数据表基本信息包括数据表存储量、字段数、记录数、数据表类型、存储路径、索引字段等；支持查看数据表字段数据，包括字段名称、中文名、描述、数据业务类型、数据标准等</w:t>
            </w:r>
            <w:r>
              <w:rPr>
                <w:rFonts w:hint="eastAsia" w:ascii="宋体" w:hAnsi="宋体" w:cs="宋体"/>
                <w:szCs w:val="21"/>
                <w:highlight w:val="none"/>
                <w:lang w:eastAsia="zh-CN"/>
              </w:rPr>
              <w:t>。</w:t>
            </w:r>
          </w:p>
        </w:tc>
      </w:tr>
      <w:tr>
        <w:tc>
          <w:tcPr>
            <w:tcW w:w="591" w:type="pct"/>
            <w:vMerge w:val="restar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数据服务</w:t>
            </w:r>
          </w:p>
        </w:tc>
        <w:tc>
          <w:tcPr>
            <w:tcW w:w="597"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数据消费服务</w:t>
            </w:r>
          </w:p>
        </w:tc>
        <w:tc>
          <w:tcPr>
            <w:tcW w:w="3811"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数据资源的统一市场化管理</w:t>
            </w:r>
            <w:r>
              <w:rPr>
                <w:rFonts w:hint="eastAsia" w:ascii="宋体" w:hAnsi="宋体" w:cs="宋体"/>
                <w:szCs w:val="21"/>
                <w:highlight w:val="none"/>
                <w:lang w:val="en-US" w:eastAsia="zh-CN"/>
              </w:rPr>
              <w:t>功能</w:t>
            </w:r>
            <w:r>
              <w:rPr>
                <w:rFonts w:hint="eastAsia" w:ascii="宋体" w:hAnsi="宋体" w:cs="宋体"/>
                <w:szCs w:val="21"/>
                <w:highlight w:val="none"/>
              </w:rPr>
              <w:t>，用户可通过界面配置的方式选择API数据服务或文件数据服务，以满足不同的数据使用场景，降低数据使用的开发门槛，帮助企业实现数据应用价值最大化</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API接口下载</w:t>
            </w:r>
            <w:r>
              <w:rPr>
                <w:rFonts w:hint="eastAsia" w:ascii="宋体" w:hAnsi="宋体" w:cs="宋体"/>
                <w:szCs w:val="21"/>
                <w:highlight w:val="none"/>
                <w:lang w:val="en-US" w:eastAsia="zh-CN"/>
              </w:rPr>
              <w:t>功能</w:t>
            </w:r>
            <w:r>
              <w:rPr>
                <w:rFonts w:hint="eastAsia" w:ascii="宋体" w:hAnsi="宋体" w:cs="宋体"/>
                <w:szCs w:val="21"/>
                <w:highlight w:val="none"/>
              </w:rPr>
              <w:t>；可通过界面配置的方式选择API数据服务，高效创建API服务，接口开发时间缩短至分钟级</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3、创建API服务后需要返回APIkey，APISecret,如果数据需要加密则还需要返回 加密秘钥</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4、</w:t>
            </w:r>
            <w:r>
              <w:rPr>
                <w:rFonts w:hint="eastAsia" w:ascii="宋体" w:hAnsi="宋体" w:cs="宋体"/>
                <w:szCs w:val="21"/>
                <w:highlight w:val="none"/>
                <w:lang w:eastAsia="zh-CN"/>
              </w:rPr>
              <w:t>配置</w:t>
            </w:r>
            <w:r>
              <w:rPr>
                <w:rFonts w:hint="eastAsia" w:ascii="宋体" w:hAnsi="宋体" w:cs="宋体"/>
                <w:szCs w:val="21"/>
                <w:highlight w:val="none"/>
              </w:rPr>
              <w:t>在线生成数据服务API使用文档</w:t>
            </w:r>
            <w:r>
              <w:rPr>
                <w:rFonts w:hint="eastAsia" w:ascii="宋体" w:hAnsi="宋体" w:cs="宋体"/>
                <w:szCs w:val="21"/>
                <w:highlight w:val="none"/>
                <w:lang w:val="en-US" w:eastAsia="zh-CN"/>
              </w:rPr>
              <w:t>功能。</w:t>
            </w:r>
          </w:p>
        </w:tc>
      </w:tr>
      <w:tr>
        <w:tc>
          <w:tcPr>
            <w:tcW w:w="591" w:type="pct"/>
            <w:vMerge w:val="continue"/>
            <w:vAlign w:val="center"/>
          </w:tcPr>
          <w:p>
            <w:pPr>
              <w:widowControl/>
              <w:jc w:val="left"/>
              <w:textAlignment w:val="center"/>
              <w:rPr>
                <w:rFonts w:ascii="宋体" w:hAnsi="宋体" w:cs="宋体"/>
                <w:szCs w:val="21"/>
                <w:highlight w:val="none"/>
                <w:lang w:eastAsia="zh-Hans"/>
              </w:rPr>
            </w:pPr>
          </w:p>
        </w:tc>
        <w:tc>
          <w:tcPr>
            <w:tcW w:w="597"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数据服务安全管控</w:t>
            </w:r>
          </w:p>
        </w:tc>
        <w:tc>
          <w:tcPr>
            <w:tcW w:w="3811"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1、支持消费数据进行数据加密后再传输。</w:t>
            </w:r>
            <w:r>
              <w:rPr>
                <w:rFonts w:hint="eastAsia" w:ascii="宋体" w:hAnsi="宋体" w:cs="宋体"/>
                <w:szCs w:val="21"/>
                <w:highlight w:val="none"/>
              </w:rPr>
              <w:br w:type="textWrapping"/>
            </w:r>
            <w:r>
              <w:rPr>
                <w:rFonts w:hint="eastAsia" w:ascii="宋体" w:hAnsi="宋体" w:cs="宋体"/>
                <w:szCs w:val="21"/>
                <w:highlight w:val="none"/>
              </w:rPr>
              <w:t>2、支持对数据服务访问者进行安全认证授权管理</w:t>
            </w:r>
            <w:r>
              <w:rPr>
                <w:rFonts w:hint="eastAsia" w:ascii="宋体" w:hAnsi="宋体" w:cs="宋体"/>
                <w:szCs w:val="21"/>
                <w:highlight w:val="none"/>
              </w:rPr>
              <w:br w:type="textWrapping"/>
            </w:r>
            <w:r>
              <w:rPr>
                <w:rFonts w:hint="eastAsia" w:ascii="宋体" w:hAnsi="宋体" w:cs="宋体"/>
                <w:szCs w:val="21"/>
                <w:highlight w:val="none"/>
              </w:rPr>
              <w:t>3、支持对安全数据的消费进行记录，便于后续的安全审计工作。</w:t>
            </w:r>
          </w:p>
        </w:tc>
      </w:tr>
      <w:tr>
        <w:trPr>
          <w:trHeight w:val="90" w:hRule="atLeast"/>
        </w:trPr>
        <w:tc>
          <w:tcPr>
            <w:tcW w:w="1188" w:type="pct"/>
            <w:gridSpan w:val="2"/>
            <w:vMerge w:val="restar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Hans"/>
              </w:rPr>
              <w:t>联动处置</w:t>
            </w:r>
          </w:p>
        </w:tc>
        <w:tc>
          <w:tcPr>
            <w:tcW w:w="3811"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与现有防火墙进行联动处置</w:t>
            </w:r>
            <w:r>
              <w:rPr>
                <w:rFonts w:hint="eastAsia" w:ascii="宋体" w:hAnsi="宋体" w:cs="宋体"/>
                <w:szCs w:val="21"/>
                <w:highlight w:val="none"/>
                <w:lang w:val="en-US" w:eastAsia="zh-CN"/>
              </w:rPr>
              <w:t>功能；</w:t>
            </w:r>
          </w:p>
        </w:tc>
      </w:tr>
      <w:tr>
        <w:tc>
          <w:tcPr>
            <w:tcW w:w="1188" w:type="pct"/>
            <w:gridSpan w:val="2"/>
            <w:vMerge w:val="continue"/>
            <w:vAlign w:val="center"/>
          </w:tcPr>
          <w:p>
            <w:pPr>
              <w:widowControl/>
              <w:jc w:val="left"/>
              <w:textAlignment w:val="center"/>
              <w:rPr>
                <w:rFonts w:ascii="宋体" w:hAnsi="宋体" w:cs="宋体"/>
                <w:szCs w:val="21"/>
                <w:highlight w:val="none"/>
                <w:lang w:eastAsia="zh-Hans"/>
              </w:rPr>
            </w:pPr>
          </w:p>
        </w:tc>
        <w:tc>
          <w:tcPr>
            <w:tcW w:w="3811"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CN"/>
              </w:rPr>
              <w:t>配置</w:t>
            </w:r>
            <w:r>
              <w:rPr>
                <w:rFonts w:hint="eastAsia" w:ascii="宋体" w:hAnsi="宋体" w:cs="宋体"/>
                <w:szCs w:val="21"/>
                <w:highlight w:val="none"/>
                <w:lang w:eastAsia="zh-Hans"/>
              </w:rPr>
              <w:t>与现有</w:t>
            </w:r>
            <w:r>
              <w:rPr>
                <w:rFonts w:hint="eastAsia" w:ascii="宋体" w:hAnsi="宋体" w:cs="宋体"/>
                <w:szCs w:val="21"/>
                <w:highlight w:val="none"/>
                <w:lang w:val="en-US" w:eastAsia="zh-CN"/>
              </w:rPr>
              <w:t>服务器安全加固软件</w:t>
            </w:r>
            <w:r>
              <w:rPr>
                <w:rFonts w:hint="eastAsia" w:ascii="宋体" w:hAnsi="宋体" w:cs="宋体"/>
                <w:szCs w:val="21"/>
                <w:highlight w:val="none"/>
                <w:lang w:eastAsia="zh-Hans"/>
              </w:rPr>
              <w:t>进行联动处置</w:t>
            </w:r>
            <w:r>
              <w:rPr>
                <w:rFonts w:hint="eastAsia" w:ascii="宋体" w:hAnsi="宋体" w:cs="宋体"/>
                <w:szCs w:val="21"/>
                <w:highlight w:val="none"/>
                <w:lang w:val="en-US" w:eastAsia="zh-CN"/>
              </w:rPr>
              <w:t>功能；</w:t>
            </w:r>
          </w:p>
        </w:tc>
      </w:tr>
      <w:tr>
        <w:tc>
          <w:tcPr>
            <w:tcW w:w="1188" w:type="pct"/>
            <w:gridSpan w:val="2"/>
            <w:vMerge w:val="continue"/>
            <w:vAlign w:val="center"/>
          </w:tcPr>
          <w:p>
            <w:pPr>
              <w:widowControl/>
              <w:jc w:val="left"/>
              <w:textAlignment w:val="center"/>
              <w:rPr>
                <w:rFonts w:ascii="宋体" w:hAnsi="宋体" w:cs="宋体"/>
                <w:szCs w:val="21"/>
                <w:highlight w:val="none"/>
                <w:lang w:eastAsia="zh-Hans"/>
              </w:rPr>
            </w:pPr>
          </w:p>
        </w:tc>
        <w:tc>
          <w:tcPr>
            <w:tcW w:w="3811" w:type="pct"/>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配置</w:t>
            </w:r>
            <w:r>
              <w:rPr>
                <w:rFonts w:hint="eastAsia" w:ascii="宋体" w:hAnsi="宋体" w:cs="宋体"/>
                <w:szCs w:val="21"/>
                <w:highlight w:val="none"/>
                <w:lang w:eastAsia="zh-Hans"/>
              </w:rPr>
              <w:t>与现有探针进行数据对接</w:t>
            </w:r>
            <w:r>
              <w:rPr>
                <w:rFonts w:hint="eastAsia" w:ascii="宋体" w:hAnsi="宋体" w:cs="宋体"/>
                <w:szCs w:val="21"/>
                <w:highlight w:val="none"/>
                <w:lang w:val="en-US" w:eastAsia="zh-CN"/>
              </w:rPr>
              <w:t>功能</w:t>
            </w:r>
            <w:r>
              <w:rPr>
                <w:rFonts w:hint="eastAsia" w:ascii="宋体" w:hAnsi="宋体" w:cs="宋体"/>
                <w:szCs w:val="21"/>
                <w:highlight w:val="none"/>
                <w:lang w:eastAsia="zh-Hans"/>
              </w:rPr>
              <w:t>，采集流量信息</w:t>
            </w:r>
            <w:r>
              <w:rPr>
                <w:rFonts w:hint="eastAsia" w:ascii="宋体" w:hAnsi="宋体" w:cs="宋体"/>
                <w:szCs w:val="21"/>
                <w:highlight w:val="none"/>
                <w:lang w:eastAsia="zh-CN"/>
              </w:rPr>
              <w:t>；</w:t>
            </w:r>
          </w:p>
        </w:tc>
      </w:tr>
    </w:tbl>
    <w:p>
      <w:pPr>
        <w:keepNext/>
        <w:keepLines/>
        <w:spacing w:line="360" w:lineRule="auto"/>
        <w:ind w:firstLine="424" w:firstLineChars="200"/>
        <w:outlineLvl w:val="1"/>
        <w:rPr>
          <w:rFonts w:ascii="宋体" w:hAnsi="宋体" w:cs="宋体"/>
          <w:b/>
          <w:bCs/>
          <w:szCs w:val="21"/>
          <w:highlight w:val="none"/>
          <w:lang w:eastAsia="zh-Hans"/>
        </w:rPr>
      </w:pPr>
      <w:r>
        <w:rPr>
          <w:rFonts w:hint="eastAsia" w:ascii="宋体" w:hAnsi="宋体" w:cs="宋体"/>
          <w:b/>
          <w:bCs/>
          <w:szCs w:val="21"/>
          <w:highlight w:val="none"/>
          <w:lang w:eastAsia="zh-Hans"/>
        </w:rPr>
        <w:t>1.8报告中心</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041"/>
        <w:gridCol w:w="6645"/>
      </w:tblGrid>
      <w:tr>
        <w:tc>
          <w:tcPr>
            <w:tcW w:w="1189" w:type="pct"/>
            <w:gridSpan w:val="2"/>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功能指标</w:t>
            </w:r>
          </w:p>
        </w:tc>
        <w:tc>
          <w:tcPr>
            <w:tcW w:w="3810"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指标要求</w:t>
            </w:r>
          </w:p>
        </w:tc>
      </w:tr>
      <w:tr>
        <w:tc>
          <w:tcPr>
            <w:tcW w:w="592" w:type="pct"/>
            <w:vMerge w:val="restar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报告总览</w:t>
            </w:r>
          </w:p>
        </w:tc>
        <w:tc>
          <w:tcPr>
            <w:tcW w:w="596"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报告基本查询</w:t>
            </w:r>
          </w:p>
        </w:tc>
        <w:tc>
          <w:tcPr>
            <w:tcW w:w="3810"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 xml:space="preserve">1 </w:t>
            </w:r>
            <w:r>
              <w:rPr>
                <w:rFonts w:hint="eastAsia" w:ascii="宋体" w:hAnsi="宋体" w:cs="宋体"/>
                <w:szCs w:val="21"/>
                <w:highlight w:val="none"/>
                <w:lang w:eastAsia="zh-CN"/>
              </w:rPr>
              <w:t>配置</w:t>
            </w:r>
            <w:r>
              <w:rPr>
                <w:rFonts w:hint="eastAsia" w:ascii="宋体" w:hAnsi="宋体" w:cs="宋体"/>
                <w:szCs w:val="21"/>
                <w:highlight w:val="none"/>
              </w:rPr>
              <w:t>查看系统中报告列表</w:t>
            </w:r>
            <w:r>
              <w:rPr>
                <w:rFonts w:hint="eastAsia" w:ascii="宋体" w:hAnsi="宋体" w:cs="宋体"/>
                <w:szCs w:val="21"/>
                <w:highlight w:val="none"/>
                <w:lang w:val="en-US" w:eastAsia="zh-CN"/>
              </w:rPr>
              <w:t>功能</w:t>
            </w:r>
            <w:r>
              <w:rPr>
                <w:rFonts w:hint="eastAsia" w:ascii="宋体" w:hAnsi="宋体" w:cs="宋体"/>
                <w:szCs w:val="21"/>
                <w:highlight w:val="none"/>
              </w:rPr>
              <w:t>，包括名称、大小和时间</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 xml:space="preserve">2 </w:t>
            </w:r>
            <w:r>
              <w:rPr>
                <w:rFonts w:hint="eastAsia" w:ascii="宋体" w:hAnsi="宋体" w:cs="宋体"/>
                <w:szCs w:val="21"/>
                <w:highlight w:val="none"/>
                <w:lang w:eastAsia="zh-CN"/>
              </w:rPr>
              <w:t>配置</w:t>
            </w:r>
            <w:r>
              <w:rPr>
                <w:rFonts w:hint="eastAsia" w:ascii="宋体" w:hAnsi="宋体" w:cs="宋体"/>
                <w:szCs w:val="21"/>
                <w:highlight w:val="none"/>
              </w:rPr>
              <w:t>通过报告名称、报告类型对报告进行搜索查询</w:t>
            </w:r>
            <w:r>
              <w:rPr>
                <w:rFonts w:hint="eastAsia" w:ascii="宋体" w:hAnsi="宋体" w:cs="宋体"/>
                <w:szCs w:val="21"/>
                <w:highlight w:val="none"/>
                <w:lang w:val="en-US" w:eastAsia="zh-CN"/>
              </w:rPr>
              <w:t>功能。</w:t>
            </w:r>
          </w:p>
        </w:tc>
      </w:tr>
      <w:tr>
        <w:tc>
          <w:tcPr>
            <w:tcW w:w="592" w:type="pct"/>
            <w:vMerge w:val="continue"/>
            <w:vAlign w:val="center"/>
          </w:tcPr>
          <w:p>
            <w:pPr>
              <w:widowControl/>
              <w:jc w:val="left"/>
              <w:textAlignment w:val="center"/>
              <w:rPr>
                <w:rFonts w:ascii="宋体" w:hAnsi="宋体" w:cs="宋体"/>
                <w:szCs w:val="21"/>
                <w:highlight w:val="none"/>
                <w:lang w:eastAsia="zh-Hans"/>
              </w:rPr>
            </w:pPr>
          </w:p>
        </w:tc>
        <w:tc>
          <w:tcPr>
            <w:tcW w:w="596"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报告操作</w:t>
            </w:r>
          </w:p>
        </w:tc>
        <w:tc>
          <w:tcPr>
            <w:tcW w:w="3810"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对指定报告的下载(word、pdf)和预览(pdf)</w:t>
            </w:r>
            <w:r>
              <w:rPr>
                <w:rFonts w:hint="eastAsia" w:ascii="宋体" w:hAnsi="宋体" w:cs="宋体"/>
                <w:szCs w:val="21"/>
                <w:highlight w:val="none"/>
                <w:lang w:val="en-US" w:eastAsia="zh-CN"/>
              </w:rPr>
              <w:t>功能；</w:t>
            </w:r>
          </w:p>
          <w:p>
            <w:pPr>
              <w:widowControl/>
              <w:jc w:val="left"/>
              <w:textAlignment w:val="center"/>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批量删除报告</w:t>
            </w:r>
            <w:r>
              <w:rPr>
                <w:rFonts w:hint="eastAsia" w:ascii="宋体" w:hAnsi="宋体" w:cs="宋体"/>
                <w:szCs w:val="21"/>
                <w:highlight w:val="none"/>
                <w:lang w:val="en-US" w:eastAsia="zh-CN"/>
              </w:rPr>
              <w:t>功能；</w:t>
            </w:r>
          </w:p>
          <w:p>
            <w:pPr>
              <w:widowControl/>
              <w:jc w:val="left"/>
              <w:textAlignment w:val="center"/>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配置</w:t>
            </w:r>
            <w:r>
              <w:rPr>
                <w:rFonts w:hint="eastAsia" w:ascii="宋体" w:hAnsi="宋体" w:cs="宋体"/>
                <w:szCs w:val="21"/>
                <w:highlight w:val="none"/>
              </w:rPr>
              <w:t>报告按照自定义进行分组展示</w:t>
            </w:r>
            <w:r>
              <w:rPr>
                <w:rFonts w:hint="eastAsia" w:ascii="宋体" w:hAnsi="宋体" w:cs="宋体"/>
                <w:szCs w:val="21"/>
                <w:highlight w:val="none"/>
                <w:lang w:val="en-US" w:eastAsia="zh-CN"/>
              </w:rPr>
              <w:t>功能。</w:t>
            </w:r>
          </w:p>
        </w:tc>
      </w:tr>
      <w:tr>
        <w:tc>
          <w:tcPr>
            <w:tcW w:w="1009" w:type="dxa"/>
            <w:vMerge w:val="restar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报告管理</w:t>
            </w:r>
          </w:p>
        </w:tc>
        <w:tc>
          <w:tcPr>
            <w:tcW w:w="1017" w:type="dxa"/>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快速报告</w:t>
            </w:r>
          </w:p>
        </w:tc>
        <w:tc>
          <w:tcPr>
            <w:tcW w:w="6493" w:type="dxa"/>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通过指定模板创建快速报告</w:t>
            </w:r>
            <w:r>
              <w:rPr>
                <w:rFonts w:hint="eastAsia" w:ascii="宋体" w:hAnsi="宋体" w:cs="宋体"/>
                <w:szCs w:val="21"/>
                <w:highlight w:val="none"/>
                <w:lang w:val="en-US" w:eastAsia="zh-CN"/>
              </w:rPr>
              <w:t>功能；</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报告列表查看</w:t>
            </w:r>
            <w:r>
              <w:rPr>
                <w:rFonts w:hint="eastAsia" w:ascii="宋体" w:hAnsi="宋体" w:cs="宋体"/>
                <w:szCs w:val="21"/>
                <w:highlight w:val="none"/>
                <w:lang w:val="en-US" w:eastAsia="zh-CN"/>
              </w:rPr>
              <w:t>功能</w:t>
            </w:r>
            <w:r>
              <w:rPr>
                <w:rFonts w:hint="eastAsia" w:ascii="宋体" w:hAnsi="宋体" w:cs="宋体"/>
                <w:szCs w:val="21"/>
                <w:highlight w:val="none"/>
                <w:lang w:eastAsia="zh-CN"/>
              </w:rPr>
              <w:t>，配置</w:t>
            </w:r>
            <w:r>
              <w:rPr>
                <w:rFonts w:hint="eastAsia" w:ascii="宋体" w:hAnsi="宋体" w:cs="宋体"/>
                <w:szCs w:val="21"/>
                <w:highlight w:val="none"/>
              </w:rPr>
              <w:t>报告搜索功能</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3、</w:t>
            </w:r>
            <w:r>
              <w:rPr>
                <w:rFonts w:hint="eastAsia" w:ascii="宋体" w:hAnsi="宋体" w:cs="宋体"/>
                <w:szCs w:val="21"/>
                <w:highlight w:val="none"/>
                <w:lang w:eastAsia="zh-CN"/>
              </w:rPr>
              <w:t>配置</w:t>
            </w:r>
            <w:r>
              <w:rPr>
                <w:rFonts w:hint="eastAsia" w:ascii="宋体" w:hAnsi="宋体" w:cs="宋体"/>
                <w:szCs w:val="21"/>
                <w:highlight w:val="none"/>
              </w:rPr>
              <w:t>报告批量删除功能</w:t>
            </w:r>
            <w:r>
              <w:rPr>
                <w:rFonts w:hint="eastAsia" w:ascii="宋体" w:hAnsi="宋体" w:cs="宋体"/>
                <w:szCs w:val="21"/>
                <w:highlight w:val="none"/>
                <w:lang w:eastAsia="zh-CN"/>
              </w:rPr>
              <w:t>。</w:t>
            </w:r>
          </w:p>
        </w:tc>
      </w:tr>
      <w:tr>
        <w:tc>
          <w:tcPr>
            <w:tcW w:w="1009" w:type="dxa"/>
            <w:vMerge w:val="continue"/>
            <w:vAlign w:val="center"/>
          </w:tcPr>
          <w:p>
            <w:pPr>
              <w:jc w:val="center"/>
              <w:rPr>
                <w:rFonts w:ascii="宋体" w:hAnsi="宋体" w:cs="宋体"/>
                <w:szCs w:val="21"/>
                <w:highlight w:val="none"/>
                <w:lang w:eastAsia="zh-Hans"/>
              </w:rPr>
            </w:pPr>
          </w:p>
        </w:tc>
        <w:tc>
          <w:tcPr>
            <w:tcW w:w="1017" w:type="dxa"/>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周期报告</w:t>
            </w:r>
          </w:p>
        </w:tc>
        <w:tc>
          <w:tcPr>
            <w:tcW w:w="6493" w:type="dxa"/>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配置</w:t>
            </w:r>
            <w:r>
              <w:rPr>
                <w:rFonts w:hint="eastAsia" w:ascii="宋体" w:hAnsi="宋体" w:cs="宋体"/>
                <w:szCs w:val="21"/>
                <w:highlight w:val="none"/>
              </w:rPr>
              <w:t>创建周期报告任务</w:t>
            </w:r>
            <w:r>
              <w:rPr>
                <w:rFonts w:hint="eastAsia" w:ascii="宋体" w:hAnsi="宋体" w:cs="宋体"/>
                <w:szCs w:val="21"/>
                <w:highlight w:val="none"/>
                <w:lang w:val="en-US" w:eastAsia="zh-CN"/>
              </w:rPr>
              <w:t>功能</w:t>
            </w:r>
            <w:r>
              <w:rPr>
                <w:rFonts w:hint="eastAsia" w:ascii="宋体" w:hAnsi="宋体" w:cs="宋体"/>
                <w:szCs w:val="21"/>
                <w:highlight w:val="none"/>
              </w:rPr>
              <w:t>，周期设置维度不限于周期报告名称、报告模板选择、执行频率（日、周、月、年）、容错机制（运行失败重启机制设置，重启间隔、重启次数）</w:t>
            </w:r>
            <w:r>
              <w:rPr>
                <w:rFonts w:hint="eastAsia" w:ascii="宋体" w:hAnsi="宋体" w:cs="宋体"/>
                <w:szCs w:val="21"/>
                <w:highlight w:val="none"/>
                <w:lang w:eastAsia="zh-CN"/>
              </w:rPr>
              <w:t>。</w:t>
            </w:r>
          </w:p>
        </w:tc>
      </w:tr>
      <w:tr>
        <w:tc>
          <w:tcPr>
            <w:tcW w:w="1009" w:type="dxa"/>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数据源管理</w:t>
            </w:r>
          </w:p>
        </w:tc>
        <w:tc>
          <w:tcPr>
            <w:tcW w:w="1017" w:type="dxa"/>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数据源</w:t>
            </w:r>
          </w:p>
        </w:tc>
        <w:tc>
          <w:tcPr>
            <w:tcW w:w="6493" w:type="dxa"/>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添加数据库、文件、api等方式创建数据源</w:t>
            </w:r>
            <w:r>
              <w:rPr>
                <w:rFonts w:hint="eastAsia" w:ascii="宋体" w:hAnsi="宋体" w:cs="宋体"/>
                <w:szCs w:val="21"/>
                <w:highlight w:val="none"/>
                <w:lang w:val="en-US" w:eastAsia="zh-CN"/>
              </w:rPr>
              <w:t>功能</w:t>
            </w:r>
            <w:r>
              <w:rPr>
                <w:rFonts w:hint="eastAsia" w:ascii="宋体" w:hAnsi="宋体" w:cs="宋体"/>
                <w:szCs w:val="21"/>
                <w:highlight w:val="none"/>
              </w:rPr>
              <w:t>，不限于Excel、CSV、ElasticSearch、MySQL、Oracle、PostgreSQL、clickhouse、restful api等</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在线预览数据源中的数据</w:t>
            </w:r>
            <w:r>
              <w:rPr>
                <w:rFonts w:hint="eastAsia" w:ascii="宋体" w:hAnsi="宋体" w:cs="宋体"/>
                <w:szCs w:val="21"/>
                <w:highlight w:val="none"/>
                <w:lang w:val="en-US" w:eastAsia="zh-CN"/>
              </w:rPr>
              <w:t>功能</w:t>
            </w:r>
            <w:r>
              <w:rPr>
                <w:rFonts w:hint="eastAsia" w:ascii="宋体" w:hAnsi="宋体" w:cs="宋体"/>
                <w:szCs w:val="21"/>
                <w:highlight w:val="none"/>
              </w:rPr>
              <w:t>，不限于显示数据库表、文件解析内容、api返回数据等</w:t>
            </w:r>
            <w:r>
              <w:rPr>
                <w:rFonts w:hint="eastAsia" w:ascii="宋体" w:hAnsi="宋体" w:cs="宋体"/>
                <w:szCs w:val="21"/>
                <w:highlight w:val="none"/>
                <w:lang w:eastAsia="zh-CN"/>
              </w:rPr>
              <w:t>。</w:t>
            </w:r>
          </w:p>
        </w:tc>
      </w:tr>
      <w:tr>
        <w:tc>
          <w:tcPr>
            <w:tcW w:w="1009" w:type="dxa"/>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模板管理</w:t>
            </w:r>
          </w:p>
        </w:tc>
        <w:tc>
          <w:tcPr>
            <w:tcW w:w="1017" w:type="dxa"/>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模板可视化维护</w:t>
            </w:r>
          </w:p>
        </w:tc>
        <w:tc>
          <w:tcPr>
            <w:tcW w:w="6493" w:type="dxa"/>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eastAsia="zh-CN"/>
              </w:rPr>
              <w:t>配置</w:t>
            </w:r>
            <w:r>
              <w:rPr>
                <w:rFonts w:hint="eastAsia" w:ascii="宋体" w:hAnsi="宋体" w:cs="宋体"/>
                <w:szCs w:val="21"/>
                <w:highlight w:val="none"/>
              </w:rPr>
              <w:t>新建模板</w:t>
            </w:r>
            <w:r>
              <w:rPr>
                <w:rFonts w:hint="eastAsia" w:ascii="宋体" w:hAnsi="宋体" w:cs="宋体"/>
                <w:szCs w:val="21"/>
                <w:highlight w:val="none"/>
                <w:lang w:val="en-US" w:eastAsia="zh-CN"/>
              </w:rPr>
              <w:t>功能</w:t>
            </w:r>
            <w:r>
              <w:rPr>
                <w:rFonts w:hint="eastAsia" w:ascii="宋体" w:hAnsi="宋体" w:cs="宋体"/>
                <w:szCs w:val="21"/>
                <w:highlight w:val="none"/>
              </w:rPr>
              <w:t>，包括选择数据模型（包括维度和度量），数据表的字段作为XY轴数据，支持根据选择维度或度量进行筛选</w:t>
            </w:r>
            <w:r>
              <w:rPr>
                <w:rFonts w:hint="eastAsia" w:ascii="宋体" w:hAnsi="宋体" w:cs="宋体"/>
                <w:szCs w:val="21"/>
                <w:highlight w:val="none"/>
                <w:lang w:eastAsia="zh-CN"/>
              </w:rPr>
              <w:t>；</w:t>
            </w:r>
            <w:r>
              <w:rPr>
                <w:rFonts w:hint="eastAsia" w:ascii="宋体" w:hAnsi="宋体" w:cs="宋体"/>
                <w:szCs w:val="21"/>
                <w:highlight w:val="none"/>
              </w:rPr>
              <w:br w:type="textWrapping"/>
            </w:r>
            <w:r>
              <w:rPr>
                <w:rFonts w:hint="eastAsia" w:ascii="宋体" w:hAnsi="宋体" w:cs="宋体"/>
                <w:szCs w:val="21"/>
                <w:highlight w:val="none"/>
              </w:rPr>
              <w:t>2、</w:t>
            </w:r>
            <w:r>
              <w:rPr>
                <w:rFonts w:hint="eastAsia" w:ascii="宋体" w:hAnsi="宋体" w:cs="宋体"/>
                <w:szCs w:val="21"/>
                <w:highlight w:val="none"/>
                <w:lang w:eastAsia="zh-CN"/>
              </w:rPr>
              <w:t>配置</w:t>
            </w:r>
            <w:r>
              <w:rPr>
                <w:rFonts w:hint="eastAsia" w:ascii="宋体" w:hAnsi="宋体" w:cs="宋体"/>
                <w:szCs w:val="21"/>
                <w:highlight w:val="none"/>
              </w:rPr>
              <w:t>模板编辑中用户自定义展示的图形方式</w:t>
            </w:r>
            <w:r>
              <w:rPr>
                <w:rFonts w:hint="eastAsia" w:ascii="宋体" w:hAnsi="宋体" w:cs="宋体"/>
                <w:szCs w:val="21"/>
                <w:highlight w:val="none"/>
                <w:lang w:val="en-US" w:eastAsia="zh-CN"/>
              </w:rPr>
              <w:t>的功能；</w:t>
            </w:r>
            <w:r>
              <w:rPr>
                <w:rFonts w:hint="eastAsia" w:ascii="宋体" w:hAnsi="宋体" w:cs="宋体"/>
                <w:szCs w:val="21"/>
                <w:highlight w:val="none"/>
              </w:rPr>
              <w:br w:type="textWrapping"/>
            </w:r>
            <w:r>
              <w:rPr>
                <w:rFonts w:hint="eastAsia" w:ascii="宋体" w:hAnsi="宋体" w:cs="宋体"/>
                <w:szCs w:val="21"/>
                <w:highlight w:val="none"/>
              </w:rPr>
              <w:t>3、</w:t>
            </w:r>
            <w:r>
              <w:rPr>
                <w:rFonts w:hint="eastAsia" w:ascii="宋体" w:hAnsi="宋体" w:cs="宋体"/>
                <w:szCs w:val="21"/>
                <w:highlight w:val="none"/>
                <w:lang w:eastAsia="zh-CN"/>
              </w:rPr>
              <w:t>配置</w:t>
            </w:r>
            <w:r>
              <w:rPr>
                <w:rFonts w:hint="eastAsia" w:ascii="宋体" w:hAnsi="宋体" w:cs="宋体"/>
                <w:szCs w:val="21"/>
                <w:highlight w:val="none"/>
              </w:rPr>
              <w:t>模板编辑中用户定义展示画面中以图表、文本、图片或推荐模板进行展示</w:t>
            </w:r>
            <w:r>
              <w:rPr>
                <w:rFonts w:hint="eastAsia" w:ascii="宋体" w:hAnsi="宋体" w:cs="宋体"/>
                <w:szCs w:val="21"/>
                <w:highlight w:val="none"/>
                <w:lang w:val="en-US" w:eastAsia="zh-CN"/>
              </w:rPr>
              <w:t>的功能；</w:t>
            </w:r>
            <w:r>
              <w:rPr>
                <w:rFonts w:hint="eastAsia" w:ascii="宋体" w:hAnsi="宋体" w:cs="宋体"/>
                <w:szCs w:val="21"/>
                <w:highlight w:val="none"/>
              </w:rPr>
              <w:br w:type="textWrapping"/>
            </w:r>
            <w:r>
              <w:rPr>
                <w:rFonts w:hint="eastAsia" w:ascii="宋体" w:hAnsi="宋体" w:cs="宋体"/>
                <w:szCs w:val="21"/>
                <w:highlight w:val="none"/>
              </w:rPr>
              <w:t>4、</w:t>
            </w:r>
            <w:r>
              <w:rPr>
                <w:rFonts w:hint="eastAsia" w:ascii="宋体" w:hAnsi="宋体" w:cs="宋体"/>
                <w:szCs w:val="21"/>
                <w:highlight w:val="none"/>
                <w:lang w:eastAsia="zh-CN"/>
              </w:rPr>
              <w:t>配置</w:t>
            </w:r>
            <w:r>
              <w:rPr>
                <w:rFonts w:hint="eastAsia" w:ascii="宋体" w:hAnsi="宋体" w:cs="宋体"/>
                <w:szCs w:val="21"/>
                <w:highlight w:val="none"/>
              </w:rPr>
              <w:t>模板编辑中的最后结果保存、预览和退出</w:t>
            </w:r>
            <w:r>
              <w:rPr>
                <w:rFonts w:hint="eastAsia" w:ascii="宋体" w:hAnsi="宋体" w:cs="宋体"/>
                <w:szCs w:val="21"/>
                <w:highlight w:val="none"/>
                <w:lang w:val="en-US" w:eastAsia="zh-CN"/>
              </w:rPr>
              <w:t>的功能；</w:t>
            </w:r>
            <w:r>
              <w:rPr>
                <w:rFonts w:hint="eastAsia" w:ascii="宋体" w:hAnsi="宋体" w:cs="宋体"/>
                <w:szCs w:val="21"/>
                <w:highlight w:val="none"/>
              </w:rPr>
              <w:br w:type="textWrapping"/>
            </w:r>
            <w:r>
              <w:rPr>
                <w:rFonts w:hint="eastAsia" w:ascii="宋体" w:hAnsi="宋体" w:cs="宋体"/>
                <w:szCs w:val="21"/>
                <w:highlight w:val="none"/>
              </w:rPr>
              <w:t>5、</w:t>
            </w:r>
            <w:r>
              <w:rPr>
                <w:rFonts w:hint="eastAsia" w:ascii="宋体" w:hAnsi="宋体" w:cs="宋体"/>
                <w:szCs w:val="21"/>
                <w:highlight w:val="none"/>
                <w:lang w:eastAsia="zh-CN"/>
              </w:rPr>
              <w:t>配置</w:t>
            </w:r>
            <w:r>
              <w:rPr>
                <w:rFonts w:hint="eastAsia" w:ascii="宋体" w:hAnsi="宋体" w:cs="宋体"/>
                <w:szCs w:val="21"/>
                <w:highlight w:val="none"/>
              </w:rPr>
              <w:t>新建时点击或拖拽方式添加标题、图表、文本、推荐图表、图片等类型组件</w:t>
            </w:r>
            <w:r>
              <w:rPr>
                <w:rFonts w:hint="eastAsia" w:ascii="宋体" w:hAnsi="宋体" w:cs="宋体"/>
                <w:szCs w:val="21"/>
                <w:highlight w:val="none"/>
                <w:lang w:val="en-US" w:eastAsia="zh-CN"/>
              </w:rPr>
              <w:t>的功能；</w:t>
            </w:r>
            <w:r>
              <w:rPr>
                <w:rFonts w:hint="eastAsia" w:ascii="宋体" w:hAnsi="宋体" w:cs="宋体"/>
                <w:szCs w:val="21"/>
                <w:highlight w:val="none"/>
              </w:rPr>
              <w:br w:type="textWrapping"/>
            </w:r>
            <w:r>
              <w:rPr>
                <w:rFonts w:hint="eastAsia" w:ascii="宋体" w:hAnsi="宋体" w:cs="宋体"/>
                <w:szCs w:val="21"/>
                <w:highlight w:val="none"/>
              </w:rPr>
              <w:t>6、</w:t>
            </w:r>
            <w:r>
              <w:rPr>
                <w:rFonts w:hint="eastAsia" w:ascii="宋体" w:hAnsi="宋体" w:cs="宋体"/>
                <w:szCs w:val="21"/>
                <w:highlight w:val="none"/>
                <w:lang w:eastAsia="zh-CN"/>
              </w:rPr>
              <w:t>配置</w:t>
            </w:r>
            <w:r>
              <w:rPr>
                <w:rFonts w:hint="eastAsia" w:ascii="宋体" w:hAnsi="宋体" w:cs="宋体"/>
                <w:szCs w:val="21"/>
                <w:highlight w:val="none"/>
              </w:rPr>
              <w:t>组件修改标题文字、字体颜色、字体大小、组件背景色等样式</w:t>
            </w:r>
            <w:r>
              <w:rPr>
                <w:rFonts w:hint="eastAsia" w:ascii="宋体" w:hAnsi="宋体" w:cs="宋体"/>
                <w:szCs w:val="21"/>
                <w:highlight w:val="none"/>
                <w:lang w:val="en-US" w:eastAsia="zh-CN"/>
              </w:rPr>
              <w:t>的功能</w:t>
            </w:r>
            <w:r>
              <w:rPr>
                <w:rFonts w:hint="eastAsia" w:ascii="宋体" w:hAnsi="宋体" w:cs="宋体"/>
                <w:szCs w:val="21"/>
                <w:highlight w:val="none"/>
              </w:rPr>
              <w:t>；</w:t>
            </w:r>
            <w:r>
              <w:rPr>
                <w:rFonts w:hint="eastAsia" w:ascii="宋体" w:hAnsi="宋体" w:cs="宋体"/>
                <w:szCs w:val="21"/>
                <w:highlight w:val="none"/>
              </w:rPr>
              <w:br w:type="textWrapping"/>
            </w:r>
            <w:r>
              <w:rPr>
                <w:rFonts w:hint="eastAsia" w:ascii="宋体" w:hAnsi="宋体" w:cs="宋体"/>
                <w:szCs w:val="21"/>
                <w:highlight w:val="none"/>
              </w:rPr>
              <w:t>7、</w:t>
            </w:r>
            <w:r>
              <w:rPr>
                <w:rFonts w:hint="eastAsia" w:ascii="宋体" w:hAnsi="宋体" w:cs="宋体"/>
                <w:szCs w:val="21"/>
                <w:highlight w:val="none"/>
                <w:lang w:eastAsia="zh-CN"/>
              </w:rPr>
              <w:t>配置</w:t>
            </w:r>
            <w:r>
              <w:rPr>
                <w:rFonts w:hint="eastAsia" w:ascii="宋体" w:hAnsi="宋体" w:cs="宋体"/>
                <w:szCs w:val="21"/>
                <w:highlight w:val="none"/>
              </w:rPr>
              <w:t>图表组件在线选择数据模型</w:t>
            </w:r>
            <w:r>
              <w:rPr>
                <w:rFonts w:hint="eastAsia" w:ascii="宋体" w:hAnsi="宋体" w:cs="宋体"/>
                <w:szCs w:val="21"/>
                <w:highlight w:val="none"/>
                <w:lang w:val="en-US" w:eastAsia="zh-CN"/>
              </w:rPr>
              <w:t>的功能</w:t>
            </w:r>
            <w:r>
              <w:rPr>
                <w:rFonts w:hint="eastAsia" w:ascii="宋体" w:hAnsi="宋体" w:cs="宋体"/>
                <w:szCs w:val="21"/>
                <w:highlight w:val="none"/>
              </w:rPr>
              <w:t>，拖拽选择X轴数据及Y轴数据，并在Y轴数据选择后可定义数据的聚合方式：计数、最大值、最小值、平均数、求和等，</w:t>
            </w:r>
            <w:r>
              <w:rPr>
                <w:rFonts w:hint="eastAsia" w:ascii="宋体" w:hAnsi="宋体" w:cs="宋体"/>
                <w:szCs w:val="21"/>
                <w:highlight w:val="none"/>
                <w:lang w:eastAsia="zh-CN"/>
              </w:rPr>
              <w:t>配置</w:t>
            </w:r>
            <w:r>
              <w:rPr>
                <w:rFonts w:hint="eastAsia" w:ascii="宋体" w:hAnsi="宋体" w:cs="宋体"/>
                <w:szCs w:val="21"/>
                <w:highlight w:val="none"/>
              </w:rPr>
              <w:t>拖拽选择筛选器，</w:t>
            </w:r>
            <w:r>
              <w:rPr>
                <w:rFonts w:hint="eastAsia" w:ascii="宋体" w:hAnsi="宋体" w:cs="宋体"/>
                <w:szCs w:val="21"/>
                <w:highlight w:val="none"/>
                <w:lang w:eastAsia="zh-CN"/>
              </w:rPr>
              <w:t>配置</w:t>
            </w:r>
            <w:r>
              <w:rPr>
                <w:rFonts w:hint="eastAsia" w:ascii="宋体" w:hAnsi="宋体" w:cs="宋体"/>
                <w:szCs w:val="21"/>
                <w:highlight w:val="none"/>
              </w:rPr>
              <w:t>通过文本筛选、条件筛选、高级筛选等方式设置筛选器的具体内容对数据进行筛选；</w:t>
            </w:r>
            <w:r>
              <w:rPr>
                <w:rFonts w:hint="eastAsia" w:ascii="宋体" w:hAnsi="宋体" w:cs="宋体"/>
                <w:szCs w:val="21"/>
                <w:highlight w:val="none"/>
              </w:rPr>
              <w:br w:type="textWrapping"/>
            </w:r>
            <w:r>
              <w:rPr>
                <w:rFonts w:hint="eastAsia" w:ascii="宋体" w:hAnsi="宋体" w:cs="宋体"/>
                <w:szCs w:val="21"/>
                <w:highlight w:val="none"/>
              </w:rPr>
              <w:t>8、</w:t>
            </w:r>
            <w:r>
              <w:rPr>
                <w:rFonts w:hint="eastAsia" w:ascii="宋体" w:hAnsi="宋体" w:cs="宋体"/>
                <w:szCs w:val="21"/>
                <w:highlight w:val="none"/>
                <w:lang w:eastAsia="zh-CN"/>
              </w:rPr>
              <w:t>配置</w:t>
            </w:r>
            <w:r>
              <w:rPr>
                <w:rFonts w:hint="eastAsia" w:ascii="宋体" w:hAnsi="宋体" w:cs="宋体"/>
                <w:szCs w:val="21"/>
                <w:highlight w:val="none"/>
              </w:rPr>
              <w:t>图表组件切换展示图形类型：饼图、柱图、折线图、表格等</w:t>
            </w:r>
            <w:r>
              <w:rPr>
                <w:rFonts w:hint="eastAsia" w:ascii="宋体" w:hAnsi="宋体" w:cs="宋体"/>
                <w:szCs w:val="21"/>
                <w:highlight w:val="none"/>
                <w:lang w:val="en-US" w:eastAsia="zh-CN"/>
              </w:rPr>
              <w:t>功能</w:t>
            </w:r>
            <w:r>
              <w:rPr>
                <w:rFonts w:hint="eastAsia" w:ascii="宋体" w:hAnsi="宋体" w:cs="宋体"/>
                <w:szCs w:val="21"/>
                <w:highlight w:val="none"/>
              </w:rPr>
              <w:t>；</w:t>
            </w:r>
            <w:r>
              <w:rPr>
                <w:rFonts w:hint="eastAsia" w:ascii="宋体" w:hAnsi="宋体" w:cs="宋体"/>
                <w:szCs w:val="21"/>
                <w:highlight w:val="none"/>
              </w:rPr>
              <w:br w:type="textWrapping"/>
            </w:r>
            <w:r>
              <w:rPr>
                <w:rFonts w:hint="eastAsia" w:ascii="宋体" w:hAnsi="宋体" w:cs="宋体"/>
                <w:szCs w:val="21"/>
                <w:highlight w:val="none"/>
              </w:rPr>
              <w:t>9、</w:t>
            </w:r>
            <w:r>
              <w:rPr>
                <w:rFonts w:hint="eastAsia" w:ascii="宋体" w:hAnsi="宋体" w:cs="宋体"/>
                <w:szCs w:val="21"/>
                <w:highlight w:val="none"/>
                <w:lang w:eastAsia="zh-CN"/>
              </w:rPr>
              <w:t>配置</w:t>
            </w:r>
            <w:r>
              <w:rPr>
                <w:rFonts w:hint="eastAsia" w:ascii="宋体" w:hAnsi="宋体" w:cs="宋体"/>
                <w:szCs w:val="21"/>
                <w:highlight w:val="none"/>
              </w:rPr>
              <w:t>组件右键编辑图层层级、组件删除、所在报告页位置移动等</w:t>
            </w:r>
            <w:r>
              <w:rPr>
                <w:rFonts w:hint="eastAsia" w:ascii="宋体" w:hAnsi="宋体" w:cs="宋体"/>
                <w:szCs w:val="21"/>
                <w:highlight w:val="none"/>
                <w:lang w:val="en-US" w:eastAsia="zh-CN"/>
              </w:rPr>
              <w:t>功能</w:t>
            </w:r>
            <w:r>
              <w:rPr>
                <w:rFonts w:hint="eastAsia" w:ascii="宋体" w:hAnsi="宋体" w:cs="宋体"/>
                <w:szCs w:val="21"/>
                <w:highlight w:val="none"/>
              </w:rPr>
              <w:t>；图表组件和推荐组件还支持下载图行、导出CSV文件、编辑组件标签、保存到组件库等功能；</w:t>
            </w:r>
            <w:r>
              <w:rPr>
                <w:rFonts w:hint="eastAsia" w:ascii="宋体" w:hAnsi="宋体" w:cs="宋体"/>
                <w:szCs w:val="21"/>
                <w:highlight w:val="none"/>
              </w:rPr>
              <w:br w:type="textWrapping"/>
            </w:r>
            <w:r>
              <w:rPr>
                <w:rFonts w:hint="eastAsia" w:ascii="宋体" w:hAnsi="宋体" w:cs="宋体"/>
                <w:szCs w:val="21"/>
                <w:highlight w:val="none"/>
              </w:rPr>
              <w:t>10、</w:t>
            </w:r>
            <w:r>
              <w:rPr>
                <w:rFonts w:hint="eastAsia" w:ascii="宋体" w:hAnsi="宋体" w:cs="宋体"/>
                <w:szCs w:val="21"/>
                <w:highlight w:val="none"/>
                <w:lang w:eastAsia="zh-CN"/>
              </w:rPr>
              <w:t>配置</w:t>
            </w:r>
            <w:r>
              <w:rPr>
                <w:rFonts w:hint="eastAsia" w:ascii="宋体" w:hAnsi="宋体" w:cs="宋体"/>
                <w:szCs w:val="21"/>
                <w:highlight w:val="none"/>
              </w:rPr>
              <w:t>模板报告新增报告页、报告页切换及可视画布区缩放等功能</w:t>
            </w:r>
            <w:r>
              <w:rPr>
                <w:rFonts w:hint="eastAsia" w:ascii="宋体" w:hAnsi="宋体" w:cs="宋体"/>
                <w:szCs w:val="21"/>
                <w:highlight w:val="none"/>
                <w:lang w:eastAsia="zh-CN"/>
              </w:rPr>
              <w:t>；</w:t>
            </w:r>
            <w:r>
              <w:rPr>
                <w:rFonts w:hint="eastAsia" w:ascii="宋体" w:hAnsi="宋体" w:cs="宋体"/>
                <w:szCs w:val="21"/>
                <w:highlight w:val="none"/>
              </w:rPr>
              <w:t>11、在线模板预览即为实时数据报告、并支持预览模板导出pdf操作</w:t>
            </w:r>
            <w:r>
              <w:rPr>
                <w:rFonts w:hint="eastAsia" w:ascii="宋体" w:hAnsi="宋体" w:cs="宋体"/>
                <w:szCs w:val="21"/>
                <w:highlight w:val="none"/>
                <w:lang w:eastAsia="zh-CN"/>
              </w:rPr>
              <w:t>。</w:t>
            </w:r>
          </w:p>
        </w:tc>
      </w:tr>
    </w:tbl>
    <w:p>
      <w:pPr>
        <w:keepNext/>
        <w:keepLines/>
        <w:spacing w:line="360" w:lineRule="auto"/>
        <w:ind w:firstLine="424" w:firstLineChars="200"/>
        <w:outlineLvl w:val="1"/>
        <w:rPr>
          <w:rFonts w:ascii="宋体" w:hAnsi="宋体" w:cs="宋体"/>
          <w:b/>
          <w:bCs/>
          <w:szCs w:val="21"/>
          <w:highlight w:val="none"/>
          <w:lang w:eastAsia="zh-Hans"/>
        </w:rPr>
      </w:pPr>
      <w:r>
        <w:rPr>
          <w:rFonts w:hint="eastAsia" w:ascii="宋体" w:hAnsi="宋体" w:cs="宋体"/>
          <w:b/>
          <w:bCs/>
          <w:szCs w:val="21"/>
          <w:highlight w:val="none"/>
          <w:lang w:eastAsia="zh-Hans"/>
        </w:rPr>
        <w:t>1.9态势感知</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6645"/>
      </w:tblGrid>
      <w:tr>
        <w:trPr>
          <w:trHeight w:val="360" w:hRule="atLeast"/>
        </w:trPr>
        <w:tc>
          <w:tcPr>
            <w:tcW w:w="1189"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功能指标</w:t>
            </w:r>
          </w:p>
        </w:tc>
        <w:tc>
          <w:tcPr>
            <w:tcW w:w="3810" w:type="pct"/>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指标要求</w:t>
            </w:r>
          </w:p>
        </w:tc>
      </w:tr>
      <w:tr>
        <w:tc>
          <w:tcPr>
            <w:tcW w:w="1189"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综合态势</w:t>
            </w:r>
          </w:p>
        </w:tc>
        <w:tc>
          <w:tcPr>
            <w:tcW w:w="3810"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从分别从全球视角、全国视角、单位视角分析，当前的网络安全综总体风险、告警总体数量及类型占比、安全告警等级分布、通报整改质量、安全告警发展趋势以及告警实时监测列表。</w:t>
            </w:r>
          </w:p>
        </w:tc>
      </w:tr>
      <w:tr>
        <w:tc>
          <w:tcPr>
            <w:tcW w:w="1189"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资产态势</w:t>
            </w:r>
          </w:p>
        </w:tc>
        <w:tc>
          <w:tcPr>
            <w:tcW w:w="3810"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主视觉以余姚市电子政务外网网络区域逻辑视角展示每个网络区域的风险程度，并统计每个网络区域的高中低危的网络资产数量。资产相关的统计分析组件包括资产数量及类型统计、资产风险排名情况、资产业务分组安全分析、网络区域风险排名、设备及系统资产类型统计。</w:t>
            </w:r>
          </w:p>
        </w:tc>
      </w:tr>
      <w:tr>
        <w:tc>
          <w:tcPr>
            <w:tcW w:w="1189"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漏洞态势</w:t>
            </w:r>
          </w:p>
        </w:tc>
        <w:tc>
          <w:tcPr>
            <w:tcW w:w="3810"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可视化分析组件包括漏洞相关告警数量痛殴攻击、漏洞分类统计、漏洞等级占比、单位漏洞个数排名、风险评估趋势以及漏洞实时列表。</w:t>
            </w:r>
          </w:p>
        </w:tc>
      </w:tr>
      <w:tr>
        <w:tc>
          <w:tcPr>
            <w:tcW w:w="1189"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运行态势</w:t>
            </w:r>
          </w:p>
        </w:tc>
        <w:tc>
          <w:tcPr>
            <w:tcW w:w="3810"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lang w:eastAsia="zh-Hans"/>
              </w:rPr>
              <w:t>提供对各类资产运行状态进行监控，满足实时查看当前网络中设备运行是否正常，从而及时发现设备故障等需要及时处理的问题。</w:t>
            </w:r>
          </w:p>
        </w:tc>
      </w:tr>
    </w:tbl>
    <w:p>
      <w:pPr>
        <w:keepNext/>
        <w:keepLines/>
        <w:spacing w:line="360" w:lineRule="auto"/>
        <w:ind w:firstLine="424" w:firstLineChars="200"/>
        <w:outlineLvl w:val="1"/>
        <w:rPr>
          <w:rFonts w:ascii="宋体" w:hAnsi="宋体" w:cs="宋体"/>
          <w:b/>
          <w:bCs/>
          <w:szCs w:val="21"/>
          <w:highlight w:val="none"/>
          <w:lang w:eastAsia="zh-Hans"/>
        </w:rPr>
      </w:pPr>
      <w:r>
        <w:rPr>
          <w:rFonts w:hint="eastAsia" w:ascii="宋体" w:hAnsi="宋体" w:cs="宋体"/>
          <w:b/>
          <w:bCs/>
          <w:szCs w:val="21"/>
          <w:highlight w:val="none"/>
          <w:lang w:eastAsia="zh-Hans"/>
        </w:rPr>
        <w:t>1.10平台基础环境要求</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6646"/>
      </w:tblGrid>
      <w:tr>
        <w:trPr>
          <w:trHeight w:val="360" w:hRule="atLeast"/>
        </w:trPr>
        <w:tc>
          <w:tcPr>
            <w:tcW w:w="1188" w:type="pct"/>
          </w:tcPr>
          <w:p>
            <w:pPr>
              <w:widowControl/>
              <w:jc w:val="center"/>
              <w:textAlignment w:val="center"/>
              <w:rPr>
                <w:rFonts w:ascii="宋体" w:hAnsi="宋体" w:cs="宋体"/>
                <w:szCs w:val="21"/>
                <w:highlight w:val="none"/>
                <w:lang w:eastAsia="zh-Hans"/>
              </w:rPr>
            </w:pPr>
            <w:r>
              <w:rPr>
                <w:rFonts w:hint="eastAsia" w:ascii="宋体" w:hAnsi="宋体" w:cs="宋体"/>
                <w:szCs w:val="21"/>
                <w:highlight w:val="none"/>
                <w:lang w:eastAsia="zh-Hans"/>
              </w:rPr>
              <w:t>功能指标</w:t>
            </w:r>
          </w:p>
        </w:tc>
        <w:tc>
          <w:tcPr>
            <w:tcW w:w="3811" w:type="pct"/>
          </w:tcPr>
          <w:p>
            <w:pPr>
              <w:widowControl/>
              <w:jc w:val="center"/>
              <w:textAlignment w:val="center"/>
              <w:rPr>
                <w:rFonts w:ascii="宋体" w:hAnsi="宋体" w:cs="宋体"/>
                <w:szCs w:val="21"/>
                <w:highlight w:val="none"/>
                <w:lang w:eastAsia="zh-Hans"/>
              </w:rPr>
            </w:pPr>
            <w:r>
              <w:rPr>
                <w:rFonts w:hint="eastAsia" w:ascii="宋体" w:hAnsi="宋体" w:cs="宋体"/>
                <w:szCs w:val="21"/>
                <w:highlight w:val="none"/>
                <w:lang w:eastAsia="zh-Hans"/>
              </w:rPr>
              <w:t>指标要求</w:t>
            </w:r>
          </w:p>
        </w:tc>
      </w:tr>
      <w:tr>
        <w:tc>
          <w:tcPr>
            <w:tcW w:w="1188" w:type="pct"/>
            <w:vAlign w:val="center"/>
          </w:tcPr>
          <w:p>
            <w:pPr>
              <w:widowControl/>
              <w:jc w:val="left"/>
              <w:textAlignment w:val="center"/>
              <w:rPr>
                <w:rFonts w:ascii="宋体" w:hAnsi="宋体" w:cs="宋体"/>
                <w:szCs w:val="21"/>
                <w:highlight w:val="none"/>
              </w:rPr>
            </w:pPr>
            <w:r>
              <w:rPr>
                <w:rFonts w:hint="eastAsia" w:ascii="宋体" w:hAnsi="宋体" w:cs="宋体"/>
                <w:szCs w:val="21"/>
                <w:highlight w:val="none"/>
                <w:lang w:eastAsia="zh-Hans"/>
              </w:rPr>
              <w:t>国产化服务器</w:t>
            </w:r>
          </w:p>
        </w:tc>
        <w:tc>
          <w:tcPr>
            <w:tcW w:w="3811" w:type="pct"/>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不少于</w:t>
            </w:r>
            <w:r>
              <w:rPr>
                <w:rFonts w:hint="eastAsia" w:ascii="宋体" w:hAnsi="宋体" w:cs="宋体"/>
                <w:szCs w:val="21"/>
                <w:highlight w:val="none"/>
                <w:lang w:eastAsia="zh-Hans"/>
              </w:rPr>
              <w:t xml:space="preserve">2U标准上架设备；含滑轨。CPU: </w:t>
            </w:r>
            <w:r>
              <w:rPr>
                <w:rFonts w:hint="eastAsia" w:ascii="宋体" w:hAnsi="宋体" w:cs="宋体"/>
                <w:szCs w:val="21"/>
                <w:highlight w:val="none"/>
                <w:lang w:val="en-US" w:eastAsia="zh-CN"/>
              </w:rPr>
              <w:t>不少于</w:t>
            </w:r>
            <w:r>
              <w:rPr>
                <w:rFonts w:hint="eastAsia" w:ascii="宋体" w:hAnsi="宋体" w:cs="宋体"/>
                <w:szCs w:val="21"/>
                <w:highlight w:val="none"/>
                <w:lang w:eastAsia="zh-Hans"/>
              </w:rPr>
              <w:t>1颗64核国产处理器 主频2.2GHz；内存:</w:t>
            </w:r>
            <w:r>
              <w:rPr>
                <w:rFonts w:hint="eastAsia" w:ascii="宋体" w:hAnsi="宋体" w:cs="宋体"/>
                <w:szCs w:val="21"/>
                <w:highlight w:val="none"/>
                <w:lang w:val="en-US" w:eastAsia="zh-CN"/>
              </w:rPr>
              <w:t>不少于</w:t>
            </w:r>
            <w:r>
              <w:rPr>
                <w:rFonts w:hint="eastAsia" w:ascii="宋体" w:hAnsi="宋体" w:cs="宋体"/>
                <w:szCs w:val="21"/>
                <w:highlight w:val="none"/>
                <w:lang w:eastAsia="zh-Hans"/>
              </w:rPr>
              <w:t>256G，DDR4 硬盘：</w:t>
            </w:r>
            <w:r>
              <w:rPr>
                <w:rFonts w:hint="eastAsia" w:ascii="宋体" w:hAnsi="宋体" w:cs="宋体"/>
                <w:szCs w:val="21"/>
                <w:highlight w:val="none"/>
                <w:lang w:val="en-US" w:eastAsia="zh-CN"/>
              </w:rPr>
              <w:t>不少于</w:t>
            </w:r>
            <w:r>
              <w:rPr>
                <w:rFonts w:hint="eastAsia" w:ascii="宋体" w:hAnsi="宋体" w:cs="宋体"/>
                <w:szCs w:val="21"/>
                <w:highlight w:val="none"/>
                <w:lang w:eastAsia="zh-Hans"/>
              </w:rPr>
              <w:t>2块960G SSD固态硬盘+12*4TB企业级SATA 3.5寸硬盘 ； 电源：冗余双电源 网口：</w:t>
            </w:r>
            <w:r>
              <w:rPr>
                <w:rFonts w:hint="eastAsia" w:ascii="宋体" w:hAnsi="宋体" w:cs="宋体"/>
                <w:szCs w:val="21"/>
                <w:highlight w:val="none"/>
                <w:lang w:val="en-US" w:eastAsia="zh-CN"/>
              </w:rPr>
              <w:t>不少于</w:t>
            </w:r>
            <w:r>
              <w:rPr>
                <w:rFonts w:hint="eastAsia" w:ascii="宋体" w:hAnsi="宋体" w:cs="宋体"/>
                <w:szCs w:val="21"/>
                <w:highlight w:val="none"/>
                <w:lang w:eastAsia="zh-Hans"/>
              </w:rPr>
              <w:t>4*GE管理电口，2*GE光口；其他接口：</w:t>
            </w:r>
            <w:r>
              <w:rPr>
                <w:rFonts w:hint="eastAsia" w:ascii="宋体" w:hAnsi="宋体" w:cs="宋体"/>
                <w:szCs w:val="21"/>
                <w:highlight w:val="none"/>
                <w:lang w:val="en-US" w:eastAsia="zh-CN"/>
              </w:rPr>
              <w:t>不少于</w:t>
            </w:r>
            <w:r>
              <w:rPr>
                <w:rFonts w:hint="eastAsia" w:ascii="宋体" w:hAnsi="宋体" w:cs="宋体"/>
                <w:szCs w:val="21"/>
                <w:highlight w:val="none"/>
                <w:lang w:eastAsia="zh-Hans"/>
              </w:rPr>
              <w:t>6*USB3.0接口;1*DB9 Console接口；1个IPMI接口。</w:t>
            </w:r>
            <w:r>
              <w:rPr>
                <w:rFonts w:hint="eastAsia" w:ascii="宋体" w:hAnsi="宋体" w:cs="宋体"/>
                <w:szCs w:val="21"/>
                <w:highlight w:val="none"/>
                <w:lang w:eastAsia="zh-CN"/>
              </w:rPr>
              <w:t>含所有国产化操作系统和所有用到的国产化软件、硬件，</w:t>
            </w:r>
            <w:r>
              <w:rPr>
                <w:rFonts w:hint="eastAsia" w:ascii="宋体" w:hAnsi="宋体" w:cs="宋体"/>
                <w:szCs w:val="21"/>
                <w:highlight w:val="none"/>
                <w:lang w:eastAsia="zh-Hans"/>
              </w:rPr>
              <w:t>含三年产品</w:t>
            </w:r>
            <w:r>
              <w:rPr>
                <w:rFonts w:hint="eastAsia" w:ascii="宋体" w:hAnsi="宋体" w:cs="宋体"/>
                <w:szCs w:val="21"/>
                <w:highlight w:val="none"/>
                <w:lang w:eastAsia="zh-CN"/>
              </w:rPr>
              <w:t>原厂</w:t>
            </w:r>
            <w:r>
              <w:rPr>
                <w:rFonts w:hint="eastAsia" w:ascii="宋体" w:hAnsi="宋体" w:cs="宋体"/>
                <w:szCs w:val="21"/>
                <w:highlight w:val="none"/>
                <w:lang w:eastAsia="zh-Hans"/>
              </w:rPr>
              <w:t>标准维保服务</w:t>
            </w:r>
            <w:r>
              <w:rPr>
                <w:rFonts w:hint="eastAsia" w:ascii="宋体" w:hAnsi="宋体" w:cs="宋体"/>
                <w:szCs w:val="21"/>
                <w:highlight w:val="none"/>
                <w:lang w:eastAsia="zh-CN"/>
              </w:rPr>
              <w:t>，硬盘不返厂服务。</w:t>
            </w:r>
            <w:r>
              <w:rPr>
                <w:rFonts w:hint="eastAsia" w:ascii="宋体" w:hAnsi="宋体" w:cs="宋体"/>
                <w:szCs w:val="21"/>
                <w:highlight w:val="none"/>
              </w:rPr>
              <w:t>共需配置</w:t>
            </w:r>
            <w:r>
              <w:rPr>
                <w:rFonts w:hint="eastAsia" w:ascii="宋体" w:hAnsi="宋体" w:cs="宋体"/>
                <w:szCs w:val="21"/>
                <w:highlight w:val="none"/>
                <w:lang w:val="en-US" w:eastAsia="zh-CN"/>
              </w:rPr>
              <w:t>4</w:t>
            </w:r>
            <w:r>
              <w:rPr>
                <w:rFonts w:hint="eastAsia" w:ascii="宋体" w:hAnsi="宋体" w:cs="宋体"/>
                <w:szCs w:val="21"/>
                <w:highlight w:val="none"/>
              </w:rPr>
              <w:t>台。</w:t>
            </w:r>
          </w:p>
        </w:tc>
      </w:tr>
      <w:tr>
        <w:tc>
          <w:tcPr>
            <w:tcW w:w="1188" w:type="pct"/>
            <w:vAlign w:val="center"/>
          </w:tcPr>
          <w:p>
            <w:pPr>
              <w:widowControl/>
              <w:jc w:val="left"/>
              <w:textAlignment w:val="center"/>
              <w:rPr>
                <w:rFonts w:ascii="宋体" w:hAnsi="宋体" w:cs="宋体"/>
                <w:szCs w:val="21"/>
                <w:highlight w:val="none"/>
                <w:lang w:eastAsia="zh-Hans"/>
              </w:rPr>
            </w:pPr>
            <w:r>
              <w:rPr>
                <w:rFonts w:hint="eastAsia" w:ascii="宋体" w:hAnsi="宋体" w:cs="宋体"/>
                <w:szCs w:val="21"/>
                <w:highlight w:val="none"/>
              </w:rPr>
              <w:t>▲</w:t>
            </w:r>
            <w:r>
              <w:rPr>
                <w:rFonts w:hint="eastAsia" w:ascii="宋体" w:hAnsi="宋体" w:cs="宋体"/>
                <w:szCs w:val="21"/>
                <w:highlight w:val="none"/>
                <w:lang w:eastAsia="zh-Hans"/>
              </w:rPr>
              <w:t>其它</w:t>
            </w:r>
          </w:p>
        </w:tc>
        <w:tc>
          <w:tcPr>
            <w:tcW w:w="3811" w:type="pct"/>
            <w:vAlign w:val="center"/>
          </w:tcPr>
          <w:p>
            <w:pPr>
              <w:widowControl/>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lang w:eastAsia="zh-Hans"/>
              </w:rPr>
              <w:t>为保障系统平台稳定运行，基础环境资源不得低于以上参数要求</w:t>
            </w:r>
            <w:r>
              <w:rPr>
                <w:rFonts w:hint="eastAsia" w:ascii="宋体" w:hAnsi="宋体" w:cs="宋体"/>
                <w:szCs w:val="21"/>
                <w:highlight w:val="none"/>
                <w:lang w:eastAsia="zh-CN"/>
              </w:rPr>
              <w:t>，若平台无法正常、有效运行，投标方需增加配置及设备，所有费用由投标方承担。</w:t>
            </w:r>
          </w:p>
        </w:tc>
      </w:tr>
    </w:tbl>
    <w:p>
      <w:pPr>
        <w:keepNext/>
        <w:keepLines/>
        <w:spacing w:line="360" w:lineRule="auto"/>
        <w:outlineLvl w:val="2"/>
        <w:rPr>
          <w:rFonts w:ascii="宋体" w:hAnsi="宋体" w:cs="宋体"/>
          <w:b/>
          <w:bCs/>
          <w:szCs w:val="21"/>
          <w:highlight w:val="none"/>
        </w:rPr>
      </w:pPr>
      <w:r>
        <w:rPr>
          <w:rFonts w:hint="eastAsia" w:ascii="宋体" w:hAnsi="宋体" w:cs="宋体"/>
          <w:b/>
          <w:bCs/>
          <w:szCs w:val="21"/>
          <w:highlight w:val="none"/>
        </w:rPr>
        <w:t>2.安全运行子平台</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60"/>
        <w:gridCol w:w="6305"/>
      </w:tblGrid>
      <w:tr>
        <w:trPr>
          <w:trHeight w:val="20" w:hRule="atLeast"/>
          <w:jc w:val="center"/>
        </w:trPr>
        <w:tc>
          <w:tcPr>
            <w:tcW w:w="548" w:type="pct"/>
            <w:shd w:val="clear" w:color="000000" w:fill="BFBFBF"/>
            <w:vAlign w:val="center"/>
          </w:tcPr>
          <w:p>
            <w:pPr>
              <w:jc w:val="center"/>
              <w:rPr>
                <w:rFonts w:ascii="宋体" w:hAnsi="宋体" w:cs="宋体"/>
                <w:b/>
                <w:bCs/>
                <w:color w:val="000000"/>
                <w:szCs w:val="21"/>
                <w:highlight w:val="none"/>
              </w:rPr>
            </w:pPr>
            <w:bookmarkStart w:id="33" w:name="_Hlk147847010"/>
            <w:r>
              <w:rPr>
                <w:rFonts w:hint="eastAsia" w:ascii="宋体" w:hAnsi="宋体" w:cs="宋体"/>
                <w:b/>
                <w:bCs/>
                <w:color w:val="000000"/>
                <w:szCs w:val="21"/>
                <w:highlight w:val="none"/>
              </w:rPr>
              <w:t>模块</w:t>
            </w:r>
          </w:p>
        </w:tc>
        <w:tc>
          <w:tcPr>
            <w:tcW w:w="837" w:type="pct"/>
            <w:shd w:val="clear" w:color="000000" w:fill="BFBFB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指标项</w:t>
            </w:r>
          </w:p>
        </w:tc>
        <w:tc>
          <w:tcPr>
            <w:tcW w:w="3614" w:type="pct"/>
            <w:shd w:val="clear" w:color="auto" w:fill="BEBEBE"/>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技术参数</w:t>
            </w:r>
          </w:p>
        </w:tc>
      </w:tr>
      <w:tr>
        <w:trPr>
          <w:trHeight w:val="20" w:hRule="atLeast"/>
          <w:jc w:val="center"/>
        </w:trPr>
        <w:tc>
          <w:tcPr>
            <w:tcW w:w="548" w:type="pct"/>
            <w:vMerge w:val="restart"/>
            <w:shd w:val="clear" w:color="auto" w:fill="auto"/>
            <w:vAlign w:val="center"/>
          </w:tcPr>
          <w:p>
            <w:pPr>
              <w:rPr>
                <w:rFonts w:ascii="宋体" w:hAnsi="宋体" w:cs="宋体"/>
                <w:szCs w:val="21"/>
                <w:highlight w:val="none"/>
              </w:rPr>
            </w:pPr>
            <w:r>
              <w:rPr>
                <w:rFonts w:hint="eastAsia" w:ascii="宋体" w:hAnsi="宋体" w:cs="宋体"/>
                <w:szCs w:val="21"/>
                <w:highlight w:val="none"/>
              </w:rPr>
              <w:t>安全监管平台</w:t>
            </w:r>
          </w:p>
        </w:tc>
        <w:tc>
          <w:tcPr>
            <w:tcW w:w="837" w:type="pc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平台硬件</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val="en-US" w:eastAsia="zh-CN"/>
              </w:rPr>
              <w:t>CPU</w:t>
            </w:r>
            <w:r>
              <w:rPr>
                <w:rFonts w:hint="eastAsia" w:ascii="宋体" w:hAnsi="宋体" w:cs="宋体"/>
                <w:szCs w:val="21"/>
                <w:highlight w:val="none"/>
              </w:rPr>
              <w:t>不低于2</w:t>
            </w:r>
            <w:r>
              <w:rPr>
                <w:rFonts w:hint="eastAsia" w:ascii="宋体" w:hAnsi="宋体" w:cs="宋体"/>
                <w:szCs w:val="21"/>
                <w:highlight w:val="none"/>
                <w:lang w:val="en-US" w:eastAsia="zh-CN"/>
              </w:rPr>
              <w:t>颗24</w:t>
            </w:r>
            <w:r>
              <w:rPr>
                <w:rFonts w:hint="eastAsia" w:ascii="宋体" w:hAnsi="宋体" w:cs="宋体"/>
                <w:szCs w:val="21"/>
                <w:highlight w:val="none"/>
                <w:lang w:eastAsia="zh-Hans"/>
              </w:rPr>
              <w:t>核国产处理器</w:t>
            </w:r>
            <w:r>
              <w:rPr>
                <w:rFonts w:hint="eastAsia" w:ascii="宋体" w:hAnsi="宋体" w:cs="宋体"/>
                <w:szCs w:val="21"/>
                <w:highlight w:val="none"/>
              </w:rPr>
              <w:t>，内存不少于256G，硬盘不少于48T，网口不少于4个千兆电口，不少于2个万兆光接口</w:t>
            </w:r>
            <w:r>
              <w:rPr>
                <w:rFonts w:hint="eastAsia" w:ascii="宋体" w:hAnsi="宋体" w:cs="宋体"/>
                <w:szCs w:val="21"/>
                <w:highlight w:val="none"/>
                <w:lang w:eastAsia="zh-CN"/>
              </w:rPr>
              <w:t>（含光模块）</w:t>
            </w:r>
            <w:r>
              <w:rPr>
                <w:rFonts w:hint="eastAsia" w:ascii="宋体" w:hAnsi="宋体" w:cs="宋体"/>
                <w:szCs w:val="21"/>
                <w:highlight w:val="none"/>
              </w:rPr>
              <w:t>，不少于1+1热插拔冗余电源，国产化操作系统，具备配置网络安全平台部署所需的一切软件、硬件配件等。共需配置2台。</w:t>
            </w:r>
            <w:r>
              <w:rPr>
                <w:rFonts w:hint="eastAsia" w:ascii="宋体" w:hAnsi="宋体" w:cs="宋体"/>
                <w:szCs w:val="21"/>
                <w:highlight w:val="none"/>
                <w:lang w:eastAsia="zh-Hans"/>
              </w:rPr>
              <w:t>含三年产品</w:t>
            </w:r>
            <w:r>
              <w:rPr>
                <w:rFonts w:hint="eastAsia" w:ascii="宋体" w:hAnsi="宋体" w:cs="宋体"/>
                <w:szCs w:val="21"/>
                <w:highlight w:val="none"/>
                <w:lang w:eastAsia="zh-CN"/>
              </w:rPr>
              <w:t>原厂</w:t>
            </w:r>
            <w:r>
              <w:rPr>
                <w:rFonts w:hint="eastAsia" w:ascii="宋体" w:hAnsi="宋体" w:cs="宋体"/>
                <w:szCs w:val="21"/>
                <w:highlight w:val="none"/>
                <w:lang w:eastAsia="zh-Hans"/>
              </w:rPr>
              <w:t>标准维保服务</w:t>
            </w:r>
            <w:r>
              <w:rPr>
                <w:rFonts w:hint="eastAsia" w:ascii="宋体" w:hAnsi="宋体" w:cs="宋体"/>
                <w:szCs w:val="21"/>
                <w:highlight w:val="none"/>
                <w:lang w:eastAsia="zh-CN"/>
              </w:rPr>
              <w:t>，硬盘不返厂服务。</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监测中心</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具备监测云、网络、终端、应用、数据等在线网络资产的能力，具备根据资产分布、漏洞和指纹信息进行扫描探测和统一管理的能力，摸清区域资产总数。具备广域网流量、政务云出口流量、IDC机房流量的安全监测能力，实时发现和登记各类网络攻击、风险隐患、安全事件以及网络资产的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平台提供事件成果解决方案，实现事件导入导出、事件/风险检索、事件/风险研判、事件/风险处置完整的事件处置流程。</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通过事件/风险数据关联同类型事件/风险、同单位事件/风险、同终端事件/风险等联想方式</w:t>
            </w:r>
            <w:r>
              <w:rPr>
                <w:rFonts w:hint="eastAsia" w:ascii="宋体" w:hAnsi="宋体" w:cs="宋体"/>
                <w:szCs w:val="21"/>
                <w:highlight w:val="none"/>
                <w:lang w:val="en-US" w:eastAsia="zh-CN"/>
              </w:rPr>
              <w:t>等能力</w:t>
            </w:r>
            <w:r>
              <w:rPr>
                <w:rFonts w:hint="eastAsia" w:ascii="宋体" w:hAnsi="宋体" w:cs="宋体"/>
                <w:szCs w:val="21"/>
                <w:highlight w:val="none"/>
              </w:rPr>
              <w:t>。（提供功能截图）</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事件类型、子类型展示，以矩阵形式展示事件所属类型以及子类型。</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场景化验证，包括弱口令、挖矿、勒索病毒等场景，</w:t>
            </w:r>
            <w:r>
              <w:rPr>
                <w:rFonts w:hint="eastAsia" w:ascii="宋体" w:hAnsi="宋体" w:cs="宋体"/>
                <w:szCs w:val="21"/>
                <w:highlight w:val="none"/>
                <w:lang w:eastAsia="zh-CN"/>
              </w:rPr>
              <w:t>配置</w:t>
            </w:r>
            <w:r>
              <w:rPr>
                <w:rFonts w:hint="eastAsia" w:ascii="宋体" w:hAnsi="宋体" w:cs="宋体"/>
                <w:szCs w:val="21"/>
                <w:highlight w:val="none"/>
              </w:rPr>
              <w:t>通过单位名称、IP地址、时间等多字段组合查询场景内容</w:t>
            </w:r>
            <w:r>
              <w:rPr>
                <w:rFonts w:hint="eastAsia" w:ascii="宋体" w:hAnsi="宋体" w:cs="宋体"/>
                <w:szCs w:val="21"/>
                <w:highlight w:val="none"/>
                <w:lang w:val="en-US" w:eastAsia="zh-CN"/>
              </w:rPr>
              <w:t>功等能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场景自定义设置，自定义场景判断条件、分析周期、分析对象、场景标签，快速配置场景应用。</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资管中心</w:t>
            </w:r>
          </w:p>
        </w:tc>
        <w:tc>
          <w:tcPr>
            <w:tcW w:w="3614" w:type="pct"/>
            <w:shd w:val="clear" w:color="auto" w:fill="auto"/>
            <w:vAlign w:val="center"/>
          </w:tcPr>
          <w:p>
            <w:pPr>
              <w:rPr>
                <w:rFonts w:ascii="宋体" w:hAnsi="宋体" w:cs="宋体"/>
                <w:szCs w:val="21"/>
                <w:highlight w:val="none"/>
              </w:rPr>
            </w:pPr>
            <w:bookmarkStart w:id="34" w:name="_Hlk147846094"/>
            <w:r>
              <w:rPr>
                <w:rFonts w:hint="eastAsia" w:ascii="宋体" w:hAnsi="宋体" w:cs="宋体"/>
                <w:szCs w:val="21"/>
                <w:highlight w:val="none"/>
              </w:rPr>
              <w:t>具备监管终端</w:t>
            </w:r>
            <w:bookmarkEnd w:id="34"/>
            <w:r>
              <w:rPr>
                <w:rFonts w:hint="eastAsia" w:ascii="宋体" w:hAnsi="宋体" w:cs="宋体"/>
                <w:szCs w:val="21"/>
                <w:highlight w:val="none"/>
              </w:rPr>
              <w:t>、监控、WEB、在线业务系统等在线网络资产的能力，具备根据资产分布、漏洞和指纹信息进行统一管理的能力，摸清资产底数，具备形成统一的资产立体化监管能力。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按资产重要程度、资产区域和组织架构将资产分级分类管理</w:t>
            </w:r>
            <w:r>
              <w:rPr>
                <w:rFonts w:hint="eastAsia" w:ascii="宋体" w:hAnsi="宋体" w:cs="宋体"/>
                <w:szCs w:val="21"/>
                <w:highlight w:val="none"/>
                <w:lang w:val="en-US" w:eastAsia="zh-CN"/>
              </w:rPr>
              <w:t>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hint="eastAsia" w:ascii="宋体" w:hAnsi="宋体" w:cs="宋体"/>
                <w:szCs w:val="21"/>
                <w:highlight w:val="none"/>
                <w:lang w:eastAsia="zh-CN"/>
              </w:rPr>
            </w:pPr>
            <w:r>
              <w:rPr>
                <w:rFonts w:hint="eastAsia" w:ascii="宋体" w:hAnsi="宋体" w:cs="宋体"/>
                <w:szCs w:val="21"/>
                <w:highlight w:val="none"/>
              </w:rPr>
              <w:t>平台</w:t>
            </w:r>
            <w:r>
              <w:rPr>
                <w:rFonts w:hint="eastAsia" w:ascii="宋体" w:hAnsi="宋体" w:cs="宋体"/>
                <w:szCs w:val="21"/>
                <w:highlight w:val="none"/>
                <w:lang w:eastAsia="zh-CN"/>
              </w:rPr>
              <w:t>配置</w:t>
            </w:r>
            <w:r>
              <w:rPr>
                <w:rFonts w:hint="eastAsia" w:ascii="宋体" w:hAnsi="宋体" w:cs="宋体"/>
                <w:szCs w:val="21"/>
                <w:highlight w:val="none"/>
              </w:rPr>
              <w:t>不低于40种单位行业属性标签，不低于20种单位类型属性标签，并支持多属性标签联合检索。</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单位详情信息快速浏览</w:t>
            </w:r>
            <w:r>
              <w:rPr>
                <w:rFonts w:hint="eastAsia" w:ascii="宋体" w:hAnsi="宋体" w:cs="宋体"/>
                <w:szCs w:val="21"/>
                <w:highlight w:val="none"/>
                <w:lang w:val="en-US" w:eastAsia="zh-CN"/>
              </w:rPr>
              <w:t>功能</w:t>
            </w:r>
            <w:r>
              <w:rPr>
                <w:rFonts w:hint="eastAsia" w:ascii="宋体" w:hAnsi="宋体" w:cs="宋体"/>
                <w:szCs w:val="21"/>
                <w:highlight w:val="none"/>
              </w:rPr>
              <w:t>，信息至少包括单位信息、安全检测、人员信息、业务系统、资产等全部字段，并且能查看关联的历史安全事件、历史安全隐患和历史攻击告警，并一键展开事件详情进行处置或通报和支持进行系统画像快速浏览，信息同样包括系统信息、安全监测、等保信息、供应链、人员信息、单位信息等字段。</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系统画像快速浏览</w:t>
            </w:r>
            <w:r>
              <w:rPr>
                <w:rFonts w:hint="eastAsia" w:ascii="宋体" w:hAnsi="宋体" w:cs="宋体"/>
                <w:szCs w:val="21"/>
                <w:highlight w:val="none"/>
                <w:lang w:val="en-US" w:eastAsia="zh-CN"/>
              </w:rPr>
              <w:t>功能</w:t>
            </w:r>
            <w:r>
              <w:rPr>
                <w:rFonts w:hint="eastAsia" w:ascii="宋体" w:hAnsi="宋体" w:cs="宋体"/>
                <w:szCs w:val="21"/>
                <w:highlight w:val="none"/>
              </w:rPr>
              <w:t>，信息至少包括系统信息、安全监测、防护情况、基础网络、人员信息、单位信息等字段。（提供功能截图）</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在系统卡片中查看单位近期发生的安全事件和风险隐患信息</w:t>
            </w:r>
            <w:r>
              <w:rPr>
                <w:rFonts w:hint="eastAsia" w:ascii="宋体" w:hAnsi="宋体" w:cs="宋体"/>
                <w:szCs w:val="21"/>
                <w:highlight w:val="none"/>
                <w:lang w:val="en-US" w:eastAsia="zh-CN"/>
              </w:rPr>
              <w:t>功能</w:t>
            </w:r>
            <w:r>
              <w:rPr>
                <w:rFonts w:hint="eastAsia" w:ascii="宋体" w:hAnsi="宋体" w:cs="宋体"/>
                <w:szCs w:val="21"/>
                <w:highlight w:val="none"/>
              </w:rPr>
              <w:t>，一键展开事件详情进行研判处置。</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IP资产一键溯源</w:t>
            </w:r>
            <w:r>
              <w:rPr>
                <w:rFonts w:hint="eastAsia" w:ascii="宋体" w:hAnsi="宋体" w:cs="宋体"/>
                <w:szCs w:val="21"/>
                <w:highlight w:val="none"/>
                <w:lang w:val="en-US" w:eastAsia="zh-CN"/>
              </w:rPr>
              <w:t>功能</w:t>
            </w:r>
            <w:r>
              <w:rPr>
                <w:rFonts w:hint="eastAsia" w:ascii="宋体" w:hAnsi="宋体" w:cs="宋体"/>
                <w:szCs w:val="21"/>
                <w:highlight w:val="none"/>
              </w:rPr>
              <w:t>，迅速定位资产风险。</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在系统卡片中查看单位近期发生的安全事件和风险隐患信息</w:t>
            </w:r>
            <w:r>
              <w:rPr>
                <w:rFonts w:hint="eastAsia" w:ascii="宋体" w:hAnsi="宋体" w:cs="宋体"/>
                <w:szCs w:val="21"/>
                <w:highlight w:val="none"/>
                <w:lang w:val="en-US" w:eastAsia="zh-CN"/>
              </w:rPr>
              <w:t>功能</w:t>
            </w:r>
            <w:r>
              <w:rPr>
                <w:rFonts w:hint="eastAsia" w:ascii="宋体" w:hAnsi="宋体" w:cs="宋体"/>
                <w:szCs w:val="21"/>
                <w:highlight w:val="none"/>
              </w:rPr>
              <w:t>，一键展开事件详情进行研判处置。</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卡片式、表格形式展示数据源档案信息</w:t>
            </w:r>
            <w:r>
              <w:rPr>
                <w:rFonts w:hint="eastAsia" w:ascii="宋体" w:hAnsi="宋体" w:cs="宋体"/>
                <w:szCs w:val="21"/>
                <w:highlight w:val="none"/>
                <w:lang w:val="en-US" w:eastAsia="zh-CN"/>
              </w:rPr>
              <w:t>功能</w:t>
            </w:r>
            <w:r>
              <w:rPr>
                <w:rFonts w:hint="eastAsia" w:ascii="宋体" w:hAnsi="宋体" w:cs="宋体"/>
                <w:szCs w:val="21"/>
                <w:highlight w:val="none"/>
              </w:rPr>
              <w:t>，展示内容包括数据库卡片显示数据库名称，数据库类型、所属单位、主机、端口、所属行业、是否敏感库、安全等级分级、数据来源、标记重要数据库，数据表、告警数、安全事件、安全隐患。</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数据表卡片显示数据表中文名名称、表名、所属数据库、所属单位、主机、所属行业、最近更新以及是否是敏感库、安全等级分级、共享属性、更新周期，标记重要数据库，统计列数和告警。</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接口档案显示接口名称，接口地址、所属单位、请求方式、所属系统、所属行业、数据领域、主题分类以及风险情况、共享属性、开放属性、更新周期，标记重要数据库，统计告警。</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平台安全域卡片式管理和列表式管理，展示信息包含所属单位、IP范围、安全事件、安全隐患、攻击告警，安全域分配IP及已使用IP统计及安全域防护状况等。</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平台</w:t>
            </w:r>
            <w:r>
              <w:rPr>
                <w:rFonts w:hint="eastAsia" w:ascii="宋体" w:hAnsi="宋体" w:cs="宋体"/>
                <w:szCs w:val="21"/>
                <w:highlight w:val="none"/>
                <w:lang w:eastAsia="zh-CN"/>
              </w:rPr>
              <w:t>配置</w:t>
            </w:r>
            <w:r>
              <w:rPr>
                <w:rFonts w:hint="eastAsia" w:ascii="宋体" w:hAnsi="宋体" w:cs="宋体"/>
                <w:szCs w:val="21"/>
                <w:highlight w:val="none"/>
              </w:rPr>
              <w:t>根据探测任务状态标签对探测任务进行筛选</w:t>
            </w:r>
            <w:r>
              <w:rPr>
                <w:rFonts w:hint="eastAsia" w:ascii="宋体" w:hAnsi="宋体" w:cs="宋体"/>
                <w:szCs w:val="21"/>
                <w:highlight w:val="none"/>
                <w:lang w:val="en-US" w:eastAsia="zh-CN"/>
              </w:rPr>
              <w:t>功能</w:t>
            </w:r>
            <w:r>
              <w:rPr>
                <w:rFonts w:hint="eastAsia" w:ascii="宋体" w:hAnsi="宋体" w:cs="宋体"/>
                <w:szCs w:val="21"/>
                <w:highlight w:val="none"/>
              </w:rPr>
              <w:t>，包括执行状态、完成、停止、异常等状态标签。</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按区域、厂商域名数量统计CDN节点数量</w:t>
            </w:r>
            <w:r>
              <w:rPr>
                <w:rFonts w:hint="eastAsia" w:ascii="宋体" w:hAnsi="宋体" w:cs="宋体"/>
                <w:szCs w:val="21"/>
                <w:highlight w:val="none"/>
                <w:lang w:val="en-US" w:eastAsia="zh-CN"/>
              </w:rPr>
              <w:t>功能</w:t>
            </w:r>
            <w:r>
              <w:rPr>
                <w:rFonts w:hint="eastAsia" w:ascii="宋体" w:hAnsi="宋体" w:cs="宋体"/>
                <w:szCs w:val="21"/>
                <w:highlight w:val="none"/>
              </w:rPr>
              <w:t>，按区域和运营商数量统计IDC节点数量，按区域和备案单位统计ICP节点数量。</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在线自定义构建网络拓扑图</w:t>
            </w:r>
            <w:r>
              <w:rPr>
                <w:rFonts w:hint="eastAsia" w:ascii="宋体" w:hAnsi="宋体" w:cs="宋体"/>
                <w:szCs w:val="21"/>
                <w:highlight w:val="none"/>
                <w:lang w:val="en-US" w:eastAsia="zh-CN"/>
              </w:rPr>
              <w:t>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平台提供人员档案管理解决方案，实现宏观人员态势展示、人员标签和人员详细管理功能。</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IP资产审核管理，支持通过页面操作、导入表等方式管理IP资产信息，支持批量申请入库、退库，支持批量审核入库、变更、退库的资产，支持批量导出IP资产审核信息，已退库的IP资产支持再次发起入库申请。（提供功能截图）</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配置多个用户角色、指定多个用户作为IP资产入库、变更、退库的审核人，支持分别为IP资产入库、变更、退库配置审核人，支持配置多级审核。（提供功能截图）</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感知中心</w:t>
            </w:r>
          </w:p>
        </w:tc>
        <w:tc>
          <w:tcPr>
            <w:tcW w:w="3614" w:type="pct"/>
            <w:shd w:val="clear" w:color="auto" w:fill="auto"/>
            <w:vAlign w:val="center"/>
          </w:tcPr>
          <w:p>
            <w:pPr>
              <w:rPr>
                <w:rFonts w:ascii="宋体" w:hAnsi="宋体" w:cs="宋体"/>
                <w:szCs w:val="21"/>
                <w:highlight w:val="none"/>
              </w:rPr>
            </w:pPr>
            <w:bookmarkStart w:id="35" w:name="_Hlk147846143"/>
            <w:r>
              <w:rPr>
                <w:rFonts w:hint="eastAsia" w:ascii="宋体" w:hAnsi="宋体" w:cs="宋体"/>
                <w:szCs w:val="21"/>
                <w:highlight w:val="none"/>
              </w:rPr>
              <w:t>具备提供网络安全</w:t>
            </w:r>
            <w:bookmarkEnd w:id="35"/>
            <w:r>
              <w:rPr>
                <w:rFonts w:hint="eastAsia" w:ascii="宋体" w:hAnsi="宋体" w:cs="宋体"/>
                <w:szCs w:val="21"/>
                <w:highlight w:val="none"/>
              </w:rPr>
              <w:t>威胁可视化的入口的能力，具备基于全链路平台获取的各类监测数据及日常业务流转产生的业务数据的能力，具备以网络安全事件与威胁风险监测为驱动，对网络空间安全相关信息进行汇聚融合的能力，具备从不同视角感知网络安全态势的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监测并展示不同类别资产安全情况</w:t>
            </w:r>
            <w:r>
              <w:rPr>
                <w:rFonts w:hint="eastAsia" w:ascii="宋体" w:hAnsi="宋体" w:cs="宋体"/>
                <w:szCs w:val="21"/>
                <w:highlight w:val="none"/>
                <w:lang w:val="en-US" w:eastAsia="zh-CN"/>
              </w:rPr>
              <w:t>功能</w:t>
            </w:r>
            <w:r>
              <w:rPr>
                <w:rFonts w:hint="eastAsia" w:ascii="宋体" w:hAnsi="宋体" w:cs="宋体"/>
                <w:szCs w:val="21"/>
                <w:highlight w:val="none"/>
              </w:rPr>
              <w:t>，包括云、网络、数据、应用、终端等，并</w:t>
            </w:r>
            <w:r>
              <w:rPr>
                <w:rFonts w:hint="eastAsia" w:ascii="宋体" w:hAnsi="宋体" w:cs="宋体"/>
                <w:szCs w:val="21"/>
                <w:highlight w:val="none"/>
                <w:lang w:eastAsia="zh-CN"/>
              </w:rPr>
              <w:t>配置</w:t>
            </w:r>
            <w:r>
              <w:rPr>
                <w:rFonts w:hint="eastAsia" w:ascii="宋体" w:hAnsi="宋体" w:cs="宋体"/>
                <w:szCs w:val="21"/>
                <w:highlight w:val="none"/>
              </w:rPr>
              <w:t>下钻</w:t>
            </w:r>
            <w:r>
              <w:rPr>
                <w:rFonts w:hint="eastAsia" w:ascii="宋体" w:hAnsi="宋体" w:cs="宋体"/>
                <w:szCs w:val="21"/>
                <w:highlight w:val="none"/>
                <w:lang w:val="en-US" w:eastAsia="zh-CN"/>
              </w:rPr>
              <w:t>功能</w:t>
            </w:r>
            <w:r>
              <w:rPr>
                <w:rFonts w:hint="eastAsia" w:ascii="宋体" w:hAnsi="宋体" w:cs="宋体"/>
                <w:szCs w:val="21"/>
                <w:highlight w:val="none"/>
              </w:rPr>
              <w:t>。（提供功能截图）</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展示制度规范</w:t>
            </w:r>
            <w:r>
              <w:rPr>
                <w:rFonts w:hint="eastAsia" w:ascii="宋体" w:hAnsi="宋体" w:cs="宋体"/>
                <w:szCs w:val="21"/>
                <w:highlight w:val="none"/>
                <w:lang w:val="en-US" w:eastAsia="zh-CN"/>
              </w:rPr>
              <w:t>功能</w:t>
            </w:r>
            <w:r>
              <w:rPr>
                <w:rFonts w:hint="eastAsia" w:ascii="宋体" w:hAnsi="宋体" w:cs="宋体"/>
                <w:szCs w:val="21"/>
                <w:highlight w:val="none"/>
              </w:rPr>
              <w:t>，并</w:t>
            </w:r>
            <w:r>
              <w:rPr>
                <w:rFonts w:hint="eastAsia" w:ascii="宋体" w:hAnsi="宋体" w:cs="宋体"/>
                <w:szCs w:val="21"/>
                <w:highlight w:val="none"/>
                <w:lang w:eastAsia="zh-CN"/>
              </w:rPr>
              <w:t>配置</w:t>
            </w:r>
            <w:r>
              <w:rPr>
                <w:rFonts w:hint="eastAsia" w:ascii="宋体" w:hAnsi="宋体" w:cs="宋体"/>
                <w:szCs w:val="21"/>
                <w:highlight w:val="none"/>
              </w:rPr>
              <w:t>预览</w:t>
            </w:r>
            <w:r>
              <w:rPr>
                <w:rFonts w:hint="eastAsia" w:ascii="宋体" w:hAnsi="宋体" w:cs="宋体"/>
                <w:szCs w:val="21"/>
                <w:highlight w:val="none"/>
                <w:lang w:val="en-US" w:eastAsia="zh-CN"/>
              </w:rPr>
              <w:t>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地图形式展示各区域安全告警和待办工单数量</w:t>
            </w:r>
            <w:r>
              <w:rPr>
                <w:rFonts w:hint="eastAsia" w:ascii="宋体" w:hAnsi="宋体" w:cs="宋体"/>
                <w:szCs w:val="21"/>
                <w:highlight w:val="none"/>
                <w:lang w:val="en-US" w:eastAsia="zh-CN"/>
              </w:rPr>
              <w:t>功能</w:t>
            </w:r>
            <w:r>
              <w:rPr>
                <w:rFonts w:hint="eastAsia" w:ascii="宋体" w:hAnsi="宋体" w:cs="宋体"/>
                <w:szCs w:val="21"/>
                <w:highlight w:val="none"/>
              </w:rPr>
              <w:t>，并</w:t>
            </w:r>
            <w:r>
              <w:rPr>
                <w:rFonts w:hint="eastAsia" w:ascii="宋体" w:hAnsi="宋体" w:cs="宋体"/>
                <w:szCs w:val="21"/>
                <w:highlight w:val="none"/>
                <w:lang w:eastAsia="zh-CN"/>
              </w:rPr>
              <w:t>配置</w:t>
            </w:r>
            <w:r>
              <w:rPr>
                <w:rFonts w:hint="eastAsia" w:ascii="宋体" w:hAnsi="宋体" w:cs="宋体"/>
                <w:szCs w:val="21"/>
                <w:highlight w:val="none"/>
              </w:rPr>
              <w:t>下钻</w:t>
            </w:r>
            <w:r>
              <w:rPr>
                <w:rFonts w:hint="eastAsia" w:ascii="宋体" w:hAnsi="宋体" w:cs="宋体"/>
                <w:szCs w:val="21"/>
                <w:highlight w:val="none"/>
                <w:lang w:val="en-US" w:eastAsia="zh-CN"/>
              </w:rPr>
              <w:t>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单位、系统、资产、云平台、大数据平台、物联网、工业控制、移动APP的数据展示</w:t>
            </w:r>
            <w:r>
              <w:rPr>
                <w:rFonts w:hint="eastAsia" w:ascii="宋体" w:hAnsi="宋体" w:cs="宋体"/>
                <w:szCs w:val="21"/>
                <w:highlight w:val="none"/>
                <w:lang w:val="en-US" w:eastAsia="zh-CN"/>
              </w:rPr>
              <w:t>功能</w:t>
            </w:r>
            <w:r>
              <w:rPr>
                <w:rFonts w:hint="eastAsia" w:ascii="宋体" w:hAnsi="宋体" w:cs="宋体"/>
                <w:szCs w:val="21"/>
                <w:highlight w:val="none"/>
              </w:rPr>
              <w:t>，并</w:t>
            </w:r>
            <w:r>
              <w:rPr>
                <w:rFonts w:hint="eastAsia" w:ascii="宋体" w:hAnsi="宋体" w:cs="宋体"/>
                <w:szCs w:val="21"/>
                <w:highlight w:val="none"/>
                <w:lang w:eastAsia="zh-CN"/>
              </w:rPr>
              <w:t>配置</w:t>
            </w:r>
            <w:r>
              <w:rPr>
                <w:rFonts w:hint="eastAsia" w:ascii="宋体" w:hAnsi="宋体" w:cs="宋体"/>
                <w:szCs w:val="21"/>
                <w:highlight w:val="none"/>
              </w:rPr>
              <w:t>下钻</w:t>
            </w:r>
            <w:r>
              <w:rPr>
                <w:rFonts w:hint="eastAsia" w:ascii="宋体" w:hAnsi="宋体" w:cs="宋体"/>
                <w:szCs w:val="21"/>
                <w:highlight w:val="none"/>
                <w:lang w:val="en-US" w:eastAsia="zh-CN"/>
              </w:rPr>
              <w:t>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预警中心、通报处置业务开展情况的数据统计</w:t>
            </w:r>
            <w:r>
              <w:rPr>
                <w:rFonts w:hint="eastAsia" w:ascii="宋体" w:hAnsi="宋体" w:cs="宋体"/>
                <w:szCs w:val="21"/>
                <w:highlight w:val="none"/>
                <w:lang w:val="en-US" w:eastAsia="zh-CN"/>
              </w:rPr>
              <w:t>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在地图展示安全事件</w:t>
            </w:r>
            <w:r>
              <w:rPr>
                <w:rFonts w:hint="eastAsia" w:ascii="宋体" w:hAnsi="宋体" w:cs="宋体"/>
                <w:szCs w:val="21"/>
                <w:highlight w:val="none"/>
                <w:lang w:val="en-US" w:eastAsia="zh-CN"/>
              </w:rPr>
              <w:t>功能</w:t>
            </w:r>
            <w:r>
              <w:rPr>
                <w:rFonts w:hint="eastAsia" w:ascii="宋体" w:hAnsi="宋体" w:cs="宋体"/>
                <w:szCs w:val="21"/>
                <w:highlight w:val="none"/>
              </w:rPr>
              <w:t>，支持与后台事件调查功能联动，一键进行事件调查。</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大屏地图资产与后台信息发布一键联动</w:t>
            </w:r>
            <w:r>
              <w:rPr>
                <w:rFonts w:hint="eastAsia" w:ascii="宋体" w:hAnsi="宋体" w:cs="宋体"/>
                <w:szCs w:val="21"/>
                <w:highlight w:val="none"/>
                <w:lang w:val="en-US" w:eastAsia="zh-CN"/>
              </w:rPr>
              <w:t>功能</w:t>
            </w:r>
            <w:r>
              <w:rPr>
                <w:rFonts w:hint="eastAsia" w:ascii="宋体" w:hAnsi="宋体" w:cs="宋体"/>
                <w:szCs w:val="21"/>
                <w:highlight w:val="none"/>
              </w:rPr>
              <w:t>，通过地图点击风险资产下发预警。</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以列表形式统计以下内容并进行可视化呈现：网站区域访问量排行top5、访问IP排行top5、被攻击网站排行top50、攻击来源IP排行top10、攻击类型排行top10。</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响应中心</w:t>
            </w:r>
          </w:p>
        </w:tc>
        <w:tc>
          <w:tcPr>
            <w:tcW w:w="3614" w:type="pct"/>
            <w:shd w:val="clear" w:color="auto" w:fill="auto"/>
            <w:vAlign w:val="center"/>
          </w:tcPr>
          <w:p>
            <w:pPr>
              <w:rPr>
                <w:rFonts w:ascii="宋体" w:hAnsi="宋体" w:cs="宋体"/>
                <w:szCs w:val="21"/>
                <w:highlight w:val="none"/>
              </w:rPr>
            </w:pPr>
            <w:bookmarkStart w:id="36" w:name="_Hlk147846208"/>
            <w:r>
              <w:rPr>
                <w:rFonts w:hint="eastAsia" w:ascii="宋体" w:hAnsi="宋体" w:cs="宋体"/>
                <w:szCs w:val="21"/>
                <w:highlight w:val="none"/>
              </w:rPr>
              <w:t>具备支持将监测到</w:t>
            </w:r>
            <w:bookmarkEnd w:id="36"/>
            <w:r>
              <w:rPr>
                <w:rFonts w:hint="eastAsia" w:ascii="宋体" w:hAnsi="宋体" w:cs="宋体"/>
                <w:szCs w:val="21"/>
                <w:highlight w:val="none"/>
              </w:rPr>
              <w:t>的漏洞隐患或安全事件按照信息系统网络安全事件隐患分级标准进行下发通报的能力，具备预警提醒或限期整改的通知能力，具备显示被通报的单位反馈处置结果的能力，具备实现通报预警工作流程化管理的能力；具备支持其他通报方式的能力，包括但不限于短信、网站、浙政钉通知等的能力；具备支持对通报情况和处理情况进行统计展现和提供不同类型的通报报告的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信息下钻</w:t>
            </w:r>
            <w:r>
              <w:rPr>
                <w:rFonts w:hint="eastAsia" w:ascii="宋体" w:hAnsi="宋体" w:cs="宋体"/>
                <w:szCs w:val="21"/>
                <w:highlight w:val="none"/>
                <w:lang w:val="en-US" w:eastAsia="zh-CN"/>
              </w:rPr>
              <w:t>功能</w:t>
            </w:r>
            <w:r>
              <w:rPr>
                <w:rFonts w:hint="eastAsia" w:ascii="宋体" w:hAnsi="宋体" w:cs="宋体"/>
                <w:szCs w:val="21"/>
                <w:highlight w:val="none"/>
              </w:rPr>
              <w:t>，点击通报、预警信息，可以查看对应详情，如通报标题、创建时间等。</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配置展示各个区域的通报情况功能，以图表方式展示。</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新增通知可以输入文字、图片、超链接、表格、代码片段等</w:t>
            </w:r>
            <w:r>
              <w:rPr>
                <w:rFonts w:hint="eastAsia" w:ascii="宋体" w:hAnsi="宋体" w:cs="宋体"/>
                <w:szCs w:val="21"/>
                <w:highlight w:val="none"/>
                <w:lang w:eastAsia="zh-CN"/>
              </w:rPr>
              <w:t>多</w:t>
            </w:r>
            <w:r>
              <w:rPr>
                <w:rFonts w:hint="eastAsia" w:ascii="宋体" w:hAnsi="宋体" w:cs="宋体"/>
                <w:szCs w:val="21"/>
                <w:highlight w:val="none"/>
              </w:rPr>
              <w:t>种信息类型，其中文字支持设定字体大小、文字颜色，文字高亮、加粗、倾斜等</w:t>
            </w:r>
            <w:r>
              <w:rPr>
                <w:rFonts w:hint="eastAsia" w:ascii="宋体" w:hAnsi="宋体" w:cs="宋体"/>
                <w:szCs w:val="21"/>
                <w:highlight w:val="none"/>
                <w:lang w:eastAsia="zh-CN"/>
              </w:rPr>
              <w:t>不少于</w:t>
            </w:r>
            <w:r>
              <w:rPr>
                <w:rFonts w:hint="eastAsia" w:ascii="宋体" w:hAnsi="宋体" w:cs="宋体"/>
                <w:szCs w:val="21"/>
                <w:highlight w:val="none"/>
              </w:rPr>
              <w:t>5种配置。</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通知举证信息支持一键溯源，包括溯源到资产档案、系统档案、情报信息、原始日志等。</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预警详情可以输入文字、图片、超链接、表格、代码片段等</w:t>
            </w:r>
            <w:r>
              <w:rPr>
                <w:rFonts w:hint="eastAsia" w:ascii="宋体" w:hAnsi="宋体" w:cs="宋体"/>
                <w:szCs w:val="21"/>
                <w:highlight w:val="none"/>
                <w:lang w:eastAsia="zh-CN"/>
              </w:rPr>
              <w:t>不少于</w:t>
            </w:r>
            <w:r>
              <w:rPr>
                <w:rFonts w:hint="eastAsia" w:ascii="宋体" w:hAnsi="宋体" w:cs="宋体"/>
                <w:szCs w:val="21"/>
                <w:highlight w:val="none"/>
              </w:rPr>
              <w:t>5种信息类型，其中文字支持设定字体大小、文字颜色，文字高亮、加粗、倾斜等</w:t>
            </w:r>
            <w:r>
              <w:rPr>
                <w:rFonts w:hint="eastAsia" w:ascii="宋体" w:hAnsi="宋体" w:cs="宋体"/>
                <w:szCs w:val="21"/>
                <w:highlight w:val="none"/>
                <w:lang w:eastAsia="zh-CN"/>
              </w:rPr>
              <w:t>不少于</w:t>
            </w:r>
            <w:r>
              <w:rPr>
                <w:rFonts w:hint="eastAsia" w:ascii="宋体" w:hAnsi="宋体" w:cs="宋体"/>
                <w:szCs w:val="21"/>
                <w:highlight w:val="none"/>
              </w:rPr>
              <w:t>5种配置。</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通报详情支持显示多类通报相关信息，包括但不限于通报标题、通报标签、所属单位、发起单位、通报完整流程及当前所处流程、通报正文、举证信息、处理记录等。</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通过通报下发单位及业务系统的信息补全任务</w:t>
            </w:r>
            <w:r>
              <w:rPr>
                <w:rFonts w:hint="eastAsia" w:ascii="宋体" w:hAnsi="宋体" w:cs="宋体"/>
                <w:szCs w:val="21"/>
                <w:highlight w:val="none"/>
                <w:lang w:val="en-US" w:eastAsia="zh-CN"/>
              </w:rPr>
              <w:t>功能</w:t>
            </w:r>
            <w:r>
              <w:rPr>
                <w:rFonts w:hint="eastAsia" w:ascii="宋体" w:hAnsi="宋体" w:cs="宋体"/>
                <w:szCs w:val="21"/>
                <w:highlight w:val="none"/>
              </w:rPr>
              <w:t>，通报接收单位补全信息返回后支持将已补全的信息直接入库。</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通报流程可配置</w:t>
            </w:r>
            <w:r>
              <w:rPr>
                <w:rFonts w:hint="eastAsia" w:ascii="宋体" w:hAnsi="宋体" w:cs="宋体"/>
                <w:szCs w:val="21"/>
                <w:highlight w:val="none"/>
                <w:lang w:val="en-US" w:eastAsia="zh-CN"/>
              </w:rPr>
              <w:t>功能</w:t>
            </w:r>
            <w:r>
              <w:rPr>
                <w:rFonts w:hint="eastAsia" w:ascii="宋体" w:hAnsi="宋体" w:cs="宋体"/>
                <w:szCs w:val="21"/>
                <w:highlight w:val="none"/>
              </w:rPr>
              <w:t>，各流程的对应的处置单位可自动生成，并支持自定义调整。</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通报支持进行超时设置，针对截止时间一天内的通报进行截止时间醒目提醒；针对已超时的通报进行超时显示，并显示具体超时时间。</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Web端工作台</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具备提供本系统安全监管平台所有子模块的Web端工作台应用的能力。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对通报过程进行跟踪记录</w:t>
            </w:r>
            <w:r>
              <w:rPr>
                <w:rFonts w:hint="eastAsia" w:ascii="宋体" w:hAnsi="宋体" w:cs="宋体"/>
                <w:szCs w:val="21"/>
                <w:highlight w:val="none"/>
                <w:lang w:val="en-US" w:eastAsia="zh-CN"/>
              </w:rPr>
              <w:t>功能</w:t>
            </w:r>
            <w:r>
              <w:rPr>
                <w:rFonts w:hint="eastAsia" w:ascii="宋体" w:hAnsi="宋体" w:cs="宋体"/>
                <w:szCs w:val="21"/>
                <w:highlight w:val="none"/>
              </w:rPr>
              <w:t>，完整记录任务流转过程详情并同步到Web端平台。</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移动端</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具备浙政钉进行通报下发或处置流转的能力，具备对通报过程进行跟踪记录的能力，具备完整记录任务流转过程详情并同步到Web端平台的能力。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移动端和Web端横向打通</w:t>
            </w:r>
            <w:r>
              <w:rPr>
                <w:rFonts w:hint="eastAsia" w:ascii="宋体" w:hAnsi="宋体" w:cs="宋体"/>
                <w:szCs w:val="21"/>
                <w:highlight w:val="none"/>
                <w:lang w:val="en-US" w:eastAsia="zh-CN"/>
              </w:rPr>
              <w:t>功能</w:t>
            </w:r>
            <w:r>
              <w:rPr>
                <w:rFonts w:hint="eastAsia" w:ascii="宋体" w:hAnsi="宋体" w:cs="宋体"/>
                <w:szCs w:val="21"/>
                <w:highlight w:val="none"/>
              </w:rPr>
              <w:t>，关联数据和业务。</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在移动端快速处置通报、完成相关操作</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大数据节点软件</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具备大数据分析和计算能力，包括并不限于基础大数据计算模块和分布式事件处理模块。具备支持横向平滑扩展的能力，具备通过增加硬件服务器数量的方式增加平台集群的计算处理性能的能力。包括并不限于以下内容：</w:t>
            </w:r>
          </w:p>
          <w:p>
            <w:pP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具备</w:t>
            </w:r>
            <w:r>
              <w:rPr>
                <w:rFonts w:hint="eastAsia" w:ascii="宋体" w:hAnsi="宋体" w:cs="宋体"/>
                <w:szCs w:val="21"/>
                <w:highlight w:val="none"/>
              </w:rPr>
              <w:t>大数据平台</w:t>
            </w:r>
            <w:r>
              <w:rPr>
                <w:rFonts w:hint="eastAsia" w:ascii="宋体" w:hAnsi="宋体" w:cs="宋体"/>
                <w:szCs w:val="21"/>
                <w:highlight w:val="none"/>
                <w:lang w:val="en-US" w:eastAsia="zh-CN"/>
              </w:rPr>
              <w:t>能力</w:t>
            </w:r>
            <w:r>
              <w:rPr>
                <w:rFonts w:hint="eastAsia" w:ascii="宋体" w:hAnsi="宋体" w:cs="宋体"/>
                <w:szCs w:val="21"/>
                <w:highlight w:val="none"/>
                <w:lang w:eastAsia="zh-CN"/>
              </w:rPr>
              <w:t>；</w:t>
            </w:r>
          </w:p>
          <w:p>
            <w:pPr>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具备</w:t>
            </w:r>
            <w:r>
              <w:rPr>
                <w:rFonts w:hint="eastAsia" w:ascii="宋体" w:hAnsi="宋体" w:cs="宋体"/>
                <w:szCs w:val="21"/>
                <w:highlight w:val="none"/>
              </w:rPr>
              <w:t>分布式复杂事件处理引擎</w:t>
            </w:r>
            <w:r>
              <w:rPr>
                <w:rFonts w:hint="eastAsia" w:ascii="宋体" w:hAnsi="宋体" w:cs="宋体"/>
                <w:szCs w:val="21"/>
                <w:highlight w:val="none"/>
                <w:lang w:val="en-US" w:eastAsia="zh-CN"/>
              </w:rPr>
              <w:t>的能力</w:t>
            </w:r>
            <w:r>
              <w:rPr>
                <w:rFonts w:hint="eastAsia" w:ascii="宋体" w:hAnsi="宋体" w:cs="宋体"/>
                <w:szCs w:val="21"/>
                <w:highlight w:val="none"/>
                <w:lang w:eastAsia="zh-CN"/>
              </w:rPr>
              <w:t>；</w:t>
            </w:r>
          </w:p>
          <w:p>
            <w:pPr>
              <w:rPr>
                <w:rFonts w:ascii="宋体" w:hAnsi="宋体" w:cs="宋体"/>
                <w:szCs w:val="21"/>
                <w:highlight w:val="none"/>
              </w:rPr>
            </w:pPr>
            <w:r>
              <w:rPr>
                <w:rFonts w:hint="eastAsia" w:ascii="宋体" w:hAnsi="宋体" w:cs="宋体"/>
                <w:szCs w:val="21"/>
                <w:highlight w:val="none"/>
              </w:rPr>
              <w:t>性能要求：1. 支持</w:t>
            </w:r>
            <w:r>
              <w:rPr>
                <w:rFonts w:hint="eastAsia" w:ascii="宋体" w:hAnsi="宋体" w:cs="宋体"/>
                <w:szCs w:val="21"/>
                <w:highlight w:val="none"/>
                <w:lang w:eastAsia="zh-CN"/>
              </w:rPr>
              <w:t>不少于</w:t>
            </w:r>
            <w:r>
              <w:rPr>
                <w:rFonts w:hint="eastAsia" w:ascii="宋体" w:hAnsi="宋体" w:cs="宋体"/>
                <w:szCs w:val="21"/>
                <w:highlight w:val="none"/>
              </w:rPr>
              <w:t>1000个用户同时在线并发查询。</w:t>
            </w:r>
          </w:p>
          <w:p>
            <w:pPr>
              <w:rPr>
                <w:rFonts w:ascii="宋体" w:hAnsi="宋体" w:cs="宋体"/>
                <w:szCs w:val="21"/>
                <w:highlight w:val="none"/>
              </w:rPr>
            </w:pPr>
            <w:r>
              <w:rPr>
                <w:rFonts w:hint="eastAsia" w:ascii="宋体" w:hAnsi="宋体" w:cs="宋体"/>
                <w:szCs w:val="21"/>
                <w:highlight w:val="none"/>
              </w:rPr>
              <w:t>2. 10亿数据关键字查询结果响应时间</w:t>
            </w:r>
            <w:r>
              <w:rPr>
                <w:rFonts w:hint="eastAsia" w:ascii="宋体" w:hAnsi="宋体" w:cs="宋体"/>
                <w:szCs w:val="21"/>
                <w:highlight w:val="none"/>
                <w:lang w:eastAsia="zh-CN"/>
              </w:rPr>
              <w:t>小于</w:t>
            </w:r>
            <w:r>
              <w:rPr>
                <w:rFonts w:hint="eastAsia" w:ascii="宋体" w:hAnsi="宋体" w:cs="宋体"/>
                <w:szCs w:val="21"/>
                <w:highlight w:val="none"/>
              </w:rPr>
              <w:t>2秒。</w:t>
            </w:r>
          </w:p>
          <w:p>
            <w:pPr>
              <w:rPr>
                <w:rFonts w:ascii="宋体" w:hAnsi="宋体" w:cs="宋体"/>
                <w:szCs w:val="21"/>
                <w:highlight w:val="none"/>
              </w:rPr>
            </w:pPr>
            <w:r>
              <w:rPr>
                <w:rFonts w:hint="eastAsia" w:ascii="宋体" w:hAnsi="宋体" w:cs="宋体"/>
                <w:szCs w:val="21"/>
                <w:highlight w:val="none"/>
              </w:rPr>
              <w:t>3.单节点数据采集和处理性能</w:t>
            </w:r>
            <w:r>
              <w:rPr>
                <w:rFonts w:hint="eastAsia" w:ascii="宋体" w:hAnsi="宋体" w:cs="宋体"/>
                <w:szCs w:val="21"/>
                <w:highlight w:val="none"/>
                <w:lang w:eastAsia="zh-CN"/>
              </w:rPr>
              <w:t>不低于</w:t>
            </w:r>
            <w:r>
              <w:rPr>
                <w:rFonts w:hint="eastAsia" w:ascii="宋体" w:hAnsi="宋体" w:cs="宋体"/>
                <w:szCs w:val="21"/>
                <w:highlight w:val="none"/>
              </w:rPr>
              <w:t>15000EPS。</w:t>
            </w:r>
          </w:p>
        </w:tc>
      </w:tr>
      <w:tr>
        <w:trPr>
          <w:trHeight w:val="20" w:hRule="atLeast"/>
          <w:jc w:val="center"/>
        </w:trPr>
        <w:tc>
          <w:tcPr>
            <w:tcW w:w="548" w:type="pct"/>
            <w:vMerge w:val="restart"/>
            <w:shd w:val="clear" w:color="auto" w:fill="auto"/>
            <w:vAlign w:val="center"/>
          </w:tcPr>
          <w:p>
            <w:pPr>
              <w:rPr>
                <w:rFonts w:ascii="宋体" w:hAnsi="宋体" w:cs="宋体"/>
                <w:szCs w:val="21"/>
                <w:highlight w:val="none"/>
              </w:rPr>
            </w:pPr>
          </w:p>
        </w:tc>
        <w:tc>
          <w:tcPr>
            <w:tcW w:w="837" w:type="pc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大数据安全监测</w:t>
            </w: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具备对重要的大数据平台进行统一的监测的能力，具备摸清全市重点大数据平台数据状况及其使用情况的能力，包括并不限于同时实现对涉大数据平台的单位管理、大数据信息系统管理、大数据平台安全防护情况管理、涉大数据平台或信息系统的人员管理等的能力。</w:t>
            </w:r>
          </w:p>
          <w:p>
            <w:pPr>
              <w:rPr>
                <w:rFonts w:ascii="宋体" w:hAnsi="宋体" w:cs="宋体"/>
                <w:szCs w:val="21"/>
                <w:highlight w:val="none"/>
              </w:rPr>
            </w:pPr>
            <w:r>
              <w:rPr>
                <w:rFonts w:hint="eastAsia" w:ascii="宋体" w:hAnsi="宋体" w:cs="宋体"/>
                <w:szCs w:val="21"/>
                <w:highlight w:val="none"/>
              </w:rPr>
              <w:t>平台提供完整的单位管理解决方案，帮助用户直观、清晰、便捷的完成单位资产录入、资产概况总览和细分单位管理。</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云平台安全监测</w:t>
            </w: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具备云平台的日常网络安全监管的能力，包括并不限于监控、感知、应急全流程的安全监管机制功能。具备建立云平台全息档案的能力，具备实时感知云平台当前安全态势与外部安全威胁感知的能力。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资产数据治理</w:t>
            </w:r>
          </w:p>
        </w:tc>
        <w:tc>
          <w:tcPr>
            <w:tcW w:w="3614" w:type="pct"/>
            <w:shd w:val="clear" w:color="auto" w:fill="auto"/>
          </w:tcPr>
          <w:p>
            <w:pPr>
              <w:rPr>
                <w:rFonts w:ascii="宋体" w:hAnsi="宋体" w:cs="宋体"/>
                <w:szCs w:val="21"/>
                <w:highlight w:val="none"/>
              </w:rPr>
            </w:pPr>
            <w:bookmarkStart w:id="37" w:name="_Hlk147846368"/>
            <w:r>
              <w:rPr>
                <w:rFonts w:hint="eastAsia" w:ascii="宋体" w:hAnsi="宋体" w:cs="宋体"/>
                <w:szCs w:val="21"/>
                <w:highlight w:val="none"/>
              </w:rPr>
              <w:t>具备基于网络规划的</w:t>
            </w:r>
            <w:bookmarkEnd w:id="37"/>
            <w:r>
              <w:rPr>
                <w:rFonts w:hint="eastAsia" w:ascii="宋体" w:hAnsi="宋体" w:cs="宋体"/>
                <w:szCs w:val="21"/>
                <w:highlight w:val="none"/>
              </w:rPr>
              <w:t>资产主动探测的能力，包括并不限于明确到单位与责任人的能力。具备网络环境包括政务外网、互联网暴露面、兼顾行业专网提供系统可用性和无故障运行时间评估等的能力。具备资产普查一体化流程、自动发现、下发确认、信息补全、审核、归档、联动控制的能力，具备政务网的信息资产与安全资产的全面梳理的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平台</w:t>
            </w:r>
            <w:r>
              <w:rPr>
                <w:rFonts w:hint="eastAsia" w:ascii="宋体" w:hAnsi="宋体" w:cs="宋体"/>
                <w:szCs w:val="21"/>
                <w:highlight w:val="none"/>
                <w:lang w:eastAsia="zh-CN"/>
              </w:rPr>
              <w:t>配置</w:t>
            </w:r>
            <w:r>
              <w:rPr>
                <w:rFonts w:hint="eastAsia" w:ascii="宋体" w:hAnsi="宋体" w:cs="宋体"/>
                <w:szCs w:val="21"/>
                <w:highlight w:val="none"/>
              </w:rPr>
              <w:t>资产数据摸底解决方案</w:t>
            </w:r>
            <w:r>
              <w:rPr>
                <w:rFonts w:hint="eastAsia" w:ascii="宋体" w:hAnsi="宋体" w:cs="宋体"/>
                <w:szCs w:val="21"/>
                <w:highlight w:val="none"/>
                <w:lang w:val="en-US" w:eastAsia="zh-CN"/>
              </w:rPr>
              <w:t>功能</w:t>
            </w:r>
            <w:r>
              <w:rPr>
                <w:rFonts w:hint="eastAsia" w:ascii="宋体" w:hAnsi="宋体" w:cs="宋体"/>
                <w:szCs w:val="21"/>
                <w:highlight w:val="none"/>
              </w:rPr>
              <w:t>，实现资产检索、探查、研判分析和源头分析。</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资产检索，</w:t>
            </w:r>
            <w:r>
              <w:rPr>
                <w:rFonts w:hint="eastAsia" w:ascii="宋体" w:hAnsi="宋体" w:cs="宋体"/>
                <w:szCs w:val="21"/>
                <w:highlight w:val="none"/>
                <w:lang w:eastAsia="zh-CN"/>
              </w:rPr>
              <w:t>配置</w:t>
            </w:r>
            <w:r>
              <w:rPr>
                <w:rFonts w:hint="eastAsia" w:ascii="宋体" w:hAnsi="宋体" w:cs="宋体"/>
                <w:szCs w:val="21"/>
                <w:highlight w:val="none"/>
              </w:rPr>
              <w:t>多种SQL语法组合检索</w:t>
            </w:r>
            <w:r>
              <w:rPr>
                <w:rFonts w:hint="eastAsia" w:ascii="宋体" w:hAnsi="宋体" w:cs="宋体"/>
                <w:szCs w:val="21"/>
                <w:highlight w:val="none"/>
                <w:lang w:val="en-US" w:eastAsia="zh-CN"/>
              </w:rPr>
              <w:t>功能</w:t>
            </w:r>
            <w:r>
              <w:rPr>
                <w:rFonts w:hint="eastAsia" w:ascii="宋体" w:hAnsi="宋体" w:cs="宋体"/>
                <w:szCs w:val="21"/>
                <w:highlight w:val="none"/>
              </w:rPr>
              <w:t>，包括“与”、“或”、“等于”、“存在”、“包含”等语法，</w:t>
            </w:r>
            <w:r>
              <w:rPr>
                <w:rFonts w:hint="eastAsia" w:ascii="宋体" w:hAnsi="宋体" w:cs="宋体"/>
                <w:szCs w:val="21"/>
                <w:highlight w:val="none"/>
                <w:lang w:eastAsia="zh-CN"/>
              </w:rPr>
              <w:t>配置</w:t>
            </w:r>
            <w:r>
              <w:rPr>
                <w:rFonts w:hint="eastAsia" w:ascii="宋体" w:hAnsi="宋体" w:cs="宋体"/>
                <w:szCs w:val="21"/>
                <w:highlight w:val="none"/>
              </w:rPr>
              <w:t>语法不少于14种，且具备语法示例，方便用户快速上手使用。</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资产展示，支持资产名称、资产类型、资产大类、资产小类、资产标签、单位名称、所属行业、地理位置、安全等级、事件名称、风险隐患名称、受攻击名称、等保等级等多个字段展示，并可自定义删减字段。</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资产详细信息，资产详细信息包括最后更新时间、有效性、服务商、注册名等不少于40个字段。</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资产数据多层研判</w:t>
            </w:r>
            <w:r>
              <w:rPr>
                <w:rFonts w:hint="eastAsia" w:ascii="宋体" w:hAnsi="宋体" w:cs="宋体"/>
                <w:szCs w:val="21"/>
                <w:highlight w:val="none"/>
                <w:lang w:val="en-US" w:eastAsia="zh-CN"/>
              </w:rPr>
              <w:t>功能</w:t>
            </w:r>
            <w:r>
              <w:rPr>
                <w:rFonts w:hint="eastAsia" w:ascii="宋体" w:hAnsi="宋体" w:cs="宋体"/>
                <w:szCs w:val="21"/>
                <w:highlight w:val="none"/>
              </w:rPr>
              <w:t>，用户可根据展示字段进行过滤和排除完成初步研判，同时可根据详细信息和原始数据进行深度研判。</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平台</w:t>
            </w:r>
            <w:r>
              <w:rPr>
                <w:rFonts w:hint="eastAsia" w:ascii="宋体" w:hAnsi="宋体" w:cs="宋体"/>
                <w:szCs w:val="21"/>
                <w:highlight w:val="none"/>
                <w:lang w:eastAsia="zh-CN"/>
              </w:rPr>
              <w:t>配置</w:t>
            </w:r>
            <w:r>
              <w:rPr>
                <w:rFonts w:hint="eastAsia" w:ascii="宋体" w:hAnsi="宋体" w:cs="宋体"/>
                <w:szCs w:val="21"/>
                <w:highlight w:val="none"/>
              </w:rPr>
              <w:t>资产探测任务管理</w:t>
            </w:r>
            <w:r>
              <w:rPr>
                <w:rFonts w:hint="eastAsia" w:ascii="宋体" w:hAnsi="宋体" w:cs="宋体"/>
                <w:szCs w:val="21"/>
                <w:highlight w:val="none"/>
                <w:lang w:val="en-US" w:eastAsia="zh-CN"/>
              </w:rPr>
              <w:t>功能</w:t>
            </w:r>
            <w:r>
              <w:rPr>
                <w:rFonts w:hint="eastAsia" w:ascii="宋体" w:hAnsi="宋体" w:cs="宋体"/>
                <w:szCs w:val="21"/>
                <w:highlight w:val="none"/>
              </w:rPr>
              <w:t>，支持探查任务新增、执行、停止、编辑、删除等功能。</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平台</w:t>
            </w:r>
            <w:r>
              <w:rPr>
                <w:rFonts w:hint="eastAsia" w:ascii="宋体" w:hAnsi="宋体" w:cs="宋体"/>
                <w:szCs w:val="21"/>
                <w:highlight w:val="none"/>
                <w:lang w:eastAsia="zh-CN"/>
              </w:rPr>
              <w:t>配置</w:t>
            </w:r>
            <w:r>
              <w:rPr>
                <w:rFonts w:hint="eastAsia" w:ascii="宋体" w:hAnsi="宋体" w:cs="宋体"/>
                <w:szCs w:val="21"/>
                <w:highlight w:val="none"/>
              </w:rPr>
              <w:t>任务名称和时间范围对探测任务进行检索</w:t>
            </w:r>
            <w:r>
              <w:rPr>
                <w:rFonts w:hint="eastAsia" w:ascii="宋体" w:hAnsi="宋体" w:cs="宋体"/>
                <w:szCs w:val="21"/>
                <w:highlight w:val="none"/>
                <w:lang w:val="en-US" w:eastAsia="zh-CN"/>
              </w:rPr>
              <w:t>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平台</w:t>
            </w:r>
            <w:r>
              <w:rPr>
                <w:rFonts w:hint="eastAsia" w:ascii="宋体" w:hAnsi="宋体" w:cs="宋体"/>
                <w:szCs w:val="21"/>
                <w:highlight w:val="none"/>
                <w:lang w:eastAsia="zh-CN"/>
              </w:rPr>
              <w:t>配置</w:t>
            </w:r>
            <w:r>
              <w:rPr>
                <w:rFonts w:hint="eastAsia" w:ascii="宋体" w:hAnsi="宋体" w:cs="宋体"/>
                <w:szCs w:val="21"/>
                <w:highlight w:val="none"/>
              </w:rPr>
              <w:t>根据探测任务状态标签对探测任务进行筛选</w:t>
            </w:r>
            <w:r>
              <w:rPr>
                <w:rFonts w:hint="eastAsia" w:ascii="宋体" w:hAnsi="宋体" w:cs="宋体"/>
                <w:szCs w:val="21"/>
                <w:highlight w:val="none"/>
                <w:lang w:val="en-US" w:eastAsia="zh-CN"/>
              </w:rPr>
              <w:t>功能</w:t>
            </w:r>
            <w:r>
              <w:rPr>
                <w:rFonts w:hint="eastAsia" w:ascii="宋体" w:hAnsi="宋体" w:cs="宋体"/>
                <w:szCs w:val="21"/>
                <w:highlight w:val="none"/>
              </w:rPr>
              <w:t>，包括执行状态、完成、停止、异常等状态标签。</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平台</w:t>
            </w:r>
            <w:r>
              <w:rPr>
                <w:rFonts w:hint="eastAsia" w:ascii="宋体" w:hAnsi="宋体" w:cs="宋体"/>
                <w:szCs w:val="21"/>
                <w:highlight w:val="none"/>
                <w:lang w:eastAsia="zh-CN"/>
              </w:rPr>
              <w:t>配置</w:t>
            </w:r>
            <w:r>
              <w:rPr>
                <w:rFonts w:hint="eastAsia" w:ascii="宋体" w:hAnsi="宋体" w:cs="宋体"/>
                <w:szCs w:val="21"/>
                <w:highlight w:val="none"/>
              </w:rPr>
              <w:t>查看探测任务结果查看</w:t>
            </w:r>
            <w:r>
              <w:rPr>
                <w:rFonts w:hint="eastAsia" w:ascii="宋体" w:hAnsi="宋体" w:cs="宋体"/>
                <w:szCs w:val="21"/>
                <w:highlight w:val="none"/>
                <w:lang w:val="en-US" w:eastAsia="zh-CN"/>
              </w:rPr>
              <w:t>功能</w:t>
            </w:r>
            <w:r>
              <w:rPr>
                <w:rFonts w:hint="eastAsia" w:ascii="宋体" w:hAnsi="宋体" w:cs="宋体"/>
                <w:szCs w:val="21"/>
                <w:highlight w:val="none"/>
              </w:rPr>
              <w:t>，一键查看任务详情、任务结果以及存在问题。</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检查督查</w:t>
            </w:r>
          </w:p>
        </w:tc>
        <w:tc>
          <w:tcPr>
            <w:tcW w:w="3614" w:type="pct"/>
            <w:shd w:val="clear" w:color="auto" w:fill="auto"/>
          </w:tcPr>
          <w:p>
            <w:pPr>
              <w:rPr>
                <w:rFonts w:ascii="宋体" w:hAnsi="宋体" w:cs="宋体"/>
                <w:szCs w:val="21"/>
                <w:highlight w:val="none"/>
              </w:rPr>
            </w:pPr>
            <w:bookmarkStart w:id="38" w:name="_Hlk147846403"/>
            <w:r>
              <w:rPr>
                <w:rFonts w:hint="eastAsia" w:ascii="宋体" w:hAnsi="宋体" w:cs="宋体"/>
                <w:szCs w:val="21"/>
                <w:highlight w:val="none"/>
              </w:rPr>
              <w:t>具备实现线下检查</w:t>
            </w:r>
            <w:bookmarkEnd w:id="38"/>
            <w:r>
              <w:rPr>
                <w:rFonts w:hint="eastAsia" w:ascii="宋体" w:hAnsi="宋体" w:cs="宋体"/>
                <w:szCs w:val="21"/>
                <w:highlight w:val="none"/>
              </w:rPr>
              <w:t>、线上填报两个业务流程的能力，具备实现检查数据的在线采集和结果分析的能力，具备促进各单位积极开展安全管理工作和定期反馈资产情况的能力，具备配合专项线下检查工作任务的能力。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对单位自查、现场检查、远程检查任务发布情况、完成情况和逾期情况进行统计</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用户新建检查计划</w:t>
            </w:r>
            <w:r>
              <w:rPr>
                <w:rFonts w:hint="eastAsia" w:ascii="宋体" w:hAnsi="宋体" w:cs="宋体"/>
                <w:szCs w:val="21"/>
                <w:highlight w:val="none"/>
                <w:lang w:val="en-US" w:eastAsia="zh-CN"/>
              </w:rPr>
              <w:t>功能</w:t>
            </w:r>
            <w:r>
              <w:rPr>
                <w:rFonts w:hint="eastAsia" w:ascii="宋体" w:hAnsi="宋体" w:cs="宋体"/>
                <w:szCs w:val="21"/>
                <w:highlight w:val="none"/>
              </w:rPr>
              <w:t>，输入内容包括计划名、计划联络人、计划时间、计划标签等字段，同时</w:t>
            </w:r>
            <w:r>
              <w:rPr>
                <w:rFonts w:hint="eastAsia" w:ascii="宋体" w:hAnsi="宋体" w:cs="宋体"/>
                <w:szCs w:val="21"/>
                <w:highlight w:val="none"/>
                <w:lang w:eastAsia="zh-CN"/>
              </w:rPr>
              <w:t>配置</w:t>
            </w:r>
            <w:r>
              <w:rPr>
                <w:rFonts w:hint="eastAsia" w:ascii="宋体" w:hAnsi="宋体" w:cs="宋体"/>
                <w:szCs w:val="21"/>
                <w:highlight w:val="none"/>
              </w:rPr>
              <w:t>手动新建标签并为计划打标</w:t>
            </w:r>
            <w:r>
              <w:rPr>
                <w:rFonts w:hint="eastAsia" w:ascii="宋体" w:hAnsi="宋体" w:cs="宋体"/>
                <w:szCs w:val="21"/>
                <w:highlight w:val="none"/>
                <w:lang w:val="en-US" w:eastAsia="zh-CN"/>
              </w:rPr>
              <w:t>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在同一个现场检查任务下发时选择单位、系统等多个现场检查对象</w:t>
            </w:r>
            <w:r>
              <w:rPr>
                <w:rFonts w:hint="eastAsia" w:ascii="宋体" w:hAnsi="宋体" w:cs="宋体"/>
                <w:szCs w:val="21"/>
                <w:highlight w:val="none"/>
                <w:lang w:val="en-US" w:eastAsia="zh-CN"/>
              </w:rPr>
              <w:t>等功能</w:t>
            </w:r>
            <w:r>
              <w:rPr>
                <w:rFonts w:hint="eastAsia" w:ascii="宋体" w:hAnsi="宋体" w:cs="宋体"/>
                <w:szCs w:val="21"/>
                <w:highlight w:val="none"/>
              </w:rPr>
              <w:t>，同时支持针对每一个对象配置相关检查表单。</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对同一次远程检查任务新建时选择的属于同一个单位的多个系统自动合并成一个远程检查任务</w:t>
            </w:r>
            <w:r>
              <w:rPr>
                <w:rFonts w:hint="eastAsia" w:ascii="宋体" w:hAnsi="宋体" w:cs="宋体"/>
                <w:szCs w:val="21"/>
                <w:highlight w:val="none"/>
                <w:lang w:val="en-US" w:eastAsia="zh-CN"/>
              </w:rPr>
              <w:t>等功能</w:t>
            </w:r>
            <w:r>
              <w:rPr>
                <w:rFonts w:hint="eastAsia" w:ascii="宋体" w:hAnsi="宋体" w:cs="宋体"/>
                <w:szCs w:val="21"/>
                <w:highlight w:val="none"/>
              </w:rPr>
              <w:t>，在下发任务时支持选择特定的支撑单位。</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在同一个单位自查任务下发时选择单位、系统等多个自查对象</w:t>
            </w:r>
            <w:r>
              <w:rPr>
                <w:rFonts w:hint="eastAsia" w:ascii="宋体" w:hAnsi="宋体" w:cs="宋体"/>
                <w:szCs w:val="21"/>
                <w:highlight w:val="none"/>
                <w:lang w:val="en-US" w:eastAsia="zh-CN"/>
              </w:rPr>
              <w:t>等功能</w:t>
            </w:r>
            <w:r>
              <w:rPr>
                <w:rFonts w:hint="eastAsia" w:ascii="宋体" w:hAnsi="宋体" w:cs="宋体"/>
                <w:szCs w:val="21"/>
                <w:highlight w:val="none"/>
              </w:rPr>
              <w:t>，同时支持对每一个对象配置相关检查表单。</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在同一张检查表下新建多个检查模块</w:t>
            </w:r>
            <w:r>
              <w:rPr>
                <w:rFonts w:hint="eastAsia" w:ascii="宋体" w:hAnsi="宋体" w:cs="宋体"/>
                <w:szCs w:val="21"/>
                <w:highlight w:val="none"/>
                <w:lang w:val="en-US" w:eastAsia="zh-CN"/>
              </w:rPr>
              <w:t>等功能</w:t>
            </w:r>
            <w:r>
              <w:rPr>
                <w:rFonts w:hint="eastAsia" w:ascii="宋体" w:hAnsi="宋体" w:cs="宋体"/>
                <w:szCs w:val="21"/>
                <w:highlight w:val="none"/>
              </w:rPr>
              <w:t>，可为每个模块配置模块名称并导入相应的检查项。</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提供上移、下移等操作项，支持对检查模块下的检查项的顺序进行手动调整。</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通过查看动作对检查对象库中的单位关联的各类信息进行聚合展示</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指挥调度</w:t>
            </w: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具备构建网络空间全息地图的能力，包括并不限于实现网络安全态势挂图展示、网络安全通报预警、安全检查、指挥调度等业务挂图作战等。</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分析研判</w:t>
            </w:r>
          </w:p>
        </w:tc>
        <w:tc>
          <w:tcPr>
            <w:tcW w:w="3614" w:type="pct"/>
            <w:shd w:val="clear" w:color="auto" w:fill="auto"/>
          </w:tcPr>
          <w:p>
            <w:pPr>
              <w:rPr>
                <w:rFonts w:ascii="宋体" w:hAnsi="宋体" w:cs="宋体"/>
                <w:szCs w:val="21"/>
                <w:highlight w:val="none"/>
              </w:rPr>
            </w:pPr>
            <w:bookmarkStart w:id="39" w:name="_Hlk147846494"/>
            <w:r>
              <w:rPr>
                <w:rFonts w:hint="eastAsia" w:ascii="宋体" w:hAnsi="宋体" w:cs="宋体"/>
                <w:szCs w:val="21"/>
                <w:highlight w:val="none"/>
              </w:rPr>
              <w:t>具体包括规则模型</w:t>
            </w:r>
            <w:bookmarkEnd w:id="39"/>
            <w:r>
              <w:rPr>
                <w:rFonts w:hint="eastAsia" w:ascii="宋体" w:hAnsi="宋体" w:cs="宋体"/>
                <w:szCs w:val="21"/>
                <w:highlight w:val="none"/>
              </w:rPr>
              <w:t>、关联模型、统计模型、情报模型、离线模型等在内的不少于5大类安全分析模型的能力，具备实现AI高级分析、实体间网络互访关系的多级钻取能力，具备威胁关系一键溯源的能力。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界面化交互式完成安全建模</w:t>
            </w:r>
            <w:r>
              <w:rPr>
                <w:rFonts w:hint="eastAsia" w:ascii="宋体" w:hAnsi="宋体" w:cs="宋体"/>
                <w:szCs w:val="21"/>
                <w:highlight w:val="none"/>
                <w:lang w:val="en-US" w:eastAsia="zh-CN"/>
              </w:rPr>
              <w:t>等功能</w:t>
            </w:r>
            <w:r>
              <w:rPr>
                <w:rFonts w:hint="eastAsia" w:ascii="宋体" w:hAnsi="宋体" w:cs="宋体"/>
                <w:szCs w:val="21"/>
                <w:highlight w:val="none"/>
              </w:rPr>
              <w:t xml:space="preserve">，模型类型包括统计模型、规则模型、情报模型、关联模型、AI模型 </w:t>
            </w:r>
            <w:r>
              <w:rPr>
                <w:rFonts w:hint="eastAsia" w:ascii="宋体" w:hAnsi="宋体" w:cs="宋体"/>
                <w:szCs w:val="21"/>
                <w:highlight w:val="none"/>
                <w:lang w:eastAsia="zh-CN"/>
              </w:rPr>
              <w:t>不少于</w:t>
            </w:r>
            <w:r>
              <w:rPr>
                <w:rFonts w:hint="eastAsia" w:ascii="宋体" w:hAnsi="宋体" w:cs="宋体"/>
                <w:szCs w:val="21"/>
                <w:highlight w:val="none"/>
              </w:rPr>
              <w:t>5种；模型支持标签化管理，支持单个模型的启用禁用控制，支持一键查看模型的输出结果；多个模型可以形成串并联关系，前一个模型的输出结果可以作为后一个模型的输入。</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安全分析模型支持自定义新增，新添加的模型可选择适用的作用域，如全局通用、单选机构，如选择单选机构即选择应用的组织架构，可通过字段映射、静态值、模板、表达式等多种方式自定义分析模型的告警名称、威胁等级、告警类型、攻击链、可选字段、告警描述、处置建议等内容。</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实现实体间网络互访关系的多级钻取，支持通过端口、协议、异常访问类型、攻击链等过滤关联关系，支持实体间网络互访关系的多级钻取，通过“一键溯源”按钮进行威胁关系的自动拓展；</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报告内容自定义</w:t>
            </w:r>
            <w:r>
              <w:rPr>
                <w:rFonts w:hint="eastAsia" w:ascii="宋体" w:hAnsi="宋体" w:cs="宋体"/>
                <w:szCs w:val="21"/>
                <w:highlight w:val="none"/>
                <w:lang w:val="en-US" w:eastAsia="zh-CN"/>
              </w:rPr>
              <w:t>等功能</w:t>
            </w:r>
            <w:r>
              <w:rPr>
                <w:rFonts w:hint="eastAsia" w:ascii="宋体" w:hAnsi="宋体" w:cs="宋体"/>
                <w:szCs w:val="21"/>
                <w:highlight w:val="none"/>
              </w:rPr>
              <w:t>，包括标题、图表、报表自定义，其中支持的图表类型</w:t>
            </w:r>
            <w:r>
              <w:rPr>
                <w:rFonts w:hint="eastAsia" w:ascii="宋体" w:hAnsi="宋体" w:cs="宋体"/>
                <w:szCs w:val="21"/>
                <w:highlight w:val="none"/>
                <w:lang w:eastAsia="zh-CN"/>
              </w:rPr>
              <w:t>不少于</w:t>
            </w:r>
            <w:r>
              <w:rPr>
                <w:rFonts w:hint="eastAsia" w:ascii="宋体" w:hAnsi="宋体" w:cs="宋体"/>
                <w:szCs w:val="21"/>
                <w:highlight w:val="none"/>
              </w:rPr>
              <w:t>15种。</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安全专项</w:t>
            </w: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具备互联网上的最新爆发的安全漏洞或者其他影响较大的安全隐患进行安全专项分析的能力，包括并不限于对可能受到影响的资产、行业、受影响的重要单位进行分析的能力，具备给各区域监管单位提供相关安全威胁隐患的数据的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2.情报专刊正文部分包含威胁隐患的发现背景介绍、影响范围评估和安全修复建议，影响范围评估通过图表形式展示影响行业、影响资产等信息。</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情报专刊详情数据支持界面化展示和导出Excel文件，数据内容包括漏洞类型、影响资产IP、端口、协议、厂商、IP区域、归属者、用户场景、资产单位、发现时间等信息，支持一键验证和发起通报</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手动录入自身发现及第三方厂商的情报专项报告</w:t>
            </w:r>
            <w:r>
              <w:rPr>
                <w:rFonts w:hint="eastAsia" w:ascii="宋体" w:hAnsi="宋体" w:cs="宋体"/>
                <w:szCs w:val="21"/>
                <w:highlight w:val="none"/>
                <w:lang w:val="en-US" w:eastAsia="zh-CN"/>
              </w:rPr>
              <w:t>等功能</w:t>
            </w:r>
            <w:r>
              <w:rPr>
                <w:rFonts w:hint="eastAsia" w:ascii="宋体" w:hAnsi="宋体" w:cs="宋体"/>
                <w:szCs w:val="21"/>
                <w:highlight w:val="none"/>
              </w:rPr>
              <w:t>，录入项包括但不限于报告名称、编号、专题大类、专题小类、发现厂商、标签、背景介绍、安全建议、附件，并</w:t>
            </w:r>
            <w:r>
              <w:rPr>
                <w:rFonts w:hint="eastAsia" w:ascii="宋体" w:hAnsi="宋体" w:cs="宋体"/>
                <w:szCs w:val="21"/>
                <w:highlight w:val="none"/>
                <w:lang w:eastAsia="zh-CN"/>
              </w:rPr>
              <w:t>配置</w:t>
            </w:r>
            <w:r>
              <w:rPr>
                <w:rFonts w:hint="eastAsia" w:ascii="宋体" w:hAnsi="宋体" w:cs="宋体"/>
                <w:szCs w:val="21"/>
                <w:highlight w:val="none"/>
              </w:rPr>
              <w:t>编辑、删除等操作</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手动录入自身发现及第三方厂商的流量分析报告</w:t>
            </w:r>
            <w:r>
              <w:rPr>
                <w:rFonts w:hint="eastAsia" w:ascii="宋体" w:hAnsi="宋体" w:cs="宋体"/>
                <w:szCs w:val="21"/>
                <w:highlight w:val="none"/>
                <w:lang w:val="en-US" w:eastAsia="zh-CN"/>
              </w:rPr>
              <w:t>等功能</w:t>
            </w:r>
            <w:r>
              <w:rPr>
                <w:rFonts w:hint="eastAsia" w:ascii="宋体" w:hAnsi="宋体" w:cs="宋体"/>
                <w:szCs w:val="21"/>
                <w:highlight w:val="none"/>
              </w:rPr>
              <w:t>，录入项包括但不限于报告名称、编号、分析类型、事项类型、攻击类型、受害目标、发现厂商、标签、概述、安全建议、附件，并支持编辑、删除等操作。</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接入人工分析推送的情报专项报告和流量分析报告</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威胁情报模块</w:t>
            </w: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具备云端威胁情报订阅功能模块：包括并不限于内置威胁情报离线库及更新功能；具备采用情报数据进行实时检测防御等能力；具备在线查询与溯源的能力：包括并不限于云端提供对IoC威胁类型、多源情报、WHOIS、开放端口、SSL证书等多维度的溯源分析的能力；具备云端服务的能力：包括并不限于订阅高级威胁分析情报、云端提供最新APT入侵、0day漏洞预警、病毒变种情况等分析报告订阅的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用户自建行业情报库</w:t>
            </w:r>
            <w:r>
              <w:rPr>
                <w:rFonts w:hint="eastAsia" w:ascii="宋体" w:hAnsi="宋体" w:cs="宋体"/>
                <w:szCs w:val="21"/>
                <w:highlight w:val="none"/>
                <w:lang w:val="en-US" w:eastAsia="zh-CN"/>
              </w:rPr>
              <w:t>等功能</w:t>
            </w:r>
            <w:r>
              <w:rPr>
                <w:rFonts w:hint="eastAsia" w:ascii="宋体" w:hAnsi="宋体" w:cs="宋体"/>
                <w:szCs w:val="21"/>
                <w:highlight w:val="none"/>
              </w:rPr>
              <w:t>，自建情报库支持增删改查、导入、导出。</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情报库支持</w:t>
            </w:r>
            <w:r>
              <w:rPr>
                <w:rFonts w:hint="eastAsia" w:ascii="宋体" w:hAnsi="宋体" w:cs="宋体"/>
                <w:szCs w:val="21"/>
                <w:highlight w:val="none"/>
                <w:lang w:val="en-US" w:eastAsia="zh-CN"/>
              </w:rPr>
              <w:t>不少于</w:t>
            </w:r>
            <w:r>
              <w:rPr>
                <w:rFonts w:hint="eastAsia" w:ascii="宋体" w:hAnsi="宋体" w:cs="宋体"/>
                <w:szCs w:val="21"/>
                <w:highlight w:val="none"/>
              </w:rPr>
              <w:t>4种IOC类型，IP、域名、文件HASH、邮箱。</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情报类型&gt;=4种，包括恶意、监管、黑客组织等，支持的情报标签类型&gt;=10种，包括安全事件、行为、威胁主体、攻击目标、应对措施、观测数据、可疑的、事件、家族、组织、攻击方法、攻击活动、攻击指标、其他等，每条情报支持包含多个情报标签。</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情报查询</w:t>
            </w:r>
            <w:r>
              <w:rPr>
                <w:rFonts w:hint="eastAsia" w:ascii="宋体" w:hAnsi="宋体" w:cs="宋体"/>
                <w:szCs w:val="21"/>
                <w:highlight w:val="none"/>
                <w:lang w:eastAsia="zh-CN"/>
              </w:rPr>
              <w:t>配置</w:t>
            </w:r>
            <w:r>
              <w:rPr>
                <w:rFonts w:hint="eastAsia" w:ascii="宋体" w:hAnsi="宋体" w:cs="宋体"/>
                <w:szCs w:val="21"/>
                <w:highlight w:val="none"/>
              </w:rPr>
              <w:t>通过IOC同时跨越多个情报源查询</w:t>
            </w:r>
            <w:r>
              <w:rPr>
                <w:rFonts w:hint="eastAsia" w:ascii="宋体" w:hAnsi="宋体" w:cs="宋体"/>
                <w:szCs w:val="21"/>
                <w:highlight w:val="none"/>
                <w:lang w:val="en-US" w:eastAsia="zh-CN"/>
              </w:rPr>
              <w:t>等功能</w:t>
            </w:r>
            <w:r>
              <w:rPr>
                <w:rFonts w:hint="eastAsia" w:ascii="宋体" w:hAnsi="宋体" w:cs="宋体"/>
                <w:szCs w:val="21"/>
                <w:highlight w:val="none"/>
              </w:rPr>
              <w:t>，结果汇总展示。</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情报查询结果</w:t>
            </w:r>
            <w:r>
              <w:rPr>
                <w:rFonts w:hint="eastAsia" w:ascii="宋体" w:hAnsi="宋体" w:cs="宋体"/>
                <w:szCs w:val="21"/>
                <w:highlight w:val="none"/>
                <w:lang w:eastAsia="zh-CN"/>
              </w:rPr>
              <w:t>配置</w:t>
            </w:r>
            <w:r>
              <w:rPr>
                <w:rFonts w:hint="eastAsia" w:ascii="宋体" w:hAnsi="宋体" w:cs="宋体"/>
                <w:szCs w:val="21"/>
                <w:highlight w:val="none"/>
              </w:rPr>
              <w:t>跳转到云端和第三方威胁情报库交叉验证</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情报IOC</w:t>
            </w:r>
            <w:r>
              <w:rPr>
                <w:rFonts w:hint="eastAsia" w:ascii="宋体" w:hAnsi="宋体" w:cs="宋体"/>
                <w:szCs w:val="21"/>
                <w:highlight w:val="none"/>
                <w:lang w:eastAsia="zh-CN"/>
              </w:rPr>
              <w:t>配置</w:t>
            </w:r>
            <w:r>
              <w:rPr>
                <w:rFonts w:hint="eastAsia" w:ascii="宋体" w:hAnsi="宋体" w:cs="宋体"/>
                <w:szCs w:val="21"/>
                <w:highlight w:val="none"/>
              </w:rPr>
              <w:t>与原始日志和威胁告警中的源IP、目的IP、域名等&gt;20个字段进行碰撞并产生告警。</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碰撞情报IOC</w:t>
            </w:r>
            <w:r>
              <w:rPr>
                <w:rFonts w:hint="eastAsia" w:ascii="宋体" w:hAnsi="宋体" w:cs="宋体"/>
                <w:szCs w:val="21"/>
                <w:highlight w:val="none"/>
                <w:lang w:eastAsia="zh-CN"/>
              </w:rPr>
              <w:t>配置</w:t>
            </w:r>
            <w:r>
              <w:rPr>
                <w:rFonts w:hint="eastAsia" w:ascii="宋体" w:hAnsi="宋体" w:cs="宋体"/>
                <w:szCs w:val="21"/>
                <w:highlight w:val="none"/>
              </w:rPr>
              <w:t>通过情报源、IOC类型、标签、置信度筛选</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情报告警名称</w:t>
            </w:r>
            <w:r>
              <w:rPr>
                <w:rFonts w:hint="eastAsia" w:ascii="宋体" w:hAnsi="宋体" w:cs="宋体"/>
                <w:szCs w:val="21"/>
                <w:highlight w:val="none"/>
                <w:lang w:eastAsia="zh-CN"/>
              </w:rPr>
              <w:t>配置</w:t>
            </w:r>
            <w:r>
              <w:rPr>
                <w:rFonts w:hint="eastAsia" w:ascii="宋体" w:hAnsi="宋体" w:cs="宋体"/>
                <w:szCs w:val="21"/>
                <w:highlight w:val="none"/>
              </w:rPr>
              <w:t>修改</w:t>
            </w:r>
            <w:r>
              <w:rPr>
                <w:rFonts w:hint="eastAsia" w:ascii="宋体" w:hAnsi="宋体" w:cs="宋体"/>
                <w:szCs w:val="21"/>
                <w:highlight w:val="none"/>
                <w:lang w:val="en-US" w:eastAsia="zh-CN"/>
              </w:rPr>
              <w:t>等功能</w:t>
            </w:r>
            <w:r>
              <w:rPr>
                <w:rFonts w:hint="eastAsia" w:ascii="宋体" w:hAnsi="宋体" w:cs="宋体"/>
                <w:szCs w:val="21"/>
                <w:highlight w:val="none"/>
              </w:rPr>
              <w:t>，无效情报</w:t>
            </w:r>
            <w:r>
              <w:rPr>
                <w:rFonts w:hint="eastAsia" w:ascii="宋体" w:hAnsi="宋体" w:cs="宋体"/>
                <w:szCs w:val="21"/>
                <w:highlight w:val="none"/>
                <w:lang w:eastAsia="zh-CN"/>
              </w:rPr>
              <w:t>配置</w:t>
            </w:r>
            <w:r>
              <w:rPr>
                <w:rFonts w:hint="eastAsia" w:ascii="宋体" w:hAnsi="宋体" w:cs="宋体"/>
                <w:szCs w:val="21"/>
                <w:highlight w:val="none"/>
              </w:rPr>
              <w:t>单条禁用</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情报碰撞结果</w:t>
            </w:r>
            <w:r>
              <w:rPr>
                <w:rFonts w:hint="eastAsia" w:ascii="宋体" w:hAnsi="宋体" w:cs="宋体"/>
                <w:szCs w:val="21"/>
                <w:highlight w:val="none"/>
                <w:lang w:eastAsia="zh-CN"/>
              </w:rPr>
              <w:t>配置</w:t>
            </w:r>
            <w:r>
              <w:rPr>
                <w:rFonts w:hint="eastAsia" w:ascii="宋体" w:hAnsi="宋体" w:cs="宋体"/>
                <w:szCs w:val="21"/>
                <w:highlight w:val="none"/>
              </w:rPr>
              <w:t>聚合方式查看威胁来源</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统计情报源碰撞命中情报数量</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rPr>
                <w:rFonts w:ascii="宋体" w:hAnsi="宋体" w:cs="宋体"/>
                <w:szCs w:val="21"/>
                <w:highlight w:val="none"/>
              </w:rPr>
            </w:pPr>
            <w:r>
              <w:rPr>
                <w:rFonts w:hint="eastAsia" w:ascii="宋体" w:hAnsi="宋体" w:cs="宋体"/>
                <w:szCs w:val="21"/>
                <w:highlight w:val="none"/>
              </w:rPr>
              <w:t>重大安保</w:t>
            </w: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具备实现重大活动保障前期、中期、后期分阶段的任务管理的能力，具备保障预案管理的能力，包括并不限于对重点单位/系统、技术支撑单位、人员、探针、驻点排班等静态数据的管理以及对安保检查、通报处置、应急处置、安保巡检、指挥调度等业务支撑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新建活动</w:t>
            </w:r>
            <w:r>
              <w:rPr>
                <w:rFonts w:hint="eastAsia" w:ascii="宋体" w:hAnsi="宋体" w:cs="宋体"/>
                <w:szCs w:val="21"/>
                <w:highlight w:val="none"/>
                <w:lang w:val="en-US" w:eastAsia="zh-CN"/>
              </w:rPr>
              <w:t>等功能</w:t>
            </w:r>
            <w:r>
              <w:rPr>
                <w:rFonts w:hint="eastAsia" w:ascii="宋体" w:hAnsi="宋体" w:cs="宋体"/>
                <w:szCs w:val="21"/>
                <w:highlight w:val="none"/>
              </w:rPr>
              <w:t>，包括活动名称、活动地点、摸底、临战、备战、决战阶段的时间进度、活动负责人及联系方式、活动描述，同时支持编辑、删除、结束活动。</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rPr>
              <w:t>说明指挥人员的作用，指挥人员是安保活动的组织领导人员，负责领导和决策安保活动的重大事宜，包括提供筹备组织、制度信息，指挥调度安保活动。</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说明指挥单位的作用</w:t>
            </w:r>
            <w:r>
              <w:rPr>
                <w:rFonts w:hint="eastAsia" w:ascii="宋体" w:hAnsi="宋体" w:cs="宋体"/>
                <w:szCs w:val="21"/>
                <w:highlight w:val="none"/>
                <w:lang w:val="en-US" w:eastAsia="zh-CN"/>
              </w:rPr>
              <w:t>等功能</w:t>
            </w:r>
            <w:r>
              <w:rPr>
                <w:rFonts w:hint="eastAsia" w:ascii="宋体" w:hAnsi="宋体" w:cs="宋体"/>
                <w:szCs w:val="21"/>
                <w:highlight w:val="none"/>
              </w:rPr>
              <w:t>，指挥单位是安保活动的组织领导机构，负责领导和决策安保活动的重大事宜，包括提供筹备组织、制度信息，指挥调度安保活动。</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说明安保人员的作用</w:t>
            </w:r>
            <w:r>
              <w:rPr>
                <w:rFonts w:hint="eastAsia" w:ascii="宋体" w:hAnsi="宋体" w:cs="宋体"/>
                <w:szCs w:val="21"/>
                <w:highlight w:val="none"/>
                <w:lang w:val="en-US" w:eastAsia="zh-CN"/>
              </w:rPr>
              <w:t>等功能</w:t>
            </w:r>
            <w:r>
              <w:rPr>
                <w:rFonts w:hint="eastAsia" w:ascii="宋体" w:hAnsi="宋体" w:cs="宋体"/>
                <w:szCs w:val="21"/>
                <w:highlight w:val="none"/>
              </w:rPr>
              <w:t>，安保人员是安保活动的被监管单位人员，负责安保系统的日常管理和维护，落实保障工作，参与应急演练和培训，以及处置安全事件和应急事件。</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说明安保驻点的作用</w:t>
            </w:r>
            <w:r>
              <w:rPr>
                <w:rFonts w:hint="eastAsia" w:ascii="宋体" w:hAnsi="宋体" w:cs="宋体"/>
                <w:szCs w:val="21"/>
                <w:highlight w:val="none"/>
                <w:lang w:val="en-US" w:eastAsia="zh-CN"/>
              </w:rPr>
              <w:t>等功能</w:t>
            </w:r>
            <w:r>
              <w:rPr>
                <w:rFonts w:hint="eastAsia" w:ascii="宋体" w:hAnsi="宋体" w:cs="宋体"/>
                <w:szCs w:val="21"/>
                <w:highlight w:val="none"/>
              </w:rPr>
              <w:t>，安保驻点是从指挥中心、安保目标、支撑力量三大角色的人员中选调到安保活动现场驻点，负责驻点的安全运行。</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指挥人员发布正式的公开的信息至该次活动全部参与单位、人员以便实现重大安全事件信息的及时披露和共享</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查看总体驻点报平安情况，驻点人员签到、签退情况</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查看单个驻点的具体安全情况</w:t>
            </w:r>
            <w:r>
              <w:rPr>
                <w:rFonts w:hint="eastAsia" w:ascii="宋体" w:hAnsi="宋体" w:cs="宋体"/>
                <w:szCs w:val="21"/>
                <w:highlight w:val="none"/>
                <w:lang w:val="en-US" w:eastAsia="zh-CN"/>
              </w:rPr>
              <w:t>等功能</w:t>
            </w:r>
            <w:r>
              <w:rPr>
                <w:rFonts w:hint="eastAsia" w:ascii="宋体" w:hAnsi="宋体" w:cs="宋体"/>
                <w:szCs w:val="21"/>
                <w:highlight w:val="none"/>
              </w:rPr>
              <w:t>，包括但不限于驻点基本信息、报平安情况、保障单位信息、驻点人员信息、关联探针信息。</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rPr>
                <w:rFonts w:ascii="宋体" w:hAnsi="宋体" w:cs="宋体"/>
                <w:szCs w:val="21"/>
                <w:highlight w:val="none"/>
              </w:rPr>
            </w:pPr>
            <w:r>
              <w:rPr>
                <w:rFonts w:hint="eastAsia" w:ascii="宋体" w:hAnsi="宋体" w:cs="宋体"/>
                <w:szCs w:val="21"/>
                <w:highlight w:val="none"/>
              </w:rPr>
              <w:t>考核评价</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具备构建常态化网络安全综治考核、日常考核工作机制等能力，包括并不限于针对不同被监管对象建立对应的网络安全检查指标库，实现管理统计、工作质量考核、安全评价、综治考评等功能，具备按不同时间周期提供考核报告的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对考评任务排名等功能，支持展示考评任务单位排名、展示各分数等级分布；支持展示单位排名总分列表，包括单位名称、所属区域、单位类型、单位联系人、联系方式、单位直属性质、得分等；支持展示单位排名各项列表，包括单位名称及各一级评估项小计；支持通过单位名称、单位直属性质查询单位；支持下载排名明细，包括单位总分、排名情况及各评估项得分明细。</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考评项类型支持自动填报、多选、单选、填写、附件上传等；自动填报的考评项来源包括监测事件、监测风险、资产管理、通报处置等，并支持自定义自动填报考评项条件。</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暂存、提交、重复提交考评表材料项、备注项填报单位任务</w:t>
            </w:r>
            <w:r>
              <w:rPr>
                <w:rFonts w:hint="eastAsia" w:ascii="宋体" w:hAnsi="宋体" w:cs="宋体"/>
                <w:szCs w:val="21"/>
                <w:highlight w:val="none"/>
                <w:lang w:val="en-US" w:eastAsia="zh-CN"/>
              </w:rPr>
              <w:t>等功能</w:t>
            </w:r>
            <w:r>
              <w:rPr>
                <w:rFonts w:hint="eastAsia" w:ascii="宋体" w:hAnsi="宋体" w:cs="宋体"/>
                <w:szCs w:val="21"/>
                <w:highlight w:val="none"/>
              </w:rPr>
              <w:t>；支持根据填报情况自动计算预得分、材料完整度；支持展示任务信息，包括任务状态、任务时间、单位填报时间、任务说明、任务联络人及其联系方式、任务附件；支持展示单位任务状态及状态变更时间；支持查看单位任务记录，包括新建/启动/办结任务操作的操作时间、操作账号及其所属单位、考评任务名称和提交/操作的操作时间、操作账号。</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对风险隐患、安全事件、通报情况三个维度设置考评规则表</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具备构建常态化网络安全综治考核、日常考核工作机制等能力，包括并不限于针对不同被监管对象建立对应的网络安全检查指标库，实现管理统计、工作质量考核、安全评价、综治考评等功能，具备按不同时间周期提供考核报告的能力。</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对考评任务排名等功能，支持展示考评任务单位排名、展示各分数等级分布；支持展示单位排名总分列表，包括单位名称、所属区域、单位类型、单位联系人、联系方式、单位直属性质、得分等；支持展示单位排名各项列表，包括单位名称及各一级评估项小计；支持通过单位名称、单位直属性质查询单位；支持下载排名明细，包括单位总分、排名情况及各评估项得分明细。</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考评项类型</w:t>
            </w:r>
            <w:r>
              <w:rPr>
                <w:rFonts w:hint="eastAsia" w:ascii="宋体" w:hAnsi="宋体" w:cs="宋体"/>
                <w:szCs w:val="21"/>
                <w:highlight w:val="none"/>
                <w:lang w:eastAsia="zh-CN"/>
              </w:rPr>
              <w:t>配置</w:t>
            </w:r>
            <w:r>
              <w:rPr>
                <w:rFonts w:hint="eastAsia" w:ascii="宋体" w:hAnsi="宋体" w:cs="宋体"/>
                <w:szCs w:val="21"/>
                <w:highlight w:val="none"/>
              </w:rPr>
              <w:t>自动填报、多选、单选、填写、附件上传</w:t>
            </w:r>
            <w:r>
              <w:rPr>
                <w:rFonts w:hint="eastAsia" w:ascii="宋体" w:hAnsi="宋体" w:cs="宋体"/>
                <w:szCs w:val="21"/>
                <w:highlight w:val="none"/>
                <w:lang w:val="en-US" w:eastAsia="zh-CN"/>
              </w:rPr>
              <w:t>等功能</w:t>
            </w:r>
            <w:r>
              <w:rPr>
                <w:rFonts w:hint="eastAsia" w:ascii="宋体" w:hAnsi="宋体" w:cs="宋体"/>
                <w:szCs w:val="21"/>
                <w:highlight w:val="none"/>
              </w:rPr>
              <w:t>；自动填报的考评项来源包括监测事件、监测风险、资产管理、通报处置等，并支持自定义自动填报考评项条件。</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暂存、提交、重复提交考评表材料项、备注项填报单位任务</w:t>
            </w:r>
            <w:r>
              <w:rPr>
                <w:rFonts w:hint="eastAsia" w:ascii="宋体" w:hAnsi="宋体" w:cs="宋体"/>
                <w:szCs w:val="21"/>
                <w:highlight w:val="none"/>
                <w:lang w:val="en-US" w:eastAsia="zh-CN"/>
              </w:rPr>
              <w:t>等功能</w:t>
            </w:r>
            <w:r>
              <w:rPr>
                <w:rFonts w:hint="eastAsia" w:ascii="宋体" w:hAnsi="宋体" w:cs="宋体"/>
                <w:szCs w:val="21"/>
                <w:highlight w:val="none"/>
              </w:rPr>
              <w:t>；支持根据填报情况自动计算预得分、材料完整度；支持展示任务信息，包括任务状态、任务时间、单位填报时间、任务说明、任务联络人及其联系方式、任务附件；支持展示单位任务状态及状态变更时间；支持查看单位任务记录，包括新建/启动/办结任务操作的操作时间、操作账号及其所属单位、考评任务名称和提交/操作的操作时间、操作账号。</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jc w:val="center"/>
              <w:rPr>
                <w:rFonts w:ascii="宋体" w:hAnsi="宋体" w:cs="宋体"/>
                <w:szCs w:val="21"/>
                <w:highlight w:val="none"/>
              </w:rPr>
            </w:pP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对风险隐患、安全事件、通报情况三个维度设置考评规则表</w:t>
            </w:r>
            <w:r>
              <w:rPr>
                <w:rFonts w:hint="eastAsia" w:ascii="宋体" w:hAnsi="宋体" w:cs="宋体"/>
                <w:szCs w:val="21"/>
                <w:highlight w:val="none"/>
                <w:lang w:val="en-US" w:eastAsia="zh-CN"/>
              </w:rPr>
              <w:t>等功能</w:t>
            </w:r>
            <w:r>
              <w:rPr>
                <w:rFonts w:hint="eastAsia" w:ascii="宋体" w:hAnsi="宋体" w:cs="宋体"/>
                <w:szCs w:val="21"/>
                <w:highlight w:val="none"/>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机器学习</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lang w:val="en-US" w:eastAsia="zh-CN"/>
              </w:rPr>
              <w:t>市场主流的</w:t>
            </w:r>
            <w:r>
              <w:rPr>
                <w:rFonts w:hint="eastAsia" w:ascii="宋体" w:hAnsi="宋体" w:cs="宋体"/>
                <w:szCs w:val="21"/>
                <w:highlight w:val="none"/>
              </w:rPr>
              <w:t>长周期高级机器学习算法</w:t>
            </w:r>
            <w:r>
              <w:rPr>
                <w:rFonts w:hint="eastAsia" w:ascii="宋体" w:hAnsi="宋体" w:cs="宋体"/>
                <w:szCs w:val="21"/>
                <w:highlight w:val="none"/>
                <w:lang w:val="en-US" w:eastAsia="zh-CN"/>
              </w:rPr>
              <w:t>等功能</w:t>
            </w:r>
          </w:p>
        </w:tc>
      </w:tr>
      <w:tr>
        <w:trPr>
          <w:trHeight w:val="20" w:hRule="atLeast"/>
          <w:jc w:val="center"/>
        </w:trPr>
        <w:tc>
          <w:tcPr>
            <w:tcW w:w="548" w:type="pct"/>
            <w:vMerge w:val="restart"/>
            <w:shd w:val="clear" w:color="auto" w:fill="auto"/>
            <w:vAlign w:val="center"/>
          </w:tcPr>
          <w:p>
            <w:pPr>
              <w:rPr>
                <w:rFonts w:ascii="宋体" w:hAnsi="宋体" w:cs="宋体"/>
                <w:szCs w:val="21"/>
                <w:highlight w:val="none"/>
              </w:rPr>
            </w:pPr>
            <w:r>
              <w:rPr>
                <w:rFonts w:hint="eastAsia" w:ascii="宋体" w:hAnsi="宋体" w:cs="宋体"/>
                <w:szCs w:val="21"/>
                <w:highlight w:val="none"/>
              </w:rPr>
              <w:t>全链路流量</w:t>
            </w:r>
            <w:bookmarkStart w:id="40" w:name="_Hlk147847689"/>
            <w:r>
              <w:rPr>
                <w:rFonts w:hint="eastAsia" w:ascii="宋体" w:hAnsi="宋体" w:cs="宋体"/>
                <w:szCs w:val="21"/>
                <w:highlight w:val="none"/>
              </w:rPr>
              <w:t>监测</w:t>
            </w:r>
            <w:bookmarkEnd w:id="40"/>
            <w:r>
              <w:rPr>
                <w:rFonts w:hint="eastAsia" w:ascii="宋体" w:hAnsi="宋体" w:cs="宋体"/>
                <w:szCs w:val="21"/>
                <w:highlight w:val="none"/>
              </w:rPr>
              <w:t>模块</w:t>
            </w: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硬件规格</w:t>
            </w:r>
          </w:p>
        </w:tc>
        <w:tc>
          <w:tcPr>
            <w:tcW w:w="3614" w:type="pct"/>
            <w:shd w:val="clear" w:color="auto" w:fill="auto"/>
            <w:vAlign w:val="center"/>
          </w:tcPr>
          <w:p>
            <w:pPr>
              <w:rPr>
                <w:rFonts w:hint="eastAsia" w:ascii="宋体" w:hAnsi="宋体" w:eastAsia="宋体" w:cs="宋体"/>
                <w:szCs w:val="21"/>
                <w:highlight w:val="none"/>
                <w:lang w:eastAsia="zh-CN"/>
              </w:rPr>
            </w:pPr>
            <w:r>
              <w:rPr>
                <w:rFonts w:hint="eastAsia" w:ascii="宋体" w:hAnsi="宋体" w:cs="宋体"/>
                <w:szCs w:val="21"/>
                <w:highlight w:val="none"/>
                <w:lang w:eastAsia="zh-CN"/>
              </w:rPr>
              <w:t>网口：千兆电口不少于4个，万兆光口不少于2个（含2个万兆多模光模块） 吞吐率：网络层不少于5Gbps；硬盘容量： 不少于12T  ；内存：不少于64G ，USB口：USB2.0口不少于2个，电源：1+1热插拔冗余电源。国产化操作系统，具备配置全链路流量监测模块部署所需的一切软件、硬件配件等，含三年产品原厂标准维保服务，硬盘不返厂服务。</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全流量检测</w:t>
            </w:r>
          </w:p>
        </w:tc>
        <w:tc>
          <w:tcPr>
            <w:tcW w:w="3614" w:type="pct"/>
            <w:shd w:val="clear" w:color="auto" w:fill="auto"/>
            <w:vAlign w:val="center"/>
          </w:tcPr>
          <w:p>
            <w:pPr>
              <w:rPr>
                <w:rFonts w:hint="eastAsia" w:ascii="宋体" w:hAnsi="宋体" w:eastAsia="宋体" w:cs="宋体"/>
                <w:szCs w:val="21"/>
                <w:highlight w:val="none"/>
                <w:lang w:eastAsia="zh-CN"/>
              </w:rPr>
            </w:pPr>
            <w:r>
              <w:rPr>
                <w:rFonts w:hint="eastAsia" w:ascii="宋体" w:hAnsi="宋体" w:cs="宋体"/>
                <w:szCs w:val="21"/>
                <w:highlight w:val="none"/>
                <w:lang w:eastAsia="zh-CN"/>
              </w:rPr>
              <w:t>配置</w:t>
            </w:r>
            <w:r>
              <w:rPr>
                <w:rFonts w:hint="eastAsia" w:ascii="宋体" w:hAnsi="宋体" w:cs="宋体"/>
                <w:szCs w:val="21"/>
                <w:highlight w:val="none"/>
              </w:rPr>
              <w:t>全流量检测，可根据需求打开或关闭全流量检测功能</w:t>
            </w:r>
            <w:r>
              <w:rPr>
                <w:rFonts w:hint="eastAsia" w:ascii="宋体" w:hAnsi="宋体" w:cs="宋体"/>
                <w:szCs w:val="21"/>
                <w:highlight w:val="none"/>
                <w:lang w:eastAsia="zh-CN"/>
              </w:rPr>
              <w:t>。</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IPv4 &amp; IPv6网络</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支持IPv4和IPv6网络环境下的部署，可同时对IPv4和IPv6网络流量分析检测</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弱口令风险检测</w:t>
            </w:r>
          </w:p>
        </w:tc>
        <w:tc>
          <w:tcPr>
            <w:tcW w:w="3614" w:type="pct"/>
            <w:shd w:val="clear" w:color="auto" w:fill="auto"/>
            <w:vAlign w:val="center"/>
          </w:tcPr>
          <w:p>
            <w:pPr>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eastAsia="zh-CN"/>
              </w:rPr>
              <w:t>配置</w:t>
            </w:r>
            <w:r>
              <w:rPr>
                <w:rFonts w:hint="eastAsia" w:ascii="宋体" w:hAnsi="宋体" w:cs="宋体"/>
                <w:kern w:val="0"/>
                <w:szCs w:val="21"/>
                <w:highlight w:val="none"/>
              </w:rPr>
              <w:t>对HTTP、IMAP、SMTP、POP3、Redis、Telnet、FTP等协议的弱口令检测</w:t>
            </w:r>
            <w:r>
              <w:rPr>
                <w:rFonts w:hint="eastAsia" w:ascii="宋体" w:hAnsi="宋体" w:cs="宋体"/>
                <w:szCs w:val="21"/>
                <w:highlight w:val="none"/>
                <w:lang w:val="en-US" w:eastAsia="zh-CN"/>
              </w:rPr>
              <w:t>等功能</w:t>
            </w:r>
            <w:r>
              <w:rPr>
                <w:rFonts w:hint="eastAsia" w:ascii="宋体" w:hAnsi="宋体" w:cs="宋体"/>
                <w:kern w:val="0"/>
                <w:szCs w:val="21"/>
                <w:highlight w:val="none"/>
              </w:rPr>
              <w:t>（提供截图证明）</w:t>
            </w:r>
          </w:p>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自定义弱口令规则配置（最短口令长度、最少字符类型数）</w:t>
            </w:r>
            <w:r>
              <w:rPr>
                <w:rFonts w:hint="eastAsia" w:ascii="宋体" w:hAnsi="宋体" w:cs="宋体"/>
                <w:szCs w:val="21"/>
                <w:highlight w:val="none"/>
                <w:lang w:val="en-US" w:eastAsia="zh-CN"/>
              </w:rPr>
              <w:t>等功能</w:t>
            </w:r>
            <w:r>
              <w:rPr>
                <w:rFonts w:hint="eastAsia" w:ascii="宋体" w:hAnsi="宋体" w:cs="宋体"/>
                <w:szCs w:val="21"/>
                <w:highlight w:val="none"/>
              </w:rPr>
              <w:t>，自定义新增弱密码及其检测类型</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WEB登录</w:t>
            </w:r>
          </w:p>
        </w:tc>
        <w:tc>
          <w:tcPr>
            <w:tcW w:w="3614" w:type="pct"/>
            <w:shd w:val="clear" w:color="auto" w:fill="auto"/>
            <w:vAlign w:val="center"/>
          </w:tcPr>
          <w:p>
            <w:pPr>
              <w:jc w:val="left"/>
              <w:rPr>
                <w:rFonts w:ascii="宋体" w:hAnsi="宋体" w:cs="宋体"/>
                <w:kern w:val="0"/>
                <w:szCs w:val="21"/>
                <w:highlight w:val="none"/>
              </w:rPr>
            </w:pPr>
            <w:r>
              <w:rPr>
                <w:rFonts w:hint="eastAsia" w:ascii="宋体" w:hAnsi="宋体" w:cs="宋体"/>
                <w:kern w:val="0"/>
                <w:szCs w:val="21"/>
                <w:highlight w:val="none"/>
                <w:lang w:eastAsia="zh-CN"/>
              </w:rPr>
              <w:t>配置</w:t>
            </w:r>
            <w:r>
              <w:rPr>
                <w:rFonts w:hint="eastAsia" w:ascii="宋体" w:hAnsi="宋体" w:cs="宋体"/>
                <w:kern w:val="0"/>
                <w:szCs w:val="21"/>
                <w:highlight w:val="none"/>
              </w:rPr>
              <w:t>自定义HTTP登录行为关键字</w:t>
            </w:r>
            <w:r>
              <w:rPr>
                <w:rFonts w:hint="eastAsia" w:ascii="宋体" w:hAnsi="宋体" w:cs="宋体"/>
                <w:szCs w:val="21"/>
                <w:highlight w:val="none"/>
                <w:lang w:val="en-US" w:eastAsia="zh-CN"/>
              </w:rPr>
              <w:t>等功能</w:t>
            </w:r>
            <w:r>
              <w:rPr>
                <w:rFonts w:hint="eastAsia" w:ascii="宋体" w:hAnsi="宋体" w:cs="宋体"/>
                <w:kern w:val="0"/>
                <w:szCs w:val="21"/>
                <w:highlight w:val="none"/>
              </w:rPr>
              <w:t>，包括用户名和密码</w:t>
            </w:r>
          </w:p>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自定义HTTP登录行为的用户名获取来源</w:t>
            </w:r>
            <w:r>
              <w:rPr>
                <w:rFonts w:hint="eastAsia" w:ascii="宋体" w:hAnsi="宋体" w:cs="宋体"/>
                <w:szCs w:val="21"/>
                <w:highlight w:val="none"/>
                <w:lang w:val="en-US" w:eastAsia="zh-CN"/>
              </w:rPr>
              <w:t>等功能</w:t>
            </w:r>
            <w:r>
              <w:rPr>
                <w:rFonts w:hint="eastAsia" w:ascii="宋体" w:hAnsi="宋体" w:cs="宋体"/>
                <w:szCs w:val="21"/>
                <w:highlight w:val="none"/>
              </w:rPr>
              <w:t>，包括但不限于请求头、URL、Cookie、POST-body；</w:t>
            </w:r>
            <w:r>
              <w:rPr>
                <w:rFonts w:hint="eastAsia" w:ascii="宋体" w:hAnsi="宋体" w:cs="宋体"/>
                <w:szCs w:val="21"/>
                <w:highlight w:val="none"/>
                <w:lang w:eastAsia="zh-CN"/>
              </w:rPr>
              <w:t>配置</w:t>
            </w:r>
            <w:r>
              <w:rPr>
                <w:rFonts w:hint="eastAsia" w:ascii="宋体" w:hAnsi="宋体" w:cs="宋体"/>
                <w:szCs w:val="21"/>
                <w:highlight w:val="none"/>
              </w:rPr>
              <w:t>自定义配置状态码、返回内容与登录成功/失败状态的绑定关系（提供截图证明）</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暴力破解检测</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HTTP、SMB、SMTP、IMAP、POP3、FTP、TELNET、RADMIN、SSH、RDP、ORACLE、MSSQL、SYBASE、MYSQL、DB2、PGSQL、LDAP等协议的暴力破解</w:t>
            </w:r>
            <w:r>
              <w:rPr>
                <w:rFonts w:hint="eastAsia" w:ascii="宋体" w:hAnsi="宋体" w:cs="宋体"/>
                <w:szCs w:val="21"/>
                <w:highlight w:val="none"/>
                <w:lang w:val="en-US" w:eastAsia="zh-CN"/>
              </w:rPr>
              <w:t>等功能</w:t>
            </w:r>
            <w:r>
              <w:rPr>
                <w:rFonts w:hint="eastAsia" w:ascii="宋体" w:hAnsi="宋体" w:cs="宋体"/>
                <w:szCs w:val="21"/>
                <w:highlight w:val="none"/>
              </w:rPr>
              <w:t>，能识别出尝试登录次数、账户信息、爆破成功与否的攻击状态</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密码明文形式传播</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HTTP密码明文传输和HTTP 密码Base64传输检测</w:t>
            </w:r>
            <w:r>
              <w:rPr>
                <w:rFonts w:hint="eastAsia" w:ascii="宋体" w:hAnsi="宋体" w:cs="宋体"/>
                <w:szCs w:val="21"/>
                <w:highlight w:val="none"/>
                <w:lang w:val="en-US" w:eastAsia="zh-CN"/>
              </w:rPr>
              <w:t>等功能</w:t>
            </w:r>
            <w:r>
              <w:rPr>
                <w:rFonts w:hint="eastAsia" w:ascii="宋体" w:hAnsi="宋体" w:cs="宋体"/>
                <w:szCs w:val="21"/>
                <w:highlight w:val="none"/>
              </w:rPr>
              <w:t>，能识别出登录页面URL、账户和明文密码</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ARP欺骗检测</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根据MAC与IP地址的绑定关系</w:t>
            </w:r>
            <w:r>
              <w:rPr>
                <w:rFonts w:hint="eastAsia" w:ascii="宋体" w:hAnsi="宋体" w:cs="宋体"/>
                <w:szCs w:val="21"/>
                <w:highlight w:val="none"/>
                <w:lang w:val="en-US" w:eastAsia="zh-CN"/>
              </w:rPr>
              <w:t>等功能</w:t>
            </w:r>
            <w:r>
              <w:rPr>
                <w:rFonts w:hint="eastAsia" w:ascii="宋体" w:hAnsi="宋体" w:cs="宋体"/>
                <w:szCs w:val="21"/>
                <w:highlight w:val="none"/>
              </w:rPr>
              <w:t>，分析网络中的ARP流量，判断ARP应答包中的IP和MAC地址是否匹配</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协议解析</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Websocket通信的HTTP、HTTPS（需要导入服务器私钥证书）协议解析</w:t>
            </w:r>
            <w:r>
              <w:rPr>
                <w:rFonts w:hint="eastAsia" w:ascii="宋体" w:hAnsi="宋体" w:cs="宋体"/>
                <w:szCs w:val="21"/>
                <w:highlight w:val="none"/>
                <w:lang w:val="en-US" w:eastAsia="zh-CN"/>
              </w:rPr>
              <w:t>等功能</w:t>
            </w:r>
            <w:r>
              <w:rPr>
                <w:rFonts w:hint="eastAsia" w:ascii="宋体" w:hAnsi="宋体" w:cs="宋体"/>
                <w:szCs w:val="21"/>
                <w:highlight w:val="none"/>
              </w:rPr>
              <w:t>，检测WEB攻击</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双向审计</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双向审计</w:t>
            </w:r>
            <w:r>
              <w:rPr>
                <w:rFonts w:hint="eastAsia" w:ascii="宋体" w:hAnsi="宋体" w:cs="宋体"/>
                <w:szCs w:val="21"/>
                <w:highlight w:val="none"/>
                <w:lang w:val="en-US" w:eastAsia="zh-CN"/>
              </w:rPr>
              <w:t>等功能</w:t>
            </w:r>
            <w:r>
              <w:rPr>
                <w:rFonts w:hint="eastAsia" w:ascii="宋体" w:hAnsi="宋体" w:cs="宋体"/>
                <w:szCs w:val="21"/>
                <w:highlight w:val="none"/>
              </w:rPr>
              <w:t>，对请求和响应都进行审计</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攻击检测</w:t>
            </w:r>
          </w:p>
        </w:tc>
        <w:tc>
          <w:tcPr>
            <w:tcW w:w="3614" w:type="pct"/>
            <w:shd w:val="clear" w:color="auto" w:fill="auto"/>
            <w:vAlign w:val="center"/>
          </w:tcPr>
          <w:p>
            <w:pPr>
              <w:jc w:val="left"/>
              <w:rPr>
                <w:rFonts w:ascii="宋体" w:hAnsi="宋体" w:cs="宋体"/>
                <w:kern w:val="0"/>
                <w:szCs w:val="21"/>
                <w:highlight w:val="none"/>
              </w:rPr>
            </w:pPr>
            <w:r>
              <w:rPr>
                <w:rFonts w:hint="eastAsia" w:ascii="宋体" w:hAnsi="宋体" w:cs="宋体"/>
                <w:kern w:val="0"/>
                <w:szCs w:val="21"/>
                <w:highlight w:val="none"/>
                <w:lang w:eastAsia="zh-CN"/>
              </w:rPr>
              <w:t>配置</w:t>
            </w:r>
            <w:r>
              <w:rPr>
                <w:rFonts w:hint="eastAsia" w:ascii="宋体" w:hAnsi="宋体" w:cs="宋体"/>
                <w:kern w:val="0"/>
                <w:szCs w:val="21"/>
                <w:highlight w:val="none"/>
              </w:rPr>
              <w:t>SQL注入、命令注入、跨站脚本、代码注入、WEB扫描或爬虫、网页篡改、服务错误攻击检测</w:t>
            </w:r>
            <w:r>
              <w:rPr>
                <w:rFonts w:hint="eastAsia" w:ascii="宋体" w:hAnsi="宋体" w:cs="宋体"/>
                <w:szCs w:val="21"/>
                <w:highlight w:val="none"/>
                <w:lang w:val="en-US" w:eastAsia="zh-CN"/>
              </w:rPr>
              <w:t>等功能</w:t>
            </w:r>
          </w:p>
          <w:p>
            <w:pPr>
              <w:jc w:val="left"/>
              <w:rPr>
                <w:rFonts w:ascii="宋体" w:hAnsi="宋体" w:cs="宋体"/>
                <w:kern w:val="0"/>
                <w:szCs w:val="21"/>
                <w:highlight w:val="none"/>
              </w:rPr>
            </w:pPr>
            <w:r>
              <w:rPr>
                <w:rFonts w:hint="eastAsia" w:ascii="宋体" w:hAnsi="宋体" w:cs="宋体"/>
                <w:kern w:val="0"/>
                <w:szCs w:val="21"/>
                <w:highlight w:val="none"/>
                <w:lang w:eastAsia="zh-CN"/>
              </w:rPr>
              <w:t>配置</w:t>
            </w:r>
            <w:r>
              <w:rPr>
                <w:rFonts w:hint="eastAsia" w:ascii="宋体" w:hAnsi="宋体" w:cs="宋体"/>
                <w:kern w:val="0"/>
                <w:szCs w:val="21"/>
                <w:highlight w:val="none"/>
              </w:rPr>
              <w:t>通过智能语义分析引擎</w:t>
            </w:r>
            <w:r>
              <w:rPr>
                <w:rFonts w:hint="eastAsia" w:ascii="宋体" w:hAnsi="宋体" w:cs="宋体"/>
                <w:szCs w:val="21"/>
                <w:highlight w:val="none"/>
                <w:lang w:val="en-US" w:eastAsia="zh-CN"/>
              </w:rPr>
              <w:t>等功能</w:t>
            </w:r>
            <w:r>
              <w:rPr>
                <w:rFonts w:hint="eastAsia" w:ascii="宋体" w:hAnsi="宋体" w:cs="宋体"/>
                <w:kern w:val="0"/>
                <w:szCs w:val="21"/>
                <w:highlight w:val="none"/>
              </w:rPr>
              <w:t>，对XSS跨站脚本、SQL注入攻击和OGNL注入攻击进行检测</w:t>
            </w:r>
          </w:p>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通过智能语义分析引擎</w:t>
            </w:r>
            <w:r>
              <w:rPr>
                <w:rFonts w:hint="eastAsia" w:ascii="宋体" w:hAnsi="宋体" w:cs="宋体"/>
                <w:szCs w:val="21"/>
                <w:highlight w:val="none"/>
                <w:lang w:val="en-US" w:eastAsia="zh-CN"/>
              </w:rPr>
              <w:t>等功能</w:t>
            </w:r>
            <w:r>
              <w:rPr>
                <w:rFonts w:hint="eastAsia" w:ascii="宋体" w:hAnsi="宋体" w:cs="宋体"/>
                <w:szCs w:val="21"/>
                <w:highlight w:val="none"/>
              </w:rPr>
              <w:t>，检测JSP脚本文件上传和PHP脚本文件上传</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深度检测</w:t>
            </w:r>
          </w:p>
        </w:tc>
        <w:tc>
          <w:tcPr>
            <w:tcW w:w="3614" w:type="pct"/>
            <w:shd w:val="clear" w:color="auto" w:fill="auto"/>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包含30种以上的深度检测模块，可支持</w:t>
            </w:r>
            <w:r>
              <w:rPr>
                <w:rFonts w:hint="eastAsia" w:ascii="宋体" w:hAnsi="宋体" w:cs="宋体"/>
                <w:szCs w:val="21"/>
                <w:highlight w:val="none"/>
                <w:lang w:val="en-US" w:eastAsia="zh-CN"/>
              </w:rPr>
              <w:t>市场主流远程管理工具的</w:t>
            </w:r>
            <w:r>
              <w:rPr>
                <w:rFonts w:hint="eastAsia" w:ascii="宋体" w:hAnsi="宋体" w:cs="宋体"/>
                <w:szCs w:val="21"/>
                <w:highlight w:val="none"/>
              </w:rPr>
              <w:t>检测能力，且能识别</w:t>
            </w:r>
            <w:r>
              <w:rPr>
                <w:rFonts w:hint="eastAsia" w:ascii="宋体" w:hAnsi="宋体" w:cs="宋体"/>
                <w:szCs w:val="21"/>
                <w:highlight w:val="none"/>
                <w:lang w:val="en-US" w:eastAsia="zh-CN"/>
              </w:rPr>
              <w:t>市场主流的</w:t>
            </w:r>
            <w:r>
              <w:rPr>
                <w:rFonts w:hint="eastAsia" w:ascii="宋体" w:hAnsi="宋体" w:cs="宋体"/>
                <w:szCs w:val="21"/>
                <w:highlight w:val="none"/>
              </w:rPr>
              <w:t>隧道通信工具</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WEBSHELL检测</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WEBSHELL检测</w:t>
            </w:r>
            <w:r>
              <w:rPr>
                <w:rFonts w:hint="eastAsia" w:ascii="宋体" w:hAnsi="宋体" w:cs="宋体"/>
                <w:szCs w:val="21"/>
                <w:highlight w:val="none"/>
                <w:lang w:val="en-US" w:eastAsia="zh-CN"/>
              </w:rPr>
              <w:t>功能</w:t>
            </w:r>
            <w:r>
              <w:rPr>
                <w:rFonts w:hint="eastAsia" w:ascii="宋体" w:hAnsi="宋体" w:cs="宋体"/>
                <w:szCs w:val="21"/>
                <w:highlight w:val="none"/>
              </w:rPr>
              <w:t>，可检测访问webshell的行为，包含具体对应的URL、返回码、返回数据包内容等，可显示一句话类webshell后门是否植入成功（提供截图证明）</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解析协议</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 xml:space="preserve"> HTTP、FTP、SMB、SMTP、POP3、IMAP、NFS、TFTP、HTTPS、SMTPS、POP3S、IMAPS（加密协议需要导入服务器私钥证书）等协议传输文件检测</w:t>
            </w:r>
            <w:r>
              <w:rPr>
                <w:rFonts w:hint="eastAsia" w:ascii="宋体" w:hAnsi="宋体" w:cs="宋体"/>
                <w:szCs w:val="21"/>
                <w:highlight w:val="none"/>
                <w:lang w:val="en-US" w:eastAsia="zh-CN"/>
              </w:rPr>
              <w:t>等功能</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Shellcode检测</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通过分析文件中的二进制代码，找到文件溢出攻击的代码，并能找到APT攻击中的0day攻击</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动态沙箱检测</w:t>
            </w:r>
          </w:p>
        </w:tc>
        <w:tc>
          <w:tcPr>
            <w:tcW w:w="3614" w:type="pct"/>
            <w:shd w:val="clear" w:color="auto" w:fill="auto"/>
            <w:vAlign w:val="center"/>
          </w:tcPr>
          <w:p>
            <w:pPr>
              <w:jc w:val="left"/>
              <w:rPr>
                <w:rFonts w:ascii="宋体" w:hAnsi="宋体" w:cs="宋体"/>
                <w:kern w:val="0"/>
                <w:szCs w:val="21"/>
                <w:highlight w:val="none"/>
              </w:rPr>
            </w:pPr>
            <w:r>
              <w:rPr>
                <w:rFonts w:hint="eastAsia" w:ascii="宋体" w:hAnsi="宋体" w:cs="宋体"/>
                <w:kern w:val="0"/>
                <w:szCs w:val="21"/>
                <w:highlight w:val="none"/>
              </w:rPr>
              <w:t>对存在恶意行为的文件输出完整的二进制动态分析报告</w:t>
            </w:r>
          </w:p>
          <w:p>
            <w:pPr>
              <w:jc w:val="left"/>
              <w:rPr>
                <w:rFonts w:ascii="宋体" w:hAnsi="宋体" w:cs="宋体"/>
                <w:kern w:val="0"/>
                <w:szCs w:val="21"/>
                <w:highlight w:val="none"/>
              </w:rPr>
            </w:pPr>
            <w:r>
              <w:rPr>
                <w:rFonts w:hint="eastAsia" w:ascii="宋体" w:hAnsi="宋体" w:cs="宋体"/>
                <w:kern w:val="0"/>
                <w:szCs w:val="21"/>
                <w:highlight w:val="none"/>
              </w:rPr>
              <w:t>动态执行可疑文件，分析代码的注册表、进程、网络、文件等行为，分析其安全风险</w:t>
            </w:r>
          </w:p>
          <w:p>
            <w:pPr>
              <w:jc w:val="left"/>
              <w:rPr>
                <w:rFonts w:ascii="宋体" w:hAnsi="宋体" w:cs="宋体"/>
                <w:kern w:val="0"/>
                <w:szCs w:val="21"/>
                <w:highlight w:val="none"/>
              </w:rPr>
            </w:pPr>
            <w:r>
              <w:rPr>
                <w:rFonts w:hint="eastAsia" w:ascii="宋体" w:hAnsi="宋体" w:cs="宋体"/>
                <w:kern w:val="0"/>
                <w:szCs w:val="21"/>
                <w:highlight w:val="none"/>
                <w:lang w:eastAsia="zh-CN"/>
              </w:rPr>
              <w:t>配置</w:t>
            </w:r>
            <w:r>
              <w:rPr>
                <w:rFonts w:hint="eastAsia" w:ascii="宋体" w:hAnsi="宋体" w:cs="宋体"/>
                <w:kern w:val="0"/>
                <w:szCs w:val="21"/>
                <w:highlight w:val="none"/>
              </w:rPr>
              <w:t>沙箱逃逸检测</w:t>
            </w:r>
            <w:r>
              <w:rPr>
                <w:rFonts w:hint="eastAsia" w:ascii="宋体" w:hAnsi="宋体" w:cs="宋体"/>
                <w:szCs w:val="21"/>
                <w:highlight w:val="none"/>
                <w:lang w:val="en-US" w:eastAsia="zh-CN"/>
              </w:rPr>
              <w:t>功能</w:t>
            </w:r>
            <w:r>
              <w:rPr>
                <w:rFonts w:hint="eastAsia" w:ascii="宋体" w:hAnsi="宋体" w:cs="宋体"/>
                <w:kern w:val="0"/>
                <w:szCs w:val="21"/>
                <w:highlight w:val="none"/>
              </w:rPr>
              <w:t>，当恶意文件进行逃逸尝试，在沙箱报告中进行体现</w:t>
            </w:r>
          </w:p>
          <w:p>
            <w:pPr>
              <w:rPr>
                <w:rFonts w:ascii="宋体" w:hAnsi="宋体" w:cs="宋体"/>
                <w:szCs w:val="21"/>
                <w:highlight w:val="none"/>
              </w:rPr>
            </w:pPr>
            <w:r>
              <w:rPr>
                <w:rFonts w:hint="eastAsia" w:ascii="宋体" w:hAnsi="宋体" w:cs="宋体"/>
                <w:szCs w:val="21"/>
                <w:highlight w:val="none"/>
              </w:rPr>
              <w:t>▲采用多并发沙箱检测技术，集成主流的操作系统、国产化系统多种检测环境。结合平台内置反病毒引擎和静态分析技术对恶意特征文件、文件漏洞、未知威胁等深度关联分析</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资产识别和管理</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对流量中的IP地址、端口等进行统计</w:t>
            </w:r>
            <w:r>
              <w:rPr>
                <w:rFonts w:hint="eastAsia" w:ascii="宋体" w:hAnsi="宋体" w:cs="宋体"/>
                <w:szCs w:val="21"/>
                <w:highlight w:val="none"/>
                <w:lang w:val="en-US" w:eastAsia="zh-CN"/>
              </w:rPr>
              <w:t>功能</w:t>
            </w:r>
            <w:r>
              <w:rPr>
                <w:rFonts w:hint="eastAsia" w:ascii="宋体" w:hAnsi="宋体" w:cs="宋体"/>
                <w:szCs w:val="21"/>
                <w:highlight w:val="none"/>
              </w:rPr>
              <w:t>，快速识别未登记资产。可基于特定应用或服务对内部资产进行梳理（系统类型、IP、域名、端口等），查看资产端口暴露情况，特别是以非标端口提供的服务情况；可深入识别运行在资产上的设备类型、应用、服务信息详细情况（类型、版本、服务名称等）</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shd w:val="clear" w:color="auto" w:fill="auto"/>
            <w:vAlign w:val="center"/>
          </w:tcPr>
          <w:p>
            <w:pPr>
              <w:rPr>
                <w:rFonts w:ascii="宋体" w:hAnsi="宋体" w:cs="宋体"/>
                <w:szCs w:val="21"/>
                <w:highlight w:val="none"/>
              </w:rPr>
            </w:pPr>
            <w:r>
              <w:rPr>
                <w:rFonts w:hint="eastAsia" w:ascii="宋体" w:hAnsi="宋体" w:cs="宋体"/>
                <w:szCs w:val="21"/>
                <w:highlight w:val="none"/>
              </w:rPr>
              <w:t>一键登录排错</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产品内置的排错平台可对系统进行深度配置和排错，</w:t>
            </w:r>
            <w:r>
              <w:rPr>
                <w:rFonts w:hint="eastAsia" w:ascii="宋体" w:hAnsi="宋体" w:cs="宋体"/>
                <w:szCs w:val="21"/>
                <w:highlight w:val="none"/>
                <w:lang w:eastAsia="zh-CN"/>
              </w:rPr>
              <w:t>配置</w:t>
            </w:r>
            <w:r>
              <w:rPr>
                <w:rFonts w:hint="eastAsia" w:ascii="宋体" w:hAnsi="宋体" w:cs="宋体"/>
                <w:szCs w:val="21"/>
                <w:highlight w:val="none"/>
              </w:rPr>
              <w:t>一键检测故障、配置核对、表分区检查、表检测、信息收集等功能。</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restart"/>
            <w:shd w:val="clear" w:color="auto" w:fill="auto"/>
            <w:vAlign w:val="center"/>
          </w:tcPr>
          <w:p>
            <w:pPr>
              <w:rPr>
                <w:rFonts w:ascii="宋体" w:hAnsi="宋体" w:cs="宋体"/>
                <w:szCs w:val="21"/>
                <w:highlight w:val="none"/>
              </w:rPr>
            </w:pPr>
            <w:r>
              <w:rPr>
                <w:rFonts w:hint="eastAsia" w:ascii="宋体" w:hAnsi="宋体" w:cs="宋体"/>
                <w:szCs w:val="21"/>
                <w:highlight w:val="none"/>
              </w:rPr>
              <w:t>告警与报表</w:t>
            </w:r>
          </w:p>
        </w:tc>
        <w:tc>
          <w:tcPr>
            <w:tcW w:w="3614" w:type="pct"/>
            <w:shd w:val="clear" w:color="auto" w:fill="auto"/>
            <w:vAlign w:val="center"/>
          </w:tcPr>
          <w:p>
            <w:pPr>
              <w:rPr>
                <w:rFonts w:ascii="宋体" w:hAnsi="宋体" w:cs="宋体"/>
                <w:szCs w:val="21"/>
                <w:highlight w:val="none"/>
              </w:rPr>
            </w:pPr>
            <w:r>
              <w:rPr>
                <w:rFonts w:hint="eastAsia" w:ascii="宋体" w:hAnsi="宋体" w:cs="宋体"/>
                <w:szCs w:val="21"/>
                <w:highlight w:val="none"/>
              </w:rPr>
              <w:t>告警可详细展示风险级别、发生时间、告警名称、客户端IP、服务器IP、ATT&amp;CK矩阵、报文内容（URL、请求头、请求参数、请求内容）</w:t>
            </w:r>
          </w:p>
        </w:tc>
      </w:tr>
      <w:tr>
        <w:trPr>
          <w:trHeight w:val="20" w:hRule="atLeast"/>
          <w:jc w:val="center"/>
        </w:trPr>
        <w:tc>
          <w:tcPr>
            <w:tcW w:w="548" w:type="pct"/>
            <w:vMerge w:val="continue"/>
            <w:shd w:val="clear" w:color="auto" w:fill="auto"/>
            <w:vAlign w:val="center"/>
          </w:tcPr>
          <w:p>
            <w:pPr>
              <w:rPr>
                <w:rFonts w:ascii="宋体" w:hAnsi="宋体" w:cs="宋体"/>
                <w:szCs w:val="21"/>
                <w:highlight w:val="none"/>
              </w:rPr>
            </w:pPr>
          </w:p>
        </w:tc>
        <w:tc>
          <w:tcPr>
            <w:tcW w:w="837" w:type="pct"/>
            <w:vMerge w:val="continue"/>
            <w:shd w:val="clear" w:color="auto" w:fill="auto"/>
            <w:vAlign w:val="center"/>
          </w:tcPr>
          <w:p>
            <w:pPr>
              <w:rPr>
                <w:rFonts w:ascii="宋体" w:hAnsi="宋体" w:cs="宋体"/>
                <w:szCs w:val="21"/>
                <w:highlight w:val="none"/>
              </w:rPr>
            </w:pPr>
          </w:p>
        </w:tc>
        <w:tc>
          <w:tcPr>
            <w:tcW w:w="3614" w:type="pct"/>
            <w:shd w:val="clear" w:color="auto" w:fill="auto"/>
            <w:vAlign w:val="center"/>
          </w:tcPr>
          <w:p>
            <w:pPr>
              <w:jc w:val="left"/>
              <w:rPr>
                <w:rFonts w:ascii="宋体" w:hAnsi="宋体" w:cs="宋体"/>
                <w:kern w:val="0"/>
                <w:szCs w:val="21"/>
                <w:highlight w:val="none"/>
              </w:rPr>
            </w:pPr>
            <w:r>
              <w:rPr>
                <w:rFonts w:hint="eastAsia" w:ascii="宋体" w:hAnsi="宋体" w:cs="宋体"/>
                <w:kern w:val="0"/>
                <w:szCs w:val="21"/>
                <w:highlight w:val="none"/>
                <w:lang w:eastAsia="zh-CN"/>
              </w:rPr>
              <w:t>配置</w:t>
            </w:r>
            <w:r>
              <w:rPr>
                <w:rFonts w:hint="eastAsia" w:ascii="宋体" w:hAnsi="宋体" w:cs="宋体"/>
                <w:kern w:val="0"/>
                <w:szCs w:val="21"/>
                <w:highlight w:val="none"/>
              </w:rPr>
              <w:t>kafka、短信、邮件、syslog、ftp、sftp、钉钉等数据外送方式</w:t>
            </w:r>
            <w:r>
              <w:rPr>
                <w:rFonts w:hint="eastAsia" w:ascii="宋体" w:hAnsi="宋体" w:cs="宋体"/>
                <w:szCs w:val="21"/>
                <w:highlight w:val="none"/>
                <w:lang w:val="en-US" w:eastAsia="zh-CN"/>
              </w:rPr>
              <w:t>等功能</w:t>
            </w:r>
          </w:p>
          <w:p>
            <w:pPr>
              <w:rPr>
                <w:rFonts w:ascii="宋体" w:hAnsi="宋体" w:cs="宋体"/>
                <w:szCs w:val="21"/>
                <w:highlight w:val="none"/>
              </w:rPr>
            </w:pPr>
            <w:r>
              <w:rPr>
                <w:rFonts w:hint="eastAsia" w:ascii="宋体" w:hAnsi="宋体" w:cs="宋体"/>
                <w:szCs w:val="21"/>
                <w:highlight w:val="none"/>
              </w:rPr>
              <w:t>syslog、kafka、sftp和ftp外送方式支持配置多个服务器，分别发送不同业务数据</w:t>
            </w:r>
          </w:p>
        </w:tc>
      </w:tr>
      <w:bookmarkEnd w:id="33"/>
    </w:tbl>
    <w:p>
      <w:pPr>
        <w:keepNext/>
        <w:keepLines/>
        <w:numPr>
          <w:ilvl w:val="0"/>
          <w:numId w:val="7"/>
        </w:numPr>
        <w:spacing w:line="360" w:lineRule="auto"/>
        <w:outlineLvl w:val="1"/>
        <w:rPr>
          <w:rFonts w:ascii="宋体" w:hAnsi="宋体" w:cs="宋体"/>
          <w:b/>
          <w:bCs/>
          <w:szCs w:val="21"/>
          <w:highlight w:val="none"/>
        </w:rPr>
      </w:pPr>
      <w:r>
        <w:rPr>
          <w:rFonts w:hint="eastAsia" w:ascii="宋体" w:hAnsi="宋体" w:cs="宋体"/>
          <w:b/>
          <w:bCs/>
          <w:szCs w:val="21"/>
          <w:highlight w:val="none"/>
        </w:rPr>
        <w:t>网络安全配套服务</w:t>
      </w:r>
    </w:p>
    <w:p>
      <w:pPr>
        <w:keepNext/>
        <w:keepLines/>
        <w:spacing w:line="360" w:lineRule="auto"/>
        <w:outlineLvl w:val="2"/>
        <w:rPr>
          <w:rFonts w:ascii="宋体" w:hAnsi="宋体" w:cs="宋体"/>
          <w:b/>
          <w:bCs/>
          <w:szCs w:val="21"/>
          <w:highlight w:val="none"/>
        </w:rPr>
      </w:pPr>
      <w:r>
        <w:rPr>
          <w:rFonts w:hint="eastAsia" w:ascii="宋体" w:hAnsi="宋体" w:cs="宋体"/>
          <w:b/>
          <w:bCs/>
          <w:szCs w:val="21"/>
          <w:highlight w:val="none"/>
        </w:rPr>
        <w:t>1.云端安全实时监测服务</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7497"/>
      </w:tblGrid>
      <w:tr>
        <w:tc>
          <w:tcPr>
            <w:tcW w:w="702" w:type="pct"/>
            <w:shd w:val="clear" w:color="auto" w:fill="D8D8D8"/>
            <w:vAlign w:val="center"/>
          </w:tcPr>
          <w:p>
            <w:pPr>
              <w:jc w:val="center"/>
              <w:rPr>
                <w:rFonts w:ascii="宋体" w:hAnsi="宋体" w:cs="宋体"/>
                <w:b/>
                <w:bCs/>
                <w:szCs w:val="21"/>
                <w:highlight w:val="none"/>
              </w:rPr>
            </w:pPr>
            <w:r>
              <w:rPr>
                <w:rFonts w:hint="eastAsia" w:ascii="宋体" w:hAnsi="宋体" w:cs="宋体"/>
                <w:b/>
                <w:bCs/>
                <w:szCs w:val="21"/>
                <w:highlight w:val="none"/>
              </w:rPr>
              <w:t>服务名称</w:t>
            </w:r>
          </w:p>
        </w:tc>
        <w:tc>
          <w:tcPr>
            <w:tcW w:w="4298" w:type="pct"/>
            <w:shd w:val="clear" w:color="auto" w:fill="D8D8D8"/>
            <w:vAlign w:val="center"/>
          </w:tcPr>
          <w:p>
            <w:pPr>
              <w:jc w:val="center"/>
              <w:rPr>
                <w:rFonts w:ascii="宋体" w:hAnsi="宋体" w:cs="宋体"/>
                <w:b/>
                <w:bCs/>
                <w:szCs w:val="21"/>
                <w:highlight w:val="none"/>
              </w:rPr>
            </w:pPr>
            <w:r>
              <w:rPr>
                <w:rFonts w:hint="eastAsia" w:ascii="宋体" w:hAnsi="宋体" w:cs="宋体"/>
                <w:b/>
                <w:bCs/>
                <w:szCs w:val="21"/>
                <w:highlight w:val="none"/>
              </w:rPr>
              <w:t>服务要求</w:t>
            </w:r>
          </w:p>
        </w:tc>
      </w:tr>
      <w:tr>
        <w:tc>
          <w:tcPr>
            <w:tcW w:w="702" w:type="pct"/>
            <w:vAlign w:val="center"/>
          </w:tcPr>
          <w:p>
            <w:pPr>
              <w:rPr>
                <w:rFonts w:ascii="宋体" w:hAnsi="宋体" w:cs="宋体"/>
                <w:szCs w:val="21"/>
                <w:highlight w:val="none"/>
              </w:rPr>
            </w:pPr>
            <w:r>
              <w:rPr>
                <w:rFonts w:hint="eastAsia" w:ascii="宋体" w:hAnsi="宋体" w:cs="宋体"/>
                <w:szCs w:val="21"/>
                <w:highlight w:val="none"/>
                <w:lang w:eastAsia="zh-Hans"/>
              </w:rPr>
              <w:t>云端安全实时监测服务</w:t>
            </w:r>
          </w:p>
        </w:tc>
        <w:tc>
          <w:tcPr>
            <w:tcW w:w="4298" w:type="pct"/>
            <w:vAlign w:val="center"/>
          </w:tcPr>
          <w:p>
            <w:pPr>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Hans"/>
              </w:rPr>
              <w:t>提供</w:t>
            </w:r>
            <w:r>
              <w:rPr>
                <w:rFonts w:hint="eastAsia" w:ascii="宋体" w:hAnsi="宋体" w:cs="宋体"/>
                <w:szCs w:val="21"/>
                <w:highlight w:val="none"/>
                <w:lang w:val="en-US" w:eastAsia="zh-CN"/>
              </w:rPr>
              <w:t>不少于</w:t>
            </w:r>
            <w:r>
              <w:rPr>
                <w:rFonts w:hint="eastAsia" w:ascii="宋体" w:hAnsi="宋体" w:cs="宋体"/>
                <w:b w:val="0"/>
                <w:bCs w:val="0"/>
                <w:szCs w:val="21"/>
                <w:highlight w:val="none"/>
                <w:lang w:eastAsia="zh-Hans"/>
              </w:rPr>
              <w:t>50</w:t>
            </w:r>
            <w:r>
              <w:rPr>
                <w:rFonts w:hint="eastAsia" w:ascii="宋体" w:hAnsi="宋体" w:cs="宋体"/>
                <w:szCs w:val="21"/>
                <w:highlight w:val="none"/>
                <w:lang w:eastAsia="zh-Hans"/>
              </w:rPr>
              <w:t>个资产的综合安全托管服务授权，协助用户完成日常安全运营工作。</w:t>
            </w:r>
          </w:p>
          <w:p>
            <w:pPr>
              <w:rPr>
                <w:rFonts w:ascii="宋体" w:hAnsi="宋体" w:cs="宋体"/>
                <w:szCs w:val="21"/>
                <w:highlight w:val="none"/>
              </w:rPr>
            </w:pPr>
            <w:r>
              <w:rPr>
                <w:rFonts w:hint="eastAsia" w:ascii="宋体" w:hAnsi="宋体" w:cs="宋体"/>
                <w:szCs w:val="21"/>
                <w:highlight w:val="none"/>
                <w:lang w:eastAsia="zh-Hans"/>
              </w:rPr>
              <w:t>在</w:t>
            </w:r>
            <w:r>
              <w:rPr>
                <w:rFonts w:hint="eastAsia" w:ascii="宋体" w:hAnsi="宋体" w:cs="宋体"/>
                <w:szCs w:val="21"/>
                <w:highlight w:val="none"/>
              </w:rPr>
              <w:t>运营服务期内</w:t>
            </w:r>
            <w:r>
              <w:rPr>
                <w:rFonts w:hint="eastAsia" w:ascii="宋体" w:hAnsi="宋体" w:cs="宋体"/>
                <w:szCs w:val="21"/>
                <w:highlight w:val="none"/>
                <w:lang w:eastAsia="zh-Hans"/>
              </w:rPr>
              <w:t>提供</w:t>
            </w:r>
            <w:r>
              <w:rPr>
                <w:rFonts w:hint="eastAsia" w:ascii="宋体" w:hAnsi="宋体" w:cs="宋体"/>
                <w:szCs w:val="21"/>
                <w:highlight w:val="none"/>
              </w:rPr>
              <w:t>7x24小时的安全威胁监测服务，持续监测网络内的安全隐患情况并进行分析，包括对外部网络攻击网络漏洞利用情况、恶意软件活动情况、以及内网安全情况，对安全监测发现的安全隐患及高危事件在服务规定时间内进行通告，同时能够每日同步安全状况。</w:t>
            </w:r>
          </w:p>
          <w:p>
            <w:pPr>
              <w:numPr>
                <w:ilvl w:val="0"/>
                <w:numId w:val="9"/>
              </w:numPr>
              <w:ind w:left="0" w:leftChars="0" w:firstLine="0" w:firstLineChars="0"/>
              <w:rPr>
                <w:rFonts w:hint="eastAsia" w:ascii="宋体" w:hAnsi="宋体" w:cs="宋体"/>
                <w:szCs w:val="21"/>
                <w:highlight w:val="none"/>
              </w:rPr>
            </w:pPr>
            <w:r>
              <w:rPr>
                <w:rFonts w:hint="eastAsia" w:ascii="宋体" w:hAnsi="宋体" w:cs="宋体"/>
                <w:szCs w:val="21"/>
                <w:highlight w:val="none"/>
              </w:rPr>
              <w:t>运营服务期内基于平台提供</w:t>
            </w:r>
            <w:r>
              <w:rPr>
                <w:rFonts w:hint="eastAsia" w:ascii="宋体" w:hAnsi="宋体" w:cs="宋体"/>
                <w:szCs w:val="21"/>
                <w:highlight w:val="none"/>
                <w:lang w:eastAsia="zh-Hans"/>
              </w:rPr>
              <w:t>服务</w:t>
            </w:r>
            <w:r>
              <w:rPr>
                <w:rFonts w:hint="eastAsia" w:ascii="宋体" w:hAnsi="宋体" w:cs="宋体"/>
                <w:szCs w:val="21"/>
                <w:highlight w:val="none"/>
              </w:rPr>
              <w:t>资产识别与梳理服务，包括但不限于服务资产IP地址、端口、资产类型、操作系统类型及版本等属性，同时能够分析现有资产漏洞信息，包括但不限于SQL注入、XSS、命令注入、反序列化、越权访问等漏洞信息，同时提供可落地的专业漏洞修复指导。</w:t>
            </w:r>
          </w:p>
          <w:p>
            <w:pPr>
              <w:numPr>
                <w:ilvl w:val="0"/>
                <w:numId w:val="9"/>
              </w:numPr>
              <w:ind w:left="0" w:leftChars="0" w:firstLine="0" w:firstLineChars="0"/>
              <w:rPr>
                <w:rFonts w:ascii="宋体" w:hAnsi="宋体" w:cs="宋体"/>
                <w:szCs w:val="21"/>
                <w:highlight w:val="none"/>
              </w:rPr>
            </w:pPr>
            <w:r>
              <w:rPr>
                <w:rFonts w:hint="eastAsia" w:ascii="宋体" w:hAnsi="宋体" w:cs="宋体"/>
                <w:szCs w:val="21"/>
                <w:highlight w:val="none"/>
              </w:rPr>
              <w:t>基于平台，持续监测用户侧漏洞利用情况，对监测发现的安全漏洞进行分析验证，同时持续跟踪整改情况。</w:t>
            </w:r>
          </w:p>
          <w:p>
            <w:pPr>
              <w:rPr>
                <w:rFonts w:ascii="宋体" w:hAnsi="宋体" w:cs="宋体"/>
                <w:szCs w:val="21"/>
                <w:highlight w:val="none"/>
              </w:rPr>
            </w:pPr>
            <w:r>
              <w:rPr>
                <w:rFonts w:hint="eastAsia" w:ascii="宋体" w:hAnsi="宋体" w:cs="宋体"/>
                <w:szCs w:val="21"/>
                <w:highlight w:val="none"/>
              </w:rPr>
              <w:t>4、基于网络安全监管平台的资产和漏洞情况，结合威胁情报信息，提供资产漏洞预警服务</w:t>
            </w:r>
          </w:p>
          <w:p>
            <w:pPr>
              <w:rPr>
                <w:rFonts w:ascii="宋体" w:hAnsi="宋体" w:cs="宋体"/>
                <w:szCs w:val="21"/>
                <w:highlight w:val="none"/>
              </w:rPr>
            </w:pPr>
            <w:r>
              <w:rPr>
                <w:rFonts w:hint="eastAsia" w:ascii="宋体" w:hAnsi="宋体" w:cs="宋体"/>
                <w:szCs w:val="21"/>
                <w:highlight w:val="none"/>
              </w:rPr>
              <w:t>5、要求能够在运营服务期内提供网络安全监管平台的设备巡检和维护，巡检包括但不限于本地的平台CPU、存储情况、系统事件、授权情况、功能模块以及本地探针的运行状况和特征库版本，并发现设备故障后，能够协调</w:t>
            </w:r>
            <w:r>
              <w:rPr>
                <w:rFonts w:hint="eastAsia" w:ascii="宋体" w:hAnsi="宋体" w:cs="宋体"/>
                <w:szCs w:val="21"/>
                <w:highlight w:val="none"/>
                <w:lang w:eastAsia="zh-Hans"/>
              </w:rPr>
              <w:t>原厂售后服务并</w:t>
            </w:r>
            <w:r>
              <w:rPr>
                <w:rFonts w:hint="eastAsia" w:ascii="宋体" w:hAnsi="宋体" w:cs="宋体"/>
                <w:szCs w:val="21"/>
                <w:highlight w:val="none"/>
              </w:rPr>
              <w:t>跟踪直至设备故障修复。</w:t>
            </w:r>
          </w:p>
          <w:p>
            <w:pPr>
              <w:rPr>
                <w:rFonts w:ascii="宋体" w:hAnsi="宋体" w:cs="宋体"/>
                <w:szCs w:val="21"/>
                <w:highlight w:val="none"/>
              </w:rPr>
            </w:pPr>
            <w:r>
              <w:rPr>
                <w:rFonts w:hint="eastAsia" w:ascii="宋体" w:hAnsi="宋体" w:cs="宋体"/>
                <w:szCs w:val="21"/>
                <w:highlight w:val="none"/>
              </w:rPr>
              <w:t>6、安全事件快速响应，基于本地网络安全监管平台对各类安全数据及日志数据进行关联分析与深入挖掘，及时发现各类安全事件并通知客户，同时协助客户开展通报、处置等响应动作。</w:t>
            </w:r>
          </w:p>
          <w:p>
            <w:pPr>
              <w:rPr>
                <w:rFonts w:ascii="宋体" w:hAnsi="宋体" w:cs="宋体"/>
                <w:szCs w:val="21"/>
                <w:highlight w:val="none"/>
              </w:rPr>
            </w:pPr>
            <w:r>
              <w:rPr>
                <w:rFonts w:hint="eastAsia" w:ascii="宋体" w:hAnsi="宋体" w:cs="宋体"/>
                <w:szCs w:val="21"/>
                <w:highlight w:val="none"/>
              </w:rPr>
              <w:t>7、提供</w:t>
            </w:r>
            <w:r>
              <w:rPr>
                <w:rFonts w:hint="eastAsia" w:ascii="宋体" w:hAnsi="宋体" w:cs="宋体"/>
                <w:szCs w:val="21"/>
                <w:highlight w:val="none"/>
                <w:lang w:eastAsia="zh-Hans"/>
              </w:rPr>
              <w:t>每年</w:t>
            </w:r>
            <w:r>
              <w:rPr>
                <w:rFonts w:hint="eastAsia" w:ascii="宋体" w:hAnsi="宋体" w:cs="宋体"/>
                <w:szCs w:val="21"/>
                <w:highlight w:val="none"/>
                <w:lang w:eastAsia="zh-CN"/>
              </w:rPr>
              <w:t>不少于</w:t>
            </w:r>
            <w:r>
              <w:rPr>
                <w:rFonts w:hint="eastAsia" w:ascii="宋体" w:hAnsi="宋体" w:cs="宋体"/>
                <w:szCs w:val="21"/>
                <w:highlight w:val="none"/>
                <w:lang w:eastAsia="zh-Hans"/>
              </w:rPr>
              <w:t>四次</w:t>
            </w:r>
            <w:r>
              <w:rPr>
                <w:rFonts w:hint="eastAsia" w:ascii="宋体" w:hAnsi="宋体" w:cs="宋体"/>
                <w:szCs w:val="21"/>
                <w:highlight w:val="none"/>
              </w:rPr>
              <w:t>对具体安全事件的深度分析，包括攻击复现、追踪溯源定位攻击者等内容，从多维度对安全事件进行分析，精准定位威胁根源。针对重点高危事件输出事件分析报告。</w:t>
            </w:r>
          </w:p>
          <w:p>
            <w:pPr>
              <w:rPr>
                <w:rFonts w:ascii="宋体" w:hAnsi="宋体" w:cs="宋体"/>
                <w:szCs w:val="21"/>
                <w:highlight w:val="none"/>
              </w:rPr>
            </w:pPr>
            <w:r>
              <w:rPr>
                <w:rFonts w:hint="eastAsia" w:ascii="宋体" w:hAnsi="宋体" w:cs="宋体"/>
                <w:szCs w:val="21"/>
                <w:highlight w:val="none"/>
              </w:rPr>
              <w:t>8、</w:t>
            </w:r>
            <w:r>
              <w:rPr>
                <w:rFonts w:hint="eastAsia" w:ascii="宋体" w:hAnsi="宋体" w:cs="宋体"/>
                <w:color w:val="000000"/>
                <w:kern w:val="0"/>
                <w:szCs w:val="21"/>
                <w:highlight w:val="none"/>
              </w:rPr>
              <w:t>▲</w:t>
            </w:r>
            <w:r>
              <w:rPr>
                <w:rFonts w:hint="eastAsia" w:ascii="宋体" w:hAnsi="宋体" w:cs="宋体"/>
                <w:szCs w:val="21"/>
                <w:highlight w:val="none"/>
              </w:rPr>
              <w:t>提供事件跟踪管理服务，通过分析研判确认后的安全事件，对事件处置过程进行跟踪形成闭环，</w:t>
            </w:r>
            <w:r>
              <w:rPr>
                <w:rFonts w:hint="eastAsia" w:ascii="宋体" w:hAnsi="宋体" w:cs="宋体"/>
                <w:szCs w:val="21"/>
                <w:highlight w:val="none"/>
                <w:lang w:eastAsia="zh-Hans"/>
              </w:rPr>
              <w:t>每周输出工作周报</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9、</w:t>
            </w:r>
            <w:r>
              <w:rPr>
                <w:rFonts w:hint="eastAsia" w:ascii="宋体" w:hAnsi="宋体" w:cs="宋体"/>
                <w:szCs w:val="21"/>
                <w:highlight w:val="none"/>
                <w:lang w:eastAsia="zh-Hans"/>
              </w:rPr>
              <w:t>提供每月主动分析服务，服务</w:t>
            </w:r>
            <w:r>
              <w:rPr>
                <w:rFonts w:hint="eastAsia" w:ascii="宋体" w:hAnsi="宋体" w:cs="宋体"/>
                <w:szCs w:val="21"/>
                <w:highlight w:val="none"/>
              </w:rPr>
              <w:t>人员定期综合所发现的安全事件、攻击情况</w:t>
            </w:r>
            <w:r>
              <w:rPr>
                <w:rFonts w:hint="eastAsia" w:ascii="宋体" w:hAnsi="宋体" w:cs="宋体"/>
                <w:szCs w:val="21"/>
                <w:highlight w:val="none"/>
                <w:lang w:eastAsia="zh-Hans"/>
              </w:rPr>
              <w:t>进行主动分析</w:t>
            </w:r>
            <w:r>
              <w:rPr>
                <w:rFonts w:hint="eastAsia" w:ascii="宋体" w:hAnsi="宋体" w:cs="宋体"/>
                <w:szCs w:val="21"/>
                <w:highlight w:val="none"/>
              </w:rPr>
              <w:t>，包括但不限于告警趋势分析、威胁类型分布分析、高威胁攻击者分析，</w:t>
            </w:r>
            <w:r>
              <w:rPr>
                <w:rFonts w:hint="eastAsia" w:ascii="宋体" w:hAnsi="宋体" w:cs="宋体"/>
                <w:szCs w:val="21"/>
                <w:highlight w:val="none"/>
                <w:lang w:eastAsia="zh-Hans"/>
              </w:rPr>
              <w:t>同时</w:t>
            </w:r>
            <w:r>
              <w:rPr>
                <w:rFonts w:hint="eastAsia" w:ascii="宋体" w:hAnsi="宋体" w:cs="宋体"/>
                <w:szCs w:val="21"/>
                <w:highlight w:val="none"/>
              </w:rPr>
              <w:t>进行场景化安全分析，包括APT告警分析、恶意软件情况分析、网络攻击情况分析、WebShell情况分析、内网安全情况分析、数据库安全情况分析、爆破行为分析、弱口令分析等，</w:t>
            </w:r>
            <w:r>
              <w:rPr>
                <w:rFonts w:hint="eastAsia" w:ascii="宋体" w:hAnsi="宋体" w:cs="宋体"/>
                <w:szCs w:val="21"/>
                <w:highlight w:val="none"/>
                <w:lang w:eastAsia="zh-Hans"/>
              </w:rPr>
              <w:t>每月输出运营月度报告</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10、提供定期的运营汇报解读服务，综合所发现的安全事件结合客户网络环境，评价客户侧整体网络安全态势，同时输出问题事件的分析说明，并给出针对性建议和方案，让客户更加了解网络安全现状和当前安全趋势。</w:t>
            </w:r>
          </w:p>
          <w:p>
            <w:pPr>
              <w:rPr>
                <w:rFonts w:ascii="宋体" w:hAnsi="宋体" w:cs="宋体"/>
                <w:szCs w:val="21"/>
                <w:highlight w:val="none"/>
              </w:rPr>
            </w:pPr>
            <w:r>
              <w:rPr>
                <w:rFonts w:hint="eastAsia" w:ascii="宋体" w:hAnsi="宋体" w:cs="宋体"/>
                <w:szCs w:val="21"/>
                <w:highlight w:val="none"/>
              </w:rPr>
              <w:t>11、运营问题解答服务，提供对于网络安全监管平台的使用故障问题、平台漏报/误报、安全事件分析问题提供原厂工程师处理和跟踪闭环。</w:t>
            </w:r>
          </w:p>
        </w:tc>
      </w:tr>
    </w:tbl>
    <w:p>
      <w:pPr>
        <w:keepNext/>
        <w:keepLines/>
        <w:spacing w:line="360" w:lineRule="auto"/>
        <w:outlineLvl w:val="2"/>
        <w:rPr>
          <w:rFonts w:ascii="宋体" w:hAnsi="宋体" w:cs="宋体"/>
          <w:b/>
          <w:bCs/>
          <w:szCs w:val="21"/>
          <w:highlight w:val="none"/>
        </w:rPr>
      </w:pPr>
      <w:r>
        <w:rPr>
          <w:rFonts w:hint="eastAsia" w:ascii="宋体" w:hAnsi="宋体" w:cs="宋体"/>
          <w:b/>
          <w:bCs/>
          <w:szCs w:val="21"/>
          <w:highlight w:val="none"/>
        </w:rPr>
        <w:t>2.网络安全配套其他服务</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066"/>
        <w:gridCol w:w="6497"/>
      </w:tblGrid>
      <w:tr>
        <w:trPr>
          <w:trHeight w:val="280" w:hRule="atLeast"/>
          <w:jc w:val="center"/>
        </w:trPr>
        <w:tc>
          <w:tcPr>
            <w:tcW w:w="664" w:type="pct"/>
            <w:tcBorders>
              <w:top w:val="single" w:color="auto" w:sz="4" w:space="0"/>
              <w:left w:val="single" w:color="auto" w:sz="4" w:space="0"/>
              <w:bottom w:val="single" w:color="auto" w:sz="4" w:space="0"/>
              <w:right w:val="single" w:color="auto" w:sz="4" w:space="0"/>
            </w:tcBorders>
            <w:shd w:val="clear" w:color="auto" w:fill="BFBFBF"/>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模块</w:t>
            </w:r>
          </w:p>
        </w:tc>
        <w:tc>
          <w:tcPr>
            <w:tcW w:w="611" w:type="pct"/>
            <w:tcBorders>
              <w:top w:val="single" w:color="auto" w:sz="4" w:space="0"/>
              <w:left w:val="single" w:color="auto" w:sz="4" w:space="0"/>
              <w:bottom w:val="single" w:color="auto" w:sz="4" w:space="0"/>
              <w:right w:val="single" w:color="auto" w:sz="4" w:space="0"/>
            </w:tcBorders>
            <w:shd w:val="clear" w:color="auto" w:fill="BFBFBF"/>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指标项</w:t>
            </w:r>
          </w:p>
        </w:tc>
        <w:tc>
          <w:tcPr>
            <w:tcW w:w="3725" w:type="pct"/>
            <w:tcBorders>
              <w:top w:val="single" w:color="auto" w:sz="4" w:space="0"/>
              <w:left w:val="single" w:color="auto" w:sz="4" w:space="0"/>
              <w:bottom w:val="single" w:color="auto" w:sz="4" w:space="0"/>
              <w:right w:val="single" w:color="auto" w:sz="4" w:space="0"/>
            </w:tcBorders>
            <w:shd w:val="clear" w:color="auto" w:fill="BEBEBE"/>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技术参数</w:t>
            </w:r>
          </w:p>
        </w:tc>
      </w:tr>
      <w:tr>
        <w:trPr>
          <w:trHeight w:val="90" w:hRule="atLeast"/>
          <w:jc w:val="center"/>
        </w:trPr>
        <w:tc>
          <w:tcPr>
            <w:tcW w:w="664" w:type="pct"/>
            <w:vMerge w:val="restart"/>
            <w:tcBorders>
              <w:left w:val="single" w:color="auto" w:sz="4" w:space="0"/>
              <w:right w:val="single" w:color="auto" w:sz="4" w:space="0"/>
            </w:tcBorders>
            <w:vAlign w:val="center"/>
          </w:tcPr>
          <w:p>
            <w:pPr>
              <w:rPr>
                <w:rFonts w:ascii="宋体" w:hAnsi="宋体" w:cs="宋体"/>
                <w:bCs/>
                <w:color w:val="000000"/>
                <w:szCs w:val="21"/>
                <w:highlight w:val="none"/>
              </w:rPr>
            </w:pPr>
            <w:r>
              <w:rPr>
                <w:rFonts w:hint="eastAsia" w:ascii="宋体" w:hAnsi="宋体" w:cs="宋体"/>
                <w:bCs/>
                <w:color w:val="000000"/>
                <w:szCs w:val="21"/>
                <w:highlight w:val="none"/>
              </w:rPr>
              <w:t>网络安全配套服务</w:t>
            </w: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Cs w:val="21"/>
                <w:highlight w:val="none"/>
              </w:rPr>
            </w:pPr>
            <w:r>
              <w:rPr>
                <w:rFonts w:hint="eastAsia" w:ascii="宋体" w:hAnsi="宋体" w:cs="宋体"/>
                <w:szCs w:val="21"/>
                <w:highlight w:val="none"/>
              </w:rPr>
              <w:t>漏洞扫描服务</w:t>
            </w:r>
          </w:p>
        </w:tc>
        <w:tc>
          <w:tcPr>
            <w:tcW w:w="37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highlight w:val="none"/>
              </w:rPr>
            </w:pPr>
            <w:r>
              <w:rPr>
                <w:rFonts w:hint="eastAsia" w:ascii="宋体" w:hAnsi="宋体" w:cs="宋体"/>
                <w:szCs w:val="21"/>
                <w:highlight w:val="none"/>
              </w:rPr>
              <w:t>具备提供现场驻场服务人员使用漏洞扫描工具，对余姚市电子政务网或者被指定的网络主机漏洞、Web应用扫描、指定网站的所有文件进行安全扫描，通过人工验证扫描结果后，给出整改意见，输出《XX年XX月漏洞扫描报告》。每年提供</w:t>
            </w:r>
            <w:r>
              <w:rPr>
                <w:rFonts w:hint="eastAsia" w:ascii="宋体" w:hAnsi="宋体" w:cs="宋体"/>
                <w:szCs w:val="21"/>
                <w:highlight w:val="none"/>
                <w:lang w:val="en-US" w:eastAsia="zh-CN"/>
              </w:rPr>
              <w:t>不少于</w:t>
            </w:r>
            <w:r>
              <w:rPr>
                <w:rFonts w:hint="eastAsia" w:ascii="宋体" w:hAnsi="宋体" w:cs="宋体"/>
                <w:szCs w:val="21"/>
                <w:highlight w:val="none"/>
              </w:rPr>
              <w:t>4次全网漏洞扫描服务。</w:t>
            </w:r>
          </w:p>
        </w:tc>
      </w:tr>
      <w:tr>
        <w:trPr>
          <w:trHeight w:val="90" w:hRule="atLeast"/>
          <w:jc w:val="center"/>
        </w:trPr>
        <w:tc>
          <w:tcPr>
            <w:tcW w:w="664" w:type="pct"/>
            <w:vMerge w:val="continue"/>
            <w:tcBorders>
              <w:left w:val="single" w:color="auto" w:sz="4" w:space="0"/>
              <w:right w:val="single" w:color="auto" w:sz="4" w:space="0"/>
            </w:tcBorders>
            <w:vAlign w:val="center"/>
          </w:tcPr>
          <w:p>
            <w:pPr>
              <w:rPr>
                <w:rFonts w:ascii="宋体" w:hAnsi="宋体" w:cs="宋体"/>
                <w:bCs/>
                <w:color w:val="000000"/>
                <w:szCs w:val="21"/>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Cs w:val="21"/>
                <w:highlight w:val="none"/>
              </w:rPr>
            </w:pPr>
            <w:r>
              <w:rPr>
                <w:rFonts w:hint="eastAsia" w:ascii="宋体" w:hAnsi="宋体" w:cs="宋体"/>
                <w:szCs w:val="21"/>
                <w:highlight w:val="none"/>
              </w:rPr>
              <w:t>基线检查服务</w:t>
            </w:r>
          </w:p>
        </w:tc>
        <w:tc>
          <w:tcPr>
            <w:tcW w:w="37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highlight w:val="none"/>
              </w:rPr>
            </w:pPr>
            <w:r>
              <w:rPr>
                <w:rFonts w:hint="eastAsia" w:ascii="宋体" w:hAnsi="宋体" w:cs="宋体"/>
                <w:szCs w:val="21"/>
                <w:highlight w:val="none"/>
              </w:rPr>
              <w:t>针对操作系统、数据库、网络设备等配置合规性进行检查，评估发现潜在风险点。每年提供</w:t>
            </w:r>
            <w:r>
              <w:rPr>
                <w:rFonts w:hint="eastAsia" w:ascii="宋体" w:hAnsi="宋体" w:cs="宋体"/>
                <w:szCs w:val="21"/>
                <w:highlight w:val="none"/>
                <w:lang w:val="en-US" w:eastAsia="zh-CN"/>
              </w:rPr>
              <w:t>不少于</w:t>
            </w:r>
            <w:r>
              <w:rPr>
                <w:rFonts w:hint="eastAsia" w:ascii="宋体" w:hAnsi="宋体" w:cs="宋体"/>
                <w:szCs w:val="21"/>
                <w:highlight w:val="none"/>
              </w:rPr>
              <w:t>4次基线检查服务。</w:t>
            </w:r>
          </w:p>
        </w:tc>
      </w:tr>
      <w:tr>
        <w:trPr>
          <w:trHeight w:val="90" w:hRule="atLeast"/>
          <w:jc w:val="center"/>
        </w:trPr>
        <w:tc>
          <w:tcPr>
            <w:tcW w:w="664" w:type="pct"/>
            <w:vMerge w:val="continue"/>
            <w:tcBorders>
              <w:left w:val="single" w:color="auto" w:sz="4" w:space="0"/>
              <w:right w:val="single" w:color="auto" w:sz="4" w:space="0"/>
            </w:tcBorders>
            <w:vAlign w:val="center"/>
          </w:tcPr>
          <w:p>
            <w:pPr>
              <w:rPr>
                <w:rFonts w:ascii="宋体" w:hAnsi="宋体" w:cs="宋体"/>
                <w:bCs/>
                <w:color w:val="000000"/>
                <w:szCs w:val="21"/>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Cs w:val="21"/>
                <w:highlight w:val="none"/>
              </w:rPr>
            </w:pPr>
            <w:r>
              <w:rPr>
                <w:rFonts w:hint="eastAsia" w:ascii="宋体" w:hAnsi="宋体" w:cs="宋体"/>
                <w:szCs w:val="21"/>
                <w:highlight w:val="none"/>
              </w:rPr>
              <w:t>渗透</w:t>
            </w:r>
            <w:r>
              <w:rPr>
                <w:rFonts w:hint="eastAsia" w:ascii="宋体" w:hAnsi="宋体" w:cs="宋体"/>
                <w:szCs w:val="21"/>
                <w:highlight w:val="none"/>
                <w:lang w:eastAsia="zh-CN"/>
              </w:rPr>
              <w:t>测shi</w:t>
            </w:r>
            <w:r>
              <w:rPr>
                <w:rFonts w:hint="eastAsia" w:ascii="宋体" w:hAnsi="宋体" w:cs="宋体"/>
                <w:szCs w:val="21"/>
                <w:highlight w:val="none"/>
              </w:rPr>
              <w:t>服务</w:t>
            </w:r>
          </w:p>
        </w:tc>
        <w:tc>
          <w:tcPr>
            <w:tcW w:w="37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highlight w:val="none"/>
              </w:rPr>
            </w:pPr>
            <w:r>
              <w:rPr>
                <w:rFonts w:hint="eastAsia" w:ascii="宋体" w:hAnsi="宋体" w:cs="宋体"/>
                <w:szCs w:val="21"/>
                <w:highlight w:val="none"/>
              </w:rPr>
              <w:t>每年提供</w:t>
            </w:r>
            <w:r>
              <w:rPr>
                <w:rFonts w:hint="eastAsia" w:ascii="宋体" w:hAnsi="宋体" w:cs="宋体"/>
                <w:szCs w:val="21"/>
                <w:highlight w:val="none"/>
                <w:lang w:val="en-US" w:eastAsia="zh-CN"/>
              </w:rPr>
              <w:t>不少于</w:t>
            </w:r>
            <w:r>
              <w:rPr>
                <w:rFonts w:hint="eastAsia" w:ascii="宋体" w:hAnsi="宋体" w:cs="宋体"/>
                <w:szCs w:val="21"/>
                <w:highlight w:val="none"/>
              </w:rPr>
              <w:t>6个系统渗透</w:t>
            </w:r>
            <w:r>
              <w:rPr>
                <w:rFonts w:hint="eastAsia" w:ascii="宋体" w:hAnsi="宋体" w:cs="宋体"/>
                <w:szCs w:val="21"/>
                <w:highlight w:val="none"/>
                <w:lang w:eastAsia="zh-CN"/>
              </w:rPr>
              <w:t>测shi</w:t>
            </w:r>
            <w:r>
              <w:rPr>
                <w:rFonts w:hint="eastAsia" w:ascii="宋体" w:hAnsi="宋体" w:cs="宋体"/>
                <w:szCs w:val="21"/>
                <w:highlight w:val="none"/>
              </w:rPr>
              <w:t>服务。</w:t>
            </w:r>
          </w:p>
        </w:tc>
      </w:tr>
      <w:tr>
        <w:trPr>
          <w:trHeight w:val="90" w:hRule="atLeast"/>
          <w:jc w:val="center"/>
        </w:trPr>
        <w:tc>
          <w:tcPr>
            <w:tcW w:w="664" w:type="pct"/>
            <w:vMerge w:val="continue"/>
            <w:tcBorders>
              <w:left w:val="single" w:color="auto" w:sz="4" w:space="0"/>
              <w:right w:val="single" w:color="auto" w:sz="4" w:space="0"/>
            </w:tcBorders>
            <w:vAlign w:val="center"/>
          </w:tcPr>
          <w:p>
            <w:pPr>
              <w:rPr>
                <w:rFonts w:ascii="宋体" w:hAnsi="宋体" w:cs="宋体"/>
                <w:bCs/>
                <w:color w:val="000000"/>
                <w:szCs w:val="21"/>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Cs w:val="21"/>
                <w:highlight w:val="none"/>
              </w:rPr>
            </w:pPr>
            <w:r>
              <w:rPr>
                <w:rFonts w:hint="eastAsia" w:ascii="宋体" w:hAnsi="宋体" w:cs="宋体"/>
                <w:color w:val="000000"/>
                <w:szCs w:val="21"/>
                <w:highlight w:val="none"/>
              </w:rPr>
              <w:t>风险隐患与事件通报服务</w:t>
            </w:r>
          </w:p>
        </w:tc>
        <w:tc>
          <w:tcPr>
            <w:tcW w:w="3725" w:type="pct"/>
            <w:tcBorders>
              <w:top w:val="single" w:color="auto" w:sz="4" w:space="0"/>
              <w:left w:val="single" w:color="auto" w:sz="4" w:space="0"/>
              <w:bottom w:val="single" w:color="auto" w:sz="4" w:space="0"/>
              <w:right w:val="single" w:color="auto" w:sz="4" w:space="0"/>
            </w:tcBorders>
          </w:tcPr>
          <w:p>
            <w:pPr>
              <w:rPr>
                <w:rFonts w:ascii="宋体" w:hAnsi="宋体" w:cs="宋体"/>
                <w:bCs/>
                <w:color w:val="000000"/>
                <w:szCs w:val="21"/>
                <w:highlight w:val="none"/>
              </w:rPr>
            </w:pPr>
            <w:r>
              <w:rPr>
                <w:rFonts w:hint="eastAsia" w:ascii="宋体" w:hAnsi="宋体" w:cs="宋体"/>
                <w:szCs w:val="21"/>
                <w:highlight w:val="none"/>
              </w:rPr>
              <w:t>具备现场驻场服务人员使用网安运营平台能力，发现安全风险隐患后，主动向存在风险隐患的系统责任单位进行隐患通报，通过平台梳理安全风险隐患，统一下发，建立安全隐患事件，统一管理安全事件。</w:t>
            </w:r>
          </w:p>
        </w:tc>
      </w:tr>
      <w:tr>
        <w:trPr>
          <w:trHeight w:val="90" w:hRule="atLeast"/>
          <w:jc w:val="center"/>
        </w:trPr>
        <w:tc>
          <w:tcPr>
            <w:tcW w:w="664" w:type="pct"/>
            <w:vMerge w:val="continue"/>
            <w:tcBorders>
              <w:left w:val="single" w:color="auto" w:sz="4" w:space="0"/>
              <w:right w:val="single" w:color="auto" w:sz="4" w:space="0"/>
            </w:tcBorders>
            <w:vAlign w:val="center"/>
          </w:tcPr>
          <w:p>
            <w:pPr>
              <w:rPr>
                <w:rFonts w:ascii="宋体" w:hAnsi="宋体" w:cs="宋体"/>
                <w:bCs/>
                <w:color w:val="000000"/>
                <w:szCs w:val="21"/>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Cs w:val="21"/>
                <w:highlight w:val="none"/>
              </w:rPr>
            </w:pPr>
            <w:r>
              <w:rPr>
                <w:rFonts w:hint="eastAsia" w:ascii="宋体" w:hAnsi="宋体" w:cs="宋体"/>
                <w:color w:val="000000"/>
                <w:szCs w:val="21"/>
                <w:highlight w:val="none"/>
              </w:rPr>
              <w:t>安全检查服务</w:t>
            </w:r>
          </w:p>
        </w:tc>
        <w:tc>
          <w:tcPr>
            <w:tcW w:w="37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highlight w:val="none"/>
              </w:rPr>
            </w:pPr>
            <w:r>
              <w:rPr>
                <w:rFonts w:hint="eastAsia" w:ascii="宋体" w:hAnsi="宋体" w:cs="宋体"/>
                <w:szCs w:val="21"/>
                <w:highlight w:val="none"/>
              </w:rPr>
              <w:t>根据国家、省市下发的相关考核与监督检查要求，驻场服务人员配合招标人或相关单位开展网络安全检查工作，完成相关考核要求。提供每年</w:t>
            </w:r>
            <w:r>
              <w:rPr>
                <w:rFonts w:hint="eastAsia" w:ascii="宋体" w:hAnsi="宋体" w:cs="宋体"/>
                <w:szCs w:val="21"/>
                <w:highlight w:val="none"/>
                <w:lang w:val="en-US" w:eastAsia="zh-CN"/>
              </w:rPr>
              <w:t>不少于</w:t>
            </w:r>
            <w:r>
              <w:rPr>
                <w:rFonts w:hint="eastAsia" w:ascii="宋体" w:hAnsi="宋体" w:cs="宋体"/>
                <w:szCs w:val="21"/>
                <w:highlight w:val="none"/>
              </w:rPr>
              <w:t>4次设备安全巡检服务。</w:t>
            </w:r>
          </w:p>
        </w:tc>
      </w:tr>
      <w:tr>
        <w:trPr>
          <w:trHeight w:val="90" w:hRule="atLeast"/>
          <w:jc w:val="center"/>
        </w:trPr>
        <w:tc>
          <w:tcPr>
            <w:tcW w:w="664" w:type="pct"/>
            <w:vMerge w:val="continue"/>
            <w:tcBorders>
              <w:left w:val="single" w:color="auto" w:sz="4" w:space="0"/>
              <w:right w:val="single" w:color="auto" w:sz="4" w:space="0"/>
            </w:tcBorders>
            <w:vAlign w:val="center"/>
          </w:tcPr>
          <w:p>
            <w:pPr>
              <w:rPr>
                <w:rFonts w:ascii="宋体" w:hAnsi="宋体" w:cs="宋体"/>
                <w:bCs/>
                <w:color w:val="000000"/>
                <w:szCs w:val="21"/>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Cs w:val="21"/>
                <w:highlight w:val="none"/>
              </w:rPr>
            </w:pPr>
            <w:r>
              <w:rPr>
                <w:rFonts w:hint="eastAsia" w:ascii="宋体" w:hAnsi="宋体" w:cs="宋体"/>
                <w:color w:val="000000"/>
                <w:szCs w:val="21"/>
                <w:highlight w:val="none"/>
              </w:rPr>
              <w:t>安全工作报告服务</w:t>
            </w:r>
          </w:p>
        </w:tc>
        <w:tc>
          <w:tcPr>
            <w:tcW w:w="37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highlight w:val="none"/>
              </w:rPr>
            </w:pPr>
            <w:r>
              <w:rPr>
                <w:rFonts w:hint="eastAsia" w:ascii="宋体" w:hAnsi="宋体" w:cs="宋体"/>
                <w:szCs w:val="21"/>
                <w:highlight w:val="none"/>
              </w:rPr>
              <w:t>现场驻场服务人员每月度对发现的安全问题与处置情况进行综合汇总，形成安全态势分析与工作报告，输出《XX年XX月安全工作报告》</w:t>
            </w:r>
          </w:p>
        </w:tc>
      </w:tr>
      <w:tr>
        <w:trPr>
          <w:trHeight w:val="90" w:hRule="atLeast"/>
          <w:jc w:val="center"/>
        </w:trPr>
        <w:tc>
          <w:tcPr>
            <w:tcW w:w="664" w:type="pct"/>
            <w:vMerge w:val="continue"/>
            <w:tcBorders>
              <w:left w:val="single" w:color="auto" w:sz="4" w:space="0"/>
              <w:right w:val="single" w:color="auto" w:sz="4" w:space="0"/>
            </w:tcBorders>
            <w:vAlign w:val="center"/>
          </w:tcPr>
          <w:p>
            <w:pPr>
              <w:rPr>
                <w:rFonts w:ascii="宋体" w:hAnsi="宋体" w:cs="宋体"/>
                <w:bCs/>
                <w:color w:val="000000"/>
                <w:szCs w:val="21"/>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运营流程优化服务</w:t>
            </w:r>
          </w:p>
        </w:tc>
        <w:tc>
          <w:tcPr>
            <w:tcW w:w="37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根据已有安全运营流程或制度，从可行性、落地性和规范性上进行相应评估，形成余姚市具备特色、具备落地性的安全通报流程和制度。</w:t>
            </w:r>
          </w:p>
        </w:tc>
      </w:tr>
      <w:tr>
        <w:trPr>
          <w:trHeight w:val="90" w:hRule="atLeast"/>
          <w:jc w:val="center"/>
        </w:trPr>
        <w:tc>
          <w:tcPr>
            <w:tcW w:w="664" w:type="pct"/>
            <w:vMerge w:val="continue"/>
            <w:tcBorders>
              <w:left w:val="single" w:color="auto" w:sz="4" w:space="0"/>
              <w:right w:val="single" w:color="auto" w:sz="4" w:space="0"/>
            </w:tcBorders>
            <w:vAlign w:val="center"/>
          </w:tcPr>
          <w:p>
            <w:pPr>
              <w:rPr>
                <w:rFonts w:ascii="宋体" w:hAnsi="宋体" w:cs="宋体"/>
                <w:bCs/>
                <w:color w:val="000000"/>
                <w:szCs w:val="21"/>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运营文件编制服务</w:t>
            </w:r>
          </w:p>
        </w:tc>
        <w:tc>
          <w:tcPr>
            <w:tcW w:w="37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常态化安全检查期间，驻场服务人员对网络安全专项检查通知文件进行编制，整合、沉淀相应模板文件材料，作为安全监管平台中的知识库，供相关单位或运营人员参考。</w:t>
            </w:r>
          </w:p>
        </w:tc>
      </w:tr>
      <w:tr>
        <w:trPr>
          <w:trHeight w:val="90" w:hRule="atLeast"/>
          <w:jc w:val="center"/>
        </w:trPr>
        <w:tc>
          <w:tcPr>
            <w:tcW w:w="664" w:type="pct"/>
            <w:vMerge w:val="continue"/>
            <w:tcBorders>
              <w:left w:val="single" w:color="auto" w:sz="4" w:space="0"/>
              <w:right w:val="single" w:color="auto" w:sz="4" w:space="0"/>
            </w:tcBorders>
            <w:vAlign w:val="center"/>
          </w:tcPr>
          <w:p>
            <w:pPr>
              <w:rPr>
                <w:rFonts w:ascii="宋体" w:hAnsi="宋体" w:cs="宋体"/>
                <w:bCs/>
                <w:color w:val="000000"/>
                <w:szCs w:val="21"/>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Cs w:val="21"/>
                <w:highlight w:val="none"/>
              </w:rPr>
            </w:pPr>
            <w:r>
              <w:rPr>
                <w:rFonts w:hint="eastAsia" w:ascii="宋体" w:hAnsi="宋体" w:cs="宋体"/>
                <w:szCs w:val="21"/>
                <w:highlight w:val="none"/>
              </w:rPr>
              <w:t>资产梳理服务</w:t>
            </w:r>
          </w:p>
        </w:tc>
        <w:tc>
          <w:tcPr>
            <w:tcW w:w="37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highlight w:val="none"/>
              </w:rPr>
            </w:pPr>
            <w:r>
              <w:rPr>
                <w:rFonts w:hint="eastAsia" w:ascii="宋体" w:hAnsi="宋体" w:cs="宋体"/>
                <w:szCs w:val="21"/>
                <w:highlight w:val="none"/>
              </w:rPr>
              <w:t>现场驻场服务人员定期对余姚市政务外网进行资产梳理，更新资产信息库，实现资产归属动态清单，定期输出《电子政务网资产清单》、《余姚市互联网网站资产清单》等。</w:t>
            </w:r>
          </w:p>
        </w:tc>
      </w:tr>
      <w:tr>
        <w:trPr>
          <w:trHeight w:val="90" w:hRule="atLeast"/>
          <w:jc w:val="center"/>
        </w:trPr>
        <w:tc>
          <w:tcPr>
            <w:tcW w:w="664" w:type="pct"/>
            <w:vMerge w:val="continue"/>
            <w:tcBorders>
              <w:left w:val="single" w:color="auto" w:sz="4" w:space="0"/>
              <w:right w:val="single" w:color="auto" w:sz="4" w:space="0"/>
            </w:tcBorders>
            <w:vAlign w:val="center"/>
          </w:tcPr>
          <w:p>
            <w:pPr>
              <w:rPr>
                <w:rFonts w:ascii="宋体" w:hAnsi="宋体" w:cs="宋体"/>
                <w:bCs/>
                <w:color w:val="000000"/>
                <w:szCs w:val="21"/>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Cs w:val="21"/>
                <w:highlight w:val="none"/>
              </w:rPr>
            </w:pPr>
            <w:r>
              <w:rPr>
                <w:rFonts w:hint="eastAsia" w:ascii="宋体" w:hAnsi="宋体" w:cs="宋体"/>
                <w:szCs w:val="21"/>
                <w:highlight w:val="none"/>
              </w:rPr>
              <w:t>策略调优服务</w:t>
            </w:r>
          </w:p>
        </w:tc>
        <w:tc>
          <w:tcPr>
            <w:tcW w:w="37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highlight w:val="none"/>
              </w:rPr>
            </w:pPr>
            <w:r>
              <w:rPr>
                <w:rFonts w:hint="eastAsia" w:ascii="宋体" w:hAnsi="宋体" w:cs="宋体"/>
                <w:szCs w:val="21"/>
                <w:highlight w:val="none"/>
              </w:rPr>
              <w:t>对已有网络安全运营平台、SOAR、防火墙、APT等设备，以及本期新建设设备进行策略调优等服务，包括并不限于白名单、黑名单、设备联动、模型优化、规则优化等策略的调优，保证策略最新，保障具有实在的安全能力。</w:t>
            </w:r>
          </w:p>
        </w:tc>
      </w:tr>
      <w:tr>
        <w:trPr>
          <w:trHeight w:val="90" w:hRule="atLeast"/>
          <w:jc w:val="center"/>
        </w:trPr>
        <w:tc>
          <w:tcPr>
            <w:tcW w:w="664" w:type="pct"/>
            <w:vMerge w:val="continue"/>
            <w:tcBorders>
              <w:left w:val="single" w:color="auto" w:sz="4" w:space="0"/>
              <w:right w:val="single" w:color="auto" w:sz="4" w:space="0"/>
            </w:tcBorders>
            <w:vAlign w:val="center"/>
          </w:tcPr>
          <w:p>
            <w:pPr>
              <w:rPr>
                <w:rFonts w:ascii="宋体" w:hAnsi="宋体" w:cs="宋体"/>
                <w:bCs/>
                <w:color w:val="000000"/>
                <w:szCs w:val="21"/>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Cs w:val="21"/>
                <w:highlight w:val="none"/>
              </w:rPr>
            </w:pPr>
            <w:r>
              <w:rPr>
                <w:rFonts w:hint="eastAsia" w:ascii="宋体" w:hAnsi="宋体" w:cs="宋体"/>
                <w:szCs w:val="21"/>
                <w:highlight w:val="none"/>
              </w:rPr>
              <w:t>重要时期安全保障服务</w:t>
            </w:r>
          </w:p>
        </w:tc>
        <w:tc>
          <w:tcPr>
            <w:tcW w:w="37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highlight w:val="none"/>
              </w:rPr>
            </w:pPr>
            <w:r>
              <w:rPr>
                <w:rFonts w:hint="eastAsia" w:ascii="宋体" w:hAnsi="宋体" w:cs="宋体"/>
                <w:szCs w:val="21"/>
                <w:highlight w:val="none"/>
              </w:rPr>
              <w:t>服务期间驻场服务人员结合技术工具对指定的信息系统、网站、服务器等资产进行实时监测，及时按操作流程处理系统安全隐患及事件。</w:t>
            </w:r>
          </w:p>
        </w:tc>
      </w:tr>
      <w:tr>
        <w:trPr>
          <w:trHeight w:val="90" w:hRule="atLeast"/>
          <w:jc w:val="center"/>
        </w:trPr>
        <w:tc>
          <w:tcPr>
            <w:tcW w:w="664" w:type="pct"/>
            <w:vMerge w:val="continue"/>
            <w:tcBorders>
              <w:left w:val="single" w:color="auto" w:sz="4" w:space="0"/>
              <w:right w:val="single" w:color="auto" w:sz="4" w:space="0"/>
            </w:tcBorders>
            <w:vAlign w:val="center"/>
          </w:tcPr>
          <w:p>
            <w:pPr>
              <w:rPr>
                <w:rFonts w:ascii="宋体" w:hAnsi="宋体" w:cs="宋体"/>
                <w:bCs/>
                <w:color w:val="000000"/>
                <w:szCs w:val="21"/>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Cs w:val="21"/>
                <w:highlight w:val="none"/>
              </w:rPr>
            </w:pPr>
            <w:r>
              <w:rPr>
                <w:rFonts w:hint="eastAsia" w:ascii="宋体" w:hAnsi="宋体" w:cs="宋体"/>
                <w:szCs w:val="21"/>
                <w:highlight w:val="none"/>
              </w:rPr>
              <w:t>安全加固服务</w:t>
            </w:r>
          </w:p>
        </w:tc>
        <w:tc>
          <w:tcPr>
            <w:tcW w:w="37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highlight w:val="none"/>
              </w:rPr>
            </w:pPr>
            <w:r>
              <w:rPr>
                <w:rFonts w:hint="eastAsia" w:ascii="宋体" w:hAnsi="宋体" w:cs="宋体"/>
                <w:szCs w:val="21"/>
                <w:highlight w:val="none"/>
              </w:rPr>
              <w:t>现场驻场服务人员使用</w:t>
            </w:r>
            <w:r>
              <w:rPr>
                <w:rFonts w:hint="eastAsia" w:ascii="宋体" w:hAnsi="宋体" w:cs="宋体"/>
                <w:szCs w:val="21"/>
                <w:highlight w:val="none"/>
                <w:lang w:eastAsia="zh-CN"/>
              </w:rPr>
              <w:t>网络安全</w:t>
            </w:r>
            <w:r>
              <w:rPr>
                <w:rFonts w:hint="eastAsia" w:ascii="宋体" w:hAnsi="宋体" w:cs="宋体"/>
                <w:szCs w:val="21"/>
                <w:highlight w:val="none"/>
              </w:rPr>
              <w:t>运营平台能力，监控所有业务系统，对漏洞扫描、基线核查、安全监管监测、安全运维过程当中发现的安全问题提供处置建议，指导和修复业务系统的漏洞，协助和处置服务器、网络设备、安全设备等的安全加固工作。</w:t>
            </w:r>
          </w:p>
        </w:tc>
      </w:tr>
      <w:tr>
        <w:trPr>
          <w:trHeight w:val="90" w:hRule="atLeast"/>
          <w:jc w:val="center"/>
        </w:trPr>
        <w:tc>
          <w:tcPr>
            <w:tcW w:w="664" w:type="pct"/>
            <w:vMerge w:val="continue"/>
            <w:tcBorders>
              <w:left w:val="single" w:color="auto" w:sz="4" w:space="0"/>
              <w:right w:val="single" w:color="auto" w:sz="4" w:space="0"/>
            </w:tcBorders>
            <w:vAlign w:val="center"/>
          </w:tcPr>
          <w:p>
            <w:pPr>
              <w:rPr>
                <w:rFonts w:ascii="宋体" w:hAnsi="宋体" w:cs="宋体"/>
                <w:bCs/>
                <w:color w:val="000000"/>
                <w:szCs w:val="21"/>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color w:val="000000"/>
                <w:szCs w:val="21"/>
                <w:highlight w:val="none"/>
              </w:rPr>
              <w:t>宣传教育及培训服务</w:t>
            </w:r>
          </w:p>
        </w:tc>
        <w:tc>
          <w:tcPr>
            <w:tcW w:w="37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color w:val="000000"/>
                <w:szCs w:val="21"/>
                <w:highlight w:val="none"/>
              </w:rPr>
              <w:t>提供组织本地区，每年</w:t>
            </w:r>
            <w:r>
              <w:rPr>
                <w:rFonts w:hint="eastAsia" w:ascii="宋体" w:hAnsi="宋体" w:cs="宋体"/>
                <w:color w:val="000000"/>
                <w:szCs w:val="21"/>
                <w:highlight w:val="none"/>
                <w:lang w:val="en-US" w:eastAsia="zh-CN"/>
              </w:rPr>
              <w:t>不少于</w:t>
            </w:r>
            <w:r>
              <w:rPr>
                <w:rFonts w:hint="eastAsia" w:ascii="宋体" w:hAnsi="宋体" w:cs="宋体"/>
                <w:color w:val="000000"/>
                <w:szCs w:val="21"/>
                <w:highlight w:val="none"/>
              </w:rPr>
              <w:t>2次，包括信息安全方面培训、人员安全意识培训、运维操作安全技能等宣传培训活动。</w:t>
            </w:r>
          </w:p>
        </w:tc>
      </w:tr>
    </w:tbl>
    <w:p>
      <w:pPr>
        <w:keepNext/>
        <w:keepLines/>
        <w:numPr>
          <w:ilvl w:val="0"/>
          <w:numId w:val="7"/>
        </w:numPr>
        <w:spacing w:line="360" w:lineRule="auto"/>
        <w:outlineLvl w:val="1"/>
        <w:rPr>
          <w:rFonts w:ascii="宋体" w:hAnsi="宋体" w:cs="宋体"/>
          <w:b/>
          <w:bCs/>
          <w:szCs w:val="21"/>
          <w:highlight w:val="none"/>
        </w:rPr>
      </w:pPr>
      <w:r>
        <w:rPr>
          <w:rFonts w:hint="eastAsia" w:ascii="宋体" w:hAnsi="宋体" w:cs="宋体"/>
          <w:b/>
          <w:bCs/>
          <w:szCs w:val="21"/>
          <w:highlight w:val="none"/>
        </w:rPr>
        <w:t>国产化软件购置</w:t>
      </w:r>
    </w:p>
    <w:tbl>
      <w:tblPr>
        <w:tblStyle w:val="37"/>
        <w:tblW w:w="5000" w:type="pct"/>
        <w:tblInd w:w="0" w:type="dxa"/>
        <w:tblLayout w:type="autofit"/>
        <w:tblCellMar>
          <w:top w:w="0" w:type="dxa"/>
          <w:left w:w="108" w:type="dxa"/>
          <w:bottom w:w="0" w:type="dxa"/>
          <w:right w:w="108" w:type="dxa"/>
        </w:tblCellMar>
      </w:tblPr>
      <w:tblGrid>
        <w:gridCol w:w="1336"/>
        <w:gridCol w:w="7385"/>
      </w:tblGrid>
      <w:tr>
        <w:trPr>
          <w:trHeight w:val="454" w:hRule="atLeast"/>
        </w:trPr>
        <w:tc>
          <w:tcPr>
            <w:tcW w:w="766"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国产数据库软件</w:t>
            </w:r>
          </w:p>
        </w:tc>
        <w:tc>
          <w:tcPr>
            <w:tcW w:w="42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具备对数据分区管理能力，</w:t>
            </w:r>
            <w:r>
              <w:rPr>
                <w:rFonts w:hint="eastAsia" w:ascii="宋体" w:hAnsi="宋体" w:cs="宋体"/>
                <w:kern w:val="0"/>
                <w:szCs w:val="21"/>
                <w:highlight w:val="none"/>
                <w:lang w:eastAsia="zh-CN"/>
              </w:rPr>
              <w:t>配置</w:t>
            </w:r>
            <w:r>
              <w:rPr>
                <w:rFonts w:hint="eastAsia" w:ascii="宋体" w:hAnsi="宋体" w:cs="宋体"/>
                <w:kern w:val="0"/>
                <w:szCs w:val="21"/>
                <w:highlight w:val="none"/>
              </w:rPr>
              <w:t>对表进行范围分区、列表分区、哈希分区等分区机制</w:t>
            </w:r>
            <w:r>
              <w:rPr>
                <w:rFonts w:hint="eastAsia" w:ascii="宋体" w:hAnsi="宋体" w:cs="宋体"/>
                <w:szCs w:val="21"/>
                <w:highlight w:val="none"/>
                <w:lang w:val="en-US" w:eastAsia="zh-CN"/>
              </w:rPr>
              <w:t>等功能</w:t>
            </w:r>
            <w:r>
              <w:rPr>
                <w:rFonts w:hint="eastAsia" w:ascii="宋体" w:hAnsi="宋体" w:cs="宋体"/>
                <w:kern w:val="0"/>
                <w:szCs w:val="21"/>
                <w:highlight w:val="none"/>
              </w:rPr>
              <w:t>。支持混合负载应用场景，既支持事务处理，也支持分析处理。同时支持bytea、oid、clob、blob等数据类型，能够存储大型非结构化数据，如：文本、图像、视频、空间数据等。支持GIS地理功能，支持面向LBS位置的数据分析和处理能力。数据库存储模式支持：本地存储、共享存储、分布式存储。支持分布式大规模并行处理集群150个节点以上。支持高可用模式的数据库集群，可在线管理集群节点（增删改）；支持应用程序的透明访问能力，在数据库节点发生故障时，可自动切换到其它节点。支持AES、DES等及国密SM算法等。支持对同构、异构数据库的监控，包括其他国产主流数据库、ORACLE、PostgreSQL、DB2、MySQL、SQL Server等，监控信息包括：CPU、内存、文件系统、网络情况、系统运行状态等。支持国产操作系统：统信UOS、麒麟系列等主流操作系统。支持MIPS系列（龙芯）、ARM系列(飞腾、鲲鹏)、Alpha系列（申威）、X86系列（兆芯、海光、Intel、AMD）等。支持Tomcat、Weblogic及信创平台认证的东方通、金蝶、中创……等中间件。支持Java、C/C++、.NET、Node.js、PHP、Python、Perl、Tcl、Go等程序开发语言或工具。支持JDBC、ODBC、Node.js、C API、OLEDB、OCI等多种开发接口。提供多种过程语言包括：PL/Perl、PL/Python、PL/Tcl、PL/JAVA等。兼容大部分Oracle、MySQL等常用语法。</w:t>
            </w:r>
          </w:p>
        </w:tc>
      </w:tr>
      <w:tr>
        <w:trPr>
          <w:trHeight w:val="454" w:hRule="atLeast"/>
        </w:trPr>
        <w:tc>
          <w:tcPr>
            <w:tcW w:w="766"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国产应用中间件</w:t>
            </w:r>
          </w:p>
        </w:tc>
        <w:tc>
          <w:tcPr>
            <w:tcW w:w="42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具备web应用、ejb应用、虚拟主机、应用服务器集群、身份验证、日志审计等基本工作，提供类库管理、图形化监控、jvm配置、垃圾回收配置等工具，支持实例部署、数据库连接服务，为业务系统提供运行环境。</w:t>
            </w:r>
          </w:p>
        </w:tc>
      </w:tr>
    </w:tbl>
    <w:p>
      <w:pPr>
        <w:rPr>
          <w:rFonts w:ascii="宋体" w:hAnsi="宋体" w:cs="宋体"/>
          <w:szCs w:val="21"/>
          <w:highlight w:val="none"/>
        </w:rPr>
      </w:pPr>
    </w:p>
    <w:bookmarkEnd w:id="32"/>
    <w:p>
      <w:pPr>
        <w:keepNext/>
        <w:keepLines/>
        <w:spacing w:line="360" w:lineRule="auto"/>
        <w:outlineLvl w:val="0"/>
        <w:rPr>
          <w:rFonts w:ascii="宋体" w:hAnsi="宋体" w:cs="宋体"/>
          <w:b/>
          <w:bCs/>
          <w:kern w:val="44"/>
          <w:szCs w:val="21"/>
          <w:highlight w:val="none"/>
        </w:rPr>
      </w:pPr>
      <w:bookmarkStart w:id="41" w:name="_Toc124516914"/>
      <w:r>
        <w:rPr>
          <w:rFonts w:hint="eastAsia" w:ascii="宋体" w:hAnsi="宋体" w:cs="宋体"/>
          <w:b/>
          <w:bCs/>
          <w:kern w:val="44"/>
          <w:szCs w:val="21"/>
          <w:highlight w:val="none"/>
        </w:rPr>
        <w:t>六、详细功能要求</w:t>
      </w:r>
      <w:bookmarkEnd w:id="41"/>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本项目建设内容主要包括数据安全服务和网络安全服务购置，年限为三年。其中数据安全服务包含数据分级分类、数据安全态势感知平台、数据库加密扩展、数据安全管理系统和数据库软件等服务的购置；网络安全服务包含网络安全管理平台、网络安全运行平台和网络安全配套等服务的购置。具体功能要求如下：</w:t>
      </w:r>
    </w:p>
    <w:p>
      <w:pPr>
        <w:keepNext/>
        <w:keepLines/>
        <w:spacing w:line="360" w:lineRule="auto"/>
        <w:ind w:firstLine="424" w:firstLineChars="200"/>
        <w:outlineLvl w:val="1"/>
        <w:rPr>
          <w:rFonts w:ascii="宋体" w:hAnsi="宋体" w:cs="宋体"/>
          <w:b/>
          <w:bCs/>
          <w:szCs w:val="21"/>
          <w:highlight w:val="none"/>
        </w:rPr>
      </w:pPr>
      <w:bookmarkStart w:id="42" w:name="_Toc147676531"/>
      <w:r>
        <w:rPr>
          <w:rFonts w:hint="eastAsia" w:ascii="宋体" w:hAnsi="宋体" w:cs="宋体"/>
          <w:b/>
          <w:bCs/>
          <w:szCs w:val="21"/>
          <w:highlight w:val="none"/>
        </w:rPr>
        <w:t>（一）数据安全服务</w:t>
      </w:r>
      <w:bookmarkEnd w:id="42"/>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本项目通过购买服务的方式，建立余姚市电子政务外网数据安全防控能力，服务购置期限为三年。</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本次数据安全服务购置主要包括数据分级分类、数据安全态势感知平台、数据库软件、数据库加密扩展和数据安全管理系统。</w:t>
      </w:r>
    </w:p>
    <w:p>
      <w:pPr>
        <w:keepNext/>
        <w:keepLines/>
        <w:numPr>
          <w:ilvl w:val="0"/>
          <w:numId w:val="10"/>
        </w:numPr>
        <w:spacing w:line="360" w:lineRule="auto"/>
        <w:outlineLvl w:val="2"/>
        <w:rPr>
          <w:rFonts w:ascii="宋体" w:hAnsi="宋体" w:cs="宋体"/>
          <w:b/>
          <w:bCs/>
          <w:szCs w:val="21"/>
          <w:highlight w:val="none"/>
        </w:rPr>
      </w:pPr>
      <w:bookmarkStart w:id="43" w:name="_Toc147676532"/>
      <w:r>
        <w:rPr>
          <w:rFonts w:hint="eastAsia" w:ascii="宋体" w:hAnsi="宋体" w:cs="宋体"/>
          <w:b/>
          <w:bCs/>
          <w:szCs w:val="21"/>
          <w:highlight w:val="none"/>
        </w:rPr>
        <w:t>数据分级分类</w:t>
      </w:r>
      <w:bookmarkEnd w:id="43"/>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本次项目需提供数据分级分类服务一项，服务年限为三年。</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数据分级分类服务具体包含内容如下：</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（1）数据分级分类咨询服务</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根据国家、行业相关要求梳理余姚市数据分级分类规范，输出余姚市分级分类标准。</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（2）数据安全服务</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建立健全的组织架构是数据安全治理工作的基础，制定部门职责与人员角色及动态协同机制，制定并不限于规章制度、管控办法、奖惩机制、技术规范等，制定并不限于由分管领导、数据安全人员、数据管理人员以及相关人员等组织层面的数据管理制度规范；协同业主单位处置数据安全问题、常态化数据安全风险发现和处置；全年开展 2 次数据安全培训（包括但不限于政策规范制度解读、接口和批量数据使用安全、第三方管理等）；全年开展 2 次数据安全应急演练（包括但不限于数据篡改、数据泄露等）；协同业主单位开展本地区各单位数据安全相关检查工作，形成检查报告，配合业主单位指导相关问题责任单位闭环处置且提供书面整改报告。</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（3）暗数据发现和分级分类</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具备对于余姚市数据资产进行自动发现并进行分级分类，协助采购人全面梳理数据资产，具备数据安全治理和数据基础治理能力，含</w:t>
      </w:r>
      <w:r>
        <w:rPr>
          <w:rFonts w:hint="eastAsia" w:ascii="宋体" w:hAnsi="宋体" w:cs="宋体"/>
          <w:szCs w:val="21"/>
          <w:highlight w:val="none"/>
          <w:lang w:val="en-US" w:eastAsia="zh-CN"/>
        </w:rPr>
        <w:t>不少于</w:t>
      </w:r>
      <w:r>
        <w:rPr>
          <w:rFonts w:hint="eastAsia" w:ascii="宋体" w:hAnsi="宋体" w:cs="宋体"/>
          <w:szCs w:val="21"/>
          <w:highlight w:val="none"/>
        </w:rPr>
        <w:t>2000张表</w:t>
      </w:r>
      <w:r>
        <w:rPr>
          <w:rFonts w:hint="eastAsia" w:ascii="宋体" w:hAnsi="宋体" w:cs="宋体"/>
          <w:szCs w:val="21"/>
          <w:highlight w:val="none"/>
          <w:lang w:val="en-US" w:eastAsia="zh-CN"/>
        </w:rPr>
        <w:t>不少于</w:t>
      </w:r>
      <w:r>
        <w:rPr>
          <w:rFonts w:hint="eastAsia" w:ascii="宋体" w:hAnsi="宋体" w:cs="宋体"/>
          <w:szCs w:val="21"/>
          <w:highlight w:val="none"/>
        </w:rPr>
        <w:t>40000个字段。</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（4）数据分级分类实施服务</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具备利用敏感数据发现分析出敏感数据后，再按照政务数据类型进行敏感数据分级分类，从敏感数据分类出发，选择敏感表格组成敏感数据集合，在保障安全的基础之上实现便捷管理。</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（5）硬件配置</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不低于下列参数及数量：</w:t>
      </w:r>
      <w:r>
        <w:rPr>
          <w:rFonts w:hint="eastAsia" w:ascii="宋体" w:hAnsi="宋体" w:cs="宋体"/>
          <w:szCs w:val="21"/>
          <w:highlight w:val="none"/>
          <w:lang w:val="en-US" w:eastAsia="zh-CN"/>
        </w:rPr>
        <w:t>国产CPU 16核</w:t>
      </w:r>
      <w:r>
        <w:rPr>
          <w:rFonts w:hint="eastAsia" w:ascii="宋体" w:hAnsi="宋体" w:cs="宋体"/>
          <w:szCs w:val="21"/>
          <w:highlight w:val="none"/>
        </w:rPr>
        <w:t>*2 /散热片*2 /DDR4 3200 16G*2 /480G 2.5 SATA 6Gb R SSD*1 /4TB  3.5 SATA 7.2K HDD*2 /横插04盘12G SAS 硬盘背板 /8口SAS卡/550W电源模块*2 /双口10G（满配光模块）SFP+光纤网卡*2 /10G SFP+多模光模块*4 （满配光模块）/滑轨 /150cm 国标电源线*2 / 整机三年保修且硬盘免回收。</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（6）具备服务期内软件、硬件系统全功能免费升级服务。</w:t>
      </w:r>
    </w:p>
    <w:p>
      <w:pPr>
        <w:keepNext/>
        <w:keepLines/>
        <w:numPr>
          <w:ilvl w:val="0"/>
          <w:numId w:val="10"/>
        </w:numPr>
        <w:spacing w:line="360" w:lineRule="auto"/>
        <w:outlineLvl w:val="2"/>
        <w:rPr>
          <w:rFonts w:ascii="宋体" w:hAnsi="宋体" w:cs="宋体"/>
          <w:b/>
          <w:bCs/>
          <w:szCs w:val="21"/>
          <w:highlight w:val="none"/>
        </w:rPr>
      </w:pPr>
      <w:bookmarkStart w:id="44" w:name="_Toc147676533"/>
      <w:r>
        <w:rPr>
          <w:rFonts w:hint="eastAsia" w:ascii="宋体" w:hAnsi="宋体" w:cs="宋体"/>
          <w:b/>
          <w:bCs/>
          <w:szCs w:val="21"/>
          <w:highlight w:val="none"/>
        </w:rPr>
        <w:t>数据安全态势感知</w:t>
      </w:r>
      <w:bookmarkEnd w:id="44"/>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本次项目以购买服务的方式，建立余姚市电子政务外网的数据安全态势感知平台，服务购置年限为三年，具体要求如下：</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（1）具备敏感数据资产管理能力，包括并不限于敏感数据识别、分级分类等。</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（2）具备数据安全设备管理能力，包括并不限于数据安全设备接入、统一策略管理、设备运行监控等，兼容已有加密、动静态脱敏及水印设备。</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（3）具备安全日志接入能力，包括并不限于安全日志采集接入，兼容已有加密、动静态脱敏及水印设备等。</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（4）具备统一告警管理能力，包括并不限于支持统一告警、工单管理，兼容已有加密、动静态脱敏及水印设备等。</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5）具备支持数据源数不小于200，具备接入数据安全设备数不小于50；具备全场景安全风险事件集中收集、清洗、分析、预警，日志和数据解析、静态风险监测、动态风险检测、数据安全态势、数据安全大屏，实现数据安全可视化，可量化，可感知和可追溯的能力；包含数据库探针设备，具备支持数据库实例不少于48个，数据库流量不小于600Mbps，SQL峰值处理能力不小于60000 条/秒，SQL日志存储数量不小于80亿条；具备扩展选配API接口、网络流量解析等探针组件的功能。</w:t>
      </w:r>
    </w:p>
    <w:p>
      <w:pPr>
        <w:keepNext/>
        <w:keepLines/>
        <w:numPr>
          <w:ilvl w:val="0"/>
          <w:numId w:val="10"/>
        </w:numPr>
        <w:spacing w:line="360" w:lineRule="auto"/>
        <w:outlineLvl w:val="2"/>
        <w:rPr>
          <w:rFonts w:ascii="宋体" w:hAnsi="宋体" w:cs="宋体"/>
          <w:b/>
          <w:bCs/>
          <w:szCs w:val="21"/>
          <w:highlight w:val="none"/>
        </w:rPr>
      </w:pPr>
      <w:bookmarkStart w:id="45" w:name="_Toc147676535"/>
      <w:r>
        <w:rPr>
          <w:rFonts w:hint="eastAsia" w:ascii="宋体" w:hAnsi="宋体" w:cs="宋体"/>
          <w:b/>
          <w:bCs/>
          <w:szCs w:val="21"/>
          <w:highlight w:val="none"/>
        </w:rPr>
        <w:t>数据库加密扩展</w:t>
      </w:r>
      <w:bookmarkEnd w:id="45"/>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数据库加密系统是基于网关代理加密技术实现敏感数据加密存储，系统支持采用SM2证书对身份进行认证，使用国际主流加密算法AES和国产加密算法SM4对敏感数据加密，使用SM3-HMAC对敏感数据进行校验，能满足等保、分保等评测要求，能满足商用密码系统应用与安全性评估的存储数据完整性和机密性保障的评测要求；在此基础上增加独立于数据库的访问授权机制。</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数据加密系统主要功能包含：</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（1）数据源管理</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数据源管理主要用于对各种数据库类型数据源的配置，包括添加数据库信息、对数据库主机监控的阈值配置等。</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（2）敏感数据发现</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系统内置丰富的敏感数据类型特征库，特征库里包含常见的敏感数据类型，例如：中文姓名、身份证号、固定电话、手机号码、银行卡号、电子邮箱、中文地址、邮政编码、企业单位名称、组织机构代码、营业执照代码、税务登记代码、企业三证合一代码等共二十余种。支持以正则表达式的方式扩展自定义敏感数据特征，添加至自定义敏感类型特征库。</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（3）数据加密</w:t>
      </w:r>
      <w:r>
        <w:rPr>
          <w:rFonts w:hint="eastAsia" w:ascii="宋体" w:hAnsi="宋体" w:cs="宋体"/>
          <w:szCs w:val="21"/>
          <w:highlight w:val="none"/>
        </w:rPr>
        <w:tab/>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数据加密的目的是保证数据的机密性，防止未经授权的人员查看敏感数据，保证不会因为存储介质的丢失、被盗等因素造成泄密。数据库加密系统对数据列进行加解密，对不同字段采用不同的工作密钥，系统支持AES等国际标准算法的同时还支持SM4等国密算法。</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（4）访问授权</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提供独立于数据库的访问授权机制，限制部分用户的增删改查操作，同时对访问的客户端的IP、时间等进行限制，从而防止内部特权用户或突破边界防护的外部未授权人员查看敏感数据。</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（5）密钥管理</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数据库加密系统采用标准的三级密钥管理机制：主密钥由安全管理员存储于加密卡中，通过查找索引号将其调用。库密钥被主密钥保护，由系统自动产生，并执行自动更新机制。列密钥由高度随机算法或量子密钥发生器生成，通过国密算法对数据进行加密处理且与密文进行数据封装被库密钥保护。多级密钥对数据进行了多重防护符合行业标准内对密钥管理的要求。</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（6）备份与恢复</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系统备份功能将关键数据和配置信息进行打包导出并上传到加密服务器作为备份，导出信息栏中会增加备份文件的描述、导出时间、导出类型和文件，也可下载到本地。当需要恢复配置时，选择备份包恢复即可回退配置。</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（7）审计管理</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记录系统的敏感操作，并可用于事件追溯。审计功能记录各用户进行登入、登出、加密、解密、客户端授权、用户授权操作的具体信息生成操作日志。可以使用用户名称、操作类型、起止时间对操作日志进行筛选。操作日志和操作日志副本独立于应用之外的安全审计子系统。无法从应用自身发起删除行为。</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本次项目在原有单机数据加密系统的基础上扩展为双机模式，提供方式为服务购置的方式，年限为三年，具体要求如下：</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数据加密系统扩展为双机模式；加密速率不低于25000单元格/秒；SM4加密速率不低于4Gbps；并发连接数不低于3000个；不低于百万级表加密；数据库实例不低于3个；加密列数不低于60列；双机设备实例数扩展不低于3套。具备服务期内软件系统全功能免费升级服务。</w:t>
      </w:r>
    </w:p>
    <w:p>
      <w:pPr>
        <w:keepNext/>
        <w:keepLines/>
        <w:numPr>
          <w:ilvl w:val="0"/>
          <w:numId w:val="10"/>
        </w:numPr>
        <w:spacing w:line="360" w:lineRule="auto"/>
        <w:outlineLvl w:val="2"/>
        <w:rPr>
          <w:rFonts w:ascii="宋体" w:hAnsi="宋体" w:cs="宋体"/>
          <w:b/>
          <w:bCs/>
          <w:szCs w:val="21"/>
          <w:highlight w:val="none"/>
        </w:rPr>
      </w:pPr>
      <w:bookmarkStart w:id="46" w:name="_Toc147676536"/>
      <w:r>
        <w:rPr>
          <w:rFonts w:hint="eastAsia" w:ascii="宋体" w:hAnsi="宋体" w:cs="宋体"/>
          <w:b/>
          <w:bCs/>
          <w:szCs w:val="21"/>
          <w:highlight w:val="none"/>
        </w:rPr>
        <w:t>数据安全管理系统</w:t>
      </w:r>
      <w:bookmarkEnd w:id="46"/>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本次项目设计以购买服务的方式，建设数据安全管理系统，服务年限为三年。</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数据安全管理系统主要技术参数要求如下：</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具备通过加密、审批、阻断和审计等手段，为不同架构不同操作系统（同时支持所有国产系统）的电脑终端提供数据扫描、文档加密、权限管理、外设管控、屏幕水印、文档审批等安全防护的能力。包含不低于200个客户端永久授权。具备服务期内软件系统全功能免费升级服务。</w:t>
      </w:r>
    </w:p>
    <w:p>
      <w:pPr>
        <w:spacing w:line="360" w:lineRule="auto"/>
        <w:ind w:firstLine="424" w:firstLineChars="200"/>
        <w:rPr>
          <w:rFonts w:ascii="宋体" w:hAnsi="宋体" w:cs="宋体"/>
          <w:szCs w:val="21"/>
          <w:highlight w:val="none"/>
        </w:rPr>
      </w:pPr>
      <w:bookmarkStart w:id="47" w:name="_Toc147590060"/>
      <w:bookmarkStart w:id="48" w:name="_Toc482971695"/>
      <w:bookmarkStart w:id="49" w:name="_Toc363059409"/>
      <w:bookmarkStart w:id="50" w:name="_Toc363137320"/>
      <w:bookmarkStart w:id="51" w:name="_Toc369361680"/>
      <w:bookmarkStart w:id="52" w:name="_Toc12274"/>
      <w:r>
        <w:rPr>
          <w:rFonts w:hint="eastAsia" w:ascii="宋体" w:hAnsi="宋体" w:cs="宋体"/>
          <w:szCs w:val="21"/>
          <w:highlight w:val="none"/>
        </w:rPr>
        <w:t>（1）文档加密管理</w:t>
      </w:r>
      <w:bookmarkEnd w:id="47"/>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文档加密管理提供针对办公终端用户文档的加解密以及权限管理功能。</w:t>
      </w:r>
    </w:p>
    <w:p>
      <w:pPr>
        <w:spacing w:line="360" w:lineRule="auto"/>
        <w:ind w:firstLine="424" w:firstLineChars="200"/>
        <w:rPr>
          <w:rFonts w:ascii="宋体" w:hAnsi="宋体" w:cs="宋体"/>
          <w:szCs w:val="21"/>
          <w:highlight w:val="none"/>
        </w:rPr>
      </w:pPr>
      <w:bookmarkStart w:id="53" w:name="_Toc26071"/>
      <w:bookmarkStart w:id="54" w:name="_Toc147590061"/>
      <w:bookmarkStart w:id="55" w:name="_Toc482971692"/>
      <w:r>
        <w:rPr>
          <w:rFonts w:hint="eastAsia" w:ascii="宋体" w:hAnsi="宋体" w:cs="宋体"/>
          <w:szCs w:val="21"/>
          <w:highlight w:val="none"/>
        </w:rPr>
        <w:t>文档手动加密</w:t>
      </w:r>
      <w:bookmarkEnd w:id="53"/>
      <w:bookmarkEnd w:id="54"/>
      <w:bookmarkEnd w:id="55"/>
      <w:r>
        <w:rPr>
          <w:rFonts w:hint="eastAsia" w:ascii="宋体" w:hAnsi="宋体" w:cs="宋体"/>
          <w:szCs w:val="21"/>
          <w:highlight w:val="none"/>
        </w:rPr>
        <w:t>：文档手动加密提供单个文档和多个文档的主动加密功能，同时</w:t>
      </w:r>
      <w:r>
        <w:rPr>
          <w:rFonts w:hint="eastAsia" w:ascii="宋体" w:hAnsi="宋体" w:cs="宋体"/>
          <w:szCs w:val="21"/>
          <w:highlight w:val="none"/>
          <w:lang w:eastAsia="zh-CN"/>
        </w:rPr>
        <w:t>配置</w:t>
      </w:r>
      <w:r>
        <w:rPr>
          <w:rFonts w:hint="eastAsia" w:ascii="宋体" w:hAnsi="宋体" w:cs="宋体"/>
          <w:szCs w:val="21"/>
          <w:highlight w:val="none"/>
        </w:rPr>
        <w:t>文档自动加密/强制加密功能。</w:t>
      </w:r>
    </w:p>
    <w:p>
      <w:pPr>
        <w:spacing w:line="360" w:lineRule="auto"/>
        <w:ind w:firstLine="424" w:firstLineChars="200"/>
        <w:rPr>
          <w:rFonts w:ascii="宋体" w:hAnsi="宋体" w:cs="宋体"/>
          <w:szCs w:val="21"/>
          <w:highlight w:val="none"/>
        </w:rPr>
      </w:pPr>
      <w:bookmarkStart w:id="56" w:name="_Toc147590062"/>
      <w:r>
        <w:rPr>
          <w:rFonts w:hint="eastAsia" w:ascii="宋体" w:hAnsi="宋体" w:cs="宋体"/>
          <w:szCs w:val="21"/>
          <w:highlight w:val="none"/>
        </w:rPr>
        <w:t>文档自动加密</w:t>
      </w:r>
      <w:bookmarkEnd w:id="56"/>
      <w:r>
        <w:rPr>
          <w:rFonts w:hint="eastAsia" w:ascii="宋体" w:hAnsi="宋体" w:cs="宋体"/>
          <w:szCs w:val="21"/>
          <w:highlight w:val="none"/>
        </w:rPr>
        <w:t>：文档自动加密提供整个文档夹加密功能，文档目录可由使用者自行设置，并可设置该文档夹中的文档使用权限。用户可以通过拷贝、拖拽方式将文档放入文档夹中，文档自动加密及设置权限。</w:t>
      </w:r>
    </w:p>
    <w:p>
      <w:pPr>
        <w:spacing w:line="360" w:lineRule="auto"/>
        <w:ind w:firstLine="424" w:firstLineChars="200"/>
        <w:rPr>
          <w:rFonts w:ascii="宋体" w:hAnsi="宋体" w:cs="宋体"/>
          <w:szCs w:val="21"/>
          <w:highlight w:val="none"/>
        </w:rPr>
      </w:pPr>
      <w:bookmarkStart w:id="57" w:name="_Toc147590063"/>
      <w:r>
        <w:rPr>
          <w:rFonts w:hint="eastAsia" w:ascii="宋体" w:hAnsi="宋体" w:cs="宋体"/>
          <w:szCs w:val="21"/>
          <w:highlight w:val="none"/>
        </w:rPr>
        <w:t>文档强制加密</w:t>
      </w:r>
      <w:bookmarkEnd w:id="57"/>
      <w:r>
        <w:rPr>
          <w:rFonts w:hint="eastAsia" w:ascii="宋体" w:hAnsi="宋体" w:cs="宋体"/>
          <w:szCs w:val="21"/>
          <w:highlight w:val="none"/>
        </w:rPr>
        <w:t>：文档强制加密功能提供根据策略配置内容，终端电脑全盘或者指定目录</w:t>
      </w:r>
      <w:r>
        <w:rPr>
          <w:rFonts w:hint="eastAsia" w:ascii="宋体" w:hAnsi="宋体" w:cs="宋体"/>
          <w:szCs w:val="21"/>
          <w:highlight w:val="none"/>
          <w:lang w:eastAsia="zh-CN"/>
        </w:rPr>
        <w:t>配置</w:t>
      </w:r>
      <w:r>
        <w:rPr>
          <w:rFonts w:hint="eastAsia" w:ascii="宋体" w:hAnsi="宋体" w:cs="宋体"/>
          <w:szCs w:val="21"/>
          <w:highlight w:val="none"/>
        </w:rPr>
        <w:t>针对特定格式、特定名称的文件强制加密功能，支持配置加密密级以及例外免除加密的路径。</w:t>
      </w:r>
    </w:p>
    <w:p>
      <w:pPr>
        <w:spacing w:line="360" w:lineRule="auto"/>
        <w:ind w:firstLine="424" w:firstLineChars="200"/>
        <w:rPr>
          <w:rFonts w:ascii="宋体" w:hAnsi="宋体" w:cs="宋体"/>
          <w:szCs w:val="21"/>
          <w:highlight w:val="none"/>
        </w:rPr>
      </w:pPr>
      <w:bookmarkStart w:id="58" w:name="_Toc147590064"/>
      <w:r>
        <w:rPr>
          <w:rFonts w:hint="eastAsia" w:ascii="宋体" w:hAnsi="宋体" w:cs="宋体"/>
          <w:szCs w:val="21"/>
          <w:highlight w:val="none"/>
        </w:rPr>
        <w:t>文档透明解密与权限管控</w:t>
      </w:r>
      <w:bookmarkEnd w:id="58"/>
      <w:r>
        <w:rPr>
          <w:rFonts w:hint="eastAsia" w:ascii="宋体" w:hAnsi="宋体" w:cs="宋体"/>
          <w:szCs w:val="21"/>
          <w:highlight w:val="none"/>
        </w:rPr>
        <w:t>：支持</w:t>
      </w:r>
      <w:r>
        <w:rPr>
          <w:rFonts w:hint="eastAsia" w:ascii="宋体" w:hAnsi="宋体" w:cs="宋体"/>
          <w:szCs w:val="21"/>
          <w:highlight w:val="none"/>
          <w:lang w:val="en-US" w:eastAsia="zh-CN"/>
        </w:rPr>
        <w:t>至少</w:t>
      </w:r>
      <w:r>
        <w:rPr>
          <w:rFonts w:hint="eastAsia" w:ascii="宋体" w:hAnsi="宋体" w:cs="宋体"/>
          <w:szCs w:val="21"/>
          <w:highlight w:val="none"/>
        </w:rPr>
        <w:t>Windows平台，文档的权限控制包括读、写、另存、脱密、截屏、拷贝、文档水印、无水印打印、带水印打印、离线使用等十种基本文档权限。管理员可以通过控制台设置不同密级对应的文档权限，文档在使用指定密级加密后具有该密级设定的使用权限。</w:t>
      </w:r>
    </w:p>
    <w:p>
      <w:pPr>
        <w:spacing w:line="360" w:lineRule="auto"/>
        <w:ind w:firstLine="424" w:firstLineChars="200"/>
        <w:rPr>
          <w:rFonts w:ascii="宋体" w:hAnsi="宋体" w:cs="宋体"/>
          <w:szCs w:val="21"/>
          <w:highlight w:val="none"/>
        </w:rPr>
      </w:pPr>
      <w:bookmarkStart w:id="59" w:name="_Toc147590065"/>
      <w:bookmarkStart w:id="60" w:name="_Toc482971694"/>
      <w:bookmarkStart w:id="61" w:name="_Toc11504"/>
      <w:r>
        <w:rPr>
          <w:rFonts w:hint="eastAsia" w:ascii="宋体" w:hAnsi="宋体" w:cs="宋体"/>
          <w:szCs w:val="21"/>
          <w:highlight w:val="none"/>
        </w:rPr>
        <w:t>文档加解密</w:t>
      </w:r>
      <w:bookmarkEnd w:id="59"/>
      <w:bookmarkEnd w:id="60"/>
      <w:bookmarkEnd w:id="61"/>
      <w:r>
        <w:rPr>
          <w:rFonts w:hint="eastAsia" w:ascii="宋体" w:hAnsi="宋体" w:cs="宋体"/>
          <w:szCs w:val="21"/>
          <w:highlight w:val="none"/>
        </w:rPr>
        <w:t>：文档透明加密，可对Word、Excel、PPT、PDF、书生、OFD和WPS等类型文档进行透明加密，不改变用户的任何操作习惯，不改变原有文档信息的格式；文档透明解密，</w:t>
      </w:r>
      <w:r>
        <w:rPr>
          <w:rFonts w:hint="eastAsia" w:ascii="宋体" w:hAnsi="宋体" w:cs="宋体"/>
          <w:szCs w:val="21"/>
          <w:highlight w:val="none"/>
          <w:lang w:eastAsia="zh-CN"/>
        </w:rPr>
        <w:t>配置</w:t>
      </w:r>
      <w:r>
        <w:rPr>
          <w:rFonts w:hint="eastAsia" w:ascii="宋体" w:hAnsi="宋体" w:cs="宋体"/>
          <w:szCs w:val="21"/>
          <w:highlight w:val="none"/>
        </w:rPr>
        <w:t>对密文办公文档利用Office、WPS、书生、Adobe、福昕等软件透明解密打开使用</w:t>
      </w:r>
      <w:r>
        <w:rPr>
          <w:rFonts w:hint="eastAsia" w:ascii="宋体" w:hAnsi="宋体" w:cs="宋体"/>
          <w:szCs w:val="21"/>
          <w:highlight w:val="none"/>
          <w:lang w:val="en-US" w:eastAsia="zh-CN"/>
        </w:rPr>
        <w:t>等功能</w:t>
      </w:r>
      <w:r>
        <w:rPr>
          <w:rFonts w:hint="eastAsia" w:ascii="宋体" w:hAnsi="宋体" w:cs="宋体"/>
          <w:szCs w:val="21"/>
          <w:highlight w:val="none"/>
        </w:rPr>
        <w:t>，并进行对应的读、写、另存、水印等权限管控;</w:t>
      </w:r>
    </w:p>
    <w:p>
      <w:pPr>
        <w:spacing w:line="360" w:lineRule="auto"/>
        <w:rPr>
          <w:rFonts w:ascii="宋体" w:hAnsi="宋体" w:cs="宋体"/>
          <w:szCs w:val="21"/>
          <w:highlight w:val="none"/>
        </w:rPr>
      </w:pPr>
      <w:r>
        <w:rPr>
          <w:rFonts w:hint="eastAsia" w:ascii="宋体" w:hAnsi="宋体" w:cs="宋体"/>
          <w:szCs w:val="21"/>
          <w:highlight w:val="none"/>
        </w:rPr>
        <w:t>授权用户访问，文档被加密后，只有授权用户才能正常访问，否则文档打开是乱码形式显示；系统集中审计，系统可以审计加密文档的相关信息，如：时间、电脑名称、用户名、文档名、解密文档内容等，便于事后追踪。</w:t>
      </w:r>
    </w:p>
    <w:p>
      <w:pPr>
        <w:spacing w:line="360" w:lineRule="auto"/>
        <w:ind w:firstLine="424" w:firstLineChars="200"/>
        <w:rPr>
          <w:rFonts w:ascii="宋体" w:hAnsi="宋体" w:cs="宋体"/>
          <w:szCs w:val="21"/>
          <w:highlight w:val="none"/>
        </w:rPr>
      </w:pPr>
      <w:bookmarkStart w:id="62" w:name="_Toc147590066"/>
      <w:r>
        <w:rPr>
          <w:rFonts w:hint="eastAsia" w:ascii="宋体" w:hAnsi="宋体" w:cs="宋体"/>
          <w:szCs w:val="21"/>
          <w:highlight w:val="none"/>
        </w:rPr>
        <w:t>文档点对点加密</w:t>
      </w:r>
      <w:bookmarkEnd w:id="62"/>
      <w:r>
        <w:rPr>
          <w:rFonts w:hint="eastAsia" w:ascii="宋体" w:hAnsi="宋体" w:cs="宋体"/>
          <w:szCs w:val="21"/>
          <w:highlight w:val="none"/>
        </w:rPr>
        <w:t>：点对点加密功能</w:t>
      </w:r>
      <w:r>
        <w:rPr>
          <w:rFonts w:hint="eastAsia" w:ascii="宋体" w:hAnsi="宋体" w:cs="宋体"/>
          <w:szCs w:val="21"/>
          <w:highlight w:val="none"/>
          <w:lang w:eastAsia="zh-CN"/>
        </w:rPr>
        <w:t>配置</w:t>
      </w:r>
      <w:r>
        <w:rPr>
          <w:rFonts w:hint="eastAsia" w:ascii="宋体" w:hAnsi="宋体" w:cs="宋体"/>
          <w:szCs w:val="21"/>
          <w:highlight w:val="none"/>
        </w:rPr>
        <w:t>管理员在控制台配置点对点加密模版</w:t>
      </w:r>
      <w:r>
        <w:rPr>
          <w:rFonts w:hint="eastAsia" w:ascii="宋体" w:hAnsi="宋体" w:cs="宋体"/>
          <w:szCs w:val="21"/>
          <w:highlight w:val="none"/>
          <w:lang w:val="en-US" w:eastAsia="zh-CN"/>
        </w:rPr>
        <w:t>功能</w:t>
      </w:r>
      <w:r>
        <w:rPr>
          <w:rFonts w:hint="eastAsia" w:ascii="宋体" w:hAnsi="宋体" w:cs="宋体"/>
          <w:szCs w:val="21"/>
          <w:highlight w:val="none"/>
        </w:rPr>
        <w:t>，支持配置目标用户、操作权限集合、使用期限、密文打开次数等。用户在终端执行点对点加密功能时，可以直接选择管理员配置的公共模版，也可以在终端自己手动创建和维护加密模版。点对点加密后的文件只有原作者和对应有操作权限的目标用户才可以打开阅读并使用。</w:t>
      </w:r>
    </w:p>
    <w:p>
      <w:pPr>
        <w:spacing w:line="360" w:lineRule="auto"/>
        <w:ind w:firstLine="424" w:firstLineChars="200"/>
        <w:rPr>
          <w:rFonts w:ascii="宋体" w:hAnsi="宋体" w:cs="宋体"/>
          <w:szCs w:val="21"/>
          <w:highlight w:val="none"/>
        </w:rPr>
      </w:pPr>
      <w:r>
        <w:rPr>
          <w:rFonts w:hint="eastAsia" w:ascii="宋体" w:hAnsi="宋体" w:cs="宋体"/>
          <w:szCs w:val="21"/>
          <w:highlight w:val="none"/>
          <w:lang w:val="en-US" w:eastAsia="zh-CN"/>
        </w:rPr>
        <w:t>配置</w:t>
      </w:r>
      <w:r>
        <w:rPr>
          <w:rFonts w:hint="eastAsia" w:ascii="宋体" w:hAnsi="宋体" w:cs="宋体"/>
          <w:szCs w:val="21"/>
          <w:highlight w:val="none"/>
        </w:rPr>
        <w:t>用户手动开启点对点加密的文件自动分享给目标操作用户</w:t>
      </w:r>
      <w:r>
        <w:rPr>
          <w:rFonts w:hint="eastAsia" w:ascii="宋体" w:hAnsi="宋体" w:cs="宋体"/>
          <w:szCs w:val="21"/>
          <w:highlight w:val="none"/>
          <w:lang w:val="en-US" w:eastAsia="zh-CN"/>
        </w:rPr>
        <w:t>等功能</w:t>
      </w:r>
      <w:r>
        <w:rPr>
          <w:rFonts w:hint="eastAsia" w:ascii="宋体" w:hAnsi="宋体" w:cs="宋体"/>
          <w:szCs w:val="21"/>
          <w:highlight w:val="none"/>
        </w:rPr>
        <w:t>，点对点加密的文件支持用户通过提权流程向文件作者扩展申请延期使用或者其它权限。除此之外还支持用户作者针对点对点加密的密文进行权限编辑修改，方便用户操作。</w:t>
      </w:r>
    </w:p>
    <w:p>
      <w:pPr>
        <w:spacing w:line="360" w:lineRule="auto"/>
        <w:ind w:firstLine="424" w:firstLineChars="200"/>
        <w:rPr>
          <w:rFonts w:ascii="宋体" w:hAnsi="宋体" w:cs="宋体"/>
          <w:szCs w:val="21"/>
          <w:highlight w:val="none"/>
        </w:rPr>
      </w:pPr>
      <w:bookmarkStart w:id="63" w:name="_Toc147590067"/>
      <w:r>
        <w:rPr>
          <w:rFonts w:hint="eastAsia" w:ascii="宋体" w:hAnsi="宋体" w:cs="宋体"/>
          <w:szCs w:val="21"/>
          <w:highlight w:val="none"/>
        </w:rPr>
        <w:t>文档外带</w:t>
      </w:r>
      <w:bookmarkEnd w:id="63"/>
      <w:r>
        <w:rPr>
          <w:rFonts w:hint="eastAsia" w:ascii="宋体" w:hAnsi="宋体" w:cs="宋体"/>
          <w:szCs w:val="21"/>
          <w:highlight w:val="none"/>
        </w:rPr>
        <w:t>功能：文档外带功能在Windows平台</w:t>
      </w:r>
      <w:r>
        <w:rPr>
          <w:rFonts w:hint="eastAsia" w:ascii="宋体" w:hAnsi="宋体" w:cs="宋体"/>
          <w:szCs w:val="21"/>
          <w:highlight w:val="none"/>
          <w:lang w:eastAsia="zh-CN"/>
        </w:rPr>
        <w:t>配置</w:t>
      </w:r>
      <w:r>
        <w:rPr>
          <w:rFonts w:hint="eastAsia" w:ascii="宋体" w:hAnsi="宋体" w:cs="宋体"/>
          <w:szCs w:val="21"/>
          <w:highlight w:val="none"/>
        </w:rPr>
        <w:t>对外发到未安装数据安全管理客户端的环境中的文档进行权限控制</w:t>
      </w:r>
      <w:r>
        <w:rPr>
          <w:rFonts w:hint="eastAsia" w:ascii="宋体" w:hAnsi="宋体" w:cs="宋体"/>
          <w:szCs w:val="21"/>
          <w:highlight w:val="none"/>
          <w:lang w:val="en-US" w:eastAsia="zh-CN"/>
        </w:rPr>
        <w:t>等功能</w:t>
      </w:r>
      <w:r>
        <w:rPr>
          <w:rFonts w:hint="eastAsia" w:ascii="宋体" w:hAnsi="宋体" w:cs="宋体"/>
          <w:szCs w:val="21"/>
          <w:highlight w:val="none"/>
        </w:rPr>
        <w:t>，支持管理的文档权限包括：访问口令、打开次数、使用时间、编辑、显示水印、打印次数、打印水印等。</w:t>
      </w:r>
      <w:r>
        <w:rPr>
          <w:rFonts w:hint="eastAsia" w:ascii="宋体" w:hAnsi="宋体" w:cs="宋体"/>
          <w:szCs w:val="21"/>
          <w:highlight w:val="none"/>
          <w:lang w:val="en-US" w:eastAsia="zh-CN"/>
        </w:rPr>
        <w:t>配置</w:t>
      </w:r>
      <w:r>
        <w:rPr>
          <w:rFonts w:hint="eastAsia" w:ascii="宋体" w:hAnsi="宋体" w:cs="宋体"/>
          <w:szCs w:val="21"/>
          <w:highlight w:val="none"/>
        </w:rPr>
        <w:t>针对用户制作外带文件的行为进行审批流程控制</w:t>
      </w:r>
      <w:r>
        <w:rPr>
          <w:rFonts w:hint="eastAsia" w:ascii="宋体" w:hAnsi="宋体" w:cs="宋体"/>
          <w:szCs w:val="21"/>
          <w:highlight w:val="none"/>
          <w:lang w:val="en-US" w:eastAsia="zh-CN"/>
        </w:rPr>
        <w:t>等功能</w:t>
      </w:r>
      <w:r>
        <w:rPr>
          <w:rFonts w:hint="eastAsia" w:ascii="宋体" w:hAnsi="宋体" w:cs="宋体"/>
          <w:szCs w:val="21"/>
          <w:highlight w:val="none"/>
        </w:rPr>
        <w:t>，支持强制用户在制作外带文件时开启特定权限的配置。文档外带功能在信创平台支持访问口令权限的控制。</w:t>
      </w:r>
    </w:p>
    <w:p>
      <w:pPr>
        <w:spacing w:line="360" w:lineRule="auto"/>
        <w:ind w:firstLine="424" w:firstLineChars="200"/>
        <w:rPr>
          <w:rFonts w:ascii="宋体" w:hAnsi="宋体" w:cs="宋体"/>
          <w:szCs w:val="21"/>
          <w:highlight w:val="none"/>
        </w:rPr>
      </w:pPr>
      <w:bookmarkStart w:id="64" w:name="_Toc147590068"/>
      <w:r>
        <w:rPr>
          <w:rFonts w:hint="eastAsia" w:ascii="宋体" w:hAnsi="宋体" w:cs="宋体"/>
          <w:szCs w:val="21"/>
          <w:highlight w:val="none"/>
        </w:rPr>
        <w:t>安全U盘功能</w:t>
      </w:r>
      <w:bookmarkEnd w:id="64"/>
      <w:r>
        <w:rPr>
          <w:rFonts w:hint="eastAsia" w:ascii="宋体" w:hAnsi="宋体" w:cs="宋体"/>
          <w:szCs w:val="21"/>
          <w:highlight w:val="none"/>
        </w:rPr>
        <w:t>：安全U盘功能是结合国产化第三方的安全U盘特殊硬件设备组合使用，在安全可控的基础上设计安全U盘中文件读写的操作日志。安全U盘的性能参数如下：存储容量：4G/8G/16G/32G/64G/128G；加密存储算法：AES-256、SM4，硬件芯片加密支持；大文件读/写速度：12Mbps；安全访问功能：配备专门的安全U盘生产管理软件工具，支持安全U盘访问口令控制（支持错误超次锁定）、文件存储加密、分区隐藏、防病毒、文件读写日志的审计。</w:t>
      </w:r>
    </w:p>
    <w:bookmarkEnd w:id="48"/>
    <w:p>
      <w:pPr>
        <w:spacing w:line="360" w:lineRule="auto"/>
        <w:ind w:firstLine="424" w:firstLineChars="200"/>
        <w:rPr>
          <w:rFonts w:ascii="宋体" w:hAnsi="宋体" w:cs="宋体"/>
          <w:szCs w:val="21"/>
          <w:highlight w:val="none"/>
        </w:rPr>
      </w:pPr>
      <w:bookmarkStart w:id="65" w:name="_Toc482971696"/>
      <w:bookmarkStart w:id="66" w:name="_Toc147590069"/>
      <w:r>
        <w:rPr>
          <w:rFonts w:hint="eastAsia" w:ascii="宋体" w:hAnsi="宋体" w:cs="宋体"/>
          <w:szCs w:val="21"/>
          <w:highlight w:val="none"/>
        </w:rPr>
        <w:t>（2）移动存储介质管理</w:t>
      </w:r>
      <w:bookmarkEnd w:id="65"/>
      <w:bookmarkEnd w:id="66"/>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移动存储介质管理针对计算机客户端移动存储设备进行管理，实现了U盘、移动硬盘等移动存储设备完整的生命周期（注册、授权、使用、挂失、注销）管理与管控，既保证了计算机移动存储设备的正常使用，又能有效防止随意使用移动存储设备造成的资料外泄等安全隐患。</w:t>
      </w:r>
    </w:p>
    <w:p>
      <w:pPr>
        <w:spacing w:line="360" w:lineRule="auto"/>
        <w:ind w:firstLine="424" w:firstLineChars="200"/>
        <w:rPr>
          <w:rFonts w:ascii="宋体" w:hAnsi="宋体" w:cs="宋体"/>
          <w:szCs w:val="21"/>
          <w:highlight w:val="none"/>
        </w:rPr>
      </w:pPr>
      <w:bookmarkStart w:id="67" w:name="_Toc147590070"/>
      <w:bookmarkStart w:id="68" w:name="_Toc482971697"/>
      <w:r>
        <w:rPr>
          <w:rFonts w:hint="eastAsia" w:ascii="宋体" w:hAnsi="宋体" w:cs="宋体"/>
          <w:szCs w:val="21"/>
          <w:highlight w:val="none"/>
        </w:rPr>
        <w:t>移动存储设备注册</w:t>
      </w:r>
      <w:bookmarkEnd w:id="67"/>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针对在用的移动存储设备进行注册、授权、挂失等统一管理</w:t>
      </w:r>
      <w:r>
        <w:rPr>
          <w:rFonts w:hint="eastAsia" w:ascii="宋体" w:hAnsi="宋体" w:cs="宋体"/>
          <w:szCs w:val="21"/>
          <w:highlight w:val="none"/>
          <w:lang w:val="en-US" w:eastAsia="zh-CN"/>
        </w:rPr>
        <w:t>等功能</w:t>
      </w: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在控制台进行统一管理</w:t>
      </w:r>
      <w:r>
        <w:rPr>
          <w:rFonts w:hint="eastAsia" w:ascii="宋体" w:hAnsi="宋体" w:cs="宋体"/>
          <w:szCs w:val="21"/>
          <w:highlight w:val="none"/>
          <w:lang w:val="en-US" w:eastAsia="zh-CN"/>
        </w:rPr>
        <w:t>等功能</w:t>
      </w:r>
      <w:r>
        <w:rPr>
          <w:rFonts w:hint="eastAsia" w:ascii="宋体" w:hAnsi="宋体" w:cs="宋体"/>
          <w:szCs w:val="21"/>
          <w:highlight w:val="none"/>
        </w:rPr>
        <w:t>。根据U盘是否已在系统中注册，可以分为已注册U盘和未注册U盘，并支持设置不同的策略，兼顾安全性和易用性的统一。</w:t>
      </w:r>
    </w:p>
    <w:p>
      <w:pPr>
        <w:spacing w:line="360" w:lineRule="auto"/>
        <w:ind w:firstLine="424" w:firstLineChars="200"/>
        <w:rPr>
          <w:rFonts w:ascii="宋体" w:hAnsi="宋体" w:cs="宋体"/>
          <w:szCs w:val="21"/>
          <w:highlight w:val="none"/>
        </w:rPr>
      </w:pPr>
      <w:bookmarkStart w:id="69" w:name="_Toc147590071"/>
      <w:r>
        <w:rPr>
          <w:rFonts w:hint="eastAsia" w:ascii="宋体" w:hAnsi="宋体" w:cs="宋体"/>
          <w:szCs w:val="21"/>
          <w:highlight w:val="none"/>
        </w:rPr>
        <w:t>移动存储介质管控</w:t>
      </w:r>
      <w:bookmarkEnd w:id="68"/>
      <w:bookmarkEnd w:id="69"/>
      <w:r>
        <w:rPr>
          <w:rFonts w:hint="eastAsia" w:ascii="宋体" w:hAnsi="宋体" w:cs="宋体"/>
          <w:szCs w:val="21"/>
          <w:highlight w:val="none"/>
        </w:rPr>
        <w:t>：该功能通过策略设置，对PC客户端的U盘操作权限进行管控，包括禁用、加密读写、只读明文、只读明文+密文、正常读写等五种权限。</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为了便于管理，可统一给未注册的移动存储设备下发策略；如禁止使用未注册的U盘，该策略将禁止使用员工私自插入的U盘。为了减少管理员注册大量U盘的工作量，系统支持用户通过客户端进行远程注册或通过注册工具进行注册。</w:t>
      </w:r>
    </w:p>
    <w:p>
      <w:pPr>
        <w:spacing w:line="360" w:lineRule="auto"/>
        <w:ind w:firstLine="424" w:firstLineChars="200"/>
        <w:rPr>
          <w:rFonts w:ascii="宋体" w:hAnsi="宋体" w:cs="宋体"/>
          <w:szCs w:val="21"/>
          <w:highlight w:val="none"/>
        </w:rPr>
      </w:pPr>
      <w:bookmarkStart w:id="70" w:name="_Toc147590072"/>
      <w:bookmarkStart w:id="71" w:name="_Toc482971700"/>
      <w:r>
        <w:rPr>
          <w:rFonts w:hint="eastAsia" w:ascii="宋体" w:hAnsi="宋体" w:cs="宋体"/>
          <w:szCs w:val="21"/>
          <w:highlight w:val="none"/>
        </w:rPr>
        <w:t>（3）网络访问行为管控</w:t>
      </w:r>
      <w:bookmarkEnd w:id="70"/>
    </w:p>
    <w:p>
      <w:pPr>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对终端用户访问网络资源、实时通讯及外发文件的行为进行审计管控</w:t>
      </w:r>
      <w:r>
        <w:rPr>
          <w:rFonts w:hint="eastAsia" w:ascii="宋体" w:hAnsi="宋体" w:cs="宋体"/>
          <w:szCs w:val="21"/>
          <w:highlight w:val="none"/>
          <w:lang w:val="en-US" w:eastAsia="zh-CN"/>
        </w:rPr>
        <w:t>等功能</w:t>
      </w:r>
      <w:r>
        <w:rPr>
          <w:rFonts w:hint="eastAsia" w:ascii="宋体" w:hAnsi="宋体" w:cs="宋体"/>
          <w:szCs w:val="21"/>
          <w:highlight w:val="none"/>
        </w:rPr>
        <w:t>，根据网络中不同的访问协议支持的业务管控类型主要包括：</w:t>
      </w:r>
    </w:p>
    <w:p>
      <w:pPr>
        <w:spacing w:line="360" w:lineRule="auto"/>
        <w:ind w:firstLine="424" w:firstLineChars="200"/>
        <w:rPr>
          <w:rFonts w:ascii="宋体" w:hAnsi="宋体" w:cs="宋体"/>
          <w:szCs w:val="21"/>
          <w:highlight w:val="none"/>
        </w:rPr>
      </w:pPr>
      <w:bookmarkStart w:id="72" w:name="_Toc147590073"/>
      <w:r>
        <w:rPr>
          <w:rFonts w:hint="eastAsia" w:ascii="宋体" w:hAnsi="宋体" w:cs="宋体"/>
          <w:szCs w:val="21"/>
          <w:highlight w:val="none"/>
        </w:rPr>
        <w:t>1）网页访问与外发管控</w:t>
      </w:r>
      <w:bookmarkEnd w:id="72"/>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可对终端用户通过浏览器查看网页的上网行为进行审计与管控，管控的类型包括：允许或者禁止访问对应的网站，审计用户的一般上网记录，并支持对特定类型网盘类型、Web邮箱类型的网址上传附件的行为进行拦截控制。支持基于内容扫描的登记外发/审批外发管控。</w:t>
      </w:r>
    </w:p>
    <w:p>
      <w:pPr>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对常规第三方基于Web的业务系统保护功能，即下载文件自动加密，上传文件自动解密的安全保护控制。</w:t>
      </w:r>
    </w:p>
    <w:p>
      <w:pPr>
        <w:spacing w:line="360" w:lineRule="auto"/>
        <w:ind w:firstLine="424" w:firstLineChars="200"/>
        <w:rPr>
          <w:rFonts w:ascii="宋体" w:hAnsi="宋体" w:cs="宋体"/>
          <w:szCs w:val="21"/>
          <w:highlight w:val="none"/>
        </w:rPr>
      </w:pPr>
      <w:r>
        <w:rPr>
          <w:rFonts w:hint="eastAsia" w:ascii="宋体" w:hAnsi="宋体" w:cs="宋体"/>
          <w:szCs w:val="21"/>
          <w:highlight w:val="none"/>
          <w:lang w:val="en-US" w:eastAsia="zh-CN"/>
        </w:rPr>
        <w:t>配置</w:t>
      </w:r>
      <w:r>
        <w:rPr>
          <w:rFonts w:hint="eastAsia" w:ascii="宋体" w:hAnsi="宋体" w:cs="宋体"/>
          <w:szCs w:val="21"/>
          <w:highlight w:val="none"/>
        </w:rPr>
        <w:t>对网站地址资源库进行统一增、删、改、查管理</w:t>
      </w:r>
      <w:r>
        <w:rPr>
          <w:rFonts w:hint="eastAsia" w:ascii="宋体" w:hAnsi="宋体" w:cs="宋体"/>
          <w:szCs w:val="21"/>
          <w:highlight w:val="none"/>
          <w:lang w:val="en-US" w:eastAsia="zh-CN"/>
        </w:rPr>
        <w:t>等功能</w:t>
      </w:r>
      <w:r>
        <w:rPr>
          <w:rFonts w:hint="eastAsia" w:ascii="宋体" w:hAnsi="宋体" w:cs="宋体"/>
          <w:szCs w:val="21"/>
          <w:highlight w:val="none"/>
        </w:rPr>
        <w:t>。根据网站的业务属性的不同和管控方式的区别进行分类管理，根据网站的业务属性可以对网站地址分类成新闻、财经等进行管理；根据网站的管控属性可以对网站地址分类成黑名单网址、白名单网址和普通网址。</w:t>
      </w:r>
    </w:p>
    <w:p>
      <w:pPr>
        <w:spacing w:line="360" w:lineRule="auto"/>
        <w:ind w:firstLine="424" w:firstLineChars="200"/>
        <w:rPr>
          <w:rFonts w:ascii="宋体" w:hAnsi="宋体" w:cs="宋体"/>
          <w:szCs w:val="21"/>
          <w:highlight w:val="none"/>
        </w:rPr>
      </w:pPr>
      <w:bookmarkStart w:id="73" w:name="_Toc147590074"/>
      <w:r>
        <w:rPr>
          <w:rFonts w:hint="eastAsia" w:ascii="宋体" w:hAnsi="宋体" w:cs="宋体"/>
          <w:szCs w:val="21"/>
          <w:highlight w:val="none"/>
        </w:rPr>
        <w:t>2）基于FTP/FTPS协议的外发管控</w:t>
      </w:r>
      <w:bookmarkEnd w:id="73"/>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可对终端用户通过FTP/FTPS协议外发文件的行为进行管控，</w:t>
      </w:r>
      <w:r>
        <w:rPr>
          <w:rFonts w:hint="eastAsia" w:ascii="宋体" w:hAnsi="宋体" w:cs="宋体"/>
          <w:szCs w:val="21"/>
          <w:highlight w:val="none"/>
          <w:lang w:eastAsia="zh-CN"/>
        </w:rPr>
        <w:t>配置</w:t>
      </w:r>
      <w:r>
        <w:rPr>
          <w:rFonts w:hint="eastAsia" w:ascii="宋体" w:hAnsi="宋体" w:cs="宋体"/>
          <w:szCs w:val="21"/>
          <w:highlight w:val="none"/>
        </w:rPr>
        <w:t>根据目的FTP服务地址的不同对FTP外发行为进行不同方式的管控处理</w:t>
      </w:r>
      <w:r>
        <w:rPr>
          <w:rFonts w:hint="eastAsia" w:ascii="宋体" w:hAnsi="宋体" w:cs="宋体"/>
          <w:szCs w:val="21"/>
          <w:highlight w:val="none"/>
          <w:lang w:val="en-US" w:eastAsia="zh-CN"/>
        </w:rPr>
        <w:t>等功能</w:t>
      </w:r>
      <w:r>
        <w:rPr>
          <w:rFonts w:hint="eastAsia" w:ascii="宋体" w:hAnsi="宋体" w:cs="宋体"/>
          <w:szCs w:val="21"/>
          <w:highlight w:val="none"/>
        </w:rPr>
        <w:t>。管控的类型包括审计允许外发行为、内嵌水印外发、加密外发文件、禁止外发行为。</w:t>
      </w:r>
      <w:r>
        <w:rPr>
          <w:rFonts w:hint="eastAsia" w:ascii="宋体" w:hAnsi="宋体" w:cs="宋体"/>
          <w:szCs w:val="21"/>
          <w:highlight w:val="none"/>
          <w:lang w:eastAsia="zh-CN"/>
        </w:rPr>
        <w:t>配置</w:t>
      </w:r>
      <w:r>
        <w:rPr>
          <w:rFonts w:hint="eastAsia" w:ascii="宋体" w:hAnsi="宋体" w:cs="宋体"/>
          <w:szCs w:val="21"/>
          <w:highlight w:val="none"/>
        </w:rPr>
        <w:t>对通过资源管理器、命令行以及第三方FTP工具等外发文件的行为进行审计与外发管控</w:t>
      </w:r>
      <w:r>
        <w:rPr>
          <w:rFonts w:hint="eastAsia" w:ascii="宋体" w:hAnsi="宋体" w:cs="宋体"/>
          <w:szCs w:val="21"/>
          <w:highlight w:val="none"/>
          <w:lang w:val="en-US" w:eastAsia="zh-CN"/>
        </w:rPr>
        <w:t>等功能</w:t>
      </w:r>
      <w:r>
        <w:rPr>
          <w:rFonts w:hint="eastAsia" w:ascii="宋体" w:hAnsi="宋体" w:cs="宋体"/>
          <w:szCs w:val="21"/>
          <w:highlight w:val="none"/>
        </w:rPr>
        <w:t>。</w:t>
      </w:r>
    </w:p>
    <w:p>
      <w:pPr>
        <w:spacing w:line="360" w:lineRule="auto"/>
        <w:ind w:firstLine="424" w:firstLineChars="200"/>
        <w:rPr>
          <w:rFonts w:ascii="宋体" w:hAnsi="宋体" w:cs="宋体"/>
          <w:szCs w:val="21"/>
          <w:highlight w:val="none"/>
        </w:rPr>
      </w:pPr>
      <w:bookmarkStart w:id="74" w:name="_Toc147590075"/>
      <w:r>
        <w:rPr>
          <w:rFonts w:hint="eastAsia" w:ascii="宋体" w:hAnsi="宋体" w:cs="宋体"/>
          <w:szCs w:val="21"/>
          <w:highlight w:val="none"/>
        </w:rPr>
        <w:t>3）基于SMB共享协议的外发管控</w:t>
      </w:r>
      <w:bookmarkEnd w:id="74"/>
    </w:p>
    <w:p>
      <w:pPr>
        <w:spacing w:line="360" w:lineRule="auto"/>
        <w:ind w:firstLine="424" w:firstLineChars="200"/>
        <w:rPr>
          <w:rFonts w:ascii="宋体" w:hAnsi="宋体" w:cs="宋体"/>
          <w:szCs w:val="21"/>
          <w:highlight w:val="none"/>
        </w:rPr>
      </w:pPr>
      <w:r>
        <w:rPr>
          <w:rFonts w:hint="eastAsia" w:ascii="宋体" w:hAnsi="宋体" w:cs="宋体"/>
          <w:szCs w:val="21"/>
          <w:highlight w:val="none"/>
          <w:lang w:val="en-US" w:eastAsia="zh-CN"/>
        </w:rPr>
        <w:t>配置</w:t>
      </w:r>
      <w:r>
        <w:rPr>
          <w:rFonts w:hint="eastAsia" w:ascii="宋体" w:hAnsi="宋体" w:cs="宋体"/>
          <w:szCs w:val="21"/>
          <w:highlight w:val="none"/>
        </w:rPr>
        <w:t>对终端用户将文档发送到局域网共享目录的行为进行审计、内嵌水印、加密外发与禁止外发的管控</w:t>
      </w:r>
      <w:r>
        <w:rPr>
          <w:rFonts w:hint="eastAsia" w:ascii="宋体" w:hAnsi="宋体" w:cs="宋体"/>
          <w:szCs w:val="21"/>
          <w:highlight w:val="none"/>
          <w:lang w:val="en-US" w:eastAsia="zh-CN"/>
        </w:rPr>
        <w:t>等功能</w:t>
      </w: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管控的局域网共享目录协议为SMB2.0</w:t>
      </w:r>
      <w:r>
        <w:rPr>
          <w:rFonts w:hint="eastAsia" w:ascii="宋体" w:hAnsi="宋体" w:cs="宋体"/>
          <w:szCs w:val="21"/>
          <w:highlight w:val="none"/>
          <w:lang w:val="en-US" w:eastAsia="zh-CN"/>
        </w:rPr>
        <w:t>功能</w:t>
      </w:r>
      <w:r>
        <w:rPr>
          <w:rFonts w:hint="eastAsia" w:ascii="宋体" w:hAnsi="宋体" w:cs="宋体"/>
          <w:szCs w:val="21"/>
          <w:highlight w:val="none"/>
        </w:rPr>
        <w:t>；</w:t>
      </w:r>
    </w:p>
    <w:p>
      <w:pPr>
        <w:spacing w:line="360" w:lineRule="auto"/>
        <w:ind w:firstLine="424" w:firstLineChars="200"/>
        <w:rPr>
          <w:rFonts w:ascii="宋体" w:hAnsi="宋体" w:cs="宋体"/>
          <w:szCs w:val="21"/>
          <w:highlight w:val="none"/>
        </w:rPr>
      </w:pPr>
      <w:r>
        <w:rPr>
          <w:rFonts w:hint="eastAsia" w:ascii="宋体" w:hAnsi="宋体" w:cs="宋体"/>
          <w:szCs w:val="21"/>
          <w:highlight w:val="none"/>
          <w:lang w:val="en-US" w:eastAsia="zh-CN"/>
        </w:rPr>
        <w:t>配置</w:t>
      </w:r>
      <w:r>
        <w:rPr>
          <w:rFonts w:hint="eastAsia" w:ascii="宋体" w:hAnsi="宋体" w:cs="宋体"/>
          <w:szCs w:val="21"/>
          <w:highlight w:val="none"/>
        </w:rPr>
        <w:t>针对终端本地开设共享目录的行为进行检测和提示</w:t>
      </w:r>
      <w:r>
        <w:rPr>
          <w:rFonts w:hint="eastAsia" w:ascii="宋体" w:hAnsi="宋体" w:cs="宋体"/>
          <w:szCs w:val="21"/>
          <w:highlight w:val="none"/>
          <w:lang w:val="en-US" w:eastAsia="zh-CN"/>
        </w:rPr>
        <w:t>等功能</w:t>
      </w:r>
      <w:r>
        <w:rPr>
          <w:rFonts w:hint="eastAsia" w:ascii="宋体" w:hAnsi="宋体" w:cs="宋体"/>
          <w:szCs w:val="21"/>
          <w:highlight w:val="none"/>
        </w:rPr>
        <w:t>。</w:t>
      </w:r>
    </w:p>
    <w:p>
      <w:pPr>
        <w:spacing w:line="360" w:lineRule="auto"/>
        <w:ind w:firstLine="424" w:firstLineChars="200"/>
        <w:rPr>
          <w:rFonts w:ascii="宋体" w:hAnsi="宋体" w:cs="宋体"/>
          <w:szCs w:val="21"/>
          <w:highlight w:val="none"/>
        </w:rPr>
      </w:pPr>
      <w:bookmarkStart w:id="75" w:name="_Toc147590076"/>
      <w:r>
        <w:rPr>
          <w:rFonts w:hint="eastAsia" w:ascii="宋体" w:hAnsi="宋体" w:cs="宋体"/>
          <w:szCs w:val="21"/>
          <w:highlight w:val="none"/>
        </w:rPr>
        <w:t>4）针对应用程序外发文件管控</w:t>
      </w:r>
      <w:bookmarkEnd w:id="75"/>
    </w:p>
    <w:p>
      <w:pPr>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对终端用户通过QQ、微信、企业微信、钉钉、飞书、RTX、向日葵、Teamviewer、百度网盘、腾讯微云等应用软件外发文件的行为进行审计、内嵌水印外发、加密外发、禁止外发的管控</w:t>
      </w:r>
      <w:r>
        <w:rPr>
          <w:rFonts w:hint="eastAsia" w:ascii="宋体" w:hAnsi="宋体" w:cs="宋体"/>
          <w:szCs w:val="21"/>
          <w:highlight w:val="none"/>
          <w:lang w:val="en-US" w:eastAsia="zh-CN"/>
        </w:rPr>
        <w:t>等功能</w:t>
      </w:r>
      <w:r>
        <w:rPr>
          <w:rFonts w:hint="eastAsia" w:ascii="宋体" w:hAnsi="宋体" w:cs="宋体"/>
          <w:szCs w:val="21"/>
          <w:highlight w:val="none"/>
        </w:rPr>
        <w:t>；</w:t>
      </w:r>
      <w:r>
        <w:rPr>
          <w:rFonts w:hint="eastAsia" w:ascii="宋体" w:hAnsi="宋体" w:cs="宋体"/>
          <w:szCs w:val="21"/>
          <w:highlight w:val="none"/>
          <w:lang w:val="en-US" w:eastAsia="zh-CN"/>
        </w:rPr>
        <w:t>配置</w:t>
      </w:r>
      <w:r>
        <w:rPr>
          <w:rFonts w:hint="eastAsia" w:ascii="宋体" w:hAnsi="宋体" w:cs="宋体"/>
          <w:szCs w:val="21"/>
          <w:highlight w:val="none"/>
        </w:rPr>
        <w:t>对通过360安全/急速浏览器、IE浏览器、chrome浏览器、Firefox浏览器、Edge浏览器、搜狗浏览器外发文件的行为进行审计、内嵌水印外发、加密外发、禁止外发的管控</w:t>
      </w:r>
      <w:r>
        <w:rPr>
          <w:rFonts w:hint="eastAsia" w:ascii="宋体" w:hAnsi="宋体" w:cs="宋体"/>
          <w:szCs w:val="21"/>
          <w:highlight w:val="none"/>
          <w:lang w:val="en-US" w:eastAsia="zh-CN"/>
        </w:rPr>
        <w:t>等功能</w:t>
      </w:r>
      <w:r>
        <w:rPr>
          <w:rFonts w:hint="eastAsia" w:ascii="宋体" w:hAnsi="宋体" w:cs="宋体"/>
          <w:szCs w:val="21"/>
          <w:highlight w:val="none"/>
        </w:rPr>
        <w:t>。</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对部分其他第三方应用程序外发文件进行扫描审计外发、扫描阻断外发管控。</w:t>
      </w:r>
    </w:p>
    <w:p>
      <w:pPr>
        <w:spacing w:line="360" w:lineRule="auto"/>
        <w:ind w:firstLine="424" w:firstLineChars="200"/>
        <w:rPr>
          <w:rFonts w:ascii="宋体" w:hAnsi="宋体" w:cs="宋体"/>
          <w:szCs w:val="21"/>
          <w:highlight w:val="none"/>
        </w:rPr>
      </w:pPr>
      <w:bookmarkStart w:id="76" w:name="_Toc147590077"/>
      <w:r>
        <w:rPr>
          <w:rFonts w:hint="eastAsia" w:ascii="宋体" w:hAnsi="宋体" w:cs="宋体"/>
          <w:szCs w:val="21"/>
          <w:highlight w:val="none"/>
        </w:rPr>
        <w:t>（4）打印管控</w:t>
      </w:r>
      <w:bookmarkEnd w:id="76"/>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对用户打印文档的事件进行审计与管控，管控的方式分为正常打印、带水印打印和禁止打印，其中带水印打印的控制方式支持用户自定义配置打印水印模版的内容。打印管控的过程中对发起打印的文档内容进行扫描，并根据扫描的结果是否命中进行灵活的管控，对用户的文档打印行为进行日志和附件进行审计。</w:t>
      </w:r>
    </w:p>
    <w:p>
      <w:pPr>
        <w:spacing w:line="360" w:lineRule="auto"/>
        <w:ind w:firstLine="424" w:firstLineChars="200"/>
        <w:rPr>
          <w:rFonts w:ascii="宋体" w:hAnsi="宋体" w:cs="宋体"/>
          <w:szCs w:val="21"/>
          <w:highlight w:val="none"/>
        </w:rPr>
      </w:pPr>
      <w:r>
        <w:rPr>
          <w:rFonts w:hint="eastAsia" w:ascii="宋体" w:hAnsi="宋体" w:cs="宋体"/>
          <w:szCs w:val="21"/>
          <w:highlight w:val="none"/>
          <w:lang w:val="en-US" w:eastAsia="zh-CN"/>
        </w:rPr>
        <w:t>配置</w:t>
      </w:r>
      <w:r>
        <w:rPr>
          <w:rFonts w:hint="eastAsia" w:ascii="宋体" w:hAnsi="宋体" w:cs="宋体"/>
          <w:szCs w:val="21"/>
          <w:highlight w:val="none"/>
        </w:rPr>
        <w:t>用户在打印过程中手动发起去水印打印的流程</w:t>
      </w:r>
      <w:r>
        <w:rPr>
          <w:rFonts w:hint="eastAsia" w:ascii="宋体" w:hAnsi="宋体" w:cs="宋体"/>
          <w:szCs w:val="21"/>
          <w:highlight w:val="none"/>
          <w:lang w:val="en-US" w:eastAsia="zh-CN"/>
        </w:rPr>
        <w:t>等功能</w:t>
      </w:r>
      <w:r>
        <w:rPr>
          <w:rFonts w:hint="eastAsia" w:ascii="宋体" w:hAnsi="宋体" w:cs="宋体"/>
          <w:szCs w:val="21"/>
          <w:highlight w:val="none"/>
        </w:rPr>
        <w:t>，策略配置用户禁止去水印打印、直接去水印打印或者审批去水印打印的管控方式。</w:t>
      </w:r>
    </w:p>
    <w:p>
      <w:pPr>
        <w:spacing w:line="360" w:lineRule="auto"/>
        <w:ind w:firstLine="424" w:firstLineChars="200"/>
        <w:rPr>
          <w:rFonts w:ascii="宋体" w:hAnsi="宋体" w:cs="宋体"/>
          <w:szCs w:val="21"/>
          <w:highlight w:val="none"/>
        </w:rPr>
      </w:pPr>
      <w:bookmarkStart w:id="77" w:name="_Toc147590078"/>
      <w:r>
        <w:rPr>
          <w:rFonts w:hint="eastAsia" w:ascii="宋体" w:hAnsi="宋体" w:cs="宋体"/>
          <w:szCs w:val="21"/>
          <w:highlight w:val="none"/>
        </w:rPr>
        <w:t>（5）终端数据防泄漏</w:t>
      </w:r>
      <w:bookmarkEnd w:id="71"/>
      <w:bookmarkEnd w:id="77"/>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通过对终端本地文档和外发文档内容的扫描，根据预先定义的规则对文档进行内容扫描，进而对文档进行分级分类以及后续的审计、加密、审批或阻断外发等处理。支持文档规则的与、或、非等逻辑运算。</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根据行业特点和客户需求，对关键数据按照重要性进行梳理和划分，制定数据安全性由高到低的数据分级分类规则。按照数据分类规则，已包含在行业预置规则库中的类别可直接选用规则，制定出对应的扫描文档规则，然后对规则库进行验证，确保规则库的准确性和易用性。采用文档内容扫描引擎，对组织复杂信息环境中的不同非结构化数据进行分析，根据文档内容的语义特征和格式，将文档业务策略进行智能匹配。现已支持所有主流格式的办公文档和部分网络协议格式。</w:t>
      </w:r>
    </w:p>
    <w:p>
      <w:pPr>
        <w:spacing w:line="360" w:lineRule="auto"/>
        <w:ind w:firstLine="424" w:firstLineChars="200"/>
        <w:rPr>
          <w:rFonts w:ascii="宋体" w:hAnsi="宋体" w:cs="宋体"/>
          <w:szCs w:val="21"/>
          <w:highlight w:val="none"/>
        </w:rPr>
      </w:pPr>
      <w:r>
        <w:rPr>
          <w:rFonts w:hint="eastAsia" w:ascii="宋体" w:hAnsi="宋体" w:cs="宋体"/>
          <w:szCs w:val="21"/>
          <w:highlight w:val="none"/>
          <w:lang w:val="en-US" w:eastAsia="zh-CN"/>
        </w:rPr>
        <w:t>配置</w:t>
      </w:r>
      <w:r>
        <w:rPr>
          <w:rFonts w:hint="eastAsia" w:ascii="宋体" w:hAnsi="宋体" w:cs="宋体"/>
          <w:szCs w:val="21"/>
          <w:highlight w:val="none"/>
        </w:rPr>
        <w:t>根据设置不同的扫描模式</w:t>
      </w:r>
      <w:r>
        <w:rPr>
          <w:rFonts w:hint="eastAsia" w:ascii="宋体" w:hAnsi="宋体" w:cs="宋体"/>
          <w:szCs w:val="21"/>
          <w:highlight w:val="none"/>
          <w:lang w:val="en-US" w:eastAsia="zh-CN"/>
        </w:rPr>
        <w:t>等功能</w:t>
      </w:r>
      <w:r>
        <w:rPr>
          <w:rFonts w:hint="eastAsia" w:ascii="宋体" w:hAnsi="宋体" w:cs="宋体"/>
          <w:szCs w:val="21"/>
          <w:highlight w:val="none"/>
        </w:rPr>
        <w:t>：一种是以效率优先的快速扫描模式；一种是以扫描内容更全面的详细扫描模式。用户可以根据关注业务的类型选择不同的扫描模式。</w:t>
      </w:r>
    </w:p>
    <w:p>
      <w:pPr>
        <w:spacing w:line="360" w:lineRule="auto"/>
        <w:ind w:firstLine="424" w:firstLineChars="200"/>
        <w:rPr>
          <w:rFonts w:ascii="宋体" w:hAnsi="宋体" w:cs="宋体"/>
          <w:szCs w:val="21"/>
          <w:highlight w:val="none"/>
        </w:rPr>
      </w:pPr>
      <w:bookmarkStart w:id="78" w:name="_Toc482971702"/>
      <w:bookmarkStart w:id="79" w:name="_Toc147590079"/>
      <w:r>
        <w:rPr>
          <w:rFonts w:hint="eastAsia" w:ascii="宋体" w:hAnsi="宋体" w:cs="宋体"/>
          <w:szCs w:val="21"/>
          <w:highlight w:val="none"/>
        </w:rPr>
        <w:t>1)全盘智能扫描</w:t>
      </w:r>
      <w:bookmarkEnd w:id="78"/>
      <w:bookmarkEnd w:id="79"/>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全盘智能扫描功能可根据预先定义的规则和策略，对用户终端的本地文档进行全盘扫描，并对含敏感数据的文档做审计、隔离、添加文档标密标签/隐形数字水印标签、加密管控处理，从而对终端敏感数据进行安全防护。</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管理员可配置全盘扫描的条件，例如配置扫描执行路径、扫描跳过路径、文档类型、文档大小、允许全盘扫描启动和执行的终端性能指标等。系统也可以智能判断终端是否满足扫描条件，当终端锁屏或者终端性能指标（如CPU占用率、内存占用率、笔记本电池电量、磁盘IO读写使用率等）达到指定条件，才启动扫描。扫描过程中会根据终端性能自动停止，尽可能减少对终端用户操作的影响。模块支持文档增量扫描，仅对未扫描或扫描后有变更的文档进行扫描。</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模块</w:t>
      </w:r>
      <w:r>
        <w:rPr>
          <w:rFonts w:hint="eastAsia" w:ascii="宋体" w:hAnsi="宋体" w:cs="宋体"/>
          <w:szCs w:val="21"/>
          <w:highlight w:val="none"/>
          <w:lang w:eastAsia="zh-CN"/>
        </w:rPr>
        <w:t>配置</w:t>
      </w:r>
      <w:r>
        <w:rPr>
          <w:rFonts w:hint="eastAsia" w:ascii="宋体" w:hAnsi="宋体" w:cs="宋体"/>
          <w:szCs w:val="21"/>
          <w:highlight w:val="none"/>
        </w:rPr>
        <w:t>根据预置的策略</w:t>
      </w:r>
      <w:r>
        <w:rPr>
          <w:rFonts w:hint="eastAsia" w:ascii="宋体" w:hAnsi="宋体" w:cs="宋体"/>
          <w:szCs w:val="21"/>
          <w:highlight w:val="none"/>
          <w:lang w:val="en-US" w:eastAsia="zh-CN"/>
        </w:rPr>
        <w:t>等功能</w:t>
      </w:r>
      <w:r>
        <w:rPr>
          <w:rFonts w:hint="eastAsia" w:ascii="宋体" w:hAnsi="宋体" w:cs="宋体"/>
          <w:szCs w:val="21"/>
          <w:highlight w:val="none"/>
        </w:rPr>
        <w:t>，对敏感文档做加密/隔离/内嵌水印管控处理；同时支持记录扫描日志、上传附件，以便于事后审计。</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在增量扫描模式支持的基础上，</w:t>
      </w:r>
      <w:r>
        <w:rPr>
          <w:rFonts w:hint="eastAsia" w:ascii="宋体" w:hAnsi="宋体" w:cs="宋体"/>
          <w:szCs w:val="21"/>
          <w:highlight w:val="none"/>
          <w:lang w:val="en-US" w:eastAsia="zh-CN"/>
        </w:rPr>
        <w:t>配置</w:t>
      </w:r>
      <w:r>
        <w:rPr>
          <w:rFonts w:hint="eastAsia" w:ascii="宋体" w:hAnsi="宋体" w:cs="宋体"/>
          <w:szCs w:val="21"/>
          <w:highlight w:val="none"/>
        </w:rPr>
        <w:t>设置为单次任务扫描模式</w:t>
      </w:r>
      <w:r>
        <w:rPr>
          <w:rFonts w:hint="eastAsia" w:ascii="宋体" w:hAnsi="宋体" w:cs="宋体"/>
          <w:szCs w:val="21"/>
          <w:highlight w:val="none"/>
          <w:lang w:val="en-US" w:eastAsia="zh-CN"/>
        </w:rPr>
        <w:t>等功能</w:t>
      </w:r>
      <w:r>
        <w:rPr>
          <w:rFonts w:hint="eastAsia" w:ascii="宋体" w:hAnsi="宋体" w:cs="宋体"/>
          <w:szCs w:val="21"/>
          <w:highlight w:val="none"/>
        </w:rPr>
        <w:t>，单次任务扫描模式主要是以检查的模式统计敏感数据资产信息在组织内部不同终端、不同用户的分布情况，并支持纵向的检查对比。控制台下发一次策略终端对应执行一遍全盘扫描任务，并根据进度上报终端本次全盘扫描任务的统计结果到服务器；控制台支持展示任务的进度与结果统计数据信息。协助客户摸底掌握组织内部敏感数据资产的分布（终端、等级、用户），并为后续的管控奠定基础。</w:t>
      </w:r>
    </w:p>
    <w:p>
      <w:pPr>
        <w:spacing w:line="360" w:lineRule="auto"/>
        <w:ind w:firstLine="424" w:firstLineChars="200"/>
        <w:rPr>
          <w:rFonts w:ascii="宋体" w:hAnsi="宋体" w:cs="宋体"/>
          <w:szCs w:val="21"/>
          <w:highlight w:val="none"/>
        </w:rPr>
      </w:pPr>
      <w:bookmarkStart w:id="80" w:name="_Toc147590080"/>
      <w:r>
        <w:rPr>
          <w:rFonts w:hint="eastAsia" w:ascii="宋体" w:hAnsi="宋体" w:cs="宋体"/>
          <w:szCs w:val="21"/>
          <w:highlight w:val="none"/>
        </w:rPr>
        <w:t>2)外发途径扫描</w:t>
      </w:r>
      <w:bookmarkEnd w:id="80"/>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系统</w:t>
      </w:r>
      <w:r>
        <w:rPr>
          <w:rFonts w:hint="eastAsia" w:ascii="宋体" w:hAnsi="宋体" w:cs="宋体"/>
          <w:szCs w:val="21"/>
          <w:highlight w:val="none"/>
          <w:lang w:eastAsia="zh-CN"/>
        </w:rPr>
        <w:t>配置</w:t>
      </w:r>
      <w:r>
        <w:rPr>
          <w:rFonts w:hint="eastAsia" w:ascii="宋体" w:hAnsi="宋体" w:cs="宋体"/>
          <w:szCs w:val="21"/>
          <w:highlight w:val="none"/>
        </w:rPr>
        <w:t>对通过网络途径如邮件smtp协议、FTP协议、HTTP/HTTPS、SMB、蓝牙协议、第三方应用程序（IM类、网盘类）进行外发的过程</w:t>
      </w:r>
      <w:r>
        <w:rPr>
          <w:rFonts w:hint="eastAsia" w:ascii="宋体" w:hAnsi="宋体" w:cs="宋体"/>
          <w:szCs w:val="21"/>
          <w:highlight w:val="none"/>
          <w:lang w:val="en-US" w:eastAsia="zh-CN"/>
        </w:rPr>
        <w:t>等功能</w:t>
      </w:r>
      <w:r>
        <w:rPr>
          <w:rFonts w:hint="eastAsia" w:ascii="宋体" w:hAnsi="宋体" w:cs="宋体"/>
          <w:szCs w:val="21"/>
          <w:highlight w:val="none"/>
        </w:rPr>
        <w:t>，以及通过硬件外发文件的途径如拷贝文件到移动存储设备，打印文件的过程进行文档内容扫描，并根据扫描命中的结果和严重性等级动态的确定管控方式是允许放行、内嵌水印外发、加密外发或者禁止阻断。</w:t>
      </w:r>
    </w:p>
    <w:p>
      <w:pPr>
        <w:spacing w:line="360" w:lineRule="auto"/>
        <w:ind w:firstLine="424" w:firstLineChars="200"/>
        <w:rPr>
          <w:rFonts w:ascii="宋体" w:hAnsi="宋体" w:cs="宋体"/>
          <w:szCs w:val="21"/>
          <w:highlight w:val="none"/>
        </w:rPr>
      </w:pPr>
      <w:bookmarkStart w:id="81" w:name="_Toc147590081"/>
      <w:bookmarkStart w:id="82" w:name="_Toc482971701"/>
      <w:r>
        <w:rPr>
          <w:rFonts w:hint="eastAsia" w:ascii="宋体" w:hAnsi="宋体" w:cs="宋体"/>
          <w:szCs w:val="21"/>
          <w:highlight w:val="none"/>
        </w:rPr>
        <w:t>3)明文外发功能</w:t>
      </w:r>
      <w:bookmarkEnd w:id="81"/>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在对应外发通过管控方式为固定文件加密的前提下，明文外发功能为终端用户提供了一条便捷通道。</w:t>
      </w:r>
      <w:r>
        <w:rPr>
          <w:rFonts w:hint="eastAsia" w:ascii="宋体" w:hAnsi="宋体" w:cs="宋体"/>
          <w:szCs w:val="21"/>
          <w:highlight w:val="none"/>
          <w:lang w:eastAsia="zh-CN"/>
        </w:rPr>
        <w:t>配置</w:t>
      </w:r>
      <w:r>
        <w:rPr>
          <w:rFonts w:hint="eastAsia" w:ascii="宋体" w:hAnsi="宋体" w:cs="宋体"/>
          <w:szCs w:val="21"/>
          <w:highlight w:val="none"/>
        </w:rPr>
        <w:t>设置固定的登记/审批控制</w:t>
      </w:r>
      <w:r>
        <w:rPr>
          <w:rFonts w:hint="eastAsia" w:ascii="宋体" w:hAnsi="宋体" w:cs="宋体"/>
          <w:szCs w:val="21"/>
          <w:highlight w:val="none"/>
          <w:lang w:val="en-US" w:eastAsia="zh-CN"/>
        </w:rPr>
        <w:t>等功能</w:t>
      </w:r>
      <w:r>
        <w:rPr>
          <w:rFonts w:hint="eastAsia" w:ascii="宋体" w:hAnsi="宋体" w:cs="宋体"/>
          <w:szCs w:val="21"/>
          <w:highlight w:val="none"/>
        </w:rPr>
        <w:t>，或者根据文件内容扫描的文档敏感程度动态实现登记后直接明文外发、审批通过后直接明文外发或者拒绝明文外发的控制。</w:t>
      </w:r>
    </w:p>
    <w:p>
      <w:pPr>
        <w:spacing w:line="360" w:lineRule="auto"/>
        <w:ind w:firstLine="424" w:firstLineChars="200"/>
        <w:rPr>
          <w:rFonts w:ascii="宋体" w:hAnsi="宋体" w:cs="宋体"/>
          <w:szCs w:val="21"/>
          <w:highlight w:val="none"/>
        </w:rPr>
      </w:pPr>
      <w:bookmarkStart w:id="83" w:name="_Toc147590082"/>
      <w:r>
        <w:rPr>
          <w:rFonts w:hint="eastAsia" w:ascii="宋体" w:hAnsi="宋体" w:cs="宋体"/>
          <w:szCs w:val="21"/>
          <w:highlight w:val="none"/>
        </w:rPr>
        <w:t>4)预置标签外发管控</w:t>
      </w:r>
      <w:bookmarkEnd w:id="83"/>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在各外发通道对文件进行扫描外发管控时，产品会首先检测待发文档中是否包含全盘智能扫描策略中添加的数字水印标签，如果有的话直接按照此预置标签中的级别信息进行对应的管控，减少在外发过程中实时扫描的业务耗时，提升用户使用体验的同时保持相同级别的安全管控措施。</w:t>
      </w:r>
    </w:p>
    <w:p>
      <w:pPr>
        <w:spacing w:line="360" w:lineRule="auto"/>
        <w:ind w:firstLine="424" w:firstLineChars="200"/>
        <w:rPr>
          <w:rFonts w:ascii="宋体" w:hAnsi="宋体" w:cs="宋体"/>
          <w:szCs w:val="21"/>
          <w:highlight w:val="none"/>
        </w:rPr>
      </w:pPr>
      <w:bookmarkStart w:id="84" w:name="_Toc147590083"/>
      <w:r>
        <w:rPr>
          <w:rFonts w:hint="eastAsia" w:ascii="宋体" w:hAnsi="宋体" w:cs="宋体"/>
          <w:szCs w:val="21"/>
          <w:highlight w:val="none"/>
        </w:rPr>
        <w:t>5)终端证据文件流转审计</w:t>
      </w:r>
      <w:bookmarkEnd w:id="84"/>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在原有针对终端用户操作审计日志的基础上，增加了以证据文件为核心维度的日志展示与分析功能。</w:t>
      </w:r>
      <w:r>
        <w:rPr>
          <w:rFonts w:hint="eastAsia" w:ascii="宋体" w:hAnsi="宋体" w:cs="宋体"/>
          <w:szCs w:val="21"/>
          <w:highlight w:val="none"/>
          <w:lang w:eastAsia="zh-CN"/>
        </w:rPr>
        <w:t>配置</w:t>
      </w:r>
      <w:r>
        <w:rPr>
          <w:rFonts w:hint="eastAsia" w:ascii="宋体" w:hAnsi="宋体" w:cs="宋体"/>
          <w:szCs w:val="21"/>
          <w:highlight w:val="none"/>
        </w:rPr>
        <w:t>展示所有证据文件相关的日志记录</w:t>
      </w:r>
      <w:r>
        <w:rPr>
          <w:rFonts w:hint="eastAsia" w:ascii="宋体" w:hAnsi="宋体" w:cs="宋体"/>
          <w:szCs w:val="21"/>
          <w:highlight w:val="none"/>
          <w:lang w:val="en-US" w:eastAsia="zh-CN"/>
        </w:rPr>
        <w:t>等功能</w:t>
      </w:r>
      <w:r>
        <w:rPr>
          <w:rFonts w:hint="eastAsia" w:ascii="宋体" w:hAnsi="宋体" w:cs="宋体"/>
          <w:szCs w:val="21"/>
          <w:highlight w:val="none"/>
        </w:rPr>
        <w:t>，并针对记录了文件流转ID文档支持展示其来源和外发目的对象的分析图示。</w:t>
      </w:r>
    </w:p>
    <w:p>
      <w:pPr>
        <w:spacing w:line="360" w:lineRule="auto"/>
        <w:ind w:firstLine="424" w:firstLineChars="200"/>
        <w:rPr>
          <w:rFonts w:ascii="宋体" w:hAnsi="宋体" w:cs="宋体"/>
          <w:szCs w:val="21"/>
          <w:highlight w:val="none"/>
        </w:rPr>
      </w:pPr>
      <w:bookmarkStart w:id="85" w:name="_Toc147590084"/>
      <w:r>
        <w:rPr>
          <w:rFonts w:hint="eastAsia" w:ascii="宋体" w:hAnsi="宋体" w:cs="宋体"/>
          <w:szCs w:val="21"/>
          <w:highlight w:val="none"/>
        </w:rPr>
        <w:t>6)支持文档规则</w:t>
      </w:r>
      <w:bookmarkEnd w:id="82"/>
      <w:r>
        <w:rPr>
          <w:rFonts w:hint="eastAsia" w:ascii="宋体" w:hAnsi="宋体" w:cs="宋体"/>
          <w:szCs w:val="21"/>
          <w:highlight w:val="none"/>
        </w:rPr>
        <w:t>类型</w:t>
      </w:r>
      <w:bookmarkEnd w:id="85"/>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关键字：根据预先定义的敏感数据关键字，扫描待检测数据，通过是否被命中来判断是否属于敏感数据；</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正则表达式：由于有些识别特征无法以关键字来表示，如身份证、银行卡号等，需要通过正则表达式来定义敏感数据识别特征，并根据这个特征是否命中来判断数据是否属于敏感数据；</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数据字典：</w:t>
      </w:r>
      <w:r>
        <w:rPr>
          <w:rFonts w:hint="eastAsia" w:ascii="宋体" w:hAnsi="宋体" w:cs="宋体"/>
          <w:szCs w:val="21"/>
          <w:highlight w:val="none"/>
          <w:lang w:eastAsia="zh-CN"/>
        </w:rPr>
        <w:t>配置</w:t>
      </w:r>
      <w:r>
        <w:rPr>
          <w:rFonts w:hint="eastAsia" w:ascii="宋体" w:hAnsi="宋体" w:cs="宋体"/>
          <w:szCs w:val="21"/>
          <w:highlight w:val="none"/>
        </w:rPr>
        <w:t>对应的关键词组</w:t>
      </w:r>
      <w:r>
        <w:rPr>
          <w:rFonts w:hint="eastAsia" w:ascii="宋体" w:hAnsi="宋体" w:cs="宋体"/>
          <w:szCs w:val="21"/>
          <w:highlight w:val="none"/>
          <w:lang w:val="en-US" w:eastAsia="zh-CN"/>
        </w:rPr>
        <w:t>等功能</w:t>
      </w:r>
      <w:r>
        <w:rPr>
          <w:rFonts w:hint="eastAsia" w:ascii="宋体" w:hAnsi="宋体" w:cs="宋体"/>
          <w:szCs w:val="21"/>
          <w:highlight w:val="none"/>
        </w:rPr>
        <w:t>，并支持设置其中每个关键词的权重分值，在策略中设置命中达到指定分数阈值时判定为命中并进行后续的处理；</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隐写文件：</w:t>
      </w:r>
      <w:r>
        <w:rPr>
          <w:rFonts w:hint="eastAsia" w:ascii="宋体" w:hAnsi="宋体" w:cs="宋体"/>
          <w:szCs w:val="21"/>
          <w:highlight w:val="none"/>
          <w:lang w:eastAsia="zh-CN"/>
        </w:rPr>
        <w:t>配置</w:t>
      </w:r>
      <w:r>
        <w:rPr>
          <w:rFonts w:hint="eastAsia" w:ascii="宋体" w:hAnsi="宋体" w:cs="宋体"/>
          <w:szCs w:val="21"/>
          <w:highlight w:val="none"/>
        </w:rPr>
        <w:t>对特殊文件格式后通过命令拼接的文件进行识别</w:t>
      </w:r>
      <w:r>
        <w:rPr>
          <w:rFonts w:hint="eastAsia" w:ascii="宋体" w:hAnsi="宋体" w:cs="宋体"/>
          <w:szCs w:val="21"/>
          <w:highlight w:val="none"/>
          <w:lang w:val="en-US" w:eastAsia="zh-CN"/>
        </w:rPr>
        <w:t>等功能</w:t>
      </w:r>
      <w:r>
        <w:rPr>
          <w:rFonts w:hint="eastAsia" w:ascii="宋体" w:hAnsi="宋体" w:cs="宋体"/>
          <w:szCs w:val="21"/>
          <w:highlight w:val="none"/>
        </w:rPr>
        <w:t>，如JPG/JPEG等特殊图片格式；</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文档属性：</w:t>
      </w:r>
      <w:r>
        <w:rPr>
          <w:rFonts w:hint="eastAsia" w:ascii="宋体" w:hAnsi="宋体" w:cs="宋体"/>
          <w:szCs w:val="21"/>
          <w:highlight w:val="none"/>
          <w:lang w:eastAsia="zh-CN"/>
        </w:rPr>
        <w:t>配置</w:t>
      </w:r>
      <w:r>
        <w:rPr>
          <w:rFonts w:hint="eastAsia" w:ascii="宋体" w:hAnsi="宋体" w:cs="宋体"/>
          <w:szCs w:val="21"/>
          <w:highlight w:val="none"/>
        </w:rPr>
        <w:t>根据文件格式、文件大小、文件名称、文件所有者、文件创建时间/最后修改时间等属性对文档进行分类管控</w:t>
      </w:r>
      <w:r>
        <w:rPr>
          <w:rFonts w:hint="eastAsia" w:ascii="宋体" w:hAnsi="宋体" w:cs="宋体"/>
          <w:szCs w:val="21"/>
          <w:highlight w:val="none"/>
          <w:lang w:val="en-US" w:eastAsia="zh-CN"/>
        </w:rPr>
        <w:t>等功能</w:t>
      </w:r>
      <w:r>
        <w:rPr>
          <w:rFonts w:hint="eastAsia" w:ascii="宋体" w:hAnsi="宋体" w:cs="宋体"/>
          <w:szCs w:val="21"/>
          <w:highlight w:val="none"/>
        </w:rPr>
        <w:t>；</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文档分类特征：利用自然语言处理和机器学习技术对组织文档进行智能分级分类，对分级分类后的文档进行深度内容分析后，提取文档分类特征；</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文档指纹：基于内容的文档指纹，不受文档格式、文档编码，文档类型的影响；利用局部敏感哈希，文档局部更改，在相似度差别容许范围内，文档指纹不变；文档相似度阈值调整可容许文档的改变范围；适合内容复制、嵌入广告或文档少量修改。</w:t>
      </w:r>
    </w:p>
    <w:p>
      <w:pPr>
        <w:spacing w:line="360" w:lineRule="auto"/>
        <w:ind w:firstLine="424" w:firstLineChars="200"/>
        <w:rPr>
          <w:rFonts w:ascii="宋体" w:hAnsi="宋体" w:cs="宋体"/>
          <w:szCs w:val="21"/>
          <w:highlight w:val="none"/>
        </w:rPr>
      </w:pPr>
      <w:bookmarkStart w:id="86" w:name="_Toc147590085"/>
      <w:bookmarkStart w:id="87" w:name="_Toc482971704"/>
      <w:r>
        <w:rPr>
          <w:rFonts w:hint="eastAsia" w:ascii="宋体" w:hAnsi="宋体" w:cs="宋体"/>
          <w:szCs w:val="21"/>
          <w:highlight w:val="none"/>
        </w:rPr>
        <w:t>7)支持解析格式类型</w:t>
      </w:r>
      <w:bookmarkEnd w:id="86"/>
      <w:bookmarkEnd w:id="87"/>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针对文档内容识别的功能支持主流数据格式，支持简繁体识别。系统采用模块化架构设计，预置支持多种格式的解码和转换引擎，可以在数据抓取时自动识别文件格式，并转化成可理解的文本，然后送入自然语言处理模块进行分析和归类。预置格式分析模块组能解读以下常见数据格式：</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Microsoft Word/Excel/PowerPoint、Openoffice、WPS等办公文档；</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ZIP、ISO、RAR、gz、tar、EML等压缩文件；</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JPG、JPEG、PNG、BMP、TIFF图片文件</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PDF等电子出版格式；</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其它以文本形式存储的格式。</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针对文档属性识别的功能在支持上述格式的基础上，还支持识别以下格式：</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Wav、mp3、mid、ogg、mp4a、wma等音频类格式；</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Mp4、avi、flv、mp4、mpg、mpeg、mov、mkv等视频类格式；</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Dwg、dws、dxf、dwt、dwf、ics、pcb、brd、max、mdb、gdb、shp、mxd、sbn等制图类格式；</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Vb、c、java、jsp、go、python、sh等代码类格式；</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系统控制台支持查看扫描文档所包含的敏感快照信息，并支持高亮展示。</w:t>
      </w:r>
    </w:p>
    <w:p>
      <w:pPr>
        <w:spacing w:line="360" w:lineRule="auto"/>
        <w:ind w:firstLine="424" w:firstLineChars="200"/>
        <w:rPr>
          <w:rFonts w:ascii="宋体" w:hAnsi="宋体" w:cs="宋体"/>
          <w:szCs w:val="21"/>
          <w:highlight w:val="none"/>
        </w:rPr>
      </w:pPr>
      <w:bookmarkStart w:id="88" w:name="_Toc147590086"/>
      <w:r>
        <w:rPr>
          <w:rFonts w:hint="eastAsia" w:ascii="宋体" w:hAnsi="宋体" w:cs="宋体"/>
          <w:szCs w:val="21"/>
          <w:highlight w:val="none"/>
        </w:rPr>
        <w:t>8)文档接收扫描</w:t>
      </w:r>
      <w:bookmarkEnd w:id="88"/>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针对通过浏览器访问网页下载文件，从局域网共享目录下载文件到终端本地的行为进行监测，对文件内容进行扫描，根据命中的敏感级别进行放行下载、加密下载、内嵌水印下载、禁止下载的管控。</w:t>
      </w:r>
    </w:p>
    <w:p>
      <w:pPr>
        <w:spacing w:line="360" w:lineRule="auto"/>
        <w:ind w:firstLine="424" w:firstLineChars="200"/>
        <w:rPr>
          <w:rFonts w:ascii="宋体" w:hAnsi="宋体" w:cs="宋体"/>
          <w:szCs w:val="21"/>
          <w:highlight w:val="none"/>
        </w:rPr>
      </w:pPr>
      <w:bookmarkStart w:id="89" w:name="_Toc147590087"/>
      <w:bookmarkStart w:id="90" w:name="_Toc482971709"/>
      <w:r>
        <w:rPr>
          <w:rFonts w:hint="eastAsia" w:ascii="宋体" w:hAnsi="宋体" w:cs="宋体"/>
          <w:szCs w:val="21"/>
          <w:highlight w:val="none"/>
        </w:rPr>
        <w:t>（6）终端行为管理</w:t>
      </w:r>
      <w:bookmarkEnd w:id="89"/>
      <w:bookmarkEnd w:id="90"/>
    </w:p>
    <w:p>
      <w:pPr>
        <w:spacing w:line="360" w:lineRule="auto"/>
        <w:ind w:firstLine="424" w:firstLineChars="200"/>
        <w:rPr>
          <w:rFonts w:ascii="宋体" w:hAnsi="宋体" w:cs="宋体"/>
          <w:szCs w:val="21"/>
          <w:highlight w:val="none"/>
        </w:rPr>
      </w:pPr>
      <w:bookmarkStart w:id="91" w:name="_Toc147590088"/>
      <w:r>
        <w:rPr>
          <w:rFonts w:hint="eastAsia" w:ascii="宋体" w:hAnsi="宋体" w:cs="宋体"/>
          <w:szCs w:val="21"/>
          <w:highlight w:val="none"/>
        </w:rPr>
        <w:t>1）显示水印</w:t>
      </w:r>
      <w:bookmarkEnd w:id="91"/>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系统</w:t>
      </w:r>
      <w:r>
        <w:rPr>
          <w:rFonts w:hint="eastAsia" w:ascii="宋体" w:hAnsi="宋体" w:cs="宋体"/>
          <w:szCs w:val="21"/>
          <w:highlight w:val="none"/>
          <w:lang w:eastAsia="zh-CN"/>
        </w:rPr>
        <w:t>配置</w:t>
      </w:r>
      <w:r>
        <w:rPr>
          <w:rFonts w:hint="eastAsia" w:ascii="宋体" w:hAnsi="宋体" w:cs="宋体"/>
          <w:szCs w:val="21"/>
          <w:highlight w:val="none"/>
        </w:rPr>
        <w:t>在Windows终端系统和国产化终端系统中展示屏幕水印</w:t>
      </w:r>
      <w:r>
        <w:rPr>
          <w:rFonts w:hint="eastAsia" w:ascii="宋体" w:hAnsi="宋体" w:cs="宋体"/>
          <w:szCs w:val="21"/>
          <w:highlight w:val="none"/>
          <w:lang w:val="en-US" w:eastAsia="zh-CN"/>
        </w:rPr>
        <w:t>等功能</w:t>
      </w:r>
      <w:r>
        <w:rPr>
          <w:rFonts w:hint="eastAsia" w:ascii="宋体" w:hAnsi="宋体" w:cs="宋体"/>
          <w:szCs w:val="21"/>
          <w:highlight w:val="none"/>
        </w:rPr>
        <w:t>。屏幕水印是指终端电脑启动后在电脑桌面最顶层展示水印；显示水印的内容支持文字、二维码和图片三种。支持配置水印内容包括的信息和自定义信息，支持配置文字的字体类型，颜色、位置、间距信息等。支持同时生效文字和图片水印的叠加显示满足项目定制化的需求。</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系统</w:t>
      </w:r>
      <w:r>
        <w:rPr>
          <w:rFonts w:hint="eastAsia" w:ascii="宋体" w:hAnsi="宋体" w:cs="宋体"/>
          <w:szCs w:val="21"/>
          <w:highlight w:val="none"/>
          <w:lang w:eastAsia="zh-CN"/>
        </w:rPr>
        <w:t>配置</w:t>
      </w:r>
      <w:r>
        <w:rPr>
          <w:rFonts w:hint="eastAsia" w:ascii="宋体" w:hAnsi="宋体" w:cs="宋体"/>
          <w:szCs w:val="21"/>
          <w:highlight w:val="none"/>
        </w:rPr>
        <w:t>在windows终端系统上打开的文档窗口文字区域展示水印内容</w:t>
      </w:r>
      <w:r>
        <w:rPr>
          <w:rFonts w:hint="eastAsia" w:ascii="宋体" w:hAnsi="宋体" w:cs="宋体"/>
          <w:szCs w:val="21"/>
          <w:highlight w:val="none"/>
          <w:lang w:val="en-US" w:eastAsia="zh-CN"/>
        </w:rPr>
        <w:t>等功能</w:t>
      </w:r>
      <w:r>
        <w:rPr>
          <w:rFonts w:hint="eastAsia" w:ascii="宋体" w:hAnsi="宋体" w:cs="宋体"/>
          <w:szCs w:val="21"/>
          <w:highlight w:val="none"/>
        </w:rPr>
        <w:t>，文档水印的内容会随着进程窗口的放大、缩小、隐藏等变化而随动展示。</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系统</w:t>
      </w:r>
      <w:r>
        <w:rPr>
          <w:rFonts w:hint="eastAsia" w:ascii="宋体" w:hAnsi="宋体" w:cs="宋体"/>
          <w:szCs w:val="21"/>
          <w:highlight w:val="none"/>
          <w:lang w:eastAsia="zh-CN"/>
        </w:rPr>
        <w:t>配置</w:t>
      </w:r>
      <w:r>
        <w:rPr>
          <w:rFonts w:hint="eastAsia" w:ascii="宋体" w:hAnsi="宋体" w:cs="宋体"/>
          <w:szCs w:val="21"/>
          <w:highlight w:val="none"/>
        </w:rPr>
        <w:t>在屏幕水印和文档水印类型中</w:t>
      </w:r>
      <w:r>
        <w:rPr>
          <w:rFonts w:hint="eastAsia" w:ascii="宋体" w:hAnsi="宋体" w:cs="宋体"/>
          <w:szCs w:val="21"/>
          <w:highlight w:val="none"/>
          <w:lang w:val="en-US" w:eastAsia="zh-CN"/>
        </w:rPr>
        <w:t>等功能</w:t>
      </w:r>
      <w:r>
        <w:rPr>
          <w:rFonts w:hint="eastAsia" w:ascii="宋体" w:hAnsi="宋体" w:cs="宋体"/>
          <w:szCs w:val="21"/>
          <w:highlight w:val="none"/>
        </w:rPr>
        <w:t>，配置添加隐形水印。在显示隐形水印的终端上用户无法观察到水印内容，但是通过专门工具可以查看其中的水印信息，主要包括用户名、IP/MAC地址、时间信息等。</w:t>
      </w:r>
    </w:p>
    <w:p>
      <w:pPr>
        <w:spacing w:line="360" w:lineRule="auto"/>
        <w:ind w:firstLine="424" w:firstLineChars="200"/>
        <w:rPr>
          <w:rFonts w:ascii="宋体" w:hAnsi="宋体" w:cs="宋体"/>
          <w:szCs w:val="21"/>
          <w:highlight w:val="none"/>
        </w:rPr>
      </w:pPr>
      <w:bookmarkStart w:id="92" w:name="_Toc147590089"/>
      <w:r>
        <w:rPr>
          <w:rFonts w:hint="eastAsia" w:ascii="宋体" w:hAnsi="宋体" w:cs="宋体"/>
          <w:szCs w:val="21"/>
          <w:highlight w:val="none"/>
        </w:rPr>
        <w:t>2）进程管控</w:t>
      </w:r>
      <w:bookmarkEnd w:id="92"/>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管理员可通过设置进程管控策略，对终端进程进行启动/停止/网络访问（配置的范围主要是IP地址和端口信息，</w:t>
      </w:r>
      <w:r>
        <w:rPr>
          <w:rFonts w:hint="eastAsia" w:ascii="宋体" w:hAnsi="宋体" w:cs="宋体"/>
          <w:szCs w:val="21"/>
          <w:highlight w:val="none"/>
          <w:lang w:eastAsia="zh-CN"/>
        </w:rPr>
        <w:t>配置</w:t>
      </w:r>
      <w:r>
        <w:rPr>
          <w:rFonts w:hint="eastAsia" w:ascii="宋体" w:hAnsi="宋体" w:cs="宋体"/>
          <w:szCs w:val="21"/>
          <w:highlight w:val="none"/>
        </w:rPr>
        <w:t>设置允许访问网络范围/禁止访问网络范围两种方式）/截屏的权限进行管控</w:t>
      </w:r>
      <w:r>
        <w:rPr>
          <w:rFonts w:hint="eastAsia" w:ascii="宋体" w:hAnsi="宋体" w:cs="宋体"/>
          <w:szCs w:val="21"/>
          <w:highlight w:val="none"/>
          <w:lang w:val="en-US" w:eastAsia="zh-CN"/>
        </w:rPr>
        <w:t>等功能</w:t>
      </w:r>
      <w:r>
        <w:rPr>
          <w:rFonts w:hint="eastAsia" w:ascii="宋体" w:hAnsi="宋体" w:cs="宋体"/>
          <w:szCs w:val="21"/>
          <w:highlight w:val="none"/>
        </w:rPr>
        <w:t>，并记录对应的审计日志。</w:t>
      </w:r>
    </w:p>
    <w:p>
      <w:pPr>
        <w:spacing w:line="360" w:lineRule="auto"/>
        <w:ind w:firstLine="424" w:firstLineChars="200"/>
        <w:rPr>
          <w:rFonts w:ascii="宋体" w:hAnsi="宋体" w:cs="宋体"/>
          <w:szCs w:val="21"/>
          <w:highlight w:val="none"/>
        </w:rPr>
      </w:pPr>
      <w:bookmarkStart w:id="93" w:name="_Toc147590090"/>
      <w:r>
        <w:rPr>
          <w:rFonts w:hint="eastAsia" w:ascii="宋体" w:hAnsi="宋体" w:cs="宋体"/>
          <w:szCs w:val="21"/>
          <w:highlight w:val="none"/>
        </w:rPr>
        <w:t>3）外设管控</w:t>
      </w:r>
      <w:bookmarkEnd w:id="93"/>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管理员可通过设置外设管控策略，以实现对终端常见类型外设的禁用控制功能。</w:t>
      </w:r>
      <w:r>
        <w:rPr>
          <w:rFonts w:hint="eastAsia" w:ascii="宋体" w:hAnsi="宋体" w:cs="宋体"/>
          <w:szCs w:val="21"/>
          <w:highlight w:val="none"/>
          <w:lang w:eastAsia="zh-CN"/>
        </w:rPr>
        <w:t>配置</w:t>
      </w:r>
      <w:r>
        <w:rPr>
          <w:rFonts w:hint="eastAsia" w:ascii="宋体" w:hAnsi="宋体" w:cs="宋体"/>
          <w:szCs w:val="21"/>
          <w:highlight w:val="none"/>
        </w:rPr>
        <w:t>管控的外设类型包括：</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Windows平台下：通用串行控制器、网络适配器、DVD/CDROM驱动器、磁盘驱动器、蓝牙设备、PCMCIA卡、智能卡读卡器、指纹设备、便携设备、图像设备、SD控制器。</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国产化平台下：移动U盘存储设备、手机MTP设备、无线网卡设备、蓝牙设备、刻录机设备（CD/DVD）、打印机设备。</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另外，对于非常用外设，可通过在系统外部设备资源库配置中定义设备关键字（设备类型或驱动）来对外设进行禁止管控功能。</w:t>
      </w:r>
    </w:p>
    <w:p>
      <w:pPr>
        <w:spacing w:line="360" w:lineRule="auto"/>
        <w:ind w:firstLine="424" w:firstLineChars="200"/>
        <w:rPr>
          <w:rFonts w:ascii="宋体" w:hAnsi="宋体" w:cs="宋体"/>
          <w:szCs w:val="21"/>
          <w:highlight w:val="none"/>
        </w:rPr>
      </w:pPr>
      <w:bookmarkStart w:id="94" w:name="_Toc147590091"/>
      <w:r>
        <w:rPr>
          <w:rFonts w:hint="eastAsia" w:ascii="宋体" w:hAnsi="宋体" w:cs="宋体"/>
          <w:szCs w:val="21"/>
          <w:highlight w:val="none"/>
        </w:rPr>
        <w:t>4）非法外联管控</w:t>
      </w:r>
      <w:bookmarkEnd w:id="94"/>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对于内网隔离的终端环境，本系统</w:t>
      </w:r>
      <w:r>
        <w:rPr>
          <w:rFonts w:hint="eastAsia" w:ascii="宋体" w:hAnsi="宋体" w:cs="宋体"/>
          <w:szCs w:val="21"/>
          <w:highlight w:val="none"/>
          <w:lang w:eastAsia="zh-CN"/>
        </w:rPr>
        <w:t>配置</w:t>
      </w:r>
      <w:r>
        <w:rPr>
          <w:rFonts w:hint="eastAsia" w:ascii="宋体" w:hAnsi="宋体" w:cs="宋体"/>
          <w:szCs w:val="21"/>
          <w:highlight w:val="none"/>
        </w:rPr>
        <w:t>定时检测终端是否可以通过非法途径连接到互联网上</w:t>
      </w:r>
      <w:r>
        <w:rPr>
          <w:rFonts w:hint="eastAsia" w:ascii="宋体" w:hAnsi="宋体" w:cs="宋体"/>
          <w:szCs w:val="21"/>
          <w:highlight w:val="none"/>
          <w:lang w:val="en-US" w:eastAsia="zh-CN"/>
        </w:rPr>
        <w:t>等功能</w:t>
      </w: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设置检测的频率</w:t>
      </w:r>
      <w:r>
        <w:rPr>
          <w:rFonts w:hint="eastAsia" w:ascii="宋体" w:hAnsi="宋体" w:cs="宋体"/>
          <w:szCs w:val="21"/>
          <w:highlight w:val="none"/>
          <w:lang w:val="en-US" w:eastAsia="zh-CN"/>
        </w:rPr>
        <w:t>等功能</w:t>
      </w:r>
      <w:r>
        <w:rPr>
          <w:rFonts w:hint="eastAsia" w:ascii="宋体" w:hAnsi="宋体" w:cs="宋体"/>
          <w:szCs w:val="21"/>
          <w:highlight w:val="none"/>
        </w:rPr>
        <w:t>，并</w:t>
      </w:r>
      <w:r>
        <w:rPr>
          <w:rFonts w:hint="eastAsia" w:ascii="宋体" w:hAnsi="宋体" w:cs="宋体"/>
          <w:szCs w:val="21"/>
          <w:highlight w:val="none"/>
          <w:lang w:eastAsia="zh-CN"/>
        </w:rPr>
        <w:t>配置</w:t>
      </w:r>
      <w:r>
        <w:rPr>
          <w:rFonts w:hint="eastAsia" w:ascii="宋体" w:hAnsi="宋体" w:cs="宋体"/>
          <w:szCs w:val="21"/>
          <w:highlight w:val="none"/>
        </w:rPr>
        <w:t>告警与自动断网、关机处理</w:t>
      </w:r>
      <w:r>
        <w:rPr>
          <w:rFonts w:hint="eastAsia" w:ascii="宋体" w:hAnsi="宋体" w:cs="宋体"/>
          <w:szCs w:val="21"/>
          <w:highlight w:val="none"/>
          <w:lang w:val="en-US" w:eastAsia="zh-CN"/>
        </w:rPr>
        <w:t>等功能</w:t>
      </w:r>
      <w:r>
        <w:rPr>
          <w:rFonts w:hint="eastAsia" w:ascii="宋体" w:hAnsi="宋体" w:cs="宋体"/>
          <w:szCs w:val="21"/>
          <w:highlight w:val="none"/>
        </w:rPr>
        <w:t>。</w:t>
      </w:r>
    </w:p>
    <w:p>
      <w:pPr>
        <w:spacing w:line="360" w:lineRule="auto"/>
        <w:ind w:firstLine="424" w:firstLineChars="200"/>
        <w:rPr>
          <w:rFonts w:ascii="宋体" w:hAnsi="宋体" w:cs="宋体"/>
          <w:szCs w:val="21"/>
          <w:highlight w:val="none"/>
        </w:rPr>
      </w:pPr>
      <w:bookmarkStart w:id="95" w:name="_Toc147590092"/>
      <w:r>
        <w:rPr>
          <w:rFonts w:hint="eastAsia" w:ascii="宋体" w:hAnsi="宋体" w:cs="宋体"/>
          <w:szCs w:val="21"/>
          <w:highlight w:val="none"/>
        </w:rPr>
        <w:t>5）异常行为管控</w:t>
      </w:r>
      <w:bookmarkEnd w:id="95"/>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系统</w:t>
      </w:r>
      <w:r>
        <w:rPr>
          <w:rFonts w:hint="eastAsia" w:ascii="宋体" w:hAnsi="宋体" w:cs="宋体"/>
          <w:szCs w:val="21"/>
          <w:highlight w:val="none"/>
          <w:lang w:eastAsia="zh-CN"/>
        </w:rPr>
        <w:t>配置</w:t>
      </w:r>
      <w:r>
        <w:rPr>
          <w:rFonts w:hint="eastAsia" w:ascii="宋体" w:hAnsi="宋体" w:cs="宋体"/>
          <w:szCs w:val="21"/>
          <w:highlight w:val="none"/>
        </w:rPr>
        <w:t>自动检测终端用户在一定时间段阈值内触发的文件打印、内容截屏与密文打开的操作次数</w:t>
      </w:r>
      <w:r>
        <w:rPr>
          <w:rFonts w:hint="eastAsia" w:ascii="宋体" w:hAnsi="宋体" w:cs="宋体"/>
          <w:szCs w:val="21"/>
          <w:highlight w:val="none"/>
          <w:lang w:val="en-US" w:eastAsia="zh-CN"/>
        </w:rPr>
        <w:t>等功能</w:t>
      </w:r>
      <w:r>
        <w:rPr>
          <w:rFonts w:hint="eastAsia" w:ascii="宋体" w:hAnsi="宋体" w:cs="宋体"/>
          <w:szCs w:val="21"/>
          <w:highlight w:val="none"/>
        </w:rPr>
        <w:t>，并根据设置的阈值次数自动对终端用户指定类型的行为进行锁定；并</w:t>
      </w:r>
      <w:r>
        <w:rPr>
          <w:rFonts w:hint="eastAsia" w:ascii="宋体" w:hAnsi="宋体" w:cs="宋体"/>
          <w:szCs w:val="21"/>
          <w:highlight w:val="none"/>
          <w:lang w:eastAsia="zh-CN"/>
        </w:rPr>
        <w:t>配置</w:t>
      </w:r>
      <w:r>
        <w:rPr>
          <w:rFonts w:hint="eastAsia" w:ascii="宋体" w:hAnsi="宋体" w:cs="宋体"/>
          <w:szCs w:val="21"/>
          <w:highlight w:val="none"/>
        </w:rPr>
        <w:t>自动解锁管理</w:t>
      </w:r>
      <w:r>
        <w:rPr>
          <w:rFonts w:hint="eastAsia" w:ascii="宋体" w:hAnsi="宋体" w:cs="宋体"/>
          <w:szCs w:val="21"/>
          <w:highlight w:val="none"/>
          <w:lang w:val="en-US" w:eastAsia="zh-CN"/>
        </w:rPr>
        <w:t>等功能</w:t>
      </w:r>
      <w:r>
        <w:rPr>
          <w:rFonts w:hint="eastAsia" w:ascii="宋体" w:hAnsi="宋体" w:cs="宋体"/>
          <w:szCs w:val="21"/>
          <w:highlight w:val="none"/>
        </w:rPr>
        <w:t>。</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对终端敏感数据缓慢泄漏行为、外发加密码文件、压缩超限文件、嵌套超限文件、分片压缩文件或者隐写文件的行为进行监测与阻断，支持监测指定的终端外发通道与敏感信息命中的文档规则类型。并支持触发了阈值次数后可以自动对外发通道进行锁定与超时自动解锁的管控。</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对终端用户的异常行为上报告警事件到控制台，管理员可以查看告警事件的对应信息并进行闭环管理。</w:t>
      </w:r>
    </w:p>
    <w:p>
      <w:pPr>
        <w:spacing w:line="360" w:lineRule="auto"/>
        <w:ind w:firstLine="424" w:firstLineChars="200"/>
        <w:rPr>
          <w:rFonts w:ascii="宋体" w:hAnsi="宋体" w:cs="宋体"/>
          <w:szCs w:val="21"/>
          <w:highlight w:val="none"/>
        </w:rPr>
      </w:pPr>
      <w:bookmarkStart w:id="96" w:name="_Toc147590093"/>
      <w:r>
        <w:rPr>
          <w:rFonts w:hint="eastAsia" w:ascii="宋体" w:hAnsi="宋体" w:cs="宋体"/>
          <w:szCs w:val="21"/>
          <w:highlight w:val="none"/>
        </w:rPr>
        <w:t>6）文档操作审计</w:t>
      </w:r>
      <w:bookmarkEnd w:id="96"/>
      <w:r>
        <w:rPr>
          <w:rFonts w:hint="eastAsia" w:ascii="宋体" w:hAnsi="宋体" w:cs="宋体"/>
          <w:szCs w:val="21"/>
          <w:highlight w:val="none"/>
        </w:rPr>
        <w:t>：</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系统</w:t>
      </w:r>
      <w:r>
        <w:rPr>
          <w:rFonts w:hint="eastAsia" w:ascii="宋体" w:hAnsi="宋体" w:cs="宋体"/>
          <w:szCs w:val="21"/>
          <w:highlight w:val="none"/>
          <w:lang w:eastAsia="zh-CN"/>
        </w:rPr>
        <w:t>配置</w:t>
      </w:r>
      <w:r>
        <w:rPr>
          <w:rFonts w:hint="eastAsia" w:ascii="宋体" w:hAnsi="宋体" w:cs="宋体"/>
          <w:szCs w:val="21"/>
          <w:highlight w:val="none"/>
        </w:rPr>
        <w:t>对PC终端本地硬盘和移动存储U盘内明文文件的新建（打开）、删除、移动、复制、重命名、文件内容拷贝操作类型进行审计</w:t>
      </w:r>
      <w:r>
        <w:rPr>
          <w:rFonts w:hint="eastAsia" w:ascii="宋体" w:hAnsi="宋体" w:cs="宋体"/>
          <w:szCs w:val="21"/>
          <w:highlight w:val="none"/>
          <w:lang w:val="en-US" w:eastAsia="zh-CN"/>
        </w:rPr>
        <w:t>等功能</w:t>
      </w:r>
      <w:r>
        <w:rPr>
          <w:rFonts w:hint="eastAsia" w:ascii="宋体" w:hAnsi="宋体" w:cs="宋体"/>
          <w:szCs w:val="21"/>
          <w:highlight w:val="none"/>
        </w:rPr>
        <w:t>。</w:t>
      </w:r>
    </w:p>
    <w:p>
      <w:pPr>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终端用户手动打开标记数字隐形标签文件的明文文档进行敏感级别冒泡提示</w:t>
      </w:r>
      <w:r>
        <w:rPr>
          <w:rFonts w:hint="eastAsia" w:ascii="宋体" w:hAnsi="宋体" w:cs="宋体"/>
          <w:szCs w:val="21"/>
          <w:highlight w:val="none"/>
          <w:lang w:val="en-US" w:eastAsia="zh-CN"/>
        </w:rPr>
        <w:t>等功能</w:t>
      </w: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终端用户手动打开密文文件进行对应的密级的冒泡提示</w:t>
      </w:r>
      <w:r>
        <w:rPr>
          <w:rFonts w:hint="eastAsia" w:ascii="宋体" w:hAnsi="宋体" w:cs="宋体"/>
          <w:szCs w:val="21"/>
          <w:highlight w:val="none"/>
          <w:lang w:val="en-US" w:eastAsia="zh-CN"/>
        </w:rPr>
        <w:t>等功能</w:t>
      </w:r>
      <w:r>
        <w:rPr>
          <w:rFonts w:hint="eastAsia" w:ascii="宋体" w:hAnsi="宋体" w:cs="宋体"/>
          <w:szCs w:val="21"/>
          <w:highlight w:val="none"/>
        </w:rPr>
        <w:t>。</w:t>
      </w:r>
    </w:p>
    <w:p>
      <w:pPr>
        <w:spacing w:line="360" w:lineRule="auto"/>
        <w:ind w:firstLine="424" w:firstLineChars="200"/>
        <w:rPr>
          <w:rFonts w:ascii="宋体" w:hAnsi="宋体" w:cs="宋体"/>
          <w:szCs w:val="21"/>
          <w:highlight w:val="none"/>
        </w:rPr>
      </w:pPr>
      <w:bookmarkStart w:id="97" w:name="_Toc482971719"/>
      <w:bookmarkStart w:id="98" w:name="_Toc147590094"/>
      <w:r>
        <w:rPr>
          <w:rFonts w:hint="eastAsia" w:ascii="宋体" w:hAnsi="宋体" w:cs="宋体"/>
          <w:szCs w:val="21"/>
          <w:highlight w:val="none"/>
        </w:rPr>
        <w:t>（7）文档审批</w:t>
      </w:r>
      <w:bookmarkEnd w:id="97"/>
      <w:bookmarkEnd w:id="98"/>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用户在执行业务操作时，根据需要可以调用文档审批系统来执行审批流程，系统具有配置灵活、可执行、可跟踪等特点。</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文档审批</w:t>
      </w:r>
      <w:r>
        <w:rPr>
          <w:rFonts w:hint="eastAsia" w:ascii="宋体" w:hAnsi="宋体" w:cs="宋体"/>
          <w:szCs w:val="21"/>
          <w:highlight w:val="none"/>
          <w:lang w:eastAsia="zh-CN"/>
        </w:rPr>
        <w:t>配置</w:t>
      </w:r>
      <w:r>
        <w:rPr>
          <w:rFonts w:hint="eastAsia" w:ascii="宋体" w:hAnsi="宋体" w:cs="宋体"/>
          <w:szCs w:val="21"/>
          <w:highlight w:val="none"/>
        </w:rPr>
        <w:t>的审批模式包括单人审批模式、会签模式、审批优先级模式</w:t>
      </w:r>
      <w:r>
        <w:rPr>
          <w:rFonts w:hint="eastAsia" w:ascii="宋体" w:hAnsi="宋体" w:cs="宋体"/>
          <w:szCs w:val="21"/>
          <w:highlight w:val="none"/>
          <w:lang w:val="en-US" w:eastAsia="zh-CN"/>
        </w:rPr>
        <w:t>等功能</w:t>
      </w:r>
      <w:r>
        <w:rPr>
          <w:rFonts w:hint="eastAsia" w:ascii="宋体" w:hAnsi="宋体" w:cs="宋体"/>
          <w:szCs w:val="21"/>
          <w:highlight w:val="none"/>
        </w:rPr>
        <w:t>，支持申请人手动取消审批申请。支持的审批类型包括文档提权审批、文档外发审批、虚拟安全桌面之间的文件共享审批等。审批者根据实际情况，可以手动执行审批，同时系统支持审批者设置自动审批模式以及委托他人审批模式。</w:t>
      </w:r>
    </w:p>
    <w:bookmarkEnd w:id="49"/>
    <w:bookmarkEnd w:id="50"/>
    <w:bookmarkEnd w:id="51"/>
    <w:bookmarkEnd w:id="52"/>
    <w:p>
      <w:pPr>
        <w:keepNext/>
        <w:keepLines/>
        <w:spacing w:line="360" w:lineRule="auto"/>
        <w:ind w:firstLine="424" w:firstLineChars="200"/>
        <w:outlineLvl w:val="1"/>
        <w:rPr>
          <w:rFonts w:ascii="宋体" w:hAnsi="宋体" w:cs="宋体"/>
          <w:b/>
          <w:bCs/>
          <w:szCs w:val="21"/>
          <w:highlight w:val="none"/>
        </w:rPr>
      </w:pPr>
      <w:bookmarkStart w:id="99" w:name="_Toc147676537"/>
      <w:r>
        <w:rPr>
          <w:rFonts w:hint="eastAsia" w:ascii="宋体" w:hAnsi="宋体" w:cs="宋体"/>
          <w:b/>
          <w:bCs/>
          <w:szCs w:val="21"/>
          <w:highlight w:val="none"/>
        </w:rPr>
        <w:t>（二）网络安全服务</w:t>
      </w:r>
      <w:bookmarkEnd w:id="99"/>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val="en-US" w:eastAsia="zh-CN"/>
        </w:rPr>
        <w:t>建设单位</w:t>
      </w:r>
      <w:r>
        <w:rPr>
          <w:rFonts w:hint="eastAsia" w:ascii="宋体" w:hAnsi="宋体" w:cs="宋体"/>
          <w:szCs w:val="21"/>
          <w:highlight w:val="none"/>
        </w:rPr>
        <w:t>以8项重点任务推进网络安全系统工程建设，构建适应余姚市电子政务外网的网络安全保障体系，其中已完成建设的包括任务一、任务七和任务八，分别是优化基础安全防护能力、深度融合实战化安全运行与评价服务、优化数字化业务的安全管理机制。本次项目需要建设的任务包括推进数字化终端统一安全防控、建设平战结合的安全监测与运营指挥中心。</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本项目通过购买服务的方式，建立余姚市电子政务外网网络安全防控能力，服务购置期限为三年。</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网络安全服务购置主要包括包含网络安全管理平台、网络安全运行平台和网络安全配套等服务的购置。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其中网络安全管理平台和网络安全运行平台可实现交叉验证，确保网络安全的隐患排查和事件处置不会出现遗漏，保障余姚市电子政务外网的安全运行。</w:t>
      </w:r>
    </w:p>
    <w:p>
      <w:pPr>
        <w:keepNext/>
        <w:keepLines/>
        <w:spacing w:line="360" w:lineRule="auto"/>
        <w:outlineLvl w:val="2"/>
        <w:rPr>
          <w:rFonts w:ascii="宋体" w:hAnsi="宋体" w:cs="宋体"/>
          <w:b/>
          <w:bCs/>
          <w:szCs w:val="21"/>
          <w:highlight w:val="none"/>
        </w:rPr>
      </w:pPr>
      <w:bookmarkStart w:id="100" w:name="_Toc147676538"/>
      <w:r>
        <w:rPr>
          <w:rFonts w:hint="eastAsia" w:ascii="宋体" w:hAnsi="宋体" w:cs="宋体"/>
          <w:b/>
          <w:bCs/>
          <w:szCs w:val="21"/>
          <w:highlight w:val="none"/>
        </w:rPr>
        <w:t>1.网络安全管理平台</w:t>
      </w:r>
      <w:bookmarkEnd w:id="100"/>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（1）系统架构</w:t>
      </w:r>
    </w:p>
    <w:p>
      <w:pPr>
        <w:rPr>
          <w:rFonts w:ascii="宋体" w:hAnsi="宋体" w:cs="宋体"/>
          <w:szCs w:val="21"/>
          <w:highlight w:val="none"/>
        </w:rPr>
      </w:pPr>
      <w:r>
        <w:rPr>
          <w:rFonts w:hint="eastAsia" w:ascii="宋体" w:hAnsi="宋体" w:cs="宋体"/>
          <w:szCs w:val="21"/>
          <w:highlight w:val="none"/>
        </w:rPr>
        <w:drawing>
          <wp:inline distT="0" distB="0" distL="0" distR="0">
            <wp:extent cx="5274310" cy="5843905"/>
            <wp:effectExtent l="0" t="0" r="254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274310" cy="5843905"/>
                    </a:xfrm>
                    <a:prstGeom prst="rect">
                      <a:avLst/>
                    </a:prstGeom>
                  </pic:spPr>
                </pic:pic>
              </a:graphicData>
            </a:graphic>
          </wp:inline>
        </w:drawing>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系统架构分为监管对象层、采集层、数据中台层、分析引擎层、应用层以及安全运营保障和标准规范保障。其中具体内容如下：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监管对象层：主要监管内容为余姚市级政务外网、余姚市级政务终端。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采集层：通过具体的采集器对各类数据进行采集，包括政务外网终端数据采集，政务外网出口网络采集，数据中心流量采集，余姚市节点设备日志、漏洞、单位基础数据采集、外部情报数据。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数据中台层：基于采集的数据，形成采集、管理、开发和服务等业务，能够对数据进行开发利用，能够对第三方提供服务。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分析引擎层：对数据进行计算，找出异常的数据，分析引擎包括关联引擎、行为引擎、专项引擎、交互式分析引擎、流式计算引擎等。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应用层：包括资产中心、威胁中心、分析引擎、分析中心、情报中心、工作指挥、报告中心、考核评估和态势感知。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安全运营保障：平台使用的基础，建立有组织的安全运营保障体系，能够安全监管平台的使用效果。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标准规范保障：在平台的对接过程中需要对数据采集、事件上报、通报下发、数据上报等信息进行规范，以保障数据、流程的标准化、规范化。</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（2）信息流转</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drawing>
          <wp:inline distT="0" distB="0" distL="0" distR="0">
            <wp:extent cx="4321810" cy="412877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4332162" cy="4138660"/>
                    </a:xfrm>
                    <a:prstGeom prst="rect">
                      <a:avLst/>
                    </a:prstGeom>
                  </pic:spPr>
                </pic:pic>
              </a:graphicData>
            </a:graphic>
          </wp:inline>
        </w:drawing>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电子政务外网出口和数据中心通过部署流量采集器和标准接口对接获取流量数据，余姚市节点数据通过标准数据规范接口与市级监管平台对接。数据采集完成后进入数据中台，进行数据的存储、计算，通过数据开发和服务向外提供数据；安全事件通过分析引擎中的规则形成安全监测事件，事件通过研判分析，确认后进行通报预警，此时需要调用监管对象数据，确认通报预警对象；县级监管平台也会根据安全监测、研判分析的积累，形成内生的威胁情报和漏洞情报进行信息共享。</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（3）监管对象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监管对象主要包括电子政务外网、数据中心和政务终端等，搭建余姚市的监管平台，通过对其云、网、端的监管，发现网络安全事件、有害程序事件；管理节点设备、终端上的漏洞、风险；最终降低整个政务外网的风险。</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（4）数据采集处理设计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1）架构设计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数据采集处理，分为数据采集、数据处理、数据存储、管理平台、监控平台等模块设计，为分析型应用提供多源大数据的采集、处理、存储、查询等基础能力。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数据采集、数据处理、数据存储三大环节依次运行，完成数据接入、并存储到系统。</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数据采集是整个环节的最前端，完成多种不同类型、不同协议数据的采集封包，并发送到下一个环节。</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数据处理模块完成格式化、富化等操作，将不同来源的数据归一化到业务需要的格式。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数据存储则完成数据最终的存储动作，控制数据的保存位置、形式，根据不同的业务需求，还可以将数据分发一份到流处理，让处理完的结果再进入存储。</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管理平台和监控平台负责对整个采集、处理、存储过程的管理配置和运行监控。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2）技术能力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数据接入，</w:t>
      </w:r>
      <w:r>
        <w:rPr>
          <w:rFonts w:hint="eastAsia" w:ascii="宋体" w:hAnsi="宋体" w:cs="宋体"/>
          <w:szCs w:val="21"/>
          <w:highlight w:val="none"/>
          <w:lang w:val="en-US" w:eastAsia="zh-CN"/>
        </w:rPr>
        <w:t>配置</w:t>
      </w:r>
      <w:r>
        <w:rPr>
          <w:rFonts w:hint="eastAsia" w:ascii="宋体" w:hAnsi="宋体" w:cs="宋体"/>
          <w:szCs w:val="21"/>
          <w:highlight w:val="none"/>
        </w:rPr>
        <w:t>流式、批量两种方式，主要用于数据采集中数据接入阶段的数据处理。数据接入统一使用Kafka作为数据总线进行数据的写入与消费。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存储方式，采用集群化分布式存储结构。</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计算，实现对已经保存至大数据平台的数据计算功能。数据计算能够对所有已保存至本平台内数据进行计算，并且提供相应的计算调用接口，能够满足外部分析系统的调用。数据计算包含五个主要部分，分布式资源调度系统，批处理计算系统，流式计算系统，高性能计算系统，迭代计算系统。</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数据分析，在大数据环境下，通过数据分析能够实现数据价值。组件管理提供众多的数据分析能力，通过这些数据分析能力，可以对下层数据进行分析挖掘工作，同时为上层分析应用提供可调用接口。</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基础管理，主要提供组件管理模块的可视化交互管理功能，包括运维、监控、安全设置等。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智能化运维，自动监控大数据环境，根据数据量自动运维，计算合适的kafka\ES的分片参数，自动扩展，减少运维人员难度，提高系统性能。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（5）数据治理设计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1）架构设计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数据治理，做为安全能力基座的核心模块，实现多源异构安全数据的标准化融合落地、数据仓库管理、数据质量监测、数据治理管理等。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2）技术能力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通用安全数据标准制定，包括但不限于：各类设备原始日志、告警数据、脆弱性数据。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所有公共元数据在线管理，信息分类编码、业务元数据、数据检测规则等元数据统一管理。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建设安全数据仓库，并提供一切数仓管理使用能力支撑，包括但不限于详情监控、质量监测、数据查询接口等。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将安全数据接入并标准化，通过可靠信道推送至本地。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接入各类数据，进行解密、解析，写入数据仓库并通过Kafka通知各数据订阅方。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（6）数据存储设计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1）架构设计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数据存储设计对海量数据进行存储、计算、查询和分析。提供海量数据的数据存储、实时流数据处理与离线批数据处理、高性能的检索与统计分析能力。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提供数据的多副本高可用、服务的高可靠与故障容错恢复能力。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提供大规模集群的自动化安装部署、扩容、监控告警、服务管理、节点管理、平滑升级等能力。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技术能力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2）提供多种标准协议接口，便于应用系统的开发，便于第三方系统的对接；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服务安全：可通过防火墙策略，对主机和端口进行安全加固；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准入认证：支持使用ldap和kerberos进行认证；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访问控制：实现用户组、用户、角色、权限的细粒度管控；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单节点故障不影响整体平台的服务运行；</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Kafka/ES /HDFS等组件支持数据；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多副本存储，保证数据高可用；</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支持单节点不低于2万EPS的写入；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百亿级数据检索分钟级响应；</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自动化安装部署，系统线性增加服务器数量即可实现存储空间动态扩容；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实时监控硬件与服务，异常情况可及时排查。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（7）资产中心</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1）整体架构</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drawing>
          <wp:inline distT="0" distB="0" distL="0" distR="0">
            <wp:extent cx="4665345" cy="2790825"/>
            <wp:effectExtent l="0" t="0" r="190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4665345" cy="2790825"/>
                    </a:xfrm>
                    <a:prstGeom prst="rect">
                      <a:avLst/>
                    </a:prstGeom>
                  </pic:spPr>
                </pic:pic>
              </a:graphicData>
            </a:graphic>
          </wp:inline>
        </w:drawing>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资产中心提供通用的资产运营和管理的能力。主要功能包括，资产概况、资产发现、资产管理、资产运营、资产脆弱性管理、资产漏洞库管理、资产风险评估管理、拓扑管理、资产检索等功能。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2）资产概况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概况展示安全运营大脑中资产数据的整体情况，并从不同维度对资产进行分析和统计，包括资产数据的概要统计（数据总量、分类别的数据量统计），以及分类统计图表，分别统计展示发现资产（发现资产中的操作系统分布、软件类型分布、使用的协议分布、端口分布、应用TOP10分布、发现源趋势、发现设备资产分布）、单位统计（单位地区分布、行业分布、类型分布）、设备信息统计（设备资产类型、设备使用操作系统分布）、软件信息统计（软件类型分布、软件使用的协议统计、软件使用的端口统计、软件应用统计）以及资产重要程度统计（重点资产等保备案占比、关基资产等保备案占比）。</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通过BI分析工具形成资产相关维度的图表，形成资产管理分析仪表盘，对资产模型进行整体宏观分析，包括资产的发现情况、资产运营情况、资产管理维护情况。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通过多维度（重要程度、资产总量，资产发现总量），多状态（已运营、待运营、已归档、未归档）、多类型（系统、软件、设备、ip）进行整体数量情况展示。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根据资产的协议和端口分类展示总量饼分析排名，并且根据资产类型（操作系统与应用），提供各分类以及端口、协议的top10进行柱状图的数据分析展示。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按照资产的类型（软件、设备），以及资产的重要程度（重点资产与关基资产），用环形图的方式展现总量和其分布占比。</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根据资产的单位所属的地区、行业、类型进行分布展示，支持环形图与块图的方式。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3）资产发现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将不同方式（流量探测、资产探查）所汇报的资产进行统一的管理</w:t>
      </w:r>
      <w:r>
        <w:rPr>
          <w:rFonts w:hint="eastAsia" w:ascii="宋体" w:hAnsi="宋体" w:cs="宋体"/>
          <w:szCs w:val="21"/>
          <w:highlight w:val="none"/>
          <w:lang w:val="en-US" w:eastAsia="zh-CN"/>
        </w:rPr>
        <w:t>等功能</w:t>
      </w:r>
      <w:r>
        <w:rPr>
          <w:rFonts w:hint="eastAsia" w:ascii="宋体" w:hAnsi="宋体" w:cs="宋体"/>
          <w:szCs w:val="21"/>
          <w:highlight w:val="none"/>
        </w:rPr>
        <w:t>，并且</w:t>
      </w:r>
      <w:r>
        <w:rPr>
          <w:rFonts w:hint="eastAsia" w:ascii="宋体" w:hAnsi="宋体" w:cs="宋体"/>
          <w:szCs w:val="21"/>
          <w:highlight w:val="none"/>
          <w:lang w:eastAsia="zh-CN"/>
        </w:rPr>
        <w:t>配置</w:t>
      </w:r>
      <w:r>
        <w:rPr>
          <w:rFonts w:hint="eastAsia" w:ascii="宋体" w:hAnsi="宋体" w:cs="宋体"/>
          <w:szCs w:val="21"/>
          <w:highlight w:val="none"/>
        </w:rPr>
        <w:t>人工导入未运营资产</w:t>
      </w:r>
      <w:r>
        <w:rPr>
          <w:rFonts w:hint="eastAsia" w:ascii="宋体" w:hAnsi="宋体" w:cs="宋体"/>
          <w:szCs w:val="21"/>
          <w:highlight w:val="none"/>
          <w:lang w:val="en-US" w:eastAsia="zh-CN"/>
        </w:rPr>
        <w:t>等功能</w:t>
      </w:r>
      <w:r>
        <w:rPr>
          <w:rFonts w:hint="eastAsia" w:ascii="宋体" w:hAnsi="宋体" w:cs="宋体"/>
          <w:szCs w:val="21"/>
          <w:highlight w:val="none"/>
        </w:rPr>
        <w:t>，以软件资产和设备资产两种类型进行分类展示，并且可以选择具体细分类型进行展示（如网站、数据库软件等）。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发现子模块分为资产发现、发现配置、资产扫描、服务发现、快速扫描五个部分，资产发现页主要展示各个发现源发现的资产（软件、硬件）；发现配置页用于对发现源进行配置；资产扫描可结合资产探测引擎，扫描网络中的存活主机；服务发现可结合资产探测引擎，扫描目的主机上开放的服务；快速扫描支持快速发起扫描任务，结合资产探测引擎可进行存活主机、开放服务的扫描，结合漏洞扫描引擎可进行目标主机的漏洞扫描并导入扫描结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资产发现通过与资产扫描器的对接，进行扫描任务的创建，然后对对资产扫描器结果进行解析后发送至源数据管理平台进行数据的清洗、归一化处理，最后形成资产发现库。</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4）资产检索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资源管理子系统为资产检索提供一键检索功能，</w:t>
      </w:r>
      <w:r>
        <w:rPr>
          <w:rFonts w:hint="eastAsia" w:ascii="宋体" w:hAnsi="宋体" w:cs="宋体"/>
          <w:szCs w:val="21"/>
          <w:highlight w:val="none"/>
          <w:lang w:eastAsia="zh-CN"/>
        </w:rPr>
        <w:t>配置</w:t>
      </w:r>
      <w:r>
        <w:rPr>
          <w:rFonts w:hint="eastAsia" w:ascii="宋体" w:hAnsi="宋体" w:cs="宋体"/>
          <w:szCs w:val="21"/>
          <w:highlight w:val="none"/>
        </w:rPr>
        <w:t>关键字检索和全文检索，提供搜索历史查阅功能，便于用户操作使用。</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多维度（单位名称、资产名称、资产类别、ip、操作系统、域名、端口、协议等）的模糊与精准数据查询</w:t>
      </w:r>
      <w:r>
        <w:rPr>
          <w:rFonts w:hint="eastAsia" w:ascii="宋体" w:hAnsi="宋体" w:cs="宋体"/>
          <w:szCs w:val="21"/>
          <w:highlight w:val="none"/>
          <w:lang w:val="en-US" w:eastAsia="zh-CN"/>
        </w:rPr>
        <w:t>等功能</w:t>
      </w:r>
      <w:r>
        <w:rPr>
          <w:rFonts w:hint="eastAsia" w:ascii="宋体" w:hAnsi="宋体" w:cs="宋体"/>
          <w:szCs w:val="21"/>
          <w:highlight w:val="none"/>
        </w:rPr>
        <w:t>，并且可以多个关键词一起搜索，查询不同状态下的实体，包括：资产发现、已核实（资产管理）等状态，以实体的形式进行结果呈现。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一键搜索提供资产数据综合查询功能，支持输入检索条件进行查询，使用特定的语法能够获得更加精确的查询结果；支持显示历史检索条件；支持检索结果以资产实体的形式呈现，只要满足检索条件，都能查看到相应的实体及详情。</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搜索框，支持多个关键词用空格隔开，每次搜索多个关键词，点击搜索后同时搜索历史展示当前用户搜索的最近的多个关键词。</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搜索历史，可以删除历史关键词，也可点击垃圾桶删除全部。</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搜索展示内容，分为设备、网站/系统、软件3个维度展示列表点击列表后跳转至相应的管理功能中。</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5）资产管理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系统提供对资产按照不同类型的实体进行管理和维护，用户可通过对不同功能界面进行操作，实现不同类型资产的管理，管理包括新增、编辑、删除、导入、建立关联关系等操作。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可以按照不同的维度对资产进行分类统计。平台提供资产的清单，包括：设备、网段、域名和网站等，支持查看资产信息的详细属性，对资产进行编辑、新增和删除。</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除去资产的基本属性（名称、IP、地理位置、责任人、资产价值）外，还应当包括资产的组件（组件是构成资产的最小软件单元。例如：Web服务器上常用的Linux、Windows、IIS、Apache等组件）、组件状态（各组件对外提供服务的端口号、协议类型等）、资产弱点（脆弱性、暴露程度等）等安全属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6）资产运营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运营提供两种资产运营模式，自动运营和手工运营，自动运营是系统根据预置好的规则自动将原始发现资产通过运营规则进入资产纳管库，系统自动解决运营中的冲突处理，人工运营是指在运营过程中，对于冲突数据，需要人工进行确认处理后进入资产纳管库中。功能包括：规则管理、资产归属管理、发现资产审核；</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规则管理是包括归属规则、运营规则、忽略规则，其中归属规则描述的是目前资产的单位匹配规则、运营规则描述的是资产运营中资产冲突的处理逻辑、忽略规则描述的是对不关注的资产进行忽略处理规则逻辑；</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归属管理提供对无主资产或者有单位冲突资产的统一管理，在该功能下可以进行单位的设置和资产详情的跳转；</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发现资产审核提供人工审核冲突资产的功能，在该功能下可手动处理冲突资产并进行纳管和忽略操作，发现资产根据发现资产与已纳管资产的对比，区分是更新资产数据或新增资产数据；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在资产运营管理中，可对运营规则进行修改编辑、对冲突资产进行人工审核等操作。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7）资产脆弱性管理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通过关联已纳管的资产数据与漏洞告警数据生成资产脆弱性数据，借之实现对资产脆弱性的管理。支持纳管资产和漏洞告警数据的关联。</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资产脆弱性：</w:t>
      </w:r>
      <w:r>
        <w:rPr>
          <w:rFonts w:hint="eastAsia" w:ascii="宋体" w:hAnsi="宋体" w:cs="宋体"/>
          <w:szCs w:val="21"/>
          <w:highlight w:val="none"/>
          <w:lang w:eastAsia="zh-CN"/>
        </w:rPr>
        <w:t>配置</w:t>
      </w:r>
      <w:r>
        <w:rPr>
          <w:rFonts w:hint="eastAsia" w:ascii="宋体" w:hAnsi="宋体" w:cs="宋体"/>
          <w:szCs w:val="21"/>
          <w:highlight w:val="none"/>
        </w:rPr>
        <w:t>通过漏洞视角查看受影响的资产情况</w:t>
      </w:r>
      <w:r>
        <w:rPr>
          <w:rFonts w:hint="eastAsia" w:ascii="宋体" w:hAnsi="宋体" w:cs="宋体"/>
          <w:szCs w:val="21"/>
          <w:highlight w:val="none"/>
          <w:lang w:val="en-US" w:eastAsia="zh-CN"/>
        </w:rPr>
        <w:t>等功能</w:t>
      </w:r>
      <w:r>
        <w:rPr>
          <w:rFonts w:hint="eastAsia" w:ascii="宋体" w:hAnsi="宋体" w:cs="宋体"/>
          <w:szCs w:val="21"/>
          <w:highlight w:val="none"/>
        </w:rPr>
        <w:t>，</w:t>
      </w:r>
      <w:r>
        <w:rPr>
          <w:rFonts w:hint="eastAsia" w:ascii="宋体" w:hAnsi="宋体" w:cs="宋体"/>
          <w:szCs w:val="21"/>
          <w:highlight w:val="none"/>
          <w:lang w:eastAsia="zh-CN"/>
        </w:rPr>
        <w:t>配置</w:t>
      </w:r>
      <w:r>
        <w:rPr>
          <w:rFonts w:hint="eastAsia" w:ascii="宋体" w:hAnsi="宋体" w:cs="宋体"/>
          <w:szCs w:val="21"/>
          <w:highlight w:val="none"/>
        </w:rPr>
        <w:t>对资产漏洞告警的修复状态提示和设置</w:t>
      </w:r>
      <w:r>
        <w:rPr>
          <w:rFonts w:hint="eastAsia" w:ascii="宋体" w:hAnsi="宋体" w:cs="宋体"/>
          <w:szCs w:val="21"/>
          <w:highlight w:val="none"/>
          <w:lang w:val="en-US" w:eastAsia="zh-CN"/>
        </w:rPr>
        <w:t>等功能</w:t>
      </w:r>
      <w:r>
        <w:rPr>
          <w:rFonts w:hint="eastAsia" w:ascii="宋体" w:hAnsi="宋体" w:cs="宋体"/>
          <w:szCs w:val="21"/>
          <w:highlight w:val="none"/>
        </w:rPr>
        <w:t>，支持对各资产漏洞告警次数的统计；支持通过资产视角查看资产的漏洞告警情况，支持在纳管资产和漏洞告警数据的关联后，对资产详情和漏洞告警详情的查看。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资产潜在漏洞：通过关联纳管的资产数据与漏洞知识库生成资产潜在漏洞数据，实现对资产潜在漏洞情况的管理。系统</w:t>
      </w:r>
      <w:r>
        <w:rPr>
          <w:rFonts w:hint="eastAsia" w:ascii="宋体" w:hAnsi="宋体" w:cs="宋体"/>
          <w:szCs w:val="21"/>
          <w:highlight w:val="none"/>
          <w:lang w:eastAsia="zh-CN"/>
        </w:rPr>
        <w:t>配置</w:t>
      </w:r>
      <w:r>
        <w:rPr>
          <w:rFonts w:hint="eastAsia" w:ascii="宋体" w:hAnsi="宋体" w:cs="宋体"/>
          <w:szCs w:val="21"/>
          <w:highlight w:val="none"/>
        </w:rPr>
        <w:t>纳管资产和漏洞知识库数据的关联</w:t>
      </w:r>
      <w:r>
        <w:rPr>
          <w:rFonts w:hint="eastAsia" w:ascii="宋体" w:hAnsi="宋体" w:cs="宋体"/>
          <w:szCs w:val="21"/>
          <w:highlight w:val="none"/>
          <w:lang w:val="en-US" w:eastAsia="zh-CN"/>
        </w:rPr>
        <w:t>等功能</w:t>
      </w:r>
      <w:r>
        <w:rPr>
          <w:rFonts w:hint="eastAsia" w:ascii="宋体" w:hAnsi="宋体" w:cs="宋体"/>
          <w:szCs w:val="21"/>
          <w:highlight w:val="none"/>
        </w:rPr>
        <w:t>，支持通过资产视角查看资产的潜在漏洞情况，支持对纳管资产和漏洞知识库数据的关联后，对资产详情和漏洞知识库详情的查看。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8）资产漏洞库管理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资产漏洞库管理模块提供漏洞知识库的管理功能，包括公共漏洞库和我的漏洞库。公共漏洞库提供了的漏洞列表查看查询功能。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我的漏洞库为用户提供对自身维护的漏洞知识库的管理功能，</w:t>
      </w:r>
      <w:r>
        <w:rPr>
          <w:rFonts w:hint="eastAsia" w:ascii="宋体" w:hAnsi="宋体" w:cs="宋体"/>
          <w:szCs w:val="21"/>
          <w:highlight w:val="none"/>
          <w:lang w:eastAsia="zh-CN"/>
        </w:rPr>
        <w:t>配置</w:t>
      </w:r>
      <w:r>
        <w:rPr>
          <w:rFonts w:hint="eastAsia" w:ascii="宋体" w:hAnsi="宋体" w:cs="宋体"/>
          <w:szCs w:val="21"/>
          <w:highlight w:val="none"/>
        </w:rPr>
        <w:t>对接入漏洞知识库数据的查看和统计</w:t>
      </w:r>
      <w:r>
        <w:rPr>
          <w:rFonts w:hint="eastAsia" w:ascii="宋体" w:hAnsi="宋体" w:cs="宋体"/>
          <w:szCs w:val="21"/>
          <w:highlight w:val="none"/>
          <w:lang w:val="en-US" w:eastAsia="zh-CN"/>
        </w:rPr>
        <w:t>等功能</w:t>
      </w:r>
      <w:r>
        <w:rPr>
          <w:rFonts w:hint="eastAsia" w:ascii="宋体" w:hAnsi="宋体" w:cs="宋体"/>
          <w:szCs w:val="21"/>
          <w:highlight w:val="none"/>
        </w:rPr>
        <w:t>。支持对接入漏洞知识库数据与已纳管资产的管理、支持对接入漏洞知识库数据漏洞影响面的评估，支持对人工维护漏洞知识库的管理，支持对人工维护的漏洞知识库的新增、修改、删除、查看等基础管理功能。同时支持对人工维护的漏洞知识库数据的查看和统计、支持对人工维护的漏洞知识库数据与已纳管资产的管理，及支持对人工维护的漏洞知识库数据漏洞影响面的评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9）资产风险评估管理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风险评估管理，主要是对风险的组成要素进行识别、汇总和评估，确定组织面临的风险的大小，并对风险进行评价，以选择适当、合理的安全处置方法和安全措施进行风险控制。资产风险评估贯穿了信息安全风险评估的设计、实施、检查、改进等整个周期，覆盖了组织、人员、技术、管理等各个方面。而信息安全风险评估在信息安全建设过程中是非常重要的，它是该过程的起点和基础，是信息安全管理持续完善、改进的推动和指引，是信息安全管理绩效的衡量及工作考核的方法和手段。其目的是全面、系统的分析客户业务所面临的信息安全风险，以采取有效措施进行风险处置和应对，提升信息安全保障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风险概况：风险概况统计信息，包括针对资产风险、网络区域风险、单位组织风险、业务系统风险评分排名、并显示风险评分，并可查看风险计算详情等。</w:t>
      </w:r>
    </w:p>
    <w:p>
      <w:pPr>
        <w:adjustRightInd w:val="0"/>
        <w:snapToGrid w:val="0"/>
        <w:spacing w:line="360" w:lineRule="auto"/>
        <w:ind w:firstLine="424" w:firstLineChars="200"/>
        <w:rPr>
          <w:rFonts w:ascii="宋体" w:hAnsi="宋体" w:cs="宋体"/>
          <w:szCs w:val="21"/>
          <w:highlight w:val="none"/>
        </w:rPr>
      </w:pPr>
      <w:bookmarkStart w:id="101" w:name="_Toc107412183"/>
      <w:r>
        <w:rPr>
          <w:rFonts w:hint="eastAsia" w:ascii="宋体" w:hAnsi="宋体" w:cs="宋体"/>
          <w:szCs w:val="21"/>
          <w:highlight w:val="none"/>
        </w:rPr>
        <w:t>风险评</w:t>
      </w:r>
      <w:bookmarkEnd w:id="101"/>
      <w:r>
        <w:rPr>
          <w:rFonts w:hint="eastAsia" w:ascii="宋体" w:hAnsi="宋体" w:cs="宋体"/>
          <w:szCs w:val="21"/>
          <w:highlight w:val="none"/>
        </w:rPr>
        <w:t>级：根据资产风险评估模型计算出具体资产（设备/系统/网站）的风险总体情况，及风险相关数据分析。并据此计算出资产风险等级，从而分级显示资产风险相关信息，具体包括资产的类型、基本信息以及资产价值、重要性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风险模型管理：提供资产价值分级评价模型配置功能，权重包括资产的保密性、完整性、可用性以及业务相关性等。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提供资产威胁等级模型配置功能，权重包括资产涉及的安全事件、脆弱性出现频率等。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资产风险等级模型配置功能，权重包括资产价值、威胁、脆弱性三个基本要素进行资产的风险计算。</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10）拓扑管理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通过流量、网络设备日志进行网络资产关系分析，形成拓扑图，并在拓扑图上体现资产的风险相关信息。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拓扑引擎通过网络流量的五元组数据、以及结合网络这边日志中的路由关系，分析出网络资产之间的逻辑关系与业务访问关系，并结合资产库将拓扑节点与资产进行绑定，形成基础拓扑图，然后经过运营人员的细化完善，最终形成重点网络资产的逻辑拓扑关系图与重点系统的业务关系图，并结合脆弱性告警库、网络告警库、风险评估结果在拓扑节点上直观的展示每个节点安全状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（8）威胁中心</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威胁中心主要提供告警管理和安全事件管理两大功能。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告警管理</w:t>
      </w:r>
      <w:r>
        <w:rPr>
          <w:rFonts w:hint="eastAsia" w:ascii="宋体" w:hAnsi="宋体" w:cs="宋体"/>
          <w:szCs w:val="21"/>
          <w:highlight w:val="none"/>
          <w:lang w:eastAsia="zh-CN"/>
        </w:rPr>
        <w:t>配置</w:t>
      </w:r>
      <w:r>
        <w:rPr>
          <w:rFonts w:hint="eastAsia" w:ascii="宋体" w:hAnsi="宋体" w:cs="宋体"/>
          <w:szCs w:val="21"/>
          <w:highlight w:val="none"/>
        </w:rPr>
        <w:t>安服人员或业务人员对接入平台数据源生成的告警进行管理</w:t>
      </w:r>
      <w:r>
        <w:rPr>
          <w:rFonts w:hint="eastAsia" w:ascii="宋体" w:hAnsi="宋体" w:cs="宋体"/>
          <w:szCs w:val="21"/>
          <w:highlight w:val="none"/>
          <w:lang w:val="en-US" w:eastAsia="zh-CN"/>
        </w:rPr>
        <w:t>等功能</w:t>
      </w:r>
      <w:r>
        <w:rPr>
          <w:rFonts w:hint="eastAsia" w:ascii="宋体" w:hAnsi="宋体" w:cs="宋体"/>
          <w:szCs w:val="21"/>
          <w:highlight w:val="none"/>
        </w:rPr>
        <w:t>，支持安服人员或业务人员对归并后的告警做进一步研判。实现对网络安全情况的实时监测，及时发现国际敌对势力、黑客组织等不法分子的攻击活动、攻击手段和攻击目标，全面监测重保单位信息系统和网络，实现对安全漏洞、威胁隐患、高级威胁攻击的发现和识别，并为通报预警和侦查调查等业务系统提供强有力的数据支撑。</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全事件管理支持安服人员或业务人员对系统自动生成的事件或人工录入的事件进行管理操作。识别重点网络安全事件并依据研判结论决定后续业务流转，并启动相应的处置动作。在告警管理中提供转事件、转处置等业务快速入口，并可通过自动处置策略进行对高可信告警进行自动处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1）告警概览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对告警整体情况进行概要性的统计展示，包括告警分类、告警趋势、告警排名、告警同比/环比分析等，支持按照时间范围筛选，按照危急程度分类统计等。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2）告警管理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告警管理向安服人员或业务人员提供了对接入平台的数据源生成的告警进行管理，支持安服人员或业务人员对归并后的告警进行进一步研判。</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告警管理展示告警的详细信息。系统能够根据自定义的时间范围，和不同的字段对告警进行查询，用户还可根据实际业务需求，进行告警编辑、导入导出、自定义表头和手动输入告警的操作功能。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告警查询：系统能够根据选择的相关字段以及告警事件级别进行告警数据查询。查询条件支持历史保存，查询字段包括但不限于时间、等级、一级（或二级）分类、单位、行业、告警简介、受影响资源、威胁源、数据源、区域和通报状态等内容，其中部分字段（告警简介、受影响资源、标签、威胁源）支持模糊查询。查询后，根据自定义的表头字段展示相应的内容，用户可对单条告警信息进行详情查看和人工编辑。</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告警编辑：告警编辑功能实现对告警的状态批量的进行人工确认，和标签编辑管理。导出功能，支持以Excel格式导出搜索返回的告警，内容包含所有告警字段。导入功能可以通过模板填报来人工导入告警数据。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3）安全事件管理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安全事件管理向安服人员或业务人员提供了系统自动生成的事件或者人工手动录入的事件，并支持对其进行管理操作。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通过事件研判模块评估研判后的事件，以列表的形式在事件管理模块进行展示。同时可以对海量的事件进行归并，提炼更高的业务价值。</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事件检索</w:t>
      </w:r>
      <w:r>
        <w:rPr>
          <w:rFonts w:hint="eastAsia" w:ascii="宋体" w:hAnsi="宋体" w:cs="宋体"/>
          <w:szCs w:val="21"/>
          <w:highlight w:val="none"/>
          <w:lang w:val="en-US" w:eastAsia="zh-CN"/>
        </w:rPr>
        <w:t>功能</w:t>
      </w:r>
      <w:r>
        <w:rPr>
          <w:rFonts w:hint="eastAsia" w:ascii="宋体" w:hAnsi="宋体" w:cs="宋体"/>
          <w:szCs w:val="21"/>
          <w:highlight w:val="none"/>
        </w:rPr>
        <w:t>，内置快捷检索和高级模式；支持事件转通报。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通报管理：</w:t>
      </w:r>
      <w:r>
        <w:rPr>
          <w:rFonts w:hint="eastAsia" w:ascii="宋体" w:hAnsi="宋体" w:cs="宋体"/>
          <w:szCs w:val="21"/>
          <w:highlight w:val="none"/>
          <w:lang w:eastAsia="zh-CN"/>
        </w:rPr>
        <w:t>配置</w:t>
      </w:r>
      <w:r>
        <w:rPr>
          <w:rFonts w:hint="eastAsia" w:ascii="宋体" w:hAnsi="宋体" w:cs="宋体"/>
          <w:szCs w:val="21"/>
          <w:highlight w:val="none"/>
        </w:rPr>
        <w:t>通报全流程管理</w:t>
      </w:r>
      <w:r>
        <w:rPr>
          <w:rFonts w:hint="eastAsia" w:ascii="宋体" w:hAnsi="宋体" w:cs="宋体"/>
          <w:szCs w:val="21"/>
          <w:highlight w:val="none"/>
          <w:lang w:val="en-US" w:eastAsia="zh-CN"/>
        </w:rPr>
        <w:t>功能</w:t>
      </w:r>
      <w:r>
        <w:rPr>
          <w:rFonts w:hint="eastAsia" w:ascii="宋体" w:hAnsi="宋体" w:cs="宋体"/>
          <w:szCs w:val="21"/>
          <w:highlight w:val="none"/>
        </w:rPr>
        <w:t>。</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4）事件研判</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按照所需的过滤条件进行综合筛选</w:t>
      </w:r>
      <w:r>
        <w:rPr>
          <w:rFonts w:hint="eastAsia" w:ascii="宋体" w:hAnsi="宋体" w:cs="宋体"/>
          <w:szCs w:val="21"/>
          <w:highlight w:val="none"/>
          <w:lang w:val="en-US" w:eastAsia="zh-CN"/>
        </w:rPr>
        <w:t>等功能</w:t>
      </w:r>
      <w:r>
        <w:rPr>
          <w:rFonts w:hint="eastAsia" w:ascii="宋体" w:hAnsi="宋体" w:cs="宋体"/>
          <w:szCs w:val="21"/>
          <w:highlight w:val="none"/>
        </w:rPr>
        <w:t>，得出目标事件，并对事件做进一步研判，适时触发应急响应动作。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5）主动防护配置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主动防护配置，可以配置综合的触发条件，打开主动防护开关，并在其被触发后，自动封禁安全事件中的威胁IP。</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灵活配置消息中心邮件告警、短信告警等多种告警方式</w:t>
      </w:r>
      <w:r>
        <w:rPr>
          <w:rFonts w:hint="eastAsia" w:ascii="宋体" w:hAnsi="宋体" w:cs="宋体"/>
          <w:szCs w:val="21"/>
          <w:highlight w:val="none"/>
          <w:lang w:val="en-US" w:eastAsia="zh-CN"/>
        </w:rPr>
        <w:t>等功能</w:t>
      </w:r>
      <w:r>
        <w:rPr>
          <w:rFonts w:hint="eastAsia" w:ascii="宋体" w:hAnsi="宋体" w:cs="宋体"/>
          <w:szCs w:val="21"/>
          <w:highlight w:val="none"/>
        </w:rPr>
        <w:t>，满足用户多种场景告警需求。</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（9）分析引擎</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分析引擎是对各种类型的分析规则、分析策略、分析模板进行综合管理，包含对这些规则、策略、模板下发生效后的运行管理，以及对同这些因素相匹配的支撑资源进行管理调配。</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分析引擎管理采用多层次的安全事件分析技术，内置多种安全分析规则模型，可通过界面化的安全规则模型定义方式，支持逻辑关系、大小判断、字段匹配、频率统计、通配符、黑白名单等多种设置算法。可结合用户实际的运营场景需求，帮助用户实现基于规则算法和参数条件的规则自定义。主要分为规则管理、策略管理、运行管理和资源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1）规则管理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规则管理模块，能针对系统网络安全分析规则，提供新建、编辑、复制、删除、批量删除、批量下发等功能，并能够对系统用户提供编辑后的规则导入功能，和选中的规则导出功能。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系统预置基于网络安全设备日志、原始流量分析的200多种“开箱即用”的告警分析规则，包括但不限于：有害程序、攻击利用、安全隐患、可用性、内容安全、拒绝服务、异常活动、信息破坏、信息收集等告警类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2）策略管理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策略管理，是对告警生成和告警归并两个阶段的告警规则，做统一的策略约束与维护管理。对在一定时间窗口内的日志匹配、规则识别生成告警的动作过程，可以令其使用同类的规则模板，从而大大减少了模板数量。告警归并则是对多起告警（相同特征的一类告警）归并为一条，减少告警数量，提高告警分析效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策略管理包含告警生成策略模板、告警归并策略模板、后置配置模板管理。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系统</w:t>
      </w:r>
      <w:r>
        <w:rPr>
          <w:rFonts w:hint="eastAsia" w:ascii="宋体" w:hAnsi="宋体" w:cs="宋体"/>
          <w:szCs w:val="21"/>
          <w:highlight w:val="none"/>
          <w:lang w:eastAsia="zh-CN"/>
        </w:rPr>
        <w:t>配置</w:t>
      </w:r>
      <w:r>
        <w:rPr>
          <w:rFonts w:hint="eastAsia" w:ascii="宋体" w:hAnsi="宋体" w:cs="宋体"/>
          <w:szCs w:val="21"/>
          <w:highlight w:val="none"/>
        </w:rPr>
        <w:t>告警生成策略模板的新增、修改、删除、启用、停用、查看等功能。对于一些特定字段能够自定义设置告警生成策略。此外还</w:t>
      </w:r>
      <w:r>
        <w:rPr>
          <w:rFonts w:hint="eastAsia" w:ascii="宋体" w:hAnsi="宋体" w:cs="宋体"/>
          <w:szCs w:val="21"/>
          <w:highlight w:val="none"/>
          <w:lang w:eastAsia="zh-CN"/>
        </w:rPr>
        <w:t>配置</w:t>
      </w:r>
      <w:r>
        <w:rPr>
          <w:rFonts w:hint="eastAsia" w:ascii="宋体" w:hAnsi="宋体" w:cs="宋体"/>
          <w:szCs w:val="21"/>
          <w:highlight w:val="none"/>
        </w:rPr>
        <w:t>告警生成模板的导入和导出</w:t>
      </w:r>
      <w:r>
        <w:rPr>
          <w:rFonts w:hint="eastAsia" w:ascii="宋体" w:hAnsi="宋体" w:cs="宋体"/>
          <w:szCs w:val="21"/>
          <w:highlight w:val="none"/>
          <w:lang w:val="en-US" w:eastAsia="zh-CN"/>
        </w:rPr>
        <w:t>等功能</w:t>
      </w:r>
      <w:r>
        <w:rPr>
          <w:rFonts w:hint="eastAsia" w:ascii="宋体" w:hAnsi="宋体" w:cs="宋体"/>
          <w:szCs w:val="21"/>
          <w:highlight w:val="none"/>
        </w:rPr>
        <w:t>，提升规则配置效率。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告警归并策略模板的新增、修改、删除、启用、停用、查看等功能。对于一些特定字段能够自定义设置告警归并策略。</w:t>
      </w:r>
      <w:r>
        <w:rPr>
          <w:rFonts w:hint="eastAsia" w:ascii="宋体" w:hAnsi="宋体" w:cs="宋体"/>
          <w:szCs w:val="21"/>
          <w:highlight w:val="none"/>
          <w:lang w:eastAsia="zh-CN"/>
        </w:rPr>
        <w:t>配置</w:t>
      </w:r>
      <w:r>
        <w:rPr>
          <w:rFonts w:hint="eastAsia" w:ascii="宋体" w:hAnsi="宋体" w:cs="宋体"/>
          <w:szCs w:val="21"/>
          <w:highlight w:val="none"/>
        </w:rPr>
        <w:t>告警归并模板的导入和导出</w:t>
      </w:r>
      <w:r>
        <w:rPr>
          <w:rFonts w:hint="eastAsia" w:ascii="宋体" w:hAnsi="宋体" w:cs="宋体"/>
          <w:szCs w:val="21"/>
          <w:highlight w:val="none"/>
          <w:lang w:val="en-US" w:eastAsia="zh-CN"/>
        </w:rPr>
        <w:t>等功能</w:t>
      </w:r>
      <w:r>
        <w:rPr>
          <w:rFonts w:hint="eastAsia" w:ascii="宋体" w:hAnsi="宋体" w:cs="宋体"/>
          <w:szCs w:val="21"/>
          <w:highlight w:val="none"/>
        </w:rPr>
        <w:t>，提升规则配置效率。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后置配置模板的配置添加和管理</w:t>
      </w:r>
      <w:r>
        <w:rPr>
          <w:rFonts w:hint="eastAsia" w:ascii="宋体" w:hAnsi="宋体" w:cs="宋体"/>
          <w:szCs w:val="21"/>
          <w:highlight w:val="none"/>
          <w:lang w:val="en-US" w:eastAsia="zh-CN"/>
        </w:rPr>
        <w:t>等功能</w:t>
      </w:r>
      <w:r>
        <w:rPr>
          <w:rFonts w:hint="eastAsia" w:ascii="宋体" w:hAnsi="宋体" w:cs="宋体"/>
          <w:szCs w:val="21"/>
          <w:highlight w:val="none"/>
        </w:rPr>
        <w:t>，包括配置的名称、说明、响应配置、响应动作、设置全局生效或无效等。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3）运行管理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运行管理，</w:t>
      </w:r>
      <w:r>
        <w:rPr>
          <w:rFonts w:hint="eastAsia" w:ascii="宋体" w:hAnsi="宋体" w:cs="宋体"/>
          <w:szCs w:val="21"/>
          <w:highlight w:val="none"/>
          <w:lang w:eastAsia="zh-CN"/>
        </w:rPr>
        <w:t>配置</w:t>
      </w:r>
      <w:r>
        <w:rPr>
          <w:rFonts w:hint="eastAsia" w:ascii="宋体" w:hAnsi="宋体" w:cs="宋体"/>
          <w:szCs w:val="21"/>
          <w:highlight w:val="none"/>
        </w:rPr>
        <w:t>对规则运行情况进行监控</w:t>
      </w:r>
      <w:r>
        <w:rPr>
          <w:rFonts w:hint="eastAsia" w:ascii="宋体" w:hAnsi="宋体" w:cs="宋体"/>
          <w:szCs w:val="21"/>
          <w:highlight w:val="none"/>
          <w:lang w:val="en-US" w:eastAsia="zh-CN"/>
        </w:rPr>
        <w:t>等功能</w:t>
      </w:r>
      <w:r>
        <w:rPr>
          <w:rFonts w:hint="eastAsia" w:ascii="宋体" w:hAnsi="宋体" w:cs="宋体"/>
          <w:szCs w:val="21"/>
          <w:highlight w:val="none"/>
        </w:rPr>
        <w:t>，支持对运行占用资源数量进行监控，并且支持对告警信息明细进行查询（产生告警），以及对任务资源占用情况的统计等。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主要包含任务仪表盘、告警仪表盘、实时占用资源图表以及任务列表。其中任务列表可对任务进行查询、启动、停止、删除、查看等操作。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对发布规则的启动、停止、删除等操作。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对基于规则的CPU利用率、内存占用等计算资源的消耗监控。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实时查看规则\模型的运行状态，包括任务数量分类统计（总数、运行中、运行失败、运行结束），命中告警数量统计（归并前、归并后）等内容。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4）资源管理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资源管理的主要功能，包括资源的新增、编辑、删除、查看、复制、导入/导出等。其中，当前资源管理中包含的资源为IP地址资源、端口资源、时间资源、字符串资源和表资源。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象资源，是命中规则过滤条件所引用的数据，对其进行统一管理从而形成的相应数据对象，其可被命中规则条件过滤。用户可以对多处引用的对象资源进行统一的维护，避免在命中规则环境重复编辑定义自定义字段或数据，减少人工干预的频次，一次设置可多次引用。</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源管理包括对IP地址资源、端口资源、时间资源、字符串资源、表资源等资源进行管理。IP类型对象资源可以记录特殊的IP地址列表，端口类型对象资源可以记录特殊的端口列表，时间类型对象资源可以记录工作时间、登录时间等，字符串类型对象资源可以记录URL、域名列表，表资源可以配置表字段，生存时间，最多资源数等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针对黑白名单等场景，</w:t>
      </w:r>
      <w:r>
        <w:rPr>
          <w:rFonts w:hint="eastAsia" w:ascii="宋体" w:hAnsi="宋体" w:cs="宋体"/>
          <w:szCs w:val="21"/>
          <w:highlight w:val="none"/>
          <w:lang w:eastAsia="zh-CN"/>
        </w:rPr>
        <w:t>配置</w:t>
      </w:r>
      <w:r>
        <w:rPr>
          <w:rFonts w:hint="eastAsia" w:ascii="宋体" w:hAnsi="宋体" w:cs="宋体"/>
          <w:szCs w:val="21"/>
          <w:highlight w:val="none"/>
        </w:rPr>
        <w:t>定义各类静态资源</w:t>
      </w:r>
      <w:r>
        <w:rPr>
          <w:rFonts w:hint="eastAsia" w:ascii="宋体" w:hAnsi="宋体" w:cs="宋体"/>
          <w:szCs w:val="21"/>
          <w:highlight w:val="none"/>
          <w:lang w:val="en-US" w:eastAsia="zh-CN"/>
        </w:rPr>
        <w:t>等功能</w:t>
      </w:r>
      <w:r>
        <w:rPr>
          <w:rFonts w:hint="eastAsia" w:ascii="宋体" w:hAnsi="宋体" w:cs="宋体"/>
          <w:szCs w:val="21"/>
          <w:highlight w:val="none"/>
        </w:rPr>
        <w:t xml:space="preserve">，在流式分析或离线分析的过程中，引用相关资源定义进行规则模型构建。 </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新增、删除、修改自定义对象资源</w:t>
      </w:r>
      <w:r>
        <w:rPr>
          <w:rFonts w:hint="eastAsia" w:ascii="宋体" w:hAnsi="宋体" w:cs="宋体"/>
          <w:szCs w:val="21"/>
          <w:highlight w:val="none"/>
          <w:lang w:val="en-US" w:eastAsia="zh-CN"/>
        </w:rPr>
        <w:t>等功能</w:t>
      </w:r>
      <w:r>
        <w:rPr>
          <w:rFonts w:hint="eastAsia" w:ascii="宋体" w:hAnsi="宋体" w:cs="宋体"/>
          <w:szCs w:val="21"/>
          <w:highlight w:val="none"/>
        </w:rPr>
        <w:t>，包括IP地址、端口、时间、字符串，可与日志数据进行关联分析时引用；支持写入对象资源，如源IP、目的IP；</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系统</w:t>
      </w:r>
      <w:r>
        <w:rPr>
          <w:rFonts w:hint="eastAsia" w:ascii="宋体" w:hAnsi="宋体" w:cs="宋体"/>
          <w:szCs w:val="21"/>
          <w:highlight w:val="none"/>
          <w:lang w:eastAsia="zh-CN"/>
        </w:rPr>
        <w:t>配置</w:t>
      </w:r>
      <w:r>
        <w:rPr>
          <w:rFonts w:hint="eastAsia" w:ascii="宋体" w:hAnsi="宋体" w:cs="宋体"/>
          <w:szCs w:val="21"/>
          <w:highlight w:val="none"/>
        </w:rPr>
        <w:t>过滤器的新增、删除、修改、查看</w:t>
      </w:r>
      <w:r>
        <w:rPr>
          <w:rFonts w:hint="eastAsia" w:ascii="宋体" w:hAnsi="宋体" w:cs="宋体"/>
          <w:szCs w:val="21"/>
          <w:highlight w:val="none"/>
          <w:lang w:val="en-US" w:eastAsia="zh-CN"/>
        </w:rPr>
        <w:t>等功能</w:t>
      </w:r>
      <w:r>
        <w:rPr>
          <w:rFonts w:hint="eastAsia" w:ascii="宋体" w:hAnsi="宋体" w:cs="宋体"/>
          <w:szCs w:val="21"/>
          <w:highlight w:val="none"/>
        </w:rPr>
        <w:t>，并支持过滤器的导入和导出，具体如下图所示。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（10）分析中心</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分析中心主要包括关联分析、攻击链分析等分析手段，输出源IP大网行为、源IP攻击特征、攻击IP同源分析等分析结果，输出安全分析的概况及具体安全事件信息，支撑起系统的告警和事件分析。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1）关联分析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关联分析通过分析流量中的行为，结合开源情报信息，挖掘网络安全事件背后的攻击者。利用流量日志、安全事件、PCAP包等信息，结合开源威胁情报（包括但不仅限于恶意域名、IP、恶意软件、设备指纹、攻击者\组织）以及网络攻防知识库，基于本体论的思想，从网络空间人、地、物、事、组织的角度，提取关键实体（攻击事件、攻击方法、IP、域名、设备、文件、地址、邮箱、电话...），并构建实体之间的关系网络，通过攻击者同源、IP通联、虚实映射等分析方法，结合布控等手段，找出重点网络安全事件后面隐藏的真实攻击者，定位其位置、身份、意图，形成攻击者\组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分析任务创建：点击添加任务，弹出窗口对分析任务进行创建。包括任务名称、任务标签、任务描述与任务分组。其中任务名称不能为空且不能与现有任务重名。</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 任务分析-单线索拓线：实体节点右键选择“数据源”类的查询，在用户所选择的数据源范围中对与该节点有关系的ip进行查询。如图所示，用户可选择并配置数据源。其中，对于端口类型的节点进行“数据源”类查询时，得到的结果为与当前ip的当前端口有联系的ip。</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 数据查询：对外接口提供告警，事件等流量日志的查询能力。形成查询结果，查询结果支持拖拽，根据不同的实体类型在画布中显示对应的图例和统计。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 经验模型拓线：模型拓线只支持IP实体类型进行查询。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 “IP通联关系模型”将筛选与当前ip之间有联系（TCP连接）的ip，用户可以配置想要查询的通联ip之间使用的端口和协议（默认80端口和http协议）。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 “IP资产模型”将查询当前ip所属的行业、单位、运营商、位置、开放的端口等资产信息。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 “攻击者画像模型”将查询当前ip背后的攻击者，具体的攻击者画像信息可通过单击画布上的攻击者节点来查询节点的详细信息。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2）攻击链分析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攻击链分析基于洛克希德·马丁定义的“网络杀伤链”，来进行网络攻击全生命周期的分析，从侦查跟踪、武器构建、载荷投递、突防利用、安装植入、通信控制、达成目标七个攻击阶段，对攻击手法以攻击链的形式进行可视化呈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在系统的攻击链分析过程中，系统支持以时间轴的形式展示攻击过程，呈现攻击过程中分析出的相关结果，展示内容包括：首次发现时间、最近发生时间、威胁名称、受害IP、攻击IP、威胁级别、确信度、攻击结果和分析结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任务管理：对攻击链分析的任务进行管理，可以创建、编辑、重启、查看、删除分析任务。任务列表页面可以按任务名称，状态，攻击者名称，攻击者ip,受害者IP等条件进行任务精确和模糊查询。任务列表展示任务序号，创建时间，任务名称，创建者，攻击者名称，攻击者IP,受害者IP，任务描述，状态，分析消耗时长和操作列。</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任务创建：选择创建自定义分析任务，包括任务名称，攻击者IP,受害者IP为必填项，攻击者名称,起止时间，告警发生时间和任务描述非必填。任务名称有重复名称校验，攻击者IP和受害者IP支持多个IP，告警发生时间默认为当前系统时间，起止时间开始时间为告警发生时间-7天，结束时间为告警发生时间。</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选择创建系统告警分析任务，在该页面默认展示近7天所有可进行攻击链分析的任务的告警，默认按告警发生时间倒序排序展示，可以对单条告警或多条告警进行批量分析。支持通过告警发生时间，攻击者IP,受害者IP，告警一级分类，告警二级分类，攻击结果代码，危害等级等条件进行过滤出系统告警，然后在对过滤出的结果进行分析，支持对告警发生时间，攻击者IP,受害者IP,攻击结果代码和危害等级升序/降序排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 任务编辑：在任务列表中选择任务，并选择“编辑”，对该项调查任务进行编辑。在编辑成功状态的分析任务时，修改ip或时间任意内容时，鼠标点击ip和时间条件时，提示"修改攻击者IP、受害者IP或起止时间任意一条件保存任务时，会清除该任务的历史分析结果，请慎重操作!"。新建创建的分析任务，处置未执行状态。以下是任务状态对应的操作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分析结果：对攻击链分析的任务进行管理，可以创建、编辑、重启、查看、删除分析任务。任务列表页面可以按任务名称，状态，攻击者名称，攻击者ip,受害者IP等条件进行任务精确和模糊查询，。任务列表展示任务序号，创建时间，任务名称，创建者，攻击者名称，攻击者IP,受害者IP，任务描述，状态，分析消耗时长和操作列。以图形的形式展示攻击者的攻击过程，分析人员可以很直观的看出攻击者的攻击路径，使用了哪些攻击手段，以及当前处于哪个攻击链阶段。每个攻击链阶段球颜色从侦察跟踪到达成目标渐变展示。并且从阶段模式，时间模式和关系模式三个维度来具体分析攻击过程。 </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（11）情报中心</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情报中心</w:t>
      </w:r>
      <w:r>
        <w:rPr>
          <w:rFonts w:hint="eastAsia" w:ascii="宋体" w:hAnsi="宋体" w:cs="宋体"/>
          <w:szCs w:val="21"/>
          <w:highlight w:val="none"/>
          <w:lang w:eastAsia="zh-CN"/>
        </w:rPr>
        <w:t>配置</w:t>
      </w:r>
      <w:r>
        <w:rPr>
          <w:rFonts w:hint="eastAsia" w:ascii="宋体" w:hAnsi="宋体" w:cs="宋体"/>
          <w:szCs w:val="21"/>
          <w:highlight w:val="none"/>
        </w:rPr>
        <w:t>对情报信息的采集、录入、标定、存储、检索、分析、关联、挖掘、应用、展示等功能，并可进一步向有关监管单位推送情报信息。本系统所含情报信息，可供安全分析人员检索分析，并能和系统其它模块进行内部业务联动，为平台挖掘深层次线索或对线索进行追踪溯源，提供数据支撑。</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情报中心汇聚多方来源的威胁情报，并对这些情报进行统一的维护和管理。情报中心主要包括情报查询、情报管理、威胁资源库、情报升级管理等功能。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1）情报查询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情报总览：在情报总览查询页面中，顶部展示内容为威胁情报总数、云端威胁情报数及版本号、本地威胁情报数及生效情报数进行查看。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威胁情报总数：本地威胁情报数量+云端威胁情报数据。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云端威胁情报数：来源于威胁情报中心提供的活跃威胁情报数。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本地情报数据：本地运营创建的威胁情报数量。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在情报搜索部分，</w:t>
      </w:r>
      <w:r>
        <w:rPr>
          <w:rFonts w:hint="eastAsia" w:ascii="宋体" w:hAnsi="宋体" w:cs="宋体"/>
          <w:szCs w:val="21"/>
          <w:highlight w:val="none"/>
          <w:lang w:eastAsia="zh-CN"/>
        </w:rPr>
        <w:t>配置</w:t>
      </w:r>
      <w:r>
        <w:rPr>
          <w:rFonts w:hint="eastAsia" w:ascii="宋体" w:hAnsi="宋体" w:cs="宋体"/>
          <w:szCs w:val="21"/>
          <w:highlight w:val="none"/>
        </w:rPr>
        <w:t>按照全部情报和本地情报两个搜索范畴进行情报信息的搜索</w:t>
      </w:r>
      <w:r>
        <w:rPr>
          <w:rFonts w:hint="eastAsia" w:ascii="宋体" w:hAnsi="宋体" w:cs="宋体"/>
          <w:szCs w:val="21"/>
          <w:highlight w:val="none"/>
          <w:lang w:val="en-US" w:eastAsia="zh-CN"/>
        </w:rPr>
        <w:t>等功能</w:t>
      </w:r>
      <w:r>
        <w:rPr>
          <w:rFonts w:hint="eastAsia" w:ascii="宋体" w:hAnsi="宋体" w:cs="宋体"/>
          <w:szCs w:val="21"/>
          <w:highlight w:val="none"/>
        </w:rPr>
        <w:t>。其中，全部情况搜索范畴，</w:t>
      </w:r>
      <w:r>
        <w:rPr>
          <w:rFonts w:hint="eastAsia" w:ascii="宋体" w:hAnsi="宋体" w:cs="宋体"/>
          <w:szCs w:val="21"/>
          <w:highlight w:val="none"/>
          <w:lang w:eastAsia="zh-CN"/>
        </w:rPr>
        <w:t>配置</w:t>
      </w:r>
      <w:r>
        <w:rPr>
          <w:rFonts w:hint="eastAsia" w:ascii="宋体" w:hAnsi="宋体" w:cs="宋体"/>
          <w:szCs w:val="21"/>
          <w:highlight w:val="none"/>
        </w:rPr>
        <w:t>按照IP、DOMAIN、 URL、MD5、SHA1、SHA256、情报名称等条件进行搜索</w:t>
      </w:r>
      <w:r>
        <w:rPr>
          <w:rFonts w:hint="eastAsia" w:ascii="宋体" w:hAnsi="宋体" w:cs="宋体"/>
          <w:szCs w:val="21"/>
          <w:highlight w:val="none"/>
          <w:lang w:val="en-US" w:eastAsia="zh-CN"/>
        </w:rPr>
        <w:t>等功能</w:t>
      </w:r>
      <w:r>
        <w:rPr>
          <w:rFonts w:hint="eastAsia" w:ascii="宋体" w:hAnsi="宋体" w:cs="宋体"/>
          <w:szCs w:val="21"/>
          <w:highlight w:val="none"/>
        </w:rPr>
        <w:t>；本地情报搜索范畴，支持按照创建时间、风险等级、情报置信度、情报状态、情报名称、检测指标等条件进行搜索。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用户只需要输入关键词，立刻能检索到符合条件的情报信息和失陷主机情况，其查询结果按照第三方威胁情报和本地情报进行分类展示。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2）情报管理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本地情报：可以对最近创建或导入的情报信息进行查看，支持对情报进行检索、创建、编辑、删除、启用、停用、导入、导出等操作。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情报检索：在本地情报管理页面顶部为情报检索区域，支持按照情报创建时间、威胁类型、风险等级、置信度、状态、情报名称进行单条件检索或组合检索。在本地情报管理页面列表中通过详情按钮，页面跳转到情报详情页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指示器：指示器模块作为平台情报的知识库模块，提供威胁关联分析适用的IOC基础信息的维护。用户可以自行从指示器模式类型、攻击链阶段、生效日期、失效日期等维度创建并维护指示器信息。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3）威胁资源库</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攻击者信息库：攻击者信息库</w:t>
      </w:r>
      <w:r>
        <w:rPr>
          <w:rFonts w:hint="eastAsia" w:ascii="宋体" w:hAnsi="宋体" w:cs="宋体"/>
          <w:szCs w:val="21"/>
          <w:highlight w:val="none"/>
          <w:lang w:eastAsia="zh-CN"/>
        </w:rPr>
        <w:t>配置</w:t>
      </w:r>
      <w:r>
        <w:rPr>
          <w:rFonts w:hint="eastAsia" w:ascii="宋体" w:hAnsi="宋体" w:cs="宋体"/>
          <w:szCs w:val="21"/>
          <w:highlight w:val="none"/>
        </w:rPr>
        <w:t>进行攻击者信息填报和分类查看</w:t>
      </w:r>
      <w:r>
        <w:rPr>
          <w:rFonts w:hint="eastAsia" w:ascii="宋体" w:hAnsi="宋体" w:cs="宋体"/>
          <w:szCs w:val="21"/>
          <w:highlight w:val="none"/>
          <w:lang w:val="en-US" w:eastAsia="zh-CN"/>
        </w:rPr>
        <w:t>等功能</w:t>
      </w:r>
      <w:r>
        <w:rPr>
          <w:rFonts w:hint="eastAsia" w:ascii="宋体" w:hAnsi="宋体" w:cs="宋体"/>
          <w:szCs w:val="21"/>
          <w:highlight w:val="none"/>
        </w:rPr>
        <w:t>，攻击者和攻击组织信息均以列表化进行管理，可以对最近创建或导入的攻击者信息进行查看，</w:t>
      </w:r>
      <w:r>
        <w:rPr>
          <w:rFonts w:hint="eastAsia" w:ascii="宋体" w:hAnsi="宋体" w:cs="宋体"/>
          <w:szCs w:val="21"/>
          <w:highlight w:val="none"/>
          <w:lang w:eastAsia="zh-CN"/>
        </w:rPr>
        <w:t>配置</w:t>
      </w:r>
      <w:r>
        <w:rPr>
          <w:rFonts w:hint="eastAsia" w:ascii="宋体" w:hAnsi="宋体" w:cs="宋体"/>
          <w:szCs w:val="21"/>
          <w:highlight w:val="none"/>
        </w:rPr>
        <w:t>对攻击者进行检索、创建、编辑、删除等操作</w:t>
      </w:r>
      <w:r>
        <w:rPr>
          <w:rFonts w:hint="eastAsia" w:ascii="宋体" w:hAnsi="宋体" w:cs="宋体"/>
          <w:szCs w:val="21"/>
          <w:highlight w:val="none"/>
          <w:lang w:val="en-US" w:eastAsia="zh-CN"/>
        </w:rPr>
        <w:t>等功能</w:t>
      </w:r>
      <w:r>
        <w:rPr>
          <w:rFonts w:hint="eastAsia" w:ascii="宋体" w:hAnsi="宋体" w:cs="宋体"/>
          <w:szCs w:val="21"/>
          <w:highlight w:val="none"/>
        </w:rPr>
        <w:t>。在攻击者管理页面顶部为情报检索区域，</w:t>
      </w:r>
      <w:r>
        <w:rPr>
          <w:rFonts w:hint="eastAsia" w:ascii="宋体" w:hAnsi="宋体" w:cs="宋体"/>
          <w:szCs w:val="21"/>
          <w:highlight w:val="none"/>
          <w:lang w:eastAsia="zh-CN"/>
        </w:rPr>
        <w:t>配置</w:t>
      </w:r>
      <w:r>
        <w:rPr>
          <w:rFonts w:hint="eastAsia" w:ascii="宋体" w:hAnsi="宋体" w:cs="宋体"/>
          <w:szCs w:val="21"/>
          <w:highlight w:val="none"/>
        </w:rPr>
        <w:t>按照攻击者名称进行检索。录入检索指标，点击【搜索】按钮，在下方列表中展示搜索结果。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恶意软件库：恶意软件库包括各种病毒木马等，可根据恶意软件名称、类型、是否恶意家族、实现语言、处理器架构、第一次发现时间、最后出现时间、能力、标签、描述等字段进行手动新增，可按照时间和名称等进行模糊搜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4）升级管理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通过升级管理功能，可查看云端情报升级历史，并可对云端升级模式进行配置。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自动升级：在升级管理页面，开启自动升级功能，在联通外网的情况，会在每天0点、6点15分、12点30分、18点45分自动从云端获取最新的热点威胁情报。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手动升级：在升级管理页面，关闭自动升级功能，可以通过立即升级功能按需实时拉去最新的云端情报，在升级管理页面，通过手动升级，导入离线云端威胁情报升级包，即可进行离线升级。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（12）工作指挥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工作指挥提供日常通报、重大风险预警、重要活动保障、突发事件应急处置、流程管理等功能，实现与同级党政机关、事业单位、相关重点企业等协同处置网络安全事件的能力。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1）流程管理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流程管理模块，包括预案管理和工作方案管理两个子功能。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a.预案管理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预案管理可实现预案场景管理、个性化预案编排、预案流程管理，解决了传统纸质预案战时“用不上”的问题。平时，相关人员可根据不同场景制定不同等级的预案，在战时，可依据预案快速调配相关资源，实现平时向战时的迅速切换。由此，预案管理模块可针对网络安全突发事件应急处理等相关工作，支持执行流程编排配置、调阅管理等业务动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预案管理默认进入预案的统计页面，展示预案类型的统计和预案卡片列表及预案组分类统计信息。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预案统计信息，</w:t>
      </w:r>
      <w:r>
        <w:rPr>
          <w:rFonts w:hint="eastAsia" w:ascii="宋体" w:hAnsi="宋体" w:cs="宋体"/>
          <w:szCs w:val="21"/>
          <w:highlight w:val="none"/>
          <w:lang w:eastAsia="zh-CN"/>
        </w:rPr>
        <w:t>配置</w:t>
      </w:r>
      <w:r>
        <w:rPr>
          <w:rFonts w:hint="eastAsia" w:ascii="宋体" w:hAnsi="宋体" w:cs="宋体"/>
          <w:szCs w:val="21"/>
          <w:highlight w:val="none"/>
        </w:rPr>
        <w:t>对当前预案总数以及不同类型预案的数量做统计</w:t>
      </w:r>
      <w:r>
        <w:rPr>
          <w:rFonts w:hint="eastAsia" w:ascii="宋体" w:hAnsi="宋体" w:cs="宋体"/>
          <w:szCs w:val="21"/>
          <w:highlight w:val="none"/>
          <w:lang w:val="en-US" w:eastAsia="zh-CN"/>
        </w:rPr>
        <w:t>等功能</w:t>
      </w:r>
      <w:r>
        <w:rPr>
          <w:rFonts w:hint="eastAsia" w:ascii="宋体" w:hAnsi="宋体" w:cs="宋体"/>
          <w:szCs w:val="21"/>
          <w:highlight w:val="none"/>
        </w:rPr>
        <w:t>。还支持对整体预案状态的统计，包括待提交、待审核、已启用、已停用等状态。点击不同分类下的统计数字，对下面预案的卡片进行过滤显示。预案卡片支持分页，可进行标准的翻页，以及选择每页数量的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预案卡片中展示预案的信息以及基本操作，包括编辑、复制、删除操作，并支持在此页面点击创建按钮进行预案的创建。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预案组分类统计，支持预案组的创建和配置，按照不同的预案组来分类展示每个预案组下的方案数量，并可点开具体查看。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b.工作方案管理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工作方案管理模块针对日常事件通报、重要活动保障等业务工作进行编排配置、调阅管理。默认进入工作方案的统计页面，展示工作方案的分类型统计和工作方案卡片列表及工作方案组分类统计信息。工作方案卡片中展示预案的信息以及基本操作，包括编辑、复制、删除操作，并支持在此页面点击创建按钮进行工作方案的创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工作方案统计信息，</w:t>
      </w:r>
      <w:r>
        <w:rPr>
          <w:rFonts w:hint="eastAsia" w:ascii="宋体" w:hAnsi="宋体" w:cs="宋体"/>
          <w:szCs w:val="21"/>
          <w:highlight w:val="none"/>
          <w:lang w:eastAsia="zh-CN"/>
        </w:rPr>
        <w:t>配置</w:t>
      </w:r>
      <w:r>
        <w:rPr>
          <w:rFonts w:hint="eastAsia" w:ascii="宋体" w:hAnsi="宋体" w:cs="宋体"/>
          <w:szCs w:val="21"/>
          <w:highlight w:val="none"/>
        </w:rPr>
        <w:t>对当前工作方案总数以及不同类型工作方案的数量做统计</w:t>
      </w:r>
      <w:r>
        <w:rPr>
          <w:rFonts w:hint="eastAsia" w:ascii="宋体" w:hAnsi="宋体" w:cs="宋体"/>
          <w:szCs w:val="21"/>
          <w:highlight w:val="none"/>
          <w:lang w:val="en-US" w:eastAsia="zh-CN"/>
        </w:rPr>
        <w:t>等功能</w:t>
      </w:r>
      <w:r>
        <w:rPr>
          <w:rFonts w:hint="eastAsia" w:ascii="宋体" w:hAnsi="宋体" w:cs="宋体"/>
          <w:szCs w:val="21"/>
          <w:highlight w:val="none"/>
        </w:rPr>
        <w:t>，具体的工作方案类型划分为“日常事件通报、重要活动保障”等。此外支持对整体工作方案状态的统计，包括待提交、待审核、已启用、已停用等状态。点击不同分类下的统计数字，对下面工作方案的卡片进行过滤显示。工作方案卡片支持分页，可进行标准的翻页，以及选择每页数量的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工作方案组分类统计，</w:t>
      </w:r>
      <w:r>
        <w:rPr>
          <w:rFonts w:hint="eastAsia" w:ascii="宋体" w:hAnsi="宋体" w:cs="宋体"/>
          <w:szCs w:val="21"/>
          <w:highlight w:val="none"/>
          <w:lang w:eastAsia="zh-CN"/>
        </w:rPr>
        <w:t>配置</w:t>
      </w:r>
      <w:r>
        <w:rPr>
          <w:rFonts w:hint="eastAsia" w:ascii="宋体" w:hAnsi="宋体" w:cs="宋体"/>
          <w:szCs w:val="21"/>
          <w:highlight w:val="none"/>
        </w:rPr>
        <w:t>工作方案组的创建和配置</w:t>
      </w:r>
      <w:r>
        <w:rPr>
          <w:rFonts w:hint="eastAsia" w:ascii="宋体" w:hAnsi="宋体" w:cs="宋体"/>
          <w:szCs w:val="21"/>
          <w:highlight w:val="none"/>
          <w:lang w:val="en-US" w:eastAsia="zh-CN"/>
        </w:rPr>
        <w:t>等功能</w:t>
      </w:r>
      <w:r>
        <w:rPr>
          <w:rFonts w:hint="eastAsia" w:ascii="宋体" w:hAnsi="宋体" w:cs="宋体"/>
          <w:szCs w:val="21"/>
          <w:highlight w:val="none"/>
        </w:rPr>
        <w:t>，按照不同的工作方案组来分类展示每个工作方案组下的方案数量，并可点开具体查看。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2）重要活动保障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重要活动保障主要用于在重要会议或重大活动期间，加强网络安保人员调度，全方位全天候掌握活动相关的单位、系统和网站安全状况，重保单位网络安全情况的实时监测，以及重保任务的全生命周期管理，</w:t>
      </w:r>
      <w:r>
        <w:rPr>
          <w:rFonts w:hint="eastAsia" w:ascii="宋体" w:hAnsi="宋体" w:cs="宋体"/>
          <w:szCs w:val="21"/>
          <w:highlight w:val="none"/>
          <w:lang w:eastAsia="zh-CN"/>
        </w:rPr>
        <w:t>配置</w:t>
      </w:r>
      <w:r>
        <w:rPr>
          <w:rFonts w:hint="eastAsia" w:ascii="宋体" w:hAnsi="宋体" w:cs="宋体"/>
          <w:szCs w:val="21"/>
          <w:highlight w:val="none"/>
        </w:rPr>
        <w:t>设定筹备阶段、临战阶段、决战阶段、战后总结等多个环节</w:t>
      </w:r>
      <w:r>
        <w:rPr>
          <w:rFonts w:hint="eastAsia" w:ascii="宋体" w:hAnsi="宋体" w:cs="宋体"/>
          <w:szCs w:val="21"/>
          <w:highlight w:val="none"/>
          <w:lang w:val="en-US" w:eastAsia="zh-CN"/>
        </w:rPr>
        <w:t>等功能</w:t>
      </w:r>
      <w:r>
        <w:rPr>
          <w:rFonts w:hint="eastAsia" w:ascii="宋体" w:hAnsi="宋体" w:cs="宋体"/>
          <w:szCs w:val="21"/>
          <w:highlight w:val="none"/>
        </w:rPr>
        <w:t>，及时通报预警网络安全隐患，高效处置网络安全事件，并对监测过程所产生的数据及结果进行管理，可协同多家技术支撑单位、互联网安全厂商及网络安全专家保障整个保障过程的网络安全和数据安全，提升重大活动的安全保障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a.重保工作管理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重保工作管理</w:t>
      </w:r>
      <w:r>
        <w:rPr>
          <w:rFonts w:hint="eastAsia" w:ascii="宋体" w:hAnsi="宋体" w:cs="宋体"/>
          <w:szCs w:val="21"/>
          <w:highlight w:val="none"/>
          <w:lang w:eastAsia="zh-CN"/>
        </w:rPr>
        <w:t>配置</w:t>
      </w:r>
      <w:r>
        <w:rPr>
          <w:rFonts w:hint="eastAsia" w:ascii="宋体" w:hAnsi="宋体" w:cs="宋体"/>
          <w:szCs w:val="21"/>
          <w:highlight w:val="none"/>
        </w:rPr>
        <w:t>将平台中的重保工作通过卡片的形式进行展示</w:t>
      </w:r>
      <w:r>
        <w:rPr>
          <w:rFonts w:hint="eastAsia" w:ascii="宋体" w:hAnsi="宋体" w:cs="宋体"/>
          <w:szCs w:val="21"/>
          <w:highlight w:val="none"/>
          <w:lang w:val="en-US" w:eastAsia="zh-CN"/>
        </w:rPr>
        <w:t>等功能</w:t>
      </w:r>
      <w:r>
        <w:rPr>
          <w:rFonts w:hint="eastAsia" w:ascii="宋体" w:hAnsi="宋体" w:cs="宋体"/>
          <w:szCs w:val="21"/>
          <w:highlight w:val="none"/>
        </w:rPr>
        <w:t>，可体现各个任务的基础信息及当前状态。支持通过工作名称、执行状态、工作类型、工作分级等条件对重保工作列表进行筛选过滤。</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业务协同：单击【业务协同】，可在此页面收发重保任务指令，指令自动关联该重保任务。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事件风险：</w:t>
      </w:r>
      <w:r>
        <w:rPr>
          <w:rFonts w:hint="eastAsia" w:ascii="宋体" w:hAnsi="宋体" w:cs="宋体"/>
          <w:szCs w:val="21"/>
          <w:highlight w:val="none"/>
          <w:lang w:eastAsia="zh-CN"/>
        </w:rPr>
        <w:t>配置</w:t>
      </w:r>
      <w:r>
        <w:rPr>
          <w:rFonts w:hint="eastAsia" w:ascii="宋体" w:hAnsi="宋体" w:cs="宋体"/>
          <w:szCs w:val="21"/>
          <w:highlight w:val="none"/>
        </w:rPr>
        <w:t>对网络安全事件、风险的针对性查询</w:t>
      </w:r>
      <w:r>
        <w:rPr>
          <w:rFonts w:hint="eastAsia" w:ascii="宋体" w:hAnsi="宋体" w:cs="宋体"/>
          <w:szCs w:val="21"/>
          <w:highlight w:val="none"/>
          <w:lang w:val="en-US" w:eastAsia="zh-CN"/>
        </w:rPr>
        <w:t>等功能</w:t>
      </w:r>
      <w:r>
        <w:rPr>
          <w:rFonts w:hint="eastAsia" w:ascii="宋体" w:hAnsi="宋体" w:cs="宋体"/>
          <w:szCs w:val="21"/>
          <w:highlight w:val="none"/>
        </w:rPr>
        <w:t>。具体分为快捷模式和高级模式。快捷模式支持关键字的“胶囊式”查询；告警模式支持多种类的检索语句查询。通过网络安全风险事件的查询，可以获得目标性的网络安全事件、风险信息。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工作流程：图形化编排、展示重保工作引用预案的进展情况，其中每个节点依据执行情况进行标记，实现重保业务的全流程可视化记录。</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b.值班值守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值班值守，</w:t>
      </w:r>
      <w:r>
        <w:rPr>
          <w:rFonts w:hint="eastAsia" w:ascii="宋体" w:hAnsi="宋体" w:cs="宋体"/>
          <w:szCs w:val="21"/>
          <w:highlight w:val="none"/>
          <w:lang w:eastAsia="zh-CN"/>
        </w:rPr>
        <w:t>配置</w:t>
      </w:r>
      <w:r>
        <w:rPr>
          <w:rFonts w:hint="eastAsia" w:ascii="宋体" w:hAnsi="宋体" w:cs="宋体"/>
          <w:szCs w:val="21"/>
          <w:highlight w:val="none"/>
        </w:rPr>
        <w:t>选取不同的重保业务起止日期来添加业务阶段</w:t>
      </w:r>
      <w:r>
        <w:rPr>
          <w:rFonts w:hint="eastAsia" w:ascii="宋体" w:hAnsi="宋体" w:cs="宋体"/>
          <w:szCs w:val="21"/>
          <w:highlight w:val="none"/>
          <w:lang w:val="en-US" w:eastAsia="zh-CN"/>
        </w:rPr>
        <w:t>等功能</w:t>
      </w:r>
      <w:r>
        <w:rPr>
          <w:rFonts w:hint="eastAsia" w:ascii="宋体" w:hAnsi="宋体" w:cs="宋体"/>
          <w:szCs w:val="21"/>
          <w:highlight w:val="none"/>
        </w:rPr>
        <w:t>。而且，设定值班值守的功能，支持指挥部值班安排、重保目标选择和重保目标值班安排等子功能。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c.会商研判</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会商研判，</w:t>
      </w:r>
      <w:r>
        <w:rPr>
          <w:rFonts w:hint="eastAsia" w:ascii="宋体" w:hAnsi="宋体" w:cs="宋体"/>
          <w:szCs w:val="21"/>
          <w:highlight w:val="none"/>
          <w:lang w:eastAsia="zh-CN"/>
        </w:rPr>
        <w:t>配置</w:t>
      </w:r>
      <w:r>
        <w:rPr>
          <w:rFonts w:hint="eastAsia" w:ascii="宋体" w:hAnsi="宋体" w:cs="宋体"/>
          <w:szCs w:val="21"/>
          <w:highlight w:val="none"/>
        </w:rPr>
        <w:t>添加记录重保活动期间的业务会商情况</w:t>
      </w:r>
      <w:r>
        <w:rPr>
          <w:rFonts w:hint="eastAsia" w:ascii="宋体" w:hAnsi="宋体" w:cs="宋体"/>
          <w:szCs w:val="21"/>
          <w:highlight w:val="none"/>
          <w:lang w:val="en-US" w:eastAsia="zh-CN"/>
        </w:rPr>
        <w:t>等功能</w:t>
      </w:r>
      <w:r>
        <w:rPr>
          <w:rFonts w:hint="eastAsia" w:ascii="宋体" w:hAnsi="宋体" w:cs="宋体"/>
          <w:szCs w:val="21"/>
          <w:highlight w:val="none"/>
        </w:rPr>
        <w:t>，添加后以列表的形式展现，表头信息有会商主题、参会人员、会商形式、会商状态、会商时间、操作等。并且支持按照会商时间、会商主题、会商形式等进行筛选查询。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d.方案/报告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重要保障活动保障期间，需对各类相关报告进行报送，系统支持在线添加的方式，结果以列表形式展现。如果上传的报告是pdf格式，则支持报告直接预览。word可以通过转换为pdf格式后直接预览，其他格式不可直接预览，此情况下「预览」功能置灰。支持按照报告类型做统计，具体包括：工作方案、进展简报、进展详报、每日日报、综合报告、总结报告、调查分析报告、安全检查报告、事件处置报告等类型，相应统计每种类型下的报告数量，并做列表化展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e.指令创建快捷入口</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指令创建，以下图蓝色圆底白色信封状快捷入口的形式，贯穿了重保工作管理的全部处理环节，点击后支持重保业务指令的创建、提交，以卡片的形式概要展示指令当前状态，包括审核中、进行中、已归档等。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3）突发事件应急处置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突发事件应急处置，通过可编排可执行的数字化应急预案和可机读的威胁情报，针对重大网络安全事件，实现对预警响应流程和应急响应流程的全方位支撑，支持对各类资源的统筹调度、情报共享、协同联动，提高在突发网络安全事件期间的应急响应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a.应急处置工作管理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应急处置工作管理，通过卡片列表的形式展示当前系统中所有应急处置工作。应急处置工作管理展示的基本信息包括：工作名称、处置类型、启动响应时间、持续时间、当前状态、采用预案名称、标签。搜索条件包括工作名称、处置类型、当前状态、响应级别、标签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b.信息报送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信息报送</w:t>
      </w:r>
      <w:r>
        <w:rPr>
          <w:rFonts w:hint="eastAsia" w:ascii="宋体" w:hAnsi="宋体" w:cs="宋体"/>
          <w:szCs w:val="21"/>
          <w:highlight w:val="none"/>
          <w:lang w:eastAsia="zh-CN"/>
        </w:rPr>
        <w:t>配置</w:t>
      </w:r>
      <w:r>
        <w:rPr>
          <w:rFonts w:hint="eastAsia" w:ascii="宋体" w:hAnsi="宋体" w:cs="宋体"/>
          <w:szCs w:val="21"/>
          <w:highlight w:val="none"/>
        </w:rPr>
        <w:t>相关单位在突发事件应急期间的信息上报</w:t>
      </w:r>
      <w:r>
        <w:rPr>
          <w:rFonts w:hint="eastAsia" w:ascii="宋体" w:hAnsi="宋体" w:cs="宋体"/>
          <w:szCs w:val="21"/>
          <w:highlight w:val="none"/>
          <w:lang w:val="en-US" w:eastAsia="zh-CN"/>
        </w:rPr>
        <w:t>等功能</w:t>
      </w:r>
      <w:r>
        <w:rPr>
          <w:rFonts w:hint="eastAsia" w:ascii="宋体" w:hAnsi="宋体" w:cs="宋体"/>
          <w:szCs w:val="21"/>
          <w:highlight w:val="none"/>
        </w:rPr>
        <w:t>，可手动添加待通报的网络安全业务信息。上报列表内容包括标题、报送时间、状态、标签，相关操作包括详情、编辑和删除等。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c.报告报送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重要突发事件应急处置期间，对各类相关业务报告进行报送，系统</w:t>
      </w:r>
      <w:r>
        <w:rPr>
          <w:rFonts w:hint="eastAsia" w:ascii="宋体" w:hAnsi="宋体" w:cs="宋体"/>
          <w:szCs w:val="21"/>
          <w:highlight w:val="none"/>
          <w:lang w:eastAsia="zh-CN"/>
        </w:rPr>
        <w:t>配置</w:t>
      </w:r>
      <w:r>
        <w:rPr>
          <w:rFonts w:hint="eastAsia" w:ascii="宋体" w:hAnsi="宋体" w:cs="宋体"/>
          <w:szCs w:val="21"/>
          <w:highlight w:val="none"/>
        </w:rPr>
        <w:t>在线添加的方式，结果以列表形式展现。如果上传的报告是pdf格式，支持报告直接预览。word可以通过转换为pdf格式后直接预览，其他格式不可直接预览，此时「预览」功能置灰。报告类型包括：工作方案、每日日报、综合报告、总结报告、事件处置报告等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d.应急装备报送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应急装备报送，</w:t>
      </w:r>
      <w:r>
        <w:rPr>
          <w:rFonts w:hint="eastAsia" w:ascii="宋体" w:hAnsi="宋体" w:cs="宋体"/>
          <w:szCs w:val="21"/>
          <w:highlight w:val="none"/>
          <w:lang w:eastAsia="zh-CN"/>
        </w:rPr>
        <w:t>配置</w:t>
      </w:r>
      <w:r>
        <w:rPr>
          <w:rFonts w:hint="eastAsia" w:ascii="宋体" w:hAnsi="宋体" w:cs="宋体"/>
          <w:szCs w:val="21"/>
          <w:highlight w:val="none"/>
        </w:rPr>
        <w:t>展示应急处置过程中</w:t>
      </w:r>
      <w:r>
        <w:rPr>
          <w:rFonts w:hint="eastAsia" w:ascii="宋体" w:hAnsi="宋体" w:cs="宋体"/>
          <w:szCs w:val="21"/>
          <w:highlight w:val="none"/>
          <w:lang w:val="en-US" w:eastAsia="zh-CN"/>
        </w:rPr>
        <w:t>等功能</w:t>
      </w:r>
      <w:r>
        <w:rPr>
          <w:rFonts w:hint="eastAsia" w:ascii="宋体" w:hAnsi="宋体" w:cs="宋体"/>
          <w:szCs w:val="21"/>
          <w:highlight w:val="none"/>
        </w:rPr>
        <w:t>，本单位和下级单位创建或提交的应急装备信息，支持应急装备的添加、搜索。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4）日常通报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日常通报将网络安全监测分析产生的网站漏洞、木马、僵尸网络、网站篡改、网站仿冒、网站挂马、暗链、APT攻击等安全事件数据，及手工导入的外部获取的安全事件，及时通报到相关的涉事单位，并协调涉事单位完成对网络安全隐患及网络安全事件的处置工作。通报流程要做到透明化，能对通报流程进行全程跟踪，涉事单位整改后予以反馈，再由运营人员验证确认，最终完成业务归档闭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a.通报处置工作管理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报处置工作管理模块，以列表形式直观展示当前日常处置通报数量，进行中数量，待启动数量及已结束梳理，支持以事件列表及人工录入事件两种方式新建通报，支持对通报进行查询，处置等操作。同时列表状态栏展示每个通报当前执行情况，用户做到心中有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b.通报处置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报处置功能，统计不同类型任务的通报列表，展示内容包括编号、标题、类型、状态、发送方、签收人、发送时间、任务名称和操作等，支持通过状态和类型两个维度进行统计，支持通过任务类型，任务名称，签收人等多个维度进行检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c.通报配置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通报配置模块</w:t>
      </w:r>
      <w:r>
        <w:rPr>
          <w:rFonts w:hint="eastAsia" w:ascii="宋体" w:hAnsi="宋体" w:cs="宋体"/>
          <w:szCs w:val="21"/>
          <w:highlight w:val="none"/>
          <w:lang w:eastAsia="zh-CN"/>
        </w:rPr>
        <w:t>配置</w:t>
      </w:r>
      <w:r>
        <w:rPr>
          <w:rFonts w:hint="eastAsia" w:ascii="宋体" w:hAnsi="宋体" w:cs="宋体"/>
          <w:szCs w:val="21"/>
          <w:highlight w:val="none"/>
        </w:rPr>
        <w:t>从基本信息</w:t>
      </w:r>
      <w:r>
        <w:rPr>
          <w:rFonts w:hint="eastAsia" w:ascii="宋体" w:hAnsi="宋体" w:cs="宋体"/>
          <w:szCs w:val="21"/>
          <w:highlight w:val="none"/>
          <w:lang w:val="en-US" w:eastAsia="zh-CN"/>
        </w:rPr>
        <w:t>等功能</w:t>
      </w:r>
      <w:r>
        <w:rPr>
          <w:rFonts w:hint="eastAsia" w:ascii="宋体" w:hAnsi="宋体" w:cs="宋体"/>
          <w:szCs w:val="21"/>
          <w:highlight w:val="none"/>
        </w:rPr>
        <w:t>，受害者信息，攻击者信息，攻击利用，举证信息等多个维度配置通报字段。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d.自动通报预警规则</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自动通报预警规则，支持通过配置资产价值、事件级别、事件类型等条件，实现自动预警通报。其通报触发条件，包括资产价值条件和事件类型条件。此外，支持通报信息模板的创建；支持通报方式的选择；完成上述设置后，可以选择打开自动通报的开关，启动自动通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5）重大风险预警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a.预警工作管理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现对于重大风险预警工作（例如，重大漏洞、重大安全隐患、重要攻击事件预警）的全流程任务调度和管理功能，风险预警工作流程需依次包含研判评估、预警整编呈报、预警指令下发、预警反馈和预警解除呈报等必要任务环节。</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实际业务中，根据制定的重大风险预警工作完成相对应的工作流程，包括指令制定下发、指令审核、进度推进及报告、反馈回复、整体工作跟踪处理，实现重大风险预警业务工作的闭环。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b.预警响应处置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预警响应处置功能，统计不同类型预警列表，展示内容包括编号、标题、类型、状态、发送方、签收人、发送时间、任务名称和操作等，支持通过状态和类型两个维度进行统计，支持通过任务类型，任务名称，签收人等检索条件进行检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c.预警业务审核</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重大风险预警通报必须经过严格的检查与审核，该模块展示当前已审核和待审核的重大风险预警通报任务，支持根据审核时间，工作名称，标签等检索条件进行检索。展示内容包括工作名称，状态，标签，风险等级，发送方，提交审核时间，审核处理时间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（13）报告中心</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报告中心包括报告总览、报告管理、数据源管理、模板管理、组件管理等相关功能组成，可快速生成各类报告以支撑相关安全事件以及业务分析工作报告。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1）报告总览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报告总览支持对系统中生成的报告进行管理，以卡片形式呈现当前已配置的报告任务，整体上支持按照快速报告和周期报告做分类筛选；具体支持对其进行查询、预览、删除以及下载等工作。并以列表的形式对全部报告进行分组统计，支持按照不同分组对报告进行分类查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2）报告管理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a.快速报告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快速报告，是通过灵活的选取时间范围、快速生成所需要的报告，并提供了报告的增删改查操作。支持用户按需选择哪一份报告模板来生成相应报告，支持自定义所要统计报告内数据的时间范围等。 </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创建好的快速报告以列表的形式呈现在页面上，显示了快速报告的名称、创建人、开始时间、结束时间、创建时间和任务状态。其中开始时间和结束时间显示了该快速报告的统计时间区段。创建时间显示了该快速报告的创建（生成）时间。任务状态包含两种：等待和成功，是根据实际报告的生成状态来进行显示的。由于报告的生成时间是根据报告的内容多少成正比的，当报告的篇幅很多、统计的数据量非常大时，在2s内不能及时生成将会呈现生成中状态，在2s内如果报告生成完毕则是已生成的状态。无论报告的篇幅和数据有多大，报告的生成时间不会超过20s。</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快速报告的下载和查看也与报告管理的方式相同，支持以Docx及PDF两种格式下载到用户本地，查看则是以Pdf的格式在网页上显示。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b.周期报告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周期报告，是可配置周期性的时间范围和生成时间用来生成报告，生成报告的调度类型有日、月、周。用户可以根据自己的需求来每天/每周/每月生成自己想要的报告。周期性的好处之一就是无需重复，仅一次配置就可每天/每周/每月固定时间得到生成的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支持对查询数据量比较大的任务创建调度任务。包括任务的名字、使用的模版、报告生成周期等功能。可以对调度任务进行查询、删除、新增以及编辑等基本操作。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3）数据源管理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报告中心的数据源包括：数据连接和数据模型两部分，解决系统接入多元数据库的问题，给系统带来了数据选择的灵活性。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数据连接支持EXCEL、CSV、ElasticSearch、MySql、PostgreSQL等多种类型。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模型模块有常用的增、删、改、查等功能，新建数据模型前可以新建数据模型文件夹、再新建数据模型文件或直接新建数据模型文件，使得文件有分类，便于查找。新建数据模型过程为：选择数据连接后选取连接的数据库以及拖拽选择数据库的表，根据数据库的数据内容选择单张表或者多张表，选择多张表的情况下可设置表间关联关系及字段关系筛选等，进而得到数据模型的维度、度量数据信息，同时用户可手动添加数据的字段映射、值映射。</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a.模板管理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模板管理，是对报告涉及的各种模板进行管理，其中模板列表是对报告模板进行列表化管理，并支持报告模板的新建、删除、详情查看、编辑等,即实现报告模板的增、删、改、查等功能。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b.组件管理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组件管理模块是对业务组件的数据展示，功能包括删除、查看详情、编辑标签等，编辑标签页面包括标签选择和自定义标签两个部分，方便给组件标签做编辑。</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（14）考核评估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考核评估，是网络安全主管单位及部门，对下级或同级单位/部门进行网络安全类相关业务内容，进行针对既定考核指标的综合考核评价。通过系统，对考核进行全流程管理和配置，实现考核全流程的信息化管理，保障考核过程的可管可控可追溯。网络安全管理部门通过系统，对相关网络安全政策和法律法规的落地效果进行检验和评估，不断完善落地制度和配套措施，不断提高网络安全管理水平。</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考核评估主要包括考核统计分析、考核任务管理、考核评分管理和考核指标管理。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1）考核统计分析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相关覆盖区域的网络安全监测、检查、整改和应急处置数据，进行过滤、排列与关联、跟踪和识别，根据多源网络安全感知和数据的特性，与知识库、指纹库的信息聚合碰撞出横向、纵向相关关系，从而得出并展现当前网络安全工作的考核评估开展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2）考核任务管理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考核任务管理模块，是对考核任务从创建考核任务，选择对应的考核指标到评分的全生命周期的管理。本模块支持考核任务的创建，可针对被监管单位的综合安全通报时效性、安全检查时效性、现场抽查数量、督促整改时效性等多项指标进行设定、评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3）考核评分管理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考核评分管理，展示由专家队伍根据指标体系进行综合评分后的结果，客观的对当前各被考核单位的网络安全工作进行综合评价。且在考核评分管理模块，可对当前考核的得分情况，进行审核。</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4）考核指标管理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为了更好地衡量安全监管工作的有效性，可通过考核指标管理模块进行多项工作的指标制定，包括被监管单位的网络安全技术保障能力、网络安全应急响应能力、网络安全防护能力、网络安全教育培训效果等多个维度评价指标。借此，可有效促进网络安全检查工作落实，逐步提升党政机关单位网络安全工作水平。</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（15）态势感知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完备的综合态势感知能力，利用大数据分布式集群下的计算、存储和分析技术，实时对重保单位的资产状况、受威胁攻击、安全事件处置等情况进行全方位评估，并以地图、柱状图、曲线图、环状图等多维可视化形式进行展现，帮助监管部门直观了解辖区内整体网络安全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态势感知是整个监管平台的分析与呈现中心，在本次项目中，包含了综合态势、攻击态势、资产态势和运行态势。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系统通过对恶意代码检测、异常流量分析、威胁分析等技术进行宏观分析后，以监管单位为视角，对本项目监管范围下的单位安全状态进行监测；并且根据系统内置的风险评估算法给出当前被监管单位的整体安全评估；并实现对余姚市电子政务外网网络内存在的威胁有效感知并实现可视化呈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1）综合态势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综合态势站在决策视角对整体网络安全状况进行态势分析展现，可从不同视角进行分析展现，可查看当前的网络安全总体风险、告警总体数量及类型占比、安全告警等级分布、通报整改质量、安全告警发展趋势以及告警实时监测列表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在综合态势大屏上，可开启自动巡检模式，逐个去巡检每个受保护单位的网络资产风险情况，并可随时停止巡检操作。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2）资产态势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资产态势以网络资产作为切入点，为网络安全业务决策做资产相关的可视化分析。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可展示每个网络区域的风险程度，并统计每个网络区域的高、中、低危的网络资产数量。相关具体的统计分析项包括：资产数量及类型统计、资产风险排名情况、资产业务分组安全分析、网络区域风险等级统计、设备及系统资产类型统计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还可切换至某单位网络区域的设备/系统关系视角，支持展示重点网络资产关系，呈现单个网络资产风险程度以及网络资产之间的关联关系等，支持更进一步的资产安全分析。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3）漏洞态势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漏洞态势，以资产脆弱性为切入点，对网络资产相关的漏洞进行可视化分析。 </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漏洞态势大屏的分析展示项，包括漏洞相关告警数量、风险等级评分、低危单位统计、中危单位统计、高危单位统计、漏洞分类统计、漏洞等级统计、单位风险个数排名、风险评估趋势以及漏洞实时列表等。 </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4）运行态势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运行态势大屏，是站在运维视角对系统的数据采集、数据处理、数据存储等阶段进行性能监控，并对支撑平台正常运行的服务器、中间件、服务组件等进行性能监控。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运行态势大屏的分析展示项，包括数据流监控、平台集群状态监测、平台服务监测、平台数据库监测、平台组件监测、平台性能告警实时监测列表等。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（16）硬件支撑配置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网络安全管理平台运行需配置4台平台服务器，用于平台分布式部署。</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平台服务器主要技术参数要求如下：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不少于2U标准设备；含滑轨等配件。CPU: 不低于1颗64核飞腾2000+处理器 主频2.2GHz；内存:不少于256G（总容量）DDR4；硬盘：不少于2块960G SSD固态硬盘（组成Raid 1），不少于12*4TB企业级SATA 3.5寸硬盘 （总容量不少于48T）；电源：冗余双电源；网口：不少于4*GE管理电口，不少于2*GE光接口，不少于2个万兆光接口；其他接口：不少于6*USB3.0接口；配置网络安全平台部署所需的一切系统、软件、硬件配件等；具备服务期内软件、硬件系统全功能免费升级服务，并配置介质保留服务。</w:t>
      </w:r>
    </w:p>
    <w:p>
      <w:pPr>
        <w:keepNext/>
        <w:keepLines/>
        <w:spacing w:line="360" w:lineRule="auto"/>
        <w:outlineLvl w:val="2"/>
        <w:rPr>
          <w:rFonts w:ascii="宋体" w:hAnsi="宋体" w:cs="宋体"/>
          <w:b/>
          <w:bCs/>
          <w:szCs w:val="21"/>
          <w:highlight w:val="none"/>
        </w:rPr>
      </w:pPr>
      <w:bookmarkStart w:id="102" w:name="_Toc146036690"/>
      <w:bookmarkStart w:id="103" w:name="_Toc147676539"/>
      <w:r>
        <w:rPr>
          <w:rFonts w:hint="eastAsia" w:ascii="宋体" w:hAnsi="宋体" w:cs="宋体"/>
          <w:b/>
          <w:bCs/>
          <w:szCs w:val="21"/>
          <w:highlight w:val="none"/>
        </w:rPr>
        <w:t>2.网络安全运行平台</w:t>
      </w:r>
      <w:bookmarkEnd w:id="102"/>
      <w:bookmarkEnd w:id="103"/>
    </w:p>
    <w:p>
      <w:pPr>
        <w:adjustRightInd w:val="0"/>
        <w:snapToGrid w:val="0"/>
        <w:spacing w:line="360" w:lineRule="auto"/>
        <w:ind w:firstLine="424" w:firstLineChars="200"/>
        <w:rPr>
          <w:rFonts w:ascii="宋体" w:hAnsi="宋体" w:cs="宋体"/>
          <w:szCs w:val="21"/>
          <w:highlight w:val="none"/>
        </w:rPr>
      </w:pPr>
      <w:bookmarkStart w:id="104" w:name="_Toc146036691"/>
      <w:bookmarkStart w:id="105" w:name="_Toc130199559"/>
      <w:bookmarkStart w:id="106" w:name="_Toc134187037"/>
      <w:r>
        <w:rPr>
          <w:rFonts w:hint="eastAsia" w:ascii="宋体" w:hAnsi="宋体" w:cs="宋体"/>
          <w:szCs w:val="21"/>
          <w:highlight w:val="none"/>
        </w:rPr>
        <w:t>（1）监测中心</w:t>
      </w:r>
      <w:bookmarkEnd w:id="104"/>
      <w:bookmarkEnd w:id="105"/>
      <w:bookmarkEnd w:id="106"/>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监测中心子系统针对云、网络、终端、应用、数据等暴露面资产的风险隐患、网络攻击和安全事件进行统一管理，摸清风险资产底数。针对网络出口流量进行安全监测，及时发现各类网络攻击、安全事件以及网络风险资产。同时，为更快捷的实现安全态势三要素（隐患、攻击、事件）和三对象（单位、系统、IP资产）的全面管理，设置监测任务中心、搜索中心、验证中心、成果中心，形成针对安全事件、风险隐患、网络攻击从支撑人员（安服人员、安全专家）精准验证到客户精准通报处置的业务闭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1）网络安全监测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通过高级行为检测功能，可以识别用户的行为特点，区别机器行为和人工渗透行为。能够分析出普通的扫描器扫描、大量数据获取（拖库行为）、手工渗透等大量的基于行为特征分析。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解码所有进入的请求，检查请求是否合法或合乎规定。仅允许通过正确的格式或RFC遵从的请求，已知的恶意请求将被阻断。（例如：跨站点脚本攻击、缓冲区溢出攻击、恶意浏览、SQL注入攻击等。）解码所有进入的请求，检查请求是否合法或合乎规定。仅允许通过正确的格式或RFC遵从的请求。已知的恶意请求将被阻断。（例如：跨站点脚本攻击、缓冲区溢出攻击、恶意浏览、SQL注入攻击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通过对WEB上传和下载的文件进行检测，发现WEBSHELL、可执行文件、非执行文件检测（office、pdf、flash等大量可能被利用直接攻击客户端的文件）。</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邮件协议进行深度分析，对已知、未知攻击漏洞的扫描和动态分析的方式检测邮件内容及附件是否含有APT安全威胁。通过分析邮件中的内容可分析出欺骗链接、挂马页面、伪造发件人等各种常见攻击手段。分离邮件中的附件，使用深度的检测手段找到邮件附件中可执行文件攻击和非可执行文件攻击。主要防护内容包括：伪造发件人攻击检测、欺骗挂马检测、伪造欺骗链接检测、</w:t>
      </w:r>
      <w:r>
        <w:rPr>
          <w:rFonts w:hint="eastAsia" w:ascii="宋体" w:hAnsi="宋体" w:cs="宋体"/>
          <w:szCs w:val="21"/>
          <w:highlight w:val="none"/>
        </w:rPr>
        <w:tab/>
      </w:r>
      <w:r>
        <w:rPr>
          <w:rFonts w:hint="eastAsia" w:ascii="宋体" w:hAnsi="宋体" w:cs="宋体"/>
          <w:szCs w:val="21"/>
          <w:highlight w:val="none"/>
        </w:rPr>
        <w:t>恶意文件检测、WEBmail攻击检测、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通过对内部网络流量进行抓包分析，捕获APT攻击行为，实现APT预警。在检测过程中会分离流量中的各种协议的文件，对文件进行检测。发现文件中的恶意代码，并及时进行预警。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通过对分离出的文件进行快速扫描，内部集成全面的多引擎特征库，及时检测其中存在的各种病毒木马文件，并对文件的来源、目的、详细信息进行分析，便于进一步的进行处理。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通过静态二进制文件安全分析技术可发现常见格式文件的异常特征，如：PDF、DOC、EXE、XLS等。并根据其异常格式、文件异常特征、异常代码来判断文件的可疑特征进行Shellcode静态行为分析。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通过动态沙箱系统，可针对文件进行动态行为分析，通过建立恶意代码行为模型分析恶意文件的运行时行为来确定文件是否存在恶意代码。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2）终端安全监测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通过终端探针代理软件持续采集终端动态行为数据，包括样本投递、内存活动、进程行为、网络访问、注册表修改、文件下载行为、进程注入行为和账户变更行为等数据。终端进行全量存储和分析，将数据实时推送到安全数据中台，为威胁狩猎、调查分析、追踪溯源提供数据基础。支持持续采集终端动态行为数据，以威胁行为规则驱动和ATT&amp;CK行为数据模型，结合动态基线检测、机器学习等技术发现高级威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终端管理将已安装终端探针代理软件的终端信息进行展示，包括终端名称、策略组、IP地址、MAC地址、操作系统、系统版本、最近在线时间、7天告警、终端版本、状态、安装时间以及对应时间线和响应中心。</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于终端响应，支持对终端体检，计算系统评分，终端风险列表展示，体检项目包含：系统信息、磁盘信息、环境变量、应用程序、启动项、计划任务、驱动信息、服务信息、进程信息、网络信息、文件信息，支持以其他体检结果为基线做基线对比，分析系统状态变化。支持多种终端处置动作，如进程隔离、文件隔离、进程结束、网络隔离等，支持命令行方式操作终端操作系统。</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3）数据安全监测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数据库进行自动扫描发现数据库服务后，进一步对数据库服务进行数据资产盘点，同步数据库的数据库表、字段等元数据，并基于内置的数据特征识别模型。对数据进行识别，例如姓名、身份证、邮箱定义为个人信息，身份证、社保号定义为证件号码等，可对已经发现的数据进行分类管理和数据打标。同时对某个场景下固定开发使用的SQL语句，平台将进行SQL模板和SQL组管理，清晰呈现其所属用途、相关数据库、操作类型、是否触发告警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用户的应用服务进行统一梳理和对应用服务（如API接口服务、应用服务等）的流量和日志进行监测，对接口访问进行统计，结合业务规则对高频的访问行为进行及时的告警。对接口的健康状况进行实时监测，包括高延时、返回报错、404异常访问进行监测和记录并及时告警，从而发现各类数据安全风险，帮助安全人员进行分析研判。</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汇总用户相关的历史、档案、行为得出个体和群体在一个长期时间范围内稳定的数据特征，从而描绘出用户的信息全貌。用户画像和异常行为分析系统根据用户的历史使用行为习惯来画像和定义行为模式。用户行为模式通过机器学习算法生成，在用户当前实时行为模式与其对应的历史模型模式存在一定程度的差异时识别用户行为是否为异常。通过对数据进行分割、审查、交叉分析，周期性地为每个用户依次创建行为模型，形成用户在特定时间内容的行为基线，实时地识别出异常行为，包括但不限于下列分析场景：账户异常行为分析、账户权限变更行为分析、资产被访问异常分析、账户异常分析、越权访问分析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4）应用安全监测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自动归档、整理获取到的本地安全监测、情报中心等模块产生的应用安全信息以及上级通报、下级报告的应用安全问题，支持对网站资产进行探测发现、检测状态、追踪变化情况。支持通过事件名称、攻击者、受害者、目的端口、应用协议等条件聚合，系统全面地感知应用安全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a、安全漏洞检测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可对目标站点进行网站漏洞检测，包括SQL注入漏洞、跨站脚本漏洞、开放服务漏洞、网站第三方应用漏洞以及新发现的0Day漏洞等，及时发现漏洞，并进行人工审核、取证确认，支持网站脆弱性检测，可对目标站点历史风险进行追踪监测，提供漏洞的新增、遗留与修复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b、敏感内容监测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可对接入互联网的重要网站或业务系统做7*24小时的敏感关键词监测，监测网站页面是否有敏感内容或涉政、涉暴恐、涉黄赌毒等不良信息，将监测发现的信息安全风险或问题及时反馈并协助处置，并提供整改方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c、篡改变更监测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可对页面篡改情况进行实时监测，实时发现网站中发生的黑页、暗链等各类篡改事件，帮助用户尽快得知当前网站被篡改情况，能够在事发产生恶劣影响前尽快恢复系统正常。</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d、挂马和后门监测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支持网页挂马监测，能有效的检测出网站已知和未知的webshell和挖矿脚本等后门文件。</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5）成果中心</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a、监测总览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验证后的安全事件、风险隐患情况进行总体展示，可根据事件情况进行安全通报预警，相关信息在通报预警模块中可以智能带出，避免繁琐操作，提高工作效率。针对事件类型、子类型进行展示，以矩阵形式展示事件所属类型以及子类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b、安全事件</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全事件成果中心基于发现的挖矿、勒索、弱口令、网站篡改（黑链/暗链）、远程控制、WEBSHELL和访问异常等安全事件进行统一管理和汇总展示，包括事件名称、IP地址、单位名称、威胁级别、区域、发生时间、数据来源、处置状态和事件操作等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实现事件导入导出、事件检索、事件研判、事件通报、处置完整的流程，可根据事件情况进行安全通报，相关信息在通报预警中可以智能带出，避免繁琐操作，提高工作效率。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按事件名称、受害者、处置状态、起始时间、单位名称、威胁级别、数据来源、所属区域等进行任意字段的聚合分析和快速组合检索。支持在搜索结果中批量下发安全通报或针对安全事件选择任务处置场景下发自动化处置任务，支持事件溯源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提供事件信息联想功能，支持通过事件数据关联同类型事件、同单位事件、同终端事件等联想方式。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c、风险成果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风险成果中心基于发现的主机漏洞、WEB漏洞、基线漏洞、弱口令、数据库漏洞、渗透漏洞、填报漏洞等漏洞风险进行统一管理和汇总展示，包括风险名称、单位名称、风险等级、发现时间、数据来源、处置状态和关联监测任务等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实现风险导入导出、风险检索、风险研判、风险通报、研判完整的流程，可根据风险情况进行安全通报，相关信息在通报预警中可以智能带出，避免繁琐操作，提高工作效率。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按风险资产名称、单位名称、发生时间、处置状态、风险名称、所属区域、漏洞等级、数据来源、关联监测任务等进行任意字段的聚合分析和快速组合检索。支持在搜索结果中批量下发安全通报或针对安全事件选择任务处置场景下发自动化处置工单任务，支持漏洞研判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提供风险信息联想功能，支持通过风险数据关联同类型风险、同单位风险、同终端风险等联想方式。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6）验证中心</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a、安全场景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场景自定义设置功能，自定义场景判断条件、分析周期、分析对象、场景标签，快速配置场景应用。用户可自定义当前热点安全场景，如外部攻击者、挖矿、弱口令、勒索病毒、WEBSHELL等，支持通过单位名称、IP地址、时间等多字段组合查询场景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b、告警监控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告警监控对自动化归并的安全告警数据进行汇总统计，并通过告警列表条目颜色区分“已读告警”和“未读告警”；支持查看归并告警基本信息、规则详情、原始告警列表、全部字段、PCAP包详细信息，并支持下载PCAP包；支持在归并告警页面进行告警快速处置，包括忽略告警、误报处置、联动处置、人工处置等；支持按照时间、告警类型、威胁等级、源/目的IP、攻击方向、攻击阶段、攻击结果，IoC、处置状态、域名、状态码等字段自由组合检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c、事件验证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现事件管理、事件检索、事件分析、事件研判、事件验证等功能。支持按事件名称、受害者、验证状态、结束时间、单位名称、威胁级别、数据来源、所属区域等字段进行组合检索。事件批量处置，支持事件新增、导入/导出、批量验证、批量删除等功能，提交验证描述完成事件验证。事件展示信息，包括事件名称、单位名称、威胁级别、发生时间、数据来源、验证状态和事件操作等信息。支持事件详细信息查看，展示事件等级、受害者、单位名称、资产名称、事件报警源文件等信息。事件信息联想，支持通过事件数据关联同类型事件、同单位事件、同终端事件等联想方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d、风险验证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现风险管理、风险检索、风险分析、风险研判、风险验证等功能。支持按风险名称、单位名称、风险等级、发现时间、数据来源、处置状态和关联监测任务等字段进行组合检索。风险批量处置，支持风险新增、导入/导出、批量验证、批量删除等功能，提交验证描述完成风险验证。风险展示信息，包括风险资产名称、单位名称、发生时间、处置状态、风险名称、所属区域、漏洞等级、数据来源、关联监测任务等信息。支持风险详细信息查看，展示风险等级、风险来源、单位名称、资产名称、风险等级、是否验证等信息。风险信息联想，支持通过风险数据关联单位信息、IP信息、同类型风险、同单位风险、同终端风险等联想方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e、风险资产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对风险资产进行精细化评级评分计算</w:t>
      </w:r>
      <w:r>
        <w:rPr>
          <w:rFonts w:hint="eastAsia" w:ascii="宋体" w:hAnsi="宋体" w:cs="宋体"/>
          <w:szCs w:val="21"/>
          <w:highlight w:val="none"/>
          <w:lang w:val="en-US" w:eastAsia="zh-CN"/>
        </w:rPr>
        <w:t>等功能</w:t>
      </w:r>
      <w:r>
        <w:rPr>
          <w:rFonts w:hint="eastAsia" w:ascii="宋体" w:hAnsi="宋体" w:cs="宋体"/>
          <w:szCs w:val="21"/>
          <w:highlight w:val="none"/>
        </w:rPr>
        <w:t>，资产风险等级包括已失陷、高风险、中风险、低风险，资产评分为百分制，具备资产评级标签；支持按不同字段检索并查看资产历史风险对比、组织架构风险资产数排行和导出风险资产报告。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7）检索中心</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a、事件检索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运营平台基于发现的僵尸网站、网站挂马、网站篡改（黑链/暗链）、钓鱼网站和访问异常等安全事件，对辖区内重要信息系统及重点网站的安全进行实时掌控，支持安全事件的统一管理、展示、检索。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b、风险检索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用于查看风险的详细信息，除网络安全运行平台自身存储的风险详细描述和修复建议之外，还提供了相关的外部链接作为参考，为风险研判、修复漏洞提供便利，便于管理人员掌握最新的相关信息。通过对风险漏洞统一管理，支持新增、导入/导出和按照不同字段或组合字段检索，列表式展示漏洞名称、漏洞等级、漏洞类型、CVE编号、漏洞状态、IP、端口、发现时间、涉及服务、涉及单位等多种信息，支持按照不同字段自定义展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提供漏洞生命周期跟踪，从披露漏洞开始，持续监控资产变化，实时获取漏洞披露情报，对漏洞发现、分析、修复和审核过程进行跟踪。通过对整个管理过程的评估、对比，达到持续优化弱点管理的要求。</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c、原始日志检索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灵活自定义检索时间段，可选本日、本周、本月、本年、最近24小时等</w:t>
      </w:r>
      <w:r>
        <w:rPr>
          <w:rFonts w:hint="eastAsia" w:ascii="宋体" w:hAnsi="宋体" w:cs="宋体"/>
          <w:szCs w:val="21"/>
          <w:highlight w:val="none"/>
          <w:lang w:val="en-US" w:eastAsia="zh-CN"/>
        </w:rPr>
        <w:t>功能</w:t>
      </w:r>
      <w:r>
        <w:rPr>
          <w:rFonts w:hint="eastAsia" w:ascii="宋体" w:hAnsi="宋体" w:cs="宋体"/>
          <w:szCs w:val="21"/>
          <w:highlight w:val="none"/>
        </w:rPr>
        <w:t>。</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对所有标准化日志数据和异常记录进行检索</w:t>
      </w:r>
      <w:r>
        <w:rPr>
          <w:rFonts w:hint="eastAsia" w:ascii="宋体" w:hAnsi="宋体" w:cs="宋体"/>
          <w:szCs w:val="21"/>
          <w:highlight w:val="none"/>
          <w:lang w:val="en-US" w:eastAsia="zh-CN"/>
        </w:rPr>
        <w:t>等功能</w:t>
      </w:r>
      <w:r>
        <w:rPr>
          <w:rFonts w:hint="eastAsia" w:ascii="宋体" w:hAnsi="宋体" w:cs="宋体"/>
          <w:szCs w:val="21"/>
          <w:highlight w:val="none"/>
        </w:rPr>
        <w:t>，支持通过关键字、条件表达式、时间范围等对告警进行快速检索；此外，支持多条件组合检索。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以图表方式对检索结果进行可视化呈现，图表类型包括但不限于柱状图、折线图、面积图、表格、数值图、饼状图等。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d、原始告警检索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灵活自定义检索时间段</w:t>
      </w:r>
      <w:r>
        <w:rPr>
          <w:rFonts w:hint="eastAsia" w:ascii="宋体" w:hAnsi="宋体" w:cs="宋体"/>
          <w:szCs w:val="21"/>
          <w:highlight w:val="none"/>
          <w:lang w:val="en-US" w:eastAsia="zh-CN"/>
        </w:rPr>
        <w:t>等功能</w:t>
      </w:r>
      <w:r>
        <w:rPr>
          <w:rFonts w:hint="eastAsia" w:ascii="宋体" w:hAnsi="宋体" w:cs="宋体"/>
          <w:szCs w:val="21"/>
          <w:highlight w:val="none"/>
        </w:rPr>
        <w:t>，可选本日、本周、本月、本年、最近24小时等。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根据不同分析变量进行告警聚合</w:t>
      </w:r>
      <w:r>
        <w:rPr>
          <w:rFonts w:hint="eastAsia" w:ascii="宋体" w:hAnsi="宋体" w:cs="宋体"/>
          <w:szCs w:val="21"/>
          <w:highlight w:val="none"/>
          <w:lang w:val="en-US" w:eastAsia="zh-CN"/>
        </w:rPr>
        <w:t>等功能</w:t>
      </w:r>
      <w:r>
        <w:rPr>
          <w:rFonts w:hint="eastAsia" w:ascii="宋体" w:hAnsi="宋体" w:cs="宋体"/>
          <w:szCs w:val="21"/>
          <w:highlight w:val="none"/>
        </w:rPr>
        <w:t>，安全日志中所有标准化的字段，都可以作为聚合的变量，告警聚合帮助减轻基于海量告警检索调查的负担。</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通过关键字、条件表达式、时间范围等对告警进行快速检索</w:t>
      </w:r>
      <w:r>
        <w:rPr>
          <w:rFonts w:hint="eastAsia" w:ascii="宋体" w:hAnsi="宋体" w:cs="宋体"/>
          <w:szCs w:val="21"/>
          <w:highlight w:val="none"/>
          <w:lang w:val="en-US" w:eastAsia="zh-CN"/>
        </w:rPr>
        <w:t>等功能</w:t>
      </w:r>
      <w:r>
        <w:rPr>
          <w:rFonts w:hint="eastAsia" w:ascii="宋体" w:hAnsi="宋体" w:cs="宋体"/>
          <w:szCs w:val="21"/>
          <w:highlight w:val="none"/>
        </w:rPr>
        <w:t>，帮助用户快速定位到起关注的威胁和上下文数据；此外，</w:t>
      </w:r>
      <w:r>
        <w:rPr>
          <w:rFonts w:hint="eastAsia" w:ascii="宋体" w:hAnsi="宋体" w:cs="宋体"/>
          <w:szCs w:val="21"/>
          <w:highlight w:val="none"/>
          <w:lang w:eastAsia="zh-CN"/>
        </w:rPr>
        <w:t>配置</w:t>
      </w:r>
      <w:r>
        <w:rPr>
          <w:rFonts w:hint="eastAsia" w:ascii="宋体" w:hAnsi="宋体" w:cs="宋体"/>
          <w:szCs w:val="21"/>
          <w:highlight w:val="none"/>
        </w:rPr>
        <w:t>多条件组合检索</w:t>
      </w:r>
      <w:r>
        <w:rPr>
          <w:rFonts w:hint="eastAsia" w:ascii="宋体" w:hAnsi="宋体" w:cs="宋体"/>
          <w:szCs w:val="21"/>
          <w:highlight w:val="none"/>
          <w:lang w:val="en-US" w:eastAsia="zh-CN"/>
        </w:rPr>
        <w:t>等功能</w:t>
      </w:r>
      <w:r>
        <w:rPr>
          <w:rFonts w:hint="eastAsia" w:ascii="宋体" w:hAnsi="宋体" w:cs="宋体"/>
          <w:szCs w:val="21"/>
          <w:highlight w:val="none"/>
        </w:rPr>
        <w:t>，帮助用户快速转化其分析思路，做到所想即所得。</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对检索结果进行时间维度统计，并以时间轴方式可视化呈现。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对检索结果进行追加检索</w:t>
      </w:r>
      <w:r>
        <w:rPr>
          <w:rFonts w:hint="eastAsia" w:ascii="宋体" w:hAnsi="宋体" w:cs="宋体"/>
          <w:szCs w:val="21"/>
          <w:highlight w:val="none"/>
          <w:lang w:val="en-US" w:eastAsia="zh-CN"/>
        </w:rPr>
        <w:t>等功能</w:t>
      </w:r>
      <w:r>
        <w:rPr>
          <w:rFonts w:hint="eastAsia" w:ascii="宋体" w:hAnsi="宋体" w:cs="宋体"/>
          <w:szCs w:val="21"/>
          <w:highlight w:val="none"/>
        </w:rPr>
        <w:t>，将检索结果字段值一键添加至检索条件中，快速对字段值进行过滤或排除。</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对检索结果展示字段灵活自定义</w:t>
      </w:r>
      <w:r>
        <w:rPr>
          <w:rFonts w:hint="eastAsia" w:ascii="宋体" w:hAnsi="宋体" w:cs="宋体"/>
          <w:szCs w:val="21"/>
          <w:highlight w:val="none"/>
          <w:lang w:val="en-US" w:eastAsia="zh-CN"/>
        </w:rPr>
        <w:t>等功能</w:t>
      </w:r>
      <w:r>
        <w:rPr>
          <w:rFonts w:hint="eastAsia" w:ascii="宋体" w:hAnsi="宋体" w:cs="宋体"/>
          <w:szCs w:val="21"/>
          <w:highlight w:val="none"/>
        </w:rPr>
        <w:t>，可根据特定需求选择显示字段信息。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将自定义检索条件存储为检索模板</w:t>
      </w:r>
      <w:r>
        <w:rPr>
          <w:rFonts w:hint="eastAsia" w:ascii="宋体" w:hAnsi="宋体" w:cs="宋体"/>
          <w:szCs w:val="21"/>
          <w:highlight w:val="none"/>
          <w:lang w:val="en-US" w:eastAsia="zh-CN"/>
        </w:rPr>
        <w:t>等功能</w:t>
      </w:r>
      <w:r>
        <w:rPr>
          <w:rFonts w:hint="eastAsia" w:ascii="宋体" w:hAnsi="宋体" w:cs="宋体"/>
          <w:szCs w:val="21"/>
          <w:highlight w:val="none"/>
        </w:rPr>
        <w:t>，提供检索条件复用能力，方便用户多次使用同一检索条件。</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以xlsx或csv格式导出检索结果</w:t>
      </w:r>
      <w:r>
        <w:rPr>
          <w:rFonts w:hint="eastAsia" w:ascii="宋体" w:hAnsi="宋体" w:cs="宋体"/>
          <w:szCs w:val="21"/>
          <w:highlight w:val="none"/>
          <w:lang w:val="en-US" w:eastAsia="zh-CN"/>
        </w:rPr>
        <w:t>等功能</w:t>
      </w:r>
      <w:r>
        <w:rPr>
          <w:rFonts w:hint="eastAsia" w:ascii="宋体" w:hAnsi="宋体" w:cs="宋体"/>
          <w:szCs w:val="21"/>
          <w:highlight w:val="none"/>
        </w:rPr>
        <w:t>。</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8）监测任务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a、风险监测成果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针对风险监测结果进行统一管理，</w:t>
      </w:r>
      <w:r>
        <w:rPr>
          <w:rFonts w:hint="eastAsia" w:ascii="宋体" w:hAnsi="宋体" w:cs="宋体"/>
          <w:szCs w:val="21"/>
          <w:highlight w:val="none"/>
          <w:lang w:eastAsia="zh-CN"/>
        </w:rPr>
        <w:t>配置</w:t>
      </w:r>
      <w:r>
        <w:rPr>
          <w:rFonts w:hint="eastAsia" w:ascii="宋体" w:hAnsi="宋体" w:cs="宋体"/>
          <w:szCs w:val="21"/>
          <w:highlight w:val="none"/>
        </w:rPr>
        <w:t>风险检索、风险分析、风险处置等功能。风险检索</w:t>
      </w:r>
      <w:r>
        <w:rPr>
          <w:rFonts w:hint="eastAsia" w:ascii="宋体" w:hAnsi="宋体" w:cs="宋体"/>
          <w:szCs w:val="21"/>
          <w:highlight w:val="none"/>
          <w:lang w:eastAsia="zh-CN"/>
        </w:rPr>
        <w:t>配置</w:t>
      </w:r>
      <w:r>
        <w:rPr>
          <w:rFonts w:hint="eastAsia" w:ascii="宋体" w:hAnsi="宋体" w:cs="宋体"/>
          <w:szCs w:val="21"/>
          <w:highlight w:val="none"/>
        </w:rPr>
        <w:t>漏洞名称、漏洞等级、漏洞类型、漏洞状态、扫描器类型、IP/域名、端口、服务、CVE编号、CNNVD、关键字等字段检索</w:t>
      </w:r>
      <w:r>
        <w:rPr>
          <w:rFonts w:hint="eastAsia" w:ascii="宋体" w:hAnsi="宋体" w:cs="宋体"/>
          <w:szCs w:val="21"/>
          <w:highlight w:val="none"/>
          <w:lang w:val="en-US" w:eastAsia="zh-CN"/>
        </w:rPr>
        <w:t>等功能</w:t>
      </w:r>
      <w:r>
        <w:rPr>
          <w:rFonts w:hint="eastAsia" w:ascii="宋体" w:hAnsi="宋体" w:cs="宋体"/>
          <w:szCs w:val="21"/>
          <w:highlight w:val="none"/>
        </w:rPr>
        <w:t>，实现多字段组合检索。风险类型展示，支持展示漏洞类型、漏洞等级、漏洞名称、IP/域名、端口、服务、CVE编号、漏洞状态、扫描器和发现时间。</w:t>
      </w:r>
      <w:r>
        <w:rPr>
          <w:rFonts w:hint="eastAsia" w:ascii="宋体" w:hAnsi="宋体" w:cs="宋体"/>
          <w:szCs w:val="21"/>
          <w:highlight w:val="none"/>
          <w:lang w:eastAsia="zh-CN"/>
        </w:rPr>
        <w:t>配置</w:t>
      </w:r>
      <w:r>
        <w:rPr>
          <w:rFonts w:hint="eastAsia" w:ascii="宋体" w:hAnsi="宋体" w:cs="宋体"/>
          <w:szCs w:val="21"/>
          <w:highlight w:val="none"/>
        </w:rPr>
        <w:t>查看风险详情，包括资产信息、关联监测任务、风险状态、数据来源、威胁等级、生命周期，标签，并提供相应的资产关联链接。</w:t>
      </w:r>
      <w:r>
        <w:rPr>
          <w:rFonts w:hint="eastAsia" w:ascii="宋体" w:hAnsi="宋体" w:cs="宋体"/>
          <w:szCs w:val="21"/>
          <w:highlight w:val="none"/>
          <w:lang w:eastAsia="zh-CN"/>
        </w:rPr>
        <w:t>配置</w:t>
      </w:r>
      <w:r>
        <w:rPr>
          <w:rFonts w:hint="eastAsia" w:ascii="宋体" w:hAnsi="宋体" w:cs="宋体"/>
          <w:szCs w:val="21"/>
          <w:highlight w:val="none"/>
        </w:rPr>
        <w:t>风险处置一键联动通报预警平台，实现风险处置。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b、监测任务管理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漏洞监测功能可统一调度不同种类的弱点扫描器，实现扫描任务的创建、下发、任务状态监控、任务启停、报告取回、报告归一化等一系列集中管理功能。同时，通过对报告的自动解析和漏洞归一化，并实现与资产脆弱性关联，形成本地区资产风险的统一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监测任务类型包括主机扫描、WEB扫描、基线扫描、弱口令扫描、数据库扫描等；对于已建立的任务，支持进行执行、停止、编辑、删除操作；任务详细界面可以查看当前任务历次执行的结果统计；同时，基于通报预警流程，实现漏洞闭环管理、持续分析和预控安全风险。</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c、引擎调度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安全监测模块可对不同种类的扫描器实现自动调度。构建扫描器管理调度中心，实现扫描任务的创建、下发、任务状态监控、任务启停，降低各类扫描器差异化导致的学习使用成本。</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d、监测报告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将任务执行的结果进行统计分析形成统一规格的漏洞报告和整改报告</w:t>
      </w:r>
      <w:r>
        <w:rPr>
          <w:rFonts w:hint="eastAsia" w:ascii="宋体" w:hAnsi="宋体" w:cs="宋体"/>
          <w:szCs w:val="21"/>
          <w:highlight w:val="none"/>
          <w:lang w:val="en-US" w:eastAsia="zh-CN"/>
        </w:rPr>
        <w:t>等功能</w:t>
      </w:r>
      <w:r>
        <w:rPr>
          <w:rFonts w:hint="eastAsia" w:ascii="宋体" w:hAnsi="宋体" w:cs="宋体"/>
          <w:szCs w:val="21"/>
          <w:highlight w:val="none"/>
        </w:rPr>
        <w:t>，并支持其他系统报告导入等一系列集中管理功能。</w:t>
      </w:r>
    </w:p>
    <w:p>
      <w:pPr>
        <w:adjustRightInd w:val="0"/>
        <w:snapToGrid w:val="0"/>
        <w:spacing w:line="360" w:lineRule="auto"/>
        <w:ind w:firstLine="424" w:firstLineChars="200"/>
        <w:rPr>
          <w:rFonts w:ascii="宋体" w:hAnsi="宋体" w:cs="宋体"/>
          <w:szCs w:val="21"/>
          <w:highlight w:val="none"/>
        </w:rPr>
      </w:pPr>
      <w:bookmarkStart w:id="107" w:name="_Toc146036692"/>
      <w:r>
        <w:rPr>
          <w:rFonts w:hint="eastAsia" w:ascii="宋体" w:hAnsi="宋体" w:cs="宋体"/>
          <w:szCs w:val="21"/>
          <w:highlight w:val="none"/>
        </w:rPr>
        <w:t>（2）资管中心</w:t>
      </w:r>
      <w:bookmarkEnd w:id="107"/>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管理是整个网络安全运行平台建设的关键组成部分，多源融合云、网、数、用、端等不同层面的资产数据，并对数据进行归一化去重以及资产分布、漏洞和指纹信息进行统一管理，摸清资产底数，形成统一的资产立体化监管，针对暴露面资产进行深度调查与分类、分级，形成更加细化的信息系统资产数据：按所属行业、机关横向分类；按所属地域、组织架构横向分类；按信息系统重要、敏感程度纵向分级；按信息系统脆弱程度、可用程度纵向分级，完成资产从发现、导入、存续管理、风险分析、变更监控及下线退库等全生命周期的管理，即有主资产自动匹配责任部门，无主资产自动发现、走认领流程补充确认后上线入库，支持资产字段灵活扩展，关键信息全局检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1）全息档案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a、单位档案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单位档案子系统提供单位监测和刻画能力，以网络空间地理信息图谱实现对单位的全面掌控。并为每个单位构建起档案，基于多方采集的数据，对单位进行全方位管理和刻画。同时，提供可视化档案呈现和档案管理功能，支持通过单位名称、单位行业、单位类型、单位标签、单位简称、单位状态、联系人、备案号等信息进行单位检索和根据类型统计单位资产信息，包括但不限于单位总数、风险单位个数、风险单位行业分布和风险单位排名。</w:t>
      </w:r>
      <w:bookmarkStart w:id="108" w:name="_Hlk28883151"/>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单位档案主要内容包括单位基本信息、安全检测、人员信息、业务系统、资产、供应链、档案时光轴等。</w:t>
      </w:r>
    </w:p>
    <w:bookmarkEnd w:id="108"/>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b、系统档案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系统档案子系统提供系统监测和刻画能力，以网络空间地理信息图谱实现对业务系统的全面掌控，真正反应网络资产的安全状态，从而打破信息壁垒，消除信息孤岛，为网络安全事件调查处置提供基础数据支撑，为重点活动期间网络安保业务提供重点系统关注能力。同时，提供可视化档案呈现和档案管理功能，支持通过单位名称、系统域名、风险系统、系统名称、系统类型、系统标签、系统IP、服务组件等信息进行系统资产检索，支持卡片式、缩略图方式展示系统信息，展示内容包括系统名称、官网IP、详细地址、安全事件、网络攻击、风险隐患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系统档案支持系统画像快速浏览，信息至少包括系统信息、安全监测、供应链、基础网络、人员信息、单位信息、档案时光轴等。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c、IP资产档案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IP资产管理覆盖云主机、服务器、终端等资产类型，通过快速筛选地区信息和监管组织架构，筛选出被监管的资产，支持通过所属单位、行业、IPv4、IPv6等属性对资产进行精确定位，从安全事件、网络攻击、风险隐患对资产进行综合安全评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资产管理以资产卡片、资产缩略图、资产管理三种方式进行显示，直观展示IP资产的详细信息，并对IP相关重点信息进行提取显示，如对应单位名称、资产标签、对应的安全事件情况、网络攻击情况和风险隐患情况等。 </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可以通过单位名称、资产类型、资产标签、资产评级、资产来源等条件进行灵活筛选查看详情。对资产的安全情况进行评级，支持已失陷资产、高风险资产、低风险资产的数量统计，并可通过风险系统变化趋势管控趋势图查看资产风险变化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现对资产信息的管理维护，通过“新增”功能可增加资产信息，输入字段包括资产名称、单位名称、资产类型、资产标签、责任人、资产重要性等基本信息和是否国产化、是否物联网设备等扩展字段信息，并支持资产的批量导入导出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2）数据资产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资产管理提供完整的数据源管理功能，帮助用户直观、清晰、便捷的完成数据源档案过滤、检索、全局分析和数据库专项分析。支持展示不同区域或组织架构的数据源情况。支持通过数据库名称、数据库类型、主机、数据库标签查询，支持通过安全等级、行业等标签过滤检索，根据检索结果统计分析并显示数据库概览，包括数据库总数和敏感库总数；支持根据单位统计敏感库top10；支持根据数据库安全等级统计数据库敏感分布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卡片式、表格形式展示数据源档案信息，展示内容包括数据库卡片显示数据库名称，数据库类型、所属单位、主机、端口、所属行业、否是敏感库、安全等级分级、数据来源、数据主题信息，标记重要数据库，统计敏感表、数据表、告警数、安全事件、安全隐患。</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a、数据源档案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数据源档案子系统包括数据源概览、基本信息、数据表信息、隐患信息、安全事件信息、威胁告警信息。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b、数据表档案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数据表档案子系统包括数据表概览、基本信息、数据项信息、隐患信息、安全事件信息、威胁告警信息。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c、接口档案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包括接口概览、基本信息、隐患信息、安全事件信息、威胁告警信息。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3）网络规划</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规划用于管理网络规划的安全域网段信息，对安全域的网络环境、IPv4网段、IPv6网段、防御设备、负责人等信息进行结构化管理，提供安全域信息新增、编辑、删除、检索，导入、导出、批量操作功能，提供卡片式快速预览安全域中IP分配数、已使用IP数、存在的事件和隐患，提供安全域全息档案详细展示安全域名称、归属单位、所属网络、IP网段分配、防御设备部署、联系人等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单位网络规划管理，可定义安全域名称、单位名称、网络环境、安全域重要性、安全域属性标签、等级保护、是否政务云、是否关基资产、否归属地区归属行业、是否固定IP、经纬度、安全防御、联系人等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4）网络管理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网络管理包括CDN数据、IDC数据、ICP备案数据，网络安全运行平台将各个数据来源收集到的数据进行归纳整理，便于查询检索本地基础网络相关数据。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CDN数据包括CDN厂商名称、IP地址、运营商信息、地理位置信息，可按照多种条件进行组合查询，并对CDN厂商、CDN节点分布情况进行统计展示。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IDC数据包括IP范围、运营商、地理位置、关联机房等信息，并支持查看某个IDC的安全状况。维护IDC信息时，可新增IDC所包括的机房信息。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ICP数据包括域名、备案单位、单位行政归属、ICP备案号、备案有效性等信息，可按照多种条件进行组合查询，并对区域分布情况、单位性质分布情况进行统计展示。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5）业务全景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现以业务资产视角，辅助用户以资产为核心的工作层面之上构建一个面向业务部门和管理层的业务资产模型。业务全景功能主要管理用户的业务支撑系统，实现业务资产拓扑和资产安全等级评价等功能，为用户提供业务的实时监控能力，保障用户业务的可持续平稳运行。</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主要功能如下：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提供安全资产拓扑视图，支持根据网络架构自定义资产拓扑，支持拓扑的模板导入和编辑好的资产拓扑文件导出；用户可以根据具体的业务流程构建相应的业务模型，支持业务模型的管理功能。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6）人员管理</w:t>
      </w:r>
    </w:p>
    <w:p>
      <w:pPr>
        <w:adjustRightInd w:val="0"/>
        <w:snapToGrid w:val="0"/>
        <w:spacing w:line="360" w:lineRule="auto"/>
        <w:ind w:firstLine="424" w:firstLineChars="200"/>
        <w:rPr>
          <w:rFonts w:ascii="宋体" w:hAnsi="宋体" w:cs="宋体"/>
          <w:szCs w:val="21"/>
          <w:highlight w:val="none"/>
        </w:rPr>
      </w:pPr>
      <w:bookmarkStart w:id="109" w:name="_Hlk28883287"/>
      <w:r>
        <w:rPr>
          <w:rFonts w:hint="eastAsia" w:ascii="宋体" w:hAnsi="宋体" w:cs="宋体"/>
          <w:szCs w:val="21"/>
          <w:highlight w:val="none"/>
        </w:rPr>
        <w:t>人员管理可实现对具备网络安全能力的人员情况的全面掌控，对其是否就职于网络安全企业或参加过网络安全大赛等信息进行分析，并对其网络行为日志进行监控与审计，及时了解重点人员情况，为网络安全业务从业人员评估提供参考依据，为重点活动期间网络安保业务提供重点人员关注能力。</w:t>
      </w:r>
      <w:bookmarkEnd w:id="109"/>
      <w:r>
        <w:rPr>
          <w:rFonts w:hint="eastAsia" w:ascii="宋体" w:hAnsi="宋体" w:cs="宋体"/>
          <w:szCs w:val="21"/>
          <w:highlight w:val="none"/>
        </w:rPr>
        <w:t>系统既提供可视化档案呈现能力，同时提供人员档案管理系统。</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a、人员统计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人员档案子系统基于多方采集的数据，对涉网人员进行全方位刻画，直观显示重点人员数量统计，对其基本信息、网络身份、涉网技能、教育情况进行全息刻画，形成辖区内涉网安全相关重点人员库，并根据业务需求划分多个子库。</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b、标签统计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针对入库重点人员进行打标签，标签类型包括前科人员库、涉关基人员库、安全服务人员库、系统开发人员库、网络安全专业人员库、特殊技能（网络安全）人员库、CTF人员库等。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c、分布统计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采用地图画域方式展示该地区重点人员数量或通过饼状图、柱状图形式按照前科人员、职业、年龄、行业等维度显示重点人员占比情况。</w:t>
      </w:r>
    </w:p>
    <w:p>
      <w:pPr>
        <w:adjustRightInd w:val="0"/>
        <w:snapToGrid w:val="0"/>
        <w:spacing w:line="360" w:lineRule="auto"/>
        <w:ind w:firstLine="424" w:firstLineChars="200"/>
        <w:rPr>
          <w:rFonts w:ascii="宋体" w:hAnsi="宋体" w:cs="宋体"/>
          <w:szCs w:val="21"/>
          <w:highlight w:val="none"/>
        </w:rPr>
      </w:pPr>
      <w:bookmarkStart w:id="110" w:name="_Toc146036693"/>
      <w:r>
        <w:rPr>
          <w:rFonts w:hint="eastAsia" w:ascii="宋体" w:hAnsi="宋体" w:cs="宋体"/>
          <w:szCs w:val="21"/>
          <w:highlight w:val="none"/>
        </w:rPr>
        <w:t>（3）感知中心</w:t>
      </w:r>
      <w:bookmarkEnd w:id="110"/>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全感知中心提供网络安全威胁可视化的入口，基于网络安全运行平台获取的各类监测数据及日常业务流转产生的业务数据，以网络安全事件与威胁风险监测为驱动，对网络空间安全相关信息进行汇聚融合，从不同视角感知网络安全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感知中心系统以单位数据、资产数据、网络安全事件与威胁风险监测为驱动，基于多维态势可视化技术，对网络空间安全相关信息进行汇聚融合，从不同视角出发感知网络安全态势，包括但不限于安全运营态势、综合监管态势、外部攻击态势、资产态势、应用系统态势等视角。</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1）安全运营态势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按照本日、本周、本月、本年、近7天、近30天维度进行统计，支持政务云实例、骨干网设备、入网终端、应用系统、数据库的数据展示，可展示制度规范，并支持预览。支持统计安全运营机构、安全联络员、首席安全运营官，支持展示安全值守联络员和今日值班人员。支持安全事件、风险隐患、网络攻击事件的展示，并支持下钻。支持地图形式展示各区域安全告警和待办工单数量，并支持下钻。</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2）综合监管态势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综合监管态势汇聚单位、资产、威胁风险、网络攻击、安全事件、预警处置等总体情况，通过多维图形可视化方式及实时更新的动态趋势数值进行综合呈现。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综合监管态势大屏通过“网络空间-地图空间-单位拓扑”三层映射关系，可直观了解本地资产情况、网络安全监测成果、黑客动态、通报情况、资产分布和网络攻击趋势等，多维统计数据全部支持查看详情，针对隐患情况、事件情况、网络攻击情况可直接下发通报处置任务，实现“一张屏”协调指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通过综合监管态势实现网络安全保障措施从网络虚拟空间到城市地理空间和企业网物理空间的互联互通全面贯彻，让监管者能够一张屏看清资产底数，探明风险隐患，下发整改通知，协同追捕攻击者。</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3）资产失陷态势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失陷态势汇集重要信息系统、网站、终端等不同资产信息，实时获取和分析当前失陷资产总数、分布区域、外联类型、危险等级等情况。结合地图、表单、趋势曲线并通过大屏进行生动呈现，可查看资产失陷事件详情，包括资产所属IP或IP段、远控地址、攻击类型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4）威胁态势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威胁态势通过分析漏洞、木马、病毒、篡改、非法关键字等不同威胁类型，结合对重要信息系统的监测、第三方威胁情报数据、历史积累数据等多方数据来源，实时获取和分析当前安全威胁总数、类型数量、区域分布、数据来源分布、典型漏洞分布等信息，以及最新监测发现的威胁详情，如存在威胁风险的URL、监测发现时间、等级、详细描述及威胁处理建议等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5）隐患态势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隐患态势展现当前各类隐患数据统计及分布情况，具体包括六种隐患统计数量、专项隐患情况、各类隐患数据源统计、行政区域隐患统计、行业隐患分布、隐患系统TOP5、最新隐患、隐患趋势等信息。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6）事件态势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事件态势主要汇总网络安全运行平台发现的各类网络安全事件，按照网络攻击事件分类标准对事件进行分类，实时获取不同事件类型及总量，分析事件地域、行业、时间分布，结合网络攻击事件快照抓取技术进行证据留存。可查看最新安全事件发生时间、事件类型，以及所涉重要信息系统IP、所在地区、所属行业、事件截图等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7）预警态势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预警态势主要针对安全事件和威胁风险的预警处置工作进行分析及可视化呈现。针对存在威胁风险隐患，通常进行预警通报，并提供提醒和限期整改两种预警方式。针对已发生的安全事件，可发布安全事件通报，要求相关单位开展应急响应工作。预警处置态势对上述业务过程产生的各类数据进行统计分析，呈现各类业务类型统计、时间趋势分布、区域分布、行业响应处理效率、最新预警处置处理进度等信息，实时把控预警处置工作开展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8）外部攻击态势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外部攻击态势通过分析漏洞、木马、病毒、篡改等不同威胁类型，结合对重要信息系统的监测、第三方威胁情报数据、历史积累数据等多方数据来源，实时获取和分析当前本地区受到的攻击总数、攻击类型情况、受攻击区域分布、攻击来源分布等信息，并借助网络安全杀伤链模型进行威胁分析，将攻击按照侦察、投递、利用、横向渗透、命令控制、内部侦察、获利七个步骤进行归类，实时掌握本地区收到的攻击状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9）应用系统态势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应用安全态势提供应用服务的被访问状态和受攻击情况统计，包括网站区域访问量、访问地区排行、访问/攻击IP排行、被攻击网站排行，攻击类型排行，网站访问或攻击变化趋势等。结合柱状图、动态迁徙图对主要攻击类型、攻击源、被攻击目标、访问源、被访问对象分布、排行进行实时动态呈现。</w:t>
      </w:r>
    </w:p>
    <w:p>
      <w:pPr>
        <w:adjustRightInd w:val="0"/>
        <w:snapToGrid w:val="0"/>
        <w:spacing w:line="360" w:lineRule="auto"/>
        <w:ind w:firstLine="424" w:firstLineChars="200"/>
        <w:rPr>
          <w:rFonts w:ascii="宋体" w:hAnsi="宋体" w:cs="宋体"/>
          <w:szCs w:val="21"/>
          <w:highlight w:val="none"/>
        </w:rPr>
      </w:pPr>
      <w:bookmarkStart w:id="111" w:name="_Toc146036694"/>
      <w:r>
        <w:rPr>
          <w:rFonts w:hint="eastAsia" w:ascii="宋体" w:hAnsi="宋体" w:cs="宋体"/>
          <w:szCs w:val="21"/>
          <w:highlight w:val="none"/>
        </w:rPr>
        <w:t>（4）响应中心</w:t>
      </w:r>
      <w:bookmarkEnd w:id="111"/>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响应中心子系统</w:t>
      </w:r>
      <w:r>
        <w:rPr>
          <w:rFonts w:hint="eastAsia" w:ascii="宋体" w:hAnsi="宋体" w:cs="宋体"/>
          <w:szCs w:val="21"/>
          <w:highlight w:val="none"/>
          <w:lang w:eastAsia="zh-CN"/>
        </w:rPr>
        <w:t>配置</w:t>
      </w:r>
      <w:r>
        <w:rPr>
          <w:rFonts w:hint="eastAsia" w:ascii="宋体" w:hAnsi="宋体" w:cs="宋体"/>
          <w:szCs w:val="21"/>
          <w:highlight w:val="none"/>
        </w:rPr>
        <w:t>将监测到的漏洞隐患或安全事件按照信息系统网络安全事件隐患分级标准进行通报下发、预警提醒或限期整改</w:t>
      </w:r>
      <w:r>
        <w:rPr>
          <w:rFonts w:hint="eastAsia" w:ascii="宋体" w:hAnsi="宋体" w:cs="宋体"/>
          <w:szCs w:val="21"/>
          <w:highlight w:val="none"/>
          <w:lang w:val="en-US" w:eastAsia="zh-CN"/>
        </w:rPr>
        <w:t>等功能</w:t>
      </w:r>
      <w:r>
        <w:rPr>
          <w:rFonts w:hint="eastAsia" w:ascii="宋体" w:hAnsi="宋体" w:cs="宋体"/>
          <w:szCs w:val="21"/>
          <w:highlight w:val="none"/>
        </w:rPr>
        <w:t>，被通报的单位反馈处置结果，从而实现通报预警工作流程化管理；支持其他通报方式，包括但不限于短信、邮件、APP等；支持对通报情况和处理情况进行统计展现和提供不同类型的通报报告。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将网络安全运行平台下发或本地安全监测、情报中心、等保备案等子系统产生的安全和管理数据进行分级、分类归纳分析</w:t>
      </w:r>
      <w:r>
        <w:rPr>
          <w:rFonts w:hint="eastAsia" w:ascii="宋体" w:hAnsi="宋体" w:cs="宋体"/>
          <w:szCs w:val="21"/>
          <w:highlight w:val="none"/>
          <w:lang w:val="en-US" w:eastAsia="zh-CN"/>
        </w:rPr>
        <w:t>等功能</w:t>
      </w:r>
      <w:r>
        <w:rPr>
          <w:rFonts w:hint="eastAsia" w:ascii="宋体" w:hAnsi="宋体" w:cs="宋体"/>
          <w:szCs w:val="21"/>
          <w:highlight w:val="none"/>
        </w:rPr>
        <w:t>，自动形成通报报告，并通过离线方式导出至互联网区的响应中心子系统，并按照不同情况分别通报和进行处置通报反馈的业务流程。同时，支持将本地监测发现的网络安全事件上报。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安全响应流程业务逻辑架构如下：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drawing>
          <wp:inline distT="0" distB="0" distL="0" distR="0">
            <wp:extent cx="5274310" cy="2651125"/>
            <wp:effectExtent l="0" t="0" r="2540" b="1587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4310" cy="2651125"/>
                    </a:xfrm>
                    <a:prstGeom prst="rect">
                      <a:avLst/>
                    </a:prstGeom>
                    <a:noFill/>
                    <a:ln>
                      <a:noFill/>
                    </a:ln>
                  </pic:spPr>
                </pic:pic>
              </a:graphicData>
            </a:graphic>
          </wp:inline>
        </w:drawing>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1）信息公告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信息公告分为发布公告和公告跟进两个功能模块。主要用于发布重大资讯、公告等信息，可跟进下级部门和相关单位消息查阅情况。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a、发布公告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发布重大信息、资讯</w:t>
      </w:r>
      <w:r>
        <w:rPr>
          <w:rFonts w:hint="eastAsia" w:ascii="宋体" w:hAnsi="宋体" w:cs="宋体"/>
          <w:szCs w:val="21"/>
          <w:highlight w:val="none"/>
          <w:lang w:val="en-US" w:eastAsia="zh-CN"/>
        </w:rPr>
        <w:t>等功能</w:t>
      </w:r>
      <w:r>
        <w:rPr>
          <w:rFonts w:hint="eastAsia" w:ascii="宋体" w:hAnsi="宋体" w:cs="宋体"/>
          <w:szCs w:val="21"/>
          <w:highlight w:val="none"/>
        </w:rPr>
        <w:t>，可批量选择相关接收单位。</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b、公告跟进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查询相关发布的重大通知公告以及跟进对应接收人查阅情况</w:t>
      </w:r>
      <w:r>
        <w:rPr>
          <w:rFonts w:hint="eastAsia" w:ascii="宋体" w:hAnsi="宋体" w:cs="宋体"/>
          <w:szCs w:val="21"/>
          <w:highlight w:val="none"/>
          <w:lang w:val="en-US" w:eastAsia="zh-CN"/>
        </w:rPr>
        <w:t>等功能</w:t>
      </w:r>
      <w:r>
        <w:rPr>
          <w:rFonts w:hint="eastAsia" w:ascii="宋体" w:hAnsi="宋体" w:cs="宋体"/>
          <w:szCs w:val="21"/>
          <w:highlight w:val="none"/>
        </w:rPr>
        <w:t>。</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公告信息列表查看</w:t>
      </w:r>
      <w:r>
        <w:rPr>
          <w:rFonts w:hint="eastAsia" w:ascii="宋体" w:hAnsi="宋体" w:cs="宋体"/>
          <w:szCs w:val="21"/>
          <w:highlight w:val="none"/>
          <w:lang w:val="en-US" w:eastAsia="zh-CN"/>
        </w:rPr>
        <w:t>等功能</w:t>
      </w:r>
      <w:r>
        <w:rPr>
          <w:rFonts w:hint="eastAsia" w:ascii="宋体" w:hAnsi="宋体" w:cs="宋体"/>
          <w:szCs w:val="21"/>
          <w:highlight w:val="none"/>
        </w:rPr>
        <w:t>，字段包括标题、发布时间、查阅进度。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跟进公告查询进度</w:t>
      </w:r>
      <w:r>
        <w:rPr>
          <w:rFonts w:hint="eastAsia" w:ascii="宋体" w:hAnsi="宋体" w:cs="宋体"/>
          <w:szCs w:val="21"/>
          <w:highlight w:val="none"/>
          <w:lang w:val="en-US" w:eastAsia="zh-CN"/>
        </w:rPr>
        <w:t>等功能</w:t>
      </w:r>
      <w:r>
        <w:rPr>
          <w:rFonts w:hint="eastAsia" w:ascii="宋体" w:hAnsi="宋体" w:cs="宋体"/>
          <w:szCs w:val="21"/>
          <w:highlight w:val="none"/>
        </w:rPr>
        <w:t>，包括已查阅人员和未查阅人员情况。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公告信息的查询</w:t>
      </w:r>
      <w:r>
        <w:rPr>
          <w:rFonts w:hint="eastAsia" w:ascii="宋体" w:hAnsi="宋体" w:cs="宋体"/>
          <w:szCs w:val="21"/>
          <w:highlight w:val="none"/>
          <w:lang w:val="en-US" w:eastAsia="zh-CN"/>
        </w:rPr>
        <w:t>等功能</w:t>
      </w:r>
      <w:r>
        <w:rPr>
          <w:rFonts w:hint="eastAsia" w:ascii="宋体" w:hAnsi="宋体" w:cs="宋体"/>
          <w:szCs w:val="21"/>
          <w:highlight w:val="none"/>
        </w:rPr>
        <w:t>，查询条件包括发布时间、标题等。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公告详情的查看</w:t>
      </w:r>
      <w:r>
        <w:rPr>
          <w:rFonts w:hint="eastAsia" w:ascii="宋体" w:hAnsi="宋体" w:cs="宋体"/>
          <w:szCs w:val="21"/>
          <w:highlight w:val="none"/>
          <w:lang w:val="en-US" w:eastAsia="zh-CN"/>
        </w:rPr>
        <w:t>等功能</w:t>
      </w:r>
      <w:r>
        <w:rPr>
          <w:rFonts w:hint="eastAsia" w:ascii="宋体" w:hAnsi="宋体" w:cs="宋体"/>
          <w:szCs w:val="21"/>
          <w:highlight w:val="none"/>
        </w:rPr>
        <w:t>，信息包括标题、内容、图片、接收单位。</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提醒操作</w:t>
      </w:r>
      <w:r>
        <w:rPr>
          <w:rFonts w:hint="eastAsia" w:ascii="宋体" w:hAnsi="宋体" w:cs="宋体"/>
          <w:szCs w:val="21"/>
          <w:highlight w:val="none"/>
          <w:lang w:val="en-US" w:eastAsia="zh-CN"/>
        </w:rPr>
        <w:t>等功能</w:t>
      </w:r>
      <w:r>
        <w:rPr>
          <w:rFonts w:hint="eastAsia" w:ascii="宋体" w:hAnsi="宋体" w:cs="宋体"/>
          <w:szCs w:val="21"/>
          <w:highlight w:val="none"/>
        </w:rPr>
        <w:t>，若相关接收单位未及时查询相关信息公告，可对其进行提醒。</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2）任务管理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针对发现的安全隐患、安全事件可通过通报督促相关单位进行整改，除在通报页面直接发起通报外，可实现网络安全运行平台数据无缝对接，网络安全运行平台可接收回复上级通报情况。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创建任务看板功能，实现对通报情况和处理情况进行统计展现，支持图表模式和列表模式。可按照区域或时间进行筛选查询，其中总览情况统计内容主要包括事件通报、限期整改、超时提醒、通知等；同时支持事件通报效率、隐患通报效率统计及区域通报统计（包括事件通报数、限期整改数、提醒数、通知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3）通报管理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安全事件、安全隐患和安全情况发起通报</w:t>
      </w:r>
      <w:r>
        <w:rPr>
          <w:rFonts w:hint="eastAsia" w:ascii="宋体" w:hAnsi="宋体" w:cs="宋体"/>
          <w:szCs w:val="21"/>
          <w:highlight w:val="none"/>
          <w:lang w:val="en-US" w:eastAsia="zh-CN"/>
        </w:rPr>
        <w:t>等功能</w:t>
      </w:r>
      <w:r>
        <w:rPr>
          <w:rFonts w:hint="eastAsia" w:ascii="宋体" w:hAnsi="宋体" w:cs="宋体"/>
          <w:szCs w:val="21"/>
          <w:highlight w:val="none"/>
        </w:rPr>
        <w:t>，可填写成员单位、单位接收人、选择是否同步给上级主管、选择抄送人、事件备注及附件上传等。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成员单位收到通报后开展处置，将处置结果按时限及时上报。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a、安全事件</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将用户发送的通报、收到的通报和抄送安全事件通报按照通报流程的生命周期进行汇总统计</w:t>
      </w:r>
      <w:r>
        <w:rPr>
          <w:rFonts w:hint="eastAsia" w:ascii="宋体" w:hAnsi="宋体" w:cs="宋体"/>
          <w:szCs w:val="21"/>
          <w:highlight w:val="none"/>
          <w:lang w:val="en-US" w:eastAsia="zh-CN"/>
        </w:rPr>
        <w:t>等功能</w:t>
      </w:r>
      <w:r>
        <w:rPr>
          <w:rFonts w:hint="eastAsia" w:ascii="宋体" w:hAnsi="宋体" w:cs="宋体"/>
          <w:szCs w:val="21"/>
          <w:highlight w:val="none"/>
        </w:rPr>
        <w:t>，可查看通报的事件信息，包括通报的详情（包括发布人、接收人、通报状态等）、事件详情、该次通报的通报记录等信息，实现对整个通报过程进行跟踪记录。通报未完成或未通报的可在网络安全运行平台上进行通报，实现WEB通报和移动端通报的同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回复通报的信息</w:t>
      </w:r>
      <w:r>
        <w:rPr>
          <w:rFonts w:hint="eastAsia" w:ascii="宋体" w:hAnsi="宋体" w:cs="宋体"/>
          <w:szCs w:val="21"/>
          <w:highlight w:val="none"/>
          <w:lang w:val="en-US" w:eastAsia="zh-CN"/>
        </w:rPr>
        <w:t>等功能</w:t>
      </w:r>
      <w:r>
        <w:rPr>
          <w:rFonts w:hint="eastAsia" w:ascii="宋体" w:hAnsi="宋体" w:cs="宋体"/>
          <w:szCs w:val="21"/>
          <w:highlight w:val="none"/>
        </w:rPr>
        <w:t>，支持上传通报报告等附件。</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b、风险隐患</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将用户发送的通报、收到的通报和抄送安全隐患通报进行统一汇总，可查看通报的隐患信息，包括通报的详情（包括发布人、接收人、通报状态等）、隐患详情、该次通报的通报记录等信息，实现对整个通报过程进行跟踪记录。</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回复通报的信息</w:t>
      </w:r>
      <w:r>
        <w:rPr>
          <w:rFonts w:hint="eastAsia" w:ascii="宋体" w:hAnsi="宋体" w:cs="宋体"/>
          <w:szCs w:val="21"/>
          <w:highlight w:val="none"/>
          <w:lang w:val="en-US" w:eastAsia="zh-CN"/>
        </w:rPr>
        <w:t>等功能</w:t>
      </w:r>
      <w:r>
        <w:rPr>
          <w:rFonts w:hint="eastAsia" w:ascii="宋体" w:hAnsi="宋体" w:cs="宋体"/>
          <w:szCs w:val="21"/>
          <w:highlight w:val="none"/>
        </w:rPr>
        <w:t>，支持上传通报报告等附件。</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c、安全情况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汇总分析近期发生的网络安全事件，并发布网络安全事件分析报告。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4）预警管理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当爆发重大漏洞时可以通过预警功能对各区域、各单位进行安全预警。督促相关单位修复安全隐患，避免安全隐患成为安全事件。可通过预警详情查看各单位接收阅读情况。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安全事件风险预警等级共分为四级：由高到低依次用为红色预警、橙色预警、黄色预警和蓝色预警表示，分别对应表示发生或可能发生特别重大、重大、较大和一般极危、高危、中危和低危网络安全事件风险。</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业务流程说明：</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网络空间发现风险险情（如新的重大隐患、破坏性严重的木马病毒、针对本区域的网络攻击事件）；</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组织涉网监管单位、网络安全专家组、安全企业、技术支撑单位开展分析研判，并在网络安全运行平台汇集研判结果、判断级别及报告；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组织决策是否发起预警；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在平台中筛选匹配资产底数，明确影响范围；</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填写预警信息，根据影响范围选择预警接收范围，明确受影响清单的，预警信息附带受影响的资产清单，要求重点处置；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发起专项预警，对其他参与者进行信息抄送；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受影响单位开展专项行动，安全企业、技术支撑单位、专家团队提供技术支持；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反馈处置结果；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完成专项预警响应；</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解除预警。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5）通知管理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网络安全运行平台完成通知、公告等信息下发，做到信息通报的及时性和线上工作留痕。也可以通过通知管理功能完成信息调查调研等。支持新建通知，包括标题、内容，选择接收单位、接收人（选择本辖区或下辖区域的单位接收人），上传附件，点击发布即可完成发布通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信息公告分为发布公告和公告跟进两个功能模块。主要用于发布重大资讯、公告等信息，可跟进下级部门和相关单位消息查阅情况。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a、发布公告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发布重大信息、资讯等</w:t>
      </w:r>
      <w:r>
        <w:rPr>
          <w:rFonts w:hint="eastAsia" w:ascii="宋体" w:hAnsi="宋体" w:cs="宋体"/>
          <w:szCs w:val="21"/>
          <w:highlight w:val="none"/>
          <w:lang w:val="en-US" w:eastAsia="zh-CN"/>
        </w:rPr>
        <w:t>功能</w:t>
      </w:r>
      <w:r>
        <w:rPr>
          <w:rFonts w:hint="eastAsia" w:ascii="宋体" w:hAnsi="宋体" w:cs="宋体"/>
          <w:szCs w:val="21"/>
          <w:highlight w:val="none"/>
        </w:rPr>
        <w:t>，可批量选择相关接收单位。</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b、公告跟进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查询相关发布的重大通知公告以及跟进对应接收人查阅情况</w:t>
      </w:r>
      <w:r>
        <w:rPr>
          <w:rFonts w:hint="eastAsia" w:ascii="宋体" w:hAnsi="宋体" w:cs="宋体"/>
          <w:szCs w:val="21"/>
          <w:highlight w:val="none"/>
          <w:lang w:val="en-US" w:eastAsia="zh-CN"/>
        </w:rPr>
        <w:t>等功能</w:t>
      </w:r>
      <w:r>
        <w:rPr>
          <w:rFonts w:hint="eastAsia" w:ascii="宋体" w:hAnsi="宋体" w:cs="宋体"/>
          <w:szCs w:val="21"/>
          <w:highlight w:val="none"/>
        </w:rPr>
        <w:t>。</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公告信息列表查看</w:t>
      </w:r>
      <w:r>
        <w:rPr>
          <w:rFonts w:hint="eastAsia" w:ascii="宋体" w:hAnsi="宋体" w:cs="宋体"/>
          <w:szCs w:val="21"/>
          <w:highlight w:val="none"/>
          <w:lang w:val="en-US" w:eastAsia="zh-CN"/>
        </w:rPr>
        <w:t>等功能</w:t>
      </w:r>
      <w:r>
        <w:rPr>
          <w:rFonts w:hint="eastAsia" w:ascii="宋体" w:hAnsi="宋体" w:cs="宋体"/>
          <w:szCs w:val="21"/>
          <w:highlight w:val="none"/>
        </w:rPr>
        <w:t>，字段包括标题、发布时间、查阅进度。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跟进公告查询进度</w:t>
      </w:r>
      <w:r>
        <w:rPr>
          <w:rFonts w:hint="eastAsia" w:ascii="宋体" w:hAnsi="宋体" w:cs="宋体"/>
          <w:szCs w:val="21"/>
          <w:highlight w:val="none"/>
          <w:lang w:val="en-US" w:eastAsia="zh-CN"/>
        </w:rPr>
        <w:t>等功能</w:t>
      </w:r>
      <w:r>
        <w:rPr>
          <w:rFonts w:hint="eastAsia" w:ascii="宋体" w:hAnsi="宋体" w:cs="宋体"/>
          <w:szCs w:val="21"/>
          <w:highlight w:val="none"/>
        </w:rPr>
        <w:t>，包括已查阅人员和未查阅人员情况。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公告信息的查询</w:t>
      </w:r>
      <w:r>
        <w:rPr>
          <w:rFonts w:hint="eastAsia" w:ascii="宋体" w:hAnsi="宋体" w:cs="宋体"/>
          <w:szCs w:val="21"/>
          <w:highlight w:val="none"/>
          <w:lang w:val="en-US" w:eastAsia="zh-CN"/>
        </w:rPr>
        <w:t>等功能</w:t>
      </w:r>
      <w:r>
        <w:rPr>
          <w:rFonts w:hint="eastAsia" w:ascii="宋体" w:hAnsi="宋体" w:cs="宋体"/>
          <w:szCs w:val="21"/>
          <w:highlight w:val="none"/>
        </w:rPr>
        <w:t>，查询条件包括发布时间、标题等。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公告详情的查看</w:t>
      </w:r>
      <w:r>
        <w:rPr>
          <w:rFonts w:hint="eastAsia" w:ascii="宋体" w:hAnsi="宋体" w:cs="宋体"/>
          <w:szCs w:val="21"/>
          <w:highlight w:val="none"/>
          <w:lang w:val="en-US" w:eastAsia="zh-CN"/>
        </w:rPr>
        <w:t>等功能</w:t>
      </w:r>
      <w:r>
        <w:rPr>
          <w:rFonts w:hint="eastAsia" w:ascii="宋体" w:hAnsi="宋体" w:cs="宋体"/>
          <w:szCs w:val="21"/>
          <w:highlight w:val="none"/>
        </w:rPr>
        <w:t>，信息包括标题、内容、图片、接收单位。</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提醒操作</w:t>
      </w:r>
      <w:r>
        <w:rPr>
          <w:rFonts w:hint="eastAsia" w:ascii="宋体" w:hAnsi="宋体" w:cs="宋体"/>
          <w:szCs w:val="21"/>
          <w:highlight w:val="none"/>
          <w:lang w:val="en-US" w:eastAsia="zh-CN"/>
        </w:rPr>
        <w:t>等功能</w:t>
      </w:r>
      <w:r>
        <w:rPr>
          <w:rFonts w:hint="eastAsia" w:ascii="宋体" w:hAnsi="宋体" w:cs="宋体"/>
          <w:szCs w:val="21"/>
          <w:highlight w:val="none"/>
        </w:rPr>
        <w:t>，若相关接收单位未及时查询相关信息公告，对应人员可对其进行提醒。</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6）综合报告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安全运行平台能提供四种类型的报告包括综合报告、安全通报报告、整改通知书、整改统计报告。支持针对四种报告设置报告模板，包括设置首页LOGO、页眉页脚、具体报告文案等信息。支持用户自主选择报告数据范围，时间范围等；支持查看历史生成的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a、综合报告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可按照区域、时间范围生成综合报告，报告主要描述该区域内的安全风险总体概况、资产分布情况统计、漏洞情况统计及趋势分析、安全事件统计及趋势分析、响应处置情况统计、网络安全运行平台使用情况、APP使用情况等。支持查询及下载历史报告和将报告发送到指定邮箱。</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b、安全通报报告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可按照区域、行业、危险等级、具体单位、具体网站等维度生成安全通报报告。以单位或信息系统的角度统计单位或信息系统所面临的漏洞、威胁、攻击事件等情况，并能提供相关整改建议。支持查询及下载历史报告和将报告发送到指定邮箱。</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c、整改通知书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可使用设置的整改通知书模板，按照区域、行业、危险等级、单位、网站、限期整改时间等维度生成整改通知书，并提供相关整改建议。支持查询及下载整改通知书和发送到指定邮箱。</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d、整改统计报告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可按照区域、时间等维度生成整改统计报告。对未通报事件、已通报事件、整改中事件、整改结束事件和逾期未整改事件进行统计。支持查询及下载整改统计报告和发送到指定邮箱。</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e、报告模板设置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根据预先设定的模板</w:t>
      </w:r>
      <w:r>
        <w:rPr>
          <w:rFonts w:hint="eastAsia" w:ascii="宋体" w:hAnsi="宋体" w:cs="宋体"/>
          <w:szCs w:val="21"/>
          <w:highlight w:val="none"/>
          <w:lang w:val="en-US" w:eastAsia="zh-CN"/>
        </w:rPr>
        <w:t>等功能</w:t>
      </w:r>
      <w:r>
        <w:rPr>
          <w:rFonts w:hint="eastAsia" w:ascii="宋体" w:hAnsi="宋体" w:cs="宋体"/>
          <w:szCs w:val="21"/>
          <w:highlight w:val="none"/>
        </w:rPr>
        <w:t>，生成整改通知书。整改通知书包含区域、行业、网站等级、单位类型、具体单位、具体网站等信息。并支持查看整改统计报告。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7）结果复核</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相关责任单位提交隐患整改结果或事件处置结果后，可对其反馈结果进行复核操作</w:t>
      </w:r>
      <w:r>
        <w:rPr>
          <w:rFonts w:hint="eastAsia" w:ascii="宋体" w:hAnsi="宋体" w:cs="宋体"/>
          <w:szCs w:val="21"/>
          <w:highlight w:val="none"/>
          <w:lang w:val="en-US" w:eastAsia="zh-CN"/>
        </w:rPr>
        <w:t>等功能</w:t>
      </w:r>
      <w:r>
        <w:rPr>
          <w:rFonts w:hint="eastAsia" w:ascii="宋体" w:hAnsi="宋体" w:cs="宋体"/>
          <w:szCs w:val="21"/>
          <w:highlight w:val="none"/>
        </w:rPr>
        <w:t>。</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待复核任务的展示</w:t>
      </w:r>
      <w:r>
        <w:rPr>
          <w:rFonts w:hint="eastAsia" w:ascii="宋体" w:hAnsi="宋体" w:cs="宋体"/>
          <w:szCs w:val="21"/>
          <w:highlight w:val="none"/>
          <w:lang w:val="en-US" w:eastAsia="zh-CN"/>
        </w:rPr>
        <w:t>等功能</w:t>
      </w:r>
      <w:r>
        <w:rPr>
          <w:rFonts w:hint="eastAsia" w:ascii="宋体" w:hAnsi="宋体" w:cs="宋体"/>
          <w:szCs w:val="21"/>
          <w:highlight w:val="none"/>
        </w:rPr>
        <w:t>，展示字段包括任务名称、等级、反馈时间、通报时间、整改截止日期、通报进度、通报反馈状态。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待复核任务的筛选</w:t>
      </w:r>
      <w:r>
        <w:rPr>
          <w:rFonts w:hint="eastAsia" w:ascii="宋体" w:hAnsi="宋体" w:cs="宋体"/>
          <w:szCs w:val="21"/>
          <w:highlight w:val="none"/>
          <w:lang w:val="en-US" w:eastAsia="zh-CN"/>
        </w:rPr>
        <w:t>等功能</w:t>
      </w:r>
      <w:r>
        <w:rPr>
          <w:rFonts w:hint="eastAsia" w:ascii="宋体" w:hAnsi="宋体" w:cs="宋体"/>
          <w:szCs w:val="21"/>
          <w:highlight w:val="none"/>
        </w:rPr>
        <w:t>，筛选条件包括通报时间、反馈时间整改截止日期、通报反馈状态。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单位反馈结果查看</w:t>
      </w:r>
      <w:r>
        <w:rPr>
          <w:rFonts w:hint="eastAsia" w:ascii="宋体" w:hAnsi="宋体" w:cs="宋体"/>
          <w:szCs w:val="21"/>
          <w:highlight w:val="none"/>
          <w:lang w:val="en-US" w:eastAsia="zh-CN"/>
        </w:rPr>
        <w:t>等功能</w:t>
      </w:r>
      <w:r>
        <w:rPr>
          <w:rFonts w:hint="eastAsia" w:ascii="宋体" w:hAnsi="宋体" w:cs="宋体"/>
          <w:szCs w:val="21"/>
          <w:highlight w:val="none"/>
        </w:rPr>
        <w:t>，包括隐患整改结果、情况描述、事件处置结果、以及对应上传的附件信息。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消息提醒</w:t>
      </w:r>
      <w:r>
        <w:rPr>
          <w:rFonts w:hint="eastAsia" w:ascii="宋体" w:hAnsi="宋体" w:cs="宋体"/>
          <w:szCs w:val="21"/>
          <w:highlight w:val="none"/>
          <w:lang w:val="en-US" w:eastAsia="zh-CN"/>
        </w:rPr>
        <w:t>等功能</w:t>
      </w:r>
      <w:r>
        <w:rPr>
          <w:rFonts w:hint="eastAsia" w:ascii="宋体" w:hAnsi="宋体" w:cs="宋体"/>
          <w:szCs w:val="21"/>
          <w:highlight w:val="none"/>
        </w:rPr>
        <w:t>，当责任单位反馈处置结果时，可实时推送单位反馈情况，及时对其进行复核操作。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8）通报方式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网络安全运行平台具备多种通报方式，包括移动端通报浙政钉、钉钉、短信和WEB端通报等方式。移动端通报浙政钉、钉钉，丰富了通报功能的使用场景, 从而实现快速响应通报流程。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用于移动端发布信息安全通报、信息安全通告、政策法规宣传、风险预警等信息，实现方便、快捷、及时通讯等要求，  随时随地查看通报进度，形成监管部门与被监管单位的有效沟通。</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报浙政钉包括监管端和单位端。监管端主要针对监管部门实现通报指令的下发、重大信息的发布等功能进行设计，包括通报发布、通报跟进、信息公告、统计分析等功能模块。单位端主要针对成员单位实现通报结果、处置结果反馈等功能进行设计，包括通报跟进、单位管理等功能模块。</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9）移动APP</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安全运行平台集成移动端通报APP小程序，作为平台的移动端延伸，满足独立性和安全性要求，完全自主可控，不依赖钉钉、微信等第三方平台，为用户提供便捷入口，支持查看平台和操作部分重要业务，主要包括掌上态势、掌上报告、掌上溯源、掌上安保、掌上通报、掌上考核、掌上资产和掌上安全等内容，进而丰富了通报功能的使用场景, 从而实现快速响应流程。</w:t>
      </w:r>
    </w:p>
    <w:p>
      <w:pPr>
        <w:adjustRightInd w:val="0"/>
        <w:snapToGrid w:val="0"/>
        <w:spacing w:line="360" w:lineRule="auto"/>
        <w:ind w:firstLine="424" w:firstLineChars="200"/>
        <w:rPr>
          <w:rFonts w:ascii="宋体" w:hAnsi="宋体" w:cs="宋体"/>
          <w:szCs w:val="21"/>
          <w:highlight w:val="none"/>
        </w:rPr>
      </w:pPr>
      <w:bookmarkStart w:id="112" w:name="_Toc146036695"/>
      <w:r>
        <w:rPr>
          <w:rFonts w:hint="eastAsia" w:ascii="宋体" w:hAnsi="宋体" w:cs="宋体"/>
          <w:szCs w:val="21"/>
          <w:highlight w:val="none"/>
        </w:rPr>
        <w:t>（5）Web端工作台</w:t>
      </w:r>
      <w:bookmarkEnd w:id="112"/>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提供Web端工作台应用，同时提供网络安全运行平台自身的监测管理工作台，从集中监控、安全审计、访问控制、资源控制、运维管控、平台扩展等多个方面全面设计，实现综合安全防护的目的。</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1）安全工作台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为运维人员提供安全事件处置工作界面，包括工单总体状态、通报情况、最新安全动态等视图，并提供待办工单状态工作台，帮助运维人员快速处理待办工单。</w:t>
      </w:r>
    </w:p>
    <w:p>
      <w:pPr>
        <w:adjustRightInd w:val="0"/>
        <w:snapToGrid w:val="0"/>
        <w:spacing w:line="360" w:lineRule="auto"/>
        <w:ind w:firstLine="424" w:firstLineChars="200"/>
        <w:rPr>
          <w:rFonts w:ascii="宋体" w:hAnsi="宋体" w:cs="宋体"/>
          <w:szCs w:val="21"/>
          <w:highlight w:val="none"/>
        </w:rPr>
      </w:pPr>
      <w:bookmarkStart w:id="113" w:name="_Toc134187059"/>
      <w:r>
        <w:rPr>
          <w:rFonts w:hint="eastAsia" w:ascii="宋体" w:hAnsi="宋体" w:cs="宋体"/>
          <w:szCs w:val="21"/>
          <w:highlight w:val="none"/>
        </w:rPr>
        <w:t>2）任务管理</w:t>
      </w:r>
      <w:bookmarkEnd w:id="113"/>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实现对流计算任务和定时计算任务的集中管理。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集中监测规则引擎、关联引擎、自定义规则引擎的运行状态与健康度，提供一键重启功能恢复引擎运行。</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集中监测定时任务的运行状态，针对定时任务实现任务的启停与编辑。</w:t>
      </w:r>
    </w:p>
    <w:p>
      <w:pPr>
        <w:adjustRightInd w:val="0"/>
        <w:snapToGrid w:val="0"/>
        <w:spacing w:line="360" w:lineRule="auto"/>
        <w:ind w:firstLine="424" w:firstLineChars="200"/>
        <w:rPr>
          <w:rFonts w:ascii="宋体" w:hAnsi="宋体" w:cs="宋体"/>
          <w:szCs w:val="21"/>
          <w:highlight w:val="none"/>
        </w:rPr>
      </w:pPr>
      <w:bookmarkStart w:id="114" w:name="_Toc134187060"/>
      <w:r>
        <w:rPr>
          <w:rFonts w:hint="eastAsia" w:ascii="宋体" w:hAnsi="宋体" w:cs="宋体"/>
          <w:szCs w:val="21"/>
          <w:highlight w:val="none"/>
        </w:rPr>
        <w:t>3）操作审计</w:t>
      </w:r>
      <w:bookmarkEnd w:id="114"/>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大数据操作审计对用户访问、操作大数据平台的行为进行记录审计，为用户画像等功能提供原始分析数据。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对操作用户名、操作者IP、操作信息、操作结果、操作模块、操作类型、操作时间等操作信息进行详细记录。</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支持对操作记录信息进行多维度查询。</w:t>
      </w:r>
    </w:p>
    <w:p>
      <w:pPr>
        <w:adjustRightInd w:val="0"/>
        <w:snapToGrid w:val="0"/>
        <w:spacing w:line="360" w:lineRule="auto"/>
        <w:ind w:firstLine="424" w:firstLineChars="200"/>
        <w:rPr>
          <w:rFonts w:ascii="宋体" w:hAnsi="宋体" w:cs="宋体"/>
          <w:szCs w:val="21"/>
          <w:highlight w:val="none"/>
        </w:rPr>
      </w:pPr>
      <w:bookmarkStart w:id="115" w:name="_Toc134187061"/>
      <w:r>
        <w:rPr>
          <w:rFonts w:hint="eastAsia" w:ascii="宋体" w:hAnsi="宋体" w:cs="宋体"/>
          <w:szCs w:val="21"/>
          <w:highlight w:val="none"/>
        </w:rPr>
        <w:t>4）访问控制</w:t>
      </w:r>
      <w:bookmarkEnd w:id="115"/>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通过根管理员帐号对平台用户帐号及相应权限进行统一管理，避免权限过度开放。支持对平台用户角色新增、编辑、删除等管理操作。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设定认证安全策略，避免账号暴破等安全威胁。支持设置连续登录失败X次锁定用户、登录超时时间等。</w:t>
      </w:r>
    </w:p>
    <w:p>
      <w:pPr>
        <w:adjustRightInd w:val="0"/>
        <w:snapToGrid w:val="0"/>
        <w:spacing w:line="360" w:lineRule="auto"/>
        <w:ind w:firstLine="424" w:firstLineChars="200"/>
        <w:rPr>
          <w:rFonts w:ascii="宋体" w:hAnsi="宋体" w:cs="宋体"/>
          <w:szCs w:val="21"/>
          <w:highlight w:val="none"/>
        </w:rPr>
      </w:pPr>
      <w:bookmarkStart w:id="116" w:name="_Toc134187062"/>
      <w:r>
        <w:rPr>
          <w:rFonts w:hint="eastAsia" w:ascii="宋体" w:hAnsi="宋体" w:cs="宋体"/>
          <w:szCs w:val="21"/>
          <w:highlight w:val="none"/>
        </w:rPr>
        <w:t>5）状态监测</w:t>
      </w:r>
      <w:bookmarkEnd w:id="116"/>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对平台整体运行状态进行监测，并可视化呈现，帮助用户及时发现平台异常，保障平台平稳可靠运行。</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对平台流量、日志吞吐量进行实时监控，并统计呈现一段时间内的变化趋势。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对平台最新运维告警进行呈现，并支持下钻具体告警信息。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对磁盘容量进行监测，并呈现总容量、剩余容量、存储占比、前一日新增数据量、日志已存储时间、预估剩余可存储时间等信息。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对安全运营、安全监测的基本数据信息进行集中展示，如平台运行时间、告警总数、待办工单、通报数量、管理资产、风险资产等信息。</w:t>
      </w:r>
    </w:p>
    <w:p>
      <w:pPr>
        <w:adjustRightInd w:val="0"/>
        <w:snapToGrid w:val="0"/>
        <w:spacing w:line="360" w:lineRule="auto"/>
        <w:ind w:firstLine="424" w:firstLineChars="200"/>
        <w:rPr>
          <w:rFonts w:ascii="宋体" w:hAnsi="宋体" w:cs="宋体"/>
          <w:szCs w:val="21"/>
          <w:highlight w:val="none"/>
        </w:rPr>
      </w:pPr>
      <w:bookmarkStart w:id="117" w:name="_Toc134187063"/>
      <w:r>
        <w:rPr>
          <w:rFonts w:hint="eastAsia" w:ascii="宋体" w:hAnsi="宋体" w:cs="宋体"/>
          <w:szCs w:val="21"/>
          <w:highlight w:val="none"/>
        </w:rPr>
        <w:t>6）平台运维</w:t>
      </w:r>
      <w:bookmarkEnd w:id="117"/>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提供独立的运维管理功能模块，向系统运维人员集中提供安全运维告警查看、健康检查工具、数据存储管理、组件故障日志，协助用户全面审计大数据系统整体安全状况。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实现系统运维告警的集中查看，包括告警的数量趋势、告警级别与名称、告警总数与各类型告警百分比等，提供运维告警搜索框页面，协助运维人员快速定位告警排查问题。</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实现平台系统的一键巡检，针对数据健康、探针健康、大数据集群健康、组件健康、节点健康状态进行一键式排查询价，并针对以上数据异常场景给出可执行的处置建议。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实现随数据存储的集中监控管理，针对磁盘总体使用情况和磁盘空间利用趋势在同一界面进行可视化展示。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实现组件故障日志的集中下载与管理，针对大数据组件的异常信息可以将日志下载到本地进行详细排查。</w:t>
      </w:r>
    </w:p>
    <w:p>
      <w:pPr>
        <w:adjustRightInd w:val="0"/>
        <w:snapToGrid w:val="0"/>
        <w:spacing w:line="360" w:lineRule="auto"/>
        <w:ind w:firstLine="424" w:firstLineChars="200"/>
        <w:rPr>
          <w:rFonts w:ascii="宋体" w:hAnsi="宋体" w:cs="宋体"/>
          <w:szCs w:val="21"/>
          <w:highlight w:val="none"/>
        </w:rPr>
      </w:pPr>
      <w:bookmarkStart w:id="118" w:name="_Toc146036696"/>
      <w:r>
        <w:rPr>
          <w:rFonts w:hint="eastAsia" w:ascii="宋体" w:hAnsi="宋体" w:cs="宋体"/>
          <w:szCs w:val="21"/>
          <w:highlight w:val="none"/>
        </w:rPr>
        <w:t>（6）移动端</w:t>
      </w:r>
      <w:bookmarkEnd w:id="118"/>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处置通报流程和可和浙政钉对接，跟浙政钉的对接方式按照《浙政钉2.0应用上架迁移流程》进行申请上线。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使用浙政钉进行通报下发或处置流转，对通报过程进行跟踪记录，完整记录任务流转过程详情并同步到Web端平台。</w:t>
      </w:r>
    </w:p>
    <w:p>
      <w:pPr>
        <w:adjustRightInd w:val="0"/>
        <w:snapToGrid w:val="0"/>
        <w:spacing w:line="360" w:lineRule="auto"/>
        <w:ind w:firstLine="424" w:firstLineChars="200"/>
        <w:rPr>
          <w:rFonts w:ascii="宋体" w:hAnsi="宋体" w:cs="宋体"/>
          <w:szCs w:val="21"/>
          <w:highlight w:val="none"/>
        </w:rPr>
      </w:pPr>
      <w:bookmarkStart w:id="119" w:name="_Toc26131"/>
      <w:r>
        <w:rPr>
          <w:rFonts w:hint="eastAsia" w:ascii="宋体" w:hAnsi="宋体" w:cs="宋体"/>
          <w:szCs w:val="21"/>
          <w:highlight w:val="none"/>
        </w:rPr>
        <w:t>1）安全通报能力建设</w:t>
      </w:r>
      <w:bookmarkEnd w:id="119"/>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浙政钉监管端利用平台选择特定的用户或组织进行下发预警，预制好预警级别、标签等。针对未通报的事件，将根据事件信息，配置好日常通报模板生成通报文件。充分利用数据安全监测、监管溯源、情报信息等模块获取针对数据的违规行为、越权操作、批量操作、高危操作等情况，利用通报系统汇总、分析、研判，并及时将情况上报、通报、下达，进行通报及快速处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单位端利用平台提供的全局维度的安全分析通报功能，按照预警名称的维度对公开预警进行查询的功能，并可根据指定的查询条件，快速定位需要重点关注的公开预警，并跟进通报任务情况，包括隐患通报任务和事件通报任务。后续向监管端反馈相关隐患或事件处理情况，内容包括处置方式（处置完成、误报）、情况描述、上传图片及附件。</w:t>
      </w:r>
    </w:p>
    <w:p>
      <w:pPr>
        <w:adjustRightInd w:val="0"/>
        <w:snapToGrid w:val="0"/>
        <w:spacing w:line="360" w:lineRule="auto"/>
        <w:ind w:firstLine="424" w:firstLineChars="200"/>
        <w:rPr>
          <w:rFonts w:ascii="宋体" w:hAnsi="宋体" w:cs="宋体"/>
          <w:szCs w:val="21"/>
          <w:highlight w:val="none"/>
        </w:rPr>
      </w:pPr>
      <w:bookmarkStart w:id="120" w:name="_Toc31325"/>
      <w:r>
        <w:rPr>
          <w:rFonts w:hint="eastAsia" w:ascii="宋体" w:hAnsi="宋体" w:cs="宋体"/>
          <w:szCs w:val="21"/>
          <w:highlight w:val="none"/>
        </w:rPr>
        <w:t>2）风险预警能力建设</w:t>
      </w:r>
      <w:bookmarkEnd w:id="120"/>
    </w:p>
    <w:p>
      <w:pPr>
        <w:adjustRightInd w:val="0"/>
        <w:snapToGrid w:val="0"/>
        <w:spacing w:line="360" w:lineRule="auto"/>
        <w:ind w:firstLine="424" w:firstLineChars="200"/>
        <w:rPr>
          <w:rFonts w:ascii="宋体" w:hAnsi="宋体" w:cs="宋体"/>
          <w:szCs w:val="21"/>
          <w:highlight w:val="none"/>
        </w:rPr>
      </w:pPr>
      <w:bookmarkStart w:id="121" w:name="_Toc85022126"/>
      <w:bookmarkStart w:id="122" w:name="_Toc84769901"/>
      <w:r>
        <w:rPr>
          <w:rFonts w:hint="eastAsia" w:ascii="宋体" w:hAnsi="宋体" w:cs="宋体"/>
          <w:szCs w:val="21"/>
          <w:highlight w:val="none"/>
        </w:rPr>
        <w:t>浙政钉监管端针对收集到的有代表性的网络攻击行为、新产生的网络安全威胁情报、网络安全整体分析报告和各部门单位的应急处置状况进行统一发布，提高统一调度和指挥能力。内容包括通报时间、信息标题、通报等级、通报详情、举证信息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单位端接收监管方下发的相关通报信息。并针对此类信息进行调查分析，从而确认安全事件的准确性和影响范围。对已经确认的攻击，则通过相应的预警通报机制完成预警通报工作。完成相关应急处置后，反馈相关信息，填写信息包括描述、上传图片、插入表格等。</w:t>
      </w:r>
    </w:p>
    <w:bookmarkEnd w:id="121"/>
    <w:bookmarkEnd w:id="122"/>
    <w:p>
      <w:pPr>
        <w:adjustRightInd w:val="0"/>
        <w:snapToGrid w:val="0"/>
        <w:spacing w:line="360" w:lineRule="auto"/>
        <w:ind w:firstLine="424" w:firstLineChars="200"/>
        <w:rPr>
          <w:rFonts w:ascii="宋体" w:hAnsi="宋体" w:cs="宋体"/>
          <w:szCs w:val="21"/>
          <w:highlight w:val="none"/>
        </w:rPr>
      </w:pPr>
      <w:bookmarkStart w:id="123" w:name="_Toc146036708"/>
      <w:bookmarkStart w:id="124" w:name="_Toc146036707"/>
      <w:bookmarkStart w:id="125" w:name="_Toc146036700"/>
      <w:bookmarkStart w:id="126" w:name="_Toc146036697"/>
      <w:r>
        <w:rPr>
          <w:rFonts w:hint="eastAsia" w:ascii="宋体" w:hAnsi="宋体" w:cs="宋体"/>
          <w:szCs w:val="21"/>
          <w:highlight w:val="none"/>
        </w:rPr>
        <w:t>（7）大数据安全监测</w:t>
      </w:r>
      <w:bookmarkEnd w:id="123"/>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重要的大数据平台进行统一的监测，摸清全市重点大数据平台数据状况及其使用情况，同时实现对涉大数据平台的单位管理、大数据信息系统管理、大数据平台安全防护情况管理、涉大数据平台或信息系统的人员管理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（8）云平台安全监测</w:t>
      </w:r>
      <w:bookmarkEnd w:id="124"/>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网络安全运行平台可对接多种类型云平台，如华为云、阿里云、华三云、青藤云，自动归档、获取到的云实例（ECS、OSS、RDS、SLB）安全问题，包括具有IP 地址的云主机、数据库、存储、负载均衡等实例安全问题，支持对云平台资产进行探测发现、检测状态、追踪变化情况。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通过部署流量探针设备，从外部攻击者、CVE漏洞利用成功、勒索病毒、挖矿活动、威胁情报、钓鱼邮件、弱口令等场景分析</w:t>
      </w:r>
      <w:r>
        <w:rPr>
          <w:rFonts w:hint="eastAsia" w:ascii="宋体" w:hAnsi="宋体" w:cs="宋体"/>
          <w:szCs w:val="21"/>
          <w:highlight w:val="none"/>
          <w:lang w:val="en-US" w:eastAsia="zh-CN"/>
        </w:rPr>
        <w:t>等功能</w:t>
      </w:r>
      <w:r>
        <w:rPr>
          <w:rFonts w:hint="eastAsia" w:ascii="宋体" w:hAnsi="宋体" w:cs="宋体"/>
          <w:szCs w:val="21"/>
          <w:highlight w:val="none"/>
        </w:rPr>
        <w:t>，支持通过事件名称、攻击者、受害者、目的端口、应用协议、供给链等条件聚合，系统全面地感知云平台安全态势。</w:t>
      </w:r>
    </w:p>
    <w:p>
      <w:pPr>
        <w:adjustRightInd w:val="0"/>
        <w:snapToGrid w:val="0"/>
        <w:spacing w:line="360" w:lineRule="auto"/>
        <w:ind w:firstLine="424" w:firstLineChars="200"/>
        <w:rPr>
          <w:rFonts w:ascii="宋体" w:hAnsi="宋体" w:cs="宋体"/>
          <w:szCs w:val="21"/>
          <w:highlight w:val="none"/>
        </w:rPr>
      </w:pPr>
      <w:bookmarkStart w:id="127" w:name="_Toc146036706"/>
      <w:r>
        <w:rPr>
          <w:rFonts w:hint="eastAsia" w:ascii="宋体" w:hAnsi="宋体" w:cs="宋体"/>
          <w:szCs w:val="21"/>
          <w:highlight w:val="none"/>
        </w:rPr>
        <w:t>（9）资产数据治理</w:t>
      </w:r>
      <w:bookmarkEnd w:id="127"/>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通过接入探测设备，基于网络规划的资产主动探测，明确到单位与责任人</w:t>
      </w:r>
      <w:r>
        <w:rPr>
          <w:rFonts w:hint="eastAsia" w:ascii="宋体" w:hAnsi="宋体" w:cs="宋体"/>
          <w:szCs w:val="21"/>
          <w:highlight w:val="none"/>
          <w:lang w:val="en-US" w:eastAsia="zh-CN"/>
        </w:rPr>
        <w:t>等功能</w:t>
      </w:r>
      <w:r>
        <w:rPr>
          <w:rFonts w:hint="eastAsia" w:ascii="宋体" w:hAnsi="宋体" w:cs="宋体"/>
          <w:szCs w:val="21"/>
          <w:highlight w:val="none"/>
        </w:rPr>
        <w:t>。针对网络环境包括政务外网，互联网暴露面，兼顾行业专网提供系统可用性和无故障运行时间评估。打造资产普查一体化流程，自动发现、下发确认、信息补全、审核、归档、联动控制，完成政务网的信息资产与安全资产的全面梳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1）资产数据摸底</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数据摸底实现资产检索、探查，支持多种SQL语法组合检索，包括“与”、“或”、“等于”、“存在”、“包含”等语法，且具备语法示例，方便用户快速上手使用。提供资产展示功能，支持资产名称、资产类型、资产大类、资产小类、资产标签、单位名称、所属行业、地理位置、安全等级、事件名称、风险隐患名称、受攻击名称等多个字段展示，并可自定义删减字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2）资产数据探测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a、资产探测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域名资产探测：以域名资产为探测条件，对目标域名进行爬取与分析，自动探测该主域名的子域名，并获得所有域名的备案信息和关联IP等指纹信息。同时可定期进行基础数据的收集与持续更新，检查与校验域名解析IP变更和备案信息变更等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0WEB资产探测：通过单位名称关键字，匹配网站备案信息，探测发现相同备案单位名称的WEB资产。通过探测到的域名和子域名资产，验证哪些域名可正常访问，提供WEB服务。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主机资产探测：通过自定义IP段探测功能，对所有IP实施全端口扫描探测，发现开放的端口和提供的服务和协议等，支持端口及IP信息自定义扫描。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资产状态监测：能够通过端口扫描和协议识别的情况，自动分析和统计出资产的新增或减少等变化情况。同时可对资产上线、下线以及服务类型变更、服务指纹变更等进行监测，有助于发现隐蔽风险。</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b、探测方式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按行政区划进行搜索：支持按行政区划对区域资产进行探测，支持到区县行政区划。支持按政府、教育、医疗、金融等细分行业进行行业资产探测。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根据域名探测搜索：对暴露在互联网上的网络资产进行探测和分析，通过输入单位主域名可快速探测、识别其相关联的资产数据，包括子域名、二级域名等，支持多个域名作为同时探测。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根据单位名称关键字探测：通过单位名称和重要关键字进行全网探测，以各单位名称作为关键词，对云端数据探测到的资产数据进行关键字匹配，识别筛选出相关联资产，并推送至互联网资产探测服务平台，自动关联至单位组织列表。也可以通过输入业务系统名称、备案信息等关键字对云端扫描的资产进行匹配识别。</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根据IP段进行探测：支持对多个IP、IP段内的资产进行探测，发现相关资产信息，包括关联的域名、服务类型、资产指纹、协议类型、开放端口等数据。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指纹识别：支持对发现的资产指纹信息识别与维护，主要通过对网站返回的响应头部字段，页面URL特征，页面中的插件特征等进行识别判断，也可以人工维护多类指纹，包括WEB容器指纹、开发语言指纹以及开放端口等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c、探测技术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能够快速并全面的发现单位互联网开放的资产以及资产漏洞、篡改、可用性等安全风险情况。资产探测应采用如下核心技术：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高速网络扫描技术：使用高速的网络扫描技术，在并行化加速方面，资产探测扫描引擎支持多主机分布式扫描。通过对基于素数域原根的扫描地址生成进行分片处理，不同分片的扫描地址集合都是迭代生成的互为不相关的子集，利于地址生成策略的并行化执行，同时其结合了黑名单数据结构、数据包传输机制等其他改进，适应10Gbps环境下更高速的扫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资产指纹识别技术：支持网络资产指纹识别技术，常见的指纹识别方法主要有常规特征匹配和基于机器学习算法的特征匹配两种。常用的操作系统指纹识别特征有：IP头中的总长度（to-tallength）、标志（ID）、是否分片（DF）、生存时间（TTL）字段等，TCP头中的可选项，TCP头部的窗口大小（wsize）、可选项等，以及ICMP、UDP协议指纹、SYN-ACK包重传时延等。此外，还采用了综合加权匹配的方法，通过指纹评分表对各响应数据项的指纹识别能力进行了量化评分，在计算响应同该条指纹的匹配率时，引入各数据项的评分作为加权，从而进一步提高识别的准确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资产自动分类技术：一方面采用的技术需要可高效、无误差地提取出反映、暗示网站类别或者对网站所属类别有指导性的一些标签内容,需要对网页进行某些标签内容的提取,比如HTML文档的标题提取、META元标签的提取、正文提取等等，并把短文本切分为词的集合。另一方面采用的技术对于目标网页集可对短文本词集合，根据初期提供的文本关键词在每个类别下的分布情况利用特征提取方法进行特征的提取，找出最能代表的网页的类别。进而实现WEB资产自动识别分类，离不开网页特征聚合分类引擎。网页特征聚合是网页分类的重点部分。依托大数据与机器学习算法，结合已知的关键词、特征向量等进行网站页面解析，可实现对网页的特征聚合，而依托大数据分析算法与机器学习，实现新加入网站的页面常见词聚合，拓展新类型的网站分类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威胁情报数据：威胁情报作为重要的数据分析资源，威胁情报数据支持导入平台。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d、网站安全监测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安全漏洞检测数据：安全漏洞监测应能发现常见的WEB应用漏洞，支持OWASPTOP10等主流安全漏洞，以及各种挂马方式的网页木马如Iframe、CSS、JS、SWF、ActiveX等。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安全事件监测服务数据：支持对网站进行页面资源与指纹信息的分析，通过监测技术对各类安全事件进行全面分析感知，包括篡改、暗链、黑页、挂马、后门等。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主动探测数据：通过互联网资产探测服务工具主动对网络资产基础数据展开普查性检测与周期性监测，建立与维护行业互联网业务系统资产和硬件设施档案库。</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由于全市重点行业资产数量庞大，且安全状态相对于专业入侵者存在不确定性，安全服务厂家监测预警体系中不仅应提供系统自动监测发现的安全问题，为了保障监测的全面性，系统还支持标准化数据接口包括专用数据接口与通用数据API接口，系统支持对接CNVD、GEDB等等第三方漏洞平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e、探测周期</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具备灵活的资产探测周期设置，可选择“单次探测”、“天”、“周”和“月”等条件进行探测。常态化至少每月执行一次，特殊情况下至少每周执行一次。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f、任务管理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资产探测任务管理，包括探查任务新增、执行、停止、编辑、删除等功能。通过资产探测任务管理，针对网络中所有在线设备进行自主网络扫描和深入识别，获取资产的网络地址、系统网络指纹、系统开放端口和服务指纹，并根据积累和运营的指纹库裁定每个资产的类型、操作系统、厂商信息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3）资产发现与管理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普查主要提供对辖区内开放的各类信息系统进行收录，以实现对网络资产底数的全面探测与管控，采用云端威胁情报资产全面探测与扩散，大面积覆盖网络资产；并依据资产的全生命周期理念，结合单位上报资产，全程管控暴露面资产，能够解决以往资产管控存在的大量短板，例如资产发现不全面，存在监管盲区；新增资产不报备，开设随意不规范；资产下线不彻底，遗留资产有风险等问题。</w:t>
      </w:r>
    </w:p>
    <w:p>
      <w:pPr>
        <w:adjustRightInd w:val="0"/>
        <w:snapToGrid w:val="0"/>
        <w:spacing w:line="360" w:lineRule="auto"/>
        <w:ind w:firstLine="424" w:firstLineChars="200"/>
        <w:rPr>
          <w:rFonts w:ascii="宋体" w:hAnsi="宋体" w:cs="宋体"/>
          <w:szCs w:val="21"/>
          <w:highlight w:val="none"/>
        </w:rPr>
      </w:pPr>
      <w:bookmarkStart w:id="128" w:name="_Toc146036699"/>
      <w:bookmarkStart w:id="129" w:name="_Toc146036701"/>
      <w:bookmarkStart w:id="130" w:name="_Toc146036709"/>
      <w:r>
        <w:rPr>
          <w:rFonts w:hint="eastAsia" w:ascii="宋体" w:hAnsi="宋体" w:cs="宋体"/>
          <w:szCs w:val="21"/>
          <w:highlight w:val="none"/>
        </w:rPr>
        <w:t>（10）检查督查</w:t>
      </w:r>
      <w:bookmarkEnd w:id="128"/>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检查督查中心通过从监测中心、等保备案、响应中心等系统中获取的单位系统备案信息、测评信息、威胁隐患、攻击日志等数据建立该单位系统的超级档案，实现对辖区内单位资产的情况摸底，并根据摸底结果筛选出重要单位系统开展针对性的检查工作。同时，系统提供自动分析功能统一分析发现共性问题，替代原有的线下整理，人工通知的繁琐过程，显著提高重点系统的安全防护水平和的工作能力及效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检查督查中心主要包括现场检查、安全自查两个部分，通过系统管理检查工作，收集检查数据，评价检查结果。检查调查系统支持与网络安全检查工具箱、工业控制系统安全检查工具箱实现数据对接和业务管理闭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检查调查形式包括现场检查和安全自查两种模式。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drawing>
          <wp:inline distT="0" distB="0" distL="0" distR="0">
            <wp:extent cx="2541905" cy="1954530"/>
            <wp:effectExtent l="0" t="0" r="10795" b="7620"/>
            <wp:docPr id="37" name="图片 37"/>
            <wp:cNvGraphicFramePr/>
            <a:graphic xmlns:a="http://schemas.openxmlformats.org/drawingml/2006/main">
              <a:graphicData uri="http://schemas.openxmlformats.org/drawingml/2006/picture">
                <pic:pic xmlns:pic="http://schemas.openxmlformats.org/drawingml/2006/picture">
                  <pic:nvPicPr>
                    <pic:cNvPr id="37" name="图片 37"/>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541905" cy="1954530"/>
                    </a:xfrm>
                    <a:prstGeom prst="rect">
                      <a:avLst/>
                    </a:prstGeom>
                    <a:noFill/>
                    <a:ln>
                      <a:noFill/>
                    </a:ln>
                  </pic:spPr>
                </pic:pic>
              </a:graphicData>
            </a:graphic>
          </wp:inline>
        </w:drawing>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1）现场检查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现场检查是由组织单位，制定检查计划并开展现场检查的过程，主要包括以下功能：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现场检查情况统计：现场检查模块从不同维度对工作情况进行统计说明，主要包括检查资产总数、发现的漏洞数量、年度检查的任务信息、渗透</w:t>
      </w:r>
      <w:r>
        <w:rPr>
          <w:rFonts w:hint="eastAsia" w:ascii="宋体" w:hAnsi="宋体" w:cs="宋体"/>
          <w:szCs w:val="21"/>
          <w:highlight w:val="none"/>
          <w:lang w:eastAsia="zh-CN"/>
        </w:rPr>
        <w:t>测shi</w:t>
      </w:r>
      <w:r>
        <w:rPr>
          <w:rFonts w:hint="eastAsia" w:ascii="宋体" w:hAnsi="宋体" w:cs="宋体"/>
          <w:szCs w:val="21"/>
          <w:highlight w:val="none"/>
        </w:rPr>
        <w:t>的情况、检查队伍评价（平均星级排序，平均星级可有半颗星）。</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建立检查任务：提供创建检查任务的功能入口，支持创建检查任务（包括任务名称、负责人、任务时间、检查对象、任务模板、支撑队伍等信息）。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任务清单：任务创建成功后在任务清单中存档，支持任务的基本管理，编辑、删除、查询、查看详情、提交报告、评价任务情况等。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2）安全自查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除了开展现场检查工作外，支持各单位定期自我检查并上报检查结果，统一设计、安排，并经过通知系统下发单位自查通知。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自查统计：自查统计主要针对安全自查的工作维度进行数据统计，显示整体工作情况，主要维度包括自查任务的数量统计、自查任务的进度情况显示、自查单位数量、自查渠道提交的漏洞数量、资产数量、</w:t>
      </w:r>
      <w:r>
        <w:rPr>
          <w:rFonts w:hint="eastAsia" w:ascii="宋体" w:hAnsi="宋体" w:cs="宋体"/>
          <w:szCs w:val="21"/>
          <w:highlight w:val="none"/>
          <w:lang w:eastAsia="zh-CN"/>
        </w:rPr>
        <w:t>测shi</w:t>
      </w:r>
      <w:r>
        <w:rPr>
          <w:rFonts w:hint="eastAsia" w:ascii="宋体" w:hAnsi="宋体" w:cs="宋体"/>
          <w:szCs w:val="21"/>
          <w:highlight w:val="none"/>
        </w:rPr>
        <w:t>报告数量。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发布自查任务：用户可以创建自查任务，并通过通知系统通知相关单位。创建自查任务可选择检查模板、填写任务目标说明、填写任务期限、选择接受单位（行业、单位、区域）。</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任务清单：任务创建成功后在任务清单中存档，能够查看单位用户自查结果提交情况及查看任务详情（包括任务基本信息以及单位提交自查状态，分两个群组，已提交自查结果的和未提交自查结果）；对已提交自查结果的单位可以点击单位名称查看、下载自查结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提交自查结果：系统在单位侧开放自查模块，接收自查任务，自查任务提供自查清单，对自查任务可以下载检查模板，查看检查要求。完成自查工作后，可以根据模板上传自查结果。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（11）指挥调度</w:t>
      </w:r>
      <w:bookmarkEnd w:id="129"/>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按照“挂图作战”理念，围绕网络空间测绘与资产分析、地理资源和网络空间数据模型构建，绘制网络空间地理信息图谱，实现平台指挥调度功能。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挂图作战体系利用地理空间理论方法、模型、数据，构建网络空间地理信息图谱。具体做法是基于网络空间安全业务工作场景和能力建设需要，制定网络安全逻辑数据模型，并以此为基础汇聚网络空间安全防护主体的各类信息，包括基础信息、人员情况、物理场所、信息资产、网络安全事件、网络安全监管业务开展情况等要素，从全生命周期、安全生态、业务联动协同三个维度对防护主体数据进行组织和治理，在此基础上制定完善的算法模型和标签体系，全面、精准、透彻、鲜活的刻画防护主体及其关联主体的全息画像，并结合地理空间数据模型叠加后形成重要单位各类要素的结构、分布地图、关系图谱，投射形成网络空间地理测绘系统基础图层，主要包括地理图层、网络图层、行为主体和业务图层，实现网络安全态势地图展示，定标响应网络安全事件，实现网络安全“挂图指挥”。</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drawing>
          <wp:inline distT="0" distB="0" distL="0" distR="0">
            <wp:extent cx="5270500" cy="4057650"/>
            <wp:effectExtent l="0" t="0" r="6350" b="0"/>
            <wp:docPr id="2010238783" name="图片 1" descr="https://s.secrss.com/anquanneican/330ed543e518a4660ab58d0effc44a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38783" name="图片 1" descr="https://s.secrss.com/anquanneican/330ed543e518a4660ab58d0effc44a7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270500" cy="4057650"/>
                    </a:xfrm>
                    <a:prstGeom prst="rect">
                      <a:avLst/>
                    </a:prstGeom>
                    <a:noFill/>
                    <a:ln>
                      <a:noFill/>
                    </a:ln>
                  </pic:spPr>
                </pic:pic>
              </a:graphicData>
            </a:graphic>
          </wp:inline>
        </w:drawing>
      </w:r>
    </w:p>
    <w:p>
      <w:pPr>
        <w:adjustRightInd w:val="0"/>
        <w:snapToGrid w:val="0"/>
        <w:spacing w:line="360" w:lineRule="auto"/>
        <w:ind w:firstLine="424" w:firstLineChars="200"/>
        <w:rPr>
          <w:rFonts w:ascii="宋体" w:hAnsi="宋体" w:cs="宋体"/>
          <w:szCs w:val="21"/>
          <w:highlight w:val="none"/>
        </w:rPr>
      </w:pPr>
      <w:bookmarkStart w:id="131" w:name="_Toc47122116"/>
      <w:r>
        <w:rPr>
          <w:rFonts w:hint="eastAsia" w:ascii="宋体" w:hAnsi="宋体" w:cs="宋体"/>
          <w:szCs w:val="21"/>
          <w:highlight w:val="none"/>
        </w:rPr>
        <w:t>1）地理</w:t>
      </w:r>
      <w:bookmarkEnd w:id="131"/>
      <w:r>
        <w:rPr>
          <w:rFonts w:hint="eastAsia" w:ascii="宋体" w:hAnsi="宋体" w:cs="宋体"/>
          <w:szCs w:val="21"/>
          <w:highlight w:val="none"/>
        </w:rPr>
        <w:t>图层</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打开页面时默认加载GIS地图，支持鼠标拖动地图和地图缩放，可查看街道、3D、楼宇立体展示。支持地图配置和地图2D/3D切换，包括地图模式配置、画质选择、界面配置，并预留后期可供升级的接口。</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地理图层支持将单位数据、单位的历史案（事）件、安全漏洞、实时预警等安全监测模块汇集的安全数据，通过地理位置映射直观展示在地图上，清晰的标识管理对象的物理位置以及网络特征。其中，单位数据包含单位名称、单位类型、单位详情等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发生安全事件的单位：地图上标记为红色点，展示单位名称、未处理的事件数量，点击查看单位基本信息及事件列表。</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存在隐患的单位：地图上标记为黄色点，展示单位名称、未处理的隐患数量，点击查看单位基本信息及隐患列表。</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有资产的单位：地图上标记为蓝色点，展示单位名称及单位下属的系统、设备、云平台、机房、移动应用等资产统计数据，点击查看单位基本信息及相关资产的信息，系统、设备、云平台、机房、移动应用系统等。如果单位坐标重叠，则合并展示，可在窗口中切换单位，如果一个单位有告警、资产、事件则支持分开切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支持在地理图层上搜索单位名称，定位单位位置。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2）网络图层</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网络资产的动态测绘与嗅探识别，以及重点单位上报的资产信息，实时在地图上展示资产、事件、隐患信息。该图层不仅包括各单位的活跃IP、端口、协议、应用、设备等全资产信息，也包括历史攻击事件、安全漏洞、实时预警等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以系统角度出发，对重点系统的地理位置分布进行展示。支持大屏下钻到系统档案，包括系统基本信息、归属单位、系统相关人员信息、备案信息、实时安全监测信息、所属运营单位、建设单位、设计单位、系统级别、标签等，根据采集的流量/设备日志、网络应用和行为、数据资产等数据，能够通过具体整体系统数据，了解系统整体运行情况。通过多种形式直观统计展示，包括重点系统量、全部系统量、系统风险变化趋势。支持利用列表中的定位图标快速定位出系统所处地理位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以设备角度出发，支持设备打点，点击支持查看设备概览信息，支持对设备进行统计展示，包括设备在线情况、安全专项情况。也支持利用列表中的定位图标快速定位出设备所处地理位置。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3）行为主体</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以人员角度出发，支持人员打点和对单位负责人、联系人等相关人员分布展示。支持大屏点击查看人员概览信息，下钻到人员档案，包括人员基本信息、人员标签、网络身份、归属单位信息以及所管理到系统风险信息，并支持人员档案下钻到单位档案或系统档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对人员进行统计展示</w:t>
      </w:r>
      <w:r>
        <w:rPr>
          <w:rFonts w:hint="eastAsia" w:ascii="宋体" w:hAnsi="宋体" w:cs="宋体"/>
          <w:szCs w:val="21"/>
          <w:highlight w:val="none"/>
          <w:lang w:val="en-US" w:eastAsia="zh-CN"/>
        </w:rPr>
        <w:t>等功能</w:t>
      </w:r>
      <w:r>
        <w:rPr>
          <w:rFonts w:hint="eastAsia" w:ascii="宋体" w:hAnsi="宋体" w:cs="宋体"/>
          <w:szCs w:val="21"/>
          <w:highlight w:val="none"/>
        </w:rPr>
        <w:t>，包括重点人员量、风险人员量、全部人员量、人员行业分布、人员标签</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lang w:eastAsia="zh-CN"/>
        </w:rPr>
        <w:t>配置</w:t>
      </w:r>
      <w:r>
        <w:rPr>
          <w:rFonts w:hint="eastAsia" w:ascii="宋体" w:hAnsi="宋体" w:cs="宋体"/>
          <w:szCs w:val="21"/>
          <w:highlight w:val="none"/>
        </w:rPr>
        <w:t>利用列表中的定位图标快速定位出人员所处地理位置</w:t>
      </w:r>
      <w:r>
        <w:rPr>
          <w:rFonts w:hint="eastAsia" w:ascii="宋体" w:hAnsi="宋体" w:cs="宋体"/>
          <w:szCs w:val="21"/>
          <w:highlight w:val="none"/>
          <w:lang w:val="en-US" w:eastAsia="zh-CN"/>
        </w:rPr>
        <w:t>等功能</w:t>
      </w:r>
      <w:r>
        <w:rPr>
          <w:rFonts w:hint="eastAsia" w:ascii="宋体" w:hAnsi="宋体" w:cs="宋体"/>
          <w:szCs w:val="21"/>
          <w:highlight w:val="none"/>
        </w:rPr>
        <w:t>。</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4）业务图层</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基于上述图层，进一步实现业务挂图，依图开展安全运营、预警通报、事件应急处置等一系列流程化、闭环化应用业务。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a、通报预警挂图</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以安全事件、威胁风险通报预警处置的角度出发，针对存在威胁风险隐患，进行预警通报；针对已经发生的安全事件，可发布安全事件通报，要求开展应急响应工作。产生的预警处置数据可实时传输到平台，把握预警处置工作开展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b、应急处置挂图</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已经发生的紧急安全事件（判断事件后果较为严重），可直接在图中发布应急处置任务，指派相关运营人员赶往事发单位或下发至单位进行处置反馈。支持在屏中发起应急处置任务并通过单位为底座，对单位内接收到的应急处置进行展示，从而及时掌握单位应急处置情况；将实时获取的单位处置及反馈情况在地图上通过标注等方式进行展现，通过改变标注的形态直观体现业务情况或结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c、指挥调度挂图</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在网络空间地图上下发指挥调度指令，以移动APP消息、短信等形式推送，运营人员可通过移动端查看指令内容。</w:t>
      </w:r>
    </w:p>
    <w:bookmarkEnd w:id="130"/>
    <w:p>
      <w:pPr>
        <w:adjustRightInd w:val="0"/>
        <w:snapToGrid w:val="0"/>
        <w:spacing w:line="360" w:lineRule="auto"/>
        <w:ind w:firstLine="424" w:firstLineChars="200"/>
        <w:rPr>
          <w:rFonts w:ascii="宋体" w:hAnsi="宋体" w:cs="宋体"/>
          <w:szCs w:val="21"/>
          <w:highlight w:val="none"/>
        </w:rPr>
      </w:pPr>
      <w:bookmarkStart w:id="132" w:name="_Toc146036703"/>
      <w:r>
        <w:rPr>
          <w:rFonts w:hint="eastAsia" w:ascii="宋体" w:hAnsi="宋体" w:cs="宋体"/>
          <w:szCs w:val="21"/>
          <w:highlight w:val="none"/>
        </w:rPr>
        <w:t>（12）情报中心</w:t>
      </w:r>
      <w:bookmarkEnd w:id="132"/>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情报是一种基于证据的知识，包含了上下文、机制、指示标记、启示和可行的建议。威胁情报描述了现存的或者是即将出现针对网络资产的威胁，并可以用于通知主体针对相关威胁或危险采取某种响应。高级威胁尤其APT攻击手法隐蔽，危害巨大，主要针对掌握有重要数据和信息的特定人群，攻击一经发生就会导致国家重要价值资产的泄密流失，而且后续定位、追查、定性都会遇到技术难度。高级威胁情报可以对APT攻击事件的定位、发现、定性、溯源提供良好的支撑，可以强化用户对各个重点保护单位的监控力度和防护强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情报信息中心业务逻辑如下图所示：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drawing>
          <wp:inline distT="0" distB="0" distL="0" distR="0">
            <wp:extent cx="4761865" cy="942340"/>
            <wp:effectExtent l="0" t="0" r="635" b="1016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761865" cy="942340"/>
                    </a:xfrm>
                    <a:prstGeom prst="rect">
                      <a:avLst/>
                    </a:prstGeom>
                    <a:noFill/>
                    <a:ln>
                      <a:noFill/>
                    </a:ln>
                  </pic:spPr>
                </pic:pic>
              </a:graphicData>
            </a:graphic>
          </wp:inline>
        </w:drawing>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威胁情报获取：本功能提供对威胁情报信息的自行添加或通过Restful API请求数据接口的方式从云端接入第三方威胁情报服务商数据的能力。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威胁情报预处理：威胁情报模块可对采集到情报进行统一格式化、标准化、存储、检索、去重等操作。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威胁情报维护：按照不同的情报来源建立网络安全运行平台本地威胁情报数据库，提供定时更新、离线更新和情报模型更新配置功能，情报库更新后相关的情报模型应自动同步最新的情报信息。实时监控各个情报库中有效情报数量、每日更新数量、命中情报数量、情报更新时间和最近更新状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威胁情报关联通报：使用威胁情报碰撞关联，将高危信息对相关单位及网络安全运行平台进行通报。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1）情报获取</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情报获取支持云端采集、接口采集和本地累计以及离线导入共4种方式进行威胁情报采集和累计。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a、云端采集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以Restful API请求数据接口的方式从云端接入第三方威胁情报服务商的数据。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b、接口同步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提供丰富的云端采集更新接口，支持第三方商用威胁情报库以及开源的威胁情报库，网络威胁情报包含恶意IP、URL、文件HASH 、Domain、Email等。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c、本地积累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威胁情报模块支持将本地发现的安全事件和恶意IP、域名、文件、钓鱼网站、E-MAIL等事件转化为威胁情报，支持后台自动转化和人工判断转化两种方式。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d、离线导入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支持使用离线威胁情报数据包的方式进行更新。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2）情报处理</w:t>
      </w:r>
    </w:p>
    <w:p>
      <w:pPr>
        <w:adjustRightInd w:val="0"/>
        <w:snapToGrid w:val="0"/>
        <w:spacing w:line="360" w:lineRule="auto"/>
        <w:ind w:firstLine="424" w:firstLineChars="200"/>
        <w:rPr>
          <w:rFonts w:ascii="宋体" w:hAnsi="宋体" w:cs="宋体"/>
          <w:szCs w:val="21"/>
          <w:highlight w:val="none"/>
        </w:rPr>
      </w:pPr>
      <w:bookmarkStart w:id="133" w:name="_Toc8655451"/>
      <w:bookmarkEnd w:id="133"/>
      <w:r>
        <w:rPr>
          <w:rFonts w:hint="eastAsia" w:ascii="宋体" w:hAnsi="宋体" w:cs="宋体"/>
          <w:szCs w:val="21"/>
          <w:highlight w:val="none"/>
        </w:rPr>
        <w:t>对采集到情报进行统一格式化、标准化、存储、检索、去重等操作。数据的归一化操作就是在标准数据元、数据项、数据质量等的要求下，进行各类数据的汇聚与管理操作，经过数据归一化处理后，各类不同的数据源将统一为格式标准、内容一致的数据，为下一步的数据碰撞做准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同时，实现情报数据的标记功能，以打标签的方式自动对情报数据的来源、厂商、发现时间、命中结果等，打上相关的厂商标签，为情报数据的运营管理、情报追溯、质量评价提供依据。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3）情报检索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提供威胁情报检索功能，可检索IP、域名、HASH值、邮箱、字符串等，可辅助用户对恶意文件进行样本行为分析、样本同源分析、事件回溯分析、IP&amp;域名信誉判断等。 </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文件HASH值查询：提供可疑文件的动、静态行为分析；提供文件、IP、域名、威胁事件等关联分析；展示文件的基本信息，如：文件原始名字、文件大小、文件 HASH 等。针对Windows 可执行文件，展示可执行文件PE分析结果。支持文件上传检测。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域名查询：提供域名历史解析信息，包含：WHOIS 信息、DNS 信息、安全情报、相关域名、相关样本、可视分析等功能。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IP查询：提供IP查询功能，包括与该IP相关的DNS 信息、安全情报、相关样本、可视分析等。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邮箱查询：提供邮箱查询你，包括注册域名、安全情报、相关样本、可视分析、网络痕迹等。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字符串查询：字符串查询是指通过查找特定字符串，找出所有包含该字符串的样本。如：研究人员通过分析发现Wannacry勒索病毒会包含字符串“Wannacry”，尝试检索该字符串可发现一批Wannacry勒索病毒。</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威胁情报查询：提供威胁信息资讯，威胁情报信息来自互联网收集，偏重各种热点事件。</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4）情报共享</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提供情报订阅和情报接口共享两种方式。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a、情报订阅</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提供订阅威胁情报功能，按照行业、IP、域名、区域等订阅内容，并且支持推送告警通知。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b、情报接口共享</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提供通过WEB接口、Syslog、API等方式进行情报分发共享。</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失陷资产关联</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传统的安全设备由于采用了已有攻击签名特征库检测的方式，可发现攻击过程中的情况或者采用远程检测能够检测发现漏洞或安全事件。然而，实际情况是辖区内存在的大量失陷被控的网络资产，缺乏相应的技术手段可以探测感知，任由资产失陷成为僵尸网络或者爆发更大规模安全事件，比如黑客事件，通常是该系统早已遭受入侵失陷，并被植入后门或木马，在需要的时候触发挂上标语。网络安全运行平台结合情报可发现互联网中出现的威胁数据，与网络资产信息进行关联碰撞，从而发现辖区内资产失陷的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5）高级威胁关联</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a、高危攻击关联分析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威胁情报中的威胁数据，可以感知辖区的重要资产是否遭受了高威胁的攻击，是否需要进行应急处理等。该部分的攻击威胁数据包括：遭受外部攻击的攻击源分析发现其中的高威胁攻击源与黑客组织；遭受的扫描行为分析发现其中的监管机构扫描与违规授权扫描；本区域内存在的攻击源对外发起了攻击需要进行处置；本区域内存在的扫描源是否为备案的扫描机构。</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b、0day漏洞预警监测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当互联网发生0day漏洞，通过第三方专家团队会对0day漏洞进行分析，判断其影响的范围，通过云端大数据快速定位到可能受影响的网站和系统，再根据精准的POC策略检测，对用户进行精准的定位是否受0day影响，然后由大数据预警引擎对受影响的用户进行定向通报，以督促受影响单位进行主动防御，摆脱以往的“广播式”预警容易被忽略等困境，实现可落地的预警与风险整改督促。</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6）历史攻击回溯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把威胁情报数据的恶意IP与历史流量数据，各类历史日志中的源IP进行比对，发现命中恶意IP而当时未告警的历史数据或虽然告警但未做处理的数据，进行回溯分析源IP行为，判断当时的攻击可能性，必要时进行补救处理。统计恶意IP中在历史流量或日志中经常出现的IP地址，进行重点关注或做黑名单处理。</w:t>
      </w:r>
    </w:p>
    <w:p>
      <w:pPr>
        <w:adjustRightInd w:val="0"/>
        <w:snapToGrid w:val="0"/>
        <w:spacing w:line="360" w:lineRule="auto"/>
        <w:ind w:firstLine="424" w:firstLineChars="200"/>
        <w:rPr>
          <w:rFonts w:ascii="宋体" w:hAnsi="宋体" w:cs="宋体"/>
          <w:szCs w:val="21"/>
          <w:highlight w:val="none"/>
        </w:rPr>
      </w:pPr>
      <w:bookmarkStart w:id="134" w:name="_Toc146036704"/>
      <w:r>
        <w:rPr>
          <w:rFonts w:hint="eastAsia" w:ascii="宋体" w:hAnsi="宋体" w:cs="宋体"/>
          <w:szCs w:val="21"/>
          <w:highlight w:val="none"/>
        </w:rPr>
        <w:t>（13）分析研判</w:t>
      </w:r>
      <w:bookmarkEnd w:id="134"/>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1）订阅规则</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订阅规则将安全事件通过预警、工单、邮件、短信、钉钉等方式推送给用户，或直接联动防火墙进行威胁阻断，当安全告警满足订阅规则时，自动触发通知或联动，帮助用户实时关注平台告警情况并及时阻断威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对订阅记录进行统一管理，支持多维度记录查询，并支持对订阅规则相关的安全告警进行钻取分析。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2）Sherlock威胁溯源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威胁溯源Sherlock旨在确定攻击事件后，回溯所有攻击相关的网络数据包，对系统近期的所有行为进行串联，确定攻击事件的整个事件周期，展示整个攻击事件的所有攻击路径。以互访流量关系为纽带，将攻击者的所有攻击动作列举出来。通过安全设备的告警日志、系统设备日志与资产画像对比分析，确定遭受攻击的服务器。通过分析这些被攻击的设备的系统日志，挖掘出攻击者的攻击入口。还原出攻击者在不同服务器之间的攻击路径。</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Sherlock以资产为核心视角，直观了解自身网络环境中存在风险资产，感知通过攻击链形式展示，剖析从扫描探查阶段到资产破坏阶段资产失陷过程。感知失陷、异常资产，从海量的日志中提取有价值的资产溯源路线。平台简单易用，支持一键全方面钻取，降低运维成本，提高运维效率。根据资产安全告警分析所处安全状态，平台会对资产进行状态标记，帮助用户清晰了解全局资产状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3）安全模型自动化编排</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基于安全分析能力和应用能力，通过剧本编排，对复杂的分析、处置流程进行集成整合，实现从静态事件响应到动态工作流跟踪的转变，提升整体的协调及决策能力。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剧本以原始数据或安全事件作为输入，结合统计模型、情报模型、关联模型、规则模型进行威胁分析，并实现联动阻断、通报预警、人工查验等响应动作。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a、编排要素</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数据源：支持将原始日志、异常记录、安全告警作为剧本的数据源输入。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分析组件：支持添加统计指标、统计模型、情报模型、关联模型和规则模型。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处置响应：支持添加联动防火墙及EDR设备，可对分析出的安全威胁直接发布预警或下发通报，此外，支持在必要位置添加人工查验模块，进行人工干预分析，将人添加到整个安全事件处理的闭环中。</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b、剧本管理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提供可视化、简单易用的剧本编辑器，并对创建剧本进行统一管理。具体设计包括以下功能。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可视化编排。构建基于WEB的交互式剧本编排图形化可视界面，支持以拖拽方式构建剧本，简化剧本创建流程，提升剧本创建操作的易用性和工作效率。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剧本管理。支持对已创建剧本进行检索，检索条件包括剧本名称、剧本状态、标签等；支持对剧本进行编辑、删除等操作；支持根据剧本执行情况，如误报率或重复告警等，对剧本进行开启和关闭。</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c、任务管理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提供任务看板，对执行的自动化任务进行监控。具体设计包含如下功能。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支持执行任务总体情况概览，统计呈现任务总数，并可视化呈现已完成、进行中、已取消的任务占比以及任务变化趋势。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统计呈现任务平均处理时间以及为用户节省的总时间，直观体现SOAR价值。</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支持根据剧本名称、任务进度、时间维度等进行任务查询。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支持对剧本各部分执行任务详情进行钻取分析。</w:t>
      </w:r>
    </w:p>
    <w:p>
      <w:pPr>
        <w:adjustRightInd w:val="0"/>
        <w:snapToGrid w:val="0"/>
        <w:spacing w:line="360" w:lineRule="auto"/>
        <w:ind w:firstLine="424" w:firstLineChars="200"/>
        <w:rPr>
          <w:rFonts w:ascii="宋体" w:hAnsi="宋体" w:cs="宋体"/>
          <w:szCs w:val="21"/>
          <w:highlight w:val="none"/>
        </w:rPr>
      </w:pPr>
      <w:bookmarkStart w:id="135" w:name="_Toc146036705"/>
      <w:r>
        <w:rPr>
          <w:rFonts w:hint="eastAsia" w:ascii="宋体" w:hAnsi="宋体" w:cs="宋体"/>
          <w:szCs w:val="21"/>
          <w:highlight w:val="none"/>
        </w:rPr>
        <w:t>（14）安全专项</w:t>
      </w:r>
      <w:bookmarkEnd w:id="135"/>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根据互联网上的最新爆发的安全漏洞或者其他影响较大的安全隐患进行安全专项分析，对可能受到影响的受影响的资产、行业、受影响的重要单位进行分析，给各区域监管单位提供相关安全威胁隐患的数据。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1）漏洞预警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对重要产品、软件、系统的安全漏洞进行实时跟踪，经专家分析研判后为客户提供权威、及时、准确漏洞预警。不仅能够快速掌握最新漏洞动态。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2）情报资讯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全网安全动态分析，分析国内外攻防的安全动态资讯：APT攻击、勒索攻击、挖矿、黑灰产、暗链等信息，轻松掌握当下热点技术方向及安全动态。为网用户的络安全规划与建设提供高质量的参考材料。</w:t>
      </w:r>
    </w:p>
    <w:p>
      <w:pPr>
        <w:adjustRightInd w:val="0"/>
        <w:snapToGrid w:val="0"/>
        <w:spacing w:line="360" w:lineRule="auto"/>
        <w:ind w:firstLine="424" w:firstLineChars="200"/>
        <w:rPr>
          <w:rFonts w:ascii="宋体" w:hAnsi="宋体" w:cs="宋体"/>
          <w:szCs w:val="21"/>
          <w:highlight w:val="none"/>
        </w:rPr>
      </w:pPr>
      <w:bookmarkStart w:id="136" w:name="_Toc146036710"/>
      <w:r>
        <w:rPr>
          <w:rFonts w:hint="eastAsia" w:ascii="宋体" w:hAnsi="宋体" w:cs="宋体"/>
          <w:szCs w:val="21"/>
          <w:highlight w:val="none"/>
        </w:rPr>
        <w:t>（15）威胁情报模块</w:t>
      </w:r>
      <w:bookmarkEnd w:id="136"/>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平台具备云端威胁情报订阅模块：内置威胁情报离线库并支持更新。此外平台支持采用情报数据进行实时检测防御。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1）在线查询与溯源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云端提供对IoC威胁类型、多源情报、WHOIS、开放端口、SSL证书等多维度的溯源分析。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2）云端服务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支持订阅高级威胁分析情报，云端提供最新APT入侵、0day漏洞预警、病毒变种情况等分析报告订阅。</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（16）重大安保</w:t>
      </w:r>
      <w:bookmarkEnd w:id="125"/>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重大安保中心主要用于在重要会议或重大活动期间，全方位全天候掌握与活动相关的单位、系统和网站安全状况，及时通报预警网络安全隐患，高效处置网络安全事件。实现在安保时期重点对象的监控、安保人员管控、调度指挥、应急处置以及活动情况总结归档。对重大活动期间各职能部门、重要行业部门、技术支持单位进行综合指挥，协同多家技术支撑单位、第三方安全厂商、网络安全专家以及其他职能部门保障重大活动期间的网络安全。</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drawing>
          <wp:inline distT="0" distB="0" distL="0" distR="0">
            <wp:extent cx="5274310" cy="2418715"/>
            <wp:effectExtent l="0" t="0" r="2540" b="635"/>
            <wp:docPr id="54" name="图片 5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图形用户界面&#10;&#10;描述已自动生成"/>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74310" cy="2418715"/>
                    </a:xfrm>
                    <a:prstGeom prst="rect">
                      <a:avLst/>
                    </a:prstGeom>
                    <a:noFill/>
                    <a:ln>
                      <a:noFill/>
                    </a:ln>
                  </pic:spPr>
                </pic:pic>
              </a:graphicData>
            </a:graphic>
          </wp:inline>
        </w:drawing>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指挥调度中心以大数据基础设施中心、威胁分析研判中心为基础，构建安保指挥业务应用中心，其中大数据基础设施中心完成网络安全运行平台的基础设施、探针设备和大数据的采集接入，威胁分析研判中心主要针对网络威胁通过大数据智能分析加人工专业判别的组合方式完成威胁的定性分析，安保协调指挥业务应用主要实现重大活动网络安全保障协同指挥的相关业务流程能够支持单位部门开展安全风险管理和安保制度、安保值守、安保检查等复杂工作流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1）活动管理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保活动管理是针对多个活动（包含历史活动）的统一管理模块。支持在该模块新建活动、编辑活动摸底、临战、备战、决战阶段的时间进度，支持下钻到具体某个活动，查看活动详情，同时支持结束、归档活动。</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系统支持全局整体的活动管理能力，同时针对具体的单次活动提供详细的配置管理，包括各个模块可使用的标签、安保值守范围、检查/处置业务审批反馈等。</w:t>
      </w:r>
    </w:p>
    <w:p>
      <w:pPr>
        <w:adjustRightInd w:val="0"/>
        <w:snapToGrid w:val="0"/>
        <w:spacing w:line="360" w:lineRule="auto"/>
        <w:ind w:firstLine="424" w:firstLineChars="200"/>
        <w:rPr>
          <w:rFonts w:ascii="宋体" w:hAnsi="宋体" w:cs="宋体"/>
          <w:szCs w:val="21"/>
          <w:highlight w:val="none"/>
        </w:rPr>
      </w:pPr>
      <w:bookmarkStart w:id="137" w:name="_Toc31880696"/>
      <w:bookmarkStart w:id="138" w:name="_Toc31882172"/>
      <w:bookmarkStart w:id="139" w:name="_Toc31881968"/>
      <w:bookmarkStart w:id="140" w:name="_Toc31883233"/>
      <w:bookmarkStart w:id="141" w:name="_Toc31882104"/>
      <w:bookmarkStart w:id="142" w:name="_Toc31883543"/>
      <w:bookmarkStart w:id="143" w:name="_Toc31882308"/>
      <w:r>
        <w:rPr>
          <w:rFonts w:hint="eastAsia" w:ascii="宋体" w:hAnsi="宋体" w:cs="宋体"/>
          <w:szCs w:val="21"/>
          <w:highlight w:val="none"/>
        </w:rPr>
        <w:t>2）系统配置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为运维管理用户提供安保指挥系统的系统配置页面，包括系统配置、角色管理、系统用户、单位用户、日志审计、许可管理。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当安保管理人员在安保期间，点击进入某个活动时，就可以进入作战台，作战台页面划分为四个模块：信息公开、待办工作/跟进工作、快捷方式、个人信息。通过作战台即可对活动期间的各个活动的阶段的信息公告、组织架构、应急预案、代办工作、安全支撑单位等所有跟安保相关资源和信息，并通过点击对应的按钮处理安保相关工作和跟进未完成的工作，并通过快捷方式快速添加需要直接访问的业务模块并进入该业务模块进行相关安保工作编排。</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3）基础信息</w:t>
      </w:r>
      <w:bookmarkEnd w:id="137"/>
      <w:bookmarkEnd w:id="138"/>
      <w:bookmarkEnd w:id="139"/>
      <w:bookmarkEnd w:id="140"/>
      <w:bookmarkEnd w:id="141"/>
      <w:bookmarkEnd w:id="142"/>
      <w:bookmarkEnd w:id="143"/>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基础信息管理是支持安保组维护该次安保活动所需要基础信息的模块，包含安保对象管理（单位、系统）、支撑单位管理、人员管理、小组管理、驻点管理、设备管理、车辆管理等子模块。</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安保单位，即安保活动重点保障的单位，系统提供新增、查看、编辑、删除、查询统计功能。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安保系统，即安保活动重点保障的安保系统，如电力、广播等重点行业的系统，系统提供新增、查看、编辑、删除、查询统计功能。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支撑单位管理，即协助安保组完成该次安保活动的单位，系统提供新增、查看、编辑、删除、查询统计功能。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人员管理，安保组线下采集，进行录入，支持指定某人为单位的联系人，该联系人具备新增联系人的权限，新增后需要安保组的人员审批。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小组管理，从安保人员中选择各个人员建立成不同的安保小组，为后续的不同的业务开展服务将各个单位的人员根据岗位、技能等特点划分为不同的小组，安保小组可以通过小组名称、组长姓名、组长联系方式、小组标签、安保人员选择。</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可以按照人员姓名、归属单位、人员标签进行查询人员数据。供安保组在安保活动中进行调度，系统提供新增、查看、编辑、删除、查询统计功能。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驻点管理，即在安保活动期间，对于部分十分重要的场所，支持安保组设置驻点，进行全天候值守，对突发事件做应急处置。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设备管理，提供的针对该活动的安保设备的基本运维情况的展示即对该次安保活动使用的设备进行统一管理，在该页面进行包括设备数量、在线离线情况，可以对设备进行新增、导入和删除等操作，每个设备的在线情况，CPU利用率和负债率、内存使用量、磁盘占用率的直观展示统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车辆管理，即针对该次安保活动可调度的车辆进行管理、维护，提供了包括新增、查看、编辑、删除、启停用和车辆调配等具体管理项，可操作的字段包括车牌号、颜色、车品牌、车辆类型等具体信息，车辆状态提供可用、停用、使用中具体使用情况标记，当状态为使用中时需要展示是哪个人员在使用。系统具备控制车辆的启用/停用状态，状态为停用时，该车辆无法被调配。</w:t>
      </w:r>
    </w:p>
    <w:p>
      <w:pPr>
        <w:adjustRightInd w:val="0"/>
        <w:snapToGrid w:val="0"/>
        <w:spacing w:line="360" w:lineRule="auto"/>
        <w:ind w:firstLine="424" w:firstLineChars="200"/>
        <w:rPr>
          <w:rFonts w:ascii="宋体" w:hAnsi="宋体" w:cs="宋体"/>
          <w:szCs w:val="21"/>
          <w:highlight w:val="none"/>
        </w:rPr>
      </w:pPr>
      <w:bookmarkStart w:id="144" w:name="_Toc31882105"/>
      <w:bookmarkStart w:id="145" w:name="_Toc31883544"/>
      <w:bookmarkStart w:id="146" w:name="_Toc31880697"/>
      <w:bookmarkStart w:id="147" w:name="_Toc31882173"/>
      <w:bookmarkStart w:id="148" w:name="_Toc31883234"/>
      <w:bookmarkStart w:id="149" w:name="_Toc31881969"/>
      <w:bookmarkStart w:id="150" w:name="_Toc31882309"/>
      <w:r>
        <w:rPr>
          <w:rFonts w:hint="eastAsia" w:ascii="宋体" w:hAnsi="宋体" w:cs="宋体"/>
          <w:szCs w:val="21"/>
          <w:highlight w:val="none"/>
        </w:rPr>
        <w:t>4）安保制度</w:t>
      </w:r>
      <w:bookmarkEnd w:id="144"/>
      <w:bookmarkEnd w:id="145"/>
      <w:bookmarkEnd w:id="146"/>
      <w:bookmarkEnd w:id="147"/>
      <w:bookmarkEnd w:id="148"/>
      <w:bookmarkEnd w:id="149"/>
      <w:bookmarkEnd w:id="150"/>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安保制度是支持安保组维护该次安保活动开展所需制度等信息的模块，包含安保方案、安保制度、组织架构、应急预案、信息公告等子模块。</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安保方案支持安保组维护该次活动的安保方案信息同上传方案附件文档的方式进行详细的方案规划。</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安保制度，支持安保组维护该次安保活动的各项规章制度，并支持安保活动各方参与人员查看对应的规章制度。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组织架构，在安保期间对安保活动的组织架构采用可视化的手段进行展示、维护，支持安保组自定义维护该次安保活动的组织架构信息。</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应急预案，具备安保组制定该次安保活动发生各类事件时的应急预案，并在事件发生时启用对应的应急预案，应急预案支持针对预先定义的预案名称、预案等级（1-4类）、预案分类、提交单位、提交时间和对应的操作项进行相应操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信息公告，提供以安保组为单位发布正式的公开的信息至该次活动全部参与单位、人员以便实现重大安全事件信息的及时披露和共享。</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5）威胁管理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威胁管理子模块直观地展现辖区内单位的安全态势和潜在风险，辅助管理工作人员全面掌控重保期间重保对象的安全动态。</w:t>
      </w:r>
    </w:p>
    <w:p>
      <w:pPr>
        <w:adjustRightInd w:val="0"/>
        <w:snapToGrid w:val="0"/>
        <w:spacing w:line="360" w:lineRule="auto"/>
        <w:ind w:firstLine="424" w:firstLineChars="200"/>
        <w:rPr>
          <w:rFonts w:ascii="宋体" w:hAnsi="宋体" w:cs="宋体"/>
          <w:szCs w:val="21"/>
          <w:highlight w:val="none"/>
        </w:rPr>
      </w:pPr>
      <w:bookmarkStart w:id="151" w:name="_Toc31883546"/>
      <w:bookmarkStart w:id="152" w:name="_Toc31881971"/>
      <w:bookmarkStart w:id="153" w:name="_Toc31883236"/>
      <w:bookmarkStart w:id="154" w:name="_Toc31882311"/>
      <w:bookmarkStart w:id="155" w:name="_Toc31880699"/>
      <w:bookmarkStart w:id="156" w:name="_Toc31882175"/>
      <w:bookmarkStart w:id="157" w:name="_Toc31882107"/>
      <w:r>
        <w:rPr>
          <w:rFonts w:hint="eastAsia" w:ascii="宋体" w:hAnsi="宋体" w:cs="宋体"/>
          <w:szCs w:val="21"/>
          <w:highlight w:val="none"/>
        </w:rPr>
        <w:t>6）通报处置</w:t>
      </w:r>
      <w:bookmarkEnd w:id="151"/>
      <w:bookmarkEnd w:id="152"/>
      <w:bookmarkEnd w:id="153"/>
      <w:bookmarkEnd w:id="154"/>
      <w:bookmarkEnd w:id="155"/>
      <w:bookmarkEnd w:id="156"/>
      <w:bookmarkEnd w:id="157"/>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通报处置是支持安保组在安保活动期间，将发现的各个重点单位的隐患、事件通报给对应的单位联络人，系统提供通报统计、通报发布和通报跟进三个子模块，实现事前预防、事中处置目标的业务模块。</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报处置业务的具体业务流程为，当某单位发生安全隐患、安全事件后，支持安保组在威胁管理发起通报任务，通报给对应的单位；对应的单位联络人接收到通报后，进行处置，处置完成后支持单位联络人在系统中反馈处置情况，经安保组复核完成后，该通报即视为结束。</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通报统计以接收的事件、隐患数据为数据源针对事件、隐患和通过业务进行统计展示。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通报发布模块将各个数据来源的数据，统一在该模块进行管理，并在该模块发起通报、处置业务。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通报跟进模块支持用户通过事件管理功能对通报任务进行状态跟进，数据来源于通过事件管理处理的安全事件、隐患和现场建成的结果数据经过威胁分析研判后确认审批后的威胁数据发起的通报业务。</w:t>
      </w:r>
      <w:bookmarkStart w:id="158" w:name="_Toc31883547"/>
      <w:bookmarkStart w:id="159" w:name="_Toc31881972"/>
      <w:bookmarkStart w:id="160" w:name="_Toc31882312"/>
      <w:bookmarkStart w:id="161" w:name="_Toc31880700"/>
      <w:bookmarkStart w:id="162" w:name="_Toc31882108"/>
      <w:bookmarkStart w:id="163" w:name="_Toc31883237"/>
      <w:bookmarkStart w:id="164" w:name="_Toc31882176"/>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7）安保检查</w:t>
      </w:r>
      <w:bookmarkEnd w:id="158"/>
      <w:bookmarkEnd w:id="159"/>
      <w:bookmarkEnd w:id="160"/>
      <w:bookmarkEnd w:id="161"/>
      <w:bookmarkEnd w:id="162"/>
      <w:bookmarkEnd w:id="163"/>
      <w:bookmarkEnd w:id="164"/>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安保检查提供针对辖区内单位及系统开展安全检查和隐患排查的能力。主要包含检查统计、检查任务管理功能。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检查任务管理支持安保组下发检查任务至安保检查小组，安保检查小组前往现场检查，检查完毕后出具整改通知书并将检查结果填报到网络安全运行平台。待单位完成整改后，安保检查小组接收单位的整改通知书并在网络安全运行平台上完成闭环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检查统计支持统计安保组下发的每一轮检查任务信息，统计每一轮检查中，每家单位/系统的安全隐患数，直观查看每一轮的检查结果，每一轮的检查隐患数量，以及上升下降趋势。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系统为用户提供了直观查看每一轮检查任务的宏观情况，支持查看、导出每个单位、每一轮的检查结果情况。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系统在备战阶段进行安全检查并对检查任务和结果进行统计，统计信息包括数值统计、检查任务趋势统计、隐患趋势统计和每个检查统计的明细信息展示。</w:t>
      </w:r>
    </w:p>
    <w:p>
      <w:pPr>
        <w:adjustRightInd w:val="0"/>
        <w:snapToGrid w:val="0"/>
        <w:spacing w:line="360" w:lineRule="auto"/>
        <w:ind w:firstLine="424" w:firstLineChars="200"/>
        <w:rPr>
          <w:rFonts w:ascii="宋体" w:hAnsi="宋体" w:cs="宋体"/>
          <w:szCs w:val="21"/>
          <w:highlight w:val="none"/>
        </w:rPr>
      </w:pPr>
      <w:bookmarkStart w:id="165" w:name="_Toc31880701"/>
      <w:bookmarkStart w:id="166" w:name="_Toc31883238"/>
      <w:bookmarkStart w:id="167" w:name="_Toc31881973"/>
      <w:bookmarkStart w:id="168" w:name="_Toc31882313"/>
      <w:bookmarkStart w:id="169" w:name="_Toc31883548"/>
      <w:bookmarkStart w:id="170" w:name="_Toc31882177"/>
      <w:bookmarkStart w:id="171" w:name="_Toc31882109"/>
      <w:r>
        <w:rPr>
          <w:rFonts w:hint="eastAsia" w:ascii="宋体" w:hAnsi="宋体" w:cs="宋体"/>
          <w:szCs w:val="21"/>
          <w:highlight w:val="none"/>
        </w:rPr>
        <w:t>8）安保值守</w:t>
      </w:r>
      <w:bookmarkEnd w:id="165"/>
      <w:bookmarkEnd w:id="166"/>
      <w:bookmarkEnd w:id="167"/>
      <w:bookmarkEnd w:id="168"/>
      <w:bookmarkEnd w:id="169"/>
      <w:bookmarkEnd w:id="170"/>
      <w:bookmarkEnd w:id="171"/>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保值守是在安保活动进入临战阶段后日常的主要工作，安保值守模块可以对安保组在安保期间对各个驻点开展巡检工作，了解各个驻点实时安全情况，提供日历、今日排班情况和今日值守情况便于管理人员对整体安保工作的各组工作情况进行查看和管理的模块，同时安保值守模块提供的全局安保支持统览和针对具体安保活动的巡检工作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保值守模块区分安保组和安保驻点两个视角。安保驻点端在安保、驻点小组视角，对于驻点小组主要需要管理安保期间、每一天、每一个班次的人员，因此该部分模块展示的该小组每一天、每一个班次的值守人员通过修改等操作可以设置该次安保活动的排班频率，并可以对各个安保驻点上报驻点的排班计划，并支持安保驻点在活动期间通过移动端（钉钉网络安全运行平台上定制专用功能模块）开展签到/签退、报平安等工作。</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保组视角，对于安保组主要需要查看每一天每个驻点是由谁值守，并能查看该驻点当天的排班计划支持宏观查看活动期间的排班数量情况、报平安数量情况，以及深度查看安保期间每天，每个驻点每个班次的人员值班情况、签到签退时间、报平安状态、每个驻点在安保期间的排班计划等情况。</w:t>
      </w:r>
    </w:p>
    <w:p>
      <w:pPr>
        <w:adjustRightInd w:val="0"/>
        <w:snapToGrid w:val="0"/>
        <w:spacing w:line="360" w:lineRule="auto"/>
        <w:ind w:firstLine="424" w:firstLineChars="200"/>
        <w:rPr>
          <w:rFonts w:ascii="宋体" w:hAnsi="宋体" w:cs="宋体"/>
          <w:szCs w:val="21"/>
          <w:highlight w:val="none"/>
        </w:rPr>
      </w:pPr>
      <w:bookmarkStart w:id="172" w:name="_Toc31882178"/>
      <w:bookmarkStart w:id="173" w:name="_Toc31883239"/>
      <w:bookmarkStart w:id="174" w:name="_Toc31880702"/>
      <w:bookmarkStart w:id="175" w:name="_Toc31882110"/>
      <w:bookmarkStart w:id="176" w:name="_Toc31881974"/>
      <w:bookmarkStart w:id="177" w:name="_Toc31883549"/>
      <w:bookmarkStart w:id="178" w:name="_Toc31882314"/>
      <w:r>
        <w:rPr>
          <w:rFonts w:hint="eastAsia" w:ascii="宋体" w:hAnsi="宋体" w:cs="宋体"/>
          <w:szCs w:val="21"/>
          <w:highlight w:val="none"/>
        </w:rPr>
        <w:t>9）指挥调度</w:t>
      </w:r>
      <w:bookmarkEnd w:id="172"/>
      <w:bookmarkEnd w:id="173"/>
      <w:bookmarkEnd w:id="174"/>
      <w:bookmarkEnd w:id="175"/>
      <w:bookmarkEnd w:id="176"/>
      <w:bookmarkEnd w:id="177"/>
      <w:bookmarkEnd w:id="178"/>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指挥调度系统基于GIS系统的可视化特性，同业务系统进行数据对接，通过直观图形化点击拖拽等方式支撑安保组在安保活动期间的活动监控和指挥调度两个应用场景。其中活动监控是通过可视化技术直观展示活动的实时情况，包含：当前活动的进度，活动的资源、活动的威胁情况、活动的值守情况、活动的各项业务开展情况等信息。指挥调度将活动要素在地图上展示，在发生突发事件时，支持指挥中心“挂图作战”，依据地图展示的资源来对事件的处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10）活动监控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支持用户通过监控大屏了解到整个活动的进度和情况。通过可视化技术将安保指挥调度的相关全部要素以图形可视的方式展现在用户面前，包含当前活动的进度、活动的资源、活动的威胁情况、活动的值守情况、活动的各项业务开展情况等信息的实时数据展示，以及隐患类数据信息、事件类数据信息和攻击类数据信息，并支持近两日相关隐患的变更对比数据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安保概况从组织架构、信息公告、安保单位、安保系统、安保支撑单位、安保人员、安保小组、安保驻点、安保设备、安保车辆、安保应急预案、安保制度等统计维度进行全局展示。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值守情况从当天值守情况和整个活动的值守情况两个维度进行展示，当天维度，可以查看当天的驻点排班情况看，当天各个班次的签到、报平安等统计情况展示。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威胁信息从隐患、攻击、事件等角度进行统计分析，支持以累计数量、类型分布、等级分布、今日新增、今日新增趋势、累计趋势、通报状态等维度实现威胁信息的统计展示。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安保检查、通报处置和安保指令支持当日和累计2个维度进行统计展示。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指挥调度将活动要素通过GIS技术的对接在地图上直观展示，在发生突发事件时，支持指挥中心“挂图作战”，依据地图展示的资源来对事件的处置。采用可视化地图技术实现“图上统筹”，将安保活动的举办地采用3D地图的形式展示，并在3D地图上采用直观、区分度强的标记展示不同的单位、系统、小组管理、安保驻点等地图信息。当发生安全事件时，直接在地图上发起通报处置工作，直接通报到对应单位。并支持安保组对直接下发调度指令给安保驻点、小组管理，安保组主动下发调度任务，前线安保小组人员通过移动端APP实时接收指令信息，完成安保组下发的调度任务，完成调度工作主要提供的场景如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场景一：</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检查视图，查看安保期间单位的检查情况通过在地图上点击重点单位或驻点小组能够快速下发检查任务，在建立检查任务时，支持过滤未检查的单位。</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场景二：</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通报视图，通过地图上以不同的醒目标识，表达目标状态查看当前的通报情况。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场景三：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值守视图，通过地图上可以查看异常驻点情况，指挥部对应异常驻点下发指令，了解异常情况。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场景四：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当驻点上报事件时，支持指挥部下发调度指令，调度其他驻点协助该上报事件的驻点。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场景五：</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调度视图，可以查看当前在执行调度的单位、驻点的基础、检查、威胁、通报、值守的相关信息，在地图上通过发布指令实现指挥调度。</w:t>
      </w:r>
    </w:p>
    <w:bookmarkEnd w:id="126"/>
    <w:p>
      <w:pPr>
        <w:adjustRightInd w:val="0"/>
        <w:snapToGrid w:val="0"/>
        <w:spacing w:line="360" w:lineRule="auto"/>
        <w:ind w:firstLine="424" w:firstLineChars="200"/>
        <w:rPr>
          <w:rFonts w:ascii="宋体" w:hAnsi="宋体" w:cs="宋体"/>
          <w:szCs w:val="21"/>
          <w:highlight w:val="none"/>
        </w:rPr>
      </w:pPr>
      <w:bookmarkStart w:id="179" w:name="_Toc146036702"/>
      <w:r>
        <w:rPr>
          <w:rFonts w:hint="eastAsia" w:ascii="宋体" w:hAnsi="宋体" w:cs="宋体"/>
          <w:szCs w:val="21"/>
          <w:highlight w:val="none"/>
        </w:rPr>
        <w:t>（17）考核评价</w:t>
      </w:r>
      <w:bookmarkEnd w:id="179"/>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考核评价中心协助用户构建常态化网络安全工作情况考核和日常考核的工作机制，针对不同被监管对象建立对应的网络安全检查指标库，实现管理统计、日常考核、综治考核、技术支撑单位考核等功能，并按不同时间周期提供考核报告，达到以查代促、以查促改、以查促管、以查促防，有效推动各重点单位落实网络安全建设工作的目的。</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1）管理统计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管理统计对考核评价子系统中整体考核情况进行统计分析，让使用者快速了解当前管理情况，主要包括数据报送情况、综治考核情况、考核报告三个部分。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数据报送情况：数据报送情况是对技术支撑单位提供的数据量、数据质量进行综合统计，数据报送主要类型有资产数据、漏洞数据、事件数据、攻击威胁数据。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综治考核情况：对综治考核情况进行统计，按照被监管单位考核、技术支撑单位考核、下级部门考核三块。考核默认显示最近一次的综治考核结果，如有历年历史数据，则可按年切换查看历史数据。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考核报告：考核报告分为月报、季报、半年报、年报四种类型，分别描述网络安全工作的管理情况，从检查情况、自检情况、安全情况、支撑单位工作情况、数据质量情况等维度由系统根据后台数据自动生成。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2）日常考核</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现网络安全管理工作考核，考评周期可按周、月等，考核内容可动态编辑调整。有别于综治考核，综治考核为一年一次，有严格的计分标准，安全评价中则是常态化的安全监控，主要以发现问题、是否安全为角度出发。日常考核的数据纳入年底综合考核的计算中。</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3）综治考核</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实现网络安全管理工作的综合考核，每自然年（1月到12月）作为一个评比周期，考核内容可动态编辑调整。</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4）考核规则</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针对被监管单位、行业主管单位、下级机关的网络安全管理工作制定定制化的考核规则，可从组织管理、安全防护、安全监测、安全成效等维度制定考核规则。</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5）支撑单位考核</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技术支撑单位以及情报数据来源厂商进行考核。考核分为两个部分，一部分是对技术支撑单位工作的支撑情况的考核，另一个部分是对第三方威胁情报厂商提供的情报数据质量的考评。支撑单位的考核按年度统计，每自然年（1月到12月）作为一个评比周期。</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a、技术支撑单位考核</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通过五星考评机制进行考评，得分在支撑单位考核中直接给出，考核内容包括但不限于：</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6829"/>
      </w:tblGrid>
      <w:tr>
        <w:tc>
          <w:tcPr>
            <w:tcW w:w="1085" w:type="pct"/>
            <w:shd w:val="clear" w:color="auto" w:fill="auto"/>
          </w:tcPr>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考核维度</w:t>
            </w:r>
          </w:p>
        </w:tc>
        <w:tc>
          <w:tcPr>
            <w:tcW w:w="3915" w:type="pct"/>
            <w:shd w:val="clear" w:color="auto" w:fill="auto"/>
          </w:tcPr>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考核内容</w:t>
            </w:r>
          </w:p>
        </w:tc>
      </w:tr>
      <w:tr>
        <w:tc>
          <w:tcPr>
            <w:tcW w:w="1085" w:type="pct"/>
            <w:shd w:val="clear" w:color="auto" w:fill="auto"/>
          </w:tcPr>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数据支撑</w:t>
            </w:r>
          </w:p>
        </w:tc>
        <w:tc>
          <w:tcPr>
            <w:tcW w:w="3915" w:type="pct"/>
            <w:shd w:val="clear" w:color="auto" w:fill="auto"/>
          </w:tcPr>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每月资产档案新增、补全的数据量，准确率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每月安全事件、隐患上报的数据量，准确率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每月威胁情报提供的数据量，情报碰撞率</w:t>
            </w:r>
          </w:p>
        </w:tc>
      </w:tr>
      <w:tr>
        <w:tc>
          <w:tcPr>
            <w:tcW w:w="1085" w:type="pct"/>
            <w:shd w:val="clear" w:color="auto" w:fill="auto"/>
          </w:tcPr>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专家支撑</w:t>
            </w:r>
          </w:p>
        </w:tc>
        <w:tc>
          <w:tcPr>
            <w:tcW w:w="3915" w:type="pct"/>
            <w:shd w:val="clear" w:color="auto" w:fill="auto"/>
          </w:tcPr>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日常分析研判发现的事件个数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日常验证的漏洞个数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重大活动期间专家的服务时长</w:t>
            </w:r>
          </w:p>
        </w:tc>
      </w:tr>
      <w:tr>
        <w:tc>
          <w:tcPr>
            <w:tcW w:w="1085" w:type="pct"/>
            <w:shd w:val="clear" w:color="auto" w:fill="auto"/>
          </w:tcPr>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服务支撑</w:t>
            </w:r>
          </w:p>
        </w:tc>
        <w:tc>
          <w:tcPr>
            <w:tcW w:w="3915" w:type="pct"/>
            <w:shd w:val="clear" w:color="auto" w:fill="auto"/>
          </w:tcPr>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资产普查工作服务支持次数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检查调查工作服务支持次数</w:t>
            </w:r>
          </w:p>
        </w:tc>
      </w:tr>
      <w:tr>
        <w:tc>
          <w:tcPr>
            <w:tcW w:w="1085" w:type="pct"/>
            <w:shd w:val="clear" w:color="auto" w:fill="auto"/>
          </w:tcPr>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人才培养</w:t>
            </w:r>
          </w:p>
        </w:tc>
        <w:tc>
          <w:tcPr>
            <w:tcW w:w="3915" w:type="pct"/>
            <w:shd w:val="clear" w:color="auto" w:fill="auto"/>
          </w:tcPr>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每月组织安全课程培训次数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每年组织安全攻防演练次数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每年发表安全相关研究成果篇数</w:t>
            </w:r>
          </w:p>
        </w:tc>
      </w:tr>
    </w:tbl>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b、数据来源厂商考核</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数据质量评分：数据质量评分部分由系统根据后台数据的数据量、数据质量自动计算得出。数据质量从漏洞数据、事件数据、攻击威胁数据、资产数据四个 维度进行评价。</w:t>
      </w:r>
    </w:p>
    <w:p>
      <w:pPr>
        <w:adjustRightInd w:val="0"/>
        <w:snapToGrid w:val="0"/>
        <w:spacing w:line="360" w:lineRule="auto"/>
        <w:ind w:firstLine="424" w:firstLineChars="200"/>
        <w:rPr>
          <w:rFonts w:ascii="宋体" w:hAnsi="宋体" w:cs="宋体"/>
          <w:szCs w:val="21"/>
          <w:highlight w:val="none"/>
        </w:rPr>
      </w:pPr>
      <w:bookmarkStart w:id="180" w:name="_Toc146036711"/>
      <w:r>
        <w:rPr>
          <w:rFonts w:hint="eastAsia" w:ascii="宋体" w:hAnsi="宋体" w:cs="宋体"/>
          <w:szCs w:val="21"/>
          <w:highlight w:val="none"/>
        </w:rPr>
        <w:t>（18）流量监测模块</w:t>
      </w:r>
      <w:bookmarkEnd w:id="180"/>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部署流量采集探针，采集核心交换机上的流量进行威胁分析，发现弱点扫描、命令执行、注入攻击、跨站脚本、信息泄露、邮件钓鱼等相关风险行为，并及时做到告警现场相关专家确认后沟通局方人员确认是否要做封堵以及以何种方式去做封堵。</w:t>
      </w:r>
    </w:p>
    <w:p>
      <w:pPr>
        <w:adjustRightInd w:val="0"/>
        <w:snapToGrid w:val="0"/>
        <w:spacing w:line="360" w:lineRule="auto"/>
        <w:ind w:firstLine="424" w:firstLineChars="200"/>
        <w:rPr>
          <w:rFonts w:ascii="宋体" w:hAnsi="宋体" w:cs="宋体"/>
          <w:szCs w:val="21"/>
          <w:highlight w:val="none"/>
        </w:rPr>
      </w:pPr>
      <w:bookmarkStart w:id="181" w:name="_Toc119052252"/>
      <w:bookmarkStart w:id="182" w:name="_Toc119052245"/>
      <w:r>
        <w:rPr>
          <w:rFonts w:hint="eastAsia" w:ascii="宋体" w:hAnsi="宋体" w:cs="宋体"/>
          <w:szCs w:val="21"/>
          <w:highlight w:val="none"/>
        </w:rPr>
        <w:t>1）资产管理</w:t>
      </w:r>
      <w:bookmarkEnd w:id="181"/>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流量中的协议、应用、IP地址、端口、MAC地址等进行统计分析，对网络资产进行主动发现并快速识别未登记资产，可基于业务服务器、应用软件、资产健康度、资产活跃程度等维度对内部资产进行梳理，检查资产端口暴露情况，支持发现非标端口提供服务的情况，帮助用户全面、精准地梳理出暴露在互联网上的IT资产，可深入查看资产的类别、应用、服务、操作系统等详细情况。此外，平台支持自定义资产分组，可配置多层级资产组织和网段，并对组织和网段打多维度标签，便于用户自定义内部资产属性，同时也支持资产/资产分组的风险告警发现、关联和检索。</w:t>
      </w:r>
    </w:p>
    <w:p>
      <w:pPr>
        <w:adjustRightInd w:val="0"/>
        <w:snapToGrid w:val="0"/>
        <w:spacing w:line="360" w:lineRule="auto"/>
        <w:ind w:firstLine="424" w:firstLineChars="200"/>
        <w:rPr>
          <w:rFonts w:ascii="宋体" w:hAnsi="宋体" w:cs="宋体"/>
          <w:szCs w:val="21"/>
          <w:highlight w:val="none"/>
        </w:rPr>
      </w:pPr>
      <w:bookmarkStart w:id="183" w:name="_Toc119052256"/>
      <w:r>
        <w:rPr>
          <w:rFonts w:hint="eastAsia" w:ascii="宋体" w:hAnsi="宋体" w:cs="宋体"/>
          <w:szCs w:val="21"/>
          <w:highlight w:val="none"/>
        </w:rPr>
        <w:t>2）流量审计</w:t>
      </w:r>
      <w:bookmarkEnd w:id="183"/>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全面审计网络流量协议的访问行为，通过审计信息为网络信息化与安全化管理提供重要依据，产品基于丰富的特征库对全流量行为审计并匹配，包括协议解析、风险行为等，支持全网双向流量行为的审计。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3）协议内容识别</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经过数据流特征匹配和应用协议行为构造，对协议内容进行分析。结合数据包字段、时间窗口、协议特征对上下行流量行为匹配，识别URL行为、文件类型、流量大小、构成及流向等，根据匹配度进行流量分类及汇总统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4）Web威胁深度检测</w:t>
      </w:r>
      <w:bookmarkEnd w:id="182"/>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通过对Web流量和应用进行深度检测，提供全面的入侵检测能力，能够在攻击到达Web服务器之前进行检测，并进行实时的攻击预警。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解码所有进入的请求，检查这些请求是否合法或合乎规定，仅允许格式正确或遵从RFC的请求通过；已知的恶意请求将被阻断，非法植入到Header、Form和URL中的脚本将被阻止。</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执行Web地址翻译、请求限制、URL格式定义及Cookie安全检查。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基于语义语法机器学习，分析流量中的攻击特征，支持业务模块判断，提升语义分析的准确率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对加密报文解密并检测，可发现冰蝎、哥斯拉或其他变种wehshell攻击流量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通过与WAF联动防护已知或未知攻击，阻止跨站点脚本、缓冲区溢出、恶意浏览、SQL注入等攻击。</w:t>
      </w:r>
    </w:p>
    <w:p>
      <w:pPr>
        <w:adjustRightInd w:val="0"/>
        <w:snapToGrid w:val="0"/>
        <w:spacing w:line="360" w:lineRule="auto"/>
        <w:ind w:firstLine="424" w:firstLineChars="200"/>
        <w:rPr>
          <w:rFonts w:ascii="宋体" w:hAnsi="宋体" w:cs="宋体"/>
          <w:szCs w:val="21"/>
          <w:highlight w:val="none"/>
        </w:rPr>
      </w:pPr>
      <w:bookmarkStart w:id="184" w:name="_Toc119052246"/>
      <w:r>
        <w:rPr>
          <w:rFonts w:hint="eastAsia" w:ascii="宋体" w:hAnsi="宋体" w:cs="宋体"/>
          <w:szCs w:val="21"/>
          <w:highlight w:val="none"/>
        </w:rPr>
        <w:t>5）邮件威胁深度检测</w:t>
      </w:r>
      <w:bookmarkEnd w:id="184"/>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各种基于邮件的APT攻击行为进行检测，支持各种基于Webmail的漏洞攻击检测和基于邮件附件的恶意文件传输行为检测，同时还具备基于邮件头欺骗、发件人欺骗、恶意链接等邮件欺骗行为检测。支持基于链接的钓鱼邮件检测：获取邮件中的链接并通过内置白名单过滤，结合分析邮件头和邮件内容的相关高危特征，生成钓鱼邮件的特征向量，并通过机器学习挖掘特征中的耦合性，检测得到待检测邮件是否为钓鱼邮件，确保发现所有基于邮件的APT攻击行为。</w:t>
      </w:r>
    </w:p>
    <w:p>
      <w:pPr>
        <w:adjustRightInd w:val="0"/>
        <w:snapToGrid w:val="0"/>
        <w:spacing w:line="360" w:lineRule="auto"/>
        <w:ind w:firstLine="424" w:firstLineChars="200"/>
        <w:rPr>
          <w:rFonts w:ascii="宋体" w:hAnsi="宋体" w:cs="宋体"/>
          <w:szCs w:val="21"/>
          <w:highlight w:val="none"/>
        </w:rPr>
      </w:pPr>
      <w:bookmarkStart w:id="185" w:name="_Toc119052248"/>
      <w:r>
        <w:rPr>
          <w:rFonts w:hint="eastAsia" w:ascii="宋体" w:hAnsi="宋体" w:cs="宋体"/>
          <w:szCs w:val="21"/>
          <w:highlight w:val="none"/>
        </w:rPr>
        <w:t>6）病毒木马深度检测</w:t>
      </w:r>
      <w:bookmarkEnd w:id="185"/>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对应用协议解析，在协议中分离文件，通过对病毒木马进行扫描，快速发现各种已知特征的恶意文件攻击行为。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集成了反病毒引擎，可有效发现网络中存在的僵木蠕，识别准确率高达99%，包含各种CVE漏洞利用、病毒感染、恶意代码传播、远控工具和恶意回连行为，分析网络中主机的威胁趋势，感知主机的威胁指数，进一步发现各种恶意样本的传播规律，预警网络安全状况。</w:t>
      </w:r>
    </w:p>
    <w:p>
      <w:pPr>
        <w:adjustRightInd w:val="0"/>
        <w:snapToGrid w:val="0"/>
        <w:spacing w:line="360" w:lineRule="auto"/>
        <w:ind w:firstLine="424" w:firstLineChars="200"/>
        <w:rPr>
          <w:rFonts w:ascii="宋体" w:hAnsi="宋体" w:cs="宋体"/>
          <w:szCs w:val="21"/>
          <w:highlight w:val="none"/>
        </w:rPr>
      </w:pPr>
      <w:bookmarkStart w:id="186" w:name="_Toc119052250"/>
      <w:r>
        <w:rPr>
          <w:rFonts w:hint="eastAsia" w:ascii="宋体" w:hAnsi="宋体" w:cs="宋体"/>
          <w:szCs w:val="21"/>
          <w:highlight w:val="none"/>
        </w:rPr>
        <w:t>7）异常流量深度检测</w:t>
      </w:r>
      <w:bookmarkEnd w:id="186"/>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对检测对象的流量特征进行多维度监控统计，依据正常的流量特征建立模型，分析检测对象多个异常参数的关联关系，判断是否有异常行为产生。能够有效检测出DGA域名访问、远程控制行为、挖矿行为、漏洞利用、暴力破解、隐蔽信道传输及弱口令利用等异常流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APT攻击通常会结合人工渗透攻击，在人工渗透攻击中经常使用扫描或病毒扩散的过程。这些过程中，通常会产生大量的恶意流量。利用这些恶意流量特征，能检测攻击行为。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目前检测基于以下多个维度：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基于时间检测；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基于IP检测；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基于端口检测；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基于协议检测；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基于DNS异常检测；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基于木马回连行为分析；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基于隧道通信流量检测。</w:t>
      </w:r>
    </w:p>
    <w:p>
      <w:pPr>
        <w:adjustRightInd w:val="0"/>
        <w:snapToGrid w:val="0"/>
        <w:spacing w:line="360" w:lineRule="auto"/>
        <w:ind w:firstLine="424" w:firstLineChars="200"/>
        <w:rPr>
          <w:rFonts w:ascii="宋体" w:hAnsi="宋体" w:cs="宋体"/>
          <w:szCs w:val="21"/>
          <w:highlight w:val="none"/>
        </w:rPr>
      </w:pPr>
      <w:bookmarkStart w:id="187" w:name="_Toc119052251"/>
      <w:r>
        <w:rPr>
          <w:rFonts w:hint="eastAsia" w:ascii="宋体" w:hAnsi="宋体" w:cs="宋体"/>
          <w:szCs w:val="21"/>
          <w:highlight w:val="none"/>
        </w:rPr>
        <w:t>8）自定义检测分析</w:t>
      </w:r>
      <w:bookmarkEnd w:id="187"/>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自定义检测分析模块，可通过用户自定义配置的内容，发现流量中的邮件敏感信息传输、异常登录、违规连接、网络会话异常、周期类异常攻击、特征类异常攻击行为。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邮件敏感信息传输：对流量中的登</w:t>
      </w:r>
      <w:r>
        <w:rPr>
          <w:rFonts w:hint="eastAsia" w:ascii="宋体" w:hAnsi="宋体" w:cs="宋体"/>
          <w:szCs w:val="21"/>
          <w:highlight w:val="none"/>
          <w:lang w:val="en-US" w:eastAsia="zh-CN"/>
        </w:rPr>
        <w:t>入</w:t>
      </w:r>
      <w:r>
        <w:rPr>
          <w:rFonts w:hint="eastAsia" w:ascii="宋体" w:hAnsi="宋体" w:cs="宋体"/>
          <w:szCs w:val="21"/>
          <w:highlight w:val="none"/>
        </w:rPr>
        <w:t>位置、通信事件、邮箱账户、关键字等内容进行综合分析，发现邮件内容传递敏感信息、发现异地登录收发邮件、发现特殊时间段收发邮件、发现特殊发件人的邮件，或上述组合特征的邮件投递或接收行为。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异常登录：对流量中的登录协议、账户、服务器、通信时间等内容进行综合分析，发现异地登录、发现特殊时间段的登录、发现特定账号的登录行为、发现特定时间或地理位置登录指定业务服务器，或上述组合特征的登录行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违规连接：对流量中的外连位置、通信时间、受控网段等内容进行综合分析，发现与指定地理位置的IP有通信行为、在指定时间段有通信行为，或上述组合特征的流量发现。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网络流量会话异常：对流量中的会话组成和连接状态进行综合分析，发现网络传输异常、拥堵等网络异常状况。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周期类异常攻击：可对流量方向、协议、周期等内容进行自定义配置，发现流量中功能的慢速爆破、分布式拒绝服务器攻击、多频访问IP/域名的异常行为。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特征类异常攻击：可对流量方向、协议、区域、值等内容进行自定义配置，发现流量中的异常行为。</w:t>
      </w:r>
    </w:p>
    <w:p>
      <w:pPr>
        <w:adjustRightInd w:val="0"/>
        <w:snapToGrid w:val="0"/>
        <w:spacing w:line="360" w:lineRule="auto"/>
        <w:ind w:firstLine="424" w:firstLineChars="200"/>
        <w:rPr>
          <w:rFonts w:ascii="宋体" w:hAnsi="宋体" w:cs="宋体"/>
          <w:szCs w:val="21"/>
          <w:highlight w:val="none"/>
        </w:rPr>
      </w:pPr>
      <w:bookmarkStart w:id="188" w:name="_Toc119052253"/>
      <w:r>
        <w:rPr>
          <w:rFonts w:hint="eastAsia" w:ascii="宋体" w:hAnsi="宋体" w:cs="宋体"/>
          <w:szCs w:val="21"/>
          <w:highlight w:val="none"/>
        </w:rPr>
        <w:t>9）智能报表</w:t>
      </w:r>
      <w:bookmarkEnd w:id="188"/>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提供综合威胁分析、主机威胁分析、文件威胁分析、外部威胁分析等多个智能报表，方便快速总览网络威胁情况，提供全方位多视角分析报告，有效替代人工威胁分析。</w:t>
      </w:r>
    </w:p>
    <w:p>
      <w:pPr>
        <w:adjustRightInd w:val="0"/>
        <w:snapToGrid w:val="0"/>
        <w:spacing w:line="360" w:lineRule="auto"/>
        <w:ind w:firstLine="424" w:firstLineChars="200"/>
        <w:rPr>
          <w:rFonts w:ascii="宋体" w:hAnsi="宋体" w:cs="宋体"/>
          <w:szCs w:val="21"/>
          <w:highlight w:val="none"/>
        </w:rPr>
      </w:pPr>
      <w:bookmarkStart w:id="189" w:name="_Toc119052254"/>
      <w:r>
        <w:rPr>
          <w:rFonts w:hint="eastAsia" w:ascii="宋体" w:hAnsi="宋体" w:cs="宋体"/>
          <w:szCs w:val="21"/>
          <w:highlight w:val="none"/>
        </w:rPr>
        <w:t>10）综合分析</w:t>
      </w:r>
      <w:bookmarkEnd w:id="189"/>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综合分析模块基于海量数据，采取多维度关联分析、行为关联分析、日志报表综合分析，提供更全面的分析能力，发现更为隐蔽的APT攻击行为，感知威胁态势。</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通过对多个攻击行为的关联分析，分析攻击之间的关联性，还原真实攻击路线，并以直观的形式展示分析。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基于海量数据的分析模型，提取多种类型的攻击行为，挖掘攻击规律。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基于攻击路线的关联分析，可快速识别非持续性的威胁，提取真正的APT攻击。</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通过一段时间对访问行为进行统计分析，发现其访问频度的异常行为，如：异常非法访问、通过SQL注入获取数据、扫描、构造各种参数值进行探测等。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基于URL异常、返回码异常、返回数据异常等综合分析访问行为，判断是否存在恶意攻击行为。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通过对请求URL进行统计分析，发现其中的异常，如：没有带referrer的URL进行逆序排列，频繁访问特定页面且时间非常集中。</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从攻击者、受害者视角统计数据，通过聚类算法整理数据，使得数据清晰可见。</w:t>
      </w:r>
    </w:p>
    <w:p>
      <w:pPr>
        <w:adjustRightInd w:val="0"/>
        <w:snapToGrid w:val="0"/>
        <w:spacing w:line="360" w:lineRule="auto"/>
        <w:ind w:firstLine="424" w:firstLineChars="200"/>
        <w:rPr>
          <w:rFonts w:ascii="宋体" w:hAnsi="宋体" w:cs="宋体"/>
          <w:szCs w:val="21"/>
          <w:highlight w:val="none"/>
        </w:rPr>
      </w:pPr>
      <w:bookmarkStart w:id="190" w:name="_Toc119052255"/>
      <w:bookmarkStart w:id="191" w:name="_Toc38382194"/>
      <w:r>
        <w:rPr>
          <w:rFonts w:hint="eastAsia" w:ascii="宋体" w:hAnsi="宋体" w:cs="宋体"/>
          <w:szCs w:val="21"/>
          <w:highlight w:val="none"/>
        </w:rPr>
        <w:t>11）云端高级分析</w:t>
      </w:r>
      <w:bookmarkEnd w:id="190"/>
      <w:bookmarkEnd w:id="191"/>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云端可提供更为深层的威胁分析服务、安全预警服务和情报共享服务，依托于云端的海量数据、高级的机器学习和大数据分析能力，可及时共享最新的安全威胁情报，提供更为精准的威胁分析能力，用户也可直接访问云端，上传、查询和确认样本的分析结果，感知最新的安全态势。</w:t>
      </w:r>
    </w:p>
    <w:p>
      <w:pPr>
        <w:adjustRightInd w:val="0"/>
        <w:snapToGrid w:val="0"/>
        <w:spacing w:line="360" w:lineRule="auto"/>
        <w:ind w:firstLine="424" w:firstLineChars="200"/>
        <w:rPr>
          <w:rFonts w:ascii="宋体" w:hAnsi="宋体" w:cs="宋体"/>
          <w:szCs w:val="21"/>
          <w:highlight w:val="none"/>
        </w:rPr>
      </w:pPr>
      <w:bookmarkStart w:id="192" w:name="_Toc72856089"/>
      <w:bookmarkStart w:id="193" w:name="_Toc492477574"/>
      <w:bookmarkStart w:id="194" w:name="_Toc119052257"/>
      <w:bookmarkStart w:id="195" w:name="_Toc530970209"/>
      <w:r>
        <w:rPr>
          <w:rFonts w:hint="eastAsia" w:ascii="宋体" w:hAnsi="宋体" w:cs="宋体"/>
          <w:szCs w:val="21"/>
          <w:highlight w:val="none"/>
        </w:rPr>
        <w:t>12）深度协议解析</w:t>
      </w:r>
      <w:bookmarkEnd w:id="192"/>
      <w:bookmarkEnd w:id="193"/>
      <w:bookmarkEnd w:id="194"/>
      <w:bookmarkEnd w:id="195"/>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平台采集的流量经过流量分析引擎，解析IP报文字段及流特征信息，分析应用层协议，确定流量中存在应用。通过多维度对协议进行协议解析：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a、基于数据包字段解析    </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源IP地址、目的IP地址、源MAC地址、目的MAC地址、源端口、目的端口、协议号、报文长度、包长度等。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b、基于时间窗口解析 </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流量最初发生时间和结束时间、流量持续时间。</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c、基于协议行为特征解析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根据每种协议自身行为特征和行为为轨迹进行协议解析。</w:t>
      </w:r>
      <w:bookmarkStart w:id="196" w:name="_Toc119052258"/>
      <w:bookmarkStart w:id="197" w:name="_Toc72856090"/>
      <w:bookmarkStart w:id="198" w:name="_Toc530970210"/>
      <w:bookmarkStart w:id="199" w:name="_Toc492477575"/>
    </w:p>
    <w:bookmarkEnd w:id="196"/>
    <w:bookmarkEnd w:id="197"/>
    <w:bookmarkEnd w:id="198"/>
    <w:bookmarkEnd w:id="199"/>
    <w:p>
      <w:pPr>
        <w:adjustRightInd w:val="0"/>
        <w:snapToGrid w:val="0"/>
        <w:spacing w:line="360" w:lineRule="auto"/>
        <w:ind w:firstLine="424" w:firstLineChars="200"/>
        <w:rPr>
          <w:rFonts w:ascii="宋体" w:hAnsi="宋体" w:cs="宋体"/>
          <w:szCs w:val="21"/>
          <w:highlight w:val="none"/>
        </w:rPr>
      </w:pPr>
      <w:bookmarkStart w:id="200" w:name="_Toc119052259"/>
      <w:bookmarkStart w:id="201" w:name="_Toc38382195"/>
      <w:r>
        <w:rPr>
          <w:rFonts w:hint="eastAsia" w:ascii="宋体" w:hAnsi="宋体" w:cs="宋体"/>
          <w:szCs w:val="21"/>
          <w:highlight w:val="none"/>
        </w:rPr>
        <w:t>13）基于攻击链的关联分析</w:t>
      </w:r>
      <w:bookmarkEnd w:id="200"/>
      <w:bookmarkEnd w:id="201"/>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通过对多个攻击行为的关联分析，分析攻击之间的关联性，还原真实攻击路线，并以直观的形式展示分析。</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基于海量数据的分析模型，提取多种类型的攻击行为，挖掘攻击规律。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基于攻击路线的关联分析，可快速识别非持续性的威胁，提取真正的APT攻击。</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通过一段时间对访问行为进行统计分析，发现其访问频度的异常行为，如：异常非法访问、通过SQL注入获取数据、扫描、构造各种参数值进行探测等。</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基于URL异常、返回码异常、返回数据异常等综合分析访问行为，判断是否存在恶意攻击行为。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通过对请求URL进行统计分析，发现其中的异常，如：没有带referrer的URL进行逆序排列，频繁访问特定页面且时间非常集中。</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（19）硬件支撑配置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网络安全运行平台运行需配置2台平台服务器，用于平台部署。</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平台服务器主要技术参数要求如下：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不低于鲲鹏2*Kunpeng920-24核，内存不少于256G，不少于2块960G SSD固态硬盘（组成Raid 1），其他硬盘不少于48T，网口不少于4个千兆电口，不少于2个GE光接口，不少于2个万兆光接口，不少于1+1热插拔冗余电源，国产化操作系统，具备配置网络安全平台部署所需的一切软件、硬件配件等。</w:t>
      </w:r>
    </w:p>
    <w:p>
      <w:pPr>
        <w:keepNext/>
        <w:keepLines/>
        <w:spacing w:line="360" w:lineRule="auto"/>
        <w:outlineLvl w:val="2"/>
        <w:rPr>
          <w:rFonts w:ascii="宋体" w:hAnsi="宋体" w:cs="宋体"/>
          <w:b/>
          <w:bCs/>
          <w:szCs w:val="21"/>
          <w:highlight w:val="none"/>
        </w:rPr>
      </w:pPr>
      <w:bookmarkStart w:id="202" w:name="_Toc147676540"/>
      <w:r>
        <w:rPr>
          <w:rFonts w:hint="eastAsia" w:ascii="宋体" w:hAnsi="宋体" w:cs="宋体"/>
          <w:b/>
          <w:bCs/>
          <w:szCs w:val="21"/>
          <w:highlight w:val="none"/>
        </w:rPr>
        <w:t>3.网络安全配套服务</w:t>
      </w:r>
      <w:bookmarkEnd w:id="202"/>
    </w:p>
    <w:p>
      <w:pPr>
        <w:adjustRightInd w:val="0"/>
        <w:snapToGrid w:val="0"/>
        <w:spacing w:line="360" w:lineRule="auto"/>
        <w:ind w:firstLine="424" w:firstLineChars="200"/>
        <w:rPr>
          <w:rFonts w:ascii="宋体" w:hAnsi="宋体" w:cs="宋体"/>
          <w:szCs w:val="21"/>
          <w:highlight w:val="none"/>
        </w:rPr>
      </w:pPr>
      <w:bookmarkStart w:id="203" w:name="_Toc146036713"/>
      <w:r>
        <w:rPr>
          <w:rFonts w:hint="eastAsia" w:ascii="宋体" w:hAnsi="宋体" w:cs="宋体"/>
          <w:szCs w:val="21"/>
          <w:highlight w:val="none"/>
        </w:rPr>
        <w:t>（1）云端安全实时监测服务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1）服务内容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网络信息安全技术专家服务，提供7*24小时实时威胁检测和响应服务，具备一线安全分析工程师提供实时检测分析、快速响应、事件管理的能力，具备二线安全运营经理提供专业技术支持、过程质量把关、快速审核的能力，具备三线安全专家提供复杂技术研判指导、制定最佳方案、组织事件溯源、复盘工作的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2）服务交付</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提供安全监测服务日、周、月报告，季度汇报总结工作报告。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（2）漏洞扫描服务</w:t>
      </w:r>
      <w:bookmarkEnd w:id="203"/>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1）服务内容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现场驻场服务人员或相关技术人员通过定期使用漏洞扫描工具针对</w:t>
      </w:r>
      <w:r>
        <w:rPr>
          <w:rFonts w:hint="eastAsia" w:ascii="宋体" w:hAnsi="宋体" w:cs="宋体"/>
          <w:szCs w:val="21"/>
          <w:highlight w:val="none"/>
          <w:lang w:val="en-US" w:eastAsia="zh-CN"/>
        </w:rPr>
        <w:t>业主方</w:t>
      </w:r>
      <w:r>
        <w:rPr>
          <w:rFonts w:hint="eastAsia" w:ascii="宋体" w:hAnsi="宋体" w:cs="宋体"/>
          <w:szCs w:val="21"/>
          <w:highlight w:val="none"/>
        </w:rPr>
        <w:t>指定的主机漏洞、Web应用扫描、指定网站所有的文件进行安全扫描，人工验证扫描结果，扫描内容包括主机层和Web应用层漏洞，涉及对象应包括网络设备、安全设备、系统平台、数据库系统、Web系统等，并在扫描之后，将扫描系统获得的报告汇集成为一个当前网络系统的系统脆弱性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2）服务交付</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漏洞检查结束后，相关人员根据检查结果输出《XX年XX月漏洞扫描报告》。</w:t>
      </w:r>
    </w:p>
    <w:p>
      <w:pPr>
        <w:adjustRightInd w:val="0"/>
        <w:snapToGrid w:val="0"/>
        <w:spacing w:line="360" w:lineRule="auto"/>
        <w:ind w:firstLine="424" w:firstLineChars="200"/>
        <w:rPr>
          <w:rFonts w:ascii="宋体" w:hAnsi="宋体" w:cs="宋体"/>
          <w:szCs w:val="21"/>
          <w:highlight w:val="none"/>
        </w:rPr>
      </w:pPr>
      <w:bookmarkStart w:id="204" w:name="_Toc146036714"/>
      <w:r>
        <w:rPr>
          <w:rFonts w:hint="eastAsia" w:ascii="宋体" w:hAnsi="宋体" w:cs="宋体"/>
          <w:szCs w:val="21"/>
          <w:highlight w:val="none"/>
        </w:rPr>
        <w:t>（3）基线检查服务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1）服务内容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针对操作系统、数据库、网络设备等配置合规性进行检查，评估发现潜在风险点。每年提供4次基线检查服务。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2）服务流程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a、Windows操作系统安全配置核查内容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审核Windows类操作系统服务器的补丁情况、帐号和口令管理、共享资源安全、注册表、系统端口、服务安全、审计安全、网络安全、防病毒安全情况。</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b、Linux操作系统安全配置核查内容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检查服务器Linux类操作系统的登录要求和帐号口令管理、审计安全检测、文件系统检测、系统服务开发情况、系统信息情况。安全工程师将根据制定的安全基线准则，对审核结果进行分析判断，并给出整改建议。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c、数据库安全配置核查内容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审核数据库的帐号和口令管理、日志审计、权限管理等安全情况。安全工程师将根据制定的安全基线准则，对审核结果进行分析判断，并给出整改建议。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d、网络设备安全策略核查内容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检查网络设备的服务开放情况；我公司的安全工程师将参照安全基线准则，对检查结果进行分析判断，并给出整改建议。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e、安全设备策略核查内容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审核安全设备的登录要求和帐号口令管理策略、管理协议设置和日志审计策略、访问控制策略和其他安全要求。安全工程师将根据制定的安全基线准则，对审核结果进行分析判断，并给出整改建议。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f、应用中间件安全配置核查内容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审核应用中间件的系统安全、帐户和口令管理、审计管理、文件系统权限控制等安全情况。安全工程师将根据制定的安全基线准则，对审核结果进行分析判断，并给出整改建议。</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g、制定基线检查策略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针对本次检查具体对象，按版本、类型，形成具体检查策略。调整检查工具内的检查配置基线，约定检查范围及负责复核等工作，形成本次检查的技术规范。</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h、实施基线检查</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通过离线脚本在被核查主机上运行，得出结果xml文件，导回基线平台分析，得出基线报告。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（4）渗透</w:t>
      </w:r>
      <w:r>
        <w:rPr>
          <w:rFonts w:hint="eastAsia" w:ascii="宋体" w:hAnsi="宋体" w:cs="宋体"/>
          <w:szCs w:val="21"/>
          <w:highlight w:val="none"/>
          <w:lang w:val="en-US" w:eastAsia="zh-CN"/>
        </w:rPr>
        <w:t>测shi</w:t>
      </w:r>
      <w:r>
        <w:rPr>
          <w:rFonts w:hint="eastAsia" w:ascii="宋体" w:hAnsi="宋体" w:cs="宋体"/>
          <w:szCs w:val="21"/>
          <w:highlight w:val="none"/>
        </w:rPr>
        <w:t>服务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1）服务内容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渗透测</w:t>
      </w:r>
      <w:r>
        <w:rPr>
          <w:rFonts w:hint="eastAsia" w:ascii="宋体" w:hAnsi="宋体" w:cs="宋体"/>
          <w:szCs w:val="21"/>
          <w:highlight w:val="none"/>
          <w:lang w:val="en-US" w:eastAsia="zh-CN"/>
        </w:rPr>
        <w:t>shi</w:t>
      </w:r>
      <w:r>
        <w:rPr>
          <w:rFonts w:hint="eastAsia" w:ascii="宋体" w:hAnsi="宋体" w:cs="宋体"/>
          <w:szCs w:val="21"/>
          <w:highlight w:val="none"/>
        </w:rPr>
        <w:t>是通过模拟黑客攻击的手法对某个特定网络系统进行</w:t>
      </w:r>
      <w:r>
        <w:rPr>
          <w:rFonts w:hint="eastAsia" w:ascii="宋体" w:hAnsi="宋体" w:cs="宋体"/>
          <w:szCs w:val="21"/>
          <w:highlight w:val="none"/>
          <w:lang w:eastAsia="zh-CN"/>
        </w:rPr>
        <w:t>测shi</w:t>
      </w:r>
      <w:r>
        <w:rPr>
          <w:rFonts w:hint="eastAsia" w:ascii="宋体" w:hAnsi="宋体" w:cs="宋体"/>
          <w:szCs w:val="21"/>
          <w:highlight w:val="none"/>
        </w:rPr>
        <w:t>，以期发现和挖掘网络系统中存在的漏洞。渗透</w:t>
      </w:r>
      <w:r>
        <w:rPr>
          <w:rFonts w:hint="eastAsia" w:ascii="宋体" w:hAnsi="宋体" w:cs="宋体"/>
          <w:szCs w:val="21"/>
          <w:highlight w:val="none"/>
          <w:lang w:eastAsia="zh-CN"/>
        </w:rPr>
        <w:t>测shi</w:t>
      </w:r>
      <w:r>
        <w:rPr>
          <w:rFonts w:hint="eastAsia" w:ascii="宋体" w:hAnsi="宋体" w:cs="宋体"/>
          <w:szCs w:val="21"/>
          <w:highlight w:val="none"/>
        </w:rPr>
        <w:t>不同于漏洞扫描等安全评估服务，它是遵从黑客通用的攻击流程和路线，利用多种手段对网络系统进行侵略性测</w:t>
      </w:r>
      <w:r>
        <w:rPr>
          <w:rFonts w:hint="eastAsia" w:ascii="宋体" w:hAnsi="宋体" w:cs="宋体"/>
          <w:szCs w:val="21"/>
          <w:highlight w:val="none"/>
          <w:lang w:val="en-US" w:eastAsia="zh-CN"/>
        </w:rPr>
        <w:t>shi</w:t>
      </w:r>
      <w:r>
        <w:rPr>
          <w:rFonts w:hint="eastAsia" w:ascii="宋体" w:hAnsi="宋体" w:cs="宋体"/>
          <w:szCs w:val="21"/>
          <w:highlight w:val="none"/>
        </w:rPr>
        <w:t>，而漏洞扫描只会以一种非侵略性的方式，仔细地定位和量化系统的所有漏洞。</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每年提供6个系统渗透测</w:t>
      </w:r>
      <w:r>
        <w:rPr>
          <w:rFonts w:hint="eastAsia" w:ascii="宋体" w:hAnsi="宋体" w:cs="宋体"/>
          <w:szCs w:val="21"/>
          <w:highlight w:val="none"/>
          <w:lang w:val="en-US" w:eastAsia="zh-CN"/>
        </w:rPr>
        <w:t>shi</w:t>
      </w:r>
      <w:r>
        <w:rPr>
          <w:rFonts w:hint="eastAsia" w:ascii="宋体" w:hAnsi="宋体" w:cs="宋体"/>
          <w:szCs w:val="21"/>
          <w:highlight w:val="none"/>
        </w:rPr>
        <w:t>服务。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2）服务流程</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渗透测</w:t>
      </w:r>
      <w:r>
        <w:rPr>
          <w:rFonts w:hint="eastAsia" w:ascii="宋体" w:hAnsi="宋体" w:cs="宋体"/>
          <w:szCs w:val="21"/>
          <w:highlight w:val="none"/>
          <w:lang w:val="en-US" w:eastAsia="zh-CN"/>
        </w:rPr>
        <w:t>shi</w:t>
      </w:r>
      <w:r>
        <w:rPr>
          <w:rFonts w:hint="eastAsia" w:ascii="宋体" w:hAnsi="宋体" w:cs="宋体"/>
          <w:szCs w:val="21"/>
          <w:highlight w:val="none"/>
        </w:rPr>
        <w:t>是通过模拟黑客攻击的手法对余姚市电子政务外网网络的信息系统进行测</w:t>
      </w:r>
      <w:r>
        <w:rPr>
          <w:rFonts w:hint="eastAsia" w:ascii="宋体" w:hAnsi="宋体" w:cs="宋体"/>
          <w:szCs w:val="21"/>
          <w:highlight w:val="none"/>
          <w:lang w:val="en-US" w:eastAsia="zh-CN"/>
        </w:rPr>
        <w:t>shi</w:t>
      </w:r>
      <w:r>
        <w:rPr>
          <w:rFonts w:hint="eastAsia" w:ascii="宋体" w:hAnsi="宋体" w:cs="宋体"/>
          <w:szCs w:val="21"/>
          <w:highlight w:val="none"/>
        </w:rPr>
        <w:t>，遵从黑客通用的攻击流程和路线，渗透测</w:t>
      </w:r>
      <w:r>
        <w:rPr>
          <w:rFonts w:hint="eastAsia" w:ascii="宋体" w:hAnsi="宋体" w:cs="宋体"/>
          <w:szCs w:val="21"/>
          <w:highlight w:val="none"/>
          <w:lang w:val="en-US" w:eastAsia="zh-CN"/>
        </w:rPr>
        <w:t>shi</w:t>
      </w:r>
      <w:r>
        <w:rPr>
          <w:rFonts w:hint="eastAsia" w:ascii="宋体" w:hAnsi="宋体" w:cs="宋体"/>
          <w:szCs w:val="21"/>
          <w:highlight w:val="none"/>
        </w:rPr>
        <w:t>的技术流程如下图所示：</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drawing>
          <wp:inline distT="0" distB="0" distL="0" distR="0">
            <wp:extent cx="4447540" cy="2838450"/>
            <wp:effectExtent l="0" t="0" r="10160" b="0"/>
            <wp:docPr id="16101921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92121" name="图片 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455260" cy="2843055"/>
                    </a:xfrm>
                    <a:prstGeom prst="rect">
                      <a:avLst/>
                    </a:prstGeom>
                  </pic:spPr>
                </pic:pic>
              </a:graphicData>
            </a:graphic>
          </wp:inline>
        </w:drawing>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（5）风险隐患与事件通报服务</w:t>
      </w:r>
      <w:bookmarkEnd w:id="204"/>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1）服务内容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常态化提供风险隐患和事件通报服务。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现场驻场服务人员利用网安运营平台能力发现安全风险隐患后，向存在风险隐患的系统责任单位进行安全通报，将安全风险隐患问题进行统一梳理下发，帮助</w:t>
      </w:r>
      <w:r>
        <w:rPr>
          <w:rFonts w:hint="eastAsia" w:ascii="宋体" w:hAnsi="宋体" w:cs="宋体"/>
          <w:szCs w:val="21"/>
          <w:highlight w:val="none"/>
          <w:lang w:val="en-US" w:eastAsia="zh-CN"/>
        </w:rPr>
        <w:t>业主方</w:t>
      </w:r>
      <w:r>
        <w:rPr>
          <w:rFonts w:hint="eastAsia" w:ascii="宋体" w:hAnsi="宋体" w:cs="宋体"/>
          <w:szCs w:val="21"/>
          <w:highlight w:val="none"/>
        </w:rPr>
        <w:t>实现安全风险隐患的统一安全管理。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2）服务交付</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现场驻场人员定期将风险隐患和事件通报进行整理，最终输出《XX年XX季度安全通报记录》。</w:t>
      </w:r>
    </w:p>
    <w:p>
      <w:pPr>
        <w:adjustRightInd w:val="0"/>
        <w:snapToGrid w:val="0"/>
        <w:spacing w:line="360" w:lineRule="auto"/>
        <w:ind w:firstLine="424" w:firstLineChars="200"/>
        <w:rPr>
          <w:rFonts w:ascii="宋体" w:hAnsi="宋体" w:cs="宋体"/>
          <w:szCs w:val="21"/>
          <w:highlight w:val="none"/>
        </w:rPr>
      </w:pPr>
      <w:bookmarkStart w:id="205" w:name="_Toc146036715"/>
      <w:r>
        <w:rPr>
          <w:rFonts w:hint="eastAsia" w:ascii="宋体" w:hAnsi="宋体" w:cs="宋体"/>
          <w:szCs w:val="21"/>
          <w:highlight w:val="none"/>
        </w:rPr>
        <w:t>（6）安全检查服务</w:t>
      </w:r>
      <w:bookmarkEnd w:id="205"/>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1）服务内容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针对国家、省市下发的相关考核与监督检查要求，提供技术人员配合</w:t>
      </w:r>
      <w:r>
        <w:rPr>
          <w:rFonts w:hint="eastAsia" w:ascii="宋体" w:hAnsi="宋体" w:cs="宋体"/>
          <w:szCs w:val="21"/>
          <w:highlight w:val="none"/>
          <w:lang w:val="en-US" w:eastAsia="zh-CN"/>
        </w:rPr>
        <w:t>业主方</w:t>
      </w:r>
      <w:r>
        <w:rPr>
          <w:rFonts w:hint="eastAsia" w:ascii="宋体" w:hAnsi="宋体" w:cs="宋体"/>
          <w:szCs w:val="21"/>
          <w:highlight w:val="none"/>
        </w:rPr>
        <w:t>及相关单位开展自身单位的安全自查工作满足相关考核要求。</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在分析阶段完成之后，风险评估项目组将根据风险分析的结果，结合国家有关的法律、法规，总结出当前的安全需求。根据安全需求的轻重缓急以及相关标准和电子政务保障框架，制定出适合的风险处置方案。</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2）服务交付</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安全检查完成后，相关人员协助</w:t>
      </w:r>
      <w:r>
        <w:rPr>
          <w:rFonts w:hint="eastAsia" w:ascii="宋体" w:hAnsi="宋体" w:cs="宋体"/>
          <w:szCs w:val="21"/>
          <w:highlight w:val="none"/>
          <w:lang w:val="en-US" w:eastAsia="zh-CN"/>
        </w:rPr>
        <w:t>业主方</w:t>
      </w:r>
      <w:r>
        <w:rPr>
          <w:rFonts w:hint="eastAsia" w:ascii="宋体" w:hAnsi="宋体" w:cs="宋体"/>
          <w:szCs w:val="21"/>
          <w:highlight w:val="none"/>
        </w:rPr>
        <w:t>及相关单位输出《XX单位安全自查报告》。</w:t>
      </w:r>
    </w:p>
    <w:p>
      <w:pPr>
        <w:adjustRightInd w:val="0"/>
        <w:snapToGrid w:val="0"/>
        <w:spacing w:line="360" w:lineRule="auto"/>
        <w:ind w:firstLine="424" w:firstLineChars="200"/>
        <w:rPr>
          <w:rFonts w:ascii="宋体" w:hAnsi="宋体" w:cs="宋体"/>
          <w:szCs w:val="21"/>
          <w:highlight w:val="none"/>
        </w:rPr>
      </w:pPr>
      <w:bookmarkStart w:id="206" w:name="_Toc146036716"/>
      <w:r>
        <w:rPr>
          <w:rFonts w:hint="eastAsia" w:ascii="宋体" w:hAnsi="宋体" w:cs="宋体"/>
          <w:szCs w:val="21"/>
          <w:highlight w:val="none"/>
        </w:rPr>
        <w:t>（7）安全工作报告</w:t>
      </w:r>
      <w:bookmarkEnd w:id="206"/>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1）服务内容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现场驻场服务人员每月度对发现的安全问题与处置情况进行综合汇总，形成安全态势分析与工作报告。</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2）服务交付</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现场驻场服务人员输出《XX年XX月安全工作报告》，呈交单位领导后进行汇报。并针对季度的安全情况进行总结形成季度报告，输出《XX年XX季度安全工作报告》。</w:t>
      </w:r>
    </w:p>
    <w:p>
      <w:pPr>
        <w:adjustRightInd w:val="0"/>
        <w:snapToGrid w:val="0"/>
        <w:spacing w:line="360" w:lineRule="auto"/>
        <w:ind w:firstLine="424" w:firstLineChars="200"/>
        <w:rPr>
          <w:rFonts w:ascii="宋体" w:hAnsi="宋体" w:cs="宋体"/>
          <w:szCs w:val="21"/>
          <w:highlight w:val="none"/>
        </w:rPr>
      </w:pPr>
      <w:bookmarkStart w:id="207" w:name="_Toc146036717"/>
      <w:r>
        <w:rPr>
          <w:rFonts w:hint="eastAsia" w:ascii="宋体" w:hAnsi="宋体" w:cs="宋体"/>
          <w:szCs w:val="21"/>
          <w:highlight w:val="none"/>
        </w:rPr>
        <w:t>（8）运营流程优化服务</w:t>
      </w:r>
      <w:bookmarkEnd w:id="207"/>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1）服务内容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针对已有安全运营流程或制度，从可行性、落地性和规范性上进行相应评估，形成余姚市具备特色、具备落地性的安全通报流程和制度。、</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2）服务交付</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驻场人员协助</w:t>
      </w:r>
      <w:r>
        <w:rPr>
          <w:rFonts w:hint="eastAsia" w:ascii="宋体" w:hAnsi="宋体" w:cs="宋体"/>
          <w:szCs w:val="21"/>
          <w:highlight w:val="none"/>
          <w:lang w:val="en-US" w:eastAsia="zh-CN"/>
        </w:rPr>
        <w:t>业主方</w:t>
      </w:r>
      <w:r>
        <w:rPr>
          <w:rFonts w:hint="eastAsia" w:ascii="宋体" w:hAnsi="宋体" w:cs="宋体"/>
          <w:szCs w:val="21"/>
          <w:highlight w:val="none"/>
        </w:rPr>
        <w:t>优化《安全事件处置流程》《安全运营流程》，定期形成相关流程并落实到实际运营流程中。</w:t>
      </w:r>
    </w:p>
    <w:p>
      <w:pPr>
        <w:adjustRightInd w:val="0"/>
        <w:snapToGrid w:val="0"/>
        <w:spacing w:line="360" w:lineRule="auto"/>
        <w:ind w:firstLine="424" w:firstLineChars="200"/>
        <w:rPr>
          <w:rFonts w:ascii="宋体" w:hAnsi="宋体" w:cs="宋体"/>
          <w:szCs w:val="21"/>
          <w:highlight w:val="none"/>
        </w:rPr>
      </w:pPr>
      <w:bookmarkStart w:id="208" w:name="_Toc146036718"/>
      <w:r>
        <w:rPr>
          <w:rFonts w:hint="eastAsia" w:ascii="宋体" w:hAnsi="宋体" w:cs="宋体"/>
          <w:szCs w:val="21"/>
          <w:highlight w:val="none"/>
        </w:rPr>
        <w:t>（9）运营文件编制服务</w:t>
      </w:r>
      <w:bookmarkEnd w:id="208"/>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1）服务内容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常态化安全检查期间，对网络安全专项检查通知文件进行编制，整合、沉淀相应模板文件材料，作为安全监管平台中的知识库，供相关单位或运营人员参考，针对相关检查可以快捷化、规范化下发相关检查材料。</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2）服务交付</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相关人员配合</w:t>
      </w:r>
      <w:r>
        <w:rPr>
          <w:rFonts w:hint="eastAsia" w:ascii="宋体" w:hAnsi="宋体" w:cs="宋体"/>
          <w:szCs w:val="21"/>
          <w:highlight w:val="none"/>
          <w:lang w:val="en-US" w:eastAsia="zh-CN"/>
        </w:rPr>
        <w:t>业主方</w:t>
      </w:r>
      <w:r>
        <w:rPr>
          <w:rFonts w:hint="eastAsia" w:ascii="宋体" w:hAnsi="宋体" w:cs="宋体"/>
          <w:szCs w:val="21"/>
          <w:highlight w:val="none"/>
        </w:rPr>
        <w:t>根据在现有的管理组织架构和安全管理制度要求上进一步确定安全运营内容和职责，输出符合余姚市安全运营体系的网络安全专项检查模板文件和相关规范化材料。</w:t>
      </w:r>
    </w:p>
    <w:p>
      <w:pPr>
        <w:adjustRightInd w:val="0"/>
        <w:snapToGrid w:val="0"/>
        <w:spacing w:line="360" w:lineRule="auto"/>
        <w:ind w:firstLine="424" w:firstLineChars="200"/>
        <w:rPr>
          <w:rFonts w:ascii="宋体" w:hAnsi="宋体" w:cs="宋体"/>
          <w:szCs w:val="21"/>
          <w:highlight w:val="none"/>
        </w:rPr>
      </w:pPr>
      <w:bookmarkStart w:id="209" w:name="_Toc146036719"/>
      <w:r>
        <w:rPr>
          <w:rFonts w:hint="eastAsia" w:ascii="宋体" w:hAnsi="宋体" w:cs="宋体"/>
          <w:szCs w:val="21"/>
          <w:highlight w:val="none"/>
        </w:rPr>
        <w:t>（10）资产梳理服务</w:t>
      </w:r>
      <w:bookmarkEnd w:id="209"/>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1）服务内容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定期提供资产梳理服务，常态化提供资产管理服务，对资产信息库进行常态化管理。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现场驻场服务人员定期针对余姚市政务外网进行定期资产梳理，形成资产信息库，帮助</w:t>
      </w:r>
      <w:r>
        <w:rPr>
          <w:rFonts w:hint="eastAsia" w:ascii="宋体" w:hAnsi="宋体" w:cs="宋体"/>
          <w:szCs w:val="21"/>
          <w:highlight w:val="none"/>
          <w:lang w:val="en-US" w:eastAsia="zh-CN"/>
        </w:rPr>
        <w:t>业主方</w:t>
      </w:r>
      <w:r>
        <w:rPr>
          <w:rFonts w:hint="eastAsia" w:ascii="宋体" w:hAnsi="宋体" w:cs="宋体"/>
          <w:szCs w:val="21"/>
          <w:highlight w:val="none"/>
        </w:rPr>
        <w:t>做好政务外网单位资产归属清单，在识别出信息资产后，需要对资产进行风险分析并量化。资产量化分析的过程也就是对资产进行影响性分析的过程。关键资产在遭受泄密、中断、损害等破坏时对系统所承载的业务系统所产生的影响，这一后果可能会危及信息系统并使其丧失机密性、完整性、可用性，最终还会造成其他破坏。</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2）服务交付</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驻场人员在梳理完成后，输出《电子政务网资产清单》、《余姚市互联网网站资产清单》等。在资产识别的基础上，进一步分析被评估信息系统及其关键资产在遭受泄密、中断、损害等破坏时对系统所承载的业务系统所产生的影响，并进行赋值量化。从而为最后综合风险分析提供参考数据。</w:t>
      </w:r>
    </w:p>
    <w:p>
      <w:pPr>
        <w:adjustRightInd w:val="0"/>
        <w:snapToGrid w:val="0"/>
        <w:spacing w:line="360" w:lineRule="auto"/>
        <w:ind w:firstLine="424" w:firstLineChars="200"/>
        <w:rPr>
          <w:rFonts w:ascii="宋体" w:hAnsi="宋体" w:cs="宋体"/>
          <w:szCs w:val="21"/>
          <w:highlight w:val="none"/>
        </w:rPr>
      </w:pPr>
      <w:bookmarkStart w:id="210" w:name="_Toc146036720"/>
      <w:r>
        <w:rPr>
          <w:rFonts w:hint="eastAsia" w:ascii="宋体" w:hAnsi="宋体" w:cs="宋体"/>
          <w:szCs w:val="21"/>
          <w:highlight w:val="none"/>
        </w:rPr>
        <w:t>（11）策略调优服务</w:t>
      </w:r>
      <w:bookmarkEnd w:id="210"/>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1）服务内容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已有网络安全运营平台、智能编排与响应系统、防火墙、流量探针等已有设备以及本期新建设的相关设备进行策略调优，例如进行白名单、黑名单、设备联动、模型优化、规则优化等设备策略的调优，保障相关安全能力有效落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2）服务交付</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驻场人员在进行设备策略调优后，为保障后续正常运维，需要输出《设备策略调优配置表》。</w:t>
      </w:r>
    </w:p>
    <w:p>
      <w:pPr>
        <w:adjustRightInd w:val="0"/>
        <w:snapToGrid w:val="0"/>
        <w:spacing w:line="360" w:lineRule="auto"/>
        <w:ind w:firstLine="424" w:firstLineChars="200"/>
        <w:rPr>
          <w:rFonts w:ascii="宋体" w:hAnsi="宋体" w:cs="宋体"/>
          <w:szCs w:val="21"/>
          <w:highlight w:val="none"/>
        </w:rPr>
      </w:pPr>
      <w:bookmarkStart w:id="211" w:name="_Toc146036721"/>
      <w:r>
        <w:rPr>
          <w:rFonts w:hint="eastAsia" w:ascii="宋体" w:hAnsi="宋体" w:cs="宋体"/>
          <w:szCs w:val="21"/>
          <w:highlight w:val="none"/>
        </w:rPr>
        <w:t>（12）重要时期安全保障服务</w:t>
      </w:r>
      <w:bookmarkEnd w:id="211"/>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1）服务内容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针对春节、国庆等重要时期提供网络安全高级专家现场保障服务，服务期间保障服务专家利用人工结合工具等方式对指定的单位信息系统、网站、服务器等资产进行实时监测，及时处理发现的系统安全事件。同时对安全威胁及事件进行取证溯源，并对内部安全设备策略进行配置优化，帮助用户建立完善的网络安全保障机制。</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协助开展重要时期保障服务，实现：</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a、提升安全防护能力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在前期开展安全检查工作，尽可能多的发现高风险、大问题，全面提升安全对抗能力。极大降低安全事件发现的几率。</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b、提升安全保障能力</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根据</w:t>
      </w:r>
      <w:r>
        <w:rPr>
          <w:rFonts w:hint="eastAsia" w:ascii="宋体" w:hAnsi="宋体" w:cs="宋体"/>
          <w:szCs w:val="21"/>
          <w:highlight w:val="none"/>
          <w:lang w:val="en-US" w:eastAsia="zh-CN"/>
        </w:rPr>
        <w:t>业主方</w:t>
      </w:r>
      <w:r>
        <w:rPr>
          <w:rFonts w:hint="eastAsia" w:ascii="宋体" w:hAnsi="宋体" w:cs="宋体"/>
          <w:szCs w:val="21"/>
          <w:highlight w:val="none"/>
        </w:rPr>
        <w:t>需求提供5*8或7*24小时的安全专家运维支撑服务，在服务过程中遇到的任何问题。针对后台大量的日志记录，提炼出安全预警、安全漏洞和攻击态势等信息，并对发现的可疑情况和网络攻击行为及时上报，与</w:t>
      </w:r>
      <w:r>
        <w:rPr>
          <w:rFonts w:hint="eastAsia" w:ascii="宋体" w:hAnsi="宋体" w:cs="宋体"/>
          <w:szCs w:val="21"/>
          <w:highlight w:val="none"/>
          <w:lang w:val="en-US" w:eastAsia="zh-CN"/>
        </w:rPr>
        <w:t>业主方</w:t>
      </w:r>
      <w:r>
        <w:rPr>
          <w:rFonts w:hint="eastAsia" w:ascii="宋体" w:hAnsi="宋体" w:cs="宋体"/>
          <w:szCs w:val="21"/>
          <w:highlight w:val="none"/>
        </w:rPr>
        <w:t>相关值班人员联系，并协助进行事件处理。</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c、保障业务连续性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基于前期的安全检查与协助加固，配合安全防护设备，可全方位的安全防护和网站监控，能有效保障网站的业务连续性，降低了基于各种攻击造成的安全事件导致的服务中断概率，有效提高网站可用性。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2）服务交付</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结合</w:t>
      </w:r>
      <w:r>
        <w:rPr>
          <w:rFonts w:hint="eastAsia" w:ascii="宋体" w:hAnsi="宋体" w:cs="宋体"/>
          <w:szCs w:val="21"/>
          <w:highlight w:val="none"/>
          <w:lang w:eastAsia="zh-CN"/>
        </w:rPr>
        <w:t>业主方</w:t>
      </w:r>
      <w:r>
        <w:rPr>
          <w:rFonts w:hint="eastAsia" w:ascii="宋体" w:hAnsi="宋体" w:cs="宋体"/>
          <w:szCs w:val="21"/>
          <w:highlight w:val="none"/>
        </w:rPr>
        <w:t>现有技术资源及能力输出重要时期安全保障方案，由值守人员配合工具平台整体汇总输出保障期间安全工作情况，重保结束后结合重保期间工作情况进行总结提炼。在重要保障期间输出：《重要时期安全保障方案》、《重要时期安全保障日报》、《重要时期保障总结》。</w:t>
      </w:r>
    </w:p>
    <w:p>
      <w:pPr>
        <w:adjustRightInd w:val="0"/>
        <w:snapToGrid w:val="0"/>
        <w:spacing w:line="360" w:lineRule="auto"/>
        <w:ind w:firstLine="424" w:firstLineChars="200"/>
        <w:rPr>
          <w:rFonts w:ascii="宋体" w:hAnsi="宋体" w:cs="宋体"/>
          <w:szCs w:val="21"/>
          <w:highlight w:val="none"/>
        </w:rPr>
      </w:pPr>
      <w:bookmarkStart w:id="212" w:name="_Toc146036722"/>
      <w:r>
        <w:rPr>
          <w:rFonts w:hint="eastAsia" w:ascii="宋体" w:hAnsi="宋体" w:cs="宋体"/>
          <w:szCs w:val="21"/>
          <w:highlight w:val="none"/>
        </w:rPr>
        <w:t>（13）安全加固服务</w:t>
      </w:r>
      <w:bookmarkEnd w:id="212"/>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1）服务内容</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现场驻场服务人员利用网安运营平台能力，对</w:t>
      </w:r>
      <w:r>
        <w:rPr>
          <w:rFonts w:hint="eastAsia" w:ascii="宋体" w:hAnsi="宋体" w:cs="宋体"/>
          <w:szCs w:val="21"/>
          <w:highlight w:val="none"/>
          <w:lang w:eastAsia="zh-CN"/>
        </w:rPr>
        <w:t>业主方</w:t>
      </w:r>
      <w:r>
        <w:rPr>
          <w:rFonts w:hint="eastAsia" w:ascii="宋体" w:hAnsi="宋体" w:cs="宋体"/>
          <w:szCs w:val="21"/>
          <w:highlight w:val="none"/>
        </w:rPr>
        <w:t>指定的业务系统，针对漏洞扫描、基线核查、安全监管监测、安全运维过程当中发现的安全问题提供处理建议，指导业务系统的漏洞修复，并协助完成服务器、网络设备、安全设备等的安全加固，通过优化安全配置，增强重要信息系统抵抗风险的能力，以提高整个系统安全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2）服务交付</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汇总输出余姚各单位信息系统安全检查情况，包括漏洞、基线、策略等安全风险情况，并提出安全整改加固建议。并输出《安全监管监测风险整改建议记录》。</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（14）宣传教育及培训服务</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对</w:t>
      </w:r>
      <w:r>
        <w:rPr>
          <w:rFonts w:hint="eastAsia" w:ascii="宋体" w:hAnsi="宋体" w:cs="宋体"/>
          <w:szCs w:val="21"/>
          <w:highlight w:val="none"/>
          <w:lang w:eastAsia="zh-CN"/>
        </w:rPr>
        <w:t>业主方</w:t>
      </w:r>
      <w:r>
        <w:rPr>
          <w:rFonts w:hint="eastAsia" w:ascii="宋体" w:hAnsi="宋体" w:cs="宋体"/>
          <w:szCs w:val="21"/>
          <w:highlight w:val="none"/>
        </w:rPr>
        <w:t>工作人员，从数据安全法律法规、政策制度、技术普及、内部管理等视角进行不定期的意识培训服务，提高组织内部整体安全意识及水平。全年开展不少于2次数据安全培训，包括信息安全方面培训、人员安全意识培训、运维操作安全技能等宣传培训活动。</w:t>
      </w:r>
    </w:p>
    <w:p>
      <w:pPr>
        <w:keepNext/>
        <w:keepLines/>
        <w:spacing w:line="360" w:lineRule="auto"/>
        <w:ind w:firstLine="424" w:firstLineChars="200"/>
        <w:outlineLvl w:val="1"/>
        <w:rPr>
          <w:rFonts w:ascii="宋体" w:hAnsi="宋体" w:cs="宋体"/>
          <w:b/>
          <w:bCs/>
          <w:szCs w:val="21"/>
          <w:highlight w:val="none"/>
        </w:rPr>
      </w:pPr>
      <w:bookmarkStart w:id="213" w:name="_Toc10966"/>
      <w:bookmarkStart w:id="214" w:name="_Toc113262551"/>
      <w:bookmarkStart w:id="215" w:name="_Toc150245288"/>
      <w:bookmarkStart w:id="216" w:name="_Toc112858394"/>
      <w:bookmarkStart w:id="217" w:name="_Toc113621671"/>
      <w:bookmarkStart w:id="218" w:name="_Toc148827816"/>
      <w:bookmarkStart w:id="219" w:name="_Toc111492848"/>
      <w:bookmarkStart w:id="220" w:name="_Toc112928099"/>
      <w:bookmarkStart w:id="221" w:name="_Hlk148082861"/>
      <w:r>
        <w:rPr>
          <w:rFonts w:hint="eastAsia" w:ascii="宋体" w:hAnsi="宋体" w:cs="宋体"/>
          <w:b/>
          <w:bCs/>
          <w:szCs w:val="21"/>
          <w:highlight w:val="none"/>
        </w:rPr>
        <w:t>（三）国产化软件采购</w:t>
      </w:r>
      <w:bookmarkEnd w:id="213"/>
      <w:bookmarkEnd w:id="214"/>
      <w:bookmarkEnd w:id="215"/>
      <w:bookmarkEnd w:id="216"/>
      <w:bookmarkEnd w:id="217"/>
      <w:bookmarkEnd w:id="218"/>
      <w:bookmarkEnd w:id="219"/>
      <w:bookmarkEnd w:id="220"/>
    </w:p>
    <w:bookmarkEnd w:id="221"/>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本项目数据安全服务涉及到的软件拟部署在宁波市政务外网信创云。</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由于宁波市信创云是基于国产化环境，但不提供国产化软件，故本项目需新增国产化数据库软件1套、国产化应用中间件1套。国产化操作系统可利旧使用，无需在本项目中进行购置。</w:t>
      </w:r>
    </w:p>
    <w:p>
      <w:pPr>
        <w:keepNext/>
        <w:keepLines/>
        <w:spacing w:line="360" w:lineRule="auto"/>
        <w:outlineLvl w:val="2"/>
        <w:rPr>
          <w:rFonts w:ascii="宋体" w:hAnsi="宋体" w:cs="宋体"/>
          <w:b/>
          <w:bCs/>
          <w:szCs w:val="21"/>
          <w:highlight w:val="none"/>
        </w:rPr>
      </w:pPr>
      <w:r>
        <w:rPr>
          <w:rFonts w:hint="eastAsia" w:ascii="宋体" w:hAnsi="宋体" w:cs="宋体"/>
          <w:b/>
          <w:bCs/>
          <w:szCs w:val="21"/>
          <w:highlight w:val="none"/>
        </w:rPr>
        <w:t>1.国产化服务器操作系统</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国产化服务器操作系统突出高安全性、高可用性、实时性、兼容性等关键应用指标；兼容主流CPU、整机、存储、数据库、中间件等。</w:t>
      </w:r>
    </w:p>
    <w:p>
      <w:pPr>
        <w:keepNext/>
        <w:keepLines/>
        <w:spacing w:line="360" w:lineRule="auto"/>
        <w:outlineLvl w:val="2"/>
        <w:rPr>
          <w:rFonts w:ascii="宋体" w:hAnsi="宋体" w:cs="宋体"/>
          <w:b/>
          <w:bCs/>
          <w:szCs w:val="21"/>
          <w:highlight w:val="none"/>
        </w:rPr>
      </w:pPr>
      <w:r>
        <w:rPr>
          <w:rFonts w:hint="eastAsia" w:ascii="宋体" w:hAnsi="宋体" w:cs="宋体"/>
          <w:b/>
          <w:bCs/>
          <w:szCs w:val="21"/>
          <w:highlight w:val="none"/>
        </w:rPr>
        <w:t>2.国产化数据库软件</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国产数据库软件具备数据存储、访问控制、身份鉴别、安全审计和数据备份恢复等功能。国产数据库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国产数据库主要实现以下功能：</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1.实现数据共享：数据共享包含所有用户可同时存取数据库中的数据，也包括用户可以用各种方式通过接口使用数据库，并提供数据共享。</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2.减少数据的冗余度：同文件系统相比，由于数据库实现了数据共享，从而避免了用户各自建立应用文件。减少了大量重复数据，减少了数据冗余，维护了数据的一致性。</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3.保持数据的独立性：数据的独立性包括逻辑独立性（数据库中数据库的逻辑结构和应用程序相互独立）和物理独立性（数据物理结构的变化不影响数据的逻辑结构）。</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4.数据实现集中控制：文件管理方式中，数据处于一种分散的状态，不同的用户或同一用户在不同处理中其文件之间毫无关系。利用数据库可对数据进行集中控制和管理，并通过数据模型表示各种数据的组织以及数据间的联系。</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5.数据一致性和可维护性，以确保数据的安全性和可靠性：主要包括：安全性控制、完整性控制、并发控制，使在同一时间周期内，允许对数据实现多路存取，又能防止用户之间的不正常交互作用。</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6.故障恢复：由数据库管理系统提供一套方法，可及时发现故障和修复故障，从而防止数据被破坏。数据库系统能尽快恢复数据库系统运行时出现的故障，可能是物理上或是逻辑上的错误。比如对系统的误操作造成的数据错误等。</w:t>
      </w:r>
    </w:p>
    <w:p>
      <w:pPr>
        <w:keepNext/>
        <w:keepLines/>
        <w:spacing w:line="360" w:lineRule="auto"/>
        <w:outlineLvl w:val="2"/>
        <w:rPr>
          <w:rFonts w:ascii="宋体" w:hAnsi="宋体" w:cs="宋体"/>
          <w:b/>
          <w:bCs/>
          <w:szCs w:val="21"/>
          <w:highlight w:val="none"/>
        </w:rPr>
      </w:pPr>
      <w:bookmarkStart w:id="222" w:name="_Hlk148082905"/>
      <w:bookmarkStart w:id="223" w:name="_Hlk139912636"/>
      <w:r>
        <w:rPr>
          <w:rFonts w:hint="eastAsia" w:ascii="宋体" w:hAnsi="宋体" w:cs="宋体"/>
          <w:b/>
          <w:bCs/>
          <w:szCs w:val="21"/>
          <w:highlight w:val="none"/>
        </w:rPr>
        <w:t>3.国产化应用中间件</w:t>
      </w:r>
    </w:p>
    <w:bookmarkEnd w:id="222"/>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国产化应用中间件是位于平台（硬件和操作系统）和应用之间的通用服务，这些服务具有标准的程序接口和协议，目的是为了使用系统软件所提供的基础服务（功能），衔接网络上应用系统的各个部分或不同的应用，能够达到资源共享、功能共享的目的。</w:t>
      </w:r>
    </w:p>
    <w:p>
      <w:pPr>
        <w:adjustRightInd w:val="0"/>
        <w:snapToGrid w:val="0"/>
        <w:spacing w:line="360" w:lineRule="auto"/>
        <w:ind w:firstLine="424" w:firstLineChars="200"/>
        <w:rPr>
          <w:rFonts w:ascii="宋体" w:hAnsi="宋体" w:cs="宋体"/>
          <w:szCs w:val="21"/>
          <w:highlight w:val="none"/>
        </w:rPr>
      </w:pPr>
      <w:r>
        <w:rPr>
          <w:rFonts w:hint="eastAsia" w:ascii="宋体" w:hAnsi="宋体" w:cs="宋体"/>
          <w:szCs w:val="21"/>
          <w:highlight w:val="none"/>
        </w:rPr>
        <w:t>国产中间件用于为上层应用提供运行环境，实现对上层应用的部署和动态管理。主要功能包括 Web 容器、EJB 容器、数据源服务、集群管理等。国产中间件部署在服务器，以后台服务形式运行，用户通过管理控制台或者命令行工具完成上层应用的部署、启动、停止等操作。</w:t>
      </w:r>
    </w:p>
    <w:bookmarkEnd w:id="223"/>
    <w:p>
      <w:pPr>
        <w:keepNext/>
        <w:keepLines/>
        <w:spacing w:line="360" w:lineRule="auto"/>
        <w:ind w:firstLine="424" w:firstLineChars="200"/>
        <w:outlineLvl w:val="1"/>
        <w:rPr>
          <w:rFonts w:ascii="宋体" w:hAnsi="宋体" w:cs="宋体"/>
          <w:b/>
          <w:bCs/>
          <w:szCs w:val="21"/>
          <w:highlight w:val="none"/>
        </w:rPr>
      </w:pPr>
      <w:bookmarkStart w:id="224" w:name="_Toc124516970"/>
      <w:r>
        <w:rPr>
          <w:rFonts w:hint="eastAsia" w:ascii="宋体" w:hAnsi="宋体" w:cs="宋体"/>
          <w:b/>
          <w:bCs/>
          <w:szCs w:val="21"/>
          <w:highlight w:val="none"/>
        </w:rPr>
        <w:t>（四）数据对接</w:t>
      </w:r>
      <w:bookmarkEnd w:id="224"/>
      <w:r>
        <w:rPr>
          <w:rFonts w:hint="eastAsia" w:ascii="宋体" w:hAnsi="宋体" w:cs="宋体"/>
          <w:b/>
          <w:bCs/>
          <w:szCs w:val="21"/>
          <w:highlight w:val="none"/>
        </w:rPr>
        <w:t>要求</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按照国家有关标准规范、结合《浙江省电子政务外网安全监测平台地市对接标准规范》等规范，网络安全管理平台和网络安全运行平台需完成与宁波市级网络安全监管平台对接，逐步建立安全风险报告和情报共享机制等。同时，实现本级平台数据一体化对接，包括：</w:t>
      </w:r>
    </w:p>
    <w:p>
      <w:pPr>
        <w:numPr>
          <w:ilvl w:val="0"/>
          <w:numId w:val="11"/>
        </w:numPr>
        <w:spacing w:line="360" w:lineRule="auto"/>
        <w:ind w:firstLine="424" w:firstLineChars="200"/>
        <w:rPr>
          <w:rFonts w:ascii="宋体" w:hAnsi="宋体" w:cs="宋体"/>
          <w:szCs w:val="21"/>
          <w:highlight w:val="none"/>
        </w:rPr>
      </w:pPr>
      <w:r>
        <w:rPr>
          <w:rFonts w:hint="eastAsia" w:ascii="宋体" w:hAnsi="宋体" w:cs="宋体"/>
          <w:szCs w:val="21"/>
          <w:highlight w:val="none"/>
        </w:rPr>
        <w:t>本级与宁波市级网络安全监管平台的对接；</w:t>
      </w:r>
      <w:bookmarkStart w:id="225" w:name="OLE_LINK13"/>
    </w:p>
    <w:p>
      <w:pPr>
        <w:numPr>
          <w:ilvl w:val="0"/>
          <w:numId w:val="11"/>
        </w:numPr>
        <w:spacing w:line="360" w:lineRule="auto"/>
        <w:ind w:firstLine="424" w:firstLineChars="200"/>
        <w:rPr>
          <w:rFonts w:ascii="宋体" w:hAnsi="宋体" w:cs="宋体"/>
          <w:szCs w:val="21"/>
          <w:highlight w:val="none"/>
        </w:rPr>
      </w:pPr>
      <w:r>
        <w:rPr>
          <w:rFonts w:hint="eastAsia" w:ascii="宋体" w:hAnsi="宋体" w:cs="宋体"/>
          <w:szCs w:val="21"/>
          <w:highlight w:val="none"/>
        </w:rPr>
        <w:t>网络安全管理平台和网络安全运行平台都与本级现有各网络安全产品的对接</w:t>
      </w:r>
      <w:bookmarkEnd w:id="225"/>
      <w:r>
        <w:rPr>
          <w:rFonts w:hint="eastAsia" w:ascii="宋体" w:hAnsi="宋体" w:cs="宋体"/>
          <w:szCs w:val="21"/>
          <w:highlight w:val="none"/>
        </w:rPr>
        <w:t>，包含不限于安恒APT、奇安信天擎、远望边界检测、明御堡垒机、明御日志审计、天融信数据库审计、盈高准入、安恒WAF、网御网闸、绿盟IPS等在用安全设备的数据对接；</w:t>
      </w:r>
    </w:p>
    <w:p>
      <w:pPr>
        <w:numPr>
          <w:ilvl w:val="0"/>
          <w:numId w:val="11"/>
        </w:numPr>
        <w:spacing w:line="360" w:lineRule="auto"/>
        <w:ind w:firstLine="424" w:firstLineChars="200"/>
        <w:rPr>
          <w:rFonts w:ascii="宋体" w:hAnsi="宋体" w:cs="宋体"/>
          <w:szCs w:val="21"/>
          <w:highlight w:val="none"/>
        </w:rPr>
      </w:pPr>
      <w:r>
        <w:rPr>
          <w:rFonts w:hint="eastAsia" w:ascii="宋体" w:hAnsi="宋体" w:cs="宋体"/>
          <w:szCs w:val="21"/>
          <w:highlight w:val="none"/>
        </w:rPr>
        <w:t>与第三方应用系统对接，需根据平台功能需要进行第三方应用的数据对接，为平台功能提供数据支撑。</w:t>
      </w:r>
    </w:p>
    <w:p>
      <w:pPr>
        <w:spacing w:line="360" w:lineRule="auto"/>
        <w:rPr>
          <w:rFonts w:ascii="宋体" w:hAnsi="宋体" w:cs="宋体"/>
          <w:szCs w:val="21"/>
          <w:highlight w:val="none"/>
        </w:rPr>
      </w:pPr>
      <w:r>
        <w:rPr>
          <w:rFonts w:hint="eastAsia" w:ascii="宋体" w:hAnsi="宋体" w:cs="宋体"/>
          <w:szCs w:val="21"/>
          <w:highlight w:val="none"/>
        </w:rPr>
        <w:t xml:space="preserve">    上述已在用设备的接口由中标方进行开发设计，并形成安全设备接入接口文档，可以由第三方公司按要求进行开发接入。</w:t>
      </w:r>
    </w:p>
    <w:p>
      <w:pPr>
        <w:keepNext/>
        <w:keepLines/>
        <w:spacing w:line="360" w:lineRule="auto"/>
        <w:ind w:firstLine="424" w:firstLineChars="200"/>
        <w:outlineLvl w:val="1"/>
        <w:rPr>
          <w:rFonts w:ascii="宋体" w:hAnsi="宋体" w:cs="宋体"/>
          <w:b/>
          <w:bCs/>
          <w:szCs w:val="21"/>
          <w:highlight w:val="none"/>
        </w:rPr>
      </w:pPr>
      <w:r>
        <w:rPr>
          <w:rFonts w:hint="eastAsia" w:ascii="宋体" w:hAnsi="宋体" w:cs="宋体"/>
          <w:b/>
          <w:bCs/>
          <w:szCs w:val="21"/>
          <w:highlight w:val="none"/>
        </w:rPr>
        <w:t>（五）服务要求</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中标方需按用户要求完成各类网络资产调查、梳理工作，并配合用户完成漏洞通报、配置变更、系统暂停服务、风险处置、事件处置等网络安全管理流程的梳理、设计工作。</w:t>
      </w:r>
    </w:p>
    <w:p>
      <w:pPr>
        <w:spacing w:line="360" w:lineRule="auto"/>
        <w:ind w:firstLine="424" w:firstLineChars="200"/>
        <w:rPr>
          <w:rFonts w:hint="eastAsia" w:ascii="宋体" w:hAnsi="宋体" w:cs="宋体"/>
          <w:szCs w:val="21"/>
          <w:highlight w:val="none"/>
        </w:rPr>
      </w:pPr>
      <w:r>
        <w:rPr>
          <w:rFonts w:hint="eastAsia" w:ascii="宋体" w:hAnsi="宋体" w:cs="宋体"/>
          <w:szCs w:val="21"/>
          <w:highlight w:val="none"/>
        </w:rPr>
        <w:t>中标方根据项目</w:t>
      </w:r>
      <w:r>
        <w:rPr>
          <w:rFonts w:hint="eastAsia" w:ascii="宋体" w:hAnsi="宋体" w:cs="宋体"/>
          <w:szCs w:val="21"/>
          <w:highlight w:val="none"/>
          <w:lang w:val="en-US" w:eastAsia="zh-CN"/>
        </w:rPr>
        <w:t>实际</w:t>
      </w:r>
      <w:r>
        <w:rPr>
          <w:rFonts w:hint="eastAsia" w:ascii="宋体" w:hAnsi="宋体" w:cs="宋体"/>
          <w:szCs w:val="21"/>
          <w:highlight w:val="none"/>
        </w:rPr>
        <w:t>需求，对所提供的系统保证全面、有效、及时的技术支持和</w:t>
      </w:r>
      <w:r>
        <w:rPr>
          <w:rFonts w:hint="eastAsia" w:ascii="宋体" w:hAnsi="宋体" w:cs="宋体"/>
          <w:szCs w:val="21"/>
          <w:highlight w:val="none"/>
          <w:lang w:val="en-US" w:eastAsia="zh-CN"/>
        </w:rPr>
        <w:t>维护</w:t>
      </w:r>
      <w:r>
        <w:rPr>
          <w:rFonts w:hint="eastAsia" w:ascii="宋体" w:hAnsi="宋体" w:cs="宋体"/>
          <w:szCs w:val="21"/>
          <w:highlight w:val="none"/>
        </w:rPr>
        <w:t>服务</w:t>
      </w:r>
      <w:r>
        <w:rPr>
          <w:rFonts w:hint="eastAsia" w:ascii="宋体" w:hAnsi="宋体" w:cs="宋体"/>
          <w:szCs w:val="21"/>
          <w:highlight w:val="none"/>
          <w:lang w:eastAsia="zh-CN"/>
        </w:rPr>
        <w:t>，</w:t>
      </w:r>
      <w:r>
        <w:rPr>
          <w:rFonts w:hint="eastAsia" w:ascii="宋体" w:hAnsi="宋体" w:cs="宋体"/>
          <w:szCs w:val="21"/>
          <w:highlight w:val="none"/>
          <w:lang w:val="en-US" w:eastAsia="zh-CN"/>
        </w:rPr>
        <w:t>服务期为三年</w:t>
      </w:r>
      <w:r>
        <w:rPr>
          <w:rFonts w:hint="eastAsia" w:ascii="宋体" w:hAnsi="宋体" w:cs="宋体"/>
          <w:szCs w:val="21"/>
          <w:highlight w:val="none"/>
        </w:rPr>
        <w:t>。服务范围至少包括运维支持、软件升级、扩容支持、性能调优、技术咨询、各种突发事件的应急策略、数据备份等。</w:t>
      </w:r>
    </w:p>
    <w:p>
      <w:pPr>
        <w:spacing w:line="360" w:lineRule="auto"/>
        <w:ind w:firstLine="424" w:firstLineChars="200"/>
        <w:rPr>
          <w:rFonts w:hint="eastAsia" w:ascii="宋体" w:hAnsi="宋体" w:cs="宋体"/>
          <w:szCs w:val="21"/>
          <w:highlight w:val="none"/>
          <w:lang w:eastAsia="zh-CN"/>
        </w:rPr>
      </w:pPr>
      <w:r>
        <w:rPr>
          <w:rFonts w:hint="eastAsia" w:ascii="宋体" w:hAnsi="宋体" w:cs="宋体"/>
          <w:szCs w:val="21"/>
          <w:highlight w:val="none"/>
        </w:rPr>
        <w:t>中标方需提出全面的技术</w:t>
      </w:r>
      <w:r>
        <w:rPr>
          <w:rFonts w:hint="eastAsia" w:ascii="宋体" w:hAnsi="宋体" w:cs="宋体"/>
          <w:szCs w:val="21"/>
          <w:highlight w:val="none"/>
          <w:lang w:val="en-US" w:eastAsia="zh-CN"/>
        </w:rPr>
        <w:t>服务</w:t>
      </w:r>
      <w:r>
        <w:rPr>
          <w:rFonts w:hint="eastAsia" w:ascii="宋体" w:hAnsi="宋体" w:cs="宋体"/>
          <w:szCs w:val="21"/>
          <w:highlight w:val="none"/>
        </w:rPr>
        <w:t>方案，详细列出技术</w:t>
      </w:r>
      <w:r>
        <w:rPr>
          <w:rFonts w:hint="eastAsia" w:ascii="宋体" w:hAnsi="宋体" w:cs="宋体"/>
          <w:szCs w:val="21"/>
          <w:highlight w:val="none"/>
          <w:lang w:val="en-US" w:eastAsia="zh-CN"/>
        </w:rPr>
        <w:t>服务</w:t>
      </w:r>
      <w:r>
        <w:rPr>
          <w:rFonts w:hint="eastAsia" w:ascii="宋体" w:hAnsi="宋体" w:cs="宋体"/>
          <w:szCs w:val="21"/>
          <w:highlight w:val="none"/>
        </w:rPr>
        <w:t>方式，需明确服务提供方名称、服务内容、服务方式、服务人员技术要求以及服务响应时间等</w:t>
      </w:r>
      <w:r>
        <w:rPr>
          <w:rFonts w:hint="eastAsia" w:ascii="宋体" w:hAnsi="宋体" w:cs="宋体"/>
          <w:szCs w:val="21"/>
          <w:highlight w:val="none"/>
          <w:lang w:eastAsia="zh-CN"/>
        </w:rPr>
        <w:t>。</w:t>
      </w:r>
    </w:p>
    <w:p>
      <w:pPr>
        <w:spacing w:line="360" w:lineRule="auto"/>
        <w:ind w:firstLine="424" w:firstLineChars="200"/>
        <w:rPr>
          <w:rFonts w:hint="eastAsia" w:ascii="宋体" w:hAnsi="宋体" w:cs="宋体"/>
          <w:szCs w:val="21"/>
          <w:highlight w:val="none"/>
          <w:lang w:eastAsia="zh-CN"/>
        </w:rPr>
      </w:pPr>
      <w:r>
        <w:rPr>
          <w:rFonts w:hint="eastAsia" w:ascii="宋体" w:hAnsi="宋体" w:cs="宋体"/>
          <w:szCs w:val="21"/>
          <w:highlight w:val="none"/>
        </w:rPr>
        <w:t>中标方</w:t>
      </w:r>
      <w:r>
        <w:rPr>
          <w:rFonts w:hint="eastAsia" w:ascii="宋体" w:hAnsi="宋体" w:cs="宋体"/>
          <w:szCs w:val="21"/>
          <w:highlight w:val="none"/>
          <w:lang w:val="en-US" w:eastAsia="zh-CN"/>
        </w:rPr>
        <w:t>需</w:t>
      </w:r>
      <w:r>
        <w:rPr>
          <w:rFonts w:hint="eastAsia" w:ascii="宋体" w:hAnsi="宋体" w:cs="宋体"/>
          <w:szCs w:val="21"/>
          <w:highlight w:val="none"/>
        </w:rPr>
        <w:t>提供7*24 小时的服务响应，保证</w:t>
      </w:r>
      <w:r>
        <w:rPr>
          <w:rFonts w:hint="eastAsia" w:ascii="宋体" w:hAnsi="宋体" w:cs="宋体"/>
          <w:szCs w:val="21"/>
          <w:highlight w:val="none"/>
          <w:lang w:val="en-US" w:eastAsia="zh-CN"/>
        </w:rPr>
        <w:t>采购方</w:t>
      </w:r>
      <w:r>
        <w:rPr>
          <w:rFonts w:hint="eastAsia" w:ascii="宋体" w:hAnsi="宋体" w:cs="宋体"/>
          <w:szCs w:val="21"/>
          <w:highlight w:val="none"/>
        </w:rPr>
        <w:t>可以随时找到相应的技术人员</w:t>
      </w:r>
      <w:r>
        <w:rPr>
          <w:rFonts w:hint="eastAsia" w:ascii="宋体" w:hAnsi="宋体" w:cs="宋体"/>
          <w:szCs w:val="21"/>
          <w:highlight w:val="none"/>
          <w:lang w:eastAsia="zh-CN"/>
        </w:rPr>
        <w:t>，</w:t>
      </w:r>
      <w:r>
        <w:rPr>
          <w:rFonts w:hint="eastAsia" w:ascii="宋体" w:hAnsi="宋体" w:cs="宋体"/>
          <w:szCs w:val="21"/>
          <w:highlight w:val="none"/>
          <w:lang w:val="en-US" w:eastAsia="zh-CN"/>
        </w:rPr>
        <w:t>并</w:t>
      </w:r>
      <w:r>
        <w:rPr>
          <w:rFonts w:hint="eastAsia" w:ascii="宋体" w:hAnsi="宋体" w:cs="宋体"/>
          <w:szCs w:val="21"/>
          <w:highlight w:val="none"/>
          <w:lang w:eastAsia="zh-CN"/>
        </w:rPr>
        <w:t>对用户所反映的故障在15分钟之内响应，必须确保2小时之内赶到现场实地处理（发生灾害性天气时现场维护时限可适当放宽），查找故障原因、提出解决方案，直至故障修复完全恢复正常服务为止。</w:t>
      </w:r>
    </w:p>
    <w:p>
      <w:pPr>
        <w:spacing w:line="360" w:lineRule="auto"/>
        <w:ind w:firstLine="424"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服务期内</w:t>
      </w:r>
      <w:r>
        <w:rPr>
          <w:rFonts w:hint="eastAsia" w:ascii="宋体" w:hAnsi="宋体" w:cs="宋体"/>
          <w:szCs w:val="21"/>
          <w:highlight w:val="none"/>
          <w:lang w:eastAsia="zh-CN"/>
        </w:rPr>
        <w:t>对</w:t>
      </w:r>
      <w:r>
        <w:rPr>
          <w:rFonts w:hint="eastAsia" w:ascii="宋体" w:hAnsi="宋体" w:cs="宋体"/>
          <w:szCs w:val="21"/>
          <w:highlight w:val="none"/>
          <w:lang w:val="en-US" w:eastAsia="zh-CN"/>
        </w:rPr>
        <w:t>系统进行</w:t>
      </w:r>
      <w:r>
        <w:rPr>
          <w:rFonts w:hint="eastAsia" w:ascii="宋体" w:hAnsi="宋体" w:cs="宋体"/>
          <w:szCs w:val="21"/>
          <w:highlight w:val="none"/>
          <w:lang w:eastAsia="zh-CN"/>
        </w:rPr>
        <w:t>每3个月定期维护、巡检，</w:t>
      </w:r>
      <w:r>
        <w:rPr>
          <w:rFonts w:hint="eastAsia" w:ascii="宋体" w:hAnsi="宋体" w:cs="宋体"/>
          <w:szCs w:val="21"/>
          <w:highlight w:val="none"/>
          <w:lang w:val="en-US" w:eastAsia="zh-CN"/>
        </w:rPr>
        <w:t>及时更新软件产品，</w:t>
      </w:r>
      <w:r>
        <w:rPr>
          <w:rFonts w:hint="eastAsia" w:ascii="宋体" w:hAnsi="宋体" w:cs="宋体"/>
          <w:szCs w:val="21"/>
          <w:highlight w:val="none"/>
          <w:lang w:eastAsia="zh-CN"/>
        </w:rPr>
        <w:t>并出具巡检报告，提出合理化建议。</w:t>
      </w:r>
    </w:p>
    <w:p>
      <w:pPr>
        <w:spacing w:line="360" w:lineRule="auto"/>
        <w:ind w:firstLine="424" w:firstLineChars="200"/>
        <w:rPr>
          <w:rFonts w:hint="eastAsia" w:ascii="宋体" w:hAnsi="宋体" w:cs="宋体"/>
          <w:szCs w:val="21"/>
          <w:highlight w:val="none"/>
          <w:lang w:eastAsia="zh-CN"/>
        </w:rPr>
      </w:pPr>
      <w:r>
        <w:rPr>
          <w:rFonts w:hint="eastAsia" w:ascii="宋体" w:hAnsi="宋体" w:eastAsia="宋体" w:cs="宋体"/>
          <w:sz w:val="21"/>
          <w:szCs w:val="21"/>
          <w:highlight w:val="none"/>
          <w:u w:val="none"/>
        </w:rPr>
        <w:t>未经</w:t>
      </w:r>
      <w:r>
        <w:rPr>
          <w:rFonts w:hint="eastAsia" w:ascii="宋体" w:hAnsi="宋体" w:eastAsia="宋体" w:cs="宋体"/>
          <w:sz w:val="21"/>
          <w:szCs w:val="21"/>
          <w:highlight w:val="none"/>
          <w:u w:val="none"/>
          <w:lang w:val="en-US" w:eastAsia="zh-CN"/>
        </w:rPr>
        <w:t>采购方</w:t>
      </w:r>
      <w:r>
        <w:rPr>
          <w:rFonts w:hint="eastAsia" w:ascii="宋体" w:hAnsi="宋体" w:eastAsia="宋体" w:cs="宋体"/>
          <w:sz w:val="21"/>
          <w:szCs w:val="21"/>
          <w:highlight w:val="none"/>
          <w:u w:val="none"/>
        </w:rPr>
        <w:t>书面同意，项目所涉信息均不得应用于非本项目的其他用途，严禁向他人出示、泄露。未经许可，不得对项目所涉信息进行复制、传播、销售。否则，所引起的法律后果及损失由泄密方承担。</w:t>
      </w:r>
    </w:p>
    <w:p>
      <w:pPr>
        <w:spacing w:line="360" w:lineRule="auto"/>
        <w:ind w:firstLine="424"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项目范围内的所有产品，其</w:t>
      </w:r>
      <w:r>
        <w:rPr>
          <w:rFonts w:hint="eastAsia" w:ascii="宋体" w:hAnsi="宋体" w:cs="宋体"/>
          <w:szCs w:val="21"/>
          <w:highlight w:val="none"/>
          <w:lang w:eastAsia="ar-SA"/>
        </w:rPr>
        <w:t>所有权</w:t>
      </w:r>
      <w:r>
        <w:rPr>
          <w:rFonts w:hint="eastAsia" w:ascii="宋体" w:hAnsi="宋体" w:cs="宋体"/>
          <w:szCs w:val="21"/>
          <w:highlight w:val="none"/>
        </w:rPr>
        <w:t>及使用管理权</w:t>
      </w:r>
      <w:r>
        <w:rPr>
          <w:rFonts w:hint="eastAsia" w:ascii="宋体" w:hAnsi="宋体" w:cs="宋体"/>
          <w:szCs w:val="21"/>
          <w:highlight w:val="none"/>
          <w:lang w:val="en-US" w:eastAsia="zh-CN"/>
        </w:rPr>
        <w:t>在服务期第三年开始起</w:t>
      </w:r>
      <w:r>
        <w:rPr>
          <w:rFonts w:hint="eastAsia" w:ascii="宋体" w:hAnsi="宋体" w:cs="宋体"/>
          <w:szCs w:val="21"/>
          <w:highlight w:val="none"/>
          <w:lang w:eastAsia="ar-SA"/>
        </w:rPr>
        <w:t>归</w:t>
      </w:r>
      <w:r>
        <w:rPr>
          <w:rFonts w:hint="eastAsia" w:ascii="宋体" w:hAnsi="宋体" w:eastAsia="宋体" w:cs="宋体"/>
          <w:sz w:val="21"/>
          <w:szCs w:val="21"/>
          <w:highlight w:val="none"/>
          <w:u w:val="none"/>
          <w:lang w:val="en-US" w:eastAsia="zh-CN"/>
        </w:rPr>
        <w:t>采购方</w:t>
      </w:r>
      <w:r>
        <w:rPr>
          <w:rFonts w:hint="eastAsia" w:ascii="宋体" w:hAnsi="宋体" w:cs="宋体"/>
          <w:szCs w:val="21"/>
          <w:highlight w:val="none"/>
          <w:lang w:eastAsia="ar-SA"/>
        </w:rPr>
        <w:t>所有</w:t>
      </w:r>
      <w:r>
        <w:rPr>
          <w:rFonts w:hint="eastAsia" w:ascii="宋体" w:hAnsi="宋体" w:cs="宋体"/>
          <w:szCs w:val="21"/>
          <w:highlight w:val="none"/>
          <w:lang w:eastAsia="zh-CN"/>
        </w:rPr>
        <w:t>。</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项目实施完成后，需配置现场驻点人员</w:t>
      </w:r>
      <w:r>
        <w:rPr>
          <w:rFonts w:hint="eastAsia" w:ascii="宋体" w:hAnsi="宋体" w:cs="宋体"/>
          <w:szCs w:val="21"/>
          <w:highlight w:val="none"/>
          <w:lang w:val="en-US" w:eastAsia="zh-CN"/>
        </w:rPr>
        <w:t>至少</w:t>
      </w:r>
      <w:r>
        <w:rPr>
          <w:rFonts w:hint="eastAsia" w:ascii="宋体" w:hAnsi="宋体" w:cs="宋体"/>
          <w:szCs w:val="21"/>
          <w:highlight w:val="none"/>
        </w:rPr>
        <w:t>1名，配合业主完成各项网络安全服务内容，驻点年限为3年。</w:t>
      </w:r>
    </w:p>
    <w:p>
      <w:pPr>
        <w:keepNext/>
        <w:keepLines/>
        <w:spacing w:line="360" w:lineRule="auto"/>
        <w:ind w:firstLine="424" w:firstLineChars="200"/>
        <w:outlineLvl w:val="1"/>
        <w:rPr>
          <w:rFonts w:hint="eastAsia" w:ascii="宋体" w:hAnsi="宋体" w:cs="宋体"/>
          <w:b/>
          <w:bCs/>
          <w:szCs w:val="21"/>
          <w:highlight w:val="none"/>
        </w:rPr>
      </w:pPr>
      <w:r>
        <w:rPr>
          <w:rFonts w:hint="eastAsia" w:ascii="宋体" w:hAnsi="宋体" w:cs="宋体"/>
          <w:b/>
          <w:bCs/>
          <w:szCs w:val="21"/>
          <w:highlight w:val="none"/>
        </w:rPr>
        <w:t>（六）项目组人员保障能力要求</w:t>
      </w:r>
    </w:p>
    <w:p>
      <w:pPr>
        <w:spacing w:line="360" w:lineRule="auto"/>
        <w:ind w:firstLine="424" w:firstLineChars="200"/>
        <w:rPr>
          <w:rFonts w:hint="eastAsia" w:ascii="宋体" w:hAnsi="宋体" w:cs="宋体"/>
          <w:szCs w:val="21"/>
          <w:highlight w:val="none"/>
        </w:rPr>
      </w:pPr>
      <w:r>
        <w:rPr>
          <w:rFonts w:hint="eastAsia" w:ascii="宋体" w:hAnsi="宋体" w:cs="宋体"/>
          <w:szCs w:val="21"/>
          <w:highlight w:val="none"/>
        </w:rPr>
        <w:t>为确保项目实施中的人员配备，需提供项目经理1名，技术负责人1名</w:t>
      </w:r>
      <w:r>
        <w:rPr>
          <w:rFonts w:hint="eastAsia" w:ascii="宋体" w:hAnsi="宋体" w:cs="宋体"/>
          <w:szCs w:val="21"/>
          <w:highlight w:val="none"/>
          <w:lang w:eastAsia="zh-CN"/>
        </w:rPr>
        <w:t>，</w:t>
      </w:r>
      <w:r>
        <w:rPr>
          <w:rFonts w:hint="eastAsia" w:ascii="宋体" w:hAnsi="宋体" w:cs="宋体"/>
          <w:szCs w:val="21"/>
          <w:highlight w:val="none"/>
        </w:rPr>
        <w:t>具有丰富经验的项目实施团队成员</w:t>
      </w:r>
      <w:r>
        <w:rPr>
          <w:rFonts w:hint="eastAsia" w:ascii="宋体" w:hAnsi="宋体" w:cs="宋体"/>
          <w:szCs w:val="21"/>
          <w:highlight w:val="none"/>
          <w:lang w:val="en-US" w:eastAsia="zh-CN"/>
        </w:rPr>
        <w:t>不少于4名</w:t>
      </w:r>
      <w:r>
        <w:rPr>
          <w:rFonts w:hint="eastAsia" w:ascii="宋体" w:hAnsi="宋体" w:cs="宋体"/>
          <w:szCs w:val="21"/>
          <w:highlight w:val="none"/>
        </w:rPr>
        <w:t>。</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cs="宋体"/>
          <w:color w:val="auto"/>
          <w:szCs w:val="21"/>
          <w:highlight w:val="none"/>
          <w:lang w:val="en-US" w:eastAsia="zh-CN"/>
        </w:rPr>
        <w:t>方</w:t>
      </w:r>
      <w:r>
        <w:rPr>
          <w:rFonts w:hint="eastAsia" w:ascii="宋体" w:hAnsi="宋体" w:eastAsia="宋体" w:cs="宋体"/>
          <w:color w:val="auto"/>
          <w:szCs w:val="21"/>
          <w:highlight w:val="none"/>
        </w:rPr>
        <w:t>应明确承诺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在投标文件中响应的</w:t>
      </w:r>
      <w:r>
        <w:rPr>
          <w:rFonts w:hint="eastAsia" w:ascii="宋体" w:hAnsi="宋体" w:cs="宋体"/>
          <w:color w:val="auto"/>
          <w:szCs w:val="21"/>
          <w:highlight w:val="none"/>
          <w:lang w:val="en-US" w:eastAsia="zh-CN"/>
        </w:rPr>
        <w:t>拟定</w:t>
      </w:r>
      <w:r>
        <w:rPr>
          <w:rFonts w:hint="eastAsia" w:ascii="宋体" w:hAnsi="宋体" w:eastAsia="宋体" w:cs="宋体"/>
          <w:color w:val="auto"/>
          <w:szCs w:val="21"/>
          <w:highlight w:val="none"/>
        </w:rPr>
        <w:t>项目组成员</w:t>
      </w:r>
      <w:r>
        <w:rPr>
          <w:rFonts w:hint="eastAsia" w:ascii="宋体" w:hAnsi="宋体" w:cs="宋体"/>
          <w:color w:val="auto"/>
          <w:szCs w:val="21"/>
          <w:highlight w:val="none"/>
          <w:lang w:val="en-US" w:eastAsia="zh-CN"/>
        </w:rPr>
        <w:t>为</w:t>
      </w:r>
      <w:r>
        <w:rPr>
          <w:rFonts w:hint="eastAsia" w:ascii="宋体" w:hAnsi="宋体" w:cs="宋体"/>
          <w:kern w:val="1"/>
          <w:szCs w:val="21"/>
          <w:highlight w:val="none"/>
        </w:rPr>
        <w:t>参加本项目</w:t>
      </w:r>
      <w:r>
        <w:rPr>
          <w:rFonts w:hint="eastAsia" w:ascii="宋体" w:hAnsi="宋体" w:cs="宋体"/>
          <w:kern w:val="1"/>
          <w:szCs w:val="21"/>
          <w:highlight w:val="none"/>
          <w:lang w:val="en-US" w:eastAsia="zh-CN"/>
        </w:rPr>
        <w:t>的实际成员，拟定的项目经理为</w:t>
      </w:r>
      <w:r>
        <w:rPr>
          <w:rFonts w:hint="eastAsia" w:ascii="宋体" w:hAnsi="宋体" w:cs="宋体"/>
          <w:kern w:val="1"/>
          <w:szCs w:val="21"/>
          <w:highlight w:val="none"/>
        </w:rPr>
        <w:t>实际参加本项目管理、技术等方面的项目负责人，负责项目协调和调度工作，全程参与本项目</w:t>
      </w:r>
      <w:r>
        <w:rPr>
          <w:rFonts w:hint="eastAsia" w:ascii="宋体" w:hAnsi="宋体" w:cs="宋体"/>
          <w:kern w:val="1"/>
          <w:szCs w:val="21"/>
          <w:highlight w:val="none"/>
          <w:lang w:eastAsia="zh-CN"/>
        </w:rPr>
        <w:t>，</w:t>
      </w:r>
      <w:r>
        <w:rPr>
          <w:rFonts w:hint="eastAsia" w:ascii="宋体" w:hAnsi="宋体" w:cs="宋体"/>
          <w:kern w:val="1"/>
          <w:szCs w:val="21"/>
          <w:highlight w:val="none"/>
        </w:rPr>
        <w:t>并参与各类项目例会、项目沟通会、项目验收会议等方面</w:t>
      </w:r>
      <w:r>
        <w:rPr>
          <w:rFonts w:hint="eastAsia" w:ascii="宋体" w:hAnsi="宋体" w:cs="宋体"/>
          <w:kern w:val="1"/>
          <w:szCs w:val="21"/>
          <w:highlight w:val="none"/>
          <w:lang w:val="en-US" w:eastAsia="zh-CN"/>
        </w:rPr>
        <w:t>工作。</w:t>
      </w:r>
      <w:r>
        <w:rPr>
          <w:rFonts w:hint="eastAsia" w:ascii="宋体" w:hAnsi="宋体" w:eastAsia="宋体" w:cs="宋体"/>
          <w:color w:val="auto"/>
          <w:szCs w:val="21"/>
          <w:highlight w:val="none"/>
        </w:rPr>
        <w:t>在合同签订后的整个项目实施过程中不得更改(用户要求更改的除外)。</w:t>
      </w:r>
    </w:p>
    <w:p>
      <w:pPr>
        <w:keepNext/>
        <w:keepLines/>
        <w:spacing w:line="360" w:lineRule="auto"/>
        <w:ind w:firstLine="424" w:firstLineChars="200"/>
        <w:outlineLvl w:val="1"/>
        <w:rPr>
          <w:rFonts w:hint="default" w:ascii="宋体" w:hAnsi="宋体" w:eastAsia="宋体" w:cs="宋体"/>
          <w:b/>
          <w:bCs/>
          <w:color w:val="auto"/>
          <w:szCs w:val="21"/>
          <w:highlight w:val="none"/>
        </w:rPr>
      </w:pPr>
      <w:bookmarkStart w:id="226" w:name="_Toc521817410"/>
      <w:bookmarkStart w:id="227" w:name="_Toc522503170"/>
      <w:bookmarkStart w:id="228" w:name="_Toc329938510"/>
      <w:bookmarkStart w:id="229" w:name="_Toc28677581"/>
      <w:bookmarkStart w:id="230" w:name="_Toc502924512"/>
      <w:bookmarkStart w:id="231" w:name="_Toc502919789"/>
      <w:bookmarkStart w:id="232" w:name="_Toc502917699"/>
      <w:bookmarkStart w:id="233" w:name="_Toc502917556"/>
      <w:r>
        <w:rPr>
          <w:rFonts w:hint="eastAsia" w:ascii="宋体" w:hAnsi="宋体" w:eastAsia="宋体" w:cs="宋体"/>
          <w:b/>
          <w:bCs/>
          <w:sz w:val="21"/>
          <w:szCs w:val="21"/>
          <w:highlight w:val="none"/>
          <w:lang w:val="en-US" w:eastAsia="zh-CN"/>
        </w:rPr>
        <w:t>（七）</w:t>
      </w:r>
      <w:r>
        <w:rPr>
          <w:rFonts w:hint="eastAsia" w:ascii="宋体" w:hAnsi="宋体" w:eastAsia="宋体" w:cs="宋体"/>
          <w:b/>
          <w:bCs/>
          <w:color w:val="auto"/>
          <w:sz w:val="21"/>
          <w:szCs w:val="21"/>
          <w:highlight w:val="none"/>
          <w:lang w:val="en-US" w:eastAsia="zh-CN"/>
        </w:rPr>
        <w:t>系统测</w:t>
      </w:r>
      <w:r>
        <w:rPr>
          <w:rFonts w:hint="eastAsia" w:ascii="宋体" w:hAnsi="宋体" w:cs="宋体"/>
          <w:szCs w:val="21"/>
          <w:highlight w:val="none"/>
          <w:lang w:val="en-US" w:eastAsia="zh-CN"/>
        </w:rPr>
        <w:t>shi</w:t>
      </w:r>
      <w:r>
        <w:rPr>
          <w:rFonts w:hint="eastAsia" w:ascii="宋体" w:hAnsi="宋体" w:eastAsia="宋体" w:cs="宋体"/>
          <w:b/>
          <w:bCs/>
          <w:color w:val="auto"/>
          <w:sz w:val="21"/>
          <w:szCs w:val="21"/>
          <w:highlight w:val="none"/>
          <w:lang w:val="en-US" w:eastAsia="zh-CN"/>
        </w:rPr>
        <w:t>及验收</w:t>
      </w:r>
      <w:r>
        <w:rPr>
          <w:rFonts w:hint="eastAsia" w:ascii="宋体" w:hAnsi="宋体" w:eastAsia="宋体" w:cs="宋体"/>
          <w:b/>
          <w:bCs/>
          <w:sz w:val="21"/>
          <w:szCs w:val="21"/>
          <w:highlight w:val="none"/>
          <w:lang w:val="en-US" w:eastAsia="zh-CN"/>
        </w:rPr>
        <w:t>要求</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系统测</w:t>
      </w:r>
      <w:bookmarkEnd w:id="226"/>
      <w:bookmarkEnd w:id="227"/>
      <w:bookmarkEnd w:id="228"/>
      <w:bookmarkEnd w:id="229"/>
      <w:bookmarkEnd w:id="230"/>
      <w:bookmarkEnd w:id="231"/>
      <w:bookmarkEnd w:id="232"/>
      <w:bookmarkEnd w:id="233"/>
      <w:r>
        <w:rPr>
          <w:rFonts w:hint="eastAsia" w:ascii="宋体" w:hAnsi="宋体" w:cs="宋体"/>
          <w:szCs w:val="21"/>
          <w:highlight w:val="none"/>
          <w:lang w:val="en-US" w:eastAsia="zh-CN"/>
        </w:rPr>
        <w:t>shi</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w:t>
      </w:r>
      <w:r>
        <w:rPr>
          <w:rFonts w:hint="eastAsia" w:ascii="宋体" w:hAnsi="宋体" w:cs="宋体"/>
          <w:color w:val="auto"/>
          <w:szCs w:val="21"/>
          <w:highlight w:val="none"/>
          <w:lang w:val="en-US" w:eastAsia="zh-CN"/>
        </w:rPr>
        <w:t>方</w:t>
      </w:r>
      <w:r>
        <w:rPr>
          <w:rFonts w:hint="eastAsia" w:ascii="宋体" w:hAnsi="宋体" w:eastAsia="宋体" w:cs="宋体"/>
          <w:color w:val="auto"/>
          <w:szCs w:val="21"/>
          <w:highlight w:val="none"/>
        </w:rPr>
        <w:t>应提供测</w:t>
      </w:r>
      <w:r>
        <w:rPr>
          <w:rFonts w:hint="eastAsia" w:ascii="宋体" w:hAnsi="宋体" w:cs="宋体"/>
          <w:szCs w:val="21"/>
          <w:highlight w:val="none"/>
          <w:lang w:val="en-US" w:eastAsia="zh-CN"/>
        </w:rPr>
        <w:t>shi</w:t>
      </w:r>
      <w:r>
        <w:rPr>
          <w:rFonts w:hint="eastAsia" w:ascii="宋体" w:hAnsi="宋体" w:eastAsia="宋体" w:cs="宋体"/>
          <w:color w:val="auto"/>
          <w:szCs w:val="21"/>
          <w:highlight w:val="none"/>
        </w:rPr>
        <w:t>条件、方法和过程的</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rPr>
        <w:t>，商谈以后，最终测</w:t>
      </w:r>
      <w:r>
        <w:rPr>
          <w:rFonts w:hint="eastAsia" w:ascii="宋体" w:hAnsi="宋体" w:cs="宋体"/>
          <w:szCs w:val="21"/>
          <w:highlight w:val="none"/>
          <w:lang w:val="en-US" w:eastAsia="zh-CN"/>
        </w:rPr>
        <w:t>shi</w:t>
      </w:r>
      <w:r>
        <w:rPr>
          <w:rFonts w:hint="eastAsia" w:ascii="宋体" w:hAnsi="宋体" w:cs="宋体"/>
          <w:color w:val="auto"/>
          <w:szCs w:val="21"/>
          <w:highlight w:val="none"/>
          <w:lang w:val="en-US" w:eastAsia="zh-CN"/>
        </w:rPr>
        <w:t>报告</w:t>
      </w:r>
      <w:r>
        <w:rPr>
          <w:rFonts w:hint="eastAsia" w:ascii="宋体" w:hAnsi="宋体" w:eastAsia="宋体" w:cs="宋体"/>
          <w:color w:val="auto"/>
          <w:szCs w:val="21"/>
          <w:highlight w:val="none"/>
        </w:rPr>
        <w:t>由</w:t>
      </w:r>
      <w:r>
        <w:rPr>
          <w:rFonts w:hint="eastAsia" w:ascii="宋体" w:hAnsi="宋体" w:cs="宋体"/>
          <w:color w:val="auto"/>
          <w:szCs w:val="21"/>
          <w:highlight w:val="none"/>
          <w:lang w:val="en-US" w:eastAsia="zh-CN"/>
        </w:rPr>
        <w:t>采购方</w:t>
      </w:r>
      <w:r>
        <w:rPr>
          <w:rFonts w:hint="eastAsia" w:ascii="宋体" w:hAnsi="宋体" w:eastAsia="宋体" w:cs="宋体"/>
          <w:color w:val="auto"/>
          <w:szCs w:val="21"/>
          <w:highlight w:val="none"/>
        </w:rPr>
        <w:t>、监理公司、中标</w:t>
      </w:r>
      <w:r>
        <w:rPr>
          <w:rFonts w:hint="eastAsia" w:ascii="宋体" w:hAnsi="宋体" w:cs="宋体"/>
          <w:color w:val="auto"/>
          <w:szCs w:val="21"/>
          <w:highlight w:val="none"/>
          <w:lang w:val="en-US" w:eastAsia="zh-CN"/>
        </w:rPr>
        <w:t>方</w:t>
      </w:r>
      <w:r>
        <w:rPr>
          <w:rFonts w:hint="eastAsia" w:ascii="宋体" w:hAnsi="宋体" w:eastAsia="宋体" w:cs="宋体"/>
          <w:color w:val="auto"/>
          <w:szCs w:val="21"/>
          <w:highlight w:val="none"/>
        </w:rPr>
        <w:t>三方共同</w:t>
      </w:r>
      <w:r>
        <w:rPr>
          <w:rFonts w:hint="eastAsia" w:ascii="宋体" w:hAnsi="宋体" w:cs="宋体"/>
          <w:color w:val="auto"/>
          <w:szCs w:val="21"/>
          <w:highlight w:val="none"/>
          <w:lang w:val="en-US" w:eastAsia="zh-CN"/>
        </w:rPr>
        <w:t>确认</w:t>
      </w:r>
      <w:r>
        <w:rPr>
          <w:rFonts w:hint="eastAsia" w:ascii="宋体" w:hAnsi="宋体" w:eastAsia="宋体" w:cs="宋体"/>
          <w:color w:val="auto"/>
          <w:szCs w:val="21"/>
          <w:highlight w:val="none"/>
        </w:rPr>
        <w:t>。</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系统测</w:t>
      </w:r>
      <w:r>
        <w:rPr>
          <w:rFonts w:hint="eastAsia" w:ascii="宋体" w:hAnsi="宋体" w:cs="宋体"/>
          <w:szCs w:val="21"/>
          <w:highlight w:val="none"/>
          <w:lang w:val="en-US" w:eastAsia="zh-CN"/>
        </w:rPr>
        <w:t>shi</w:t>
      </w:r>
      <w:r>
        <w:rPr>
          <w:rFonts w:hint="eastAsia" w:ascii="宋体" w:hAnsi="宋体" w:eastAsia="宋体" w:cs="宋体"/>
          <w:color w:val="auto"/>
          <w:szCs w:val="21"/>
          <w:highlight w:val="none"/>
        </w:rPr>
        <w:t>是在监理公司代表监督下，中标</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采购方</w:t>
      </w:r>
      <w:r>
        <w:rPr>
          <w:rFonts w:hint="eastAsia" w:ascii="宋体" w:hAnsi="宋体" w:eastAsia="宋体" w:cs="宋体"/>
          <w:color w:val="auto"/>
          <w:szCs w:val="21"/>
          <w:highlight w:val="none"/>
        </w:rPr>
        <w:t>督导人员的指导下，由</w:t>
      </w:r>
      <w:r>
        <w:rPr>
          <w:rFonts w:hint="eastAsia" w:ascii="宋体" w:hAnsi="宋体" w:cs="宋体"/>
          <w:color w:val="auto"/>
          <w:szCs w:val="21"/>
          <w:highlight w:val="none"/>
        </w:rPr>
        <w:t>专业厂商技术</w:t>
      </w:r>
      <w:r>
        <w:rPr>
          <w:rFonts w:hint="eastAsia" w:ascii="宋体" w:hAnsi="宋体" w:eastAsia="宋体" w:cs="宋体"/>
          <w:color w:val="auto"/>
          <w:szCs w:val="21"/>
          <w:highlight w:val="none"/>
        </w:rPr>
        <w:t>人员</w:t>
      </w:r>
      <w:r>
        <w:rPr>
          <w:rFonts w:hint="eastAsia" w:ascii="宋体" w:hAnsi="宋体" w:cs="宋体"/>
          <w:color w:val="auto"/>
          <w:szCs w:val="21"/>
          <w:highlight w:val="none"/>
          <w:lang w:val="en-US" w:eastAsia="zh-CN"/>
        </w:rPr>
        <w:t>共同</w:t>
      </w:r>
      <w:r>
        <w:rPr>
          <w:rFonts w:hint="eastAsia" w:ascii="宋体" w:hAnsi="宋体" w:eastAsia="宋体" w:cs="宋体"/>
          <w:color w:val="auto"/>
          <w:szCs w:val="21"/>
          <w:highlight w:val="none"/>
        </w:rPr>
        <w:t>进行。</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如果系统测</w:t>
      </w:r>
      <w:r>
        <w:rPr>
          <w:rFonts w:hint="eastAsia" w:ascii="宋体" w:hAnsi="宋体" w:cs="宋体"/>
          <w:szCs w:val="21"/>
          <w:highlight w:val="none"/>
          <w:lang w:val="en-US" w:eastAsia="zh-CN"/>
        </w:rPr>
        <w:t>shi</w:t>
      </w:r>
      <w:r>
        <w:rPr>
          <w:rFonts w:hint="eastAsia" w:ascii="宋体" w:hAnsi="宋体" w:eastAsia="宋体" w:cs="宋体"/>
          <w:color w:val="auto"/>
          <w:szCs w:val="21"/>
          <w:highlight w:val="none"/>
        </w:rPr>
        <w:t>没有满足测</w:t>
      </w:r>
      <w:r>
        <w:rPr>
          <w:rFonts w:hint="eastAsia" w:ascii="宋体" w:hAnsi="宋体" w:cs="宋体"/>
          <w:szCs w:val="21"/>
          <w:highlight w:val="none"/>
          <w:lang w:val="en-US" w:eastAsia="zh-CN"/>
        </w:rPr>
        <w:t>shi</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rPr>
        <w:t>的要求，要重新整改后再进行系统测</w:t>
      </w:r>
      <w:r>
        <w:rPr>
          <w:rFonts w:hint="eastAsia" w:ascii="宋体" w:hAnsi="宋体" w:cs="宋体"/>
          <w:szCs w:val="21"/>
          <w:highlight w:val="none"/>
          <w:lang w:val="en-US" w:eastAsia="zh-CN"/>
        </w:rPr>
        <w:t>shi</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直至满足要求</w:t>
      </w:r>
      <w:r>
        <w:rPr>
          <w:rFonts w:hint="eastAsia" w:ascii="宋体" w:hAnsi="宋体" w:eastAsia="宋体" w:cs="宋体"/>
          <w:color w:val="auto"/>
          <w:szCs w:val="21"/>
          <w:highlight w:val="none"/>
        </w:rPr>
        <w:t>。</w:t>
      </w:r>
    </w:p>
    <w:p>
      <w:pPr>
        <w:spacing w:line="360" w:lineRule="auto"/>
        <w:ind w:firstLine="424" w:firstLineChars="200"/>
        <w:rPr>
          <w:rFonts w:hint="eastAsia" w:ascii="宋体" w:hAnsi="宋体" w:eastAsia="宋体" w:cs="宋体"/>
          <w:color w:val="auto"/>
          <w:szCs w:val="21"/>
          <w:highlight w:val="none"/>
          <w:lang w:val="en-US" w:eastAsia="zh-CN"/>
        </w:rPr>
      </w:pPr>
      <w:bookmarkStart w:id="234" w:name="_Toc502924513"/>
      <w:bookmarkStart w:id="235" w:name="_Toc502919790"/>
      <w:bookmarkStart w:id="236" w:name="_Toc329938511"/>
      <w:bookmarkStart w:id="237" w:name="_Toc522503171"/>
      <w:bookmarkStart w:id="238" w:name="_Toc28677582"/>
      <w:bookmarkStart w:id="239" w:name="_Toc521817411"/>
      <w:bookmarkStart w:id="240" w:name="_Toc502917700"/>
      <w:bookmarkStart w:id="241" w:name="_Toc502917557"/>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试运行</w:t>
      </w:r>
      <w:bookmarkEnd w:id="234"/>
      <w:bookmarkEnd w:id="235"/>
      <w:bookmarkEnd w:id="236"/>
      <w:bookmarkEnd w:id="237"/>
      <w:bookmarkEnd w:id="238"/>
      <w:bookmarkEnd w:id="239"/>
      <w:bookmarkEnd w:id="240"/>
      <w:bookmarkEnd w:id="241"/>
      <w:r>
        <w:rPr>
          <w:rFonts w:hint="eastAsia" w:ascii="宋体" w:hAnsi="宋体" w:cs="宋体"/>
          <w:color w:val="auto"/>
          <w:szCs w:val="21"/>
          <w:highlight w:val="none"/>
          <w:lang w:val="en-US" w:eastAsia="zh-CN"/>
        </w:rPr>
        <w:t>与验收</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系统测</w:t>
      </w:r>
      <w:r>
        <w:rPr>
          <w:rFonts w:hint="eastAsia" w:ascii="宋体" w:hAnsi="宋体" w:cs="宋体"/>
          <w:szCs w:val="21"/>
          <w:highlight w:val="none"/>
          <w:lang w:val="en-US" w:eastAsia="zh-CN"/>
        </w:rPr>
        <w:t>shi</w:t>
      </w:r>
      <w:r>
        <w:rPr>
          <w:rFonts w:hint="eastAsia" w:ascii="宋体" w:hAnsi="宋体" w:eastAsia="宋体" w:cs="宋体"/>
          <w:color w:val="auto"/>
          <w:szCs w:val="21"/>
          <w:highlight w:val="none"/>
        </w:rPr>
        <w:t>达到测</w:t>
      </w:r>
      <w:r>
        <w:rPr>
          <w:rFonts w:hint="eastAsia" w:ascii="宋体" w:hAnsi="宋体" w:cs="宋体"/>
          <w:szCs w:val="21"/>
          <w:highlight w:val="none"/>
          <w:lang w:val="en-US" w:eastAsia="zh-CN"/>
        </w:rPr>
        <w:t>shi</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rPr>
        <w:t>的要求后，中标</w:t>
      </w:r>
      <w:r>
        <w:rPr>
          <w:rFonts w:hint="eastAsia" w:ascii="宋体" w:hAnsi="宋体" w:cs="宋体"/>
          <w:color w:val="auto"/>
          <w:szCs w:val="21"/>
          <w:highlight w:val="none"/>
          <w:lang w:val="en-US" w:eastAsia="zh-CN"/>
        </w:rPr>
        <w:t>方</w:t>
      </w:r>
      <w:r>
        <w:rPr>
          <w:rFonts w:hint="eastAsia" w:ascii="宋体" w:hAnsi="宋体" w:eastAsia="宋体" w:cs="宋体"/>
          <w:color w:val="auto"/>
          <w:szCs w:val="21"/>
          <w:highlight w:val="none"/>
        </w:rPr>
        <w:t>、监理公司、</w:t>
      </w:r>
      <w:r>
        <w:rPr>
          <w:rFonts w:hint="eastAsia" w:ascii="宋体" w:hAnsi="宋体" w:cs="宋体"/>
          <w:color w:val="auto"/>
          <w:szCs w:val="21"/>
          <w:highlight w:val="none"/>
          <w:lang w:val="en-US" w:eastAsia="zh-CN"/>
        </w:rPr>
        <w:t>采购方</w:t>
      </w:r>
      <w:r>
        <w:rPr>
          <w:rFonts w:hint="eastAsia" w:ascii="宋体" w:hAnsi="宋体" w:eastAsia="宋体" w:cs="宋体"/>
          <w:color w:val="auto"/>
          <w:szCs w:val="21"/>
          <w:highlight w:val="none"/>
        </w:rPr>
        <w:t>共同整理完成</w:t>
      </w:r>
      <w:r>
        <w:rPr>
          <w:rFonts w:hint="eastAsia" w:ascii="宋体" w:hAnsi="宋体" w:cs="宋体"/>
          <w:color w:val="auto"/>
          <w:szCs w:val="21"/>
          <w:highlight w:val="none"/>
          <w:lang w:val="en-US" w:eastAsia="zh-CN"/>
        </w:rPr>
        <w:t>初步验收</w:t>
      </w:r>
      <w:r>
        <w:rPr>
          <w:rFonts w:hint="eastAsia" w:ascii="宋体" w:hAnsi="宋体" w:eastAsia="宋体" w:cs="宋体"/>
          <w:color w:val="auto"/>
          <w:szCs w:val="21"/>
          <w:highlight w:val="none"/>
        </w:rPr>
        <w:t>文件。</w:t>
      </w:r>
      <w:r>
        <w:rPr>
          <w:rFonts w:hint="eastAsia" w:ascii="宋体" w:hAnsi="宋体" w:cs="宋体"/>
          <w:color w:val="auto"/>
          <w:szCs w:val="21"/>
          <w:highlight w:val="none"/>
          <w:lang w:val="en-US" w:eastAsia="zh-CN"/>
        </w:rPr>
        <w:t>项目组</w:t>
      </w:r>
      <w:r>
        <w:rPr>
          <w:rFonts w:hint="eastAsia" w:ascii="宋体" w:hAnsi="宋体" w:eastAsia="宋体" w:cs="宋体"/>
          <w:color w:val="auto"/>
          <w:szCs w:val="21"/>
          <w:highlight w:val="none"/>
        </w:rPr>
        <w:t>邀请</w:t>
      </w:r>
      <w:r>
        <w:rPr>
          <w:rFonts w:hint="eastAsia" w:ascii="宋体" w:hAnsi="宋体" w:cs="宋体"/>
          <w:color w:val="auto"/>
          <w:szCs w:val="21"/>
          <w:highlight w:val="none"/>
        </w:rPr>
        <w:t>技术</w:t>
      </w:r>
      <w:r>
        <w:rPr>
          <w:rFonts w:hint="eastAsia" w:ascii="宋体" w:hAnsi="宋体" w:eastAsia="宋体" w:cs="宋体"/>
          <w:color w:val="auto"/>
          <w:szCs w:val="21"/>
          <w:highlight w:val="none"/>
        </w:rPr>
        <w:t>专家</w:t>
      </w:r>
      <w:r>
        <w:rPr>
          <w:rFonts w:hint="eastAsia" w:ascii="宋体" w:hAnsi="宋体" w:eastAsia="宋体" w:cs="宋体"/>
          <w:color w:val="auto"/>
          <w:szCs w:val="21"/>
          <w:highlight w:val="none"/>
          <w:lang w:val="en-US" w:eastAsia="zh-CN"/>
        </w:rPr>
        <w:t>对</w:t>
      </w:r>
      <w:r>
        <w:rPr>
          <w:rFonts w:hint="eastAsia" w:ascii="宋体" w:hAnsi="宋体" w:cs="宋体"/>
          <w:color w:val="auto"/>
          <w:szCs w:val="21"/>
          <w:highlight w:val="none"/>
          <w:lang w:val="en-US" w:eastAsia="zh-CN"/>
        </w:rPr>
        <w:t>项目进行初步验收</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初步验收通过后，</w:t>
      </w:r>
      <w:r>
        <w:rPr>
          <w:rFonts w:hint="eastAsia" w:ascii="宋体" w:hAnsi="宋体" w:eastAsia="宋体" w:cs="宋体"/>
          <w:color w:val="auto"/>
          <w:szCs w:val="21"/>
          <w:highlight w:val="none"/>
        </w:rPr>
        <w:t>中标</w:t>
      </w:r>
      <w:r>
        <w:rPr>
          <w:rFonts w:hint="eastAsia" w:ascii="宋体" w:hAnsi="宋体" w:cs="宋体"/>
          <w:color w:val="auto"/>
          <w:szCs w:val="21"/>
          <w:highlight w:val="none"/>
          <w:lang w:val="en-US" w:eastAsia="zh-CN"/>
        </w:rPr>
        <w:t>方</w:t>
      </w:r>
      <w:r>
        <w:rPr>
          <w:rFonts w:hint="eastAsia" w:ascii="宋体" w:hAnsi="宋体" w:eastAsia="宋体" w:cs="宋体"/>
          <w:color w:val="auto"/>
          <w:szCs w:val="21"/>
          <w:highlight w:val="none"/>
        </w:rPr>
        <w:t>、监理公司、</w:t>
      </w:r>
      <w:r>
        <w:rPr>
          <w:rFonts w:hint="eastAsia" w:ascii="宋体" w:hAnsi="宋体" w:cs="宋体"/>
          <w:color w:val="auto"/>
          <w:szCs w:val="21"/>
          <w:highlight w:val="none"/>
          <w:lang w:val="en-US" w:eastAsia="zh-CN"/>
        </w:rPr>
        <w:t>采购方</w:t>
      </w:r>
      <w:r>
        <w:rPr>
          <w:rFonts w:hint="eastAsia" w:ascii="宋体" w:hAnsi="宋体" w:eastAsia="宋体" w:cs="宋体"/>
          <w:color w:val="auto"/>
          <w:szCs w:val="21"/>
          <w:highlight w:val="none"/>
        </w:rPr>
        <w:t>三方共同签署</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初验报告，</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进入试运行。</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试运行期为3个月，在试运行期内如出现重大问题，试运行期顺延。</w:t>
      </w:r>
    </w:p>
    <w:p>
      <w:pPr>
        <w:keepNext w:val="0"/>
        <w:keepLines w:val="0"/>
        <w:spacing w:line="360" w:lineRule="auto"/>
        <w:ind w:firstLine="424" w:firstLineChars="200"/>
        <w:outlineLvl w:val="9"/>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试运行顺利完成后，中标</w:t>
      </w:r>
      <w:r>
        <w:rPr>
          <w:rFonts w:hint="eastAsia" w:ascii="宋体" w:hAnsi="宋体" w:cs="宋体"/>
          <w:color w:val="auto"/>
          <w:szCs w:val="21"/>
          <w:highlight w:val="none"/>
          <w:lang w:val="en-US" w:eastAsia="zh-CN"/>
        </w:rPr>
        <w:t>方</w:t>
      </w:r>
      <w:r>
        <w:rPr>
          <w:rFonts w:hint="eastAsia" w:ascii="宋体" w:hAnsi="宋体" w:eastAsia="宋体" w:cs="宋体"/>
          <w:color w:val="auto"/>
          <w:szCs w:val="21"/>
          <w:highlight w:val="none"/>
        </w:rPr>
        <w:t>、监理公司、</w:t>
      </w:r>
      <w:r>
        <w:rPr>
          <w:rFonts w:hint="eastAsia" w:ascii="宋体" w:hAnsi="宋体" w:cs="宋体"/>
          <w:color w:val="auto"/>
          <w:szCs w:val="21"/>
          <w:highlight w:val="none"/>
          <w:lang w:val="en-US" w:eastAsia="zh-CN"/>
        </w:rPr>
        <w:t>采购方</w:t>
      </w:r>
      <w:r>
        <w:rPr>
          <w:rFonts w:hint="eastAsia" w:ascii="宋体" w:hAnsi="宋体" w:eastAsia="宋体" w:cs="宋体"/>
          <w:color w:val="auto"/>
          <w:szCs w:val="21"/>
          <w:highlight w:val="none"/>
        </w:rPr>
        <w:t>邀请</w:t>
      </w:r>
      <w:r>
        <w:rPr>
          <w:rFonts w:hint="eastAsia" w:ascii="宋体" w:hAnsi="宋体" w:cs="宋体"/>
          <w:color w:val="auto"/>
          <w:szCs w:val="21"/>
          <w:highlight w:val="none"/>
        </w:rPr>
        <w:t>技术</w:t>
      </w:r>
      <w:r>
        <w:rPr>
          <w:rFonts w:hint="eastAsia" w:ascii="宋体" w:hAnsi="宋体" w:eastAsia="宋体" w:cs="宋体"/>
          <w:color w:val="auto"/>
          <w:szCs w:val="21"/>
          <w:highlight w:val="none"/>
        </w:rPr>
        <w:t>专家</w:t>
      </w:r>
      <w:r>
        <w:rPr>
          <w:rFonts w:hint="eastAsia" w:ascii="宋体" w:hAnsi="宋体" w:cs="宋体"/>
          <w:color w:val="auto"/>
          <w:szCs w:val="21"/>
          <w:highlight w:val="none"/>
          <w:lang w:val="en-US" w:eastAsia="zh-CN"/>
        </w:rPr>
        <w:t>对项目</w:t>
      </w:r>
      <w:r>
        <w:rPr>
          <w:rFonts w:hint="eastAsia" w:ascii="宋体" w:hAnsi="宋体" w:eastAsia="宋体" w:cs="宋体"/>
          <w:color w:val="auto"/>
          <w:szCs w:val="21"/>
          <w:highlight w:val="none"/>
        </w:rPr>
        <w:t>进行</w:t>
      </w:r>
      <w:r>
        <w:rPr>
          <w:rFonts w:hint="eastAsia" w:ascii="宋体" w:hAnsi="宋体" w:cs="宋体"/>
          <w:color w:val="auto"/>
          <w:szCs w:val="21"/>
          <w:highlight w:val="none"/>
          <w:lang w:val="en-US" w:eastAsia="zh-CN"/>
        </w:rPr>
        <w:t>交付验收论证</w:t>
      </w:r>
      <w:r>
        <w:rPr>
          <w:rFonts w:hint="eastAsia" w:ascii="宋体" w:hAnsi="宋体" w:eastAsia="宋体" w:cs="宋体"/>
          <w:color w:val="auto"/>
          <w:szCs w:val="21"/>
          <w:highlight w:val="none"/>
        </w:rPr>
        <w:t>，根据专家意见，三方共同签署</w:t>
      </w:r>
      <w:r>
        <w:rPr>
          <w:rFonts w:hint="eastAsia" w:ascii="宋体" w:hAnsi="宋体" w:cs="宋体"/>
          <w:color w:val="auto"/>
          <w:szCs w:val="21"/>
          <w:highlight w:val="none"/>
          <w:lang w:val="en-US" w:eastAsia="zh-CN"/>
        </w:rPr>
        <w:t>项目交付验收</w:t>
      </w:r>
      <w:r>
        <w:rPr>
          <w:rFonts w:hint="eastAsia" w:ascii="宋体" w:hAnsi="宋体" w:eastAsia="宋体" w:cs="宋体"/>
          <w:color w:val="auto"/>
          <w:szCs w:val="21"/>
          <w:highlight w:val="none"/>
        </w:rPr>
        <w:t>报告。</w:t>
      </w:r>
    </w:p>
    <w:p>
      <w:pPr>
        <w:keepNext w:val="0"/>
        <w:keepLines w:val="0"/>
        <w:spacing w:line="360" w:lineRule="auto"/>
        <w:ind w:firstLine="424" w:firstLineChars="200"/>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）验收和试运行的一切费用由中标方承担。</w:t>
      </w:r>
    </w:p>
    <w:p>
      <w:pPr>
        <w:keepNext w:val="0"/>
        <w:keepLines w:val="0"/>
        <w:spacing w:line="360" w:lineRule="auto"/>
        <w:ind w:firstLine="424" w:firstLineChars="200"/>
        <w:outlineLvl w:val="9"/>
        <w:rPr>
          <w:rFonts w:hint="default" w:ascii="宋体" w:hAnsi="宋体" w:cs="宋体"/>
          <w:b w:val="0"/>
          <w:bCs w:val="0"/>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项目交付验收通过后进入服务期，服务期为三年。</w:t>
      </w:r>
    </w:p>
    <w:p>
      <w:pPr>
        <w:keepNext/>
        <w:keepLines/>
        <w:spacing w:line="360" w:lineRule="auto"/>
        <w:ind w:firstLine="424" w:firstLineChars="200"/>
        <w:outlineLvl w:val="1"/>
        <w:rPr>
          <w:rFonts w:hint="eastAsia" w:ascii="宋体" w:hAnsi="宋体" w:cs="宋体"/>
          <w:b/>
          <w:bCs/>
          <w:szCs w:val="21"/>
          <w:highlight w:val="none"/>
        </w:rPr>
      </w:pPr>
      <w:r>
        <w:rPr>
          <w:rFonts w:hint="eastAsia" w:ascii="宋体" w:hAnsi="宋体" w:cs="宋体"/>
          <w:b/>
          <w:bCs/>
          <w:szCs w:val="21"/>
          <w:highlight w:val="none"/>
        </w:rPr>
        <w:t>▲（</w:t>
      </w:r>
      <w:r>
        <w:rPr>
          <w:rFonts w:hint="eastAsia" w:ascii="宋体" w:hAnsi="宋体" w:cs="宋体"/>
          <w:b/>
          <w:bCs/>
          <w:szCs w:val="21"/>
          <w:highlight w:val="none"/>
          <w:lang w:eastAsia="zh-CN"/>
        </w:rPr>
        <w:t>八</w:t>
      </w:r>
      <w:r>
        <w:rPr>
          <w:rFonts w:hint="eastAsia" w:ascii="宋体" w:hAnsi="宋体" w:cs="宋体"/>
          <w:b/>
          <w:bCs/>
          <w:szCs w:val="21"/>
          <w:highlight w:val="none"/>
        </w:rPr>
        <w:t>）其它要求</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1.采购方仅提供现网在用的安全设备、网络设备和必要的服务器资源，中标价格含所有功能实现所必须的一切软硬件</w:t>
      </w:r>
      <w:r>
        <w:rPr>
          <w:rFonts w:hint="eastAsia" w:ascii="宋体" w:hAnsi="宋体" w:cs="宋体"/>
          <w:szCs w:val="21"/>
          <w:highlight w:val="none"/>
          <w:lang w:val="en-US" w:eastAsia="zh-CN"/>
        </w:rPr>
        <w:t>等实施</w:t>
      </w:r>
      <w:r>
        <w:rPr>
          <w:rFonts w:hint="eastAsia" w:ascii="宋体" w:hAnsi="宋体" w:cs="宋体"/>
          <w:szCs w:val="21"/>
          <w:highlight w:val="none"/>
        </w:rPr>
        <w:t>费用。</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2.平台开发应基于信创软硬件环境，支持和兼容现有网络和安全产品。</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 xml:space="preserve">3.平台必须全面支持IPV6，可以运行在IPV6单栈环境下或IPV4/IPV6双栈环境下。   </w:t>
      </w:r>
    </w:p>
    <w:p>
      <w:pPr>
        <w:spacing w:line="360" w:lineRule="auto"/>
        <w:ind w:firstLine="424"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.投标人需根据本项目所有服务内容，提供详细的投标报价组成明细表。</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cs="宋体"/>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szCs w:val="21"/>
          <w:highlight w:val="none"/>
          <w:lang w:val="en-US" w:eastAsia="zh-CN"/>
        </w:rPr>
        <w:t>投标人</w:t>
      </w:r>
      <w:r>
        <w:rPr>
          <w:rFonts w:hint="eastAsia" w:ascii="宋体" w:hAnsi="宋体" w:eastAsia="宋体" w:cs="宋体"/>
          <w:color w:val="auto"/>
          <w:szCs w:val="21"/>
          <w:highlight w:val="none"/>
        </w:rPr>
        <w:t>须作出无推诿承诺。即无论由于哪一方产生的问题而使系统发生不正常情况时，在得到</w:t>
      </w:r>
      <w:r>
        <w:rPr>
          <w:rFonts w:hint="eastAsia" w:ascii="宋体" w:hAnsi="宋体" w:eastAsia="宋体" w:cs="宋体"/>
          <w:szCs w:val="21"/>
          <w:highlight w:val="none"/>
          <w:lang w:val="en-US" w:eastAsia="zh-CN"/>
        </w:rPr>
        <w:t>采购方</w:t>
      </w:r>
      <w:r>
        <w:rPr>
          <w:rFonts w:hint="eastAsia" w:ascii="宋体" w:hAnsi="宋体" w:eastAsia="宋体" w:cs="宋体"/>
          <w:color w:val="auto"/>
          <w:szCs w:val="21"/>
          <w:highlight w:val="none"/>
        </w:rPr>
        <w:t>通知后，须立即派工程师到场，全力协助</w:t>
      </w:r>
      <w:r>
        <w:rPr>
          <w:rFonts w:hint="eastAsia" w:ascii="宋体" w:hAnsi="宋体" w:eastAsia="宋体" w:cs="宋体"/>
          <w:szCs w:val="21"/>
          <w:highlight w:val="none"/>
          <w:lang w:val="en-US" w:eastAsia="zh-CN"/>
        </w:rPr>
        <w:t>采购方和其他相关单位，</w:t>
      </w:r>
      <w:r>
        <w:rPr>
          <w:rFonts w:hint="eastAsia" w:ascii="宋体" w:hAnsi="宋体" w:eastAsia="宋体" w:cs="宋体"/>
          <w:color w:val="auto"/>
          <w:szCs w:val="21"/>
          <w:highlight w:val="none"/>
        </w:rPr>
        <w:t xml:space="preserve">使系统尽快恢复正常。 </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cs="宋体"/>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eastAsia="宋体" w:cs="宋体"/>
          <w:szCs w:val="21"/>
          <w:highlight w:val="none"/>
          <w:lang w:val="en-US" w:eastAsia="zh-CN"/>
        </w:rPr>
        <w:t>投标人须作出</w:t>
      </w:r>
      <w:r>
        <w:rPr>
          <w:rFonts w:hint="eastAsia" w:ascii="宋体" w:hAnsi="宋体" w:eastAsia="宋体" w:cs="宋体"/>
          <w:color w:val="auto"/>
          <w:szCs w:val="21"/>
          <w:highlight w:val="none"/>
        </w:rPr>
        <w:t>明确承诺。</w:t>
      </w:r>
      <w:r>
        <w:rPr>
          <w:rFonts w:hint="eastAsia" w:ascii="宋体" w:hAnsi="宋体" w:eastAsia="宋体" w:cs="宋体"/>
          <w:szCs w:val="21"/>
          <w:highlight w:val="none"/>
          <w:lang w:val="en-US" w:eastAsia="zh-CN"/>
        </w:rPr>
        <w:t>项目</w:t>
      </w:r>
      <w:r>
        <w:rPr>
          <w:rFonts w:hint="eastAsia" w:ascii="宋体" w:hAnsi="宋体" w:eastAsia="宋体" w:cs="宋体"/>
          <w:color w:val="auto"/>
          <w:szCs w:val="21"/>
          <w:highlight w:val="none"/>
        </w:rPr>
        <w:t>实施过程、</w:t>
      </w:r>
      <w:r>
        <w:rPr>
          <w:rFonts w:hint="eastAsia" w:ascii="宋体" w:hAnsi="宋体" w:eastAsia="宋体" w:cs="宋体"/>
          <w:szCs w:val="21"/>
          <w:highlight w:val="none"/>
          <w:lang w:val="en-US" w:eastAsia="zh-CN"/>
        </w:rPr>
        <w:t>服务期间</w:t>
      </w:r>
      <w:r>
        <w:rPr>
          <w:rFonts w:hint="eastAsia" w:ascii="宋体" w:hAnsi="宋体" w:eastAsia="宋体" w:cs="宋体"/>
          <w:color w:val="auto"/>
          <w:szCs w:val="21"/>
          <w:highlight w:val="none"/>
        </w:rPr>
        <w:t>，如</w:t>
      </w:r>
      <w:r>
        <w:rPr>
          <w:rFonts w:hint="eastAsia" w:ascii="宋体" w:hAnsi="宋体" w:eastAsia="宋体" w:cs="宋体"/>
          <w:szCs w:val="21"/>
          <w:highlight w:val="none"/>
          <w:lang w:val="en-US" w:eastAsia="zh-CN"/>
        </w:rPr>
        <w:t>有涉及</w:t>
      </w:r>
      <w:r>
        <w:rPr>
          <w:rFonts w:hint="eastAsia" w:ascii="宋体" w:hAnsi="宋体" w:eastAsia="宋体" w:cs="宋体"/>
          <w:color w:val="auto"/>
          <w:szCs w:val="21"/>
          <w:highlight w:val="none"/>
        </w:rPr>
        <w:t>与第三建设方集成工作，投标人应与全力与</w:t>
      </w:r>
      <w:r>
        <w:rPr>
          <w:rFonts w:hint="eastAsia" w:ascii="宋体" w:hAnsi="宋体" w:eastAsia="宋体" w:cs="宋体"/>
          <w:szCs w:val="21"/>
          <w:highlight w:val="none"/>
          <w:lang w:val="en-US" w:eastAsia="zh-CN"/>
        </w:rPr>
        <w:t>采购方</w:t>
      </w:r>
      <w:r>
        <w:rPr>
          <w:rFonts w:hint="eastAsia" w:ascii="宋体" w:hAnsi="宋体" w:eastAsia="宋体" w:cs="宋体"/>
          <w:color w:val="auto"/>
          <w:szCs w:val="21"/>
          <w:highlight w:val="none"/>
        </w:rPr>
        <w:t>、系统集成商及其他供应商配合，并提供必要的技术支持，保证系统按时、正常地投入运行。</w:t>
      </w:r>
    </w:p>
    <w:p>
      <w:pPr>
        <w:rPr>
          <w:highlight w:val="none"/>
        </w:rPr>
      </w:pPr>
    </w:p>
    <w:p>
      <w:pPr>
        <w:spacing w:line="360" w:lineRule="auto"/>
        <w:ind w:firstLine="424" w:firstLineChars="200"/>
        <w:rPr>
          <w:rFonts w:hint="eastAsia" w:ascii="宋体" w:hAnsi="宋体" w:cs="宋体"/>
          <w:szCs w:val="21"/>
          <w:highlight w:val="none"/>
        </w:rPr>
      </w:pPr>
    </w:p>
    <w:p>
      <w:pPr>
        <w:rPr>
          <w:rFonts w:hint="eastAsia" w:ascii="宋体" w:hAnsi="宋体" w:cs="宋体"/>
          <w:sz w:val="32"/>
          <w:szCs w:val="32"/>
          <w:highlight w:val="none"/>
        </w:rPr>
      </w:pPr>
      <w:r>
        <w:rPr>
          <w:rFonts w:hint="eastAsia" w:ascii="宋体" w:hAnsi="宋体" w:cs="宋体"/>
          <w:sz w:val="32"/>
          <w:szCs w:val="32"/>
          <w:highlight w:val="none"/>
        </w:rPr>
        <w:br w:type="page"/>
      </w:r>
    </w:p>
    <w:p>
      <w:pPr>
        <w:pStyle w:val="3"/>
        <w:spacing w:beforeLines="0" w:afterLines="0" w:line="360" w:lineRule="auto"/>
        <w:rPr>
          <w:rFonts w:ascii="宋体" w:hAnsi="宋体" w:cs="宋体"/>
          <w:sz w:val="32"/>
          <w:szCs w:val="32"/>
          <w:highlight w:val="none"/>
        </w:rPr>
      </w:pPr>
      <w:r>
        <w:rPr>
          <w:rFonts w:hint="eastAsia" w:ascii="宋体" w:hAnsi="宋体" w:cs="宋体"/>
          <w:sz w:val="32"/>
          <w:szCs w:val="32"/>
          <w:highlight w:val="none"/>
        </w:rPr>
        <w:t>第三部分  投标资料表</w:t>
      </w:r>
      <w:bookmarkEnd w:id="29"/>
      <w:bookmarkEnd w:id="30"/>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本部分关于本次招标项目的具体要求是对 “投标人须知”和“合同格式”的相关条款的补充和修改，如有矛盾，应以此为准。</w:t>
      </w:r>
    </w:p>
    <w:tbl>
      <w:tblPr>
        <w:tblStyle w:val="37"/>
        <w:tblW w:w="0" w:type="auto"/>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trPr>
          <w:trHeight w:val="640" w:hRule="atLeast"/>
          <w:tblHeader/>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条款号</w:t>
            </w:r>
          </w:p>
        </w:tc>
        <w:tc>
          <w:tcPr>
            <w:tcW w:w="7512" w:type="dxa"/>
            <w:vAlign w:val="center"/>
          </w:tcPr>
          <w:p>
            <w:pPr>
              <w:spacing w:before="146" w:beforeLines="50" w:line="360" w:lineRule="exact"/>
              <w:jc w:val="center"/>
              <w:rPr>
                <w:rFonts w:ascii="宋体" w:hAnsi="宋体" w:cs="宋体"/>
                <w:b/>
                <w:szCs w:val="21"/>
                <w:highlight w:val="none"/>
              </w:rPr>
            </w:pPr>
            <w:r>
              <w:rPr>
                <w:rFonts w:hint="eastAsia" w:ascii="宋体" w:hAnsi="宋体" w:cs="宋体"/>
                <w:b/>
                <w:szCs w:val="21"/>
                <w:highlight w:val="none"/>
              </w:rPr>
              <w:t>条款内容</w:t>
            </w:r>
          </w:p>
        </w:tc>
      </w:tr>
      <w:tr>
        <w:trPr>
          <w:trHeight w:val="600" w:hRule="atLeast"/>
        </w:trPr>
        <w:tc>
          <w:tcPr>
            <w:tcW w:w="1101" w:type="dxa"/>
            <w:vMerge w:val="restart"/>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1.1</w:t>
            </w:r>
          </w:p>
        </w:tc>
        <w:tc>
          <w:tcPr>
            <w:tcW w:w="7512" w:type="dxa"/>
            <w:vAlign w:val="center"/>
          </w:tcPr>
          <w:p>
            <w:pPr>
              <w:spacing w:line="360" w:lineRule="exact"/>
              <w:rPr>
                <w:rFonts w:ascii="宋体" w:hAnsi="宋体" w:cs="宋体"/>
                <w:highlight w:val="none"/>
              </w:rPr>
            </w:pPr>
            <w:r>
              <w:rPr>
                <w:rFonts w:hint="eastAsia" w:ascii="宋体" w:hAnsi="宋体" w:cs="宋体"/>
                <w:highlight w:val="none"/>
              </w:rPr>
              <w:t>采购人名称： 余姚市大数据发展管理局</w:t>
            </w:r>
          </w:p>
          <w:p>
            <w:pPr>
              <w:spacing w:line="360" w:lineRule="exact"/>
              <w:rPr>
                <w:rFonts w:ascii="宋体" w:hAnsi="宋体" w:cs="宋体"/>
                <w:highlight w:val="none"/>
              </w:rPr>
            </w:pPr>
            <w:r>
              <w:rPr>
                <w:rFonts w:hint="eastAsia" w:ascii="宋体" w:hAnsi="宋体" w:cs="宋体"/>
                <w:highlight w:val="none"/>
              </w:rPr>
              <w:t>地    址：余姚市梨洲街道谭家岭东路2号</w:t>
            </w:r>
          </w:p>
          <w:p>
            <w:pPr>
              <w:spacing w:line="360" w:lineRule="exact"/>
              <w:rPr>
                <w:rFonts w:ascii="宋体" w:hAnsi="宋体" w:cs="宋体"/>
                <w:highlight w:val="none"/>
              </w:rPr>
            </w:pPr>
            <w:r>
              <w:rPr>
                <w:rFonts w:hint="eastAsia" w:ascii="宋体" w:hAnsi="宋体" w:cs="宋体"/>
                <w:szCs w:val="21"/>
                <w:highlight w:val="none"/>
              </w:rPr>
              <w:t>邮    编：315400</w:t>
            </w:r>
          </w:p>
          <w:p>
            <w:pPr>
              <w:spacing w:line="360" w:lineRule="exact"/>
              <w:rPr>
                <w:rFonts w:ascii="宋体" w:hAnsi="宋体" w:cs="宋体"/>
                <w:highlight w:val="none"/>
              </w:rPr>
            </w:pPr>
            <w:r>
              <w:rPr>
                <w:rFonts w:hint="eastAsia" w:ascii="宋体" w:hAnsi="宋体" w:cs="宋体"/>
                <w:highlight w:val="none"/>
              </w:rPr>
              <w:t xml:space="preserve">电    话：0574--89553573   </w:t>
            </w:r>
          </w:p>
          <w:p>
            <w:pPr>
              <w:spacing w:line="360" w:lineRule="exact"/>
              <w:rPr>
                <w:rFonts w:ascii="宋体" w:hAnsi="宋体" w:cs="宋体"/>
                <w:highlight w:val="none"/>
              </w:rPr>
            </w:pPr>
            <w:r>
              <w:rPr>
                <w:rFonts w:hint="eastAsia" w:ascii="宋体" w:hAnsi="宋体" w:cs="宋体"/>
                <w:highlight w:val="none"/>
              </w:rPr>
              <w:t xml:space="preserve">联 系 人：沈老师         </w:t>
            </w:r>
          </w:p>
        </w:tc>
      </w:tr>
      <w:tr>
        <w:trPr>
          <w:trHeight w:val="2304" w:hRule="atLeast"/>
        </w:trPr>
        <w:tc>
          <w:tcPr>
            <w:tcW w:w="1101" w:type="dxa"/>
            <w:vMerge w:val="continue"/>
            <w:vAlign w:val="center"/>
          </w:tcPr>
          <w:p>
            <w:pPr>
              <w:spacing w:before="146" w:beforeLines="50" w:line="360" w:lineRule="exact"/>
              <w:jc w:val="center"/>
              <w:rPr>
                <w:rFonts w:ascii="宋体" w:hAnsi="宋体" w:cs="宋体"/>
                <w:b/>
                <w:bCs/>
                <w:sz w:val="32"/>
                <w:szCs w:val="21"/>
                <w:highlight w:val="none"/>
              </w:rPr>
            </w:pPr>
          </w:p>
        </w:tc>
        <w:tc>
          <w:tcPr>
            <w:tcW w:w="7512" w:type="dxa"/>
            <w:vAlign w:val="center"/>
          </w:tcPr>
          <w:p>
            <w:pPr>
              <w:spacing w:line="360" w:lineRule="exact"/>
              <w:rPr>
                <w:rFonts w:ascii="宋体" w:hAnsi="宋体" w:cs="宋体"/>
                <w:highlight w:val="none"/>
                <w:u w:val="single"/>
              </w:rPr>
            </w:pPr>
            <w:r>
              <w:rPr>
                <w:rFonts w:hint="eastAsia" w:ascii="宋体" w:hAnsi="宋体" w:cs="宋体"/>
                <w:highlight w:val="none"/>
              </w:rPr>
              <w:t>采购代理机构名称：宁波国咨工程造价咨询有限公司</w:t>
            </w:r>
          </w:p>
          <w:p>
            <w:pPr>
              <w:spacing w:line="360" w:lineRule="exact"/>
              <w:rPr>
                <w:rFonts w:ascii="宋体" w:hAnsi="宋体" w:cs="宋体"/>
                <w:szCs w:val="21"/>
                <w:highlight w:val="none"/>
              </w:rPr>
            </w:pPr>
            <w:r>
              <w:rPr>
                <w:rFonts w:hint="eastAsia" w:ascii="宋体" w:hAnsi="宋体" w:cs="宋体"/>
                <w:szCs w:val="21"/>
                <w:highlight w:val="none"/>
              </w:rPr>
              <w:t>地    址：  宁波市鄞州区和源路510号宁兴国贸大厦21楼2102室</w:t>
            </w:r>
          </w:p>
          <w:p>
            <w:pPr>
              <w:spacing w:line="360" w:lineRule="exact"/>
              <w:rPr>
                <w:rFonts w:ascii="宋体" w:hAnsi="宋体" w:cs="宋体"/>
                <w:szCs w:val="21"/>
                <w:highlight w:val="none"/>
              </w:rPr>
            </w:pPr>
            <w:r>
              <w:rPr>
                <w:rFonts w:hint="eastAsia" w:ascii="宋体" w:hAnsi="宋体" w:cs="宋体"/>
                <w:szCs w:val="21"/>
                <w:highlight w:val="none"/>
              </w:rPr>
              <w:t>邮    编：  315040</w:t>
            </w:r>
          </w:p>
          <w:p>
            <w:pPr>
              <w:spacing w:line="360" w:lineRule="exact"/>
              <w:rPr>
                <w:rFonts w:ascii="宋体" w:hAnsi="宋体" w:cs="宋体"/>
                <w:szCs w:val="21"/>
                <w:highlight w:val="none"/>
              </w:rPr>
            </w:pPr>
            <w:r>
              <w:rPr>
                <w:rFonts w:hint="eastAsia" w:ascii="宋体" w:hAnsi="宋体" w:cs="宋体"/>
                <w:szCs w:val="21"/>
                <w:highlight w:val="none"/>
              </w:rPr>
              <w:t>电    话：  0574-87312175</w:t>
            </w:r>
          </w:p>
          <w:p>
            <w:pPr>
              <w:spacing w:line="360" w:lineRule="exact"/>
              <w:rPr>
                <w:rFonts w:ascii="宋体" w:hAnsi="宋体" w:cs="宋体"/>
                <w:szCs w:val="21"/>
                <w:highlight w:val="none"/>
              </w:rPr>
            </w:pPr>
            <w:r>
              <w:rPr>
                <w:rFonts w:hint="eastAsia" w:ascii="宋体" w:hAnsi="宋体" w:cs="宋体"/>
                <w:szCs w:val="21"/>
                <w:highlight w:val="none"/>
              </w:rPr>
              <w:t xml:space="preserve">电子邮件：  </w:t>
            </w:r>
            <w:r>
              <w:rPr>
                <w:rFonts w:hint="eastAsia" w:ascii="宋体" w:hAnsi="宋体" w:cs="宋体"/>
                <w:highlight w:val="none"/>
              </w:rPr>
              <w:t>625740900@qq.com</w:t>
            </w:r>
          </w:p>
          <w:p>
            <w:pPr>
              <w:spacing w:line="360" w:lineRule="exact"/>
              <w:rPr>
                <w:rFonts w:ascii="宋体" w:hAnsi="宋体" w:cs="宋体"/>
                <w:szCs w:val="21"/>
                <w:highlight w:val="none"/>
              </w:rPr>
            </w:pPr>
            <w:r>
              <w:rPr>
                <w:rFonts w:hint="eastAsia" w:ascii="宋体" w:hAnsi="宋体" w:cs="宋体"/>
                <w:szCs w:val="21"/>
                <w:highlight w:val="none"/>
              </w:rPr>
              <w:t>联 系 人：  戴佳颖、黄一达、唐权勇、李莺</w:t>
            </w:r>
          </w:p>
        </w:tc>
      </w:tr>
      <w:tr>
        <w:trPr>
          <w:trHeight w:val="713" w:hRule="atLeast"/>
        </w:trPr>
        <w:tc>
          <w:tcPr>
            <w:tcW w:w="1101" w:type="dxa"/>
            <w:vMerge w:val="continue"/>
            <w:vAlign w:val="center"/>
          </w:tcPr>
          <w:p>
            <w:pPr>
              <w:spacing w:before="146" w:beforeLines="50" w:line="360" w:lineRule="exact"/>
              <w:jc w:val="center"/>
              <w:rPr>
                <w:rFonts w:ascii="宋体" w:hAnsi="宋体" w:cs="宋体"/>
                <w:b/>
                <w:bCs/>
                <w:sz w:val="32"/>
                <w:szCs w:val="21"/>
                <w:highlight w:val="none"/>
              </w:rPr>
            </w:pPr>
          </w:p>
        </w:tc>
        <w:tc>
          <w:tcPr>
            <w:tcW w:w="7512" w:type="dxa"/>
            <w:vAlign w:val="center"/>
          </w:tcPr>
          <w:p>
            <w:pPr>
              <w:adjustRightInd w:val="0"/>
              <w:snapToGrid w:val="0"/>
              <w:spacing w:line="360" w:lineRule="exact"/>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u w:val="single"/>
              </w:rPr>
              <w:t>余姚市电子政务外网网络安全服务集成项目</w:t>
            </w:r>
            <w:r>
              <w:rPr>
                <w:rFonts w:hint="eastAsia" w:ascii="宋体" w:hAnsi="宋体" w:cs="宋体"/>
                <w:szCs w:val="21"/>
                <w:highlight w:val="none"/>
              </w:rPr>
              <w:t>（本次采购为非专门面向中小企业）</w:t>
            </w:r>
          </w:p>
        </w:tc>
      </w:tr>
      <w:tr>
        <w:trPr>
          <w:trHeight w:val="600"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3.1</w:t>
            </w:r>
          </w:p>
        </w:tc>
        <w:tc>
          <w:tcPr>
            <w:tcW w:w="751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招标范围：详见招标文件第二部分“招标项目需求”。</w:t>
            </w:r>
          </w:p>
        </w:tc>
      </w:tr>
      <w:tr>
        <w:trPr>
          <w:trHeight w:val="600"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b/>
                <w:highlight w:val="none"/>
              </w:rPr>
              <w:t>★</w:t>
            </w:r>
            <w:r>
              <w:rPr>
                <w:rFonts w:hint="eastAsia" w:ascii="宋体" w:hAnsi="宋体" w:cs="宋体"/>
                <w:szCs w:val="21"/>
                <w:highlight w:val="none"/>
              </w:rPr>
              <w:t>4.1</w:t>
            </w:r>
          </w:p>
        </w:tc>
        <w:tc>
          <w:tcPr>
            <w:tcW w:w="7512" w:type="dxa"/>
            <w:vAlign w:val="center"/>
          </w:tcPr>
          <w:p>
            <w:pPr>
              <w:adjustRightInd w:val="0"/>
              <w:snapToGrid w:val="0"/>
              <w:spacing w:line="360" w:lineRule="exact"/>
              <w:rPr>
                <w:rFonts w:ascii="宋体" w:hAnsi="宋体" w:cs="宋体"/>
                <w:b/>
                <w:szCs w:val="21"/>
                <w:highlight w:val="none"/>
              </w:rPr>
            </w:pPr>
            <w:r>
              <w:rPr>
                <w:rFonts w:hint="eastAsia" w:ascii="宋体" w:hAnsi="宋体" w:cs="宋体"/>
                <w:b/>
                <w:szCs w:val="21"/>
                <w:highlight w:val="none"/>
              </w:rPr>
              <w:t>合格投标人的资格要求（本项目采用资格后审）：</w:t>
            </w:r>
          </w:p>
          <w:p>
            <w:pPr>
              <w:spacing w:line="360" w:lineRule="exact"/>
              <w:rPr>
                <w:rFonts w:ascii="宋体" w:hAnsi="宋体" w:cs="宋体"/>
                <w:highlight w:val="none"/>
              </w:rPr>
            </w:pPr>
            <w:r>
              <w:rPr>
                <w:rFonts w:hint="eastAsia" w:ascii="宋体" w:hAnsi="宋体" w:cs="宋体"/>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exact"/>
              <w:rPr>
                <w:rFonts w:ascii="宋体" w:hAnsi="宋体" w:cs="宋体"/>
                <w:highlight w:val="none"/>
              </w:rPr>
            </w:pPr>
            <w:r>
              <w:rPr>
                <w:rFonts w:hint="eastAsia" w:ascii="宋体" w:hAnsi="宋体" w:cs="宋体"/>
                <w:highlight w:val="none"/>
              </w:rPr>
              <w:t>2.落实政府采购政策需满足的资格要求：</w:t>
            </w:r>
            <w:r>
              <w:rPr>
                <w:rFonts w:hint="eastAsia"/>
                <w:szCs w:val="21"/>
                <w:highlight w:val="none"/>
              </w:rPr>
              <w:t>无。</w:t>
            </w:r>
          </w:p>
          <w:p>
            <w:pPr>
              <w:spacing w:line="360" w:lineRule="exact"/>
              <w:jc w:val="left"/>
              <w:rPr>
                <w:rFonts w:ascii="宋体" w:hAnsi="宋体" w:cs="宋体"/>
                <w:highlight w:val="none"/>
              </w:rPr>
            </w:pPr>
            <w:r>
              <w:rPr>
                <w:rFonts w:hint="eastAsia" w:ascii="宋体" w:hAnsi="宋体" w:cs="宋体"/>
                <w:highlight w:val="none"/>
              </w:rPr>
              <w:t>3.本项目的特定资格要求：无。</w:t>
            </w:r>
          </w:p>
        </w:tc>
      </w:tr>
      <w:tr>
        <w:trPr>
          <w:trHeight w:val="600"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8.1</w:t>
            </w:r>
          </w:p>
        </w:tc>
        <w:tc>
          <w:tcPr>
            <w:tcW w:w="7512" w:type="dxa"/>
            <w:vAlign w:val="center"/>
          </w:tcPr>
          <w:p>
            <w:pPr>
              <w:spacing w:line="360" w:lineRule="exact"/>
              <w:rPr>
                <w:rFonts w:ascii="宋体" w:hAnsi="宋体" w:cs="宋体"/>
                <w:highlight w:val="none"/>
              </w:rPr>
            </w:pPr>
            <w:r>
              <w:rPr>
                <w:rFonts w:hint="eastAsia" w:ascii="宋体" w:hAnsi="宋体" w:cs="宋体"/>
                <w:highlight w:val="none"/>
              </w:rPr>
              <w:t>现场考察：不组织</w:t>
            </w:r>
          </w:p>
          <w:p>
            <w:pPr>
              <w:spacing w:line="360" w:lineRule="exact"/>
              <w:rPr>
                <w:rFonts w:ascii="宋体" w:hAnsi="宋体" w:cs="宋体"/>
                <w:sz w:val="24"/>
                <w:szCs w:val="24"/>
                <w:highlight w:val="none"/>
              </w:rPr>
            </w:pPr>
            <w:r>
              <w:rPr>
                <w:rFonts w:hint="eastAsia" w:ascii="宋体" w:hAnsi="宋体" w:cs="宋体"/>
                <w:highlight w:val="none"/>
              </w:rPr>
              <w:t>答疑会：不组织</w:t>
            </w:r>
          </w:p>
        </w:tc>
      </w:tr>
      <w:tr>
        <w:trPr>
          <w:trHeight w:val="4839"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b/>
                <w:highlight w:val="none"/>
              </w:rPr>
              <w:t>★</w:t>
            </w:r>
            <w:r>
              <w:rPr>
                <w:rFonts w:hint="eastAsia" w:ascii="宋体" w:hAnsi="宋体" w:cs="宋体"/>
                <w:szCs w:val="21"/>
                <w:highlight w:val="none"/>
              </w:rPr>
              <w:t>9.1</w:t>
            </w:r>
          </w:p>
        </w:tc>
        <w:tc>
          <w:tcPr>
            <w:tcW w:w="7512" w:type="dxa"/>
            <w:vAlign w:val="center"/>
          </w:tcPr>
          <w:p>
            <w:pPr>
              <w:spacing w:line="360" w:lineRule="exact"/>
              <w:rPr>
                <w:rFonts w:ascii="宋体" w:hAnsi="宋体" w:cs="宋体"/>
                <w:highlight w:val="none"/>
              </w:rPr>
            </w:pPr>
            <w:r>
              <w:rPr>
                <w:rFonts w:hint="eastAsia" w:ascii="宋体" w:hAnsi="宋体" w:cs="宋体"/>
                <w:highlight w:val="none"/>
              </w:rPr>
              <w:t>投标文件组成：</w:t>
            </w:r>
          </w:p>
          <w:p>
            <w:pPr>
              <w:spacing w:line="360" w:lineRule="exact"/>
              <w:rPr>
                <w:rFonts w:ascii="宋体" w:hAnsi="宋体" w:cs="宋体"/>
                <w:b/>
                <w:highlight w:val="none"/>
              </w:rPr>
            </w:pPr>
            <w:r>
              <w:rPr>
                <w:rFonts w:hint="eastAsia" w:ascii="宋体" w:hAnsi="宋体" w:cs="宋体"/>
                <w:b/>
                <w:highlight w:val="none"/>
              </w:rPr>
              <w:t>1.商务技术文件，含：</w:t>
            </w:r>
          </w:p>
          <w:p>
            <w:pPr>
              <w:spacing w:line="360" w:lineRule="exact"/>
              <w:rPr>
                <w:rFonts w:ascii="宋体" w:hAnsi="宋体" w:cs="宋体"/>
                <w:highlight w:val="none"/>
              </w:rPr>
            </w:pPr>
            <w:r>
              <w:rPr>
                <w:rFonts w:hint="eastAsia" w:ascii="宋体" w:hAnsi="宋体" w:cs="宋体"/>
                <w:highlight w:val="none"/>
              </w:rPr>
              <w:t>(1)投标函；</w:t>
            </w:r>
          </w:p>
          <w:p>
            <w:pPr>
              <w:spacing w:line="360" w:lineRule="exact"/>
              <w:rPr>
                <w:rFonts w:ascii="宋体" w:hAnsi="宋体" w:cs="宋体"/>
                <w:highlight w:val="none"/>
              </w:rPr>
            </w:pPr>
            <w:r>
              <w:rPr>
                <w:rFonts w:hint="eastAsia" w:ascii="宋体" w:hAnsi="宋体" w:cs="宋体"/>
                <w:highlight w:val="none"/>
              </w:rPr>
              <w:t>(2)单位负责人授权书或单位负责人身份证明；</w:t>
            </w:r>
          </w:p>
          <w:p>
            <w:pPr>
              <w:spacing w:line="360" w:lineRule="exact"/>
              <w:rPr>
                <w:rFonts w:ascii="宋体" w:hAnsi="宋体" w:cs="宋体"/>
                <w:highlight w:val="none"/>
              </w:rPr>
            </w:pPr>
            <w:r>
              <w:rPr>
                <w:rFonts w:hint="eastAsia" w:ascii="宋体" w:hAnsi="宋体" w:cs="宋体"/>
                <w:highlight w:val="none"/>
              </w:rPr>
              <w:t>(3)投标单位情况一览表</w:t>
            </w:r>
            <w:r>
              <w:rPr>
                <w:rFonts w:hint="eastAsia" w:ascii="宋体" w:hAnsi="宋体" w:cs="宋体"/>
                <w:szCs w:val="21"/>
                <w:highlight w:val="none"/>
              </w:rPr>
              <w:t>（若联合体投标的，联合体各方均须提供）</w:t>
            </w:r>
            <w:r>
              <w:rPr>
                <w:rFonts w:hint="eastAsia" w:ascii="宋体" w:hAnsi="宋体" w:cs="宋体"/>
                <w:highlight w:val="none"/>
              </w:rPr>
              <w:t>；</w:t>
            </w:r>
          </w:p>
          <w:p>
            <w:pPr>
              <w:spacing w:line="360" w:lineRule="exact"/>
              <w:rPr>
                <w:rFonts w:ascii="宋体" w:hAnsi="宋体" w:cs="宋体"/>
                <w:highlight w:val="none"/>
              </w:rPr>
            </w:pPr>
            <w:r>
              <w:rPr>
                <w:rFonts w:hint="eastAsia" w:ascii="宋体" w:hAnsi="宋体" w:cs="宋体"/>
                <w:highlight w:val="none"/>
              </w:rPr>
              <w:t>(4)技术条款偏离表；</w:t>
            </w:r>
          </w:p>
          <w:p>
            <w:pPr>
              <w:spacing w:line="360" w:lineRule="exact"/>
              <w:rPr>
                <w:rFonts w:ascii="宋体" w:hAnsi="宋体" w:cs="宋体"/>
                <w:highlight w:val="none"/>
              </w:rPr>
            </w:pPr>
            <w:r>
              <w:rPr>
                <w:rFonts w:hint="eastAsia" w:ascii="宋体" w:hAnsi="宋体" w:cs="宋体"/>
                <w:highlight w:val="none"/>
              </w:rPr>
              <w:t>(5)商务条款偏离表；</w:t>
            </w:r>
          </w:p>
          <w:p>
            <w:pPr>
              <w:spacing w:line="360" w:lineRule="exact"/>
              <w:rPr>
                <w:rFonts w:ascii="宋体" w:hAnsi="宋体" w:cs="宋体"/>
                <w:highlight w:val="none"/>
              </w:rPr>
            </w:pPr>
            <w:r>
              <w:rPr>
                <w:rFonts w:hint="eastAsia" w:ascii="宋体" w:hAnsi="宋体" w:cs="宋体"/>
                <w:highlight w:val="none"/>
              </w:rPr>
              <w:t>(6)第五部分“评标办法”中“评分标准”要求提供的资料（如有需提供）；</w:t>
            </w:r>
          </w:p>
          <w:p>
            <w:pPr>
              <w:spacing w:line="360" w:lineRule="exact"/>
              <w:rPr>
                <w:rFonts w:ascii="宋体" w:hAnsi="宋体" w:cs="宋体"/>
                <w:highlight w:val="none"/>
              </w:rPr>
            </w:pPr>
            <w:r>
              <w:rPr>
                <w:rFonts w:hint="eastAsia" w:ascii="宋体" w:hAnsi="宋体" w:cs="宋体"/>
                <w:highlight w:val="none"/>
              </w:rPr>
              <w:t>以上条款请按本招标文件第七部分“附件（投标文件格式）”编制。</w:t>
            </w:r>
          </w:p>
          <w:p>
            <w:pPr>
              <w:spacing w:line="360" w:lineRule="exact"/>
              <w:rPr>
                <w:rFonts w:ascii="宋体" w:hAnsi="宋体" w:cs="宋体"/>
                <w:b/>
                <w:highlight w:val="none"/>
              </w:rPr>
            </w:pPr>
            <w:r>
              <w:rPr>
                <w:rFonts w:hint="eastAsia" w:ascii="宋体" w:hAnsi="宋体" w:cs="宋体"/>
                <w:b/>
                <w:highlight w:val="none"/>
              </w:rPr>
              <w:t>2.资格证明文件，含：</w:t>
            </w:r>
          </w:p>
          <w:p>
            <w:pPr>
              <w:spacing w:line="360" w:lineRule="exact"/>
              <w:rPr>
                <w:rFonts w:ascii="宋体" w:hAnsi="宋体" w:cs="宋体"/>
                <w:highlight w:val="none"/>
              </w:rPr>
            </w:pPr>
            <w:r>
              <w:rPr>
                <w:rFonts w:hint="eastAsia" w:ascii="宋体" w:hAnsi="宋体" w:cs="宋体"/>
                <w:highlight w:val="none"/>
              </w:rPr>
              <w:t>(1)资格条件自查表；</w:t>
            </w:r>
          </w:p>
          <w:p>
            <w:pPr>
              <w:spacing w:line="360" w:lineRule="exact"/>
              <w:rPr>
                <w:rFonts w:ascii="宋体" w:hAnsi="宋体" w:cs="宋体"/>
                <w:highlight w:val="none"/>
              </w:rPr>
            </w:pPr>
            <w:r>
              <w:rPr>
                <w:rFonts w:hint="eastAsia" w:ascii="宋体" w:hAnsi="宋体" w:cs="宋体"/>
                <w:highlight w:val="none"/>
              </w:rPr>
              <w:t>(2)投标声明书</w:t>
            </w:r>
            <w:r>
              <w:rPr>
                <w:rFonts w:hint="eastAsia" w:ascii="宋体" w:hAnsi="宋体"/>
                <w:szCs w:val="21"/>
                <w:highlight w:val="none"/>
              </w:rPr>
              <w:t>（</w:t>
            </w:r>
            <w:r>
              <w:rPr>
                <w:rFonts w:hint="eastAsia" w:ascii="宋体" w:hAnsi="宋体"/>
                <w:szCs w:val="21"/>
                <w:highlight w:val="none"/>
                <w:lang w:eastAsia="zh-Hans"/>
              </w:rPr>
              <w:t>若</w:t>
            </w:r>
            <w:r>
              <w:rPr>
                <w:rFonts w:hint="eastAsia" w:ascii="宋体" w:hAnsi="宋体"/>
                <w:szCs w:val="21"/>
                <w:highlight w:val="none"/>
              </w:rPr>
              <w:t>联合体投标的，联合体各方均须提供）</w:t>
            </w:r>
            <w:r>
              <w:rPr>
                <w:rFonts w:hint="eastAsia" w:ascii="宋体" w:hAnsi="宋体" w:cs="宋体"/>
                <w:highlight w:val="none"/>
              </w:rPr>
              <w:t>；</w:t>
            </w:r>
          </w:p>
          <w:p>
            <w:pPr>
              <w:spacing w:line="360" w:lineRule="exact"/>
              <w:rPr>
                <w:rFonts w:ascii="宋体" w:hAnsi="宋体" w:cs="宋体"/>
                <w:highlight w:val="none"/>
              </w:rPr>
            </w:pPr>
            <w:r>
              <w:rPr>
                <w:rFonts w:hint="eastAsia" w:ascii="宋体" w:hAnsi="宋体" w:cs="宋体"/>
                <w:highlight w:val="none"/>
              </w:rPr>
              <w:t>(3)有效的“多证合一”的营业执照（未办理多证合一的提供营业执照、税务登记证、组织机构代码证）副本复印件。投标人如果有名称变更的，应提供由行政主管部门出具的变更证明文件</w:t>
            </w:r>
            <w:r>
              <w:rPr>
                <w:rFonts w:hint="eastAsia" w:ascii="宋体" w:hAnsi="宋体" w:cs="宋体"/>
                <w:szCs w:val="21"/>
                <w:highlight w:val="none"/>
              </w:rPr>
              <w:t>（若联合体投标的，联合体各方均须提供）</w:t>
            </w:r>
            <w:r>
              <w:rPr>
                <w:rFonts w:hint="eastAsia" w:ascii="宋体" w:hAnsi="宋体" w:cs="宋体"/>
                <w:highlight w:val="none"/>
              </w:rPr>
              <w:t>；</w:t>
            </w:r>
          </w:p>
          <w:p>
            <w:pPr>
              <w:spacing w:line="360" w:lineRule="exact"/>
              <w:rPr>
                <w:rFonts w:ascii="宋体" w:hAnsi="宋体" w:cs="宋体"/>
                <w:highlight w:val="none"/>
              </w:rPr>
            </w:pPr>
            <w:r>
              <w:rPr>
                <w:rFonts w:hint="eastAsia" w:ascii="宋体" w:hAnsi="宋体" w:cs="宋体"/>
                <w:highlight w:val="none"/>
              </w:rPr>
              <w:t>(4) 关于资格的承诺函</w:t>
            </w:r>
            <w:r>
              <w:rPr>
                <w:rFonts w:hint="eastAsia" w:ascii="宋体" w:hAnsi="宋体"/>
                <w:szCs w:val="21"/>
                <w:highlight w:val="none"/>
              </w:rPr>
              <w:t>（</w:t>
            </w:r>
            <w:r>
              <w:rPr>
                <w:rFonts w:hint="eastAsia" w:ascii="宋体" w:hAnsi="宋体"/>
                <w:szCs w:val="21"/>
                <w:highlight w:val="none"/>
                <w:lang w:eastAsia="zh-Hans"/>
              </w:rPr>
              <w:t>若</w:t>
            </w:r>
            <w:r>
              <w:rPr>
                <w:rFonts w:hint="eastAsia" w:ascii="宋体" w:hAnsi="宋体"/>
                <w:szCs w:val="21"/>
                <w:highlight w:val="none"/>
              </w:rPr>
              <w:t>联合体投标的，联合体各方均须提供）</w:t>
            </w:r>
            <w:r>
              <w:rPr>
                <w:rFonts w:hint="eastAsia" w:ascii="宋体" w:hAnsi="宋体" w:cs="宋体"/>
                <w:highlight w:val="none"/>
              </w:rPr>
              <w:t>；</w:t>
            </w:r>
          </w:p>
          <w:p>
            <w:pPr>
              <w:spacing w:line="360" w:lineRule="exact"/>
              <w:rPr>
                <w:rFonts w:ascii="宋体" w:hAnsi="宋体" w:cs="宋体"/>
                <w:highlight w:val="none"/>
              </w:rPr>
            </w:pPr>
            <w:r>
              <w:rPr>
                <w:rFonts w:hint="eastAsia" w:ascii="宋体" w:hAnsi="宋体" w:cs="宋体"/>
                <w:highlight w:val="none"/>
              </w:rPr>
              <w:t>(5)投标人的特定条件的证明文件（如有）；</w:t>
            </w:r>
          </w:p>
          <w:p>
            <w:pPr>
              <w:spacing w:line="360" w:lineRule="exact"/>
              <w:rPr>
                <w:rFonts w:ascii="宋体" w:hAnsi="宋体" w:cs="宋体"/>
                <w:szCs w:val="22"/>
                <w:highlight w:val="none"/>
              </w:rPr>
            </w:pPr>
            <w:r>
              <w:rPr>
                <w:rFonts w:hint="eastAsia" w:ascii="宋体" w:hAnsi="宋体" w:cs="宋体"/>
                <w:szCs w:val="22"/>
                <w:highlight w:val="none"/>
              </w:rPr>
              <w:t>(6)</w:t>
            </w:r>
            <w:r>
              <w:rPr>
                <w:rFonts w:hint="eastAsia" w:ascii="宋体" w:hAnsi="宋体" w:cs="宋体"/>
                <w:bCs/>
                <w:szCs w:val="21"/>
                <w:highlight w:val="none"/>
              </w:rPr>
              <w:t>联合体协议书（如需联合体时提供）。</w:t>
            </w:r>
          </w:p>
          <w:p>
            <w:pPr>
              <w:spacing w:line="360" w:lineRule="exact"/>
              <w:rPr>
                <w:rFonts w:ascii="宋体" w:hAnsi="宋体" w:cs="宋体"/>
                <w:b/>
                <w:highlight w:val="none"/>
              </w:rPr>
            </w:pPr>
            <w:r>
              <w:rPr>
                <w:rFonts w:hint="eastAsia" w:ascii="宋体" w:hAnsi="宋体" w:cs="宋体"/>
                <w:b/>
                <w:highlight w:val="none"/>
              </w:rPr>
              <w:t>3．报价文件，含：</w:t>
            </w:r>
          </w:p>
          <w:p>
            <w:pPr>
              <w:spacing w:line="360" w:lineRule="exact"/>
              <w:rPr>
                <w:rFonts w:ascii="宋体" w:hAnsi="宋体" w:cs="宋体"/>
                <w:highlight w:val="none"/>
              </w:rPr>
            </w:pPr>
            <w:r>
              <w:rPr>
                <w:rFonts w:hint="eastAsia" w:ascii="宋体" w:hAnsi="宋体" w:cs="宋体"/>
                <w:highlight w:val="none"/>
              </w:rPr>
              <w:t>(1)开标一览表；</w:t>
            </w:r>
          </w:p>
          <w:p>
            <w:pPr>
              <w:spacing w:line="360" w:lineRule="exact"/>
              <w:rPr>
                <w:rFonts w:ascii="宋体" w:hAnsi="宋体" w:cs="宋体"/>
                <w:highlight w:val="none"/>
              </w:rPr>
            </w:pPr>
            <w:r>
              <w:rPr>
                <w:rFonts w:hint="eastAsia" w:ascii="宋体" w:hAnsi="宋体" w:cs="宋体"/>
                <w:highlight w:val="none"/>
              </w:rPr>
              <w:t>(2)投标报价组成明细表；</w:t>
            </w:r>
          </w:p>
          <w:p>
            <w:pPr>
              <w:spacing w:line="360" w:lineRule="exact"/>
              <w:rPr>
                <w:rFonts w:ascii="宋体" w:hAnsi="宋体" w:cs="宋体"/>
                <w:highlight w:val="none"/>
              </w:rPr>
            </w:pPr>
            <w:r>
              <w:rPr>
                <w:rFonts w:hint="eastAsia" w:ascii="宋体" w:hAnsi="宋体" w:cs="宋体"/>
                <w:highlight w:val="none"/>
              </w:rPr>
              <w:t>(3)中小企业声明函（如有需提供）；</w:t>
            </w:r>
          </w:p>
          <w:p>
            <w:pPr>
              <w:spacing w:line="360" w:lineRule="exact"/>
              <w:rPr>
                <w:rFonts w:ascii="宋体" w:hAnsi="宋体" w:cs="宋体"/>
                <w:highlight w:val="none"/>
              </w:rPr>
            </w:pPr>
            <w:r>
              <w:rPr>
                <w:rFonts w:hint="eastAsia" w:ascii="宋体" w:hAnsi="宋体" w:cs="宋体"/>
                <w:highlight w:val="none"/>
              </w:rPr>
              <w:t>(4)残疾人福利性单位声明函（如有需提供）；</w:t>
            </w:r>
          </w:p>
          <w:p>
            <w:pPr>
              <w:spacing w:line="360" w:lineRule="exact"/>
              <w:rPr>
                <w:rFonts w:ascii="宋体" w:hAnsi="宋体" w:cs="宋体"/>
                <w:szCs w:val="22"/>
                <w:highlight w:val="none"/>
              </w:rPr>
            </w:pPr>
            <w:r>
              <w:rPr>
                <w:rFonts w:hint="eastAsia" w:ascii="宋体" w:hAnsi="宋体" w:cs="宋体"/>
                <w:highlight w:val="none"/>
              </w:rPr>
              <w:t>(5)</w:t>
            </w:r>
            <w:r>
              <w:rPr>
                <w:rFonts w:hint="eastAsia" w:ascii="宋体" w:hAnsi="宋体" w:cs="宋体"/>
                <w:szCs w:val="22"/>
                <w:highlight w:val="none"/>
              </w:rPr>
              <w:t>监狱企业声明函</w:t>
            </w:r>
            <w:r>
              <w:rPr>
                <w:rFonts w:hint="eastAsia" w:ascii="宋体" w:hAnsi="宋体" w:cs="宋体"/>
                <w:highlight w:val="none"/>
              </w:rPr>
              <w:t>（如有需提供）</w:t>
            </w:r>
            <w:r>
              <w:rPr>
                <w:rFonts w:hint="eastAsia" w:ascii="宋体" w:hAnsi="宋体" w:cs="宋体"/>
                <w:szCs w:val="22"/>
                <w:highlight w:val="none"/>
              </w:rPr>
              <w:t>。</w:t>
            </w:r>
          </w:p>
          <w:p>
            <w:pPr>
              <w:spacing w:line="360" w:lineRule="exact"/>
              <w:rPr>
                <w:rFonts w:ascii="宋体" w:hAnsi="宋体" w:cs="宋体"/>
                <w:b/>
                <w:bCs/>
                <w:szCs w:val="22"/>
                <w:highlight w:val="none"/>
              </w:rPr>
            </w:pPr>
            <w:r>
              <w:rPr>
                <w:rFonts w:hint="eastAsia" w:ascii="宋体" w:hAnsi="宋体" w:cs="宋体"/>
                <w:b/>
                <w:bCs/>
                <w:szCs w:val="22"/>
                <w:highlight w:val="none"/>
              </w:rPr>
              <w:t>供应商应对投标文件编制目录和评分索引表以方便查询。</w:t>
            </w:r>
          </w:p>
        </w:tc>
      </w:tr>
      <w:tr>
        <w:trPr>
          <w:trHeight w:val="600"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b/>
                <w:highlight w:val="none"/>
              </w:rPr>
              <w:t>★</w:t>
            </w:r>
            <w:r>
              <w:rPr>
                <w:rFonts w:hint="eastAsia" w:ascii="宋体" w:hAnsi="宋体" w:cs="宋体"/>
                <w:szCs w:val="21"/>
                <w:highlight w:val="none"/>
              </w:rPr>
              <w:t>10.1</w:t>
            </w:r>
          </w:p>
        </w:tc>
        <w:tc>
          <w:tcPr>
            <w:tcW w:w="7512" w:type="dxa"/>
            <w:vAlign w:val="center"/>
          </w:tcPr>
          <w:p>
            <w:pPr>
              <w:spacing w:line="360" w:lineRule="exact"/>
              <w:rPr>
                <w:rFonts w:ascii="宋体" w:hAnsi="宋体" w:cs="宋体"/>
                <w:bCs/>
                <w:szCs w:val="21"/>
                <w:highlight w:val="none"/>
              </w:rPr>
            </w:pPr>
            <w:r>
              <w:rPr>
                <w:rFonts w:hint="eastAsia" w:ascii="宋体" w:hAnsi="宋体" w:cs="宋体"/>
                <w:bCs/>
                <w:szCs w:val="21"/>
                <w:highlight w:val="none"/>
              </w:rPr>
              <w:t>本项目采用</w:t>
            </w:r>
            <w:r>
              <w:rPr>
                <w:rFonts w:hint="eastAsia" w:ascii="宋体" w:hAnsi="宋体" w:cs="宋体"/>
                <w:b/>
                <w:bCs/>
                <w:szCs w:val="21"/>
                <w:highlight w:val="none"/>
              </w:rPr>
              <w:t>固定总价方式。</w:t>
            </w:r>
          </w:p>
          <w:p>
            <w:pPr>
              <w:spacing w:line="360" w:lineRule="exact"/>
              <w:rPr>
                <w:rFonts w:ascii="宋体" w:hAnsi="宋体" w:cs="宋体"/>
                <w:bCs/>
                <w:szCs w:val="21"/>
                <w:highlight w:val="none"/>
              </w:rPr>
            </w:pPr>
            <w:r>
              <w:rPr>
                <w:rFonts w:hint="eastAsia" w:ascii="宋体" w:hAnsi="宋体" w:cs="宋体"/>
                <w:bCs/>
                <w:szCs w:val="21"/>
                <w:highlight w:val="none"/>
              </w:rPr>
              <w:t>投标报价的组成：本项目投标报价应为承包完成本次投标需完成全部工作所发生的所有费用，并承担一切风险责任，包括但不限于</w:t>
            </w:r>
            <w:r>
              <w:rPr>
                <w:rFonts w:hint="eastAsia" w:ascii="宋体" w:hAnsi="宋体" w:cs="宋体"/>
                <w:szCs w:val="21"/>
                <w:highlight w:val="none"/>
              </w:rPr>
              <w:t>实施过程中涉及的专用工具、辅材、安装、调试、检验、培训、技术服务、运杂、保险费、税金、验收检定、软件升级</w:t>
            </w:r>
            <w:r>
              <w:rPr>
                <w:rFonts w:hint="eastAsia" w:ascii="宋体" w:hAnsi="宋体" w:cs="宋体"/>
                <w:bCs/>
                <w:szCs w:val="21"/>
                <w:highlight w:val="none"/>
              </w:rPr>
              <w:t>以及其他费用，凡影响报价的所有相关费用均应列入。供应商自行应承担其编制响应文件与递交投标文件及参与本次招标活动所涉及的一切费用。</w:t>
            </w:r>
          </w:p>
          <w:p>
            <w:pPr>
              <w:spacing w:line="360" w:lineRule="exact"/>
              <w:rPr>
                <w:rFonts w:ascii="宋体" w:hAnsi="宋体" w:cs="宋体"/>
                <w:bCs/>
                <w:szCs w:val="21"/>
                <w:highlight w:val="none"/>
              </w:rPr>
            </w:pPr>
            <w:r>
              <w:rPr>
                <w:rFonts w:hint="eastAsia" w:ascii="宋体" w:hAnsi="宋体" w:cs="宋体"/>
                <w:bCs/>
                <w:szCs w:val="21"/>
                <w:highlight w:val="none"/>
              </w:rPr>
              <w:t>投标人应承担其参加本招标活动自身所发生的费用。</w:t>
            </w:r>
          </w:p>
          <w:p>
            <w:pPr>
              <w:spacing w:line="360" w:lineRule="exact"/>
              <w:rPr>
                <w:rFonts w:ascii="宋体" w:hAnsi="宋体" w:cs="宋体"/>
                <w:szCs w:val="21"/>
                <w:highlight w:val="none"/>
              </w:rPr>
            </w:pPr>
            <w:r>
              <w:rPr>
                <w:rFonts w:hint="eastAsia" w:ascii="宋体" w:hAnsi="宋体" w:cs="宋体"/>
                <w:bCs/>
                <w:szCs w:val="21"/>
                <w:highlight w:val="none"/>
              </w:rPr>
              <w:t>项目实施过程中可能发生的风险和费用均由中标人承担。</w:t>
            </w:r>
          </w:p>
        </w:tc>
      </w:tr>
      <w:tr>
        <w:trPr>
          <w:trHeight w:val="90"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b/>
                <w:highlight w:val="none"/>
              </w:rPr>
              <w:t>★</w:t>
            </w:r>
            <w:r>
              <w:rPr>
                <w:rFonts w:hint="eastAsia" w:ascii="宋体" w:hAnsi="宋体" w:cs="宋体"/>
                <w:szCs w:val="21"/>
                <w:highlight w:val="none"/>
              </w:rPr>
              <w:t>10.5</w:t>
            </w:r>
          </w:p>
        </w:tc>
        <w:tc>
          <w:tcPr>
            <w:tcW w:w="7512" w:type="dxa"/>
            <w:vAlign w:val="center"/>
          </w:tcPr>
          <w:p>
            <w:pPr>
              <w:spacing w:before="146" w:beforeLines="50" w:line="360" w:lineRule="auto"/>
              <w:rPr>
                <w:b/>
                <w:highlight w:val="none"/>
              </w:rPr>
            </w:pPr>
            <w:r>
              <w:rPr>
                <w:rFonts w:hint="eastAsia"/>
                <w:b/>
                <w:highlight w:val="none"/>
              </w:rPr>
              <w:t>本项目采用最高投标限价，超过最高限价的投标将被判定为无效投标。</w:t>
            </w:r>
          </w:p>
          <w:p>
            <w:pPr>
              <w:spacing w:before="146" w:beforeLines="50" w:line="360" w:lineRule="auto"/>
              <w:rPr>
                <w:highlight w:val="none"/>
              </w:rPr>
            </w:pPr>
            <w:r>
              <w:rPr>
                <w:rFonts w:hint="eastAsia"/>
                <w:b/>
                <w:highlight w:val="none"/>
              </w:rPr>
              <w:t>本项目最高限价为419.38万元。</w:t>
            </w:r>
          </w:p>
        </w:tc>
      </w:tr>
      <w:tr>
        <w:trPr>
          <w:trHeight w:val="317"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11.4</w:t>
            </w:r>
          </w:p>
        </w:tc>
        <w:tc>
          <w:tcPr>
            <w:tcW w:w="7512" w:type="dxa"/>
            <w:vAlign w:val="center"/>
          </w:tcPr>
          <w:p>
            <w:pPr>
              <w:spacing w:line="360" w:lineRule="exact"/>
              <w:rPr>
                <w:rFonts w:ascii="宋体" w:hAnsi="宋体" w:cs="宋体"/>
                <w:bCs/>
                <w:szCs w:val="21"/>
                <w:highlight w:val="none"/>
              </w:rPr>
            </w:pPr>
            <w:r>
              <w:rPr>
                <w:rFonts w:hint="eastAsia" w:ascii="宋体" w:hAnsi="宋体" w:cs="宋体"/>
                <w:b/>
                <w:szCs w:val="21"/>
                <w:highlight w:val="none"/>
              </w:rPr>
              <w:t>投标文件数量要求：</w:t>
            </w:r>
            <w:r>
              <w:rPr>
                <w:rFonts w:hint="eastAsia" w:ascii="宋体" w:hAnsi="宋体" w:cs="宋体"/>
                <w:bCs/>
                <w:szCs w:val="21"/>
                <w:highlight w:val="none"/>
              </w:rPr>
              <w:t>本项目实行网上投标，供应商应准备以下投标文件：</w:t>
            </w:r>
          </w:p>
          <w:p>
            <w:pPr>
              <w:spacing w:line="360" w:lineRule="exact"/>
              <w:rPr>
                <w:rFonts w:ascii="宋体" w:hAnsi="宋体" w:cs="宋体"/>
                <w:bCs/>
                <w:szCs w:val="21"/>
                <w:highlight w:val="none"/>
              </w:rPr>
            </w:pPr>
            <w:r>
              <w:rPr>
                <w:rFonts w:hint="eastAsia" w:ascii="宋体" w:hAnsi="宋体" w:cs="宋体"/>
                <w:b/>
                <w:highlight w:val="none"/>
              </w:rPr>
              <w:t>★</w:t>
            </w:r>
            <w:r>
              <w:rPr>
                <w:rFonts w:hint="eastAsia" w:ascii="宋体" w:hAnsi="宋体" w:cs="宋体"/>
                <w:bCs/>
                <w:szCs w:val="21"/>
                <w:highlight w:val="none"/>
              </w:rPr>
              <w:t>（1）上传到政府采购云平台的电子投标文件（含资格证明文件、商务和技术文件、报价文件）1份。</w:t>
            </w:r>
          </w:p>
          <w:p>
            <w:pPr>
              <w:spacing w:line="360" w:lineRule="exact"/>
              <w:rPr>
                <w:rFonts w:ascii="宋体" w:hAnsi="宋体" w:cs="宋体"/>
                <w:bCs/>
                <w:szCs w:val="21"/>
                <w:highlight w:val="none"/>
              </w:rPr>
            </w:pPr>
            <w:r>
              <w:rPr>
                <w:rFonts w:hint="eastAsia" w:ascii="宋体" w:hAnsi="宋体" w:cs="宋体"/>
                <w:bCs/>
                <w:szCs w:val="21"/>
                <w:highlight w:val="none"/>
              </w:rPr>
              <w:t>（2）以U盘或光盘存储的电子备份投标文件（含资格证明文件、商务和技术文件、报价文件）1份。</w:t>
            </w:r>
          </w:p>
          <w:p>
            <w:pPr>
              <w:spacing w:line="360" w:lineRule="exact"/>
              <w:rPr>
                <w:rFonts w:ascii="宋体" w:hAnsi="宋体" w:cs="宋体"/>
                <w:b/>
                <w:bCs/>
                <w:szCs w:val="21"/>
                <w:highlight w:val="none"/>
              </w:rPr>
            </w:pPr>
            <w:r>
              <w:rPr>
                <w:rFonts w:hint="eastAsia" w:ascii="宋体" w:hAnsi="宋体" w:cs="宋体"/>
                <w:b/>
                <w:bCs/>
                <w:szCs w:val="21"/>
                <w:highlight w:val="none"/>
              </w:rPr>
              <w:t xml:space="preserve">注意事项 </w:t>
            </w:r>
          </w:p>
          <w:p>
            <w:pPr>
              <w:spacing w:line="360" w:lineRule="exact"/>
              <w:rPr>
                <w:rFonts w:ascii="宋体" w:hAnsi="宋体" w:cs="宋体"/>
                <w:b/>
                <w:bCs/>
                <w:szCs w:val="21"/>
                <w:highlight w:val="none"/>
              </w:rPr>
            </w:pPr>
            <w:r>
              <w:rPr>
                <w:rFonts w:hint="eastAsia" w:ascii="宋体" w:hAnsi="宋体" w:cs="宋体"/>
                <w:b/>
                <w:bCs/>
                <w:szCs w:val="21"/>
                <w:highlight w:val="none"/>
              </w:rPr>
              <w:t xml:space="preserve">（1）电子投标文件中所须加盖公章部分均采用 CA 签章。 </w:t>
            </w:r>
          </w:p>
          <w:p>
            <w:pPr>
              <w:spacing w:line="360" w:lineRule="exact"/>
              <w:rPr>
                <w:rFonts w:ascii="宋体" w:hAnsi="宋体" w:cs="宋体"/>
                <w:szCs w:val="21"/>
                <w:highlight w:val="none"/>
              </w:rPr>
            </w:pPr>
            <w:r>
              <w:rPr>
                <w:rFonts w:hint="eastAsia" w:ascii="宋体" w:hAnsi="宋体" w:cs="宋体"/>
                <w:b/>
                <w:bCs/>
                <w:szCs w:val="21"/>
                <w:highlight w:val="none"/>
              </w:rPr>
              <w:t>（2）电子备份投标文件不作实质性要求，是否提交由供应商自行决定。</w:t>
            </w:r>
          </w:p>
        </w:tc>
      </w:tr>
      <w:tr>
        <w:trPr>
          <w:trHeight w:val="464"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12.1</w:t>
            </w:r>
          </w:p>
        </w:tc>
        <w:tc>
          <w:tcPr>
            <w:tcW w:w="7512" w:type="dxa"/>
            <w:vAlign w:val="center"/>
          </w:tcPr>
          <w:p>
            <w:pPr>
              <w:spacing w:before="146" w:beforeLines="50" w:line="360" w:lineRule="exact"/>
              <w:rPr>
                <w:rFonts w:ascii="宋体" w:hAnsi="宋体" w:cs="宋体"/>
                <w:szCs w:val="21"/>
                <w:highlight w:val="none"/>
              </w:rPr>
            </w:pPr>
            <w:r>
              <w:rPr>
                <w:rFonts w:hint="eastAsia" w:ascii="宋体" w:hAnsi="宋体" w:cs="宋体"/>
                <w:b/>
                <w:szCs w:val="21"/>
                <w:highlight w:val="none"/>
              </w:rPr>
              <w:t>投标有效期</w:t>
            </w:r>
            <w:r>
              <w:rPr>
                <w:rFonts w:hint="eastAsia" w:ascii="宋体" w:hAnsi="宋体" w:cs="宋体"/>
                <w:szCs w:val="21"/>
                <w:highlight w:val="none"/>
              </w:rPr>
              <w:t>： 90 天。</w:t>
            </w:r>
          </w:p>
        </w:tc>
      </w:tr>
      <w:tr>
        <w:trPr>
          <w:trHeight w:val="402"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13.1</w:t>
            </w:r>
          </w:p>
        </w:tc>
        <w:tc>
          <w:tcPr>
            <w:tcW w:w="7512" w:type="dxa"/>
            <w:vAlign w:val="center"/>
          </w:tcPr>
          <w:p>
            <w:pPr>
              <w:spacing w:line="360" w:lineRule="exact"/>
              <w:rPr>
                <w:rFonts w:ascii="宋体" w:hAnsi="宋体" w:cs="宋体"/>
                <w:b/>
                <w:highlight w:val="none"/>
              </w:rPr>
            </w:pPr>
            <w:r>
              <w:rPr>
                <w:rFonts w:hint="eastAsia" w:ascii="宋体" w:hAnsi="宋体" w:cs="宋体"/>
                <w:b/>
                <w:highlight w:val="none"/>
              </w:rPr>
              <w:t>投标保证金金额：无</w:t>
            </w:r>
          </w:p>
        </w:tc>
      </w:tr>
      <w:tr>
        <w:trPr>
          <w:trHeight w:val="477"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15.1</w:t>
            </w:r>
          </w:p>
        </w:tc>
        <w:tc>
          <w:tcPr>
            <w:tcW w:w="7512" w:type="dxa"/>
            <w:vAlign w:val="center"/>
          </w:tcPr>
          <w:p>
            <w:pPr>
              <w:spacing w:before="146" w:beforeLines="50" w:line="360" w:lineRule="exact"/>
              <w:rPr>
                <w:rFonts w:ascii="宋体" w:hAnsi="宋体" w:cs="宋体"/>
                <w:szCs w:val="21"/>
                <w:highlight w:val="none"/>
              </w:rPr>
            </w:pPr>
            <w:r>
              <w:rPr>
                <w:rFonts w:hint="eastAsia" w:ascii="宋体" w:hAnsi="宋体" w:cs="宋体"/>
                <w:szCs w:val="21"/>
                <w:highlight w:val="none"/>
              </w:rPr>
              <w:t>投标截止时间：</w:t>
            </w:r>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bCs/>
                <w:highlight w:val="none"/>
                <w:u w:val="single"/>
              </w:rPr>
              <w:t>年</w:t>
            </w:r>
            <w:r>
              <w:rPr>
                <w:rFonts w:hint="eastAsia" w:ascii="宋体" w:hAnsi="宋体" w:cs="宋体"/>
                <w:bCs/>
                <w:highlight w:val="none"/>
                <w:u w:val="single"/>
                <w:lang w:val="en-US" w:eastAsia="zh-CN"/>
              </w:rPr>
              <w:t>2</w:t>
            </w:r>
            <w:r>
              <w:rPr>
                <w:rFonts w:hint="eastAsia" w:ascii="宋体" w:hAnsi="宋体" w:cs="宋体"/>
                <w:bCs/>
                <w:highlight w:val="none"/>
                <w:u w:val="single"/>
              </w:rPr>
              <w:t>月</w:t>
            </w:r>
            <w:r>
              <w:rPr>
                <w:rFonts w:hint="default" w:ascii="宋体" w:hAnsi="宋体" w:cs="宋体"/>
                <w:bCs/>
                <w:highlight w:val="none"/>
                <w:u w:val="single"/>
                <w:lang w:val="en-US"/>
              </w:rPr>
              <w:t>21</w:t>
            </w:r>
            <w:r>
              <w:rPr>
                <w:rFonts w:hint="eastAsia" w:ascii="宋体" w:hAnsi="宋体" w:cs="宋体"/>
                <w:bCs/>
                <w:highlight w:val="none"/>
                <w:u w:val="single"/>
              </w:rPr>
              <w:t>日</w:t>
            </w:r>
            <w:r>
              <w:rPr>
                <w:rFonts w:hint="eastAsia" w:ascii="宋体" w:hAnsi="宋体" w:cs="宋体"/>
                <w:bCs/>
                <w:highlight w:val="none"/>
                <w:u w:val="single"/>
                <w:lang w:val="en-US" w:eastAsia="zh-CN"/>
              </w:rPr>
              <w:t>14</w:t>
            </w:r>
            <w:r>
              <w:rPr>
                <w:rFonts w:hint="eastAsia" w:ascii="宋体" w:hAnsi="宋体" w:cs="宋体"/>
                <w:bCs/>
                <w:highlight w:val="none"/>
                <w:u w:val="single"/>
              </w:rPr>
              <w:t>点00分</w:t>
            </w:r>
            <w:r>
              <w:rPr>
                <w:rFonts w:hint="eastAsia" w:ascii="宋体" w:hAnsi="宋体" w:cs="宋体"/>
                <w:szCs w:val="21"/>
                <w:highlight w:val="none"/>
              </w:rPr>
              <w:t>（北京时间）。</w:t>
            </w:r>
          </w:p>
        </w:tc>
      </w:tr>
      <w:tr>
        <w:trPr>
          <w:trHeight w:val="600"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28.1</w:t>
            </w:r>
          </w:p>
        </w:tc>
        <w:tc>
          <w:tcPr>
            <w:tcW w:w="7512" w:type="dxa"/>
            <w:vAlign w:val="center"/>
          </w:tcPr>
          <w:p>
            <w:pPr>
              <w:numPr>
                <w:ilvl w:val="0"/>
                <w:numId w:val="12"/>
              </w:numPr>
              <w:spacing w:line="360" w:lineRule="exact"/>
              <w:rPr>
                <w:rFonts w:ascii="宋体" w:hAnsi="宋体" w:cs="宋体"/>
                <w:highlight w:val="none"/>
              </w:rPr>
            </w:pPr>
            <w:r>
              <w:rPr>
                <w:rFonts w:hint="eastAsia" w:ascii="宋体" w:hAnsi="宋体" w:cs="宋体"/>
                <w:highlight w:val="none"/>
              </w:rPr>
              <w:t>根据宁波市中介超市网上本项目的中选公告，采购代理单位</w:t>
            </w:r>
            <w:r>
              <w:rPr>
                <w:rFonts w:hint="eastAsia" w:ascii="宋体" w:hAnsi="宋体" w:cs="宋体"/>
                <w:highlight w:val="none"/>
                <w:lang w:val="en-US" w:eastAsia="zh-CN"/>
              </w:rPr>
              <w:t>向</w:t>
            </w:r>
            <w:r>
              <w:rPr>
                <w:rFonts w:hint="eastAsia" w:ascii="宋体" w:hAnsi="宋体" w:cs="宋体"/>
                <w:highlight w:val="none"/>
              </w:rPr>
              <w:t xml:space="preserve">中标单位收取人民币 </w:t>
            </w:r>
            <w:r>
              <w:rPr>
                <w:rFonts w:hint="eastAsia" w:ascii="宋体" w:hAnsi="宋体" w:cs="宋体"/>
                <w:highlight w:val="none"/>
                <w:u w:val="single"/>
              </w:rPr>
              <w:t>32000元整</w:t>
            </w:r>
            <w:r>
              <w:rPr>
                <w:rFonts w:hint="eastAsia" w:ascii="宋体" w:hAnsi="宋体" w:cs="宋体"/>
                <w:highlight w:val="none"/>
              </w:rPr>
              <w:t>的代理服务费。</w:t>
            </w:r>
          </w:p>
          <w:p>
            <w:pPr>
              <w:numPr>
                <w:ilvl w:val="0"/>
                <w:numId w:val="12"/>
              </w:numPr>
              <w:spacing w:line="360" w:lineRule="exact"/>
              <w:rPr>
                <w:rFonts w:ascii="宋体" w:hAnsi="宋体" w:cs="宋体"/>
                <w:szCs w:val="21"/>
                <w:highlight w:val="none"/>
              </w:rPr>
            </w:pPr>
            <w:r>
              <w:rPr>
                <w:rFonts w:hint="eastAsia" w:ascii="宋体" w:hAnsi="宋体" w:cs="宋体"/>
                <w:szCs w:val="21"/>
                <w:highlight w:val="none"/>
              </w:rPr>
              <w:t>中标人负责承担中标服务费，并应在采购代理机构发出中标通知书5个工作日内向采购代理机构支付中标服务费。</w:t>
            </w:r>
          </w:p>
          <w:p>
            <w:pPr>
              <w:spacing w:line="360" w:lineRule="exact"/>
              <w:rPr>
                <w:rFonts w:ascii="宋体" w:hAnsi="宋体" w:cs="宋体"/>
                <w:szCs w:val="21"/>
                <w:highlight w:val="none"/>
              </w:rPr>
            </w:pPr>
            <w:r>
              <w:rPr>
                <w:rFonts w:hint="eastAsia" w:ascii="宋体" w:hAnsi="宋体" w:cs="宋体"/>
                <w:szCs w:val="21"/>
                <w:highlight w:val="none"/>
              </w:rPr>
              <w:t>3.中标服务费只收电汇款。</w:t>
            </w:r>
          </w:p>
          <w:p>
            <w:pPr>
              <w:spacing w:line="360" w:lineRule="exact"/>
              <w:rPr>
                <w:rFonts w:ascii="宋体" w:hAnsi="宋体" w:cs="宋体"/>
                <w:szCs w:val="21"/>
                <w:highlight w:val="none"/>
              </w:rPr>
            </w:pPr>
            <w:r>
              <w:rPr>
                <w:rFonts w:hint="eastAsia" w:ascii="宋体" w:hAnsi="宋体" w:cs="宋体"/>
                <w:szCs w:val="21"/>
                <w:highlight w:val="none"/>
              </w:rPr>
              <w:t>4.代理服务费收款账户信息：</w:t>
            </w:r>
          </w:p>
          <w:p>
            <w:pPr>
              <w:tabs>
                <w:tab w:val="left" w:pos="210"/>
              </w:tabs>
              <w:spacing w:line="360" w:lineRule="exact"/>
              <w:rPr>
                <w:rFonts w:ascii="宋体" w:hAnsi="宋体" w:cs="宋体"/>
                <w:szCs w:val="21"/>
                <w:highlight w:val="none"/>
              </w:rPr>
            </w:pPr>
            <w:r>
              <w:rPr>
                <w:rFonts w:hint="eastAsia" w:ascii="宋体" w:hAnsi="宋体" w:cs="宋体"/>
                <w:szCs w:val="21"/>
                <w:highlight w:val="none"/>
              </w:rPr>
              <w:t>开户银行：建行宁波分行营业部；</w:t>
            </w:r>
          </w:p>
          <w:p>
            <w:pPr>
              <w:spacing w:line="360" w:lineRule="exact"/>
              <w:rPr>
                <w:rFonts w:ascii="宋体" w:hAnsi="宋体" w:cs="宋体"/>
                <w:szCs w:val="21"/>
                <w:highlight w:val="none"/>
              </w:rPr>
            </w:pPr>
            <w:r>
              <w:rPr>
                <w:rFonts w:hint="eastAsia" w:ascii="宋体" w:hAnsi="宋体" w:cs="宋体"/>
                <w:szCs w:val="21"/>
                <w:highlight w:val="none"/>
              </w:rPr>
              <w:t>户名：宁波国咨工程造价咨询有限公司；</w:t>
            </w:r>
          </w:p>
          <w:p>
            <w:pPr>
              <w:spacing w:line="360" w:lineRule="exact"/>
              <w:rPr>
                <w:rFonts w:ascii="宋体" w:hAnsi="宋体" w:cs="宋体"/>
                <w:szCs w:val="21"/>
                <w:highlight w:val="none"/>
              </w:rPr>
            </w:pPr>
            <w:r>
              <w:rPr>
                <w:rFonts w:hint="eastAsia" w:ascii="宋体" w:hAnsi="宋体" w:cs="宋体"/>
                <w:szCs w:val="21"/>
                <w:highlight w:val="none"/>
              </w:rPr>
              <w:t>账号：33101983679050502597。</w:t>
            </w:r>
          </w:p>
        </w:tc>
      </w:tr>
      <w:tr>
        <w:trPr>
          <w:trHeight w:val="600" w:hRule="atLeast"/>
        </w:trPr>
        <w:tc>
          <w:tcPr>
            <w:tcW w:w="1101" w:type="dxa"/>
            <w:tcBorders>
              <w:bottom w:val="single" w:color="auto" w:sz="12" w:space="0"/>
            </w:tcBorders>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29</w:t>
            </w:r>
          </w:p>
        </w:tc>
        <w:tc>
          <w:tcPr>
            <w:tcW w:w="7512" w:type="dxa"/>
            <w:tcBorders>
              <w:bottom w:val="single" w:color="auto" w:sz="12" w:space="0"/>
            </w:tcBorders>
            <w:vAlign w:val="center"/>
          </w:tcPr>
          <w:p>
            <w:pPr>
              <w:spacing w:line="360" w:lineRule="exact"/>
              <w:ind w:left="797" w:hanging="794" w:hangingChars="375"/>
              <w:rPr>
                <w:rFonts w:ascii="宋体" w:hAnsi="宋体" w:cs="宋体"/>
                <w:highlight w:val="none"/>
              </w:rPr>
            </w:pPr>
            <w:r>
              <w:rPr>
                <w:rFonts w:hint="eastAsia" w:ascii="宋体" w:hAnsi="宋体" w:cs="宋体"/>
                <w:highlight w:val="none"/>
              </w:rPr>
              <w:t>发布本项目招标公告、中标结果公告的媒体：</w:t>
            </w:r>
          </w:p>
          <w:p>
            <w:pPr>
              <w:spacing w:line="360" w:lineRule="exact"/>
              <w:ind w:left="797" w:hanging="794" w:hangingChars="375"/>
              <w:rPr>
                <w:rFonts w:ascii="宋体" w:hAnsi="宋体" w:cs="宋体"/>
                <w:highlight w:val="none"/>
              </w:rPr>
            </w:pPr>
            <w:r>
              <w:rPr>
                <w:rFonts w:hint="eastAsia" w:ascii="宋体" w:hAnsi="宋体" w:cs="宋体"/>
                <w:highlight w:val="none"/>
              </w:rPr>
              <w:t>浙江政府采购网https://zfcg.czt.zj.gov.cn/</w:t>
            </w:r>
          </w:p>
          <w:p>
            <w:pPr>
              <w:spacing w:line="360" w:lineRule="exact"/>
              <w:rPr>
                <w:rFonts w:ascii="宋体" w:hAnsi="宋体" w:cs="宋体"/>
                <w:highlight w:val="none"/>
              </w:rPr>
            </w:pPr>
            <w:r>
              <w:rPr>
                <w:rFonts w:hint="eastAsia" w:ascii="宋体" w:hAnsi="宋体" w:cs="宋体"/>
                <w:highlight w:val="none"/>
              </w:rPr>
              <w:t>宁波政府采购网</w:t>
            </w:r>
            <w:r>
              <w:rPr>
                <w:rFonts w:hint="eastAsia"/>
                <w:highlight w:val="none"/>
              </w:rPr>
              <w:fldChar w:fldCharType="begin"/>
            </w:r>
            <w:r>
              <w:rPr>
                <w:highlight w:val="none"/>
              </w:rPr>
              <w:instrText xml:space="preserve"> HYPERLINK "http://www.nbzfcg.cn" </w:instrText>
            </w:r>
            <w:r>
              <w:rPr>
                <w:rFonts w:hint="eastAsia"/>
                <w:highlight w:val="none"/>
              </w:rPr>
              <w:fldChar w:fldCharType="separate"/>
            </w:r>
            <w:r>
              <w:rPr>
                <w:rFonts w:hint="eastAsia" w:ascii="宋体" w:hAnsi="宋体" w:cs="宋体"/>
                <w:highlight w:val="none"/>
              </w:rPr>
              <w:t>www.nbzf</w:t>
            </w:r>
            <w:bookmarkStart w:id="242" w:name="_Hlt237917838"/>
            <w:bookmarkStart w:id="243" w:name="_Hlt237917837"/>
            <w:r>
              <w:rPr>
                <w:rFonts w:hint="eastAsia" w:ascii="宋体" w:hAnsi="宋体" w:cs="宋体"/>
                <w:highlight w:val="none"/>
              </w:rPr>
              <w:t>c</w:t>
            </w:r>
            <w:bookmarkEnd w:id="242"/>
            <w:bookmarkEnd w:id="243"/>
            <w:bookmarkStart w:id="244" w:name="_Hlt237842727"/>
            <w:bookmarkStart w:id="245" w:name="_Hlt237842684"/>
            <w:bookmarkStart w:id="246" w:name="_Hlt237842726"/>
            <w:bookmarkStart w:id="247" w:name="_Hlt237842683"/>
            <w:r>
              <w:rPr>
                <w:rFonts w:hint="eastAsia" w:ascii="宋体" w:hAnsi="宋体" w:cs="宋体"/>
                <w:highlight w:val="none"/>
              </w:rPr>
              <w:t>g</w:t>
            </w:r>
            <w:bookmarkEnd w:id="244"/>
            <w:bookmarkEnd w:id="245"/>
            <w:bookmarkEnd w:id="246"/>
            <w:bookmarkEnd w:id="247"/>
            <w:r>
              <w:rPr>
                <w:rFonts w:hint="eastAsia" w:ascii="宋体" w:hAnsi="宋体" w:cs="宋体"/>
                <w:highlight w:val="none"/>
              </w:rPr>
              <w:t>.cn</w:t>
            </w:r>
            <w:r>
              <w:rPr>
                <w:rFonts w:hint="eastAsia" w:ascii="宋体" w:hAnsi="宋体" w:cs="宋体"/>
                <w:highlight w:val="none"/>
              </w:rPr>
              <w:fldChar w:fldCharType="end"/>
            </w:r>
          </w:p>
        </w:tc>
      </w:tr>
    </w:tbl>
    <w:p>
      <w:pPr>
        <w:widowControl/>
        <w:spacing w:line="360" w:lineRule="auto"/>
        <w:ind w:firstLine="424" w:firstLineChars="200"/>
        <w:jc w:val="left"/>
        <w:rPr>
          <w:rFonts w:ascii="宋体" w:hAnsi="宋体" w:cs="宋体"/>
          <w:szCs w:val="21"/>
          <w:highlight w:val="none"/>
          <w:u w:val="single"/>
        </w:rPr>
      </w:pPr>
    </w:p>
    <w:p>
      <w:pPr>
        <w:rPr>
          <w:highlight w:val="none"/>
        </w:rPr>
      </w:pPr>
      <w:bookmarkStart w:id="248" w:name="_Toc520902393"/>
      <w:bookmarkStart w:id="249" w:name="_Toc316649292"/>
    </w:p>
    <w:p>
      <w:pPr>
        <w:rPr>
          <w:rFonts w:ascii="宋体" w:hAnsi="宋体" w:cs="宋体"/>
          <w:sz w:val="32"/>
          <w:szCs w:val="32"/>
          <w:highlight w:val="none"/>
        </w:rPr>
      </w:pPr>
    </w:p>
    <w:p>
      <w:pPr>
        <w:rPr>
          <w:highlight w:val="none"/>
        </w:rPr>
      </w:pPr>
    </w:p>
    <w:p>
      <w:pPr>
        <w:rPr>
          <w:rFonts w:hint="eastAsia" w:ascii="宋体" w:hAnsi="宋体" w:cs="宋体"/>
          <w:sz w:val="32"/>
          <w:szCs w:val="32"/>
          <w:highlight w:val="none"/>
        </w:rPr>
      </w:pPr>
      <w:r>
        <w:rPr>
          <w:rFonts w:hint="eastAsia" w:ascii="宋体" w:hAnsi="宋体" w:cs="宋体"/>
          <w:sz w:val="32"/>
          <w:szCs w:val="32"/>
          <w:highlight w:val="none"/>
        </w:rPr>
        <w:br w:type="page"/>
      </w:r>
    </w:p>
    <w:p>
      <w:pPr>
        <w:pStyle w:val="3"/>
        <w:spacing w:before="293" w:after="293"/>
        <w:rPr>
          <w:rFonts w:ascii="宋体" w:hAnsi="宋体" w:cs="宋体"/>
          <w:sz w:val="32"/>
          <w:szCs w:val="32"/>
          <w:highlight w:val="none"/>
        </w:rPr>
      </w:pPr>
      <w:r>
        <w:rPr>
          <w:rFonts w:hint="eastAsia" w:ascii="宋体" w:hAnsi="宋体" w:cs="宋体"/>
          <w:sz w:val="32"/>
          <w:szCs w:val="32"/>
          <w:highlight w:val="none"/>
        </w:rPr>
        <w:t>第四部分投标人须知</w:t>
      </w:r>
      <w:bookmarkEnd w:id="248"/>
      <w:bookmarkEnd w:id="249"/>
    </w:p>
    <w:p>
      <w:pPr>
        <w:jc w:val="center"/>
        <w:outlineLvl w:val="1"/>
        <w:rPr>
          <w:rFonts w:ascii="宋体" w:hAnsi="宋体" w:cs="宋体"/>
          <w:b/>
          <w:sz w:val="28"/>
          <w:highlight w:val="none"/>
        </w:rPr>
      </w:pPr>
      <w:bookmarkStart w:id="250" w:name="_Toc440276561"/>
      <w:bookmarkStart w:id="251" w:name="_Toc513799071"/>
      <w:bookmarkStart w:id="252" w:name="_Toc513798900"/>
      <w:bookmarkStart w:id="253" w:name="_Toc520902394"/>
      <w:bookmarkStart w:id="254" w:name="_Toc481153623"/>
      <w:bookmarkStart w:id="255" w:name="_Toc501721427"/>
      <w:bookmarkStart w:id="256" w:name="_Toc501721316"/>
      <w:bookmarkStart w:id="257" w:name="_Toc316649293"/>
      <w:bookmarkStart w:id="258" w:name="_Toc501721199"/>
      <w:bookmarkStart w:id="259" w:name="_Toc497935707"/>
      <w:bookmarkStart w:id="260" w:name="_Toc502819341"/>
      <w:bookmarkStart w:id="261" w:name="_Toc481153658"/>
      <w:r>
        <w:rPr>
          <w:rFonts w:hint="eastAsia" w:ascii="宋体" w:hAnsi="宋体" w:cs="宋体"/>
          <w:b/>
          <w:sz w:val="28"/>
          <w:highlight w:val="none"/>
        </w:rPr>
        <w:t>A  总则</w:t>
      </w:r>
      <w:bookmarkEnd w:id="250"/>
      <w:bookmarkEnd w:id="251"/>
      <w:bookmarkEnd w:id="252"/>
      <w:bookmarkEnd w:id="253"/>
    </w:p>
    <w:p>
      <w:pPr>
        <w:numPr>
          <w:ilvl w:val="0"/>
          <w:numId w:val="13"/>
        </w:numPr>
        <w:spacing w:line="360" w:lineRule="auto"/>
        <w:rPr>
          <w:rFonts w:ascii="宋体" w:hAnsi="宋体" w:cs="宋体"/>
          <w:b/>
          <w:szCs w:val="21"/>
          <w:highlight w:val="none"/>
        </w:rPr>
      </w:pPr>
      <w:r>
        <w:rPr>
          <w:rFonts w:hint="eastAsia" w:ascii="宋体" w:hAnsi="宋体" w:cs="宋体"/>
          <w:b/>
          <w:szCs w:val="21"/>
          <w:highlight w:val="none"/>
        </w:rPr>
        <w:t>适用范围</w:t>
      </w:r>
    </w:p>
    <w:p>
      <w:pPr>
        <w:spacing w:line="360" w:lineRule="auto"/>
        <w:ind w:firstLine="424" w:firstLineChars="200"/>
        <w:rPr>
          <w:rFonts w:ascii="宋体" w:hAnsi="宋体" w:cs="宋体"/>
          <w:highlight w:val="none"/>
        </w:rPr>
      </w:pPr>
      <w:r>
        <w:rPr>
          <w:rFonts w:hint="eastAsia" w:ascii="宋体" w:hAnsi="宋体" w:cs="宋体"/>
          <w:highlight w:val="none"/>
        </w:rPr>
        <w:t>本招标文件适用于本项目的招标、投标、评标、定标、验收、合同履约、付款等行为（法律、法规另有规定的，从其规定）。</w:t>
      </w:r>
    </w:p>
    <w:p>
      <w:pPr>
        <w:spacing w:line="360" w:lineRule="auto"/>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2.</w:t>
      </w:r>
      <w:r>
        <w:rPr>
          <w:rFonts w:ascii="宋体" w:hAnsi="宋体" w:cs="宋体"/>
          <w:b/>
          <w:szCs w:val="21"/>
          <w:highlight w:val="none"/>
        </w:rPr>
        <w:t xml:space="preserve"> </w:t>
      </w:r>
      <w:r>
        <w:rPr>
          <w:rFonts w:hint="eastAsia" w:ascii="宋体" w:hAnsi="宋体" w:cs="宋体"/>
          <w:b/>
          <w:szCs w:val="21"/>
          <w:highlight w:val="none"/>
        </w:rPr>
        <w:t>定义</w:t>
      </w:r>
    </w:p>
    <w:p>
      <w:pPr>
        <w:spacing w:line="360" w:lineRule="auto"/>
        <w:rPr>
          <w:rFonts w:ascii="宋体" w:hAnsi="宋体" w:cs="宋体"/>
          <w:szCs w:val="21"/>
          <w:highlight w:val="none"/>
        </w:rPr>
      </w:pPr>
      <w:r>
        <w:rPr>
          <w:rFonts w:hint="eastAsia" w:ascii="宋体" w:hAnsi="宋体" w:cs="宋体"/>
          <w:b/>
          <w:szCs w:val="21"/>
          <w:highlight w:val="none"/>
        </w:rPr>
        <w:t>2.1</w:t>
      </w:r>
      <w:r>
        <w:rPr>
          <w:rFonts w:hint="eastAsia" w:ascii="宋体" w:hAnsi="宋体" w:cs="宋体"/>
          <w:szCs w:val="21"/>
          <w:highlight w:val="none"/>
        </w:rPr>
        <w:t xml:space="preserve">  “采购人”、“采购代理机构”和“项目名称”：见“投标资料表”。</w:t>
      </w:r>
    </w:p>
    <w:p>
      <w:pPr>
        <w:spacing w:line="360" w:lineRule="auto"/>
        <w:rPr>
          <w:rFonts w:ascii="宋体" w:hAnsi="宋体" w:cs="宋体"/>
          <w:szCs w:val="21"/>
          <w:highlight w:val="none"/>
        </w:rPr>
      </w:pPr>
      <w:r>
        <w:rPr>
          <w:rFonts w:hint="eastAsia" w:ascii="宋体" w:hAnsi="宋体" w:cs="宋体"/>
          <w:b/>
          <w:szCs w:val="21"/>
          <w:highlight w:val="none"/>
        </w:rPr>
        <w:t>2.2</w:t>
      </w:r>
      <w:r>
        <w:rPr>
          <w:rFonts w:hint="eastAsia" w:ascii="宋体" w:hAnsi="宋体" w:cs="宋体"/>
          <w:szCs w:val="21"/>
          <w:highlight w:val="none"/>
        </w:rPr>
        <w:t xml:space="preserve">  “投标人”系指向采购人提交投标文件的单位或个人。</w:t>
      </w:r>
    </w:p>
    <w:p>
      <w:pPr>
        <w:spacing w:line="360" w:lineRule="auto"/>
        <w:rPr>
          <w:rFonts w:ascii="宋体" w:hAnsi="宋体" w:cs="宋体"/>
          <w:szCs w:val="21"/>
          <w:highlight w:val="none"/>
        </w:rPr>
      </w:pPr>
      <w:r>
        <w:rPr>
          <w:rFonts w:hint="eastAsia" w:ascii="宋体" w:hAnsi="宋体" w:cs="宋体"/>
          <w:b/>
          <w:szCs w:val="21"/>
          <w:highlight w:val="none"/>
        </w:rPr>
        <w:t>2.3</w:t>
      </w:r>
      <w:r>
        <w:rPr>
          <w:rFonts w:hint="eastAsia" w:ascii="宋体" w:hAnsi="宋体" w:cs="宋体"/>
          <w:szCs w:val="21"/>
          <w:highlight w:val="none"/>
        </w:rPr>
        <w:t xml:space="preserve">  “产品”系指投标人按招标文件规定，须向采购人提供的一切设备、保险、税金、备品备件、工具、手册及其它有关技术资料和材料。</w:t>
      </w:r>
    </w:p>
    <w:p>
      <w:pPr>
        <w:spacing w:line="360" w:lineRule="auto"/>
        <w:rPr>
          <w:rFonts w:ascii="宋体" w:hAnsi="宋体" w:cs="宋体"/>
          <w:szCs w:val="21"/>
          <w:highlight w:val="none"/>
        </w:rPr>
      </w:pPr>
      <w:r>
        <w:rPr>
          <w:rFonts w:hint="eastAsia" w:ascii="宋体" w:hAnsi="宋体" w:cs="宋体"/>
          <w:b/>
          <w:szCs w:val="21"/>
          <w:highlight w:val="none"/>
        </w:rPr>
        <w:t>2.4</w:t>
      </w:r>
      <w:r>
        <w:rPr>
          <w:rFonts w:hint="eastAsia" w:ascii="宋体" w:hAnsi="宋体" w:cs="宋体"/>
          <w:szCs w:val="21"/>
          <w:highlight w:val="none"/>
        </w:rPr>
        <w:t xml:space="preserve">  “服务”系指招标文件规定投标人须承担的安装、调试、运维、技术协助、校准、培训、技术指导以及其它类似的义务。</w:t>
      </w:r>
    </w:p>
    <w:p>
      <w:pPr>
        <w:spacing w:line="360" w:lineRule="auto"/>
        <w:rPr>
          <w:rFonts w:ascii="宋体" w:hAnsi="宋体" w:cs="宋体"/>
          <w:szCs w:val="21"/>
          <w:highlight w:val="none"/>
        </w:rPr>
      </w:pPr>
      <w:r>
        <w:rPr>
          <w:rFonts w:hint="eastAsia" w:ascii="宋体" w:hAnsi="宋体" w:cs="宋体"/>
          <w:b/>
          <w:szCs w:val="21"/>
          <w:highlight w:val="none"/>
        </w:rPr>
        <w:t>2.5</w:t>
      </w:r>
      <w:r>
        <w:rPr>
          <w:rFonts w:hint="eastAsia" w:ascii="宋体" w:hAnsi="宋体" w:cs="宋体"/>
          <w:szCs w:val="21"/>
          <w:highlight w:val="none"/>
        </w:rPr>
        <w:t xml:space="preserve">  “项目”系指投标人按招标文件规定向采购人提供的货物或服务。</w:t>
      </w:r>
    </w:p>
    <w:p>
      <w:pPr>
        <w:spacing w:line="360" w:lineRule="auto"/>
        <w:rPr>
          <w:rFonts w:ascii="宋体" w:hAnsi="宋体" w:cs="宋体"/>
          <w:szCs w:val="21"/>
          <w:highlight w:val="none"/>
        </w:rPr>
      </w:pPr>
      <w:r>
        <w:rPr>
          <w:rFonts w:hint="eastAsia" w:ascii="宋体" w:hAnsi="宋体" w:cs="宋体"/>
          <w:b/>
          <w:szCs w:val="21"/>
          <w:highlight w:val="none"/>
        </w:rPr>
        <w:t>2.6</w:t>
      </w:r>
      <w:r>
        <w:rPr>
          <w:rFonts w:hint="eastAsia" w:ascii="宋体" w:hAnsi="宋体" w:cs="宋体"/>
          <w:szCs w:val="21"/>
          <w:highlight w:val="none"/>
        </w:rPr>
        <w:t xml:space="preserve">  “书面形式”包括信函、传真、邮件等。</w:t>
      </w:r>
    </w:p>
    <w:p>
      <w:pPr>
        <w:spacing w:line="360" w:lineRule="auto"/>
        <w:rPr>
          <w:rFonts w:ascii="宋体" w:hAnsi="宋体" w:cs="宋体"/>
          <w:b/>
          <w:szCs w:val="21"/>
          <w:highlight w:val="none"/>
        </w:rPr>
      </w:pPr>
      <w:r>
        <w:rPr>
          <w:rFonts w:hint="eastAsia" w:ascii="宋体" w:hAnsi="宋体" w:cs="宋体"/>
          <w:b/>
          <w:szCs w:val="21"/>
          <w:highlight w:val="none"/>
        </w:rPr>
        <w:t>2.7</w:t>
      </w:r>
      <w:r>
        <w:rPr>
          <w:rFonts w:hint="eastAsia" w:ascii="宋体" w:hAnsi="宋体" w:cs="宋体"/>
          <w:szCs w:val="21"/>
          <w:highlight w:val="none"/>
        </w:rPr>
        <w:t xml:space="preserve">  “★”系指实质性要求条款。投标文件对这些条款的任何负偏离将导致投标无效。</w:t>
      </w:r>
    </w:p>
    <w:p>
      <w:pPr>
        <w:spacing w:line="360" w:lineRule="auto"/>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3.</w:t>
      </w:r>
      <w:r>
        <w:rPr>
          <w:rFonts w:ascii="宋体" w:hAnsi="宋体" w:cs="宋体"/>
          <w:b/>
          <w:szCs w:val="21"/>
          <w:highlight w:val="none"/>
        </w:rPr>
        <w:t xml:space="preserve"> </w:t>
      </w:r>
      <w:r>
        <w:rPr>
          <w:rFonts w:hint="eastAsia" w:ascii="宋体" w:hAnsi="宋体" w:cs="宋体"/>
          <w:b/>
          <w:szCs w:val="21"/>
          <w:highlight w:val="none"/>
        </w:rPr>
        <w:t>招标范围</w:t>
      </w:r>
    </w:p>
    <w:p>
      <w:pPr>
        <w:spacing w:line="360" w:lineRule="auto"/>
        <w:rPr>
          <w:rFonts w:ascii="宋体" w:hAnsi="宋体" w:cs="宋体"/>
          <w:highlight w:val="none"/>
        </w:rPr>
      </w:pPr>
      <w:r>
        <w:rPr>
          <w:rFonts w:hint="eastAsia" w:ascii="宋体" w:hAnsi="宋体" w:cs="宋体"/>
          <w:b/>
          <w:szCs w:val="21"/>
          <w:highlight w:val="none"/>
        </w:rPr>
        <w:t xml:space="preserve">3.1  </w:t>
      </w:r>
      <w:r>
        <w:rPr>
          <w:rFonts w:hint="eastAsia" w:ascii="宋体" w:hAnsi="宋体" w:cs="宋体"/>
          <w:highlight w:val="none"/>
        </w:rPr>
        <w:t>招标范围：见“投标资料表”。</w:t>
      </w:r>
    </w:p>
    <w:p>
      <w:pPr>
        <w:spacing w:line="360" w:lineRule="auto"/>
        <w:rPr>
          <w:rFonts w:ascii="宋体" w:hAnsi="宋体" w:cs="宋体"/>
          <w:highlight w:val="none"/>
        </w:rPr>
      </w:pPr>
      <w:r>
        <w:rPr>
          <w:rFonts w:hint="eastAsia" w:ascii="宋体" w:hAnsi="宋体" w:cs="宋体"/>
          <w:b/>
          <w:szCs w:val="21"/>
          <w:highlight w:val="none"/>
        </w:rPr>
        <w:t>3.2</w:t>
      </w:r>
      <w:r>
        <w:rPr>
          <w:rFonts w:hint="eastAsia" w:ascii="宋体" w:hAnsi="宋体" w:cs="宋体"/>
          <w:highlight w:val="none"/>
        </w:rPr>
        <w:t xml:space="preserve">  本项目不得转包。</w:t>
      </w:r>
    </w:p>
    <w:p>
      <w:pPr>
        <w:spacing w:line="360" w:lineRule="auto"/>
        <w:ind w:firstLine="212" w:firstLineChars="100"/>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4.</w:t>
      </w:r>
      <w:r>
        <w:rPr>
          <w:rFonts w:ascii="宋体" w:hAnsi="宋体" w:cs="宋体"/>
          <w:b/>
          <w:szCs w:val="21"/>
          <w:highlight w:val="none"/>
        </w:rPr>
        <w:t xml:space="preserve"> </w:t>
      </w:r>
      <w:r>
        <w:rPr>
          <w:rFonts w:hint="eastAsia" w:ascii="宋体" w:hAnsi="宋体" w:cs="宋体"/>
          <w:b/>
          <w:szCs w:val="21"/>
          <w:highlight w:val="none"/>
        </w:rPr>
        <w:t>合格的投标人</w:t>
      </w:r>
    </w:p>
    <w:p>
      <w:pPr>
        <w:spacing w:line="360" w:lineRule="auto"/>
        <w:rPr>
          <w:rFonts w:ascii="宋体" w:hAnsi="宋体" w:cs="宋体"/>
          <w:szCs w:val="21"/>
          <w:highlight w:val="none"/>
        </w:rPr>
      </w:pPr>
      <w:r>
        <w:rPr>
          <w:rFonts w:hint="eastAsia" w:ascii="宋体" w:hAnsi="宋体" w:cs="宋体"/>
          <w:b/>
          <w:szCs w:val="21"/>
          <w:highlight w:val="none"/>
        </w:rPr>
        <w:t xml:space="preserve">4.1  </w:t>
      </w:r>
      <w:r>
        <w:rPr>
          <w:rFonts w:hint="eastAsia" w:ascii="宋体" w:hAnsi="宋体" w:cs="宋体"/>
          <w:szCs w:val="21"/>
          <w:highlight w:val="none"/>
        </w:rPr>
        <w:t>合格的投标人应该是：</w:t>
      </w:r>
    </w:p>
    <w:p>
      <w:pPr>
        <w:spacing w:line="440" w:lineRule="exact"/>
        <w:ind w:firstLine="424" w:firstLineChars="200"/>
        <w:rPr>
          <w:rFonts w:ascii="宋体" w:hAnsi="宋体" w:cs="宋体"/>
          <w:szCs w:val="21"/>
          <w:highlight w:val="none"/>
        </w:rPr>
      </w:pPr>
      <w:r>
        <w:rPr>
          <w:rFonts w:hint="eastAsia" w:ascii="宋体" w:hAnsi="宋体" w:cs="宋体"/>
          <w:szCs w:val="21"/>
          <w:highlight w:val="none"/>
        </w:rPr>
        <w:t>具有提供本次招标服务内容能力，具有合法营销资格，并独立于采购人和采购代理机构的中国境内企业、其它组织或者自然人。金融、保险、通讯等特定行业的全国性企业所设立的区域性分支机构可以投标，但需依法办理工商、税务和社保登记手续，并获得总机构授权或者能够提供房产权证或其他有效财产证明材料，证明其具备实际承担责任的能力和法定的缔结合同能力。</w:t>
      </w:r>
    </w:p>
    <w:p>
      <w:pPr>
        <w:spacing w:line="440" w:lineRule="exact"/>
        <w:ind w:firstLine="424" w:firstLineChars="200"/>
        <w:rPr>
          <w:rFonts w:ascii="宋体" w:hAnsi="宋体" w:cs="宋体"/>
          <w:szCs w:val="21"/>
          <w:highlight w:val="none"/>
        </w:rPr>
      </w:pPr>
      <w:r>
        <w:rPr>
          <w:rFonts w:hint="eastAsia" w:ascii="宋体" w:hAnsi="宋体" w:cs="宋体"/>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40" w:lineRule="exact"/>
        <w:ind w:firstLine="424" w:firstLineChars="200"/>
        <w:rPr>
          <w:rFonts w:ascii="宋体" w:hAnsi="宋体" w:cs="宋体"/>
          <w:szCs w:val="21"/>
          <w:highlight w:val="none"/>
        </w:rPr>
      </w:pPr>
      <w:r>
        <w:rPr>
          <w:rFonts w:hint="eastAsia" w:ascii="宋体" w:hAnsi="宋体" w:cs="宋体"/>
          <w:szCs w:val="21"/>
          <w:highlight w:val="none"/>
        </w:rPr>
        <w:t>投标人应遵守国家有关的法律、法规、规章等相关文件的规定，具有健全的财务会计制度、依法缴纳税收和社会保障资金、参加本次采购活动之前的三年内，在经营活动中无重大违法记录，在招标投标活动中无欺诈和腐败行为。</w:t>
      </w:r>
    </w:p>
    <w:p>
      <w:pPr>
        <w:spacing w:line="440" w:lineRule="exact"/>
        <w:ind w:firstLine="424" w:firstLineChars="200"/>
        <w:rPr>
          <w:rFonts w:ascii="宋体" w:hAnsi="宋体" w:cs="宋体"/>
          <w:b/>
          <w:szCs w:val="21"/>
          <w:highlight w:val="none"/>
        </w:rPr>
      </w:pPr>
      <w:r>
        <w:rPr>
          <w:rFonts w:hint="eastAsia" w:ascii="宋体" w:hAnsi="宋体" w:cs="宋体"/>
          <w:b/>
          <w:szCs w:val="21"/>
          <w:highlight w:val="none"/>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pPr>
        <w:spacing w:line="400" w:lineRule="exact"/>
        <w:rPr>
          <w:rFonts w:ascii="宋体" w:hAnsi="宋体" w:cs="宋体"/>
          <w:szCs w:val="21"/>
          <w:highlight w:val="none"/>
        </w:rPr>
      </w:pPr>
      <w:r>
        <w:rPr>
          <w:rFonts w:hint="eastAsia" w:ascii="宋体" w:hAnsi="宋体" w:cs="宋体"/>
          <w:b/>
          <w:szCs w:val="21"/>
          <w:highlight w:val="none"/>
        </w:rPr>
        <w:t>4.2</w:t>
      </w:r>
      <w:r>
        <w:rPr>
          <w:rFonts w:hint="eastAsia" w:ascii="宋体" w:hAnsi="宋体" w:cs="宋体"/>
          <w:szCs w:val="21"/>
          <w:highlight w:val="none"/>
        </w:rPr>
        <w:t xml:space="preserve">  符合本招标文件载明的对上述</w:t>
      </w:r>
      <w:r>
        <w:rPr>
          <w:rFonts w:hint="eastAsia" w:ascii="宋体" w:hAnsi="宋体" w:cs="宋体"/>
          <w:b/>
          <w:szCs w:val="21"/>
          <w:highlight w:val="none"/>
        </w:rPr>
        <w:t>4.1</w:t>
      </w:r>
      <w:r>
        <w:rPr>
          <w:rFonts w:hint="eastAsia" w:ascii="宋体" w:hAnsi="宋体" w:cs="宋体"/>
          <w:szCs w:val="21"/>
          <w:highlight w:val="none"/>
        </w:rPr>
        <w:t>条的例外的规定或对投标人资格的其他补充要求：详见招标公告。</w:t>
      </w:r>
    </w:p>
    <w:p>
      <w:pPr>
        <w:spacing w:line="400" w:lineRule="exact"/>
        <w:rPr>
          <w:rFonts w:ascii="宋体" w:hAnsi="宋体" w:cs="宋体"/>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5.</w:t>
      </w:r>
      <w:r>
        <w:rPr>
          <w:rFonts w:ascii="宋体" w:hAnsi="宋体" w:cs="宋体"/>
          <w:b/>
          <w:szCs w:val="21"/>
          <w:highlight w:val="none"/>
        </w:rPr>
        <w:t xml:space="preserve"> </w:t>
      </w:r>
      <w:r>
        <w:rPr>
          <w:rFonts w:hint="eastAsia" w:ascii="宋体" w:hAnsi="宋体" w:cs="宋体"/>
          <w:b/>
          <w:szCs w:val="21"/>
          <w:highlight w:val="none"/>
        </w:rPr>
        <w:t>投标人代表</w:t>
      </w:r>
    </w:p>
    <w:p>
      <w:pPr>
        <w:spacing w:line="400" w:lineRule="exact"/>
        <w:rPr>
          <w:rFonts w:ascii="宋体" w:hAnsi="宋体" w:cs="宋体"/>
          <w:szCs w:val="21"/>
          <w:highlight w:val="none"/>
        </w:rPr>
      </w:pPr>
      <w:r>
        <w:rPr>
          <w:rFonts w:hint="eastAsia" w:ascii="宋体" w:hAnsi="宋体" w:cs="宋体"/>
          <w:b/>
          <w:szCs w:val="21"/>
          <w:highlight w:val="none"/>
        </w:rPr>
        <w:t>5.1</w:t>
      </w:r>
      <w:r>
        <w:rPr>
          <w:rFonts w:hint="eastAsia" w:ascii="宋体" w:hAnsi="宋体" w:cs="宋体"/>
          <w:szCs w:val="21"/>
          <w:highlight w:val="none"/>
        </w:rPr>
        <w:t xml:space="preserve">  投标人代表须持有“单位负责人授权书”。单位负责人是指单位法定代表人或者法律、行政法规规定代表单位行使职权的主要负责人（下同）。</w:t>
      </w:r>
    </w:p>
    <w:p>
      <w:pPr>
        <w:spacing w:line="400" w:lineRule="exact"/>
        <w:rPr>
          <w:rFonts w:ascii="宋体" w:hAnsi="宋体" w:cs="宋体"/>
          <w:szCs w:val="21"/>
          <w:highlight w:val="none"/>
          <w:shd w:val="pct10" w:color="auto" w:fill="FFFFFF"/>
        </w:rPr>
      </w:pPr>
      <w:r>
        <w:rPr>
          <w:rFonts w:hint="eastAsia" w:ascii="宋体" w:hAnsi="宋体" w:cs="宋体"/>
          <w:b/>
          <w:szCs w:val="21"/>
          <w:highlight w:val="none"/>
        </w:rPr>
        <w:t xml:space="preserve">5.2  </w:t>
      </w:r>
      <w:r>
        <w:rPr>
          <w:rFonts w:hint="eastAsia" w:ascii="宋体" w:hAnsi="宋体" w:cs="宋体"/>
          <w:szCs w:val="21"/>
          <w:highlight w:val="none"/>
        </w:rPr>
        <w:t>若投标人代表是单位负责人的，则须符合本须知第</w:t>
      </w:r>
      <w:r>
        <w:rPr>
          <w:rFonts w:hint="eastAsia" w:ascii="宋体" w:hAnsi="宋体" w:cs="宋体"/>
          <w:b/>
          <w:szCs w:val="21"/>
          <w:highlight w:val="none"/>
        </w:rPr>
        <w:t>9.1</w:t>
      </w:r>
      <w:r>
        <w:rPr>
          <w:rFonts w:hint="eastAsia" w:ascii="宋体" w:hAnsi="宋体" w:cs="宋体"/>
          <w:szCs w:val="21"/>
          <w:highlight w:val="none"/>
        </w:rPr>
        <w:t>条的要求。</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b/>
          <w:szCs w:val="21"/>
          <w:highlight w:val="none"/>
        </w:rPr>
        <w:t>6.</w:t>
      </w:r>
      <w:r>
        <w:rPr>
          <w:rFonts w:ascii="宋体" w:hAnsi="宋体" w:cs="宋体"/>
          <w:b/>
          <w:szCs w:val="21"/>
          <w:highlight w:val="none"/>
        </w:rPr>
        <w:t xml:space="preserve"> </w:t>
      </w:r>
      <w:r>
        <w:rPr>
          <w:rFonts w:hint="eastAsia" w:ascii="宋体" w:hAnsi="宋体" w:cs="宋体"/>
          <w:b/>
          <w:szCs w:val="21"/>
          <w:highlight w:val="none"/>
        </w:rPr>
        <w:t>投标费用</w:t>
      </w:r>
    </w:p>
    <w:p>
      <w:pPr>
        <w:spacing w:line="400" w:lineRule="exact"/>
        <w:rPr>
          <w:rFonts w:ascii="宋体" w:hAnsi="宋体" w:cs="宋体"/>
          <w:szCs w:val="21"/>
          <w:highlight w:val="none"/>
        </w:rPr>
      </w:pPr>
      <w:r>
        <w:rPr>
          <w:rFonts w:hint="eastAsia" w:ascii="宋体" w:hAnsi="宋体" w:cs="宋体"/>
          <w:b/>
          <w:szCs w:val="21"/>
          <w:highlight w:val="none"/>
        </w:rPr>
        <w:t>6.1</w:t>
      </w:r>
      <w:r>
        <w:rPr>
          <w:rFonts w:hint="eastAsia" w:ascii="宋体" w:hAnsi="宋体" w:cs="宋体"/>
          <w:szCs w:val="21"/>
          <w:highlight w:val="none"/>
        </w:rPr>
        <w:t xml:space="preserve">  不论招标的结果如何，投标人自行承担其参加本次投标有关的全部费用。</w:t>
      </w:r>
    </w:p>
    <w:p>
      <w:pPr>
        <w:spacing w:line="400" w:lineRule="exact"/>
        <w:jc w:val="center"/>
        <w:rPr>
          <w:rFonts w:ascii="宋体" w:hAnsi="宋体" w:cs="宋体"/>
          <w:b/>
          <w:sz w:val="28"/>
          <w:highlight w:val="none"/>
        </w:rPr>
      </w:pPr>
    </w:p>
    <w:p>
      <w:pPr>
        <w:jc w:val="center"/>
        <w:outlineLvl w:val="1"/>
        <w:rPr>
          <w:rFonts w:ascii="宋体" w:hAnsi="宋体" w:cs="宋体"/>
          <w:b/>
          <w:sz w:val="28"/>
          <w:highlight w:val="none"/>
        </w:rPr>
      </w:pPr>
      <w:bookmarkStart w:id="262" w:name="_Toc513799072"/>
      <w:bookmarkStart w:id="263" w:name="_Toc520902395"/>
      <w:bookmarkStart w:id="264" w:name="_Toc440276562"/>
      <w:bookmarkStart w:id="265" w:name="_Toc513798901"/>
      <w:r>
        <w:rPr>
          <w:rFonts w:hint="eastAsia" w:ascii="宋体" w:hAnsi="宋体" w:cs="宋体"/>
          <w:b/>
          <w:sz w:val="28"/>
          <w:highlight w:val="none"/>
        </w:rPr>
        <w:t>B  招标文件</w:t>
      </w:r>
      <w:bookmarkEnd w:id="262"/>
      <w:bookmarkEnd w:id="263"/>
      <w:bookmarkEnd w:id="264"/>
      <w:bookmarkEnd w:id="265"/>
    </w:p>
    <w:p>
      <w:pPr>
        <w:spacing w:line="400" w:lineRule="exact"/>
        <w:rPr>
          <w:rFonts w:ascii="宋体" w:hAnsi="宋体" w:cs="宋体"/>
          <w:szCs w:val="21"/>
          <w:highlight w:val="none"/>
        </w:rPr>
      </w:pPr>
      <w:r>
        <w:rPr>
          <w:rFonts w:hint="eastAsia" w:ascii="宋体" w:hAnsi="宋体" w:cs="宋体"/>
          <w:b/>
          <w:szCs w:val="21"/>
          <w:highlight w:val="none"/>
        </w:rPr>
        <w:t>7.</w:t>
      </w:r>
      <w:r>
        <w:rPr>
          <w:rFonts w:ascii="宋体" w:hAnsi="宋体" w:cs="宋体"/>
          <w:b/>
          <w:szCs w:val="21"/>
          <w:highlight w:val="none"/>
        </w:rPr>
        <w:t xml:space="preserve"> </w:t>
      </w:r>
      <w:r>
        <w:rPr>
          <w:rFonts w:hint="eastAsia" w:ascii="宋体" w:hAnsi="宋体" w:cs="宋体"/>
          <w:b/>
          <w:szCs w:val="21"/>
          <w:highlight w:val="none"/>
        </w:rPr>
        <w:t>招标文件的构成</w:t>
      </w:r>
    </w:p>
    <w:p>
      <w:pPr>
        <w:spacing w:line="400" w:lineRule="exact"/>
        <w:rPr>
          <w:rFonts w:ascii="宋体" w:hAnsi="宋体" w:cs="宋体"/>
          <w:szCs w:val="21"/>
          <w:highlight w:val="none"/>
        </w:rPr>
      </w:pPr>
      <w:r>
        <w:rPr>
          <w:rFonts w:hint="eastAsia" w:ascii="宋体" w:hAnsi="宋体" w:cs="宋体"/>
          <w:b/>
          <w:szCs w:val="21"/>
          <w:highlight w:val="none"/>
        </w:rPr>
        <w:t>7.1</w:t>
      </w:r>
      <w:r>
        <w:rPr>
          <w:rFonts w:ascii="宋体" w:hAnsi="宋体" w:cs="宋体"/>
          <w:b/>
          <w:szCs w:val="21"/>
          <w:highlight w:val="none"/>
        </w:rPr>
        <w:t xml:space="preserve">  </w:t>
      </w:r>
      <w:r>
        <w:rPr>
          <w:rFonts w:hint="eastAsia" w:ascii="宋体" w:hAnsi="宋体" w:cs="宋体"/>
          <w:szCs w:val="21"/>
          <w:highlight w:val="none"/>
        </w:rPr>
        <w:t>招标文件共有七部分。内容如下：</w:t>
      </w:r>
    </w:p>
    <w:p>
      <w:pPr>
        <w:spacing w:line="400" w:lineRule="exact"/>
        <w:ind w:left="284" w:leftChars="134"/>
        <w:rPr>
          <w:rFonts w:ascii="宋体" w:hAnsi="宋体" w:cs="宋体"/>
          <w:szCs w:val="21"/>
          <w:highlight w:val="none"/>
        </w:rPr>
      </w:pPr>
      <w:r>
        <w:rPr>
          <w:rFonts w:hint="eastAsia" w:ascii="宋体" w:hAnsi="宋体" w:cs="宋体"/>
          <w:szCs w:val="21"/>
          <w:highlight w:val="none"/>
        </w:rPr>
        <w:t>第一部分  采购公告</w:t>
      </w:r>
    </w:p>
    <w:p>
      <w:pPr>
        <w:spacing w:line="400" w:lineRule="exact"/>
        <w:ind w:left="284" w:leftChars="134"/>
        <w:rPr>
          <w:rFonts w:ascii="宋体" w:hAnsi="宋体" w:cs="宋体"/>
          <w:szCs w:val="21"/>
          <w:highlight w:val="none"/>
        </w:rPr>
      </w:pPr>
      <w:r>
        <w:rPr>
          <w:rFonts w:hint="eastAsia" w:ascii="宋体" w:hAnsi="宋体" w:cs="宋体"/>
          <w:szCs w:val="21"/>
          <w:highlight w:val="none"/>
        </w:rPr>
        <w:t>第二部分  招标项目需求</w:t>
      </w:r>
    </w:p>
    <w:p>
      <w:pPr>
        <w:spacing w:line="400" w:lineRule="exact"/>
        <w:ind w:left="284" w:leftChars="134"/>
        <w:rPr>
          <w:rFonts w:ascii="宋体" w:hAnsi="宋体" w:cs="宋体"/>
          <w:szCs w:val="21"/>
          <w:highlight w:val="none"/>
        </w:rPr>
      </w:pPr>
      <w:r>
        <w:rPr>
          <w:rFonts w:hint="eastAsia" w:ascii="宋体" w:hAnsi="宋体" w:cs="宋体"/>
          <w:szCs w:val="21"/>
          <w:highlight w:val="none"/>
        </w:rPr>
        <w:t>第三部分  投标资料表</w:t>
      </w:r>
    </w:p>
    <w:p>
      <w:pPr>
        <w:spacing w:line="400" w:lineRule="exact"/>
        <w:ind w:left="284" w:leftChars="134"/>
        <w:rPr>
          <w:rFonts w:ascii="宋体" w:hAnsi="宋体" w:cs="宋体"/>
          <w:szCs w:val="21"/>
          <w:highlight w:val="none"/>
        </w:rPr>
      </w:pPr>
      <w:r>
        <w:rPr>
          <w:rFonts w:hint="eastAsia" w:ascii="宋体" w:hAnsi="宋体" w:cs="宋体"/>
          <w:szCs w:val="21"/>
          <w:highlight w:val="none"/>
        </w:rPr>
        <w:t>第四部分  投标人须知</w:t>
      </w:r>
    </w:p>
    <w:p>
      <w:pPr>
        <w:spacing w:line="400" w:lineRule="exact"/>
        <w:ind w:left="284" w:leftChars="134"/>
        <w:rPr>
          <w:rFonts w:ascii="宋体" w:hAnsi="宋体" w:cs="宋体"/>
          <w:szCs w:val="21"/>
          <w:highlight w:val="none"/>
        </w:rPr>
      </w:pPr>
      <w:r>
        <w:rPr>
          <w:rFonts w:hint="eastAsia" w:ascii="宋体" w:hAnsi="宋体" w:cs="宋体"/>
          <w:szCs w:val="21"/>
          <w:highlight w:val="none"/>
        </w:rPr>
        <w:t>第五部分  评标办法</w:t>
      </w:r>
    </w:p>
    <w:p>
      <w:pPr>
        <w:spacing w:line="400" w:lineRule="exact"/>
        <w:ind w:left="284" w:leftChars="134"/>
        <w:rPr>
          <w:rFonts w:ascii="宋体" w:hAnsi="宋体" w:cs="宋体"/>
          <w:szCs w:val="21"/>
          <w:highlight w:val="none"/>
        </w:rPr>
      </w:pPr>
      <w:r>
        <w:rPr>
          <w:rFonts w:hint="eastAsia" w:ascii="宋体" w:hAnsi="宋体" w:cs="宋体"/>
          <w:szCs w:val="21"/>
          <w:highlight w:val="none"/>
        </w:rPr>
        <w:t>第六部分  合同格式</w:t>
      </w:r>
    </w:p>
    <w:p>
      <w:pPr>
        <w:spacing w:line="400" w:lineRule="exact"/>
        <w:ind w:left="284" w:leftChars="134"/>
        <w:rPr>
          <w:rFonts w:ascii="宋体" w:hAnsi="宋体" w:cs="宋体"/>
          <w:szCs w:val="21"/>
          <w:highlight w:val="none"/>
        </w:rPr>
      </w:pPr>
      <w:r>
        <w:rPr>
          <w:rFonts w:hint="eastAsia" w:ascii="宋体" w:hAnsi="宋体" w:cs="宋体"/>
          <w:szCs w:val="21"/>
          <w:highlight w:val="none"/>
        </w:rPr>
        <w:t>第七部分  附件（投标文件格式）</w:t>
      </w:r>
    </w:p>
    <w:p>
      <w:pPr>
        <w:spacing w:line="400" w:lineRule="exact"/>
        <w:ind w:firstLine="466" w:firstLineChars="220"/>
        <w:rPr>
          <w:rFonts w:ascii="宋体" w:hAnsi="宋体" w:cs="宋体"/>
          <w:b/>
          <w:szCs w:val="21"/>
          <w:highlight w:val="none"/>
        </w:rPr>
      </w:pPr>
      <w:r>
        <w:rPr>
          <w:rFonts w:hint="eastAsia" w:ascii="宋体" w:hAnsi="宋体" w:cs="宋体"/>
          <w:b/>
          <w:szCs w:val="21"/>
          <w:highlight w:val="none"/>
        </w:rPr>
        <w:t>投标人应详细阅读招标文件的全部内容和要求，不按招标文件的要求提供投标文件和资料导致的风险由投标人承担。</w:t>
      </w:r>
    </w:p>
    <w:p>
      <w:pPr>
        <w:spacing w:line="400" w:lineRule="exact"/>
        <w:ind w:firstLine="212" w:firstLineChars="100"/>
        <w:rPr>
          <w:rFonts w:ascii="宋体" w:hAnsi="宋体" w:cs="宋体"/>
          <w:b/>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8.</w:t>
      </w:r>
      <w:r>
        <w:rPr>
          <w:rFonts w:ascii="宋体" w:hAnsi="宋体" w:cs="宋体"/>
          <w:b/>
          <w:szCs w:val="21"/>
          <w:highlight w:val="none"/>
        </w:rPr>
        <w:t xml:space="preserve"> </w:t>
      </w:r>
      <w:r>
        <w:rPr>
          <w:rFonts w:hint="eastAsia" w:ascii="宋体" w:hAnsi="宋体" w:cs="宋体"/>
          <w:b/>
          <w:szCs w:val="21"/>
          <w:highlight w:val="none"/>
        </w:rPr>
        <w:t>招标文件的澄清和修改</w:t>
      </w:r>
    </w:p>
    <w:p>
      <w:pPr>
        <w:spacing w:line="400" w:lineRule="exact"/>
        <w:rPr>
          <w:rFonts w:ascii="宋体" w:hAnsi="宋体" w:cs="宋体"/>
          <w:szCs w:val="21"/>
          <w:highlight w:val="none"/>
        </w:rPr>
      </w:pPr>
      <w:r>
        <w:rPr>
          <w:rFonts w:hint="eastAsia" w:ascii="宋体" w:hAnsi="宋体" w:cs="宋体"/>
          <w:b/>
          <w:szCs w:val="21"/>
          <w:highlight w:val="none"/>
        </w:rPr>
        <w:t>8.1</w:t>
      </w:r>
      <w:r>
        <w:rPr>
          <w:rFonts w:ascii="宋体" w:hAnsi="宋体" w:cs="宋体"/>
          <w:b/>
          <w:szCs w:val="21"/>
          <w:highlight w:val="none"/>
        </w:rPr>
        <w:t xml:space="preserve">  </w:t>
      </w:r>
      <w:r>
        <w:rPr>
          <w:rFonts w:hint="eastAsia" w:ascii="宋体" w:hAnsi="宋体" w:cs="宋体"/>
          <w:szCs w:val="21"/>
          <w:highlight w:val="none"/>
        </w:rPr>
        <w:t>采购人或者采购代理机构可以在招标文件提供期限截止后，组织已获取招标文件的潜在投标人现场考察或者召开开标前答疑会。组织现场考察或者召开答疑会的在招标文件“投标资料表”中载明，或者在招标文件提供期限截止后以书面形式通知所有获取招标文件的潜在投标人。</w:t>
      </w:r>
    </w:p>
    <w:p>
      <w:pPr>
        <w:spacing w:line="400" w:lineRule="exact"/>
        <w:rPr>
          <w:rFonts w:ascii="宋体" w:hAnsi="宋体" w:cs="宋体"/>
          <w:szCs w:val="21"/>
          <w:highlight w:val="none"/>
        </w:rPr>
      </w:pPr>
      <w:r>
        <w:rPr>
          <w:rFonts w:hint="eastAsia" w:ascii="宋体" w:hAnsi="宋体" w:cs="宋体"/>
          <w:b/>
          <w:szCs w:val="21"/>
          <w:highlight w:val="none"/>
        </w:rPr>
        <w:t xml:space="preserve">8.2  </w:t>
      </w:r>
      <w:r>
        <w:rPr>
          <w:rFonts w:hint="eastAsia" w:ascii="宋体" w:hAnsi="宋体" w:cs="宋体"/>
          <w:szCs w:val="21"/>
          <w:highlight w:val="none"/>
        </w:rPr>
        <w:t>若潜在投标人对招标文件有疑点，要求采购人澄清的，应以书面形式通知采购代理机构，要求澄清的截止时间同有效质疑的截止时间。</w:t>
      </w:r>
    </w:p>
    <w:p>
      <w:pPr>
        <w:spacing w:line="400" w:lineRule="exact"/>
        <w:rPr>
          <w:rFonts w:ascii="宋体" w:hAnsi="宋体" w:cs="宋体"/>
          <w:szCs w:val="21"/>
          <w:highlight w:val="none"/>
        </w:rPr>
      </w:pPr>
      <w:r>
        <w:rPr>
          <w:rFonts w:hint="eastAsia" w:ascii="宋体" w:hAnsi="宋体" w:cs="宋体"/>
          <w:b/>
          <w:szCs w:val="21"/>
          <w:highlight w:val="none"/>
        </w:rPr>
        <w:t>8.3</w:t>
      </w:r>
      <w:r>
        <w:rPr>
          <w:rFonts w:hint="eastAsia" w:ascii="宋体" w:hAnsi="宋体" w:cs="宋体"/>
          <w:szCs w:val="21"/>
          <w:highlight w:val="none"/>
        </w:rPr>
        <w:t xml:space="preserve">  采购人或者采购代理机构可以对已发出的招标文件进行必要的澄清或者修改，但不得改变采购标的和资格条件。澄清或者修改在原公告发布媒体上发布澄清公告。澄清或者修改的内容为招标文件的组成部分。</w:t>
      </w:r>
    </w:p>
    <w:p>
      <w:pPr>
        <w:spacing w:line="400" w:lineRule="exact"/>
        <w:rPr>
          <w:rFonts w:ascii="宋体" w:hAnsi="宋体" w:cs="宋体"/>
          <w:szCs w:val="21"/>
          <w:highlight w:val="none"/>
        </w:rPr>
      </w:pPr>
      <w:r>
        <w:rPr>
          <w:rFonts w:hint="eastAsia" w:ascii="宋体" w:hAnsi="宋体" w:cs="宋体"/>
          <w:b/>
          <w:szCs w:val="21"/>
          <w:highlight w:val="none"/>
        </w:rPr>
        <w:t>8.4</w:t>
      </w:r>
      <w:r>
        <w:rPr>
          <w:rFonts w:hint="eastAsia" w:ascii="宋体" w:hAnsi="宋体" w:cs="宋体"/>
          <w:szCs w:val="21"/>
          <w:highlight w:val="none"/>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pPr>
        <w:spacing w:line="400" w:lineRule="exact"/>
        <w:rPr>
          <w:rFonts w:ascii="宋体" w:hAnsi="宋体" w:cs="宋体"/>
          <w:szCs w:val="21"/>
          <w:highlight w:val="none"/>
        </w:rPr>
      </w:pPr>
      <w:r>
        <w:rPr>
          <w:rFonts w:hint="eastAsia" w:ascii="宋体" w:hAnsi="宋体" w:cs="宋体"/>
          <w:b/>
          <w:szCs w:val="21"/>
          <w:highlight w:val="none"/>
        </w:rPr>
        <w:t>8.5</w:t>
      </w:r>
      <w:r>
        <w:rPr>
          <w:rFonts w:hint="eastAsia" w:ascii="宋体" w:hAnsi="宋体" w:cs="宋体"/>
          <w:szCs w:val="21"/>
          <w:highlight w:val="none"/>
        </w:rPr>
        <w:t xml:space="preserve">  潜在投标人收到招标文件澄清或修改通知，或推迟截标和开标时间通知后，应在通知单回执上明示意见、盖上投标人单位公章，以书面形式（纸质、传真或电子邮件形式）回复采购代理机构。</w:t>
      </w:r>
    </w:p>
    <w:p>
      <w:pPr>
        <w:spacing w:line="400" w:lineRule="exact"/>
        <w:rPr>
          <w:rFonts w:ascii="宋体" w:hAnsi="宋体" w:cs="宋体"/>
          <w:szCs w:val="24"/>
          <w:highlight w:val="none"/>
          <w:u w:val="single"/>
        </w:rPr>
      </w:pPr>
    </w:p>
    <w:p>
      <w:pPr>
        <w:jc w:val="center"/>
        <w:outlineLvl w:val="1"/>
        <w:rPr>
          <w:rFonts w:ascii="宋体" w:hAnsi="宋体" w:cs="宋体"/>
          <w:b/>
          <w:sz w:val="28"/>
          <w:highlight w:val="none"/>
        </w:rPr>
      </w:pPr>
      <w:bookmarkStart w:id="266" w:name="_Toc520902396"/>
      <w:bookmarkStart w:id="267" w:name="_Toc513798902"/>
      <w:bookmarkStart w:id="268" w:name="_Toc440276563"/>
      <w:bookmarkStart w:id="269" w:name="_Toc513799073"/>
      <w:r>
        <w:rPr>
          <w:rFonts w:hint="eastAsia" w:ascii="宋体" w:hAnsi="宋体" w:cs="宋体"/>
          <w:b/>
          <w:sz w:val="28"/>
          <w:highlight w:val="none"/>
        </w:rPr>
        <w:t>C  投标文件</w:t>
      </w:r>
      <w:bookmarkEnd w:id="266"/>
      <w:bookmarkEnd w:id="267"/>
      <w:bookmarkEnd w:id="268"/>
      <w:bookmarkEnd w:id="269"/>
    </w:p>
    <w:p>
      <w:pPr>
        <w:spacing w:line="360" w:lineRule="auto"/>
        <w:rPr>
          <w:rFonts w:ascii="宋体" w:hAnsi="宋体" w:cs="宋体"/>
          <w:b/>
          <w:szCs w:val="21"/>
          <w:highlight w:val="none"/>
        </w:rPr>
      </w:pPr>
      <w:r>
        <w:rPr>
          <w:rFonts w:hint="eastAsia" w:ascii="宋体" w:hAnsi="宋体" w:cs="宋体"/>
          <w:b/>
          <w:szCs w:val="21"/>
          <w:highlight w:val="none"/>
        </w:rPr>
        <w:t>9. 投标文件的组成</w:t>
      </w:r>
    </w:p>
    <w:p>
      <w:pPr>
        <w:spacing w:line="400" w:lineRule="exact"/>
        <w:rPr>
          <w:rFonts w:ascii="宋体" w:hAnsi="宋体" w:cs="宋体"/>
          <w:szCs w:val="21"/>
          <w:highlight w:val="none"/>
        </w:rPr>
      </w:pPr>
      <w:r>
        <w:rPr>
          <w:rFonts w:hint="eastAsia" w:ascii="宋体" w:hAnsi="宋体" w:cs="宋体"/>
          <w:b/>
          <w:szCs w:val="21"/>
          <w:highlight w:val="none"/>
        </w:rPr>
        <w:t>9.1</w:t>
      </w:r>
      <w:r>
        <w:rPr>
          <w:rFonts w:hint="eastAsia" w:ascii="宋体" w:hAnsi="宋体" w:cs="宋体"/>
          <w:szCs w:val="21"/>
          <w:highlight w:val="none"/>
        </w:rPr>
        <w:t xml:space="preserve">  投标文件组成在本招标文件“投标资料表”中做出规定。</w:t>
      </w:r>
    </w:p>
    <w:p>
      <w:pPr>
        <w:spacing w:line="440" w:lineRule="exact"/>
        <w:rPr>
          <w:rFonts w:ascii="宋体" w:hAnsi="宋体" w:cs="宋体"/>
          <w:szCs w:val="21"/>
          <w:highlight w:val="none"/>
        </w:rPr>
      </w:pPr>
      <w:r>
        <w:rPr>
          <w:rFonts w:hint="eastAsia" w:ascii="宋体" w:hAnsi="宋体" w:cs="宋体"/>
          <w:b/>
          <w:szCs w:val="21"/>
          <w:highlight w:val="none"/>
        </w:rPr>
        <w:t>9.2</w:t>
      </w:r>
      <w:r>
        <w:rPr>
          <w:rFonts w:hint="eastAsia" w:ascii="宋体" w:hAnsi="宋体" w:cs="宋体"/>
          <w:szCs w:val="21"/>
          <w:highlight w:val="none"/>
        </w:rPr>
        <w:t xml:space="preserve">  组成投标文件的各项资料中本招标书的有规定格式的，应统一按本招标书的规定格式填写。未有规定格式的资料，投标人应自行编制，但至少要包含组成投标文件要求的内容。</w:t>
      </w:r>
    </w:p>
    <w:p>
      <w:pPr>
        <w:spacing w:line="440" w:lineRule="exact"/>
        <w:rPr>
          <w:rFonts w:ascii="宋体" w:hAnsi="宋体" w:cs="宋体"/>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10.</w:t>
      </w:r>
      <w:r>
        <w:rPr>
          <w:rFonts w:ascii="宋体" w:hAnsi="宋体" w:cs="宋体"/>
          <w:b/>
          <w:szCs w:val="21"/>
          <w:highlight w:val="none"/>
        </w:rPr>
        <w:t xml:space="preserve"> </w:t>
      </w:r>
      <w:r>
        <w:rPr>
          <w:rFonts w:hint="eastAsia" w:ascii="宋体" w:hAnsi="宋体" w:cs="宋体"/>
          <w:b/>
          <w:szCs w:val="21"/>
          <w:highlight w:val="none"/>
        </w:rPr>
        <w:t>投标报价</w:t>
      </w:r>
    </w:p>
    <w:p>
      <w:pPr>
        <w:spacing w:line="400" w:lineRule="exact"/>
        <w:rPr>
          <w:rFonts w:ascii="宋体" w:hAnsi="宋体" w:cs="宋体"/>
          <w:szCs w:val="21"/>
          <w:highlight w:val="none"/>
        </w:rPr>
      </w:pPr>
      <w:r>
        <w:rPr>
          <w:rFonts w:hint="eastAsia" w:ascii="宋体" w:hAnsi="宋体" w:cs="宋体"/>
          <w:b/>
          <w:szCs w:val="21"/>
          <w:highlight w:val="none"/>
        </w:rPr>
        <w:t>10.1</w:t>
      </w:r>
      <w:r>
        <w:rPr>
          <w:rFonts w:hint="eastAsia" w:ascii="宋体" w:hAnsi="宋体" w:cs="宋体"/>
          <w:szCs w:val="21"/>
          <w:highlight w:val="none"/>
        </w:rPr>
        <w:t xml:space="preserve">  本次招标对投标报价组成的具体要求在招标文件“投标资料表”中做出规定。</w:t>
      </w:r>
    </w:p>
    <w:p>
      <w:pPr>
        <w:spacing w:line="400" w:lineRule="exact"/>
        <w:rPr>
          <w:rFonts w:ascii="宋体" w:hAnsi="宋体" w:cs="宋体"/>
          <w:szCs w:val="21"/>
          <w:highlight w:val="none"/>
        </w:rPr>
      </w:pPr>
      <w:r>
        <w:rPr>
          <w:rFonts w:hint="eastAsia" w:ascii="宋体" w:hAnsi="宋体" w:cs="宋体"/>
          <w:b/>
          <w:szCs w:val="21"/>
          <w:highlight w:val="none"/>
        </w:rPr>
        <w:t xml:space="preserve">10.2  </w:t>
      </w:r>
      <w:r>
        <w:rPr>
          <w:rFonts w:hint="eastAsia" w:ascii="宋体" w:hAnsi="宋体" w:cs="宋体"/>
          <w:szCs w:val="21"/>
          <w:highlight w:val="none"/>
        </w:rPr>
        <w:t>投标人要按照招标文件中的“开标一览表”格式和内容完整填写投标总价及其他事项。</w:t>
      </w:r>
    </w:p>
    <w:p>
      <w:pPr>
        <w:spacing w:line="400" w:lineRule="exact"/>
        <w:rPr>
          <w:rFonts w:ascii="宋体" w:hAnsi="宋体" w:cs="宋体"/>
          <w:szCs w:val="21"/>
          <w:highlight w:val="none"/>
        </w:rPr>
      </w:pPr>
      <w:r>
        <w:rPr>
          <w:rFonts w:hint="eastAsia" w:ascii="宋体" w:hAnsi="宋体" w:cs="宋体"/>
          <w:b/>
          <w:szCs w:val="21"/>
          <w:highlight w:val="none"/>
        </w:rPr>
        <w:t>10.3</w:t>
      </w:r>
      <w:r>
        <w:rPr>
          <w:rFonts w:hint="eastAsia" w:ascii="宋体" w:hAnsi="宋体" w:cs="宋体"/>
          <w:szCs w:val="21"/>
          <w:highlight w:val="none"/>
        </w:rPr>
        <w:t xml:space="preserve">  除非招标文件另有备选投标方案的规定，投标应该只有一个投标报价。</w:t>
      </w:r>
    </w:p>
    <w:p>
      <w:pPr>
        <w:spacing w:line="400" w:lineRule="exact"/>
        <w:rPr>
          <w:rFonts w:ascii="宋体" w:hAnsi="宋体" w:cs="宋体"/>
          <w:b/>
          <w:szCs w:val="21"/>
          <w:highlight w:val="none"/>
        </w:rPr>
      </w:pPr>
      <w:r>
        <w:rPr>
          <w:rFonts w:hint="eastAsia" w:ascii="宋体" w:hAnsi="宋体" w:cs="宋体"/>
          <w:b/>
          <w:szCs w:val="21"/>
          <w:highlight w:val="none"/>
        </w:rPr>
        <w:t xml:space="preserve">10.4  </w:t>
      </w:r>
      <w:r>
        <w:rPr>
          <w:rFonts w:hint="eastAsia" w:ascii="宋体" w:hAnsi="宋体" w:cs="宋体"/>
          <w:szCs w:val="21"/>
          <w:highlight w:val="none"/>
        </w:rPr>
        <w:t>开标后以及在评标及中标后的合同执行过程中，投标人不得以任何理由变更投标价格。</w:t>
      </w:r>
      <w:r>
        <w:rPr>
          <w:rFonts w:hint="eastAsia" w:ascii="宋体" w:hAnsi="宋体" w:cs="宋体"/>
          <w:b/>
          <w:szCs w:val="21"/>
          <w:highlight w:val="none"/>
        </w:rPr>
        <w:t>若投标人在中标以后做出任何改变投标价格的决定，将被视作撤标而失去中标资格。</w:t>
      </w:r>
    </w:p>
    <w:p>
      <w:pPr>
        <w:spacing w:line="400" w:lineRule="exact"/>
        <w:rPr>
          <w:rFonts w:ascii="宋体" w:hAnsi="宋体" w:cs="宋体"/>
          <w:b/>
          <w:szCs w:val="21"/>
          <w:highlight w:val="none"/>
        </w:rPr>
      </w:pPr>
      <w:r>
        <w:rPr>
          <w:rFonts w:hint="eastAsia" w:ascii="宋体" w:hAnsi="宋体" w:cs="宋体"/>
          <w:b/>
          <w:szCs w:val="21"/>
          <w:highlight w:val="none"/>
        </w:rPr>
        <w:t>10.5  本项目采用最高投标限价，超过最高限价的投标文件无效。</w:t>
      </w:r>
    </w:p>
    <w:p>
      <w:pPr>
        <w:spacing w:line="400" w:lineRule="exact"/>
        <w:rPr>
          <w:rFonts w:ascii="宋体" w:hAnsi="宋体" w:cs="宋体"/>
          <w:b/>
          <w:szCs w:val="21"/>
          <w:highlight w:val="none"/>
        </w:rPr>
      </w:pPr>
      <w:r>
        <w:rPr>
          <w:rFonts w:hint="eastAsia" w:ascii="宋体" w:hAnsi="宋体" w:cs="宋体"/>
          <w:b/>
          <w:szCs w:val="21"/>
          <w:highlight w:val="none"/>
        </w:rPr>
        <w:t xml:space="preserve">10.6  </w:t>
      </w:r>
      <w:r>
        <w:rPr>
          <w:rFonts w:hint="eastAsia" w:ascii="宋体" w:hAnsi="宋体" w:cs="宋体"/>
          <w:szCs w:val="21"/>
          <w:highlight w:val="none"/>
        </w:rPr>
        <w:t>本项目的投标货币为人民币。</w:t>
      </w:r>
    </w:p>
    <w:p>
      <w:pPr>
        <w:spacing w:line="400" w:lineRule="exact"/>
        <w:rPr>
          <w:rFonts w:ascii="宋体" w:hAnsi="宋体" w:cs="宋体"/>
          <w:b/>
          <w:szCs w:val="21"/>
          <w:highlight w:val="none"/>
        </w:rPr>
      </w:pPr>
    </w:p>
    <w:p>
      <w:pPr>
        <w:spacing w:line="400" w:lineRule="exact"/>
        <w:rPr>
          <w:rFonts w:ascii="宋体" w:hAnsi="宋体" w:cs="宋体"/>
          <w:szCs w:val="21"/>
          <w:highlight w:val="none"/>
        </w:rPr>
      </w:pPr>
      <w:r>
        <w:rPr>
          <w:rFonts w:hint="eastAsia" w:ascii="宋体" w:hAnsi="宋体" w:cs="宋体"/>
          <w:b/>
          <w:szCs w:val="21"/>
          <w:highlight w:val="none"/>
        </w:rPr>
        <w:t>11.</w:t>
      </w:r>
      <w:r>
        <w:rPr>
          <w:rFonts w:ascii="宋体" w:hAnsi="宋体" w:cs="宋体"/>
          <w:b/>
          <w:szCs w:val="21"/>
          <w:highlight w:val="none"/>
        </w:rPr>
        <w:t xml:space="preserve"> </w:t>
      </w:r>
      <w:r>
        <w:rPr>
          <w:rFonts w:hint="eastAsia" w:ascii="宋体" w:hAnsi="宋体" w:cs="宋体"/>
          <w:b/>
          <w:szCs w:val="21"/>
          <w:highlight w:val="none"/>
        </w:rPr>
        <w:t>投标文件的形式和效力</w:t>
      </w:r>
    </w:p>
    <w:p>
      <w:pPr>
        <w:spacing w:line="400" w:lineRule="exact"/>
        <w:jc w:val="left"/>
        <w:rPr>
          <w:rFonts w:ascii="宋体" w:hAnsi="宋体" w:cs="宋体"/>
          <w:szCs w:val="21"/>
          <w:highlight w:val="none"/>
        </w:rPr>
      </w:pPr>
      <w:r>
        <w:rPr>
          <w:rFonts w:hint="eastAsia" w:ascii="宋体" w:hAnsi="宋体" w:cs="宋体"/>
          <w:b/>
          <w:bCs/>
          <w:szCs w:val="21"/>
          <w:highlight w:val="none"/>
        </w:rPr>
        <w:t xml:space="preserve">11.1 </w:t>
      </w:r>
      <w:r>
        <w:rPr>
          <w:rFonts w:ascii="宋体" w:hAnsi="宋体" w:cs="宋体"/>
          <w:b/>
          <w:bCs/>
          <w:szCs w:val="21"/>
          <w:highlight w:val="none"/>
        </w:rPr>
        <w:t xml:space="preserve"> </w:t>
      </w:r>
      <w:r>
        <w:rPr>
          <w:rFonts w:hint="eastAsia" w:ascii="宋体" w:hAnsi="宋体" w:cs="宋体"/>
          <w:szCs w:val="21"/>
          <w:highlight w:val="none"/>
        </w:rPr>
        <w:t>投标文件分为电子投标文件以及备份投标文件，备份投标文件为以</w:t>
      </w:r>
      <w:r>
        <w:rPr>
          <w:rFonts w:hint="eastAsia" w:ascii="宋体" w:hAnsi="宋体" w:cs="宋体"/>
          <w:kern w:val="0"/>
          <w:szCs w:val="21"/>
          <w:highlight w:val="none"/>
        </w:rPr>
        <w:t>U盘或光盘存储的电子</w:t>
      </w:r>
      <w:r>
        <w:rPr>
          <w:rFonts w:hint="eastAsia" w:ascii="宋体" w:hAnsi="宋体" w:cs="宋体"/>
          <w:szCs w:val="21"/>
          <w:highlight w:val="none"/>
        </w:rPr>
        <w:t>备份投标文件。</w:t>
      </w:r>
    </w:p>
    <w:p>
      <w:pPr>
        <w:spacing w:line="400" w:lineRule="exact"/>
        <w:jc w:val="left"/>
        <w:rPr>
          <w:rFonts w:ascii="宋体" w:hAnsi="宋体" w:cs="宋体"/>
          <w:szCs w:val="21"/>
          <w:highlight w:val="none"/>
        </w:rPr>
      </w:pPr>
      <w:r>
        <w:rPr>
          <w:rFonts w:hint="eastAsia" w:ascii="宋体" w:hAnsi="宋体" w:cs="宋体"/>
          <w:b/>
          <w:bCs/>
          <w:szCs w:val="21"/>
          <w:highlight w:val="none"/>
        </w:rPr>
        <w:t xml:space="preserve">11.2 </w:t>
      </w:r>
      <w:r>
        <w:rPr>
          <w:rFonts w:ascii="宋体" w:hAnsi="宋体" w:cs="宋体"/>
          <w:b/>
          <w:bCs/>
          <w:szCs w:val="21"/>
          <w:highlight w:val="none"/>
        </w:rPr>
        <w:t xml:space="preserve"> </w:t>
      </w:r>
      <w:r>
        <w:rPr>
          <w:rFonts w:hint="eastAsia" w:ascii="宋体" w:hAnsi="宋体" w:cs="宋体"/>
          <w:szCs w:val="21"/>
          <w:highlight w:val="none"/>
        </w:rPr>
        <w:t>电子投标文件，按“项目采购-电子招投标操作指南”及本招标文件要求制作，并加密。</w:t>
      </w:r>
    </w:p>
    <w:p>
      <w:pPr>
        <w:spacing w:line="400" w:lineRule="exact"/>
        <w:jc w:val="left"/>
        <w:rPr>
          <w:rFonts w:ascii="宋体" w:hAnsi="宋体" w:cs="宋体"/>
          <w:szCs w:val="21"/>
          <w:highlight w:val="none"/>
        </w:rPr>
      </w:pPr>
      <w:r>
        <w:rPr>
          <w:rFonts w:hint="eastAsia" w:ascii="宋体" w:hAnsi="宋体" w:cs="宋体"/>
          <w:b/>
          <w:bCs/>
          <w:szCs w:val="21"/>
          <w:highlight w:val="none"/>
        </w:rPr>
        <w:t>11.3</w:t>
      </w:r>
      <w:r>
        <w:rPr>
          <w:rFonts w:ascii="宋体" w:hAnsi="宋体" w:cs="宋体"/>
          <w:b/>
          <w:bCs/>
          <w:szCs w:val="21"/>
          <w:highlight w:val="none"/>
        </w:rPr>
        <w:t xml:space="preserve"> </w:t>
      </w:r>
      <w:r>
        <w:rPr>
          <w:rFonts w:hint="eastAsia" w:ascii="宋体" w:hAnsi="宋体" w:cs="宋体"/>
          <w:b/>
          <w:bCs/>
          <w:szCs w:val="21"/>
          <w:highlight w:val="none"/>
        </w:rPr>
        <w:t xml:space="preserve"> </w:t>
      </w:r>
      <w:r>
        <w:rPr>
          <w:rFonts w:hint="eastAsia" w:ascii="宋体" w:hAnsi="宋体" w:cs="宋体"/>
          <w:szCs w:val="21"/>
          <w:highlight w:val="none"/>
        </w:rPr>
        <w:t>以</w:t>
      </w:r>
      <w:r>
        <w:rPr>
          <w:rFonts w:hint="eastAsia" w:ascii="宋体" w:hAnsi="宋体" w:cs="宋体"/>
          <w:kern w:val="0"/>
          <w:szCs w:val="21"/>
          <w:highlight w:val="none"/>
        </w:rPr>
        <w:t>U盘或光盘存储的电子</w:t>
      </w:r>
      <w:r>
        <w:rPr>
          <w:rFonts w:hint="eastAsia" w:ascii="宋体" w:hAnsi="宋体" w:cs="宋体"/>
          <w:szCs w:val="21"/>
          <w:highlight w:val="none"/>
        </w:rPr>
        <w:t>备份投标文件，按“项目采购-电子招投标操作指南”制作的电子备份文件。</w:t>
      </w:r>
    </w:p>
    <w:p>
      <w:pPr>
        <w:spacing w:line="400" w:lineRule="exact"/>
        <w:jc w:val="left"/>
        <w:rPr>
          <w:rFonts w:ascii="宋体" w:hAnsi="宋体" w:cs="宋体"/>
          <w:szCs w:val="21"/>
          <w:highlight w:val="none"/>
        </w:rPr>
      </w:pPr>
      <w:r>
        <w:rPr>
          <w:rFonts w:hint="eastAsia" w:ascii="宋体" w:hAnsi="宋体" w:cs="宋体"/>
          <w:b/>
          <w:bCs/>
          <w:szCs w:val="21"/>
          <w:highlight w:val="none"/>
        </w:rPr>
        <w:t xml:space="preserve">11.4 </w:t>
      </w:r>
      <w:r>
        <w:rPr>
          <w:rFonts w:ascii="宋体" w:hAnsi="宋体" w:cs="宋体"/>
          <w:b/>
          <w:bCs/>
          <w:szCs w:val="21"/>
          <w:highlight w:val="none"/>
        </w:rPr>
        <w:t xml:space="preserve"> </w:t>
      </w:r>
      <w:r>
        <w:rPr>
          <w:rFonts w:hint="eastAsia" w:ascii="宋体" w:hAnsi="宋体" w:cs="宋体"/>
          <w:szCs w:val="21"/>
          <w:highlight w:val="none"/>
        </w:rPr>
        <w:t>投标文件填写字迹必须清楚、工整，对不同文字文本投标文件的解释发生异议的，以中文文本为准。</w:t>
      </w:r>
    </w:p>
    <w:p>
      <w:pPr>
        <w:spacing w:line="400" w:lineRule="exact"/>
        <w:jc w:val="left"/>
        <w:rPr>
          <w:rFonts w:ascii="宋体" w:hAnsi="宋体" w:cs="宋体"/>
          <w:szCs w:val="21"/>
          <w:highlight w:val="none"/>
        </w:rPr>
      </w:pPr>
      <w:r>
        <w:rPr>
          <w:rFonts w:hint="eastAsia" w:ascii="宋体" w:hAnsi="宋体" w:cs="宋体"/>
          <w:b/>
          <w:bCs/>
          <w:szCs w:val="21"/>
          <w:highlight w:val="none"/>
        </w:rPr>
        <w:t>11.5</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投标文件的效力</w:t>
      </w:r>
    </w:p>
    <w:p>
      <w:pPr>
        <w:spacing w:line="400" w:lineRule="exact"/>
        <w:jc w:val="left"/>
        <w:rPr>
          <w:rFonts w:ascii="宋体" w:hAnsi="宋体" w:cs="宋体"/>
          <w:szCs w:val="21"/>
          <w:highlight w:val="none"/>
        </w:rPr>
      </w:pPr>
      <w:r>
        <w:rPr>
          <w:rFonts w:hint="eastAsia" w:ascii="宋体" w:hAnsi="宋体" w:cs="宋体"/>
          <w:szCs w:val="21"/>
          <w:highlight w:val="none"/>
        </w:rPr>
        <w:t>投标文件的启用，按先后顺位分别为电子投标文件、以</w:t>
      </w:r>
      <w:r>
        <w:rPr>
          <w:rFonts w:hint="eastAsia" w:ascii="宋体" w:hAnsi="宋体" w:cs="宋体"/>
          <w:kern w:val="0"/>
          <w:szCs w:val="21"/>
          <w:highlight w:val="none"/>
        </w:rPr>
        <w:t>U盘或光盘存储的电子</w:t>
      </w:r>
      <w:r>
        <w:rPr>
          <w:rFonts w:hint="eastAsia" w:ascii="宋体" w:hAnsi="宋体" w:cs="宋体"/>
          <w:szCs w:val="21"/>
          <w:highlight w:val="none"/>
        </w:rPr>
        <w:t>备份投标文件。在下一顺位的投标文件启用时，前一顺位的投标文件自动失效。</w:t>
      </w:r>
    </w:p>
    <w:p>
      <w:pPr>
        <w:spacing w:line="400" w:lineRule="exact"/>
        <w:jc w:val="left"/>
        <w:rPr>
          <w:rFonts w:ascii="宋体" w:hAnsi="宋体" w:cs="宋体"/>
          <w:szCs w:val="21"/>
          <w:highlight w:val="none"/>
        </w:rPr>
      </w:pPr>
      <w:r>
        <w:rPr>
          <w:rFonts w:hint="eastAsia" w:ascii="宋体" w:hAnsi="宋体" w:cs="宋体"/>
          <w:szCs w:val="21"/>
          <w:highlight w:val="none"/>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b/>
          <w:szCs w:val="21"/>
          <w:highlight w:val="none"/>
        </w:rPr>
        <w:t>12. 投标有效期</w:t>
      </w:r>
    </w:p>
    <w:p>
      <w:pPr>
        <w:spacing w:line="400" w:lineRule="exact"/>
        <w:rPr>
          <w:rFonts w:ascii="宋体" w:hAnsi="宋体" w:cs="宋体"/>
          <w:szCs w:val="21"/>
          <w:highlight w:val="none"/>
        </w:rPr>
      </w:pPr>
      <w:r>
        <w:rPr>
          <w:rFonts w:hint="eastAsia" w:ascii="宋体" w:hAnsi="宋体" w:cs="宋体"/>
          <w:b/>
          <w:bCs/>
          <w:szCs w:val="21"/>
          <w:highlight w:val="none"/>
        </w:rPr>
        <w:t xml:space="preserve">12.1 </w:t>
      </w:r>
      <w:r>
        <w:rPr>
          <w:rFonts w:ascii="宋体" w:hAnsi="宋体" w:cs="宋体"/>
          <w:b/>
          <w:bCs/>
          <w:szCs w:val="21"/>
          <w:highlight w:val="none"/>
        </w:rPr>
        <w:t xml:space="preserve"> </w:t>
      </w:r>
      <w:r>
        <w:rPr>
          <w:rFonts w:hint="eastAsia" w:ascii="宋体" w:hAnsi="宋体" w:cs="宋体"/>
          <w:szCs w:val="21"/>
          <w:highlight w:val="none"/>
        </w:rPr>
        <w:t>投标有效期在本招标文件“投标资料表”中做出规定。投标有效期从提交投标文件的截止之日起算。投标文件中承诺的投标有效期应当不少于招标文件中载明的投标有效期。</w:t>
      </w:r>
    </w:p>
    <w:p>
      <w:pPr>
        <w:spacing w:line="400" w:lineRule="exact"/>
        <w:rPr>
          <w:rFonts w:ascii="宋体" w:hAnsi="宋体" w:cs="宋体"/>
          <w:szCs w:val="21"/>
          <w:highlight w:val="none"/>
        </w:rPr>
      </w:pPr>
      <w:r>
        <w:rPr>
          <w:rFonts w:hint="eastAsia" w:ascii="宋体" w:hAnsi="宋体" w:cs="宋体"/>
          <w:b/>
          <w:bCs/>
          <w:szCs w:val="21"/>
          <w:highlight w:val="none"/>
        </w:rPr>
        <w:t xml:space="preserve">12.2 </w:t>
      </w:r>
      <w:r>
        <w:rPr>
          <w:rFonts w:ascii="宋体" w:hAnsi="宋体" w:cs="宋体"/>
          <w:b/>
          <w:bCs/>
          <w:szCs w:val="21"/>
          <w:highlight w:val="none"/>
        </w:rPr>
        <w:t xml:space="preserve"> </w:t>
      </w:r>
      <w:r>
        <w:rPr>
          <w:rFonts w:hint="eastAsia" w:ascii="宋体" w:hAnsi="宋体" w:cs="宋体"/>
          <w:szCs w:val="21"/>
          <w:highlight w:val="none"/>
        </w:rPr>
        <w:t>在特殊情况下，在原投标有效期截止之前，应采购人要求，采购代理机构可要求投标人延长投标有效期，这种要求的提出和投标人的答复都应以书面形式进行。</w:t>
      </w:r>
    </w:p>
    <w:p>
      <w:pPr>
        <w:spacing w:line="400" w:lineRule="exact"/>
        <w:rPr>
          <w:rFonts w:ascii="宋体" w:hAnsi="宋体" w:cs="宋体"/>
          <w:szCs w:val="21"/>
          <w:highlight w:val="none"/>
        </w:rPr>
      </w:pPr>
      <w:r>
        <w:rPr>
          <w:rFonts w:hint="eastAsia" w:ascii="宋体" w:hAnsi="宋体" w:cs="宋体"/>
          <w:b/>
          <w:bCs/>
          <w:szCs w:val="21"/>
          <w:highlight w:val="none"/>
        </w:rPr>
        <w:t xml:space="preserve">12.3 </w:t>
      </w:r>
      <w:r>
        <w:rPr>
          <w:rFonts w:ascii="宋体" w:hAnsi="宋体" w:cs="宋体"/>
          <w:b/>
          <w:bCs/>
          <w:szCs w:val="21"/>
          <w:highlight w:val="none"/>
        </w:rPr>
        <w:t xml:space="preserve"> </w:t>
      </w:r>
      <w:r>
        <w:rPr>
          <w:rFonts w:hint="eastAsia" w:ascii="宋体" w:hAnsi="宋体" w:cs="宋体"/>
          <w:szCs w:val="21"/>
          <w:highlight w:val="none"/>
        </w:rPr>
        <w:t>供应商可拒绝接受延期要求。同意延长有效期的供应商不能修改投标文件。</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b/>
          <w:szCs w:val="21"/>
          <w:highlight w:val="none"/>
        </w:rPr>
        <w:t>13.</w:t>
      </w:r>
      <w:r>
        <w:rPr>
          <w:rFonts w:ascii="宋体" w:hAnsi="宋体" w:cs="宋体"/>
          <w:b/>
          <w:szCs w:val="21"/>
          <w:highlight w:val="none"/>
        </w:rPr>
        <w:t xml:space="preserve"> </w:t>
      </w:r>
      <w:r>
        <w:rPr>
          <w:rFonts w:hint="eastAsia" w:ascii="宋体" w:hAnsi="宋体" w:cs="宋体"/>
          <w:b/>
          <w:szCs w:val="21"/>
          <w:highlight w:val="none"/>
        </w:rPr>
        <w:t>投标保证金</w:t>
      </w:r>
    </w:p>
    <w:p>
      <w:pPr>
        <w:spacing w:line="400" w:lineRule="exact"/>
        <w:ind w:left="90" w:hanging="88" w:hangingChars="42"/>
        <w:rPr>
          <w:rFonts w:ascii="宋体" w:hAnsi="宋体" w:cs="宋体"/>
          <w:szCs w:val="21"/>
          <w:highlight w:val="none"/>
        </w:rPr>
      </w:pPr>
      <w:r>
        <w:rPr>
          <w:rFonts w:hint="eastAsia" w:ascii="宋体" w:hAnsi="宋体" w:cs="宋体"/>
          <w:b/>
          <w:szCs w:val="21"/>
          <w:highlight w:val="none"/>
        </w:rPr>
        <w:t xml:space="preserve">13.1 </w:t>
      </w:r>
      <w:r>
        <w:rPr>
          <w:rFonts w:hint="eastAsia" w:ascii="宋体" w:hAnsi="宋体" w:cs="宋体"/>
          <w:szCs w:val="21"/>
          <w:highlight w:val="none"/>
        </w:rPr>
        <w:t xml:space="preserve"> 投标保证金金额在本招标文件“投标资料表”中做出规定。</w:t>
      </w:r>
    </w:p>
    <w:p>
      <w:pPr>
        <w:spacing w:line="400" w:lineRule="exact"/>
        <w:rPr>
          <w:rFonts w:ascii="宋体" w:hAnsi="宋体" w:cs="宋体"/>
          <w:szCs w:val="21"/>
          <w:highlight w:val="none"/>
        </w:rPr>
      </w:pPr>
      <w:r>
        <w:rPr>
          <w:rFonts w:hint="eastAsia" w:ascii="宋体" w:hAnsi="宋体" w:cs="宋体"/>
          <w:b/>
          <w:szCs w:val="21"/>
          <w:highlight w:val="none"/>
        </w:rPr>
        <w:t>13.2</w:t>
      </w:r>
      <w:r>
        <w:rPr>
          <w:rFonts w:hint="eastAsia" w:ascii="宋体" w:hAnsi="宋体" w:cs="宋体"/>
          <w:szCs w:val="21"/>
          <w:highlight w:val="none"/>
        </w:rPr>
        <w:t xml:space="preserve">  投标保证金递交时间和形式在本招标文件“投标资料表”中做出规定。</w:t>
      </w:r>
    </w:p>
    <w:p>
      <w:pPr>
        <w:spacing w:line="400" w:lineRule="exact"/>
        <w:rPr>
          <w:rFonts w:ascii="宋体" w:hAnsi="宋体" w:cs="宋体"/>
          <w:szCs w:val="21"/>
          <w:highlight w:val="none"/>
        </w:rPr>
      </w:pPr>
      <w:r>
        <w:rPr>
          <w:rFonts w:hint="eastAsia" w:ascii="宋体" w:hAnsi="宋体" w:cs="宋体"/>
          <w:b/>
          <w:szCs w:val="21"/>
          <w:highlight w:val="none"/>
        </w:rPr>
        <w:t xml:space="preserve">13.3  </w:t>
      </w:r>
      <w:r>
        <w:rPr>
          <w:rFonts w:hint="eastAsia" w:ascii="宋体" w:hAnsi="宋体" w:cs="宋体"/>
          <w:szCs w:val="21"/>
          <w:highlight w:val="none"/>
        </w:rPr>
        <w:t>投标人在投标截止时间前撤回已提交的投标文件的，采购人或者采购代理机构自收到投标人书面撤回通知之日起5个工作日内，退还已收取的投标保证金，但因投标人自身原因导致无法及时退还的除外。</w:t>
      </w:r>
    </w:p>
    <w:p>
      <w:pPr>
        <w:spacing w:line="400" w:lineRule="exact"/>
        <w:rPr>
          <w:rFonts w:ascii="宋体" w:hAnsi="宋体" w:cs="宋体"/>
          <w:szCs w:val="21"/>
          <w:highlight w:val="none"/>
        </w:rPr>
      </w:pPr>
      <w:r>
        <w:rPr>
          <w:rFonts w:hint="eastAsia" w:ascii="宋体" w:hAnsi="宋体" w:cs="宋体"/>
          <w:b/>
          <w:szCs w:val="21"/>
          <w:highlight w:val="none"/>
        </w:rPr>
        <w:t>13.4</w:t>
      </w:r>
      <w:r>
        <w:rPr>
          <w:rFonts w:hint="eastAsia" w:ascii="宋体" w:hAnsi="宋体" w:cs="宋体"/>
          <w:szCs w:val="21"/>
          <w:highlight w:val="none"/>
        </w:rPr>
        <w:t xml:space="preserve">  采购人或者采购代理机构自中标通知书发出之日起5个工作日内退还未中标人的投标保证金，自采购合同签订之日起5个工作日内退还中标人的投标保证金或者转为中标人的履约保证金。</w:t>
      </w:r>
    </w:p>
    <w:p>
      <w:pPr>
        <w:spacing w:line="400" w:lineRule="exact"/>
        <w:rPr>
          <w:rFonts w:ascii="宋体" w:hAnsi="宋体" w:cs="宋体"/>
          <w:b/>
          <w:szCs w:val="21"/>
          <w:highlight w:val="none"/>
        </w:rPr>
      </w:pPr>
      <w:r>
        <w:rPr>
          <w:rFonts w:hint="eastAsia" w:ascii="宋体" w:hAnsi="宋体" w:cs="宋体"/>
          <w:b/>
          <w:szCs w:val="21"/>
          <w:highlight w:val="none"/>
        </w:rPr>
        <w:t xml:space="preserve">13.5  </w:t>
      </w:r>
      <w:r>
        <w:rPr>
          <w:rFonts w:hint="eastAsia" w:ascii="宋体" w:hAnsi="宋体" w:cs="宋体"/>
          <w:szCs w:val="21"/>
          <w:highlight w:val="none"/>
        </w:rPr>
        <w:t>采购人或者采购代理机构逾期退还投标保证金的，除退还投标保证金本金外，还应按中国人民银行同期贷款基准利率上浮20%后的利率支付超期资金占用费，但因投标人自身原因导致无法及时退还的除外。</w:t>
      </w:r>
    </w:p>
    <w:p>
      <w:pPr>
        <w:spacing w:line="400" w:lineRule="exact"/>
        <w:rPr>
          <w:rFonts w:ascii="宋体" w:hAnsi="宋体" w:cs="宋体"/>
          <w:b/>
          <w:szCs w:val="21"/>
          <w:highlight w:val="none"/>
        </w:rPr>
      </w:pPr>
      <w:r>
        <w:rPr>
          <w:rFonts w:hint="eastAsia" w:ascii="宋体" w:hAnsi="宋体" w:cs="宋体"/>
          <w:b/>
          <w:szCs w:val="21"/>
          <w:highlight w:val="none"/>
        </w:rPr>
        <w:t>13.6</w:t>
      </w:r>
      <w:r>
        <w:rPr>
          <w:rFonts w:hint="eastAsia" w:ascii="宋体" w:hAnsi="宋体" w:cs="宋体"/>
          <w:szCs w:val="21"/>
          <w:highlight w:val="none"/>
        </w:rPr>
        <w:t xml:space="preserve">  投标人有下列情形之一的，投标保证金将不予退还：</w:t>
      </w:r>
    </w:p>
    <w:p>
      <w:pPr>
        <w:spacing w:line="400" w:lineRule="exact"/>
        <w:rPr>
          <w:rFonts w:ascii="宋体" w:hAnsi="宋体" w:cs="宋体"/>
          <w:szCs w:val="21"/>
          <w:highlight w:val="none"/>
        </w:rPr>
      </w:pPr>
      <w:r>
        <w:rPr>
          <w:rFonts w:hint="eastAsia" w:ascii="宋体" w:hAnsi="宋体" w:cs="宋体"/>
          <w:szCs w:val="21"/>
          <w:highlight w:val="none"/>
        </w:rPr>
        <w:t>（1）投标人在投标有效期内撤销投标文件；</w:t>
      </w:r>
    </w:p>
    <w:p>
      <w:pPr>
        <w:spacing w:line="400" w:lineRule="exact"/>
        <w:rPr>
          <w:rFonts w:ascii="宋体" w:hAnsi="宋体" w:cs="宋体"/>
          <w:szCs w:val="21"/>
          <w:highlight w:val="none"/>
        </w:rPr>
      </w:pPr>
      <w:r>
        <w:rPr>
          <w:rFonts w:hint="eastAsia" w:ascii="宋体" w:hAnsi="宋体" w:cs="宋体"/>
          <w:szCs w:val="21"/>
          <w:highlight w:val="none"/>
        </w:rPr>
        <w:t>（2）中标人无正当理由不与采购人订立合同；</w:t>
      </w:r>
    </w:p>
    <w:p>
      <w:pPr>
        <w:spacing w:line="400" w:lineRule="exact"/>
        <w:rPr>
          <w:rFonts w:ascii="宋体" w:hAnsi="宋体" w:cs="宋体"/>
          <w:szCs w:val="21"/>
          <w:highlight w:val="none"/>
        </w:rPr>
      </w:pPr>
      <w:r>
        <w:rPr>
          <w:rFonts w:hint="eastAsia" w:ascii="宋体" w:hAnsi="宋体" w:cs="宋体"/>
          <w:szCs w:val="21"/>
          <w:highlight w:val="none"/>
        </w:rPr>
        <w:t>（3）中标人不按招标文件要求提交履约保证金；</w:t>
      </w:r>
    </w:p>
    <w:p>
      <w:pPr>
        <w:spacing w:line="400" w:lineRule="exact"/>
        <w:rPr>
          <w:rFonts w:ascii="宋体" w:hAnsi="宋体" w:cs="宋体"/>
          <w:szCs w:val="21"/>
          <w:highlight w:val="none"/>
        </w:rPr>
      </w:pPr>
      <w:r>
        <w:rPr>
          <w:rFonts w:hint="eastAsia" w:ascii="宋体" w:hAnsi="宋体" w:cs="宋体"/>
          <w:szCs w:val="21"/>
          <w:highlight w:val="none"/>
        </w:rPr>
        <w:t>（4）投标人串通投标、提供虚假材料投标。</w:t>
      </w:r>
    </w:p>
    <w:p>
      <w:pPr>
        <w:spacing w:line="400" w:lineRule="exact"/>
        <w:rPr>
          <w:rFonts w:ascii="宋体" w:hAnsi="宋体" w:cs="宋体"/>
          <w:sz w:val="24"/>
          <w:highlight w:val="none"/>
          <w:u w:val="single"/>
        </w:rPr>
      </w:pPr>
    </w:p>
    <w:p>
      <w:pPr>
        <w:spacing w:line="400" w:lineRule="exact"/>
        <w:jc w:val="left"/>
        <w:rPr>
          <w:rFonts w:ascii="宋体" w:hAnsi="宋体" w:cs="宋体"/>
          <w:b/>
          <w:bCs/>
          <w:szCs w:val="21"/>
          <w:highlight w:val="none"/>
        </w:rPr>
      </w:pPr>
      <w:r>
        <w:rPr>
          <w:rFonts w:hint="eastAsia" w:ascii="宋体" w:hAnsi="宋体" w:cs="宋体"/>
          <w:b/>
          <w:bCs/>
          <w:szCs w:val="21"/>
          <w:highlight w:val="none"/>
        </w:rPr>
        <w:t>14</w:t>
      </w: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b/>
          <w:bCs/>
          <w:szCs w:val="21"/>
          <w:highlight w:val="none"/>
        </w:rPr>
        <w:t>投标文件的组成和份数</w:t>
      </w:r>
    </w:p>
    <w:p>
      <w:pPr>
        <w:spacing w:line="400" w:lineRule="exact"/>
        <w:jc w:val="left"/>
        <w:rPr>
          <w:rFonts w:ascii="宋体" w:hAnsi="宋体" w:cs="宋体"/>
          <w:szCs w:val="21"/>
          <w:highlight w:val="none"/>
        </w:rPr>
      </w:pPr>
      <w:r>
        <w:rPr>
          <w:rFonts w:hint="eastAsia" w:ascii="宋体" w:hAnsi="宋体" w:cs="宋体"/>
          <w:b/>
          <w:bCs/>
          <w:szCs w:val="21"/>
          <w:highlight w:val="none"/>
        </w:rPr>
        <w:t>14.1</w:t>
      </w:r>
      <w:r>
        <w:rPr>
          <w:rFonts w:ascii="宋体" w:hAnsi="宋体" w:cs="宋体"/>
          <w:b/>
          <w:bCs/>
          <w:szCs w:val="21"/>
          <w:highlight w:val="none"/>
        </w:rPr>
        <w:t xml:space="preserve">  </w:t>
      </w:r>
      <w:r>
        <w:rPr>
          <w:rFonts w:hint="eastAsia" w:ascii="宋体" w:hAnsi="宋体" w:cs="宋体"/>
          <w:b/>
          <w:bCs/>
          <w:szCs w:val="21"/>
          <w:highlight w:val="none"/>
        </w:rPr>
        <w:t>投标文件的组成：</w:t>
      </w:r>
    </w:p>
    <w:p>
      <w:pPr>
        <w:spacing w:line="400" w:lineRule="exact"/>
        <w:ind w:firstLine="424" w:firstLineChars="200"/>
        <w:rPr>
          <w:rFonts w:ascii="宋体" w:hAnsi="宋体" w:cs="宋体"/>
          <w:szCs w:val="21"/>
          <w:highlight w:val="none"/>
        </w:rPr>
      </w:pPr>
      <w:r>
        <w:rPr>
          <w:rFonts w:hint="eastAsia" w:ascii="宋体" w:hAnsi="宋体" w:cs="宋体"/>
          <w:szCs w:val="21"/>
          <w:highlight w:val="none"/>
        </w:rPr>
        <w:t>投标文件组成在本招标文件“投标资料表”中做出规定。</w:t>
      </w:r>
    </w:p>
    <w:p>
      <w:pPr>
        <w:spacing w:line="440" w:lineRule="exact"/>
        <w:ind w:firstLine="424" w:firstLineChars="200"/>
        <w:rPr>
          <w:rFonts w:ascii="宋体" w:hAnsi="宋体" w:cs="宋体"/>
          <w:szCs w:val="21"/>
          <w:highlight w:val="none"/>
        </w:rPr>
      </w:pPr>
      <w:r>
        <w:rPr>
          <w:rFonts w:hint="eastAsia" w:ascii="宋体" w:hAnsi="宋体" w:cs="宋体"/>
          <w:szCs w:val="21"/>
          <w:highlight w:val="none"/>
        </w:rPr>
        <w:t>组成投标文件的各项资料中本招标书的有规定格式的，应统一按本招标书的规定格式填写。未有规定格式的资料，投标人应自行编制，但至少要包含组成投标文件要求的内容。</w:t>
      </w:r>
    </w:p>
    <w:p>
      <w:pPr>
        <w:adjustRightInd w:val="0"/>
        <w:snapToGrid w:val="0"/>
        <w:spacing w:line="400" w:lineRule="exact"/>
        <w:rPr>
          <w:rFonts w:ascii="宋体" w:hAnsi="宋体" w:cs="宋体"/>
          <w:b/>
          <w:bCs/>
          <w:szCs w:val="21"/>
          <w:highlight w:val="none"/>
        </w:rPr>
      </w:pPr>
      <w:r>
        <w:rPr>
          <w:rFonts w:hint="eastAsia" w:ascii="宋体" w:hAnsi="宋体" w:cs="宋体"/>
          <w:b/>
          <w:bCs/>
          <w:szCs w:val="21"/>
          <w:highlight w:val="none"/>
        </w:rPr>
        <w:t xml:space="preserve">14.2 </w:t>
      </w:r>
      <w:r>
        <w:rPr>
          <w:rFonts w:ascii="宋体" w:hAnsi="宋体" w:cs="宋体"/>
          <w:b/>
          <w:bCs/>
          <w:szCs w:val="21"/>
          <w:highlight w:val="none"/>
        </w:rPr>
        <w:t xml:space="preserve"> </w:t>
      </w:r>
      <w:r>
        <w:rPr>
          <w:rFonts w:hint="eastAsia" w:ascii="宋体" w:hAnsi="宋体" w:cs="宋体"/>
          <w:b/>
          <w:bCs/>
          <w:szCs w:val="21"/>
          <w:highlight w:val="none"/>
        </w:rPr>
        <w:t>投标文件制作：</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w:t>
      </w:r>
      <w:r>
        <w:rPr>
          <w:rFonts w:ascii="宋体" w:hAnsi="宋体" w:cs="宋体"/>
          <w:bCs/>
          <w:szCs w:val="21"/>
          <w:highlight w:val="none"/>
        </w:rPr>
        <w:t>95763</w:t>
      </w:r>
      <w:r>
        <w:rPr>
          <w:rFonts w:hint="eastAsia" w:ascii="宋体" w:hAnsi="宋体" w:cs="宋体"/>
          <w:bCs/>
          <w:szCs w:val="21"/>
          <w:highlight w:val="none"/>
        </w:rPr>
        <w:t>。制作电子投标文件的系统配置要求：请使用windows7及以上64位操作系统，不适用于mac或linux桌面系统。</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（2）供应商通过政府采购云平台电子投标工具制作投标文件。电子投标工具请供应商自行前往浙江政府采购网下载并安装（zfcg.czt.zj.gov.cn/bidClientTemplate/2019-05-27/12946.html）。</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供应商投标文件制作及电子交易操作指南详见：</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①政府采购项目电子交易管理操作指南（视频）：</w:t>
      </w:r>
    </w:p>
    <w:p>
      <w:pPr>
        <w:adjustRightInd w:val="0"/>
        <w:snapToGrid w:val="0"/>
        <w:spacing w:line="400" w:lineRule="exact"/>
        <w:rPr>
          <w:rFonts w:ascii="宋体" w:hAnsi="宋体" w:cs="宋体"/>
          <w:bCs/>
          <w:szCs w:val="21"/>
          <w:highlight w:val="none"/>
        </w:rPr>
      </w:pPr>
      <w:r>
        <w:rPr>
          <w:highlight w:val="none"/>
        </w:rPr>
        <w:fldChar w:fldCharType="begin"/>
      </w:r>
      <w:r>
        <w:rPr>
          <w:highlight w:val="none"/>
        </w:rPr>
        <w:instrText xml:space="preserve"> HYPERLINK "https://service.zcygov.cn/" \l "/knowledges/CW1EtGwBFdiHxlNd6I3m/7GyLXW0BXgMSmLUuYuPM" </w:instrText>
      </w:r>
      <w:r>
        <w:rPr>
          <w:highlight w:val="none"/>
        </w:rPr>
        <w:fldChar w:fldCharType="separate"/>
      </w:r>
      <w:r>
        <w:rPr>
          <w:rFonts w:hint="eastAsia" w:ascii="宋体" w:hAnsi="宋体" w:cs="宋体"/>
          <w:highlight w:val="none"/>
        </w:rPr>
        <w:t>service.zcygov.cn/#/knowledges/CW1EtGwBFdiHxlNd6I3m/7GyLXW0BXgMSmLUuYuPM</w:t>
      </w:r>
      <w:r>
        <w:rPr>
          <w:rFonts w:hint="eastAsia" w:ascii="宋体" w:hAnsi="宋体" w:cs="宋体"/>
          <w:highlight w:val="none"/>
        </w:rPr>
        <w:fldChar w:fldCharType="end"/>
      </w:r>
      <w:r>
        <w:rPr>
          <w:rFonts w:hint="eastAsia" w:ascii="宋体" w:hAnsi="宋体" w:cs="宋体"/>
          <w:bCs/>
          <w:szCs w:val="21"/>
          <w:highlight w:val="none"/>
        </w:rPr>
        <w:t>（电脑登录账号观看）；</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②政府采购项目电子交易管理操作指南（文本）：</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service.zcygov.cn/#/knowledges/CW1EtGwBFdiHxlNd6I3m/6IMVAG0BFdiHxlNdQ8Na（电脑登录账号浏览）。</w:t>
      </w:r>
    </w:p>
    <w:p>
      <w:pPr>
        <w:spacing w:line="400" w:lineRule="exact"/>
        <w:jc w:val="left"/>
        <w:rPr>
          <w:rFonts w:ascii="宋体" w:hAnsi="宋体" w:cs="宋体"/>
          <w:bCs/>
          <w:szCs w:val="21"/>
          <w:highlight w:val="none"/>
        </w:rPr>
      </w:pPr>
      <w:r>
        <w:rPr>
          <w:rFonts w:hint="eastAsia" w:ascii="宋体" w:hAnsi="宋体" w:cs="宋体"/>
          <w:bCs/>
          <w:szCs w:val="21"/>
          <w:highlight w:val="none"/>
        </w:rPr>
        <w:t>（3）以U盘或光盘存储的电子备份投标文件1份，即按“项目采购-电子招投标操作指南”制作的电子备份文件，以用于异常情况处理。</w:t>
      </w:r>
    </w:p>
    <w:p>
      <w:pPr>
        <w:spacing w:line="400" w:lineRule="exact"/>
        <w:jc w:val="left"/>
        <w:rPr>
          <w:rFonts w:ascii="宋体" w:hAnsi="宋体" w:cs="宋体"/>
          <w:szCs w:val="21"/>
          <w:highlight w:val="none"/>
        </w:rPr>
      </w:pPr>
      <w:r>
        <w:rPr>
          <w:rFonts w:hint="eastAsia" w:ascii="宋体" w:hAnsi="宋体" w:cs="宋体"/>
          <w:bCs/>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spacing w:line="400" w:lineRule="exact"/>
        <w:jc w:val="left"/>
        <w:rPr>
          <w:rFonts w:ascii="宋体" w:hAnsi="宋体" w:cs="宋体"/>
          <w:b/>
          <w:bCs/>
          <w:szCs w:val="21"/>
          <w:highlight w:val="none"/>
        </w:rPr>
      </w:pPr>
    </w:p>
    <w:p>
      <w:pPr>
        <w:spacing w:line="400" w:lineRule="exact"/>
        <w:jc w:val="left"/>
        <w:rPr>
          <w:rFonts w:ascii="宋体" w:hAnsi="宋体" w:cs="宋体"/>
          <w:b/>
          <w:bCs/>
          <w:szCs w:val="21"/>
          <w:highlight w:val="none"/>
        </w:rPr>
      </w:pPr>
      <w:r>
        <w:rPr>
          <w:rFonts w:hint="eastAsia" w:ascii="宋体" w:hAnsi="宋体" w:cs="宋体"/>
          <w:b/>
          <w:bCs/>
          <w:szCs w:val="21"/>
          <w:highlight w:val="none"/>
        </w:rPr>
        <w:t>15</w:t>
      </w: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b/>
          <w:bCs/>
          <w:szCs w:val="21"/>
          <w:highlight w:val="none"/>
        </w:rPr>
        <w:t>投标文件的签署盖章</w:t>
      </w:r>
    </w:p>
    <w:p>
      <w:pPr>
        <w:spacing w:line="400" w:lineRule="exact"/>
        <w:jc w:val="left"/>
        <w:rPr>
          <w:rFonts w:ascii="宋体" w:hAnsi="宋体" w:cs="宋体"/>
          <w:szCs w:val="21"/>
          <w:highlight w:val="none"/>
        </w:rPr>
      </w:pPr>
      <w:r>
        <w:rPr>
          <w:rFonts w:hint="eastAsia" w:ascii="宋体" w:hAnsi="宋体" w:cs="宋体"/>
          <w:b/>
          <w:bCs/>
          <w:szCs w:val="21"/>
          <w:highlight w:val="none"/>
        </w:rPr>
        <w:t xml:space="preserve">15.1 </w:t>
      </w:r>
      <w:r>
        <w:rPr>
          <w:rFonts w:ascii="宋体" w:hAnsi="宋体" w:cs="宋体"/>
          <w:b/>
          <w:bCs/>
          <w:szCs w:val="21"/>
          <w:highlight w:val="none"/>
        </w:rPr>
        <w:t xml:space="preserve"> </w:t>
      </w:r>
      <w:r>
        <w:rPr>
          <w:rFonts w:hint="eastAsia" w:ascii="宋体" w:hAnsi="宋体" w:cs="宋体"/>
          <w:szCs w:val="21"/>
          <w:highlight w:val="none"/>
        </w:rPr>
        <w:t>招标文件第七部分“附件”中标明加盖公章或签字的，加盖公章部分采用CA签章，签字部分由法定代表人或授权代表签字后扫描上传。授权代表签字的，还应附法定代表人签署的法定代表人授权书。</w:t>
      </w:r>
    </w:p>
    <w:p>
      <w:pPr>
        <w:spacing w:line="400" w:lineRule="exact"/>
        <w:jc w:val="left"/>
        <w:rPr>
          <w:rFonts w:ascii="宋体" w:hAnsi="宋体" w:cs="宋体"/>
          <w:szCs w:val="21"/>
          <w:highlight w:val="none"/>
        </w:rPr>
      </w:pPr>
      <w:r>
        <w:rPr>
          <w:rFonts w:hint="eastAsia" w:ascii="宋体" w:hAnsi="宋体" w:cs="宋体"/>
          <w:b/>
          <w:bCs/>
          <w:szCs w:val="21"/>
          <w:highlight w:val="none"/>
        </w:rPr>
        <w:t>15.2</w:t>
      </w:r>
      <w:r>
        <w:rPr>
          <w:rFonts w:hint="eastAsia" w:ascii="宋体" w:hAnsi="宋体" w:cs="宋体"/>
          <w:szCs w:val="21"/>
          <w:highlight w:val="none"/>
        </w:rPr>
        <w:t xml:space="preserve">  投标文件须由供应商在规定位置盖章并由法定代表人或法定代表人的授权委托人签署，供应商应写全称。如为联合体投标，除联合体协议及联合体各成员单位提供的本单位证明材料外，响应文件由联合体牵头人按上述规定加盖联合体牵头人单位公章。</w:t>
      </w:r>
    </w:p>
    <w:p>
      <w:pPr>
        <w:spacing w:line="400" w:lineRule="exact"/>
        <w:jc w:val="left"/>
        <w:rPr>
          <w:rFonts w:ascii="宋体" w:hAnsi="宋体" w:cs="宋体"/>
          <w:szCs w:val="21"/>
          <w:highlight w:val="none"/>
        </w:rPr>
      </w:pPr>
    </w:p>
    <w:p>
      <w:pPr>
        <w:jc w:val="center"/>
        <w:outlineLvl w:val="1"/>
        <w:rPr>
          <w:rFonts w:ascii="宋体" w:hAnsi="宋体" w:cs="宋体"/>
          <w:b/>
          <w:sz w:val="28"/>
          <w:highlight w:val="none"/>
        </w:rPr>
      </w:pPr>
      <w:bookmarkStart w:id="270" w:name="_Toc513798903"/>
      <w:bookmarkStart w:id="271" w:name="_Toc440276564"/>
      <w:bookmarkStart w:id="272" w:name="_Toc520902397"/>
      <w:bookmarkStart w:id="273" w:name="_Toc513799074"/>
      <w:r>
        <w:rPr>
          <w:rFonts w:hint="eastAsia" w:ascii="宋体" w:hAnsi="宋体" w:cs="宋体"/>
          <w:b/>
          <w:sz w:val="28"/>
          <w:highlight w:val="none"/>
        </w:rPr>
        <w:t>D  投标文件的递交</w:t>
      </w:r>
      <w:bookmarkEnd w:id="270"/>
      <w:bookmarkEnd w:id="271"/>
      <w:bookmarkEnd w:id="272"/>
      <w:bookmarkEnd w:id="273"/>
    </w:p>
    <w:p>
      <w:pPr>
        <w:spacing w:line="400" w:lineRule="exact"/>
        <w:rPr>
          <w:rFonts w:ascii="宋体" w:hAnsi="宋体" w:cs="宋体"/>
          <w:szCs w:val="21"/>
          <w:highlight w:val="none"/>
        </w:rPr>
      </w:pPr>
      <w:r>
        <w:rPr>
          <w:rFonts w:hint="eastAsia" w:ascii="宋体" w:hAnsi="宋体" w:cs="宋体"/>
          <w:b/>
          <w:szCs w:val="21"/>
          <w:highlight w:val="none"/>
        </w:rPr>
        <w:t>16.</w:t>
      </w:r>
      <w:r>
        <w:rPr>
          <w:rFonts w:ascii="宋体" w:hAnsi="宋体" w:cs="宋体"/>
          <w:b/>
          <w:szCs w:val="21"/>
          <w:highlight w:val="none"/>
        </w:rPr>
        <w:t xml:space="preserve"> </w:t>
      </w:r>
      <w:r>
        <w:rPr>
          <w:rFonts w:hint="eastAsia" w:ascii="宋体" w:hAnsi="宋体" w:cs="宋体"/>
          <w:b/>
          <w:szCs w:val="21"/>
          <w:highlight w:val="none"/>
        </w:rPr>
        <w:t>投标文件的密封和标记</w:t>
      </w:r>
    </w:p>
    <w:p>
      <w:pPr>
        <w:spacing w:line="400" w:lineRule="exact"/>
        <w:jc w:val="left"/>
        <w:rPr>
          <w:rFonts w:ascii="宋体" w:hAnsi="宋体" w:cs="宋体"/>
          <w:szCs w:val="21"/>
          <w:highlight w:val="none"/>
        </w:rPr>
      </w:pPr>
      <w:r>
        <w:rPr>
          <w:rFonts w:hint="eastAsia" w:ascii="宋体" w:hAnsi="宋体" w:cs="宋体"/>
          <w:b/>
          <w:szCs w:val="21"/>
          <w:highlight w:val="none"/>
        </w:rPr>
        <w:t>16.1</w:t>
      </w:r>
      <w:r>
        <w:rPr>
          <w:rFonts w:ascii="宋体" w:hAnsi="宋体" w:cs="宋体"/>
          <w:b/>
          <w:szCs w:val="21"/>
          <w:highlight w:val="none"/>
        </w:rPr>
        <w:t xml:space="preserve">  </w:t>
      </w:r>
      <w:r>
        <w:rPr>
          <w:rFonts w:hint="eastAsia" w:ascii="宋体" w:hAnsi="宋体" w:cs="宋体"/>
          <w:szCs w:val="21"/>
          <w:highlight w:val="none"/>
        </w:rPr>
        <w:t>电子投标文件：供应商应根据“项目采购-电子招投标操作指南”及本招标文件规定的格式和顺序编制电子投标文件并进行关联定位。</w:t>
      </w:r>
    </w:p>
    <w:p>
      <w:pPr>
        <w:spacing w:line="400" w:lineRule="exact"/>
        <w:jc w:val="left"/>
        <w:rPr>
          <w:rFonts w:ascii="宋体" w:hAnsi="宋体" w:cs="宋体"/>
          <w:szCs w:val="21"/>
          <w:highlight w:val="none"/>
        </w:rPr>
      </w:pPr>
      <w:r>
        <w:rPr>
          <w:rFonts w:hint="eastAsia" w:ascii="宋体" w:hAnsi="宋体" w:cs="宋体"/>
          <w:b/>
          <w:bCs/>
          <w:szCs w:val="21"/>
          <w:highlight w:val="none"/>
        </w:rPr>
        <w:t>16.2</w:t>
      </w:r>
      <w:r>
        <w:rPr>
          <w:rFonts w:ascii="宋体" w:hAnsi="宋体" w:cs="宋体"/>
          <w:b/>
          <w:bCs/>
          <w:szCs w:val="21"/>
          <w:highlight w:val="none"/>
        </w:rPr>
        <w:t xml:space="preserve">  </w:t>
      </w:r>
      <w:r>
        <w:rPr>
          <w:rFonts w:hint="eastAsia" w:ascii="宋体" w:hAnsi="宋体" w:cs="宋体"/>
          <w:kern w:val="0"/>
          <w:szCs w:val="21"/>
          <w:highlight w:val="none"/>
        </w:rPr>
        <w:t>以U盘或光盘存储的电子备份投标文件</w:t>
      </w:r>
      <w:r>
        <w:rPr>
          <w:rFonts w:hint="eastAsia" w:ascii="宋体" w:hAnsi="宋体" w:cs="宋体"/>
          <w:szCs w:val="21"/>
          <w:highlight w:val="none"/>
        </w:rPr>
        <w:t>用封袋密封后递交。</w:t>
      </w:r>
    </w:p>
    <w:p>
      <w:pPr>
        <w:spacing w:line="400" w:lineRule="exact"/>
        <w:jc w:val="left"/>
        <w:rPr>
          <w:rFonts w:ascii="宋体" w:hAnsi="宋体" w:cs="宋体"/>
          <w:szCs w:val="21"/>
          <w:highlight w:val="none"/>
        </w:rPr>
      </w:pPr>
      <w:r>
        <w:rPr>
          <w:rFonts w:hint="eastAsia" w:ascii="宋体" w:hAnsi="宋体" w:cs="宋体"/>
          <w:b/>
          <w:bCs/>
          <w:szCs w:val="21"/>
          <w:highlight w:val="none"/>
        </w:rPr>
        <w:t>16.3</w:t>
      </w:r>
      <w:r>
        <w:rPr>
          <w:rFonts w:ascii="宋体" w:hAnsi="宋体" w:cs="宋体"/>
          <w:b/>
          <w:bCs/>
          <w:szCs w:val="21"/>
          <w:highlight w:val="none"/>
        </w:rPr>
        <w:t xml:space="preserve">  </w:t>
      </w:r>
      <w:r>
        <w:rPr>
          <w:rFonts w:hint="eastAsia" w:ascii="宋体" w:hAnsi="宋体" w:cs="宋体"/>
          <w:kern w:val="0"/>
          <w:szCs w:val="21"/>
          <w:highlight w:val="none"/>
        </w:rPr>
        <w:t>电子备份投标文件须在</w:t>
      </w:r>
      <w:r>
        <w:rPr>
          <w:rFonts w:hint="eastAsia" w:ascii="宋体" w:hAnsi="宋体" w:cs="宋体"/>
          <w:szCs w:val="21"/>
          <w:highlight w:val="none"/>
        </w:rPr>
        <w:t>封袋上分别注明：</w:t>
      </w:r>
    </w:p>
    <w:p>
      <w:pPr>
        <w:tabs>
          <w:tab w:val="left" w:pos="900"/>
        </w:tabs>
        <w:spacing w:line="400" w:lineRule="exact"/>
        <w:jc w:val="left"/>
        <w:rPr>
          <w:rFonts w:ascii="宋体" w:hAnsi="宋体" w:cs="宋体"/>
          <w:szCs w:val="21"/>
          <w:highlight w:val="none"/>
          <w:u w:val="single"/>
        </w:rPr>
      </w:pPr>
      <w:r>
        <w:rPr>
          <w:rFonts w:hint="eastAsia" w:ascii="宋体" w:hAnsi="宋体" w:cs="宋体"/>
          <w:szCs w:val="21"/>
          <w:highlight w:val="none"/>
        </w:rPr>
        <w:t>（1）注明：</w:t>
      </w:r>
      <w:r>
        <w:rPr>
          <w:rFonts w:hint="eastAsia" w:ascii="宋体" w:hAnsi="宋体" w:cs="宋体"/>
          <w:szCs w:val="21"/>
          <w:highlight w:val="none"/>
          <w:u w:val="single"/>
        </w:rPr>
        <w:t>“电子备份投标文件”</w:t>
      </w:r>
      <w:r>
        <w:rPr>
          <w:rFonts w:hint="eastAsia" w:ascii="宋体" w:hAnsi="宋体" w:cs="宋体"/>
          <w:szCs w:val="21"/>
          <w:highlight w:val="none"/>
        </w:rPr>
        <w:t>；</w:t>
      </w:r>
    </w:p>
    <w:p>
      <w:pPr>
        <w:tabs>
          <w:tab w:val="left" w:pos="900"/>
        </w:tabs>
        <w:spacing w:line="400" w:lineRule="exact"/>
        <w:jc w:val="left"/>
        <w:rPr>
          <w:rFonts w:ascii="宋体" w:hAnsi="宋体" w:cs="宋体"/>
          <w:szCs w:val="21"/>
          <w:highlight w:val="none"/>
          <w:u w:val="single"/>
        </w:rPr>
      </w:pPr>
      <w:r>
        <w:rPr>
          <w:rFonts w:hint="eastAsia" w:ascii="宋体" w:hAnsi="宋体" w:cs="宋体"/>
          <w:szCs w:val="21"/>
          <w:highlight w:val="none"/>
        </w:rPr>
        <w:t>（2）项目编号：</w:t>
      </w:r>
      <w:r>
        <w:rPr>
          <w:rFonts w:hint="eastAsia" w:ascii="宋体" w:hAnsi="宋体" w:cs="宋体"/>
          <w:szCs w:val="21"/>
          <w:highlight w:val="none"/>
          <w:u w:val="single"/>
        </w:rPr>
        <w:t xml:space="preserve">NBGZZB123150    </w:t>
      </w:r>
    </w:p>
    <w:p>
      <w:pPr>
        <w:tabs>
          <w:tab w:val="left" w:pos="900"/>
        </w:tabs>
        <w:spacing w:line="400" w:lineRule="exact"/>
        <w:jc w:val="left"/>
        <w:rPr>
          <w:rFonts w:ascii="宋体" w:hAnsi="宋体" w:cs="宋体"/>
          <w:szCs w:val="21"/>
          <w:highlight w:val="none"/>
        </w:rPr>
      </w:pPr>
      <w:r>
        <w:rPr>
          <w:rFonts w:hint="eastAsia" w:ascii="宋体" w:hAnsi="宋体" w:cs="宋体"/>
          <w:szCs w:val="21"/>
          <w:highlight w:val="none"/>
        </w:rPr>
        <w:t>（3）项目名称：</w:t>
      </w:r>
      <w:r>
        <w:rPr>
          <w:rFonts w:hint="eastAsia" w:ascii="宋体" w:hAnsi="宋体" w:cs="宋体"/>
          <w:szCs w:val="21"/>
          <w:highlight w:val="none"/>
          <w:u w:val="single"/>
        </w:rPr>
        <w:t>余姚市电子政务外网网络安全服务集成项目</w:t>
      </w:r>
      <w:r>
        <w:rPr>
          <w:rFonts w:hint="eastAsia" w:ascii="宋体" w:hAnsi="宋体" w:cs="宋体"/>
          <w:szCs w:val="21"/>
          <w:highlight w:val="none"/>
        </w:rPr>
        <w:t>；</w:t>
      </w:r>
    </w:p>
    <w:p>
      <w:pPr>
        <w:tabs>
          <w:tab w:val="left" w:pos="900"/>
        </w:tabs>
        <w:spacing w:line="400" w:lineRule="exact"/>
        <w:jc w:val="left"/>
        <w:rPr>
          <w:rFonts w:ascii="宋体" w:hAnsi="宋体" w:cs="宋体"/>
          <w:szCs w:val="21"/>
          <w:highlight w:val="none"/>
        </w:rPr>
      </w:pPr>
      <w:r>
        <w:rPr>
          <w:rFonts w:hint="eastAsia" w:ascii="宋体" w:hAnsi="宋体" w:cs="宋体"/>
          <w:szCs w:val="21"/>
          <w:highlight w:val="none"/>
        </w:rPr>
        <w:t>（4）所投标项（如有多个标项须填写）：</w:t>
      </w:r>
    </w:p>
    <w:p>
      <w:pPr>
        <w:tabs>
          <w:tab w:val="left" w:pos="900"/>
        </w:tabs>
        <w:spacing w:line="400" w:lineRule="exact"/>
        <w:jc w:val="left"/>
        <w:rPr>
          <w:rFonts w:ascii="宋体" w:hAnsi="宋体" w:cs="宋体"/>
          <w:szCs w:val="21"/>
          <w:highlight w:val="none"/>
        </w:rPr>
      </w:pPr>
      <w:r>
        <w:rPr>
          <w:rFonts w:hint="eastAsia" w:ascii="宋体" w:hAnsi="宋体" w:cs="宋体"/>
          <w:szCs w:val="21"/>
          <w:highlight w:val="none"/>
        </w:rPr>
        <w:t>（5）在年月日（规定的开标日期和时间）前不准启封；</w:t>
      </w:r>
    </w:p>
    <w:p>
      <w:pPr>
        <w:tabs>
          <w:tab w:val="left" w:pos="900"/>
        </w:tabs>
        <w:spacing w:line="400" w:lineRule="exact"/>
        <w:jc w:val="left"/>
        <w:rPr>
          <w:rFonts w:ascii="宋体" w:hAnsi="宋体" w:cs="宋体"/>
          <w:szCs w:val="21"/>
          <w:highlight w:val="none"/>
        </w:rPr>
      </w:pPr>
      <w:r>
        <w:rPr>
          <w:rFonts w:hint="eastAsia" w:ascii="宋体" w:hAnsi="宋体" w:cs="宋体"/>
          <w:szCs w:val="21"/>
          <w:highlight w:val="none"/>
        </w:rPr>
        <w:t>（6）供应商的名称：。</w:t>
      </w:r>
    </w:p>
    <w:p>
      <w:pPr>
        <w:spacing w:line="400" w:lineRule="exact"/>
        <w:jc w:val="left"/>
        <w:rPr>
          <w:rFonts w:ascii="宋体" w:hAnsi="宋体" w:cs="宋体"/>
          <w:szCs w:val="21"/>
          <w:highlight w:val="none"/>
        </w:rPr>
      </w:pPr>
      <w:r>
        <w:rPr>
          <w:rFonts w:hint="eastAsia" w:ascii="宋体" w:hAnsi="宋体" w:cs="宋体"/>
          <w:szCs w:val="21"/>
          <w:highlight w:val="none"/>
        </w:rPr>
        <w:t>供应商须在包封上加盖供应商公章或由其法定代表人（或授权代表）签字。</w:t>
      </w:r>
    </w:p>
    <w:p>
      <w:pPr>
        <w:spacing w:line="400" w:lineRule="exact"/>
        <w:jc w:val="left"/>
        <w:rPr>
          <w:rFonts w:ascii="宋体" w:hAnsi="宋体" w:cs="宋体"/>
          <w:szCs w:val="21"/>
          <w:highlight w:val="none"/>
        </w:rPr>
      </w:pPr>
      <w:r>
        <w:rPr>
          <w:rFonts w:hint="eastAsia" w:ascii="宋体" w:hAnsi="宋体" w:cs="宋体"/>
          <w:szCs w:val="21"/>
          <w:highlight w:val="none"/>
        </w:rPr>
        <w:t>供应商未按上述要求标记的，采购人（代理机构）不承担错放或提前开封的责任。</w:t>
      </w:r>
    </w:p>
    <w:p>
      <w:pPr>
        <w:spacing w:line="400" w:lineRule="exact"/>
        <w:rPr>
          <w:rFonts w:ascii="宋体" w:hAnsi="宋体" w:cs="宋体"/>
          <w:szCs w:val="21"/>
          <w:highlight w:val="none"/>
        </w:rPr>
      </w:pPr>
      <w:r>
        <w:rPr>
          <w:rFonts w:hint="eastAsia" w:ascii="宋体" w:hAnsi="宋体" w:cs="宋体"/>
          <w:b/>
          <w:szCs w:val="21"/>
          <w:highlight w:val="none"/>
        </w:rPr>
        <w:t>17. 投标递交</w:t>
      </w:r>
    </w:p>
    <w:p>
      <w:pPr>
        <w:spacing w:line="400" w:lineRule="exact"/>
        <w:jc w:val="left"/>
        <w:rPr>
          <w:rFonts w:ascii="宋体" w:hAnsi="宋体" w:cs="宋体"/>
          <w:szCs w:val="21"/>
          <w:highlight w:val="none"/>
        </w:rPr>
      </w:pPr>
      <w:r>
        <w:rPr>
          <w:rFonts w:hint="eastAsia" w:ascii="宋体" w:hAnsi="宋体" w:cs="宋体"/>
          <w:b/>
          <w:bCs/>
          <w:szCs w:val="21"/>
          <w:highlight w:val="none"/>
        </w:rPr>
        <w:t xml:space="preserve">17.1 </w:t>
      </w:r>
      <w:r>
        <w:rPr>
          <w:rFonts w:ascii="宋体" w:hAnsi="宋体" w:cs="宋体"/>
          <w:b/>
          <w:bCs/>
          <w:szCs w:val="21"/>
          <w:highlight w:val="none"/>
        </w:rPr>
        <w:t xml:space="preserve"> </w:t>
      </w:r>
      <w:r>
        <w:rPr>
          <w:rFonts w:hint="eastAsia" w:ascii="宋体" w:hAnsi="宋体" w:cs="宋体"/>
          <w:szCs w:val="21"/>
          <w:highlight w:val="none"/>
        </w:rPr>
        <w:t>投标文件递交的具体要求：</w:t>
      </w:r>
    </w:p>
    <w:p>
      <w:pPr>
        <w:spacing w:line="400" w:lineRule="exact"/>
        <w:jc w:val="left"/>
        <w:rPr>
          <w:rFonts w:ascii="宋体" w:hAnsi="宋体" w:cs="宋体"/>
          <w:szCs w:val="21"/>
          <w:highlight w:val="none"/>
        </w:rPr>
      </w:pPr>
      <w:r>
        <w:rPr>
          <w:rFonts w:hint="eastAsia" w:ascii="宋体" w:hAnsi="宋体" w:cs="宋体"/>
          <w:kern w:val="0"/>
          <w:szCs w:val="21"/>
          <w:highlight w:val="none"/>
        </w:rPr>
        <w:t>（1）供应商应于提交投标文件截止时间前将电子投标文件上传到政府采购云平台（</w:t>
      </w:r>
      <w:r>
        <w:rPr>
          <w:highlight w:val="none"/>
        </w:rPr>
        <w:fldChar w:fldCharType="begin"/>
      </w:r>
      <w:r>
        <w:rPr>
          <w:highlight w:val="none"/>
        </w:rPr>
        <w:instrText xml:space="preserve"> HYPERLINK "http://www.zcygov.cn" </w:instrText>
      </w:r>
      <w:r>
        <w:rPr>
          <w:highlight w:val="none"/>
        </w:rPr>
        <w:fldChar w:fldCharType="separate"/>
      </w:r>
      <w:r>
        <w:rPr>
          <w:rFonts w:hint="eastAsia" w:ascii="宋体" w:hAnsi="宋体" w:cs="宋体"/>
          <w:szCs w:val="21"/>
          <w:highlight w:val="none"/>
        </w:rPr>
        <w:t>www.zcygov.cn</w:t>
      </w:r>
      <w:r>
        <w:rPr>
          <w:rFonts w:hint="eastAsia" w:ascii="宋体" w:hAnsi="宋体" w:cs="宋体"/>
          <w:szCs w:val="21"/>
          <w:highlight w:val="none"/>
        </w:rPr>
        <w:fldChar w:fldCharType="end"/>
      </w:r>
      <w:r>
        <w:rPr>
          <w:rFonts w:hint="eastAsia" w:ascii="宋体" w:hAnsi="宋体" w:cs="宋体"/>
          <w:kern w:val="0"/>
          <w:szCs w:val="21"/>
          <w:highlight w:val="none"/>
        </w:rPr>
        <w:t>），并应于提交投标文件截止时间前，将以U盘或光盘存储的电子备份投标文件密封后按以下方式送达。</w:t>
      </w:r>
    </w:p>
    <w:p>
      <w:pPr>
        <w:spacing w:line="400" w:lineRule="exact"/>
        <w:ind w:firstLine="480" w:firstLineChars="227"/>
        <w:rPr>
          <w:rFonts w:ascii="宋体" w:hAnsi="宋体" w:cs="宋体"/>
          <w:bCs/>
          <w:szCs w:val="21"/>
          <w:highlight w:val="none"/>
        </w:rPr>
      </w:pPr>
      <w:r>
        <w:rPr>
          <w:rFonts w:hint="eastAsia" w:ascii="宋体" w:hAnsi="宋体" w:cs="宋体"/>
          <w:kern w:val="0"/>
          <w:szCs w:val="21"/>
          <w:highlight w:val="none"/>
        </w:rPr>
        <w:t>方式一：</w:t>
      </w:r>
      <w:r>
        <w:rPr>
          <w:rFonts w:hint="eastAsia" w:ascii="宋体" w:hAnsi="宋体" w:cs="宋体"/>
          <w:bCs/>
          <w:szCs w:val="21"/>
          <w:highlight w:val="none"/>
        </w:rPr>
        <w:t xml:space="preserve">现场递交方式，请供应商在投标截止时间前将电子备份投标文件余姚市公共资源交易中心（余姚市谭家岭东路2号，南雷大厦附楼4楼，详见开评标场所安排），投标文件递交时须同时递交供应商的法定代表人（或其授权代表）联系方式，并保证开标期间联系方式畅通。 </w:t>
      </w:r>
    </w:p>
    <w:p>
      <w:pPr>
        <w:snapToGrid w:val="0"/>
        <w:spacing w:line="380" w:lineRule="exact"/>
        <w:ind w:firstLine="424" w:firstLineChars="200"/>
        <w:jc w:val="left"/>
        <w:rPr>
          <w:rFonts w:ascii="宋体" w:hAnsi="宋体" w:cs="宋体"/>
          <w:bCs/>
          <w:szCs w:val="21"/>
          <w:highlight w:val="none"/>
        </w:rPr>
      </w:pPr>
      <w:r>
        <w:rPr>
          <w:rFonts w:hint="eastAsia" w:ascii="宋体" w:hAnsi="宋体" w:cs="宋体"/>
          <w:kern w:val="0"/>
          <w:szCs w:val="21"/>
          <w:highlight w:val="none"/>
        </w:rPr>
        <w:t>方式二：</w:t>
      </w:r>
      <w:r>
        <w:rPr>
          <w:rFonts w:hint="eastAsia" w:ascii="宋体" w:hAnsi="宋体" w:cs="宋体"/>
          <w:bCs/>
          <w:szCs w:val="21"/>
          <w:highlight w:val="none"/>
        </w:rPr>
        <w:t>邮寄送达。供应商可以通过邮寄送达电子备份投标文件，送达地址宁波国咨工程造价咨询有限公司（宁波市鄞州区和源路510号宁兴国贸大厦2102室），联系方式：0574-87312175。供应商邮寄后须将邮件单号发送至代理机构电子邮箱（电子邮箱：625740900@qq.com），并致电采购代理机构，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电子备份投标文件邮寄送达截止时间</w:t>
      </w:r>
      <w:r>
        <w:rPr>
          <w:rFonts w:hint="eastAsia" w:ascii="宋体" w:hAnsi="宋体" w:cs="宋体"/>
          <w:bCs/>
          <w:szCs w:val="21"/>
          <w:highlight w:val="none"/>
          <w:lang w:val="en-US" w:eastAsia="zh-CN"/>
        </w:rPr>
        <w:t>为</w:t>
      </w:r>
      <w:r>
        <w:rPr>
          <w:rFonts w:hint="eastAsia" w:ascii="宋体" w:hAnsi="宋体" w:cs="宋体"/>
          <w:bCs/>
          <w:szCs w:val="21"/>
          <w:highlight w:val="none"/>
        </w:rPr>
        <w:t xml:space="preserve">投标截止时间前一天17时00分。 </w:t>
      </w:r>
    </w:p>
    <w:p>
      <w:pPr>
        <w:snapToGrid w:val="0"/>
        <w:spacing w:line="380" w:lineRule="exact"/>
        <w:jc w:val="left"/>
        <w:rPr>
          <w:rFonts w:ascii="宋体" w:hAnsi="宋体" w:cs="宋体"/>
          <w:szCs w:val="21"/>
          <w:highlight w:val="none"/>
        </w:rPr>
      </w:pPr>
      <w:r>
        <w:rPr>
          <w:rFonts w:hint="eastAsia" w:ascii="宋体" w:hAnsi="宋体" w:cs="宋体"/>
          <w:b/>
          <w:bCs/>
          <w:szCs w:val="21"/>
          <w:highlight w:val="none"/>
        </w:rPr>
        <w:t>17.2</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供应商未按上述要求密封的电子备份投标文件，代理机构不予受理。</w:t>
      </w:r>
    </w:p>
    <w:p>
      <w:pPr>
        <w:spacing w:line="400" w:lineRule="exact"/>
        <w:jc w:val="left"/>
        <w:rPr>
          <w:rFonts w:ascii="宋体" w:hAnsi="宋体" w:cs="宋体"/>
          <w:szCs w:val="21"/>
          <w:highlight w:val="none"/>
        </w:rPr>
      </w:pPr>
      <w:r>
        <w:rPr>
          <w:rFonts w:hint="eastAsia" w:ascii="宋体" w:hAnsi="宋体" w:cs="宋体"/>
          <w:b/>
          <w:bCs/>
          <w:szCs w:val="21"/>
          <w:highlight w:val="none"/>
        </w:rPr>
        <w:t>17.3</w:t>
      </w:r>
      <w:r>
        <w:rPr>
          <w:rFonts w:ascii="宋体" w:hAnsi="宋体" w:cs="宋体"/>
          <w:b/>
          <w:bCs/>
          <w:szCs w:val="21"/>
          <w:highlight w:val="none"/>
        </w:rPr>
        <w:t xml:space="preserve">  </w:t>
      </w:r>
      <w:r>
        <w:rPr>
          <w:rFonts w:hint="eastAsia" w:ascii="宋体" w:hAnsi="宋体" w:cs="宋体"/>
          <w:szCs w:val="21"/>
          <w:highlight w:val="none"/>
        </w:rPr>
        <w:t>逾期送达的或者未送达指定地点的，代理机构不予受理。</w:t>
      </w:r>
    </w:p>
    <w:p>
      <w:pPr>
        <w:spacing w:line="400" w:lineRule="exact"/>
        <w:jc w:val="left"/>
        <w:rPr>
          <w:rFonts w:ascii="宋体" w:hAnsi="宋体" w:cs="宋体"/>
          <w:b/>
          <w:bCs/>
          <w:szCs w:val="21"/>
          <w:highlight w:val="none"/>
        </w:rPr>
      </w:pPr>
    </w:p>
    <w:p>
      <w:pPr>
        <w:spacing w:line="400" w:lineRule="exact"/>
        <w:jc w:val="left"/>
        <w:rPr>
          <w:rFonts w:ascii="宋体" w:hAnsi="宋体" w:cs="宋体"/>
          <w:b/>
          <w:bCs/>
          <w:szCs w:val="21"/>
          <w:highlight w:val="none"/>
        </w:rPr>
      </w:pPr>
      <w:r>
        <w:rPr>
          <w:rFonts w:hint="eastAsia" w:ascii="宋体" w:hAnsi="宋体" w:cs="宋体"/>
          <w:b/>
          <w:bCs/>
          <w:szCs w:val="21"/>
          <w:highlight w:val="none"/>
        </w:rPr>
        <w:t>18. 投标文件的补充、修改</w:t>
      </w:r>
    </w:p>
    <w:p>
      <w:pPr>
        <w:spacing w:line="400" w:lineRule="exact"/>
        <w:ind w:firstLine="424" w:firstLineChars="200"/>
        <w:rPr>
          <w:rFonts w:ascii="宋体" w:hAnsi="宋体" w:cs="宋体"/>
          <w:szCs w:val="21"/>
          <w:highlight w:val="none"/>
        </w:rPr>
      </w:pPr>
      <w:r>
        <w:rPr>
          <w:rFonts w:hint="eastAsia" w:ascii="宋体" w:hAnsi="宋体" w:cs="宋体"/>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pPr>
        <w:spacing w:line="400" w:lineRule="exact"/>
        <w:rPr>
          <w:rFonts w:ascii="宋体" w:hAnsi="宋体" w:cs="宋体"/>
          <w:szCs w:val="21"/>
          <w:highlight w:val="none"/>
        </w:rPr>
      </w:pPr>
    </w:p>
    <w:p>
      <w:pPr>
        <w:jc w:val="center"/>
        <w:outlineLvl w:val="1"/>
        <w:rPr>
          <w:rFonts w:ascii="宋体" w:hAnsi="宋体" w:cs="宋体"/>
          <w:b/>
          <w:sz w:val="28"/>
          <w:highlight w:val="none"/>
        </w:rPr>
      </w:pPr>
      <w:bookmarkStart w:id="274" w:name="_Toc513799075"/>
      <w:bookmarkStart w:id="275" w:name="_Toc513798904"/>
      <w:bookmarkStart w:id="276" w:name="_Toc520902398"/>
      <w:bookmarkStart w:id="277" w:name="_Toc440276565"/>
      <w:r>
        <w:rPr>
          <w:rFonts w:hint="eastAsia" w:ascii="宋体" w:hAnsi="宋体" w:cs="宋体"/>
          <w:b/>
          <w:sz w:val="28"/>
          <w:highlight w:val="none"/>
        </w:rPr>
        <w:t>E  开标</w:t>
      </w:r>
      <w:bookmarkEnd w:id="274"/>
      <w:bookmarkEnd w:id="275"/>
      <w:bookmarkEnd w:id="276"/>
      <w:bookmarkEnd w:id="277"/>
    </w:p>
    <w:p>
      <w:pPr>
        <w:spacing w:line="400" w:lineRule="exact"/>
        <w:rPr>
          <w:rFonts w:ascii="宋体" w:hAnsi="宋体" w:cs="宋体"/>
          <w:szCs w:val="21"/>
          <w:highlight w:val="none"/>
        </w:rPr>
      </w:pPr>
      <w:r>
        <w:rPr>
          <w:rFonts w:hint="eastAsia" w:ascii="宋体" w:hAnsi="宋体" w:cs="宋体"/>
          <w:b/>
          <w:szCs w:val="21"/>
          <w:highlight w:val="none"/>
        </w:rPr>
        <w:t>19</w:t>
      </w: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b/>
          <w:szCs w:val="21"/>
          <w:highlight w:val="none"/>
        </w:rPr>
        <w:t>开标</w:t>
      </w:r>
    </w:p>
    <w:p>
      <w:pPr>
        <w:spacing w:line="400" w:lineRule="exact"/>
        <w:jc w:val="left"/>
        <w:rPr>
          <w:rFonts w:ascii="宋体" w:hAnsi="宋体" w:cs="宋体"/>
          <w:szCs w:val="21"/>
          <w:highlight w:val="none"/>
        </w:rPr>
      </w:pPr>
      <w:r>
        <w:rPr>
          <w:rFonts w:hint="eastAsia" w:ascii="宋体" w:hAnsi="宋体" w:cs="宋体"/>
          <w:b/>
          <w:szCs w:val="21"/>
          <w:highlight w:val="none"/>
        </w:rPr>
        <w:t xml:space="preserve">19.1 </w:t>
      </w:r>
      <w:r>
        <w:rPr>
          <w:rFonts w:ascii="宋体" w:hAnsi="宋体" w:cs="宋体"/>
          <w:b/>
          <w:szCs w:val="21"/>
          <w:highlight w:val="none"/>
        </w:rPr>
        <w:t xml:space="preserve"> </w:t>
      </w:r>
      <w:r>
        <w:rPr>
          <w:rFonts w:hint="eastAsia" w:ascii="宋体" w:hAnsi="宋体" w:cs="宋体"/>
          <w:szCs w:val="21"/>
          <w:highlight w:val="none"/>
        </w:rPr>
        <w:t>代理机构在招标文件规定的时间和地点公开开标，</w:t>
      </w:r>
      <w:r>
        <w:rPr>
          <w:rFonts w:hint="eastAsia" w:ascii="宋体" w:hAnsi="宋体" w:cs="宋体"/>
          <w:bCs/>
          <w:szCs w:val="21"/>
          <w:highlight w:val="none"/>
        </w:rPr>
        <w:t>请供应商在投标截止时间前将电子备份投标文件送至余姚市公共资源交易中心（余姚市谭家岭东路2号，南雷大厦附楼4楼，详见开评标场所安排），在完成电子备份投标文件和人员登记后立即离开。电子备份投标文件递交时须同时递交供应商的法定代表人（或其授权代表）联系方式，并保证开标期间联系方式畅通。</w:t>
      </w:r>
    </w:p>
    <w:p>
      <w:pPr>
        <w:spacing w:line="400" w:lineRule="exact"/>
        <w:jc w:val="left"/>
        <w:rPr>
          <w:rFonts w:ascii="宋体" w:hAnsi="宋体" w:cs="宋体"/>
          <w:szCs w:val="21"/>
          <w:highlight w:val="none"/>
        </w:rPr>
      </w:pPr>
      <w:r>
        <w:rPr>
          <w:rFonts w:hint="eastAsia" w:ascii="宋体" w:hAnsi="宋体" w:cs="宋体"/>
          <w:b/>
          <w:bCs/>
          <w:szCs w:val="21"/>
          <w:highlight w:val="none"/>
        </w:rPr>
        <w:t>19.2</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电子投标开标及评审程序：</w:t>
      </w:r>
    </w:p>
    <w:p>
      <w:pPr>
        <w:spacing w:line="400" w:lineRule="exact"/>
        <w:jc w:val="left"/>
        <w:rPr>
          <w:rFonts w:ascii="宋体" w:hAnsi="宋体" w:cs="宋体"/>
          <w:szCs w:val="21"/>
          <w:highlight w:val="none"/>
        </w:rPr>
      </w:pPr>
      <w:r>
        <w:rPr>
          <w:rFonts w:hint="eastAsia" w:ascii="宋体" w:hAnsi="宋体" w:cs="宋体"/>
          <w:szCs w:val="21"/>
          <w:highlight w:val="none"/>
        </w:rPr>
        <w:t>（1）宣布开标；</w:t>
      </w:r>
    </w:p>
    <w:p>
      <w:pPr>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bCs/>
          <w:szCs w:val="21"/>
          <w:highlight w:val="none"/>
        </w:rPr>
        <w:t>本项目实行网上投标，采用电子投标文件。若供应商参与投标，自行承担投标一切费用。</w:t>
      </w:r>
      <w:r>
        <w:rPr>
          <w:rFonts w:hint="eastAsia" w:ascii="宋体" w:hAnsi="宋体" w:cs="宋体"/>
          <w:szCs w:val="21"/>
          <w:highlight w:val="none"/>
        </w:rPr>
        <w:t>投标截止时间后，供应商登录</w:t>
      </w:r>
      <w:r>
        <w:rPr>
          <w:rFonts w:hint="eastAsia" w:ascii="宋体" w:hAnsi="宋体" w:cs="宋体"/>
          <w:kern w:val="0"/>
          <w:szCs w:val="21"/>
          <w:highlight w:val="none"/>
        </w:rPr>
        <w:t>政府采购云平台</w:t>
      </w:r>
      <w:r>
        <w:rPr>
          <w:rFonts w:hint="eastAsia" w:ascii="宋体" w:hAnsi="宋体" w:cs="宋体"/>
          <w:szCs w:val="21"/>
          <w:highlight w:val="none"/>
        </w:rPr>
        <w:t>，用“项目采购-开标评标”功能对电子投标文件进行在线解密，在线解密电子投标文件时间为开标时间后半小时内。</w:t>
      </w:r>
      <w:r>
        <w:rPr>
          <w:rFonts w:hint="eastAsia" w:ascii="宋体" w:hAnsi="宋体" w:cs="宋体"/>
          <w:bCs/>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jc w:val="left"/>
        <w:rPr>
          <w:rFonts w:ascii="宋体" w:hAnsi="宋体" w:cs="宋体"/>
          <w:szCs w:val="21"/>
          <w:highlight w:val="none"/>
        </w:rPr>
      </w:pPr>
      <w:r>
        <w:rPr>
          <w:rFonts w:hint="eastAsia" w:ascii="宋体" w:hAnsi="宋体" w:cs="宋体"/>
          <w:szCs w:val="21"/>
          <w:highlight w:val="none"/>
        </w:rPr>
        <w:t>（3）介绍开标现场的人员情况；</w:t>
      </w:r>
    </w:p>
    <w:p>
      <w:pPr>
        <w:spacing w:line="400" w:lineRule="exact"/>
        <w:jc w:val="left"/>
        <w:rPr>
          <w:rFonts w:ascii="宋体" w:hAnsi="宋体" w:cs="宋体"/>
          <w:szCs w:val="21"/>
          <w:highlight w:val="none"/>
        </w:rPr>
      </w:pPr>
      <w:r>
        <w:rPr>
          <w:rFonts w:hint="eastAsia" w:ascii="宋体" w:hAnsi="宋体" w:cs="宋体"/>
          <w:szCs w:val="21"/>
          <w:highlight w:val="none"/>
        </w:rPr>
        <w:t>（4）宣读递交投标文件的供应商名单、开标纪律、应当回避的情形等注意事项；</w:t>
      </w:r>
    </w:p>
    <w:p>
      <w:pPr>
        <w:spacing w:line="400" w:lineRule="exact"/>
        <w:jc w:val="left"/>
        <w:rPr>
          <w:rFonts w:ascii="宋体" w:hAnsi="宋体" w:cs="宋体"/>
          <w:szCs w:val="21"/>
          <w:highlight w:val="none"/>
        </w:rPr>
      </w:pPr>
      <w:r>
        <w:rPr>
          <w:rFonts w:hint="eastAsia" w:ascii="宋体" w:hAnsi="宋体" w:cs="宋体"/>
          <w:szCs w:val="21"/>
          <w:highlight w:val="none"/>
        </w:rPr>
        <w:t>（5）供应商签署不存在影响公平竞争的《政府采购活动现场确认声明书》；</w:t>
      </w:r>
    </w:p>
    <w:p>
      <w:pPr>
        <w:spacing w:line="400" w:lineRule="exact"/>
        <w:jc w:val="left"/>
        <w:rPr>
          <w:rFonts w:ascii="宋体" w:hAnsi="宋体" w:cs="宋体"/>
          <w:szCs w:val="21"/>
          <w:highlight w:val="none"/>
        </w:rPr>
      </w:pPr>
      <w:r>
        <w:rPr>
          <w:rFonts w:hint="eastAsia" w:ascii="宋体" w:hAnsi="宋体" w:cs="宋体"/>
          <w:szCs w:val="21"/>
          <w:highlight w:val="none"/>
        </w:rPr>
        <w:t>（6）</w:t>
      </w:r>
      <w:r>
        <w:rPr>
          <w:rFonts w:hint="eastAsia" w:ascii="宋体" w:hAnsi="宋体"/>
          <w:szCs w:val="21"/>
          <w:highlight w:val="none"/>
        </w:rPr>
        <w:t>在政府采购云平台开启已解密供应商的“资格证明文件、商务和技术文件、报价文件”，并做开标记录</w:t>
      </w:r>
      <w:r>
        <w:rPr>
          <w:rFonts w:hint="eastAsia" w:ascii="宋体" w:hAnsi="宋体" w:cs="宋体"/>
          <w:szCs w:val="21"/>
          <w:highlight w:val="none"/>
        </w:rPr>
        <w:t>；</w:t>
      </w:r>
    </w:p>
    <w:p>
      <w:pPr>
        <w:spacing w:line="400" w:lineRule="exact"/>
        <w:jc w:val="left"/>
        <w:rPr>
          <w:rFonts w:ascii="宋体" w:hAnsi="宋体" w:cs="宋体"/>
          <w:szCs w:val="21"/>
          <w:highlight w:val="none"/>
        </w:rPr>
      </w:pPr>
      <w:r>
        <w:rPr>
          <w:rFonts w:hint="eastAsia" w:ascii="宋体" w:hAnsi="宋体" w:cs="宋体"/>
          <w:szCs w:val="21"/>
          <w:highlight w:val="none"/>
        </w:rPr>
        <w:t>（7）在政府采购云平台宣告评审无效供应商名单及理由；</w:t>
      </w:r>
    </w:p>
    <w:p>
      <w:pPr>
        <w:spacing w:line="400" w:lineRule="exact"/>
        <w:jc w:val="left"/>
        <w:rPr>
          <w:rFonts w:ascii="宋体" w:hAnsi="宋体" w:cs="宋体"/>
          <w:szCs w:val="21"/>
          <w:highlight w:val="none"/>
        </w:rPr>
      </w:pPr>
      <w:r>
        <w:rPr>
          <w:rFonts w:hint="eastAsia" w:ascii="宋体" w:hAnsi="宋体" w:cs="宋体"/>
          <w:szCs w:val="21"/>
          <w:highlight w:val="none"/>
        </w:rPr>
        <w:t>（8）在政府采购云平台公布评审结果；</w:t>
      </w:r>
    </w:p>
    <w:p>
      <w:pPr>
        <w:spacing w:line="400" w:lineRule="exact"/>
        <w:jc w:val="left"/>
        <w:rPr>
          <w:rFonts w:ascii="宋体" w:hAnsi="宋体" w:cs="宋体"/>
          <w:szCs w:val="21"/>
          <w:highlight w:val="none"/>
        </w:rPr>
      </w:pPr>
      <w:r>
        <w:rPr>
          <w:rFonts w:hint="eastAsia" w:ascii="宋体" w:hAnsi="宋体" w:cs="宋体"/>
          <w:szCs w:val="21"/>
          <w:highlight w:val="none"/>
        </w:rPr>
        <w:t>（9）开标会议结束。</w:t>
      </w:r>
    </w:p>
    <w:p>
      <w:pPr>
        <w:spacing w:line="400" w:lineRule="exact"/>
        <w:jc w:val="left"/>
        <w:rPr>
          <w:rFonts w:ascii="宋体" w:hAnsi="宋体" w:cs="宋体"/>
          <w:szCs w:val="21"/>
          <w:highlight w:val="none"/>
        </w:rPr>
      </w:pPr>
      <w:r>
        <w:rPr>
          <w:rFonts w:hint="eastAsia" w:ascii="宋体" w:hAnsi="宋体" w:cs="宋体"/>
          <w:b/>
          <w:bCs/>
          <w:szCs w:val="21"/>
          <w:highlight w:val="none"/>
        </w:rPr>
        <w:t>19.3</w:t>
      </w:r>
      <w:r>
        <w:rPr>
          <w:rFonts w:ascii="宋体" w:hAnsi="宋体" w:cs="宋体"/>
          <w:b/>
          <w:bCs/>
          <w:szCs w:val="21"/>
          <w:highlight w:val="none"/>
        </w:rPr>
        <w:t xml:space="preserve"> </w:t>
      </w:r>
      <w:r>
        <w:rPr>
          <w:rFonts w:hint="eastAsia" w:ascii="宋体" w:hAnsi="宋体" w:cs="宋体"/>
          <w:b/>
          <w:bCs/>
          <w:szCs w:val="21"/>
          <w:highlight w:val="none"/>
        </w:rPr>
        <w:t xml:space="preserve"> </w:t>
      </w:r>
      <w:r>
        <w:rPr>
          <w:rFonts w:hint="eastAsia" w:ascii="宋体" w:hAnsi="宋体" w:cs="宋体"/>
          <w:szCs w:val="21"/>
          <w:highlight w:val="none"/>
        </w:rPr>
        <w:t>特别说明：</w:t>
      </w:r>
      <w:r>
        <w:rPr>
          <w:rFonts w:hint="eastAsia" w:ascii="宋体" w:hAnsi="宋体" w:cs="宋体"/>
          <w:kern w:val="0"/>
          <w:szCs w:val="21"/>
          <w:highlight w:val="none"/>
        </w:rPr>
        <w:t>政府采购云平台</w:t>
      </w:r>
      <w:r>
        <w:rPr>
          <w:rFonts w:hint="eastAsia" w:ascii="宋体" w:hAnsi="宋体" w:cs="宋体"/>
          <w:szCs w:val="21"/>
          <w:highlight w:val="none"/>
        </w:rPr>
        <w:t>如对电子化开标及评审程序有调整的，按调整后的程序操作。</w:t>
      </w:r>
    </w:p>
    <w:p>
      <w:pPr>
        <w:spacing w:line="400" w:lineRule="exact"/>
        <w:jc w:val="left"/>
        <w:rPr>
          <w:rFonts w:ascii="宋体" w:hAnsi="宋体" w:cs="宋体"/>
          <w:szCs w:val="21"/>
          <w:highlight w:val="none"/>
        </w:rPr>
      </w:pPr>
      <w:r>
        <w:rPr>
          <w:rFonts w:hint="eastAsia" w:ascii="宋体" w:hAnsi="宋体" w:cs="宋体"/>
          <w:szCs w:val="21"/>
          <w:highlight w:val="none"/>
        </w:rPr>
        <w:t>本项目原则上采用政采云电子投标开标及评审程序，但有下情形之一的，按以下情况处理：</w:t>
      </w:r>
    </w:p>
    <w:p>
      <w:pPr>
        <w:spacing w:line="400" w:lineRule="exact"/>
        <w:jc w:val="left"/>
        <w:rPr>
          <w:rFonts w:ascii="宋体" w:hAnsi="宋体" w:cs="宋体"/>
          <w:szCs w:val="21"/>
          <w:highlight w:val="none"/>
        </w:rPr>
      </w:pPr>
      <w:r>
        <w:rPr>
          <w:rFonts w:hint="eastAsia" w:ascii="宋体" w:hAnsi="宋体" w:cs="宋体"/>
          <w:szCs w:val="21"/>
          <w:highlight w:val="none"/>
        </w:rPr>
        <w:t>（1）若供应商在规定时间内无法解密或解密失败，代理机构将开启上述供应商递交的</w:t>
      </w:r>
      <w:r>
        <w:rPr>
          <w:rFonts w:hint="eastAsia" w:ascii="宋体" w:hAnsi="宋体" w:cs="宋体"/>
          <w:kern w:val="0"/>
          <w:szCs w:val="21"/>
          <w:highlight w:val="none"/>
        </w:rPr>
        <w:t>以U盘或光盘存储的电子备份投标文件</w:t>
      </w:r>
      <w:r>
        <w:rPr>
          <w:rFonts w:hint="eastAsia" w:ascii="宋体" w:hAnsi="宋体" w:cs="宋体"/>
          <w:szCs w:val="21"/>
          <w:highlight w:val="none"/>
        </w:rPr>
        <w:t>，上传至政采云平台项目采购模块，以完成开标，电子投标文件自动失效。</w:t>
      </w:r>
    </w:p>
    <w:p>
      <w:pPr>
        <w:spacing w:line="400" w:lineRule="exact"/>
        <w:jc w:val="left"/>
        <w:rPr>
          <w:rFonts w:ascii="宋体" w:hAnsi="宋体" w:cs="宋体"/>
          <w:szCs w:val="21"/>
          <w:highlight w:val="none"/>
        </w:rPr>
      </w:pPr>
      <w:r>
        <w:rPr>
          <w:rFonts w:hint="eastAsia" w:ascii="宋体" w:hAnsi="宋体" w:cs="宋体"/>
          <w:szCs w:val="21"/>
          <w:highlight w:val="none"/>
        </w:rPr>
        <w:t>（2）采购过程中出现以下情形，导致电子交易平台无法正常运行，或者无法保证电子交易的公平、公正和安全时，采购人（或代理机构）可中止电子交易活动：</w:t>
      </w:r>
    </w:p>
    <w:p>
      <w:pPr>
        <w:spacing w:line="400" w:lineRule="exact"/>
        <w:jc w:val="left"/>
        <w:rPr>
          <w:rFonts w:ascii="宋体" w:hAnsi="宋体" w:cs="宋体"/>
          <w:szCs w:val="21"/>
          <w:highlight w:val="none"/>
        </w:rPr>
      </w:pPr>
      <w:r>
        <w:rPr>
          <w:rFonts w:hint="eastAsia" w:ascii="宋体" w:hAnsi="宋体" w:cs="宋体"/>
          <w:szCs w:val="21"/>
          <w:highlight w:val="none"/>
        </w:rPr>
        <w:t>2.1</w:t>
      </w:r>
      <w:r>
        <w:rPr>
          <w:rFonts w:ascii="宋体" w:hAnsi="宋体" w:cs="宋体"/>
          <w:szCs w:val="21"/>
          <w:highlight w:val="none"/>
        </w:rPr>
        <w:t xml:space="preserve">  </w:t>
      </w:r>
      <w:r>
        <w:rPr>
          <w:rFonts w:hint="eastAsia" w:ascii="宋体" w:hAnsi="宋体" w:cs="宋体"/>
          <w:szCs w:val="21"/>
          <w:highlight w:val="none"/>
        </w:rPr>
        <w:t>电子交易平台发生故障而无法登录访问的；</w:t>
      </w:r>
    </w:p>
    <w:p>
      <w:pPr>
        <w:spacing w:line="400" w:lineRule="exact"/>
        <w:jc w:val="left"/>
        <w:rPr>
          <w:rFonts w:ascii="宋体" w:hAnsi="宋体" w:cs="宋体"/>
          <w:szCs w:val="21"/>
          <w:highlight w:val="none"/>
        </w:rPr>
      </w:pPr>
      <w:r>
        <w:rPr>
          <w:rFonts w:hint="eastAsia" w:ascii="宋体" w:hAnsi="宋体" w:cs="宋体"/>
          <w:szCs w:val="21"/>
          <w:highlight w:val="none"/>
        </w:rPr>
        <w:t>2.2</w:t>
      </w:r>
      <w:r>
        <w:rPr>
          <w:rFonts w:ascii="宋体" w:hAnsi="宋体" w:cs="宋体"/>
          <w:szCs w:val="21"/>
          <w:highlight w:val="none"/>
        </w:rPr>
        <w:t xml:space="preserve">  </w:t>
      </w:r>
      <w:r>
        <w:rPr>
          <w:rFonts w:hint="eastAsia" w:ascii="宋体" w:hAnsi="宋体" w:cs="宋体"/>
          <w:szCs w:val="21"/>
          <w:highlight w:val="none"/>
        </w:rPr>
        <w:t>电子交易平台应用或数据库出现错误，不能进行正常操作的；</w:t>
      </w:r>
    </w:p>
    <w:p>
      <w:pPr>
        <w:spacing w:line="400" w:lineRule="exact"/>
        <w:jc w:val="left"/>
        <w:rPr>
          <w:rFonts w:ascii="宋体" w:hAnsi="宋体" w:cs="宋体"/>
          <w:szCs w:val="21"/>
          <w:highlight w:val="none"/>
        </w:rPr>
      </w:pPr>
      <w:r>
        <w:rPr>
          <w:rFonts w:hint="eastAsia" w:ascii="宋体" w:hAnsi="宋体" w:cs="宋体"/>
          <w:szCs w:val="21"/>
          <w:highlight w:val="none"/>
        </w:rPr>
        <w:t>2.3</w:t>
      </w:r>
      <w:r>
        <w:rPr>
          <w:rFonts w:ascii="宋体" w:hAnsi="宋体" w:cs="宋体"/>
          <w:szCs w:val="21"/>
          <w:highlight w:val="none"/>
        </w:rPr>
        <w:t xml:space="preserve">  </w:t>
      </w:r>
      <w:r>
        <w:rPr>
          <w:rFonts w:hint="eastAsia" w:ascii="宋体" w:hAnsi="宋体" w:cs="宋体"/>
          <w:szCs w:val="21"/>
          <w:highlight w:val="none"/>
        </w:rPr>
        <w:t>电子交易平台发现严重安全漏洞，有潜在泄密危险的；</w:t>
      </w:r>
    </w:p>
    <w:p>
      <w:pPr>
        <w:spacing w:line="400" w:lineRule="exact"/>
        <w:jc w:val="left"/>
        <w:rPr>
          <w:rFonts w:ascii="宋体" w:hAnsi="宋体" w:cs="宋体"/>
          <w:szCs w:val="21"/>
          <w:highlight w:val="none"/>
        </w:rPr>
      </w:pPr>
      <w:r>
        <w:rPr>
          <w:rFonts w:hint="eastAsia" w:ascii="宋体" w:hAnsi="宋体" w:cs="宋体"/>
          <w:szCs w:val="21"/>
          <w:highlight w:val="none"/>
        </w:rPr>
        <w:t>2.4</w:t>
      </w:r>
      <w:r>
        <w:rPr>
          <w:rFonts w:ascii="宋体" w:hAnsi="宋体" w:cs="宋体"/>
          <w:szCs w:val="21"/>
          <w:highlight w:val="none"/>
        </w:rPr>
        <w:t xml:space="preserve">  </w:t>
      </w:r>
      <w:r>
        <w:rPr>
          <w:rFonts w:hint="eastAsia" w:ascii="宋体" w:hAnsi="宋体" w:cs="宋体"/>
          <w:szCs w:val="21"/>
          <w:highlight w:val="none"/>
        </w:rPr>
        <w:t xml:space="preserve">病毒发作导致不能进行正常操作的； </w:t>
      </w:r>
    </w:p>
    <w:p>
      <w:pPr>
        <w:spacing w:line="400" w:lineRule="exact"/>
        <w:jc w:val="left"/>
        <w:rPr>
          <w:rFonts w:ascii="宋体" w:hAnsi="宋体" w:cs="宋体"/>
          <w:szCs w:val="21"/>
          <w:highlight w:val="none"/>
        </w:rPr>
      </w:pPr>
      <w:r>
        <w:rPr>
          <w:rFonts w:hint="eastAsia" w:ascii="宋体" w:hAnsi="宋体" w:cs="宋体"/>
          <w:szCs w:val="21"/>
          <w:highlight w:val="none"/>
        </w:rPr>
        <w:t>2.5</w:t>
      </w:r>
      <w:r>
        <w:rPr>
          <w:rFonts w:ascii="宋体" w:hAnsi="宋体" w:cs="宋体"/>
          <w:szCs w:val="21"/>
          <w:highlight w:val="none"/>
        </w:rPr>
        <w:t xml:space="preserve">  </w:t>
      </w:r>
      <w:r>
        <w:rPr>
          <w:rFonts w:hint="eastAsia" w:ascii="宋体" w:hAnsi="宋体" w:cs="宋体"/>
          <w:szCs w:val="21"/>
          <w:highlight w:val="none"/>
        </w:rPr>
        <w:t>其他无法保证电子交易的公平、公正和安全的情况。</w:t>
      </w:r>
    </w:p>
    <w:p>
      <w:pPr>
        <w:spacing w:line="400" w:lineRule="exact"/>
        <w:jc w:val="left"/>
        <w:rPr>
          <w:rFonts w:ascii="宋体" w:hAnsi="宋体" w:cs="宋体"/>
          <w:szCs w:val="21"/>
          <w:highlight w:val="none"/>
        </w:rPr>
      </w:pPr>
      <w:r>
        <w:rPr>
          <w:rFonts w:hint="eastAsia" w:ascii="宋体" w:hAnsi="宋体" w:cs="宋体"/>
          <w:szCs w:val="21"/>
          <w:highlight w:val="none"/>
        </w:rPr>
        <w:t>出现前款规定情形，不影响采购公平、公正性的，采购人（或代理机构）可以待上述情形消除后继续组织电子交易活动。</w:t>
      </w:r>
    </w:p>
    <w:p>
      <w:pPr>
        <w:spacing w:line="400" w:lineRule="exact"/>
        <w:rPr>
          <w:rFonts w:ascii="宋体" w:hAnsi="宋体" w:cs="宋体"/>
          <w:szCs w:val="21"/>
          <w:highlight w:val="none"/>
          <w:u w:val="single"/>
        </w:rPr>
      </w:pPr>
    </w:p>
    <w:p>
      <w:pPr>
        <w:spacing w:before="146" w:beforeLines="50" w:after="146" w:afterLines="50"/>
        <w:jc w:val="center"/>
        <w:outlineLvl w:val="1"/>
        <w:rPr>
          <w:rFonts w:ascii="宋体" w:hAnsi="宋体" w:cs="宋体"/>
          <w:b/>
          <w:sz w:val="28"/>
          <w:highlight w:val="none"/>
        </w:rPr>
      </w:pPr>
      <w:bookmarkStart w:id="278" w:name="_Toc513799076"/>
      <w:bookmarkStart w:id="279" w:name="_Toc513798905"/>
      <w:bookmarkStart w:id="280" w:name="_Toc440276566"/>
      <w:bookmarkStart w:id="281" w:name="_Toc520902399"/>
      <w:r>
        <w:rPr>
          <w:rFonts w:hint="eastAsia" w:ascii="宋体" w:hAnsi="宋体" w:cs="宋体"/>
          <w:b/>
          <w:sz w:val="28"/>
          <w:highlight w:val="none"/>
        </w:rPr>
        <w:t>F  评标和定标</w:t>
      </w:r>
      <w:bookmarkEnd w:id="278"/>
      <w:bookmarkEnd w:id="279"/>
      <w:bookmarkEnd w:id="280"/>
      <w:bookmarkEnd w:id="281"/>
    </w:p>
    <w:p>
      <w:pPr>
        <w:spacing w:line="400" w:lineRule="exact"/>
        <w:rPr>
          <w:rFonts w:ascii="宋体" w:hAnsi="宋体" w:cs="宋体"/>
          <w:szCs w:val="21"/>
          <w:highlight w:val="none"/>
        </w:rPr>
      </w:pPr>
      <w:r>
        <w:rPr>
          <w:rFonts w:hint="eastAsia" w:ascii="宋体" w:hAnsi="宋体" w:cs="宋体"/>
          <w:b/>
          <w:szCs w:val="21"/>
          <w:highlight w:val="none"/>
        </w:rPr>
        <w:t>20. 评标委员会及评标</w:t>
      </w:r>
    </w:p>
    <w:p>
      <w:pPr>
        <w:spacing w:line="400" w:lineRule="exact"/>
        <w:rPr>
          <w:rFonts w:ascii="宋体" w:hAnsi="宋体" w:cs="宋体"/>
          <w:szCs w:val="21"/>
          <w:highlight w:val="none"/>
        </w:rPr>
      </w:pPr>
      <w:r>
        <w:rPr>
          <w:rFonts w:hint="eastAsia" w:ascii="宋体" w:hAnsi="宋体" w:cs="宋体"/>
          <w:b/>
          <w:szCs w:val="21"/>
          <w:highlight w:val="none"/>
        </w:rPr>
        <w:t>20.1</w:t>
      </w:r>
      <w:r>
        <w:rPr>
          <w:rFonts w:hint="eastAsia" w:ascii="宋体" w:hAnsi="宋体" w:cs="宋体"/>
          <w:szCs w:val="21"/>
          <w:highlight w:val="none"/>
        </w:rPr>
        <w:t xml:space="preserve">  受采购人的委托，采购代理机构依据《中华人民共和国政府采购法》、《中华人民共和国政府采购实施条例》等有关规定组建评标委员会，并主持评标活动。评标委员会由采购人代表和政府采购云平台随机抽取的技术、经济专家组成。</w:t>
      </w:r>
      <w:r>
        <w:rPr>
          <w:rFonts w:hint="eastAsia" w:ascii="宋体" w:hAnsi="宋体" w:cs="宋体"/>
          <w:b/>
          <w:szCs w:val="21"/>
          <w:highlight w:val="none"/>
          <w:u w:val="single"/>
        </w:rPr>
        <w:t>评标委员会成员名单在招标结果确定之前依法保密</w:t>
      </w:r>
      <w:r>
        <w:rPr>
          <w:rFonts w:hint="eastAsia" w:ascii="宋体" w:hAnsi="宋体" w:cs="宋体"/>
          <w:szCs w:val="21"/>
          <w:highlight w:val="none"/>
        </w:rPr>
        <w:t>。</w:t>
      </w:r>
    </w:p>
    <w:p>
      <w:pPr>
        <w:spacing w:line="400" w:lineRule="exact"/>
        <w:rPr>
          <w:rFonts w:ascii="宋体" w:hAnsi="宋体" w:cs="宋体"/>
          <w:szCs w:val="21"/>
          <w:highlight w:val="none"/>
        </w:rPr>
      </w:pPr>
      <w:r>
        <w:rPr>
          <w:rFonts w:hint="eastAsia" w:ascii="宋体" w:hAnsi="宋体" w:cs="宋体"/>
          <w:b/>
          <w:szCs w:val="21"/>
          <w:highlight w:val="none"/>
        </w:rPr>
        <w:t xml:space="preserve">20.2 </w:t>
      </w:r>
      <w:r>
        <w:rPr>
          <w:rFonts w:hint="eastAsia" w:ascii="宋体" w:hAnsi="宋体" w:cs="宋体"/>
          <w:szCs w:val="21"/>
          <w:highlight w:val="none"/>
        </w:rPr>
        <w:t xml:space="preserve"> 评标委员会将遵循公平、公正、科学、廉洁的原则和法定的程序进行评标，并且只依据招标文件要求和投标文件的响应情况进行评审，不依据任何来自开标后的补充声明、修正方案。</w:t>
      </w:r>
    </w:p>
    <w:p>
      <w:pPr>
        <w:spacing w:line="400" w:lineRule="exact"/>
        <w:rPr>
          <w:rFonts w:ascii="宋体" w:hAnsi="宋体" w:cs="宋体"/>
          <w:szCs w:val="21"/>
          <w:highlight w:val="none"/>
        </w:rPr>
      </w:pPr>
      <w:r>
        <w:rPr>
          <w:rFonts w:hint="eastAsia" w:ascii="宋体" w:hAnsi="宋体" w:cs="宋体"/>
          <w:b/>
          <w:szCs w:val="21"/>
          <w:highlight w:val="none"/>
        </w:rPr>
        <w:t>20.3</w:t>
      </w:r>
      <w:r>
        <w:rPr>
          <w:rFonts w:hint="eastAsia" w:ascii="宋体" w:hAnsi="宋体" w:cs="宋体"/>
          <w:szCs w:val="21"/>
          <w:highlight w:val="none"/>
        </w:rPr>
        <w:t xml:space="preserve">  评标委员会根据本须知的规定、招标文件的“评标标准”和“招标项目要求”中所列的具体标准，对投标文件进行评审和比较。</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b/>
          <w:szCs w:val="21"/>
          <w:highlight w:val="none"/>
        </w:rPr>
        <w:t>21.</w:t>
      </w:r>
      <w:r>
        <w:rPr>
          <w:rFonts w:ascii="宋体" w:hAnsi="宋体" w:cs="宋体"/>
          <w:b/>
          <w:szCs w:val="21"/>
          <w:highlight w:val="none"/>
        </w:rPr>
        <w:t xml:space="preserve"> </w:t>
      </w:r>
      <w:r>
        <w:rPr>
          <w:rFonts w:hint="eastAsia" w:ascii="宋体" w:hAnsi="宋体" w:cs="宋体"/>
          <w:b/>
          <w:szCs w:val="21"/>
          <w:highlight w:val="none"/>
        </w:rPr>
        <w:t>投标的澄清</w:t>
      </w:r>
    </w:p>
    <w:p>
      <w:pPr>
        <w:spacing w:line="400" w:lineRule="exact"/>
        <w:rPr>
          <w:rFonts w:ascii="宋体" w:hAnsi="宋体" w:cs="宋体"/>
          <w:highlight w:val="none"/>
        </w:rPr>
      </w:pPr>
      <w:r>
        <w:rPr>
          <w:rFonts w:hint="eastAsia" w:ascii="宋体" w:hAnsi="宋体" w:cs="宋体"/>
          <w:b/>
          <w:bCs/>
          <w:highlight w:val="none"/>
        </w:rPr>
        <w:t>21.1</w:t>
      </w: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rPr>
          <w:rFonts w:ascii="宋体" w:hAnsi="宋体" w:cs="宋体"/>
          <w:highlight w:val="none"/>
        </w:rPr>
      </w:pPr>
      <w:r>
        <w:rPr>
          <w:rFonts w:hint="eastAsia" w:ascii="宋体" w:hAnsi="宋体" w:cs="宋体"/>
          <w:b/>
          <w:bCs/>
          <w:highlight w:val="none"/>
        </w:rPr>
        <w:t>21.2</w:t>
      </w: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政采云具体操作如下：</w:t>
      </w:r>
    </w:p>
    <w:p>
      <w:pPr>
        <w:spacing w:line="400" w:lineRule="exact"/>
        <w:rPr>
          <w:rFonts w:ascii="宋体" w:hAnsi="宋体" w:cs="宋体"/>
          <w:highlight w:val="none"/>
        </w:rPr>
      </w:pPr>
      <w:r>
        <w:rPr>
          <w:rFonts w:hint="eastAsia" w:ascii="宋体" w:hAnsi="宋体" w:cs="宋体"/>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rPr>
          <w:rFonts w:ascii="宋体" w:hAnsi="宋体" w:cs="宋体"/>
          <w:highlight w:val="none"/>
        </w:rPr>
      </w:pPr>
      <w:r>
        <w:rPr>
          <w:rFonts w:hint="eastAsia" w:ascii="宋体" w:hAnsi="宋体" w:cs="宋体"/>
          <w:highlight w:val="none"/>
        </w:rPr>
        <w:t>路径：用户中心—项目采购—询标澄清</w:t>
      </w:r>
    </w:p>
    <w:p>
      <w:pPr>
        <w:spacing w:line="400" w:lineRule="exact"/>
        <w:rPr>
          <w:rFonts w:ascii="宋体" w:hAnsi="宋体" w:cs="宋体"/>
          <w:highlight w:val="none"/>
        </w:rPr>
      </w:pPr>
      <w:r>
        <w:rPr>
          <w:rFonts w:hint="eastAsia" w:ascii="宋体" w:hAnsi="宋体" w:cs="宋体"/>
          <w:highlight w:val="none"/>
        </w:rPr>
        <w:t>（1）政采云平台通过待办事项和短信提醒供应商在截止时间前完成澄清。</w:t>
      </w:r>
    </w:p>
    <w:p>
      <w:pPr>
        <w:spacing w:line="400" w:lineRule="exact"/>
        <w:rPr>
          <w:rFonts w:ascii="宋体" w:hAnsi="宋体" w:cs="宋体"/>
          <w:highlight w:val="none"/>
        </w:rPr>
      </w:pPr>
      <w:r>
        <w:rPr>
          <w:rFonts w:hint="eastAsia" w:ascii="宋体" w:hAnsi="宋体" w:cs="宋体"/>
          <w:highlight w:val="none"/>
        </w:rPr>
        <w:t>（2）供应商在“询标澄清-待办理”标签页下选择状态为“待澄清”的项目，点击操作栏【澄清】。</w:t>
      </w:r>
    </w:p>
    <w:p>
      <w:pPr>
        <w:spacing w:line="400" w:lineRule="exact"/>
        <w:rPr>
          <w:rFonts w:ascii="宋体" w:hAnsi="宋体" w:cs="宋体"/>
          <w:highlight w:val="none"/>
        </w:rPr>
      </w:pPr>
      <w:r>
        <w:rPr>
          <w:rFonts w:hint="eastAsia" w:ascii="宋体" w:hAnsi="宋体" w:cs="宋体"/>
          <w:highlight w:val="none"/>
        </w:rPr>
        <w:t>（3）查看函内容，在澄清截止时间前上传澄清文件并对澄清文件进行签章。（注：澄清文件必须以PDF格式上传，文件大小：50M）</w:t>
      </w:r>
    </w:p>
    <w:p>
      <w:pPr>
        <w:spacing w:line="400" w:lineRule="exact"/>
        <w:rPr>
          <w:rFonts w:ascii="宋体" w:hAnsi="宋体" w:cs="宋体"/>
          <w:highlight w:val="none"/>
        </w:rPr>
      </w:pPr>
      <w:r>
        <w:rPr>
          <w:rFonts w:hint="eastAsia" w:ascii="宋体" w:hAnsi="宋体" w:cs="宋体"/>
          <w:highlight w:val="none"/>
        </w:rPr>
        <w:t>（4）签章完成，文件名称处显示“已签章”，供应商可“撤回签章”修改澄清函和“查看文件”。</w:t>
      </w:r>
    </w:p>
    <w:p>
      <w:pPr>
        <w:spacing w:line="400" w:lineRule="exact"/>
        <w:rPr>
          <w:rFonts w:ascii="宋体" w:hAnsi="宋体" w:cs="宋体"/>
          <w:highlight w:val="none"/>
        </w:rPr>
      </w:pPr>
      <w:r>
        <w:rPr>
          <w:rFonts w:hint="eastAsia" w:ascii="宋体" w:hAnsi="宋体" w:cs="宋体"/>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rPr>
          <w:rFonts w:ascii="宋体" w:hAnsi="宋体" w:cs="宋体"/>
          <w:highlight w:val="none"/>
        </w:rPr>
      </w:pPr>
      <w:r>
        <w:rPr>
          <w:rFonts w:hint="eastAsia" w:ascii="宋体" w:hAnsi="宋体" w:cs="宋体"/>
          <w:highlight w:val="none"/>
        </w:rPr>
        <w:t>（6）完成状态：供应商澄清文件提交成功后，在“询标澄清-全部”标签页下显示状态为“已澄清”。</w:t>
      </w:r>
    </w:p>
    <w:p>
      <w:pPr>
        <w:spacing w:line="400" w:lineRule="exact"/>
        <w:rPr>
          <w:rFonts w:ascii="宋体" w:hAnsi="宋体" w:cs="宋体"/>
          <w:highlight w:val="none"/>
        </w:rPr>
      </w:pPr>
      <w:r>
        <w:rPr>
          <w:rFonts w:hint="eastAsia" w:ascii="宋体" w:hAnsi="宋体" w:cs="宋体"/>
          <w:b/>
          <w:bCs/>
          <w:highlight w:val="none"/>
        </w:rPr>
        <w:t xml:space="preserve">21.3 </w:t>
      </w:r>
      <w:r>
        <w:rPr>
          <w:rFonts w:ascii="宋体" w:hAnsi="宋体" w:cs="宋体"/>
          <w:b/>
          <w:bCs/>
          <w:highlight w:val="none"/>
        </w:rPr>
        <w:t xml:space="preserve"> </w:t>
      </w:r>
      <w:r>
        <w:rPr>
          <w:rFonts w:hint="eastAsia" w:ascii="宋体" w:hAnsi="宋体" w:cs="宋体"/>
          <w:highlight w:val="none"/>
        </w:rPr>
        <w:t>澄清文件应当由</w:t>
      </w:r>
      <w:r>
        <w:rPr>
          <w:rFonts w:hint="eastAsia" w:ascii="宋体" w:hAnsi="宋体" w:cs="宋体"/>
          <w:szCs w:val="21"/>
          <w:highlight w:val="none"/>
        </w:rPr>
        <w:t>供应商的法定代表人或授权代表签字</w:t>
      </w:r>
      <w:r>
        <w:rPr>
          <w:rFonts w:hint="eastAsia" w:ascii="宋体" w:hAnsi="宋体" w:cs="宋体"/>
          <w:highlight w:val="none"/>
        </w:rPr>
        <w:t>或者加盖供应商公章。澄清文件将作为投标文件内容的一部分，具有相应的法律效力。</w:t>
      </w:r>
    </w:p>
    <w:p>
      <w:pPr>
        <w:spacing w:line="400" w:lineRule="exact"/>
        <w:jc w:val="left"/>
        <w:rPr>
          <w:rFonts w:ascii="宋体" w:hAnsi="宋体" w:cs="宋体"/>
          <w:highlight w:val="none"/>
        </w:rPr>
      </w:pPr>
      <w:r>
        <w:rPr>
          <w:rFonts w:hint="eastAsia" w:ascii="宋体" w:hAnsi="宋体" w:cs="宋体"/>
          <w:b/>
          <w:bCs/>
          <w:highlight w:val="none"/>
        </w:rPr>
        <w:t xml:space="preserve">21.4 </w:t>
      </w:r>
      <w:r>
        <w:rPr>
          <w:rFonts w:ascii="宋体" w:hAnsi="宋体" w:cs="宋体"/>
          <w:b/>
          <w:bCs/>
          <w:highlight w:val="none"/>
        </w:rPr>
        <w:t xml:space="preserve"> </w:t>
      </w:r>
      <w:r>
        <w:rPr>
          <w:rFonts w:hint="eastAsia" w:ascii="宋体" w:hAnsi="宋体" w:cs="宋体"/>
          <w:highlight w:val="none"/>
        </w:rPr>
        <w:t>供应商未在截止时间前完成澄清，将被视作自动放弃。</w:t>
      </w:r>
    </w:p>
    <w:p>
      <w:pPr>
        <w:spacing w:line="400" w:lineRule="exact"/>
        <w:rPr>
          <w:rFonts w:ascii="宋体" w:hAnsi="宋体" w:cs="宋体"/>
          <w:b/>
          <w:szCs w:val="21"/>
          <w:highlight w:val="none"/>
        </w:rPr>
      </w:pPr>
    </w:p>
    <w:p>
      <w:pPr>
        <w:spacing w:line="400" w:lineRule="exact"/>
        <w:rPr>
          <w:rFonts w:ascii="宋体" w:hAnsi="宋体" w:cs="宋体"/>
          <w:szCs w:val="21"/>
          <w:highlight w:val="none"/>
          <w:u w:val="single"/>
        </w:rPr>
      </w:pPr>
      <w:r>
        <w:rPr>
          <w:rFonts w:hint="eastAsia" w:ascii="宋体" w:hAnsi="宋体" w:cs="宋体"/>
          <w:b/>
          <w:szCs w:val="21"/>
          <w:highlight w:val="none"/>
        </w:rPr>
        <w:t>22. 评标办法：</w:t>
      </w:r>
      <w:r>
        <w:rPr>
          <w:rFonts w:hint="eastAsia" w:ascii="宋体" w:hAnsi="宋体" w:cs="宋体"/>
          <w:szCs w:val="21"/>
          <w:highlight w:val="none"/>
        </w:rPr>
        <w:t>评标采用综合评分法。</w:t>
      </w:r>
      <w:r>
        <w:rPr>
          <w:rFonts w:hint="eastAsia" w:ascii="宋体" w:hAnsi="宋体" w:cs="宋体"/>
          <w:b/>
          <w:szCs w:val="21"/>
          <w:highlight w:val="none"/>
        </w:rPr>
        <w:t>本项目招标采用的评标方法载明在招标文件第五部分“评标办法”中。</w:t>
      </w:r>
    </w:p>
    <w:p>
      <w:pPr>
        <w:spacing w:line="400" w:lineRule="exact"/>
        <w:ind w:left="154" w:leftChars="73" w:firstLine="318" w:firstLineChars="150"/>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b/>
          <w:szCs w:val="21"/>
          <w:highlight w:val="none"/>
        </w:rPr>
        <w:t>23. 评标程序和原则</w:t>
      </w:r>
    </w:p>
    <w:p>
      <w:pPr>
        <w:spacing w:line="440" w:lineRule="exact"/>
        <w:rPr>
          <w:rFonts w:ascii="宋体" w:hAnsi="宋体" w:cs="宋体"/>
          <w:szCs w:val="21"/>
          <w:highlight w:val="none"/>
          <w:shd w:val="pct10" w:color="auto" w:fill="FFFFFF"/>
        </w:rPr>
      </w:pPr>
      <w:r>
        <w:rPr>
          <w:rFonts w:hint="eastAsia" w:ascii="宋体" w:hAnsi="宋体" w:cs="宋体"/>
          <w:b/>
          <w:szCs w:val="21"/>
          <w:highlight w:val="none"/>
        </w:rPr>
        <w:t>23.1</w:t>
      </w:r>
      <w:r>
        <w:rPr>
          <w:rFonts w:ascii="宋体" w:hAnsi="宋体" w:cs="宋体"/>
          <w:b/>
          <w:szCs w:val="21"/>
          <w:highlight w:val="none"/>
        </w:rPr>
        <w:t xml:space="preserve">  </w:t>
      </w:r>
      <w:r>
        <w:rPr>
          <w:rFonts w:hint="eastAsia" w:ascii="宋体" w:hAnsi="宋体" w:cs="宋体"/>
          <w:szCs w:val="21"/>
          <w:highlight w:val="none"/>
          <w:u w:val="thick"/>
        </w:rPr>
        <w:t>评标程序</w:t>
      </w:r>
      <w:r>
        <w:rPr>
          <w:rFonts w:hint="eastAsia" w:ascii="宋体" w:hAnsi="宋体" w:cs="宋体"/>
          <w:szCs w:val="21"/>
          <w:highlight w:val="none"/>
        </w:rPr>
        <w:t>：遵循资格审查、符合性审查、澄清有关问题、比较与评价、推荐中标供应商（或中标候选人）的程序依次进行。</w:t>
      </w:r>
    </w:p>
    <w:p>
      <w:pPr>
        <w:spacing w:line="440" w:lineRule="exact"/>
        <w:rPr>
          <w:rFonts w:ascii="宋体" w:hAnsi="宋体" w:cs="宋体"/>
          <w:szCs w:val="21"/>
          <w:highlight w:val="none"/>
        </w:rPr>
      </w:pPr>
      <w:r>
        <w:rPr>
          <w:rFonts w:hint="eastAsia" w:ascii="宋体" w:hAnsi="宋体" w:cs="宋体"/>
          <w:b/>
          <w:szCs w:val="21"/>
          <w:highlight w:val="none"/>
        </w:rPr>
        <w:t>23.2</w:t>
      </w:r>
      <w:r>
        <w:rPr>
          <w:rFonts w:ascii="宋体" w:hAnsi="宋体" w:cs="宋体"/>
          <w:b/>
          <w:szCs w:val="21"/>
          <w:highlight w:val="none"/>
        </w:rPr>
        <w:t xml:space="preserve">  </w:t>
      </w:r>
      <w:r>
        <w:rPr>
          <w:rFonts w:hint="eastAsia" w:ascii="宋体" w:hAnsi="宋体" w:cs="宋体"/>
          <w:szCs w:val="21"/>
          <w:highlight w:val="none"/>
          <w:u w:val="thick"/>
        </w:rPr>
        <w:t>资格审查</w:t>
      </w:r>
      <w:r>
        <w:rPr>
          <w:rFonts w:hint="eastAsia" w:ascii="宋体" w:hAnsi="宋体" w:cs="宋体"/>
          <w:szCs w:val="21"/>
          <w:highlight w:val="none"/>
        </w:rPr>
        <w:t>：公开招标采购项目开标结束后，采购人或者采购代理机构应当依法对投标人的资格进行审查。详见招标文件第五部分“评标办法”。</w:t>
      </w:r>
    </w:p>
    <w:p>
      <w:pPr>
        <w:spacing w:line="440" w:lineRule="exact"/>
        <w:rPr>
          <w:rFonts w:ascii="宋体" w:hAnsi="宋体" w:cs="宋体"/>
          <w:szCs w:val="21"/>
          <w:highlight w:val="none"/>
        </w:rPr>
      </w:pPr>
      <w:r>
        <w:rPr>
          <w:rFonts w:hint="eastAsia" w:ascii="宋体" w:hAnsi="宋体" w:cs="宋体"/>
          <w:b/>
          <w:szCs w:val="21"/>
          <w:highlight w:val="none"/>
        </w:rPr>
        <w:t>23.3</w:t>
      </w:r>
      <w:r>
        <w:rPr>
          <w:rFonts w:ascii="宋体" w:hAnsi="宋体" w:cs="宋体"/>
          <w:b/>
          <w:szCs w:val="21"/>
          <w:highlight w:val="none"/>
        </w:rPr>
        <w:t xml:space="preserve">  </w:t>
      </w:r>
      <w:r>
        <w:rPr>
          <w:rFonts w:hint="eastAsia" w:ascii="宋体" w:hAnsi="宋体" w:cs="宋体"/>
          <w:szCs w:val="21"/>
          <w:highlight w:val="none"/>
          <w:u w:val="thick"/>
        </w:rPr>
        <w:t>符合性审查</w:t>
      </w:r>
      <w:r>
        <w:rPr>
          <w:rFonts w:hint="eastAsia" w:ascii="宋体" w:hAnsi="宋体" w:cs="宋体"/>
          <w:szCs w:val="21"/>
          <w:highlight w:val="none"/>
        </w:rPr>
        <w:t>：评标委员会应当对符合资格的投标人的投标文件进行符合性审查，以确定其是否满足招标文件的实质性要求。详见招标文件第五部分“评标办法”。</w:t>
      </w:r>
    </w:p>
    <w:p>
      <w:pPr>
        <w:spacing w:line="440" w:lineRule="exact"/>
        <w:rPr>
          <w:rFonts w:ascii="宋体" w:hAnsi="宋体" w:cs="宋体"/>
          <w:szCs w:val="21"/>
          <w:highlight w:val="none"/>
        </w:rPr>
      </w:pPr>
      <w:r>
        <w:rPr>
          <w:rFonts w:hint="eastAsia" w:ascii="宋体" w:hAnsi="宋体" w:cs="宋体"/>
          <w:b/>
          <w:szCs w:val="21"/>
          <w:highlight w:val="none"/>
        </w:rPr>
        <w:t xml:space="preserve">23.4 </w:t>
      </w:r>
      <w:r>
        <w:rPr>
          <w:rFonts w:ascii="宋体" w:hAnsi="宋体" w:cs="宋体"/>
          <w:b/>
          <w:szCs w:val="21"/>
          <w:highlight w:val="none"/>
        </w:rPr>
        <w:t xml:space="preserve"> </w:t>
      </w:r>
      <w:r>
        <w:rPr>
          <w:rFonts w:hint="eastAsia" w:ascii="宋体" w:hAnsi="宋体" w:cs="宋体"/>
          <w:szCs w:val="21"/>
          <w:highlight w:val="none"/>
          <w:u w:val="thick"/>
        </w:rPr>
        <w:t>澄清有关问题</w:t>
      </w:r>
      <w:r>
        <w:rPr>
          <w:rFonts w:hint="eastAsia" w:ascii="宋体" w:hAnsi="宋体" w:cs="宋体"/>
          <w:szCs w:val="21"/>
          <w:highlight w:val="none"/>
        </w:rPr>
        <w:t>：按第</w:t>
      </w:r>
      <w:r>
        <w:rPr>
          <w:rFonts w:hint="eastAsia" w:ascii="宋体" w:hAnsi="宋体" w:cs="宋体"/>
          <w:b/>
          <w:szCs w:val="21"/>
          <w:highlight w:val="none"/>
        </w:rPr>
        <w:t>21</w:t>
      </w:r>
      <w:r>
        <w:rPr>
          <w:rFonts w:hint="eastAsia" w:ascii="宋体" w:hAnsi="宋体" w:cs="宋体"/>
          <w:szCs w:val="21"/>
          <w:highlight w:val="none"/>
        </w:rPr>
        <w:t xml:space="preserve">条规定进行。 </w:t>
      </w:r>
    </w:p>
    <w:p>
      <w:pPr>
        <w:spacing w:line="440" w:lineRule="exact"/>
        <w:rPr>
          <w:rFonts w:ascii="宋体" w:hAnsi="宋体" w:cs="宋体"/>
          <w:szCs w:val="21"/>
          <w:highlight w:val="none"/>
        </w:rPr>
      </w:pPr>
      <w:r>
        <w:rPr>
          <w:rFonts w:hint="eastAsia" w:ascii="宋体" w:hAnsi="宋体" w:cs="宋体"/>
          <w:b/>
          <w:szCs w:val="21"/>
          <w:highlight w:val="none"/>
        </w:rPr>
        <w:t>23.5</w:t>
      </w:r>
      <w:r>
        <w:rPr>
          <w:rFonts w:ascii="宋体" w:hAnsi="宋体" w:cs="宋体"/>
          <w:b/>
          <w:szCs w:val="21"/>
          <w:highlight w:val="none"/>
        </w:rPr>
        <w:t xml:space="preserve">  </w:t>
      </w:r>
      <w:r>
        <w:rPr>
          <w:rFonts w:hint="eastAsia" w:ascii="宋体" w:hAnsi="宋体" w:cs="宋体"/>
          <w:szCs w:val="21"/>
          <w:highlight w:val="none"/>
          <w:u w:val="thick"/>
        </w:rPr>
        <w:t>综合比较与评价</w:t>
      </w:r>
      <w:r>
        <w:rPr>
          <w:rFonts w:hint="eastAsia" w:ascii="宋体" w:hAnsi="宋体" w:cs="宋体"/>
          <w:szCs w:val="21"/>
          <w:highlight w:val="none"/>
        </w:rPr>
        <w:t>：评标委员会应当按照招标文件中规定的评标方法和标准，对符合性审查合格的投标文件进行商务和技术评估，综合比较与评价。</w:t>
      </w:r>
    </w:p>
    <w:p>
      <w:pPr>
        <w:spacing w:line="440" w:lineRule="exact"/>
        <w:rPr>
          <w:rFonts w:ascii="宋体" w:hAnsi="宋体" w:cs="宋体"/>
          <w:b/>
          <w:szCs w:val="21"/>
          <w:highlight w:val="none"/>
        </w:rPr>
      </w:pPr>
      <w:r>
        <w:rPr>
          <w:rFonts w:hint="eastAsia" w:ascii="宋体" w:hAnsi="宋体" w:cs="宋体"/>
          <w:b/>
          <w:szCs w:val="21"/>
          <w:highlight w:val="none"/>
        </w:rPr>
        <w:t xml:space="preserve">23.5.1 </w:t>
      </w:r>
      <w:r>
        <w:rPr>
          <w:rFonts w:ascii="宋体" w:hAnsi="宋体" w:cs="宋体"/>
          <w:b/>
          <w:szCs w:val="21"/>
          <w:highlight w:val="none"/>
        </w:rPr>
        <w:t xml:space="preserve"> </w:t>
      </w:r>
      <w:r>
        <w:rPr>
          <w:rFonts w:hint="eastAsia" w:ascii="宋体" w:hAnsi="宋体" w:cs="宋体"/>
          <w:szCs w:val="21"/>
          <w:highlight w:val="none"/>
          <w:u w:val="thick"/>
        </w:rPr>
        <w:t>商务评价</w:t>
      </w:r>
      <w:r>
        <w:rPr>
          <w:rFonts w:hint="eastAsia" w:ascii="宋体" w:hAnsi="宋体" w:cs="宋体"/>
          <w:szCs w:val="21"/>
          <w:highlight w:val="none"/>
        </w:rPr>
        <w:t>：按照招标文件的要求和“评标标准”对照投标文件的响应进行商务评价，并对其偏差计算相应的商务评分分值。</w:t>
      </w:r>
    </w:p>
    <w:p>
      <w:pPr>
        <w:spacing w:line="440" w:lineRule="exact"/>
        <w:rPr>
          <w:rFonts w:ascii="宋体" w:hAnsi="宋体" w:cs="宋体"/>
          <w:szCs w:val="21"/>
          <w:highlight w:val="none"/>
        </w:rPr>
      </w:pPr>
      <w:r>
        <w:rPr>
          <w:rFonts w:hint="eastAsia" w:ascii="宋体" w:hAnsi="宋体" w:cs="宋体"/>
          <w:b/>
          <w:szCs w:val="21"/>
          <w:highlight w:val="none"/>
        </w:rPr>
        <w:t>23.5.2</w:t>
      </w:r>
      <w:r>
        <w:rPr>
          <w:rFonts w:ascii="宋体" w:hAnsi="宋体" w:cs="宋体"/>
          <w:b/>
          <w:szCs w:val="21"/>
          <w:highlight w:val="none"/>
        </w:rPr>
        <w:t xml:space="preserve">  </w:t>
      </w:r>
      <w:r>
        <w:rPr>
          <w:rFonts w:hint="eastAsia" w:ascii="宋体" w:hAnsi="宋体" w:cs="宋体"/>
          <w:szCs w:val="21"/>
          <w:highlight w:val="none"/>
          <w:u w:val="thick"/>
        </w:rPr>
        <w:t>技术评价</w:t>
      </w:r>
      <w:r>
        <w:rPr>
          <w:rFonts w:hint="eastAsia" w:ascii="宋体" w:hAnsi="宋体" w:cs="宋体"/>
          <w:szCs w:val="21"/>
          <w:highlight w:val="none"/>
        </w:rPr>
        <w:t>：按照招标文件的要求和“评标标准”对照投标文件的响应进行技术评价，评定其偏差程度，并计算其相应的技术评分分值。</w:t>
      </w:r>
    </w:p>
    <w:p>
      <w:pPr>
        <w:spacing w:line="440" w:lineRule="exact"/>
        <w:jc w:val="left"/>
        <w:rPr>
          <w:rFonts w:ascii="宋体" w:hAnsi="宋体" w:cs="宋体"/>
          <w:szCs w:val="21"/>
          <w:highlight w:val="none"/>
        </w:rPr>
      </w:pPr>
      <w:r>
        <w:rPr>
          <w:rFonts w:hint="eastAsia" w:ascii="宋体" w:hAnsi="宋体" w:cs="宋体"/>
          <w:b/>
          <w:szCs w:val="21"/>
          <w:highlight w:val="none"/>
        </w:rPr>
        <w:t>23.5.3</w:t>
      </w:r>
      <w:r>
        <w:rPr>
          <w:rFonts w:ascii="宋体" w:hAnsi="宋体" w:cs="宋体"/>
          <w:b/>
          <w:szCs w:val="21"/>
          <w:highlight w:val="none"/>
        </w:rPr>
        <w:t xml:space="preserve">  </w:t>
      </w:r>
      <w:r>
        <w:rPr>
          <w:rFonts w:hint="eastAsia" w:ascii="宋体" w:hAnsi="宋体" w:cs="宋体"/>
          <w:szCs w:val="21"/>
          <w:highlight w:val="none"/>
          <w:u w:val="thick"/>
        </w:rPr>
        <w:t>综合评价</w:t>
      </w:r>
      <w:r>
        <w:rPr>
          <w:rFonts w:hint="eastAsia" w:ascii="宋体" w:hAnsi="宋体" w:cs="宋体"/>
          <w:szCs w:val="21"/>
          <w:highlight w:val="none"/>
        </w:rPr>
        <w:t>：对经过商务评价、技术评价的投标，按“评标标准”规定的评价办法进行综合评价，做出评标结果排序。</w:t>
      </w:r>
    </w:p>
    <w:p>
      <w:pPr>
        <w:spacing w:line="440" w:lineRule="exact"/>
        <w:rPr>
          <w:rFonts w:ascii="宋体" w:hAnsi="宋体" w:cs="宋体"/>
          <w:b/>
          <w:szCs w:val="21"/>
          <w:highlight w:val="none"/>
        </w:rPr>
      </w:pPr>
      <w:r>
        <w:rPr>
          <w:rFonts w:hint="eastAsia" w:ascii="宋体" w:hAnsi="宋体" w:cs="宋体"/>
          <w:b/>
          <w:szCs w:val="21"/>
          <w:highlight w:val="none"/>
        </w:rPr>
        <w:t>23.6  评标过程处理原则</w:t>
      </w:r>
    </w:p>
    <w:p>
      <w:pPr>
        <w:spacing w:line="440" w:lineRule="exact"/>
        <w:rPr>
          <w:rFonts w:ascii="宋体" w:hAnsi="宋体" w:cs="宋体"/>
          <w:szCs w:val="21"/>
          <w:highlight w:val="none"/>
        </w:rPr>
      </w:pPr>
      <w:r>
        <w:rPr>
          <w:rFonts w:hint="eastAsia" w:ascii="宋体" w:hAnsi="宋体" w:cs="宋体"/>
          <w:b/>
          <w:szCs w:val="21"/>
          <w:highlight w:val="none"/>
        </w:rPr>
        <w:t>23.6.1</w:t>
      </w:r>
      <w:r>
        <w:rPr>
          <w:rFonts w:hint="eastAsia" w:ascii="宋体" w:hAnsi="宋体" w:cs="宋体"/>
          <w:szCs w:val="21"/>
          <w:highlight w:val="none"/>
        </w:rPr>
        <w:t xml:space="preserve">  通过资格审查的投标人不足3家的，不得评标。</w:t>
      </w:r>
    </w:p>
    <w:p>
      <w:pPr>
        <w:spacing w:line="440" w:lineRule="exact"/>
        <w:rPr>
          <w:rFonts w:ascii="宋体" w:hAnsi="宋体" w:cs="宋体"/>
          <w:szCs w:val="21"/>
          <w:highlight w:val="none"/>
        </w:rPr>
      </w:pPr>
      <w:r>
        <w:rPr>
          <w:rFonts w:hint="eastAsia" w:ascii="宋体" w:hAnsi="宋体" w:cs="宋体"/>
          <w:b/>
          <w:szCs w:val="21"/>
          <w:highlight w:val="none"/>
        </w:rPr>
        <w:t xml:space="preserve">23.6.2  </w:t>
      </w:r>
      <w:r>
        <w:rPr>
          <w:rFonts w:hint="eastAsia" w:ascii="宋体" w:hAnsi="宋体" w:cs="宋体"/>
          <w:szCs w:val="21"/>
          <w:highlight w:val="none"/>
        </w:rPr>
        <w:t>投标文件报价出现前后不一致的，除招标文件另有规定外，按照下列规定修正：</w:t>
      </w:r>
    </w:p>
    <w:p>
      <w:pPr>
        <w:spacing w:line="440" w:lineRule="exact"/>
        <w:rPr>
          <w:rFonts w:ascii="宋体" w:hAnsi="宋体" w:cs="宋体"/>
          <w:szCs w:val="21"/>
          <w:highlight w:val="none"/>
        </w:rPr>
      </w:pPr>
      <w:r>
        <w:rPr>
          <w:rFonts w:hint="eastAsia" w:ascii="宋体" w:hAnsi="宋体" w:cs="宋体"/>
          <w:szCs w:val="21"/>
          <w:highlight w:val="none"/>
        </w:rPr>
        <w:t>（1）投标文件中开标一览表(报价表)内容与投标文件中相应内容不一致的，以开标一览表(报价表)为准；</w:t>
      </w:r>
    </w:p>
    <w:p>
      <w:pPr>
        <w:spacing w:line="440" w:lineRule="exact"/>
        <w:rPr>
          <w:rFonts w:ascii="宋体" w:hAnsi="宋体" w:cs="宋体"/>
          <w:szCs w:val="21"/>
          <w:highlight w:val="none"/>
        </w:rPr>
      </w:pPr>
      <w:r>
        <w:rPr>
          <w:rFonts w:hint="eastAsia" w:ascii="宋体" w:hAnsi="宋体" w:cs="宋体"/>
          <w:szCs w:val="21"/>
          <w:highlight w:val="none"/>
        </w:rPr>
        <w:t>（2）大写金额和小写金额不一致的，以大写金额为准；</w:t>
      </w:r>
    </w:p>
    <w:p>
      <w:pPr>
        <w:spacing w:line="440" w:lineRule="exact"/>
        <w:rPr>
          <w:rFonts w:ascii="宋体" w:hAnsi="宋体" w:cs="宋体"/>
          <w:szCs w:val="21"/>
          <w:highlight w:val="none"/>
        </w:rPr>
      </w:pPr>
      <w:r>
        <w:rPr>
          <w:rFonts w:hint="eastAsia" w:ascii="宋体" w:hAnsi="宋体" w:cs="宋体"/>
          <w:szCs w:val="21"/>
          <w:highlight w:val="none"/>
        </w:rPr>
        <w:t>（3）单价金额小数点或者百分比有明显错位的，以开标一览表的总价为准，并修改单价；</w:t>
      </w:r>
    </w:p>
    <w:p>
      <w:pPr>
        <w:spacing w:line="440" w:lineRule="exact"/>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pPr>
        <w:spacing w:line="360" w:lineRule="auto"/>
        <w:rPr>
          <w:rFonts w:ascii="宋体" w:hAnsi="宋体" w:cs="宋体"/>
          <w:szCs w:val="21"/>
          <w:highlight w:val="none"/>
        </w:rPr>
      </w:pPr>
      <w:r>
        <w:rPr>
          <w:rFonts w:hint="eastAsia" w:ascii="宋体" w:hAnsi="宋体" w:cs="宋体"/>
          <w:szCs w:val="21"/>
          <w:highlight w:val="none"/>
        </w:rPr>
        <w:t>同时出现两种以上不一致的，按照前款规定的顺序修正。修正后的报价按照投标文件招标文件的规定经投标人确认后产生约束力，投标人不确认的，其投标无效。</w:t>
      </w:r>
    </w:p>
    <w:p>
      <w:pPr>
        <w:spacing w:line="440" w:lineRule="exact"/>
        <w:rPr>
          <w:rFonts w:ascii="宋体" w:hAnsi="宋体" w:cs="宋体"/>
          <w:szCs w:val="21"/>
          <w:highlight w:val="none"/>
        </w:rPr>
      </w:pPr>
      <w:r>
        <w:rPr>
          <w:rFonts w:hint="eastAsia" w:ascii="宋体" w:hAnsi="宋体" w:cs="宋体"/>
          <w:b/>
          <w:szCs w:val="21"/>
          <w:highlight w:val="none"/>
        </w:rPr>
        <w:t>23.6.3</w:t>
      </w:r>
      <w:r>
        <w:rPr>
          <w:rFonts w:hint="eastAsia" w:ascii="宋体" w:hAnsi="宋体" w:cs="宋体"/>
          <w:szCs w:val="21"/>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宋体" w:hAnsi="宋体" w:cs="宋体"/>
          <w:szCs w:val="21"/>
          <w:highlight w:val="none"/>
        </w:rPr>
      </w:pPr>
      <w:r>
        <w:rPr>
          <w:rFonts w:hint="eastAsia" w:ascii="宋体" w:hAnsi="宋体" w:cs="宋体"/>
          <w:b/>
          <w:szCs w:val="21"/>
          <w:highlight w:val="none"/>
        </w:rPr>
        <w:t>23.6.4</w:t>
      </w:r>
      <w:r>
        <w:rPr>
          <w:rFonts w:hint="eastAsia" w:ascii="宋体" w:hAnsi="宋体" w:cs="宋体"/>
          <w:szCs w:val="21"/>
          <w:highlight w:val="none"/>
        </w:rPr>
        <w:t xml:space="preserve">  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rPr>
          <w:rFonts w:ascii="宋体" w:hAnsi="宋体" w:cs="宋体"/>
          <w:szCs w:val="21"/>
          <w:highlight w:val="none"/>
        </w:rPr>
      </w:pPr>
      <w:r>
        <w:rPr>
          <w:rFonts w:hint="eastAsia" w:ascii="宋体" w:hAnsi="宋体" w:cs="宋体"/>
          <w:b/>
          <w:szCs w:val="21"/>
          <w:highlight w:val="none"/>
        </w:rPr>
        <w:t xml:space="preserve">23.6.5 </w:t>
      </w:r>
      <w:r>
        <w:rPr>
          <w:rFonts w:hint="eastAsia" w:ascii="宋体" w:hAnsi="宋体" w:cs="宋体"/>
          <w:szCs w:val="21"/>
          <w:highlight w:val="none"/>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pPr>
        <w:spacing w:line="440" w:lineRule="exact"/>
        <w:ind w:firstLine="424" w:firstLineChars="200"/>
        <w:rPr>
          <w:rFonts w:ascii="宋体" w:hAnsi="宋体" w:cs="宋体"/>
          <w:szCs w:val="21"/>
          <w:highlight w:val="none"/>
        </w:rPr>
      </w:pPr>
      <w:r>
        <w:rPr>
          <w:rFonts w:hint="eastAsia" w:ascii="宋体" w:hAnsi="宋体" w:cs="宋体"/>
          <w:szCs w:val="21"/>
          <w:highlight w:val="none"/>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40" w:lineRule="exact"/>
        <w:ind w:firstLine="424" w:firstLineChars="200"/>
        <w:rPr>
          <w:rFonts w:ascii="宋体" w:hAnsi="宋体" w:cs="宋体"/>
          <w:szCs w:val="21"/>
          <w:highlight w:val="none"/>
        </w:rPr>
      </w:pPr>
      <w:r>
        <w:rPr>
          <w:rFonts w:hint="eastAsia" w:ascii="宋体" w:hAnsi="宋体" w:cs="宋体"/>
          <w:szCs w:val="21"/>
          <w:highlight w:val="none"/>
        </w:rPr>
        <w:t>非单一产品采购项目，招标文件中应载明核心产品，多家投标人提供的核心产品品牌均相同的，按上述规定处理。</w:t>
      </w:r>
    </w:p>
    <w:p>
      <w:pPr>
        <w:spacing w:line="440" w:lineRule="exact"/>
        <w:rPr>
          <w:rFonts w:ascii="宋体" w:hAnsi="宋体" w:cs="宋体"/>
          <w:szCs w:val="21"/>
          <w:highlight w:val="none"/>
        </w:rPr>
      </w:pPr>
      <w:r>
        <w:rPr>
          <w:rFonts w:hint="eastAsia" w:ascii="宋体" w:hAnsi="宋体" w:cs="宋体"/>
          <w:b/>
          <w:szCs w:val="21"/>
          <w:highlight w:val="none"/>
        </w:rPr>
        <w:t>23.6.6</w:t>
      </w:r>
      <w:r>
        <w:rPr>
          <w:rFonts w:hint="eastAsia" w:ascii="宋体" w:hAnsi="宋体" w:cs="宋体"/>
          <w:szCs w:val="21"/>
          <w:highlight w:val="none"/>
        </w:rPr>
        <w:t xml:space="preserve">  有下列情形之一的，视为投标人串通投标，其投标无效：</w:t>
      </w:r>
    </w:p>
    <w:p>
      <w:pPr>
        <w:spacing w:line="440" w:lineRule="exact"/>
        <w:rPr>
          <w:rFonts w:ascii="宋体" w:hAnsi="宋体" w:cs="宋体"/>
          <w:szCs w:val="21"/>
          <w:highlight w:val="none"/>
        </w:rPr>
      </w:pPr>
      <w:r>
        <w:rPr>
          <w:rFonts w:hint="eastAsia" w:ascii="宋体" w:hAnsi="宋体" w:cs="宋体"/>
          <w:szCs w:val="21"/>
          <w:highlight w:val="none"/>
        </w:rPr>
        <w:t>（1）不同投标人的投标文件由同一单位或者个人编制；</w:t>
      </w:r>
    </w:p>
    <w:p>
      <w:pPr>
        <w:spacing w:line="440" w:lineRule="exact"/>
        <w:rPr>
          <w:rFonts w:ascii="宋体" w:hAnsi="宋体" w:cs="宋体"/>
          <w:szCs w:val="21"/>
          <w:highlight w:val="none"/>
        </w:rPr>
      </w:pPr>
      <w:r>
        <w:rPr>
          <w:rFonts w:hint="eastAsia" w:ascii="宋体" w:hAnsi="宋体" w:cs="宋体"/>
          <w:szCs w:val="21"/>
          <w:highlight w:val="none"/>
        </w:rPr>
        <w:t>（2）不同投标人委托同一单位或者个人办理投标事宜；</w:t>
      </w:r>
    </w:p>
    <w:p>
      <w:pPr>
        <w:spacing w:line="440" w:lineRule="exact"/>
        <w:rPr>
          <w:rFonts w:ascii="宋体" w:hAnsi="宋体" w:cs="宋体"/>
          <w:szCs w:val="21"/>
          <w:highlight w:val="none"/>
        </w:rPr>
      </w:pPr>
      <w:r>
        <w:rPr>
          <w:rFonts w:hint="eastAsia" w:ascii="宋体" w:hAnsi="宋体" w:cs="宋体"/>
          <w:szCs w:val="21"/>
          <w:highlight w:val="none"/>
        </w:rPr>
        <w:t>（3）不同投标人的投标文件载明的项目管理成员或者联系人员为同一人；</w:t>
      </w:r>
    </w:p>
    <w:p>
      <w:pPr>
        <w:spacing w:line="440" w:lineRule="exact"/>
        <w:rPr>
          <w:rFonts w:ascii="宋体" w:hAnsi="宋体" w:cs="宋体"/>
          <w:szCs w:val="21"/>
          <w:highlight w:val="none"/>
        </w:rPr>
      </w:pPr>
      <w:r>
        <w:rPr>
          <w:rFonts w:hint="eastAsia" w:ascii="宋体" w:hAnsi="宋体" w:cs="宋体"/>
          <w:szCs w:val="21"/>
          <w:highlight w:val="none"/>
        </w:rPr>
        <w:t>（4）不同投标人的投标文件异常一致或者投标报价呈规律性差异；</w:t>
      </w:r>
    </w:p>
    <w:p>
      <w:pPr>
        <w:spacing w:line="440" w:lineRule="exact"/>
        <w:rPr>
          <w:rFonts w:ascii="宋体" w:hAnsi="宋体" w:cs="宋体"/>
          <w:szCs w:val="21"/>
          <w:highlight w:val="none"/>
        </w:rPr>
      </w:pPr>
      <w:r>
        <w:rPr>
          <w:rFonts w:hint="eastAsia" w:ascii="宋体" w:hAnsi="宋体" w:cs="宋体"/>
          <w:szCs w:val="21"/>
          <w:highlight w:val="none"/>
        </w:rPr>
        <w:t>（5）不同投标人的投标文件相互混装；</w:t>
      </w:r>
    </w:p>
    <w:p>
      <w:pPr>
        <w:spacing w:line="440" w:lineRule="exact"/>
        <w:rPr>
          <w:rFonts w:ascii="宋体" w:hAnsi="宋体" w:cs="宋体"/>
          <w:szCs w:val="21"/>
          <w:highlight w:val="none"/>
        </w:rPr>
      </w:pPr>
      <w:r>
        <w:rPr>
          <w:rFonts w:hint="eastAsia" w:ascii="宋体" w:hAnsi="宋体" w:cs="宋体"/>
          <w:szCs w:val="21"/>
          <w:highlight w:val="none"/>
        </w:rPr>
        <w:t>（6）不同投标人的投标保证金从同一单位或者个人的账户转出。</w:t>
      </w:r>
    </w:p>
    <w:p>
      <w:pPr>
        <w:spacing w:line="440" w:lineRule="exact"/>
        <w:rPr>
          <w:rFonts w:ascii="宋体" w:hAnsi="宋体" w:cs="宋体"/>
          <w:szCs w:val="21"/>
          <w:highlight w:val="none"/>
        </w:rPr>
      </w:pPr>
      <w:r>
        <w:rPr>
          <w:rFonts w:hint="eastAsia" w:ascii="宋体" w:hAnsi="宋体" w:cs="宋体"/>
          <w:b/>
          <w:szCs w:val="21"/>
          <w:highlight w:val="none"/>
        </w:rPr>
        <w:t>23.6.7</w:t>
      </w:r>
      <w:r>
        <w:rPr>
          <w:rFonts w:hint="eastAsia" w:ascii="宋体" w:hAnsi="宋体" w:cs="宋体"/>
          <w:szCs w:val="21"/>
          <w:highlight w:val="none"/>
        </w:rPr>
        <w:t xml:space="preserve">  投标人存在下列情况之一的，投标无效：</w:t>
      </w:r>
    </w:p>
    <w:p>
      <w:pPr>
        <w:spacing w:line="440" w:lineRule="exact"/>
        <w:rPr>
          <w:rFonts w:ascii="宋体" w:hAnsi="宋体" w:cs="宋体"/>
          <w:szCs w:val="21"/>
          <w:highlight w:val="none"/>
        </w:rPr>
      </w:pPr>
      <w:r>
        <w:rPr>
          <w:rFonts w:hint="eastAsia" w:ascii="宋体" w:hAnsi="宋体" w:cs="宋体"/>
          <w:szCs w:val="21"/>
          <w:highlight w:val="none"/>
        </w:rPr>
        <w:t>（1）未按照招标文件的规定提交投标保证金的；</w:t>
      </w:r>
    </w:p>
    <w:p>
      <w:pPr>
        <w:spacing w:line="440" w:lineRule="exact"/>
        <w:rPr>
          <w:rFonts w:ascii="宋体" w:hAnsi="宋体" w:cs="宋体"/>
          <w:szCs w:val="21"/>
          <w:highlight w:val="none"/>
        </w:rPr>
      </w:pPr>
      <w:r>
        <w:rPr>
          <w:rFonts w:hint="eastAsia" w:ascii="宋体" w:hAnsi="宋体" w:cs="宋体"/>
          <w:szCs w:val="21"/>
          <w:highlight w:val="none"/>
        </w:rPr>
        <w:t>（2）投标文件未按招标文件要求签署、盖章的；</w:t>
      </w:r>
    </w:p>
    <w:p>
      <w:pPr>
        <w:spacing w:line="440" w:lineRule="exact"/>
        <w:rPr>
          <w:rFonts w:ascii="宋体" w:hAnsi="宋体" w:cs="宋体"/>
          <w:szCs w:val="21"/>
          <w:highlight w:val="none"/>
        </w:rPr>
      </w:pPr>
      <w:r>
        <w:rPr>
          <w:rFonts w:hint="eastAsia" w:ascii="宋体" w:hAnsi="宋体" w:cs="宋体"/>
          <w:szCs w:val="21"/>
          <w:highlight w:val="none"/>
        </w:rPr>
        <w:t>（3）不具备招标文件中规定的资格要求的；</w:t>
      </w:r>
    </w:p>
    <w:p>
      <w:pPr>
        <w:spacing w:line="440" w:lineRule="exact"/>
        <w:rPr>
          <w:rFonts w:ascii="宋体" w:hAnsi="宋体" w:cs="宋体"/>
          <w:szCs w:val="21"/>
          <w:highlight w:val="none"/>
        </w:rPr>
      </w:pPr>
      <w:r>
        <w:rPr>
          <w:rFonts w:hint="eastAsia" w:ascii="宋体" w:hAnsi="宋体" w:cs="宋体"/>
          <w:szCs w:val="21"/>
          <w:highlight w:val="none"/>
        </w:rPr>
        <w:t>（4）报价超过招标文件中规定的预算金额或者最高限价的；</w:t>
      </w:r>
    </w:p>
    <w:p>
      <w:pPr>
        <w:spacing w:line="440" w:lineRule="exact"/>
        <w:rPr>
          <w:rFonts w:ascii="宋体" w:hAnsi="宋体" w:cs="宋体"/>
          <w:szCs w:val="21"/>
          <w:highlight w:val="none"/>
        </w:rPr>
      </w:pPr>
      <w:r>
        <w:rPr>
          <w:rFonts w:hint="eastAsia" w:ascii="宋体" w:hAnsi="宋体" w:cs="宋体"/>
          <w:szCs w:val="21"/>
          <w:highlight w:val="none"/>
        </w:rPr>
        <w:t>（5）投标文件含有采购人不能接受的附加条件的；</w:t>
      </w:r>
    </w:p>
    <w:p>
      <w:pPr>
        <w:spacing w:line="440" w:lineRule="exact"/>
        <w:rPr>
          <w:rFonts w:ascii="宋体" w:hAnsi="宋体" w:cs="宋体"/>
          <w:szCs w:val="21"/>
          <w:highlight w:val="none"/>
        </w:rPr>
      </w:pPr>
      <w:r>
        <w:rPr>
          <w:rFonts w:hint="eastAsia" w:ascii="宋体" w:hAnsi="宋体" w:cs="宋体"/>
          <w:szCs w:val="21"/>
          <w:highlight w:val="none"/>
        </w:rPr>
        <w:t>（6）法律、法规和招标文件规定的其他无效情形。</w:t>
      </w:r>
    </w:p>
    <w:p>
      <w:pPr>
        <w:spacing w:line="440" w:lineRule="exact"/>
        <w:rPr>
          <w:rFonts w:ascii="宋体" w:hAnsi="宋体" w:cs="宋体"/>
          <w:szCs w:val="21"/>
          <w:highlight w:val="none"/>
        </w:rPr>
      </w:pPr>
      <w:r>
        <w:rPr>
          <w:rFonts w:hint="eastAsia" w:ascii="宋体" w:hAnsi="宋体" w:cs="宋体"/>
          <w:b/>
          <w:szCs w:val="21"/>
          <w:highlight w:val="none"/>
        </w:rPr>
        <w:t xml:space="preserve">23.6.8  </w:t>
      </w:r>
      <w:r>
        <w:rPr>
          <w:rFonts w:hint="eastAsia" w:ascii="宋体" w:hAnsi="宋体" w:cs="宋体"/>
          <w:szCs w:val="21"/>
          <w:highlight w:val="none"/>
        </w:rPr>
        <w:t>评标结果汇总完成后，除下列情形外，任何人不得修改评标结果：</w:t>
      </w:r>
    </w:p>
    <w:p>
      <w:pPr>
        <w:spacing w:line="440" w:lineRule="exact"/>
        <w:rPr>
          <w:rFonts w:ascii="宋体" w:hAnsi="宋体" w:cs="宋体"/>
          <w:szCs w:val="21"/>
          <w:highlight w:val="none"/>
        </w:rPr>
      </w:pPr>
      <w:r>
        <w:rPr>
          <w:rFonts w:hint="eastAsia" w:ascii="宋体" w:hAnsi="宋体" w:cs="宋体"/>
          <w:szCs w:val="21"/>
          <w:highlight w:val="none"/>
        </w:rPr>
        <w:t>（1）分值汇总计算错误的;</w:t>
      </w:r>
    </w:p>
    <w:p>
      <w:pPr>
        <w:spacing w:line="440" w:lineRule="exact"/>
        <w:rPr>
          <w:rFonts w:ascii="宋体" w:hAnsi="宋体" w:cs="宋体"/>
          <w:szCs w:val="21"/>
          <w:highlight w:val="none"/>
        </w:rPr>
      </w:pPr>
      <w:r>
        <w:rPr>
          <w:rFonts w:hint="eastAsia" w:ascii="宋体" w:hAnsi="宋体" w:cs="宋体"/>
          <w:szCs w:val="21"/>
          <w:highlight w:val="none"/>
        </w:rPr>
        <w:t>（2）分项评分超出评分标准范围的;</w:t>
      </w:r>
    </w:p>
    <w:p>
      <w:pPr>
        <w:spacing w:line="440" w:lineRule="exact"/>
        <w:rPr>
          <w:rFonts w:ascii="宋体" w:hAnsi="宋体" w:cs="宋体"/>
          <w:szCs w:val="21"/>
          <w:highlight w:val="none"/>
        </w:rPr>
      </w:pPr>
      <w:r>
        <w:rPr>
          <w:rFonts w:hint="eastAsia" w:ascii="宋体" w:hAnsi="宋体" w:cs="宋体"/>
          <w:szCs w:val="21"/>
          <w:highlight w:val="none"/>
        </w:rPr>
        <w:t>（3）评标委员会成员对客观评审因素评分不一致的;</w:t>
      </w:r>
    </w:p>
    <w:p>
      <w:pPr>
        <w:spacing w:line="440" w:lineRule="exact"/>
        <w:rPr>
          <w:rFonts w:ascii="宋体" w:hAnsi="宋体" w:cs="宋体"/>
          <w:szCs w:val="21"/>
          <w:highlight w:val="none"/>
        </w:rPr>
      </w:pPr>
      <w:r>
        <w:rPr>
          <w:rFonts w:hint="eastAsia" w:ascii="宋体" w:hAnsi="宋体" w:cs="宋体"/>
          <w:szCs w:val="21"/>
          <w:highlight w:val="none"/>
        </w:rPr>
        <w:t>（4）经评标委员会认定评分畸高、畸低的。</w:t>
      </w:r>
    </w:p>
    <w:p>
      <w:pPr>
        <w:spacing w:line="440" w:lineRule="exact"/>
        <w:ind w:firstLine="453" w:firstLineChars="214"/>
        <w:rPr>
          <w:rFonts w:ascii="宋体" w:hAnsi="宋体" w:cs="宋体"/>
          <w:szCs w:val="21"/>
          <w:highlight w:val="none"/>
        </w:rPr>
      </w:pPr>
      <w:r>
        <w:rPr>
          <w:rFonts w:hint="eastAsia" w:ascii="宋体" w:hAnsi="宋体" w:cs="宋体"/>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53" w:firstLineChars="214"/>
        <w:rPr>
          <w:rFonts w:ascii="宋体" w:hAnsi="宋体" w:cs="宋体"/>
          <w:szCs w:val="21"/>
          <w:highlight w:val="none"/>
        </w:rPr>
      </w:pPr>
      <w:r>
        <w:rPr>
          <w:rFonts w:hint="eastAsia" w:ascii="宋体" w:hAnsi="宋体" w:cs="宋体"/>
          <w:szCs w:val="21"/>
          <w:highlight w:val="none"/>
        </w:rPr>
        <w:t>投标人对本条第一款情形提出质疑的，采购人或者采购代理机构可以组织原评标委员会进行重新评审，重新评审改变评标结果的，应当书面报告本级财政部门。</w:t>
      </w:r>
    </w:p>
    <w:p>
      <w:pPr>
        <w:spacing w:line="440" w:lineRule="exact"/>
        <w:rPr>
          <w:rFonts w:ascii="宋体" w:hAnsi="宋体" w:cs="宋体"/>
          <w:szCs w:val="21"/>
          <w:highlight w:val="none"/>
        </w:rPr>
      </w:pPr>
      <w:r>
        <w:rPr>
          <w:rFonts w:hint="eastAsia" w:ascii="宋体" w:hAnsi="宋体" w:cs="宋体"/>
          <w:b/>
          <w:szCs w:val="21"/>
          <w:highlight w:val="none"/>
        </w:rPr>
        <w:t xml:space="preserve">23.6.9  </w:t>
      </w:r>
      <w:r>
        <w:rPr>
          <w:rFonts w:hint="eastAsia" w:ascii="宋体" w:hAnsi="宋体" w:cs="宋体"/>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rPr>
          <w:rFonts w:ascii="宋体" w:hAnsi="宋体" w:cs="宋体"/>
          <w:kern w:val="0"/>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24.</w:t>
      </w:r>
      <w:r>
        <w:rPr>
          <w:rFonts w:ascii="宋体" w:hAnsi="宋体" w:cs="宋体"/>
          <w:b/>
          <w:szCs w:val="21"/>
          <w:highlight w:val="none"/>
        </w:rPr>
        <w:t xml:space="preserve"> </w:t>
      </w:r>
      <w:r>
        <w:rPr>
          <w:rFonts w:hint="eastAsia" w:ascii="宋体" w:hAnsi="宋体" w:cs="宋体"/>
          <w:b/>
          <w:szCs w:val="21"/>
          <w:highlight w:val="none"/>
        </w:rPr>
        <w:t>推荐中标候选人</w:t>
      </w:r>
    </w:p>
    <w:p>
      <w:pPr>
        <w:spacing w:line="400" w:lineRule="exact"/>
        <w:rPr>
          <w:rFonts w:ascii="宋体" w:hAnsi="宋体" w:cs="宋体"/>
          <w:kern w:val="0"/>
          <w:szCs w:val="21"/>
          <w:highlight w:val="none"/>
        </w:rPr>
      </w:pPr>
      <w:r>
        <w:rPr>
          <w:rFonts w:hint="eastAsia" w:ascii="宋体" w:hAnsi="宋体" w:cs="宋体"/>
          <w:b/>
          <w:szCs w:val="21"/>
          <w:highlight w:val="none"/>
        </w:rPr>
        <w:t>24.1</w:t>
      </w:r>
      <w:r>
        <w:rPr>
          <w:rFonts w:hint="eastAsia" w:ascii="宋体" w:hAnsi="宋体" w:cs="宋体"/>
          <w:kern w:val="0"/>
          <w:szCs w:val="21"/>
          <w:highlight w:val="none"/>
        </w:rPr>
        <w:t xml:space="preserve">  评标委员会按照招标文件第五部分“评标标准”推荐中标候选人。</w:t>
      </w:r>
    </w:p>
    <w:p>
      <w:pPr>
        <w:spacing w:line="400" w:lineRule="exact"/>
        <w:rPr>
          <w:rFonts w:ascii="宋体" w:hAnsi="宋体" w:cs="宋体"/>
          <w:kern w:val="0"/>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25.</w:t>
      </w:r>
      <w:r>
        <w:rPr>
          <w:rFonts w:ascii="宋体" w:hAnsi="宋体" w:cs="宋体"/>
          <w:b/>
          <w:szCs w:val="21"/>
          <w:highlight w:val="none"/>
        </w:rPr>
        <w:t xml:space="preserve"> </w:t>
      </w:r>
      <w:r>
        <w:rPr>
          <w:rFonts w:hint="eastAsia" w:ascii="宋体" w:hAnsi="宋体" w:cs="宋体"/>
          <w:b/>
          <w:szCs w:val="21"/>
          <w:highlight w:val="none"/>
        </w:rPr>
        <w:t>定标</w:t>
      </w:r>
    </w:p>
    <w:p>
      <w:pPr>
        <w:spacing w:line="400" w:lineRule="exact"/>
        <w:rPr>
          <w:rFonts w:ascii="宋体" w:hAnsi="宋体" w:cs="宋体"/>
          <w:b/>
          <w:szCs w:val="21"/>
          <w:highlight w:val="none"/>
        </w:rPr>
      </w:pPr>
      <w:r>
        <w:rPr>
          <w:rFonts w:hint="eastAsia" w:ascii="宋体" w:hAnsi="宋体" w:cs="宋体"/>
          <w:b/>
          <w:szCs w:val="21"/>
          <w:highlight w:val="none"/>
        </w:rPr>
        <w:t xml:space="preserve">25.1  </w:t>
      </w:r>
      <w:r>
        <w:rPr>
          <w:rFonts w:hint="eastAsia" w:ascii="宋体" w:hAnsi="宋体" w:cs="宋体"/>
          <w:szCs w:val="21"/>
          <w:highlight w:val="none"/>
        </w:rPr>
        <w:t>确定中标人。本项目由评标委员会推荐中标候选人，采购人不得在评标委员会推荐的中标候选人以外确定中标候选人。</w:t>
      </w:r>
    </w:p>
    <w:p>
      <w:pPr>
        <w:spacing w:line="400" w:lineRule="exact"/>
        <w:rPr>
          <w:rFonts w:ascii="宋体" w:hAnsi="宋体" w:cs="宋体"/>
          <w:szCs w:val="21"/>
          <w:highlight w:val="none"/>
        </w:rPr>
      </w:pPr>
      <w:r>
        <w:rPr>
          <w:rFonts w:hint="eastAsia" w:ascii="宋体" w:hAnsi="宋体" w:cs="宋体"/>
          <w:b/>
          <w:szCs w:val="21"/>
          <w:highlight w:val="none"/>
        </w:rPr>
        <w:t>25.2</w:t>
      </w:r>
      <w:r>
        <w:rPr>
          <w:rFonts w:hint="eastAsia" w:ascii="宋体" w:hAnsi="宋体" w:cs="宋体"/>
          <w:szCs w:val="21"/>
          <w:highlight w:val="none"/>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rPr>
          <w:rFonts w:ascii="宋体" w:hAnsi="宋体" w:cs="宋体"/>
          <w:szCs w:val="21"/>
          <w:highlight w:val="none"/>
        </w:rPr>
      </w:pPr>
      <w:r>
        <w:rPr>
          <w:rFonts w:hint="eastAsia" w:ascii="宋体" w:hAnsi="宋体" w:cs="宋体"/>
          <w:b/>
          <w:szCs w:val="21"/>
          <w:highlight w:val="none"/>
        </w:rPr>
        <w:t>25.3</w:t>
      </w:r>
      <w:r>
        <w:rPr>
          <w:rFonts w:hint="eastAsia" w:ascii="宋体" w:hAnsi="宋体" w:cs="宋体"/>
          <w:szCs w:val="21"/>
          <w:highlight w:val="none"/>
        </w:rPr>
        <w:t xml:space="preserve">  采购代理机构自中标人确定之日起2个工作日内，在发布招标公告的网站上对中标结果进行公示，中标结果公告期限为1个工作日。</w:t>
      </w:r>
    </w:p>
    <w:p>
      <w:pPr>
        <w:spacing w:line="400" w:lineRule="exact"/>
        <w:rPr>
          <w:rFonts w:ascii="宋体" w:hAnsi="宋体" w:cs="宋体"/>
          <w:kern w:val="0"/>
          <w:szCs w:val="21"/>
          <w:highlight w:val="none"/>
        </w:rPr>
      </w:pPr>
    </w:p>
    <w:p>
      <w:pPr>
        <w:jc w:val="center"/>
        <w:outlineLvl w:val="1"/>
        <w:rPr>
          <w:rFonts w:ascii="宋体" w:hAnsi="宋体" w:cs="宋体"/>
          <w:b/>
          <w:sz w:val="28"/>
          <w:highlight w:val="none"/>
        </w:rPr>
      </w:pPr>
      <w:bookmarkStart w:id="282" w:name="_Toc440276567"/>
      <w:r>
        <w:rPr>
          <w:rFonts w:hint="eastAsia" w:ascii="宋体" w:hAnsi="宋体" w:cs="宋体"/>
          <w:b/>
          <w:sz w:val="28"/>
          <w:highlight w:val="none"/>
        </w:rPr>
        <w:t>G  授予合同</w:t>
      </w:r>
      <w:bookmarkEnd w:id="282"/>
    </w:p>
    <w:p>
      <w:pPr>
        <w:spacing w:line="400" w:lineRule="exact"/>
        <w:rPr>
          <w:rFonts w:ascii="宋体" w:hAnsi="宋体" w:cs="宋体"/>
          <w:b/>
          <w:szCs w:val="21"/>
          <w:highlight w:val="none"/>
        </w:rPr>
      </w:pPr>
      <w:r>
        <w:rPr>
          <w:rFonts w:hint="eastAsia" w:ascii="宋体" w:hAnsi="宋体" w:cs="宋体"/>
          <w:b/>
          <w:szCs w:val="21"/>
          <w:highlight w:val="none"/>
        </w:rPr>
        <w:t>26.</w:t>
      </w:r>
      <w:r>
        <w:rPr>
          <w:rFonts w:ascii="宋体" w:hAnsi="宋体" w:cs="宋体"/>
          <w:b/>
          <w:szCs w:val="21"/>
          <w:highlight w:val="none"/>
        </w:rPr>
        <w:t xml:space="preserve"> </w:t>
      </w:r>
      <w:r>
        <w:rPr>
          <w:rFonts w:hint="eastAsia" w:ascii="宋体" w:hAnsi="宋体" w:cs="宋体"/>
          <w:b/>
          <w:szCs w:val="21"/>
          <w:highlight w:val="none"/>
        </w:rPr>
        <w:t>中标通知</w:t>
      </w:r>
    </w:p>
    <w:p>
      <w:pPr>
        <w:spacing w:line="400" w:lineRule="exact"/>
        <w:rPr>
          <w:rFonts w:ascii="宋体" w:hAnsi="宋体" w:cs="宋体"/>
          <w:kern w:val="0"/>
          <w:szCs w:val="21"/>
          <w:highlight w:val="none"/>
        </w:rPr>
      </w:pPr>
      <w:r>
        <w:rPr>
          <w:rFonts w:hint="eastAsia" w:ascii="宋体" w:hAnsi="宋体" w:cs="宋体"/>
          <w:b/>
          <w:szCs w:val="21"/>
          <w:highlight w:val="none"/>
        </w:rPr>
        <w:t xml:space="preserve">26.1 </w:t>
      </w:r>
      <w:r>
        <w:rPr>
          <w:rFonts w:hint="eastAsia" w:ascii="宋体" w:hAnsi="宋体" w:cs="宋体"/>
          <w:kern w:val="0"/>
          <w:szCs w:val="21"/>
          <w:highlight w:val="none"/>
        </w:rPr>
        <w:t xml:space="preserve"> 在公告中标结果的同时，采购代理机构应当向中标人发出中标通知书。</w:t>
      </w:r>
    </w:p>
    <w:p>
      <w:pPr>
        <w:spacing w:line="400" w:lineRule="exact"/>
        <w:rPr>
          <w:rFonts w:ascii="宋体" w:hAnsi="宋体" w:cs="宋体"/>
          <w:kern w:val="0"/>
          <w:szCs w:val="21"/>
          <w:highlight w:val="none"/>
        </w:rPr>
      </w:pPr>
      <w:r>
        <w:rPr>
          <w:rFonts w:hint="eastAsia" w:ascii="宋体" w:hAnsi="宋体" w:cs="宋体"/>
          <w:b/>
          <w:szCs w:val="21"/>
          <w:highlight w:val="none"/>
        </w:rPr>
        <w:t>26.2</w:t>
      </w:r>
      <w:r>
        <w:rPr>
          <w:rFonts w:hint="eastAsia" w:ascii="宋体" w:hAnsi="宋体" w:cs="宋体"/>
          <w:kern w:val="0"/>
          <w:szCs w:val="21"/>
          <w:highlight w:val="none"/>
        </w:rPr>
        <w:t xml:space="preserve">  中标通知书发出后，采购人不得违法改变中标结果，中标人无正当理由不得放弃中标。</w:t>
      </w:r>
    </w:p>
    <w:p>
      <w:pPr>
        <w:spacing w:line="400" w:lineRule="exact"/>
        <w:ind w:firstLine="424" w:firstLineChars="200"/>
        <w:rPr>
          <w:rFonts w:ascii="宋体" w:hAnsi="宋体" w:cs="宋体"/>
          <w:kern w:val="0"/>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27.</w:t>
      </w:r>
      <w:r>
        <w:rPr>
          <w:rFonts w:ascii="宋体" w:hAnsi="宋体" w:cs="宋体"/>
          <w:b/>
          <w:szCs w:val="21"/>
          <w:highlight w:val="none"/>
        </w:rPr>
        <w:t xml:space="preserve"> </w:t>
      </w:r>
      <w:r>
        <w:rPr>
          <w:rFonts w:hint="eastAsia" w:ascii="宋体" w:hAnsi="宋体" w:cs="宋体"/>
          <w:b/>
          <w:szCs w:val="21"/>
          <w:highlight w:val="none"/>
        </w:rPr>
        <w:t>签订合同</w:t>
      </w:r>
    </w:p>
    <w:p>
      <w:pPr>
        <w:spacing w:line="400" w:lineRule="exact"/>
        <w:rPr>
          <w:rFonts w:ascii="宋体" w:hAnsi="宋体" w:cs="宋体"/>
          <w:kern w:val="0"/>
          <w:szCs w:val="21"/>
          <w:highlight w:val="none"/>
        </w:rPr>
      </w:pPr>
      <w:r>
        <w:rPr>
          <w:rFonts w:hint="eastAsia" w:ascii="宋体" w:hAnsi="宋体" w:cs="宋体"/>
          <w:b/>
          <w:szCs w:val="21"/>
          <w:highlight w:val="none"/>
        </w:rPr>
        <w:t>27.1</w:t>
      </w:r>
      <w:r>
        <w:rPr>
          <w:rFonts w:hint="eastAsia" w:ascii="宋体" w:hAnsi="宋体" w:cs="宋体"/>
          <w:kern w:val="0"/>
          <w:szCs w:val="21"/>
          <w:highlight w:val="none"/>
        </w:rPr>
        <w:t xml:space="preserve">  中标人应在采购代理机构发出中标通知书的30日内，应与采购人签订合同。所签订的合同不得对招标文件确定的事项和中标人投标文件作实质性修改。</w:t>
      </w:r>
    </w:p>
    <w:p>
      <w:pPr>
        <w:spacing w:line="400" w:lineRule="exact"/>
        <w:rPr>
          <w:rFonts w:ascii="宋体" w:hAnsi="宋体" w:cs="宋体"/>
          <w:kern w:val="0"/>
          <w:szCs w:val="21"/>
          <w:highlight w:val="none"/>
        </w:rPr>
      </w:pPr>
      <w:r>
        <w:rPr>
          <w:rFonts w:hint="eastAsia" w:ascii="宋体" w:hAnsi="宋体" w:cs="宋体"/>
          <w:b/>
          <w:szCs w:val="21"/>
          <w:highlight w:val="none"/>
        </w:rPr>
        <w:t>27.2</w:t>
      </w:r>
      <w:r>
        <w:rPr>
          <w:rFonts w:hint="eastAsia" w:ascii="宋体" w:hAnsi="宋体" w:cs="宋体"/>
          <w:kern w:val="0"/>
          <w:szCs w:val="21"/>
          <w:highlight w:val="none"/>
        </w:rPr>
        <w:t xml:space="preserve">  除中标通知书外，招标文件、中标人的投标文件及评标过程中有关的澄清文件也均应作为合同附件。</w:t>
      </w:r>
    </w:p>
    <w:p>
      <w:pPr>
        <w:spacing w:line="400" w:lineRule="exact"/>
        <w:rPr>
          <w:rFonts w:ascii="宋体" w:hAnsi="宋体" w:cs="宋体"/>
          <w:kern w:val="0"/>
          <w:szCs w:val="21"/>
          <w:highlight w:val="none"/>
        </w:rPr>
      </w:pPr>
      <w:r>
        <w:rPr>
          <w:rFonts w:hint="eastAsia" w:ascii="宋体" w:hAnsi="宋体" w:cs="宋体"/>
          <w:b/>
          <w:szCs w:val="21"/>
          <w:highlight w:val="none"/>
        </w:rPr>
        <w:t>27.3</w:t>
      </w:r>
      <w:r>
        <w:rPr>
          <w:rFonts w:hint="eastAsia" w:ascii="宋体" w:hAnsi="宋体" w:cs="宋体"/>
          <w:kern w:val="0"/>
          <w:szCs w:val="21"/>
          <w:highlight w:val="none"/>
        </w:rPr>
        <w:t xml:space="preserve">  中标人拒绝与采购人签订合同的，采购人可以按照评标报告推荐的中标候选人名单排序，确定下一候选人为中标人，也可以重新开展政府采购活动。</w:t>
      </w:r>
    </w:p>
    <w:p>
      <w:pPr>
        <w:spacing w:line="400" w:lineRule="exact"/>
        <w:rPr>
          <w:rFonts w:ascii="宋体" w:hAnsi="宋体" w:cs="宋体"/>
          <w:kern w:val="0"/>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28.</w:t>
      </w:r>
      <w:r>
        <w:rPr>
          <w:rFonts w:ascii="宋体" w:hAnsi="宋体" w:cs="宋体"/>
          <w:b/>
          <w:szCs w:val="21"/>
          <w:highlight w:val="none"/>
        </w:rPr>
        <w:t xml:space="preserve"> </w:t>
      </w:r>
      <w:r>
        <w:rPr>
          <w:rFonts w:hint="eastAsia" w:ascii="宋体" w:hAnsi="宋体" w:cs="宋体"/>
          <w:b/>
          <w:szCs w:val="21"/>
          <w:highlight w:val="none"/>
        </w:rPr>
        <w:t>履约保证金</w:t>
      </w:r>
    </w:p>
    <w:p>
      <w:pPr>
        <w:spacing w:line="400" w:lineRule="exact"/>
        <w:rPr>
          <w:rFonts w:ascii="宋体" w:hAnsi="宋体" w:cs="宋体"/>
          <w:kern w:val="0"/>
          <w:szCs w:val="21"/>
          <w:highlight w:val="none"/>
        </w:rPr>
      </w:pPr>
      <w:r>
        <w:rPr>
          <w:rFonts w:hint="eastAsia" w:ascii="宋体" w:hAnsi="宋体" w:cs="宋体"/>
          <w:b/>
          <w:szCs w:val="21"/>
          <w:highlight w:val="none"/>
        </w:rPr>
        <w:t>28.1</w:t>
      </w:r>
      <w:r>
        <w:rPr>
          <w:rFonts w:hint="eastAsia" w:ascii="宋体" w:hAnsi="宋体" w:cs="宋体"/>
          <w:kern w:val="0"/>
          <w:szCs w:val="21"/>
          <w:highlight w:val="none"/>
        </w:rPr>
        <w:t xml:space="preserve">  招标文件若有规定，在签订合同后，采购人按合同支付定金的同时，中标人应向采购人提供履约保证金。</w:t>
      </w:r>
    </w:p>
    <w:p>
      <w:pPr>
        <w:spacing w:line="400" w:lineRule="exact"/>
        <w:rPr>
          <w:rFonts w:ascii="宋体" w:hAnsi="宋体" w:cs="宋体"/>
          <w:kern w:val="0"/>
          <w:szCs w:val="21"/>
          <w:highlight w:val="none"/>
        </w:rPr>
      </w:pPr>
      <w:r>
        <w:rPr>
          <w:rFonts w:hint="eastAsia" w:ascii="宋体" w:hAnsi="宋体" w:cs="宋体"/>
          <w:b/>
          <w:szCs w:val="21"/>
          <w:highlight w:val="none"/>
        </w:rPr>
        <w:t>28.2</w:t>
      </w:r>
      <w:r>
        <w:rPr>
          <w:rFonts w:hint="eastAsia" w:ascii="宋体" w:hAnsi="宋体" w:cs="宋体"/>
          <w:kern w:val="0"/>
          <w:szCs w:val="21"/>
          <w:highlight w:val="none"/>
        </w:rPr>
        <w:t xml:space="preserve">  若中标人不按上述第28.1条要求提供，采购代理机构和采购人有权按前述第13.6条规定处理并撤销其中标资格。在这种情况下，采购代理机构和采购人可按本须知第27.3条规定另选中标人。</w:t>
      </w:r>
    </w:p>
    <w:p>
      <w:pPr>
        <w:spacing w:line="400" w:lineRule="exact"/>
        <w:rPr>
          <w:rFonts w:ascii="宋体" w:hAnsi="宋体" w:cs="宋体"/>
          <w:kern w:val="0"/>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29.</w:t>
      </w:r>
      <w:r>
        <w:rPr>
          <w:rFonts w:ascii="宋体" w:hAnsi="宋体" w:cs="宋体"/>
          <w:b/>
          <w:szCs w:val="21"/>
          <w:highlight w:val="none"/>
        </w:rPr>
        <w:t xml:space="preserve"> </w:t>
      </w:r>
      <w:r>
        <w:rPr>
          <w:rFonts w:hint="eastAsia" w:ascii="宋体" w:hAnsi="宋体" w:cs="宋体"/>
          <w:b/>
          <w:szCs w:val="21"/>
          <w:highlight w:val="none"/>
        </w:rPr>
        <w:t>履约验收</w:t>
      </w:r>
    </w:p>
    <w:p>
      <w:pPr>
        <w:spacing w:line="400" w:lineRule="exact"/>
        <w:rPr>
          <w:rFonts w:ascii="宋体" w:hAnsi="宋体" w:cs="宋体"/>
          <w:kern w:val="0"/>
          <w:szCs w:val="21"/>
          <w:highlight w:val="none"/>
        </w:rPr>
      </w:pPr>
      <w:r>
        <w:rPr>
          <w:rFonts w:hint="eastAsia" w:ascii="宋体" w:hAnsi="宋体" w:cs="宋体"/>
          <w:kern w:val="0"/>
          <w:szCs w:val="21"/>
          <w:highlight w:val="none"/>
        </w:rPr>
        <w:t xml:space="preserve">    采购人负责对中标人的履约行为进行验收，验收符合相关政策法规和地方标准。</w:t>
      </w:r>
    </w:p>
    <w:p>
      <w:pPr>
        <w:spacing w:line="400" w:lineRule="exact"/>
        <w:rPr>
          <w:rFonts w:ascii="宋体" w:hAnsi="宋体" w:cs="宋体"/>
          <w:kern w:val="0"/>
          <w:szCs w:val="21"/>
          <w:highlight w:val="none"/>
        </w:rPr>
      </w:pPr>
    </w:p>
    <w:p>
      <w:pPr>
        <w:jc w:val="center"/>
        <w:outlineLvl w:val="1"/>
        <w:rPr>
          <w:rFonts w:ascii="宋体" w:hAnsi="宋体" w:cs="宋体"/>
          <w:b/>
          <w:sz w:val="28"/>
          <w:highlight w:val="none"/>
        </w:rPr>
      </w:pPr>
      <w:bookmarkStart w:id="283" w:name="_Toc440276568"/>
      <w:r>
        <w:rPr>
          <w:rFonts w:hint="eastAsia" w:ascii="宋体" w:hAnsi="宋体" w:cs="宋体"/>
          <w:b/>
          <w:sz w:val="28"/>
          <w:highlight w:val="none"/>
        </w:rPr>
        <w:t>H  采购代理机构服务费</w:t>
      </w:r>
      <w:bookmarkEnd w:id="283"/>
    </w:p>
    <w:p>
      <w:pPr>
        <w:spacing w:line="400" w:lineRule="exact"/>
        <w:rPr>
          <w:rFonts w:ascii="宋体" w:hAnsi="宋体" w:cs="宋体"/>
          <w:b/>
          <w:szCs w:val="21"/>
          <w:highlight w:val="none"/>
        </w:rPr>
      </w:pPr>
      <w:r>
        <w:rPr>
          <w:rFonts w:hint="eastAsia" w:ascii="宋体" w:hAnsi="宋体" w:cs="宋体"/>
          <w:b/>
          <w:szCs w:val="21"/>
          <w:highlight w:val="none"/>
        </w:rPr>
        <w:t>30.</w:t>
      </w:r>
      <w:r>
        <w:rPr>
          <w:rFonts w:ascii="宋体" w:hAnsi="宋体" w:cs="宋体"/>
          <w:b/>
          <w:szCs w:val="21"/>
          <w:highlight w:val="none"/>
        </w:rPr>
        <w:t xml:space="preserve"> </w:t>
      </w:r>
      <w:r>
        <w:rPr>
          <w:rFonts w:hint="eastAsia" w:ascii="宋体" w:hAnsi="宋体" w:cs="宋体"/>
          <w:b/>
          <w:szCs w:val="21"/>
          <w:highlight w:val="none"/>
        </w:rPr>
        <w:t>采购代理机构服务费</w:t>
      </w:r>
    </w:p>
    <w:p>
      <w:pPr>
        <w:spacing w:line="400" w:lineRule="exact"/>
        <w:rPr>
          <w:rFonts w:ascii="宋体" w:hAnsi="宋体" w:cs="宋体"/>
          <w:kern w:val="0"/>
          <w:szCs w:val="21"/>
          <w:highlight w:val="none"/>
        </w:rPr>
      </w:pPr>
      <w:r>
        <w:rPr>
          <w:rFonts w:hint="eastAsia" w:ascii="宋体" w:hAnsi="宋体" w:cs="宋体"/>
          <w:b/>
          <w:szCs w:val="21"/>
          <w:highlight w:val="none"/>
        </w:rPr>
        <w:t>30.1</w:t>
      </w:r>
      <w:r>
        <w:rPr>
          <w:rFonts w:ascii="宋体" w:hAnsi="宋体" w:cs="宋体"/>
          <w:b/>
          <w:szCs w:val="21"/>
          <w:highlight w:val="none"/>
        </w:rPr>
        <w:t xml:space="preserve">  </w:t>
      </w:r>
      <w:r>
        <w:rPr>
          <w:rFonts w:hint="eastAsia" w:ascii="宋体" w:hAnsi="宋体" w:cs="宋体"/>
          <w:kern w:val="0"/>
          <w:szCs w:val="21"/>
          <w:highlight w:val="none"/>
        </w:rPr>
        <w:t>中标人应在中标结果公示结束后向采购代理机构支付采购代理机构服务费。</w:t>
      </w:r>
    </w:p>
    <w:p>
      <w:pPr>
        <w:spacing w:line="400" w:lineRule="exact"/>
        <w:rPr>
          <w:rFonts w:ascii="宋体" w:hAnsi="宋体" w:cs="宋体"/>
          <w:kern w:val="0"/>
          <w:szCs w:val="21"/>
          <w:highlight w:val="none"/>
        </w:rPr>
      </w:pPr>
    </w:p>
    <w:p>
      <w:pPr>
        <w:spacing w:line="400" w:lineRule="exact"/>
        <w:rPr>
          <w:rFonts w:ascii="宋体" w:hAnsi="宋体" w:cs="宋体"/>
          <w:kern w:val="0"/>
          <w:szCs w:val="21"/>
          <w:highlight w:val="none"/>
        </w:rPr>
      </w:pPr>
    </w:p>
    <w:p>
      <w:pPr>
        <w:jc w:val="center"/>
        <w:outlineLvl w:val="1"/>
        <w:rPr>
          <w:rFonts w:ascii="宋体" w:hAnsi="宋体" w:cs="宋体"/>
          <w:b/>
          <w:sz w:val="28"/>
          <w:highlight w:val="none"/>
        </w:rPr>
      </w:pPr>
      <w:r>
        <w:rPr>
          <w:rFonts w:hint="eastAsia" w:ascii="宋体" w:hAnsi="宋体" w:cs="宋体"/>
          <w:b/>
          <w:sz w:val="28"/>
          <w:highlight w:val="none"/>
        </w:rPr>
        <w:t>Ⅰ  信息发布媒体</w:t>
      </w:r>
    </w:p>
    <w:p>
      <w:pPr>
        <w:spacing w:line="400" w:lineRule="exact"/>
        <w:rPr>
          <w:rFonts w:ascii="宋体" w:hAnsi="宋体" w:cs="宋体"/>
          <w:b/>
          <w:szCs w:val="21"/>
          <w:highlight w:val="none"/>
        </w:rPr>
      </w:pPr>
      <w:r>
        <w:rPr>
          <w:rFonts w:hint="eastAsia" w:ascii="宋体" w:hAnsi="宋体" w:cs="宋体"/>
          <w:b/>
          <w:szCs w:val="21"/>
          <w:highlight w:val="none"/>
        </w:rPr>
        <w:t>31.</w:t>
      </w:r>
      <w:r>
        <w:rPr>
          <w:rFonts w:ascii="宋体" w:hAnsi="宋体" w:cs="宋体"/>
          <w:b/>
          <w:szCs w:val="21"/>
          <w:highlight w:val="none"/>
        </w:rPr>
        <w:t xml:space="preserve"> </w:t>
      </w:r>
      <w:r>
        <w:rPr>
          <w:rFonts w:hint="eastAsia" w:ascii="宋体" w:hAnsi="宋体" w:cs="宋体"/>
          <w:b/>
          <w:szCs w:val="21"/>
          <w:highlight w:val="none"/>
        </w:rPr>
        <w:t>有关发布项目招标公告、中标结果公告的媒体：</w:t>
      </w:r>
    </w:p>
    <w:p>
      <w:pPr>
        <w:spacing w:line="360" w:lineRule="auto"/>
        <w:ind w:left="797" w:hanging="794" w:hangingChars="375"/>
        <w:rPr>
          <w:rFonts w:ascii="宋体" w:hAnsi="宋体" w:cs="宋体"/>
          <w:szCs w:val="21"/>
          <w:highlight w:val="none"/>
        </w:rPr>
      </w:pPr>
      <w:r>
        <w:rPr>
          <w:rFonts w:hint="eastAsia" w:ascii="宋体" w:hAnsi="宋体" w:cs="宋体"/>
          <w:szCs w:val="21"/>
          <w:highlight w:val="none"/>
        </w:rPr>
        <w:t>浙江政府采购网</w:t>
      </w:r>
      <w:r>
        <w:rPr>
          <w:rFonts w:hint="eastAsia" w:ascii="宋体" w:hAnsi="宋体" w:cs="宋体"/>
          <w:highlight w:val="none"/>
          <w:u w:val="single"/>
        </w:rPr>
        <w:t>https://zfcg.czt.zj.gov.cn/</w:t>
      </w:r>
    </w:p>
    <w:p>
      <w:pPr>
        <w:spacing w:line="360" w:lineRule="auto"/>
        <w:rPr>
          <w:rStyle w:val="44"/>
          <w:rFonts w:ascii="宋体" w:hAnsi="宋体" w:cs="宋体"/>
          <w:color w:val="auto"/>
          <w:szCs w:val="21"/>
          <w:highlight w:val="none"/>
          <w:u w:val="none"/>
        </w:rPr>
      </w:pPr>
      <w:r>
        <w:rPr>
          <w:rFonts w:hint="eastAsia" w:ascii="宋体" w:hAnsi="宋体" w:cs="宋体"/>
          <w:szCs w:val="21"/>
          <w:highlight w:val="none"/>
        </w:rPr>
        <w:t>宁波政府采购网</w:t>
      </w:r>
      <w:r>
        <w:rPr>
          <w:highlight w:val="none"/>
        </w:rPr>
        <w:fldChar w:fldCharType="begin"/>
      </w:r>
      <w:r>
        <w:rPr>
          <w:highlight w:val="none"/>
        </w:rPr>
        <w:instrText xml:space="preserve"> HYPERLINK "http://www.nbzfcg.cn" </w:instrText>
      </w:r>
      <w:r>
        <w:rPr>
          <w:highlight w:val="none"/>
        </w:rPr>
        <w:fldChar w:fldCharType="separate"/>
      </w:r>
      <w:r>
        <w:rPr>
          <w:rStyle w:val="44"/>
          <w:rFonts w:hint="eastAsia" w:ascii="宋体" w:hAnsi="宋体" w:cs="宋体"/>
          <w:color w:val="auto"/>
          <w:szCs w:val="21"/>
          <w:highlight w:val="none"/>
        </w:rPr>
        <w:t>www.nbzfcg.cn</w:t>
      </w:r>
      <w:r>
        <w:rPr>
          <w:rStyle w:val="44"/>
          <w:rFonts w:hint="eastAsia" w:ascii="宋体" w:hAnsi="宋体" w:cs="宋体"/>
          <w:color w:val="auto"/>
          <w:szCs w:val="21"/>
          <w:highlight w:val="none"/>
        </w:rPr>
        <w:fldChar w:fldCharType="end"/>
      </w:r>
    </w:p>
    <w:p>
      <w:pPr>
        <w:rPr>
          <w:highlight w:val="none"/>
        </w:rPr>
      </w:pPr>
    </w:p>
    <w:p>
      <w:pPr>
        <w:jc w:val="center"/>
        <w:outlineLvl w:val="1"/>
        <w:rPr>
          <w:rFonts w:ascii="宋体" w:hAnsi="宋体" w:cs="宋体"/>
          <w:b/>
          <w:sz w:val="28"/>
          <w:highlight w:val="none"/>
        </w:rPr>
      </w:pPr>
      <w:r>
        <w:rPr>
          <w:rFonts w:hint="eastAsia" w:ascii="宋体" w:hAnsi="宋体" w:cs="宋体"/>
          <w:b/>
          <w:sz w:val="28"/>
          <w:highlight w:val="none"/>
        </w:rPr>
        <w:t>J  其他规定</w:t>
      </w:r>
    </w:p>
    <w:p>
      <w:pPr>
        <w:spacing w:line="400" w:lineRule="exact"/>
        <w:rPr>
          <w:rFonts w:ascii="宋体" w:hAnsi="宋体" w:cs="宋体"/>
          <w:b/>
          <w:szCs w:val="21"/>
          <w:highlight w:val="none"/>
        </w:rPr>
      </w:pPr>
      <w:r>
        <w:rPr>
          <w:rFonts w:hint="eastAsia" w:ascii="宋体" w:hAnsi="宋体" w:cs="宋体"/>
          <w:b/>
          <w:szCs w:val="21"/>
          <w:highlight w:val="none"/>
        </w:rPr>
        <w:t>32.</w:t>
      </w:r>
      <w:r>
        <w:rPr>
          <w:rFonts w:ascii="宋体" w:hAnsi="宋体" w:cs="宋体"/>
          <w:b/>
          <w:szCs w:val="21"/>
          <w:highlight w:val="none"/>
        </w:rPr>
        <w:t xml:space="preserve"> </w:t>
      </w:r>
      <w:r>
        <w:rPr>
          <w:rFonts w:hint="eastAsia" w:ascii="宋体" w:hAnsi="宋体" w:cs="宋体"/>
          <w:b/>
          <w:szCs w:val="21"/>
          <w:highlight w:val="none"/>
        </w:rPr>
        <w:t>其他规定</w:t>
      </w:r>
    </w:p>
    <w:p>
      <w:pPr>
        <w:spacing w:line="400" w:lineRule="exact"/>
        <w:rPr>
          <w:rFonts w:ascii="宋体" w:hAnsi="宋体" w:cs="宋体"/>
          <w:kern w:val="0"/>
          <w:szCs w:val="21"/>
          <w:highlight w:val="none"/>
        </w:rPr>
      </w:pPr>
      <w:r>
        <w:rPr>
          <w:rFonts w:hint="eastAsia" w:ascii="宋体" w:hAnsi="宋体" w:cs="宋体"/>
          <w:b/>
          <w:szCs w:val="21"/>
          <w:highlight w:val="none"/>
        </w:rPr>
        <w:t>32.1</w:t>
      </w:r>
      <w:r>
        <w:rPr>
          <w:rFonts w:hint="eastAsia" w:ascii="宋体" w:hAnsi="宋体" w:cs="宋体"/>
          <w:kern w:val="0"/>
          <w:szCs w:val="21"/>
          <w:highlight w:val="none"/>
        </w:rPr>
        <w:t xml:space="preserve"> </w:t>
      </w:r>
      <w:r>
        <w:rPr>
          <w:rFonts w:ascii="宋体" w:hAnsi="宋体" w:cs="宋体"/>
          <w:kern w:val="0"/>
          <w:szCs w:val="21"/>
          <w:highlight w:val="none"/>
        </w:rPr>
        <w:t xml:space="preserve"> </w:t>
      </w:r>
      <w:r>
        <w:rPr>
          <w:rFonts w:hint="eastAsia" w:ascii="宋体" w:hAnsi="宋体" w:cs="宋体"/>
          <w:kern w:val="0"/>
          <w:szCs w:val="21"/>
          <w:highlight w:val="none"/>
        </w:rPr>
        <w:t>自购买招标文件之日起，投标人应保证其提供的联系方式(电话、传真、电子邮件)一直有效，以保证往来函件(招标文件的澄清、修改等)能及时通知投标人，并能及时反馈信息，否则采购人不承担由此引起的一切后果。</w:t>
      </w:r>
    </w:p>
    <w:p>
      <w:pPr>
        <w:spacing w:line="400" w:lineRule="exact"/>
        <w:rPr>
          <w:rFonts w:ascii="宋体" w:hAnsi="宋体" w:cs="宋体"/>
          <w:kern w:val="0"/>
          <w:szCs w:val="21"/>
          <w:highlight w:val="none"/>
        </w:rPr>
      </w:pPr>
      <w:r>
        <w:rPr>
          <w:rFonts w:hint="eastAsia" w:ascii="宋体" w:hAnsi="宋体" w:cs="宋体"/>
          <w:b/>
          <w:szCs w:val="21"/>
          <w:highlight w:val="none"/>
        </w:rPr>
        <w:t>32.2</w:t>
      </w:r>
      <w:r>
        <w:rPr>
          <w:rFonts w:hint="eastAsia" w:ascii="宋体" w:hAnsi="宋体" w:cs="宋体"/>
          <w:kern w:val="0"/>
          <w:szCs w:val="21"/>
          <w:highlight w:val="none"/>
        </w:rPr>
        <w:t xml:space="preserve"> </w:t>
      </w:r>
      <w:r>
        <w:rPr>
          <w:rFonts w:ascii="宋体" w:hAnsi="宋体" w:cs="宋体"/>
          <w:kern w:val="0"/>
          <w:szCs w:val="21"/>
          <w:highlight w:val="none"/>
        </w:rPr>
        <w:t xml:space="preserve"> </w:t>
      </w:r>
      <w:r>
        <w:rPr>
          <w:rFonts w:hint="eastAsia" w:ascii="宋体" w:hAnsi="宋体" w:cs="宋体"/>
          <w:kern w:val="0"/>
          <w:szCs w:val="21"/>
          <w:highlight w:val="none"/>
        </w:rPr>
        <w:t>知识产权</w:t>
      </w:r>
    </w:p>
    <w:p>
      <w:pPr>
        <w:spacing w:line="400" w:lineRule="exact"/>
        <w:rPr>
          <w:rFonts w:ascii="宋体" w:hAnsi="宋体" w:cs="宋体"/>
          <w:kern w:val="0"/>
          <w:szCs w:val="21"/>
          <w:highlight w:val="none"/>
        </w:rPr>
      </w:pPr>
      <w:r>
        <w:rPr>
          <w:rFonts w:hint="eastAsia" w:ascii="宋体" w:hAnsi="宋体" w:cs="宋体"/>
          <w:b/>
          <w:szCs w:val="21"/>
          <w:highlight w:val="none"/>
        </w:rPr>
        <w:t>32.2.1</w:t>
      </w:r>
      <w:r>
        <w:rPr>
          <w:rFonts w:ascii="宋体" w:hAnsi="宋体" w:cs="宋体"/>
          <w:b/>
          <w:szCs w:val="21"/>
          <w:highlight w:val="none"/>
        </w:rPr>
        <w:t xml:space="preserve">  </w:t>
      </w:r>
      <w:r>
        <w:rPr>
          <w:rFonts w:hint="eastAsia" w:ascii="宋体" w:hAnsi="宋体" w:cs="宋体"/>
          <w:kern w:val="0"/>
          <w:szCs w:val="21"/>
          <w:highlight w:val="none"/>
        </w:rPr>
        <w:t>投标人应保证提交的全部文件不会侵犯其他任何人的知识产权或专有技术或商业秘密。投标人应保证，如果投标文件使用他人的知识产权或专有技术或商业秘密，投标人已获得了适当授权。投标人应进一步保证，采购人使用其成果不会侵犯他人的知识产权或专有技术或商业秘密，并应当使采购人免于因被指控侵犯上述权利产生的任何责任，若采购人使用其成果被指控侵犯上述权利，投标人应赔偿采购人由此而产生的费用和损失。</w:t>
      </w:r>
    </w:p>
    <w:p>
      <w:pPr>
        <w:spacing w:line="400" w:lineRule="exact"/>
        <w:rPr>
          <w:rFonts w:ascii="宋体" w:hAnsi="宋体" w:cs="宋体"/>
          <w:kern w:val="0"/>
          <w:szCs w:val="21"/>
          <w:highlight w:val="none"/>
        </w:rPr>
      </w:pPr>
      <w:r>
        <w:rPr>
          <w:rFonts w:hint="eastAsia" w:ascii="宋体" w:hAnsi="宋体" w:cs="宋体"/>
          <w:b/>
          <w:szCs w:val="21"/>
          <w:highlight w:val="none"/>
        </w:rPr>
        <w:t>32.2.2</w:t>
      </w:r>
      <w:r>
        <w:rPr>
          <w:rFonts w:hint="eastAsia" w:ascii="宋体" w:hAnsi="宋体" w:cs="宋体"/>
          <w:kern w:val="0"/>
          <w:szCs w:val="21"/>
          <w:highlight w:val="none"/>
        </w:rPr>
        <w:t xml:space="preserve"> </w:t>
      </w:r>
      <w:r>
        <w:rPr>
          <w:rFonts w:ascii="宋体" w:hAnsi="宋体" w:cs="宋体"/>
          <w:kern w:val="0"/>
          <w:szCs w:val="21"/>
          <w:highlight w:val="none"/>
        </w:rPr>
        <w:t xml:space="preserve"> </w:t>
      </w:r>
      <w:r>
        <w:rPr>
          <w:rFonts w:hint="eastAsia" w:ascii="宋体" w:hAnsi="宋体" w:cs="宋体"/>
          <w:kern w:val="0"/>
          <w:szCs w:val="21"/>
          <w:highlight w:val="none"/>
        </w:rPr>
        <w:t>投标人中标后参与本项目研究的资料、成果等知识产权归采购人，有关的信息未经采购人同意不得向第三方泄露。</w:t>
      </w:r>
    </w:p>
    <w:p>
      <w:pPr>
        <w:spacing w:line="400" w:lineRule="exact"/>
        <w:rPr>
          <w:rFonts w:ascii="宋体" w:hAnsi="宋体" w:cs="宋体"/>
          <w:kern w:val="0"/>
          <w:szCs w:val="21"/>
          <w:highlight w:val="none"/>
        </w:rPr>
      </w:pPr>
      <w:r>
        <w:rPr>
          <w:rFonts w:hint="eastAsia" w:ascii="宋体" w:hAnsi="宋体" w:cs="宋体"/>
          <w:b/>
          <w:szCs w:val="21"/>
          <w:highlight w:val="none"/>
        </w:rPr>
        <w:t xml:space="preserve">32.2.3 </w:t>
      </w:r>
      <w:r>
        <w:rPr>
          <w:rFonts w:ascii="宋体" w:hAnsi="宋体" w:cs="宋体"/>
          <w:b/>
          <w:szCs w:val="21"/>
          <w:highlight w:val="none"/>
        </w:rPr>
        <w:t xml:space="preserve"> </w:t>
      </w:r>
      <w:r>
        <w:rPr>
          <w:rFonts w:hint="eastAsia" w:ascii="宋体" w:hAnsi="宋体" w:cs="宋体"/>
          <w:kern w:val="0"/>
          <w:szCs w:val="21"/>
          <w:highlight w:val="none"/>
        </w:rPr>
        <w:t>采购人在招商引资、产权转让的商业活动中，所使用本项目有关的任何成果，无需征得中标供应商同意，中标供应商应积极配合提供相关资料和成果；中标供应商有责任对涉及项目的重要信息进行保密；中标供应商如因为项目的开展需要向第三方提供资料,必须提前得到采购人批准。</w:t>
      </w:r>
    </w:p>
    <w:p>
      <w:pPr>
        <w:spacing w:line="400" w:lineRule="exact"/>
        <w:rPr>
          <w:rFonts w:ascii="宋体" w:hAnsi="宋体" w:cs="宋体"/>
          <w:b/>
          <w:szCs w:val="21"/>
          <w:highlight w:val="none"/>
        </w:rPr>
      </w:pPr>
    </w:p>
    <w:p>
      <w:pPr>
        <w:spacing w:line="440" w:lineRule="exact"/>
        <w:rPr>
          <w:rFonts w:ascii="宋体" w:hAnsi="宋体" w:cs="宋体"/>
          <w:b/>
          <w:szCs w:val="21"/>
          <w:highlight w:val="none"/>
        </w:rPr>
      </w:pPr>
      <w:r>
        <w:rPr>
          <w:rFonts w:hint="eastAsia" w:ascii="宋体" w:hAnsi="宋体" w:cs="宋体"/>
          <w:b/>
          <w:szCs w:val="21"/>
          <w:highlight w:val="none"/>
        </w:rPr>
        <w:t>33.</w:t>
      </w:r>
      <w:r>
        <w:rPr>
          <w:rFonts w:ascii="宋体" w:hAnsi="宋体" w:cs="宋体"/>
          <w:b/>
          <w:szCs w:val="21"/>
          <w:highlight w:val="none"/>
        </w:rPr>
        <w:t xml:space="preserve"> </w:t>
      </w:r>
      <w:r>
        <w:rPr>
          <w:rFonts w:hint="eastAsia" w:ascii="宋体" w:hAnsi="宋体" w:cs="宋体"/>
          <w:b/>
          <w:szCs w:val="21"/>
          <w:highlight w:val="none"/>
        </w:rPr>
        <w:t>政府采购活动中有关中小企业的相关规定（采购进口产品项目不适用）</w:t>
      </w:r>
    </w:p>
    <w:p>
      <w:pPr>
        <w:spacing w:line="400" w:lineRule="exact"/>
        <w:rPr>
          <w:rFonts w:ascii="宋体" w:hAnsi="宋体" w:cs="宋体"/>
          <w:szCs w:val="21"/>
          <w:highlight w:val="none"/>
        </w:rPr>
      </w:pPr>
      <w:r>
        <w:rPr>
          <w:rFonts w:hint="eastAsia" w:ascii="宋体" w:hAnsi="宋体" w:cs="宋体"/>
          <w:b/>
          <w:bCs/>
          <w:szCs w:val="21"/>
          <w:highlight w:val="none"/>
        </w:rPr>
        <w:t xml:space="preserve">33.1 </w:t>
      </w:r>
      <w:r>
        <w:rPr>
          <w:rFonts w:hint="eastAsia" w:ascii="宋体" w:hAnsi="宋体" w:cs="宋体"/>
          <w:szCs w:val="21"/>
          <w:highlight w:val="none"/>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00" w:lineRule="exact"/>
        <w:rPr>
          <w:rFonts w:ascii="宋体" w:hAnsi="宋体" w:cs="宋体"/>
          <w:szCs w:val="21"/>
          <w:highlight w:val="none"/>
        </w:rPr>
      </w:pPr>
      <w:r>
        <w:rPr>
          <w:rFonts w:hint="eastAsia" w:ascii="宋体" w:hAnsi="宋体" w:cs="宋体"/>
          <w:b/>
          <w:bCs/>
          <w:szCs w:val="21"/>
          <w:highlight w:val="none"/>
        </w:rPr>
        <w:t xml:space="preserve">33.2 </w:t>
      </w:r>
      <w:r>
        <w:rPr>
          <w:rFonts w:hint="eastAsia" w:ascii="宋体" w:hAnsi="宋体" w:cs="宋体"/>
          <w:szCs w:val="21"/>
          <w:highlight w:val="none"/>
        </w:rPr>
        <w:t xml:space="preserve"> 在政府采购活动中，投标人提供的货物、工程或者服务符合下列情形的，享受本办法规定的中小企业扶持政策：</w:t>
      </w:r>
    </w:p>
    <w:p>
      <w:pPr>
        <w:spacing w:line="400" w:lineRule="exact"/>
        <w:rPr>
          <w:rFonts w:ascii="宋体" w:hAnsi="宋体" w:cs="宋体"/>
          <w:szCs w:val="21"/>
          <w:highlight w:val="none"/>
        </w:rPr>
      </w:pPr>
      <w:r>
        <w:rPr>
          <w:rFonts w:hint="eastAsia" w:ascii="宋体" w:hAnsi="宋体" w:cs="宋体"/>
          <w:szCs w:val="21"/>
          <w:highlight w:val="none"/>
        </w:rPr>
        <w:t>（1）在货物采购项目中，货物由中小企业制造，即货物由中小企业生产且使用该中小企业商号或者注册商标；</w:t>
      </w:r>
    </w:p>
    <w:p>
      <w:pPr>
        <w:spacing w:line="400" w:lineRule="exact"/>
        <w:rPr>
          <w:rFonts w:ascii="宋体" w:hAnsi="宋体" w:cs="宋体"/>
          <w:szCs w:val="21"/>
          <w:highlight w:val="none"/>
        </w:rPr>
      </w:pPr>
      <w:r>
        <w:rPr>
          <w:rFonts w:hint="eastAsia" w:ascii="宋体" w:hAnsi="宋体" w:cs="宋体"/>
          <w:szCs w:val="21"/>
          <w:highlight w:val="none"/>
        </w:rPr>
        <w:t>（2）在工程采购项目中，工程由中小企业承建，即工程施工单位为中小企业；</w:t>
      </w:r>
    </w:p>
    <w:p>
      <w:pPr>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）在服务采购项目中，服务由中小企业承接，即提供服务的人员为中小企业依照《中华人民共和国劳动合同法》订立劳动合同的从业人员。</w:t>
      </w:r>
    </w:p>
    <w:p>
      <w:pPr>
        <w:spacing w:line="400" w:lineRule="exact"/>
        <w:rPr>
          <w:rFonts w:ascii="宋体" w:hAnsi="宋体" w:cs="宋体"/>
          <w:szCs w:val="21"/>
          <w:highlight w:val="none"/>
        </w:rPr>
      </w:pPr>
      <w:r>
        <w:rPr>
          <w:rFonts w:hint="eastAsia" w:ascii="宋体" w:hAnsi="宋体" w:cs="宋体"/>
          <w:szCs w:val="21"/>
          <w:highlight w:val="none"/>
        </w:rPr>
        <w:t>在货物采购项目中，投标人提供的货物既有中小企业制造货物，也有大型企业制造货物的，不享受本办法规定的中小企业扶持政策。</w:t>
      </w:r>
    </w:p>
    <w:p>
      <w:pPr>
        <w:spacing w:line="400" w:lineRule="exact"/>
        <w:rPr>
          <w:rFonts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pPr>
        <w:spacing w:line="400" w:lineRule="exact"/>
        <w:rPr>
          <w:rFonts w:ascii="宋体" w:hAnsi="宋体" w:cs="宋体"/>
          <w:szCs w:val="21"/>
          <w:highlight w:val="none"/>
        </w:rPr>
      </w:pPr>
      <w:r>
        <w:rPr>
          <w:rFonts w:hint="eastAsia" w:ascii="宋体" w:hAnsi="宋体" w:cs="宋体"/>
          <w:b/>
          <w:bCs/>
          <w:szCs w:val="21"/>
          <w:highlight w:val="none"/>
        </w:rPr>
        <w:t>33.3</w:t>
      </w:r>
      <w:r>
        <w:rPr>
          <w:rFonts w:hint="eastAsia" w:ascii="宋体" w:hAnsi="宋体" w:cs="宋体"/>
          <w:szCs w:val="21"/>
          <w:highlight w:val="none"/>
        </w:rPr>
        <w:t xml:space="preserve">  中小企业参加政府采购活动，应当出具《中小企业声明函》（格式见附件），否则不得享受相关中小企业扶持政策。</w:t>
      </w:r>
    </w:p>
    <w:p>
      <w:pPr>
        <w:spacing w:line="400" w:lineRule="exact"/>
        <w:rPr>
          <w:rFonts w:ascii="宋体" w:hAnsi="宋体" w:cs="宋体"/>
          <w:szCs w:val="21"/>
          <w:highlight w:val="none"/>
        </w:rPr>
      </w:pPr>
      <w:r>
        <w:rPr>
          <w:rFonts w:hint="eastAsia" w:ascii="宋体" w:hAnsi="宋体" w:cs="宋体"/>
          <w:b/>
          <w:bCs/>
          <w:szCs w:val="21"/>
          <w:highlight w:val="none"/>
        </w:rPr>
        <w:t>33.4</w:t>
      </w:r>
      <w:r>
        <w:rPr>
          <w:rFonts w:hint="eastAsia" w:ascii="宋体" w:hAnsi="宋体" w:cs="宋体"/>
          <w:szCs w:val="21"/>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w:t>
      </w:r>
      <w:r>
        <w:rPr>
          <w:rFonts w:ascii="宋体" w:hAnsi="宋体" w:cs="宋体"/>
          <w:szCs w:val="21"/>
          <w:highlight w:val="none"/>
        </w:rPr>
        <w:t>10</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0%（工程项目为3%—5%）的扣除，用扣除后的价格参加评审。</w:t>
      </w:r>
    </w:p>
    <w:p>
      <w:pPr>
        <w:spacing w:line="400" w:lineRule="exact"/>
        <w:rPr>
          <w:rFonts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s="宋体"/>
          <w:szCs w:val="21"/>
          <w:highlight w:val="none"/>
        </w:rPr>
        <w:t>4</w:t>
      </w:r>
      <w:r>
        <w:rPr>
          <w:rFonts w:hint="eastAsia" w:ascii="宋体" w:hAnsi="宋体" w:cs="宋体"/>
          <w:szCs w:val="21"/>
          <w:highlight w:val="none"/>
        </w:rPr>
        <w:t>%-</w:t>
      </w:r>
      <w:r>
        <w:rPr>
          <w:rFonts w:ascii="宋体" w:hAnsi="宋体" w:cs="宋体"/>
          <w:szCs w:val="21"/>
          <w:highlight w:val="none"/>
        </w:rPr>
        <w:t>6</w:t>
      </w:r>
      <w:r>
        <w:rPr>
          <w:rFonts w:hint="eastAsia" w:ascii="宋体" w:hAnsi="宋体" w:cs="宋体"/>
          <w:szCs w:val="21"/>
          <w:highlight w:val="none"/>
        </w:rPr>
        <w:t>%（工程项目为1%—2%）的扣除，用扣除后的价格参加评审。组成联合体或者接受分包的小微企业与联合体内其他企业、分包企业之间存在直接控股、管理关系的，不享受价格扣除优惠政策。</w:t>
      </w:r>
    </w:p>
    <w:p>
      <w:pPr>
        <w:spacing w:line="400" w:lineRule="exact"/>
        <w:rPr>
          <w:rFonts w:ascii="宋体" w:hAnsi="宋体" w:cs="宋体"/>
          <w:szCs w:val="21"/>
          <w:highlight w:val="none"/>
        </w:rPr>
      </w:pPr>
      <w:r>
        <w:rPr>
          <w:rFonts w:hint="eastAsia" w:ascii="宋体" w:hAnsi="宋体" w:cs="宋体"/>
          <w:szCs w:val="21"/>
          <w:highlight w:val="none"/>
        </w:rPr>
        <w:t>价格扣除比例对小型企业和微型企业同等对待，不作区分。具体采购项目的价格扣除比例，由采购人根据采购标的相关行业平均利润率、市场竞争状况等，在招标文件内确定。</w:t>
      </w:r>
    </w:p>
    <w:p>
      <w:pPr>
        <w:spacing w:line="400" w:lineRule="exact"/>
        <w:rPr>
          <w:rFonts w:ascii="宋体" w:hAnsi="宋体" w:cs="宋体"/>
          <w:szCs w:val="21"/>
          <w:highlight w:val="none"/>
        </w:rPr>
      </w:pPr>
      <w:r>
        <w:rPr>
          <w:rFonts w:hint="eastAsia" w:ascii="宋体" w:hAnsi="宋体" w:cs="宋体"/>
          <w:b/>
          <w:bCs/>
          <w:szCs w:val="21"/>
          <w:highlight w:val="none"/>
        </w:rPr>
        <w:t>33.5</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享受扶持政策获得政府采购合同的，小微企业不得将合同分包给大中型企业，中型企业不得将合同分包给大型企业。</w:t>
      </w:r>
    </w:p>
    <w:p>
      <w:pPr>
        <w:spacing w:line="400" w:lineRule="exact"/>
        <w:rPr>
          <w:rFonts w:ascii="宋体" w:hAnsi="宋体" w:cs="宋体"/>
          <w:szCs w:val="21"/>
          <w:highlight w:val="none"/>
        </w:rPr>
      </w:pPr>
      <w:r>
        <w:rPr>
          <w:rFonts w:hint="eastAsia" w:ascii="宋体" w:hAnsi="宋体" w:cs="宋体"/>
          <w:b/>
          <w:bCs/>
          <w:szCs w:val="21"/>
          <w:highlight w:val="none"/>
        </w:rPr>
        <w:t xml:space="preserve">33.6 </w:t>
      </w:r>
      <w:r>
        <w:rPr>
          <w:rFonts w:ascii="宋体" w:hAnsi="宋体" w:cs="宋体"/>
          <w:b/>
          <w:bCs/>
          <w:szCs w:val="21"/>
          <w:highlight w:val="none"/>
        </w:rPr>
        <w:t xml:space="preserve"> </w:t>
      </w:r>
      <w:r>
        <w:rPr>
          <w:rFonts w:hint="eastAsia" w:ascii="宋体" w:hAnsi="宋体" w:cs="宋体"/>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rPr>
          <w:rFonts w:ascii="宋体" w:hAnsi="宋体" w:cs="宋体"/>
          <w:szCs w:val="21"/>
          <w:highlight w:val="none"/>
        </w:rPr>
      </w:pPr>
      <w:r>
        <w:rPr>
          <w:rFonts w:hint="eastAsia" w:ascii="宋体" w:hAnsi="宋体" w:cs="宋体"/>
          <w:b/>
          <w:bCs/>
          <w:szCs w:val="21"/>
          <w:highlight w:val="none"/>
        </w:rPr>
        <w:t>33.7</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该通知附件），并对声明的真实性负责,未能提供上述证明文件的不予认可。</w:t>
      </w:r>
    </w:p>
    <w:p>
      <w:pPr>
        <w:spacing w:line="400" w:lineRule="exact"/>
        <w:rPr>
          <w:rFonts w:ascii="宋体" w:hAnsi="宋体" w:cs="宋体"/>
          <w:szCs w:val="21"/>
          <w:highlight w:val="none"/>
        </w:rPr>
      </w:pPr>
      <w:r>
        <w:rPr>
          <w:rFonts w:hint="eastAsia" w:ascii="宋体" w:hAnsi="宋体" w:cs="宋体"/>
          <w:b/>
          <w:bCs/>
          <w:szCs w:val="21"/>
          <w:highlight w:val="none"/>
        </w:rPr>
        <w:t>33.8</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执行财政部、国家环保总局《关于环境标志产品政府采购实施的意见》，政府采购优先采购环境标志产品，本项目将对环境标志产品给予一定幅度的价格扣除或技术加分，具体见 “评标标准”说明。</w:t>
      </w:r>
    </w:p>
    <w:p>
      <w:pPr>
        <w:spacing w:line="400" w:lineRule="exact"/>
        <w:rPr>
          <w:rFonts w:ascii="宋体" w:hAnsi="宋体" w:cs="宋体"/>
          <w:szCs w:val="21"/>
          <w:highlight w:val="none"/>
        </w:rPr>
      </w:pPr>
      <w:r>
        <w:rPr>
          <w:rFonts w:hint="eastAsia" w:ascii="宋体" w:hAnsi="宋体" w:cs="宋体"/>
          <w:b/>
          <w:bCs/>
          <w:szCs w:val="21"/>
          <w:highlight w:val="none"/>
        </w:rPr>
        <w:t>33.9</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执行财政部、国家发展改革委员会《节能产品政府采购实施意见》，政府采购优先采购节能产品，本项目将对节能产品给予一定幅度的价格扣除或技术加分，具体见招标文件“评标标准”说明。</w:t>
      </w:r>
    </w:p>
    <w:p>
      <w:pPr>
        <w:spacing w:line="400" w:lineRule="exact"/>
        <w:rPr>
          <w:rFonts w:ascii="宋体" w:hAnsi="宋体" w:cs="宋体"/>
          <w:szCs w:val="21"/>
          <w:highlight w:val="none"/>
        </w:rPr>
      </w:pPr>
      <w:r>
        <w:rPr>
          <w:rFonts w:hint="eastAsia" w:ascii="宋体" w:hAnsi="宋体" w:cs="宋体"/>
          <w:b/>
          <w:bCs/>
          <w:szCs w:val="21"/>
          <w:highlight w:val="none"/>
        </w:rPr>
        <w:t>33.10</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进口产品采购需符合“财政部关于印发《政府采购进口产品管理办法》的通知（财库[2007]119号）”第四、八、九、十、十一条的规定。</w:t>
      </w:r>
    </w:p>
    <w:p>
      <w:pPr>
        <w:spacing w:line="400" w:lineRule="exact"/>
        <w:rPr>
          <w:rFonts w:ascii="宋体" w:hAnsi="宋体" w:cs="宋体"/>
          <w:b/>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34.</w:t>
      </w:r>
      <w:r>
        <w:rPr>
          <w:rFonts w:ascii="宋体" w:hAnsi="宋体" w:cs="宋体"/>
          <w:b/>
          <w:szCs w:val="21"/>
          <w:highlight w:val="none"/>
        </w:rPr>
        <w:t xml:space="preserve"> </w:t>
      </w:r>
      <w:r>
        <w:rPr>
          <w:rFonts w:hint="eastAsia" w:ascii="宋体" w:hAnsi="宋体" w:cs="宋体"/>
          <w:b/>
          <w:szCs w:val="21"/>
          <w:highlight w:val="none"/>
        </w:rPr>
        <w:t>招标文件对投标人质疑的相关规定</w:t>
      </w:r>
    </w:p>
    <w:p>
      <w:pPr>
        <w:spacing w:line="400" w:lineRule="exact"/>
        <w:rPr>
          <w:rFonts w:ascii="宋体" w:hAnsi="宋体" w:cs="宋体"/>
          <w:szCs w:val="21"/>
          <w:highlight w:val="none"/>
        </w:rPr>
      </w:pPr>
      <w:r>
        <w:rPr>
          <w:rFonts w:hint="eastAsia" w:ascii="宋体" w:hAnsi="宋体" w:cs="宋体"/>
          <w:b/>
          <w:szCs w:val="21"/>
          <w:highlight w:val="none"/>
        </w:rPr>
        <w:t>34.1</w:t>
      </w:r>
      <w:r>
        <w:rPr>
          <w:rFonts w:ascii="宋体" w:hAnsi="宋体" w:cs="宋体"/>
          <w:b/>
          <w:szCs w:val="21"/>
          <w:highlight w:val="none"/>
        </w:rPr>
        <w:t xml:space="preserve">  </w:t>
      </w:r>
      <w:r>
        <w:rPr>
          <w:rFonts w:hint="eastAsia" w:ascii="宋体" w:hAnsi="宋体" w:cs="宋体"/>
          <w:kern w:val="0"/>
          <w:szCs w:val="21"/>
          <w:highlight w:val="none"/>
        </w:rPr>
        <w:t>供应商应当自知道或者应当知道其合法权益受到损害之日起7个工作日内提出质疑。</w:t>
      </w:r>
      <w:r>
        <w:rPr>
          <w:rFonts w:hint="eastAsia" w:ascii="宋体" w:hAnsi="宋体" w:cs="宋体"/>
          <w:szCs w:val="21"/>
          <w:highlight w:val="none"/>
        </w:rPr>
        <w:t>提出质疑的有效期计算，依照下列规定：</w:t>
      </w:r>
    </w:p>
    <w:p>
      <w:pPr>
        <w:spacing w:line="400" w:lineRule="exact"/>
        <w:rPr>
          <w:rFonts w:ascii="宋体" w:hAnsi="宋体" w:cs="宋体"/>
          <w:szCs w:val="21"/>
          <w:highlight w:val="none"/>
        </w:rPr>
      </w:pPr>
      <w:r>
        <w:rPr>
          <w:rFonts w:hint="eastAsia" w:ascii="宋体" w:hAnsi="宋体" w:cs="宋体"/>
          <w:szCs w:val="21"/>
          <w:highlight w:val="none"/>
        </w:rPr>
        <w:t>（1）对采购信息公告提出质疑的，应当在采购信息公告发布之日起7个工作日内提出。</w:t>
      </w:r>
    </w:p>
    <w:p>
      <w:pPr>
        <w:spacing w:line="400" w:lineRule="exact"/>
        <w:rPr>
          <w:rFonts w:ascii="宋体" w:hAnsi="宋体" w:cs="宋体"/>
          <w:szCs w:val="21"/>
          <w:highlight w:val="none"/>
        </w:rPr>
      </w:pPr>
      <w:r>
        <w:rPr>
          <w:rFonts w:hint="eastAsia" w:ascii="宋体" w:hAnsi="宋体" w:cs="宋体"/>
          <w:szCs w:val="21"/>
          <w:highlight w:val="none"/>
        </w:rPr>
        <w:t>（2）对招标文件提出质疑的，应当在获取招标文件或者招标文件公告期限届满之日起7个工作日内提出。</w:t>
      </w:r>
    </w:p>
    <w:p>
      <w:pPr>
        <w:spacing w:line="400" w:lineRule="exact"/>
        <w:rPr>
          <w:rFonts w:ascii="宋体" w:hAnsi="宋体" w:cs="宋体"/>
          <w:szCs w:val="21"/>
          <w:highlight w:val="none"/>
        </w:rPr>
      </w:pPr>
      <w:r>
        <w:rPr>
          <w:rFonts w:hint="eastAsia" w:ascii="宋体" w:hAnsi="宋体" w:cs="宋体"/>
          <w:szCs w:val="21"/>
          <w:highlight w:val="none"/>
        </w:rPr>
        <w:t>（3）对采购过程提出质疑的，应当在招标文件接收、开标、评标工作、宣布评标结果等环节结束之日起7个工作日内提出。</w:t>
      </w:r>
    </w:p>
    <w:p>
      <w:pPr>
        <w:spacing w:line="400" w:lineRule="exact"/>
        <w:rPr>
          <w:rFonts w:ascii="宋体" w:hAnsi="宋体" w:cs="宋体"/>
          <w:szCs w:val="21"/>
          <w:highlight w:val="none"/>
        </w:rPr>
      </w:pPr>
      <w:r>
        <w:rPr>
          <w:rFonts w:hint="eastAsia" w:ascii="宋体" w:hAnsi="宋体" w:cs="宋体"/>
          <w:szCs w:val="21"/>
          <w:highlight w:val="none"/>
        </w:rPr>
        <w:t>（4）对采购结果提出质疑的，应当在采购结果公告期限届满或书面通知（书面通知可以采用电子邮件、传真方式）采购结果之日起7个工作日内提出，未按规定在发布采购结果公告同时书面通知采购结果的，以供应商实际知道采购结果之日起计算。</w:t>
      </w:r>
    </w:p>
    <w:p>
      <w:pPr>
        <w:spacing w:line="400" w:lineRule="exact"/>
        <w:rPr>
          <w:rFonts w:ascii="宋体" w:hAnsi="宋体" w:cs="宋体"/>
          <w:szCs w:val="21"/>
          <w:highlight w:val="none"/>
        </w:rPr>
      </w:pPr>
      <w:r>
        <w:rPr>
          <w:rFonts w:hint="eastAsia" w:ascii="宋体" w:hAnsi="宋体" w:cs="宋体"/>
          <w:b/>
          <w:szCs w:val="21"/>
          <w:highlight w:val="none"/>
        </w:rPr>
        <w:t>34.2</w:t>
      </w:r>
      <w:r>
        <w:rPr>
          <w:rFonts w:hint="eastAsia" w:ascii="宋体" w:hAnsi="宋体" w:cs="宋体"/>
          <w:szCs w:val="21"/>
          <w:highlight w:val="none"/>
        </w:rPr>
        <w:t xml:space="preserve">  对采购信息公告内容提出质疑的，不限制质疑主体。未依法获取招标文件的，不得就招标文件提出质疑；未提交投标文件的供应商，视为与采购结果没有利害关系，不得就采购响应截止时间后的采购过程、采购结果提出质疑。</w:t>
      </w:r>
    </w:p>
    <w:p>
      <w:pPr>
        <w:spacing w:line="400" w:lineRule="exact"/>
        <w:rPr>
          <w:rFonts w:ascii="宋体" w:hAnsi="宋体" w:cs="宋体"/>
          <w:szCs w:val="21"/>
          <w:highlight w:val="none"/>
        </w:rPr>
      </w:pPr>
      <w:r>
        <w:rPr>
          <w:rFonts w:hint="eastAsia" w:ascii="宋体" w:hAnsi="宋体" w:cs="宋体"/>
          <w:b/>
          <w:szCs w:val="21"/>
          <w:highlight w:val="none"/>
        </w:rPr>
        <w:t>34.3</w:t>
      </w:r>
      <w:r>
        <w:rPr>
          <w:rFonts w:hint="eastAsia" w:ascii="宋体" w:hAnsi="宋体" w:cs="宋体"/>
          <w:szCs w:val="21"/>
          <w:highlight w:val="none"/>
        </w:rPr>
        <w:t xml:space="preserve">  供应商提出质疑应当提交质疑函和必要的证明材料，质疑函应当面以书面形式提出，质疑函格式和内容须符合财政部《质疑函范本》要求，供应商可到中国政府采购网自行下载财政部《质疑函范本》。</w:t>
      </w:r>
    </w:p>
    <w:p>
      <w:pPr>
        <w:spacing w:line="400" w:lineRule="exact"/>
        <w:rPr>
          <w:rFonts w:ascii="宋体" w:hAnsi="宋体" w:cs="宋体"/>
          <w:szCs w:val="21"/>
          <w:highlight w:val="none"/>
        </w:rPr>
      </w:pPr>
      <w:r>
        <w:rPr>
          <w:rFonts w:hint="eastAsia" w:ascii="宋体" w:hAnsi="宋体" w:cs="宋体"/>
          <w:b/>
          <w:szCs w:val="21"/>
          <w:highlight w:val="none"/>
        </w:rPr>
        <w:t>34.4</w:t>
      </w:r>
      <w:r>
        <w:rPr>
          <w:rFonts w:hint="eastAsia" w:ascii="宋体" w:hAnsi="宋体" w:cs="宋体"/>
          <w:szCs w:val="21"/>
          <w:highlight w:val="none"/>
        </w:rPr>
        <w:t xml:space="preserve">  接收书面质疑函的方式：质疑人可通过送达、邮寄、传真、邮件的形式提交书面质疑函，通过邮寄方式提交的书面质疑函以被质疑人签收邮件之日为收到书面质疑文件之日，通过传真或邮件方式提交的书面质疑函以被质疑人收到书面质疑文件原件之日为收到书面质疑文件之日。采购人和采购代理机构接收质疑函的联系方式：见本招标文件第一章有关联系方式。</w:t>
      </w:r>
    </w:p>
    <w:p>
      <w:pPr>
        <w:spacing w:line="400" w:lineRule="exact"/>
        <w:rPr>
          <w:rFonts w:ascii="宋体" w:hAnsi="宋体" w:cs="宋体"/>
          <w:szCs w:val="21"/>
          <w:highlight w:val="none"/>
        </w:rPr>
      </w:pPr>
      <w:r>
        <w:rPr>
          <w:rFonts w:hint="eastAsia" w:ascii="宋体" w:hAnsi="宋体" w:cs="宋体"/>
          <w:b/>
          <w:szCs w:val="21"/>
          <w:highlight w:val="none"/>
        </w:rPr>
        <w:t>34.5</w:t>
      </w:r>
      <w:r>
        <w:rPr>
          <w:rFonts w:ascii="宋体" w:hAnsi="宋体" w:cs="宋体"/>
          <w:szCs w:val="21"/>
          <w:highlight w:val="none"/>
        </w:rPr>
        <w:t xml:space="preserve"> </w:t>
      </w:r>
      <w:r>
        <w:rPr>
          <w:rFonts w:hint="eastAsia" w:ascii="宋体" w:hAnsi="宋体" w:cs="宋体"/>
          <w:szCs w:val="21"/>
          <w:highlight w:val="none"/>
        </w:rPr>
        <w:t xml:space="preserve"> 供应商对采购人或采购代理机构的质疑答复不满意或者采购人或采购代理机构未在规定时间内作出答复的，可以在答复期满后十五个工作日内向同级采购监管部门投诉。</w:t>
      </w:r>
    </w:p>
    <w:p>
      <w:pPr>
        <w:spacing w:line="440" w:lineRule="exact"/>
        <w:ind w:firstLine="106" w:firstLineChars="50"/>
        <w:rPr>
          <w:rFonts w:ascii="宋体" w:hAnsi="宋体" w:cs="宋体"/>
          <w:szCs w:val="21"/>
          <w:highlight w:val="none"/>
        </w:rPr>
      </w:pPr>
    </w:p>
    <w:p>
      <w:pPr>
        <w:spacing w:line="440" w:lineRule="exact"/>
        <w:rPr>
          <w:rFonts w:ascii="宋体" w:hAnsi="宋体" w:cs="宋体"/>
          <w:szCs w:val="21"/>
          <w:highlight w:val="none"/>
        </w:rPr>
      </w:pPr>
      <w:r>
        <w:rPr>
          <w:rFonts w:hint="eastAsia" w:ascii="宋体" w:hAnsi="宋体" w:cs="宋体"/>
          <w:b/>
          <w:szCs w:val="21"/>
          <w:highlight w:val="none"/>
        </w:rPr>
        <w:t>35.</w:t>
      </w:r>
      <w:r>
        <w:rPr>
          <w:rFonts w:ascii="宋体" w:hAnsi="宋体" w:cs="宋体"/>
          <w:b/>
          <w:szCs w:val="21"/>
          <w:highlight w:val="none"/>
        </w:rPr>
        <w:t xml:space="preserve"> </w:t>
      </w:r>
      <w:r>
        <w:rPr>
          <w:rFonts w:hint="eastAsia" w:ascii="宋体" w:hAnsi="宋体" w:cs="宋体"/>
          <w:b/>
          <w:szCs w:val="21"/>
          <w:highlight w:val="none"/>
        </w:rPr>
        <w:t>联合体规定</w:t>
      </w:r>
    </w:p>
    <w:p>
      <w:pPr>
        <w:spacing w:line="440" w:lineRule="exact"/>
        <w:rPr>
          <w:rFonts w:ascii="宋体" w:hAnsi="宋体" w:cs="宋体"/>
          <w:szCs w:val="21"/>
          <w:highlight w:val="none"/>
        </w:rPr>
      </w:pPr>
      <w:r>
        <w:rPr>
          <w:rFonts w:hint="eastAsia" w:ascii="宋体" w:hAnsi="宋体" w:cs="宋体"/>
          <w:b/>
          <w:szCs w:val="21"/>
          <w:highlight w:val="none"/>
        </w:rPr>
        <w:t>35.1</w:t>
      </w:r>
      <w:r>
        <w:rPr>
          <w:rFonts w:hint="eastAsia" w:ascii="宋体" w:hAnsi="宋体" w:cs="宋体"/>
          <w:szCs w:val="21"/>
          <w:highlight w:val="none"/>
        </w:rPr>
        <w:t xml:space="preserve">  两个及以上的自然人、法人或者其他组织可以组成一个联合体，以一个供应商的身份共同参加政府采购。</w:t>
      </w:r>
      <w:r>
        <w:rPr>
          <w:rFonts w:hint="eastAsia" w:ascii="宋体" w:hAnsi="宋体" w:cs="宋体"/>
          <w:b/>
          <w:szCs w:val="21"/>
          <w:highlight w:val="none"/>
        </w:rPr>
        <w:t>以联合体形式进行政府采购的，参加联合体的供应商均应当具备本法第二十二条规定的条件，并应当向采购人提交联合协议，载明联合体各方承担的工作和义务。</w:t>
      </w:r>
      <w:r>
        <w:rPr>
          <w:rFonts w:hint="eastAsia" w:ascii="宋体" w:hAnsi="宋体" w:cs="宋体"/>
          <w:szCs w:val="21"/>
          <w:highlight w:val="none"/>
        </w:rPr>
        <w:t>联合体各方应当共同与采购人签订采购合同，就采购合同约定的事项对采购人承担连带责任。本项目接受联合体投标。组成联合体的成员数量不得超过2个。</w:t>
      </w:r>
    </w:p>
    <w:p>
      <w:pPr>
        <w:spacing w:line="440" w:lineRule="exact"/>
        <w:rPr>
          <w:rFonts w:ascii="宋体" w:hAnsi="宋体" w:cs="宋体"/>
          <w:szCs w:val="21"/>
          <w:highlight w:val="none"/>
        </w:rPr>
      </w:pPr>
      <w:r>
        <w:rPr>
          <w:rFonts w:hint="eastAsia" w:ascii="宋体" w:hAnsi="宋体" w:cs="宋体"/>
          <w:b/>
          <w:szCs w:val="21"/>
          <w:highlight w:val="none"/>
        </w:rPr>
        <w:t>35.2</w:t>
      </w:r>
      <w:r>
        <w:rPr>
          <w:rFonts w:hint="eastAsia" w:ascii="宋体" w:hAnsi="宋体" w:cs="宋体"/>
          <w:szCs w:val="21"/>
          <w:highlight w:val="none"/>
        </w:rPr>
        <w:t xml:space="preserve">  联合体中有同类资质的投标人按照联合体分工承担相同工作的，按照资质等级较低的投标人认定资质等级。</w:t>
      </w:r>
    </w:p>
    <w:p>
      <w:pPr>
        <w:spacing w:line="440" w:lineRule="exact"/>
        <w:rPr>
          <w:rFonts w:ascii="宋体" w:hAnsi="宋体" w:cs="宋体"/>
          <w:szCs w:val="21"/>
          <w:highlight w:val="none"/>
        </w:rPr>
      </w:pPr>
      <w:r>
        <w:rPr>
          <w:rFonts w:hint="eastAsia" w:ascii="宋体" w:hAnsi="宋体" w:cs="宋体"/>
          <w:b/>
          <w:szCs w:val="21"/>
          <w:highlight w:val="none"/>
        </w:rPr>
        <w:t xml:space="preserve">35.3 </w:t>
      </w:r>
      <w:r>
        <w:rPr>
          <w:rFonts w:hint="eastAsia" w:ascii="宋体" w:hAnsi="宋体" w:cs="宋体"/>
          <w:szCs w:val="21"/>
          <w:highlight w:val="none"/>
        </w:rPr>
        <w:t xml:space="preserve"> </w:t>
      </w:r>
      <w:r>
        <w:rPr>
          <w:rFonts w:hint="eastAsia" w:ascii="宋体" w:hAnsi="宋体" w:cs="宋体"/>
          <w:b/>
          <w:szCs w:val="21"/>
          <w:highlight w:val="none"/>
        </w:rPr>
        <w:t>以联合体形式参加政府采购活动的，联合体各方不得再单独参加或者与其他投标人另外组成联合体参加同一标项号的政府采购活动。</w:t>
      </w:r>
    </w:p>
    <w:p>
      <w:pPr>
        <w:spacing w:line="440" w:lineRule="exact"/>
        <w:rPr>
          <w:rFonts w:ascii="宋体" w:hAnsi="宋体" w:cs="宋体"/>
          <w:b/>
          <w:szCs w:val="21"/>
          <w:highlight w:val="none"/>
        </w:rPr>
      </w:pPr>
      <w:r>
        <w:rPr>
          <w:rFonts w:hint="eastAsia" w:ascii="宋体" w:hAnsi="宋体" w:cs="宋体"/>
          <w:b/>
          <w:szCs w:val="21"/>
          <w:highlight w:val="none"/>
        </w:rPr>
        <w:t>3</w:t>
      </w:r>
      <w:r>
        <w:rPr>
          <w:rFonts w:ascii="宋体" w:hAnsi="宋体" w:cs="宋体"/>
          <w:b/>
          <w:szCs w:val="21"/>
          <w:highlight w:val="none"/>
        </w:rPr>
        <w:t>5</w:t>
      </w:r>
      <w:r>
        <w:rPr>
          <w:rFonts w:hint="eastAsia" w:ascii="宋体" w:hAnsi="宋体" w:cs="宋体"/>
          <w:b/>
          <w:szCs w:val="21"/>
          <w:highlight w:val="none"/>
        </w:rPr>
        <w:t>.4 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pPr>
        <w:spacing w:line="440" w:lineRule="exact"/>
        <w:rPr>
          <w:rFonts w:ascii="宋体" w:hAnsi="宋体" w:cs="宋体"/>
          <w:b/>
          <w:szCs w:val="21"/>
          <w:highlight w:val="none"/>
        </w:rPr>
      </w:pPr>
    </w:p>
    <w:p>
      <w:pPr>
        <w:spacing w:line="440" w:lineRule="exact"/>
        <w:rPr>
          <w:highlight w:val="none"/>
        </w:rPr>
        <w:sectPr>
          <w:headerReference r:id="rId9" w:type="default"/>
          <w:footerReference r:id="rId10" w:type="default"/>
          <w:pgSz w:w="11907" w:h="16840"/>
          <w:pgMar w:top="1276" w:right="1701" w:bottom="1429" w:left="1701" w:header="720" w:footer="720" w:gutter="0"/>
          <w:cols w:space="0" w:num="1"/>
          <w:docGrid w:type="linesAndChars" w:linePitch="293" w:charSpace="537"/>
        </w:sectPr>
      </w:pPr>
    </w:p>
    <w:p>
      <w:pPr>
        <w:spacing w:line="400" w:lineRule="exact"/>
        <w:ind w:firstLine="102" w:firstLineChars="49"/>
        <w:rPr>
          <w:rFonts w:ascii="宋体" w:hAnsi="宋体" w:cs="宋体"/>
          <w:kern w:val="0"/>
          <w:szCs w:val="21"/>
          <w:highlight w:val="none"/>
        </w:rPr>
      </w:pPr>
    </w:p>
    <w:p>
      <w:pPr>
        <w:rPr>
          <w:highlight w:val="none"/>
        </w:rPr>
      </w:pPr>
    </w:p>
    <w:bookmarkEnd w:id="254"/>
    <w:bookmarkEnd w:id="255"/>
    <w:bookmarkEnd w:id="256"/>
    <w:bookmarkEnd w:id="257"/>
    <w:bookmarkEnd w:id="258"/>
    <w:bookmarkEnd w:id="259"/>
    <w:bookmarkEnd w:id="260"/>
    <w:bookmarkEnd w:id="261"/>
    <w:p>
      <w:pPr>
        <w:spacing w:line="440" w:lineRule="exact"/>
        <w:ind w:firstLine="111" w:firstLineChars="50"/>
        <w:rPr>
          <w:rFonts w:ascii="宋体" w:hAnsi="宋体" w:cs="宋体"/>
          <w:sz w:val="22"/>
          <w:szCs w:val="22"/>
          <w:highlight w:val="none"/>
        </w:rPr>
        <w:sectPr>
          <w:type w:val="continuous"/>
          <w:pgSz w:w="11907" w:h="16840"/>
          <w:pgMar w:top="1276" w:right="1701" w:bottom="1429" w:left="1701" w:header="720" w:footer="720" w:gutter="0"/>
          <w:cols w:space="0" w:num="1"/>
          <w:docGrid w:type="linesAndChars" w:linePitch="293" w:charSpace="537"/>
        </w:sectPr>
      </w:pPr>
    </w:p>
    <w:p>
      <w:pPr>
        <w:pStyle w:val="3"/>
        <w:spacing w:beforeLines="0" w:afterLines="0" w:line="360" w:lineRule="auto"/>
        <w:rPr>
          <w:rFonts w:ascii="宋体" w:hAnsi="宋体" w:cs="宋体"/>
          <w:sz w:val="32"/>
          <w:szCs w:val="32"/>
          <w:highlight w:val="none"/>
        </w:rPr>
      </w:pPr>
      <w:bookmarkStart w:id="284" w:name="_Toc298230959"/>
      <w:bookmarkStart w:id="285" w:name="_Toc520902405"/>
      <w:r>
        <w:rPr>
          <w:rFonts w:hint="eastAsia" w:ascii="宋体" w:hAnsi="宋体" w:cs="宋体"/>
          <w:sz w:val="32"/>
          <w:szCs w:val="32"/>
          <w:highlight w:val="none"/>
        </w:rPr>
        <w:t>第五部分  评标办法</w:t>
      </w:r>
      <w:bookmarkEnd w:id="284"/>
      <w:bookmarkEnd w:id="285"/>
    </w:p>
    <w:p>
      <w:pPr>
        <w:tabs>
          <w:tab w:val="left" w:pos="0"/>
          <w:tab w:val="left" w:pos="723"/>
        </w:tabs>
        <w:spacing w:line="360" w:lineRule="exact"/>
        <w:rPr>
          <w:rFonts w:ascii="宋体" w:hAnsi="宋体" w:cs="宋体"/>
          <w:b/>
          <w:szCs w:val="21"/>
          <w:highlight w:val="none"/>
        </w:rPr>
      </w:pPr>
      <w:r>
        <w:rPr>
          <w:rFonts w:hint="eastAsia" w:ascii="宋体" w:hAnsi="宋体" w:cs="宋体"/>
          <w:b/>
          <w:szCs w:val="21"/>
          <w:highlight w:val="none"/>
        </w:rPr>
        <w:t>一、总则：</w:t>
      </w:r>
    </w:p>
    <w:p>
      <w:pPr>
        <w:tabs>
          <w:tab w:val="left" w:pos="0"/>
          <w:tab w:val="left" w:pos="723"/>
        </w:tabs>
        <w:spacing w:line="360" w:lineRule="exact"/>
        <w:rPr>
          <w:rFonts w:ascii="宋体" w:hAnsi="宋体" w:cs="宋体"/>
          <w:b/>
          <w:szCs w:val="21"/>
          <w:highlight w:val="none"/>
        </w:rPr>
      </w:pP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1．本办法严格遵照《中华人民共和国政府采购法》《中华人民共和国政府采购法实施条例》、《政府采购货物和服务招标投标管理办法》（87号令），结合项目所在地有关政府采购的规定和项目的实际情况制定。本评标标准是对“投标人须知”相关条款的具体表述或补充，如有矛盾，应以本办法为准。</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2．本项目评标采用综合评分法。</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3．</w:t>
      </w:r>
      <w:r>
        <w:rPr>
          <w:rFonts w:hint="eastAsia"/>
          <w:szCs w:val="21"/>
          <w:highlight w:val="none"/>
        </w:rPr>
        <w:t>本次采购为非专门面向中小企业，本次评标将对《中小企业声明函》满足招标文件要求的小微企业的价格按本办法中规定的比例进行扣除，用扣除后的价格参与评审。价格扣除只用于评审过程，如中标，中标价格仍按照其投标价格进行公示。</w:t>
      </w:r>
    </w:p>
    <w:p>
      <w:pPr>
        <w:tabs>
          <w:tab w:val="left" w:pos="0"/>
          <w:tab w:val="left" w:pos="723"/>
        </w:tabs>
        <w:spacing w:line="360" w:lineRule="exact"/>
        <w:rPr>
          <w:rFonts w:ascii="宋体" w:hAnsi="宋体" w:cs="宋体"/>
          <w:b/>
          <w:szCs w:val="21"/>
          <w:highlight w:val="none"/>
        </w:rPr>
      </w:pPr>
      <w:r>
        <w:rPr>
          <w:rFonts w:hint="eastAsia" w:ascii="宋体" w:hAnsi="宋体" w:cs="宋体"/>
          <w:b/>
          <w:szCs w:val="21"/>
          <w:highlight w:val="none"/>
        </w:rPr>
        <w:t>二、评标组织</w:t>
      </w:r>
    </w:p>
    <w:p>
      <w:pPr>
        <w:spacing w:line="360" w:lineRule="auto"/>
        <w:rPr>
          <w:rFonts w:ascii="宋体" w:hAnsi="宋体" w:cs="宋体"/>
          <w:szCs w:val="21"/>
          <w:highlight w:val="none"/>
        </w:rPr>
      </w:pP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评标委员会：采购人和采购代理机构根据采购项目的内容和特点，按国家相关规定组建评标委员会。评标委员会由采购人代表和政府采购云平台随机抽取的技术、经济方面专家等人员组成。</w:t>
      </w:r>
    </w:p>
    <w:p>
      <w:pPr>
        <w:widowControl/>
        <w:tabs>
          <w:tab w:val="left" w:pos="0"/>
          <w:tab w:val="left" w:pos="723"/>
        </w:tabs>
        <w:spacing w:line="360" w:lineRule="exact"/>
        <w:jc w:val="left"/>
        <w:rPr>
          <w:rFonts w:ascii="宋体" w:hAnsi="宋体" w:cs="宋体"/>
          <w:b/>
          <w:szCs w:val="21"/>
          <w:highlight w:val="none"/>
        </w:rPr>
      </w:pPr>
      <w:r>
        <w:rPr>
          <w:rFonts w:hint="eastAsia" w:ascii="宋体" w:hAnsi="宋体" w:cs="宋体"/>
          <w:b/>
          <w:szCs w:val="21"/>
          <w:highlight w:val="none"/>
        </w:rPr>
        <w:t>三、评标程序</w:t>
      </w:r>
    </w:p>
    <w:p>
      <w:pPr>
        <w:widowControl/>
        <w:tabs>
          <w:tab w:val="left" w:pos="0"/>
          <w:tab w:val="left" w:pos="723"/>
        </w:tabs>
        <w:spacing w:line="360" w:lineRule="exact"/>
        <w:jc w:val="left"/>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1．资格审查</w:t>
      </w:r>
      <w:r>
        <w:rPr>
          <w:rFonts w:hint="eastAsia" w:ascii="宋体" w:hAnsi="宋体" w:cs="宋体"/>
          <w:szCs w:val="21"/>
          <w:highlight w:val="none"/>
        </w:rPr>
        <w:t>：由采购人或代理机构对投标人的资格进行审查。</w:t>
      </w:r>
    </w:p>
    <w:tbl>
      <w:tblPr>
        <w:tblStyle w:val="37"/>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642"/>
        <w:gridCol w:w="4715"/>
      </w:tblGrid>
      <w:tr>
        <w:trPr>
          <w:tblHeader/>
          <w:jc w:val="center"/>
        </w:trPr>
        <w:tc>
          <w:tcPr>
            <w:tcW w:w="1044"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审查类别</w:t>
            </w:r>
          </w:p>
        </w:tc>
        <w:tc>
          <w:tcPr>
            <w:tcW w:w="3642" w:type="dxa"/>
            <w:tcBorders>
              <w:right w:val="single" w:color="auto" w:sz="8"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审查项目</w:t>
            </w:r>
          </w:p>
        </w:tc>
        <w:tc>
          <w:tcPr>
            <w:tcW w:w="4715" w:type="dxa"/>
            <w:tcBorders>
              <w:left w:val="single" w:color="auto" w:sz="8"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审查内容</w:t>
            </w:r>
          </w:p>
        </w:tc>
      </w:tr>
      <w:tr>
        <w:trPr>
          <w:jc w:val="center"/>
        </w:trPr>
        <w:tc>
          <w:tcPr>
            <w:tcW w:w="1044" w:type="dxa"/>
            <w:vMerge w:val="restart"/>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资格条件</w:t>
            </w:r>
          </w:p>
          <w:p>
            <w:pPr>
              <w:spacing w:line="360" w:lineRule="auto"/>
              <w:jc w:val="center"/>
              <w:rPr>
                <w:rFonts w:ascii="宋体" w:hAnsi="宋体" w:cs="宋体"/>
                <w:szCs w:val="21"/>
                <w:highlight w:val="none"/>
              </w:rPr>
            </w:pPr>
            <w:r>
              <w:rPr>
                <w:rFonts w:hint="eastAsia" w:ascii="宋体" w:hAnsi="宋体" w:cs="宋体"/>
                <w:szCs w:val="21"/>
                <w:highlight w:val="none"/>
              </w:rPr>
              <w:t>审查</w:t>
            </w:r>
          </w:p>
        </w:tc>
        <w:tc>
          <w:tcPr>
            <w:tcW w:w="3642" w:type="dxa"/>
            <w:tcBorders>
              <w:right w:val="single" w:color="auto" w:sz="8" w:space="0"/>
            </w:tcBorders>
            <w:vAlign w:val="center"/>
          </w:tcPr>
          <w:p>
            <w:pPr>
              <w:spacing w:line="360" w:lineRule="auto"/>
              <w:rPr>
                <w:rFonts w:ascii="宋体" w:hAnsi="宋体" w:cs="宋体"/>
                <w:szCs w:val="21"/>
                <w:highlight w:val="none"/>
              </w:rPr>
            </w:pPr>
            <w:r>
              <w:rPr>
                <w:rFonts w:ascii="宋体" w:hAnsi="宋体" w:cs="宋体"/>
                <w:szCs w:val="21"/>
                <w:highlight w:val="none"/>
              </w:rPr>
              <w:t xml:space="preserve">1. </w:t>
            </w:r>
            <w:r>
              <w:rPr>
                <w:rFonts w:hint="eastAsia" w:ascii="宋体" w:hAnsi="宋体" w:cs="宋体"/>
                <w:szCs w:val="21"/>
                <w:highlight w:val="none"/>
              </w:rPr>
              <w:t>符合《中华人民共和国政府采购法》第二十二条的要求：</w:t>
            </w:r>
          </w:p>
          <w:p>
            <w:pPr>
              <w:spacing w:line="360" w:lineRule="auto"/>
              <w:rPr>
                <w:rFonts w:ascii="宋体" w:hAnsi="宋体" w:cs="宋体"/>
                <w:szCs w:val="21"/>
                <w:highlight w:val="none"/>
              </w:rPr>
            </w:pPr>
            <w:r>
              <w:rPr>
                <w:rFonts w:hint="eastAsia" w:ascii="宋体" w:hAnsi="宋体" w:cs="宋体"/>
                <w:szCs w:val="21"/>
                <w:highlight w:val="none"/>
              </w:rPr>
              <w:t>1.1具有独立承担民事责任的能力；</w:t>
            </w:r>
          </w:p>
          <w:p>
            <w:pPr>
              <w:spacing w:line="360" w:lineRule="auto"/>
              <w:rPr>
                <w:rFonts w:ascii="宋体" w:hAnsi="宋体" w:cs="宋体"/>
                <w:szCs w:val="21"/>
                <w:highlight w:val="none"/>
              </w:rPr>
            </w:pPr>
            <w:r>
              <w:rPr>
                <w:rFonts w:hint="eastAsia" w:ascii="宋体" w:hAnsi="宋体" w:cs="宋体"/>
                <w:szCs w:val="21"/>
                <w:highlight w:val="none"/>
              </w:rPr>
              <w:t>1.2具有良好的商业信誉和健全的财务会计制度；</w:t>
            </w:r>
          </w:p>
          <w:p>
            <w:pPr>
              <w:spacing w:line="360" w:lineRule="auto"/>
              <w:rPr>
                <w:rFonts w:ascii="宋体" w:hAnsi="宋体" w:cs="宋体"/>
                <w:szCs w:val="21"/>
                <w:highlight w:val="none"/>
              </w:rPr>
            </w:pPr>
            <w:r>
              <w:rPr>
                <w:rFonts w:hint="eastAsia" w:ascii="宋体" w:hAnsi="宋体" w:cs="宋体"/>
                <w:szCs w:val="21"/>
                <w:highlight w:val="none"/>
              </w:rPr>
              <w:t>1.3具有履行合同所必需的设备和专业技术能力；</w:t>
            </w:r>
          </w:p>
          <w:p>
            <w:pPr>
              <w:spacing w:line="360" w:lineRule="auto"/>
              <w:rPr>
                <w:rFonts w:ascii="宋体" w:hAnsi="宋体" w:cs="宋体"/>
                <w:szCs w:val="21"/>
                <w:highlight w:val="none"/>
              </w:rPr>
            </w:pPr>
            <w:r>
              <w:rPr>
                <w:rFonts w:hint="eastAsia" w:ascii="宋体" w:hAnsi="宋体" w:cs="宋体"/>
                <w:szCs w:val="21"/>
                <w:highlight w:val="none"/>
              </w:rPr>
              <w:t>1.4有依法缴纳税收和社会保障资金的良好记录；</w:t>
            </w:r>
          </w:p>
          <w:p>
            <w:pPr>
              <w:spacing w:line="360" w:lineRule="auto"/>
              <w:rPr>
                <w:rFonts w:ascii="宋体" w:hAnsi="宋体" w:cs="宋体"/>
                <w:szCs w:val="21"/>
                <w:highlight w:val="none"/>
              </w:rPr>
            </w:pPr>
            <w:r>
              <w:rPr>
                <w:rFonts w:hint="eastAsia" w:ascii="宋体" w:hAnsi="宋体" w:cs="宋体"/>
                <w:szCs w:val="21"/>
                <w:highlight w:val="none"/>
              </w:rPr>
              <w:t>1.5参加政府采购活动前三年内，在经营活动中没有重大违法记录；</w:t>
            </w:r>
          </w:p>
          <w:p>
            <w:pPr>
              <w:spacing w:line="360" w:lineRule="auto"/>
              <w:rPr>
                <w:rFonts w:ascii="宋体" w:hAnsi="宋体" w:cs="宋体"/>
                <w:szCs w:val="21"/>
                <w:highlight w:val="none"/>
              </w:rPr>
            </w:pPr>
            <w:r>
              <w:rPr>
                <w:rFonts w:hint="eastAsia" w:ascii="宋体" w:hAnsi="宋体" w:cs="宋体"/>
                <w:szCs w:val="21"/>
                <w:highlight w:val="none"/>
              </w:rPr>
              <w:t>1.6法律、行政法规规定的其他条件。</w:t>
            </w:r>
          </w:p>
        </w:tc>
        <w:tc>
          <w:tcPr>
            <w:tcW w:w="4715" w:type="dxa"/>
            <w:tcBorders>
              <w:left w:val="single" w:color="auto" w:sz="8"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(1)资格条件自查表；</w:t>
            </w:r>
          </w:p>
          <w:p>
            <w:pPr>
              <w:spacing w:line="360" w:lineRule="auto"/>
              <w:rPr>
                <w:rFonts w:ascii="宋体" w:hAnsi="宋体" w:cs="宋体"/>
                <w:szCs w:val="21"/>
                <w:highlight w:val="none"/>
              </w:rPr>
            </w:pPr>
            <w:r>
              <w:rPr>
                <w:rFonts w:hint="eastAsia" w:ascii="宋体" w:hAnsi="宋体" w:cs="宋体"/>
                <w:szCs w:val="21"/>
                <w:highlight w:val="none"/>
              </w:rPr>
              <w:t>(2)投标声明书；</w:t>
            </w:r>
          </w:p>
          <w:p>
            <w:pPr>
              <w:spacing w:line="360" w:lineRule="auto"/>
              <w:rPr>
                <w:rFonts w:ascii="宋体" w:hAnsi="宋体" w:cs="宋体"/>
                <w:szCs w:val="21"/>
                <w:highlight w:val="none"/>
              </w:rPr>
            </w:pPr>
            <w:r>
              <w:rPr>
                <w:rFonts w:hint="eastAsia" w:ascii="宋体" w:hAnsi="宋体" w:cs="宋体"/>
                <w:szCs w:val="21"/>
                <w:highlight w:val="none"/>
              </w:rPr>
              <w:t>(3)有效的“多证合一”的营业执照（未办理多证合一的提供营业执照、税务登记证、组织机构代码证）副本复印件。投标人如果有名称变更的，应提供由行政主管部门出具的变更证明文件；</w:t>
            </w:r>
          </w:p>
          <w:p>
            <w:pPr>
              <w:spacing w:line="360" w:lineRule="auto"/>
              <w:rPr>
                <w:rFonts w:ascii="宋体" w:hAnsi="宋体" w:cs="宋体"/>
                <w:szCs w:val="21"/>
                <w:highlight w:val="none"/>
              </w:rPr>
            </w:pPr>
            <w:r>
              <w:rPr>
                <w:rFonts w:hint="eastAsia" w:ascii="宋体" w:hAnsi="宋体" w:cs="宋体"/>
                <w:szCs w:val="21"/>
                <w:highlight w:val="none"/>
              </w:rPr>
              <w:t>(4) 关于资格的承诺函；</w:t>
            </w:r>
          </w:p>
          <w:p>
            <w:pPr>
              <w:spacing w:line="360" w:lineRule="auto"/>
              <w:rPr>
                <w:rFonts w:ascii="宋体" w:hAnsi="宋体" w:cs="宋体"/>
                <w:szCs w:val="21"/>
                <w:highlight w:val="none"/>
              </w:rPr>
            </w:pPr>
            <w:r>
              <w:rPr>
                <w:rFonts w:hint="eastAsia" w:ascii="宋体" w:hAnsi="宋体" w:cs="宋体"/>
                <w:szCs w:val="21"/>
                <w:highlight w:val="none"/>
              </w:rPr>
              <w:t>(5) 投标人的特定条件的证明文件（如有）。</w:t>
            </w:r>
          </w:p>
        </w:tc>
      </w:tr>
      <w:tr>
        <w:trPr>
          <w:jc w:val="center"/>
        </w:trPr>
        <w:tc>
          <w:tcPr>
            <w:tcW w:w="1044" w:type="dxa"/>
            <w:vMerge w:val="continue"/>
            <w:vAlign w:val="center"/>
          </w:tcPr>
          <w:p>
            <w:pPr>
              <w:spacing w:line="360" w:lineRule="auto"/>
              <w:jc w:val="center"/>
              <w:rPr>
                <w:rFonts w:ascii="宋体" w:hAnsi="宋体" w:cs="宋体"/>
                <w:szCs w:val="21"/>
                <w:highlight w:val="none"/>
              </w:rPr>
            </w:pPr>
          </w:p>
        </w:tc>
        <w:tc>
          <w:tcPr>
            <w:tcW w:w="3642" w:type="dxa"/>
            <w:tcBorders>
              <w:right w:val="single" w:color="auto" w:sz="8" w:space="0"/>
            </w:tcBorders>
            <w:vAlign w:val="center"/>
          </w:tcPr>
          <w:p>
            <w:pPr>
              <w:spacing w:line="360" w:lineRule="auto"/>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未被“信用中国”（www.creditchina.gov.cn)、中国政府采购网（www.ccgp.gov.cn）列入失信被执行人、重大税收违法案件当事人名单、政府采购严重违法失信行为记录名单。</w:t>
            </w:r>
          </w:p>
        </w:tc>
        <w:tc>
          <w:tcPr>
            <w:tcW w:w="4715" w:type="dxa"/>
            <w:tcBorders>
              <w:left w:val="single" w:color="auto" w:sz="8"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根据财库【2016】125号文要求，采购人或采购代理机构对投标人的信用记录进行查询并甄别：</w:t>
            </w:r>
          </w:p>
          <w:p>
            <w:pPr>
              <w:spacing w:line="360" w:lineRule="auto"/>
              <w:rPr>
                <w:rFonts w:ascii="宋体" w:hAnsi="宋体" w:cs="宋体"/>
                <w:szCs w:val="21"/>
                <w:highlight w:val="none"/>
              </w:rPr>
            </w:pPr>
            <w:r>
              <w:rPr>
                <w:rFonts w:hint="eastAsia" w:ascii="宋体" w:hAnsi="宋体" w:cs="宋体"/>
                <w:szCs w:val="21"/>
                <w:highlight w:val="none"/>
              </w:rPr>
              <w:t>（1）信用信息查询的截止时点：投标截止时间；</w:t>
            </w:r>
          </w:p>
          <w:p>
            <w:pPr>
              <w:spacing w:line="360" w:lineRule="auto"/>
              <w:rPr>
                <w:rFonts w:ascii="宋体" w:hAnsi="宋体" w:cs="宋体"/>
                <w:szCs w:val="21"/>
                <w:highlight w:val="none"/>
              </w:rPr>
            </w:pPr>
            <w:r>
              <w:rPr>
                <w:rFonts w:hint="eastAsia" w:ascii="宋体" w:hAnsi="宋体" w:cs="宋体"/>
                <w:szCs w:val="21"/>
                <w:highlight w:val="none"/>
              </w:rPr>
              <w:t>（2）查询渠道：“信用中国”（www.creditchina.gov.cn)、中国政府采购网（www.ccgp.gov.cn）；</w:t>
            </w:r>
          </w:p>
          <w:p>
            <w:pPr>
              <w:spacing w:line="360" w:lineRule="auto"/>
              <w:rPr>
                <w:rFonts w:ascii="宋体" w:hAnsi="宋体" w:cs="宋体"/>
                <w:szCs w:val="21"/>
                <w:highlight w:val="none"/>
              </w:rPr>
            </w:pPr>
            <w:r>
              <w:rPr>
                <w:rFonts w:hint="eastAsia" w:ascii="宋体" w:hAnsi="宋体" w:cs="宋体"/>
                <w:szCs w:val="21"/>
                <w:highlight w:val="none"/>
              </w:rPr>
              <w:t>（3）信用信息查询记录和证据留存具体方式：打印查询网页并与其他采购文件一并保存；</w:t>
            </w:r>
          </w:p>
          <w:p>
            <w:pPr>
              <w:spacing w:line="360" w:lineRule="auto"/>
              <w:rPr>
                <w:rFonts w:ascii="宋体" w:hAnsi="宋体" w:cs="宋体"/>
                <w:szCs w:val="21"/>
                <w:highlight w:val="none"/>
              </w:rPr>
            </w:pPr>
            <w:r>
              <w:rPr>
                <w:rFonts w:hint="eastAsia" w:ascii="宋体" w:hAnsi="宋体" w:cs="宋体"/>
                <w:szCs w:val="21"/>
                <w:highlight w:val="none"/>
              </w:rPr>
              <w:t>（4）信用信息的使用规则：投标人存在不良信用记录的，其投标将被作为无效投标处理。不良信用记录指：被列入失信被执行人、重大税收违法案件当事人名单、政府采购严重违法失信行为记录名单。</w:t>
            </w:r>
          </w:p>
          <w:p>
            <w:pPr>
              <w:spacing w:line="360" w:lineRule="auto"/>
              <w:rPr>
                <w:rFonts w:ascii="宋体" w:hAnsi="宋体" w:cs="宋体"/>
                <w:szCs w:val="21"/>
                <w:highlight w:val="none"/>
              </w:rPr>
            </w:pPr>
            <w:r>
              <w:rPr>
                <w:rFonts w:hint="eastAsia" w:ascii="宋体" w:hAnsi="宋体" w:cs="宋体"/>
                <w:szCs w:val="21"/>
                <w:highlight w:val="none"/>
              </w:rPr>
              <w:t>若在开标当天因不可抗力事件导致无法查询且一时无法恢复查询的，可在</w:t>
            </w:r>
            <w:r>
              <w:rPr>
                <w:rFonts w:hint="eastAsia" w:ascii="宋体" w:hAnsi="宋体" w:cs="宋体"/>
                <w:bCs/>
                <w:szCs w:val="21"/>
                <w:highlight w:val="none"/>
              </w:rPr>
              <w:t>发布中标结果公告之前</w:t>
            </w:r>
            <w:r>
              <w:rPr>
                <w:rFonts w:hint="eastAsia" w:ascii="宋体" w:hAnsi="宋体" w:cs="宋体"/>
                <w:szCs w:val="21"/>
                <w:highlight w:val="none"/>
              </w:rPr>
              <w:t>对中标候选人进行事后查询。中标候选人被列入失信被执行人、重大税收违法案件当事人名单、政府采购严重违法失信行为记录名单的，采购人将依法取消其中标资格。</w:t>
            </w:r>
          </w:p>
        </w:tc>
      </w:tr>
      <w:tr>
        <w:trPr>
          <w:trHeight w:val="407" w:hRule="atLeast"/>
          <w:jc w:val="center"/>
        </w:trPr>
        <w:tc>
          <w:tcPr>
            <w:tcW w:w="1044" w:type="dxa"/>
            <w:vMerge w:val="continue"/>
            <w:vAlign w:val="center"/>
          </w:tcPr>
          <w:p>
            <w:pPr>
              <w:spacing w:line="360" w:lineRule="auto"/>
              <w:rPr>
                <w:rFonts w:ascii="宋体" w:hAnsi="宋体" w:cs="宋体"/>
                <w:szCs w:val="21"/>
                <w:highlight w:val="none"/>
              </w:rPr>
            </w:pPr>
          </w:p>
        </w:tc>
        <w:tc>
          <w:tcPr>
            <w:tcW w:w="3642" w:type="dxa"/>
            <w:tcBorders>
              <w:right w:val="single" w:color="auto" w:sz="8" w:space="0"/>
            </w:tcBorders>
            <w:vAlign w:val="center"/>
          </w:tcPr>
          <w:p>
            <w:pPr>
              <w:spacing w:line="360" w:lineRule="auto"/>
              <w:ind w:left="34"/>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落实政府采购政策需满足的资格要求：</w:t>
            </w:r>
          </w:p>
        </w:tc>
        <w:tc>
          <w:tcPr>
            <w:tcW w:w="4715" w:type="dxa"/>
            <w:tcBorders>
              <w:left w:val="single" w:color="auto" w:sz="8"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w:t>
            </w:r>
          </w:p>
        </w:tc>
      </w:tr>
      <w:tr>
        <w:trPr>
          <w:trHeight w:val="407" w:hRule="atLeast"/>
          <w:jc w:val="center"/>
        </w:trPr>
        <w:tc>
          <w:tcPr>
            <w:tcW w:w="1044" w:type="dxa"/>
            <w:vMerge w:val="continue"/>
            <w:vAlign w:val="center"/>
          </w:tcPr>
          <w:p>
            <w:pPr>
              <w:spacing w:line="360" w:lineRule="auto"/>
              <w:rPr>
                <w:rFonts w:ascii="宋体" w:hAnsi="宋体" w:cs="宋体"/>
                <w:szCs w:val="21"/>
                <w:highlight w:val="none"/>
              </w:rPr>
            </w:pPr>
          </w:p>
        </w:tc>
        <w:tc>
          <w:tcPr>
            <w:tcW w:w="3642" w:type="dxa"/>
            <w:tcBorders>
              <w:right w:val="single" w:color="auto" w:sz="8"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 xml:space="preserve"> </w:t>
            </w:r>
            <w:r>
              <w:rPr>
                <w:rFonts w:hint="eastAsia" w:ascii="宋体" w:hAnsi="宋体" w:cs="宋体"/>
                <w:szCs w:val="21"/>
                <w:highlight w:val="none"/>
              </w:rPr>
              <w:t>本项目的特定资格要求：</w:t>
            </w:r>
          </w:p>
        </w:tc>
        <w:tc>
          <w:tcPr>
            <w:tcW w:w="4715" w:type="dxa"/>
            <w:tcBorders>
              <w:left w:val="single" w:color="auto" w:sz="8"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w:t>
            </w:r>
          </w:p>
        </w:tc>
      </w:tr>
      <w:tr>
        <w:trPr>
          <w:trHeight w:val="697" w:hRule="atLeast"/>
          <w:jc w:val="center"/>
        </w:trPr>
        <w:tc>
          <w:tcPr>
            <w:tcW w:w="1044" w:type="dxa"/>
            <w:vMerge w:val="continue"/>
            <w:vAlign w:val="center"/>
          </w:tcPr>
          <w:p>
            <w:pPr>
              <w:spacing w:line="360" w:lineRule="auto"/>
              <w:rPr>
                <w:rFonts w:ascii="宋体" w:hAnsi="宋体" w:cs="宋体"/>
                <w:szCs w:val="21"/>
                <w:highlight w:val="none"/>
              </w:rPr>
            </w:pPr>
          </w:p>
        </w:tc>
        <w:tc>
          <w:tcPr>
            <w:tcW w:w="3642" w:type="dxa"/>
            <w:tcBorders>
              <w:bottom w:val="single" w:color="auto" w:sz="8" w:space="0"/>
              <w:right w:val="single" w:color="auto" w:sz="8" w:space="0"/>
            </w:tcBorders>
            <w:vAlign w:val="center"/>
          </w:tcPr>
          <w:p>
            <w:pPr>
              <w:numPr>
                <w:ilvl w:val="0"/>
                <w:numId w:val="14"/>
              </w:numPr>
              <w:spacing w:line="360" w:lineRule="auto"/>
              <w:rPr>
                <w:rFonts w:ascii="宋体" w:hAnsi="宋体" w:cs="宋体"/>
                <w:szCs w:val="21"/>
                <w:highlight w:val="none"/>
              </w:rPr>
            </w:pPr>
            <w:r>
              <w:rPr>
                <w:rFonts w:hint="eastAsia" w:ascii="宋体" w:hAnsi="宋体" w:cs="宋体"/>
                <w:szCs w:val="21"/>
                <w:highlight w:val="none"/>
              </w:rPr>
              <w:t>本项目接受联合体投标。</w:t>
            </w:r>
          </w:p>
        </w:tc>
        <w:tc>
          <w:tcPr>
            <w:tcW w:w="4715" w:type="dxa"/>
            <w:tcBorders>
              <w:left w:val="single" w:color="auto" w:sz="8" w:space="0"/>
              <w:bottom w:val="single" w:color="auto" w:sz="8"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若为联合体投标时须提供联合体协议书</w:t>
            </w:r>
          </w:p>
        </w:tc>
      </w:tr>
      <w:tr>
        <w:trPr>
          <w:trHeight w:val="610" w:hRule="atLeast"/>
          <w:jc w:val="center"/>
        </w:trPr>
        <w:tc>
          <w:tcPr>
            <w:tcW w:w="4686" w:type="dxa"/>
            <w:gridSpan w:val="2"/>
            <w:tcBorders>
              <w:right w:val="single" w:color="auto" w:sz="8"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资格审查结论</w:t>
            </w:r>
          </w:p>
        </w:tc>
        <w:tc>
          <w:tcPr>
            <w:tcW w:w="4715" w:type="dxa"/>
            <w:tcBorders>
              <w:top w:val="single" w:color="auto" w:sz="8" w:space="0"/>
              <w:left w:val="single" w:color="auto" w:sz="8" w:space="0"/>
            </w:tcBorders>
            <w:vAlign w:val="center"/>
          </w:tcPr>
          <w:p>
            <w:pPr>
              <w:spacing w:line="360" w:lineRule="auto"/>
              <w:rPr>
                <w:rFonts w:ascii="宋体" w:hAnsi="宋体" w:cs="宋体"/>
                <w:szCs w:val="21"/>
                <w:highlight w:val="none"/>
              </w:rPr>
            </w:pPr>
          </w:p>
        </w:tc>
      </w:tr>
    </w:tbl>
    <w:p>
      <w:pPr>
        <w:spacing w:line="360" w:lineRule="auto"/>
        <w:rPr>
          <w:rFonts w:ascii="宋体" w:hAnsi="宋体" w:cs="宋体"/>
          <w:szCs w:val="21"/>
          <w:highlight w:val="none"/>
        </w:rPr>
      </w:pPr>
    </w:p>
    <w:p>
      <w:pPr>
        <w:spacing w:line="360" w:lineRule="auto"/>
        <w:rPr>
          <w:rFonts w:ascii="宋体" w:hAnsi="宋体" w:cs="宋体"/>
          <w:kern w:val="0"/>
          <w:szCs w:val="21"/>
          <w:highlight w:val="none"/>
        </w:rPr>
      </w:pPr>
      <w:r>
        <w:rPr>
          <w:rFonts w:hint="eastAsia" w:ascii="宋体" w:hAnsi="宋体" w:cs="宋体"/>
          <w:b/>
          <w:szCs w:val="21"/>
          <w:highlight w:val="none"/>
        </w:rPr>
        <w:t>2．符合性检查</w:t>
      </w:r>
      <w:r>
        <w:rPr>
          <w:rFonts w:hint="eastAsia" w:ascii="宋体" w:hAnsi="宋体" w:cs="宋体"/>
          <w:szCs w:val="21"/>
          <w:highlight w:val="none"/>
        </w:rPr>
        <w:t>：</w:t>
      </w:r>
      <w:r>
        <w:rPr>
          <w:rFonts w:hint="eastAsia" w:ascii="宋体" w:hAnsi="宋体" w:cs="宋体"/>
          <w:kern w:val="0"/>
          <w:szCs w:val="21"/>
          <w:highlight w:val="none"/>
        </w:rPr>
        <w:t>评标委员会应当对符合资格审查的投标人的投标文件进行符合性审查，以确定其是否满足招标文件的实质性要求。</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25"/>
        <w:gridCol w:w="3970"/>
      </w:tblGrid>
      <w:tr>
        <w:trPr>
          <w:trHeight w:val="454" w:hRule="atLeast"/>
          <w:jc w:val="center"/>
        </w:trPr>
        <w:tc>
          <w:tcPr>
            <w:tcW w:w="720" w:type="dxa"/>
          </w:tcPr>
          <w:p>
            <w:pPr>
              <w:spacing w:line="360" w:lineRule="exact"/>
              <w:jc w:val="center"/>
              <w:rPr>
                <w:rFonts w:ascii="宋体" w:hAnsi="宋体" w:cs="宋体"/>
                <w:b/>
                <w:szCs w:val="21"/>
                <w:highlight w:val="none"/>
              </w:rPr>
            </w:pPr>
            <w:r>
              <w:rPr>
                <w:rFonts w:hint="eastAsia" w:ascii="宋体" w:hAnsi="宋体" w:cs="宋体"/>
                <w:b/>
                <w:szCs w:val="21"/>
                <w:highlight w:val="none"/>
              </w:rPr>
              <w:t>序号</w:t>
            </w:r>
          </w:p>
        </w:tc>
        <w:tc>
          <w:tcPr>
            <w:tcW w:w="4725"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要求说明</w:t>
            </w:r>
          </w:p>
        </w:tc>
        <w:tc>
          <w:tcPr>
            <w:tcW w:w="3970"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审查要求</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投标有效期：符合第三部分“投标资料表”12.1条的要求。</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提供“投标函”。</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2</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单位负责人授权书或单位负责人身份证明。</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（1）投标文件由法定代表人签字的，提供“单位负责人身份证明”。</w:t>
            </w:r>
          </w:p>
          <w:p>
            <w:pPr>
              <w:spacing w:line="360" w:lineRule="exact"/>
              <w:rPr>
                <w:rFonts w:ascii="宋体" w:hAnsi="宋体" w:cs="宋体"/>
                <w:szCs w:val="21"/>
                <w:highlight w:val="none"/>
              </w:rPr>
            </w:pPr>
            <w:r>
              <w:rPr>
                <w:rFonts w:hint="eastAsia" w:ascii="宋体" w:hAnsi="宋体" w:cs="宋体"/>
                <w:szCs w:val="21"/>
                <w:highlight w:val="none"/>
              </w:rPr>
              <w:t>（2）投标文件由授权代表签字的，提供“单位负责人授权书”。</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3</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符合第三章“投标须知”第15条的要求。</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投标文件的签署盖章符合所述要求。</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4</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标项以赠送方式投标的，对一个标项提供两个投标方案的。</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是否有两个投标方案。</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5</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供应商不得在投标活动中提供任何虚假材料或从事其他违法活动的。</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不得提供任何虚假材料或从事其他违法活动。</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6</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违反公平竞争的原则或恶意串通或妨碍其他投标人的竞争行为或损害采购人或者其他投标人的合法权益的；</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不得有所述情形。</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7</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不允许含有采购人不能接受的附加条件的；</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不得有所述情形。</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8</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不允许出现与招标文件有重大偏离的投标文件。</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不得有所述情形。</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9</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评标委员会经过审查，认定供应商虚假应标、串通投标的，有下列情形之一的，视为供应商串通投标：</w:t>
            </w:r>
          </w:p>
          <w:p>
            <w:pPr>
              <w:widowControl/>
              <w:spacing w:line="360" w:lineRule="exact"/>
              <w:jc w:val="left"/>
              <w:rPr>
                <w:rFonts w:ascii="宋体" w:hAnsi="宋体" w:cs="宋体"/>
                <w:szCs w:val="21"/>
                <w:highlight w:val="none"/>
              </w:rPr>
            </w:pPr>
            <w:r>
              <w:rPr>
                <w:rFonts w:hint="eastAsia" w:ascii="宋体" w:hAnsi="宋体" w:cs="宋体"/>
                <w:szCs w:val="21"/>
                <w:highlight w:val="none"/>
              </w:rPr>
              <w:t>（1）不同供应商的投标文件由同一单位或者个人编制；</w:t>
            </w:r>
          </w:p>
          <w:p>
            <w:pPr>
              <w:widowControl/>
              <w:spacing w:line="360" w:lineRule="exact"/>
              <w:jc w:val="left"/>
              <w:rPr>
                <w:rFonts w:ascii="宋体" w:hAnsi="宋体" w:cs="宋体"/>
                <w:szCs w:val="21"/>
                <w:highlight w:val="none"/>
              </w:rPr>
            </w:pPr>
            <w:r>
              <w:rPr>
                <w:rFonts w:hint="eastAsia" w:ascii="宋体" w:hAnsi="宋体" w:cs="宋体"/>
                <w:szCs w:val="21"/>
                <w:highlight w:val="none"/>
              </w:rPr>
              <w:t>（2）不同供应商委托同一单位或者个人办理投标事宜；</w:t>
            </w:r>
          </w:p>
          <w:p>
            <w:pPr>
              <w:widowControl/>
              <w:spacing w:line="360" w:lineRule="exact"/>
              <w:jc w:val="left"/>
              <w:rPr>
                <w:rFonts w:ascii="宋体" w:hAnsi="宋体" w:cs="宋体"/>
                <w:szCs w:val="21"/>
                <w:highlight w:val="none"/>
              </w:rPr>
            </w:pPr>
            <w:r>
              <w:rPr>
                <w:rFonts w:hint="eastAsia" w:ascii="宋体" w:hAnsi="宋体" w:cs="宋体"/>
                <w:szCs w:val="21"/>
                <w:highlight w:val="none"/>
              </w:rPr>
              <w:t>（3）不同供应商的投标文件载明的项目管理成员或者联系人员为同一人；</w:t>
            </w:r>
          </w:p>
          <w:p>
            <w:pPr>
              <w:widowControl/>
              <w:spacing w:line="360" w:lineRule="exact"/>
              <w:jc w:val="left"/>
              <w:rPr>
                <w:rFonts w:ascii="宋体" w:hAnsi="宋体" w:cs="宋体"/>
                <w:szCs w:val="21"/>
                <w:highlight w:val="none"/>
              </w:rPr>
            </w:pPr>
            <w:r>
              <w:rPr>
                <w:rFonts w:hint="eastAsia" w:ascii="宋体" w:hAnsi="宋体" w:cs="宋体"/>
                <w:szCs w:val="21"/>
                <w:highlight w:val="none"/>
              </w:rPr>
              <w:t>（4）不同供应商的投标文件异常一致或者投标报价呈规律性差异；</w:t>
            </w:r>
          </w:p>
          <w:p>
            <w:pPr>
              <w:widowControl/>
              <w:spacing w:line="360" w:lineRule="exact"/>
              <w:jc w:val="left"/>
              <w:rPr>
                <w:rFonts w:ascii="宋体" w:hAnsi="宋体" w:cs="宋体"/>
                <w:szCs w:val="21"/>
                <w:highlight w:val="none"/>
              </w:rPr>
            </w:pPr>
            <w:r>
              <w:rPr>
                <w:rFonts w:hint="eastAsia" w:ascii="宋体" w:hAnsi="宋体" w:cs="宋体"/>
                <w:szCs w:val="21"/>
                <w:highlight w:val="none"/>
              </w:rPr>
              <w:t>（5）不同供应商的投标文件相互混装；</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不得有所述情形。</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10</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符合法律、法规和招标文件中规定的其他实质性要求（实质性要求招标文件中“</w:t>
            </w:r>
            <w:r>
              <w:rPr>
                <w:rFonts w:hint="eastAsia" w:ascii="宋体" w:hAnsi="宋体" w:cs="宋体"/>
                <w:b/>
                <w:szCs w:val="21"/>
                <w:highlight w:val="none"/>
              </w:rPr>
              <w:t>★</w:t>
            </w:r>
            <w:r>
              <w:rPr>
                <w:rFonts w:hint="eastAsia" w:ascii="宋体" w:hAnsi="宋体" w:cs="宋体"/>
                <w:szCs w:val="21"/>
                <w:highlight w:val="none"/>
              </w:rPr>
              <w:t>”标记）</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符合所述要求。</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11</w:t>
            </w:r>
          </w:p>
        </w:tc>
        <w:tc>
          <w:tcPr>
            <w:tcW w:w="4725" w:type="dxa"/>
          </w:tcPr>
          <w:p>
            <w:pPr>
              <w:spacing w:line="360" w:lineRule="exact"/>
              <w:rPr>
                <w:rFonts w:ascii="宋体" w:hAnsi="宋体" w:cs="宋体"/>
                <w:szCs w:val="21"/>
                <w:highlight w:val="none"/>
              </w:rPr>
            </w:pPr>
            <w:r>
              <w:rPr>
                <w:rFonts w:hint="eastAsia" w:ascii="宋体" w:hAnsi="宋体" w:cs="宋体"/>
                <w:szCs w:val="21"/>
                <w:highlight w:val="none"/>
              </w:rPr>
              <w:t>本项目公开招标设有最高限价</w:t>
            </w:r>
            <w:r>
              <w:rPr>
                <w:rFonts w:hint="eastAsia" w:ascii="宋体" w:hAnsi="宋体" w:cs="宋体"/>
                <w:b/>
                <w:szCs w:val="21"/>
                <w:highlight w:val="none"/>
                <w:u w:val="single"/>
              </w:rPr>
              <w:t>419.38</w:t>
            </w:r>
            <w:r>
              <w:rPr>
                <w:rFonts w:hint="eastAsia" w:ascii="宋体" w:hAnsi="宋体" w:cs="宋体"/>
                <w:b/>
                <w:szCs w:val="21"/>
                <w:highlight w:val="none"/>
              </w:rPr>
              <w:t>万元</w:t>
            </w:r>
            <w:r>
              <w:rPr>
                <w:rFonts w:hint="eastAsia" w:ascii="宋体" w:hAnsi="宋体" w:cs="宋体"/>
                <w:b/>
                <w:bCs/>
                <w:highlight w:val="none"/>
              </w:rPr>
              <w:t>。</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提供“开标一览表”。</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12</w:t>
            </w:r>
          </w:p>
        </w:tc>
        <w:tc>
          <w:tcPr>
            <w:tcW w:w="4725" w:type="dxa"/>
          </w:tcPr>
          <w:p>
            <w:pPr>
              <w:spacing w:line="360" w:lineRule="exact"/>
              <w:rPr>
                <w:rFonts w:ascii="宋体" w:hAnsi="宋体" w:cs="宋体"/>
                <w:szCs w:val="21"/>
                <w:highlight w:val="none"/>
              </w:rPr>
            </w:pPr>
            <w:r>
              <w:rPr>
                <w:rFonts w:hint="eastAsia" w:ascii="宋体" w:hAnsi="宋体" w:cs="宋体"/>
                <w:szCs w:val="21"/>
                <w:highlight w:val="none"/>
              </w:rPr>
              <w:t>投标文件报价出现前后不一致，经按招标文件规定修正后，投标人对修正后的报价不确认的；</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不得有所述情形。</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13</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符合所述要求。</w:t>
            </w:r>
          </w:p>
        </w:tc>
      </w:tr>
      <w:tr>
        <w:trPr>
          <w:trHeight w:val="454" w:hRule="atLeast"/>
          <w:jc w:val="center"/>
        </w:trPr>
        <w:tc>
          <w:tcPr>
            <w:tcW w:w="5445" w:type="dxa"/>
            <w:gridSpan w:val="2"/>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符合性审查结论</w:t>
            </w:r>
          </w:p>
        </w:tc>
        <w:tc>
          <w:tcPr>
            <w:tcW w:w="3970" w:type="dxa"/>
            <w:vAlign w:val="center"/>
          </w:tcPr>
          <w:p>
            <w:pPr>
              <w:spacing w:line="360" w:lineRule="exact"/>
              <w:rPr>
                <w:rFonts w:ascii="宋体" w:hAnsi="宋体" w:cs="宋体"/>
                <w:szCs w:val="21"/>
                <w:highlight w:val="none"/>
              </w:rPr>
            </w:pPr>
          </w:p>
        </w:tc>
      </w:tr>
    </w:tbl>
    <w:p>
      <w:pPr>
        <w:pStyle w:val="18"/>
        <w:rPr>
          <w:rFonts w:ascii="宋体" w:hAnsi="宋体" w:cs="宋体"/>
          <w:b/>
          <w:highlight w:val="none"/>
        </w:rPr>
      </w:pPr>
    </w:p>
    <w:p>
      <w:pPr>
        <w:spacing w:line="360" w:lineRule="auto"/>
        <w:rPr>
          <w:rFonts w:ascii="宋体" w:hAnsi="宋体" w:cs="宋体"/>
          <w:szCs w:val="21"/>
          <w:highlight w:val="none"/>
        </w:rPr>
      </w:pPr>
      <w:r>
        <w:rPr>
          <w:rFonts w:hint="eastAsia" w:ascii="宋体" w:hAnsi="宋体" w:cs="宋体"/>
          <w:szCs w:val="21"/>
          <w:highlight w:val="none"/>
        </w:rPr>
        <w:t>3．比较与评价：评标委员会对资格审查、符合性审查合格的投标文件，依照本办法“七、评分标准”对投标文件作进一步评审、比较，判定其偏差性质和程度。评标委员会成员经过阅标、审标和询标，对各投标人进行打分。</w:t>
      </w:r>
    </w:p>
    <w:p>
      <w:pPr>
        <w:spacing w:line="360" w:lineRule="auto"/>
        <w:rPr>
          <w:rFonts w:ascii="宋体" w:hAnsi="宋体" w:cs="宋体"/>
          <w:szCs w:val="21"/>
          <w:highlight w:val="none"/>
        </w:rPr>
      </w:pPr>
      <w:r>
        <w:rPr>
          <w:rFonts w:hint="eastAsia" w:ascii="宋体" w:hAnsi="宋体" w:cs="宋体"/>
          <w:szCs w:val="21"/>
          <w:highlight w:val="none"/>
        </w:rPr>
        <w:t>4．最终得分及排序：评标委员会成员独立按照评分标准（兼评委打分表）规定的内容和分值设置，对各投标文件分别打分汇总后计算平均分（小数点后保留两位数），即为各投标人的综合得分。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kern w:val="0"/>
          <w:szCs w:val="21"/>
          <w:highlight w:val="none"/>
        </w:rPr>
        <w:t>评标结果按评审后得分由高到低顺序排列。得分相同的，按投标报价由低到高顺序排列。得分且投标报价相同的并列，采取随机抽签的方式确定排序。</w:t>
      </w:r>
    </w:p>
    <w:p>
      <w:pPr>
        <w:spacing w:line="360" w:lineRule="auto"/>
        <w:rPr>
          <w:rFonts w:ascii="宋体" w:hAnsi="宋体" w:cs="宋体"/>
          <w:szCs w:val="21"/>
          <w:highlight w:val="none"/>
        </w:rPr>
      </w:pPr>
      <w:r>
        <w:rPr>
          <w:rFonts w:hint="eastAsia" w:ascii="宋体" w:hAnsi="宋体" w:cs="宋体"/>
          <w:szCs w:val="21"/>
          <w:highlight w:val="none"/>
        </w:rPr>
        <w:t>5．推荐中标候选人原则：</w:t>
      </w:r>
      <w:r>
        <w:rPr>
          <w:rFonts w:hint="eastAsia" w:ascii="宋体" w:hAnsi="宋体" w:cs="宋体"/>
          <w:kern w:val="0"/>
          <w:szCs w:val="21"/>
          <w:highlight w:val="none"/>
        </w:rPr>
        <w:t>投标文件满足招标文件全部实质性要求，且按照评审因素的量化指标评审得分最高的投标人为排名第一的中标候选人。</w:t>
      </w:r>
    </w:p>
    <w:p>
      <w:pPr>
        <w:spacing w:line="360" w:lineRule="auto"/>
        <w:rPr>
          <w:rFonts w:ascii="宋体" w:hAnsi="宋体" w:cs="宋体"/>
          <w:szCs w:val="21"/>
          <w:highlight w:val="none"/>
        </w:rPr>
      </w:pPr>
      <w:r>
        <w:rPr>
          <w:rFonts w:hint="eastAsia" w:ascii="宋体" w:hAnsi="宋体" w:cs="宋体"/>
          <w:szCs w:val="21"/>
          <w:highlight w:val="none"/>
        </w:rPr>
        <w:t>6．确定中标人：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中标人因不可抗力或者自身原因不能履行政府采购合同的，采购人可以按照评标报告推荐的下一中标候选人为中标人或重新招标。</w:t>
      </w:r>
    </w:p>
    <w:p>
      <w:pPr>
        <w:spacing w:line="360" w:lineRule="exact"/>
        <w:rPr>
          <w:rFonts w:ascii="宋体" w:hAnsi="宋体" w:cs="宋体"/>
          <w:szCs w:val="21"/>
          <w:highlight w:val="none"/>
        </w:rPr>
      </w:pPr>
    </w:p>
    <w:p>
      <w:pPr>
        <w:widowControl/>
        <w:tabs>
          <w:tab w:val="left" w:pos="0"/>
          <w:tab w:val="left" w:pos="723"/>
        </w:tabs>
        <w:spacing w:line="360" w:lineRule="auto"/>
        <w:jc w:val="left"/>
        <w:rPr>
          <w:rFonts w:ascii="宋体" w:hAnsi="宋体" w:cs="宋体"/>
          <w:b/>
          <w:szCs w:val="21"/>
          <w:highlight w:val="none"/>
        </w:rPr>
      </w:pPr>
      <w:r>
        <w:rPr>
          <w:rFonts w:hint="eastAsia" w:ascii="宋体" w:hAnsi="宋体" w:cs="宋体"/>
          <w:b/>
          <w:szCs w:val="21"/>
          <w:highlight w:val="none"/>
        </w:rPr>
        <w:t>四、澄清问题的形式</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60" w:lineRule="auto"/>
        <w:ind w:firstLine="424" w:firstLineChars="200"/>
        <w:rPr>
          <w:rFonts w:ascii="宋体" w:hAnsi="宋体" w:cs="宋体"/>
          <w:szCs w:val="21"/>
          <w:highlight w:val="none"/>
        </w:rPr>
      </w:pPr>
    </w:p>
    <w:p>
      <w:pPr>
        <w:widowControl/>
        <w:tabs>
          <w:tab w:val="left" w:pos="0"/>
          <w:tab w:val="left" w:pos="723"/>
        </w:tabs>
        <w:spacing w:line="360" w:lineRule="auto"/>
        <w:jc w:val="left"/>
        <w:rPr>
          <w:rFonts w:ascii="宋体" w:hAnsi="宋体" w:cs="宋体"/>
          <w:b/>
          <w:szCs w:val="21"/>
          <w:highlight w:val="none"/>
        </w:rPr>
      </w:pPr>
      <w:r>
        <w:rPr>
          <w:rFonts w:hint="eastAsia" w:ascii="宋体" w:hAnsi="宋体" w:cs="宋体"/>
          <w:b/>
          <w:szCs w:val="21"/>
          <w:highlight w:val="none"/>
        </w:rPr>
        <w:t>五、错误修正</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投标文件报价出现前后不一致的，按照下列规定修正：</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 </w:t>
      </w:r>
      <w:r>
        <w:rPr>
          <w:rFonts w:hint="eastAsia" w:ascii="宋体" w:hAnsi="宋体" w:cs="宋体"/>
          <w:szCs w:val="21"/>
          <w:highlight w:val="none"/>
        </w:rPr>
        <w:t>投标文件中开标一览表内容与投标文件中相应内容不一致的，以开标一览表为准；</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szCs w:val="21"/>
          <w:highlight w:val="none"/>
        </w:rPr>
        <w:t>大写金额和小写金额不一致的，以大写金额为准；</w:t>
      </w:r>
    </w:p>
    <w:p>
      <w:pPr>
        <w:spacing w:line="360" w:lineRule="auto"/>
        <w:ind w:firstLine="424" w:firstLineChars="200"/>
        <w:rPr>
          <w:rFonts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 xml:space="preserve"> </w:t>
      </w:r>
      <w:r>
        <w:rPr>
          <w:rFonts w:hint="eastAsia" w:ascii="宋体" w:hAnsi="宋体" w:cs="宋体"/>
          <w:color w:val="000000"/>
          <w:szCs w:val="21"/>
          <w:highlight w:val="none"/>
        </w:rPr>
        <w:t>单价金额小数点或者百分比有明显错位的，以开标一览表的总价为准，并修改单价；</w:t>
      </w:r>
    </w:p>
    <w:p>
      <w:pPr>
        <w:spacing w:line="360" w:lineRule="auto"/>
        <w:ind w:firstLine="424" w:firstLineChars="200"/>
        <w:rPr>
          <w:highlight w:val="none"/>
        </w:rPr>
      </w:pPr>
      <w:r>
        <w:rPr>
          <w:rFonts w:hint="eastAsia" w:ascii="宋体" w:hAnsi="宋体" w:cs="宋体"/>
          <w:color w:val="000000"/>
          <w:szCs w:val="21"/>
          <w:highlight w:val="none"/>
        </w:rPr>
        <w:t>4.</w:t>
      </w:r>
      <w:r>
        <w:rPr>
          <w:rFonts w:ascii="宋体" w:hAnsi="宋体" w:cs="宋体"/>
          <w:color w:val="000000"/>
          <w:szCs w:val="21"/>
          <w:highlight w:val="none"/>
        </w:rPr>
        <w:t xml:space="preserve"> </w:t>
      </w:r>
      <w:r>
        <w:rPr>
          <w:rFonts w:hint="eastAsia" w:ascii="宋体" w:hAnsi="宋体" w:cs="宋体"/>
          <w:color w:val="000000"/>
          <w:szCs w:val="21"/>
          <w:highlight w:val="none"/>
        </w:rPr>
        <w:t>总价金额与按单价汇总金额不一致的，以单价金额计算结果为准。</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同时出现两种以上不一致的，按照前款规定的顺序修正。修正后的报价按照招标文件的规定经投标人确认后产生约束力，投标人不确认的，其投标无效。</w:t>
      </w:r>
    </w:p>
    <w:p>
      <w:pPr>
        <w:widowControl/>
        <w:tabs>
          <w:tab w:val="left" w:pos="0"/>
          <w:tab w:val="left" w:pos="723"/>
        </w:tabs>
        <w:spacing w:line="360" w:lineRule="auto"/>
        <w:jc w:val="left"/>
        <w:rPr>
          <w:rFonts w:ascii="宋体" w:hAnsi="宋体" w:cs="宋体"/>
          <w:b/>
          <w:szCs w:val="21"/>
          <w:highlight w:val="none"/>
        </w:rPr>
      </w:pPr>
    </w:p>
    <w:p>
      <w:pPr>
        <w:widowControl/>
        <w:tabs>
          <w:tab w:val="left" w:pos="0"/>
          <w:tab w:val="left" w:pos="723"/>
        </w:tabs>
        <w:spacing w:line="360" w:lineRule="auto"/>
        <w:jc w:val="left"/>
        <w:rPr>
          <w:rFonts w:ascii="宋体" w:hAnsi="宋体" w:cs="宋体"/>
          <w:b/>
          <w:szCs w:val="21"/>
          <w:highlight w:val="none"/>
        </w:rPr>
      </w:pPr>
      <w:r>
        <w:rPr>
          <w:rFonts w:hint="eastAsia" w:ascii="宋体" w:hAnsi="宋体" w:cs="宋体"/>
          <w:b/>
          <w:szCs w:val="21"/>
          <w:highlight w:val="none"/>
        </w:rPr>
        <w:t>六、其它投标无效的情形</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1．未提供或未如实提供投标货物的技术参数，或者投标文件标明的响应或偏离与事实不符或虚假投标的；</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2．投标技术方案不明确，存在一个或一个以上备选（替代）投标方案的；</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3．未采用投标文件要求的报价形式报价的；</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4．投标报价具有选择性；</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6．两家或两家以上供应商提供的投标文件出自同一终端设备的，或在相同Internet主机分配地址（相同IP地址）获取招标文件或网上投标的，且经询标澄清供应商无令人信服的理由和可靠证据证明其合理性的。</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7．招标文件规定的其他无效情形。</w:t>
      </w:r>
    </w:p>
    <w:p>
      <w:pPr>
        <w:widowControl/>
        <w:tabs>
          <w:tab w:val="left" w:pos="0"/>
          <w:tab w:val="left" w:pos="723"/>
        </w:tabs>
        <w:spacing w:line="360" w:lineRule="auto"/>
        <w:jc w:val="left"/>
        <w:rPr>
          <w:rFonts w:ascii="宋体" w:hAnsi="宋体" w:cs="宋体"/>
          <w:b/>
          <w:szCs w:val="21"/>
          <w:highlight w:val="none"/>
        </w:rPr>
      </w:pPr>
    </w:p>
    <w:p>
      <w:pPr>
        <w:spacing w:line="360" w:lineRule="auto"/>
        <w:rPr>
          <w:rFonts w:ascii="宋体" w:hAnsi="宋体" w:cs="宋体"/>
          <w:szCs w:val="21"/>
          <w:highlight w:val="none"/>
        </w:rPr>
      </w:pPr>
    </w:p>
    <w:p>
      <w:pPr>
        <w:spacing w:line="360" w:lineRule="auto"/>
        <w:ind w:left="210"/>
        <w:rPr>
          <w:rFonts w:ascii="宋体" w:hAnsi="宋体" w:cs="宋体"/>
          <w:b/>
          <w:sz w:val="24"/>
          <w:szCs w:val="24"/>
          <w:highlight w:val="none"/>
        </w:rPr>
      </w:pPr>
      <w:r>
        <w:rPr>
          <w:rFonts w:hint="eastAsia" w:ascii="宋体" w:hAnsi="宋体" w:cs="宋体"/>
          <w:b/>
          <w:sz w:val="24"/>
          <w:szCs w:val="24"/>
          <w:highlight w:val="none"/>
        </w:rPr>
        <w:br w:type="page"/>
      </w:r>
      <w:bookmarkStart w:id="286" w:name="_Toc298230960"/>
      <w:r>
        <w:rPr>
          <w:rFonts w:hint="eastAsia" w:ascii="宋体" w:hAnsi="宋体" w:cs="宋体"/>
          <w:b/>
          <w:sz w:val="24"/>
          <w:szCs w:val="24"/>
          <w:highlight w:val="none"/>
        </w:rPr>
        <w:t>七、评分标准（兼评委打分表）</w:t>
      </w:r>
    </w:p>
    <w:tbl>
      <w:tblPr>
        <w:tblStyle w:val="37"/>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877"/>
        <w:gridCol w:w="1320"/>
        <w:gridCol w:w="6817"/>
      </w:tblGrid>
      <w:tr>
        <w:trPr>
          <w:cantSplit/>
          <w:trHeight w:val="524" w:hRule="atLeast"/>
          <w:jc w:val="center"/>
        </w:trPr>
        <w:tc>
          <w:tcPr>
            <w:tcW w:w="9980" w:type="dxa"/>
            <w:gridSpan w:val="4"/>
            <w:tcBorders>
              <w:top w:val="single" w:color="auto" w:sz="4" w:space="0"/>
              <w:left w:val="single" w:color="auto" w:sz="4" w:space="0"/>
              <w:right w:val="single" w:color="auto" w:sz="2" w:space="0"/>
            </w:tcBorders>
            <w:vAlign w:val="center"/>
          </w:tcPr>
          <w:p>
            <w:pPr>
              <w:spacing w:before="146" w:beforeLines="50" w:line="360" w:lineRule="exact"/>
              <w:jc w:val="center"/>
              <w:rPr>
                <w:rFonts w:ascii="宋体" w:hAnsi="宋体"/>
                <w:snapToGrid w:val="0"/>
                <w:spacing w:val="-4"/>
                <w:szCs w:val="21"/>
                <w:highlight w:val="none"/>
              </w:rPr>
            </w:pPr>
            <w:bookmarkStart w:id="287" w:name="_Toc520902406"/>
            <w:r>
              <w:rPr>
                <w:rFonts w:hint="eastAsia" w:ascii="宋体" w:hAnsi="宋体"/>
                <w:snapToGrid w:val="0"/>
                <w:spacing w:val="-4"/>
                <w:szCs w:val="21"/>
                <w:highlight w:val="none"/>
              </w:rPr>
              <w:t>评分项及分值</w:t>
            </w:r>
          </w:p>
        </w:tc>
      </w:tr>
      <w:tr>
        <w:trPr>
          <w:cantSplit/>
          <w:trHeight w:val="1102" w:hRule="atLeast"/>
          <w:jc w:val="center"/>
        </w:trPr>
        <w:tc>
          <w:tcPr>
            <w:tcW w:w="966" w:type="dxa"/>
            <w:vMerge w:val="restart"/>
            <w:tcBorders>
              <w:left w:val="single" w:color="auto" w:sz="4" w:space="0"/>
              <w:right w:val="single" w:color="auto" w:sz="2" w:space="0"/>
            </w:tcBorders>
            <w:vAlign w:val="center"/>
          </w:tcPr>
          <w:p>
            <w:pPr>
              <w:spacing w:before="146" w:beforeLines="50" w:line="360" w:lineRule="exact"/>
              <w:rPr>
                <w:rFonts w:ascii="宋体" w:hAnsi="宋体"/>
                <w:snapToGrid w:val="0"/>
                <w:spacing w:val="-4"/>
                <w:szCs w:val="21"/>
                <w:highlight w:val="none"/>
              </w:rPr>
            </w:pPr>
            <w:r>
              <w:rPr>
                <w:rFonts w:hint="eastAsia" w:ascii="宋体" w:hAnsi="宋体"/>
                <w:snapToGrid w:val="0"/>
                <w:spacing w:val="-4"/>
                <w:szCs w:val="21"/>
                <w:highlight w:val="none"/>
              </w:rPr>
              <w:t>商务技术分</w:t>
            </w:r>
            <w:r>
              <w:rPr>
                <w:rFonts w:ascii="宋体" w:hAnsi="宋体"/>
                <w:snapToGrid w:val="0"/>
                <w:spacing w:val="-4"/>
                <w:szCs w:val="21"/>
                <w:highlight w:val="none"/>
              </w:rPr>
              <w:t>（</w:t>
            </w:r>
            <w:r>
              <w:rPr>
                <w:rFonts w:hint="eastAsia" w:ascii="宋体" w:hAnsi="宋体"/>
                <w:snapToGrid w:val="0"/>
                <w:spacing w:val="-4"/>
                <w:szCs w:val="21"/>
                <w:highlight w:val="none"/>
                <w:lang w:val="en-US" w:eastAsia="zh-CN"/>
              </w:rPr>
              <w:t>75</w:t>
            </w:r>
            <w:r>
              <w:rPr>
                <w:rFonts w:hint="eastAsia" w:ascii="宋体" w:hAnsi="宋体"/>
                <w:snapToGrid w:val="0"/>
                <w:spacing w:val="-4"/>
                <w:szCs w:val="21"/>
                <w:highlight w:val="none"/>
              </w:rPr>
              <w:t>分）</w:t>
            </w:r>
          </w:p>
        </w:tc>
        <w:tc>
          <w:tcPr>
            <w:tcW w:w="877" w:type="dxa"/>
            <w:vMerge w:val="restart"/>
            <w:tcBorders>
              <w:top w:val="single" w:color="auto" w:sz="4" w:space="0"/>
              <w:left w:val="single" w:color="auto" w:sz="4" w:space="0"/>
              <w:right w:val="single" w:color="auto" w:sz="2" w:space="0"/>
            </w:tcBorders>
            <w:vAlign w:val="center"/>
          </w:tcPr>
          <w:p>
            <w:pPr>
              <w:spacing w:before="146" w:beforeLines="50" w:line="360" w:lineRule="exact"/>
              <w:rPr>
                <w:rFonts w:ascii="宋体" w:hAnsi="宋体"/>
                <w:snapToGrid w:val="0"/>
                <w:spacing w:val="-4"/>
                <w:szCs w:val="21"/>
                <w:highlight w:val="none"/>
              </w:rPr>
            </w:pPr>
            <w:r>
              <w:rPr>
                <w:rFonts w:hint="eastAsia" w:ascii="宋体" w:hAnsi="宋体"/>
                <w:snapToGrid w:val="0"/>
                <w:spacing w:val="-4"/>
                <w:szCs w:val="21"/>
                <w:highlight w:val="none"/>
              </w:rPr>
              <w:t>技术部分（</w:t>
            </w:r>
            <w:r>
              <w:rPr>
                <w:rFonts w:hint="eastAsia" w:ascii="宋体" w:hAnsi="宋体"/>
                <w:snapToGrid w:val="0"/>
                <w:spacing w:val="-4"/>
                <w:szCs w:val="21"/>
                <w:highlight w:val="none"/>
                <w:lang w:val="en-US" w:eastAsia="zh-CN"/>
              </w:rPr>
              <w:t>62</w:t>
            </w:r>
            <w:r>
              <w:rPr>
                <w:rFonts w:hint="eastAsia" w:ascii="宋体" w:hAnsi="宋体"/>
                <w:snapToGrid w:val="0"/>
                <w:spacing w:val="-4"/>
                <w:szCs w:val="21"/>
                <w:highlight w:val="none"/>
              </w:rPr>
              <w:t>分）</w:t>
            </w:r>
          </w:p>
        </w:tc>
        <w:tc>
          <w:tcPr>
            <w:tcW w:w="1320" w:type="dxa"/>
            <w:tcBorders>
              <w:top w:val="single" w:color="auto" w:sz="4" w:space="0"/>
              <w:left w:val="single" w:color="auto" w:sz="4" w:space="0"/>
              <w:right w:val="single" w:color="auto" w:sz="2" w:space="0"/>
            </w:tcBorders>
            <w:vAlign w:val="center"/>
          </w:tcPr>
          <w:p>
            <w:pPr>
              <w:widowControl/>
              <w:jc w:val="center"/>
              <w:rPr>
                <w:rFonts w:ascii="宋体" w:hAnsi="宋体"/>
                <w:szCs w:val="21"/>
                <w:highlight w:val="none"/>
              </w:rPr>
            </w:pPr>
            <w:r>
              <w:rPr>
                <w:rFonts w:hint="eastAsia" w:ascii="宋体" w:hAnsi="宋体" w:cs="宋体"/>
                <w:bCs/>
                <w:szCs w:val="21"/>
                <w:highlight w:val="none"/>
              </w:rPr>
              <w:t>项目需求分析（</w:t>
            </w:r>
            <w:r>
              <w:rPr>
                <w:rFonts w:hint="eastAsia" w:ascii="宋体" w:hAnsi="宋体" w:cs="宋体"/>
                <w:bCs/>
                <w:szCs w:val="21"/>
                <w:highlight w:val="none"/>
                <w:lang w:val="en-US" w:eastAsia="zh-CN"/>
              </w:rPr>
              <w:t>6</w:t>
            </w:r>
            <w:r>
              <w:rPr>
                <w:rFonts w:hint="eastAsia" w:ascii="宋体" w:hAnsi="宋体" w:cs="宋体"/>
                <w:bCs/>
                <w:szCs w:val="21"/>
                <w:highlight w:val="none"/>
              </w:rPr>
              <w:t>分）</w:t>
            </w:r>
          </w:p>
        </w:tc>
        <w:tc>
          <w:tcPr>
            <w:tcW w:w="6817" w:type="dxa"/>
            <w:tcBorders>
              <w:top w:val="single" w:color="auto" w:sz="4" w:space="0"/>
              <w:left w:val="single" w:color="auto" w:sz="4" w:space="0"/>
              <w:bottom w:val="single" w:color="auto" w:sz="4" w:space="0"/>
              <w:right w:val="single" w:color="auto" w:sz="2" w:space="0"/>
            </w:tcBorders>
          </w:tcPr>
          <w:p>
            <w:pPr>
              <w:spacing w:line="300" w:lineRule="exact"/>
              <w:rPr>
                <w:rFonts w:ascii="宋体" w:hAnsi="宋体" w:cs="宋体"/>
                <w:bCs/>
                <w:szCs w:val="21"/>
                <w:highlight w:val="none"/>
              </w:rPr>
            </w:pPr>
            <w:r>
              <w:rPr>
                <w:rFonts w:hint="eastAsia" w:ascii="宋体" w:hAnsi="宋体" w:cs="宋体"/>
                <w:bCs/>
                <w:szCs w:val="21"/>
                <w:highlight w:val="none"/>
              </w:rPr>
              <w:t>根据</w:t>
            </w:r>
            <w:r>
              <w:rPr>
                <w:rFonts w:hint="eastAsia" w:ascii="宋体" w:hAnsi="宋体" w:cs="宋体"/>
                <w:color w:val="000000"/>
                <w:highlight w:val="none"/>
              </w:rPr>
              <w:t>投标人</w:t>
            </w:r>
            <w:r>
              <w:rPr>
                <w:rFonts w:hint="eastAsia" w:ascii="宋体" w:hAnsi="宋体" w:cs="宋体"/>
                <w:bCs/>
                <w:szCs w:val="21"/>
                <w:highlight w:val="none"/>
              </w:rPr>
              <w:t>对本项目及运维对象现状情况的分析，</w:t>
            </w:r>
            <w:r>
              <w:rPr>
                <w:rFonts w:hint="eastAsia" w:ascii="宋体" w:hAnsi="宋体" w:cs="宋体"/>
                <w:bCs/>
                <w:szCs w:val="21"/>
                <w:highlight w:val="none"/>
                <w:lang w:val="en-US" w:eastAsia="zh-CN"/>
              </w:rPr>
              <w:t>以</w:t>
            </w:r>
            <w:r>
              <w:rPr>
                <w:rFonts w:hint="eastAsia" w:ascii="宋体" w:hAnsi="宋体" w:cs="宋体"/>
                <w:bCs/>
                <w:szCs w:val="21"/>
                <w:highlight w:val="none"/>
              </w:rPr>
              <w:t>及运维的重点、难点和服务要求理解程度进行评议，本项最高得6分，未提供不得分。</w:t>
            </w:r>
          </w:p>
          <w:p>
            <w:pPr>
              <w:tabs>
                <w:tab w:val="left" w:pos="3498"/>
              </w:tabs>
              <w:rPr>
                <w:rFonts w:ascii="宋体" w:hAnsi="宋体" w:cs="宋体"/>
                <w:color w:val="000000"/>
                <w:highlight w:val="none"/>
              </w:rPr>
            </w:pPr>
            <w:r>
              <w:rPr>
                <w:rFonts w:hint="eastAsia" w:ascii="宋体" w:hAnsi="宋体" w:cs="宋体"/>
                <w:color w:val="000000"/>
                <w:highlight w:val="none"/>
              </w:rPr>
              <w:t>（1）投标人提供的重点、难点分析方案，方案内容阐述详实全面，合理，思路清晰的，措施针对性较强的得6分；</w:t>
            </w:r>
          </w:p>
          <w:p>
            <w:pPr>
              <w:tabs>
                <w:tab w:val="left" w:pos="3498"/>
              </w:tabs>
              <w:rPr>
                <w:rFonts w:ascii="宋体" w:hAnsi="宋体" w:cs="宋体"/>
                <w:color w:val="000000"/>
                <w:highlight w:val="none"/>
              </w:rPr>
            </w:pPr>
            <w:r>
              <w:rPr>
                <w:rFonts w:hint="eastAsia" w:ascii="宋体" w:hAnsi="宋体" w:cs="宋体"/>
                <w:color w:val="000000"/>
                <w:highlight w:val="none"/>
              </w:rPr>
              <w:t>（2）投标人提供的重点、难点分析方案，方案内容阐述较为全面、具体详细， 较为合理、有一定针对性、操作性一般的得3分；</w:t>
            </w:r>
          </w:p>
          <w:p>
            <w:pPr>
              <w:widowControl/>
              <w:rPr>
                <w:rFonts w:hint="eastAsia" w:ascii="宋体" w:hAnsi="宋体" w:eastAsia="宋体"/>
                <w:szCs w:val="21"/>
                <w:highlight w:val="none"/>
                <w:lang w:eastAsia="zh-CN"/>
              </w:rPr>
            </w:pPr>
            <w:r>
              <w:rPr>
                <w:rFonts w:hint="eastAsia" w:ascii="宋体" w:hAnsi="宋体" w:cs="宋体"/>
                <w:color w:val="000000"/>
                <w:highlight w:val="none"/>
              </w:rPr>
              <w:t>（3）投标人提供的重点、难点分析方案，方案内容阐述说明内容简单、缺乏针对性、操作性差的得1分。</w:t>
            </w:r>
          </w:p>
        </w:tc>
      </w:tr>
      <w:tr>
        <w:trPr>
          <w:cantSplit/>
          <w:trHeight w:val="1080" w:hRule="atLeast"/>
          <w:jc w:val="center"/>
        </w:trPr>
        <w:tc>
          <w:tcPr>
            <w:tcW w:w="96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77"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320"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szCs w:val="21"/>
                <w:highlight w:val="none"/>
              </w:rPr>
            </w:pPr>
            <w:r>
              <w:rPr>
                <w:rFonts w:hint="eastAsia" w:ascii="宋体" w:hAnsi="宋体" w:cs="宋体"/>
                <w:bCs/>
                <w:szCs w:val="21"/>
                <w:highlight w:val="none"/>
              </w:rPr>
              <w:t>技术参数响应情况（</w:t>
            </w:r>
            <w:r>
              <w:rPr>
                <w:rFonts w:hint="eastAsia" w:ascii="宋体" w:hAnsi="宋体" w:cs="宋体"/>
                <w:bCs/>
                <w:szCs w:val="21"/>
                <w:highlight w:val="none"/>
                <w:lang w:val="en-US" w:eastAsia="zh-CN"/>
              </w:rPr>
              <w:t>29</w:t>
            </w:r>
            <w:r>
              <w:rPr>
                <w:rFonts w:hint="eastAsia" w:ascii="宋体" w:hAnsi="宋体" w:cs="宋体"/>
                <w:bCs/>
                <w:szCs w:val="21"/>
                <w:highlight w:val="none"/>
              </w:rPr>
              <w:t>分）</w:t>
            </w:r>
          </w:p>
        </w:tc>
        <w:tc>
          <w:tcPr>
            <w:tcW w:w="6817" w:type="dxa"/>
            <w:tcBorders>
              <w:top w:val="single" w:color="auto" w:sz="4" w:space="0"/>
              <w:left w:val="single" w:color="auto" w:sz="4" w:space="0"/>
              <w:bottom w:val="single" w:color="auto" w:sz="4" w:space="0"/>
              <w:right w:val="single" w:color="auto" w:sz="2" w:space="0"/>
            </w:tcBorders>
            <w:vAlign w:val="center"/>
          </w:tcPr>
          <w:p>
            <w:pPr>
              <w:spacing w:line="300" w:lineRule="exact"/>
              <w:rPr>
                <w:rFonts w:ascii="宋体" w:hAnsi="宋体" w:cs="仿宋_GB2312"/>
                <w:kern w:val="0"/>
                <w:szCs w:val="21"/>
                <w:highlight w:val="none"/>
              </w:rPr>
            </w:pPr>
            <w:r>
              <w:rPr>
                <w:rFonts w:hint="eastAsia" w:ascii="宋体" w:hAnsi="宋体" w:cs="宋体"/>
                <w:bCs/>
                <w:szCs w:val="21"/>
                <w:highlight w:val="none"/>
              </w:rPr>
              <w:t>根据</w:t>
            </w:r>
            <w:r>
              <w:rPr>
                <w:rFonts w:hint="eastAsia" w:ascii="宋体" w:hAnsi="宋体" w:cs="宋体"/>
                <w:color w:val="000000"/>
                <w:highlight w:val="none"/>
              </w:rPr>
              <w:t>投标人</w:t>
            </w:r>
            <w:r>
              <w:rPr>
                <w:rFonts w:hint="eastAsia" w:ascii="宋体" w:hAnsi="宋体" w:cs="宋体"/>
                <w:bCs/>
                <w:szCs w:val="21"/>
                <w:highlight w:val="none"/>
              </w:rPr>
              <w:t>提供平台功能和技术参数进行打分，技术参数完全符合招标要求没有负偏离的得</w:t>
            </w:r>
            <w:r>
              <w:rPr>
                <w:rFonts w:hint="eastAsia" w:ascii="宋体" w:hAnsi="宋体" w:cs="宋体"/>
                <w:bCs/>
                <w:szCs w:val="21"/>
                <w:highlight w:val="none"/>
                <w:lang w:val="en-US" w:eastAsia="zh-CN"/>
              </w:rPr>
              <w:t>29</w:t>
            </w:r>
            <w:r>
              <w:rPr>
                <w:rFonts w:hint="eastAsia" w:ascii="宋体" w:hAnsi="宋体" w:cs="宋体"/>
                <w:bCs/>
                <w:szCs w:val="21"/>
                <w:highlight w:val="none"/>
              </w:rPr>
              <w:t>分，带▲的参数为重要指标，负偏离每项扣1分，其他负偏离每项减0.5分，扣分大于</w:t>
            </w:r>
            <w:r>
              <w:rPr>
                <w:rFonts w:hint="eastAsia" w:ascii="宋体" w:hAnsi="宋体" w:cs="宋体"/>
                <w:bCs/>
                <w:szCs w:val="21"/>
                <w:highlight w:val="none"/>
                <w:lang w:val="en-US" w:eastAsia="zh-CN"/>
              </w:rPr>
              <w:t>29</w:t>
            </w:r>
            <w:r>
              <w:rPr>
                <w:rFonts w:hint="eastAsia" w:ascii="宋体" w:hAnsi="宋体" w:cs="宋体"/>
                <w:bCs/>
                <w:szCs w:val="21"/>
                <w:highlight w:val="none"/>
              </w:rPr>
              <w:t>分的作无效标处理。</w:t>
            </w:r>
          </w:p>
        </w:tc>
      </w:tr>
      <w:tr>
        <w:trPr>
          <w:cantSplit/>
          <w:trHeight w:val="770" w:hRule="atLeast"/>
          <w:jc w:val="center"/>
        </w:trPr>
        <w:tc>
          <w:tcPr>
            <w:tcW w:w="96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77"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320" w:type="dxa"/>
            <w:vMerge w:val="restart"/>
            <w:tcBorders>
              <w:top w:val="single" w:color="auto" w:sz="4" w:space="0"/>
              <w:left w:val="single" w:color="auto" w:sz="4" w:space="0"/>
              <w:right w:val="single" w:color="auto" w:sz="2" w:space="0"/>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技术方案</w:t>
            </w:r>
          </w:p>
          <w:p>
            <w:pPr>
              <w:autoSpaceDE w:val="0"/>
              <w:autoSpaceDN w:val="0"/>
              <w:adjustRightInd w:val="0"/>
              <w:jc w:val="center"/>
              <w:rPr>
                <w:rFonts w:ascii="宋体" w:hAnsi="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6817" w:type="dxa"/>
            <w:tcBorders>
              <w:top w:val="single" w:color="auto" w:sz="4" w:space="0"/>
              <w:left w:val="single" w:color="auto" w:sz="4" w:space="0"/>
              <w:bottom w:val="single" w:color="auto" w:sz="4" w:space="0"/>
              <w:right w:val="single" w:color="auto" w:sz="2" w:space="0"/>
            </w:tcBorders>
            <w:vAlign w:val="center"/>
          </w:tcPr>
          <w:p>
            <w:pPr>
              <w:spacing w:line="300" w:lineRule="exact"/>
              <w:rPr>
                <w:rFonts w:ascii="宋体" w:hAnsi="宋体" w:cs="宋体"/>
                <w:bCs/>
                <w:szCs w:val="21"/>
                <w:highlight w:val="none"/>
              </w:rPr>
            </w:pPr>
            <w:r>
              <w:rPr>
                <w:rFonts w:hint="eastAsia" w:ascii="宋体" w:hAnsi="宋体" w:cs="宋体"/>
                <w:bCs/>
                <w:szCs w:val="21"/>
                <w:highlight w:val="none"/>
              </w:rPr>
              <w:t>根据</w:t>
            </w:r>
            <w:r>
              <w:rPr>
                <w:rFonts w:hint="eastAsia" w:ascii="宋体" w:hAnsi="宋体" w:cs="宋体"/>
                <w:color w:val="000000"/>
                <w:highlight w:val="none"/>
              </w:rPr>
              <w:t>投标人</w:t>
            </w:r>
            <w:r>
              <w:rPr>
                <w:rFonts w:hint="eastAsia" w:ascii="宋体" w:hAnsi="宋体" w:cs="宋体"/>
                <w:bCs/>
                <w:szCs w:val="21"/>
                <w:highlight w:val="none"/>
              </w:rPr>
              <w:t>提供的网络安全平台维护方案进行评议，未提供不得分。</w:t>
            </w:r>
          </w:p>
          <w:p>
            <w:pPr>
              <w:spacing w:line="300" w:lineRule="exact"/>
              <w:rPr>
                <w:rFonts w:hint="eastAsia" w:ascii="宋体" w:hAnsi="宋体" w:cs="新宋体"/>
                <w:szCs w:val="21"/>
                <w:highlight w:val="none"/>
              </w:rPr>
            </w:pPr>
            <w:r>
              <w:rPr>
                <w:rFonts w:hint="eastAsia" w:ascii="宋体" w:hAnsi="宋体" w:cs="宋体"/>
                <w:color w:val="000000"/>
                <w:highlight w:val="none"/>
              </w:rPr>
              <w:t>（1）</w:t>
            </w:r>
            <w:r>
              <w:rPr>
                <w:rFonts w:hint="eastAsia" w:ascii="宋体" w:hAnsi="宋体" w:cs="新宋体"/>
                <w:szCs w:val="21"/>
                <w:highlight w:val="none"/>
              </w:rPr>
              <w:t>维护服务方案全面合理，服务流程及内容具体，响应时间迅速，服务人员齐备，得3分；</w:t>
            </w:r>
          </w:p>
          <w:p>
            <w:pPr>
              <w:spacing w:line="300" w:lineRule="exact"/>
              <w:rPr>
                <w:rFonts w:hint="eastAsia" w:ascii="宋体" w:hAnsi="宋体" w:cs="新宋体"/>
                <w:szCs w:val="21"/>
                <w:highlight w:val="none"/>
              </w:rPr>
            </w:pPr>
            <w:r>
              <w:rPr>
                <w:rFonts w:hint="eastAsia" w:ascii="宋体" w:hAnsi="宋体" w:cs="宋体"/>
                <w:color w:val="000000"/>
                <w:highlight w:val="none"/>
              </w:rPr>
              <w:t>（2）</w:t>
            </w:r>
            <w:r>
              <w:rPr>
                <w:rFonts w:hint="eastAsia" w:ascii="宋体" w:hAnsi="宋体" w:cs="新宋体"/>
                <w:szCs w:val="21"/>
                <w:highlight w:val="none"/>
              </w:rPr>
              <w:t>维护服务方案较全面，有基本服务流程及内容，响应时间较为迅速，服务人员匹配基本满足需求，得</w:t>
            </w:r>
            <w:r>
              <w:rPr>
                <w:rFonts w:hint="eastAsia" w:ascii="宋体" w:hAnsi="宋体" w:cs="新宋体"/>
                <w:szCs w:val="21"/>
                <w:highlight w:val="none"/>
                <w:lang w:val="en-US" w:eastAsia="zh-CN"/>
              </w:rPr>
              <w:t>2</w:t>
            </w:r>
            <w:r>
              <w:rPr>
                <w:rFonts w:hint="eastAsia" w:ascii="宋体" w:hAnsi="宋体" w:cs="新宋体"/>
                <w:szCs w:val="21"/>
                <w:highlight w:val="none"/>
              </w:rPr>
              <w:t>分；</w:t>
            </w:r>
          </w:p>
          <w:p>
            <w:pPr>
              <w:spacing w:line="300" w:lineRule="exact"/>
              <w:rPr>
                <w:rFonts w:ascii="宋体" w:hAnsi="宋体" w:cs="新宋体"/>
                <w:szCs w:val="21"/>
                <w:highlight w:val="none"/>
              </w:rPr>
            </w:pPr>
            <w:r>
              <w:rPr>
                <w:rFonts w:hint="eastAsia" w:ascii="宋体" w:hAnsi="宋体" w:cs="宋体"/>
                <w:color w:val="000000"/>
                <w:highlight w:val="none"/>
              </w:rPr>
              <w:t>（3）</w:t>
            </w:r>
            <w:r>
              <w:rPr>
                <w:rFonts w:hint="eastAsia" w:ascii="宋体" w:hAnsi="宋体" w:cs="新宋体"/>
                <w:szCs w:val="21"/>
                <w:highlight w:val="none"/>
              </w:rPr>
              <w:t>维护服务方案较片面，服务流程及内容空洞或欠缺，响应时间缓慢，服务人员匹配欠缺，得</w:t>
            </w:r>
            <w:r>
              <w:rPr>
                <w:rFonts w:hint="eastAsia" w:ascii="宋体" w:hAnsi="宋体" w:cs="新宋体"/>
                <w:szCs w:val="21"/>
                <w:highlight w:val="none"/>
                <w:lang w:val="en-US" w:eastAsia="zh-CN"/>
              </w:rPr>
              <w:t>1</w:t>
            </w:r>
            <w:r>
              <w:rPr>
                <w:rFonts w:hint="eastAsia" w:ascii="宋体" w:hAnsi="宋体" w:cs="新宋体"/>
                <w:szCs w:val="21"/>
                <w:highlight w:val="none"/>
              </w:rPr>
              <w:t>分。</w:t>
            </w:r>
          </w:p>
        </w:tc>
      </w:tr>
      <w:tr>
        <w:trPr>
          <w:cantSplit/>
          <w:trHeight w:val="770" w:hRule="atLeast"/>
          <w:jc w:val="center"/>
        </w:trPr>
        <w:tc>
          <w:tcPr>
            <w:tcW w:w="96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77"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320" w:type="dxa"/>
            <w:vMerge w:val="continue"/>
            <w:tcBorders>
              <w:left w:val="single" w:color="auto" w:sz="4" w:space="0"/>
              <w:right w:val="single" w:color="auto" w:sz="2" w:space="0"/>
            </w:tcBorders>
            <w:vAlign w:val="center"/>
          </w:tcPr>
          <w:p>
            <w:pPr>
              <w:autoSpaceDE w:val="0"/>
              <w:autoSpaceDN w:val="0"/>
              <w:adjustRightInd w:val="0"/>
              <w:jc w:val="center"/>
              <w:rPr>
                <w:rFonts w:hint="eastAsia" w:ascii="宋体" w:hAnsi="宋体" w:cs="宋体"/>
                <w:szCs w:val="21"/>
                <w:highlight w:val="none"/>
              </w:rPr>
            </w:pPr>
          </w:p>
        </w:tc>
        <w:tc>
          <w:tcPr>
            <w:tcW w:w="6817" w:type="dxa"/>
            <w:tcBorders>
              <w:top w:val="single" w:color="auto" w:sz="4" w:space="0"/>
              <w:left w:val="single" w:color="auto" w:sz="4" w:space="0"/>
              <w:bottom w:val="single" w:color="auto" w:sz="4" w:space="0"/>
              <w:right w:val="single" w:color="auto" w:sz="2" w:space="0"/>
            </w:tcBorders>
            <w:vAlign w:val="center"/>
          </w:tcPr>
          <w:p>
            <w:pPr>
              <w:spacing w:line="300" w:lineRule="exact"/>
              <w:rPr>
                <w:rFonts w:hint="eastAsia"/>
                <w:highlight w:val="none"/>
                <w:lang w:val="en-US" w:eastAsia="zh-CN"/>
              </w:rPr>
            </w:pPr>
            <w:r>
              <w:rPr>
                <w:rFonts w:hint="eastAsia"/>
                <w:highlight w:val="none"/>
                <w:lang w:val="en-US" w:eastAsia="zh-CN"/>
              </w:rPr>
              <w:t>根据供应商提供的应急预案评分，需能根据不同场景（包括软件系统故障、硬件系统故障、网络故障、服务器故障、网络攻击事件、信息破坏事件、信息内容安全事件、灾难性事件，根据实际项目不同选择不同场景）、不同等级故障（包括一般事件、较大事件、重大事件、特大事件）出具相应的应急措施、服务响应及应急保障。</w:t>
            </w:r>
          </w:p>
          <w:p>
            <w:pPr>
              <w:numPr>
                <w:ilvl w:val="0"/>
                <w:numId w:val="15"/>
              </w:numPr>
              <w:spacing w:line="300" w:lineRule="exact"/>
              <w:rPr>
                <w:rFonts w:hint="eastAsia"/>
                <w:highlight w:val="none"/>
                <w:lang w:val="en-US" w:eastAsia="zh-CN"/>
              </w:rPr>
            </w:pPr>
            <w:r>
              <w:rPr>
                <w:rFonts w:hint="eastAsia"/>
                <w:highlight w:val="none"/>
                <w:lang w:val="en-US" w:eastAsia="zh-CN"/>
              </w:rPr>
              <w:t>应急预案细化全面，应急措施科学合理，服务响应及时高效，应急保障人力及物资安排合理，得3分；</w:t>
            </w:r>
          </w:p>
          <w:p>
            <w:pPr>
              <w:numPr>
                <w:ilvl w:val="0"/>
                <w:numId w:val="15"/>
              </w:numPr>
              <w:spacing w:line="300" w:lineRule="exact"/>
              <w:ind w:left="0" w:leftChars="0" w:firstLine="0" w:firstLineChars="0"/>
              <w:rPr>
                <w:rFonts w:hint="eastAsia"/>
                <w:highlight w:val="none"/>
                <w:lang w:val="en-US" w:eastAsia="zh-CN"/>
              </w:rPr>
            </w:pPr>
            <w:r>
              <w:rPr>
                <w:rFonts w:hint="eastAsia"/>
                <w:highlight w:val="none"/>
                <w:lang w:val="en-US" w:eastAsia="zh-CN"/>
              </w:rPr>
              <w:t xml:space="preserve">应急预案较全面，应急措施恰当，服务响应较及时，具有基本的应急保障人力及物资安排，得1分； </w:t>
            </w:r>
          </w:p>
          <w:p>
            <w:pPr>
              <w:numPr>
                <w:ilvl w:val="0"/>
                <w:numId w:val="15"/>
              </w:numPr>
              <w:spacing w:line="300" w:lineRule="exact"/>
              <w:ind w:left="0" w:leftChars="0" w:firstLine="0" w:firstLineChars="0"/>
              <w:rPr>
                <w:rFonts w:hint="eastAsia"/>
                <w:highlight w:val="none"/>
                <w:lang w:val="en-US" w:eastAsia="zh-CN"/>
              </w:rPr>
            </w:pPr>
            <w:r>
              <w:rPr>
                <w:rFonts w:hint="eastAsia"/>
                <w:highlight w:val="none"/>
                <w:lang w:val="en-US" w:eastAsia="zh-CN"/>
              </w:rPr>
              <w:t xml:space="preserve">应急预案不全，应急措施混乱，服务响应时间滞后，未考虑人力及物资安排或安排不合理，得2分； </w:t>
            </w:r>
          </w:p>
          <w:p>
            <w:pPr>
              <w:numPr>
                <w:ilvl w:val="0"/>
                <w:numId w:val="15"/>
              </w:numPr>
              <w:spacing w:line="300" w:lineRule="exact"/>
              <w:ind w:left="0" w:leftChars="0" w:firstLine="0" w:firstLineChars="0"/>
              <w:rPr>
                <w:rFonts w:hint="eastAsia" w:ascii="宋体" w:hAnsi="宋体" w:cs="宋体"/>
                <w:bCs/>
                <w:szCs w:val="21"/>
                <w:highlight w:val="none"/>
              </w:rPr>
            </w:pPr>
            <w:r>
              <w:rPr>
                <w:rFonts w:hint="eastAsia"/>
                <w:highlight w:val="none"/>
                <w:lang w:val="en-US" w:eastAsia="zh-CN"/>
              </w:rPr>
              <w:t>未提供应急预案或预案与项目严重不符，本项得0分。</w:t>
            </w:r>
          </w:p>
        </w:tc>
      </w:tr>
      <w:tr>
        <w:trPr>
          <w:cantSplit/>
          <w:trHeight w:val="610" w:hRule="atLeast"/>
          <w:jc w:val="center"/>
        </w:trPr>
        <w:tc>
          <w:tcPr>
            <w:tcW w:w="96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77"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320" w:type="dxa"/>
            <w:tcBorders>
              <w:left w:val="single" w:color="auto" w:sz="4" w:space="0"/>
              <w:right w:val="single" w:color="auto" w:sz="2" w:space="0"/>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日常运维</w:t>
            </w:r>
          </w:p>
          <w:p>
            <w:pPr>
              <w:autoSpaceDE w:val="0"/>
              <w:autoSpaceDN w:val="0"/>
              <w:adjustRightInd w:val="0"/>
              <w:jc w:val="center"/>
              <w:rPr>
                <w:rFonts w:ascii="宋体" w:hAnsi="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6817" w:type="dxa"/>
            <w:tcBorders>
              <w:top w:val="single" w:color="auto" w:sz="4" w:space="0"/>
              <w:left w:val="single" w:color="auto" w:sz="4" w:space="0"/>
              <w:bottom w:val="single" w:color="auto" w:sz="4" w:space="0"/>
              <w:right w:val="single" w:color="auto" w:sz="2" w:space="0"/>
            </w:tcBorders>
            <w:vAlign w:val="center"/>
          </w:tcPr>
          <w:p>
            <w:pPr>
              <w:spacing w:line="300" w:lineRule="exact"/>
              <w:rPr>
                <w:rFonts w:ascii="宋体" w:hAnsi="宋体" w:cs="宋体"/>
                <w:bCs/>
                <w:szCs w:val="21"/>
                <w:highlight w:val="none"/>
              </w:rPr>
            </w:pPr>
            <w:r>
              <w:rPr>
                <w:rFonts w:hint="eastAsia" w:ascii="宋体" w:hAnsi="宋体" w:cs="宋体"/>
                <w:bCs/>
                <w:szCs w:val="21"/>
                <w:highlight w:val="none"/>
              </w:rPr>
              <w:t>根据</w:t>
            </w:r>
            <w:r>
              <w:rPr>
                <w:rFonts w:hint="eastAsia" w:ascii="宋体" w:hAnsi="宋体" w:cs="宋体"/>
                <w:color w:val="000000"/>
                <w:highlight w:val="none"/>
              </w:rPr>
              <w:t>投标人</w:t>
            </w:r>
            <w:r>
              <w:rPr>
                <w:rFonts w:hint="eastAsia" w:ascii="宋体" w:hAnsi="宋体" w:cs="宋体"/>
                <w:bCs/>
                <w:szCs w:val="21"/>
                <w:highlight w:val="none"/>
              </w:rPr>
              <w:t>提供的日常运维方案（运维内容、时间安排等）合理性且能落实到实处。要求日常运维方案全面完整、流程合理规范、文档齐全详细、管理制度完善、运维人员配置合理进行评议，本项最高得</w:t>
            </w:r>
            <w:r>
              <w:rPr>
                <w:rFonts w:hint="eastAsia" w:ascii="宋体" w:hAnsi="宋体" w:cs="宋体"/>
                <w:bCs/>
                <w:szCs w:val="21"/>
                <w:highlight w:val="none"/>
                <w:lang w:val="en-US" w:eastAsia="zh-CN"/>
              </w:rPr>
              <w:t>6</w:t>
            </w:r>
            <w:r>
              <w:rPr>
                <w:rFonts w:hint="eastAsia" w:ascii="宋体" w:hAnsi="宋体" w:cs="宋体"/>
                <w:bCs/>
                <w:szCs w:val="21"/>
                <w:highlight w:val="none"/>
              </w:rPr>
              <w:t>分，未提供不得分。</w:t>
            </w:r>
          </w:p>
          <w:p>
            <w:pPr>
              <w:adjustRightInd w:val="0"/>
              <w:spacing w:line="360" w:lineRule="exact"/>
              <w:jc w:val="left"/>
              <w:textAlignment w:val="baseline"/>
              <w:rPr>
                <w:rFonts w:ascii="宋体" w:hAnsi="宋体" w:cs="新宋体"/>
                <w:szCs w:val="21"/>
                <w:highlight w:val="none"/>
              </w:rPr>
            </w:pPr>
            <w:r>
              <w:rPr>
                <w:rFonts w:hint="eastAsia" w:ascii="宋体" w:hAnsi="宋体" w:cs="宋体"/>
                <w:color w:val="000000"/>
                <w:highlight w:val="none"/>
              </w:rPr>
              <w:t>（1）投标人</w:t>
            </w:r>
            <w:r>
              <w:rPr>
                <w:rFonts w:hint="eastAsia" w:ascii="宋体" w:hAnsi="宋体" w:cs="新宋体"/>
                <w:szCs w:val="21"/>
                <w:highlight w:val="none"/>
              </w:rPr>
              <w:t>提供的</w:t>
            </w:r>
            <w:r>
              <w:rPr>
                <w:rFonts w:hint="eastAsia" w:ascii="宋体" w:hAnsi="宋体" w:cs="宋体"/>
                <w:bCs/>
                <w:szCs w:val="21"/>
                <w:highlight w:val="none"/>
              </w:rPr>
              <w:t>日常运维方案</w:t>
            </w:r>
            <w:r>
              <w:rPr>
                <w:rFonts w:hint="eastAsia" w:ascii="宋体" w:hAnsi="宋体" w:cs="新宋体"/>
                <w:szCs w:val="21"/>
                <w:highlight w:val="none"/>
              </w:rPr>
              <w:t>，方案内容阐述详实全面、合理，思路清晰的，针对性强的，得</w:t>
            </w:r>
            <w:r>
              <w:rPr>
                <w:rFonts w:hint="eastAsia" w:ascii="宋体" w:hAnsi="宋体" w:cs="新宋体"/>
                <w:szCs w:val="21"/>
                <w:highlight w:val="none"/>
                <w:lang w:val="en-US" w:eastAsia="zh-CN"/>
              </w:rPr>
              <w:t>6</w:t>
            </w:r>
            <w:r>
              <w:rPr>
                <w:rFonts w:hint="eastAsia" w:ascii="宋体" w:hAnsi="宋体" w:cs="新宋体"/>
                <w:szCs w:val="21"/>
                <w:highlight w:val="none"/>
              </w:rPr>
              <w:t>分；</w:t>
            </w:r>
          </w:p>
          <w:p>
            <w:pPr>
              <w:adjustRightInd w:val="0"/>
              <w:spacing w:line="360" w:lineRule="exact"/>
              <w:jc w:val="left"/>
              <w:textAlignment w:val="baseline"/>
              <w:rPr>
                <w:rFonts w:ascii="宋体" w:hAnsi="宋体" w:cs="新宋体"/>
                <w:szCs w:val="21"/>
                <w:highlight w:val="none"/>
              </w:rPr>
            </w:pPr>
            <w:r>
              <w:rPr>
                <w:rFonts w:hint="eastAsia" w:ascii="宋体" w:hAnsi="宋体" w:cs="宋体"/>
                <w:color w:val="000000"/>
                <w:highlight w:val="none"/>
              </w:rPr>
              <w:t>（2）投标人</w:t>
            </w:r>
            <w:r>
              <w:rPr>
                <w:rFonts w:hint="eastAsia" w:ascii="宋体" w:hAnsi="宋体" w:cs="新宋体"/>
                <w:szCs w:val="21"/>
                <w:highlight w:val="none"/>
              </w:rPr>
              <w:t>提供的</w:t>
            </w:r>
            <w:r>
              <w:rPr>
                <w:rFonts w:hint="eastAsia" w:ascii="宋体" w:hAnsi="宋体" w:cs="宋体"/>
                <w:bCs/>
                <w:szCs w:val="21"/>
                <w:highlight w:val="none"/>
              </w:rPr>
              <w:t>日常运维方案</w:t>
            </w:r>
            <w:r>
              <w:rPr>
                <w:rFonts w:hint="eastAsia" w:ascii="宋体" w:hAnsi="宋体" w:cs="新宋体"/>
                <w:szCs w:val="21"/>
                <w:highlight w:val="none"/>
              </w:rPr>
              <w:t>，方案内容阐述较为详实全面，较为科学合理，思路较清晰的，针对性较强的，得</w:t>
            </w:r>
            <w:r>
              <w:rPr>
                <w:rFonts w:hint="eastAsia" w:ascii="宋体" w:hAnsi="宋体" w:cs="新宋体"/>
                <w:szCs w:val="21"/>
                <w:highlight w:val="none"/>
                <w:lang w:val="en-US" w:eastAsia="zh-CN"/>
              </w:rPr>
              <w:t>3</w:t>
            </w:r>
            <w:r>
              <w:rPr>
                <w:rFonts w:hint="eastAsia" w:ascii="宋体" w:hAnsi="宋体" w:cs="新宋体"/>
                <w:szCs w:val="21"/>
                <w:highlight w:val="none"/>
              </w:rPr>
              <w:t>分；</w:t>
            </w:r>
          </w:p>
          <w:p>
            <w:pPr>
              <w:spacing w:line="300" w:lineRule="exact"/>
              <w:rPr>
                <w:rFonts w:ascii="宋体" w:hAnsi="宋体" w:cs="新宋体"/>
                <w:szCs w:val="21"/>
                <w:highlight w:val="none"/>
              </w:rPr>
            </w:pPr>
            <w:r>
              <w:rPr>
                <w:rFonts w:hint="eastAsia" w:ascii="宋体" w:hAnsi="宋体" w:cs="宋体"/>
                <w:color w:val="000000"/>
                <w:highlight w:val="none"/>
              </w:rPr>
              <w:t>（3）投标人</w:t>
            </w:r>
            <w:r>
              <w:rPr>
                <w:rFonts w:hint="eastAsia" w:ascii="宋体" w:hAnsi="宋体" w:cs="新宋体"/>
                <w:szCs w:val="21"/>
                <w:highlight w:val="none"/>
              </w:rPr>
              <w:t>提供的</w:t>
            </w:r>
            <w:r>
              <w:rPr>
                <w:rFonts w:hint="eastAsia" w:ascii="宋体" w:hAnsi="宋体" w:cs="宋体"/>
                <w:bCs/>
                <w:szCs w:val="21"/>
                <w:highlight w:val="none"/>
              </w:rPr>
              <w:t>日常运维方案</w:t>
            </w:r>
            <w:r>
              <w:rPr>
                <w:rFonts w:hint="eastAsia" w:ascii="宋体" w:hAnsi="宋体" w:cs="新宋体"/>
                <w:szCs w:val="21"/>
                <w:highlight w:val="none"/>
              </w:rPr>
              <w:t>，方案内容阐述空泛，思路模糊的，有明显漏洞的，得1分。</w:t>
            </w:r>
          </w:p>
        </w:tc>
      </w:tr>
      <w:tr>
        <w:trPr>
          <w:cantSplit/>
          <w:trHeight w:val="90" w:hRule="atLeast"/>
          <w:jc w:val="center"/>
        </w:trPr>
        <w:tc>
          <w:tcPr>
            <w:tcW w:w="96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77"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320" w:type="dxa"/>
            <w:tcBorders>
              <w:left w:val="single" w:color="auto" w:sz="4" w:space="0"/>
              <w:bottom w:val="single" w:color="auto" w:sz="4" w:space="0"/>
              <w:right w:val="single" w:color="auto" w:sz="2" w:space="0"/>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安全服务</w:t>
            </w:r>
          </w:p>
          <w:p>
            <w:pPr>
              <w:autoSpaceDE w:val="0"/>
              <w:autoSpaceDN w:val="0"/>
              <w:adjustRightInd w:val="0"/>
              <w:jc w:val="center"/>
              <w:rPr>
                <w:rFonts w:ascii="宋体" w:hAnsi="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6817" w:type="dxa"/>
            <w:tcBorders>
              <w:top w:val="single" w:color="auto" w:sz="4" w:space="0"/>
              <w:left w:val="single" w:color="auto" w:sz="4" w:space="0"/>
              <w:bottom w:val="single" w:color="auto" w:sz="4" w:space="0"/>
              <w:right w:val="single" w:color="auto" w:sz="2" w:space="0"/>
            </w:tcBorders>
            <w:vAlign w:val="center"/>
          </w:tcPr>
          <w:p>
            <w:pPr>
              <w:spacing w:line="300" w:lineRule="exact"/>
              <w:rPr>
                <w:rFonts w:hint="eastAsia" w:ascii="宋体" w:hAnsi="宋体" w:cs="宋体"/>
                <w:szCs w:val="21"/>
                <w:highlight w:val="none"/>
              </w:rPr>
            </w:pPr>
            <w:r>
              <w:rPr>
                <w:rFonts w:hint="eastAsia" w:ascii="宋体" w:hAnsi="宋体" w:cs="宋体"/>
                <w:szCs w:val="21"/>
                <w:highlight w:val="none"/>
              </w:rPr>
              <w:t>根据投标人提供的安全服务方案（保障技术、保障措施、保障人员、保障安排等）合理性且能落实到实处。要求技术方案全面完整、流程合理规范、文档齐全详细、管理制度完善、技术人员配置合理，本项最高得6分，未提供不得分。</w:t>
            </w:r>
          </w:p>
          <w:p>
            <w:pPr>
              <w:spacing w:line="300" w:lineRule="exact"/>
              <w:rPr>
                <w:rFonts w:hint="eastAsia" w:ascii="宋体" w:hAnsi="宋体" w:cs="宋体"/>
                <w:szCs w:val="21"/>
                <w:highlight w:val="none"/>
              </w:rPr>
            </w:pPr>
            <w:r>
              <w:rPr>
                <w:rFonts w:hint="eastAsia" w:ascii="宋体" w:hAnsi="宋体" w:cs="宋体"/>
                <w:szCs w:val="21"/>
                <w:highlight w:val="none"/>
              </w:rPr>
              <w:t>（1）投标人提供的安全服务方案，方案内容阐述详实全面、合理，思路清晰的，针对性强的，得6分；</w:t>
            </w:r>
          </w:p>
          <w:p>
            <w:pPr>
              <w:spacing w:line="300" w:lineRule="exact"/>
              <w:rPr>
                <w:rFonts w:hint="eastAsia" w:ascii="宋体" w:hAnsi="宋体" w:cs="宋体"/>
                <w:szCs w:val="21"/>
                <w:highlight w:val="none"/>
              </w:rPr>
            </w:pPr>
            <w:r>
              <w:rPr>
                <w:rFonts w:hint="eastAsia" w:ascii="宋体" w:hAnsi="宋体" w:cs="宋体"/>
                <w:szCs w:val="21"/>
                <w:highlight w:val="none"/>
              </w:rPr>
              <w:t>（2）投标人提供的安全服务方案，方案内容阐述较为详实全面，较为科学合理，思路较清晰的，针对性较强的，得3分；</w:t>
            </w:r>
          </w:p>
          <w:p>
            <w:pPr>
              <w:spacing w:line="300" w:lineRule="exact"/>
              <w:rPr>
                <w:rFonts w:ascii="宋体" w:hAnsi="宋体" w:cs="宋体"/>
                <w:szCs w:val="21"/>
                <w:highlight w:val="none"/>
              </w:rPr>
            </w:pPr>
            <w:r>
              <w:rPr>
                <w:rFonts w:hint="eastAsia" w:ascii="宋体" w:hAnsi="宋体" w:cs="宋体"/>
                <w:szCs w:val="21"/>
                <w:highlight w:val="none"/>
              </w:rPr>
              <w:t>（3）投标人提供的安全服务方案，方案内容阐述空泛，思路模糊的，有明显漏洞的，得1分。</w:t>
            </w:r>
          </w:p>
        </w:tc>
      </w:tr>
      <w:tr>
        <w:trPr>
          <w:cantSplit/>
          <w:trHeight w:val="940" w:hRule="atLeast"/>
          <w:jc w:val="center"/>
        </w:trPr>
        <w:tc>
          <w:tcPr>
            <w:tcW w:w="96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77"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320" w:type="dxa"/>
            <w:tcBorders>
              <w:left w:val="single" w:color="auto" w:sz="4" w:space="0"/>
              <w:bottom w:val="single" w:color="auto" w:sz="4" w:space="0"/>
              <w:right w:val="single" w:color="auto" w:sz="2" w:space="0"/>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重大活动保障方案</w:t>
            </w:r>
          </w:p>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6817" w:type="dxa"/>
            <w:tcBorders>
              <w:top w:val="single" w:color="auto" w:sz="4" w:space="0"/>
              <w:left w:val="single" w:color="auto" w:sz="4" w:space="0"/>
              <w:bottom w:val="single" w:color="auto" w:sz="4" w:space="0"/>
              <w:right w:val="single" w:color="auto" w:sz="2" w:space="0"/>
            </w:tcBorders>
            <w:vAlign w:val="center"/>
          </w:tcPr>
          <w:p>
            <w:pPr>
              <w:spacing w:line="300" w:lineRule="exact"/>
              <w:rPr>
                <w:rFonts w:ascii="宋体" w:hAnsi="宋体" w:cs="宋体"/>
                <w:bCs/>
                <w:szCs w:val="21"/>
                <w:highlight w:val="none"/>
              </w:rPr>
            </w:pPr>
            <w:r>
              <w:rPr>
                <w:rFonts w:hint="eastAsia" w:ascii="宋体" w:hAnsi="宋体" w:cs="宋体"/>
                <w:bCs/>
                <w:szCs w:val="21"/>
                <w:highlight w:val="none"/>
              </w:rPr>
              <w:t>根据</w:t>
            </w:r>
            <w:r>
              <w:rPr>
                <w:rFonts w:hint="eastAsia" w:ascii="宋体" w:hAnsi="宋体" w:cs="宋体"/>
                <w:color w:val="000000"/>
                <w:highlight w:val="none"/>
              </w:rPr>
              <w:t>投标人</w:t>
            </w:r>
            <w:r>
              <w:rPr>
                <w:rFonts w:hint="eastAsia" w:ascii="宋体" w:hAnsi="宋体" w:cs="宋体"/>
                <w:bCs/>
                <w:szCs w:val="21"/>
                <w:highlight w:val="none"/>
              </w:rPr>
              <w:t>提供的重大活动保障方案（保障时间、人员配备、保障措施流程、保障制度等）合理性且能落实到实处。要求保障人员配备齐全、保障时间满足要求、保障流程和措施合理规范、保障制度完善，本项最高得6分，未提供不得分。</w:t>
            </w:r>
          </w:p>
          <w:p>
            <w:pPr>
              <w:adjustRightInd w:val="0"/>
              <w:spacing w:line="360" w:lineRule="exact"/>
              <w:jc w:val="left"/>
              <w:textAlignment w:val="baseline"/>
              <w:rPr>
                <w:rFonts w:ascii="宋体" w:hAnsi="宋体" w:cs="新宋体"/>
                <w:szCs w:val="21"/>
                <w:highlight w:val="none"/>
              </w:rPr>
            </w:pPr>
            <w:r>
              <w:rPr>
                <w:rFonts w:hint="eastAsia" w:ascii="宋体" w:hAnsi="宋体" w:cs="宋体"/>
                <w:color w:val="000000"/>
                <w:highlight w:val="none"/>
              </w:rPr>
              <w:t>（1）投标人</w:t>
            </w:r>
            <w:r>
              <w:rPr>
                <w:rFonts w:hint="eastAsia" w:ascii="宋体" w:hAnsi="宋体" w:cs="新宋体"/>
                <w:szCs w:val="21"/>
                <w:highlight w:val="none"/>
              </w:rPr>
              <w:t>提供的</w:t>
            </w:r>
            <w:r>
              <w:rPr>
                <w:rFonts w:hint="eastAsia" w:ascii="宋体" w:hAnsi="宋体" w:cs="宋体"/>
                <w:bCs/>
                <w:szCs w:val="21"/>
                <w:highlight w:val="none"/>
              </w:rPr>
              <w:t>重大活动保障方案</w:t>
            </w:r>
            <w:r>
              <w:rPr>
                <w:rFonts w:hint="eastAsia" w:ascii="宋体" w:hAnsi="宋体" w:cs="新宋体"/>
                <w:szCs w:val="21"/>
                <w:highlight w:val="none"/>
              </w:rPr>
              <w:t>，方案内容阐述详实全面、合理，思路清晰的，针对性强的，得6分；</w:t>
            </w:r>
          </w:p>
          <w:p>
            <w:pPr>
              <w:adjustRightInd w:val="0"/>
              <w:spacing w:line="360" w:lineRule="exact"/>
              <w:jc w:val="left"/>
              <w:textAlignment w:val="baseline"/>
              <w:rPr>
                <w:rFonts w:ascii="宋体" w:hAnsi="宋体" w:cs="新宋体"/>
                <w:szCs w:val="21"/>
                <w:highlight w:val="none"/>
              </w:rPr>
            </w:pPr>
            <w:r>
              <w:rPr>
                <w:rFonts w:hint="eastAsia" w:ascii="宋体" w:hAnsi="宋体" w:cs="宋体"/>
                <w:color w:val="000000"/>
                <w:highlight w:val="none"/>
              </w:rPr>
              <w:t>（2）投标人</w:t>
            </w:r>
            <w:r>
              <w:rPr>
                <w:rFonts w:hint="eastAsia" w:ascii="宋体" w:hAnsi="宋体" w:cs="新宋体"/>
                <w:szCs w:val="21"/>
                <w:highlight w:val="none"/>
              </w:rPr>
              <w:t>提供的</w:t>
            </w:r>
            <w:r>
              <w:rPr>
                <w:rFonts w:hint="eastAsia" w:ascii="宋体" w:hAnsi="宋体" w:cs="宋体"/>
                <w:bCs/>
                <w:szCs w:val="21"/>
                <w:highlight w:val="none"/>
              </w:rPr>
              <w:t>重大活动保障方案</w:t>
            </w:r>
            <w:r>
              <w:rPr>
                <w:rFonts w:hint="eastAsia" w:ascii="宋体" w:hAnsi="宋体" w:cs="新宋体"/>
                <w:szCs w:val="21"/>
                <w:highlight w:val="none"/>
              </w:rPr>
              <w:t>，方案内容阐述较为详实全面，较为科学合理，思路较清晰的，针对性较强的，得3分；</w:t>
            </w:r>
          </w:p>
          <w:p>
            <w:pPr>
              <w:spacing w:line="300" w:lineRule="exact"/>
              <w:rPr>
                <w:rFonts w:ascii="宋体" w:hAnsi="宋体" w:cs="宋体"/>
                <w:color w:val="000000"/>
                <w:highlight w:val="none"/>
              </w:rPr>
            </w:pPr>
            <w:r>
              <w:rPr>
                <w:rFonts w:hint="eastAsia" w:ascii="宋体" w:hAnsi="宋体" w:cs="宋体"/>
                <w:color w:val="000000"/>
                <w:highlight w:val="none"/>
              </w:rPr>
              <w:t>（3）投标人</w:t>
            </w:r>
            <w:r>
              <w:rPr>
                <w:rFonts w:hint="eastAsia" w:ascii="宋体" w:hAnsi="宋体" w:cs="新宋体"/>
                <w:szCs w:val="21"/>
                <w:highlight w:val="none"/>
              </w:rPr>
              <w:t>提供的</w:t>
            </w:r>
            <w:r>
              <w:rPr>
                <w:rFonts w:hint="eastAsia" w:ascii="宋体" w:hAnsi="宋体" w:cs="宋体"/>
                <w:bCs/>
                <w:szCs w:val="21"/>
                <w:highlight w:val="none"/>
              </w:rPr>
              <w:t>重大活动保障方案</w:t>
            </w:r>
            <w:r>
              <w:rPr>
                <w:rFonts w:hint="eastAsia" w:ascii="宋体" w:hAnsi="宋体" w:cs="新宋体"/>
                <w:szCs w:val="21"/>
                <w:highlight w:val="none"/>
              </w:rPr>
              <w:t>，方案内容阐述空泛，思路模糊的，有明显漏洞的，得1分。</w:t>
            </w:r>
          </w:p>
        </w:tc>
      </w:tr>
      <w:tr>
        <w:trPr>
          <w:cantSplit/>
          <w:trHeight w:val="525" w:hRule="atLeast"/>
          <w:jc w:val="center"/>
        </w:trPr>
        <w:tc>
          <w:tcPr>
            <w:tcW w:w="96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77"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320" w:type="dxa"/>
            <w:tcBorders>
              <w:left w:val="single" w:color="auto" w:sz="4" w:space="0"/>
              <w:bottom w:val="single" w:color="auto" w:sz="4" w:space="0"/>
              <w:right w:val="single" w:color="auto" w:sz="2" w:space="0"/>
            </w:tcBorders>
            <w:vAlign w:val="center"/>
          </w:tcPr>
          <w:p>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培训方案</w:t>
            </w:r>
          </w:p>
          <w:p>
            <w:pPr>
              <w:autoSpaceDE w:val="0"/>
              <w:autoSpaceDN w:val="0"/>
              <w:adjustRightInd w:val="0"/>
              <w:jc w:val="center"/>
              <w:rPr>
                <w:rFonts w:ascii="宋体" w:hAnsi="宋体"/>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3</w:t>
            </w:r>
            <w:r>
              <w:rPr>
                <w:rFonts w:hint="eastAsia" w:ascii="宋体" w:hAnsi="宋体" w:cs="宋体"/>
                <w:bCs/>
                <w:szCs w:val="21"/>
                <w:highlight w:val="none"/>
              </w:rPr>
              <w:t>分）</w:t>
            </w:r>
          </w:p>
        </w:tc>
        <w:tc>
          <w:tcPr>
            <w:tcW w:w="6817" w:type="dxa"/>
            <w:tcBorders>
              <w:top w:val="single" w:color="auto" w:sz="4" w:space="0"/>
              <w:left w:val="single" w:color="auto" w:sz="4" w:space="0"/>
              <w:bottom w:val="single" w:color="auto" w:sz="4" w:space="0"/>
              <w:right w:val="single" w:color="auto" w:sz="2" w:space="0"/>
            </w:tcBorders>
            <w:vAlign w:val="center"/>
          </w:tcPr>
          <w:p>
            <w:pPr>
              <w:numPr>
                <w:ilvl w:val="0"/>
                <w:numId w:val="0"/>
              </w:numPr>
              <w:spacing w:line="300" w:lineRule="exact"/>
              <w:rPr>
                <w:rFonts w:hint="eastAsia" w:ascii="宋体" w:hAnsi="宋体" w:cs="宋体"/>
                <w:bCs/>
                <w:szCs w:val="21"/>
                <w:highlight w:val="none"/>
              </w:rPr>
            </w:pPr>
            <w:r>
              <w:rPr>
                <w:rFonts w:hint="eastAsia" w:ascii="宋体" w:hAnsi="宋体" w:cs="宋体"/>
                <w:bCs/>
                <w:szCs w:val="21"/>
                <w:highlight w:val="none"/>
              </w:rPr>
              <w:t>根据</w:t>
            </w:r>
            <w:r>
              <w:rPr>
                <w:rFonts w:hint="eastAsia" w:ascii="宋体" w:hAnsi="宋体" w:cs="宋体"/>
                <w:color w:val="000000"/>
                <w:highlight w:val="none"/>
              </w:rPr>
              <w:t>投标人</w:t>
            </w:r>
            <w:r>
              <w:rPr>
                <w:rFonts w:hint="eastAsia" w:ascii="宋体" w:hAnsi="宋体" w:cs="宋体"/>
                <w:bCs/>
                <w:szCs w:val="21"/>
                <w:highlight w:val="none"/>
              </w:rPr>
              <w:t>提供的培训方案、计划的可行性及合理性。要求方案内容包含但不限于培训师资、培训课程、培训时间、培训方式等内容，本项最高得</w:t>
            </w:r>
            <w:r>
              <w:rPr>
                <w:rFonts w:hint="eastAsia" w:ascii="宋体" w:hAnsi="宋体" w:cs="宋体"/>
                <w:bCs/>
                <w:szCs w:val="21"/>
                <w:highlight w:val="none"/>
                <w:lang w:val="en-US" w:eastAsia="zh-CN"/>
              </w:rPr>
              <w:t>3</w:t>
            </w:r>
            <w:r>
              <w:rPr>
                <w:rFonts w:hint="eastAsia" w:ascii="宋体" w:hAnsi="宋体" w:cs="宋体"/>
                <w:bCs/>
                <w:szCs w:val="21"/>
                <w:highlight w:val="none"/>
              </w:rPr>
              <w:t>分，未提供不得分。</w:t>
            </w:r>
          </w:p>
          <w:p>
            <w:pPr>
              <w:numPr>
                <w:ilvl w:val="0"/>
                <w:numId w:val="0"/>
              </w:numPr>
              <w:spacing w:line="300" w:lineRule="exact"/>
              <w:rPr>
                <w:rFonts w:hint="eastAsia" w:ascii="宋体" w:hAnsi="宋体" w:eastAsia="宋体" w:cs="宋体"/>
                <w:b w:val="0"/>
                <w:bCs w:val="0"/>
                <w:color w:val="000000"/>
                <w:sz w:val="21"/>
                <w:szCs w:val="21"/>
                <w:highlight w:val="none"/>
                <w:lang w:val="en-US" w:eastAsia="zh-CN"/>
              </w:rPr>
            </w:pPr>
            <w:r>
              <w:rPr>
                <w:rFonts w:hint="eastAsia" w:ascii="宋体" w:hAnsi="宋体" w:cs="宋体"/>
                <w:bCs/>
                <w:szCs w:val="21"/>
                <w:highlight w:val="none"/>
                <w:lang w:eastAsia="zh-CN"/>
              </w:rPr>
              <w:t>（</w:t>
            </w:r>
            <w:r>
              <w:rPr>
                <w:rFonts w:hint="eastAsia" w:ascii="宋体" w:hAnsi="宋体" w:cs="宋体"/>
                <w:bCs/>
                <w:szCs w:val="21"/>
                <w:highlight w:val="none"/>
                <w:lang w:val="en-US" w:eastAsia="zh-CN"/>
              </w:rPr>
              <w:t>1）</w:t>
            </w:r>
            <w:r>
              <w:rPr>
                <w:rFonts w:hint="eastAsia" w:ascii="宋体" w:hAnsi="宋体" w:eastAsia="宋体" w:cs="宋体"/>
                <w:b w:val="0"/>
                <w:bCs w:val="0"/>
                <w:color w:val="000000"/>
                <w:sz w:val="21"/>
                <w:szCs w:val="21"/>
                <w:highlight w:val="none"/>
                <w:lang w:val="en-US" w:eastAsia="zh-CN"/>
              </w:rPr>
              <w:t>培训方案全面合理有效，具有详细的培训计划、培训师资力量、培训内容，得3分。</w:t>
            </w:r>
          </w:p>
          <w:p>
            <w:pPr>
              <w:numPr>
                <w:ilvl w:val="0"/>
                <w:numId w:val="0"/>
              </w:numPr>
              <w:spacing w:line="300" w:lineRule="exact"/>
              <w:rPr>
                <w:rFonts w:hint="default" w:ascii="宋体" w:hAnsi="宋体" w:cs="宋体"/>
                <w:szCs w:val="21"/>
                <w:highlight w:val="none"/>
                <w:lang w:val="en-US"/>
              </w:rPr>
            </w:pPr>
            <w:r>
              <w:rPr>
                <w:rFonts w:hint="eastAsia" w:ascii="宋体" w:hAnsi="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lang w:val="en-US" w:eastAsia="zh-CN"/>
              </w:rPr>
              <w:t>培训方案不够全面，有效性欠缺，培训计划、培训师资力量、培训内容不够详细，得</w:t>
            </w:r>
            <w:r>
              <w:rPr>
                <w:rFonts w:hint="eastAsia" w:ascii="宋体" w:hAnsi="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lang w:val="en-US" w:eastAsia="zh-CN"/>
              </w:rPr>
              <w:t>分。培训方案片面，</w:t>
            </w:r>
          </w:p>
          <w:p>
            <w:pPr>
              <w:numPr>
                <w:ilvl w:val="0"/>
                <w:numId w:val="0"/>
              </w:numPr>
              <w:spacing w:line="300" w:lineRule="exact"/>
              <w:rPr>
                <w:rFonts w:hint="default" w:ascii="宋体" w:hAnsi="宋体" w:cs="宋体"/>
                <w:szCs w:val="21"/>
                <w:highlight w:val="none"/>
                <w:lang w:val="en-US"/>
              </w:rPr>
            </w:pPr>
            <w:r>
              <w:rPr>
                <w:rFonts w:hint="eastAsia" w:ascii="宋体" w:hAnsi="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lang w:val="en-US" w:eastAsia="zh-CN"/>
              </w:rPr>
              <w:t>不具有执行有效性，培训计划、培训师资力量、培训内容不详细，得</w:t>
            </w:r>
            <w:r>
              <w:rPr>
                <w:rFonts w:hint="eastAsia" w:ascii="宋体" w:hAnsi="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lang w:val="en-US" w:eastAsia="zh-CN"/>
              </w:rPr>
              <w:t>分。</w:t>
            </w:r>
          </w:p>
        </w:tc>
      </w:tr>
      <w:tr>
        <w:trPr>
          <w:cantSplit/>
          <w:trHeight w:val="3049" w:hRule="atLeast"/>
          <w:jc w:val="center"/>
        </w:trPr>
        <w:tc>
          <w:tcPr>
            <w:tcW w:w="96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77" w:type="dxa"/>
            <w:vMerge w:val="restart"/>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r>
              <w:rPr>
                <w:rFonts w:hint="eastAsia" w:ascii="宋体" w:hAnsi="宋体"/>
                <w:snapToGrid w:val="0"/>
                <w:spacing w:val="-4"/>
                <w:szCs w:val="21"/>
                <w:highlight w:val="none"/>
              </w:rPr>
              <w:t>商务部分（</w:t>
            </w:r>
            <w:r>
              <w:rPr>
                <w:rFonts w:hint="eastAsia" w:ascii="宋体" w:hAnsi="宋体"/>
                <w:snapToGrid w:val="0"/>
                <w:spacing w:val="-4"/>
                <w:szCs w:val="21"/>
                <w:highlight w:val="none"/>
                <w:lang w:val="en-US" w:eastAsia="zh-CN"/>
              </w:rPr>
              <w:t>13</w:t>
            </w:r>
            <w:r>
              <w:rPr>
                <w:rFonts w:hint="eastAsia" w:ascii="宋体" w:hAnsi="宋体"/>
                <w:snapToGrid w:val="0"/>
                <w:spacing w:val="-4"/>
                <w:szCs w:val="21"/>
                <w:highlight w:val="none"/>
              </w:rPr>
              <w:t>分）</w:t>
            </w:r>
          </w:p>
        </w:tc>
        <w:tc>
          <w:tcPr>
            <w:tcW w:w="1320" w:type="dxa"/>
            <w:tcBorders>
              <w:left w:val="single" w:color="auto" w:sz="4" w:space="0"/>
              <w:right w:val="single" w:color="auto" w:sz="2" w:space="0"/>
            </w:tcBorders>
            <w:vAlign w:val="center"/>
          </w:tcPr>
          <w:p>
            <w:pPr>
              <w:spacing w:line="300" w:lineRule="exact"/>
              <w:jc w:val="center"/>
              <w:rPr>
                <w:rFonts w:asciiTheme="minorEastAsia" w:hAnsiTheme="minorEastAsia" w:eastAsiaTheme="minorEastAsia"/>
                <w:szCs w:val="21"/>
                <w:highlight w:val="none"/>
                <w:lang w:bidi="ar"/>
              </w:rPr>
            </w:pPr>
            <w:r>
              <w:rPr>
                <w:rFonts w:hint="eastAsia" w:asciiTheme="minorEastAsia" w:hAnsiTheme="minorEastAsia" w:eastAsiaTheme="minorEastAsia"/>
                <w:szCs w:val="21"/>
                <w:highlight w:val="none"/>
                <w:lang w:bidi="ar"/>
              </w:rPr>
              <w:t>团队配置</w:t>
            </w:r>
          </w:p>
          <w:p>
            <w:pPr>
              <w:spacing w:line="300" w:lineRule="exact"/>
              <w:jc w:val="center"/>
              <w:rPr>
                <w:rFonts w:asciiTheme="minorEastAsia" w:hAnsiTheme="minorEastAsia" w:eastAsiaTheme="minorEastAsia"/>
                <w:szCs w:val="21"/>
                <w:highlight w:val="none"/>
                <w:lang w:bidi="ar"/>
              </w:rPr>
            </w:pPr>
            <w:r>
              <w:rPr>
                <w:rFonts w:hint="eastAsia" w:asciiTheme="minorEastAsia" w:hAnsiTheme="minorEastAsia" w:eastAsiaTheme="minorEastAsia"/>
                <w:szCs w:val="21"/>
                <w:highlight w:val="none"/>
                <w:lang w:bidi="ar"/>
              </w:rPr>
              <w:t>（</w:t>
            </w:r>
            <w:r>
              <w:rPr>
                <w:rFonts w:hint="eastAsia" w:asciiTheme="minorEastAsia" w:hAnsiTheme="minorEastAsia" w:eastAsiaTheme="minorEastAsia"/>
                <w:szCs w:val="21"/>
                <w:highlight w:val="none"/>
                <w:lang w:eastAsia="zh-CN" w:bidi="ar"/>
              </w:rPr>
              <w:t>7</w:t>
            </w:r>
            <w:r>
              <w:rPr>
                <w:rFonts w:hint="eastAsia" w:asciiTheme="minorEastAsia" w:hAnsiTheme="minorEastAsia" w:eastAsiaTheme="minorEastAsia"/>
                <w:szCs w:val="21"/>
                <w:highlight w:val="none"/>
                <w:lang w:bidi="ar"/>
              </w:rPr>
              <w:t>分）</w:t>
            </w:r>
          </w:p>
        </w:tc>
        <w:tc>
          <w:tcPr>
            <w:tcW w:w="6817" w:type="dxa"/>
            <w:tcBorders>
              <w:top w:val="single" w:color="auto" w:sz="4" w:space="0"/>
              <w:left w:val="single" w:color="auto" w:sz="4" w:space="0"/>
              <w:bottom w:val="single" w:color="auto" w:sz="4" w:space="0"/>
              <w:right w:val="single" w:color="auto" w:sz="2" w:space="0"/>
            </w:tcBorders>
            <w:vAlign w:val="center"/>
          </w:tcPr>
          <w:p>
            <w:pPr>
              <w:spacing w:line="300" w:lineRule="exact"/>
              <w:rPr>
                <w:rFonts w:asciiTheme="minorEastAsia" w:hAnsiTheme="minorEastAsia" w:eastAsiaTheme="minorEastAsia"/>
                <w:szCs w:val="21"/>
                <w:highlight w:val="none"/>
                <w:lang w:bidi="ar"/>
              </w:rPr>
            </w:pPr>
            <w:r>
              <w:rPr>
                <w:rFonts w:hint="eastAsia" w:asciiTheme="minorEastAsia" w:hAnsiTheme="minorEastAsia" w:eastAsiaTheme="minorEastAsia"/>
                <w:szCs w:val="21"/>
                <w:highlight w:val="none"/>
                <w:lang w:bidi="ar"/>
              </w:rPr>
              <w:t>（1）项目经理具有信息系统项目管理师的得1分，具有注册信息安全专业人员证书（CISP证书）的</w:t>
            </w:r>
            <w:r>
              <w:rPr>
                <w:rFonts w:hint="eastAsia" w:asciiTheme="minorEastAsia" w:hAnsiTheme="minorEastAsia" w:eastAsiaTheme="minorEastAsia"/>
                <w:szCs w:val="21"/>
                <w:highlight w:val="none"/>
                <w:lang w:val="en-US" w:eastAsia="zh-CN" w:bidi="ar"/>
              </w:rPr>
              <w:t>得</w:t>
            </w:r>
            <w:r>
              <w:rPr>
                <w:rFonts w:hint="eastAsia" w:asciiTheme="minorEastAsia" w:hAnsiTheme="minorEastAsia" w:eastAsiaTheme="minorEastAsia"/>
                <w:szCs w:val="21"/>
                <w:highlight w:val="none"/>
                <w:lang w:bidi="ar"/>
              </w:rPr>
              <w:t>1分，</w:t>
            </w:r>
            <w:r>
              <w:rPr>
                <w:rFonts w:hint="eastAsia" w:asciiTheme="minorEastAsia" w:hAnsiTheme="minorEastAsia" w:eastAsiaTheme="minorEastAsia"/>
                <w:szCs w:val="21"/>
                <w:highlight w:val="none"/>
                <w:lang w:val="en-US" w:eastAsia="zh-CN" w:bidi="ar"/>
              </w:rPr>
              <w:t>具有网络规划设计师</w:t>
            </w:r>
            <w:r>
              <w:rPr>
                <w:rFonts w:hint="eastAsia" w:asciiTheme="minorEastAsia" w:hAnsiTheme="minorEastAsia" w:eastAsiaTheme="minorEastAsia"/>
                <w:szCs w:val="21"/>
                <w:highlight w:val="none"/>
                <w:lang w:bidi="ar"/>
              </w:rPr>
              <w:t>的得1分</w:t>
            </w:r>
            <w:r>
              <w:rPr>
                <w:rFonts w:hint="eastAsia" w:asciiTheme="minorEastAsia" w:hAnsiTheme="minorEastAsia" w:eastAsiaTheme="minorEastAsia"/>
                <w:szCs w:val="21"/>
                <w:highlight w:val="none"/>
                <w:lang w:eastAsia="zh-CN" w:bidi="ar"/>
              </w:rPr>
              <w:t>，</w:t>
            </w:r>
            <w:r>
              <w:rPr>
                <w:rFonts w:hint="eastAsia" w:asciiTheme="minorEastAsia" w:hAnsiTheme="minorEastAsia" w:eastAsiaTheme="minorEastAsia"/>
                <w:szCs w:val="21"/>
                <w:highlight w:val="none"/>
                <w:lang w:bidi="ar"/>
              </w:rPr>
              <w:t>本项最高得3分。</w:t>
            </w:r>
          </w:p>
          <w:p>
            <w:pPr>
              <w:spacing w:line="300" w:lineRule="exact"/>
              <w:rPr>
                <w:rFonts w:asciiTheme="minorEastAsia" w:hAnsiTheme="minorEastAsia" w:eastAsiaTheme="minorEastAsia"/>
                <w:color w:val="auto"/>
                <w:szCs w:val="21"/>
                <w:highlight w:val="none"/>
                <w:lang w:bidi="ar"/>
              </w:rPr>
            </w:pPr>
            <w:r>
              <w:rPr>
                <w:rFonts w:hint="eastAsia" w:asciiTheme="minorEastAsia" w:hAnsiTheme="minorEastAsia" w:eastAsiaTheme="minorEastAsia"/>
                <w:szCs w:val="21"/>
                <w:highlight w:val="none"/>
                <w:lang w:bidi="ar"/>
              </w:rPr>
              <w:t>（2）技术负责人</w:t>
            </w:r>
            <w:r>
              <w:rPr>
                <w:rFonts w:hint="eastAsia" w:asciiTheme="minorEastAsia" w:hAnsiTheme="minorEastAsia" w:eastAsiaTheme="minorEastAsia"/>
                <w:color w:val="auto"/>
                <w:szCs w:val="21"/>
                <w:highlight w:val="none"/>
                <w:lang w:bidi="ar"/>
              </w:rPr>
              <w:t>具有注册信息安全专业人员证书（CISP证书）</w:t>
            </w:r>
            <w:r>
              <w:rPr>
                <w:rFonts w:hint="eastAsia" w:asciiTheme="minorEastAsia" w:hAnsiTheme="minorEastAsia" w:eastAsiaTheme="minorEastAsia"/>
                <w:color w:val="auto"/>
                <w:szCs w:val="21"/>
                <w:highlight w:val="none"/>
                <w:lang w:val="en-US" w:eastAsia="zh-CN" w:bidi="ar"/>
              </w:rPr>
              <w:t>的得2分</w:t>
            </w:r>
            <w:r>
              <w:rPr>
                <w:rFonts w:hint="eastAsia" w:asciiTheme="minorEastAsia" w:hAnsiTheme="minorEastAsia" w:eastAsiaTheme="minorEastAsia"/>
                <w:color w:val="auto"/>
                <w:szCs w:val="21"/>
                <w:highlight w:val="none"/>
                <w:lang w:bidi="ar"/>
              </w:rPr>
              <w:t>，最高得</w:t>
            </w:r>
            <w:r>
              <w:rPr>
                <w:rFonts w:hint="eastAsia" w:asciiTheme="minorEastAsia" w:hAnsiTheme="minorEastAsia" w:eastAsiaTheme="minorEastAsia"/>
                <w:color w:val="auto"/>
                <w:szCs w:val="21"/>
                <w:highlight w:val="none"/>
                <w:lang w:val="en-US" w:eastAsia="zh-CN" w:bidi="ar"/>
              </w:rPr>
              <w:t>2</w:t>
            </w:r>
            <w:r>
              <w:rPr>
                <w:rFonts w:hint="eastAsia" w:asciiTheme="minorEastAsia" w:hAnsiTheme="minorEastAsia" w:eastAsiaTheme="minorEastAsia"/>
                <w:color w:val="auto"/>
                <w:szCs w:val="21"/>
                <w:highlight w:val="none"/>
                <w:lang w:bidi="ar"/>
              </w:rPr>
              <w:t>分。</w:t>
            </w:r>
          </w:p>
          <w:p>
            <w:pPr>
              <w:spacing w:line="300" w:lineRule="exact"/>
              <w:rPr>
                <w:rFonts w:asciiTheme="minorEastAsia" w:hAnsiTheme="minorEastAsia" w:eastAsiaTheme="minorEastAsia"/>
                <w:color w:val="auto"/>
                <w:szCs w:val="21"/>
                <w:highlight w:val="none"/>
                <w:lang w:bidi="ar"/>
              </w:rPr>
            </w:pPr>
            <w:r>
              <w:rPr>
                <w:rFonts w:hint="eastAsia" w:asciiTheme="minorEastAsia" w:hAnsiTheme="minorEastAsia" w:eastAsiaTheme="minorEastAsia"/>
                <w:color w:val="auto"/>
                <w:szCs w:val="21"/>
                <w:highlight w:val="none"/>
                <w:lang w:bidi="ar"/>
              </w:rPr>
              <w:t>（3）根据项目组其他成员（除项目经理、技术负责人）具有网络工程师、信息安全保障人员认证（CISAW）的，每项证书得1分，最高得</w:t>
            </w:r>
            <w:r>
              <w:rPr>
                <w:rFonts w:hint="eastAsia" w:asciiTheme="minorEastAsia" w:hAnsiTheme="minorEastAsia" w:eastAsiaTheme="minorEastAsia"/>
                <w:color w:val="auto"/>
                <w:szCs w:val="21"/>
                <w:highlight w:val="none"/>
                <w:lang w:val="en-US" w:eastAsia="zh-CN" w:bidi="ar"/>
              </w:rPr>
              <w:t>2</w:t>
            </w:r>
            <w:r>
              <w:rPr>
                <w:rFonts w:hint="eastAsia" w:asciiTheme="minorEastAsia" w:hAnsiTheme="minorEastAsia" w:eastAsiaTheme="minorEastAsia"/>
                <w:color w:val="auto"/>
                <w:szCs w:val="21"/>
                <w:highlight w:val="none"/>
                <w:lang w:bidi="ar"/>
              </w:rPr>
              <w:t>分。同一位组员有多本证的只计一本；单本证书不重复得分。</w:t>
            </w:r>
          </w:p>
          <w:p>
            <w:pPr>
              <w:spacing w:line="300" w:lineRule="exact"/>
              <w:rPr>
                <w:rFonts w:asciiTheme="minorEastAsia" w:hAnsiTheme="minorEastAsia" w:eastAsiaTheme="minorEastAsia"/>
                <w:szCs w:val="21"/>
                <w:highlight w:val="none"/>
                <w:lang w:bidi="ar"/>
              </w:rPr>
            </w:pPr>
            <w:r>
              <w:rPr>
                <w:rFonts w:hint="eastAsia" w:asciiTheme="minorEastAsia" w:hAnsiTheme="minorEastAsia" w:eastAsiaTheme="minorEastAsia"/>
                <w:szCs w:val="21"/>
                <w:highlight w:val="none"/>
                <w:lang w:bidi="ar"/>
              </w:rPr>
              <w:t>注：须提供有效期内证书复印件和</w:t>
            </w:r>
            <w:r>
              <w:rPr>
                <w:rFonts w:hint="eastAsia" w:ascii="宋体" w:hAnsi="宋体"/>
                <w:snapToGrid w:val="0"/>
                <w:spacing w:val="-4"/>
                <w:szCs w:val="21"/>
                <w:highlight w:val="none"/>
              </w:rPr>
              <w:t>投标截止日前半年内任意</w:t>
            </w:r>
            <w:r>
              <w:rPr>
                <w:rFonts w:hint="eastAsia" w:ascii="宋体" w:hAnsi="宋体"/>
                <w:snapToGrid w:val="0"/>
                <w:spacing w:val="-4"/>
                <w:szCs w:val="21"/>
                <w:highlight w:val="none"/>
                <w:lang w:val="en-US" w:eastAsia="zh-CN"/>
              </w:rPr>
              <w:t>二</w:t>
            </w:r>
            <w:r>
              <w:rPr>
                <w:rFonts w:hint="eastAsia" w:ascii="宋体" w:hAnsi="宋体"/>
                <w:snapToGrid w:val="0"/>
                <w:spacing w:val="-4"/>
                <w:szCs w:val="21"/>
                <w:highlight w:val="none"/>
              </w:rPr>
              <w:t>个月的社保缴费证明复印件并加盖公章或提供项目团队为投标人本单位人员的承诺函原件</w:t>
            </w:r>
            <w:r>
              <w:rPr>
                <w:rFonts w:hint="eastAsia" w:asciiTheme="minorEastAsia" w:hAnsiTheme="minorEastAsia" w:eastAsiaTheme="minorEastAsia"/>
                <w:szCs w:val="21"/>
                <w:highlight w:val="none"/>
                <w:lang w:bidi="ar"/>
              </w:rPr>
              <w:t>，否则不得分。</w:t>
            </w:r>
          </w:p>
        </w:tc>
      </w:tr>
      <w:tr>
        <w:trPr>
          <w:cantSplit/>
          <w:trHeight w:val="873" w:hRule="atLeast"/>
          <w:jc w:val="center"/>
        </w:trPr>
        <w:tc>
          <w:tcPr>
            <w:tcW w:w="96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77"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320" w:type="dxa"/>
            <w:tcBorders>
              <w:left w:val="single" w:color="auto" w:sz="4" w:space="0"/>
              <w:right w:val="single" w:color="auto" w:sz="2" w:space="0"/>
            </w:tcBorders>
            <w:vAlign w:val="center"/>
          </w:tcPr>
          <w:p>
            <w:pPr>
              <w:spacing w:line="300" w:lineRule="exact"/>
              <w:jc w:val="center"/>
              <w:rPr>
                <w:rFonts w:asciiTheme="minorEastAsia" w:hAnsiTheme="minorEastAsia" w:eastAsiaTheme="minorEastAsia"/>
                <w:szCs w:val="21"/>
                <w:highlight w:val="none"/>
                <w:lang w:bidi="ar"/>
              </w:rPr>
            </w:pPr>
            <w:r>
              <w:rPr>
                <w:rFonts w:hint="eastAsia" w:asciiTheme="minorEastAsia" w:hAnsiTheme="minorEastAsia" w:eastAsiaTheme="minorEastAsia"/>
                <w:szCs w:val="21"/>
                <w:highlight w:val="none"/>
                <w:lang w:bidi="ar"/>
              </w:rPr>
              <w:t>综合实力(</w:t>
            </w:r>
            <w:r>
              <w:rPr>
                <w:rFonts w:hint="eastAsia" w:asciiTheme="minorEastAsia" w:hAnsiTheme="minorEastAsia" w:eastAsiaTheme="minorEastAsia"/>
                <w:szCs w:val="21"/>
                <w:highlight w:val="none"/>
                <w:lang w:val="en-US" w:eastAsia="zh-CN" w:bidi="ar"/>
              </w:rPr>
              <w:t>4</w:t>
            </w:r>
            <w:r>
              <w:rPr>
                <w:rFonts w:hint="eastAsia" w:asciiTheme="minorEastAsia" w:hAnsiTheme="minorEastAsia" w:eastAsiaTheme="minorEastAsia"/>
                <w:szCs w:val="21"/>
                <w:highlight w:val="none"/>
                <w:lang w:bidi="ar"/>
              </w:rPr>
              <w:t>分）</w:t>
            </w:r>
          </w:p>
        </w:tc>
        <w:tc>
          <w:tcPr>
            <w:tcW w:w="6817" w:type="dxa"/>
            <w:tcBorders>
              <w:top w:val="single" w:color="auto" w:sz="4" w:space="0"/>
              <w:left w:val="single" w:color="auto" w:sz="4" w:space="0"/>
              <w:bottom w:val="single" w:color="auto" w:sz="4" w:space="0"/>
              <w:right w:val="single" w:color="auto" w:sz="2" w:space="0"/>
            </w:tcBorders>
            <w:vAlign w:val="center"/>
          </w:tcPr>
          <w:p>
            <w:pPr>
              <w:spacing w:line="300" w:lineRule="exact"/>
              <w:rPr>
                <w:rFonts w:asciiTheme="minorEastAsia" w:hAnsiTheme="minorEastAsia" w:eastAsiaTheme="minorEastAsia"/>
                <w:szCs w:val="21"/>
                <w:highlight w:val="none"/>
                <w:lang w:bidi="ar"/>
              </w:rPr>
            </w:pPr>
            <w:r>
              <w:rPr>
                <w:rFonts w:hint="eastAsia" w:asciiTheme="minorEastAsia" w:hAnsiTheme="minorEastAsia" w:eastAsiaTheme="minorEastAsia"/>
                <w:szCs w:val="21"/>
                <w:highlight w:val="none"/>
                <w:lang w:bidi="ar"/>
              </w:rPr>
              <w:t>投标人具有有效的ISO27001信息安全管理体系认证的得</w:t>
            </w:r>
            <w:r>
              <w:rPr>
                <w:rFonts w:hint="eastAsia" w:asciiTheme="minorEastAsia" w:hAnsiTheme="minorEastAsia" w:eastAsiaTheme="minorEastAsia"/>
                <w:szCs w:val="21"/>
                <w:highlight w:val="none"/>
                <w:lang w:val="en-US" w:eastAsia="zh-CN" w:bidi="ar"/>
              </w:rPr>
              <w:t>2</w:t>
            </w:r>
            <w:r>
              <w:rPr>
                <w:rFonts w:hint="eastAsia" w:asciiTheme="minorEastAsia" w:hAnsiTheme="minorEastAsia" w:eastAsiaTheme="minorEastAsia"/>
                <w:szCs w:val="21"/>
                <w:highlight w:val="none"/>
                <w:lang w:bidi="ar"/>
              </w:rPr>
              <w:t>分；具有有效的信息技术服务ITSS证书的得</w:t>
            </w:r>
            <w:r>
              <w:rPr>
                <w:rFonts w:hint="eastAsia" w:asciiTheme="minorEastAsia" w:hAnsiTheme="minorEastAsia" w:eastAsiaTheme="minorEastAsia"/>
                <w:szCs w:val="21"/>
                <w:highlight w:val="none"/>
                <w:lang w:val="en-US" w:eastAsia="zh-CN" w:bidi="ar"/>
              </w:rPr>
              <w:t>2</w:t>
            </w:r>
            <w:r>
              <w:rPr>
                <w:rFonts w:hint="eastAsia" w:asciiTheme="minorEastAsia" w:hAnsiTheme="minorEastAsia" w:eastAsiaTheme="minorEastAsia"/>
                <w:szCs w:val="21"/>
                <w:highlight w:val="none"/>
                <w:lang w:bidi="ar"/>
              </w:rPr>
              <w:t>分。</w:t>
            </w:r>
          </w:p>
          <w:p>
            <w:pPr>
              <w:spacing w:line="300" w:lineRule="exact"/>
              <w:rPr>
                <w:rFonts w:asciiTheme="minorEastAsia" w:hAnsiTheme="minorEastAsia" w:eastAsiaTheme="minorEastAsia"/>
                <w:szCs w:val="21"/>
                <w:highlight w:val="none"/>
                <w:lang w:bidi="ar"/>
              </w:rPr>
            </w:pPr>
            <w:r>
              <w:rPr>
                <w:rFonts w:hint="eastAsia" w:asciiTheme="minorEastAsia" w:hAnsiTheme="minorEastAsia" w:eastAsiaTheme="minorEastAsia"/>
                <w:szCs w:val="21"/>
                <w:highlight w:val="none"/>
                <w:lang w:bidi="ar"/>
              </w:rPr>
              <w:t>注：须提供有效期内证书复印件加盖公章，否则不得分。</w:t>
            </w:r>
          </w:p>
        </w:tc>
      </w:tr>
      <w:tr>
        <w:trPr>
          <w:cantSplit/>
          <w:trHeight w:val="612" w:hRule="atLeast"/>
          <w:jc w:val="center"/>
        </w:trPr>
        <w:tc>
          <w:tcPr>
            <w:tcW w:w="96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77"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320" w:type="dxa"/>
            <w:tcBorders>
              <w:left w:val="single" w:color="auto" w:sz="4" w:space="0"/>
              <w:right w:val="single" w:color="auto" w:sz="2" w:space="0"/>
            </w:tcBorders>
            <w:vAlign w:val="center"/>
          </w:tcPr>
          <w:p>
            <w:pPr>
              <w:spacing w:line="300" w:lineRule="exact"/>
              <w:jc w:val="center"/>
              <w:rPr>
                <w:rFonts w:asciiTheme="minorEastAsia" w:hAnsiTheme="minorEastAsia" w:eastAsiaTheme="minorEastAsia"/>
                <w:szCs w:val="21"/>
                <w:highlight w:val="none"/>
                <w:lang w:bidi="ar"/>
              </w:rPr>
            </w:pPr>
            <w:r>
              <w:rPr>
                <w:rFonts w:hint="eastAsia" w:asciiTheme="minorEastAsia" w:hAnsiTheme="minorEastAsia" w:eastAsiaTheme="minorEastAsia"/>
                <w:szCs w:val="21"/>
                <w:highlight w:val="none"/>
                <w:lang w:bidi="ar"/>
              </w:rPr>
              <w:t>业绩</w:t>
            </w:r>
          </w:p>
          <w:p>
            <w:pPr>
              <w:spacing w:line="300" w:lineRule="exact"/>
              <w:jc w:val="center"/>
              <w:rPr>
                <w:rFonts w:asciiTheme="minorEastAsia" w:hAnsiTheme="minorEastAsia" w:eastAsiaTheme="minorEastAsia"/>
                <w:szCs w:val="21"/>
                <w:highlight w:val="none"/>
                <w:lang w:bidi="ar"/>
              </w:rPr>
            </w:pPr>
            <w:r>
              <w:rPr>
                <w:rFonts w:hint="eastAsia" w:asciiTheme="minorEastAsia" w:hAnsiTheme="minorEastAsia" w:eastAsiaTheme="minorEastAsia"/>
                <w:szCs w:val="21"/>
                <w:highlight w:val="none"/>
                <w:lang w:bidi="ar"/>
              </w:rPr>
              <w:t>（</w:t>
            </w:r>
            <w:r>
              <w:rPr>
                <w:rFonts w:hint="eastAsia" w:asciiTheme="minorEastAsia" w:hAnsiTheme="minorEastAsia" w:eastAsiaTheme="minorEastAsia"/>
                <w:szCs w:val="21"/>
                <w:highlight w:val="none"/>
                <w:lang w:val="en-US" w:eastAsia="zh-CN" w:bidi="ar"/>
              </w:rPr>
              <w:t>2</w:t>
            </w:r>
            <w:r>
              <w:rPr>
                <w:rFonts w:hint="eastAsia" w:asciiTheme="minorEastAsia" w:hAnsiTheme="minorEastAsia" w:eastAsiaTheme="minorEastAsia"/>
                <w:szCs w:val="21"/>
                <w:highlight w:val="none"/>
                <w:lang w:bidi="ar"/>
              </w:rPr>
              <w:t>分）</w:t>
            </w:r>
          </w:p>
        </w:tc>
        <w:tc>
          <w:tcPr>
            <w:tcW w:w="6817" w:type="dxa"/>
            <w:tcBorders>
              <w:top w:val="single" w:color="auto" w:sz="4" w:space="0"/>
              <w:left w:val="single" w:color="auto" w:sz="4" w:space="0"/>
              <w:bottom w:val="single" w:color="auto" w:sz="4" w:space="0"/>
              <w:right w:val="single" w:color="auto" w:sz="2" w:space="0"/>
            </w:tcBorders>
            <w:vAlign w:val="center"/>
          </w:tcPr>
          <w:p>
            <w:pPr>
              <w:spacing w:line="300" w:lineRule="exact"/>
              <w:rPr>
                <w:rFonts w:asciiTheme="minorEastAsia" w:hAnsiTheme="minorEastAsia" w:eastAsiaTheme="minorEastAsia"/>
                <w:szCs w:val="21"/>
                <w:highlight w:val="none"/>
                <w:lang w:bidi="ar"/>
              </w:rPr>
            </w:pPr>
            <w:r>
              <w:rPr>
                <w:rFonts w:hint="eastAsia" w:asciiTheme="minorEastAsia" w:hAnsiTheme="minorEastAsia" w:eastAsiaTheme="minorEastAsia"/>
                <w:szCs w:val="21"/>
                <w:highlight w:val="none"/>
                <w:lang w:bidi="ar"/>
              </w:rPr>
              <w:t>自 2020年 1 月 1 日（以合同签订日期为准）以来，投标人具有类似运维服务项目案例的，每提供1个得</w:t>
            </w:r>
            <w:r>
              <w:rPr>
                <w:rFonts w:hint="eastAsia" w:asciiTheme="minorEastAsia" w:hAnsiTheme="minorEastAsia" w:eastAsiaTheme="minorEastAsia"/>
                <w:szCs w:val="21"/>
                <w:highlight w:val="none"/>
                <w:lang w:val="en-US" w:eastAsia="zh-CN" w:bidi="ar"/>
              </w:rPr>
              <w:t>1</w:t>
            </w:r>
            <w:r>
              <w:rPr>
                <w:rFonts w:hint="eastAsia" w:asciiTheme="minorEastAsia" w:hAnsiTheme="minorEastAsia" w:eastAsiaTheme="minorEastAsia"/>
                <w:szCs w:val="21"/>
                <w:highlight w:val="none"/>
                <w:lang w:bidi="ar"/>
              </w:rPr>
              <w:t>分，最高得</w:t>
            </w:r>
            <w:r>
              <w:rPr>
                <w:rFonts w:hint="eastAsia" w:asciiTheme="minorEastAsia" w:hAnsiTheme="minorEastAsia" w:eastAsiaTheme="minorEastAsia"/>
                <w:szCs w:val="21"/>
                <w:highlight w:val="none"/>
                <w:lang w:val="en-US" w:eastAsia="zh-CN" w:bidi="ar"/>
              </w:rPr>
              <w:t>2</w:t>
            </w:r>
            <w:r>
              <w:rPr>
                <w:rFonts w:hint="eastAsia" w:asciiTheme="minorEastAsia" w:hAnsiTheme="minorEastAsia" w:eastAsiaTheme="minorEastAsia"/>
                <w:szCs w:val="21"/>
                <w:highlight w:val="none"/>
                <w:lang w:bidi="ar"/>
              </w:rPr>
              <w:t>分。</w:t>
            </w:r>
          </w:p>
        </w:tc>
      </w:tr>
      <w:tr>
        <w:trPr>
          <w:cantSplit/>
          <w:trHeight w:val="3587" w:hRule="atLeast"/>
          <w:jc w:val="center"/>
        </w:trPr>
        <w:tc>
          <w:tcPr>
            <w:tcW w:w="1843" w:type="dxa"/>
            <w:gridSpan w:val="2"/>
            <w:tcBorders>
              <w:top w:val="single" w:color="auto" w:sz="4" w:space="0"/>
              <w:left w:val="single" w:color="auto" w:sz="4" w:space="0"/>
              <w:bottom w:val="single" w:color="auto" w:sz="4" w:space="0"/>
              <w:right w:val="single" w:color="auto" w:sz="2" w:space="0"/>
            </w:tcBorders>
            <w:tcMar>
              <w:left w:w="0" w:type="dxa"/>
              <w:right w:w="0" w:type="dxa"/>
            </w:tcMar>
            <w:vAlign w:val="center"/>
          </w:tcPr>
          <w:p>
            <w:pPr>
              <w:spacing w:before="146" w:beforeLines="50" w:line="360" w:lineRule="exact"/>
              <w:jc w:val="center"/>
              <w:rPr>
                <w:rFonts w:ascii="宋体" w:hAnsi="宋体"/>
                <w:snapToGrid w:val="0"/>
                <w:spacing w:val="-4"/>
                <w:szCs w:val="21"/>
                <w:highlight w:val="none"/>
              </w:rPr>
            </w:pPr>
            <w:r>
              <w:rPr>
                <w:rFonts w:hint="eastAsia" w:ascii="宋体" w:hAnsi="宋体"/>
                <w:snapToGrid w:val="0"/>
                <w:spacing w:val="-4"/>
                <w:szCs w:val="21"/>
                <w:highlight w:val="none"/>
              </w:rPr>
              <w:t>报价分</w:t>
            </w:r>
          </w:p>
          <w:p>
            <w:pPr>
              <w:spacing w:before="146" w:beforeLines="50" w:line="360" w:lineRule="exact"/>
              <w:jc w:val="center"/>
              <w:rPr>
                <w:rFonts w:ascii="宋体" w:hAnsi="宋体"/>
                <w:snapToGrid w:val="0"/>
                <w:spacing w:val="-4"/>
                <w:szCs w:val="21"/>
                <w:highlight w:val="none"/>
              </w:rPr>
            </w:pPr>
            <w:r>
              <w:rPr>
                <w:rFonts w:hint="eastAsia" w:ascii="宋体" w:hAnsi="宋体"/>
                <w:snapToGrid w:val="0"/>
                <w:spacing w:val="-4"/>
                <w:szCs w:val="21"/>
                <w:highlight w:val="none"/>
              </w:rPr>
              <w:t>（满分</w:t>
            </w:r>
            <w:r>
              <w:rPr>
                <w:rFonts w:hint="eastAsia" w:ascii="宋体" w:hAnsi="宋体"/>
                <w:snapToGrid w:val="0"/>
                <w:spacing w:val="-4"/>
                <w:szCs w:val="21"/>
                <w:highlight w:val="none"/>
                <w:lang w:val="en-US" w:eastAsia="zh-CN"/>
              </w:rPr>
              <w:t>25</w:t>
            </w:r>
            <w:r>
              <w:rPr>
                <w:rFonts w:hint="eastAsia" w:ascii="宋体" w:hAnsi="宋体"/>
                <w:snapToGrid w:val="0"/>
                <w:spacing w:val="-4"/>
                <w:szCs w:val="21"/>
                <w:highlight w:val="none"/>
              </w:rPr>
              <w:t>分）</w:t>
            </w:r>
          </w:p>
        </w:tc>
        <w:tc>
          <w:tcPr>
            <w:tcW w:w="8137" w:type="dxa"/>
            <w:gridSpan w:val="2"/>
            <w:tcBorders>
              <w:top w:val="single" w:color="auto" w:sz="4" w:space="0"/>
              <w:left w:val="single" w:color="auto" w:sz="4" w:space="0"/>
              <w:bottom w:val="single" w:color="auto" w:sz="4" w:space="0"/>
              <w:right w:val="single" w:color="auto" w:sz="2" w:space="0"/>
            </w:tcBorders>
            <w:vAlign w:val="center"/>
          </w:tcPr>
          <w:p>
            <w:pPr>
              <w:widowControl/>
              <w:spacing w:line="360" w:lineRule="exact"/>
              <w:rPr>
                <w:rFonts w:ascii="宋体" w:hAnsi="宋体"/>
                <w:szCs w:val="21"/>
                <w:highlight w:val="none"/>
              </w:rPr>
            </w:pPr>
            <w:r>
              <w:rPr>
                <w:rFonts w:hint="eastAsia" w:ascii="宋体" w:hAnsi="宋体"/>
                <w:szCs w:val="21"/>
                <w:highlight w:val="none"/>
              </w:rPr>
              <w:t>评标基准价指的是满足招标文件要求且最低的参与评审的价格。</w:t>
            </w:r>
          </w:p>
          <w:p>
            <w:pPr>
              <w:widowControl/>
              <w:spacing w:line="360" w:lineRule="exact"/>
              <w:rPr>
                <w:rFonts w:ascii="宋体" w:hAnsi="宋体"/>
                <w:szCs w:val="21"/>
                <w:highlight w:val="none"/>
              </w:rPr>
            </w:pPr>
            <w:r>
              <w:rPr>
                <w:rFonts w:hint="eastAsia" w:ascii="宋体" w:hAnsi="宋体"/>
                <w:szCs w:val="21"/>
                <w:highlight w:val="none"/>
              </w:rPr>
              <w:t>参与评审的价格=投标报价</w:t>
            </w:r>
            <w:r>
              <w:rPr>
                <w:rFonts w:hint="eastAsia" w:ascii="宋体" w:hAnsi="宋体" w:cs="宋体"/>
                <w:szCs w:val="21"/>
                <w:highlight w:val="none"/>
              </w:rPr>
              <w:t>-小微企业价格扣除优惠值（如有）</w:t>
            </w:r>
            <w:r>
              <w:rPr>
                <w:rFonts w:hint="eastAsia" w:ascii="宋体" w:hAnsi="宋体"/>
                <w:szCs w:val="21"/>
                <w:highlight w:val="none"/>
              </w:rPr>
              <w:t>。</w:t>
            </w:r>
          </w:p>
          <w:p>
            <w:pPr>
              <w:widowControl/>
              <w:spacing w:line="360" w:lineRule="exact"/>
              <w:rPr>
                <w:rFonts w:ascii="宋体" w:hAnsi="宋体"/>
                <w:szCs w:val="21"/>
                <w:highlight w:val="none"/>
              </w:rPr>
            </w:pPr>
            <w:r>
              <w:rPr>
                <w:rFonts w:hint="eastAsia" w:ascii="宋体" w:hAnsi="宋体"/>
                <w:szCs w:val="21"/>
                <w:highlight w:val="none"/>
              </w:rPr>
              <w:t>参与评审的价格为评标基准价的其价格得分得满分</w:t>
            </w:r>
            <w:r>
              <w:rPr>
                <w:rFonts w:hint="eastAsia" w:ascii="宋体" w:hAnsi="宋体"/>
                <w:szCs w:val="21"/>
                <w:highlight w:val="none"/>
                <w:u w:val="single"/>
                <w:lang w:val="en-US" w:eastAsia="zh-CN"/>
              </w:rPr>
              <w:t>25</w:t>
            </w:r>
            <w:r>
              <w:rPr>
                <w:rFonts w:hint="eastAsia" w:ascii="宋体" w:hAnsi="宋体"/>
                <w:szCs w:val="21"/>
                <w:highlight w:val="none"/>
              </w:rPr>
              <w:t>分。</w:t>
            </w:r>
          </w:p>
          <w:p>
            <w:pPr>
              <w:widowControl/>
              <w:spacing w:line="360" w:lineRule="exact"/>
              <w:rPr>
                <w:rFonts w:ascii="宋体" w:hAnsi="宋体"/>
                <w:szCs w:val="21"/>
                <w:highlight w:val="none"/>
              </w:rPr>
            </w:pPr>
            <w:r>
              <w:rPr>
                <w:rFonts w:hint="eastAsia" w:ascii="宋体" w:hAnsi="宋体"/>
                <w:szCs w:val="21"/>
                <w:highlight w:val="none"/>
              </w:rPr>
              <w:t>其他供应商价格得分按照下列公式计算：</w:t>
            </w:r>
          </w:p>
          <w:p>
            <w:pPr>
              <w:widowControl/>
              <w:spacing w:line="360" w:lineRule="exact"/>
              <w:rPr>
                <w:rFonts w:ascii="宋体" w:hAnsi="宋体"/>
                <w:szCs w:val="21"/>
                <w:highlight w:val="none"/>
              </w:rPr>
            </w:pPr>
            <w:r>
              <w:rPr>
                <w:rFonts w:hint="eastAsia" w:ascii="宋体" w:hAnsi="宋体"/>
                <w:szCs w:val="21"/>
                <w:highlight w:val="none"/>
              </w:rPr>
              <w:t>价格得分=（评标基准价/各供应商参与评审的价格）×</w:t>
            </w:r>
            <w:r>
              <w:rPr>
                <w:rFonts w:hint="eastAsia" w:ascii="宋体" w:hAnsi="宋体"/>
                <w:szCs w:val="21"/>
                <w:highlight w:val="none"/>
                <w:u w:val="single"/>
                <w:lang w:val="en-US" w:eastAsia="zh-CN"/>
              </w:rPr>
              <w:t>25</w:t>
            </w:r>
            <w:r>
              <w:rPr>
                <w:rFonts w:hint="eastAsia" w:ascii="宋体" w:hAnsi="宋体"/>
                <w:szCs w:val="21"/>
                <w:highlight w:val="none"/>
              </w:rPr>
              <w:t>。</w:t>
            </w:r>
          </w:p>
          <w:p>
            <w:pPr>
              <w:widowControl/>
              <w:spacing w:line="360" w:lineRule="exact"/>
              <w:rPr>
                <w:rFonts w:ascii="宋体" w:hAnsi="宋体"/>
                <w:szCs w:val="21"/>
                <w:highlight w:val="none"/>
              </w:rPr>
            </w:pPr>
            <w:r>
              <w:rPr>
                <w:rFonts w:hint="eastAsia" w:ascii="宋体" w:hAnsi="宋体"/>
                <w:szCs w:val="21"/>
                <w:highlight w:val="none"/>
              </w:rPr>
              <w:t>注：1、投标报价超过对应最高限价的作无效标处理。</w:t>
            </w:r>
          </w:p>
          <w:p>
            <w:pPr>
              <w:widowControl/>
              <w:spacing w:line="360" w:lineRule="exact"/>
              <w:rPr>
                <w:rFonts w:ascii="宋体" w:hAnsi="宋体"/>
                <w:szCs w:val="21"/>
                <w:highlight w:val="none"/>
              </w:rPr>
            </w:pPr>
            <w:r>
              <w:rPr>
                <w:rFonts w:hint="eastAsia" w:ascii="宋体" w:hAnsi="宋体"/>
                <w:szCs w:val="21"/>
                <w:highlight w:val="none"/>
              </w:rPr>
              <w:t>2、价格得分小数点后保留2位小数，第3位小数四舍五入。</w:t>
            </w:r>
          </w:p>
          <w:p>
            <w:pPr>
              <w:widowControl/>
              <w:spacing w:line="360" w:lineRule="exact"/>
              <w:rPr>
                <w:rFonts w:hint="eastAsia" w:ascii="宋体" w:hAnsi="宋体" w:cs="宋体"/>
                <w:szCs w:val="21"/>
                <w:highlight w:val="none"/>
              </w:rPr>
            </w:pPr>
            <w:r>
              <w:rPr>
                <w:rFonts w:hint="eastAsia" w:ascii="宋体" w:hAnsi="宋体"/>
                <w:szCs w:val="21"/>
                <w:highlight w:val="none"/>
              </w:rPr>
              <w:t>3、</w:t>
            </w:r>
            <w:r>
              <w:rPr>
                <w:rFonts w:hint="eastAsia" w:ascii="宋体" w:hAnsi="宋体" w:cs="宋体"/>
                <w:szCs w:val="21"/>
                <w:highlight w:val="none"/>
              </w:rPr>
              <w:t>根据《政府采购促进中小企业发展管理办法》（财库[2020]46号）、《财政部关于进一步加大政府采购支持中小企业力度的通知》（财库〔2022〕19号），对符合规定的小微企业报价给予</w:t>
            </w:r>
            <w:r>
              <w:rPr>
                <w:rFonts w:hint="eastAsia" w:ascii="宋体" w:hAnsi="宋体" w:cs="宋体"/>
                <w:szCs w:val="21"/>
                <w:highlight w:val="none"/>
                <w:lang w:val="en-US" w:eastAsia="zh-CN"/>
              </w:rPr>
              <w:t>2</w:t>
            </w:r>
            <w:r>
              <w:rPr>
                <w:rFonts w:ascii="宋体" w:hAnsi="宋体" w:cs="宋体"/>
                <w:szCs w:val="21"/>
                <w:highlight w:val="none"/>
              </w:rPr>
              <w:t>0</w:t>
            </w:r>
            <w:r>
              <w:rPr>
                <w:rFonts w:hint="eastAsia" w:ascii="宋体" w:hAnsi="宋体" w:cs="宋体"/>
                <w:szCs w:val="21"/>
                <w:highlight w:val="none"/>
              </w:rPr>
              <w:t>%的扣除，用扣除后的价格参加评审。</w:t>
            </w:r>
          </w:p>
          <w:p>
            <w:pPr>
              <w:widowControl/>
              <w:spacing w:line="360" w:lineRule="exact"/>
              <w:rPr>
                <w:rFonts w:hint="eastAsia" w:ascii="宋体" w:hAnsi="宋体" w:eastAsia="宋体"/>
                <w:szCs w:val="21"/>
                <w:highlight w:val="none"/>
                <w:lang w:val="en-US" w:eastAsia="zh-CN"/>
              </w:rPr>
            </w:pPr>
            <w:r>
              <w:rPr>
                <w:rFonts w:hint="eastAsia" w:ascii="宋体" w:hAnsi="宋体" w:cs="宋体"/>
                <w:szCs w:val="21"/>
                <w:highlight w:val="none"/>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组成联合体或者接受分包的小微企业与联合体内其他企业、分包企业之间存在直接控股、管理关系的，不享受价格扣除优惠政策。</w:t>
            </w:r>
          </w:p>
        </w:tc>
      </w:tr>
    </w:tbl>
    <w:p>
      <w:pPr>
        <w:spacing w:line="400" w:lineRule="exact"/>
        <w:rPr>
          <w:rFonts w:ascii="宋体" w:hAnsi="宋体" w:cs="宋体"/>
          <w:szCs w:val="21"/>
          <w:highlight w:val="none"/>
        </w:rPr>
      </w:pPr>
      <w:r>
        <w:rPr>
          <w:rFonts w:hint="eastAsia" w:ascii="宋体" w:hAnsi="宋体" w:cs="宋体"/>
          <w:szCs w:val="21"/>
          <w:highlight w:val="none"/>
        </w:rPr>
        <w:t>注：表内要求提供的资料，未按要求提供的均不得分。</w:t>
      </w:r>
    </w:p>
    <w:p>
      <w:pPr>
        <w:rPr>
          <w:highlight w:val="none"/>
        </w:rPr>
      </w:pPr>
      <w:r>
        <w:rPr>
          <w:highlight w:val="none"/>
        </w:rPr>
        <w:br w:type="page"/>
      </w:r>
    </w:p>
    <w:p>
      <w:pPr>
        <w:spacing w:line="400" w:lineRule="exact"/>
        <w:jc w:val="center"/>
        <w:outlineLvl w:val="0"/>
        <w:rPr>
          <w:rFonts w:ascii="宋体" w:hAnsi="宋体" w:cs="宋体"/>
          <w:b/>
          <w:sz w:val="32"/>
          <w:highlight w:val="none"/>
        </w:rPr>
      </w:pPr>
      <w:r>
        <w:rPr>
          <w:rFonts w:hint="eastAsia" w:ascii="宋体" w:hAnsi="宋体" w:cs="宋体"/>
          <w:b/>
          <w:sz w:val="32"/>
          <w:highlight w:val="none"/>
        </w:rPr>
        <w:t>第六章 采购合同</w:t>
      </w:r>
    </w:p>
    <w:p>
      <w:pPr>
        <w:pStyle w:val="23"/>
        <w:snapToGrid w:val="0"/>
        <w:spacing w:before="120" w:after="120" w:line="276" w:lineRule="auto"/>
        <w:jc w:val="center"/>
        <w:rPr>
          <w:rFonts w:hAnsi="宋体" w:cs="宋体"/>
          <w:b/>
          <w:bCs/>
          <w:highlight w:val="none"/>
        </w:rPr>
      </w:pPr>
    </w:p>
    <w:p>
      <w:pPr>
        <w:suppressAutoHyphens/>
        <w:jc w:val="center"/>
        <w:outlineLvl w:val="1"/>
        <w:rPr>
          <w:rFonts w:ascii="黑体" w:hAnsi="宋体" w:eastAsia="黑体"/>
          <w:b/>
          <w:color w:val="000000"/>
          <w:spacing w:val="40"/>
          <w:w w:val="80"/>
          <w:kern w:val="1"/>
          <w:sz w:val="52"/>
          <w:szCs w:val="52"/>
          <w:highlight w:val="none"/>
          <w:lang w:eastAsia="ar-SA"/>
        </w:rPr>
      </w:pPr>
      <w:r>
        <w:rPr>
          <w:rFonts w:hint="eastAsia" w:ascii="黑体" w:hAnsi="宋体" w:eastAsia="黑体"/>
          <w:b/>
          <w:color w:val="000000"/>
          <w:spacing w:val="40"/>
          <w:w w:val="80"/>
          <w:kern w:val="1"/>
          <w:sz w:val="52"/>
          <w:szCs w:val="52"/>
          <w:highlight w:val="none"/>
          <w:lang w:eastAsia="ar-SA"/>
        </w:rPr>
        <w:t>余姚市电子政务外网网络安全服务集成采购项目</w:t>
      </w:r>
    </w:p>
    <w:p>
      <w:pPr>
        <w:suppressAutoHyphens/>
        <w:ind w:firstLine="480"/>
        <w:rPr>
          <w:kern w:val="1"/>
          <w:szCs w:val="24"/>
          <w:highlight w:val="none"/>
          <w:lang w:eastAsia="ar-SA"/>
        </w:rPr>
      </w:pPr>
    </w:p>
    <w:p>
      <w:pPr>
        <w:suppressAutoHyphens/>
        <w:ind w:firstLine="480"/>
        <w:rPr>
          <w:kern w:val="1"/>
          <w:szCs w:val="24"/>
          <w:highlight w:val="none"/>
          <w:lang w:eastAsia="ar-SA"/>
        </w:rPr>
      </w:pPr>
    </w:p>
    <w:p>
      <w:pPr>
        <w:suppressAutoHyphens/>
        <w:ind w:firstLine="480"/>
        <w:rPr>
          <w:kern w:val="1"/>
          <w:szCs w:val="24"/>
          <w:highlight w:val="none"/>
          <w:lang w:eastAsia="ar-SA"/>
        </w:rPr>
      </w:pPr>
      <w:r>
        <w:rPr>
          <w:rFonts w:hint="eastAsia"/>
          <w:kern w:val="1"/>
          <w:szCs w:val="24"/>
          <w:highlight w:val="none"/>
          <w:lang w:eastAsia="ar-SA"/>
        </w:rPr>
        <w:t xml:space="preserve"> </w:t>
      </w:r>
    </w:p>
    <w:p>
      <w:pPr>
        <w:suppressAutoHyphens/>
        <w:ind w:firstLine="480"/>
        <w:rPr>
          <w:kern w:val="1"/>
          <w:szCs w:val="24"/>
          <w:highlight w:val="none"/>
          <w:lang w:eastAsia="ar-SA"/>
        </w:rPr>
      </w:pPr>
    </w:p>
    <w:p>
      <w:pPr>
        <w:suppressAutoHyphens/>
        <w:jc w:val="center"/>
        <w:outlineLvl w:val="1"/>
        <w:rPr>
          <w:rFonts w:ascii="隶书" w:hAnsi="隶书" w:eastAsia="隶书"/>
          <w:spacing w:val="40"/>
          <w:kern w:val="1"/>
          <w:sz w:val="116"/>
          <w:szCs w:val="116"/>
          <w:highlight w:val="none"/>
          <w:lang w:eastAsia="ar-SA"/>
        </w:rPr>
      </w:pPr>
      <w:r>
        <w:rPr>
          <w:rFonts w:hint="eastAsia" w:ascii="隶书" w:hAnsi="隶书" w:eastAsia="隶书"/>
          <w:spacing w:val="40"/>
          <w:kern w:val="1"/>
          <w:sz w:val="116"/>
          <w:szCs w:val="116"/>
          <w:highlight w:val="none"/>
          <w:lang w:eastAsia="ar-SA"/>
        </w:rPr>
        <w:t>合 同</w:t>
      </w:r>
    </w:p>
    <w:p>
      <w:pPr>
        <w:suppressAutoHyphens/>
        <w:ind w:firstLine="1974" w:firstLineChars="700"/>
        <w:rPr>
          <w:kern w:val="1"/>
          <w:sz w:val="28"/>
          <w:szCs w:val="24"/>
          <w:highlight w:val="none"/>
          <w:lang w:eastAsia="ar-SA"/>
        </w:rPr>
      </w:pPr>
    </w:p>
    <w:p>
      <w:pPr>
        <w:suppressAutoHyphens/>
        <w:ind w:firstLine="1974" w:firstLineChars="700"/>
        <w:rPr>
          <w:kern w:val="1"/>
          <w:sz w:val="28"/>
          <w:szCs w:val="24"/>
          <w:highlight w:val="none"/>
          <w:lang w:eastAsia="ar-SA"/>
        </w:rPr>
      </w:pPr>
    </w:p>
    <w:p>
      <w:pPr>
        <w:suppressAutoHyphens/>
        <w:ind w:firstLine="1692" w:firstLineChars="600"/>
        <w:outlineLvl w:val="1"/>
        <w:rPr>
          <w:kern w:val="1"/>
          <w:sz w:val="28"/>
          <w:szCs w:val="24"/>
          <w:highlight w:val="none"/>
          <w:u w:val="single"/>
          <w:lang w:eastAsia="ar-SA"/>
        </w:rPr>
      </w:pPr>
      <w:r>
        <w:rPr>
          <w:rFonts w:hint="eastAsia"/>
          <w:kern w:val="1"/>
          <w:sz w:val="28"/>
          <w:szCs w:val="24"/>
          <w:highlight w:val="none"/>
          <w:lang w:eastAsia="ar-SA"/>
        </w:rPr>
        <w:t>甲方：</w:t>
      </w:r>
      <w:r>
        <w:rPr>
          <w:rFonts w:hint="eastAsia"/>
          <w:kern w:val="1"/>
          <w:sz w:val="28"/>
          <w:szCs w:val="24"/>
          <w:highlight w:val="none"/>
          <w:u w:val="single"/>
          <w:lang w:eastAsia="ar-SA"/>
        </w:rPr>
        <w:t xml:space="preserve">  余姚市大数据发展管理局       </w:t>
      </w:r>
    </w:p>
    <w:p>
      <w:pPr>
        <w:suppressAutoHyphens/>
        <w:ind w:firstLine="1692" w:firstLineChars="600"/>
        <w:rPr>
          <w:kern w:val="1"/>
          <w:sz w:val="28"/>
          <w:szCs w:val="24"/>
          <w:highlight w:val="none"/>
          <w:lang w:eastAsia="ar-SA"/>
        </w:rPr>
      </w:pPr>
    </w:p>
    <w:p>
      <w:pPr>
        <w:suppressAutoHyphens/>
        <w:ind w:firstLine="1692" w:firstLineChars="600"/>
        <w:outlineLvl w:val="1"/>
        <w:rPr>
          <w:kern w:val="1"/>
          <w:sz w:val="28"/>
          <w:szCs w:val="24"/>
          <w:highlight w:val="none"/>
          <w:lang w:eastAsia="ar-SA"/>
        </w:rPr>
      </w:pPr>
      <w:r>
        <w:rPr>
          <w:rFonts w:hint="eastAsia"/>
          <w:kern w:val="1"/>
          <w:sz w:val="28"/>
          <w:szCs w:val="24"/>
          <w:highlight w:val="none"/>
          <w:lang w:eastAsia="ar-SA"/>
        </w:rPr>
        <w:t>乙方：</w:t>
      </w:r>
      <w:r>
        <w:rPr>
          <w:rFonts w:hint="eastAsia"/>
          <w:kern w:val="1"/>
          <w:sz w:val="28"/>
          <w:szCs w:val="24"/>
          <w:highlight w:val="none"/>
          <w:u w:val="single"/>
          <w:lang w:eastAsia="ar-SA"/>
        </w:rPr>
        <w:t xml:space="preserve">                XXXX公司    </w:t>
      </w:r>
    </w:p>
    <w:p>
      <w:pPr>
        <w:suppressAutoHyphens/>
        <w:ind w:firstLine="480"/>
        <w:rPr>
          <w:kern w:val="1"/>
          <w:szCs w:val="24"/>
          <w:highlight w:val="none"/>
          <w:lang w:eastAsia="ar-SA"/>
        </w:rPr>
      </w:pPr>
      <w:r>
        <w:rPr>
          <w:rFonts w:hint="eastAsia"/>
          <w:kern w:val="1"/>
          <w:sz w:val="28"/>
          <w:szCs w:val="24"/>
          <w:highlight w:val="none"/>
          <w:lang w:eastAsia="ar-SA"/>
        </w:rPr>
        <w:t xml:space="preserve">           </w:t>
      </w:r>
    </w:p>
    <w:p>
      <w:pPr>
        <w:suppressAutoHyphens/>
        <w:ind w:firstLine="480"/>
        <w:rPr>
          <w:kern w:val="1"/>
          <w:szCs w:val="24"/>
          <w:highlight w:val="none"/>
          <w:lang w:eastAsia="ar-SA"/>
        </w:rPr>
      </w:pPr>
      <w:r>
        <w:rPr>
          <w:rFonts w:hint="eastAsia"/>
          <w:kern w:val="1"/>
          <w:szCs w:val="24"/>
          <w:highlight w:val="none"/>
          <w:lang w:eastAsia="ar-SA"/>
        </w:rPr>
        <w:t xml:space="preserve">       </w:t>
      </w:r>
    </w:p>
    <w:p>
      <w:pPr>
        <w:suppressAutoHyphens/>
        <w:rPr>
          <w:kern w:val="1"/>
          <w:szCs w:val="24"/>
          <w:highlight w:val="none"/>
          <w:lang w:eastAsia="ar-SA"/>
        </w:rPr>
      </w:pPr>
      <w:r>
        <w:rPr>
          <w:rFonts w:hint="eastAsia"/>
          <w:kern w:val="1"/>
          <w:szCs w:val="24"/>
          <w:highlight w:val="none"/>
          <w:lang w:eastAsia="ar-SA"/>
        </w:rPr>
        <w:t xml:space="preserve"> </w:t>
      </w:r>
    </w:p>
    <w:p>
      <w:pPr>
        <w:suppressAutoHyphens/>
        <w:ind w:firstLine="2544" w:firstLineChars="1200"/>
        <w:rPr>
          <w:kern w:val="1"/>
          <w:szCs w:val="24"/>
          <w:highlight w:val="none"/>
          <w:lang w:eastAsia="ar-SA"/>
        </w:rPr>
      </w:pPr>
    </w:p>
    <w:p>
      <w:pPr>
        <w:suppressAutoHyphens/>
        <w:ind w:firstLine="1965"/>
        <w:jc w:val="left"/>
        <w:outlineLvl w:val="1"/>
        <w:rPr>
          <w:rFonts w:eastAsia="楷体_GB2312"/>
          <w:b/>
          <w:bCs/>
          <w:kern w:val="1"/>
          <w:sz w:val="28"/>
          <w:szCs w:val="28"/>
          <w:highlight w:val="none"/>
          <w:lang w:eastAsia="ar-SA"/>
        </w:rPr>
      </w:pPr>
      <w:r>
        <w:rPr>
          <w:rFonts w:hint="eastAsia"/>
          <w:kern w:val="1"/>
          <w:sz w:val="28"/>
          <w:szCs w:val="28"/>
          <w:highlight w:val="none"/>
          <w:lang w:eastAsia="ar-SA"/>
        </w:rPr>
        <w:t xml:space="preserve">签订地点:  </w:t>
      </w:r>
      <w:r>
        <w:rPr>
          <w:rFonts w:hint="eastAsia"/>
          <w:kern w:val="1"/>
          <w:sz w:val="28"/>
          <w:szCs w:val="28"/>
          <w:highlight w:val="none"/>
        </w:rPr>
        <w:t xml:space="preserve">        </w:t>
      </w:r>
      <w:r>
        <w:rPr>
          <w:rFonts w:hint="eastAsia" w:eastAsia="楷体_GB2312"/>
          <w:b/>
          <w:bCs/>
          <w:kern w:val="1"/>
          <w:sz w:val="28"/>
          <w:szCs w:val="28"/>
          <w:highlight w:val="none"/>
          <w:lang w:eastAsia="ar-SA"/>
        </w:rPr>
        <w:t>余姚</w:t>
      </w:r>
    </w:p>
    <w:p>
      <w:pPr>
        <w:suppressAutoHyphens/>
        <w:ind w:firstLine="1965"/>
        <w:jc w:val="left"/>
        <w:rPr>
          <w:kern w:val="1"/>
          <w:sz w:val="28"/>
          <w:szCs w:val="28"/>
          <w:highlight w:val="none"/>
          <w:lang w:eastAsia="ar-SA"/>
        </w:rPr>
      </w:pPr>
    </w:p>
    <w:p>
      <w:pPr>
        <w:suppressAutoHyphens/>
        <w:ind w:firstLine="1974" w:firstLineChars="700"/>
        <w:jc w:val="left"/>
        <w:outlineLvl w:val="1"/>
        <w:rPr>
          <w:rFonts w:eastAsia="楷体_GB2312"/>
          <w:kern w:val="1"/>
          <w:sz w:val="28"/>
          <w:szCs w:val="28"/>
          <w:highlight w:val="none"/>
          <w:lang w:eastAsia="ar-SA"/>
        </w:rPr>
      </w:pPr>
      <w:r>
        <w:rPr>
          <w:rFonts w:hint="eastAsia"/>
          <w:kern w:val="1"/>
          <w:sz w:val="28"/>
          <w:szCs w:val="28"/>
          <w:highlight w:val="none"/>
          <w:lang w:eastAsia="ar-SA"/>
        </w:rPr>
        <w:t>签订时间:      20</w:t>
      </w:r>
      <w:r>
        <w:rPr>
          <w:rFonts w:hint="eastAsia"/>
          <w:kern w:val="1"/>
          <w:sz w:val="28"/>
          <w:szCs w:val="28"/>
          <w:highlight w:val="none"/>
          <w:lang w:val="en-US" w:eastAsia="zh-CN"/>
        </w:rPr>
        <w:t xml:space="preserve">  </w:t>
      </w:r>
      <w:r>
        <w:rPr>
          <w:rFonts w:hint="eastAsia" w:eastAsia="楷体_GB2312"/>
          <w:b/>
          <w:bCs/>
          <w:kern w:val="1"/>
          <w:sz w:val="28"/>
          <w:szCs w:val="28"/>
          <w:highlight w:val="none"/>
          <w:lang w:eastAsia="ar-SA"/>
        </w:rPr>
        <w:t>年   月  日</w:t>
      </w:r>
    </w:p>
    <w:p>
      <w:pPr>
        <w:suppressAutoHyphens/>
        <w:adjustRightInd w:val="0"/>
        <w:snapToGrid w:val="0"/>
        <w:spacing w:line="440" w:lineRule="atLeast"/>
        <w:rPr>
          <w:rFonts w:ascii="宋体"/>
          <w:kern w:val="1"/>
          <w:sz w:val="28"/>
          <w:highlight w:val="none"/>
          <w:lang w:eastAsia="ar-SA"/>
        </w:rPr>
      </w:pPr>
      <w:r>
        <w:rPr>
          <w:rFonts w:hint="eastAsia" w:ascii="宋体" w:hAnsi="宋体"/>
          <w:kern w:val="1"/>
          <w:szCs w:val="24"/>
          <w:highlight w:val="none"/>
          <w:lang w:eastAsia="ar-SA"/>
        </w:rPr>
        <w:t xml:space="preserve">   </w:t>
      </w:r>
      <w:r>
        <w:rPr>
          <w:rFonts w:hint="eastAsia" w:ascii="宋体"/>
          <w:kern w:val="1"/>
          <w:sz w:val="28"/>
          <w:highlight w:val="none"/>
          <w:lang w:eastAsia="ar-SA"/>
        </w:rPr>
        <w:t xml:space="preserve"> </w:t>
      </w:r>
    </w:p>
    <w:p>
      <w:pPr>
        <w:suppressAutoHyphens/>
        <w:spacing w:line="500" w:lineRule="exact"/>
        <w:ind w:firstLine="484" w:firstLineChars="200"/>
        <w:textAlignment w:val="center"/>
        <w:rPr>
          <w:rFonts w:ascii="宋体" w:hAnsi="宋体" w:cs="宋体"/>
          <w:kern w:val="1"/>
          <w:szCs w:val="21"/>
          <w:highlight w:val="none"/>
          <w:lang w:eastAsia="ar-SA"/>
        </w:rPr>
      </w:pPr>
      <w:r>
        <w:rPr>
          <w:rFonts w:ascii="宋体"/>
          <w:kern w:val="1"/>
          <w:sz w:val="24"/>
          <w:highlight w:val="none"/>
          <w:lang w:eastAsia="ar-SA"/>
        </w:rPr>
        <w:br w:type="page"/>
      </w:r>
      <w:r>
        <w:rPr>
          <w:rFonts w:hint="eastAsia" w:ascii="宋体" w:hAnsi="宋体" w:cs="宋体"/>
          <w:kern w:val="1"/>
          <w:szCs w:val="21"/>
          <w:highlight w:val="none"/>
          <w:lang w:eastAsia="ar-SA"/>
        </w:rPr>
        <w:t>根据“余姚市电子政务外网网络安全服务集成采购”项目（</w:t>
      </w:r>
      <w:r>
        <w:rPr>
          <w:rFonts w:hint="eastAsia" w:ascii="宋体" w:hAnsi="宋体" w:cs="宋体"/>
          <w:kern w:val="1"/>
          <w:szCs w:val="21"/>
          <w:highlight w:val="none"/>
          <w:u w:val="single"/>
          <w:lang w:eastAsia="ar-SA"/>
        </w:rPr>
        <w:t xml:space="preserve">招标编号为  XXXX </w:t>
      </w:r>
      <w:r>
        <w:rPr>
          <w:rFonts w:hint="eastAsia" w:ascii="宋体" w:hAnsi="宋体" w:cs="宋体"/>
          <w:kern w:val="1"/>
          <w:szCs w:val="21"/>
          <w:highlight w:val="none"/>
          <w:lang w:eastAsia="ar-SA"/>
        </w:rPr>
        <w:t>）公开招标的结果，甲、乙双方协定签订以下协议内容：</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b/>
          <w:kern w:val="1"/>
          <w:szCs w:val="21"/>
          <w:highlight w:val="none"/>
          <w:lang w:eastAsia="ar-SA"/>
        </w:rPr>
        <w:t>1、项目概况</w:t>
      </w:r>
    </w:p>
    <w:p>
      <w:pPr>
        <w:suppressAutoHyphens/>
        <w:spacing w:line="500" w:lineRule="exact"/>
        <w:ind w:firstLine="424" w:firstLineChars="200"/>
        <w:textAlignment w:val="center"/>
        <w:outlineLvl w:val="1"/>
        <w:rPr>
          <w:rFonts w:ascii="宋体" w:hAnsi="宋体" w:cs="宋体"/>
          <w:kern w:val="1"/>
          <w:szCs w:val="21"/>
          <w:highlight w:val="none"/>
          <w:lang w:eastAsia="ar-SA"/>
        </w:rPr>
      </w:pPr>
      <w:r>
        <w:rPr>
          <w:rFonts w:hint="eastAsia" w:ascii="宋体" w:hAnsi="宋体" w:cs="宋体"/>
          <w:kern w:val="1"/>
          <w:szCs w:val="21"/>
          <w:highlight w:val="none"/>
          <w:lang w:eastAsia="ar-SA"/>
        </w:rPr>
        <w:t>1.1 项目名称：余姚市电子政务外网网络安全服务集成采购项目</w:t>
      </w:r>
    </w:p>
    <w:p>
      <w:pPr>
        <w:suppressAutoHyphens/>
        <w:spacing w:line="500" w:lineRule="exact"/>
        <w:ind w:firstLine="424" w:firstLineChars="200"/>
        <w:textAlignment w:val="center"/>
        <w:outlineLvl w:val="1"/>
        <w:rPr>
          <w:rFonts w:ascii="宋体" w:hAnsi="宋体" w:cs="宋体"/>
          <w:kern w:val="1"/>
          <w:szCs w:val="21"/>
          <w:highlight w:val="none"/>
          <w:lang w:eastAsia="ar-SA"/>
        </w:rPr>
      </w:pPr>
      <w:r>
        <w:rPr>
          <w:rFonts w:hint="eastAsia" w:ascii="宋体" w:hAnsi="宋体" w:cs="宋体"/>
          <w:kern w:val="1"/>
          <w:szCs w:val="21"/>
          <w:highlight w:val="none"/>
          <w:lang w:eastAsia="ar-SA"/>
        </w:rPr>
        <w:t>1.2 实施地点：余姚市</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b/>
          <w:kern w:val="1"/>
          <w:szCs w:val="21"/>
          <w:highlight w:val="none"/>
          <w:lang w:eastAsia="ar-SA"/>
        </w:rPr>
        <w:t>2、</w:t>
      </w:r>
      <w:r>
        <w:rPr>
          <w:rFonts w:hint="eastAsia" w:ascii="宋体" w:hAnsi="宋体" w:cs="宋体"/>
          <w:b/>
          <w:kern w:val="1"/>
          <w:szCs w:val="21"/>
          <w:highlight w:val="none"/>
          <w:lang w:val="en-US" w:eastAsia="zh-CN"/>
        </w:rPr>
        <w:t>项目服务</w:t>
      </w:r>
      <w:r>
        <w:rPr>
          <w:rFonts w:hint="eastAsia" w:ascii="宋体" w:hAnsi="宋体" w:cs="宋体"/>
          <w:b/>
          <w:kern w:val="1"/>
          <w:szCs w:val="21"/>
          <w:highlight w:val="none"/>
          <w:lang w:eastAsia="ar-SA"/>
        </w:rPr>
        <w:t>内容</w:t>
      </w:r>
    </w:p>
    <w:p>
      <w:pPr>
        <w:suppressAutoHyphens/>
        <w:spacing w:line="500" w:lineRule="exact"/>
        <w:ind w:firstLine="424" w:firstLineChars="200"/>
        <w:textAlignment w:val="center"/>
        <w:outlineLvl w:val="1"/>
        <w:rPr>
          <w:rFonts w:ascii="宋体" w:hAnsi="宋体" w:cs="宋体"/>
          <w:kern w:val="1"/>
          <w:szCs w:val="21"/>
          <w:highlight w:val="none"/>
          <w:lang w:eastAsia="ar-SA"/>
        </w:rPr>
      </w:pPr>
      <w:r>
        <w:rPr>
          <w:rFonts w:hint="eastAsia" w:ascii="宋体" w:hAnsi="宋体" w:cs="宋体"/>
          <w:kern w:val="1"/>
          <w:szCs w:val="21"/>
          <w:highlight w:val="none"/>
          <w:lang w:eastAsia="ar-SA"/>
        </w:rPr>
        <w:t>余姚市电子政务外网网络安全服务集成采购项目，包括数据安全服务和网络安全服务购置，年限为三年。</w:t>
      </w:r>
    </w:p>
    <w:p>
      <w:pPr>
        <w:suppressAutoHyphens/>
        <w:spacing w:line="500" w:lineRule="exact"/>
        <w:ind w:firstLine="424" w:firstLineChars="200"/>
        <w:textAlignment w:val="center"/>
        <w:outlineLvl w:val="1"/>
        <w:rPr>
          <w:rFonts w:hint="eastAsia" w:ascii="宋体" w:hAnsi="宋体" w:cs="宋体"/>
          <w:kern w:val="1"/>
          <w:szCs w:val="21"/>
          <w:highlight w:val="none"/>
          <w:lang w:val="en-US" w:eastAsia="zh-CN"/>
        </w:rPr>
      </w:pPr>
      <w:r>
        <w:rPr>
          <w:rFonts w:hint="eastAsia" w:ascii="宋体" w:hAnsi="宋体" w:cs="宋体"/>
          <w:kern w:val="1"/>
          <w:szCs w:val="21"/>
          <w:highlight w:val="none"/>
          <w:lang w:eastAsia="ar-SA"/>
        </w:rPr>
        <w:t>服务期内每年提供的服务内容</w:t>
      </w:r>
      <w:r>
        <w:rPr>
          <w:rFonts w:hint="eastAsia" w:ascii="宋体" w:hAnsi="宋体" w:cs="宋体"/>
          <w:kern w:val="1"/>
          <w:szCs w:val="21"/>
          <w:highlight w:val="none"/>
          <w:lang w:val="en-US" w:eastAsia="zh-CN"/>
        </w:rPr>
        <w:t>和成果资料</w:t>
      </w:r>
      <w:r>
        <w:rPr>
          <w:rFonts w:hint="eastAsia" w:ascii="宋体" w:hAnsi="宋体" w:cs="宋体"/>
          <w:kern w:val="1"/>
          <w:szCs w:val="21"/>
          <w:highlight w:val="none"/>
          <w:lang w:eastAsia="zh-CN"/>
        </w:rPr>
        <w:t>：</w:t>
      </w:r>
    </w:p>
    <w:tbl>
      <w:tblPr>
        <w:tblStyle w:val="38"/>
        <w:tblW w:w="0" w:type="auto"/>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378"/>
        <w:gridCol w:w="3000"/>
        <w:gridCol w:w="2716"/>
      </w:tblGrid>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序号</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服务内容</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服务成果资料</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备注</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1</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业务需求收集和实施</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实施记录</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根据业务动态变化，进行需求收集和过程协调，并单位及时有效实施</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2</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数据健康状态监控</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数据安全报告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数据异常捕获、预警及处置</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3</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网络健康状态监控</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网络安全报告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网络异常捕获、预警及处置</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4</w:t>
            </w:r>
          </w:p>
        </w:tc>
        <w:tc>
          <w:tcPr>
            <w:tcW w:w="2378"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val="en-US" w:eastAsia="zh-CN"/>
              </w:rPr>
              <w:t>月度巡检</w:t>
            </w:r>
          </w:p>
        </w:tc>
        <w:tc>
          <w:tcPr>
            <w:tcW w:w="3000"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val="en-US" w:eastAsia="zh-CN"/>
              </w:rPr>
              <w:t>月度巡检报告</w:t>
            </w:r>
          </w:p>
        </w:tc>
        <w:tc>
          <w:tcPr>
            <w:tcW w:w="2716"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val="en-US" w:eastAsia="zh-CN"/>
              </w:rPr>
              <w:t>每月一份</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5</w:t>
            </w:r>
          </w:p>
        </w:tc>
        <w:tc>
          <w:tcPr>
            <w:tcW w:w="2378"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val="en-US" w:eastAsia="zh-CN"/>
              </w:rPr>
              <w:t>季度巡检</w:t>
            </w:r>
          </w:p>
        </w:tc>
        <w:tc>
          <w:tcPr>
            <w:tcW w:w="3000"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val="en-US" w:eastAsia="zh-CN"/>
              </w:rPr>
              <w:t>季度巡检报告</w:t>
            </w:r>
          </w:p>
        </w:tc>
        <w:tc>
          <w:tcPr>
            <w:tcW w:w="2716"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val="en-US" w:eastAsia="zh-CN"/>
              </w:rPr>
              <w:t>每季度一份</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6</w:t>
            </w:r>
          </w:p>
        </w:tc>
        <w:tc>
          <w:tcPr>
            <w:tcW w:w="2378"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val="en-US" w:eastAsia="zh-CN"/>
              </w:rPr>
              <w:t>年度巡检</w:t>
            </w:r>
          </w:p>
        </w:tc>
        <w:tc>
          <w:tcPr>
            <w:tcW w:w="3000"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ar-SA" w:bidi="ar-SA"/>
              </w:rPr>
            </w:pPr>
            <w:r>
              <w:rPr>
                <w:rFonts w:hint="eastAsia" w:ascii="宋体" w:hAnsi="宋体" w:cs="宋体"/>
                <w:kern w:val="1"/>
                <w:szCs w:val="21"/>
                <w:highlight w:val="none"/>
                <w:vertAlign w:val="baseline"/>
                <w:lang w:val="en-US" w:eastAsia="zh-CN"/>
              </w:rPr>
              <w:t>年度巡检报告</w:t>
            </w:r>
          </w:p>
        </w:tc>
        <w:tc>
          <w:tcPr>
            <w:tcW w:w="2716"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val="en-US" w:eastAsia="zh-CN"/>
              </w:rPr>
              <w:t>每年度一份</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7</w:t>
            </w:r>
          </w:p>
        </w:tc>
        <w:tc>
          <w:tcPr>
            <w:tcW w:w="2378"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zh-CN" w:bidi="ar-SA"/>
              </w:rPr>
            </w:pPr>
            <w:r>
              <w:rPr>
                <w:rFonts w:hint="eastAsia" w:ascii="宋体" w:hAnsi="宋体"/>
                <w:szCs w:val="21"/>
                <w:highlight w:val="none"/>
              </w:rPr>
              <w:t>日常运行</w:t>
            </w:r>
            <w:r>
              <w:rPr>
                <w:rFonts w:hint="eastAsia" w:ascii="宋体" w:hAnsi="宋体"/>
                <w:szCs w:val="21"/>
                <w:highlight w:val="none"/>
                <w:lang w:val="en-US" w:eastAsia="zh-CN"/>
              </w:rPr>
              <w:t>维护</w:t>
            </w:r>
          </w:p>
        </w:tc>
        <w:tc>
          <w:tcPr>
            <w:tcW w:w="3000"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ar-SA" w:bidi="ar-SA"/>
              </w:rPr>
            </w:pPr>
            <w:r>
              <w:rPr>
                <w:rFonts w:hint="eastAsia" w:ascii="宋体" w:hAnsi="宋体" w:cs="宋体"/>
                <w:kern w:val="1"/>
                <w:szCs w:val="21"/>
                <w:highlight w:val="none"/>
                <w:vertAlign w:val="baseline"/>
                <w:lang w:val="en-US" w:eastAsia="zh-CN"/>
              </w:rPr>
              <w:t>运行维护报告</w:t>
            </w:r>
          </w:p>
        </w:tc>
        <w:tc>
          <w:tcPr>
            <w:tcW w:w="2716"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zh-CN" w:bidi="ar-SA"/>
              </w:rPr>
            </w:pPr>
            <w:r>
              <w:rPr>
                <w:rFonts w:hint="eastAsia" w:ascii="宋体" w:hAnsi="宋体"/>
                <w:szCs w:val="21"/>
                <w:highlight w:val="none"/>
              </w:rPr>
              <w:t>日常运行管理</w:t>
            </w:r>
            <w:r>
              <w:rPr>
                <w:rFonts w:hint="eastAsia" w:ascii="宋体" w:hAnsi="宋体"/>
                <w:szCs w:val="21"/>
                <w:highlight w:val="none"/>
                <w:lang w:eastAsia="zh-CN"/>
              </w:rPr>
              <w:t>，</w:t>
            </w:r>
            <w:r>
              <w:rPr>
                <w:rFonts w:hint="eastAsia" w:ascii="宋体" w:hAnsi="宋体"/>
                <w:szCs w:val="21"/>
                <w:highlight w:val="none"/>
              </w:rPr>
              <w:t>运行情况记录</w:t>
            </w:r>
            <w:r>
              <w:rPr>
                <w:rFonts w:hint="eastAsia" w:ascii="宋体" w:hAnsi="宋体"/>
                <w:szCs w:val="21"/>
                <w:highlight w:val="none"/>
                <w:lang w:eastAsia="zh-CN"/>
              </w:rPr>
              <w:t>，</w:t>
            </w:r>
            <w:r>
              <w:rPr>
                <w:rFonts w:hint="eastAsia" w:ascii="宋体" w:hAnsi="宋体"/>
                <w:szCs w:val="21"/>
                <w:highlight w:val="none"/>
              </w:rPr>
              <w:t>运行情况检查与评价</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8</w:t>
            </w:r>
          </w:p>
        </w:tc>
        <w:tc>
          <w:tcPr>
            <w:tcW w:w="2378"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val="en-US" w:eastAsia="zh-CN"/>
              </w:rPr>
              <w:t>数据安全服务制定一系列数据管理制度规范</w:t>
            </w:r>
          </w:p>
        </w:tc>
        <w:tc>
          <w:tcPr>
            <w:tcW w:w="3000"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zh-CN" w:bidi="ar-SA"/>
              </w:rPr>
            </w:pPr>
          </w:p>
        </w:tc>
        <w:tc>
          <w:tcPr>
            <w:tcW w:w="2716"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val="en-US" w:eastAsia="zh-CN"/>
              </w:rPr>
              <w:t>每年度一份</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9</w:t>
            </w:r>
          </w:p>
        </w:tc>
        <w:tc>
          <w:tcPr>
            <w:tcW w:w="2378"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ar-SA" w:bidi="ar-SA"/>
              </w:rPr>
            </w:pPr>
            <w:r>
              <w:rPr>
                <w:rFonts w:hint="eastAsia" w:ascii="宋体" w:hAnsi="宋体" w:cs="宋体"/>
                <w:kern w:val="1"/>
                <w:szCs w:val="21"/>
                <w:highlight w:val="none"/>
                <w:vertAlign w:val="baseline"/>
                <w:lang w:val="en-US" w:eastAsia="zh-CN"/>
              </w:rPr>
              <w:t>数据安全培训</w:t>
            </w:r>
          </w:p>
        </w:tc>
        <w:tc>
          <w:tcPr>
            <w:tcW w:w="3000"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eastAsia="zh-CN"/>
              </w:rPr>
              <w:t>培训记录及报告</w:t>
            </w:r>
          </w:p>
        </w:tc>
        <w:tc>
          <w:tcPr>
            <w:tcW w:w="2716"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ar-SA" w:bidi="ar-SA"/>
              </w:rPr>
            </w:pPr>
            <w:r>
              <w:rPr>
                <w:rFonts w:hint="eastAsia" w:ascii="宋体" w:hAnsi="宋体" w:cs="宋体"/>
                <w:kern w:val="1"/>
                <w:szCs w:val="21"/>
                <w:highlight w:val="none"/>
                <w:vertAlign w:val="baseline"/>
                <w:lang w:eastAsia="zh-CN"/>
              </w:rPr>
              <w:t>每年</w:t>
            </w:r>
            <w:r>
              <w:rPr>
                <w:rFonts w:hint="eastAsia" w:ascii="宋体" w:hAnsi="宋体" w:cs="宋体"/>
                <w:kern w:val="1"/>
                <w:szCs w:val="21"/>
                <w:highlight w:val="none"/>
                <w:vertAlign w:val="baseline"/>
                <w:lang w:val="en-US" w:eastAsia="zh-CN"/>
              </w:rPr>
              <w:t>2次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10</w:t>
            </w:r>
          </w:p>
        </w:tc>
        <w:tc>
          <w:tcPr>
            <w:tcW w:w="2378"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val="en-US" w:eastAsia="zh-CN"/>
              </w:rPr>
              <w:t>数据安全应急演练</w:t>
            </w:r>
          </w:p>
        </w:tc>
        <w:tc>
          <w:tcPr>
            <w:tcW w:w="3000"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ar-SA" w:bidi="ar-SA"/>
              </w:rPr>
            </w:pPr>
            <w:r>
              <w:rPr>
                <w:rFonts w:hint="eastAsia" w:ascii="宋体" w:hAnsi="宋体" w:cs="宋体"/>
                <w:kern w:val="1"/>
                <w:szCs w:val="21"/>
                <w:highlight w:val="none"/>
                <w:vertAlign w:val="baseline"/>
                <w:lang w:eastAsia="zh-CN"/>
              </w:rPr>
              <w:t>记录及报告</w:t>
            </w:r>
          </w:p>
        </w:tc>
        <w:tc>
          <w:tcPr>
            <w:tcW w:w="2716"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ar-SA" w:bidi="ar-SA"/>
              </w:rPr>
            </w:pPr>
            <w:r>
              <w:rPr>
                <w:rFonts w:hint="eastAsia" w:ascii="宋体" w:hAnsi="宋体" w:cs="宋体"/>
                <w:kern w:val="1"/>
                <w:szCs w:val="21"/>
                <w:highlight w:val="none"/>
                <w:vertAlign w:val="baseline"/>
                <w:lang w:eastAsia="zh-CN"/>
              </w:rPr>
              <w:t>每年</w:t>
            </w:r>
            <w:r>
              <w:rPr>
                <w:rFonts w:hint="eastAsia" w:ascii="宋体" w:hAnsi="宋体" w:cs="宋体"/>
                <w:kern w:val="1"/>
                <w:szCs w:val="21"/>
                <w:highlight w:val="none"/>
                <w:vertAlign w:val="baseline"/>
                <w:lang w:val="en-US" w:eastAsia="zh-CN"/>
              </w:rPr>
              <w:t>2次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11</w:t>
            </w:r>
          </w:p>
        </w:tc>
        <w:tc>
          <w:tcPr>
            <w:tcW w:w="2378"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val="en-US" w:eastAsia="zh-CN"/>
              </w:rPr>
              <w:t>数据安全相关检查工作</w:t>
            </w:r>
          </w:p>
        </w:tc>
        <w:tc>
          <w:tcPr>
            <w:tcW w:w="3000"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eastAsia="zh-CN"/>
              </w:rPr>
              <w:t>记录及报告</w:t>
            </w:r>
          </w:p>
        </w:tc>
        <w:tc>
          <w:tcPr>
            <w:tcW w:w="2716"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 w:val="21"/>
                <w:szCs w:val="21"/>
                <w:highlight w:val="none"/>
                <w:vertAlign w:val="baseline"/>
                <w:lang w:val="en-US" w:eastAsia="zh-CN" w:bidi="ar-SA"/>
              </w:rPr>
            </w:pPr>
            <w:r>
              <w:rPr>
                <w:rFonts w:hint="eastAsia" w:ascii="宋体" w:hAnsi="宋体" w:cs="宋体"/>
                <w:kern w:val="1"/>
                <w:szCs w:val="21"/>
                <w:highlight w:val="none"/>
                <w:vertAlign w:val="baseline"/>
                <w:lang w:val="en-US" w:eastAsia="zh-CN"/>
              </w:rPr>
              <w:t>根据业务和用户需求，每年提供服务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12</w:t>
            </w:r>
          </w:p>
        </w:tc>
        <w:tc>
          <w:tcPr>
            <w:tcW w:w="2378"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zh-CN" w:bidi="ar-SA"/>
              </w:rPr>
            </w:pPr>
            <w:r>
              <w:rPr>
                <w:rFonts w:hint="eastAsia" w:ascii="宋体" w:hAnsi="宋体" w:cs="宋体"/>
                <w:szCs w:val="21"/>
                <w:highlight w:val="none"/>
              </w:rPr>
              <w:t>数据资产发现</w:t>
            </w:r>
            <w:r>
              <w:rPr>
                <w:rFonts w:hint="eastAsia" w:ascii="宋体" w:hAnsi="宋体" w:cs="宋体"/>
                <w:szCs w:val="21"/>
                <w:highlight w:val="none"/>
                <w:lang w:eastAsia="zh-CN"/>
              </w:rPr>
              <w:t>工作</w:t>
            </w:r>
          </w:p>
        </w:tc>
        <w:tc>
          <w:tcPr>
            <w:tcW w:w="3000"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ar-SA" w:bidi="ar-SA"/>
              </w:rPr>
            </w:pPr>
            <w:r>
              <w:rPr>
                <w:rFonts w:hint="eastAsia" w:ascii="宋体" w:hAnsi="宋体" w:cs="宋体"/>
                <w:szCs w:val="21"/>
                <w:highlight w:val="none"/>
              </w:rPr>
              <w:t>数据资产发现报告</w:t>
            </w:r>
          </w:p>
        </w:tc>
        <w:tc>
          <w:tcPr>
            <w:tcW w:w="2716"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ar-SA" w:bidi="ar-SA"/>
              </w:rPr>
            </w:pPr>
            <w:r>
              <w:rPr>
                <w:rFonts w:hint="eastAsia" w:ascii="宋体" w:hAnsi="宋体" w:cs="宋体"/>
                <w:kern w:val="1"/>
                <w:szCs w:val="21"/>
                <w:highlight w:val="none"/>
                <w:vertAlign w:val="baseline"/>
                <w:lang w:eastAsia="zh-CN"/>
              </w:rPr>
              <w:t>每季度一次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13</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val="en-US" w:eastAsia="zh-CN"/>
              </w:rPr>
            </w:pPr>
            <w:r>
              <w:rPr>
                <w:rFonts w:hint="eastAsia" w:ascii="宋体" w:hAnsi="宋体" w:cs="宋体"/>
                <w:szCs w:val="21"/>
                <w:highlight w:val="none"/>
              </w:rPr>
              <w:t>数据资产分类分级</w:t>
            </w:r>
            <w:r>
              <w:rPr>
                <w:rFonts w:hint="eastAsia" w:ascii="宋体" w:hAnsi="宋体" w:cs="宋体"/>
                <w:szCs w:val="21"/>
                <w:highlight w:val="none"/>
                <w:lang w:eastAsia="zh-CN"/>
              </w:rPr>
              <w:t>工作</w:t>
            </w:r>
          </w:p>
        </w:tc>
        <w:tc>
          <w:tcPr>
            <w:tcW w:w="3000"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ar-SA" w:bidi="ar-SA"/>
              </w:rPr>
            </w:pPr>
            <w:r>
              <w:rPr>
                <w:rFonts w:hint="eastAsia" w:ascii="宋体" w:hAnsi="宋体" w:cs="宋体"/>
                <w:szCs w:val="21"/>
                <w:highlight w:val="none"/>
              </w:rPr>
              <w:t>数据资产分类分级报告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eastAsia="ar-SA"/>
              </w:rPr>
            </w:pPr>
            <w:r>
              <w:rPr>
                <w:rFonts w:hint="eastAsia" w:ascii="宋体" w:hAnsi="宋体" w:cs="宋体"/>
                <w:kern w:val="1"/>
                <w:szCs w:val="21"/>
                <w:highlight w:val="none"/>
                <w:vertAlign w:val="baseline"/>
                <w:lang w:eastAsia="zh-CN"/>
              </w:rPr>
              <w:t>每季度一次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14</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val="en-US" w:eastAsia="zh-CN"/>
              </w:rPr>
            </w:pPr>
            <w:r>
              <w:rPr>
                <w:rFonts w:hint="eastAsia" w:ascii="宋体" w:hAnsi="宋体" w:cs="宋体"/>
                <w:szCs w:val="21"/>
                <w:highlight w:val="none"/>
              </w:rPr>
              <w:t>数据源详情展示</w:t>
            </w:r>
            <w:r>
              <w:rPr>
                <w:rFonts w:hint="eastAsia" w:ascii="宋体" w:hAnsi="宋体" w:cs="宋体"/>
                <w:szCs w:val="21"/>
                <w:highlight w:val="none"/>
                <w:lang w:eastAsia="zh-CN"/>
              </w:rPr>
              <w:t>工作</w:t>
            </w:r>
          </w:p>
        </w:tc>
        <w:tc>
          <w:tcPr>
            <w:tcW w:w="3000" w:type="dxa"/>
            <w:vAlign w:val="top"/>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 w:val="21"/>
                <w:szCs w:val="21"/>
                <w:highlight w:val="none"/>
                <w:vertAlign w:val="baseline"/>
                <w:lang w:val="en-US" w:eastAsia="ar-SA" w:bidi="ar-SA"/>
              </w:rPr>
            </w:pPr>
            <w:r>
              <w:rPr>
                <w:rFonts w:hint="eastAsia" w:ascii="宋体" w:hAnsi="宋体" w:cs="宋体"/>
                <w:szCs w:val="21"/>
                <w:highlight w:val="none"/>
              </w:rPr>
              <w:t>数据源详情展示报告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eastAsia="ar-SA"/>
              </w:rPr>
            </w:pPr>
            <w:r>
              <w:rPr>
                <w:rFonts w:hint="eastAsia" w:ascii="宋体" w:hAnsi="宋体" w:cs="宋体"/>
                <w:kern w:val="1"/>
                <w:szCs w:val="21"/>
                <w:highlight w:val="none"/>
                <w:vertAlign w:val="baseline"/>
                <w:lang w:eastAsia="zh-CN"/>
              </w:rPr>
              <w:t>每季度一次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15</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val="en-US" w:eastAsia="zh-CN"/>
              </w:rPr>
            </w:pPr>
            <w:r>
              <w:rPr>
                <w:rFonts w:hint="eastAsia" w:ascii="宋体" w:hAnsi="宋体" w:cs="宋体"/>
                <w:szCs w:val="21"/>
                <w:highlight w:val="none"/>
              </w:rPr>
              <w:t>安全事件的深度分析</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szCs w:val="21"/>
                <w:highlight w:val="none"/>
              </w:rPr>
              <w:t>重点高危事件分析报告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eastAsia="zh-CN"/>
              </w:rPr>
              <w:t>每年</w:t>
            </w:r>
            <w:r>
              <w:rPr>
                <w:rFonts w:hint="eastAsia" w:ascii="宋体" w:hAnsi="宋体" w:cs="宋体"/>
                <w:kern w:val="1"/>
                <w:szCs w:val="21"/>
                <w:highlight w:val="none"/>
                <w:vertAlign w:val="baseline"/>
                <w:lang w:val="en-US" w:eastAsia="zh-CN"/>
              </w:rPr>
              <w:t>4次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16</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szCs w:val="21"/>
                <w:highlight w:val="none"/>
              </w:rPr>
              <w:t>事件跟踪管理服务</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eastAsia="ar-SA"/>
              </w:rPr>
            </w:pPr>
            <w:r>
              <w:rPr>
                <w:rFonts w:hint="eastAsia" w:ascii="宋体" w:hAnsi="宋体" w:cs="宋体"/>
                <w:szCs w:val="21"/>
                <w:highlight w:val="none"/>
                <w:lang w:eastAsia="zh-Hans"/>
              </w:rPr>
              <w:t>工作周报</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kern w:val="1"/>
                <w:szCs w:val="21"/>
                <w:highlight w:val="none"/>
                <w:vertAlign w:val="baseline"/>
                <w:lang w:eastAsia="zh-CN"/>
              </w:rPr>
              <w:t>每周</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17</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szCs w:val="21"/>
                <w:highlight w:val="none"/>
                <w:lang w:eastAsia="zh-Hans"/>
              </w:rPr>
              <w:t>主动分析服务</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eastAsia="ar-SA"/>
              </w:rPr>
            </w:pPr>
            <w:r>
              <w:rPr>
                <w:rFonts w:hint="eastAsia" w:ascii="宋体" w:hAnsi="宋体" w:cs="宋体"/>
                <w:szCs w:val="21"/>
                <w:highlight w:val="none"/>
                <w:lang w:eastAsia="zh-Hans"/>
              </w:rPr>
              <w:t>运营月度报告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kern w:val="1"/>
                <w:szCs w:val="21"/>
                <w:highlight w:val="none"/>
                <w:vertAlign w:val="baseline"/>
                <w:lang w:eastAsia="zh-CN"/>
              </w:rPr>
              <w:t>每月</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18</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szCs w:val="21"/>
                <w:highlight w:val="none"/>
              </w:rPr>
              <w:t>漏洞扫描服务</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eastAsia="ar-SA"/>
              </w:rPr>
            </w:pPr>
            <w:r>
              <w:rPr>
                <w:rFonts w:hint="eastAsia" w:ascii="宋体" w:hAnsi="宋体" w:cs="宋体"/>
                <w:szCs w:val="21"/>
                <w:highlight w:val="none"/>
              </w:rPr>
              <w:t>XX年XX月漏洞扫描报告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kern w:val="1"/>
                <w:szCs w:val="21"/>
                <w:highlight w:val="none"/>
                <w:vertAlign w:val="baseline"/>
                <w:lang w:eastAsia="zh-CN"/>
              </w:rPr>
              <w:t>每季度一次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19</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szCs w:val="21"/>
                <w:highlight w:val="none"/>
              </w:rPr>
              <w:t>基线检查服务</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eastAsia="ar-SA"/>
              </w:rPr>
            </w:pPr>
            <w:r>
              <w:rPr>
                <w:rFonts w:hint="eastAsia" w:ascii="宋体" w:hAnsi="宋体" w:cs="宋体"/>
                <w:szCs w:val="21"/>
                <w:highlight w:val="none"/>
              </w:rPr>
              <w:t>XX年XX月</w:t>
            </w:r>
            <w:r>
              <w:rPr>
                <w:rFonts w:hint="eastAsia" w:ascii="宋体" w:hAnsi="宋体" w:cs="宋体"/>
                <w:szCs w:val="21"/>
                <w:highlight w:val="none"/>
                <w:lang w:eastAsia="zh-CN"/>
              </w:rPr>
              <w:t>基线检查</w:t>
            </w:r>
            <w:r>
              <w:rPr>
                <w:rFonts w:hint="eastAsia" w:ascii="宋体" w:hAnsi="宋体" w:cs="宋体"/>
                <w:szCs w:val="21"/>
                <w:highlight w:val="none"/>
              </w:rPr>
              <w:t>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eastAsia="ar-SA"/>
              </w:rPr>
            </w:pPr>
            <w:r>
              <w:rPr>
                <w:rFonts w:hint="eastAsia" w:ascii="宋体" w:hAnsi="宋体" w:cs="宋体"/>
                <w:kern w:val="1"/>
                <w:szCs w:val="21"/>
                <w:highlight w:val="none"/>
                <w:vertAlign w:val="baseline"/>
                <w:lang w:eastAsia="zh-CN"/>
              </w:rPr>
              <w:t>每季度一次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20</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szCs w:val="21"/>
                <w:highlight w:val="none"/>
              </w:rPr>
              <w:t>渗透测</w:t>
            </w:r>
            <w:r>
              <w:rPr>
                <w:rFonts w:hint="eastAsia" w:ascii="宋体" w:hAnsi="宋体" w:cs="宋体"/>
                <w:szCs w:val="21"/>
                <w:highlight w:val="none"/>
                <w:lang w:val="en-US" w:eastAsia="zh-CN"/>
              </w:rPr>
              <w:t>shi</w:t>
            </w:r>
            <w:r>
              <w:rPr>
                <w:rFonts w:hint="eastAsia" w:ascii="宋体" w:hAnsi="宋体" w:cs="宋体"/>
                <w:szCs w:val="21"/>
                <w:highlight w:val="none"/>
              </w:rPr>
              <w:t>服务</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szCs w:val="21"/>
                <w:highlight w:val="none"/>
                <w:lang w:val="en-US" w:eastAsia="zh-CN"/>
              </w:rPr>
              <w:t>XX系统</w:t>
            </w:r>
            <w:r>
              <w:rPr>
                <w:rFonts w:hint="eastAsia" w:ascii="宋体" w:hAnsi="宋体" w:cs="宋体"/>
                <w:szCs w:val="21"/>
                <w:highlight w:val="none"/>
              </w:rPr>
              <w:t>渗透测</w:t>
            </w:r>
            <w:r>
              <w:rPr>
                <w:rFonts w:hint="eastAsia" w:ascii="宋体" w:hAnsi="宋体" w:cs="宋体"/>
                <w:szCs w:val="21"/>
                <w:highlight w:val="none"/>
                <w:lang w:val="en-US" w:eastAsia="zh-CN"/>
              </w:rPr>
              <w:t>shi</w:t>
            </w:r>
            <w:r>
              <w:rPr>
                <w:rFonts w:hint="eastAsia" w:ascii="宋体" w:hAnsi="宋体" w:cs="宋体"/>
                <w:szCs w:val="21"/>
                <w:highlight w:val="none"/>
                <w:lang w:eastAsia="zh-CN"/>
              </w:rPr>
              <w:t>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eastAsia="zh-CN"/>
              </w:rPr>
              <w:t>每年</w:t>
            </w:r>
            <w:r>
              <w:rPr>
                <w:rFonts w:hint="eastAsia" w:ascii="宋体" w:hAnsi="宋体" w:cs="宋体"/>
                <w:kern w:val="1"/>
                <w:szCs w:val="21"/>
                <w:highlight w:val="none"/>
                <w:vertAlign w:val="baseline"/>
                <w:lang w:val="en-US" w:eastAsia="zh-CN"/>
              </w:rPr>
              <w:t>6个系统</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21</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color w:val="000000"/>
                <w:szCs w:val="21"/>
                <w:highlight w:val="none"/>
              </w:rPr>
              <w:t>安全检查服务</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color w:val="000000"/>
                <w:szCs w:val="21"/>
                <w:highlight w:val="none"/>
              </w:rPr>
              <w:t>安全检查服务</w:t>
            </w:r>
            <w:r>
              <w:rPr>
                <w:rFonts w:hint="eastAsia" w:ascii="宋体" w:hAnsi="宋体" w:cs="宋体"/>
                <w:color w:val="000000"/>
                <w:szCs w:val="21"/>
                <w:highlight w:val="none"/>
                <w:lang w:eastAsia="zh-CN"/>
              </w:rPr>
              <w:t>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eastAsia="zh-CN"/>
              </w:rPr>
              <w:t>每年</w:t>
            </w:r>
            <w:r>
              <w:rPr>
                <w:rFonts w:hint="eastAsia" w:ascii="宋体" w:hAnsi="宋体" w:cs="宋体"/>
                <w:kern w:val="1"/>
                <w:szCs w:val="21"/>
                <w:highlight w:val="none"/>
                <w:vertAlign w:val="baseline"/>
                <w:lang w:val="en-US" w:eastAsia="zh-CN"/>
              </w:rPr>
              <w:t>4次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22</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color w:val="000000"/>
                <w:szCs w:val="21"/>
                <w:highlight w:val="none"/>
              </w:rPr>
              <w:t>安全工作报告服务</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eastAsia="ar-SA"/>
              </w:rPr>
            </w:pPr>
            <w:r>
              <w:rPr>
                <w:rFonts w:hint="eastAsia" w:ascii="宋体" w:hAnsi="宋体" w:cs="宋体"/>
                <w:szCs w:val="21"/>
                <w:highlight w:val="none"/>
              </w:rPr>
              <w:t>安全态势分析与工作报告</w:t>
            </w:r>
            <w:r>
              <w:rPr>
                <w:rFonts w:hint="eastAsia" w:ascii="宋体" w:hAnsi="宋体" w:cs="宋体"/>
                <w:szCs w:val="21"/>
                <w:highlight w:val="none"/>
                <w:lang w:eastAsia="zh-CN"/>
              </w:rPr>
              <w:t>，</w:t>
            </w:r>
            <w:r>
              <w:rPr>
                <w:rFonts w:hint="eastAsia" w:ascii="宋体" w:hAnsi="宋体" w:cs="宋体"/>
                <w:szCs w:val="21"/>
                <w:highlight w:val="none"/>
              </w:rPr>
              <w:t>《XX年XX月安全工作报告》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kern w:val="1"/>
                <w:szCs w:val="21"/>
                <w:highlight w:val="none"/>
                <w:vertAlign w:val="baseline"/>
                <w:lang w:eastAsia="zh-CN"/>
              </w:rPr>
              <w:t>每月</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23</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szCs w:val="21"/>
                <w:highlight w:val="none"/>
              </w:rPr>
              <w:t>运营流程优化服务</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eastAsia="ar-SA"/>
              </w:rPr>
            </w:pPr>
            <w:r>
              <w:rPr>
                <w:rFonts w:hint="eastAsia" w:ascii="宋体" w:hAnsi="宋体" w:cs="宋体"/>
                <w:szCs w:val="21"/>
                <w:highlight w:val="none"/>
              </w:rPr>
              <w:t>全通报流程和制度</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kern w:val="1"/>
                <w:szCs w:val="21"/>
                <w:highlight w:val="none"/>
                <w:vertAlign w:val="baseline"/>
                <w:lang w:eastAsia="zh-CN"/>
              </w:rPr>
              <w:t>一次性</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24</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szCs w:val="21"/>
                <w:highlight w:val="none"/>
              </w:rPr>
              <w:t>运营文件编制服务</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szCs w:val="21"/>
                <w:highlight w:val="none"/>
                <w:lang w:eastAsia="zh-CN"/>
              </w:rPr>
              <w:t>对文档资料</w:t>
            </w:r>
            <w:r>
              <w:rPr>
                <w:rFonts w:hint="eastAsia" w:ascii="宋体" w:hAnsi="宋体" w:cs="宋体"/>
                <w:szCs w:val="21"/>
                <w:highlight w:val="none"/>
              </w:rPr>
              <w:t>进行编制</w:t>
            </w:r>
            <w:r>
              <w:rPr>
                <w:rFonts w:hint="eastAsia" w:ascii="宋体" w:hAnsi="宋体" w:cs="宋体"/>
                <w:szCs w:val="21"/>
                <w:highlight w:val="none"/>
                <w:lang w:eastAsia="zh-CN"/>
              </w:rPr>
              <w:t>、</w:t>
            </w:r>
            <w:r>
              <w:rPr>
                <w:rFonts w:hint="eastAsia" w:ascii="宋体" w:hAnsi="宋体" w:cs="宋体"/>
                <w:szCs w:val="21"/>
                <w:highlight w:val="none"/>
              </w:rPr>
              <w:t>整合、沉淀</w:t>
            </w:r>
            <w:r>
              <w:rPr>
                <w:rFonts w:hint="eastAsia" w:ascii="宋体" w:hAnsi="宋体" w:cs="宋体"/>
                <w:szCs w:val="21"/>
                <w:highlight w:val="none"/>
                <w:lang w:eastAsia="zh-CN"/>
              </w:rPr>
              <w:t>，形成知识库</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kern w:val="1"/>
                <w:szCs w:val="21"/>
                <w:highlight w:val="none"/>
                <w:vertAlign w:val="baseline"/>
                <w:lang w:eastAsia="zh-CN"/>
              </w:rPr>
              <w:t>每年一次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25</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szCs w:val="21"/>
                <w:highlight w:val="none"/>
              </w:rPr>
              <w:t>资产梳理服务</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eastAsia="ar-SA"/>
              </w:rPr>
            </w:pPr>
            <w:r>
              <w:rPr>
                <w:rFonts w:hint="eastAsia" w:ascii="宋体" w:hAnsi="宋体" w:cs="宋体"/>
                <w:szCs w:val="21"/>
                <w:highlight w:val="none"/>
              </w:rPr>
              <w:t>《电子政务网资产清单》、《余姚市互联网网站资产清单》</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eastAsia="zh-CN"/>
              </w:rPr>
              <w:t>每年</w:t>
            </w:r>
            <w:r>
              <w:rPr>
                <w:rFonts w:hint="eastAsia" w:ascii="宋体" w:hAnsi="宋体" w:cs="宋体"/>
                <w:kern w:val="1"/>
                <w:szCs w:val="21"/>
                <w:highlight w:val="none"/>
                <w:vertAlign w:val="baseline"/>
                <w:lang w:val="en-US" w:eastAsia="zh-CN"/>
              </w:rPr>
              <w:t>2次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26</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szCs w:val="21"/>
                <w:highlight w:val="none"/>
              </w:rPr>
              <w:t>策略调优服务</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kern w:val="1"/>
                <w:szCs w:val="21"/>
                <w:highlight w:val="none"/>
                <w:vertAlign w:val="baseline"/>
                <w:lang w:eastAsia="zh-CN"/>
              </w:rPr>
              <w:t>输出所有安全设备、安全系统调优服务报告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eastAsia="zh-CN"/>
              </w:rPr>
              <w:t>每年</w:t>
            </w:r>
            <w:r>
              <w:rPr>
                <w:rFonts w:hint="eastAsia" w:ascii="宋体" w:hAnsi="宋体" w:cs="宋体"/>
                <w:kern w:val="1"/>
                <w:szCs w:val="21"/>
                <w:highlight w:val="none"/>
                <w:vertAlign w:val="baseline"/>
                <w:lang w:val="en-US" w:eastAsia="zh-CN"/>
              </w:rPr>
              <w:t>2次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27</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szCs w:val="21"/>
                <w:highlight w:val="none"/>
              </w:rPr>
              <w:t>重要时期安全保障服务</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kern w:val="1"/>
                <w:szCs w:val="21"/>
                <w:highlight w:val="none"/>
                <w:vertAlign w:val="baseline"/>
                <w:lang w:eastAsia="zh-CN"/>
              </w:rPr>
              <w:t>重要时段服务报告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kern w:val="1"/>
                <w:szCs w:val="21"/>
                <w:highlight w:val="none"/>
                <w:vertAlign w:val="baseline"/>
                <w:lang w:eastAsia="zh-CN"/>
              </w:rPr>
              <w:t>按需</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28</w:t>
            </w: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color w:val="000000"/>
                <w:szCs w:val="21"/>
                <w:highlight w:val="none"/>
              </w:rPr>
              <w:t>宣传教育及培训服务</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eastAsia="宋体" w:cs="宋体"/>
                <w:kern w:val="1"/>
                <w:szCs w:val="21"/>
                <w:highlight w:val="none"/>
                <w:vertAlign w:val="baseline"/>
                <w:lang w:eastAsia="zh-CN"/>
              </w:rPr>
            </w:pPr>
            <w:r>
              <w:rPr>
                <w:rFonts w:hint="eastAsia" w:ascii="宋体" w:hAnsi="宋体" w:cs="宋体"/>
                <w:kern w:val="1"/>
                <w:szCs w:val="21"/>
                <w:highlight w:val="none"/>
                <w:vertAlign w:val="baseline"/>
                <w:lang w:eastAsia="zh-CN"/>
              </w:rPr>
              <w:t>培训记录及报告</w:t>
            </w: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r>
              <w:rPr>
                <w:rFonts w:hint="eastAsia" w:ascii="宋体" w:hAnsi="宋体" w:cs="宋体"/>
                <w:kern w:val="1"/>
                <w:szCs w:val="21"/>
                <w:highlight w:val="none"/>
                <w:vertAlign w:val="baseline"/>
                <w:lang w:eastAsia="zh-CN"/>
              </w:rPr>
              <w:t>每年</w:t>
            </w:r>
            <w:r>
              <w:rPr>
                <w:rFonts w:hint="eastAsia" w:ascii="宋体" w:hAnsi="宋体" w:cs="宋体"/>
                <w:kern w:val="1"/>
                <w:szCs w:val="21"/>
                <w:highlight w:val="none"/>
                <w:vertAlign w:val="baseline"/>
                <w:lang w:val="en-US" w:eastAsia="zh-CN"/>
              </w:rPr>
              <w:t>2次</w:t>
            </w:r>
          </w:p>
        </w:tc>
      </w:tr>
      <w:tr>
        <w:tc>
          <w:tcPr>
            <w:tcW w:w="68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default" w:ascii="宋体" w:hAnsi="宋体" w:eastAsia="宋体" w:cs="宋体"/>
                <w:kern w:val="1"/>
                <w:szCs w:val="21"/>
                <w:highlight w:val="none"/>
                <w:vertAlign w:val="baseline"/>
                <w:lang w:val="en-US" w:eastAsia="zh-CN"/>
              </w:rPr>
            </w:pPr>
          </w:p>
        </w:tc>
        <w:tc>
          <w:tcPr>
            <w:tcW w:w="2378"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val="en-US" w:eastAsia="zh-CN"/>
              </w:rPr>
            </w:pPr>
            <w:r>
              <w:rPr>
                <w:rFonts w:hint="eastAsia" w:ascii="宋体" w:hAnsi="宋体" w:cs="宋体"/>
                <w:kern w:val="1"/>
                <w:szCs w:val="21"/>
                <w:highlight w:val="none"/>
                <w:vertAlign w:val="baseline"/>
                <w:lang w:val="en-US" w:eastAsia="zh-CN"/>
              </w:rPr>
              <w:t>......</w:t>
            </w:r>
          </w:p>
        </w:tc>
        <w:tc>
          <w:tcPr>
            <w:tcW w:w="3000"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eastAsia="ar-SA"/>
              </w:rPr>
            </w:pPr>
          </w:p>
        </w:tc>
        <w:tc>
          <w:tcPr>
            <w:tcW w:w="2716" w:type="dxa"/>
          </w:tcPr>
          <w:p>
            <w:pPr>
              <w:keepNext w:val="0"/>
              <w:keepLines w:val="0"/>
              <w:pageBreakBefore w:val="0"/>
              <w:widowControl w:val="0"/>
              <w:tabs>
                <w:tab w:val="left" w:pos="1725"/>
              </w:tabs>
              <w:suppressAutoHyphens/>
              <w:kinsoku/>
              <w:wordWrap/>
              <w:overflowPunct/>
              <w:topLinePunct w:val="0"/>
              <w:autoSpaceDE/>
              <w:autoSpaceDN/>
              <w:bidi w:val="0"/>
              <w:adjustRightInd/>
              <w:snapToGrid/>
              <w:spacing w:line="240" w:lineRule="auto"/>
              <w:jc w:val="center"/>
              <w:outlineLvl w:val="2"/>
              <w:rPr>
                <w:rFonts w:hint="eastAsia" w:ascii="宋体" w:hAnsi="宋体" w:cs="宋体"/>
                <w:kern w:val="1"/>
                <w:szCs w:val="21"/>
                <w:highlight w:val="none"/>
                <w:vertAlign w:val="baseline"/>
                <w:lang w:eastAsia="ar-SA"/>
              </w:rPr>
            </w:pPr>
          </w:p>
        </w:tc>
      </w:tr>
    </w:tbl>
    <w:p>
      <w:pPr>
        <w:keepNext w:val="0"/>
        <w:keepLines w:val="0"/>
        <w:pageBreakBefore w:val="0"/>
        <w:widowControl w:val="0"/>
        <w:suppressAutoHyphens/>
        <w:kinsoku/>
        <w:wordWrap/>
        <w:overflowPunct/>
        <w:topLinePunct w:val="0"/>
        <w:autoSpaceDE/>
        <w:autoSpaceDN/>
        <w:bidi w:val="0"/>
        <w:adjustRightInd/>
        <w:snapToGrid/>
        <w:spacing w:line="240" w:lineRule="auto"/>
        <w:textAlignment w:val="center"/>
        <w:rPr>
          <w:rFonts w:hint="eastAsia" w:ascii="宋体" w:hAnsi="宋体" w:cs="宋体"/>
          <w:b/>
          <w:kern w:val="1"/>
          <w:szCs w:val="21"/>
          <w:highlight w:val="none"/>
          <w:lang w:eastAsia="ar-SA"/>
        </w:rPr>
      </w:pPr>
    </w:p>
    <w:p>
      <w:pPr>
        <w:suppressAutoHyphens/>
        <w:spacing w:line="500" w:lineRule="exact"/>
        <w:textAlignment w:val="center"/>
        <w:rPr>
          <w:rFonts w:ascii="宋体" w:hAnsi="宋体" w:cs="宋体"/>
          <w:b/>
          <w:kern w:val="1"/>
          <w:szCs w:val="21"/>
          <w:highlight w:val="none"/>
          <w:lang w:eastAsia="ar-SA"/>
        </w:rPr>
      </w:pPr>
      <w:r>
        <w:rPr>
          <w:rFonts w:hint="eastAsia" w:ascii="宋体" w:hAnsi="宋体" w:cs="宋体"/>
          <w:b/>
          <w:kern w:val="1"/>
          <w:szCs w:val="21"/>
          <w:highlight w:val="none"/>
          <w:lang w:eastAsia="ar-SA"/>
        </w:rPr>
        <w:t>3、项目实施期限</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3.1余姚市电子政务外网网络安全服务集成采购项目</w:t>
      </w:r>
      <w:r>
        <w:rPr>
          <w:rFonts w:hint="eastAsia" w:ascii="宋体" w:hAnsi="宋体" w:cs="宋体"/>
          <w:kern w:val="1"/>
          <w:szCs w:val="21"/>
          <w:highlight w:val="none"/>
        </w:rPr>
        <w:t>工期</w:t>
      </w:r>
      <w:r>
        <w:rPr>
          <w:rFonts w:hint="eastAsia" w:ascii="宋体" w:hAnsi="宋体" w:cs="宋体"/>
          <w:kern w:val="1"/>
          <w:szCs w:val="21"/>
          <w:highlight w:val="none"/>
          <w:lang w:eastAsia="ar-SA"/>
        </w:rPr>
        <w:t>自合同签订之日起</w:t>
      </w:r>
      <w:r>
        <w:rPr>
          <w:rFonts w:hint="eastAsia" w:ascii="宋体" w:hAnsi="宋体" w:cs="宋体"/>
          <w:kern w:val="1"/>
          <w:szCs w:val="21"/>
          <w:highlight w:val="none"/>
          <w:u w:val="single"/>
          <w:lang w:eastAsia="ar-SA"/>
        </w:rPr>
        <w:t>XX</w:t>
      </w:r>
      <w:r>
        <w:rPr>
          <w:rFonts w:hint="eastAsia" w:ascii="宋体" w:hAnsi="宋体" w:cs="宋体"/>
          <w:kern w:val="1"/>
          <w:szCs w:val="21"/>
          <w:highlight w:val="none"/>
          <w:lang w:val="en-US" w:eastAsia="zh-CN"/>
        </w:rPr>
        <w:t>内</w:t>
      </w:r>
      <w:r>
        <w:rPr>
          <w:rFonts w:hint="eastAsia" w:ascii="宋体" w:hAnsi="宋体" w:cs="宋体"/>
          <w:kern w:val="1"/>
          <w:szCs w:val="21"/>
          <w:highlight w:val="none"/>
          <w:lang w:eastAsia="ar-SA"/>
        </w:rPr>
        <w:t>完成</w:t>
      </w:r>
      <w:r>
        <w:rPr>
          <w:rFonts w:hint="eastAsia" w:ascii="宋体" w:hAnsi="宋体" w:cs="宋体"/>
          <w:kern w:val="1"/>
          <w:szCs w:val="21"/>
          <w:highlight w:val="none"/>
        </w:rPr>
        <w:t>实施并进入试运行，试运行时间为3个月</w:t>
      </w:r>
      <w:r>
        <w:rPr>
          <w:rFonts w:hint="eastAsia" w:ascii="宋体" w:hAnsi="宋体" w:cs="宋体"/>
          <w:kern w:val="1"/>
          <w:szCs w:val="21"/>
          <w:highlight w:val="none"/>
          <w:lang w:eastAsia="ar-SA"/>
        </w:rPr>
        <w:t>。</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3.</w:t>
      </w:r>
      <w:r>
        <w:rPr>
          <w:rFonts w:hint="eastAsia" w:ascii="宋体" w:hAnsi="宋体" w:cs="宋体"/>
          <w:kern w:val="1"/>
          <w:szCs w:val="21"/>
          <w:highlight w:val="none"/>
        </w:rPr>
        <w:t>2项目服务期</w:t>
      </w:r>
      <w:r>
        <w:rPr>
          <w:rFonts w:hint="eastAsia" w:ascii="宋体" w:hAnsi="宋体" w:cs="宋体"/>
          <w:kern w:val="1"/>
          <w:szCs w:val="21"/>
          <w:highlight w:val="none"/>
          <w:lang w:eastAsia="ar-SA"/>
        </w:rPr>
        <w:t>由</w:t>
      </w:r>
      <w:r>
        <w:rPr>
          <w:rFonts w:hint="eastAsia" w:ascii="宋体" w:hAnsi="宋体" w:cs="宋体"/>
          <w:kern w:val="1"/>
          <w:szCs w:val="21"/>
          <w:highlight w:val="none"/>
        </w:rPr>
        <w:t>项目通过</w:t>
      </w:r>
      <w:r>
        <w:rPr>
          <w:rFonts w:hint="eastAsia" w:ascii="宋体" w:hAnsi="宋体" w:cs="宋体"/>
          <w:kern w:val="1"/>
          <w:szCs w:val="21"/>
          <w:highlight w:val="none"/>
          <w:lang w:val="en-US" w:eastAsia="zh-CN"/>
        </w:rPr>
        <w:t>交付</w:t>
      </w:r>
      <w:r>
        <w:rPr>
          <w:rFonts w:hint="eastAsia" w:ascii="宋体" w:hAnsi="宋体" w:cs="宋体"/>
          <w:kern w:val="1"/>
          <w:szCs w:val="21"/>
          <w:highlight w:val="none"/>
        </w:rPr>
        <w:t>验收</w:t>
      </w:r>
      <w:r>
        <w:rPr>
          <w:rFonts w:hint="eastAsia" w:ascii="宋体" w:hAnsi="宋体" w:cs="宋体"/>
          <w:kern w:val="1"/>
          <w:szCs w:val="21"/>
          <w:highlight w:val="none"/>
          <w:lang w:eastAsia="ar-SA"/>
        </w:rPr>
        <w:t>之日起计算，服务期限</w:t>
      </w:r>
      <w:r>
        <w:rPr>
          <w:rFonts w:hint="eastAsia" w:ascii="宋体" w:hAnsi="宋体" w:cs="宋体"/>
          <w:kern w:val="1"/>
          <w:szCs w:val="21"/>
          <w:highlight w:val="none"/>
          <w:u w:val="single"/>
          <w:lang w:eastAsia="ar-SA"/>
        </w:rPr>
        <w:t>叁年</w:t>
      </w:r>
      <w:r>
        <w:rPr>
          <w:rFonts w:hint="eastAsia" w:ascii="宋体" w:hAnsi="宋体" w:cs="宋体"/>
          <w:kern w:val="1"/>
          <w:szCs w:val="21"/>
          <w:highlight w:val="none"/>
          <w:lang w:eastAsia="ar-SA"/>
        </w:rPr>
        <w:t>。</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b/>
          <w:kern w:val="1"/>
          <w:szCs w:val="21"/>
          <w:highlight w:val="none"/>
          <w:lang w:eastAsia="ar-SA"/>
        </w:rPr>
        <w:t>4、合同文件使用语言文字和适用法律、标准及规范</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4.1 适用法律和法规：国家有关法律、法规和浙江省法规、规范及规范性文件均对本合同有约束力。</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4.2 适用标准、规范：除合同另有规定外，按国际、国家、行业和浙江省现行质量评定标准和技术验收规范执行。 </w:t>
      </w:r>
    </w:p>
    <w:p>
      <w:pPr>
        <w:suppressAutoHyphens/>
        <w:spacing w:line="500" w:lineRule="exact"/>
        <w:textAlignment w:val="center"/>
        <w:rPr>
          <w:rFonts w:ascii="宋体" w:hAnsi="宋体" w:cs="宋体"/>
          <w:b/>
          <w:kern w:val="1"/>
          <w:szCs w:val="21"/>
          <w:highlight w:val="none"/>
          <w:lang w:eastAsia="ar-SA"/>
        </w:rPr>
      </w:pPr>
      <w:r>
        <w:rPr>
          <w:rFonts w:hint="eastAsia" w:ascii="宋体" w:hAnsi="宋体" w:cs="宋体"/>
          <w:b/>
          <w:kern w:val="1"/>
          <w:szCs w:val="21"/>
          <w:highlight w:val="none"/>
          <w:lang w:eastAsia="ar-SA"/>
        </w:rPr>
        <w:t>5、监理单位委派的工程师</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按甲方委托的监理公司（待定）签订的《余姚市电子政务外网网络安全服务集成采购项目委托监理合同》规定执行。</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b/>
          <w:kern w:val="1"/>
          <w:szCs w:val="21"/>
          <w:highlight w:val="none"/>
          <w:lang w:eastAsia="ar-SA"/>
        </w:rPr>
        <w:t>6、甲方主要义务</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6.1负责合同签订后项目实施的工作（如与乙方的具体联系和衔接，现场安装调试时配备人员进行监管控制）；</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6.2 负责提供设备和项目安装调试所必须的场地和环境；</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6.3 负责组织成立验收小组对设备和项目进行验收并签署验收报告</w:t>
      </w:r>
      <w:r>
        <w:rPr>
          <w:rFonts w:hint="eastAsia" w:ascii="宋体" w:hAnsi="宋体" w:cs="宋体"/>
          <w:kern w:val="1"/>
          <w:szCs w:val="21"/>
          <w:highlight w:val="none"/>
        </w:rPr>
        <w:t>。</w:t>
      </w:r>
      <w:r>
        <w:rPr>
          <w:rFonts w:hint="eastAsia" w:ascii="宋体" w:hAnsi="宋体" w:cs="宋体"/>
          <w:kern w:val="1"/>
          <w:szCs w:val="21"/>
          <w:highlight w:val="none"/>
          <w:lang w:eastAsia="ar-SA"/>
        </w:rPr>
        <w:t xml:space="preserve"> </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b/>
          <w:kern w:val="1"/>
          <w:szCs w:val="21"/>
          <w:highlight w:val="none"/>
          <w:lang w:eastAsia="ar-SA"/>
        </w:rPr>
        <w:t>7、乙方主要义务</w:t>
      </w:r>
    </w:p>
    <w:p>
      <w:pPr>
        <w:tabs>
          <w:tab w:val="left" w:pos="720"/>
        </w:tabs>
        <w:suppressAutoHyphens/>
        <w:spacing w:line="500" w:lineRule="exact"/>
        <w:ind w:firstLine="424" w:firstLineChars="200"/>
        <w:textAlignment w:val="center"/>
        <w:rPr>
          <w:rFonts w:ascii="宋体" w:hAnsi="宋体" w:cs="宋体"/>
          <w:color w:val="FF00FF"/>
          <w:kern w:val="1"/>
          <w:szCs w:val="21"/>
          <w:highlight w:val="none"/>
          <w:lang w:eastAsia="ar-SA"/>
        </w:rPr>
      </w:pPr>
      <w:r>
        <w:rPr>
          <w:rFonts w:hint="eastAsia" w:ascii="宋体" w:hAnsi="宋体" w:cs="宋体"/>
          <w:kern w:val="1"/>
          <w:szCs w:val="21"/>
          <w:highlight w:val="none"/>
          <w:lang w:eastAsia="ar-SA"/>
        </w:rPr>
        <w:t>7.1 按规定办理项目实施过程中所需的一切手续并承担相应费用；</w:t>
      </w:r>
      <w:r>
        <w:rPr>
          <w:rFonts w:hint="eastAsia" w:ascii="宋体" w:hAnsi="宋体" w:cs="宋体"/>
          <w:color w:val="FF00FF"/>
          <w:kern w:val="1"/>
          <w:szCs w:val="21"/>
          <w:highlight w:val="none"/>
          <w:lang w:eastAsia="ar-SA"/>
        </w:rPr>
        <w:t xml:space="preserve"> </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7.2在甲方规定的时间安排施工并完成所有工程，完成工程所需的费用（如人工、材料费等）由乙方承担，并保证符合招标文件规定。维修人员在收到故障报告后保证2小时内到达现场；乙方每3个月对设备进行定期保养（或维护、巡检）；</w:t>
      </w:r>
    </w:p>
    <w:p>
      <w:pPr>
        <w:suppressAutoHyphens/>
        <w:spacing w:line="500" w:lineRule="exact"/>
        <w:ind w:firstLine="424" w:firstLineChars="200"/>
        <w:textAlignment w:val="center"/>
        <w:rPr>
          <w:rFonts w:ascii="宋体" w:hAnsi="宋体" w:cs="宋体"/>
          <w:kern w:val="1"/>
          <w:szCs w:val="21"/>
          <w:highlight w:val="none"/>
          <w:u w:val="single"/>
          <w:lang w:eastAsia="ar-SA"/>
        </w:rPr>
      </w:pPr>
      <w:r>
        <w:rPr>
          <w:rFonts w:hint="eastAsia" w:ascii="宋体" w:hAnsi="宋体" w:cs="宋体"/>
          <w:kern w:val="1"/>
          <w:szCs w:val="21"/>
          <w:highlight w:val="none"/>
          <w:lang w:eastAsia="ar-SA"/>
        </w:rPr>
        <w:t>7.3遵守甲方现场关于安全文明施工、后勤卫生、环保、消防、保卫等方面的管理规定；</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7.4 配合所有现场施工单位的进度及工作；</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7.5定期参加施工现场由甲方召开的相关工种协调会，服从并按期执行协调会所作的一切决定；</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7.6负责按政府、行业的有关规定和要求搜集本工程的档案资料。</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b/>
          <w:kern w:val="1"/>
          <w:szCs w:val="21"/>
          <w:highlight w:val="none"/>
          <w:lang w:eastAsia="ar-SA"/>
        </w:rPr>
        <w:t>8、进度计划</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乙方负责编制项目的实施计划，经甲方和监理公司审定后由乙方组织实施。</w:t>
      </w:r>
    </w:p>
    <w:p>
      <w:pPr>
        <w:suppressAutoHyphens/>
        <w:spacing w:line="500" w:lineRule="exact"/>
        <w:textAlignment w:val="center"/>
        <w:rPr>
          <w:rFonts w:ascii="宋体" w:hAnsi="宋体" w:cs="宋体"/>
          <w:b/>
          <w:kern w:val="1"/>
          <w:szCs w:val="21"/>
          <w:highlight w:val="none"/>
          <w:lang w:eastAsia="ar-SA"/>
        </w:rPr>
      </w:pPr>
      <w:r>
        <w:rPr>
          <w:rFonts w:hint="eastAsia" w:ascii="宋体" w:hAnsi="宋体" w:cs="宋体"/>
          <w:b/>
          <w:kern w:val="1"/>
          <w:szCs w:val="21"/>
          <w:highlight w:val="none"/>
          <w:lang w:eastAsia="ar-SA"/>
        </w:rPr>
        <w:t>9、项目实施期限延误</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9.1 因甲方原因影响本工程施工，经监理公司审核后，由甲方确定延期时间。</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9.2 如因工程量临时增加（非甲方因素），工期不得顺延。</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9.3 因不可抗力而使工程处于停工或缓建时，工期另议。</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9.4 对以下造成</w:t>
      </w:r>
      <w:r>
        <w:rPr>
          <w:rFonts w:hint="eastAsia" w:ascii="宋体" w:hAnsi="宋体" w:cs="宋体"/>
          <w:kern w:val="1"/>
          <w:szCs w:val="21"/>
          <w:highlight w:val="none"/>
          <w:lang w:eastAsia="zh-CN"/>
        </w:rPr>
        <w:t>交付</w:t>
      </w:r>
      <w:r>
        <w:rPr>
          <w:rFonts w:hint="eastAsia" w:ascii="宋体" w:hAnsi="宋体" w:cs="宋体"/>
          <w:kern w:val="1"/>
          <w:szCs w:val="21"/>
          <w:highlight w:val="none"/>
          <w:lang w:eastAsia="ar-SA"/>
        </w:rPr>
        <w:t>日期推迟的延误，经甲方确认工期相应顺延。</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⑴由于不可抗力影响施工正常进行（不可抗力以政府部门发布为准）；</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⑵合同中约定或甲方同意给予顺延的其他情况。</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在上述情况发生48小时内，乙方就延误内容和因此</w:t>
      </w:r>
      <w:r>
        <w:rPr>
          <w:rFonts w:hint="eastAsia" w:ascii="宋体" w:hAnsi="宋体" w:cs="宋体"/>
          <w:kern w:val="1"/>
          <w:szCs w:val="21"/>
          <w:highlight w:val="none"/>
          <w:lang w:val="en-US" w:eastAsia="zh-CN"/>
        </w:rPr>
        <w:t>产生</w:t>
      </w:r>
      <w:r>
        <w:rPr>
          <w:rFonts w:hint="eastAsia" w:ascii="宋体" w:hAnsi="宋体" w:cs="宋体"/>
          <w:kern w:val="1"/>
          <w:szCs w:val="21"/>
          <w:highlight w:val="none"/>
          <w:lang w:eastAsia="ar-SA"/>
        </w:rPr>
        <w:t>的经济支出，向甲方提出书面报告。甲方在收到报告后48小时内就工期延长给予书面答复。但工期之延长不附带经济赔偿，除非为顺利实施工程，甲方自愿给予乙方经济之赔偿。非上述原因，工程不能按合同工期完工，乙方承担违约责任。</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b/>
          <w:kern w:val="1"/>
          <w:szCs w:val="21"/>
          <w:highlight w:val="none"/>
          <w:lang w:eastAsia="ar-SA"/>
        </w:rPr>
        <w:t>10、工程质量</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10.1 在施工过程中，因乙方达不到工程要求及标准的部分，甲方一经发现，可要求乙方返工，乙方应尽快按甲方要求返工，直到符合约定条件，并承担返工费用，工期不予顺延。</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10.2 乙方应保证货物是全新、未使用过的，并完全符合合同约定的质量、规格和性能的要求。甲方（或监理方）先查看包装是否完好，封印是否清晰完整，确认是否为厂家的“原装货”，然后再打开包装，查看合格证及设备上的生产日期标志和条形码，有无涂改、改动迹象，打厂家免费电话查询确认。乙方应保证所提供的货物经准确安装、正常运转和保证在其使用寿命期内应具有的性能。在货物质量保证期限内，乙方应对提供的货物由于设计、工艺或材料的质量缺陷而发生的任何不足或故障负责。</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10.3 乙方交付的货物不符合约定的，甲方（或监理方）应在约定的时限内以书面形式通知乙方，由乙方承担继续履行、采取补救措施或赔偿损失等违约责任。</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10.4 乙方在收到通知后15天内应免费维修或更换有缺陷的货物或部件。如果乙方在收到通知后15天内未弥补缺陷，甲方可采取必要的补救措施，但费用由乙方承担。</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b/>
          <w:kern w:val="1"/>
          <w:szCs w:val="21"/>
          <w:highlight w:val="none"/>
          <w:lang w:eastAsia="ar-SA"/>
        </w:rPr>
        <w:t>11、验收及标准</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11.1项目验收：乙方负责设备安装和调试，完工后，</w:t>
      </w:r>
      <w:r>
        <w:rPr>
          <w:rFonts w:hint="eastAsia" w:ascii="宋体" w:hAnsi="宋体" w:cs="宋体"/>
          <w:kern w:val="1"/>
          <w:szCs w:val="21"/>
          <w:highlight w:val="none"/>
        </w:rPr>
        <w:t>甲方、监理方</w:t>
      </w:r>
      <w:r>
        <w:rPr>
          <w:rFonts w:hint="eastAsia" w:ascii="宋体" w:hAnsi="宋体" w:cs="宋体"/>
          <w:kern w:val="1"/>
          <w:szCs w:val="21"/>
          <w:highlight w:val="none"/>
          <w:lang w:eastAsia="zh-CN"/>
        </w:rPr>
        <w:t>测shi</w:t>
      </w:r>
      <w:r>
        <w:rPr>
          <w:rFonts w:hint="eastAsia" w:ascii="宋体" w:hAnsi="宋体" w:cs="宋体"/>
          <w:kern w:val="1"/>
          <w:szCs w:val="21"/>
          <w:highlight w:val="none"/>
          <w:lang w:eastAsia="ar-SA"/>
        </w:rPr>
        <w:t>是否合格并满足技术要求。</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11.2试运行验收：系统</w:t>
      </w:r>
      <w:r>
        <w:rPr>
          <w:rFonts w:hint="eastAsia" w:ascii="宋体" w:hAnsi="宋体" w:cs="宋体"/>
          <w:kern w:val="1"/>
          <w:szCs w:val="21"/>
          <w:highlight w:val="none"/>
          <w:lang w:eastAsia="zh-CN"/>
        </w:rPr>
        <w:t>测shi</w:t>
      </w:r>
      <w:r>
        <w:rPr>
          <w:rFonts w:hint="eastAsia" w:ascii="宋体" w:hAnsi="宋体" w:cs="宋体"/>
          <w:kern w:val="1"/>
          <w:szCs w:val="21"/>
          <w:highlight w:val="none"/>
          <w:lang w:eastAsia="ar-SA"/>
        </w:rPr>
        <w:t>达到</w:t>
      </w:r>
      <w:r>
        <w:rPr>
          <w:rFonts w:hint="eastAsia" w:ascii="宋体" w:hAnsi="宋体" w:cs="宋体"/>
          <w:kern w:val="1"/>
          <w:szCs w:val="21"/>
          <w:highlight w:val="none"/>
          <w:lang w:eastAsia="zh-CN"/>
        </w:rPr>
        <w:t>测shi</w:t>
      </w:r>
      <w:r>
        <w:rPr>
          <w:rFonts w:hint="eastAsia" w:ascii="宋体" w:hAnsi="宋体" w:cs="宋体"/>
          <w:kern w:val="1"/>
          <w:szCs w:val="21"/>
          <w:highlight w:val="none"/>
          <w:lang w:eastAsia="ar-SA"/>
        </w:rPr>
        <w:t>文件的要求后，甲方、监理公司、乙方共同整理完成</w:t>
      </w:r>
      <w:r>
        <w:rPr>
          <w:rFonts w:hint="eastAsia" w:ascii="宋体" w:hAnsi="宋体" w:cs="宋体"/>
          <w:kern w:val="1"/>
          <w:szCs w:val="21"/>
          <w:highlight w:val="none"/>
          <w:lang w:eastAsia="zh-CN"/>
        </w:rPr>
        <w:t>测shi</w:t>
      </w:r>
      <w:r>
        <w:rPr>
          <w:rFonts w:hint="eastAsia" w:ascii="宋体" w:hAnsi="宋体" w:cs="宋体"/>
          <w:kern w:val="1"/>
          <w:szCs w:val="21"/>
          <w:highlight w:val="none"/>
          <w:lang w:eastAsia="ar-SA"/>
        </w:rPr>
        <w:t>报告和</w:t>
      </w:r>
      <w:r>
        <w:rPr>
          <w:rFonts w:hint="eastAsia" w:ascii="宋体" w:hAnsi="宋体" w:cs="宋体"/>
          <w:kern w:val="1"/>
          <w:szCs w:val="21"/>
          <w:highlight w:val="none"/>
        </w:rPr>
        <w:t>验收</w:t>
      </w:r>
      <w:r>
        <w:rPr>
          <w:rFonts w:hint="eastAsia" w:ascii="宋体" w:hAnsi="宋体" w:cs="宋体"/>
          <w:kern w:val="1"/>
          <w:szCs w:val="21"/>
          <w:highlight w:val="none"/>
          <w:lang w:eastAsia="ar-SA"/>
        </w:rPr>
        <w:t>文件。上述工作全部完成后，</w:t>
      </w:r>
      <w:r>
        <w:rPr>
          <w:rFonts w:hint="eastAsia" w:ascii="宋体" w:hAnsi="宋体" w:cs="宋体"/>
          <w:kern w:val="1"/>
          <w:szCs w:val="21"/>
          <w:highlight w:val="none"/>
          <w:lang w:val="en-US" w:eastAsia="ar-SA"/>
        </w:rPr>
        <w:t>项目组</w:t>
      </w:r>
      <w:r>
        <w:rPr>
          <w:rFonts w:hint="eastAsia" w:ascii="宋体" w:hAnsi="宋体" w:cs="宋体"/>
          <w:kern w:val="1"/>
          <w:szCs w:val="21"/>
          <w:highlight w:val="none"/>
          <w:lang w:eastAsia="ar-SA"/>
        </w:rPr>
        <w:t>邀请技术专家</w:t>
      </w:r>
      <w:r>
        <w:rPr>
          <w:rFonts w:hint="eastAsia" w:ascii="宋体" w:hAnsi="宋体" w:cs="宋体"/>
          <w:kern w:val="1"/>
          <w:szCs w:val="21"/>
          <w:highlight w:val="none"/>
          <w:lang w:val="en-US" w:eastAsia="ar-SA"/>
        </w:rPr>
        <w:t>对项目进行初步验收</w:t>
      </w:r>
      <w:r>
        <w:rPr>
          <w:rFonts w:hint="eastAsia" w:ascii="宋体" w:hAnsi="宋体" w:cs="宋体"/>
          <w:kern w:val="1"/>
          <w:szCs w:val="21"/>
          <w:highlight w:val="none"/>
          <w:lang w:eastAsia="ar-SA"/>
        </w:rPr>
        <w:t>，</w:t>
      </w:r>
      <w:r>
        <w:rPr>
          <w:rFonts w:hint="eastAsia" w:ascii="宋体" w:hAnsi="宋体" w:cs="宋体"/>
          <w:kern w:val="1"/>
          <w:szCs w:val="21"/>
          <w:highlight w:val="none"/>
          <w:lang w:val="en-US" w:eastAsia="ar-SA"/>
        </w:rPr>
        <w:t>初步验收通过后，</w:t>
      </w:r>
      <w:r>
        <w:rPr>
          <w:rFonts w:hint="eastAsia" w:ascii="宋体" w:hAnsi="宋体" w:cs="宋体"/>
          <w:kern w:val="1"/>
          <w:szCs w:val="21"/>
          <w:highlight w:val="none"/>
          <w:lang w:eastAsia="ar-SA"/>
        </w:rPr>
        <w:t>甲方、监理公司、乙方共同签署系统初验报告，</w:t>
      </w:r>
      <w:r>
        <w:rPr>
          <w:rFonts w:hint="eastAsia" w:ascii="宋体" w:hAnsi="宋体" w:cs="宋体"/>
          <w:kern w:val="1"/>
          <w:szCs w:val="21"/>
          <w:highlight w:val="none"/>
          <w:lang w:val="en-US" w:eastAsia="zh-CN"/>
        </w:rPr>
        <w:t>项目</w:t>
      </w:r>
      <w:r>
        <w:rPr>
          <w:rFonts w:hint="eastAsia" w:ascii="宋体" w:hAnsi="宋体" w:cs="宋体"/>
          <w:kern w:val="1"/>
          <w:szCs w:val="21"/>
          <w:highlight w:val="none"/>
          <w:lang w:eastAsia="ar-SA"/>
        </w:rPr>
        <w:t>进入试运行；</w:t>
      </w:r>
      <w:r>
        <w:rPr>
          <w:rFonts w:hint="eastAsia" w:ascii="宋体" w:hAnsi="宋体" w:cs="宋体"/>
          <w:kern w:val="1"/>
          <w:szCs w:val="21"/>
          <w:highlight w:val="none"/>
          <w:lang w:val="en-US" w:eastAsia="zh-CN"/>
        </w:rPr>
        <w:t>项目</w:t>
      </w:r>
      <w:r>
        <w:rPr>
          <w:rFonts w:hint="eastAsia" w:ascii="宋体" w:hAnsi="宋体" w:cs="宋体"/>
          <w:kern w:val="1"/>
          <w:szCs w:val="21"/>
          <w:highlight w:val="none"/>
          <w:lang w:eastAsia="ar-SA"/>
        </w:rPr>
        <w:t>正常试运行达到3个月后，由乙方申请，甲方组织</w:t>
      </w:r>
      <w:r>
        <w:rPr>
          <w:rFonts w:hint="eastAsia" w:ascii="宋体" w:hAnsi="宋体" w:cs="宋体"/>
          <w:kern w:val="1"/>
          <w:szCs w:val="21"/>
          <w:highlight w:val="none"/>
          <w:lang w:eastAsia="zh-CN"/>
        </w:rPr>
        <w:t>交付</w:t>
      </w:r>
      <w:r>
        <w:rPr>
          <w:rFonts w:hint="eastAsia" w:ascii="宋体" w:hAnsi="宋体" w:cs="宋体"/>
          <w:kern w:val="1"/>
          <w:szCs w:val="21"/>
          <w:highlight w:val="none"/>
        </w:rPr>
        <w:t>验收</w:t>
      </w:r>
      <w:r>
        <w:rPr>
          <w:rFonts w:hint="eastAsia" w:ascii="宋体" w:hAnsi="宋体" w:cs="宋体"/>
          <w:kern w:val="1"/>
          <w:szCs w:val="21"/>
          <w:highlight w:val="none"/>
          <w:lang w:eastAsia="ar-SA"/>
        </w:rPr>
        <w:t>。</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11.3甲方在验收时，如发现有工程施工与设计方案有不合格之处，乙方应在甲方指定期限内修改完善，待修改完善后再报请复验，复验合格后方可视为通过，复检费由乙方承担</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造成的工期延误由乙方承担</w:t>
      </w:r>
      <w:r>
        <w:rPr>
          <w:rFonts w:hint="eastAsia" w:ascii="宋体" w:hAnsi="宋体" w:cs="宋体"/>
          <w:kern w:val="1"/>
          <w:szCs w:val="21"/>
          <w:highlight w:val="none"/>
          <w:lang w:eastAsia="ar-SA"/>
        </w:rPr>
        <w:t>。</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11.4本工程验收或施工期间的检查及抽验所需的人工、设备，均应由乙方无偿提供，费用由乙方承担。</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11.5在本</w:t>
      </w:r>
      <w:r>
        <w:rPr>
          <w:rFonts w:hint="eastAsia" w:ascii="宋体" w:hAnsi="宋体" w:cs="宋体"/>
          <w:kern w:val="1"/>
          <w:szCs w:val="21"/>
          <w:highlight w:val="none"/>
        </w:rPr>
        <w:t>项目</w:t>
      </w:r>
      <w:r>
        <w:rPr>
          <w:rFonts w:hint="eastAsia" w:ascii="宋体" w:hAnsi="宋体" w:cs="宋体"/>
          <w:kern w:val="1"/>
          <w:szCs w:val="21"/>
          <w:highlight w:val="none"/>
          <w:lang w:eastAsia="zh-CN"/>
        </w:rPr>
        <w:t>交付</w:t>
      </w:r>
      <w:r>
        <w:rPr>
          <w:rFonts w:hint="eastAsia" w:ascii="宋体" w:hAnsi="宋体" w:cs="宋体"/>
          <w:kern w:val="1"/>
          <w:szCs w:val="21"/>
          <w:highlight w:val="none"/>
          <w:lang w:eastAsia="ar-SA"/>
        </w:rPr>
        <w:t>验收合格后，</w:t>
      </w:r>
      <w:r>
        <w:rPr>
          <w:rFonts w:hint="eastAsia" w:ascii="宋体" w:hAnsi="宋体" w:cs="宋体"/>
          <w:kern w:val="1"/>
          <w:szCs w:val="21"/>
          <w:highlight w:val="none"/>
        </w:rPr>
        <w:t>进入正式服务</w:t>
      </w:r>
      <w:r>
        <w:rPr>
          <w:rFonts w:hint="eastAsia" w:ascii="宋体" w:hAnsi="宋体" w:cs="宋体"/>
          <w:kern w:val="1"/>
          <w:szCs w:val="21"/>
          <w:highlight w:val="none"/>
          <w:lang w:eastAsia="ar-SA"/>
        </w:rPr>
        <w:t>期</w:t>
      </w:r>
      <w:r>
        <w:rPr>
          <w:rFonts w:hint="eastAsia" w:ascii="宋体" w:hAnsi="宋体" w:cs="宋体"/>
          <w:kern w:val="1"/>
          <w:szCs w:val="21"/>
          <w:highlight w:val="none"/>
        </w:rPr>
        <w:t>。服务期内，乙方按照双方共同确认的服务方案进行运维服务，并</w:t>
      </w:r>
      <w:r>
        <w:rPr>
          <w:rFonts w:hint="eastAsia" w:ascii="宋体" w:hAnsi="宋体" w:cs="宋体"/>
          <w:kern w:val="1"/>
          <w:szCs w:val="21"/>
          <w:highlight w:val="none"/>
          <w:lang w:eastAsia="ar-SA"/>
        </w:rPr>
        <w:t>按月</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季度</w:t>
      </w:r>
      <w:r>
        <w:rPr>
          <w:rFonts w:hint="eastAsia" w:ascii="宋体" w:hAnsi="宋体" w:cs="宋体"/>
          <w:kern w:val="1"/>
          <w:szCs w:val="21"/>
          <w:highlight w:val="none"/>
          <w:lang w:eastAsia="ar-SA"/>
        </w:rPr>
        <w:t>、年度及时</w:t>
      </w:r>
      <w:r>
        <w:rPr>
          <w:rFonts w:hint="eastAsia" w:ascii="宋体" w:hAnsi="宋体" w:cs="宋体"/>
          <w:kern w:val="1"/>
          <w:szCs w:val="21"/>
          <w:highlight w:val="none"/>
        </w:rPr>
        <w:t>提供运维报告</w:t>
      </w:r>
      <w:r>
        <w:rPr>
          <w:rFonts w:hint="eastAsia" w:ascii="宋体" w:hAnsi="宋体" w:cs="宋体"/>
          <w:kern w:val="1"/>
          <w:szCs w:val="21"/>
          <w:highlight w:val="none"/>
          <w:lang w:eastAsia="ar-SA"/>
        </w:rPr>
        <w:t>。</w:t>
      </w:r>
    </w:p>
    <w:p>
      <w:pPr>
        <w:suppressAutoHyphens/>
        <w:spacing w:line="500" w:lineRule="exact"/>
        <w:textAlignment w:val="center"/>
        <w:rPr>
          <w:rFonts w:hint="eastAsia" w:ascii="宋体" w:hAnsi="宋体" w:eastAsia="宋体" w:cs="宋体"/>
          <w:b/>
          <w:kern w:val="1"/>
          <w:szCs w:val="21"/>
          <w:highlight w:val="none"/>
          <w:lang w:val="en-US" w:eastAsia="ar-SA"/>
        </w:rPr>
      </w:pPr>
      <w:r>
        <w:rPr>
          <w:rFonts w:hint="eastAsia" w:ascii="宋体" w:hAnsi="宋体" w:cs="宋体"/>
          <w:b/>
          <w:kern w:val="1"/>
          <w:szCs w:val="21"/>
          <w:highlight w:val="none"/>
          <w:lang w:val="en-US" w:eastAsia="ar-SA"/>
        </w:rPr>
        <w:t>12、履约保证金</w:t>
      </w:r>
    </w:p>
    <w:p>
      <w:pPr>
        <w:suppressAutoHyphens/>
        <w:spacing w:line="500" w:lineRule="exact"/>
        <w:ind w:firstLine="424" w:firstLineChars="200"/>
        <w:textAlignment w:val="center"/>
        <w:rPr>
          <w:rFonts w:hint="eastAsia" w:ascii="宋体" w:hAnsi="宋体" w:cs="宋体"/>
          <w:b w:val="0"/>
          <w:kern w:val="1"/>
          <w:szCs w:val="21"/>
          <w:highlight w:val="none"/>
          <w:lang w:val="en-US" w:eastAsia="ar-SA"/>
        </w:rPr>
      </w:pPr>
      <w:r>
        <w:rPr>
          <w:rFonts w:hint="eastAsia" w:ascii="宋体" w:hAnsi="宋体" w:cs="宋体"/>
          <w:b w:val="0"/>
          <w:kern w:val="1"/>
          <w:szCs w:val="21"/>
          <w:highlight w:val="none"/>
          <w:lang w:val="en-US" w:eastAsia="zh-CN"/>
        </w:rPr>
        <w:t>12.1</w:t>
      </w:r>
      <w:r>
        <w:rPr>
          <w:rFonts w:hint="eastAsia" w:ascii="宋体" w:hAnsi="宋体" w:cs="宋体"/>
          <w:b w:val="0"/>
          <w:kern w:val="1"/>
          <w:szCs w:val="21"/>
          <w:highlight w:val="none"/>
          <w:lang w:val="en-US" w:eastAsia="ar-SA"/>
        </w:rPr>
        <w:t>履约保证金金额：合同金额的1%</w:t>
      </w:r>
      <w:r>
        <w:rPr>
          <w:rFonts w:hint="eastAsia" w:ascii="宋体" w:hAnsi="宋体" w:cs="宋体"/>
          <w:b w:val="0"/>
          <w:kern w:val="1"/>
          <w:szCs w:val="21"/>
          <w:highlight w:val="none"/>
          <w:lang w:val="en-US" w:eastAsia="zh-CN"/>
        </w:rPr>
        <w:t>，即</w:t>
      </w:r>
      <w:r>
        <w:rPr>
          <w:rFonts w:hint="eastAsia" w:ascii="宋体" w:hAnsi="宋体" w:cs="宋体"/>
          <w:b w:val="0"/>
          <w:kern w:val="1"/>
          <w:szCs w:val="21"/>
          <w:highlight w:val="none"/>
          <w:u w:val="single"/>
          <w:lang w:val="en-US" w:eastAsia="zh-CN"/>
        </w:rPr>
        <w:t xml:space="preserve">             元</w:t>
      </w:r>
      <w:r>
        <w:rPr>
          <w:rFonts w:hint="eastAsia" w:ascii="宋体" w:hAnsi="宋体" w:cs="宋体"/>
          <w:b w:val="0"/>
          <w:kern w:val="1"/>
          <w:szCs w:val="21"/>
          <w:highlight w:val="none"/>
          <w:lang w:val="en-US" w:eastAsia="ar-SA"/>
        </w:rPr>
        <w:t>；</w:t>
      </w:r>
    </w:p>
    <w:p>
      <w:pPr>
        <w:suppressAutoHyphens/>
        <w:spacing w:line="500" w:lineRule="exact"/>
        <w:ind w:firstLine="424" w:firstLineChars="200"/>
        <w:textAlignment w:val="center"/>
        <w:rPr>
          <w:rFonts w:hint="eastAsia" w:ascii="宋体" w:hAnsi="宋体" w:cs="宋体"/>
          <w:b w:val="0"/>
          <w:kern w:val="1"/>
          <w:szCs w:val="21"/>
          <w:highlight w:val="none"/>
          <w:lang w:val="en-US" w:eastAsia="ar-SA"/>
        </w:rPr>
      </w:pPr>
      <w:r>
        <w:rPr>
          <w:rFonts w:hint="eastAsia" w:ascii="宋体" w:hAnsi="宋体" w:cs="宋体"/>
          <w:b w:val="0"/>
          <w:kern w:val="1"/>
          <w:szCs w:val="21"/>
          <w:highlight w:val="none"/>
          <w:lang w:val="en-US" w:eastAsia="zh-CN"/>
        </w:rPr>
        <w:t>12.2</w:t>
      </w:r>
      <w:r>
        <w:rPr>
          <w:rFonts w:hint="eastAsia" w:ascii="宋体" w:hAnsi="宋体" w:cs="宋体"/>
          <w:b w:val="0"/>
          <w:kern w:val="1"/>
          <w:szCs w:val="21"/>
          <w:highlight w:val="none"/>
          <w:lang w:val="en-US" w:eastAsia="ar-SA"/>
        </w:rPr>
        <w:t>履约保证金形式：</w:t>
      </w:r>
      <w:r>
        <w:rPr>
          <w:rFonts w:hint="eastAsia" w:ascii="宋体" w:hAnsi="宋体" w:cs="宋体"/>
          <w:b w:val="0"/>
          <w:kern w:val="1"/>
          <w:szCs w:val="21"/>
          <w:highlight w:val="none"/>
          <w:u w:val="single"/>
          <w:lang w:val="en-US" w:eastAsia="zh-CN"/>
        </w:rPr>
        <w:t xml:space="preserve">               </w:t>
      </w:r>
      <w:r>
        <w:rPr>
          <w:rFonts w:hint="eastAsia" w:ascii="宋体" w:hAnsi="宋体" w:cs="宋体"/>
          <w:b w:val="0"/>
          <w:kern w:val="1"/>
          <w:szCs w:val="21"/>
          <w:highlight w:val="none"/>
          <w:u w:val="single"/>
          <w:lang w:val="en-US" w:eastAsia="ar-SA"/>
        </w:rPr>
        <w:t>；</w:t>
      </w:r>
    </w:p>
    <w:p>
      <w:pPr>
        <w:suppressAutoHyphens/>
        <w:spacing w:line="500" w:lineRule="exact"/>
        <w:ind w:firstLine="424" w:firstLineChars="200"/>
        <w:textAlignment w:val="center"/>
        <w:rPr>
          <w:rFonts w:hint="eastAsia" w:ascii="宋体" w:hAnsi="宋体" w:cs="宋体"/>
          <w:b w:val="0"/>
          <w:kern w:val="1"/>
          <w:szCs w:val="21"/>
          <w:highlight w:val="none"/>
          <w:lang w:val="en-US" w:eastAsia="ar-SA"/>
        </w:rPr>
      </w:pPr>
      <w:r>
        <w:rPr>
          <w:rFonts w:hint="eastAsia" w:ascii="宋体" w:hAnsi="宋体" w:cs="宋体"/>
          <w:b w:val="0"/>
          <w:kern w:val="1"/>
          <w:szCs w:val="21"/>
          <w:highlight w:val="none"/>
          <w:lang w:val="en-US" w:eastAsia="zh-CN"/>
        </w:rPr>
        <w:t>12.3</w:t>
      </w:r>
      <w:r>
        <w:rPr>
          <w:rFonts w:hint="eastAsia" w:ascii="宋体" w:hAnsi="宋体" w:cs="宋体"/>
          <w:b w:val="0"/>
          <w:kern w:val="1"/>
          <w:szCs w:val="21"/>
          <w:highlight w:val="none"/>
          <w:lang w:val="en-US" w:eastAsia="ar-SA"/>
        </w:rPr>
        <w:t>担保收件人：</w:t>
      </w:r>
      <w:r>
        <w:rPr>
          <w:rFonts w:hint="eastAsia" w:ascii="宋体" w:hAnsi="宋体" w:cs="宋体"/>
          <w:b w:val="0"/>
          <w:kern w:val="1"/>
          <w:szCs w:val="21"/>
          <w:highlight w:val="none"/>
          <w:u w:val="single"/>
          <w:lang w:val="en-US" w:eastAsia="zh-CN"/>
        </w:rPr>
        <w:t xml:space="preserve">     </w:t>
      </w:r>
      <w:r>
        <w:rPr>
          <w:rFonts w:hint="eastAsia" w:ascii="宋体" w:hAnsi="宋体" w:cs="宋体"/>
          <w:b w:val="0"/>
          <w:kern w:val="1"/>
          <w:szCs w:val="21"/>
          <w:highlight w:val="none"/>
          <w:u w:val="single"/>
          <w:lang w:val="en-US" w:eastAsia="ar-SA"/>
        </w:rPr>
        <w:t>；</w:t>
      </w:r>
    </w:p>
    <w:p>
      <w:pPr>
        <w:suppressAutoHyphens/>
        <w:spacing w:line="500" w:lineRule="exact"/>
        <w:ind w:firstLine="424" w:firstLineChars="200"/>
        <w:textAlignment w:val="center"/>
        <w:rPr>
          <w:rFonts w:hint="eastAsia" w:ascii="宋体" w:hAnsi="宋体" w:cs="宋体"/>
          <w:b w:val="0"/>
          <w:kern w:val="1"/>
          <w:szCs w:val="21"/>
          <w:highlight w:val="none"/>
          <w:lang w:val="en-US" w:eastAsia="ar-SA"/>
        </w:rPr>
      </w:pPr>
      <w:r>
        <w:rPr>
          <w:rFonts w:hint="eastAsia" w:ascii="宋体" w:hAnsi="宋体" w:cs="宋体"/>
          <w:b w:val="0"/>
          <w:kern w:val="1"/>
          <w:szCs w:val="21"/>
          <w:highlight w:val="none"/>
          <w:lang w:val="en-US" w:eastAsia="zh-CN"/>
        </w:rPr>
        <w:t>12.4</w:t>
      </w:r>
      <w:r>
        <w:rPr>
          <w:rFonts w:hint="eastAsia" w:ascii="宋体" w:hAnsi="宋体" w:cs="宋体"/>
          <w:b w:val="0"/>
          <w:kern w:val="1"/>
          <w:szCs w:val="21"/>
          <w:highlight w:val="none"/>
          <w:lang w:val="en-US" w:eastAsia="ar-SA"/>
        </w:rPr>
        <w:t>提交时间：</w:t>
      </w:r>
      <w:r>
        <w:rPr>
          <w:rFonts w:hint="eastAsia" w:ascii="宋体" w:hAnsi="宋体" w:cs="宋体"/>
          <w:b w:val="0"/>
          <w:kern w:val="1"/>
          <w:szCs w:val="21"/>
          <w:highlight w:val="none"/>
          <w:u w:val="single"/>
          <w:lang w:val="en-US" w:eastAsia="zh-CN"/>
        </w:rPr>
        <w:t xml:space="preserve">     </w:t>
      </w:r>
      <w:r>
        <w:rPr>
          <w:rFonts w:hint="eastAsia" w:ascii="宋体" w:hAnsi="宋体" w:cs="宋体"/>
          <w:b w:val="0"/>
          <w:kern w:val="1"/>
          <w:szCs w:val="21"/>
          <w:highlight w:val="none"/>
          <w:u w:val="single"/>
          <w:lang w:val="en-US" w:eastAsia="ar-SA"/>
        </w:rPr>
        <w:t>；</w:t>
      </w:r>
    </w:p>
    <w:p>
      <w:pPr>
        <w:suppressAutoHyphens/>
        <w:spacing w:line="500" w:lineRule="exact"/>
        <w:ind w:firstLine="424" w:firstLineChars="200"/>
        <w:textAlignment w:val="center"/>
        <w:rPr>
          <w:rFonts w:hint="eastAsia" w:ascii="宋体" w:hAnsi="宋体" w:cs="宋体"/>
          <w:b w:val="0"/>
          <w:kern w:val="1"/>
          <w:szCs w:val="21"/>
          <w:highlight w:val="none"/>
          <w:lang w:eastAsia="zh-CN"/>
        </w:rPr>
      </w:pPr>
      <w:r>
        <w:rPr>
          <w:rFonts w:hint="eastAsia" w:ascii="宋体" w:hAnsi="宋体" w:cs="宋体"/>
          <w:b w:val="0"/>
          <w:kern w:val="1"/>
          <w:szCs w:val="21"/>
          <w:highlight w:val="none"/>
          <w:lang w:val="en-US" w:eastAsia="zh-CN"/>
        </w:rPr>
        <w:t>12.5</w:t>
      </w:r>
      <w:r>
        <w:rPr>
          <w:rFonts w:hint="eastAsia" w:ascii="宋体" w:hAnsi="宋体" w:cs="宋体"/>
          <w:b w:val="0"/>
          <w:kern w:val="1"/>
          <w:szCs w:val="21"/>
          <w:highlight w:val="none"/>
          <w:lang w:val="en-US" w:eastAsia="ar-SA"/>
        </w:rPr>
        <w:t>履约保证金的退还：</w:t>
      </w:r>
      <w:r>
        <w:rPr>
          <w:rFonts w:hint="eastAsia" w:ascii="宋体" w:hAnsi="宋体" w:cs="宋体"/>
          <w:b w:val="0"/>
          <w:kern w:val="1"/>
          <w:szCs w:val="21"/>
          <w:highlight w:val="none"/>
          <w:u w:val="single"/>
          <w:lang w:val="en-US" w:eastAsia="zh-CN"/>
        </w:rPr>
        <w:t xml:space="preserve">     。</w:t>
      </w:r>
    </w:p>
    <w:p>
      <w:pPr>
        <w:suppressAutoHyphens/>
        <w:spacing w:line="500" w:lineRule="exact"/>
        <w:textAlignment w:val="center"/>
        <w:rPr>
          <w:rFonts w:ascii="宋体" w:hAnsi="宋体" w:cs="宋体"/>
          <w:b/>
          <w:kern w:val="1"/>
          <w:szCs w:val="21"/>
          <w:highlight w:val="none"/>
          <w:lang w:eastAsia="ar-SA"/>
        </w:rPr>
      </w:pPr>
      <w:r>
        <w:rPr>
          <w:rFonts w:hint="eastAsia" w:ascii="宋体" w:hAnsi="宋体" w:cs="宋体"/>
          <w:b/>
          <w:kern w:val="1"/>
          <w:szCs w:val="21"/>
          <w:highlight w:val="none"/>
          <w:lang w:eastAsia="ar-SA"/>
        </w:rPr>
        <w:t>1</w:t>
      </w:r>
      <w:r>
        <w:rPr>
          <w:rFonts w:hint="eastAsia" w:ascii="宋体" w:hAnsi="宋体" w:cs="宋体"/>
          <w:b/>
          <w:kern w:val="1"/>
          <w:szCs w:val="21"/>
          <w:highlight w:val="none"/>
          <w:lang w:val="en-US" w:eastAsia="zh-CN"/>
        </w:rPr>
        <w:t>3</w:t>
      </w:r>
      <w:r>
        <w:rPr>
          <w:rFonts w:hint="eastAsia" w:ascii="宋体" w:hAnsi="宋体" w:cs="宋体"/>
          <w:b/>
          <w:kern w:val="1"/>
          <w:szCs w:val="21"/>
          <w:highlight w:val="none"/>
          <w:lang w:eastAsia="ar-SA"/>
        </w:rPr>
        <w:t>、合同</w:t>
      </w:r>
      <w:r>
        <w:rPr>
          <w:rFonts w:hint="eastAsia" w:ascii="宋体" w:hAnsi="宋体" w:cs="宋体"/>
          <w:b/>
          <w:kern w:val="1"/>
          <w:szCs w:val="21"/>
          <w:highlight w:val="none"/>
        </w:rPr>
        <w:t>总价及</w:t>
      </w:r>
      <w:r>
        <w:rPr>
          <w:rFonts w:hint="eastAsia" w:ascii="宋体" w:hAnsi="宋体" w:cs="宋体"/>
          <w:b/>
          <w:kern w:val="1"/>
          <w:szCs w:val="21"/>
          <w:highlight w:val="none"/>
          <w:lang w:eastAsia="ar-SA"/>
        </w:rPr>
        <w:t>付款方式</w:t>
      </w:r>
    </w:p>
    <w:p>
      <w:pPr>
        <w:suppressAutoHyphens/>
        <w:spacing w:line="500" w:lineRule="exact"/>
        <w:ind w:firstLine="424" w:firstLineChars="200"/>
        <w:textAlignment w:val="center"/>
        <w:rPr>
          <w:rFonts w:ascii="宋体" w:hAnsi="宋体" w:cs="宋体"/>
          <w:kern w:val="1"/>
          <w:szCs w:val="21"/>
          <w:highlight w:val="none"/>
        </w:rPr>
      </w:pPr>
      <w:r>
        <w:rPr>
          <w:rFonts w:hint="eastAsia" w:ascii="宋体" w:hAnsi="宋体" w:cs="宋体"/>
          <w:kern w:val="1"/>
          <w:szCs w:val="21"/>
          <w:highlight w:val="none"/>
        </w:rPr>
        <w:t>1</w:t>
      </w:r>
      <w:r>
        <w:rPr>
          <w:rFonts w:hint="eastAsia" w:ascii="宋体" w:hAnsi="宋体" w:cs="宋体"/>
          <w:kern w:val="1"/>
          <w:szCs w:val="21"/>
          <w:highlight w:val="none"/>
          <w:lang w:val="en-US" w:eastAsia="zh-CN"/>
        </w:rPr>
        <w:t>3</w:t>
      </w:r>
      <w:r>
        <w:rPr>
          <w:rFonts w:hint="eastAsia" w:ascii="宋体" w:hAnsi="宋体" w:cs="宋体"/>
          <w:kern w:val="1"/>
          <w:szCs w:val="21"/>
          <w:highlight w:val="none"/>
        </w:rPr>
        <w:t>.1合同总价：</w:t>
      </w:r>
      <w:r>
        <w:rPr>
          <w:rFonts w:hint="eastAsia" w:ascii="宋体" w:hAnsi="宋体" w:cs="宋体"/>
          <w:kern w:val="1"/>
          <w:szCs w:val="21"/>
          <w:highlight w:val="none"/>
          <w:u w:val="single"/>
        </w:rPr>
        <w:t>大写            （小写：        ）。</w:t>
      </w:r>
      <w:r>
        <w:rPr>
          <w:rFonts w:hint="eastAsia" w:ascii="宋体" w:hAnsi="宋体" w:cs="宋体"/>
          <w:kern w:val="1"/>
          <w:szCs w:val="21"/>
          <w:highlight w:val="none"/>
          <w:lang w:eastAsia="ar-SA"/>
        </w:rPr>
        <w:t>合同总价包含项目达到预期使用效果所需的一切费用，甲方不再另行付费。但按实际结算后服务费总额少于合同总价的，则双方按实结算。</w:t>
      </w:r>
    </w:p>
    <w:p>
      <w:pPr>
        <w:pStyle w:val="168"/>
        <w:suppressAutoHyphens/>
        <w:adjustRightInd/>
        <w:spacing w:before="60" w:after="146" w:afterLines="50"/>
        <w:ind w:firstLine="424" w:firstLineChars="200"/>
        <w:jc w:val="both"/>
        <w:rPr>
          <w:rFonts w:hint="eastAsia" w:ascii="宋体" w:hAnsi="宋体" w:cs="宋体"/>
          <w:kern w:val="1"/>
          <w:sz w:val="21"/>
          <w:szCs w:val="21"/>
          <w:highlight w:val="none"/>
          <w:lang w:eastAsia="ar-SA"/>
        </w:rPr>
      </w:pPr>
      <w:r>
        <w:rPr>
          <w:rFonts w:hint="eastAsia" w:ascii="宋体" w:hAnsi="宋体" w:cs="宋体"/>
          <w:kern w:val="1"/>
          <w:sz w:val="21"/>
          <w:szCs w:val="21"/>
          <w:highlight w:val="none"/>
        </w:rPr>
        <w:t>1</w:t>
      </w:r>
      <w:r>
        <w:rPr>
          <w:rFonts w:hint="eastAsia" w:ascii="宋体" w:hAnsi="宋体" w:cs="宋体"/>
          <w:kern w:val="1"/>
          <w:sz w:val="21"/>
          <w:szCs w:val="21"/>
          <w:highlight w:val="none"/>
          <w:lang w:val="en-US" w:eastAsia="zh-CN"/>
        </w:rPr>
        <w:t>3</w:t>
      </w:r>
      <w:r>
        <w:rPr>
          <w:rFonts w:hint="eastAsia" w:ascii="宋体" w:hAnsi="宋体" w:cs="宋体"/>
          <w:kern w:val="1"/>
          <w:sz w:val="21"/>
          <w:szCs w:val="21"/>
          <w:highlight w:val="none"/>
        </w:rPr>
        <w:t>.2</w:t>
      </w:r>
      <w:r>
        <w:rPr>
          <w:rFonts w:hint="eastAsia" w:ascii="宋体" w:hAnsi="宋体" w:cs="宋体"/>
          <w:kern w:val="1"/>
          <w:sz w:val="21"/>
          <w:szCs w:val="21"/>
          <w:highlight w:val="none"/>
          <w:lang w:eastAsia="ar-SA"/>
        </w:rPr>
        <w:t>付款方式：</w:t>
      </w:r>
    </w:p>
    <w:p>
      <w:pPr>
        <w:pStyle w:val="168"/>
        <w:suppressAutoHyphens/>
        <w:adjustRightInd/>
        <w:spacing w:before="60" w:after="146" w:afterLines="50"/>
        <w:ind w:firstLine="424" w:firstLineChars="200"/>
        <w:jc w:val="both"/>
        <w:rPr>
          <w:rFonts w:hint="eastAsia" w:ascii="宋体" w:hAnsi="宋体" w:cs="宋体"/>
          <w:kern w:val="1"/>
          <w:sz w:val="21"/>
          <w:szCs w:val="21"/>
          <w:highlight w:val="none"/>
          <w:lang w:eastAsia="ar-SA"/>
        </w:rPr>
      </w:pPr>
      <w:r>
        <w:rPr>
          <w:rFonts w:hint="eastAsia" w:ascii="宋体" w:hAnsi="宋体" w:cs="宋体"/>
          <w:kern w:val="1"/>
          <w:sz w:val="21"/>
          <w:szCs w:val="21"/>
          <w:highlight w:val="none"/>
          <w:lang w:val="en-US" w:eastAsia="zh-CN"/>
        </w:rPr>
        <w:t>13.2.1（1）</w:t>
      </w:r>
      <w:r>
        <w:rPr>
          <w:rFonts w:hint="eastAsia" w:ascii="宋体" w:hAnsi="宋体" w:cs="宋体"/>
          <w:kern w:val="1"/>
          <w:sz w:val="21"/>
          <w:szCs w:val="21"/>
          <w:highlight w:val="none"/>
          <w:lang w:eastAsia="ar-SA"/>
        </w:rPr>
        <w:t>合同生效后7个工作日内支付合同总价的</w:t>
      </w:r>
      <w:r>
        <w:rPr>
          <w:rFonts w:hint="eastAsia" w:ascii="宋体" w:hAnsi="宋体" w:cs="宋体"/>
          <w:kern w:val="1"/>
          <w:sz w:val="21"/>
          <w:szCs w:val="21"/>
          <w:highlight w:val="none"/>
          <w:lang w:val="en-US" w:eastAsia="ar-SA"/>
        </w:rPr>
        <w:t>30</w:t>
      </w:r>
      <w:r>
        <w:rPr>
          <w:rFonts w:hint="eastAsia" w:ascii="宋体" w:hAnsi="宋体" w:cs="宋体"/>
          <w:kern w:val="1"/>
          <w:sz w:val="21"/>
          <w:szCs w:val="21"/>
          <w:highlight w:val="none"/>
          <w:lang w:eastAsia="ar-SA"/>
        </w:rPr>
        <w:t>%（中标人为非中小微企业）；</w:t>
      </w:r>
      <w:r>
        <w:rPr>
          <w:rFonts w:hint="eastAsia" w:ascii="宋体" w:hAnsi="宋体" w:cs="宋体"/>
          <w:kern w:val="1"/>
          <w:sz w:val="21"/>
          <w:szCs w:val="21"/>
          <w:highlight w:val="none"/>
          <w:lang w:val="en-US" w:eastAsia="zh-CN"/>
        </w:rPr>
        <w:t>（2）</w:t>
      </w:r>
      <w:r>
        <w:rPr>
          <w:rFonts w:hint="eastAsia" w:ascii="宋体" w:hAnsi="宋体" w:cs="宋体"/>
          <w:kern w:val="1"/>
          <w:sz w:val="21"/>
          <w:szCs w:val="21"/>
          <w:highlight w:val="none"/>
          <w:lang w:eastAsia="ar-SA"/>
        </w:rPr>
        <w:t>合同生效后7个工作日内支付合同总价的40%（中标人为中小微企业）；</w:t>
      </w:r>
    </w:p>
    <w:p>
      <w:pPr>
        <w:pStyle w:val="168"/>
        <w:suppressAutoHyphens/>
        <w:adjustRightInd/>
        <w:spacing w:before="60" w:after="146" w:afterLines="50"/>
        <w:ind w:firstLine="424" w:firstLineChars="200"/>
        <w:jc w:val="both"/>
        <w:rPr>
          <w:rFonts w:hint="eastAsia" w:ascii="宋体" w:hAnsi="宋体" w:cs="宋体"/>
          <w:kern w:val="1"/>
          <w:sz w:val="21"/>
          <w:szCs w:val="21"/>
          <w:highlight w:val="none"/>
          <w:lang w:eastAsia="ar-SA"/>
        </w:rPr>
      </w:pPr>
      <w:r>
        <w:rPr>
          <w:rFonts w:hint="eastAsia" w:ascii="宋体" w:hAnsi="宋体" w:cs="宋体"/>
          <w:kern w:val="1"/>
          <w:sz w:val="21"/>
          <w:szCs w:val="21"/>
          <w:highlight w:val="none"/>
          <w:lang w:val="en-US" w:eastAsia="zh-CN"/>
        </w:rPr>
        <w:t>13.2.2（1）</w:t>
      </w:r>
      <w:r>
        <w:rPr>
          <w:rFonts w:hint="eastAsia" w:ascii="宋体" w:hAnsi="宋体" w:cs="宋体"/>
          <w:kern w:val="1"/>
          <w:sz w:val="21"/>
          <w:szCs w:val="21"/>
          <w:highlight w:val="none"/>
          <w:lang w:eastAsia="ar-SA"/>
        </w:rPr>
        <w:t>第二年服务期</w:t>
      </w:r>
      <w:r>
        <w:rPr>
          <w:rFonts w:hint="eastAsia" w:ascii="宋体" w:hAnsi="宋体" w:cs="宋体"/>
          <w:kern w:val="1"/>
          <w:sz w:val="21"/>
          <w:szCs w:val="21"/>
          <w:highlight w:val="none"/>
          <w:lang w:val="en-US" w:eastAsia="zh-CN"/>
        </w:rPr>
        <w:t>结束前两个月</w:t>
      </w:r>
      <w:r>
        <w:rPr>
          <w:rFonts w:hint="eastAsia" w:ascii="宋体" w:hAnsi="宋体" w:cs="宋体"/>
          <w:kern w:val="1"/>
          <w:sz w:val="21"/>
          <w:szCs w:val="21"/>
          <w:highlight w:val="none"/>
          <w:lang w:eastAsia="ar-SA"/>
        </w:rPr>
        <w:t>，甲方收到乙方开具的税务发票确认无误后30个工作日内支付合同总价的</w:t>
      </w:r>
      <w:r>
        <w:rPr>
          <w:rFonts w:hint="eastAsia" w:ascii="宋体" w:hAnsi="宋体" w:cs="宋体"/>
          <w:kern w:val="1"/>
          <w:sz w:val="21"/>
          <w:szCs w:val="21"/>
          <w:highlight w:val="none"/>
          <w:lang w:val="en-US" w:eastAsia="ar-SA"/>
        </w:rPr>
        <w:t>35</w:t>
      </w:r>
      <w:r>
        <w:rPr>
          <w:rFonts w:hint="eastAsia" w:ascii="宋体" w:hAnsi="宋体" w:cs="宋体"/>
          <w:kern w:val="1"/>
          <w:sz w:val="21"/>
          <w:szCs w:val="21"/>
          <w:highlight w:val="none"/>
          <w:lang w:eastAsia="ar-SA"/>
        </w:rPr>
        <w:t>%（如有违约金，在扣除</w:t>
      </w:r>
      <w:r>
        <w:rPr>
          <w:rFonts w:hint="eastAsia" w:ascii="宋体" w:hAnsi="宋体" w:cs="宋体"/>
          <w:kern w:val="1"/>
          <w:sz w:val="21"/>
          <w:szCs w:val="21"/>
          <w:highlight w:val="none"/>
          <w:lang w:val="en-US" w:eastAsia="zh-CN"/>
        </w:rPr>
        <w:t>第一</w:t>
      </w:r>
      <w:r>
        <w:rPr>
          <w:rFonts w:hint="eastAsia" w:ascii="宋体" w:hAnsi="宋体" w:cs="宋体"/>
          <w:kern w:val="1"/>
          <w:sz w:val="21"/>
          <w:szCs w:val="21"/>
          <w:highlight w:val="none"/>
          <w:lang w:eastAsia="ar-SA"/>
        </w:rPr>
        <w:t>年度违约金后支付）（中标人为非中小微企业）；</w:t>
      </w:r>
      <w:r>
        <w:rPr>
          <w:rFonts w:hint="eastAsia" w:ascii="宋体" w:hAnsi="宋体" w:cs="宋体"/>
          <w:kern w:val="1"/>
          <w:sz w:val="21"/>
          <w:szCs w:val="21"/>
          <w:highlight w:val="none"/>
          <w:lang w:val="en-US" w:eastAsia="zh-CN"/>
        </w:rPr>
        <w:t>（2）</w:t>
      </w:r>
      <w:r>
        <w:rPr>
          <w:rFonts w:hint="eastAsia" w:ascii="宋体" w:hAnsi="宋体" w:cs="宋体"/>
          <w:kern w:val="1"/>
          <w:sz w:val="21"/>
          <w:szCs w:val="21"/>
          <w:highlight w:val="none"/>
          <w:lang w:eastAsia="ar-SA"/>
        </w:rPr>
        <w:t>第二年服务期</w:t>
      </w:r>
      <w:r>
        <w:rPr>
          <w:rFonts w:hint="eastAsia" w:ascii="宋体" w:hAnsi="宋体" w:cs="宋体"/>
          <w:kern w:val="1"/>
          <w:sz w:val="21"/>
          <w:szCs w:val="21"/>
          <w:highlight w:val="none"/>
          <w:lang w:val="en-US" w:eastAsia="zh-CN"/>
        </w:rPr>
        <w:t>结束前两个月</w:t>
      </w:r>
      <w:r>
        <w:rPr>
          <w:rFonts w:hint="eastAsia" w:ascii="宋体" w:hAnsi="宋体" w:cs="宋体"/>
          <w:kern w:val="1"/>
          <w:sz w:val="21"/>
          <w:szCs w:val="21"/>
          <w:highlight w:val="none"/>
          <w:lang w:eastAsia="ar-SA"/>
        </w:rPr>
        <w:t>，甲方收到乙方开具的税务发票确认无误后30个工作日内支付合同总价的</w:t>
      </w:r>
      <w:r>
        <w:rPr>
          <w:rFonts w:hint="eastAsia" w:ascii="宋体" w:hAnsi="宋体" w:cs="宋体"/>
          <w:kern w:val="1"/>
          <w:sz w:val="21"/>
          <w:szCs w:val="21"/>
          <w:highlight w:val="none"/>
          <w:lang w:val="en-US" w:eastAsia="ar-SA"/>
        </w:rPr>
        <w:t>3</w:t>
      </w:r>
      <w:r>
        <w:rPr>
          <w:rFonts w:hint="eastAsia" w:ascii="宋体" w:hAnsi="宋体" w:cs="宋体"/>
          <w:kern w:val="1"/>
          <w:sz w:val="21"/>
          <w:szCs w:val="21"/>
          <w:highlight w:val="none"/>
          <w:lang w:eastAsia="ar-SA"/>
        </w:rPr>
        <w:t>0%（如有违约金，在扣除</w:t>
      </w:r>
      <w:r>
        <w:rPr>
          <w:rFonts w:hint="eastAsia" w:ascii="宋体" w:hAnsi="宋体" w:cs="宋体"/>
          <w:kern w:val="1"/>
          <w:sz w:val="21"/>
          <w:szCs w:val="21"/>
          <w:highlight w:val="none"/>
          <w:lang w:val="en-US" w:eastAsia="zh-CN"/>
        </w:rPr>
        <w:t>第一</w:t>
      </w:r>
      <w:r>
        <w:rPr>
          <w:rFonts w:hint="eastAsia" w:ascii="宋体" w:hAnsi="宋体" w:cs="宋体"/>
          <w:kern w:val="1"/>
          <w:sz w:val="21"/>
          <w:szCs w:val="21"/>
          <w:highlight w:val="none"/>
          <w:lang w:eastAsia="ar-SA"/>
        </w:rPr>
        <w:t>年度违约金后支付）（中标人为中小微企业）；</w:t>
      </w:r>
    </w:p>
    <w:p>
      <w:pPr>
        <w:pStyle w:val="168"/>
        <w:suppressAutoHyphens/>
        <w:adjustRightInd/>
        <w:spacing w:before="60" w:after="146" w:afterLines="50"/>
        <w:ind w:firstLine="424" w:firstLineChars="200"/>
        <w:jc w:val="both"/>
        <w:rPr>
          <w:rFonts w:hint="eastAsia" w:ascii="宋体" w:hAnsi="宋体" w:cs="宋体"/>
          <w:kern w:val="1"/>
          <w:sz w:val="21"/>
          <w:szCs w:val="21"/>
          <w:highlight w:val="none"/>
        </w:rPr>
      </w:pPr>
      <w:r>
        <w:rPr>
          <w:rFonts w:hint="eastAsia" w:ascii="宋体" w:hAnsi="宋体" w:cs="宋体"/>
          <w:kern w:val="1"/>
          <w:sz w:val="21"/>
          <w:szCs w:val="21"/>
          <w:highlight w:val="none"/>
          <w:lang w:val="en-US" w:eastAsia="zh-CN"/>
        </w:rPr>
        <w:t>13.2.3（1）</w:t>
      </w:r>
      <w:r>
        <w:rPr>
          <w:rFonts w:hint="eastAsia" w:ascii="宋体" w:hAnsi="宋体" w:cs="宋体"/>
          <w:kern w:val="1"/>
          <w:sz w:val="21"/>
          <w:szCs w:val="21"/>
          <w:highlight w:val="none"/>
          <w:lang w:eastAsia="ar-SA"/>
        </w:rPr>
        <w:t>第三年服务期</w:t>
      </w:r>
      <w:r>
        <w:rPr>
          <w:rFonts w:hint="eastAsia" w:ascii="宋体" w:hAnsi="宋体" w:cs="宋体"/>
          <w:kern w:val="1"/>
          <w:sz w:val="21"/>
          <w:szCs w:val="21"/>
          <w:highlight w:val="none"/>
          <w:lang w:val="en-US" w:eastAsia="ar-SA"/>
        </w:rPr>
        <w:t>开始</w:t>
      </w:r>
      <w:r>
        <w:rPr>
          <w:rFonts w:hint="eastAsia" w:ascii="宋体" w:hAnsi="宋体" w:cs="宋体"/>
          <w:kern w:val="1"/>
          <w:sz w:val="21"/>
          <w:szCs w:val="21"/>
          <w:highlight w:val="none"/>
          <w:lang w:val="en-US" w:eastAsia="zh-CN"/>
        </w:rPr>
        <w:t>并完成资产移交</w:t>
      </w:r>
      <w:r>
        <w:rPr>
          <w:rFonts w:hint="eastAsia" w:ascii="宋体" w:hAnsi="宋体" w:cs="宋体"/>
          <w:kern w:val="1"/>
          <w:sz w:val="21"/>
          <w:szCs w:val="21"/>
          <w:highlight w:val="none"/>
          <w:lang w:eastAsia="ar-SA"/>
        </w:rPr>
        <w:t>后，甲方收到乙方开具的税务发票确认无误后30个工作日内支付合同总价的</w:t>
      </w:r>
      <w:r>
        <w:rPr>
          <w:rFonts w:hint="eastAsia" w:ascii="宋体" w:hAnsi="宋体" w:cs="宋体"/>
          <w:kern w:val="1"/>
          <w:sz w:val="21"/>
          <w:szCs w:val="21"/>
          <w:highlight w:val="none"/>
          <w:lang w:val="en-US" w:eastAsia="ar-SA"/>
        </w:rPr>
        <w:t>35</w:t>
      </w:r>
      <w:r>
        <w:rPr>
          <w:rFonts w:hint="eastAsia" w:ascii="宋体" w:hAnsi="宋体" w:cs="宋体"/>
          <w:kern w:val="1"/>
          <w:sz w:val="21"/>
          <w:szCs w:val="21"/>
          <w:highlight w:val="none"/>
          <w:lang w:eastAsia="ar-SA"/>
        </w:rPr>
        <w:t>%（如有违约金，在扣除</w:t>
      </w:r>
      <w:r>
        <w:rPr>
          <w:rFonts w:hint="eastAsia" w:ascii="宋体" w:hAnsi="宋体" w:cs="宋体"/>
          <w:kern w:val="1"/>
          <w:sz w:val="21"/>
          <w:szCs w:val="21"/>
          <w:highlight w:val="none"/>
          <w:lang w:val="en-US" w:eastAsia="zh-CN"/>
        </w:rPr>
        <w:t>第二</w:t>
      </w:r>
      <w:r>
        <w:rPr>
          <w:rFonts w:hint="eastAsia" w:ascii="宋体" w:hAnsi="宋体" w:cs="宋体"/>
          <w:kern w:val="1"/>
          <w:sz w:val="21"/>
          <w:szCs w:val="21"/>
          <w:highlight w:val="none"/>
          <w:lang w:eastAsia="ar-SA"/>
        </w:rPr>
        <w:t>年度违约金后支付）（中标人为非中小微企业）；</w:t>
      </w:r>
      <w:r>
        <w:rPr>
          <w:rFonts w:hint="eastAsia" w:ascii="宋体" w:hAnsi="宋体" w:cs="宋体"/>
          <w:kern w:val="1"/>
          <w:sz w:val="21"/>
          <w:szCs w:val="21"/>
          <w:highlight w:val="none"/>
          <w:lang w:val="en-US" w:eastAsia="zh-CN"/>
        </w:rPr>
        <w:t>（2）</w:t>
      </w:r>
      <w:r>
        <w:rPr>
          <w:rFonts w:hint="eastAsia" w:ascii="宋体" w:hAnsi="宋体" w:cs="宋体"/>
          <w:kern w:val="1"/>
          <w:sz w:val="21"/>
          <w:szCs w:val="21"/>
          <w:highlight w:val="none"/>
          <w:lang w:eastAsia="ar-SA"/>
        </w:rPr>
        <w:t>第三年服务期</w:t>
      </w:r>
      <w:r>
        <w:rPr>
          <w:rFonts w:hint="eastAsia" w:ascii="宋体" w:hAnsi="宋体" w:cs="宋体"/>
          <w:kern w:val="1"/>
          <w:sz w:val="21"/>
          <w:szCs w:val="21"/>
          <w:highlight w:val="none"/>
          <w:lang w:val="en-US" w:eastAsia="ar-SA"/>
        </w:rPr>
        <w:t>开始</w:t>
      </w:r>
      <w:r>
        <w:rPr>
          <w:rFonts w:hint="eastAsia" w:ascii="宋体" w:hAnsi="宋体" w:cs="宋体"/>
          <w:kern w:val="1"/>
          <w:sz w:val="21"/>
          <w:szCs w:val="21"/>
          <w:highlight w:val="none"/>
          <w:lang w:val="en-US" w:eastAsia="zh-CN"/>
        </w:rPr>
        <w:t>并完成资产移交</w:t>
      </w:r>
      <w:r>
        <w:rPr>
          <w:rFonts w:hint="eastAsia" w:ascii="宋体" w:hAnsi="宋体" w:cs="宋体"/>
          <w:kern w:val="1"/>
          <w:sz w:val="21"/>
          <w:szCs w:val="21"/>
          <w:highlight w:val="none"/>
          <w:lang w:eastAsia="ar-SA"/>
        </w:rPr>
        <w:t>后，甲方收到乙方开具的税务发票确认无误后30个工作日内支付合同总价的</w:t>
      </w:r>
      <w:r>
        <w:rPr>
          <w:rFonts w:hint="eastAsia" w:ascii="宋体" w:hAnsi="宋体" w:cs="宋体"/>
          <w:kern w:val="1"/>
          <w:sz w:val="21"/>
          <w:szCs w:val="21"/>
          <w:highlight w:val="none"/>
          <w:lang w:val="en-US" w:eastAsia="ar-SA"/>
        </w:rPr>
        <w:t>30</w:t>
      </w:r>
      <w:r>
        <w:rPr>
          <w:rFonts w:hint="eastAsia" w:ascii="宋体" w:hAnsi="宋体" w:cs="宋体"/>
          <w:kern w:val="1"/>
          <w:sz w:val="21"/>
          <w:szCs w:val="21"/>
          <w:highlight w:val="none"/>
          <w:lang w:eastAsia="ar-SA"/>
        </w:rPr>
        <w:t>%（如有违约金，在扣除</w:t>
      </w:r>
      <w:r>
        <w:rPr>
          <w:rFonts w:hint="eastAsia" w:ascii="宋体" w:hAnsi="宋体" w:cs="宋体"/>
          <w:kern w:val="1"/>
          <w:sz w:val="21"/>
          <w:szCs w:val="21"/>
          <w:highlight w:val="none"/>
          <w:lang w:val="en-US" w:eastAsia="zh-CN"/>
        </w:rPr>
        <w:t>第二</w:t>
      </w:r>
      <w:r>
        <w:rPr>
          <w:rFonts w:hint="eastAsia" w:ascii="宋体" w:hAnsi="宋体" w:cs="宋体"/>
          <w:kern w:val="1"/>
          <w:sz w:val="21"/>
          <w:szCs w:val="21"/>
          <w:highlight w:val="none"/>
          <w:lang w:eastAsia="ar-SA"/>
        </w:rPr>
        <w:t>年度违约金后支付）（中标人为中小微企业）</w:t>
      </w:r>
      <w:r>
        <w:rPr>
          <w:rFonts w:hint="eastAsia" w:ascii="宋体" w:hAnsi="宋体" w:cs="宋体"/>
          <w:kern w:val="1"/>
          <w:sz w:val="21"/>
          <w:szCs w:val="21"/>
          <w:highlight w:val="none"/>
        </w:rPr>
        <w:t>。</w:t>
      </w:r>
    </w:p>
    <w:p>
      <w:pPr>
        <w:pStyle w:val="168"/>
        <w:suppressAutoHyphens/>
        <w:adjustRightInd/>
        <w:spacing w:before="60" w:after="146" w:afterLines="50"/>
        <w:ind w:firstLine="424" w:firstLineChars="200"/>
        <w:jc w:val="both"/>
        <w:rPr>
          <w:rFonts w:ascii="宋体" w:hAnsi="宋体" w:cs="宋体"/>
          <w:kern w:val="1"/>
          <w:sz w:val="21"/>
          <w:szCs w:val="21"/>
          <w:highlight w:val="none"/>
          <w:lang w:eastAsia="ar-SA"/>
        </w:rPr>
      </w:pPr>
      <w:r>
        <w:rPr>
          <w:rFonts w:hint="eastAsia" w:ascii="宋体" w:hAnsi="宋体" w:cs="宋体"/>
          <w:kern w:val="1"/>
          <w:sz w:val="21"/>
          <w:szCs w:val="21"/>
          <w:highlight w:val="none"/>
        </w:rPr>
        <w:t>注：约定的支付时间以政府财政性资金支付要求为准，如因财政等原因导致支付延迟，</w:t>
      </w:r>
      <w:r>
        <w:rPr>
          <w:rFonts w:hint="eastAsia" w:ascii="宋体" w:hAnsi="宋体" w:cs="宋体"/>
          <w:kern w:val="1"/>
          <w:sz w:val="21"/>
          <w:szCs w:val="21"/>
          <w:highlight w:val="none"/>
          <w:lang w:val="en-US" w:eastAsia="zh-CN"/>
        </w:rPr>
        <w:t>甲方</w:t>
      </w:r>
      <w:r>
        <w:rPr>
          <w:rFonts w:hint="eastAsia" w:ascii="宋体" w:hAnsi="宋体" w:cs="宋体"/>
          <w:kern w:val="1"/>
          <w:sz w:val="21"/>
          <w:szCs w:val="21"/>
          <w:highlight w:val="none"/>
        </w:rPr>
        <w:t>不承担相应责任。</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b/>
          <w:kern w:val="1"/>
          <w:szCs w:val="21"/>
          <w:highlight w:val="none"/>
          <w:lang w:eastAsia="ar-SA"/>
        </w:rPr>
        <w:t>1</w:t>
      </w:r>
      <w:r>
        <w:rPr>
          <w:rFonts w:hint="eastAsia" w:ascii="宋体" w:hAnsi="宋体" w:cs="宋体"/>
          <w:b/>
          <w:kern w:val="1"/>
          <w:szCs w:val="21"/>
          <w:highlight w:val="none"/>
          <w:lang w:val="en-US" w:eastAsia="zh-CN"/>
        </w:rPr>
        <w:t>4</w:t>
      </w:r>
      <w:r>
        <w:rPr>
          <w:rFonts w:hint="eastAsia" w:ascii="宋体" w:hAnsi="宋体" w:cs="宋体"/>
          <w:b/>
          <w:kern w:val="1"/>
          <w:szCs w:val="21"/>
          <w:highlight w:val="none"/>
          <w:lang w:eastAsia="ar-SA"/>
        </w:rPr>
        <w:t>、违约责任</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合同自甲乙双方盖章签字后，即具有法律效力，任何一方不得擅自修改或拒绝执行合同内任何条款（除本合同特殊说明外）。　　</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ar-SA"/>
        </w:rPr>
        <w:t>.1因乙方原因导致工期延误，工程建设期限延误1-10天，扣违约金5000元每天，工程期限期延误10天以上，第11天开始扣违约金10000元每天；延误超过30天的，甲方有权单方面解除本合同，乙方投入的所有设备归甲方所有，</w:t>
      </w:r>
      <w:r>
        <w:rPr>
          <w:rFonts w:hint="eastAsia" w:ascii="宋体" w:hAnsi="宋体" w:cs="宋体"/>
          <w:kern w:val="1"/>
          <w:szCs w:val="21"/>
          <w:highlight w:val="none"/>
          <w:lang w:eastAsia="zh-CN"/>
        </w:rPr>
        <w:t>乙方支付甲方合同总价</w:t>
      </w:r>
      <w:r>
        <w:rPr>
          <w:rFonts w:hint="eastAsia" w:ascii="宋体" w:hAnsi="宋体" w:cs="宋体"/>
          <w:kern w:val="1"/>
          <w:szCs w:val="21"/>
          <w:highlight w:val="none"/>
          <w:lang w:val="en-US" w:eastAsia="zh-CN"/>
        </w:rPr>
        <w:t>30%的违约金，</w:t>
      </w:r>
      <w:r>
        <w:rPr>
          <w:rFonts w:hint="eastAsia" w:ascii="宋体" w:hAnsi="宋体" w:cs="宋体"/>
          <w:kern w:val="1"/>
          <w:szCs w:val="21"/>
          <w:highlight w:val="none"/>
          <w:lang w:eastAsia="ar-SA"/>
        </w:rPr>
        <w:t>并赔偿甲方所有损失。</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1</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ar-SA"/>
        </w:rPr>
        <w:t>.2因乙方原因合同提前终止，则本工程中乙方投入的所有设备无条件归甲方所有，</w:t>
      </w:r>
      <w:r>
        <w:rPr>
          <w:rFonts w:hint="eastAsia" w:ascii="宋体" w:hAnsi="宋体" w:cs="宋体"/>
          <w:kern w:val="1"/>
          <w:szCs w:val="21"/>
          <w:highlight w:val="none"/>
          <w:lang w:eastAsia="zh-CN"/>
        </w:rPr>
        <w:t>乙方支付甲方合同总价</w:t>
      </w:r>
      <w:r>
        <w:rPr>
          <w:rFonts w:hint="eastAsia" w:ascii="宋体" w:hAnsi="宋体" w:cs="宋体"/>
          <w:kern w:val="1"/>
          <w:szCs w:val="21"/>
          <w:highlight w:val="none"/>
          <w:lang w:val="en-US" w:eastAsia="zh-CN"/>
        </w:rPr>
        <w:t>30%的违约金，</w:t>
      </w:r>
      <w:r>
        <w:rPr>
          <w:rFonts w:hint="eastAsia" w:ascii="宋体" w:hAnsi="宋体" w:cs="宋体"/>
          <w:kern w:val="1"/>
          <w:szCs w:val="21"/>
          <w:highlight w:val="none"/>
          <w:lang w:eastAsia="ar-SA"/>
        </w:rPr>
        <w:t>并赔偿因此而造成的其它损失；因甲方原因合同提前终止，甲方应承担损失。</w:t>
      </w:r>
    </w:p>
    <w:p>
      <w:pPr>
        <w:suppressAutoHyphens/>
        <w:spacing w:line="500" w:lineRule="exact"/>
        <w:ind w:firstLine="48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ar-SA"/>
        </w:rPr>
        <w:t>.3每发生一次重大故障</w:t>
      </w:r>
      <w:r>
        <w:rPr>
          <w:rFonts w:hint="eastAsia" w:ascii="宋体" w:hAnsi="宋体" w:cs="宋体"/>
          <w:kern w:val="1"/>
          <w:szCs w:val="21"/>
          <w:highlight w:val="none"/>
        </w:rPr>
        <w:t>的</w:t>
      </w:r>
      <w:r>
        <w:rPr>
          <w:rFonts w:hint="eastAsia" w:ascii="宋体" w:hAnsi="宋体" w:cs="宋体"/>
          <w:kern w:val="1"/>
          <w:szCs w:val="21"/>
          <w:highlight w:val="none"/>
          <w:lang w:eastAsia="ar-SA"/>
        </w:rPr>
        <w:t>赔偿金额10000元，不可抗力引起的重大故障除外。一年度内出现重大故障五次以上的，甲方有权单方面终止合同，乙方投入的所有设备归甲方所有，</w:t>
      </w:r>
      <w:r>
        <w:rPr>
          <w:rFonts w:hint="eastAsia" w:ascii="宋体" w:hAnsi="宋体" w:cs="宋体"/>
          <w:kern w:val="1"/>
          <w:szCs w:val="21"/>
          <w:highlight w:val="none"/>
          <w:lang w:eastAsia="zh-CN"/>
        </w:rPr>
        <w:t>乙方支付甲方合同总价</w:t>
      </w:r>
      <w:r>
        <w:rPr>
          <w:rFonts w:hint="eastAsia" w:ascii="宋体" w:hAnsi="宋体" w:cs="宋体"/>
          <w:kern w:val="1"/>
          <w:szCs w:val="21"/>
          <w:highlight w:val="none"/>
          <w:lang w:val="en-US" w:eastAsia="zh-CN"/>
        </w:rPr>
        <w:t>30%的违约金，</w:t>
      </w:r>
      <w:r>
        <w:rPr>
          <w:rFonts w:hint="eastAsia" w:ascii="宋体" w:hAnsi="宋体" w:cs="宋体"/>
          <w:kern w:val="1"/>
          <w:szCs w:val="21"/>
          <w:highlight w:val="none"/>
          <w:lang w:eastAsia="ar-SA"/>
        </w:rPr>
        <w:t>并赔偿由此带来的损失。</w:t>
      </w:r>
    </w:p>
    <w:p>
      <w:pPr>
        <w:suppressAutoHyphens/>
        <w:spacing w:line="500" w:lineRule="exact"/>
        <w:ind w:firstLine="48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ar-SA"/>
        </w:rPr>
        <w:t>.4乙方擅自更换派驻人员的，处违约金50000元/次，且甲方有权拒绝接受其擅自更换的派驻人员。</w:t>
      </w:r>
    </w:p>
    <w:p>
      <w:pPr>
        <w:suppressAutoHyphens/>
        <w:spacing w:line="360" w:lineRule="auto"/>
        <w:ind w:firstLine="424" w:firstLineChars="200"/>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ar-SA"/>
        </w:rPr>
        <w:t>.5 乙方未按月、年度及时提供各类运维报告的，处违约金200元/次。</w:t>
      </w:r>
    </w:p>
    <w:p>
      <w:pPr>
        <w:suppressAutoHyphens/>
        <w:spacing w:line="360" w:lineRule="auto"/>
        <w:ind w:firstLine="424" w:firstLineChars="200"/>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ar-SA"/>
        </w:rPr>
        <w:t>.6 因乙方运维人员原因发生网络安全、数据安全事件的，处违约金5000元/次，造成重大影响或被上级部门通报的，加倍扣款。</w:t>
      </w:r>
    </w:p>
    <w:p>
      <w:pPr>
        <w:suppressAutoHyphens/>
        <w:spacing w:line="360" w:lineRule="auto"/>
        <w:ind w:firstLine="424" w:firstLineChars="200"/>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ar-SA"/>
        </w:rPr>
        <w:t xml:space="preserve">.7 </w:t>
      </w:r>
      <w:r>
        <w:rPr>
          <w:rFonts w:hint="eastAsia" w:ascii="宋体" w:hAnsi="宋体" w:cs="宋体"/>
          <w:kern w:val="1"/>
          <w:szCs w:val="21"/>
          <w:highlight w:val="none"/>
        </w:rPr>
        <w:t>本项目内</w:t>
      </w:r>
      <w:r>
        <w:rPr>
          <w:rFonts w:hint="eastAsia" w:ascii="宋体" w:hAnsi="宋体" w:cs="宋体"/>
          <w:kern w:val="1"/>
          <w:szCs w:val="21"/>
          <w:highlight w:val="none"/>
          <w:lang w:eastAsia="ar-SA"/>
        </w:rPr>
        <w:t>相关设备</w:t>
      </w:r>
      <w:r>
        <w:rPr>
          <w:rFonts w:hint="eastAsia" w:ascii="宋体" w:hAnsi="宋体" w:cs="宋体"/>
          <w:kern w:val="1"/>
          <w:szCs w:val="21"/>
          <w:highlight w:val="none"/>
        </w:rPr>
        <w:t>/软件产品</w:t>
      </w:r>
      <w:r>
        <w:rPr>
          <w:rFonts w:hint="eastAsia" w:ascii="宋体" w:hAnsi="宋体" w:cs="宋体"/>
          <w:kern w:val="1"/>
          <w:szCs w:val="21"/>
          <w:highlight w:val="none"/>
          <w:lang w:eastAsia="ar-SA"/>
        </w:rPr>
        <w:t>未定期维护保养和除尘清洁的，处违约金200元/处。</w:t>
      </w:r>
    </w:p>
    <w:p>
      <w:pPr>
        <w:suppressAutoHyphens/>
        <w:spacing w:line="360" w:lineRule="auto"/>
        <w:ind w:firstLine="424" w:firstLineChars="200"/>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ar-SA"/>
        </w:rPr>
        <w:t>.8</w:t>
      </w:r>
      <w:r>
        <w:rPr>
          <w:rFonts w:hint="eastAsia" w:ascii="宋体" w:hAnsi="宋体" w:cs="宋体"/>
          <w:kern w:val="1"/>
          <w:szCs w:val="21"/>
          <w:highlight w:val="none"/>
        </w:rPr>
        <w:t>服务期</w:t>
      </w:r>
      <w:r>
        <w:rPr>
          <w:rFonts w:hint="eastAsia" w:ascii="宋体" w:hAnsi="宋体" w:cs="宋体"/>
          <w:kern w:val="1"/>
          <w:szCs w:val="21"/>
          <w:highlight w:val="none"/>
          <w:lang w:eastAsia="ar-SA"/>
        </w:rPr>
        <w:t>内发现问题，乙方整改不及时、不全面、不彻底、乱汇报，再次检查发现问题仍未处理的，处违约金2000元/次。</w:t>
      </w:r>
    </w:p>
    <w:p>
      <w:pPr>
        <w:suppressAutoHyphens/>
        <w:spacing w:line="360" w:lineRule="auto"/>
        <w:ind w:firstLine="424" w:firstLineChars="200"/>
        <w:rPr>
          <w:rFonts w:hint="default" w:ascii="宋体" w:hAnsi="宋体" w:eastAsia="宋体" w:cs="宋体"/>
          <w:kern w:val="1"/>
          <w:szCs w:val="21"/>
          <w:highlight w:val="none"/>
          <w:lang w:val="en-US" w:eastAsia="zh-CN"/>
        </w:rPr>
      </w:pPr>
      <w:r>
        <w:rPr>
          <w:rFonts w:hint="eastAsia" w:ascii="宋体" w:hAnsi="宋体" w:cs="宋体"/>
          <w:kern w:val="1"/>
          <w:szCs w:val="21"/>
          <w:highlight w:val="none"/>
        </w:rPr>
        <w:t>1</w:t>
      </w:r>
      <w:r>
        <w:rPr>
          <w:rFonts w:hint="eastAsia" w:ascii="宋体" w:hAnsi="宋体" w:cs="宋体"/>
          <w:kern w:val="1"/>
          <w:szCs w:val="21"/>
          <w:highlight w:val="none"/>
          <w:lang w:val="en-US" w:eastAsia="zh-CN"/>
        </w:rPr>
        <w:t>4</w:t>
      </w:r>
      <w:r>
        <w:rPr>
          <w:rFonts w:hint="eastAsia" w:ascii="宋体" w:hAnsi="宋体" w:cs="宋体"/>
          <w:kern w:val="1"/>
          <w:szCs w:val="21"/>
          <w:highlight w:val="none"/>
        </w:rPr>
        <w:t>.9</w:t>
      </w:r>
      <w:r>
        <w:rPr>
          <w:rFonts w:hint="eastAsia" w:ascii="宋体" w:hAnsi="宋体" w:cs="宋体"/>
          <w:kern w:val="1"/>
          <w:szCs w:val="21"/>
          <w:highlight w:val="none"/>
          <w:lang w:val="en-US" w:eastAsia="zh-CN"/>
        </w:rPr>
        <w:t>乙方在</w:t>
      </w:r>
      <w:r>
        <w:rPr>
          <w:rFonts w:hint="eastAsia" w:ascii="宋体" w:hAnsi="宋体" w:cs="宋体"/>
          <w:kern w:val="1"/>
          <w:szCs w:val="21"/>
          <w:highlight w:val="none"/>
        </w:rPr>
        <w:t>投标文件中响应的</w:t>
      </w:r>
      <w:r>
        <w:rPr>
          <w:rFonts w:hint="eastAsia" w:ascii="宋体" w:hAnsi="宋体" w:cs="宋体"/>
          <w:kern w:val="1"/>
          <w:szCs w:val="21"/>
          <w:highlight w:val="none"/>
          <w:lang w:val="en-US" w:eastAsia="zh-CN"/>
        </w:rPr>
        <w:t>拟定</w:t>
      </w:r>
      <w:r>
        <w:rPr>
          <w:rFonts w:hint="eastAsia" w:ascii="宋体" w:hAnsi="宋体" w:cs="宋体"/>
          <w:kern w:val="1"/>
          <w:szCs w:val="21"/>
          <w:highlight w:val="none"/>
        </w:rPr>
        <w:t>项目组成员</w:t>
      </w:r>
      <w:r>
        <w:rPr>
          <w:rFonts w:hint="eastAsia" w:ascii="宋体" w:hAnsi="宋体" w:cs="宋体"/>
          <w:kern w:val="1"/>
          <w:szCs w:val="21"/>
          <w:highlight w:val="none"/>
          <w:lang w:val="en-US" w:eastAsia="zh-CN"/>
        </w:rPr>
        <w:t>为</w:t>
      </w:r>
      <w:r>
        <w:rPr>
          <w:rFonts w:hint="eastAsia" w:ascii="宋体" w:hAnsi="宋体" w:cs="宋体"/>
          <w:kern w:val="1"/>
          <w:szCs w:val="21"/>
          <w:highlight w:val="none"/>
        </w:rPr>
        <w:t>参加本项目</w:t>
      </w:r>
      <w:r>
        <w:rPr>
          <w:rFonts w:hint="eastAsia" w:ascii="宋体" w:hAnsi="宋体" w:cs="宋体"/>
          <w:kern w:val="1"/>
          <w:szCs w:val="21"/>
          <w:highlight w:val="none"/>
          <w:lang w:val="en-US" w:eastAsia="zh-CN"/>
        </w:rPr>
        <w:t>的实际成员，拟定的项目经理为</w:t>
      </w:r>
      <w:r>
        <w:rPr>
          <w:rFonts w:hint="eastAsia" w:ascii="宋体" w:hAnsi="宋体" w:cs="宋体"/>
          <w:kern w:val="1"/>
          <w:szCs w:val="21"/>
          <w:highlight w:val="none"/>
        </w:rPr>
        <w:t>实际参加本项目管理、技术等方面的项目</w:t>
      </w:r>
      <w:r>
        <w:rPr>
          <w:rFonts w:hint="eastAsia" w:ascii="宋体" w:hAnsi="宋体" w:cs="宋体"/>
          <w:kern w:val="1"/>
          <w:szCs w:val="21"/>
          <w:highlight w:val="none"/>
          <w:lang w:val="en-US" w:eastAsia="zh-CN"/>
        </w:rPr>
        <w:t>经理</w:t>
      </w:r>
      <w:r>
        <w:rPr>
          <w:rFonts w:hint="eastAsia" w:ascii="宋体" w:hAnsi="宋体" w:cs="宋体"/>
          <w:kern w:val="1"/>
          <w:szCs w:val="21"/>
          <w:highlight w:val="none"/>
        </w:rPr>
        <w:t>，负责项目协调和调度工作，全程参与本项目</w:t>
      </w:r>
      <w:r>
        <w:rPr>
          <w:rFonts w:hint="eastAsia" w:ascii="宋体" w:hAnsi="宋体" w:cs="宋体"/>
          <w:kern w:val="1"/>
          <w:szCs w:val="21"/>
          <w:highlight w:val="none"/>
          <w:lang w:eastAsia="zh-CN"/>
        </w:rPr>
        <w:t>，</w:t>
      </w:r>
      <w:r>
        <w:rPr>
          <w:rFonts w:hint="eastAsia" w:ascii="宋体" w:hAnsi="宋体" w:cs="宋体"/>
          <w:kern w:val="1"/>
          <w:szCs w:val="21"/>
          <w:highlight w:val="none"/>
        </w:rPr>
        <w:t>并参与各类项目例会、项目沟通会、项目验收会议等方面</w:t>
      </w:r>
      <w:r>
        <w:rPr>
          <w:rFonts w:hint="eastAsia" w:ascii="宋体" w:hAnsi="宋体" w:cs="宋体"/>
          <w:kern w:val="1"/>
          <w:szCs w:val="21"/>
          <w:highlight w:val="none"/>
          <w:lang w:val="en-US" w:eastAsia="zh-CN"/>
        </w:rPr>
        <w:t>工作。</w:t>
      </w:r>
      <w:r>
        <w:rPr>
          <w:rFonts w:hint="eastAsia" w:ascii="宋体" w:hAnsi="宋体" w:cs="宋体"/>
          <w:kern w:val="1"/>
          <w:szCs w:val="21"/>
          <w:highlight w:val="none"/>
        </w:rPr>
        <w:t>在合同签订后的整个项目实施过程中不得更改(用户要求更改的除外)</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乙方不得擅自更改项目经理，乙方书面申请，经甲方同意后，</w:t>
      </w:r>
      <w:r>
        <w:rPr>
          <w:rFonts w:hint="eastAsia" w:ascii="宋体" w:hAnsi="宋体" w:cs="宋体"/>
          <w:kern w:val="1"/>
          <w:szCs w:val="21"/>
          <w:highlight w:val="none"/>
        </w:rPr>
        <w:t>每更换一人次，</w:t>
      </w:r>
      <w:r>
        <w:rPr>
          <w:rFonts w:hint="eastAsia" w:ascii="宋体" w:hAnsi="宋体" w:cs="宋体"/>
          <w:kern w:val="1"/>
          <w:szCs w:val="21"/>
          <w:highlight w:val="none"/>
          <w:lang w:eastAsia="ar-SA"/>
        </w:rPr>
        <w:t>处违约金</w:t>
      </w:r>
      <w:r>
        <w:rPr>
          <w:rFonts w:hint="eastAsia" w:ascii="宋体" w:hAnsi="宋体" w:cs="宋体"/>
          <w:kern w:val="1"/>
          <w:szCs w:val="21"/>
          <w:highlight w:val="none"/>
          <w:lang w:val="en-US" w:eastAsia="zh-CN"/>
        </w:rPr>
        <w:t>10</w:t>
      </w:r>
      <w:r>
        <w:rPr>
          <w:rFonts w:hint="eastAsia" w:ascii="宋体" w:hAnsi="宋体" w:cs="宋体"/>
          <w:kern w:val="1"/>
          <w:szCs w:val="21"/>
          <w:highlight w:val="none"/>
          <w:lang w:eastAsia="ar-SA"/>
        </w:rPr>
        <w:t>000元/次</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更换次数达3次及以上或者乙方擅自更换项目经理，甲方有权终止合同，且乙方已投入的所有软硬件产品归甲方所有</w:t>
      </w:r>
      <w:r>
        <w:rPr>
          <w:rFonts w:hint="eastAsia" w:ascii="宋体" w:hAnsi="宋体" w:cs="宋体"/>
          <w:kern w:val="1"/>
          <w:szCs w:val="21"/>
          <w:highlight w:val="none"/>
          <w:lang w:eastAsia="ar-SA"/>
        </w:rPr>
        <w:t>。</w:t>
      </w:r>
      <w:r>
        <w:rPr>
          <w:rFonts w:hint="eastAsia" w:ascii="宋体" w:hAnsi="宋体" w:cs="宋体"/>
          <w:kern w:val="1"/>
          <w:szCs w:val="21"/>
          <w:highlight w:val="none"/>
          <w:lang w:val="en-US" w:eastAsia="zh-CN"/>
        </w:rPr>
        <w:t>项目经理如缺席会议、项目重要环节工作的，每缺席一次，处违约金5000元/次，缺席次数达3次及以上，甲方有权终止合同，且乙方已投入的所有软硬件产品归甲方所有。</w:t>
      </w:r>
    </w:p>
    <w:p>
      <w:pPr>
        <w:suppressAutoHyphens/>
        <w:spacing w:line="360" w:lineRule="auto"/>
        <w:ind w:firstLine="424" w:firstLineChars="200"/>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ar-SA"/>
        </w:rPr>
        <w:t>.</w:t>
      </w:r>
      <w:r>
        <w:rPr>
          <w:rFonts w:hint="eastAsia" w:ascii="宋体" w:hAnsi="宋体" w:cs="宋体"/>
          <w:kern w:val="1"/>
          <w:szCs w:val="21"/>
          <w:highlight w:val="none"/>
        </w:rPr>
        <w:t>10</w:t>
      </w:r>
      <w:r>
        <w:rPr>
          <w:rFonts w:hint="eastAsia" w:ascii="宋体" w:hAnsi="宋体" w:cs="宋体"/>
          <w:kern w:val="1"/>
          <w:szCs w:val="21"/>
          <w:highlight w:val="none"/>
          <w:lang w:eastAsia="ar-SA"/>
        </w:rPr>
        <w:t xml:space="preserve"> 以上违约金在</w:t>
      </w:r>
      <w:r>
        <w:rPr>
          <w:rFonts w:hint="eastAsia" w:ascii="宋体" w:hAnsi="宋体" w:cs="宋体"/>
          <w:kern w:val="1"/>
          <w:szCs w:val="21"/>
          <w:highlight w:val="none"/>
        </w:rPr>
        <w:t>年度服务费</w:t>
      </w:r>
      <w:r>
        <w:rPr>
          <w:rFonts w:hint="eastAsia" w:ascii="宋体" w:hAnsi="宋体" w:cs="宋体"/>
          <w:kern w:val="1"/>
          <w:szCs w:val="21"/>
          <w:highlight w:val="none"/>
          <w:lang w:eastAsia="ar-SA"/>
        </w:rPr>
        <w:t>中予以扣除，</w:t>
      </w:r>
      <w:r>
        <w:rPr>
          <w:rFonts w:hint="eastAsia" w:ascii="宋体" w:hAnsi="宋体" w:cs="宋体"/>
          <w:kern w:val="1"/>
          <w:szCs w:val="21"/>
          <w:highlight w:val="none"/>
        </w:rPr>
        <w:t>服务费</w:t>
      </w:r>
      <w:r>
        <w:rPr>
          <w:rFonts w:hint="eastAsia" w:ascii="宋体" w:hAnsi="宋体" w:cs="宋体"/>
          <w:kern w:val="1"/>
          <w:szCs w:val="21"/>
          <w:highlight w:val="none"/>
          <w:lang w:eastAsia="ar-SA"/>
        </w:rPr>
        <w:t>不足以扣的，从待支付的</w:t>
      </w:r>
      <w:r>
        <w:rPr>
          <w:rFonts w:hint="eastAsia" w:ascii="宋体" w:hAnsi="宋体" w:cs="宋体"/>
          <w:kern w:val="1"/>
          <w:szCs w:val="21"/>
          <w:highlight w:val="none"/>
        </w:rPr>
        <w:t>年度服务费</w:t>
      </w:r>
      <w:r>
        <w:rPr>
          <w:rFonts w:hint="eastAsia" w:ascii="宋体" w:hAnsi="宋体" w:cs="宋体"/>
          <w:kern w:val="1"/>
          <w:szCs w:val="21"/>
          <w:highlight w:val="none"/>
          <w:lang w:val="en-US" w:eastAsia="zh-CN"/>
        </w:rPr>
        <w:t>和履约保证金</w:t>
      </w:r>
      <w:r>
        <w:rPr>
          <w:rFonts w:hint="eastAsia" w:ascii="宋体" w:hAnsi="宋体" w:cs="宋体"/>
          <w:kern w:val="1"/>
          <w:szCs w:val="21"/>
          <w:highlight w:val="none"/>
          <w:lang w:eastAsia="ar-SA"/>
        </w:rPr>
        <w:t>中扣除</w:t>
      </w:r>
      <w:r>
        <w:rPr>
          <w:rFonts w:hint="eastAsia" w:ascii="宋体" w:hAnsi="宋体" w:cs="宋体"/>
          <w:kern w:val="1"/>
          <w:szCs w:val="21"/>
          <w:highlight w:val="none"/>
          <w:lang w:val="en-US" w:eastAsia="zh-CN"/>
        </w:rPr>
        <w:t>，履约保证金不足以扣的，甲乙双方另行协商。</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b/>
          <w:kern w:val="1"/>
          <w:szCs w:val="21"/>
          <w:highlight w:val="none"/>
          <w:lang w:eastAsia="ar-SA"/>
        </w:rPr>
        <w:t>1</w:t>
      </w:r>
      <w:r>
        <w:rPr>
          <w:rFonts w:hint="eastAsia" w:ascii="宋体" w:hAnsi="宋体" w:cs="宋体"/>
          <w:b/>
          <w:kern w:val="1"/>
          <w:szCs w:val="21"/>
          <w:highlight w:val="none"/>
          <w:lang w:val="en-US" w:eastAsia="zh-CN"/>
        </w:rPr>
        <w:t>5</w:t>
      </w:r>
      <w:r>
        <w:rPr>
          <w:rFonts w:hint="eastAsia" w:ascii="宋体" w:hAnsi="宋体" w:cs="宋体"/>
          <w:b/>
          <w:kern w:val="1"/>
          <w:szCs w:val="21"/>
          <w:highlight w:val="none"/>
          <w:lang w:eastAsia="ar-SA"/>
        </w:rPr>
        <w:t>、安全、网络安全、数据安全管理</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ar-SA"/>
        </w:rPr>
        <w:t>.1 乙方应按照有关安全规范施工及提供一切所需安全设备和措施，因乙方违反安全管理的规定而造成的事故，或由于乙方原因造成人员伤亡或其它</w:t>
      </w:r>
      <w:r>
        <w:rPr>
          <w:rFonts w:hint="eastAsia" w:ascii="宋体" w:hAnsi="宋体" w:cs="宋体"/>
          <w:kern w:val="1"/>
          <w:szCs w:val="21"/>
          <w:highlight w:val="none"/>
          <w:lang w:val="en-US" w:eastAsia="zh-CN"/>
        </w:rPr>
        <w:t>物品</w:t>
      </w:r>
      <w:r>
        <w:rPr>
          <w:rFonts w:hint="eastAsia" w:ascii="宋体" w:hAnsi="宋体" w:cs="宋体"/>
          <w:kern w:val="1"/>
          <w:szCs w:val="21"/>
          <w:highlight w:val="none"/>
          <w:lang w:eastAsia="ar-SA"/>
        </w:rPr>
        <w:t>的破坏，责任由乙方承担。</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ar-SA"/>
        </w:rPr>
        <w:t>.2 如发生任何伤亡事故，乙方应按有关规定立即报告有关部门并通知甲方，甲方协助抢救伤员，由于非甲方原因发生伤亡事故的费用均由乙方承担。</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ar-SA"/>
        </w:rPr>
        <w:t>.3 运维期间必须严格按照《中华人民共和国网络安全法》《中华人民共和国保守国家秘密法》《网络安全法》等法律法规标准执行，并应按照甲方的运维机制和考核办法开展服务工作。甲方对乙方在服务期间的网络安全、监管制度、保密制度、技术防范、信用情况、数据安全等进行考核。</w:t>
      </w:r>
    </w:p>
    <w:p>
      <w:pPr>
        <w:suppressAutoHyphens/>
        <w:spacing w:line="360" w:lineRule="auto"/>
        <w:ind w:firstLine="424" w:firstLineChars="200"/>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ar-SA"/>
        </w:rPr>
        <w:t>.4 乙方运维人员做好操作账号管理，设置相应的操作权限，严禁多名运维人员共用一个操作账号。所有操作行为日志必须符合《网络安全法》规定留存6个月以上。</w:t>
      </w:r>
    </w:p>
    <w:p>
      <w:pPr>
        <w:suppressAutoHyphens/>
        <w:spacing w:line="360" w:lineRule="auto"/>
        <w:ind w:firstLine="424" w:firstLineChars="200"/>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ar-SA"/>
        </w:rPr>
        <w:t>.5乙方不得收集与其提供的服务无关的信息，不得泄露、篡改或者毁损信息，不得违反法律、法规的规定收集、使用和向第三方提供信息。</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ar-SA"/>
        </w:rPr>
        <w:t>.6 乙方应配合甲方定期组织开展应急演练，及时有效处置网络安全、数据安全事件。</w:t>
      </w:r>
    </w:p>
    <w:p>
      <w:pPr>
        <w:suppressAutoHyphens/>
        <w:spacing w:line="360" w:lineRule="auto"/>
        <w:ind w:firstLine="424" w:firstLineChars="200"/>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ar-SA"/>
        </w:rPr>
        <w:t>.7 乙方应加强乙方人员管理，落实安全背景审查，与其签署保密等协议。乙方应建立健全人员离职（调离）管理制度，做好工作交接，回收系统账号，与其签订离岗保密协议提交甲方备案。</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b/>
          <w:kern w:val="1"/>
          <w:szCs w:val="21"/>
          <w:highlight w:val="none"/>
          <w:lang w:eastAsia="ar-SA"/>
        </w:rPr>
        <w:t>1</w:t>
      </w:r>
      <w:r>
        <w:rPr>
          <w:rFonts w:hint="eastAsia" w:ascii="宋体" w:hAnsi="宋体" w:cs="宋体"/>
          <w:b/>
          <w:kern w:val="1"/>
          <w:szCs w:val="21"/>
          <w:highlight w:val="none"/>
          <w:lang w:val="en-US" w:eastAsia="zh-CN"/>
        </w:rPr>
        <w:t>6</w:t>
      </w:r>
      <w:r>
        <w:rPr>
          <w:rFonts w:hint="eastAsia" w:ascii="宋体" w:hAnsi="宋体" w:cs="宋体"/>
          <w:b/>
          <w:kern w:val="1"/>
          <w:szCs w:val="21"/>
          <w:highlight w:val="none"/>
          <w:lang w:eastAsia="ar-SA"/>
        </w:rPr>
        <w:t>、工程停建及缓建</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6</w:t>
      </w:r>
      <w:r>
        <w:rPr>
          <w:rFonts w:hint="eastAsia" w:ascii="宋体" w:hAnsi="宋体" w:cs="宋体"/>
          <w:kern w:val="1"/>
          <w:szCs w:val="21"/>
          <w:highlight w:val="none"/>
          <w:lang w:eastAsia="ar-SA"/>
        </w:rPr>
        <w:t>.1 由于不可抗力的原因导致工程停建或缓建，使合同不能继续履行，乙方应妥善做好已完成工程和材料、设备的保护和移交工作，甲方应为乙方撤出提供必要条件。</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6</w:t>
      </w:r>
      <w:r>
        <w:rPr>
          <w:rFonts w:hint="eastAsia" w:ascii="宋体" w:hAnsi="宋体" w:cs="宋体"/>
          <w:kern w:val="1"/>
          <w:szCs w:val="21"/>
          <w:highlight w:val="none"/>
          <w:lang w:eastAsia="ar-SA"/>
        </w:rPr>
        <w:t>.2 由于甲、乙任何一方不能按所签合同履约，导致工程停建或缓建，造成的损失由责任方承担。</w:t>
      </w:r>
    </w:p>
    <w:p>
      <w:pPr>
        <w:suppressAutoHyphens/>
        <w:spacing w:line="500" w:lineRule="exact"/>
        <w:textAlignment w:val="center"/>
        <w:rPr>
          <w:rFonts w:ascii="宋体" w:hAnsi="宋体" w:cs="宋体"/>
          <w:b/>
          <w:kern w:val="1"/>
          <w:szCs w:val="21"/>
          <w:highlight w:val="none"/>
          <w:lang w:eastAsia="ar-SA"/>
        </w:rPr>
      </w:pPr>
      <w:r>
        <w:rPr>
          <w:rFonts w:hint="eastAsia" w:ascii="宋体" w:hAnsi="宋体" w:cs="宋体"/>
          <w:b/>
          <w:kern w:val="1"/>
          <w:szCs w:val="21"/>
          <w:highlight w:val="none"/>
          <w:lang w:eastAsia="ar-SA"/>
        </w:rPr>
        <w:t>1</w:t>
      </w:r>
      <w:r>
        <w:rPr>
          <w:rFonts w:hint="eastAsia" w:ascii="宋体" w:hAnsi="宋体" w:cs="宋体"/>
          <w:b/>
          <w:kern w:val="1"/>
          <w:szCs w:val="21"/>
          <w:highlight w:val="none"/>
          <w:lang w:val="en-US" w:eastAsia="zh-CN"/>
        </w:rPr>
        <w:t>7</w:t>
      </w:r>
      <w:r>
        <w:rPr>
          <w:rFonts w:hint="eastAsia" w:ascii="宋体" w:hAnsi="宋体" w:cs="宋体"/>
          <w:b/>
          <w:kern w:val="1"/>
          <w:szCs w:val="21"/>
          <w:highlight w:val="none"/>
          <w:lang w:eastAsia="ar-SA"/>
        </w:rPr>
        <w:t>、争议及解决</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7</w:t>
      </w:r>
      <w:r>
        <w:rPr>
          <w:rFonts w:hint="eastAsia" w:ascii="宋体" w:hAnsi="宋体" w:cs="宋体"/>
          <w:kern w:val="1"/>
          <w:szCs w:val="21"/>
          <w:highlight w:val="none"/>
          <w:lang w:eastAsia="ar-SA"/>
        </w:rPr>
        <w:t>.1 在解释或者执行本合同的过程中出现疑问或发生争议时，双方应通过协商方式解决。</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1</w:t>
      </w:r>
      <w:r>
        <w:rPr>
          <w:rFonts w:hint="eastAsia" w:ascii="宋体" w:hAnsi="宋体" w:cs="宋体"/>
          <w:kern w:val="1"/>
          <w:szCs w:val="21"/>
          <w:highlight w:val="none"/>
          <w:lang w:val="en-US" w:eastAsia="zh-CN"/>
        </w:rPr>
        <w:t>7</w:t>
      </w:r>
      <w:r>
        <w:rPr>
          <w:rFonts w:hint="eastAsia" w:ascii="宋体" w:hAnsi="宋体" w:cs="宋体"/>
          <w:kern w:val="1"/>
          <w:szCs w:val="21"/>
          <w:highlight w:val="none"/>
          <w:lang w:eastAsia="ar-SA"/>
        </w:rPr>
        <w:t>.2 经协商不能解决的争议，向余姚市人民法院起诉。</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1</w:t>
      </w:r>
      <w:r>
        <w:rPr>
          <w:rFonts w:hint="eastAsia" w:ascii="宋体" w:hAnsi="宋体" w:cs="宋体"/>
          <w:kern w:val="1"/>
          <w:szCs w:val="21"/>
          <w:highlight w:val="none"/>
          <w:lang w:val="en-US" w:eastAsia="zh-CN"/>
        </w:rPr>
        <w:t>7</w:t>
      </w:r>
      <w:r>
        <w:rPr>
          <w:rFonts w:hint="eastAsia" w:ascii="宋体" w:hAnsi="宋体" w:cs="宋体"/>
          <w:kern w:val="1"/>
          <w:szCs w:val="21"/>
          <w:highlight w:val="none"/>
          <w:lang w:eastAsia="ar-SA"/>
        </w:rPr>
        <w:t>.3 除有争议或正在诉讼的部分外，本合同其他部分仍应按合同条款继续履行。</w:t>
      </w:r>
    </w:p>
    <w:p>
      <w:pPr>
        <w:suppressAutoHyphens/>
        <w:spacing w:line="500" w:lineRule="exact"/>
        <w:ind w:firstLine="48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7</w:t>
      </w:r>
      <w:r>
        <w:rPr>
          <w:rFonts w:hint="eastAsia" w:ascii="宋体" w:hAnsi="宋体" w:cs="宋体"/>
          <w:kern w:val="1"/>
          <w:szCs w:val="21"/>
          <w:highlight w:val="none"/>
          <w:lang w:eastAsia="ar-SA"/>
        </w:rPr>
        <w:t>.4 如果产生争议或正在诉讼时，乙方</w:t>
      </w:r>
      <w:r>
        <w:rPr>
          <w:rFonts w:hint="eastAsia" w:ascii="宋体" w:hAnsi="宋体" w:cs="宋体"/>
          <w:kern w:val="1"/>
          <w:szCs w:val="21"/>
          <w:highlight w:val="none"/>
          <w:lang w:eastAsia="zh-CN"/>
        </w:rPr>
        <w:t>未经甲方同意</w:t>
      </w:r>
      <w:r>
        <w:rPr>
          <w:rFonts w:hint="eastAsia" w:ascii="宋体" w:hAnsi="宋体" w:cs="宋体"/>
          <w:kern w:val="1"/>
          <w:szCs w:val="21"/>
          <w:highlight w:val="none"/>
          <w:lang w:eastAsia="ar-SA"/>
        </w:rPr>
        <w:t>不得</w:t>
      </w:r>
      <w:r>
        <w:rPr>
          <w:rFonts w:hint="eastAsia" w:ascii="宋体" w:hAnsi="宋体" w:cs="宋体"/>
          <w:kern w:val="1"/>
          <w:szCs w:val="21"/>
          <w:highlight w:val="none"/>
          <w:lang w:eastAsia="zh-CN"/>
        </w:rPr>
        <w:t>擅自</w:t>
      </w:r>
      <w:r>
        <w:rPr>
          <w:rFonts w:hint="eastAsia" w:ascii="宋体" w:hAnsi="宋体" w:cs="宋体"/>
          <w:kern w:val="1"/>
          <w:szCs w:val="21"/>
          <w:highlight w:val="none"/>
          <w:lang w:eastAsia="ar-SA"/>
        </w:rPr>
        <w:t>停止施工，如果影响施工进度按本合同规定执行。</w:t>
      </w:r>
    </w:p>
    <w:p>
      <w:pPr>
        <w:suppressAutoHyphens/>
        <w:spacing w:line="500" w:lineRule="exact"/>
        <w:textAlignment w:val="center"/>
        <w:rPr>
          <w:rFonts w:ascii="宋体" w:hAnsi="宋体" w:cs="宋体"/>
          <w:b/>
          <w:kern w:val="1"/>
          <w:szCs w:val="21"/>
          <w:highlight w:val="none"/>
          <w:lang w:eastAsia="ar-SA"/>
        </w:rPr>
      </w:pPr>
      <w:r>
        <w:rPr>
          <w:rFonts w:hint="eastAsia" w:ascii="宋体" w:hAnsi="宋体" w:cs="宋体"/>
          <w:b/>
          <w:kern w:val="1"/>
          <w:szCs w:val="21"/>
          <w:highlight w:val="none"/>
          <w:lang w:eastAsia="ar-SA"/>
        </w:rPr>
        <w:t>1</w:t>
      </w:r>
      <w:r>
        <w:rPr>
          <w:rFonts w:hint="eastAsia" w:ascii="宋体" w:hAnsi="宋体" w:cs="宋体"/>
          <w:b/>
          <w:kern w:val="1"/>
          <w:szCs w:val="21"/>
          <w:highlight w:val="none"/>
          <w:lang w:val="en-US" w:eastAsia="zh-CN"/>
        </w:rPr>
        <w:t>8</w:t>
      </w:r>
      <w:r>
        <w:rPr>
          <w:rFonts w:hint="eastAsia" w:ascii="宋体" w:hAnsi="宋体" w:cs="宋体"/>
          <w:b/>
          <w:kern w:val="1"/>
          <w:szCs w:val="21"/>
          <w:highlight w:val="none"/>
          <w:lang w:eastAsia="ar-SA"/>
        </w:rPr>
        <w:t>、设备采购与产权</w:t>
      </w:r>
    </w:p>
    <w:p>
      <w:pPr>
        <w:suppressAutoHyphens/>
        <w:spacing w:line="500" w:lineRule="exact"/>
        <w:ind w:firstLine="48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8</w:t>
      </w:r>
      <w:r>
        <w:rPr>
          <w:rFonts w:hint="eastAsia" w:ascii="宋体" w:hAnsi="宋体" w:cs="宋体"/>
          <w:kern w:val="1"/>
          <w:szCs w:val="21"/>
          <w:highlight w:val="none"/>
          <w:lang w:eastAsia="ar-SA"/>
        </w:rPr>
        <w:t>.1 本项目中由乙方投入</w:t>
      </w:r>
      <w:r>
        <w:rPr>
          <w:rFonts w:hint="eastAsia" w:ascii="宋体" w:hAnsi="宋体" w:cs="宋体"/>
          <w:kern w:val="1"/>
          <w:szCs w:val="21"/>
          <w:highlight w:val="none"/>
          <w:lang w:val="en-US" w:eastAsia="zh-CN"/>
        </w:rPr>
        <w:t>设备</w:t>
      </w:r>
      <w:r>
        <w:rPr>
          <w:rFonts w:hint="eastAsia" w:ascii="宋体" w:hAnsi="宋体" w:cs="宋体"/>
          <w:kern w:val="1"/>
          <w:szCs w:val="21"/>
          <w:highlight w:val="none"/>
          <w:lang w:eastAsia="ar-SA"/>
        </w:rPr>
        <w:t>的所有权</w:t>
      </w:r>
      <w:r>
        <w:rPr>
          <w:rFonts w:hint="eastAsia" w:ascii="宋体" w:hAnsi="宋体" w:cs="宋体"/>
          <w:kern w:val="1"/>
          <w:szCs w:val="21"/>
          <w:highlight w:val="none"/>
        </w:rPr>
        <w:t>及使用管理权</w:t>
      </w:r>
      <w:r>
        <w:rPr>
          <w:rFonts w:hint="eastAsia" w:ascii="宋体" w:hAnsi="宋体" w:cs="宋体"/>
          <w:kern w:val="1"/>
          <w:szCs w:val="21"/>
          <w:highlight w:val="none"/>
          <w:lang w:val="en-US" w:eastAsia="zh-CN"/>
        </w:rPr>
        <w:t>在服务期第三年开始起</w:t>
      </w:r>
      <w:r>
        <w:rPr>
          <w:rFonts w:hint="eastAsia" w:ascii="宋体" w:hAnsi="宋体" w:cs="宋体"/>
          <w:kern w:val="1"/>
          <w:szCs w:val="21"/>
          <w:highlight w:val="none"/>
          <w:lang w:eastAsia="ar-SA"/>
        </w:rPr>
        <w:t>归甲方所有，按照固定资产管理要求，乙方必须提供所有设备的购置发票给甲方，并在</w:t>
      </w:r>
      <w:r>
        <w:rPr>
          <w:rFonts w:hint="eastAsia" w:ascii="宋体" w:hAnsi="宋体" w:cs="宋体"/>
          <w:kern w:val="1"/>
          <w:szCs w:val="21"/>
          <w:highlight w:val="none"/>
          <w:lang w:val="en-US" w:eastAsia="zh-CN"/>
        </w:rPr>
        <w:t>第三年服务期开始后</w:t>
      </w:r>
      <w:r>
        <w:rPr>
          <w:rFonts w:hint="eastAsia" w:ascii="宋体" w:hAnsi="宋体" w:cs="宋体"/>
          <w:kern w:val="1"/>
          <w:szCs w:val="21"/>
          <w:highlight w:val="none"/>
          <w:lang w:eastAsia="ar-SA"/>
        </w:rPr>
        <w:t>的</w:t>
      </w:r>
      <w:r>
        <w:rPr>
          <w:rFonts w:hint="eastAsia" w:ascii="宋体" w:hAnsi="宋体" w:cs="宋体"/>
          <w:kern w:val="1"/>
          <w:szCs w:val="21"/>
          <w:highlight w:val="none"/>
          <w:lang w:val="en-US" w:eastAsia="zh-CN"/>
        </w:rPr>
        <w:t>10</w:t>
      </w:r>
      <w:r>
        <w:rPr>
          <w:rFonts w:hint="eastAsia" w:ascii="宋体" w:hAnsi="宋体" w:cs="宋体"/>
          <w:kern w:val="1"/>
          <w:szCs w:val="21"/>
          <w:highlight w:val="none"/>
          <w:lang w:eastAsia="ar-SA"/>
        </w:rPr>
        <w:t>个</w:t>
      </w:r>
      <w:r>
        <w:rPr>
          <w:rFonts w:hint="eastAsia" w:ascii="宋体" w:hAnsi="宋体" w:cs="宋体"/>
          <w:kern w:val="1"/>
          <w:szCs w:val="21"/>
          <w:highlight w:val="none"/>
          <w:lang w:val="en-US" w:eastAsia="zh-CN"/>
        </w:rPr>
        <w:t>工作日</w:t>
      </w:r>
      <w:r>
        <w:rPr>
          <w:rFonts w:hint="eastAsia" w:ascii="宋体" w:hAnsi="宋体" w:cs="宋体"/>
          <w:kern w:val="1"/>
          <w:szCs w:val="21"/>
          <w:highlight w:val="none"/>
          <w:lang w:eastAsia="ar-SA"/>
        </w:rPr>
        <w:t>内</w:t>
      </w:r>
      <w:r>
        <w:rPr>
          <w:rFonts w:hint="eastAsia" w:ascii="宋体" w:hAnsi="宋体" w:cs="宋体"/>
          <w:kern w:val="1"/>
          <w:szCs w:val="21"/>
          <w:highlight w:val="none"/>
          <w:lang w:val="en-US" w:eastAsia="zh-CN"/>
        </w:rPr>
        <w:t>完成资产移交</w:t>
      </w:r>
      <w:r>
        <w:rPr>
          <w:rFonts w:hint="eastAsia" w:ascii="宋体" w:hAnsi="宋体" w:cs="宋体"/>
          <w:kern w:val="1"/>
          <w:szCs w:val="21"/>
          <w:highlight w:val="none"/>
          <w:lang w:eastAsia="ar-SA"/>
        </w:rPr>
        <w:t>，</w:t>
      </w:r>
      <w:r>
        <w:rPr>
          <w:rFonts w:hint="eastAsia" w:ascii="宋体" w:hAnsi="宋体" w:cs="宋体"/>
          <w:kern w:val="1"/>
          <w:szCs w:val="21"/>
          <w:highlight w:val="none"/>
          <w:lang w:val="en-US" w:eastAsia="zh-CN"/>
        </w:rPr>
        <w:t>并</w:t>
      </w:r>
      <w:r>
        <w:rPr>
          <w:rFonts w:hint="eastAsia" w:ascii="宋体" w:hAnsi="宋体" w:cs="宋体"/>
          <w:kern w:val="1"/>
          <w:szCs w:val="21"/>
          <w:highlight w:val="none"/>
          <w:lang w:eastAsia="ar-SA"/>
        </w:rPr>
        <w:t>无条件配合甲方完成固定资产登记工作。服务期内设备的更换和维修由乙方负责，相关费用由乙方承担。</w:t>
      </w:r>
    </w:p>
    <w:p>
      <w:pPr>
        <w:suppressAutoHyphens/>
        <w:spacing w:line="500" w:lineRule="exact"/>
        <w:ind w:firstLine="480"/>
        <w:textAlignment w:val="center"/>
        <w:rPr>
          <w:rFonts w:hint="eastAsia" w:ascii="宋体" w:hAnsi="宋体" w:cs="宋体"/>
          <w:kern w:val="1"/>
          <w:szCs w:val="21"/>
          <w:highlight w:val="none"/>
          <w:lang w:eastAsia="ar-SA"/>
        </w:rPr>
      </w:pPr>
      <w:r>
        <w:rPr>
          <w:rFonts w:hint="eastAsia" w:ascii="宋体" w:hAnsi="宋体" w:cs="宋体"/>
          <w:kern w:val="1"/>
          <w:szCs w:val="21"/>
          <w:highlight w:val="none"/>
          <w:lang w:eastAsia="ar-SA"/>
        </w:rPr>
        <w:t>1</w:t>
      </w:r>
      <w:r>
        <w:rPr>
          <w:rFonts w:hint="eastAsia" w:ascii="宋体" w:hAnsi="宋体" w:cs="宋体"/>
          <w:kern w:val="1"/>
          <w:szCs w:val="21"/>
          <w:highlight w:val="none"/>
          <w:lang w:val="en-US" w:eastAsia="zh-CN"/>
        </w:rPr>
        <w:t>8</w:t>
      </w:r>
      <w:r>
        <w:rPr>
          <w:rFonts w:hint="eastAsia" w:ascii="宋体" w:hAnsi="宋体" w:cs="宋体"/>
          <w:kern w:val="1"/>
          <w:szCs w:val="21"/>
          <w:highlight w:val="none"/>
          <w:lang w:eastAsia="ar-SA"/>
        </w:rPr>
        <w:t>.2 乙方不得将本</w:t>
      </w:r>
      <w:r>
        <w:rPr>
          <w:rFonts w:hint="eastAsia" w:ascii="宋体" w:hAnsi="宋体" w:cs="宋体"/>
          <w:kern w:val="1"/>
          <w:szCs w:val="21"/>
          <w:highlight w:val="none"/>
        </w:rPr>
        <w:t>项目</w:t>
      </w:r>
      <w:r>
        <w:rPr>
          <w:rFonts w:hint="eastAsia" w:ascii="宋体" w:hAnsi="宋体" w:cs="宋体"/>
          <w:kern w:val="1"/>
          <w:szCs w:val="21"/>
          <w:highlight w:val="none"/>
          <w:lang w:eastAsia="ar-SA"/>
        </w:rPr>
        <w:t>相关设备的全部或部分用于其它业务使用。</w:t>
      </w:r>
    </w:p>
    <w:p>
      <w:pPr>
        <w:suppressAutoHyphens/>
        <w:spacing w:line="500" w:lineRule="exact"/>
        <w:ind w:firstLine="480"/>
        <w:textAlignment w:val="center"/>
        <w:rPr>
          <w:rFonts w:ascii="宋体" w:hAnsi="宋体" w:cs="宋体"/>
          <w:kern w:val="1"/>
          <w:szCs w:val="21"/>
          <w:highlight w:val="none"/>
          <w:lang w:eastAsia="ar-SA"/>
        </w:rPr>
      </w:pPr>
      <w:r>
        <w:rPr>
          <w:rFonts w:hint="eastAsia" w:ascii="宋体" w:hAnsi="宋体" w:cs="宋体"/>
          <w:kern w:val="1"/>
          <w:szCs w:val="21"/>
          <w:highlight w:val="none"/>
          <w:lang w:val="en-US" w:eastAsia="zh-CN"/>
        </w:rPr>
        <w:t xml:space="preserve">18.3 </w:t>
      </w:r>
      <w:r>
        <w:rPr>
          <w:rFonts w:hint="eastAsia" w:ascii="宋体" w:hAnsi="宋体" w:cs="宋体"/>
          <w:kern w:val="1"/>
          <w:sz w:val="21"/>
          <w:szCs w:val="21"/>
          <w:highlight w:val="none"/>
          <w:lang w:val="en-US" w:eastAsia="zh-CN"/>
        </w:rPr>
        <w:t>乙方未按本合同第18.1条办理资产移交手续的，则应向甲方支付合同总价30%的违约金。</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b/>
          <w:kern w:val="1"/>
          <w:szCs w:val="21"/>
          <w:highlight w:val="none"/>
        </w:rPr>
        <w:t>1</w:t>
      </w:r>
      <w:r>
        <w:rPr>
          <w:rFonts w:hint="eastAsia" w:ascii="宋体" w:hAnsi="宋体" w:cs="宋体"/>
          <w:b/>
          <w:kern w:val="1"/>
          <w:szCs w:val="21"/>
          <w:highlight w:val="none"/>
          <w:lang w:val="en-US" w:eastAsia="zh-CN"/>
        </w:rPr>
        <w:t>9</w:t>
      </w:r>
      <w:r>
        <w:rPr>
          <w:rFonts w:hint="eastAsia" w:ascii="宋体" w:hAnsi="宋体" w:cs="宋体"/>
          <w:b/>
          <w:kern w:val="1"/>
          <w:szCs w:val="21"/>
          <w:highlight w:val="none"/>
          <w:lang w:eastAsia="ar-SA"/>
        </w:rPr>
        <w:t>、本合同的制定、效力、解释、履行和争议的解决均适用中华人民共和国法律。</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b/>
          <w:kern w:val="1"/>
          <w:szCs w:val="21"/>
          <w:highlight w:val="none"/>
          <w:lang w:val="en-US" w:eastAsia="zh-CN"/>
        </w:rPr>
        <w:t>20</w:t>
      </w:r>
      <w:r>
        <w:rPr>
          <w:rFonts w:hint="eastAsia" w:ascii="宋体" w:hAnsi="宋体" w:cs="宋体"/>
          <w:b/>
          <w:kern w:val="1"/>
          <w:szCs w:val="21"/>
          <w:highlight w:val="none"/>
          <w:lang w:eastAsia="ar-SA"/>
        </w:rPr>
        <w:t>、合同份数</w:t>
      </w:r>
    </w:p>
    <w:p>
      <w:pPr>
        <w:suppressAutoHyphens/>
        <w:spacing w:line="500" w:lineRule="exact"/>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 xml:space="preserve">    本合同一式陆份，甲乙双方各叁份，具同等法律效力。</w:t>
      </w:r>
    </w:p>
    <w:p>
      <w:pPr>
        <w:suppressAutoHyphens/>
        <w:spacing w:line="500" w:lineRule="exact"/>
        <w:textAlignment w:val="center"/>
        <w:rPr>
          <w:rFonts w:ascii="宋体" w:hAnsi="宋体" w:cs="宋体"/>
          <w:b/>
          <w:kern w:val="1"/>
          <w:szCs w:val="21"/>
          <w:highlight w:val="none"/>
          <w:lang w:eastAsia="ar-SA"/>
        </w:rPr>
      </w:pPr>
      <w:r>
        <w:rPr>
          <w:rFonts w:hint="eastAsia" w:ascii="宋体" w:hAnsi="宋体" w:cs="宋体"/>
          <w:b/>
          <w:kern w:val="1"/>
          <w:szCs w:val="21"/>
          <w:highlight w:val="none"/>
          <w:lang w:eastAsia="ar-SA"/>
        </w:rPr>
        <w:t>2</w:t>
      </w:r>
      <w:r>
        <w:rPr>
          <w:rFonts w:hint="eastAsia" w:ascii="宋体" w:hAnsi="宋体" w:cs="宋体"/>
          <w:b/>
          <w:kern w:val="1"/>
          <w:szCs w:val="21"/>
          <w:highlight w:val="none"/>
          <w:lang w:val="en-US" w:eastAsia="zh-CN"/>
        </w:rPr>
        <w:t>1</w:t>
      </w:r>
      <w:r>
        <w:rPr>
          <w:rFonts w:hint="eastAsia" w:ascii="宋体" w:hAnsi="宋体" w:cs="宋体"/>
          <w:b/>
          <w:kern w:val="1"/>
          <w:szCs w:val="21"/>
          <w:highlight w:val="none"/>
          <w:lang w:eastAsia="ar-SA"/>
        </w:rPr>
        <w:t>、补充条款</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2</w:t>
      </w:r>
      <w:r>
        <w:rPr>
          <w:rFonts w:hint="eastAsia" w:ascii="宋体" w:hAnsi="宋体" w:cs="宋体"/>
          <w:kern w:val="1"/>
          <w:szCs w:val="21"/>
          <w:highlight w:val="none"/>
          <w:lang w:val="en-US" w:eastAsia="zh-CN"/>
        </w:rPr>
        <w:t>1</w:t>
      </w:r>
      <w:r>
        <w:rPr>
          <w:rFonts w:hint="eastAsia" w:ascii="宋体" w:hAnsi="宋体" w:cs="宋体"/>
          <w:kern w:val="1"/>
          <w:szCs w:val="21"/>
          <w:highlight w:val="none"/>
          <w:lang w:eastAsia="ar-SA"/>
        </w:rPr>
        <w:t>.1 乙方应严格履行其本工程投标文件中的承诺（包括运行维护、技术支持与保证措施、技术培训等承诺）。</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2</w:t>
      </w:r>
      <w:r>
        <w:rPr>
          <w:rFonts w:hint="eastAsia" w:ascii="宋体" w:hAnsi="宋体" w:cs="宋体"/>
          <w:kern w:val="1"/>
          <w:szCs w:val="21"/>
          <w:highlight w:val="none"/>
          <w:lang w:val="en-US" w:eastAsia="zh-CN"/>
        </w:rPr>
        <w:t>1</w:t>
      </w:r>
      <w:r>
        <w:rPr>
          <w:rFonts w:hint="eastAsia" w:ascii="宋体" w:hAnsi="宋体" w:cs="宋体"/>
          <w:kern w:val="1"/>
          <w:szCs w:val="21"/>
          <w:highlight w:val="none"/>
          <w:lang w:eastAsia="ar-SA"/>
        </w:rPr>
        <w:t>.2 乙方投标文件中承诺视为本合同一部分。合同期内因双方工作需要，发生机房搬迁等问题由乙方负责实施并承担全部费用。</w:t>
      </w:r>
    </w:p>
    <w:p>
      <w:pPr>
        <w:suppressAutoHyphens/>
        <w:spacing w:line="500" w:lineRule="exact"/>
        <w:ind w:firstLine="424" w:firstLineChars="200"/>
        <w:textAlignment w:val="center"/>
        <w:rPr>
          <w:rFonts w:ascii="宋体" w:hAnsi="宋体" w:cs="宋体"/>
          <w:kern w:val="1"/>
          <w:szCs w:val="21"/>
          <w:highlight w:val="none"/>
          <w:lang w:eastAsia="ar-SA"/>
        </w:rPr>
      </w:pPr>
      <w:r>
        <w:rPr>
          <w:rFonts w:hint="eastAsia" w:ascii="宋体" w:hAnsi="宋体" w:cs="宋体"/>
          <w:kern w:val="1"/>
          <w:szCs w:val="21"/>
          <w:highlight w:val="none"/>
          <w:lang w:eastAsia="ar-SA"/>
        </w:rPr>
        <w:t>2</w:t>
      </w:r>
      <w:r>
        <w:rPr>
          <w:rFonts w:hint="eastAsia" w:ascii="宋体" w:hAnsi="宋体" w:cs="宋体"/>
          <w:kern w:val="1"/>
          <w:szCs w:val="21"/>
          <w:highlight w:val="none"/>
          <w:lang w:val="en-US" w:eastAsia="zh-CN"/>
        </w:rPr>
        <w:t>1</w:t>
      </w:r>
      <w:r>
        <w:rPr>
          <w:rFonts w:hint="eastAsia" w:ascii="宋体" w:hAnsi="宋体" w:cs="宋体"/>
          <w:kern w:val="1"/>
          <w:szCs w:val="21"/>
          <w:highlight w:val="none"/>
          <w:lang w:eastAsia="ar-SA"/>
        </w:rPr>
        <w:t>.3乙方在叁年合同期内免费提供</w:t>
      </w:r>
      <w:r>
        <w:rPr>
          <w:rFonts w:hint="eastAsia" w:ascii="宋体" w:hAnsi="宋体" w:cs="宋体"/>
          <w:kern w:val="1"/>
          <w:szCs w:val="21"/>
          <w:highlight w:val="none"/>
          <w:u w:val="single"/>
          <w:lang w:val="en-US" w:eastAsia="zh-CN"/>
        </w:rPr>
        <w:t>XX</w:t>
      </w:r>
      <w:r>
        <w:rPr>
          <w:rFonts w:hint="eastAsia" w:ascii="宋体" w:hAnsi="宋体" w:cs="宋体"/>
          <w:kern w:val="1"/>
          <w:szCs w:val="21"/>
          <w:highlight w:val="none"/>
          <w:lang w:eastAsia="ar-SA"/>
        </w:rPr>
        <w:t>名专业对口的，具有一年以上</w:t>
      </w:r>
      <w:r>
        <w:rPr>
          <w:rFonts w:hint="eastAsia" w:ascii="宋体" w:hAnsi="宋体" w:cs="宋体"/>
          <w:kern w:val="1"/>
          <w:szCs w:val="21"/>
          <w:highlight w:val="none"/>
        </w:rPr>
        <w:t>安全</w:t>
      </w:r>
      <w:r>
        <w:rPr>
          <w:rFonts w:hint="eastAsia" w:ascii="宋体" w:hAnsi="宋体" w:cs="宋体"/>
          <w:kern w:val="1"/>
          <w:szCs w:val="21"/>
          <w:highlight w:val="none"/>
          <w:lang w:eastAsia="ar-SA"/>
        </w:rPr>
        <w:t>运维工作经验的人员常驻甲方单位；被派遣人员的工作地点、工作岗位、岗位职责，由甲方决定，乙方有义务教育、督促被派遣人员遵守国家法律、法规、保守国家秘密以及工作、商业秘密，乙方应教育被派遣人员遵守甲方依法制定的各项内部规章制度；被派遣人员在甲方工作期间，乙方对被派遣人员的工资、福利、补贴及值班费等待遇不得少于乙方单位同等相关人员，同等条件下，优先考虑提升、晋升机会；在派遣用工期内，因派遣人员工作原因，甲方有权退还或者退换被派遣人员，乙方不得随意撤回或者撤换被派遣人员。</w:t>
      </w:r>
    </w:p>
    <w:p>
      <w:pPr>
        <w:suppressAutoHyphens/>
        <w:spacing w:line="500" w:lineRule="exact"/>
        <w:textAlignment w:val="center"/>
        <w:rPr>
          <w:rFonts w:ascii="宋体" w:hAnsi="宋体" w:cs="宋体"/>
          <w:b/>
          <w:kern w:val="1"/>
          <w:szCs w:val="21"/>
          <w:highlight w:val="none"/>
          <w:lang w:eastAsia="ar-SA"/>
        </w:rPr>
      </w:pPr>
      <w:r>
        <w:rPr>
          <w:rFonts w:hint="eastAsia" w:ascii="宋体" w:hAnsi="宋体" w:cs="宋体"/>
          <w:b/>
          <w:kern w:val="1"/>
          <w:szCs w:val="21"/>
          <w:highlight w:val="none"/>
          <w:lang w:eastAsia="ar-SA"/>
        </w:rPr>
        <w:t>2</w:t>
      </w:r>
      <w:r>
        <w:rPr>
          <w:rFonts w:hint="eastAsia" w:ascii="宋体" w:hAnsi="宋体" w:cs="宋体"/>
          <w:b/>
          <w:kern w:val="1"/>
          <w:szCs w:val="21"/>
          <w:highlight w:val="none"/>
          <w:lang w:val="en-US" w:eastAsia="zh-CN"/>
        </w:rPr>
        <w:t>2</w:t>
      </w:r>
      <w:r>
        <w:rPr>
          <w:rFonts w:hint="eastAsia" w:ascii="宋体" w:hAnsi="宋体" w:cs="宋体"/>
          <w:b/>
          <w:kern w:val="1"/>
          <w:szCs w:val="21"/>
          <w:highlight w:val="none"/>
          <w:lang w:eastAsia="ar-SA"/>
        </w:rPr>
        <w:t>、本合同未尽事宜，将由双方通过协商另行签订补充协议。但不能违背招标文件的实质性内容。</w:t>
      </w:r>
    </w:p>
    <w:p>
      <w:pPr>
        <w:suppressAutoHyphens/>
        <w:spacing w:line="500" w:lineRule="exact"/>
        <w:rPr>
          <w:rFonts w:ascii="宋体" w:hAnsi="宋体" w:cs="宋体"/>
          <w:b/>
          <w:kern w:val="1"/>
          <w:szCs w:val="21"/>
          <w:highlight w:val="none"/>
          <w:lang w:eastAsia="ar-SA"/>
        </w:rPr>
      </w:pPr>
      <w:r>
        <w:rPr>
          <w:rFonts w:hint="eastAsia" w:ascii="宋体" w:hAnsi="宋体" w:cs="宋体"/>
          <w:b/>
          <w:kern w:val="1"/>
          <w:szCs w:val="21"/>
          <w:highlight w:val="none"/>
          <w:lang w:eastAsia="ar-SA"/>
        </w:rPr>
        <w:t>2</w:t>
      </w:r>
      <w:r>
        <w:rPr>
          <w:rFonts w:hint="eastAsia" w:ascii="宋体" w:hAnsi="宋体" w:cs="宋体"/>
          <w:b/>
          <w:kern w:val="1"/>
          <w:szCs w:val="21"/>
          <w:highlight w:val="none"/>
          <w:lang w:val="en-US" w:eastAsia="zh-CN"/>
        </w:rPr>
        <w:t>3</w:t>
      </w:r>
      <w:r>
        <w:rPr>
          <w:rFonts w:hint="eastAsia" w:ascii="宋体" w:hAnsi="宋体" w:cs="宋体"/>
          <w:b/>
          <w:kern w:val="1"/>
          <w:szCs w:val="21"/>
          <w:highlight w:val="none"/>
          <w:lang w:eastAsia="ar-SA"/>
        </w:rPr>
        <w:t>、合同文件</w:t>
      </w:r>
    </w:p>
    <w:p>
      <w:pPr>
        <w:suppressAutoHyphens/>
        <w:spacing w:line="500" w:lineRule="exact"/>
        <w:ind w:firstLine="645"/>
        <w:rPr>
          <w:rFonts w:ascii="宋体" w:hAnsi="宋体" w:cs="宋体"/>
          <w:kern w:val="1"/>
          <w:szCs w:val="21"/>
          <w:highlight w:val="none"/>
          <w:lang w:eastAsia="ar-SA"/>
        </w:rPr>
      </w:pPr>
      <w:r>
        <w:rPr>
          <w:rFonts w:hint="eastAsia" w:ascii="宋体" w:hAnsi="宋体" w:cs="宋体"/>
          <w:kern w:val="1"/>
          <w:szCs w:val="21"/>
          <w:highlight w:val="none"/>
          <w:lang w:eastAsia="ar-SA"/>
        </w:rPr>
        <w:t>下列文件构成本合同的组成部分：</w:t>
      </w:r>
    </w:p>
    <w:p>
      <w:pPr>
        <w:tabs>
          <w:tab w:val="left" w:pos="1725"/>
        </w:tabs>
        <w:suppressAutoHyphens/>
        <w:spacing w:line="500" w:lineRule="exact"/>
        <w:ind w:left="1725" w:hanging="1080"/>
        <w:outlineLvl w:val="2"/>
        <w:rPr>
          <w:rFonts w:ascii="宋体" w:hAnsi="宋体" w:cs="宋体"/>
          <w:kern w:val="1"/>
          <w:szCs w:val="21"/>
          <w:highlight w:val="none"/>
          <w:lang w:eastAsia="ar-SA"/>
        </w:rPr>
      </w:pPr>
      <w:r>
        <w:rPr>
          <w:rFonts w:hint="eastAsia" w:ascii="宋体" w:hAnsi="宋体" w:cs="宋体"/>
          <w:kern w:val="1"/>
          <w:szCs w:val="21"/>
          <w:highlight w:val="none"/>
          <w:lang w:eastAsia="ar-SA"/>
        </w:rPr>
        <w:t>1、招标文件；</w:t>
      </w:r>
    </w:p>
    <w:p>
      <w:pPr>
        <w:tabs>
          <w:tab w:val="left" w:pos="1725"/>
        </w:tabs>
        <w:suppressAutoHyphens/>
        <w:spacing w:line="500" w:lineRule="exact"/>
        <w:ind w:left="1725" w:hanging="1080"/>
        <w:outlineLvl w:val="2"/>
        <w:rPr>
          <w:rFonts w:ascii="宋体" w:hAnsi="宋体" w:cs="宋体"/>
          <w:kern w:val="1"/>
          <w:szCs w:val="21"/>
          <w:highlight w:val="none"/>
          <w:lang w:eastAsia="ar-SA"/>
        </w:rPr>
      </w:pPr>
      <w:r>
        <w:rPr>
          <w:rFonts w:hint="eastAsia" w:ascii="宋体" w:hAnsi="宋体" w:cs="宋体"/>
          <w:kern w:val="1"/>
          <w:szCs w:val="21"/>
          <w:highlight w:val="none"/>
          <w:lang w:eastAsia="ar-SA"/>
        </w:rPr>
        <w:t>2、中标人（乙方）的投标文件及其澄清文件；</w:t>
      </w:r>
    </w:p>
    <w:p>
      <w:pPr>
        <w:tabs>
          <w:tab w:val="left" w:pos="1725"/>
        </w:tabs>
        <w:suppressAutoHyphens/>
        <w:spacing w:line="500" w:lineRule="exact"/>
        <w:ind w:left="1725" w:hanging="1080"/>
        <w:outlineLvl w:val="2"/>
        <w:rPr>
          <w:rFonts w:ascii="宋体" w:hAnsi="宋体" w:cs="宋体"/>
          <w:kern w:val="1"/>
          <w:szCs w:val="21"/>
          <w:highlight w:val="none"/>
          <w:lang w:eastAsia="ar-SA"/>
        </w:rPr>
      </w:pPr>
      <w:r>
        <w:rPr>
          <w:rFonts w:hint="eastAsia" w:ascii="宋体" w:hAnsi="宋体" w:cs="宋体"/>
          <w:kern w:val="1"/>
          <w:szCs w:val="21"/>
          <w:highlight w:val="none"/>
          <w:lang w:eastAsia="ar-SA"/>
        </w:rPr>
        <w:t>3、招标人发出的中标通知书；</w:t>
      </w:r>
    </w:p>
    <w:p>
      <w:pPr>
        <w:tabs>
          <w:tab w:val="left" w:pos="1725"/>
        </w:tabs>
        <w:suppressAutoHyphens/>
        <w:spacing w:line="500" w:lineRule="exact"/>
        <w:ind w:left="1725" w:hanging="1080"/>
        <w:outlineLvl w:val="2"/>
        <w:rPr>
          <w:rFonts w:ascii="宋体" w:hAnsi="宋体" w:cs="宋体"/>
          <w:kern w:val="1"/>
          <w:szCs w:val="21"/>
          <w:highlight w:val="none"/>
          <w:lang w:eastAsia="ar-SA"/>
        </w:rPr>
      </w:pPr>
      <w:r>
        <w:rPr>
          <w:rFonts w:hint="eastAsia" w:ascii="宋体" w:hAnsi="宋体" w:cs="宋体"/>
          <w:kern w:val="1"/>
          <w:szCs w:val="21"/>
          <w:highlight w:val="none"/>
          <w:lang w:eastAsia="ar-SA"/>
        </w:rPr>
        <w:t>4、采购内容及技术要求（招标文件）；</w:t>
      </w:r>
    </w:p>
    <w:p>
      <w:pPr>
        <w:tabs>
          <w:tab w:val="left" w:pos="1725"/>
        </w:tabs>
        <w:suppressAutoHyphens/>
        <w:spacing w:line="500" w:lineRule="exact"/>
        <w:ind w:left="1725" w:hanging="1080"/>
        <w:outlineLvl w:val="2"/>
        <w:rPr>
          <w:rFonts w:ascii="宋体" w:hAnsi="宋体" w:cs="宋体"/>
          <w:kern w:val="1"/>
          <w:szCs w:val="21"/>
          <w:highlight w:val="none"/>
          <w:lang w:eastAsia="ar-SA"/>
        </w:rPr>
      </w:pPr>
      <w:r>
        <w:rPr>
          <w:rFonts w:hint="eastAsia" w:ascii="宋体" w:hAnsi="宋体" w:cs="宋体"/>
          <w:kern w:val="1"/>
          <w:szCs w:val="21"/>
          <w:highlight w:val="none"/>
          <w:lang w:eastAsia="ar-SA"/>
        </w:rPr>
        <w:t>5、投标报价明细表（投标文件）；</w:t>
      </w:r>
    </w:p>
    <w:p>
      <w:pPr>
        <w:tabs>
          <w:tab w:val="left" w:pos="1725"/>
        </w:tabs>
        <w:suppressAutoHyphens/>
        <w:spacing w:line="500" w:lineRule="exact"/>
        <w:ind w:left="1725" w:hanging="1080"/>
        <w:outlineLvl w:val="2"/>
        <w:rPr>
          <w:rFonts w:ascii="宋体" w:hAnsi="宋体" w:cs="宋体"/>
          <w:kern w:val="1"/>
          <w:szCs w:val="21"/>
          <w:highlight w:val="none"/>
          <w:lang w:eastAsia="ar-SA"/>
        </w:rPr>
      </w:pPr>
      <w:r>
        <w:rPr>
          <w:rFonts w:hint="eastAsia" w:ascii="宋体" w:hAnsi="宋体" w:cs="宋体"/>
          <w:kern w:val="1"/>
          <w:szCs w:val="21"/>
          <w:highlight w:val="none"/>
          <w:lang w:eastAsia="ar-SA"/>
        </w:rPr>
        <w:t>6、技术响应表 （投标文件）；</w:t>
      </w:r>
    </w:p>
    <w:p>
      <w:pPr>
        <w:tabs>
          <w:tab w:val="left" w:pos="1725"/>
        </w:tabs>
        <w:suppressAutoHyphens/>
        <w:spacing w:line="500" w:lineRule="exact"/>
        <w:ind w:left="1725" w:hanging="1080" w:firstLineChars="0"/>
        <w:outlineLvl w:val="2"/>
        <w:rPr>
          <w:rFonts w:ascii="宋体" w:hAnsi="宋体" w:cs="宋体"/>
          <w:kern w:val="1"/>
          <w:szCs w:val="21"/>
          <w:highlight w:val="none"/>
          <w:lang w:eastAsia="ar-SA"/>
        </w:rPr>
      </w:pPr>
      <w:r>
        <w:rPr>
          <w:rFonts w:hint="eastAsia" w:ascii="宋体" w:hAnsi="宋体" w:cs="宋体"/>
          <w:kern w:val="1"/>
          <w:szCs w:val="21"/>
          <w:highlight w:val="none"/>
          <w:lang w:eastAsia="ar-SA"/>
        </w:rPr>
        <w:t>7、合同补充条款或说明（包括出卖人出具的承诺书、投标文件中的各类承诺</w:t>
      </w:r>
      <w:r>
        <w:rPr>
          <w:rFonts w:hint="eastAsia" w:ascii="宋体" w:hAnsi="宋体" w:cs="宋体"/>
          <w:kern w:val="1"/>
          <w:szCs w:val="21"/>
          <w:highlight w:val="none"/>
          <w:lang w:eastAsia="zh-CN"/>
        </w:rPr>
        <w:t>）</w:t>
      </w:r>
      <w:r>
        <w:rPr>
          <w:rFonts w:hint="eastAsia" w:ascii="宋体" w:hAnsi="宋体" w:cs="宋体"/>
          <w:kern w:val="1"/>
          <w:szCs w:val="21"/>
          <w:highlight w:val="none"/>
          <w:lang w:eastAsia="ar-SA"/>
        </w:rPr>
        <w:t>；</w:t>
      </w:r>
    </w:p>
    <w:p>
      <w:pPr>
        <w:suppressAutoHyphens/>
        <w:spacing w:line="500" w:lineRule="exact"/>
        <w:ind w:left="5" w:firstLine="563" w:firstLineChars="266"/>
        <w:rPr>
          <w:rFonts w:ascii="宋体" w:hAnsi="宋体" w:cs="宋体"/>
          <w:kern w:val="1"/>
          <w:szCs w:val="21"/>
          <w:highlight w:val="none"/>
          <w:lang w:eastAsia="ar-SA"/>
        </w:rPr>
      </w:pPr>
      <w:r>
        <w:rPr>
          <w:rFonts w:hint="eastAsia" w:ascii="宋体" w:hAnsi="宋体" w:cs="宋体"/>
          <w:kern w:val="1"/>
          <w:szCs w:val="21"/>
          <w:highlight w:val="none"/>
          <w:lang w:eastAsia="ar-SA"/>
        </w:rPr>
        <w:t>各构成本合同的组成部分的条款与本合同正文有不符的，以本合同正文为准。项目具体技术需求及采购人地址等详见招标文件、投标文件以及询标记录。合同总价包含项目达到预期使用效果所需的一切费用。</w:t>
      </w:r>
    </w:p>
    <w:p>
      <w:pPr>
        <w:suppressAutoHyphens/>
        <w:spacing w:line="500" w:lineRule="exact"/>
        <w:rPr>
          <w:rFonts w:ascii="宋体" w:hAnsi="宋体" w:cs="宋体"/>
          <w:b/>
          <w:kern w:val="1"/>
          <w:szCs w:val="21"/>
          <w:highlight w:val="none"/>
          <w:lang w:eastAsia="ar-SA"/>
        </w:rPr>
      </w:pPr>
      <w:r>
        <w:rPr>
          <w:rFonts w:hint="eastAsia" w:ascii="宋体" w:hAnsi="宋体" w:cs="宋体"/>
          <w:b/>
          <w:kern w:val="1"/>
          <w:szCs w:val="21"/>
          <w:highlight w:val="none"/>
          <w:lang w:eastAsia="ar-SA"/>
        </w:rPr>
        <w:t>2</w:t>
      </w:r>
      <w:r>
        <w:rPr>
          <w:rFonts w:hint="eastAsia" w:ascii="宋体" w:hAnsi="宋体" w:cs="宋体"/>
          <w:b/>
          <w:kern w:val="1"/>
          <w:szCs w:val="21"/>
          <w:highlight w:val="none"/>
          <w:lang w:val="en-US" w:eastAsia="zh-CN"/>
        </w:rPr>
        <w:t>4</w:t>
      </w:r>
      <w:r>
        <w:rPr>
          <w:rFonts w:hint="eastAsia" w:ascii="宋体" w:hAnsi="宋体" w:cs="宋体"/>
          <w:b/>
          <w:kern w:val="1"/>
          <w:szCs w:val="21"/>
          <w:highlight w:val="none"/>
          <w:lang w:eastAsia="ar-SA"/>
        </w:rPr>
        <w:t>、合同的生效</w:t>
      </w:r>
    </w:p>
    <w:p>
      <w:pPr>
        <w:suppressAutoHyphens/>
        <w:spacing w:line="500" w:lineRule="exact"/>
        <w:ind w:firstLine="645"/>
        <w:rPr>
          <w:rFonts w:ascii="宋体" w:hAnsi="宋体" w:cs="宋体"/>
          <w:kern w:val="1"/>
          <w:szCs w:val="21"/>
          <w:highlight w:val="none"/>
          <w:lang w:eastAsia="ar-SA"/>
        </w:rPr>
      </w:pPr>
      <w:r>
        <w:rPr>
          <w:rFonts w:hint="eastAsia" w:ascii="宋体" w:hAnsi="宋体" w:cs="宋体"/>
          <w:kern w:val="1"/>
          <w:szCs w:val="21"/>
          <w:highlight w:val="none"/>
          <w:lang w:eastAsia="ar-SA"/>
        </w:rPr>
        <w:t>本合同经双方法定代表人（企业负责人）或其委托代理人签字盖章后生效。</w:t>
      </w:r>
    </w:p>
    <w:p>
      <w:pPr>
        <w:suppressAutoHyphens/>
        <w:rPr>
          <w:kern w:val="1"/>
          <w:szCs w:val="21"/>
          <w:highlight w:val="none"/>
          <w:lang w:eastAsia="ar-SA"/>
        </w:rPr>
      </w:pPr>
    </w:p>
    <w:p>
      <w:pPr>
        <w:tabs>
          <w:tab w:val="left" w:pos="0"/>
          <w:tab w:val="left" w:pos="1260"/>
          <w:tab w:val="left" w:pos="1365"/>
        </w:tabs>
        <w:suppressAutoHyphens/>
        <w:spacing w:after="120"/>
        <w:ind w:left="424" w:leftChars="200" w:firstLine="424" w:firstLineChars="200"/>
        <w:rPr>
          <w:rFonts w:ascii="宋体" w:hAnsi="宋体" w:cs="宋体"/>
          <w:kern w:val="0"/>
          <w:szCs w:val="21"/>
          <w:highlight w:val="none"/>
          <w:lang w:eastAsia="ar-SA"/>
        </w:rPr>
      </w:pPr>
    </w:p>
    <w:p>
      <w:pPr>
        <w:suppressAutoHyphens/>
        <w:spacing w:line="360" w:lineRule="exact"/>
        <w:ind w:firstLine="212" w:firstLineChars="100"/>
        <w:jc w:val="center"/>
        <w:rPr>
          <w:rFonts w:ascii="宋体" w:hAnsi="宋体" w:cs="宋体"/>
          <w:kern w:val="1"/>
          <w:szCs w:val="21"/>
          <w:highlight w:val="none"/>
          <w:lang w:eastAsia="ar-SA"/>
        </w:rPr>
      </w:pPr>
    </w:p>
    <w:p>
      <w:pPr>
        <w:suppressAutoHyphens/>
        <w:rPr>
          <w:rFonts w:ascii="宋体" w:hAnsi="宋体" w:cs="宋体"/>
          <w:kern w:val="1"/>
          <w:szCs w:val="21"/>
          <w:highlight w:val="none"/>
          <w:lang w:eastAsia="ar-SA"/>
        </w:rPr>
      </w:pPr>
    </w:p>
    <w:p>
      <w:pPr>
        <w:tabs>
          <w:tab w:val="left" w:pos="2310"/>
        </w:tabs>
        <w:suppressAutoHyphens/>
        <w:spacing w:line="640" w:lineRule="exact"/>
        <w:outlineLvl w:val="1"/>
        <w:rPr>
          <w:rFonts w:ascii="宋体" w:hAnsi="宋体" w:cs="宋体"/>
          <w:kern w:val="1"/>
          <w:szCs w:val="21"/>
          <w:highlight w:val="none"/>
          <w:lang w:eastAsia="ar-SA"/>
        </w:rPr>
      </w:pPr>
      <w:r>
        <w:rPr>
          <w:rFonts w:hint="eastAsia" w:ascii="宋体" w:hAnsi="宋体" w:cs="宋体"/>
          <w:kern w:val="1"/>
          <w:szCs w:val="21"/>
          <w:highlight w:val="none"/>
          <w:lang w:eastAsia="ar-SA"/>
        </w:rPr>
        <w:t>甲    方：                        乙    方：</w:t>
      </w:r>
    </w:p>
    <w:p>
      <w:pPr>
        <w:tabs>
          <w:tab w:val="left" w:pos="2310"/>
        </w:tabs>
        <w:suppressAutoHyphens/>
        <w:spacing w:line="640" w:lineRule="exact"/>
        <w:rPr>
          <w:rFonts w:ascii="宋体" w:hAnsi="宋体" w:cs="宋体"/>
          <w:kern w:val="1"/>
          <w:szCs w:val="21"/>
          <w:highlight w:val="none"/>
          <w:lang w:eastAsia="ar-SA"/>
        </w:rPr>
      </w:pPr>
      <w:r>
        <w:rPr>
          <w:rFonts w:hint="eastAsia" w:ascii="宋体" w:hAnsi="宋体" w:cs="宋体"/>
          <w:kern w:val="1"/>
          <w:szCs w:val="21"/>
          <w:highlight w:val="none"/>
          <w:lang w:eastAsia="ar-SA"/>
        </w:rPr>
        <w:t>名称（公章）：                    名称（公章）：</w:t>
      </w:r>
    </w:p>
    <w:p>
      <w:pPr>
        <w:tabs>
          <w:tab w:val="left" w:pos="2310"/>
        </w:tabs>
        <w:suppressAutoHyphens/>
        <w:spacing w:line="640" w:lineRule="exact"/>
        <w:rPr>
          <w:rFonts w:ascii="宋体" w:hAnsi="宋体" w:cs="宋体"/>
          <w:kern w:val="1"/>
          <w:szCs w:val="21"/>
          <w:highlight w:val="none"/>
          <w:lang w:eastAsia="ar-SA"/>
        </w:rPr>
      </w:pPr>
      <w:r>
        <w:rPr>
          <w:rFonts w:hint="eastAsia" w:ascii="宋体" w:hAnsi="宋体" w:cs="宋体"/>
          <w:kern w:val="1"/>
          <w:szCs w:val="21"/>
          <w:highlight w:val="none"/>
          <w:lang w:eastAsia="ar-SA"/>
        </w:rPr>
        <w:t>法定代表人</w:t>
      </w:r>
      <w:r>
        <w:rPr>
          <w:rFonts w:hint="eastAsia" w:ascii="宋体" w:hAnsi="宋体" w:cs="宋体"/>
          <w:kern w:val="1"/>
          <w:szCs w:val="21"/>
          <w:highlight w:val="none"/>
        </w:rPr>
        <w:t>（签章）：</w:t>
      </w:r>
      <w:r>
        <w:rPr>
          <w:rFonts w:hint="eastAsia" w:ascii="宋体" w:hAnsi="宋体" w:cs="宋体"/>
          <w:kern w:val="1"/>
          <w:szCs w:val="21"/>
          <w:highlight w:val="none"/>
          <w:lang w:eastAsia="ar-SA"/>
        </w:rPr>
        <w:t xml:space="preserve">              法定代表人</w:t>
      </w:r>
      <w:r>
        <w:rPr>
          <w:rFonts w:hint="eastAsia" w:ascii="宋体" w:hAnsi="宋体" w:cs="宋体"/>
          <w:kern w:val="1"/>
          <w:szCs w:val="21"/>
          <w:highlight w:val="none"/>
        </w:rPr>
        <w:t>（签章）：</w:t>
      </w:r>
    </w:p>
    <w:p>
      <w:pPr>
        <w:tabs>
          <w:tab w:val="left" w:pos="2310"/>
        </w:tabs>
        <w:suppressAutoHyphens/>
        <w:spacing w:line="640" w:lineRule="exact"/>
        <w:rPr>
          <w:rFonts w:ascii="宋体" w:hAnsi="宋体" w:cs="宋体"/>
          <w:kern w:val="1"/>
          <w:szCs w:val="21"/>
          <w:highlight w:val="none"/>
        </w:rPr>
      </w:pPr>
      <w:r>
        <w:rPr>
          <w:rFonts w:hint="eastAsia" w:ascii="宋体" w:hAnsi="宋体" w:cs="宋体"/>
          <w:kern w:val="1"/>
          <w:szCs w:val="21"/>
          <w:highlight w:val="none"/>
          <w:lang w:eastAsia="ar-SA"/>
        </w:rPr>
        <w:t>或其委托代理人</w:t>
      </w:r>
      <w:r>
        <w:rPr>
          <w:rFonts w:hint="eastAsia" w:ascii="宋体" w:hAnsi="宋体" w:cs="宋体"/>
          <w:kern w:val="1"/>
          <w:szCs w:val="21"/>
          <w:highlight w:val="none"/>
        </w:rPr>
        <w:t>：</w:t>
      </w:r>
      <w:r>
        <w:rPr>
          <w:rFonts w:hint="eastAsia" w:ascii="宋体" w:hAnsi="宋体" w:cs="宋体"/>
          <w:kern w:val="1"/>
          <w:szCs w:val="21"/>
          <w:highlight w:val="none"/>
          <w:lang w:eastAsia="ar-SA"/>
        </w:rPr>
        <w:t xml:space="preserve">         </w:t>
      </w:r>
      <w:r>
        <w:rPr>
          <w:rFonts w:hint="eastAsia" w:ascii="宋体" w:hAnsi="宋体" w:cs="宋体"/>
          <w:kern w:val="1"/>
          <w:szCs w:val="21"/>
          <w:highlight w:val="none"/>
        </w:rPr>
        <w:t xml:space="preserve">         </w:t>
      </w:r>
      <w:r>
        <w:rPr>
          <w:rFonts w:hint="eastAsia" w:ascii="宋体" w:hAnsi="宋体" w:cs="宋体"/>
          <w:kern w:val="1"/>
          <w:szCs w:val="21"/>
          <w:highlight w:val="none"/>
          <w:lang w:eastAsia="ar-SA"/>
        </w:rPr>
        <w:t>或其委托代理人</w:t>
      </w:r>
      <w:r>
        <w:rPr>
          <w:rFonts w:hint="eastAsia" w:ascii="宋体" w:hAnsi="宋体" w:cs="宋体"/>
          <w:kern w:val="1"/>
          <w:szCs w:val="21"/>
          <w:highlight w:val="none"/>
        </w:rPr>
        <w:t>：</w:t>
      </w:r>
    </w:p>
    <w:p>
      <w:pPr>
        <w:widowControl/>
        <w:spacing w:line="400" w:lineRule="exact"/>
        <w:jc w:val="center"/>
        <w:rPr>
          <w:rFonts w:ascii="宋体" w:hAnsi="宋体" w:cs="宋体"/>
          <w:b/>
          <w:sz w:val="28"/>
          <w:szCs w:val="28"/>
          <w:highlight w:val="none"/>
        </w:rPr>
      </w:pPr>
    </w:p>
    <w:p>
      <w:pPr>
        <w:widowControl/>
        <w:spacing w:line="400" w:lineRule="exact"/>
        <w:jc w:val="center"/>
        <w:rPr>
          <w:rFonts w:ascii="宋体" w:hAnsi="宋体" w:cs="宋体"/>
          <w:b/>
          <w:sz w:val="28"/>
          <w:szCs w:val="28"/>
          <w:highlight w:val="none"/>
        </w:rPr>
      </w:pPr>
    </w:p>
    <w:p>
      <w:pPr>
        <w:rPr>
          <w:highlight w:val="none"/>
        </w:rPr>
      </w:pPr>
    </w:p>
    <w:bookmarkEnd w:id="286"/>
    <w:bookmarkEnd w:id="287"/>
    <w:p>
      <w:pPr>
        <w:pStyle w:val="3"/>
        <w:spacing w:beforeLines="0" w:afterLines="0" w:line="360" w:lineRule="auto"/>
        <w:ind w:firstLine="644" w:firstLineChars="200"/>
        <w:rPr>
          <w:rFonts w:ascii="宋体" w:hAnsi="宋体" w:cs="宋体"/>
          <w:sz w:val="32"/>
          <w:szCs w:val="32"/>
          <w:highlight w:val="none"/>
        </w:rPr>
      </w:pPr>
      <w:bookmarkStart w:id="288" w:name="_Toc316649303"/>
      <w:bookmarkStart w:id="289" w:name="_Toc520902407"/>
      <w:r>
        <w:rPr>
          <w:rFonts w:ascii="宋体" w:hAnsi="宋体" w:cs="宋体"/>
          <w:sz w:val="32"/>
          <w:szCs w:val="32"/>
          <w:highlight w:val="none"/>
        </w:rPr>
        <w:br w:type="page"/>
      </w:r>
      <w:r>
        <w:rPr>
          <w:rFonts w:hint="eastAsia" w:ascii="宋体" w:hAnsi="宋体" w:cs="宋体"/>
          <w:sz w:val="32"/>
          <w:szCs w:val="32"/>
          <w:highlight w:val="none"/>
        </w:rPr>
        <w:t>第七部分 附件（投标文件格式）</w:t>
      </w:r>
      <w:bookmarkEnd w:id="288"/>
      <w:bookmarkEnd w:id="289"/>
    </w:p>
    <w:p>
      <w:pPr>
        <w:pStyle w:val="4"/>
        <w:spacing w:line="380" w:lineRule="exact"/>
        <w:rPr>
          <w:rFonts w:ascii="宋体" w:hAnsi="宋体" w:cs="宋体"/>
          <w:highlight w:val="none"/>
        </w:rPr>
      </w:pPr>
      <w:r>
        <w:rPr>
          <w:rFonts w:hint="eastAsia" w:ascii="宋体" w:hAnsi="宋体" w:cs="宋体"/>
          <w:szCs w:val="21"/>
          <w:highlight w:val="none"/>
        </w:rPr>
        <w:t>商务技术文件</w:t>
      </w:r>
    </w:p>
    <w:p>
      <w:pPr>
        <w:snapToGrid w:val="0"/>
        <w:spacing w:before="146" w:beforeLines="50" w:after="50"/>
        <w:ind w:firstLine="3710" w:firstLineChars="1750"/>
        <w:rPr>
          <w:rFonts w:ascii="宋体" w:hAnsi="宋体" w:cs="宋体"/>
          <w:szCs w:val="21"/>
          <w:highlight w:val="none"/>
        </w:rPr>
      </w:pPr>
    </w:p>
    <w:p>
      <w:pPr>
        <w:spacing w:line="360" w:lineRule="auto"/>
        <w:rPr>
          <w:rFonts w:ascii="宋体" w:hAnsi="宋体" w:cs="宋体"/>
          <w:sz w:val="28"/>
          <w:szCs w:val="28"/>
          <w:highlight w:val="none"/>
        </w:rPr>
      </w:pPr>
      <w:r>
        <w:rPr>
          <w:rFonts w:hint="eastAsia" w:ascii="宋体" w:hAnsi="宋体" w:cs="宋体"/>
          <w:sz w:val="28"/>
          <w:szCs w:val="28"/>
          <w:highlight w:val="none"/>
        </w:rPr>
        <w:t>封面</w:t>
      </w:r>
    </w:p>
    <w:p>
      <w:pPr>
        <w:spacing w:line="360" w:lineRule="auto"/>
        <w:ind w:firstLine="560"/>
        <w:jc w:val="right"/>
        <w:rPr>
          <w:rFonts w:ascii="宋体" w:hAnsi="宋体" w:cs="宋体"/>
          <w:sz w:val="28"/>
          <w:highlight w:val="none"/>
        </w:rPr>
      </w:pPr>
    </w:p>
    <w:p>
      <w:pPr>
        <w:spacing w:line="360" w:lineRule="auto"/>
        <w:ind w:firstLine="1288" w:firstLineChars="400"/>
        <w:rPr>
          <w:rFonts w:ascii="宋体" w:hAnsi="宋体" w:cs="宋体"/>
          <w:sz w:val="32"/>
          <w:highlight w:val="none"/>
        </w:rPr>
      </w:pPr>
    </w:p>
    <w:p>
      <w:pPr>
        <w:spacing w:line="360" w:lineRule="auto"/>
        <w:jc w:val="center"/>
        <w:rPr>
          <w:rFonts w:ascii="宋体" w:hAnsi="宋体" w:cs="宋体"/>
          <w:sz w:val="28"/>
          <w:highlight w:val="none"/>
          <w:u w:val="single"/>
        </w:rPr>
      </w:pPr>
      <w:r>
        <w:rPr>
          <w:rFonts w:hint="eastAsia" w:ascii="宋体" w:hAnsi="宋体" w:cs="宋体"/>
          <w:sz w:val="28"/>
          <w:highlight w:val="none"/>
          <w:u w:val="single"/>
        </w:rPr>
        <w:t>_______________________________________________</w:t>
      </w:r>
      <w:r>
        <w:rPr>
          <w:rFonts w:hint="eastAsia" w:ascii="宋体" w:hAnsi="宋体" w:cs="宋体"/>
          <w:sz w:val="28"/>
          <w:highlight w:val="none"/>
        </w:rPr>
        <w:t>项目</w:t>
      </w:r>
    </w:p>
    <w:p>
      <w:pPr>
        <w:spacing w:line="360" w:lineRule="auto"/>
        <w:ind w:firstLine="1288" w:firstLineChars="400"/>
        <w:rPr>
          <w:rFonts w:ascii="宋体" w:hAnsi="宋体" w:cs="宋体"/>
          <w:sz w:val="32"/>
          <w:highlight w:val="none"/>
        </w:rPr>
      </w:pPr>
    </w:p>
    <w:p>
      <w:pPr>
        <w:spacing w:line="360" w:lineRule="auto"/>
        <w:ind w:firstLine="1288" w:firstLineChars="400"/>
        <w:rPr>
          <w:rFonts w:ascii="宋体" w:hAnsi="宋体" w:cs="宋体"/>
          <w:sz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 标 文 件</w:t>
      </w:r>
    </w:p>
    <w:p>
      <w:pPr>
        <w:spacing w:line="360" w:lineRule="auto"/>
        <w:ind w:firstLine="1692" w:firstLineChars="600"/>
        <w:rPr>
          <w:rFonts w:ascii="宋体" w:hAnsi="宋体" w:cs="宋体"/>
          <w:sz w:val="28"/>
          <w:highlight w:val="none"/>
        </w:rPr>
      </w:pPr>
    </w:p>
    <w:p>
      <w:pPr>
        <w:spacing w:line="360" w:lineRule="auto"/>
        <w:ind w:firstLine="1692" w:firstLineChars="600"/>
        <w:rPr>
          <w:rFonts w:ascii="宋体" w:hAnsi="宋体" w:cs="宋体"/>
          <w:sz w:val="28"/>
          <w:highlight w:val="none"/>
          <w:u w:val="single"/>
        </w:rPr>
      </w:pPr>
      <w:r>
        <w:rPr>
          <w:rFonts w:hint="eastAsia" w:ascii="宋体" w:hAnsi="宋体" w:cs="宋体"/>
          <w:sz w:val="28"/>
          <w:highlight w:val="none"/>
        </w:rPr>
        <w:t>招标编号：</w:t>
      </w:r>
      <w:r>
        <w:rPr>
          <w:rFonts w:hint="eastAsia" w:ascii="宋体" w:hAnsi="宋体" w:cs="宋体"/>
          <w:sz w:val="28"/>
          <w:highlight w:val="none"/>
          <w:u w:val="single"/>
        </w:rPr>
        <w:t>_______________</w:t>
      </w:r>
    </w:p>
    <w:p>
      <w:pPr>
        <w:spacing w:line="360" w:lineRule="auto"/>
        <w:ind w:firstLine="1692" w:firstLineChars="600"/>
        <w:rPr>
          <w:rFonts w:ascii="宋体" w:hAnsi="宋体" w:cs="宋体"/>
          <w:sz w:val="28"/>
          <w:highlight w:val="none"/>
          <w:u w:val="single"/>
        </w:rPr>
      </w:pPr>
      <w:r>
        <w:rPr>
          <w:rFonts w:hint="eastAsia" w:ascii="宋体" w:hAnsi="宋体" w:cs="宋体"/>
          <w:sz w:val="28"/>
          <w:highlight w:val="none"/>
        </w:rPr>
        <w:t>标项：</w:t>
      </w:r>
      <w:r>
        <w:rPr>
          <w:rFonts w:hint="eastAsia" w:ascii="宋体" w:hAnsi="宋体" w:cs="宋体"/>
          <w:sz w:val="28"/>
          <w:highlight w:val="none"/>
          <w:u w:val="single"/>
        </w:rPr>
        <w:t>______________</w:t>
      </w:r>
    </w:p>
    <w:p>
      <w:pPr>
        <w:spacing w:line="360" w:lineRule="auto"/>
        <w:rPr>
          <w:rFonts w:ascii="宋体" w:hAnsi="宋体" w:cs="宋体"/>
          <w:sz w:val="28"/>
          <w:szCs w:val="28"/>
          <w:highlight w:val="none"/>
          <w:u w:val="singl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720" w:lineRule="auto"/>
        <w:rPr>
          <w:rFonts w:ascii="宋体" w:hAnsi="宋体" w:cs="宋体"/>
          <w:b/>
          <w:sz w:val="28"/>
          <w:highlight w:val="none"/>
          <w:u w:val="single"/>
        </w:rPr>
      </w:pPr>
      <w:r>
        <w:rPr>
          <w:rFonts w:hint="eastAsia" w:ascii="宋体" w:hAnsi="宋体" w:cs="宋体"/>
          <w:sz w:val="28"/>
          <w:highlight w:val="none"/>
        </w:rPr>
        <w:t>投标文件名称：</w:t>
      </w:r>
      <w:r>
        <w:rPr>
          <w:rFonts w:hint="eastAsia" w:ascii="宋体" w:hAnsi="宋体" w:cs="宋体"/>
          <w:b/>
          <w:sz w:val="28"/>
          <w:highlight w:val="none"/>
          <w:u w:val="single"/>
        </w:rPr>
        <w:t xml:space="preserve">           商务技术文件                      </w:t>
      </w:r>
    </w:p>
    <w:p>
      <w:pPr>
        <w:spacing w:line="720" w:lineRule="auto"/>
        <w:rPr>
          <w:rFonts w:ascii="宋体" w:hAnsi="宋体" w:cs="宋体"/>
          <w:b/>
          <w:sz w:val="28"/>
          <w:highlight w:val="none"/>
        </w:rPr>
      </w:pPr>
      <w:r>
        <w:rPr>
          <w:rFonts w:hint="eastAsia" w:ascii="宋体" w:hAnsi="宋体" w:cs="宋体"/>
          <w:sz w:val="28"/>
          <w:highlight w:val="none"/>
        </w:rPr>
        <w:t>投标人：</w:t>
      </w:r>
      <w:r>
        <w:rPr>
          <w:rFonts w:hint="eastAsia" w:ascii="宋体" w:hAnsi="宋体" w:cs="宋体"/>
          <w:sz w:val="28"/>
          <w:highlight w:val="none"/>
          <w:u w:val="single"/>
        </w:rPr>
        <w:t xml:space="preserve">                                             （盖章） </w:t>
      </w:r>
    </w:p>
    <w:p>
      <w:pPr>
        <w:pStyle w:val="20"/>
        <w:spacing w:line="720" w:lineRule="auto"/>
        <w:ind w:firstLine="0"/>
        <w:jc w:val="center"/>
        <w:rPr>
          <w:rFonts w:ascii="宋体" w:hAnsi="宋体" w:cs="宋体"/>
          <w:bCs/>
          <w:sz w:val="24"/>
          <w:szCs w:val="24"/>
          <w:highlight w:val="none"/>
        </w:rPr>
      </w:pPr>
      <w:r>
        <w:rPr>
          <w:rFonts w:hint="eastAsia" w:ascii="宋体" w:hAnsi="宋体" w:cs="宋体"/>
          <w:sz w:val="28"/>
          <w:highlight w:val="none"/>
        </w:rPr>
        <w:t>日    期：</w:t>
      </w:r>
      <w:r>
        <w:rPr>
          <w:rFonts w:hint="eastAsia" w:ascii="宋体" w:hAnsi="宋体" w:cs="宋体"/>
          <w:sz w:val="28"/>
          <w:highlight w:val="none"/>
          <w:u w:val="single"/>
        </w:rPr>
        <w:t xml:space="preserve">           </w:t>
      </w:r>
      <w:r>
        <w:rPr>
          <w:rFonts w:hint="eastAsia" w:ascii="宋体" w:hAnsi="宋体" w:cs="宋体"/>
          <w:sz w:val="28"/>
          <w:highlight w:val="none"/>
        </w:rPr>
        <w:t>年</w:t>
      </w:r>
      <w:r>
        <w:rPr>
          <w:rFonts w:hint="eastAsia" w:ascii="宋体" w:hAnsi="宋体" w:cs="宋体"/>
          <w:sz w:val="28"/>
          <w:highlight w:val="none"/>
          <w:u w:val="single"/>
        </w:rPr>
        <w:t xml:space="preserve">        </w:t>
      </w:r>
      <w:r>
        <w:rPr>
          <w:rFonts w:hint="eastAsia" w:ascii="宋体" w:hAnsi="宋体" w:cs="宋体"/>
          <w:sz w:val="28"/>
          <w:highlight w:val="none"/>
        </w:rPr>
        <w:t>月</w:t>
      </w:r>
      <w:r>
        <w:rPr>
          <w:rFonts w:hint="eastAsia" w:ascii="宋体" w:hAnsi="宋体" w:cs="宋体"/>
          <w:sz w:val="28"/>
          <w:highlight w:val="none"/>
          <w:u w:val="single"/>
        </w:rPr>
        <w:t xml:space="preserve">       </w:t>
      </w:r>
      <w:r>
        <w:rPr>
          <w:rFonts w:hint="eastAsia" w:ascii="宋体" w:hAnsi="宋体" w:cs="宋体"/>
          <w:b/>
          <w:sz w:val="28"/>
          <w:highlight w:val="none"/>
          <w:u w:val="single"/>
        </w:rPr>
        <w:t xml:space="preserve">   </w:t>
      </w:r>
      <w:r>
        <w:rPr>
          <w:rFonts w:hint="eastAsia" w:ascii="宋体" w:hAnsi="宋体" w:cs="宋体"/>
          <w:sz w:val="28"/>
          <w:highlight w:val="none"/>
        </w:rPr>
        <w:t>日</w:t>
      </w:r>
    </w:p>
    <w:p>
      <w:pPr>
        <w:rPr>
          <w:highlight w:val="none"/>
        </w:rPr>
      </w:pPr>
    </w:p>
    <w:p>
      <w:pPr>
        <w:rPr>
          <w:rFonts w:ascii="宋体" w:hAnsi="宋体" w:cs="宋体"/>
          <w:sz w:val="24"/>
          <w:szCs w:val="24"/>
          <w:highlight w:val="none"/>
        </w:rPr>
      </w:pPr>
    </w:p>
    <w:p>
      <w:pPr>
        <w:spacing w:line="360" w:lineRule="exact"/>
        <w:rPr>
          <w:rFonts w:ascii="宋体" w:hAnsi="宋体" w:cs="宋体"/>
          <w:szCs w:val="21"/>
          <w:highlight w:val="none"/>
        </w:rPr>
      </w:pPr>
    </w:p>
    <w:p>
      <w:pPr>
        <w:spacing w:line="360" w:lineRule="exact"/>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1．商务技术文件，含：</w:t>
      </w:r>
    </w:p>
    <w:p>
      <w:pPr>
        <w:spacing w:line="360" w:lineRule="auto"/>
        <w:rPr>
          <w:rFonts w:ascii="宋体" w:hAnsi="宋体" w:cs="宋体"/>
          <w:szCs w:val="21"/>
          <w:highlight w:val="none"/>
        </w:rPr>
      </w:pPr>
      <w:r>
        <w:rPr>
          <w:rFonts w:hint="eastAsia" w:ascii="宋体" w:hAnsi="宋体" w:cs="宋体"/>
          <w:szCs w:val="21"/>
          <w:highlight w:val="none"/>
        </w:rPr>
        <w:t>(1)投标函</w:t>
      </w:r>
    </w:p>
    <w:p>
      <w:pPr>
        <w:spacing w:line="360" w:lineRule="auto"/>
        <w:rPr>
          <w:rFonts w:ascii="宋体" w:hAnsi="宋体" w:cs="宋体"/>
          <w:szCs w:val="21"/>
          <w:highlight w:val="none"/>
        </w:rPr>
      </w:pPr>
      <w:r>
        <w:rPr>
          <w:rFonts w:hint="eastAsia" w:ascii="宋体" w:hAnsi="宋体" w:cs="宋体"/>
          <w:szCs w:val="21"/>
          <w:highlight w:val="none"/>
        </w:rPr>
        <w:t>(2)单位负责人授权书或单位负责人身份证明；</w:t>
      </w:r>
    </w:p>
    <w:p>
      <w:pPr>
        <w:spacing w:line="360" w:lineRule="auto"/>
        <w:rPr>
          <w:rFonts w:ascii="宋体" w:hAnsi="宋体" w:cs="宋体"/>
          <w:szCs w:val="21"/>
          <w:highlight w:val="none"/>
        </w:rPr>
      </w:pPr>
      <w:r>
        <w:rPr>
          <w:rFonts w:hint="eastAsia" w:ascii="宋体" w:hAnsi="宋体" w:cs="宋体"/>
          <w:szCs w:val="21"/>
          <w:highlight w:val="none"/>
        </w:rPr>
        <w:t>(3)投标单位情况一览表（若联合体投标的，联合体各方均须提供）；</w:t>
      </w:r>
    </w:p>
    <w:p>
      <w:pPr>
        <w:spacing w:line="360" w:lineRule="auto"/>
        <w:rPr>
          <w:rFonts w:ascii="宋体" w:hAnsi="宋体" w:cs="宋体"/>
          <w:szCs w:val="21"/>
          <w:highlight w:val="none"/>
        </w:rPr>
      </w:pPr>
      <w:r>
        <w:rPr>
          <w:rFonts w:hint="eastAsia" w:ascii="宋体" w:hAnsi="宋体" w:cs="宋体"/>
          <w:szCs w:val="21"/>
          <w:highlight w:val="none"/>
        </w:rPr>
        <w:t>(4)技术条款偏离表；</w:t>
      </w:r>
    </w:p>
    <w:p>
      <w:pPr>
        <w:spacing w:line="360" w:lineRule="auto"/>
        <w:rPr>
          <w:rFonts w:ascii="宋体" w:hAnsi="宋体" w:cs="宋体"/>
          <w:szCs w:val="21"/>
          <w:highlight w:val="none"/>
        </w:rPr>
      </w:pPr>
      <w:r>
        <w:rPr>
          <w:rFonts w:hint="eastAsia" w:ascii="宋体" w:hAnsi="宋体" w:cs="宋体"/>
          <w:szCs w:val="21"/>
          <w:highlight w:val="none"/>
        </w:rPr>
        <w:t>(5)商务条款偏离表；</w:t>
      </w:r>
    </w:p>
    <w:p>
      <w:pPr>
        <w:spacing w:line="360" w:lineRule="auto"/>
        <w:rPr>
          <w:rFonts w:ascii="宋体" w:hAnsi="宋体" w:cs="宋体"/>
          <w:szCs w:val="21"/>
          <w:highlight w:val="none"/>
        </w:rPr>
      </w:pPr>
      <w:r>
        <w:rPr>
          <w:rFonts w:hint="eastAsia" w:ascii="宋体" w:hAnsi="宋体" w:cs="宋体"/>
          <w:szCs w:val="21"/>
          <w:highlight w:val="none"/>
        </w:rPr>
        <w:t>(6)第五部分“评标办法”中“评分标准”要求提供的资料（如有需提供）；</w:t>
      </w:r>
    </w:p>
    <w:p>
      <w:pPr>
        <w:spacing w:line="360" w:lineRule="auto"/>
        <w:rPr>
          <w:rFonts w:ascii="宋体" w:hAnsi="宋体" w:cs="宋体"/>
          <w:szCs w:val="21"/>
          <w:highlight w:val="none"/>
        </w:rPr>
      </w:pPr>
      <w:r>
        <w:rPr>
          <w:rFonts w:hint="eastAsia" w:ascii="宋体" w:hAnsi="宋体" w:cs="宋体"/>
          <w:szCs w:val="21"/>
          <w:highlight w:val="none"/>
        </w:rPr>
        <w:t>以上条款请按本招标文件第七部分“附件（投标文件格式）”编制。</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ascii="宋体" w:hAnsi="宋体" w:cs="宋体"/>
          <w:sz w:val="24"/>
          <w:szCs w:val="24"/>
          <w:highlight w:val="none"/>
        </w:rPr>
      </w:pPr>
    </w:p>
    <w:p>
      <w:pPr>
        <w:snapToGrid w:val="0"/>
        <w:spacing w:line="360" w:lineRule="auto"/>
        <w:ind w:left="-23" w:leftChars="-11" w:right="-216" w:rightChars="-102" w:firstLine="24" w:firstLineChars="10"/>
        <w:jc w:val="center"/>
        <w:rPr>
          <w:rFonts w:ascii="宋体" w:hAnsi="宋体" w:cs="宋体"/>
          <w:b/>
          <w:sz w:val="24"/>
          <w:szCs w:val="24"/>
          <w:highlight w:val="none"/>
        </w:rPr>
      </w:pPr>
      <w:r>
        <w:rPr>
          <w:rFonts w:hint="eastAsia" w:ascii="宋体" w:hAnsi="宋体" w:cs="宋体"/>
          <w:b/>
          <w:sz w:val="24"/>
          <w:szCs w:val="24"/>
          <w:highlight w:val="none"/>
        </w:rPr>
        <w:br w:type="page"/>
      </w:r>
    </w:p>
    <w:p>
      <w:pPr>
        <w:snapToGrid w:val="0"/>
        <w:spacing w:line="360" w:lineRule="auto"/>
        <w:ind w:left="-23" w:leftChars="-11" w:right="-216" w:rightChars="-102" w:firstLine="24" w:firstLineChars="10"/>
        <w:jc w:val="center"/>
        <w:rPr>
          <w:rFonts w:ascii="宋体" w:hAnsi="宋体" w:cs="宋体"/>
          <w:b/>
          <w:sz w:val="24"/>
          <w:szCs w:val="24"/>
          <w:highlight w:val="none"/>
        </w:rPr>
      </w:pPr>
      <w:r>
        <w:rPr>
          <w:rFonts w:hint="eastAsia" w:ascii="宋体" w:hAnsi="宋体" w:cs="宋体"/>
          <w:b/>
          <w:sz w:val="24"/>
          <w:szCs w:val="24"/>
          <w:highlight w:val="none"/>
        </w:rPr>
        <w:t>（一）投 标 函</w:t>
      </w:r>
    </w:p>
    <w:p>
      <w:pPr>
        <w:snapToGrid w:val="0"/>
        <w:spacing w:line="360" w:lineRule="auto"/>
        <w:rPr>
          <w:rFonts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（采购人、采购代理机构）               </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我方确认收到贵方关于</w:t>
      </w:r>
      <w:r>
        <w:rPr>
          <w:rFonts w:hint="eastAsia" w:ascii="宋体" w:hAnsi="宋体" w:cs="宋体"/>
          <w:szCs w:val="21"/>
          <w:highlight w:val="none"/>
          <w:u w:val="single"/>
        </w:rPr>
        <w:t xml:space="preserve">                 </w:t>
      </w:r>
      <w:r>
        <w:rPr>
          <w:rFonts w:hint="eastAsia" w:ascii="宋体" w:hAnsi="宋体" w:cs="宋体"/>
          <w:szCs w:val="21"/>
          <w:highlight w:val="none"/>
        </w:rPr>
        <w:t>的招标文件（项目编号：</w:t>
      </w:r>
      <w:r>
        <w:rPr>
          <w:rFonts w:hint="eastAsia" w:ascii="宋体" w:hAnsi="宋体" w:cs="宋体"/>
          <w:szCs w:val="21"/>
          <w:highlight w:val="none"/>
          <w:u w:val="single"/>
        </w:rPr>
        <w:t xml:space="preserve">        </w:t>
      </w:r>
      <w:r>
        <w:rPr>
          <w:rFonts w:hint="eastAsia" w:ascii="宋体" w:hAnsi="宋体" w:cs="宋体"/>
          <w:szCs w:val="21"/>
          <w:highlight w:val="none"/>
        </w:rPr>
        <w:t>），法定代表人（或《单位负责人授权书》中的授权代表）</w:t>
      </w:r>
      <w:r>
        <w:rPr>
          <w:rFonts w:hint="eastAsia" w:ascii="宋体" w:hAnsi="宋体" w:cs="宋体"/>
          <w:szCs w:val="21"/>
          <w:highlight w:val="none"/>
          <w:u w:val="single"/>
        </w:rPr>
        <w:t xml:space="preserve">        </w:t>
      </w:r>
      <w:r>
        <w:rPr>
          <w:rFonts w:hint="eastAsia" w:ascii="宋体" w:hAnsi="宋体" w:cs="宋体"/>
          <w:szCs w:val="21"/>
          <w:highlight w:val="none"/>
        </w:rPr>
        <w:t>作为我方代表，在此声明并同意：</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1.愿意遵守招标文件的各项规定，自愿参加投标，并已清楚招标文件的要求及有关文件规定，并严格按照招标文件的规定履行全部责任和义务。</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2.同意本投标文件的投标有效期从提交投标文件的截止之日起</w:t>
      </w:r>
      <w:r>
        <w:rPr>
          <w:rFonts w:hint="eastAsia" w:ascii="宋体" w:hAnsi="宋体" w:cs="宋体"/>
          <w:szCs w:val="21"/>
          <w:highlight w:val="none"/>
          <w:u w:val="single"/>
        </w:rPr>
        <w:t xml:space="preserve">     </w:t>
      </w:r>
      <w:r>
        <w:rPr>
          <w:rFonts w:hint="eastAsia" w:ascii="宋体" w:hAnsi="宋体" w:cs="宋体"/>
          <w:szCs w:val="21"/>
          <w:highlight w:val="none"/>
        </w:rPr>
        <w:t>日历天内有效。如果我方的投标被接受，则直至合同生效时止，本投标始终有效并不撤回已提交的投标文件。</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3.我方已详细审查并理解全部招标文件，包括修改文件（如有）以及全部参考资料和有关附件，已经了解我方对于采购文件、采购过程、采购结果有依法进行询问、质疑、投诉的权利及进行询问、质疑、投诉的相关渠道、要求。我们同意放弃对招标文件提出不明或误解的一切权力。</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4.我方同意提供采购人或采购代理机构与评标委员会要求的有关投标的一切数据或资料。</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5.我们理解采购人或采购代理机构与评标委员会并无义务必须接受最低报价的投标或其它任何投标。</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6.如果我方未对招标文件全部要求作出实质性响应，则完全同意并接受按无效投标处理。</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7.我方证明提交的一切文件，无论是原件还是复印件均为准确、真实、有效、完整的，绝无任何虚假、伪造或者夸大。我们在此郑重承诺：在本次招标采购活动中，如有违法、违规、弄虚作假行为，所造成的损失、不良后果及法律责任，一律由我方承担。</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8.如果我们提供的声明或承诺不真实，则完全同意认定为我方提供虚假材料，并同意作相应处理。</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9.如我方中标，承诺按照招标文件规定的金额、时间和方式支付采购代理服务费。因我方违约致使采购代理机构采取诉讼或仲裁等方式实现债权，为此支付的律师费、差旅费、执行费、评估费及其他实现债权的一切费用由我方承担。</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10.所有有关本次投标的函电请寄：</w:t>
      </w:r>
    </w:p>
    <w:p>
      <w:pPr>
        <w:snapToGrid w:val="0"/>
        <w:spacing w:line="360" w:lineRule="auto"/>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邮编：</w:t>
      </w:r>
      <w:r>
        <w:rPr>
          <w:rFonts w:hint="eastAsia" w:ascii="宋体" w:hAnsi="宋体" w:cs="宋体"/>
          <w:szCs w:val="21"/>
          <w:highlight w:val="none"/>
          <w:u w:val="single"/>
        </w:rPr>
        <w:t xml:space="preserve">             </w:t>
      </w: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r>
        <w:rPr>
          <w:rFonts w:hint="eastAsia" w:ascii="宋体" w:hAnsi="宋体" w:cs="宋体"/>
          <w:szCs w:val="21"/>
          <w:highlight w:val="none"/>
        </w:rPr>
        <w:t xml:space="preserve">              电子邮箱：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投标人：</w:t>
      </w:r>
      <w:r>
        <w:rPr>
          <w:rFonts w:hint="eastAsia" w:ascii="宋体" w:hAnsi="宋体" w:cs="宋体"/>
          <w:szCs w:val="21"/>
          <w:highlight w:val="none"/>
          <w:u w:val="single"/>
        </w:rPr>
        <w:t>_填写全称并加盖公章</w:t>
      </w:r>
    </w:p>
    <w:p>
      <w:pPr>
        <w:snapToGrid w:val="0"/>
        <w:spacing w:line="360" w:lineRule="auto"/>
        <w:rPr>
          <w:rFonts w:ascii="宋体" w:hAnsi="宋体" w:cs="宋体"/>
          <w:szCs w:val="21"/>
          <w:highlight w:val="none"/>
        </w:rPr>
      </w:pPr>
      <w:r>
        <w:rPr>
          <w:rFonts w:hint="eastAsia" w:ascii="宋体" w:hAnsi="宋体" w:cs="宋体"/>
          <w:szCs w:val="21"/>
          <w:highlight w:val="none"/>
        </w:rPr>
        <w:t>法定代表人或授权代表签名：</w:t>
      </w:r>
      <w:r>
        <w:rPr>
          <w:rFonts w:hint="eastAsia" w:ascii="宋体" w:hAnsi="宋体" w:cs="宋体"/>
          <w:szCs w:val="21"/>
          <w:highlight w:val="none"/>
          <w:u w:val="single"/>
        </w:rPr>
        <w:t xml:space="preserve"> ________________</w:t>
      </w:r>
      <w:r>
        <w:rPr>
          <w:rFonts w:hint="eastAsia" w:ascii="宋体" w:hAnsi="宋体" w:cs="宋体"/>
          <w:szCs w:val="21"/>
          <w:highlight w:val="none"/>
        </w:rPr>
        <w:t>_</w:t>
      </w:r>
    </w:p>
    <w:p>
      <w:pPr>
        <w:snapToGrid w:val="0"/>
        <w:spacing w:line="360" w:lineRule="auto"/>
        <w:rPr>
          <w:rFonts w:ascii="宋体" w:hAnsi="宋体" w:cs="宋体"/>
          <w:szCs w:val="21"/>
          <w:highlight w:val="none"/>
        </w:rPr>
      </w:pPr>
      <w:r>
        <w:rPr>
          <w:rFonts w:hint="eastAsia" w:ascii="宋体" w:hAnsi="宋体" w:cs="宋体"/>
          <w:szCs w:val="21"/>
          <w:highlight w:val="none"/>
        </w:rPr>
        <w:t>日  期：</w:t>
      </w:r>
    </w:p>
    <w:p>
      <w:pPr>
        <w:rPr>
          <w:highlight w:val="none"/>
        </w:rPr>
      </w:pPr>
    </w:p>
    <w:p>
      <w:pPr>
        <w:rPr>
          <w:rFonts w:ascii="宋体" w:hAnsi="宋体" w:cs="宋体"/>
          <w:sz w:val="24"/>
          <w:szCs w:val="24"/>
          <w:highlight w:val="none"/>
        </w:rPr>
      </w:pPr>
    </w:p>
    <w:p>
      <w:pPr>
        <w:pStyle w:val="4"/>
        <w:spacing w:line="380" w:lineRule="exact"/>
        <w:rPr>
          <w:rFonts w:ascii="宋体" w:hAnsi="宋体" w:cs="宋体"/>
          <w:bCs w:val="0"/>
          <w:sz w:val="24"/>
          <w:szCs w:val="24"/>
          <w:highlight w:val="none"/>
        </w:rPr>
      </w:pPr>
      <w:r>
        <w:rPr>
          <w:rFonts w:hint="eastAsia" w:ascii="宋体" w:hAnsi="宋体" w:cs="宋体"/>
          <w:bCs w:val="0"/>
          <w:sz w:val="24"/>
          <w:szCs w:val="24"/>
          <w:highlight w:val="none"/>
        </w:rPr>
        <w:t>（二）单位负责人授权书</w:t>
      </w:r>
    </w:p>
    <w:p>
      <w:pPr>
        <w:pStyle w:val="20"/>
        <w:ind w:firstLine="0"/>
        <w:jc w:val="center"/>
        <w:rPr>
          <w:rFonts w:ascii="宋体" w:hAnsi="宋体" w:cs="宋体"/>
          <w:highlight w:val="none"/>
        </w:rPr>
      </w:pPr>
      <w:r>
        <w:rPr>
          <w:rFonts w:hint="eastAsia" w:ascii="宋体" w:hAnsi="宋体" w:cs="宋体"/>
          <w:bCs/>
          <w:sz w:val="24"/>
          <w:highlight w:val="none"/>
        </w:rPr>
        <w:t>（单位负责人来投标的，此表不用）</w:t>
      </w:r>
    </w:p>
    <w:p>
      <w:pPr>
        <w:pStyle w:val="20"/>
        <w:ind w:firstLine="0"/>
        <w:rPr>
          <w:rFonts w:ascii="宋体" w:hAnsi="宋体" w:cs="宋体"/>
          <w:sz w:val="21"/>
          <w:szCs w:val="21"/>
          <w:highlight w:val="none"/>
        </w:rPr>
      </w:pPr>
      <w:r>
        <w:rPr>
          <w:rFonts w:hint="eastAsia" w:ascii="宋体" w:hAnsi="宋体" w:cs="宋体"/>
          <w:sz w:val="21"/>
          <w:szCs w:val="21"/>
          <w:highlight w:val="none"/>
          <w:u w:val="single"/>
        </w:rPr>
        <w:t xml:space="preserve">  致 （</w:t>
      </w:r>
      <w:r>
        <w:rPr>
          <w:rFonts w:hint="eastAsia" w:ascii="宋体" w:hAnsi="宋体" w:cs="宋体"/>
          <w:i/>
          <w:sz w:val="21"/>
          <w:szCs w:val="21"/>
          <w:highlight w:val="none"/>
          <w:u w:val="single"/>
        </w:rPr>
        <w:t>采购代理机构</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pPr>
        <w:pStyle w:val="20"/>
        <w:ind w:firstLine="0"/>
        <w:rPr>
          <w:rFonts w:ascii="宋体" w:hAnsi="宋体" w:cs="宋体"/>
          <w:sz w:val="21"/>
          <w:szCs w:val="21"/>
          <w:highlight w:val="none"/>
        </w:rPr>
      </w:pPr>
    </w:p>
    <w:p>
      <w:pPr>
        <w:pStyle w:val="20"/>
        <w:ind w:firstLine="0"/>
        <w:rPr>
          <w:rFonts w:ascii="宋体" w:hAnsi="宋体" w:cs="宋体"/>
          <w:sz w:val="21"/>
          <w:szCs w:val="21"/>
          <w:highlight w:val="none"/>
        </w:rPr>
      </w:pPr>
      <w:r>
        <w:rPr>
          <w:rFonts w:hint="eastAsia" w:ascii="宋体" w:hAnsi="宋体" w:cs="宋体"/>
          <w:sz w:val="21"/>
          <w:szCs w:val="21"/>
          <w:highlight w:val="none"/>
        </w:rPr>
        <w:t xml:space="preserve">    </w:t>
      </w:r>
      <w:r>
        <w:rPr>
          <w:rFonts w:hint="eastAsia" w:ascii="宋体" w:hAnsi="宋体" w:cs="宋体"/>
          <w:sz w:val="21"/>
          <w:szCs w:val="21"/>
          <w:highlight w:val="none"/>
          <w:u w:val="single"/>
        </w:rPr>
        <w:t xml:space="preserve">              （</w:t>
      </w:r>
      <w:r>
        <w:rPr>
          <w:rFonts w:hint="eastAsia" w:ascii="宋体" w:hAnsi="宋体" w:cs="宋体"/>
          <w:i/>
          <w:sz w:val="21"/>
          <w:szCs w:val="21"/>
          <w:highlight w:val="none"/>
          <w:u w:val="single"/>
        </w:rPr>
        <w:t>投标人全称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单位负责人</w:t>
      </w:r>
      <w:r>
        <w:rPr>
          <w:rFonts w:hint="eastAsia" w:ascii="宋体" w:hAnsi="宋体" w:cs="宋体"/>
          <w:sz w:val="21"/>
          <w:szCs w:val="21"/>
          <w:highlight w:val="none"/>
          <w:u w:val="single"/>
        </w:rPr>
        <w:t xml:space="preserve">  </w:t>
      </w:r>
      <w:r>
        <w:rPr>
          <w:rFonts w:hint="eastAsia" w:ascii="宋体" w:hAnsi="宋体" w:cs="宋体"/>
          <w:i/>
          <w:sz w:val="21"/>
          <w:szCs w:val="21"/>
          <w:highlight w:val="none"/>
          <w:u w:val="single"/>
        </w:rPr>
        <w:t>（姓名、职务）</w:t>
      </w:r>
      <w:r>
        <w:rPr>
          <w:rFonts w:hint="eastAsia" w:ascii="宋体" w:hAnsi="宋体" w:cs="宋体"/>
          <w:sz w:val="21"/>
          <w:szCs w:val="21"/>
          <w:highlight w:val="none"/>
          <w:u w:val="single"/>
        </w:rPr>
        <w:t xml:space="preserve">              </w:t>
      </w:r>
      <w:r>
        <w:rPr>
          <w:rFonts w:hint="eastAsia" w:ascii="宋体" w:hAnsi="宋体" w:cs="宋体"/>
          <w:sz w:val="21"/>
          <w:szCs w:val="21"/>
          <w:highlight w:val="none"/>
        </w:rPr>
        <w:t>授权</w:t>
      </w:r>
      <w:r>
        <w:rPr>
          <w:rFonts w:hint="eastAsia" w:ascii="宋体" w:hAnsi="宋体" w:cs="宋体"/>
          <w:sz w:val="21"/>
          <w:szCs w:val="21"/>
          <w:highlight w:val="none"/>
          <w:u w:val="single"/>
        </w:rPr>
        <w:t xml:space="preserve">   （</w:t>
      </w:r>
      <w:r>
        <w:rPr>
          <w:rFonts w:hint="eastAsia" w:ascii="宋体" w:hAnsi="宋体" w:cs="宋体"/>
          <w:i/>
          <w:sz w:val="21"/>
          <w:szCs w:val="21"/>
          <w:highlight w:val="none"/>
          <w:u w:val="single"/>
        </w:rPr>
        <w:t>被授权代表姓名、职务</w:t>
      </w:r>
      <w:r>
        <w:rPr>
          <w:rFonts w:hint="eastAsia" w:ascii="宋体" w:hAnsi="宋体" w:cs="宋体"/>
          <w:sz w:val="21"/>
          <w:szCs w:val="21"/>
          <w:highlight w:val="none"/>
          <w:u w:val="single"/>
        </w:rPr>
        <w:t xml:space="preserve">）           </w:t>
      </w:r>
      <w:r>
        <w:rPr>
          <w:rFonts w:hint="eastAsia" w:ascii="宋体" w:hAnsi="宋体" w:cs="宋体"/>
          <w:sz w:val="21"/>
          <w:szCs w:val="21"/>
          <w:highlight w:val="none"/>
        </w:rPr>
        <w:t>为本公司合法代理人，参加贵采购代理机构组织的</w:t>
      </w:r>
      <w:r>
        <w:rPr>
          <w:rFonts w:hint="eastAsia" w:ascii="宋体" w:hAnsi="宋体" w:cs="宋体"/>
          <w:sz w:val="21"/>
          <w:szCs w:val="21"/>
          <w:highlight w:val="none"/>
          <w:u w:val="single"/>
        </w:rPr>
        <w:t xml:space="preserve">   </w:t>
      </w:r>
      <w:r>
        <w:rPr>
          <w:rFonts w:hint="eastAsia" w:ascii="宋体" w:hAnsi="宋体" w:cs="宋体"/>
          <w:i/>
          <w:sz w:val="21"/>
          <w:szCs w:val="21"/>
          <w:highlight w:val="none"/>
          <w:u w:val="single"/>
        </w:rPr>
        <w:t>（招标编号）</w:t>
      </w:r>
      <w:r>
        <w:rPr>
          <w:rFonts w:hint="eastAsia" w:ascii="宋体" w:hAnsi="宋体" w:cs="宋体"/>
          <w:sz w:val="21"/>
          <w:szCs w:val="21"/>
          <w:highlight w:val="none"/>
          <w:u w:val="single"/>
        </w:rPr>
        <w:t xml:space="preserve"> (</w:t>
      </w:r>
      <w:r>
        <w:rPr>
          <w:rFonts w:hint="eastAsia" w:ascii="宋体" w:hAnsi="宋体" w:cs="宋体"/>
          <w:i/>
          <w:sz w:val="21"/>
          <w:szCs w:val="21"/>
          <w:highlight w:val="none"/>
          <w:u w:val="single"/>
        </w:rPr>
        <w:t>项目名称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项目的招标投标活动，代表本公司处理招标投标活动中的一切事宜。</w:t>
      </w:r>
    </w:p>
    <w:p>
      <w:pPr>
        <w:pStyle w:val="20"/>
        <w:ind w:firstLine="0"/>
        <w:rPr>
          <w:rFonts w:ascii="宋体" w:hAnsi="宋体" w:cs="宋体"/>
          <w:sz w:val="21"/>
          <w:szCs w:val="21"/>
          <w:highlight w:val="none"/>
          <w:u w:val="single"/>
        </w:rPr>
      </w:pPr>
      <w:r>
        <w:rPr>
          <w:rFonts w:hint="eastAsia" w:ascii="宋体" w:hAnsi="宋体" w:cs="宋体"/>
          <w:sz w:val="21"/>
          <w:szCs w:val="21"/>
          <w:highlight w:val="none"/>
        </w:rPr>
        <w:t xml:space="preserve">     本授权书于</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日签字生效,特此声明。</w:t>
      </w:r>
    </w:p>
    <w:p>
      <w:pPr>
        <w:pStyle w:val="20"/>
        <w:ind w:firstLine="0"/>
        <w:rPr>
          <w:rFonts w:ascii="宋体" w:hAnsi="宋体" w:cs="宋体"/>
          <w:sz w:val="21"/>
          <w:szCs w:val="21"/>
          <w:highlight w:val="none"/>
        </w:rPr>
      </w:pPr>
    </w:p>
    <w:p>
      <w:pPr>
        <w:pStyle w:val="20"/>
        <w:ind w:firstLine="0"/>
        <w:rPr>
          <w:rFonts w:ascii="宋体" w:hAnsi="宋体" w:cs="宋体"/>
          <w:sz w:val="21"/>
          <w:szCs w:val="21"/>
          <w:highlight w:val="none"/>
        </w:rPr>
      </w:pPr>
      <w:r>
        <w:rPr>
          <w:rFonts w:hint="eastAsia" w:ascii="宋体" w:hAnsi="宋体" w:cs="宋体"/>
          <w:sz w:val="21"/>
          <w:szCs w:val="21"/>
          <w:highlight w:val="none"/>
        </w:rPr>
        <w:t xml:space="preserve">                                          单位负责人（签字或印章）：</w:t>
      </w:r>
    </w:p>
    <w:p>
      <w:pPr>
        <w:pStyle w:val="20"/>
        <w:ind w:firstLine="0"/>
        <w:rPr>
          <w:rFonts w:ascii="宋体" w:hAnsi="宋体" w:cs="宋体"/>
          <w:sz w:val="21"/>
          <w:szCs w:val="21"/>
          <w:highlight w:val="none"/>
        </w:rPr>
      </w:pPr>
    </w:p>
    <w:p>
      <w:pPr>
        <w:pStyle w:val="20"/>
        <w:ind w:firstLine="0"/>
        <w:rPr>
          <w:rFonts w:ascii="宋体" w:hAnsi="宋体" w:cs="宋体"/>
          <w:sz w:val="21"/>
          <w:szCs w:val="21"/>
          <w:highlight w:val="none"/>
        </w:rPr>
      </w:pPr>
      <w:r>
        <w:rPr>
          <w:rFonts w:hint="eastAsia" w:ascii="宋体" w:hAnsi="宋体" w:cs="宋体"/>
          <w:sz w:val="21"/>
          <w:szCs w:val="21"/>
          <w:highlight w:val="none"/>
        </w:rPr>
        <w:t xml:space="preserve">                                          投标人单位全称（公章）：</w:t>
      </w:r>
    </w:p>
    <w:p>
      <w:pPr>
        <w:pStyle w:val="20"/>
        <w:ind w:firstLine="0"/>
        <w:rPr>
          <w:rFonts w:ascii="宋体" w:hAnsi="宋体" w:cs="宋体"/>
          <w:sz w:val="21"/>
          <w:szCs w:val="21"/>
          <w:highlight w:val="none"/>
        </w:rPr>
      </w:pPr>
    </w:p>
    <w:p>
      <w:pPr>
        <w:pStyle w:val="20"/>
        <w:ind w:firstLine="0"/>
        <w:rPr>
          <w:rFonts w:ascii="宋体" w:hAnsi="宋体" w:cs="宋体"/>
          <w:sz w:val="21"/>
          <w:szCs w:val="21"/>
          <w:highlight w:val="none"/>
        </w:rPr>
      </w:pPr>
      <w:r>
        <w:rPr>
          <w:rFonts w:hint="eastAsia" w:ascii="宋体" w:hAnsi="宋体" w:cs="宋体"/>
          <w:sz w:val="21"/>
          <w:szCs w:val="21"/>
          <w:highlight w:val="none"/>
        </w:rPr>
        <w:t xml:space="preserve">                                          日  期：</w:t>
      </w:r>
    </w:p>
    <w:p>
      <w:pPr>
        <w:pStyle w:val="20"/>
        <w:ind w:firstLine="0"/>
        <w:rPr>
          <w:rFonts w:ascii="宋体" w:hAnsi="宋体" w:cs="宋体"/>
          <w:sz w:val="21"/>
          <w:szCs w:val="21"/>
          <w:highlight w:val="none"/>
        </w:rPr>
      </w:pPr>
      <w:r>
        <w:rPr>
          <w:rFonts w:hint="eastAsia" w:ascii="宋体" w:hAnsi="宋体" w:cs="宋体"/>
          <w:sz w:val="21"/>
          <w:szCs w:val="21"/>
          <w:highlight w:val="none"/>
        </w:rPr>
        <w:t>附：</w:t>
      </w:r>
    </w:p>
    <w:p>
      <w:pPr>
        <w:pStyle w:val="20"/>
        <w:ind w:firstLine="0"/>
        <w:rPr>
          <w:rFonts w:ascii="宋体" w:hAnsi="宋体" w:cs="宋体"/>
          <w:sz w:val="21"/>
          <w:szCs w:val="21"/>
          <w:highlight w:val="none"/>
        </w:rPr>
      </w:pPr>
      <w:r>
        <w:rPr>
          <w:rFonts w:hint="eastAsia" w:ascii="宋体" w:hAnsi="宋体" w:cs="宋体"/>
          <w:sz w:val="21"/>
          <w:szCs w:val="21"/>
          <w:highlight w:val="none"/>
        </w:rPr>
        <w:t xml:space="preserve">  被授权代表姓名：（印刷体）</w:t>
      </w:r>
    </w:p>
    <w:p>
      <w:pPr>
        <w:pStyle w:val="20"/>
        <w:ind w:firstLine="0"/>
        <w:rPr>
          <w:rFonts w:ascii="宋体" w:hAnsi="宋体" w:cs="宋体"/>
          <w:sz w:val="21"/>
          <w:szCs w:val="21"/>
          <w:highlight w:val="none"/>
        </w:rPr>
      </w:pPr>
      <w:r>
        <w:rPr>
          <w:rFonts w:hint="eastAsia" w:ascii="宋体" w:hAnsi="宋体" w:cs="宋体"/>
          <w:sz w:val="21"/>
          <w:szCs w:val="21"/>
          <w:highlight w:val="none"/>
        </w:rPr>
        <w:t xml:space="preserve">  职          务：</w:t>
      </w:r>
    </w:p>
    <w:p>
      <w:pPr>
        <w:pStyle w:val="20"/>
        <w:ind w:firstLine="235"/>
        <w:rPr>
          <w:rFonts w:ascii="宋体" w:hAnsi="宋体" w:cs="宋体"/>
          <w:sz w:val="21"/>
          <w:szCs w:val="21"/>
          <w:highlight w:val="none"/>
        </w:rPr>
      </w:pPr>
      <w:r>
        <w:rPr>
          <w:rFonts w:hint="eastAsia" w:ascii="宋体" w:hAnsi="宋体" w:cs="宋体"/>
          <w:sz w:val="21"/>
          <w:szCs w:val="21"/>
          <w:highlight w:val="none"/>
        </w:rPr>
        <w:t>被授权代表签字：</w:t>
      </w:r>
    </w:p>
    <w:p>
      <w:pPr>
        <w:pStyle w:val="20"/>
        <w:ind w:firstLine="0"/>
        <w:rPr>
          <w:rFonts w:ascii="宋体" w:hAnsi="宋体" w:cs="宋体"/>
          <w:sz w:val="21"/>
          <w:szCs w:val="21"/>
          <w:highlight w:val="none"/>
        </w:rPr>
      </w:pPr>
      <w:r>
        <w:rPr>
          <w:rFonts w:hint="eastAsia" w:ascii="宋体" w:hAnsi="宋体" w:cs="宋体"/>
          <w:sz w:val="21"/>
          <w:szCs w:val="21"/>
          <w:highlight w:val="none"/>
        </w:rPr>
        <w:t xml:space="preserve">  详细通讯地址：</w:t>
      </w:r>
    </w:p>
    <w:p>
      <w:pPr>
        <w:pStyle w:val="20"/>
        <w:ind w:firstLine="0"/>
        <w:rPr>
          <w:rFonts w:ascii="宋体" w:hAnsi="宋体" w:cs="宋体"/>
          <w:sz w:val="21"/>
          <w:szCs w:val="21"/>
          <w:highlight w:val="none"/>
        </w:rPr>
      </w:pPr>
      <w:r>
        <w:rPr>
          <w:rFonts w:hint="eastAsia" w:ascii="宋体" w:hAnsi="宋体" w:cs="宋体"/>
          <w:sz w:val="21"/>
          <w:szCs w:val="21"/>
          <w:highlight w:val="none"/>
        </w:rPr>
        <w:t xml:space="preserve">  邮 政 编  码：</w:t>
      </w:r>
    </w:p>
    <w:p>
      <w:pPr>
        <w:pStyle w:val="20"/>
        <w:ind w:firstLine="0"/>
        <w:rPr>
          <w:rFonts w:ascii="宋体" w:hAnsi="宋体" w:cs="宋体"/>
          <w:sz w:val="21"/>
          <w:szCs w:val="21"/>
          <w:highlight w:val="none"/>
        </w:rPr>
      </w:pPr>
      <w:r>
        <w:rPr>
          <w:rFonts w:hint="eastAsia" w:ascii="宋体" w:hAnsi="宋体" w:cs="宋体"/>
          <w:sz w:val="21"/>
          <w:szCs w:val="21"/>
          <w:highlight w:val="none"/>
        </w:rPr>
        <w:t xml:space="preserve">  传        真：</w:t>
      </w:r>
    </w:p>
    <w:p>
      <w:pPr>
        <w:pStyle w:val="20"/>
        <w:ind w:firstLine="0"/>
        <w:rPr>
          <w:rFonts w:ascii="宋体" w:hAnsi="宋体" w:cs="宋体"/>
          <w:sz w:val="21"/>
          <w:szCs w:val="21"/>
          <w:highlight w:val="none"/>
        </w:rPr>
      </w:pPr>
      <w:r>
        <w:rPr>
          <w:rFonts w:hint="eastAsia" w:ascii="宋体" w:hAnsi="宋体" w:cs="宋体"/>
          <w:sz w:val="21"/>
          <w:szCs w:val="21"/>
          <w:highlight w:val="none"/>
        </w:rPr>
        <w:t xml:space="preserve">  电        话：</w:t>
      </w:r>
    </w:p>
    <w:p>
      <w:pPr>
        <w:ind w:firstLine="206" w:firstLineChars="98"/>
        <w:rPr>
          <w:rFonts w:ascii="宋体" w:hAnsi="宋体" w:cs="宋体"/>
          <w:b/>
          <w:szCs w:val="21"/>
          <w:highlight w:val="none"/>
        </w:rPr>
      </w:pPr>
      <w:r>
        <w:rPr>
          <w:rFonts w:hint="eastAsia" w:ascii="宋体" w:hAnsi="宋体" w:cs="宋体"/>
          <w:b/>
          <w:szCs w:val="21"/>
          <w:highlight w:val="none"/>
        </w:rPr>
        <w:t>附：单位负责人及被授权人身份证复印件</w:t>
      </w:r>
    </w:p>
    <w:p>
      <w:pPr>
        <w:widowControl/>
        <w:jc w:val="left"/>
        <w:rPr>
          <w:rFonts w:ascii="宋体" w:hAnsi="宋体" w:cs="宋体"/>
          <w:b/>
          <w:szCs w:val="21"/>
          <w:highlight w:val="none"/>
        </w:rPr>
      </w:pPr>
      <w:r>
        <w:rPr>
          <w:rFonts w:hint="eastAsia" w:ascii="宋体" w:hAnsi="宋体" w:cs="宋体"/>
          <w:b/>
          <w:szCs w:val="21"/>
          <w:highlight w:val="none"/>
        </w:rPr>
        <w:br w:type="page"/>
      </w:r>
    </w:p>
    <w:p>
      <w:pPr>
        <w:pStyle w:val="4"/>
        <w:spacing w:line="380" w:lineRule="exact"/>
        <w:rPr>
          <w:rFonts w:ascii="宋体" w:hAnsi="宋体" w:cs="宋体"/>
          <w:bCs w:val="0"/>
          <w:sz w:val="24"/>
          <w:szCs w:val="24"/>
          <w:highlight w:val="none"/>
        </w:rPr>
      </w:pPr>
      <w:r>
        <w:rPr>
          <w:rFonts w:hint="eastAsia" w:ascii="宋体" w:hAnsi="宋体" w:cs="宋体"/>
          <w:bCs w:val="0"/>
          <w:sz w:val="24"/>
          <w:szCs w:val="24"/>
          <w:highlight w:val="none"/>
        </w:rPr>
        <w:t>单位负责人身份证明</w:t>
      </w:r>
    </w:p>
    <w:p>
      <w:pPr>
        <w:pStyle w:val="20"/>
        <w:ind w:firstLine="0"/>
        <w:jc w:val="center"/>
        <w:rPr>
          <w:rFonts w:ascii="宋体" w:hAnsi="宋体" w:cs="宋体"/>
          <w:bCs/>
          <w:sz w:val="24"/>
          <w:highlight w:val="none"/>
        </w:rPr>
      </w:pPr>
      <w:r>
        <w:rPr>
          <w:rFonts w:hint="eastAsia" w:ascii="宋体" w:hAnsi="宋体" w:cs="宋体"/>
          <w:bCs/>
          <w:sz w:val="24"/>
          <w:highlight w:val="none"/>
        </w:rPr>
        <w:t>（单位负责人不来投标的，此表不用）</w:t>
      </w:r>
    </w:p>
    <w:p>
      <w:pPr>
        <w:spacing w:line="480" w:lineRule="auto"/>
        <w:ind w:firstLine="424" w:firstLineChars="200"/>
        <w:rPr>
          <w:rFonts w:ascii="宋体" w:hAnsi="宋体" w:cs="宋体"/>
          <w:szCs w:val="21"/>
          <w:highlight w:val="none"/>
        </w:rPr>
      </w:pP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周岁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pPr>
        <w:spacing w:line="480" w:lineRule="auto"/>
        <w:ind w:firstLine="424" w:firstLineChars="200"/>
        <w:rPr>
          <w:rFonts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（投标人名称）的法定代表人（或单位负责人）。</w:t>
      </w:r>
    </w:p>
    <w:p>
      <w:pPr>
        <w:spacing w:line="480" w:lineRule="auto"/>
        <w:ind w:firstLine="848" w:firstLineChars="400"/>
        <w:rPr>
          <w:rFonts w:ascii="宋体" w:hAnsi="宋体" w:cs="宋体"/>
          <w:szCs w:val="21"/>
          <w:highlight w:val="none"/>
        </w:rPr>
      </w:pPr>
      <w:r>
        <w:rPr>
          <w:rFonts w:hint="eastAsia" w:ascii="宋体" w:hAnsi="宋体" w:cs="宋体"/>
          <w:szCs w:val="21"/>
          <w:highlight w:val="none"/>
        </w:rPr>
        <w:t>特此证明。</w:t>
      </w:r>
    </w:p>
    <w:p>
      <w:pPr>
        <w:spacing w:line="360" w:lineRule="auto"/>
        <w:ind w:firstLine="424" w:firstLineChars="200"/>
        <w:rPr>
          <w:rFonts w:ascii="宋体" w:hAnsi="宋体" w:cs="宋体"/>
          <w:szCs w:val="21"/>
          <w:highlight w:val="none"/>
        </w:rPr>
      </w:pPr>
    </w:p>
    <w:p>
      <w:pPr>
        <w:spacing w:line="360" w:lineRule="auto"/>
        <w:ind w:firstLine="424" w:firstLineChars="200"/>
        <w:rPr>
          <w:rFonts w:ascii="宋体" w:hAnsi="宋体" w:cs="宋体"/>
          <w:szCs w:val="21"/>
          <w:highlight w:val="none"/>
        </w:rPr>
      </w:pPr>
    </w:p>
    <w:p>
      <w:pPr>
        <w:wordWrap w:val="0"/>
        <w:spacing w:line="360" w:lineRule="auto"/>
        <w:jc w:val="right"/>
        <w:rPr>
          <w:rFonts w:ascii="宋体" w:hAnsi="宋体" w:cs="宋体"/>
          <w:szCs w:val="21"/>
          <w:highlight w:val="none"/>
        </w:rPr>
      </w:pPr>
      <w:r>
        <w:rPr>
          <w:rFonts w:hint="eastAsia" w:ascii="宋体" w:hAnsi="宋体" w:cs="宋体"/>
          <w:szCs w:val="21"/>
          <w:highlight w:val="none"/>
        </w:rPr>
        <w:t>投标人：</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pPr>
        <w:spacing w:line="360" w:lineRule="auto"/>
        <w:ind w:firstLine="4558" w:firstLineChars="2150"/>
        <w:rPr>
          <w:rFonts w:ascii="宋体" w:hAnsi="宋体" w:cs="宋体"/>
          <w:szCs w:val="21"/>
          <w:highlight w:val="none"/>
          <w:u w:val="single"/>
        </w:rPr>
      </w:pPr>
    </w:p>
    <w:p>
      <w:pPr>
        <w:spacing w:line="360" w:lineRule="auto"/>
        <w:ind w:firstLine="3710" w:firstLineChars="175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rPr>
          <w:rFonts w:ascii="宋体" w:hAnsi="宋体" w:cs="宋体"/>
          <w:sz w:val="24"/>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附单位负责人身份证复印件（正反面）：</w:t>
      </w:r>
    </w:p>
    <w:p>
      <w:pPr>
        <w:rPr>
          <w:rFonts w:ascii="宋体" w:hAnsi="宋体" w:cs="宋体"/>
          <w:highlight w:val="none"/>
        </w:rPr>
      </w:pPr>
    </w:p>
    <w:p>
      <w:pPr>
        <w:rPr>
          <w:highlight w:val="none"/>
        </w:rPr>
      </w:pPr>
    </w:p>
    <w:p>
      <w:pPr>
        <w:rPr>
          <w:highlight w:val="none"/>
        </w:rPr>
      </w:pPr>
    </w:p>
    <w:p>
      <w:pPr>
        <w:rPr>
          <w:highlight w:val="none"/>
        </w:rPr>
      </w:pPr>
      <w:bookmarkStart w:id="290" w:name="_Toc520902412"/>
    </w:p>
    <w:p>
      <w:pPr>
        <w:rPr>
          <w:highlight w:val="none"/>
        </w:rPr>
      </w:pPr>
    </w:p>
    <w:p>
      <w:pPr>
        <w:rPr>
          <w:highlight w:val="none"/>
        </w:rPr>
      </w:pPr>
      <w:r>
        <w:rPr>
          <w:highlight w:val="none"/>
        </w:rPr>
        <w:br w:type="page"/>
      </w:r>
    </w:p>
    <w:p>
      <w:pPr>
        <w:pStyle w:val="4"/>
        <w:spacing w:line="380" w:lineRule="exact"/>
        <w:rPr>
          <w:rFonts w:ascii="宋体" w:hAnsi="宋体" w:cs="宋体"/>
          <w:bCs w:val="0"/>
          <w:sz w:val="24"/>
          <w:szCs w:val="24"/>
          <w:highlight w:val="none"/>
        </w:rPr>
      </w:pPr>
      <w:r>
        <w:rPr>
          <w:rFonts w:hint="eastAsia" w:ascii="宋体" w:hAnsi="宋体" w:cs="宋体"/>
          <w:bCs w:val="0"/>
          <w:sz w:val="24"/>
          <w:szCs w:val="24"/>
          <w:highlight w:val="none"/>
        </w:rPr>
        <w:t>（三）</w:t>
      </w:r>
      <w:bookmarkEnd w:id="290"/>
      <w:r>
        <w:rPr>
          <w:rFonts w:hint="eastAsia" w:ascii="宋体" w:hAnsi="宋体" w:cs="宋体"/>
          <w:bCs w:val="0"/>
          <w:sz w:val="24"/>
          <w:szCs w:val="24"/>
          <w:highlight w:val="none"/>
        </w:rPr>
        <w:t>投标单位情况一览表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trPr>
          <w:trHeight w:val="613" w:hRule="atLeast"/>
          <w:jc w:val="center"/>
        </w:trPr>
        <w:tc>
          <w:tcPr>
            <w:tcW w:w="2061" w:type="dxa"/>
            <w:vAlign w:val="center"/>
          </w:tcPr>
          <w:p>
            <w:pPr>
              <w:pStyle w:val="89"/>
              <w:jc w:val="center"/>
              <w:rPr>
                <w:rFonts w:cs="宋体"/>
                <w:sz w:val="24"/>
                <w:szCs w:val="24"/>
                <w:highlight w:val="none"/>
                <w:lang w:val="en-US"/>
              </w:rPr>
            </w:pPr>
            <w:r>
              <w:rPr>
                <w:rFonts w:hint="eastAsia" w:cs="宋体"/>
                <w:sz w:val="24"/>
                <w:szCs w:val="24"/>
                <w:highlight w:val="none"/>
                <w:lang w:val="en-US"/>
              </w:rPr>
              <w:t>投标人名称</w:t>
            </w:r>
          </w:p>
        </w:tc>
        <w:tc>
          <w:tcPr>
            <w:tcW w:w="7149" w:type="dxa"/>
            <w:gridSpan w:val="8"/>
            <w:vAlign w:val="center"/>
          </w:tcPr>
          <w:p>
            <w:pPr>
              <w:pStyle w:val="89"/>
              <w:jc w:val="center"/>
              <w:rPr>
                <w:rFonts w:cs="宋体"/>
                <w:sz w:val="24"/>
                <w:szCs w:val="24"/>
                <w:highlight w:val="none"/>
                <w:lang w:val="en-US"/>
              </w:rPr>
            </w:pPr>
          </w:p>
        </w:tc>
      </w:tr>
      <w:tr>
        <w:trPr>
          <w:trHeight w:val="608" w:hRule="atLeast"/>
          <w:jc w:val="center"/>
        </w:trPr>
        <w:tc>
          <w:tcPr>
            <w:tcW w:w="2061" w:type="dxa"/>
            <w:vAlign w:val="center"/>
          </w:tcPr>
          <w:p>
            <w:pPr>
              <w:pStyle w:val="89"/>
              <w:jc w:val="center"/>
              <w:rPr>
                <w:rFonts w:cs="宋体"/>
                <w:sz w:val="24"/>
                <w:szCs w:val="24"/>
                <w:highlight w:val="none"/>
                <w:lang w:val="en-US"/>
              </w:rPr>
            </w:pPr>
            <w:r>
              <w:rPr>
                <w:rFonts w:hint="eastAsia" w:cs="宋体"/>
                <w:sz w:val="24"/>
                <w:szCs w:val="24"/>
                <w:highlight w:val="none"/>
                <w:lang w:val="en-US"/>
              </w:rPr>
              <w:t>注册地址</w:t>
            </w:r>
          </w:p>
        </w:tc>
        <w:tc>
          <w:tcPr>
            <w:tcW w:w="3347" w:type="dxa"/>
            <w:gridSpan w:val="3"/>
            <w:vAlign w:val="center"/>
          </w:tcPr>
          <w:p>
            <w:pPr>
              <w:pStyle w:val="89"/>
              <w:jc w:val="center"/>
              <w:rPr>
                <w:rFonts w:cs="宋体"/>
                <w:sz w:val="24"/>
                <w:szCs w:val="24"/>
                <w:highlight w:val="none"/>
                <w:lang w:val="en-US"/>
              </w:rPr>
            </w:pPr>
          </w:p>
        </w:tc>
        <w:tc>
          <w:tcPr>
            <w:tcW w:w="1268" w:type="dxa"/>
            <w:gridSpan w:val="2"/>
            <w:vAlign w:val="center"/>
          </w:tcPr>
          <w:p>
            <w:pPr>
              <w:pStyle w:val="89"/>
              <w:jc w:val="center"/>
              <w:rPr>
                <w:rFonts w:cs="宋体"/>
                <w:sz w:val="24"/>
                <w:szCs w:val="24"/>
                <w:highlight w:val="none"/>
                <w:lang w:val="en-US"/>
              </w:rPr>
            </w:pPr>
            <w:r>
              <w:rPr>
                <w:rFonts w:hint="eastAsia" w:cs="宋体"/>
                <w:sz w:val="24"/>
                <w:szCs w:val="24"/>
                <w:highlight w:val="none"/>
                <w:lang w:val="en-US"/>
              </w:rPr>
              <w:t>邮政编码</w:t>
            </w:r>
          </w:p>
        </w:tc>
        <w:tc>
          <w:tcPr>
            <w:tcW w:w="2534" w:type="dxa"/>
            <w:gridSpan w:val="3"/>
            <w:vAlign w:val="center"/>
          </w:tcPr>
          <w:p>
            <w:pPr>
              <w:pStyle w:val="89"/>
              <w:jc w:val="center"/>
              <w:rPr>
                <w:rFonts w:cs="宋体"/>
                <w:sz w:val="24"/>
                <w:szCs w:val="24"/>
                <w:highlight w:val="none"/>
                <w:lang w:val="en-US"/>
              </w:rPr>
            </w:pPr>
          </w:p>
        </w:tc>
      </w:tr>
      <w:tr>
        <w:trPr>
          <w:cantSplit/>
          <w:trHeight w:val="602" w:hRule="atLeast"/>
          <w:jc w:val="center"/>
        </w:trPr>
        <w:tc>
          <w:tcPr>
            <w:tcW w:w="2061" w:type="dxa"/>
            <w:vMerge w:val="restart"/>
            <w:vAlign w:val="center"/>
          </w:tcPr>
          <w:p>
            <w:pPr>
              <w:pStyle w:val="89"/>
              <w:jc w:val="center"/>
              <w:rPr>
                <w:rFonts w:cs="宋体"/>
                <w:sz w:val="24"/>
                <w:szCs w:val="24"/>
                <w:highlight w:val="none"/>
                <w:lang w:val="en-US"/>
              </w:rPr>
            </w:pPr>
            <w:r>
              <w:rPr>
                <w:rFonts w:hint="eastAsia" w:cs="宋体"/>
                <w:sz w:val="24"/>
                <w:szCs w:val="24"/>
                <w:highlight w:val="none"/>
                <w:lang w:val="en-US"/>
              </w:rPr>
              <w:t>联系方式</w:t>
            </w:r>
          </w:p>
        </w:tc>
        <w:tc>
          <w:tcPr>
            <w:tcW w:w="851" w:type="dxa"/>
            <w:vAlign w:val="center"/>
          </w:tcPr>
          <w:p>
            <w:pPr>
              <w:pStyle w:val="89"/>
              <w:jc w:val="center"/>
              <w:rPr>
                <w:rFonts w:cs="宋体"/>
                <w:sz w:val="24"/>
                <w:szCs w:val="24"/>
                <w:highlight w:val="none"/>
                <w:lang w:val="en-US"/>
              </w:rPr>
            </w:pPr>
            <w:r>
              <w:rPr>
                <w:rFonts w:hint="eastAsia" w:cs="宋体"/>
                <w:sz w:val="24"/>
                <w:szCs w:val="24"/>
                <w:highlight w:val="none"/>
                <w:lang w:val="en-US"/>
              </w:rPr>
              <w:t>联系人</w:t>
            </w:r>
          </w:p>
        </w:tc>
        <w:tc>
          <w:tcPr>
            <w:tcW w:w="2496" w:type="dxa"/>
            <w:gridSpan w:val="2"/>
            <w:vAlign w:val="center"/>
          </w:tcPr>
          <w:p>
            <w:pPr>
              <w:pStyle w:val="89"/>
              <w:jc w:val="center"/>
              <w:rPr>
                <w:rFonts w:cs="宋体"/>
                <w:sz w:val="24"/>
                <w:szCs w:val="24"/>
                <w:highlight w:val="none"/>
                <w:lang w:val="en-US"/>
              </w:rPr>
            </w:pPr>
          </w:p>
        </w:tc>
        <w:tc>
          <w:tcPr>
            <w:tcW w:w="1268" w:type="dxa"/>
            <w:gridSpan w:val="2"/>
            <w:vAlign w:val="center"/>
          </w:tcPr>
          <w:p>
            <w:pPr>
              <w:pStyle w:val="89"/>
              <w:jc w:val="center"/>
              <w:rPr>
                <w:rFonts w:cs="宋体"/>
                <w:sz w:val="24"/>
                <w:szCs w:val="24"/>
                <w:highlight w:val="none"/>
                <w:lang w:val="en-US"/>
              </w:rPr>
            </w:pPr>
            <w:r>
              <w:rPr>
                <w:rFonts w:hint="eastAsia" w:cs="宋体"/>
                <w:sz w:val="24"/>
                <w:szCs w:val="24"/>
                <w:highlight w:val="none"/>
                <w:lang w:val="en-US"/>
              </w:rPr>
              <w:t>电话</w:t>
            </w:r>
          </w:p>
        </w:tc>
        <w:tc>
          <w:tcPr>
            <w:tcW w:w="2534" w:type="dxa"/>
            <w:gridSpan w:val="3"/>
            <w:vAlign w:val="center"/>
          </w:tcPr>
          <w:p>
            <w:pPr>
              <w:pStyle w:val="89"/>
              <w:jc w:val="center"/>
              <w:rPr>
                <w:rFonts w:cs="宋体"/>
                <w:sz w:val="24"/>
                <w:szCs w:val="24"/>
                <w:highlight w:val="none"/>
                <w:lang w:val="en-US"/>
              </w:rPr>
            </w:pPr>
          </w:p>
        </w:tc>
      </w:tr>
      <w:tr>
        <w:trPr>
          <w:cantSplit/>
          <w:trHeight w:val="468" w:hRule="atLeast"/>
          <w:jc w:val="center"/>
        </w:trPr>
        <w:tc>
          <w:tcPr>
            <w:tcW w:w="2061" w:type="dxa"/>
            <w:vMerge w:val="continue"/>
            <w:vAlign w:val="center"/>
          </w:tcPr>
          <w:p>
            <w:pPr>
              <w:pStyle w:val="89"/>
              <w:jc w:val="center"/>
              <w:rPr>
                <w:rFonts w:cs="宋体"/>
                <w:sz w:val="24"/>
                <w:szCs w:val="24"/>
                <w:highlight w:val="none"/>
                <w:lang w:val="en-US"/>
              </w:rPr>
            </w:pPr>
          </w:p>
        </w:tc>
        <w:tc>
          <w:tcPr>
            <w:tcW w:w="851" w:type="dxa"/>
            <w:vAlign w:val="center"/>
          </w:tcPr>
          <w:p>
            <w:pPr>
              <w:pStyle w:val="89"/>
              <w:jc w:val="center"/>
              <w:rPr>
                <w:rFonts w:cs="宋体"/>
                <w:sz w:val="24"/>
                <w:szCs w:val="24"/>
                <w:highlight w:val="none"/>
                <w:lang w:val="en-US"/>
              </w:rPr>
            </w:pPr>
            <w:r>
              <w:rPr>
                <w:rFonts w:hint="eastAsia" w:cs="宋体"/>
                <w:sz w:val="24"/>
                <w:szCs w:val="24"/>
                <w:highlight w:val="none"/>
                <w:lang w:val="en-US"/>
              </w:rPr>
              <w:t>传真</w:t>
            </w:r>
          </w:p>
        </w:tc>
        <w:tc>
          <w:tcPr>
            <w:tcW w:w="2496" w:type="dxa"/>
            <w:gridSpan w:val="2"/>
            <w:vAlign w:val="center"/>
          </w:tcPr>
          <w:p>
            <w:pPr>
              <w:pStyle w:val="89"/>
              <w:jc w:val="center"/>
              <w:rPr>
                <w:rFonts w:cs="宋体"/>
                <w:sz w:val="24"/>
                <w:szCs w:val="24"/>
                <w:highlight w:val="none"/>
                <w:lang w:val="en-US"/>
              </w:rPr>
            </w:pPr>
          </w:p>
        </w:tc>
        <w:tc>
          <w:tcPr>
            <w:tcW w:w="1268" w:type="dxa"/>
            <w:gridSpan w:val="2"/>
            <w:vAlign w:val="center"/>
          </w:tcPr>
          <w:p>
            <w:pPr>
              <w:pStyle w:val="89"/>
              <w:jc w:val="center"/>
              <w:rPr>
                <w:rFonts w:cs="宋体"/>
                <w:sz w:val="24"/>
                <w:szCs w:val="24"/>
                <w:highlight w:val="none"/>
                <w:lang w:val="en-US"/>
              </w:rPr>
            </w:pPr>
            <w:r>
              <w:rPr>
                <w:rFonts w:hint="eastAsia" w:cs="宋体"/>
                <w:sz w:val="24"/>
                <w:szCs w:val="24"/>
                <w:highlight w:val="none"/>
                <w:lang w:val="en-US"/>
              </w:rPr>
              <w:t>电子邮址</w:t>
            </w:r>
          </w:p>
        </w:tc>
        <w:tc>
          <w:tcPr>
            <w:tcW w:w="2534" w:type="dxa"/>
            <w:gridSpan w:val="3"/>
            <w:vAlign w:val="center"/>
          </w:tcPr>
          <w:p>
            <w:pPr>
              <w:pStyle w:val="89"/>
              <w:jc w:val="center"/>
              <w:rPr>
                <w:rFonts w:cs="宋体"/>
                <w:sz w:val="24"/>
                <w:szCs w:val="24"/>
                <w:highlight w:val="none"/>
                <w:lang w:val="en-US"/>
              </w:rPr>
            </w:pPr>
          </w:p>
        </w:tc>
      </w:tr>
      <w:tr>
        <w:trPr>
          <w:trHeight w:val="596" w:hRule="atLeast"/>
          <w:jc w:val="center"/>
        </w:trPr>
        <w:tc>
          <w:tcPr>
            <w:tcW w:w="2061" w:type="dxa"/>
            <w:vAlign w:val="center"/>
          </w:tcPr>
          <w:p>
            <w:pPr>
              <w:pStyle w:val="89"/>
              <w:jc w:val="center"/>
              <w:rPr>
                <w:rFonts w:cs="宋体"/>
                <w:sz w:val="24"/>
                <w:szCs w:val="24"/>
                <w:highlight w:val="none"/>
                <w:lang w:val="en-US"/>
              </w:rPr>
            </w:pPr>
            <w:r>
              <w:rPr>
                <w:rFonts w:hint="eastAsia" w:cs="宋体"/>
                <w:sz w:val="24"/>
                <w:szCs w:val="24"/>
                <w:highlight w:val="none"/>
                <w:lang w:val="en-US"/>
              </w:rPr>
              <w:t>法定代表人</w:t>
            </w:r>
          </w:p>
        </w:tc>
        <w:tc>
          <w:tcPr>
            <w:tcW w:w="851" w:type="dxa"/>
            <w:vAlign w:val="center"/>
          </w:tcPr>
          <w:p>
            <w:pPr>
              <w:pStyle w:val="89"/>
              <w:jc w:val="center"/>
              <w:rPr>
                <w:rFonts w:cs="宋体"/>
                <w:sz w:val="24"/>
                <w:szCs w:val="24"/>
                <w:highlight w:val="none"/>
                <w:lang w:val="en-US"/>
              </w:rPr>
            </w:pPr>
            <w:r>
              <w:rPr>
                <w:rFonts w:hint="eastAsia" w:cs="宋体"/>
                <w:sz w:val="24"/>
                <w:szCs w:val="24"/>
                <w:highlight w:val="none"/>
                <w:lang w:val="en-US"/>
              </w:rPr>
              <w:t>姓名</w:t>
            </w:r>
          </w:p>
        </w:tc>
        <w:tc>
          <w:tcPr>
            <w:tcW w:w="1276" w:type="dxa"/>
            <w:vAlign w:val="center"/>
          </w:tcPr>
          <w:p>
            <w:pPr>
              <w:pStyle w:val="89"/>
              <w:jc w:val="center"/>
              <w:rPr>
                <w:rFonts w:cs="宋体"/>
                <w:sz w:val="24"/>
                <w:szCs w:val="24"/>
                <w:highlight w:val="none"/>
                <w:lang w:val="en-US"/>
              </w:rPr>
            </w:pPr>
          </w:p>
        </w:tc>
        <w:tc>
          <w:tcPr>
            <w:tcW w:w="1220" w:type="dxa"/>
            <w:vAlign w:val="center"/>
          </w:tcPr>
          <w:p>
            <w:pPr>
              <w:pStyle w:val="89"/>
              <w:jc w:val="center"/>
              <w:rPr>
                <w:rFonts w:cs="宋体"/>
                <w:sz w:val="24"/>
                <w:szCs w:val="24"/>
                <w:highlight w:val="none"/>
                <w:lang w:val="en-US"/>
              </w:rPr>
            </w:pPr>
            <w:r>
              <w:rPr>
                <w:rFonts w:hint="eastAsia" w:cs="宋体"/>
                <w:sz w:val="24"/>
                <w:szCs w:val="24"/>
                <w:highlight w:val="none"/>
                <w:lang w:val="en-US"/>
              </w:rPr>
              <w:t>技术职称</w:t>
            </w:r>
          </w:p>
        </w:tc>
        <w:tc>
          <w:tcPr>
            <w:tcW w:w="1268" w:type="dxa"/>
            <w:gridSpan w:val="2"/>
            <w:vAlign w:val="center"/>
          </w:tcPr>
          <w:p>
            <w:pPr>
              <w:pStyle w:val="89"/>
              <w:jc w:val="center"/>
              <w:rPr>
                <w:rFonts w:cs="宋体"/>
                <w:sz w:val="24"/>
                <w:szCs w:val="24"/>
                <w:highlight w:val="none"/>
                <w:lang w:val="en-US"/>
              </w:rPr>
            </w:pPr>
          </w:p>
        </w:tc>
        <w:tc>
          <w:tcPr>
            <w:tcW w:w="794" w:type="dxa"/>
            <w:vAlign w:val="center"/>
          </w:tcPr>
          <w:p>
            <w:pPr>
              <w:pStyle w:val="89"/>
              <w:jc w:val="center"/>
              <w:rPr>
                <w:rFonts w:cs="宋体"/>
                <w:sz w:val="24"/>
                <w:szCs w:val="24"/>
                <w:highlight w:val="none"/>
                <w:lang w:val="en-US"/>
              </w:rPr>
            </w:pPr>
            <w:r>
              <w:rPr>
                <w:rFonts w:hint="eastAsia" w:cs="宋体"/>
                <w:sz w:val="24"/>
                <w:szCs w:val="24"/>
                <w:highlight w:val="none"/>
                <w:lang w:val="en-US"/>
              </w:rPr>
              <w:t>电话</w:t>
            </w:r>
          </w:p>
        </w:tc>
        <w:tc>
          <w:tcPr>
            <w:tcW w:w="1740" w:type="dxa"/>
            <w:gridSpan w:val="2"/>
            <w:vAlign w:val="center"/>
          </w:tcPr>
          <w:p>
            <w:pPr>
              <w:pStyle w:val="89"/>
              <w:jc w:val="center"/>
              <w:rPr>
                <w:rFonts w:cs="宋体"/>
                <w:sz w:val="24"/>
                <w:szCs w:val="24"/>
                <w:highlight w:val="none"/>
                <w:lang w:val="en-US"/>
              </w:rPr>
            </w:pPr>
          </w:p>
        </w:tc>
      </w:tr>
      <w:tr>
        <w:trPr>
          <w:trHeight w:val="632" w:hRule="atLeast"/>
          <w:jc w:val="center"/>
        </w:trPr>
        <w:tc>
          <w:tcPr>
            <w:tcW w:w="2061" w:type="dxa"/>
            <w:vAlign w:val="center"/>
          </w:tcPr>
          <w:p>
            <w:pPr>
              <w:pStyle w:val="89"/>
              <w:jc w:val="center"/>
              <w:rPr>
                <w:rFonts w:cs="宋体"/>
                <w:sz w:val="24"/>
                <w:szCs w:val="24"/>
                <w:highlight w:val="none"/>
                <w:lang w:val="en-US"/>
              </w:rPr>
            </w:pPr>
            <w:r>
              <w:rPr>
                <w:rFonts w:hint="eastAsia" w:cs="宋体"/>
                <w:sz w:val="24"/>
                <w:szCs w:val="24"/>
                <w:highlight w:val="none"/>
                <w:lang w:val="en-US"/>
              </w:rPr>
              <w:t>技术负责人</w:t>
            </w:r>
          </w:p>
        </w:tc>
        <w:tc>
          <w:tcPr>
            <w:tcW w:w="851" w:type="dxa"/>
            <w:vAlign w:val="center"/>
          </w:tcPr>
          <w:p>
            <w:pPr>
              <w:pStyle w:val="89"/>
              <w:jc w:val="center"/>
              <w:rPr>
                <w:rFonts w:cs="宋体"/>
                <w:sz w:val="24"/>
                <w:szCs w:val="24"/>
                <w:highlight w:val="none"/>
                <w:lang w:val="en-US"/>
              </w:rPr>
            </w:pPr>
            <w:r>
              <w:rPr>
                <w:rFonts w:hint="eastAsia" w:cs="宋体"/>
                <w:sz w:val="24"/>
                <w:szCs w:val="24"/>
                <w:highlight w:val="none"/>
                <w:lang w:val="en-US"/>
              </w:rPr>
              <w:t>姓名</w:t>
            </w:r>
          </w:p>
        </w:tc>
        <w:tc>
          <w:tcPr>
            <w:tcW w:w="1276" w:type="dxa"/>
            <w:vAlign w:val="center"/>
          </w:tcPr>
          <w:p>
            <w:pPr>
              <w:pStyle w:val="89"/>
              <w:jc w:val="center"/>
              <w:rPr>
                <w:rFonts w:cs="宋体"/>
                <w:sz w:val="24"/>
                <w:szCs w:val="24"/>
                <w:highlight w:val="none"/>
                <w:lang w:val="en-US"/>
              </w:rPr>
            </w:pPr>
          </w:p>
        </w:tc>
        <w:tc>
          <w:tcPr>
            <w:tcW w:w="1220" w:type="dxa"/>
            <w:vAlign w:val="center"/>
          </w:tcPr>
          <w:p>
            <w:pPr>
              <w:pStyle w:val="89"/>
              <w:jc w:val="center"/>
              <w:rPr>
                <w:rFonts w:cs="宋体"/>
                <w:sz w:val="24"/>
                <w:szCs w:val="24"/>
                <w:highlight w:val="none"/>
                <w:lang w:val="en-US"/>
              </w:rPr>
            </w:pPr>
            <w:r>
              <w:rPr>
                <w:rFonts w:hint="eastAsia" w:cs="宋体"/>
                <w:sz w:val="24"/>
                <w:szCs w:val="24"/>
                <w:highlight w:val="none"/>
                <w:lang w:val="en-US"/>
              </w:rPr>
              <w:t>技术职称</w:t>
            </w:r>
          </w:p>
        </w:tc>
        <w:tc>
          <w:tcPr>
            <w:tcW w:w="1268" w:type="dxa"/>
            <w:gridSpan w:val="2"/>
            <w:vAlign w:val="center"/>
          </w:tcPr>
          <w:p>
            <w:pPr>
              <w:pStyle w:val="89"/>
              <w:jc w:val="center"/>
              <w:rPr>
                <w:rFonts w:cs="宋体"/>
                <w:sz w:val="24"/>
                <w:szCs w:val="24"/>
                <w:highlight w:val="none"/>
                <w:lang w:val="en-US"/>
              </w:rPr>
            </w:pPr>
          </w:p>
        </w:tc>
        <w:tc>
          <w:tcPr>
            <w:tcW w:w="794" w:type="dxa"/>
            <w:vAlign w:val="center"/>
          </w:tcPr>
          <w:p>
            <w:pPr>
              <w:pStyle w:val="89"/>
              <w:jc w:val="center"/>
              <w:rPr>
                <w:rFonts w:cs="宋体"/>
                <w:sz w:val="24"/>
                <w:szCs w:val="24"/>
                <w:highlight w:val="none"/>
                <w:lang w:val="en-US"/>
              </w:rPr>
            </w:pPr>
            <w:r>
              <w:rPr>
                <w:rFonts w:hint="eastAsia" w:cs="宋体"/>
                <w:sz w:val="24"/>
                <w:szCs w:val="24"/>
                <w:highlight w:val="none"/>
                <w:lang w:val="en-US"/>
              </w:rPr>
              <w:t>电话</w:t>
            </w:r>
          </w:p>
        </w:tc>
        <w:tc>
          <w:tcPr>
            <w:tcW w:w="1740" w:type="dxa"/>
            <w:gridSpan w:val="2"/>
            <w:vAlign w:val="center"/>
          </w:tcPr>
          <w:p>
            <w:pPr>
              <w:pStyle w:val="89"/>
              <w:jc w:val="center"/>
              <w:rPr>
                <w:rFonts w:cs="宋体"/>
                <w:sz w:val="24"/>
                <w:szCs w:val="24"/>
                <w:highlight w:val="none"/>
                <w:lang w:val="en-US"/>
              </w:rPr>
            </w:pPr>
          </w:p>
        </w:tc>
      </w:tr>
      <w:tr>
        <w:trPr>
          <w:trHeight w:val="599" w:hRule="atLeast"/>
          <w:jc w:val="center"/>
        </w:trPr>
        <w:tc>
          <w:tcPr>
            <w:tcW w:w="2061" w:type="dxa"/>
            <w:vAlign w:val="center"/>
          </w:tcPr>
          <w:p>
            <w:pPr>
              <w:pStyle w:val="89"/>
              <w:jc w:val="center"/>
              <w:rPr>
                <w:rFonts w:cs="宋体"/>
                <w:sz w:val="24"/>
                <w:szCs w:val="24"/>
                <w:highlight w:val="none"/>
                <w:lang w:val="en-US"/>
              </w:rPr>
            </w:pPr>
            <w:r>
              <w:rPr>
                <w:rFonts w:hint="eastAsia" w:cs="宋体"/>
                <w:sz w:val="24"/>
                <w:szCs w:val="24"/>
                <w:highlight w:val="none"/>
                <w:lang w:val="en-US"/>
              </w:rPr>
              <w:t>成立时间</w:t>
            </w:r>
          </w:p>
        </w:tc>
        <w:tc>
          <w:tcPr>
            <w:tcW w:w="3347" w:type="dxa"/>
            <w:gridSpan w:val="3"/>
            <w:vAlign w:val="center"/>
          </w:tcPr>
          <w:p>
            <w:pPr>
              <w:pStyle w:val="89"/>
              <w:jc w:val="center"/>
              <w:rPr>
                <w:rFonts w:cs="宋体"/>
                <w:sz w:val="24"/>
                <w:szCs w:val="24"/>
                <w:highlight w:val="none"/>
                <w:lang w:val="en-US"/>
              </w:rPr>
            </w:pPr>
          </w:p>
        </w:tc>
        <w:tc>
          <w:tcPr>
            <w:tcW w:w="3802" w:type="dxa"/>
            <w:gridSpan w:val="5"/>
            <w:vAlign w:val="center"/>
          </w:tcPr>
          <w:p>
            <w:pPr>
              <w:jc w:val="center"/>
              <w:rPr>
                <w:rFonts w:ascii="宋体" w:hAnsi="宋体" w:cs="宋体"/>
                <w:sz w:val="24"/>
                <w:szCs w:val="24"/>
                <w:highlight w:val="none"/>
              </w:rPr>
            </w:pPr>
            <w:r>
              <w:rPr>
                <w:rFonts w:hint="eastAsia" w:ascii="宋体" w:hAnsi="宋体" w:cs="宋体"/>
                <w:sz w:val="24"/>
                <w:szCs w:val="24"/>
                <w:highlight w:val="none"/>
              </w:rPr>
              <w:t>员工总人数：</w:t>
            </w:r>
          </w:p>
        </w:tc>
      </w:tr>
      <w:tr>
        <w:trPr>
          <w:cantSplit/>
          <w:trHeight w:val="497" w:hRule="atLeast"/>
          <w:jc w:val="center"/>
        </w:trPr>
        <w:tc>
          <w:tcPr>
            <w:tcW w:w="2061" w:type="dxa"/>
            <w:vMerge w:val="restart"/>
            <w:vAlign w:val="center"/>
          </w:tcPr>
          <w:p>
            <w:pPr>
              <w:pStyle w:val="89"/>
              <w:jc w:val="center"/>
              <w:rPr>
                <w:rFonts w:cs="宋体"/>
                <w:sz w:val="24"/>
                <w:szCs w:val="24"/>
                <w:highlight w:val="none"/>
                <w:lang w:val="en-US"/>
              </w:rPr>
            </w:pPr>
            <w:r>
              <w:rPr>
                <w:rFonts w:hint="eastAsia" w:cs="宋体"/>
                <w:sz w:val="24"/>
                <w:szCs w:val="24"/>
                <w:highlight w:val="none"/>
                <w:lang w:val="en-US"/>
              </w:rPr>
              <w:t>资质资格与业务范围</w:t>
            </w:r>
          </w:p>
        </w:tc>
        <w:tc>
          <w:tcPr>
            <w:tcW w:w="3347" w:type="dxa"/>
            <w:gridSpan w:val="3"/>
            <w:vMerge w:val="restart"/>
            <w:vAlign w:val="center"/>
          </w:tcPr>
          <w:p>
            <w:pPr>
              <w:pStyle w:val="89"/>
              <w:jc w:val="center"/>
              <w:rPr>
                <w:rFonts w:cs="宋体"/>
                <w:sz w:val="24"/>
                <w:szCs w:val="24"/>
                <w:highlight w:val="none"/>
                <w:lang w:val="en-US"/>
              </w:rPr>
            </w:pPr>
          </w:p>
        </w:tc>
        <w:tc>
          <w:tcPr>
            <w:tcW w:w="892" w:type="dxa"/>
            <w:vMerge w:val="restart"/>
            <w:vAlign w:val="center"/>
          </w:tcPr>
          <w:p>
            <w:pPr>
              <w:pStyle w:val="89"/>
              <w:jc w:val="center"/>
              <w:rPr>
                <w:rFonts w:cs="宋体"/>
                <w:sz w:val="24"/>
                <w:szCs w:val="24"/>
                <w:highlight w:val="none"/>
                <w:lang w:val="en-US"/>
              </w:rPr>
            </w:pPr>
            <w:r>
              <w:rPr>
                <w:rFonts w:hint="eastAsia" w:cs="宋体"/>
                <w:sz w:val="24"/>
                <w:szCs w:val="24"/>
                <w:highlight w:val="none"/>
                <w:lang w:val="en-US"/>
              </w:rPr>
              <w:t>其中</w:t>
            </w:r>
          </w:p>
        </w:tc>
        <w:tc>
          <w:tcPr>
            <w:tcW w:w="1715" w:type="dxa"/>
            <w:gridSpan w:val="3"/>
            <w:vAlign w:val="center"/>
          </w:tcPr>
          <w:p>
            <w:pPr>
              <w:pStyle w:val="89"/>
              <w:jc w:val="center"/>
              <w:rPr>
                <w:rFonts w:cs="宋体"/>
                <w:sz w:val="24"/>
                <w:szCs w:val="24"/>
                <w:highlight w:val="none"/>
                <w:lang w:val="en-US"/>
              </w:rPr>
            </w:pPr>
            <w:r>
              <w:rPr>
                <w:rFonts w:hint="eastAsia" w:cs="宋体"/>
                <w:sz w:val="24"/>
                <w:szCs w:val="24"/>
                <w:highlight w:val="none"/>
                <w:lang w:val="en-US"/>
              </w:rPr>
              <w:t>高级职称</w:t>
            </w:r>
          </w:p>
        </w:tc>
        <w:tc>
          <w:tcPr>
            <w:tcW w:w="1195" w:type="dxa"/>
            <w:vAlign w:val="center"/>
          </w:tcPr>
          <w:p>
            <w:pPr>
              <w:pStyle w:val="89"/>
              <w:jc w:val="center"/>
              <w:rPr>
                <w:rFonts w:cs="宋体"/>
                <w:sz w:val="24"/>
                <w:szCs w:val="24"/>
                <w:highlight w:val="none"/>
                <w:lang w:val="en-US"/>
              </w:rPr>
            </w:pPr>
          </w:p>
        </w:tc>
      </w:tr>
      <w:tr>
        <w:trPr>
          <w:cantSplit/>
          <w:trHeight w:val="405" w:hRule="atLeast"/>
          <w:jc w:val="center"/>
        </w:trPr>
        <w:tc>
          <w:tcPr>
            <w:tcW w:w="2061" w:type="dxa"/>
            <w:vMerge w:val="continue"/>
            <w:vAlign w:val="center"/>
          </w:tcPr>
          <w:p>
            <w:pPr>
              <w:pStyle w:val="89"/>
              <w:jc w:val="center"/>
              <w:rPr>
                <w:rFonts w:cs="宋体"/>
                <w:sz w:val="24"/>
                <w:szCs w:val="24"/>
                <w:highlight w:val="none"/>
                <w:lang w:val="en-US"/>
              </w:rPr>
            </w:pPr>
          </w:p>
        </w:tc>
        <w:tc>
          <w:tcPr>
            <w:tcW w:w="3347" w:type="dxa"/>
            <w:gridSpan w:val="3"/>
            <w:vMerge w:val="continue"/>
            <w:vAlign w:val="center"/>
          </w:tcPr>
          <w:p>
            <w:pPr>
              <w:pStyle w:val="89"/>
              <w:jc w:val="center"/>
              <w:rPr>
                <w:rFonts w:cs="宋体"/>
                <w:sz w:val="24"/>
                <w:szCs w:val="24"/>
                <w:highlight w:val="none"/>
                <w:lang w:val="en-US"/>
              </w:rPr>
            </w:pPr>
          </w:p>
        </w:tc>
        <w:tc>
          <w:tcPr>
            <w:tcW w:w="892" w:type="dxa"/>
            <w:vMerge w:val="continue"/>
            <w:vAlign w:val="center"/>
          </w:tcPr>
          <w:p>
            <w:pPr>
              <w:pStyle w:val="89"/>
              <w:jc w:val="center"/>
              <w:rPr>
                <w:rFonts w:cs="宋体"/>
                <w:sz w:val="24"/>
                <w:szCs w:val="24"/>
                <w:highlight w:val="none"/>
                <w:lang w:val="en-US"/>
              </w:rPr>
            </w:pPr>
          </w:p>
        </w:tc>
        <w:tc>
          <w:tcPr>
            <w:tcW w:w="1715" w:type="dxa"/>
            <w:gridSpan w:val="3"/>
            <w:vAlign w:val="center"/>
          </w:tcPr>
          <w:p>
            <w:pPr>
              <w:pStyle w:val="89"/>
              <w:jc w:val="center"/>
              <w:rPr>
                <w:rFonts w:cs="宋体"/>
                <w:sz w:val="24"/>
                <w:szCs w:val="24"/>
                <w:highlight w:val="none"/>
                <w:lang w:val="en-US"/>
              </w:rPr>
            </w:pPr>
            <w:r>
              <w:rPr>
                <w:rFonts w:hint="eastAsia" w:cs="宋体"/>
                <w:sz w:val="24"/>
                <w:szCs w:val="24"/>
                <w:highlight w:val="none"/>
                <w:lang w:val="en-US"/>
              </w:rPr>
              <w:t>中级职称</w:t>
            </w:r>
          </w:p>
        </w:tc>
        <w:tc>
          <w:tcPr>
            <w:tcW w:w="1195" w:type="dxa"/>
            <w:vAlign w:val="center"/>
          </w:tcPr>
          <w:p>
            <w:pPr>
              <w:pStyle w:val="89"/>
              <w:jc w:val="center"/>
              <w:rPr>
                <w:rFonts w:cs="宋体"/>
                <w:sz w:val="24"/>
                <w:szCs w:val="24"/>
                <w:highlight w:val="none"/>
                <w:lang w:val="en-US"/>
              </w:rPr>
            </w:pPr>
          </w:p>
        </w:tc>
      </w:tr>
      <w:tr>
        <w:trPr>
          <w:cantSplit/>
          <w:trHeight w:val="770" w:hRule="atLeast"/>
          <w:jc w:val="center"/>
        </w:trPr>
        <w:tc>
          <w:tcPr>
            <w:tcW w:w="2061" w:type="dxa"/>
            <w:vAlign w:val="center"/>
          </w:tcPr>
          <w:p>
            <w:pPr>
              <w:pStyle w:val="89"/>
              <w:jc w:val="center"/>
              <w:rPr>
                <w:rFonts w:cs="宋体"/>
                <w:sz w:val="24"/>
                <w:szCs w:val="24"/>
                <w:highlight w:val="none"/>
                <w:lang w:val="en-US"/>
              </w:rPr>
            </w:pPr>
            <w:r>
              <w:rPr>
                <w:rFonts w:hint="eastAsia" w:cs="宋体"/>
                <w:sz w:val="24"/>
                <w:szCs w:val="24"/>
                <w:highlight w:val="none"/>
                <w:lang w:val="en-US"/>
              </w:rPr>
              <w:t>营业执照号</w:t>
            </w:r>
          </w:p>
        </w:tc>
        <w:tc>
          <w:tcPr>
            <w:tcW w:w="3347" w:type="dxa"/>
            <w:gridSpan w:val="3"/>
            <w:vAlign w:val="center"/>
          </w:tcPr>
          <w:p>
            <w:pPr>
              <w:pStyle w:val="89"/>
              <w:jc w:val="center"/>
              <w:rPr>
                <w:rFonts w:cs="宋体"/>
                <w:sz w:val="24"/>
                <w:szCs w:val="24"/>
                <w:highlight w:val="none"/>
                <w:lang w:val="en-US"/>
              </w:rPr>
            </w:pPr>
          </w:p>
        </w:tc>
        <w:tc>
          <w:tcPr>
            <w:tcW w:w="892" w:type="dxa"/>
            <w:vMerge w:val="continue"/>
            <w:vAlign w:val="center"/>
          </w:tcPr>
          <w:p>
            <w:pPr>
              <w:pStyle w:val="89"/>
              <w:jc w:val="center"/>
              <w:rPr>
                <w:rFonts w:cs="宋体"/>
                <w:sz w:val="24"/>
                <w:szCs w:val="24"/>
                <w:highlight w:val="none"/>
                <w:lang w:val="en-US"/>
              </w:rPr>
            </w:pPr>
          </w:p>
        </w:tc>
        <w:tc>
          <w:tcPr>
            <w:tcW w:w="1715" w:type="dxa"/>
            <w:gridSpan w:val="3"/>
            <w:vAlign w:val="center"/>
          </w:tcPr>
          <w:p>
            <w:pPr>
              <w:pStyle w:val="89"/>
              <w:jc w:val="center"/>
              <w:rPr>
                <w:rFonts w:cs="宋体"/>
                <w:sz w:val="24"/>
                <w:szCs w:val="24"/>
                <w:highlight w:val="none"/>
                <w:lang w:val="en-US"/>
              </w:rPr>
            </w:pPr>
            <w:r>
              <w:rPr>
                <w:rFonts w:hint="eastAsia" w:cs="宋体"/>
                <w:sz w:val="24"/>
                <w:szCs w:val="24"/>
                <w:highlight w:val="none"/>
                <w:lang w:val="en-US"/>
              </w:rPr>
              <w:t>各类注册人员</w:t>
            </w:r>
          </w:p>
        </w:tc>
        <w:tc>
          <w:tcPr>
            <w:tcW w:w="1195" w:type="dxa"/>
            <w:vAlign w:val="center"/>
          </w:tcPr>
          <w:p>
            <w:pPr>
              <w:pStyle w:val="89"/>
              <w:jc w:val="center"/>
              <w:rPr>
                <w:rFonts w:cs="宋体"/>
                <w:sz w:val="24"/>
                <w:szCs w:val="24"/>
                <w:highlight w:val="none"/>
                <w:lang w:val="en-US"/>
              </w:rPr>
            </w:pPr>
          </w:p>
        </w:tc>
      </w:tr>
      <w:tr>
        <w:trPr>
          <w:trHeight w:val="609" w:hRule="atLeast"/>
          <w:jc w:val="center"/>
        </w:trPr>
        <w:tc>
          <w:tcPr>
            <w:tcW w:w="2061" w:type="dxa"/>
            <w:vAlign w:val="center"/>
          </w:tcPr>
          <w:p>
            <w:pPr>
              <w:pStyle w:val="89"/>
              <w:jc w:val="center"/>
              <w:rPr>
                <w:rFonts w:cs="宋体"/>
                <w:sz w:val="24"/>
                <w:szCs w:val="24"/>
                <w:highlight w:val="none"/>
                <w:lang w:val="en-US"/>
              </w:rPr>
            </w:pPr>
            <w:r>
              <w:rPr>
                <w:rFonts w:hint="eastAsia" w:cs="宋体"/>
                <w:sz w:val="24"/>
                <w:szCs w:val="24"/>
                <w:highlight w:val="none"/>
                <w:lang w:val="en-US"/>
              </w:rPr>
              <w:t>注册资金</w:t>
            </w:r>
          </w:p>
        </w:tc>
        <w:tc>
          <w:tcPr>
            <w:tcW w:w="7149" w:type="dxa"/>
            <w:gridSpan w:val="8"/>
            <w:vAlign w:val="center"/>
          </w:tcPr>
          <w:p>
            <w:pPr>
              <w:pStyle w:val="89"/>
              <w:jc w:val="center"/>
              <w:rPr>
                <w:rFonts w:cs="宋体"/>
                <w:sz w:val="24"/>
                <w:szCs w:val="24"/>
                <w:highlight w:val="none"/>
                <w:lang w:val="en-US"/>
              </w:rPr>
            </w:pPr>
          </w:p>
        </w:tc>
      </w:tr>
      <w:tr>
        <w:trPr>
          <w:trHeight w:val="609" w:hRule="atLeast"/>
          <w:jc w:val="center"/>
        </w:trPr>
        <w:tc>
          <w:tcPr>
            <w:tcW w:w="2061" w:type="dxa"/>
            <w:vAlign w:val="center"/>
          </w:tcPr>
          <w:p>
            <w:pPr>
              <w:pStyle w:val="89"/>
              <w:jc w:val="center"/>
              <w:rPr>
                <w:rFonts w:cs="宋体"/>
                <w:sz w:val="24"/>
                <w:szCs w:val="24"/>
                <w:highlight w:val="none"/>
                <w:lang w:val="en-US"/>
              </w:rPr>
            </w:pPr>
            <w:r>
              <w:rPr>
                <w:rFonts w:hint="eastAsia" w:cs="宋体"/>
                <w:sz w:val="24"/>
                <w:szCs w:val="24"/>
                <w:highlight w:val="none"/>
                <w:lang w:val="en-US"/>
              </w:rPr>
              <w:t>基本账户开户银行</w:t>
            </w:r>
          </w:p>
        </w:tc>
        <w:tc>
          <w:tcPr>
            <w:tcW w:w="7149" w:type="dxa"/>
            <w:gridSpan w:val="8"/>
            <w:vAlign w:val="center"/>
          </w:tcPr>
          <w:p>
            <w:pPr>
              <w:pStyle w:val="89"/>
              <w:jc w:val="center"/>
              <w:rPr>
                <w:rFonts w:cs="宋体"/>
                <w:sz w:val="24"/>
                <w:szCs w:val="24"/>
                <w:highlight w:val="none"/>
                <w:lang w:val="en-US"/>
              </w:rPr>
            </w:pPr>
          </w:p>
        </w:tc>
      </w:tr>
      <w:tr>
        <w:trPr>
          <w:trHeight w:val="609" w:hRule="atLeast"/>
          <w:jc w:val="center"/>
        </w:trPr>
        <w:tc>
          <w:tcPr>
            <w:tcW w:w="2061" w:type="dxa"/>
            <w:vAlign w:val="center"/>
          </w:tcPr>
          <w:p>
            <w:pPr>
              <w:pStyle w:val="89"/>
              <w:jc w:val="center"/>
              <w:rPr>
                <w:rFonts w:cs="宋体"/>
                <w:sz w:val="24"/>
                <w:szCs w:val="24"/>
                <w:highlight w:val="none"/>
                <w:lang w:val="en-US"/>
              </w:rPr>
            </w:pPr>
            <w:r>
              <w:rPr>
                <w:rFonts w:hint="eastAsia" w:cs="宋体"/>
                <w:sz w:val="24"/>
                <w:szCs w:val="24"/>
                <w:highlight w:val="none"/>
                <w:lang w:val="en-US"/>
              </w:rPr>
              <w:t>基本账户账号</w:t>
            </w:r>
          </w:p>
        </w:tc>
        <w:tc>
          <w:tcPr>
            <w:tcW w:w="7149" w:type="dxa"/>
            <w:gridSpan w:val="8"/>
            <w:vAlign w:val="center"/>
          </w:tcPr>
          <w:p>
            <w:pPr>
              <w:pStyle w:val="89"/>
              <w:jc w:val="center"/>
              <w:rPr>
                <w:rFonts w:cs="宋体"/>
                <w:sz w:val="24"/>
                <w:szCs w:val="24"/>
                <w:highlight w:val="none"/>
                <w:lang w:val="en-US"/>
              </w:rPr>
            </w:pPr>
          </w:p>
        </w:tc>
      </w:tr>
      <w:tr>
        <w:trPr>
          <w:trHeight w:val="1815" w:hRule="atLeast"/>
          <w:jc w:val="center"/>
        </w:trPr>
        <w:tc>
          <w:tcPr>
            <w:tcW w:w="2061" w:type="dxa"/>
            <w:vAlign w:val="center"/>
          </w:tcPr>
          <w:p>
            <w:pPr>
              <w:pStyle w:val="89"/>
              <w:jc w:val="center"/>
              <w:rPr>
                <w:rFonts w:cs="宋体"/>
                <w:sz w:val="24"/>
                <w:szCs w:val="24"/>
                <w:highlight w:val="none"/>
                <w:lang w:val="en-US"/>
              </w:rPr>
            </w:pPr>
            <w:r>
              <w:rPr>
                <w:rFonts w:hint="eastAsia" w:cs="宋体"/>
                <w:sz w:val="24"/>
                <w:szCs w:val="24"/>
                <w:highlight w:val="none"/>
                <w:lang w:val="en-US"/>
              </w:rPr>
              <w:t>经营范围</w:t>
            </w:r>
          </w:p>
        </w:tc>
        <w:tc>
          <w:tcPr>
            <w:tcW w:w="7149" w:type="dxa"/>
            <w:gridSpan w:val="8"/>
            <w:vAlign w:val="center"/>
          </w:tcPr>
          <w:p>
            <w:pPr>
              <w:pStyle w:val="89"/>
              <w:jc w:val="center"/>
              <w:rPr>
                <w:rFonts w:cs="宋体"/>
                <w:sz w:val="24"/>
                <w:szCs w:val="24"/>
                <w:highlight w:val="none"/>
                <w:lang w:val="en-US"/>
              </w:rPr>
            </w:pPr>
          </w:p>
        </w:tc>
      </w:tr>
      <w:tr>
        <w:trPr>
          <w:trHeight w:val="610" w:hRule="atLeast"/>
          <w:jc w:val="center"/>
        </w:trPr>
        <w:tc>
          <w:tcPr>
            <w:tcW w:w="2061" w:type="dxa"/>
            <w:vAlign w:val="center"/>
          </w:tcPr>
          <w:p>
            <w:pPr>
              <w:pStyle w:val="89"/>
              <w:jc w:val="center"/>
              <w:rPr>
                <w:rFonts w:cs="宋体"/>
                <w:sz w:val="24"/>
                <w:szCs w:val="24"/>
                <w:highlight w:val="none"/>
                <w:lang w:val="en-US"/>
              </w:rPr>
            </w:pPr>
            <w:r>
              <w:rPr>
                <w:rFonts w:hint="eastAsia" w:cs="宋体"/>
                <w:sz w:val="24"/>
                <w:szCs w:val="24"/>
                <w:highlight w:val="none"/>
                <w:lang w:val="en-US"/>
              </w:rPr>
              <w:t>备注</w:t>
            </w:r>
          </w:p>
        </w:tc>
        <w:tc>
          <w:tcPr>
            <w:tcW w:w="7149" w:type="dxa"/>
            <w:gridSpan w:val="8"/>
            <w:vAlign w:val="center"/>
          </w:tcPr>
          <w:p>
            <w:pPr>
              <w:pStyle w:val="89"/>
              <w:jc w:val="center"/>
              <w:rPr>
                <w:rFonts w:cs="宋体"/>
                <w:sz w:val="24"/>
                <w:szCs w:val="24"/>
                <w:highlight w:val="none"/>
                <w:lang w:val="en-US"/>
              </w:rPr>
            </w:pPr>
          </w:p>
        </w:tc>
      </w:tr>
    </w:tbl>
    <w:p>
      <w:pPr>
        <w:spacing w:line="380" w:lineRule="exact"/>
        <w:rPr>
          <w:rFonts w:ascii="宋体" w:hAnsi="宋体" w:cs="宋体"/>
          <w:sz w:val="22"/>
          <w:szCs w:val="22"/>
          <w:highlight w:val="none"/>
        </w:rPr>
      </w:pPr>
    </w:p>
    <w:p>
      <w:pPr>
        <w:spacing w:line="380" w:lineRule="exact"/>
        <w:rPr>
          <w:rFonts w:ascii="宋体" w:hAnsi="宋体" w:cs="宋体"/>
          <w:sz w:val="22"/>
          <w:szCs w:val="22"/>
          <w:highlight w:val="none"/>
        </w:rPr>
      </w:pPr>
      <w:r>
        <w:rPr>
          <w:rFonts w:hint="eastAsia" w:ascii="宋体" w:hAnsi="宋体" w:cs="宋体"/>
          <w:sz w:val="22"/>
          <w:szCs w:val="22"/>
          <w:highlight w:val="none"/>
        </w:rPr>
        <w:t>投标人（公章）：</w:t>
      </w:r>
    </w:p>
    <w:p>
      <w:pPr>
        <w:spacing w:line="380" w:lineRule="exact"/>
        <w:rPr>
          <w:rFonts w:ascii="宋体" w:hAnsi="宋体" w:cs="宋体"/>
          <w:sz w:val="22"/>
          <w:szCs w:val="22"/>
          <w:highlight w:val="none"/>
          <w:u w:val="single"/>
        </w:rPr>
      </w:pPr>
      <w:r>
        <w:rPr>
          <w:rFonts w:hint="eastAsia" w:ascii="宋体" w:hAnsi="宋体" w:cs="宋体"/>
          <w:sz w:val="22"/>
          <w:szCs w:val="22"/>
          <w:highlight w:val="none"/>
        </w:rPr>
        <w:t>投标人代表（签字或印章）：</w:t>
      </w:r>
    </w:p>
    <w:p>
      <w:pPr>
        <w:spacing w:line="380" w:lineRule="exact"/>
        <w:rPr>
          <w:rFonts w:ascii="宋体" w:hAnsi="宋体" w:cs="宋体"/>
          <w:sz w:val="22"/>
          <w:szCs w:val="22"/>
          <w:highlight w:val="none"/>
          <w:u w:val="single"/>
        </w:rPr>
      </w:pPr>
      <w:r>
        <w:rPr>
          <w:rFonts w:hint="eastAsia" w:ascii="宋体" w:hAnsi="宋体" w:cs="宋体"/>
          <w:sz w:val="22"/>
          <w:szCs w:val="22"/>
          <w:highlight w:val="none"/>
        </w:rPr>
        <w:t>日期：</w:t>
      </w:r>
    </w:p>
    <w:p>
      <w:pPr>
        <w:rPr>
          <w:rFonts w:ascii="宋体" w:hAnsi="宋体" w:cs="宋体"/>
          <w:b/>
          <w:bCs/>
          <w:highlight w:val="none"/>
        </w:rPr>
      </w:pPr>
      <w:r>
        <w:rPr>
          <w:rFonts w:hint="eastAsia" w:ascii="宋体" w:hAnsi="宋体" w:cs="宋体"/>
          <w:b/>
          <w:bCs/>
          <w:szCs w:val="21"/>
          <w:highlight w:val="none"/>
        </w:rPr>
        <w:t>注：（若联合体投标的，联合体各方均须提供）</w:t>
      </w:r>
    </w:p>
    <w:p>
      <w:pPr>
        <w:pStyle w:val="4"/>
        <w:spacing w:line="380" w:lineRule="exact"/>
        <w:rPr>
          <w:rFonts w:ascii="宋体" w:hAnsi="宋体" w:cs="宋体"/>
          <w:sz w:val="24"/>
          <w:szCs w:val="24"/>
          <w:highlight w:val="none"/>
        </w:rPr>
      </w:pPr>
      <w:bookmarkStart w:id="291" w:name="_Toc497935752"/>
      <w:bookmarkStart w:id="292" w:name="_Toc520902414"/>
      <w:bookmarkStart w:id="293" w:name="_Toc316649308"/>
      <w:bookmarkStart w:id="294" w:name="_Toc481153681"/>
      <w:bookmarkStart w:id="295" w:name="_Toc502819359"/>
      <w:r>
        <w:rPr>
          <w:rFonts w:hint="eastAsia" w:ascii="宋体" w:hAnsi="宋体" w:cs="宋体"/>
          <w:sz w:val="24"/>
          <w:szCs w:val="24"/>
          <w:highlight w:val="none"/>
        </w:rPr>
        <w:t>（四）技术条款偏离表</w:t>
      </w:r>
      <w:bookmarkEnd w:id="291"/>
      <w:bookmarkEnd w:id="292"/>
      <w:bookmarkEnd w:id="293"/>
      <w:bookmarkEnd w:id="294"/>
      <w:bookmarkEnd w:id="295"/>
    </w:p>
    <w:p>
      <w:pPr>
        <w:spacing w:line="380" w:lineRule="exact"/>
        <w:rPr>
          <w:rFonts w:ascii="宋体" w:hAnsi="宋体" w:cs="宋体"/>
          <w:szCs w:val="21"/>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rPr>
          <w:trHeight w:val="780" w:hRule="exact"/>
          <w:jc w:val="center"/>
        </w:trPr>
        <w:tc>
          <w:tcPr>
            <w:tcW w:w="794"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3360"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招标文件技术要求</w:t>
            </w:r>
          </w:p>
        </w:tc>
        <w:tc>
          <w:tcPr>
            <w:tcW w:w="2908"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投标文件对应规格</w:t>
            </w:r>
          </w:p>
        </w:tc>
        <w:tc>
          <w:tcPr>
            <w:tcW w:w="1578"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说明</w:t>
            </w:r>
          </w:p>
        </w:tc>
      </w:tr>
      <w:tr>
        <w:trPr>
          <w:trHeight w:val="780" w:hRule="exact"/>
          <w:jc w:val="center"/>
        </w:trPr>
        <w:tc>
          <w:tcPr>
            <w:tcW w:w="794" w:type="dxa"/>
            <w:vAlign w:val="center"/>
          </w:tcPr>
          <w:p>
            <w:pPr>
              <w:spacing w:line="380" w:lineRule="exact"/>
              <w:jc w:val="center"/>
              <w:rPr>
                <w:rFonts w:ascii="宋体" w:hAnsi="宋体" w:cs="宋体"/>
                <w:sz w:val="22"/>
                <w:szCs w:val="22"/>
                <w:highlight w:val="none"/>
              </w:rPr>
            </w:pPr>
          </w:p>
        </w:tc>
        <w:tc>
          <w:tcPr>
            <w:tcW w:w="3360" w:type="dxa"/>
            <w:vAlign w:val="center"/>
          </w:tcPr>
          <w:p>
            <w:pPr>
              <w:spacing w:line="380" w:lineRule="exact"/>
              <w:jc w:val="center"/>
              <w:rPr>
                <w:rFonts w:ascii="宋体" w:hAnsi="宋体" w:cs="宋体"/>
                <w:sz w:val="22"/>
                <w:szCs w:val="22"/>
                <w:highlight w:val="none"/>
              </w:rPr>
            </w:pPr>
          </w:p>
        </w:tc>
        <w:tc>
          <w:tcPr>
            <w:tcW w:w="2908" w:type="dxa"/>
            <w:vAlign w:val="center"/>
          </w:tcPr>
          <w:p>
            <w:pPr>
              <w:spacing w:line="380" w:lineRule="exact"/>
              <w:jc w:val="center"/>
              <w:rPr>
                <w:rFonts w:ascii="宋体" w:hAnsi="宋体" w:cs="宋体"/>
                <w:sz w:val="22"/>
                <w:szCs w:val="22"/>
                <w:highlight w:val="none"/>
              </w:rPr>
            </w:pPr>
          </w:p>
        </w:tc>
        <w:tc>
          <w:tcPr>
            <w:tcW w:w="1578" w:type="dxa"/>
            <w:vAlign w:val="center"/>
          </w:tcPr>
          <w:p>
            <w:pPr>
              <w:spacing w:line="380" w:lineRule="exact"/>
              <w:jc w:val="center"/>
              <w:rPr>
                <w:rFonts w:ascii="宋体" w:hAnsi="宋体" w:cs="宋体"/>
                <w:sz w:val="22"/>
                <w:szCs w:val="22"/>
                <w:highlight w:val="none"/>
              </w:rPr>
            </w:pPr>
          </w:p>
        </w:tc>
      </w:tr>
      <w:tr>
        <w:trPr>
          <w:trHeight w:val="780" w:hRule="exact"/>
          <w:jc w:val="center"/>
        </w:trPr>
        <w:tc>
          <w:tcPr>
            <w:tcW w:w="794" w:type="dxa"/>
            <w:vAlign w:val="center"/>
          </w:tcPr>
          <w:p>
            <w:pPr>
              <w:spacing w:line="380" w:lineRule="exact"/>
              <w:jc w:val="center"/>
              <w:rPr>
                <w:rFonts w:ascii="宋体" w:hAnsi="宋体" w:cs="宋体"/>
                <w:sz w:val="22"/>
                <w:szCs w:val="22"/>
                <w:highlight w:val="none"/>
              </w:rPr>
            </w:pPr>
          </w:p>
        </w:tc>
        <w:tc>
          <w:tcPr>
            <w:tcW w:w="3360" w:type="dxa"/>
            <w:vAlign w:val="center"/>
          </w:tcPr>
          <w:p>
            <w:pPr>
              <w:spacing w:line="380" w:lineRule="exact"/>
              <w:jc w:val="center"/>
              <w:rPr>
                <w:rFonts w:ascii="宋体" w:hAnsi="宋体" w:cs="宋体"/>
                <w:sz w:val="22"/>
                <w:szCs w:val="22"/>
                <w:highlight w:val="none"/>
              </w:rPr>
            </w:pPr>
          </w:p>
        </w:tc>
        <w:tc>
          <w:tcPr>
            <w:tcW w:w="2908" w:type="dxa"/>
            <w:vAlign w:val="center"/>
          </w:tcPr>
          <w:p>
            <w:pPr>
              <w:spacing w:line="380" w:lineRule="exact"/>
              <w:jc w:val="center"/>
              <w:rPr>
                <w:rFonts w:ascii="宋体" w:hAnsi="宋体" w:cs="宋体"/>
                <w:sz w:val="22"/>
                <w:szCs w:val="22"/>
                <w:highlight w:val="none"/>
              </w:rPr>
            </w:pPr>
          </w:p>
        </w:tc>
        <w:tc>
          <w:tcPr>
            <w:tcW w:w="1578" w:type="dxa"/>
            <w:vAlign w:val="center"/>
          </w:tcPr>
          <w:p>
            <w:pPr>
              <w:spacing w:line="380" w:lineRule="exact"/>
              <w:jc w:val="center"/>
              <w:rPr>
                <w:rFonts w:ascii="宋体" w:hAnsi="宋体" w:cs="宋体"/>
                <w:sz w:val="22"/>
                <w:szCs w:val="22"/>
                <w:highlight w:val="none"/>
              </w:rPr>
            </w:pPr>
          </w:p>
        </w:tc>
      </w:tr>
      <w:tr>
        <w:trPr>
          <w:trHeight w:val="780" w:hRule="exact"/>
          <w:jc w:val="center"/>
        </w:trPr>
        <w:tc>
          <w:tcPr>
            <w:tcW w:w="794" w:type="dxa"/>
            <w:vAlign w:val="center"/>
          </w:tcPr>
          <w:p>
            <w:pPr>
              <w:spacing w:line="380" w:lineRule="exact"/>
              <w:jc w:val="center"/>
              <w:rPr>
                <w:rFonts w:ascii="宋体" w:hAnsi="宋体" w:cs="宋体"/>
                <w:sz w:val="22"/>
                <w:szCs w:val="22"/>
                <w:highlight w:val="none"/>
              </w:rPr>
            </w:pPr>
          </w:p>
        </w:tc>
        <w:tc>
          <w:tcPr>
            <w:tcW w:w="3360" w:type="dxa"/>
            <w:vAlign w:val="center"/>
          </w:tcPr>
          <w:p>
            <w:pPr>
              <w:spacing w:line="380" w:lineRule="exact"/>
              <w:jc w:val="center"/>
              <w:rPr>
                <w:rFonts w:ascii="宋体" w:hAnsi="宋体" w:cs="宋体"/>
                <w:sz w:val="22"/>
                <w:szCs w:val="22"/>
                <w:highlight w:val="none"/>
              </w:rPr>
            </w:pPr>
          </w:p>
        </w:tc>
        <w:tc>
          <w:tcPr>
            <w:tcW w:w="2908" w:type="dxa"/>
            <w:vAlign w:val="center"/>
          </w:tcPr>
          <w:p>
            <w:pPr>
              <w:spacing w:line="380" w:lineRule="exact"/>
              <w:jc w:val="center"/>
              <w:rPr>
                <w:rFonts w:ascii="宋体" w:hAnsi="宋体" w:cs="宋体"/>
                <w:sz w:val="22"/>
                <w:szCs w:val="22"/>
                <w:highlight w:val="none"/>
              </w:rPr>
            </w:pPr>
          </w:p>
        </w:tc>
        <w:tc>
          <w:tcPr>
            <w:tcW w:w="1578" w:type="dxa"/>
            <w:vAlign w:val="center"/>
          </w:tcPr>
          <w:p>
            <w:pPr>
              <w:spacing w:line="380" w:lineRule="exact"/>
              <w:jc w:val="center"/>
              <w:rPr>
                <w:rFonts w:ascii="宋体" w:hAnsi="宋体" w:cs="宋体"/>
                <w:sz w:val="22"/>
                <w:szCs w:val="22"/>
                <w:highlight w:val="none"/>
              </w:rPr>
            </w:pPr>
          </w:p>
        </w:tc>
      </w:tr>
    </w:tbl>
    <w:p>
      <w:pPr>
        <w:spacing w:line="400" w:lineRule="exact"/>
        <w:rPr>
          <w:rFonts w:ascii="宋体" w:hAnsi="宋体" w:cs="宋体"/>
          <w:szCs w:val="21"/>
          <w:highlight w:val="none"/>
        </w:rPr>
      </w:pPr>
      <w:r>
        <w:rPr>
          <w:rFonts w:hint="eastAsia" w:ascii="宋体" w:hAnsi="宋体" w:cs="宋体"/>
          <w:szCs w:val="21"/>
          <w:highlight w:val="none"/>
        </w:rPr>
        <w:t>注：1.须与招标文件第二部分“招标项目需求”中“技术要求”逐项比较填写。</w:t>
      </w:r>
    </w:p>
    <w:p>
      <w:pPr>
        <w:spacing w:line="380" w:lineRule="exact"/>
        <w:rPr>
          <w:rFonts w:ascii="宋体" w:hAnsi="宋体" w:cs="宋体"/>
          <w:szCs w:val="21"/>
          <w:highlight w:val="none"/>
        </w:rPr>
      </w:pPr>
      <w:r>
        <w:rPr>
          <w:rFonts w:hint="eastAsia" w:ascii="宋体" w:hAnsi="宋体" w:cs="宋体"/>
          <w:szCs w:val="21"/>
          <w:highlight w:val="none"/>
        </w:rPr>
        <w:t>2.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pStyle w:val="36"/>
        <w:ind w:firstLine="405"/>
        <w:rPr>
          <w:rFonts w:ascii="宋体" w:hAnsi="宋体" w:cs="宋体"/>
          <w:highlight w:val="none"/>
        </w:rPr>
      </w:pPr>
    </w:p>
    <w:p>
      <w:pPr>
        <w:spacing w:line="380" w:lineRule="exact"/>
        <w:rPr>
          <w:rFonts w:ascii="宋体" w:hAnsi="宋体" w:cs="宋体"/>
          <w:sz w:val="22"/>
          <w:szCs w:val="22"/>
          <w:highlight w:val="none"/>
        </w:rPr>
      </w:pPr>
      <w:r>
        <w:rPr>
          <w:rFonts w:hint="eastAsia" w:ascii="宋体" w:hAnsi="宋体" w:cs="宋体"/>
          <w:sz w:val="22"/>
          <w:szCs w:val="22"/>
          <w:highlight w:val="none"/>
        </w:rPr>
        <w:t>投标人（公章）：</w:t>
      </w:r>
    </w:p>
    <w:p>
      <w:pPr>
        <w:spacing w:line="380" w:lineRule="exact"/>
        <w:rPr>
          <w:rFonts w:ascii="宋体" w:hAnsi="宋体" w:cs="宋体"/>
          <w:sz w:val="22"/>
          <w:szCs w:val="22"/>
          <w:highlight w:val="none"/>
          <w:u w:val="single"/>
        </w:rPr>
      </w:pPr>
      <w:r>
        <w:rPr>
          <w:rFonts w:hint="eastAsia" w:ascii="宋体" w:hAnsi="宋体" w:cs="宋体"/>
          <w:sz w:val="22"/>
          <w:szCs w:val="22"/>
          <w:highlight w:val="none"/>
        </w:rPr>
        <w:t>投标人代表（签字或印章）：</w:t>
      </w:r>
    </w:p>
    <w:p>
      <w:pPr>
        <w:spacing w:line="380" w:lineRule="exact"/>
        <w:rPr>
          <w:rFonts w:ascii="宋体" w:hAnsi="宋体" w:cs="宋体"/>
          <w:sz w:val="22"/>
          <w:szCs w:val="22"/>
          <w:highlight w:val="none"/>
          <w:u w:val="single"/>
        </w:rPr>
      </w:pPr>
      <w:r>
        <w:rPr>
          <w:rFonts w:hint="eastAsia" w:ascii="宋体" w:hAnsi="宋体" w:cs="宋体"/>
          <w:sz w:val="22"/>
          <w:szCs w:val="22"/>
          <w:highlight w:val="none"/>
        </w:rPr>
        <w:t>日期：</w:t>
      </w:r>
    </w:p>
    <w:p>
      <w:pPr>
        <w:spacing w:line="380" w:lineRule="exact"/>
        <w:rPr>
          <w:rFonts w:ascii="宋体" w:hAnsi="宋体" w:cs="宋体"/>
          <w:sz w:val="24"/>
          <w:highlight w:val="none"/>
        </w:rPr>
      </w:pPr>
    </w:p>
    <w:p>
      <w:pPr>
        <w:rPr>
          <w:highlight w:val="none"/>
        </w:rPr>
      </w:pPr>
      <w:bookmarkStart w:id="296" w:name="_Toc316649309"/>
      <w:bookmarkStart w:id="297" w:name="_Toc481153682"/>
      <w:bookmarkStart w:id="298" w:name="_Toc497935753"/>
      <w:bookmarkStart w:id="299" w:name="_Toc520902415"/>
      <w:bookmarkStart w:id="300" w:name="_Toc502819360"/>
      <w:r>
        <w:rPr>
          <w:rFonts w:hint="eastAsia"/>
          <w:highlight w:val="none"/>
        </w:rPr>
        <w:br w:type="page"/>
      </w:r>
    </w:p>
    <w:p>
      <w:pPr>
        <w:pStyle w:val="4"/>
        <w:spacing w:line="380" w:lineRule="exact"/>
        <w:rPr>
          <w:rFonts w:ascii="宋体" w:hAnsi="宋体" w:cs="宋体"/>
          <w:sz w:val="22"/>
          <w:szCs w:val="22"/>
          <w:highlight w:val="none"/>
        </w:rPr>
      </w:pPr>
      <w:r>
        <w:rPr>
          <w:rFonts w:hint="eastAsia" w:ascii="宋体" w:hAnsi="宋体" w:cs="宋体"/>
          <w:sz w:val="24"/>
          <w:szCs w:val="24"/>
          <w:highlight w:val="none"/>
        </w:rPr>
        <w:t>（五）商务条款偏离表</w:t>
      </w:r>
      <w:bookmarkEnd w:id="296"/>
      <w:bookmarkEnd w:id="297"/>
      <w:bookmarkEnd w:id="298"/>
      <w:bookmarkEnd w:id="299"/>
      <w:bookmarkEnd w:id="300"/>
    </w:p>
    <w:p>
      <w:pPr>
        <w:spacing w:line="380" w:lineRule="exact"/>
        <w:rPr>
          <w:rFonts w:ascii="宋体" w:hAnsi="宋体" w:cs="宋体"/>
          <w:sz w:val="24"/>
          <w:highlight w:val="none"/>
        </w:rPr>
      </w:pP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trPr>
          <w:trHeight w:val="797" w:hRule="atLeast"/>
        </w:trPr>
        <w:tc>
          <w:tcPr>
            <w:tcW w:w="835"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3418"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招标文件的商务条款</w:t>
            </w:r>
          </w:p>
        </w:tc>
        <w:tc>
          <w:tcPr>
            <w:tcW w:w="2891"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投标文件的商务条款</w:t>
            </w:r>
          </w:p>
        </w:tc>
        <w:tc>
          <w:tcPr>
            <w:tcW w:w="1618"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说明</w:t>
            </w:r>
          </w:p>
        </w:tc>
      </w:tr>
      <w:tr>
        <w:trPr>
          <w:trHeight w:val="797" w:hRule="atLeast"/>
        </w:trPr>
        <w:tc>
          <w:tcPr>
            <w:tcW w:w="835" w:type="dxa"/>
            <w:vAlign w:val="center"/>
          </w:tcPr>
          <w:p>
            <w:pPr>
              <w:spacing w:line="380" w:lineRule="exact"/>
              <w:jc w:val="center"/>
              <w:rPr>
                <w:rFonts w:ascii="宋体" w:hAnsi="宋体" w:cs="宋体"/>
                <w:sz w:val="22"/>
                <w:szCs w:val="22"/>
                <w:highlight w:val="none"/>
              </w:rPr>
            </w:pPr>
          </w:p>
        </w:tc>
        <w:tc>
          <w:tcPr>
            <w:tcW w:w="3418" w:type="dxa"/>
            <w:vAlign w:val="center"/>
          </w:tcPr>
          <w:p>
            <w:pPr>
              <w:spacing w:line="380" w:lineRule="exact"/>
              <w:jc w:val="center"/>
              <w:rPr>
                <w:rFonts w:ascii="宋体" w:hAnsi="宋体" w:cs="宋体"/>
                <w:sz w:val="22"/>
                <w:szCs w:val="22"/>
                <w:highlight w:val="none"/>
              </w:rPr>
            </w:pPr>
          </w:p>
        </w:tc>
        <w:tc>
          <w:tcPr>
            <w:tcW w:w="2891" w:type="dxa"/>
            <w:vAlign w:val="center"/>
          </w:tcPr>
          <w:p>
            <w:pPr>
              <w:spacing w:line="380" w:lineRule="exact"/>
              <w:jc w:val="center"/>
              <w:rPr>
                <w:rFonts w:ascii="宋体" w:hAnsi="宋体" w:cs="宋体"/>
                <w:sz w:val="22"/>
                <w:szCs w:val="22"/>
                <w:highlight w:val="none"/>
              </w:rPr>
            </w:pPr>
          </w:p>
        </w:tc>
        <w:tc>
          <w:tcPr>
            <w:tcW w:w="1618" w:type="dxa"/>
            <w:vAlign w:val="center"/>
          </w:tcPr>
          <w:p>
            <w:pPr>
              <w:spacing w:line="380" w:lineRule="exact"/>
              <w:jc w:val="center"/>
              <w:rPr>
                <w:rFonts w:ascii="宋体" w:hAnsi="宋体" w:cs="宋体"/>
                <w:sz w:val="22"/>
                <w:szCs w:val="22"/>
                <w:highlight w:val="none"/>
              </w:rPr>
            </w:pPr>
          </w:p>
        </w:tc>
      </w:tr>
      <w:tr>
        <w:trPr>
          <w:trHeight w:val="797" w:hRule="atLeast"/>
        </w:trPr>
        <w:tc>
          <w:tcPr>
            <w:tcW w:w="835" w:type="dxa"/>
            <w:vAlign w:val="center"/>
          </w:tcPr>
          <w:p>
            <w:pPr>
              <w:spacing w:line="380" w:lineRule="exact"/>
              <w:jc w:val="center"/>
              <w:rPr>
                <w:rFonts w:ascii="宋体" w:hAnsi="宋体" w:cs="宋体"/>
                <w:sz w:val="22"/>
                <w:szCs w:val="22"/>
                <w:highlight w:val="none"/>
              </w:rPr>
            </w:pPr>
          </w:p>
        </w:tc>
        <w:tc>
          <w:tcPr>
            <w:tcW w:w="3418" w:type="dxa"/>
            <w:vAlign w:val="center"/>
          </w:tcPr>
          <w:p>
            <w:pPr>
              <w:spacing w:line="380" w:lineRule="exact"/>
              <w:jc w:val="center"/>
              <w:rPr>
                <w:rFonts w:ascii="宋体" w:hAnsi="宋体" w:cs="宋体"/>
                <w:sz w:val="22"/>
                <w:szCs w:val="22"/>
                <w:highlight w:val="none"/>
              </w:rPr>
            </w:pPr>
          </w:p>
        </w:tc>
        <w:tc>
          <w:tcPr>
            <w:tcW w:w="2891" w:type="dxa"/>
            <w:vAlign w:val="center"/>
          </w:tcPr>
          <w:p>
            <w:pPr>
              <w:spacing w:line="380" w:lineRule="exact"/>
              <w:jc w:val="center"/>
              <w:rPr>
                <w:rFonts w:ascii="宋体" w:hAnsi="宋体" w:cs="宋体"/>
                <w:sz w:val="22"/>
                <w:szCs w:val="22"/>
                <w:highlight w:val="none"/>
              </w:rPr>
            </w:pPr>
          </w:p>
        </w:tc>
        <w:tc>
          <w:tcPr>
            <w:tcW w:w="1618" w:type="dxa"/>
            <w:vAlign w:val="center"/>
          </w:tcPr>
          <w:p>
            <w:pPr>
              <w:spacing w:line="380" w:lineRule="exact"/>
              <w:jc w:val="center"/>
              <w:rPr>
                <w:rFonts w:ascii="宋体" w:hAnsi="宋体" w:cs="宋体"/>
                <w:sz w:val="22"/>
                <w:szCs w:val="22"/>
                <w:highlight w:val="none"/>
              </w:rPr>
            </w:pPr>
          </w:p>
        </w:tc>
      </w:tr>
      <w:tr>
        <w:trPr>
          <w:trHeight w:val="797" w:hRule="atLeast"/>
        </w:trPr>
        <w:tc>
          <w:tcPr>
            <w:tcW w:w="835" w:type="dxa"/>
            <w:vAlign w:val="center"/>
          </w:tcPr>
          <w:p>
            <w:pPr>
              <w:spacing w:line="380" w:lineRule="exact"/>
              <w:jc w:val="center"/>
              <w:rPr>
                <w:rFonts w:ascii="宋体" w:hAnsi="宋体" w:cs="宋体"/>
                <w:sz w:val="22"/>
                <w:szCs w:val="22"/>
                <w:highlight w:val="none"/>
              </w:rPr>
            </w:pPr>
          </w:p>
        </w:tc>
        <w:tc>
          <w:tcPr>
            <w:tcW w:w="3418" w:type="dxa"/>
            <w:vAlign w:val="center"/>
          </w:tcPr>
          <w:p>
            <w:pPr>
              <w:spacing w:line="380" w:lineRule="exact"/>
              <w:jc w:val="center"/>
              <w:rPr>
                <w:rFonts w:ascii="宋体" w:hAnsi="宋体" w:cs="宋体"/>
                <w:sz w:val="22"/>
                <w:szCs w:val="22"/>
                <w:highlight w:val="none"/>
              </w:rPr>
            </w:pPr>
          </w:p>
        </w:tc>
        <w:tc>
          <w:tcPr>
            <w:tcW w:w="2891" w:type="dxa"/>
            <w:vAlign w:val="center"/>
          </w:tcPr>
          <w:p>
            <w:pPr>
              <w:spacing w:line="380" w:lineRule="exact"/>
              <w:jc w:val="center"/>
              <w:rPr>
                <w:rFonts w:ascii="宋体" w:hAnsi="宋体" w:cs="宋体"/>
                <w:sz w:val="22"/>
                <w:szCs w:val="22"/>
                <w:highlight w:val="none"/>
              </w:rPr>
            </w:pPr>
          </w:p>
        </w:tc>
        <w:tc>
          <w:tcPr>
            <w:tcW w:w="1618" w:type="dxa"/>
            <w:vAlign w:val="center"/>
          </w:tcPr>
          <w:p>
            <w:pPr>
              <w:spacing w:line="380" w:lineRule="exact"/>
              <w:jc w:val="center"/>
              <w:rPr>
                <w:rFonts w:ascii="宋体" w:hAnsi="宋体" w:cs="宋体"/>
                <w:sz w:val="22"/>
                <w:szCs w:val="22"/>
                <w:highlight w:val="none"/>
              </w:rPr>
            </w:pPr>
          </w:p>
        </w:tc>
      </w:tr>
    </w:tbl>
    <w:p>
      <w:pPr>
        <w:spacing w:line="400" w:lineRule="exact"/>
        <w:rPr>
          <w:rFonts w:ascii="宋体" w:hAnsi="宋体" w:cs="宋体"/>
          <w:szCs w:val="21"/>
          <w:highlight w:val="none"/>
        </w:rPr>
      </w:pPr>
      <w:r>
        <w:rPr>
          <w:rFonts w:hint="eastAsia" w:ascii="宋体" w:hAnsi="宋体" w:cs="宋体"/>
          <w:szCs w:val="21"/>
          <w:highlight w:val="none"/>
        </w:rPr>
        <w:t>注：1.须与招标文件第二部分“招标项目需求”中“商务要求”逐项比较填写。</w:t>
      </w:r>
    </w:p>
    <w:p>
      <w:pPr>
        <w:spacing w:line="380" w:lineRule="exact"/>
        <w:rPr>
          <w:rFonts w:ascii="宋体" w:hAnsi="宋体" w:cs="宋体"/>
          <w:sz w:val="22"/>
          <w:szCs w:val="22"/>
          <w:highlight w:val="none"/>
        </w:rPr>
      </w:pPr>
      <w:r>
        <w:rPr>
          <w:rFonts w:hint="eastAsia" w:ascii="宋体" w:hAnsi="宋体" w:cs="宋体"/>
          <w:szCs w:val="21"/>
          <w:highlight w:val="none"/>
        </w:rPr>
        <w:t>2.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pStyle w:val="36"/>
        <w:ind w:firstLine="405"/>
        <w:rPr>
          <w:rFonts w:ascii="宋体" w:hAnsi="宋体" w:cs="宋体"/>
          <w:highlight w:val="none"/>
        </w:rPr>
      </w:pPr>
    </w:p>
    <w:p>
      <w:pPr>
        <w:spacing w:line="380" w:lineRule="exact"/>
        <w:rPr>
          <w:rFonts w:ascii="宋体" w:hAnsi="宋体" w:cs="宋体"/>
          <w:sz w:val="22"/>
          <w:szCs w:val="22"/>
          <w:highlight w:val="none"/>
        </w:rPr>
      </w:pPr>
      <w:r>
        <w:rPr>
          <w:rFonts w:hint="eastAsia" w:ascii="宋体" w:hAnsi="宋体" w:cs="宋体"/>
          <w:sz w:val="22"/>
          <w:szCs w:val="22"/>
          <w:highlight w:val="none"/>
        </w:rPr>
        <w:t>投标人（公章）：</w:t>
      </w:r>
    </w:p>
    <w:p>
      <w:pPr>
        <w:spacing w:line="380" w:lineRule="exact"/>
        <w:rPr>
          <w:rFonts w:ascii="宋体" w:hAnsi="宋体" w:cs="宋体"/>
          <w:sz w:val="22"/>
          <w:szCs w:val="22"/>
          <w:highlight w:val="none"/>
          <w:u w:val="single"/>
        </w:rPr>
      </w:pPr>
      <w:r>
        <w:rPr>
          <w:rFonts w:hint="eastAsia" w:ascii="宋体" w:hAnsi="宋体" w:cs="宋体"/>
          <w:sz w:val="22"/>
          <w:szCs w:val="22"/>
          <w:highlight w:val="none"/>
        </w:rPr>
        <w:t>投标人代表（签字或印章）：</w:t>
      </w:r>
    </w:p>
    <w:p>
      <w:pPr>
        <w:spacing w:line="380" w:lineRule="exact"/>
        <w:rPr>
          <w:rFonts w:ascii="宋体" w:hAnsi="宋体" w:cs="宋体"/>
          <w:sz w:val="22"/>
          <w:szCs w:val="22"/>
          <w:highlight w:val="none"/>
          <w:u w:val="single"/>
        </w:rPr>
      </w:pPr>
      <w:r>
        <w:rPr>
          <w:rFonts w:hint="eastAsia" w:ascii="宋体" w:hAnsi="宋体" w:cs="宋体"/>
          <w:sz w:val="22"/>
          <w:szCs w:val="22"/>
          <w:highlight w:val="none"/>
        </w:rPr>
        <w:t>日期：</w:t>
      </w:r>
    </w:p>
    <w:p>
      <w:pPr>
        <w:spacing w:line="380" w:lineRule="exact"/>
        <w:rPr>
          <w:rFonts w:ascii="宋体" w:hAnsi="宋体" w:cs="宋体"/>
          <w:sz w:val="24"/>
          <w:highlight w:val="none"/>
          <w:u w:val="single"/>
        </w:rPr>
      </w:pPr>
    </w:p>
    <w:p>
      <w:pPr>
        <w:spacing w:line="380" w:lineRule="exact"/>
        <w:rPr>
          <w:rFonts w:ascii="宋体" w:hAnsi="宋体" w:cs="宋体"/>
          <w:sz w:val="24"/>
          <w:highlight w:val="none"/>
          <w:u w:val="single"/>
        </w:rPr>
      </w:pPr>
    </w:p>
    <w:p>
      <w:pPr>
        <w:spacing w:line="380" w:lineRule="exact"/>
        <w:rPr>
          <w:rFonts w:ascii="宋体" w:hAnsi="宋体" w:cs="宋体"/>
          <w:sz w:val="24"/>
          <w:highlight w:val="none"/>
          <w:u w:val="singl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highlight w:val="none"/>
        </w:rPr>
      </w:pPr>
      <w:bookmarkStart w:id="301" w:name="_Toc520902416"/>
      <w:r>
        <w:rPr>
          <w:rFonts w:hint="eastAsia"/>
          <w:highlight w:val="none"/>
        </w:rPr>
        <w:br w:type="page"/>
      </w:r>
    </w:p>
    <w:bookmarkEnd w:id="301"/>
    <w:p>
      <w:pPr>
        <w:pStyle w:val="4"/>
        <w:numPr>
          <w:ilvl w:val="0"/>
          <w:numId w:val="16"/>
        </w:numPr>
        <w:spacing w:line="380" w:lineRule="exact"/>
        <w:rPr>
          <w:rFonts w:ascii="宋体" w:hAnsi="宋体" w:cs="宋体"/>
          <w:sz w:val="24"/>
          <w:szCs w:val="24"/>
          <w:highlight w:val="none"/>
        </w:rPr>
      </w:pPr>
      <w:r>
        <w:rPr>
          <w:rFonts w:hint="eastAsia" w:ascii="宋体" w:hAnsi="宋体" w:cs="宋体"/>
          <w:sz w:val="24"/>
          <w:szCs w:val="24"/>
          <w:highlight w:val="none"/>
        </w:rPr>
        <w:t>第五部分“评标办法”中“评分标准”要求提供的资料（如有需提供）</w:t>
      </w:r>
    </w:p>
    <w:p>
      <w:pPr>
        <w:rPr>
          <w:rFonts w:ascii="宋体" w:hAnsi="宋体" w:cs="宋体"/>
          <w:highlight w:val="none"/>
        </w:rPr>
      </w:pPr>
    </w:p>
    <w:p>
      <w:pPr>
        <w:jc w:val="center"/>
        <w:rPr>
          <w:rFonts w:ascii="宋体" w:hAnsi="宋体" w:cs="宋体"/>
          <w:b/>
          <w:sz w:val="24"/>
          <w:szCs w:val="24"/>
          <w:highlight w:val="none"/>
        </w:rPr>
      </w:pPr>
    </w:p>
    <w:p>
      <w:pPr>
        <w:pStyle w:val="95"/>
        <w:ind w:firstLine="968" w:firstLineChars="400"/>
        <w:rPr>
          <w:rFonts w:cs="宋体"/>
          <w:highlight w:val="none"/>
        </w:rPr>
      </w:pPr>
      <w:r>
        <w:rPr>
          <w:rFonts w:hint="eastAsia" w:cs="宋体"/>
          <w:highlight w:val="none"/>
        </w:rPr>
        <w:t>主要内容详见第五部分的评分标准中内容。</w:t>
      </w:r>
    </w:p>
    <w:p>
      <w:pPr>
        <w:spacing w:line="360" w:lineRule="auto"/>
        <w:jc w:val="center"/>
        <w:rPr>
          <w:rFonts w:ascii="Arial" w:hAnsi="Arial" w:cs="Arial"/>
          <w:b/>
          <w:spacing w:val="-4"/>
          <w:sz w:val="32"/>
          <w:szCs w:val="32"/>
          <w:highlight w:val="none"/>
        </w:rPr>
      </w:pPr>
      <w:r>
        <w:rPr>
          <w:rFonts w:ascii="Arial" w:hAnsi="Arial" w:cs="Arial"/>
          <w:b/>
          <w:spacing w:val="-4"/>
          <w:sz w:val="32"/>
          <w:szCs w:val="32"/>
          <w:highlight w:val="none"/>
        </w:rPr>
        <w:br w:type="page"/>
      </w:r>
      <w:r>
        <w:rPr>
          <w:rFonts w:ascii="Arial" w:hAnsi="Arial" w:cs="Arial"/>
          <w:b/>
          <w:spacing w:val="-4"/>
          <w:sz w:val="32"/>
          <w:szCs w:val="32"/>
          <w:highlight w:val="none"/>
        </w:rPr>
        <w:t>供应商技术商务分自评表</w:t>
      </w:r>
    </w:p>
    <w:tbl>
      <w:tblPr>
        <w:tblStyle w:val="37"/>
        <w:tblW w:w="93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70"/>
        <w:gridCol w:w="4536"/>
        <w:gridCol w:w="1276"/>
        <w:gridCol w:w="1276"/>
      </w:tblGrid>
      <w:tr>
        <w:trPr>
          <w:trHeight w:val="508" w:hRule="atLeast"/>
          <w:jc w:val="center"/>
        </w:trPr>
        <w:tc>
          <w:tcPr>
            <w:tcW w:w="726" w:type="dxa"/>
            <w:vAlign w:val="center"/>
          </w:tcPr>
          <w:p>
            <w:pPr>
              <w:pStyle w:val="18"/>
              <w:spacing w:line="260" w:lineRule="exact"/>
              <w:jc w:val="center"/>
              <w:rPr>
                <w:rFonts w:ascii="宋体" w:hAnsi="宋体" w:cs="Arial"/>
                <w:sz w:val="22"/>
                <w:szCs w:val="22"/>
                <w:highlight w:val="none"/>
              </w:rPr>
            </w:pPr>
            <w:r>
              <w:rPr>
                <w:rFonts w:hint="eastAsia" w:ascii="宋体" w:hAnsi="宋体" w:cs="Arial"/>
                <w:sz w:val="22"/>
                <w:szCs w:val="22"/>
                <w:highlight w:val="none"/>
              </w:rPr>
              <w:t>序号</w:t>
            </w:r>
          </w:p>
        </w:tc>
        <w:tc>
          <w:tcPr>
            <w:tcW w:w="1570" w:type="dxa"/>
            <w:vAlign w:val="center"/>
          </w:tcPr>
          <w:p>
            <w:pPr>
              <w:pStyle w:val="18"/>
              <w:spacing w:line="260" w:lineRule="exact"/>
              <w:jc w:val="center"/>
              <w:rPr>
                <w:rFonts w:ascii="宋体" w:hAnsi="宋体" w:cs="Arial"/>
                <w:sz w:val="22"/>
                <w:szCs w:val="22"/>
                <w:highlight w:val="none"/>
              </w:rPr>
            </w:pPr>
            <w:r>
              <w:rPr>
                <w:rFonts w:ascii="宋体" w:hAnsi="宋体" w:cs="Arial"/>
                <w:sz w:val="22"/>
                <w:szCs w:val="22"/>
                <w:highlight w:val="none"/>
              </w:rPr>
              <w:t>评分</w:t>
            </w:r>
            <w:r>
              <w:rPr>
                <w:rFonts w:hint="eastAsia" w:ascii="宋体" w:hAnsi="宋体" w:cs="Arial"/>
                <w:sz w:val="22"/>
                <w:szCs w:val="22"/>
                <w:highlight w:val="none"/>
              </w:rPr>
              <w:t>项目</w:t>
            </w:r>
          </w:p>
        </w:tc>
        <w:tc>
          <w:tcPr>
            <w:tcW w:w="4536" w:type="dxa"/>
            <w:vAlign w:val="center"/>
          </w:tcPr>
          <w:p>
            <w:pPr>
              <w:pStyle w:val="18"/>
              <w:spacing w:line="260" w:lineRule="exact"/>
              <w:jc w:val="center"/>
              <w:rPr>
                <w:rFonts w:ascii="宋体" w:hAnsi="宋体" w:cs="Arial"/>
                <w:sz w:val="22"/>
                <w:szCs w:val="22"/>
                <w:highlight w:val="none"/>
              </w:rPr>
            </w:pPr>
            <w:r>
              <w:rPr>
                <w:rFonts w:ascii="宋体" w:hAnsi="宋体" w:cs="Arial"/>
                <w:sz w:val="22"/>
                <w:szCs w:val="22"/>
                <w:highlight w:val="none"/>
              </w:rPr>
              <w:t>评分标准</w:t>
            </w:r>
          </w:p>
        </w:tc>
        <w:tc>
          <w:tcPr>
            <w:tcW w:w="1276" w:type="dxa"/>
            <w:vAlign w:val="center"/>
          </w:tcPr>
          <w:p>
            <w:pPr>
              <w:pStyle w:val="18"/>
              <w:spacing w:line="260" w:lineRule="exact"/>
              <w:jc w:val="center"/>
              <w:rPr>
                <w:rFonts w:ascii="宋体" w:hAnsi="宋体" w:cs="Arial"/>
                <w:sz w:val="22"/>
                <w:szCs w:val="22"/>
                <w:highlight w:val="none"/>
              </w:rPr>
            </w:pPr>
            <w:r>
              <w:rPr>
                <w:rFonts w:hint="eastAsia" w:ascii="宋体" w:hAnsi="宋体" w:cs="Arial"/>
                <w:sz w:val="22"/>
                <w:szCs w:val="22"/>
                <w:highlight w:val="none"/>
              </w:rPr>
              <w:t>分值</w:t>
            </w:r>
          </w:p>
        </w:tc>
        <w:tc>
          <w:tcPr>
            <w:tcW w:w="1276" w:type="dxa"/>
            <w:vAlign w:val="center"/>
          </w:tcPr>
          <w:p>
            <w:pPr>
              <w:pStyle w:val="18"/>
              <w:spacing w:line="260" w:lineRule="exact"/>
              <w:jc w:val="center"/>
              <w:rPr>
                <w:rFonts w:ascii="宋体" w:hAnsi="宋体" w:cs="Arial"/>
                <w:sz w:val="22"/>
                <w:szCs w:val="22"/>
                <w:highlight w:val="none"/>
              </w:rPr>
            </w:pPr>
            <w:r>
              <w:rPr>
                <w:rFonts w:hint="eastAsia" w:ascii="宋体" w:hAnsi="宋体" w:cs="Arial"/>
                <w:sz w:val="22"/>
                <w:szCs w:val="22"/>
                <w:highlight w:val="none"/>
              </w:rPr>
              <w:t>自评分</w:t>
            </w:r>
          </w:p>
        </w:tc>
      </w:tr>
      <w:tr>
        <w:trPr>
          <w:trHeight w:val="516" w:hRule="atLeast"/>
          <w:jc w:val="center"/>
        </w:trPr>
        <w:tc>
          <w:tcPr>
            <w:tcW w:w="726" w:type="dxa"/>
            <w:vAlign w:val="center"/>
          </w:tcPr>
          <w:p>
            <w:pPr>
              <w:pStyle w:val="18"/>
              <w:spacing w:line="320" w:lineRule="exact"/>
              <w:ind w:firstLine="440"/>
              <w:jc w:val="center"/>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8"/>
              <w:spacing w:line="320" w:lineRule="exact"/>
              <w:ind w:firstLine="440"/>
              <w:jc w:val="center"/>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8"/>
              <w:spacing w:line="320" w:lineRule="exact"/>
              <w:ind w:firstLine="440"/>
              <w:jc w:val="center"/>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8"/>
              <w:spacing w:line="320" w:lineRule="exact"/>
              <w:ind w:firstLine="440"/>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8"/>
              <w:spacing w:line="320" w:lineRule="exact"/>
              <w:ind w:firstLine="440"/>
              <w:jc w:val="center"/>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8"/>
              <w:spacing w:line="320" w:lineRule="exact"/>
              <w:ind w:firstLine="440"/>
              <w:jc w:val="center"/>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8"/>
              <w:spacing w:line="320" w:lineRule="exact"/>
              <w:ind w:firstLine="440"/>
              <w:jc w:val="center"/>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8"/>
              <w:spacing w:line="320" w:lineRule="exact"/>
              <w:ind w:firstLine="440"/>
              <w:jc w:val="center"/>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8"/>
              <w:spacing w:line="320" w:lineRule="exact"/>
              <w:ind w:firstLine="440"/>
              <w:jc w:val="center"/>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8"/>
              <w:spacing w:line="320" w:lineRule="exact"/>
              <w:ind w:firstLine="440"/>
              <w:jc w:val="center"/>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8"/>
              <w:spacing w:line="320" w:lineRule="exact"/>
              <w:ind w:firstLine="440"/>
              <w:jc w:val="center"/>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8"/>
              <w:spacing w:line="320" w:lineRule="exact"/>
              <w:ind w:firstLine="440"/>
              <w:jc w:val="center"/>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8"/>
              <w:spacing w:line="320" w:lineRule="exact"/>
              <w:ind w:firstLine="440"/>
              <w:jc w:val="center"/>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8"/>
              <w:spacing w:line="320" w:lineRule="exact"/>
              <w:ind w:firstLine="440"/>
              <w:jc w:val="center"/>
              <w:rPr>
                <w:rFonts w:ascii="宋体" w:hAnsi="宋体" w:cs="Arial"/>
                <w:sz w:val="22"/>
                <w:szCs w:val="22"/>
                <w:highlight w:val="none"/>
              </w:rPr>
            </w:pPr>
          </w:p>
        </w:tc>
        <w:tc>
          <w:tcPr>
            <w:tcW w:w="1570" w:type="dxa"/>
            <w:vAlign w:val="center"/>
          </w:tcPr>
          <w:p>
            <w:pPr>
              <w:pStyle w:val="18"/>
              <w:spacing w:line="320" w:lineRule="exact"/>
              <w:ind w:firstLine="440"/>
              <w:jc w:val="center"/>
              <w:rPr>
                <w:rFonts w:ascii="宋体" w:hAnsi="宋体" w:cs="Arial"/>
                <w:sz w:val="22"/>
                <w:szCs w:val="22"/>
                <w:highlight w:val="none"/>
              </w:rPr>
            </w:pPr>
          </w:p>
        </w:tc>
        <w:tc>
          <w:tcPr>
            <w:tcW w:w="4536" w:type="dxa"/>
            <w:vAlign w:val="center"/>
          </w:tcPr>
          <w:p>
            <w:pPr>
              <w:pStyle w:val="18"/>
              <w:spacing w:line="320" w:lineRule="exact"/>
              <w:ind w:firstLine="442"/>
              <w:jc w:val="left"/>
              <w:rPr>
                <w:rFonts w:ascii="宋体" w:hAnsi="宋体" w:cs="Arial"/>
                <w:b/>
                <w:sz w:val="22"/>
                <w:szCs w:val="22"/>
                <w:highlight w:val="none"/>
              </w:rPr>
            </w:pPr>
          </w:p>
        </w:tc>
        <w:tc>
          <w:tcPr>
            <w:tcW w:w="1276" w:type="dxa"/>
            <w:vAlign w:val="center"/>
          </w:tcPr>
          <w:p>
            <w:pPr>
              <w:pStyle w:val="18"/>
              <w:spacing w:line="32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r>
        <w:trPr>
          <w:trHeight w:val="516" w:hRule="atLeast"/>
          <w:jc w:val="center"/>
        </w:trPr>
        <w:tc>
          <w:tcPr>
            <w:tcW w:w="6832" w:type="dxa"/>
            <w:gridSpan w:val="3"/>
            <w:vAlign w:val="center"/>
          </w:tcPr>
          <w:p>
            <w:pPr>
              <w:spacing w:line="260" w:lineRule="exact"/>
              <w:jc w:val="center"/>
              <w:rPr>
                <w:rFonts w:ascii="宋体" w:hAnsi="宋体" w:cs="宋体"/>
                <w:bCs/>
                <w:szCs w:val="21"/>
                <w:highlight w:val="none"/>
              </w:rPr>
            </w:pPr>
            <w:r>
              <w:rPr>
                <w:rFonts w:hint="eastAsia" w:ascii="宋体" w:hAnsi="宋体" w:cs="宋体"/>
                <w:bCs/>
                <w:szCs w:val="21"/>
                <w:highlight w:val="none"/>
              </w:rPr>
              <w:t>合计</w:t>
            </w:r>
          </w:p>
        </w:tc>
        <w:tc>
          <w:tcPr>
            <w:tcW w:w="1276" w:type="dxa"/>
            <w:vAlign w:val="center"/>
          </w:tcPr>
          <w:p>
            <w:pPr>
              <w:pStyle w:val="18"/>
              <w:spacing w:line="260" w:lineRule="exact"/>
              <w:ind w:firstLine="440"/>
              <w:jc w:val="center"/>
              <w:rPr>
                <w:rFonts w:ascii="宋体" w:hAnsi="宋体" w:cs="Arial"/>
                <w:sz w:val="22"/>
                <w:szCs w:val="22"/>
                <w:highlight w:val="none"/>
              </w:rPr>
            </w:pPr>
          </w:p>
        </w:tc>
        <w:tc>
          <w:tcPr>
            <w:tcW w:w="1276" w:type="dxa"/>
          </w:tcPr>
          <w:p>
            <w:pPr>
              <w:pStyle w:val="18"/>
              <w:spacing w:line="260" w:lineRule="exact"/>
              <w:ind w:firstLine="440"/>
              <w:jc w:val="center"/>
              <w:rPr>
                <w:rFonts w:ascii="宋体" w:hAnsi="宋体" w:cs="Arial"/>
                <w:sz w:val="22"/>
                <w:szCs w:val="22"/>
                <w:highlight w:val="none"/>
              </w:rPr>
            </w:pPr>
          </w:p>
        </w:tc>
      </w:tr>
    </w:tbl>
    <w:p>
      <w:pPr>
        <w:widowControl/>
        <w:adjustRightInd w:val="0"/>
        <w:jc w:val="left"/>
        <w:rPr>
          <w:rFonts w:ascii="Arial" w:hAnsi="Arial" w:cs="Arial"/>
          <w:sz w:val="22"/>
          <w:szCs w:val="22"/>
          <w:highlight w:val="none"/>
        </w:rPr>
      </w:pPr>
    </w:p>
    <w:p>
      <w:pPr>
        <w:widowControl/>
        <w:adjustRightInd w:val="0"/>
        <w:spacing w:line="360" w:lineRule="auto"/>
        <w:jc w:val="left"/>
        <w:rPr>
          <w:highlight w:val="none"/>
        </w:rPr>
      </w:pPr>
      <w:r>
        <w:rPr>
          <w:rFonts w:hint="eastAsia"/>
          <w:highlight w:val="none"/>
        </w:rPr>
        <w:t>注：上表评标项目、评分标准、分值，供应商可对应招标文件中的评标办法，并提供相应资料。</w:t>
      </w:r>
    </w:p>
    <w:p>
      <w:pPr>
        <w:widowControl/>
        <w:adjustRightInd w:val="0"/>
        <w:spacing w:line="360" w:lineRule="auto"/>
        <w:jc w:val="left"/>
        <w:rPr>
          <w:highlight w:val="none"/>
        </w:rPr>
      </w:pPr>
    </w:p>
    <w:p>
      <w:pPr>
        <w:widowControl/>
        <w:adjustRightInd w:val="0"/>
        <w:spacing w:line="360" w:lineRule="auto"/>
        <w:jc w:val="left"/>
        <w:rPr>
          <w:highlight w:val="none"/>
        </w:rPr>
      </w:pPr>
    </w:p>
    <w:p>
      <w:pPr>
        <w:widowControl/>
        <w:adjustRightInd w:val="0"/>
        <w:spacing w:line="360" w:lineRule="auto"/>
        <w:jc w:val="left"/>
        <w:rPr>
          <w:highlight w:val="none"/>
        </w:rPr>
      </w:pPr>
      <w:r>
        <w:rPr>
          <w:highlight w:val="none"/>
        </w:rPr>
        <w:t>供应商（盖章）：</w:t>
      </w:r>
    </w:p>
    <w:p>
      <w:pPr>
        <w:widowControl/>
        <w:adjustRightInd w:val="0"/>
        <w:spacing w:line="360" w:lineRule="auto"/>
        <w:jc w:val="left"/>
        <w:rPr>
          <w:highlight w:val="none"/>
        </w:rPr>
      </w:pPr>
      <w:r>
        <w:rPr>
          <w:highlight w:val="none"/>
        </w:rPr>
        <w:t>法定代表人或授权代表(签字或盖章)：</w:t>
      </w:r>
    </w:p>
    <w:p>
      <w:pPr>
        <w:widowControl/>
        <w:adjustRightInd w:val="0"/>
        <w:spacing w:line="360" w:lineRule="auto"/>
        <w:jc w:val="left"/>
        <w:rPr>
          <w:highlight w:val="none"/>
        </w:rPr>
      </w:pPr>
      <w:r>
        <w:rPr>
          <w:highlight w:val="none"/>
        </w:rPr>
        <w:t>日  期：</w:t>
      </w:r>
    </w:p>
    <w:p>
      <w:pPr>
        <w:rPr>
          <w:highlight w:val="none"/>
        </w:rPr>
      </w:pPr>
    </w:p>
    <w:p>
      <w:pPr>
        <w:rPr>
          <w:highlight w:val="none"/>
        </w:rPr>
      </w:pPr>
    </w:p>
    <w:p>
      <w:pPr>
        <w:rPr>
          <w:rFonts w:ascii="宋体" w:hAnsi="宋体" w:cs="宋体"/>
          <w:bCs/>
          <w:szCs w:val="24"/>
          <w:highlight w:val="none"/>
        </w:rPr>
      </w:pPr>
      <w:r>
        <w:rPr>
          <w:highlight w:val="none"/>
        </w:rPr>
        <w:br w:type="page"/>
      </w:r>
      <w:r>
        <w:rPr>
          <w:rFonts w:ascii="宋体" w:hAnsi="宋体" w:cs="宋体"/>
          <w:b/>
          <w:szCs w:val="24"/>
          <w:highlight w:val="none"/>
        </w:rPr>
        <w:t>1</w:t>
      </w:r>
      <w:r>
        <w:rPr>
          <w:rFonts w:hint="eastAsia" w:ascii="宋体" w:hAnsi="宋体" w:cs="宋体"/>
          <w:b/>
          <w:szCs w:val="24"/>
          <w:highlight w:val="none"/>
        </w:rPr>
        <w:t>.1拟委任的项目组成员汇总表</w:t>
      </w:r>
    </w:p>
    <w:p>
      <w:pPr>
        <w:widowControl/>
        <w:jc w:val="center"/>
        <w:rPr>
          <w:rFonts w:ascii="宋体" w:hAnsi="宋体" w:cs="宋体"/>
          <w:bCs/>
          <w:sz w:val="24"/>
          <w:szCs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trPr>
          <w:jc w:val="center"/>
        </w:trPr>
        <w:tc>
          <w:tcPr>
            <w:tcW w:w="1271" w:type="dxa"/>
          </w:tcPr>
          <w:p>
            <w:pPr>
              <w:pStyle w:val="89"/>
              <w:spacing w:line="360" w:lineRule="auto"/>
              <w:rPr>
                <w:rFonts w:cs="宋体"/>
                <w:sz w:val="24"/>
                <w:szCs w:val="24"/>
                <w:highlight w:val="none"/>
                <w:lang w:val="en-US"/>
              </w:rPr>
            </w:pPr>
            <w:r>
              <w:rPr>
                <w:rFonts w:hint="eastAsia" w:cs="宋体"/>
                <w:sz w:val="24"/>
                <w:szCs w:val="24"/>
                <w:highlight w:val="none"/>
                <w:lang w:val="en-US"/>
              </w:rPr>
              <w:t>姓名</w:t>
            </w:r>
          </w:p>
        </w:tc>
        <w:tc>
          <w:tcPr>
            <w:tcW w:w="997" w:type="dxa"/>
          </w:tcPr>
          <w:p>
            <w:pPr>
              <w:pStyle w:val="89"/>
              <w:spacing w:line="360" w:lineRule="auto"/>
              <w:rPr>
                <w:rFonts w:cs="宋体"/>
                <w:sz w:val="24"/>
                <w:szCs w:val="24"/>
                <w:highlight w:val="none"/>
                <w:lang w:val="en-US"/>
              </w:rPr>
            </w:pPr>
            <w:r>
              <w:rPr>
                <w:rFonts w:hint="eastAsia" w:cs="宋体"/>
                <w:sz w:val="24"/>
                <w:szCs w:val="24"/>
                <w:highlight w:val="none"/>
                <w:lang w:val="en-US"/>
              </w:rPr>
              <w:t>年龄</w:t>
            </w:r>
          </w:p>
        </w:tc>
        <w:tc>
          <w:tcPr>
            <w:tcW w:w="1545" w:type="dxa"/>
          </w:tcPr>
          <w:p>
            <w:pPr>
              <w:pStyle w:val="89"/>
              <w:spacing w:line="360" w:lineRule="auto"/>
              <w:rPr>
                <w:rFonts w:cs="宋体"/>
                <w:sz w:val="24"/>
                <w:szCs w:val="24"/>
                <w:highlight w:val="none"/>
                <w:lang w:val="en-US"/>
              </w:rPr>
            </w:pPr>
            <w:r>
              <w:rPr>
                <w:rFonts w:hint="eastAsia" w:cs="宋体"/>
                <w:sz w:val="24"/>
                <w:szCs w:val="24"/>
                <w:highlight w:val="none"/>
                <w:lang w:val="en-US"/>
              </w:rPr>
              <w:t>拟在本项目中担任的职务</w:t>
            </w:r>
          </w:p>
        </w:tc>
        <w:tc>
          <w:tcPr>
            <w:tcW w:w="831" w:type="dxa"/>
          </w:tcPr>
          <w:p>
            <w:pPr>
              <w:pStyle w:val="89"/>
              <w:spacing w:line="360" w:lineRule="auto"/>
              <w:rPr>
                <w:rFonts w:cs="宋体"/>
                <w:sz w:val="24"/>
                <w:szCs w:val="24"/>
                <w:highlight w:val="none"/>
                <w:lang w:val="en-US"/>
              </w:rPr>
            </w:pPr>
            <w:r>
              <w:rPr>
                <w:rFonts w:hint="eastAsia" w:cs="宋体"/>
                <w:sz w:val="24"/>
                <w:szCs w:val="24"/>
                <w:highlight w:val="none"/>
                <w:lang w:val="en-US"/>
              </w:rPr>
              <w:t>职称</w:t>
            </w:r>
          </w:p>
        </w:tc>
        <w:tc>
          <w:tcPr>
            <w:tcW w:w="1270" w:type="dxa"/>
          </w:tcPr>
          <w:p>
            <w:pPr>
              <w:pStyle w:val="89"/>
              <w:spacing w:line="360" w:lineRule="auto"/>
              <w:rPr>
                <w:rFonts w:cs="宋体"/>
                <w:sz w:val="24"/>
                <w:szCs w:val="24"/>
                <w:highlight w:val="none"/>
                <w:lang w:val="en-US"/>
              </w:rPr>
            </w:pPr>
            <w:r>
              <w:rPr>
                <w:rFonts w:hint="eastAsia" w:cs="宋体"/>
                <w:sz w:val="24"/>
                <w:szCs w:val="24"/>
                <w:highlight w:val="none"/>
                <w:lang w:val="en-US"/>
              </w:rPr>
              <w:t>执业资格</w:t>
            </w:r>
          </w:p>
        </w:tc>
        <w:tc>
          <w:tcPr>
            <w:tcW w:w="955" w:type="dxa"/>
          </w:tcPr>
          <w:p>
            <w:pPr>
              <w:pStyle w:val="89"/>
              <w:spacing w:line="360" w:lineRule="auto"/>
              <w:rPr>
                <w:rFonts w:cs="宋体"/>
                <w:sz w:val="24"/>
                <w:szCs w:val="24"/>
                <w:highlight w:val="none"/>
                <w:lang w:val="en-US"/>
              </w:rPr>
            </w:pPr>
            <w:r>
              <w:rPr>
                <w:rFonts w:hint="eastAsia" w:cs="宋体"/>
                <w:sz w:val="24"/>
                <w:szCs w:val="24"/>
                <w:highlight w:val="none"/>
                <w:lang w:val="en-US"/>
              </w:rPr>
              <w:t>工作年限</w:t>
            </w:r>
          </w:p>
        </w:tc>
        <w:tc>
          <w:tcPr>
            <w:tcW w:w="1731" w:type="dxa"/>
          </w:tcPr>
          <w:p>
            <w:pPr>
              <w:pStyle w:val="89"/>
              <w:spacing w:line="360" w:lineRule="auto"/>
              <w:rPr>
                <w:rFonts w:cs="宋体"/>
                <w:sz w:val="24"/>
                <w:szCs w:val="24"/>
                <w:highlight w:val="none"/>
                <w:lang w:val="en-US"/>
              </w:rPr>
            </w:pPr>
            <w:r>
              <w:rPr>
                <w:rFonts w:hint="eastAsia" w:cs="宋体"/>
                <w:sz w:val="24"/>
                <w:szCs w:val="24"/>
                <w:highlight w:val="none"/>
                <w:lang w:val="en-US"/>
              </w:rPr>
              <w:t>类似项目经验年限</w:t>
            </w:r>
          </w:p>
        </w:tc>
      </w:tr>
      <w:tr>
        <w:trPr>
          <w:jc w:val="center"/>
        </w:trPr>
        <w:tc>
          <w:tcPr>
            <w:tcW w:w="1271" w:type="dxa"/>
          </w:tcPr>
          <w:p>
            <w:pPr>
              <w:pStyle w:val="89"/>
              <w:spacing w:line="360" w:lineRule="auto"/>
              <w:rPr>
                <w:rFonts w:cs="宋体"/>
                <w:sz w:val="24"/>
                <w:szCs w:val="24"/>
                <w:highlight w:val="none"/>
                <w:lang w:val="en-US"/>
              </w:rPr>
            </w:pPr>
          </w:p>
        </w:tc>
        <w:tc>
          <w:tcPr>
            <w:tcW w:w="997" w:type="dxa"/>
          </w:tcPr>
          <w:p>
            <w:pPr>
              <w:pStyle w:val="89"/>
              <w:spacing w:line="360" w:lineRule="auto"/>
              <w:rPr>
                <w:rFonts w:cs="宋体"/>
                <w:sz w:val="24"/>
                <w:szCs w:val="24"/>
                <w:highlight w:val="none"/>
                <w:lang w:val="en-US"/>
              </w:rPr>
            </w:pPr>
          </w:p>
        </w:tc>
        <w:tc>
          <w:tcPr>
            <w:tcW w:w="1545" w:type="dxa"/>
          </w:tcPr>
          <w:p>
            <w:pPr>
              <w:pStyle w:val="89"/>
              <w:spacing w:line="360" w:lineRule="auto"/>
              <w:rPr>
                <w:rFonts w:cs="宋体"/>
                <w:sz w:val="24"/>
                <w:szCs w:val="24"/>
                <w:highlight w:val="none"/>
                <w:lang w:val="en-US"/>
              </w:rPr>
            </w:pPr>
          </w:p>
        </w:tc>
        <w:tc>
          <w:tcPr>
            <w:tcW w:w="831" w:type="dxa"/>
          </w:tcPr>
          <w:p>
            <w:pPr>
              <w:pStyle w:val="89"/>
              <w:spacing w:line="360" w:lineRule="auto"/>
              <w:rPr>
                <w:rFonts w:cs="宋体"/>
                <w:sz w:val="24"/>
                <w:szCs w:val="24"/>
                <w:highlight w:val="none"/>
                <w:lang w:val="en-US"/>
              </w:rPr>
            </w:pPr>
          </w:p>
        </w:tc>
        <w:tc>
          <w:tcPr>
            <w:tcW w:w="1270" w:type="dxa"/>
          </w:tcPr>
          <w:p>
            <w:pPr>
              <w:pStyle w:val="89"/>
              <w:spacing w:line="360" w:lineRule="auto"/>
              <w:rPr>
                <w:rFonts w:cs="宋体"/>
                <w:sz w:val="24"/>
                <w:szCs w:val="24"/>
                <w:highlight w:val="none"/>
                <w:lang w:val="en-US"/>
              </w:rPr>
            </w:pPr>
          </w:p>
        </w:tc>
        <w:tc>
          <w:tcPr>
            <w:tcW w:w="955" w:type="dxa"/>
          </w:tcPr>
          <w:p>
            <w:pPr>
              <w:pStyle w:val="89"/>
              <w:spacing w:line="360" w:lineRule="auto"/>
              <w:rPr>
                <w:rFonts w:cs="宋体"/>
                <w:sz w:val="24"/>
                <w:szCs w:val="24"/>
                <w:highlight w:val="none"/>
                <w:lang w:val="en-US"/>
              </w:rPr>
            </w:pPr>
          </w:p>
        </w:tc>
        <w:tc>
          <w:tcPr>
            <w:tcW w:w="1731" w:type="dxa"/>
          </w:tcPr>
          <w:p>
            <w:pPr>
              <w:pStyle w:val="89"/>
              <w:spacing w:line="360" w:lineRule="auto"/>
              <w:rPr>
                <w:rFonts w:cs="宋体"/>
                <w:sz w:val="24"/>
                <w:szCs w:val="24"/>
                <w:highlight w:val="none"/>
                <w:lang w:val="en-US"/>
              </w:rPr>
            </w:pPr>
          </w:p>
        </w:tc>
      </w:tr>
      <w:tr>
        <w:trPr>
          <w:jc w:val="center"/>
        </w:trPr>
        <w:tc>
          <w:tcPr>
            <w:tcW w:w="1271" w:type="dxa"/>
          </w:tcPr>
          <w:p>
            <w:pPr>
              <w:pStyle w:val="89"/>
              <w:spacing w:line="360" w:lineRule="auto"/>
              <w:rPr>
                <w:rFonts w:cs="宋体"/>
                <w:sz w:val="24"/>
                <w:szCs w:val="24"/>
                <w:highlight w:val="none"/>
                <w:lang w:val="en-US"/>
              </w:rPr>
            </w:pPr>
          </w:p>
        </w:tc>
        <w:tc>
          <w:tcPr>
            <w:tcW w:w="997" w:type="dxa"/>
          </w:tcPr>
          <w:p>
            <w:pPr>
              <w:pStyle w:val="89"/>
              <w:spacing w:line="360" w:lineRule="auto"/>
              <w:rPr>
                <w:rFonts w:cs="宋体"/>
                <w:sz w:val="24"/>
                <w:szCs w:val="24"/>
                <w:highlight w:val="none"/>
                <w:lang w:val="en-US"/>
              </w:rPr>
            </w:pPr>
          </w:p>
        </w:tc>
        <w:tc>
          <w:tcPr>
            <w:tcW w:w="1545" w:type="dxa"/>
          </w:tcPr>
          <w:p>
            <w:pPr>
              <w:pStyle w:val="89"/>
              <w:spacing w:line="360" w:lineRule="auto"/>
              <w:rPr>
                <w:rFonts w:cs="宋体"/>
                <w:sz w:val="24"/>
                <w:szCs w:val="24"/>
                <w:highlight w:val="none"/>
                <w:lang w:val="en-US"/>
              </w:rPr>
            </w:pPr>
          </w:p>
        </w:tc>
        <w:tc>
          <w:tcPr>
            <w:tcW w:w="831" w:type="dxa"/>
          </w:tcPr>
          <w:p>
            <w:pPr>
              <w:pStyle w:val="89"/>
              <w:spacing w:line="360" w:lineRule="auto"/>
              <w:rPr>
                <w:rFonts w:cs="宋体"/>
                <w:sz w:val="24"/>
                <w:szCs w:val="24"/>
                <w:highlight w:val="none"/>
                <w:lang w:val="en-US"/>
              </w:rPr>
            </w:pPr>
          </w:p>
        </w:tc>
        <w:tc>
          <w:tcPr>
            <w:tcW w:w="1270" w:type="dxa"/>
          </w:tcPr>
          <w:p>
            <w:pPr>
              <w:pStyle w:val="89"/>
              <w:spacing w:line="360" w:lineRule="auto"/>
              <w:rPr>
                <w:rFonts w:cs="宋体"/>
                <w:sz w:val="24"/>
                <w:szCs w:val="24"/>
                <w:highlight w:val="none"/>
                <w:lang w:val="en-US"/>
              </w:rPr>
            </w:pPr>
          </w:p>
        </w:tc>
        <w:tc>
          <w:tcPr>
            <w:tcW w:w="955" w:type="dxa"/>
          </w:tcPr>
          <w:p>
            <w:pPr>
              <w:pStyle w:val="89"/>
              <w:spacing w:line="360" w:lineRule="auto"/>
              <w:rPr>
                <w:rFonts w:cs="宋体"/>
                <w:sz w:val="24"/>
                <w:szCs w:val="24"/>
                <w:highlight w:val="none"/>
                <w:lang w:val="en-US"/>
              </w:rPr>
            </w:pPr>
          </w:p>
        </w:tc>
        <w:tc>
          <w:tcPr>
            <w:tcW w:w="1731" w:type="dxa"/>
          </w:tcPr>
          <w:p>
            <w:pPr>
              <w:pStyle w:val="89"/>
              <w:spacing w:line="360" w:lineRule="auto"/>
              <w:rPr>
                <w:rFonts w:cs="宋体"/>
                <w:sz w:val="24"/>
                <w:szCs w:val="24"/>
                <w:highlight w:val="none"/>
                <w:lang w:val="en-US"/>
              </w:rPr>
            </w:pPr>
          </w:p>
        </w:tc>
      </w:tr>
      <w:tr>
        <w:trPr>
          <w:jc w:val="center"/>
        </w:trPr>
        <w:tc>
          <w:tcPr>
            <w:tcW w:w="1271" w:type="dxa"/>
          </w:tcPr>
          <w:p>
            <w:pPr>
              <w:pStyle w:val="89"/>
              <w:spacing w:line="360" w:lineRule="auto"/>
              <w:rPr>
                <w:rFonts w:cs="宋体"/>
                <w:sz w:val="24"/>
                <w:szCs w:val="24"/>
                <w:highlight w:val="none"/>
                <w:lang w:val="en-US"/>
              </w:rPr>
            </w:pPr>
          </w:p>
        </w:tc>
        <w:tc>
          <w:tcPr>
            <w:tcW w:w="997" w:type="dxa"/>
          </w:tcPr>
          <w:p>
            <w:pPr>
              <w:pStyle w:val="89"/>
              <w:spacing w:line="360" w:lineRule="auto"/>
              <w:rPr>
                <w:rFonts w:cs="宋体"/>
                <w:sz w:val="24"/>
                <w:szCs w:val="24"/>
                <w:highlight w:val="none"/>
                <w:lang w:val="en-US"/>
              </w:rPr>
            </w:pPr>
          </w:p>
        </w:tc>
        <w:tc>
          <w:tcPr>
            <w:tcW w:w="1545" w:type="dxa"/>
          </w:tcPr>
          <w:p>
            <w:pPr>
              <w:pStyle w:val="89"/>
              <w:spacing w:line="360" w:lineRule="auto"/>
              <w:rPr>
                <w:rFonts w:cs="宋体"/>
                <w:sz w:val="24"/>
                <w:szCs w:val="24"/>
                <w:highlight w:val="none"/>
                <w:lang w:val="en-US"/>
              </w:rPr>
            </w:pPr>
          </w:p>
        </w:tc>
        <w:tc>
          <w:tcPr>
            <w:tcW w:w="831" w:type="dxa"/>
          </w:tcPr>
          <w:p>
            <w:pPr>
              <w:pStyle w:val="89"/>
              <w:spacing w:line="360" w:lineRule="auto"/>
              <w:rPr>
                <w:rFonts w:cs="宋体"/>
                <w:sz w:val="24"/>
                <w:szCs w:val="24"/>
                <w:highlight w:val="none"/>
                <w:lang w:val="en-US"/>
              </w:rPr>
            </w:pPr>
          </w:p>
        </w:tc>
        <w:tc>
          <w:tcPr>
            <w:tcW w:w="1270" w:type="dxa"/>
          </w:tcPr>
          <w:p>
            <w:pPr>
              <w:pStyle w:val="89"/>
              <w:spacing w:line="360" w:lineRule="auto"/>
              <w:rPr>
                <w:rFonts w:cs="宋体"/>
                <w:sz w:val="24"/>
                <w:szCs w:val="24"/>
                <w:highlight w:val="none"/>
                <w:lang w:val="en-US"/>
              </w:rPr>
            </w:pPr>
          </w:p>
        </w:tc>
        <w:tc>
          <w:tcPr>
            <w:tcW w:w="955" w:type="dxa"/>
          </w:tcPr>
          <w:p>
            <w:pPr>
              <w:pStyle w:val="89"/>
              <w:spacing w:line="360" w:lineRule="auto"/>
              <w:rPr>
                <w:rFonts w:cs="宋体"/>
                <w:sz w:val="24"/>
                <w:szCs w:val="24"/>
                <w:highlight w:val="none"/>
                <w:lang w:val="en-US"/>
              </w:rPr>
            </w:pPr>
          </w:p>
        </w:tc>
        <w:tc>
          <w:tcPr>
            <w:tcW w:w="1731" w:type="dxa"/>
          </w:tcPr>
          <w:p>
            <w:pPr>
              <w:pStyle w:val="89"/>
              <w:spacing w:line="360" w:lineRule="auto"/>
              <w:rPr>
                <w:rFonts w:cs="宋体"/>
                <w:sz w:val="24"/>
                <w:szCs w:val="24"/>
                <w:highlight w:val="none"/>
                <w:lang w:val="en-US"/>
              </w:rPr>
            </w:pPr>
          </w:p>
        </w:tc>
      </w:tr>
      <w:tr>
        <w:trPr>
          <w:jc w:val="center"/>
        </w:trPr>
        <w:tc>
          <w:tcPr>
            <w:tcW w:w="1271" w:type="dxa"/>
          </w:tcPr>
          <w:p>
            <w:pPr>
              <w:pStyle w:val="89"/>
              <w:spacing w:line="360" w:lineRule="auto"/>
              <w:rPr>
                <w:rFonts w:cs="宋体"/>
                <w:sz w:val="24"/>
                <w:szCs w:val="24"/>
                <w:highlight w:val="none"/>
                <w:lang w:val="en-US"/>
              </w:rPr>
            </w:pPr>
          </w:p>
        </w:tc>
        <w:tc>
          <w:tcPr>
            <w:tcW w:w="997" w:type="dxa"/>
          </w:tcPr>
          <w:p>
            <w:pPr>
              <w:pStyle w:val="89"/>
              <w:spacing w:line="360" w:lineRule="auto"/>
              <w:rPr>
                <w:rFonts w:cs="宋体"/>
                <w:sz w:val="24"/>
                <w:szCs w:val="24"/>
                <w:highlight w:val="none"/>
                <w:lang w:val="en-US"/>
              </w:rPr>
            </w:pPr>
          </w:p>
        </w:tc>
        <w:tc>
          <w:tcPr>
            <w:tcW w:w="1545" w:type="dxa"/>
          </w:tcPr>
          <w:p>
            <w:pPr>
              <w:pStyle w:val="89"/>
              <w:spacing w:line="360" w:lineRule="auto"/>
              <w:rPr>
                <w:rFonts w:cs="宋体"/>
                <w:sz w:val="24"/>
                <w:szCs w:val="24"/>
                <w:highlight w:val="none"/>
                <w:lang w:val="en-US"/>
              </w:rPr>
            </w:pPr>
          </w:p>
        </w:tc>
        <w:tc>
          <w:tcPr>
            <w:tcW w:w="831" w:type="dxa"/>
          </w:tcPr>
          <w:p>
            <w:pPr>
              <w:pStyle w:val="89"/>
              <w:spacing w:line="360" w:lineRule="auto"/>
              <w:rPr>
                <w:rFonts w:cs="宋体"/>
                <w:sz w:val="24"/>
                <w:szCs w:val="24"/>
                <w:highlight w:val="none"/>
                <w:lang w:val="en-US"/>
              </w:rPr>
            </w:pPr>
          </w:p>
        </w:tc>
        <w:tc>
          <w:tcPr>
            <w:tcW w:w="1270" w:type="dxa"/>
          </w:tcPr>
          <w:p>
            <w:pPr>
              <w:pStyle w:val="89"/>
              <w:spacing w:line="360" w:lineRule="auto"/>
              <w:rPr>
                <w:rFonts w:cs="宋体"/>
                <w:sz w:val="24"/>
                <w:szCs w:val="24"/>
                <w:highlight w:val="none"/>
                <w:lang w:val="en-US"/>
              </w:rPr>
            </w:pPr>
          </w:p>
        </w:tc>
        <w:tc>
          <w:tcPr>
            <w:tcW w:w="955" w:type="dxa"/>
          </w:tcPr>
          <w:p>
            <w:pPr>
              <w:pStyle w:val="89"/>
              <w:spacing w:line="360" w:lineRule="auto"/>
              <w:rPr>
                <w:rFonts w:cs="宋体"/>
                <w:sz w:val="24"/>
                <w:szCs w:val="24"/>
                <w:highlight w:val="none"/>
                <w:lang w:val="en-US"/>
              </w:rPr>
            </w:pPr>
          </w:p>
        </w:tc>
        <w:tc>
          <w:tcPr>
            <w:tcW w:w="1731" w:type="dxa"/>
          </w:tcPr>
          <w:p>
            <w:pPr>
              <w:pStyle w:val="89"/>
              <w:spacing w:line="360" w:lineRule="auto"/>
              <w:rPr>
                <w:rFonts w:cs="宋体"/>
                <w:sz w:val="24"/>
                <w:szCs w:val="24"/>
                <w:highlight w:val="none"/>
                <w:lang w:val="en-US"/>
              </w:rPr>
            </w:pPr>
          </w:p>
        </w:tc>
      </w:tr>
      <w:tr>
        <w:trPr>
          <w:jc w:val="center"/>
        </w:trPr>
        <w:tc>
          <w:tcPr>
            <w:tcW w:w="1271" w:type="dxa"/>
          </w:tcPr>
          <w:p>
            <w:pPr>
              <w:pStyle w:val="89"/>
              <w:spacing w:line="360" w:lineRule="auto"/>
              <w:rPr>
                <w:rFonts w:cs="宋体"/>
                <w:sz w:val="24"/>
                <w:szCs w:val="24"/>
                <w:highlight w:val="none"/>
                <w:lang w:val="en-US"/>
              </w:rPr>
            </w:pPr>
          </w:p>
        </w:tc>
        <w:tc>
          <w:tcPr>
            <w:tcW w:w="997" w:type="dxa"/>
          </w:tcPr>
          <w:p>
            <w:pPr>
              <w:pStyle w:val="89"/>
              <w:spacing w:line="360" w:lineRule="auto"/>
              <w:rPr>
                <w:rFonts w:cs="宋体"/>
                <w:sz w:val="24"/>
                <w:szCs w:val="24"/>
                <w:highlight w:val="none"/>
                <w:lang w:val="en-US"/>
              </w:rPr>
            </w:pPr>
          </w:p>
        </w:tc>
        <w:tc>
          <w:tcPr>
            <w:tcW w:w="1545" w:type="dxa"/>
          </w:tcPr>
          <w:p>
            <w:pPr>
              <w:pStyle w:val="89"/>
              <w:spacing w:line="360" w:lineRule="auto"/>
              <w:rPr>
                <w:rFonts w:cs="宋体"/>
                <w:sz w:val="24"/>
                <w:szCs w:val="24"/>
                <w:highlight w:val="none"/>
                <w:lang w:val="en-US"/>
              </w:rPr>
            </w:pPr>
          </w:p>
        </w:tc>
        <w:tc>
          <w:tcPr>
            <w:tcW w:w="831" w:type="dxa"/>
          </w:tcPr>
          <w:p>
            <w:pPr>
              <w:pStyle w:val="89"/>
              <w:spacing w:line="360" w:lineRule="auto"/>
              <w:rPr>
                <w:rFonts w:cs="宋体"/>
                <w:sz w:val="24"/>
                <w:szCs w:val="24"/>
                <w:highlight w:val="none"/>
                <w:lang w:val="en-US"/>
              </w:rPr>
            </w:pPr>
          </w:p>
        </w:tc>
        <w:tc>
          <w:tcPr>
            <w:tcW w:w="1270" w:type="dxa"/>
          </w:tcPr>
          <w:p>
            <w:pPr>
              <w:pStyle w:val="89"/>
              <w:spacing w:line="360" w:lineRule="auto"/>
              <w:rPr>
                <w:rFonts w:cs="宋体"/>
                <w:sz w:val="24"/>
                <w:szCs w:val="24"/>
                <w:highlight w:val="none"/>
                <w:lang w:val="en-US"/>
              </w:rPr>
            </w:pPr>
          </w:p>
        </w:tc>
        <w:tc>
          <w:tcPr>
            <w:tcW w:w="955" w:type="dxa"/>
          </w:tcPr>
          <w:p>
            <w:pPr>
              <w:pStyle w:val="89"/>
              <w:spacing w:line="360" w:lineRule="auto"/>
              <w:rPr>
                <w:rFonts w:cs="宋体"/>
                <w:sz w:val="24"/>
                <w:szCs w:val="24"/>
                <w:highlight w:val="none"/>
                <w:lang w:val="en-US"/>
              </w:rPr>
            </w:pPr>
          </w:p>
        </w:tc>
        <w:tc>
          <w:tcPr>
            <w:tcW w:w="1731" w:type="dxa"/>
          </w:tcPr>
          <w:p>
            <w:pPr>
              <w:pStyle w:val="89"/>
              <w:spacing w:line="360" w:lineRule="auto"/>
              <w:rPr>
                <w:rFonts w:cs="宋体"/>
                <w:sz w:val="24"/>
                <w:szCs w:val="24"/>
                <w:highlight w:val="none"/>
                <w:lang w:val="en-US"/>
              </w:rPr>
            </w:pPr>
          </w:p>
        </w:tc>
      </w:tr>
      <w:tr>
        <w:trPr>
          <w:jc w:val="center"/>
        </w:trPr>
        <w:tc>
          <w:tcPr>
            <w:tcW w:w="1271" w:type="dxa"/>
          </w:tcPr>
          <w:p>
            <w:pPr>
              <w:pStyle w:val="89"/>
              <w:spacing w:line="360" w:lineRule="auto"/>
              <w:rPr>
                <w:rFonts w:cs="宋体"/>
                <w:sz w:val="24"/>
                <w:szCs w:val="24"/>
                <w:highlight w:val="none"/>
                <w:lang w:val="en-US"/>
              </w:rPr>
            </w:pPr>
          </w:p>
        </w:tc>
        <w:tc>
          <w:tcPr>
            <w:tcW w:w="997" w:type="dxa"/>
          </w:tcPr>
          <w:p>
            <w:pPr>
              <w:pStyle w:val="89"/>
              <w:spacing w:line="360" w:lineRule="auto"/>
              <w:rPr>
                <w:rFonts w:cs="宋体"/>
                <w:sz w:val="24"/>
                <w:szCs w:val="24"/>
                <w:highlight w:val="none"/>
                <w:lang w:val="en-US"/>
              </w:rPr>
            </w:pPr>
          </w:p>
        </w:tc>
        <w:tc>
          <w:tcPr>
            <w:tcW w:w="1545" w:type="dxa"/>
          </w:tcPr>
          <w:p>
            <w:pPr>
              <w:pStyle w:val="89"/>
              <w:spacing w:line="360" w:lineRule="auto"/>
              <w:rPr>
                <w:rFonts w:cs="宋体"/>
                <w:sz w:val="24"/>
                <w:szCs w:val="24"/>
                <w:highlight w:val="none"/>
                <w:lang w:val="en-US"/>
              </w:rPr>
            </w:pPr>
          </w:p>
        </w:tc>
        <w:tc>
          <w:tcPr>
            <w:tcW w:w="831" w:type="dxa"/>
          </w:tcPr>
          <w:p>
            <w:pPr>
              <w:pStyle w:val="89"/>
              <w:spacing w:line="360" w:lineRule="auto"/>
              <w:rPr>
                <w:rFonts w:cs="宋体"/>
                <w:sz w:val="24"/>
                <w:szCs w:val="24"/>
                <w:highlight w:val="none"/>
                <w:lang w:val="en-US"/>
              </w:rPr>
            </w:pPr>
          </w:p>
        </w:tc>
        <w:tc>
          <w:tcPr>
            <w:tcW w:w="1270" w:type="dxa"/>
          </w:tcPr>
          <w:p>
            <w:pPr>
              <w:pStyle w:val="89"/>
              <w:spacing w:line="360" w:lineRule="auto"/>
              <w:rPr>
                <w:rFonts w:cs="宋体"/>
                <w:sz w:val="24"/>
                <w:szCs w:val="24"/>
                <w:highlight w:val="none"/>
                <w:lang w:val="en-US"/>
              </w:rPr>
            </w:pPr>
          </w:p>
        </w:tc>
        <w:tc>
          <w:tcPr>
            <w:tcW w:w="955" w:type="dxa"/>
          </w:tcPr>
          <w:p>
            <w:pPr>
              <w:pStyle w:val="89"/>
              <w:spacing w:line="360" w:lineRule="auto"/>
              <w:rPr>
                <w:rFonts w:cs="宋体"/>
                <w:sz w:val="24"/>
                <w:szCs w:val="24"/>
                <w:highlight w:val="none"/>
                <w:lang w:val="en-US"/>
              </w:rPr>
            </w:pPr>
          </w:p>
        </w:tc>
        <w:tc>
          <w:tcPr>
            <w:tcW w:w="1731" w:type="dxa"/>
          </w:tcPr>
          <w:p>
            <w:pPr>
              <w:pStyle w:val="89"/>
              <w:spacing w:line="360" w:lineRule="auto"/>
              <w:rPr>
                <w:rFonts w:cs="宋体"/>
                <w:sz w:val="24"/>
                <w:szCs w:val="24"/>
                <w:highlight w:val="none"/>
                <w:lang w:val="en-US"/>
              </w:rPr>
            </w:pPr>
          </w:p>
        </w:tc>
      </w:tr>
      <w:tr>
        <w:trPr>
          <w:jc w:val="center"/>
        </w:trPr>
        <w:tc>
          <w:tcPr>
            <w:tcW w:w="1271" w:type="dxa"/>
          </w:tcPr>
          <w:p>
            <w:pPr>
              <w:pStyle w:val="89"/>
              <w:spacing w:line="360" w:lineRule="auto"/>
              <w:rPr>
                <w:rFonts w:cs="宋体"/>
                <w:sz w:val="24"/>
                <w:szCs w:val="24"/>
                <w:highlight w:val="none"/>
                <w:lang w:val="en-US"/>
              </w:rPr>
            </w:pPr>
          </w:p>
        </w:tc>
        <w:tc>
          <w:tcPr>
            <w:tcW w:w="997" w:type="dxa"/>
          </w:tcPr>
          <w:p>
            <w:pPr>
              <w:pStyle w:val="89"/>
              <w:spacing w:line="360" w:lineRule="auto"/>
              <w:rPr>
                <w:rFonts w:cs="宋体"/>
                <w:sz w:val="24"/>
                <w:szCs w:val="24"/>
                <w:highlight w:val="none"/>
                <w:lang w:val="en-US"/>
              </w:rPr>
            </w:pPr>
          </w:p>
        </w:tc>
        <w:tc>
          <w:tcPr>
            <w:tcW w:w="1545" w:type="dxa"/>
          </w:tcPr>
          <w:p>
            <w:pPr>
              <w:pStyle w:val="89"/>
              <w:spacing w:line="360" w:lineRule="auto"/>
              <w:rPr>
                <w:rFonts w:cs="宋体"/>
                <w:sz w:val="24"/>
                <w:szCs w:val="24"/>
                <w:highlight w:val="none"/>
                <w:lang w:val="en-US"/>
              </w:rPr>
            </w:pPr>
          </w:p>
        </w:tc>
        <w:tc>
          <w:tcPr>
            <w:tcW w:w="831" w:type="dxa"/>
          </w:tcPr>
          <w:p>
            <w:pPr>
              <w:pStyle w:val="89"/>
              <w:spacing w:line="360" w:lineRule="auto"/>
              <w:rPr>
                <w:rFonts w:cs="宋体"/>
                <w:sz w:val="24"/>
                <w:szCs w:val="24"/>
                <w:highlight w:val="none"/>
                <w:lang w:val="en-US"/>
              </w:rPr>
            </w:pPr>
          </w:p>
        </w:tc>
        <w:tc>
          <w:tcPr>
            <w:tcW w:w="1270" w:type="dxa"/>
          </w:tcPr>
          <w:p>
            <w:pPr>
              <w:pStyle w:val="89"/>
              <w:spacing w:line="360" w:lineRule="auto"/>
              <w:rPr>
                <w:rFonts w:cs="宋体"/>
                <w:sz w:val="24"/>
                <w:szCs w:val="24"/>
                <w:highlight w:val="none"/>
                <w:lang w:val="en-US"/>
              </w:rPr>
            </w:pPr>
          </w:p>
        </w:tc>
        <w:tc>
          <w:tcPr>
            <w:tcW w:w="955" w:type="dxa"/>
          </w:tcPr>
          <w:p>
            <w:pPr>
              <w:pStyle w:val="89"/>
              <w:spacing w:line="360" w:lineRule="auto"/>
              <w:rPr>
                <w:rFonts w:cs="宋体"/>
                <w:sz w:val="24"/>
                <w:szCs w:val="24"/>
                <w:highlight w:val="none"/>
                <w:lang w:val="en-US"/>
              </w:rPr>
            </w:pPr>
          </w:p>
        </w:tc>
        <w:tc>
          <w:tcPr>
            <w:tcW w:w="1731" w:type="dxa"/>
          </w:tcPr>
          <w:p>
            <w:pPr>
              <w:pStyle w:val="89"/>
              <w:spacing w:line="360" w:lineRule="auto"/>
              <w:rPr>
                <w:rFonts w:cs="宋体"/>
                <w:sz w:val="24"/>
                <w:szCs w:val="24"/>
                <w:highlight w:val="none"/>
                <w:lang w:val="en-US"/>
              </w:rPr>
            </w:pPr>
          </w:p>
        </w:tc>
      </w:tr>
      <w:tr>
        <w:trPr>
          <w:jc w:val="center"/>
        </w:trPr>
        <w:tc>
          <w:tcPr>
            <w:tcW w:w="1271" w:type="dxa"/>
          </w:tcPr>
          <w:p>
            <w:pPr>
              <w:pStyle w:val="89"/>
              <w:spacing w:line="360" w:lineRule="auto"/>
              <w:rPr>
                <w:rFonts w:cs="宋体"/>
                <w:sz w:val="24"/>
                <w:szCs w:val="24"/>
                <w:highlight w:val="none"/>
                <w:lang w:val="en-US"/>
              </w:rPr>
            </w:pPr>
          </w:p>
        </w:tc>
        <w:tc>
          <w:tcPr>
            <w:tcW w:w="997" w:type="dxa"/>
          </w:tcPr>
          <w:p>
            <w:pPr>
              <w:pStyle w:val="89"/>
              <w:spacing w:line="360" w:lineRule="auto"/>
              <w:rPr>
                <w:rFonts w:cs="宋体"/>
                <w:sz w:val="24"/>
                <w:szCs w:val="24"/>
                <w:highlight w:val="none"/>
                <w:lang w:val="en-US"/>
              </w:rPr>
            </w:pPr>
          </w:p>
        </w:tc>
        <w:tc>
          <w:tcPr>
            <w:tcW w:w="1545" w:type="dxa"/>
          </w:tcPr>
          <w:p>
            <w:pPr>
              <w:pStyle w:val="89"/>
              <w:spacing w:line="360" w:lineRule="auto"/>
              <w:rPr>
                <w:rFonts w:cs="宋体"/>
                <w:sz w:val="24"/>
                <w:szCs w:val="24"/>
                <w:highlight w:val="none"/>
                <w:lang w:val="en-US"/>
              </w:rPr>
            </w:pPr>
          </w:p>
        </w:tc>
        <w:tc>
          <w:tcPr>
            <w:tcW w:w="831" w:type="dxa"/>
          </w:tcPr>
          <w:p>
            <w:pPr>
              <w:pStyle w:val="89"/>
              <w:spacing w:line="360" w:lineRule="auto"/>
              <w:rPr>
                <w:rFonts w:cs="宋体"/>
                <w:sz w:val="24"/>
                <w:szCs w:val="24"/>
                <w:highlight w:val="none"/>
                <w:lang w:val="en-US"/>
              </w:rPr>
            </w:pPr>
          </w:p>
        </w:tc>
        <w:tc>
          <w:tcPr>
            <w:tcW w:w="1270" w:type="dxa"/>
          </w:tcPr>
          <w:p>
            <w:pPr>
              <w:pStyle w:val="89"/>
              <w:spacing w:line="360" w:lineRule="auto"/>
              <w:rPr>
                <w:rFonts w:cs="宋体"/>
                <w:sz w:val="24"/>
                <w:szCs w:val="24"/>
                <w:highlight w:val="none"/>
                <w:lang w:val="en-US"/>
              </w:rPr>
            </w:pPr>
          </w:p>
        </w:tc>
        <w:tc>
          <w:tcPr>
            <w:tcW w:w="955" w:type="dxa"/>
          </w:tcPr>
          <w:p>
            <w:pPr>
              <w:pStyle w:val="89"/>
              <w:spacing w:line="360" w:lineRule="auto"/>
              <w:rPr>
                <w:rFonts w:cs="宋体"/>
                <w:sz w:val="24"/>
                <w:szCs w:val="24"/>
                <w:highlight w:val="none"/>
                <w:lang w:val="en-US"/>
              </w:rPr>
            </w:pPr>
          </w:p>
        </w:tc>
        <w:tc>
          <w:tcPr>
            <w:tcW w:w="1731" w:type="dxa"/>
          </w:tcPr>
          <w:p>
            <w:pPr>
              <w:pStyle w:val="89"/>
              <w:spacing w:line="360" w:lineRule="auto"/>
              <w:rPr>
                <w:rFonts w:cs="宋体"/>
                <w:sz w:val="24"/>
                <w:szCs w:val="24"/>
                <w:highlight w:val="none"/>
                <w:lang w:val="en-US"/>
              </w:rPr>
            </w:pPr>
          </w:p>
        </w:tc>
      </w:tr>
      <w:tr>
        <w:trPr>
          <w:jc w:val="center"/>
        </w:trPr>
        <w:tc>
          <w:tcPr>
            <w:tcW w:w="1271" w:type="dxa"/>
          </w:tcPr>
          <w:p>
            <w:pPr>
              <w:pStyle w:val="89"/>
              <w:spacing w:line="360" w:lineRule="auto"/>
              <w:rPr>
                <w:rFonts w:cs="宋体"/>
                <w:sz w:val="24"/>
                <w:szCs w:val="24"/>
                <w:highlight w:val="none"/>
                <w:lang w:val="en-US"/>
              </w:rPr>
            </w:pPr>
          </w:p>
        </w:tc>
        <w:tc>
          <w:tcPr>
            <w:tcW w:w="997" w:type="dxa"/>
          </w:tcPr>
          <w:p>
            <w:pPr>
              <w:pStyle w:val="89"/>
              <w:spacing w:line="360" w:lineRule="auto"/>
              <w:rPr>
                <w:rFonts w:cs="宋体"/>
                <w:sz w:val="24"/>
                <w:szCs w:val="24"/>
                <w:highlight w:val="none"/>
                <w:lang w:val="en-US"/>
              </w:rPr>
            </w:pPr>
          </w:p>
        </w:tc>
        <w:tc>
          <w:tcPr>
            <w:tcW w:w="1545" w:type="dxa"/>
          </w:tcPr>
          <w:p>
            <w:pPr>
              <w:pStyle w:val="89"/>
              <w:spacing w:line="360" w:lineRule="auto"/>
              <w:rPr>
                <w:rFonts w:cs="宋体"/>
                <w:sz w:val="24"/>
                <w:szCs w:val="24"/>
                <w:highlight w:val="none"/>
                <w:lang w:val="en-US"/>
              </w:rPr>
            </w:pPr>
          </w:p>
        </w:tc>
        <w:tc>
          <w:tcPr>
            <w:tcW w:w="831" w:type="dxa"/>
          </w:tcPr>
          <w:p>
            <w:pPr>
              <w:pStyle w:val="89"/>
              <w:spacing w:line="360" w:lineRule="auto"/>
              <w:rPr>
                <w:rFonts w:cs="宋体"/>
                <w:sz w:val="24"/>
                <w:szCs w:val="24"/>
                <w:highlight w:val="none"/>
                <w:lang w:val="en-US"/>
              </w:rPr>
            </w:pPr>
          </w:p>
        </w:tc>
        <w:tc>
          <w:tcPr>
            <w:tcW w:w="1270" w:type="dxa"/>
          </w:tcPr>
          <w:p>
            <w:pPr>
              <w:pStyle w:val="89"/>
              <w:spacing w:line="360" w:lineRule="auto"/>
              <w:rPr>
                <w:rFonts w:cs="宋体"/>
                <w:sz w:val="24"/>
                <w:szCs w:val="24"/>
                <w:highlight w:val="none"/>
                <w:lang w:val="en-US"/>
              </w:rPr>
            </w:pPr>
          </w:p>
        </w:tc>
        <w:tc>
          <w:tcPr>
            <w:tcW w:w="955" w:type="dxa"/>
          </w:tcPr>
          <w:p>
            <w:pPr>
              <w:pStyle w:val="89"/>
              <w:spacing w:line="360" w:lineRule="auto"/>
              <w:rPr>
                <w:rFonts w:cs="宋体"/>
                <w:sz w:val="24"/>
                <w:szCs w:val="24"/>
                <w:highlight w:val="none"/>
                <w:lang w:val="en-US"/>
              </w:rPr>
            </w:pPr>
          </w:p>
        </w:tc>
        <w:tc>
          <w:tcPr>
            <w:tcW w:w="1731" w:type="dxa"/>
          </w:tcPr>
          <w:p>
            <w:pPr>
              <w:pStyle w:val="89"/>
              <w:spacing w:line="360" w:lineRule="auto"/>
              <w:rPr>
                <w:rFonts w:cs="宋体"/>
                <w:sz w:val="24"/>
                <w:szCs w:val="24"/>
                <w:highlight w:val="none"/>
                <w:lang w:val="en-US"/>
              </w:rPr>
            </w:pPr>
          </w:p>
        </w:tc>
      </w:tr>
      <w:tr>
        <w:trPr>
          <w:jc w:val="center"/>
        </w:trPr>
        <w:tc>
          <w:tcPr>
            <w:tcW w:w="1271" w:type="dxa"/>
          </w:tcPr>
          <w:p>
            <w:pPr>
              <w:pStyle w:val="89"/>
              <w:spacing w:line="360" w:lineRule="auto"/>
              <w:rPr>
                <w:rFonts w:cs="宋体"/>
                <w:sz w:val="24"/>
                <w:szCs w:val="24"/>
                <w:highlight w:val="none"/>
                <w:lang w:val="en-US"/>
              </w:rPr>
            </w:pPr>
          </w:p>
        </w:tc>
        <w:tc>
          <w:tcPr>
            <w:tcW w:w="997" w:type="dxa"/>
          </w:tcPr>
          <w:p>
            <w:pPr>
              <w:pStyle w:val="89"/>
              <w:spacing w:line="360" w:lineRule="auto"/>
              <w:rPr>
                <w:rFonts w:cs="宋体"/>
                <w:sz w:val="24"/>
                <w:szCs w:val="24"/>
                <w:highlight w:val="none"/>
                <w:lang w:val="en-US"/>
              </w:rPr>
            </w:pPr>
          </w:p>
        </w:tc>
        <w:tc>
          <w:tcPr>
            <w:tcW w:w="1545" w:type="dxa"/>
          </w:tcPr>
          <w:p>
            <w:pPr>
              <w:pStyle w:val="89"/>
              <w:spacing w:line="360" w:lineRule="auto"/>
              <w:rPr>
                <w:rFonts w:cs="宋体"/>
                <w:sz w:val="24"/>
                <w:szCs w:val="24"/>
                <w:highlight w:val="none"/>
                <w:lang w:val="en-US"/>
              </w:rPr>
            </w:pPr>
          </w:p>
        </w:tc>
        <w:tc>
          <w:tcPr>
            <w:tcW w:w="831" w:type="dxa"/>
          </w:tcPr>
          <w:p>
            <w:pPr>
              <w:pStyle w:val="89"/>
              <w:spacing w:line="360" w:lineRule="auto"/>
              <w:rPr>
                <w:rFonts w:cs="宋体"/>
                <w:sz w:val="24"/>
                <w:szCs w:val="24"/>
                <w:highlight w:val="none"/>
                <w:lang w:val="en-US"/>
              </w:rPr>
            </w:pPr>
          </w:p>
        </w:tc>
        <w:tc>
          <w:tcPr>
            <w:tcW w:w="1270" w:type="dxa"/>
          </w:tcPr>
          <w:p>
            <w:pPr>
              <w:pStyle w:val="89"/>
              <w:spacing w:line="360" w:lineRule="auto"/>
              <w:rPr>
                <w:rFonts w:cs="宋体"/>
                <w:sz w:val="24"/>
                <w:szCs w:val="24"/>
                <w:highlight w:val="none"/>
                <w:lang w:val="en-US"/>
              </w:rPr>
            </w:pPr>
          </w:p>
        </w:tc>
        <w:tc>
          <w:tcPr>
            <w:tcW w:w="955" w:type="dxa"/>
          </w:tcPr>
          <w:p>
            <w:pPr>
              <w:pStyle w:val="89"/>
              <w:spacing w:line="360" w:lineRule="auto"/>
              <w:rPr>
                <w:rFonts w:cs="宋体"/>
                <w:sz w:val="24"/>
                <w:szCs w:val="24"/>
                <w:highlight w:val="none"/>
                <w:lang w:val="en-US"/>
              </w:rPr>
            </w:pPr>
          </w:p>
        </w:tc>
        <w:tc>
          <w:tcPr>
            <w:tcW w:w="1731" w:type="dxa"/>
          </w:tcPr>
          <w:p>
            <w:pPr>
              <w:pStyle w:val="89"/>
              <w:spacing w:line="360" w:lineRule="auto"/>
              <w:rPr>
                <w:rFonts w:cs="宋体"/>
                <w:sz w:val="24"/>
                <w:szCs w:val="24"/>
                <w:highlight w:val="none"/>
                <w:lang w:val="en-US"/>
              </w:rPr>
            </w:pPr>
          </w:p>
        </w:tc>
      </w:tr>
      <w:tr>
        <w:trPr>
          <w:jc w:val="center"/>
        </w:trPr>
        <w:tc>
          <w:tcPr>
            <w:tcW w:w="1271" w:type="dxa"/>
          </w:tcPr>
          <w:p>
            <w:pPr>
              <w:pStyle w:val="89"/>
              <w:spacing w:line="360" w:lineRule="auto"/>
              <w:rPr>
                <w:rFonts w:cs="宋体"/>
                <w:sz w:val="24"/>
                <w:szCs w:val="24"/>
                <w:highlight w:val="none"/>
                <w:lang w:val="en-US"/>
              </w:rPr>
            </w:pPr>
          </w:p>
        </w:tc>
        <w:tc>
          <w:tcPr>
            <w:tcW w:w="997" w:type="dxa"/>
          </w:tcPr>
          <w:p>
            <w:pPr>
              <w:pStyle w:val="89"/>
              <w:spacing w:line="360" w:lineRule="auto"/>
              <w:rPr>
                <w:rFonts w:cs="宋体"/>
                <w:sz w:val="24"/>
                <w:szCs w:val="24"/>
                <w:highlight w:val="none"/>
                <w:lang w:val="en-US"/>
              </w:rPr>
            </w:pPr>
          </w:p>
        </w:tc>
        <w:tc>
          <w:tcPr>
            <w:tcW w:w="1545" w:type="dxa"/>
          </w:tcPr>
          <w:p>
            <w:pPr>
              <w:pStyle w:val="89"/>
              <w:spacing w:line="360" w:lineRule="auto"/>
              <w:rPr>
                <w:rFonts w:cs="宋体"/>
                <w:sz w:val="24"/>
                <w:szCs w:val="24"/>
                <w:highlight w:val="none"/>
                <w:lang w:val="en-US"/>
              </w:rPr>
            </w:pPr>
          </w:p>
        </w:tc>
        <w:tc>
          <w:tcPr>
            <w:tcW w:w="831" w:type="dxa"/>
          </w:tcPr>
          <w:p>
            <w:pPr>
              <w:pStyle w:val="89"/>
              <w:spacing w:line="360" w:lineRule="auto"/>
              <w:rPr>
                <w:rFonts w:cs="宋体"/>
                <w:sz w:val="24"/>
                <w:szCs w:val="24"/>
                <w:highlight w:val="none"/>
                <w:lang w:val="en-US"/>
              </w:rPr>
            </w:pPr>
          </w:p>
        </w:tc>
        <w:tc>
          <w:tcPr>
            <w:tcW w:w="1270" w:type="dxa"/>
          </w:tcPr>
          <w:p>
            <w:pPr>
              <w:pStyle w:val="89"/>
              <w:spacing w:line="360" w:lineRule="auto"/>
              <w:rPr>
                <w:rFonts w:cs="宋体"/>
                <w:sz w:val="24"/>
                <w:szCs w:val="24"/>
                <w:highlight w:val="none"/>
                <w:lang w:val="en-US"/>
              </w:rPr>
            </w:pPr>
          </w:p>
        </w:tc>
        <w:tc>
          <w:tcPr>
            <w:tcW w:w="955" w:type="dxa"/>
          </w:tcPr>
          <w:p>
            <w:pPr>
              <w:pStyle w:val="89"/>
              <w:spacing w:line="360" w:lineRule="auto"/>
              <w:rPr>
                <w:rFonts w:cs="宋体"/>
                <w:sz w:val="24"/>
                <w:szCs w:val="24"/>
                <w:highlight w:val="none"/>
                <w:lang w:val="en-US"/>
              </w:rPr>
            </w:pPr>
          </w:p>
        </w:tc>
        <w:tc>
          <w:tcPr>
            <w:tcW w:w="1731" w:type="dxa"/>
          </w:tcPr>
          <w:p>
            <w:pPr>
              <w:pStyle w:val="89"/>
              <w:spacing w:line="360" w:lineRule="auto"/>
              <w:rPr>
                <w:rFonts w:cs="宋体"/>
                <w:sz w:val="24"/>
                <w:szCs w:val="24"/>
                <w:highlight w:val="none"/>
                <w:lang w:val="en-US"/>
              </w:rPr>
            </w:pPr>
          </w:p>
        </w:tc>
      </w:tr>
    </w:tbl>
    <w:p>
      <w:pPr>
        <w:spacing w:after="146" w:afterLines="50"/>
        <w:jc w:val="left"/>
        <w:rPr>
          <w:rFonts w:ascii="宋体" w:hAnsi="宋体" w:cs="宋体"/>
          <w:szCs w:val="21"/>
          <w:highlight w:val="none"/>
        </w:rPr>
      </w:pPr>
    </w:p>
    <w:p>
      <w:pPr>
        <w:spacing w:after="146" w:afterLines="50"/>
        <w:jc w:val="left"/>
        <w:rPr>
          <w:rFonts w:ascii="宋体" w:hAnsi="宋体" w:cs="宋体"/>
          <w:szCs w:val="21"/>
          <w:highlight w:val="none"/>
        </w:rPr>
      </w:pPr>
      <w:r>
        <w:rPr>
          <w:rFonts w:hint="eastAsia" w:ascii="宋体" w:hAnsi="宋体" w:cs="宋体"/>
          <w:szCs w:val="21"/>
          <w:highlight w:val="none"/>
        </w:rPr>
        <w:t>注：</w:t>
      </w:r>
      <w:r>
        <w:rPr>
          <w:rFonts w:hint="eastAsia" w:asciiTheme="minorEastAsia" w:hAnsiTheme="minorEastAsia" w:eastAsiaTheme="minorEastAsia"/>
          <w:szCs w:val="21"/>
          <w:highlight w:val="none"/>
          <w:lang w:bidi="ar"/>
        </w:rPr>
        <w:t>须提供有效期内证书复印件和</w:t>
      </w:r>
      <w:r>
        <w:rPr>
          <w:rFonts w:hint="eastAsia" w:ascii="宋体" w:hAnsi="宋体"/>
          <w:snapToGrid w:val="0"/>
          <w:spacing w:val="-4"/>
          <w:szCs w:val="21"/>
          <w:highlight w:val="none"/>
        </w:rPr>
        <w:t>投标截止日前半年内任意</w:t>
      </w:r>
      <w:r>
        <w:rPr>
          <w:rFonts w:hint="eastAsia" w:ascii="宋体" w:hAnsi="宋体"/>
          <w:snapToGrid w:val="0"/>
          <w:spacing w:val="-4"/>
          <w:szCs w:val="21"/>
          <w:highlight w:val="none"/>
          <w:lang w:val="en-US" w:eastAsia="zh-CN"/>
        </w:rPr>
        <w:t>二</w:t>
      </w:r>
      <w:r>
        <w:rPr>
          <w:rFonts w:hint="eastAsia" w:ascii="宋体" w:hAnsi="宋体"/>
          <w:snapToGrid w:val="0"/>
          <w:spacing w:val="-4"/>
          <w:szCs w:val="21"/>
          <w:highlight w:val="none"/>
        </w:rPr>
        <w:t>个月的社保缴费证明复印件并加盖公章或提供项目团队为投标人本单位人员的承诺函原件</w:t>
      </w:r>
      <w:r>
        <w:rPr>
          <w:rFonts w:hint="eastAsia" w:asciiTheme="minorEastAsia" w:hAnsiTheme="minorEastAsia" w:eastAsiaTheme="minorEastAsia"/>
          <w:szCs w:val="21"/>
          <w:highlight w:val="none"/>
          <w:lang w:bidi="ar"/>
        </w:rPr>
        <w:t>，否则不得分。</w:t>
      </w:r>
    </w:p>
    <w:p>
      <w:pPr>
        <w:pStyle w:val="48"/>
        <w:ind w:firstLine="425"/>
        <w:rPr>
          <w:highlight w:val="none"/>
        </w:rPr>
      </w:pPr>
    </w:p>
    <w:p>
      <w:pPr>
        <w:spacing w:after="146" w:afterLines="50"/>
        <w:jc w:val="left"/>
        <w:rPr>
          <w:rFonts w:ascii="宋体" w:hAnsi="宋体" w:cs="宋体"/>
          <w:b/>
          <w:sz w:val="23"/>
          <w:szCs w:val="23"/>
          <w:highlight w:val="none"/>
        </w:rPr>
      </w:pPr>
    </w:p>
    <w:p>
      <w:pPr>
        <w:spacing w:line="380" w:lineRule="exact"/>
        <w:rPr>
          <w:rFonts w:ascii="宋体" w:hAnsi="宋体" w:cs="宋体"/>
          <w:sz w:val="22"/>
          <w:szCs w:val="22"/>
          <w:highlight w:val="none"/>
        </w:rPr>
      </w:pPr>
      <w:r>
        <w:rPr>
          <w:rFonts w:hint="eastAsia" w:ascii="宋体" w:hAnsi="宋体" w:cs="宋体"/>
          <w:sz w:val="22"/>
          <w:szCs w:val="22"/>
          <w:highlight w:val="none"/>
        </w:rPr>
        <w:t>投标人（公章）：</w:t>
      </w:r>
    </w:p>
    <w:p>
      <w:pPr>
        <w:spacing w:line="380" w:lineRule="exact"/>
        <w:rPr>
          <w:rFonts w:ascii="宋体" w:hAnsi="宋体" w:cs="宋体"/>
          <w:sz w:val="22"/>
          <w:szCs w:val="22"/>
          <w:highlight w:val="none"/>
          <w:u w:val="single"/>
        </w:rPr>
      </w:pPr>
      <w:r>
        <w:rPr>
          <w:rFonts w:hint="eastAsia" w:ascii="宋体" w:hAnsi="宋体" w:cs="宋体"/>
          <w:sz w:val="22"/>
          <w:szCs w:val="22"/>
          <w:highlight w:val="none"/>
        </w:rPr>
        <w:t>投标人代表（签字或印章）：</w:t>
      </w:r>
    </w:p>
    <w:p>
      <w:pPr>
        <w:spacing w:line="380" w:lineRule="exact"/>
        <w:rPr>
          <w:rFonts w:ascii="宋体" w:hAnsi="宋体" w:cs="宋体"/>
          <w:sz w:val="22"/>
          <w:szCs w:val="22"/>
          <w:highlight w:val="none"/>
        </w:rPr>
      </w:pPr>
      <w:r>
        <w:rPr>
          <w:rFonts w:hint="eastAsia" w:ascii="宋体" w:hAnsi="宋体" w:cs="宋体"/>
          <w:sz w:val="22"/>
          <w:szCs w:val="22"/>
          <w:highlight w:val="none"/>
        </w:rPr>
        <w:t>日期：</w:t>
      </w:r>
    </w:p>
    <w:p>
      <w:pPr>
        <w:jc w:val="center"/>
        <w:rPr>
          <w:rFonts w:ascii="宋体" w:hAnsi="宋体"/>
          <w:b/>
          <w:sz w:val="24"/>
          <w:highlight w:val="none"/>
        </w:rPr>
      </w:pPr>
      <w:r>
        <w:rPr>
          <w:rFonts w:ascii="宋体" w:hAnsi="宋体"/>
          <w:b/>
          <w:sz w:val="24"/>
          <w:highlight w:val="none"/>
        </w:rPr>
        <w:br w:type="page"/>
      </w:r>
      <w:r>
        <w:rPr>
          <w:rFonts w:ascii="宋体" w:hAnsi="宋体"/>
          <w:b/>
          <w:sz w:val="24"/>
          <w:highlight w:val="none"/>
        </w:rPr>
        <w:t>1.2</w:t>
      </w:r>
      <w:r>
        <w:rPr>
          <w:rFonts w:hint="eastAsia" w:ascii="宋体" w:hAnsi="宋体"/>
          <w:b/>
          <w:sz w:val="24"/>
          <w:highlight w:val="none"/>
        </w:rPr>
        <w:t>投标人自</w:t>
      </w:r>
      <w:r>
        <w:rPr>
          <w:rFonts w:hint="eastAsia" w:ascii="宋体" w:hAnsi="宋体"/>
          <w:b/>
          <w:i/>
          <w:sz w:val="24"/>
          <w:highlight w:val="none"/>
        </w:rPr>
        <w:t>2020年1月1日</w:t>
      </w:r>
      <w:r>
        <w:rPr>
          <w:rFonts w:hint="eastAsia" w:ascii="宋体" w:hAnsi="宋体"/>
          <w:b/>
          <w:sz w:val="24"/>
          <w:highlight w:val="none"/>
        </w:rPr>
        <w:t>以来项目汇总表</w:t>
      </w:r>
    </w:p>
    <w:tbl>
      <w:tblPr>
        <w:tblStyle w:val="3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trPr>
          <w:trHeight w:val="898" w:hRule="atLeast"/>
        </w:trPr>
        <w:tc>
          <w:tcPr>
            <w:tcW w:w="1242" w:type="dxa"/>
            <w:vAlign w:val="center"/>
          </w:tcPr>
          <w:p>
            <w:pPr>
              <w:pStyle w:val="89"/>
              <w:jc w:val="center"/>
              <w:rPr>
                <w:bCs w:val="0"/>
                <w:sz w:val="24"/>
                <w:szCs w:val="24"/>
                <w:highlight w:val="none"/>
                <w:lang w:val="en-US"/>
              </w:rPr>
            </w:pPr>
            <w:r>
              <w:rPr>
                <w:rFonts w:hint="eastAsia"/>
                <w:bCs w:val="0"/>
                <w:sz w:val="24"/>
                <w:szCs w:val="24"/>
                <w:highlight w:val="none"/>
                <w:lang w:val="en-US"/>
              </w:rPr>
              <w:t>项目序号</w:t>
            </w:r>
          </w:p>
        </w:tc>
        <w:tc>
          <w:tcPr>
            <w:tcW w:w="2268" w:type="dxa"/>
            <w:vAlign w:val="center"/>
          </w:tcPr>
          <w:p>
            <w:pPr>
              <w:pStyle w:val="89"/>
              <w:jc w:val="center"/>
              <w:rPr>
                <w:bCs w:val="0"/>
                <w:sz w:val="24"/>
                <w:szCs w:val="24"/>
                <w:highlight w:val="none"/>
                <w:lang w:val="en-US"/>
              </w:rPr>
            </w:pPr>
            <w:r>
              <w:rPr>
                <w:rFonts w:hint="eastAsia"/>
                <w:bCs w:val="0"/>
                <w:sz w:val="24"/>
                <w:szCs w:val="24"/>
                <w:highlight w:val="none"/>
                <w:lang w:val="en-US"/>
              </w:rPr>
              <w:t>项目名称</w:t>
            </w:r>
          </w:p>
        </w:tc>
        <w:tc>
          <w:tcPr>
            <w:tcW w:w="2268" w:type="dxa"/>
            <w:vAlign w:val="center"/>
          </w:tcPr>
          <w:p>
            <w:pPr>
              <w:pStyle w:val="89"/>
              <w:jc w:val="center"/>
              <w:rPr>
                <w:bCs w:val="0"/>
                <w:sz w:val="24"/>
                <w:szCs w:val="24"/>
                <w:highlight w:val="none"/>
                <w:lang w:val="en-US"/>
              </w:rPr>
            </w:pPr>
            <w:r>
              <w:rPr>
                <w:rFonts w:hint="eastAsia"/>
                <w:bCs w:val="0"/>
                <w:sz w:val="24"/>
                <w:szCs w:val="24"/>
                <w:highlight w:val="none"/>
                <w:lang w:val="en-US"/>
              </w:rPr>
              <w:t>委托人名称</w:t>
            </w:r>
          </w:p>
        </w:tc>
        <w:tc>
          <w:tcPr>
            <w:tcW w:w="2977" w:type="dxa"/>
            <w:vAlign w:val="center"/>
          </w:tcPr>
          <w:p>
            <w:pPr>
              <w:pStyle w:val="89"/>
              <w:jc w:val="center"/>
              <w:rPr>
                <w:bCs w:val="0"/>
                <w:sz w:val="24"/>
                <w:szCs w:val="24"/>
                <w:highlight w:val="none"/>
                <w:lang w:val="en-US"/>
              </w:rPr>
            </w:pPr>
            <w:r>
              <w:rPr>
                <w:rFonts w:hint="eastAsia"/>
                <w:bCs w:val="0"/>
                <w:sz w:val="24"/>
                <w:szCs w:val="24"/>
                <w:highlight w:val="none"/>
                <w:lang w:val="en-US"/>
              </w:rPr>
              <w:t>服务开始和完成日期</w:t>
            </w:r>
          </w:p>
        </w:tc>
      </w:tr>
      <w:tr>
        <w:trPr>
          <w:trHeight w:val="928" w:hRule="atLeast"/>
        </w:trPr>
        <w:tc>
          <w:tcPr>
            <w:tcW w:w="1242"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977" w:type="dxa"/>
            <w:vAlign w:val="center"/>
          </w:tcPr>
          <w:p>
            <w:pPr>
              <w:pStyle w:val="89"/>
              <w:jc w:val="center"/>
              <w:rPr>
                <w:bCs w:val="0"/>
                <w:sz w:val="24"/>
                <w:szCs w:val="24"/>
                <w:highlight w:val="none"/>
                <w:lang w:val="en-US"/>
              </w:rPr>
            </w:pPr>
          </w:p>
        </w:tc>
      </w:tr>
      <w:tr>
        <w:trPr>
          <w:trHeight w:val="928" w:hRule="atLeast"/>
        </w:trPr>
        <w:tc>
          <w:tcPr>
            <w:tcW w:w="1242"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977" w:type="dxa"/>
            <w:vAlign w:val="center"/>
          </w:tcPr>
          <w:p>
            <w:pPr>
              <w:pStyle w:val="89"/>
              <w:jc w:val="center"/>
              <w:rPr>
                <w:bCs w:val="0"/>
                <w:sz w:val="24"/>
                <w:szCs w:val="24"/>
                <w:highlight w:val="none"/>
                <w:lang w:val="en-US"/>
              </w:rPr>
            </w:pPr>
          </w:p>
        </w:tc>
      </w:tr>
      <w:tr>
        <w:trPr>
          <w:trHeight w:val="928" w:hRule="atLeast"/>
        </w:trPr>
        <w:tc>
          <w:tcPr>
            <w:tcW w:w="1242"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977" w:type="dxa"/>
            <w:vAlign w:val="center"/>
          </w:tcPr>
          <w:p>
            <w:pPr>
              <w:pStyle w:val="89"/>
              <w:jc w:val="center"/>
              <w:rPr>
                <w:bCs w:val="0"/>
                <w:sz w:val="24"/>
                <w:szCs w:val="24"/>
                <w:highlight w:val="none"/>
                <w:lang w:val="en-US"/>
              </w:rPr>
            </w:pPr>
          </w:p>
        </w:tc>
      </w:tr>
      <w:tr>
        <w:trPr>
          <w:trHeight w:val="928" w:hRule="atLeast"/>
        </w:trPr>
        <w:tc>
          <w:tcPr>
            <w:tcW w:w="1242"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977" w:type="dxa"/>
            <w:vAlign w:val="center"/>
          </w:tcPr>
          <w:p>
            <w:pPr>
              <w:pStyle w:val="89"/>
              <w:jc w:val="center"/>
              <w:rPr>
                <w:bCs w:val="0"/>
                <w:sz w:val="24"/>
                <w:szCs w:val="24"/>
                <w:highlight w:val="none"/>
                <w:lang w:val="en-US"/>
              </w:rPr>
            </w:pPr>
          </w:p>
        </w:tc>
      </w:tr>
      <w:tr>
        <w:trPr>
          <w:trHeight w:val="928" w:hRule="atLeast"/>
        </w:trPr>
        <w:tc>
          <w:tcPr>
            <w:tcW w:w="1242"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977" w:type="dxa"/>
            <w:vAlign w:val="center"/>
          </w:tcPr>
          <w:p>
            <w:pPr>
              <w:pStyle w:val="89"/>
              <w:jc w:val="center"/>
              <w:rPr>
                <w:bCs w:val="0"/>
                <w:sz w:val="24"/>
                <w:szCs w:val="24"/>
                <w:highlight w:val="none"/>
                <w:lang w:val="en-US"/>
              </w:rPr>
            </w:pPr>
          </w:p>
        </w:tc>
      </w:tr>
      <w:tr>
        <w:trPr>
          <w:trHeight w:val="928" w:hRule="atLeast"/>
        </w:trPr>
        <w:tc>
          <w:tcPr>
            <w:tcW w:w="1242"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977" w:type="dxa"/>
            <w:vAlign w:val="center"/>
          </w:tcPr>
          <w:p>
            <w:pPr>
              <w:pStyle w:val="89"/>
              <w:jc w:val="center"/>
              <w:rPr>
                <w:bCs w:val="0"/>
                <w:sz w:val="24"/>
                <w:szCs w:val="24"/>
                <w:highlight w:val="none"/>
                <w:lang w:val="en-US"/>
              </w:rPr>
            </w:pPr>
          </w:p>
        </w:tc>
      </w:tr>
      <w:tr>
        <w:trPr>
          <w:trHeight w:val="928" w:hRule="atLeast"/>
        </w:trPr>
        <w:tc>
          <w:tcPr>
            <w:tcW w:w="1242"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977" w:type="dxa"/>
            <w:vAlign w:val="center"/>
          </w:tcPr>
          <w:p>
            <w:pPr>
              <w:pStyle w:val="89"/>
              <w:jc w:val="center"/>
              <w:rPr>
                <w:bCs w:val="0"/>
                <w:sz w:val="24"/>
                <w:szCs w:val="24"/>
                <w:highlight w:val="none"/>
                <w:lang w:val="en-US"/>
              </w:rPr>
            </w:pPr>
          </w:p>
        </w:tc>
      </w:tr>
      <w:tr>
        <w:trPr>
          <w:trHeight w:val="898" w:hRule="atLeast"/>
        </w:trPr>
        <w:tc>
          <w:tcPr>
            <w:tcW w:w="1242"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977" w:type="dxa"/>
            <w:vAlign w:val="center"/>
          </w:tcPr>
          <w:p>
            <w:pPr>
              <w:pStyle w:val="89"/>
              <w:jc w:val="center"/>
              <w:rPr>
                <w:bCs w:val="0"/>
                <w:sz w:val="24"/>
                <w:szCs w:val="24"/>
                <w:highlight w:val="none"/>
                <w:lang w:val="en-US"/>
              </w:rPr>
            </w:pPr>
          </w:p>
        </w:tc>
      </w:tr>
      <w:tr>
        <w:trPr>
          <w:trHeight w:val="958" w:hRule="atLeast"/>
        </w:trPr>
        <w:tc>
          <w:tcPr>
            <w:tcW w:w="1242"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268" w:type="dxa"/>
            <w:vAlign w:val="center"/>
          </w:tcPr>
          <w:p>
            <w:pPr>
              <w:pStyle w:val="89"/>
              <w:jc w:val="center"/>
              <w:rPr>
                <w:bCs w:val="0"/>
                <w:sz w:val="24"/>
                <w:szCs w:val="24"/>
                <w:highlight w:val="none"/>
                <w:lang w:val="en-US"/>
              </w:rPr>
            </w:pPr>
          </w:p>
        </w:tc>
        <w:tc>
          <w:tcPr>
            <w:tcW w:w="2977" w:type="dxa"/>
            <w:vAlign w:val="center"/>
          </w:tcPr>
          <w:p>
            <w:pPr>
              <w:pStyle w:val="89"/>
              <w:jc w:val="center"/>
              <w:rPr>
                <w:bCs w:val="0"/>
                <w:sz w:val="24"/>
                <w:szCs w:val="24"/>
                <w:highlight w:val="none"/>
                <w:lang w:val="en-US"/>
              </w:rPr>
            </w:pPr>
          </w:p>
        </w:tc>
      </w:tr>
    </w:tbl>
    <w:p>
      <w:pPr>
        <w:spacing w:line="380" w:lineRule="exact"/>
        <w:rPr>
          <w:rFonts w:ascii="宋体" w:hAnsi="宋体"/>
          <w:sz w:val="22"/>
          <w:szCs w:val="22"/>
          <w:highlight w:val="none"/>
        </w:rPr>
      </w:pPr>
      <w:r>
        <w:rPr>
          <w:rFonts w:hint="eastAsia" w:ascii="宋体" w:hAnsi="宋体"/>
          <w:sz w:val="22"/>
          <w:szCs w:val="22"/>
          <w:highlight w:val="none"/>
        </w:rPr>
        <w:t>注：表后附合同复印件加盖公章，时间以合同签订时间为准。</w:t>
      </w:r>
    </w:p>
    <w:p>
      <w:pPr>
        <w:pStyle w:val="36"/>
        <w:ind w:firstLine="405"/>
        <w:rPr>
          <w:highlight w:val="none"/>
        </w:rPr>
      </w:pPr>
    </w:p>
    <w:p>
      <w:pPr>
        <w:spacing w:line="380" w:lineRule="exact"/>
        <w:rPr>
          <w:rFonts w:ascii="宋体" w:hAnsi="宋体"/>
          <w:sz w:val="22"/>
          <w:szCs w:val="22"/>
          <w:highlight w:val="none"/>
        </w:rPr>
      </w:pPr>
      <w:r>
        <w:rPr>
          <w:rFonts w:hint="eastAsia" w:ascii="宋体" w:hAnsi="宋体"/>
          <w:sz w:val="22"/>
          <w:szCs w:val="22"/>
          <w:highlight w:val="none"/>
        </w:rPr>
        <w:t>投标人（公章）：</w:t>
      </w:r>
    </w:p>
    <w:p>
      <w:pPr>
        <w:spacing w:line="380" w:lineRule="exact"/>
        <w:rPr>
          <w:rFonts w:ascii="宋体" w:hAnsi="宋体"/>
          <w:sz w:val="22"/>
          <w:szCs w:val="22"/>
          <w:highlight w:val="none"/>
          <w:u w:val="single"/>
        </w:rPr>
      </w:pPr>
      <w:r>
        <w:rPr>
          <w:rFonts w:hint="eastAsia" w:ascii="宋体" w:hAnsi="宋体"/>
          <w:sz w:val="22"/>
          <w:szCs w:val="22"/>
          <w:highlight w:val="none"/>
        </w:rPr>
        <w:t>投标人代表（签字或印章）：</w:t>
      </w:r>
    </w:p>
    <w:p>
      <w:pPr>
        <w:spacing w:line="380" w:lineRule="exact"/>
        <w:rPr>
          <w:rFonts w:ascii="宋体" w:hAnsi="宋体"/>
          <w:sz w:val="22"/>
          <w:szCs w:val="22"/>
          <w:highlight w:val="none"/>
          <w:u w:val="single"/>
        </w:rPr>
      </w:pPr>
      <w:r>
        <w:rPr>
          <w:rFonts w:hint="eastAsia" w:ascii="宋体"/>
          <w:sz w:val="22"/>
          <w:szCs w:val="22"/>
          <w:highlight w:val="none"/>
        </w:rPr>
        <w:t>日期：</w:t>
      </w:r>
    </w:p>
    <w:p>
      <w:pPr>
        <w:rPr>
          <w:highlight w:val="none"/>
        </w:rPr>
      </w:pPr>
    </w:p>
    <w:p>
      <w:pPr>
        <w:rPr>
          <w:highlight w:val="none"/>
        </w:rPr>
      </w:pPr>
    </w:p>
    <w:p>
      <w:pPr>
        <w:rPr>
          <w:highlight w:val="none"/>
        </w:rPr>
      </w:pPr>
    </w:p>
    <w:p>
      <w:pPr>
        <w:rPr>
          <w:highlight w:val="none"/>
        </w:rPr>
      </w:pPr>
    </w:p>
    <w:p>
      <w:pPr>
        <w:spacing w:line="360" w:lineRule="auto"/>
        <w:jc w:val="center"/>
        <w:rPr>
          <w:rFonts w:ascii="宋体" w:hAnsi="宋体" w:cs="宋体"/>
          <w:b/>
          <w:sz w:val="48"/>
          <w:szCs w:val="48"/>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资格证明文件</w:t>
      </w:r>
    </w:p>
    <w:p>
      <w:pPr>
        <w:spacing w:line="360" w:lineRule="auto"/>
        <w:rPr>
          <w:rFonts w:ascii="宋体" w:hAnsi="宋体" w:cs="宋体"/>
          <w:sz w:val="28"/>
          <w:szCs w:val="28"/>
          <w:highlight w:val="none"/>
        </w:rPr>
      </w:pPr>
      <w:r>
        <w:rPr>
          <w:rFonts w:hint="eastAsia" w:ascii="宋体" w:hAnsi="宋体" w:cs="宋体"/>
          <w:sz w:val="28"/>
          <w:szCs w:val="28"/>
          <w:highlight w:val="none"/>
        </w:rPr>
        <w:t>封面</w:t>
      </w:r>
    </w:p>
    <w:p>
      <w:pPr>
        <w:spacing w:line="360" w:lineRule="auto"/>
        <w:ind w:firstLine="560"/>
        <w:jc w:val="right"/>
        <w:rPr>
          <w:rFonts w:ascii="宋体" w:hAnsi="宋体" w:cs="宋体"/>
          <w:sz w:val="28"/>
          <w:highlight w:val="none"/>
        </w:rPr>
      </w:pPr>
    </w:p>
    <w:p>
      <w:pPr>
        <w:spacing w:line="360" w:lineRule="auto"/>
        <w:ind w:firstLine="1288" w:firstLineChars="400"/>
        <w:rPr>
          <w:rFonts w:ascii="宋体" w:hAnsi="宋体" w:cs="宋体"/>
          <w:sz w:val="32"/>
          <w:highlight w:val="none"/>
        </w:rPr>
      </w:pPr>
    </w:p>
    <w:p>
      <w:pPr>
        <w:spacing w:line="360" w:lineRule="auto"/>
        <w:jc w:val="center"/>
        <w:rPr>
          <w:rFonts w:ascii="宋体" w:hAnsi="宋体" w:cs="宋体"/>
          <w:sz w:val="28"/>
          <w:highlight w:val="none"/>
          <w:u w:val="single"/>
        </w:rPr>
      </w:pPr>
      <w:r>
        <w:rPr>
          <w:rFonts w:hint="eastAsia" w:ascii="宋体" w:hAnsi="宋体" w:cs="宋体"/>
          <w:sz w:val="28"/>
          <w:highlight w:val="none"/>
          <w:u w:val="single"/>
        </w:rPr>
        <w:t>________________________________________  ________</w:t>
      </w:r>
      <w:r>
        <w:rPr>
          <w:rFonts w:hint="eastAsia" w:ascii="宋体" w:hAnsi="宋体" w:cs="宋体"/>
          <w:sz w:val="28"/>
          <w:highlight w:val="none"/>
        </w:rPr>
        <w:t>项目</w:t>
      </w:r>
    </w:p>
    <w:p>
      <w:pPr>
        <w:spacing w:line="360" w:lineRule="auto"/>
        <w:ind w:firstLine="1288" w:firstLineChars="400"/>
        <w:rPr>
          <w:rFonts w:ascii="宋体" w:hAnsi="宋体" w:cs="宋体"/>
          <w:sz w:val="32"/>
          <w:highlight w:val="none"/>
        </w:rPr>
      </w:pPr>
    </w:p>
    <w:p>
      <w:pPr>
        <w:spacing w:line="360" w:lineRule="auto"/>
        <w:ind w:firstLine="1288" w:firstLineChars="400"/>
        <w:rPr>
          <w:rFonts w:ascii="宋体" w:hAnsi="宋体" w:cs="宋体"/>
          <w:sz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 标 文 件</w:t>
      </w:r>
    </w:p>
    <w:p>
      <w:pPr>
        <w:spacing w:line="360" w:lineRule="auto"/>
        <w:ind w:firstLine="1692" w:firstLineChars="600"/>
        <w:rPr>
          <w:rFonts w:ascii="宋体" w:hAnsi="宋体" w:cs="宋体"/>
          <w:sz w:val="28"/>
          <w:highlight w:val="none"/>
        </w:rPr>
      </w:pPr>
    </w:p>
    <w:p>
      <w:pPr>
        <w:spacing w:line="360" w:lineRule="auto"/>
        <w:ind w:firstLine="1692" w:firstLineChars="600"/>
        <w:rPr>
          <w:rFonts w:ascii="宋体" w:hAnsi="宋体" w:cs="宋体"/>
          <w:sz w:val="28"/>
          <w:highlight w:val="none"/>
          <w:u w:val="single"/>
        </w:rPr>
      </w:pPr>
      <w:r>
        <w:rPr>
          <w:rFonts w:hint="eastAsia" w:ascii="宋体" w:hAnsi="宋体" w:cs="宋体"/>
          <w:sz w:val="28"/>
          <w:highlight w:val="none"/>
        </w:rPr>
        <w:t>招标编号：</w:t>
      </w:r>
      <w:r>
        <w:rPr>
          <w:rFonts w:hint="eastAsia" w:ascii="宋体" w:hAnsi="宋体" w:cs="宋体"/>
          <w:sz w:val="28"/>
          <w:highlight w:val="none"/>
          <w:u w:val="single"/>
        </w:rPr>
        <w:t>______________</w:t>
      </w:r>
    </w:p>
    <w:p>
      <w:pPr>
        <w:spacing w:line="360" w:lineRule="auto"/>
        <w:ind w:firstLine="1692" w:firstLineChars="600"/>
        <w:rPr>
          <w:rFonts w:ascii="宋体" w:hAnsi="宋体" w:cs="宋体"/>
          <w:sz w:val="28"/>
          <w:highlight w:val="none"/>
          <w:u w:val="single"/>
        </w:rPr>
      </w:pPr>
      <w:r>
        <w:rPr>
          <w:rFonts w:hint="eastAsia" w:ascii="宋体" w:hAnsi="宋体" w:cs="宋体"/>
          <w:sz w:val="28"/>
          <w:highlight w:val="none"/>
        </w:rPr>
        <w:t>标项：</w:t>
      </w:r>
      <w:r>
        <w:rPr>
          <w:rFonts w:hint="eastAsia" w:ascii="宋体" w:hAnsi="宋体" w:cs="宋体"/>
          <w:sz w:val="28"/>
          <w:highlight w:val="none"/>
          <w:u w:val="single"/>
        </w:rPr>
        <w:t>______________</w:t>
      </w:r>
    </w:p>
    <w:p>
      <w:pPr>
        <w:spacing w:line="360" w:lineRule="auto"/>
        <w:ind w:firstLine="1692" w:firstLineChars="600"/>
        <w:rPr>
          <w:rFonts w:ascii="宋体" w:hAnsi="宋体" w:cs="宋体"/>
          <w:sz w:val="28"/>
          <w:szCs w:val="22"/>
          <w:highlight w:val="none"/>
          <w:u w:val="singl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720" w:lineRule="auto"/>
        <w:rPr>
          <w:rFonts w:ascii="宋体" w:hAnsi="宋体" w:cs="宋体"/>
          <w:b/>
          <w:sz w:val="28"/>
          <w:highlight w:val="none"/>
          <w:u w:val="single"/>
        </w:rPr>
      </w:pPr>
      <w:r>
        <w:rPr>
          <w:rFonts w:hint="eastAsia" w:ascii="宋体" w:hAnsi="宋体" w:cs="宋体"/>
          <w:sz w:val="28"/>
          <w:highlight w:val="none"/>
        </w:rPr>
        <w:t>投标文件名称：</w:t>
      </w:r>
      <w:r>
        <w:rPr>
          <w:rFonts w:hint="eastAsia" w:ascii="宋体" w:hAnsi="宋体" w:cs="宋体"/>
          <w:b/>
          <w:sz w:val="28"/>
          <w:highlight w:val="none"/>
          <w:u w:val="single"/>
        </w:rPr>
        <w:t xml:space="preserve">           资格证明文件                      </w:t>
      </w:r>
    </w:p>
    <w:p>
      <w:pPr>
        <w:spacing w:line="720" w:lineRule="auto"/>
        <w:rPr>
          <w:rFonts w:ascii="宋体" w:hAnsi="宋体" w:cs="宋体"/>
          <w:b/>
          <w:sz w:val="28"/>
          <w:highlight w:val="none"/>
        </w:rPr>
      </w:pPr>
      <w:r>
        <w:rPr>
          <w:rFonts w:hint="eastAsia" w:ascii="宋体" w:hAnsi="宋体" w:cs="宋体"/>
          <w:sz w:val="28"/>
          <w:highlight w:val="none"/>
        </w:rPr>
        <w:t>投标人：</w:t>
      </w:r>
      <w:r>
        <w:rPr>
          <w:rFonts w:hint="eastAsia" w:ascii="宋体" w:hAnsi="宋体" w:cs="宋体"/>
          <w:sz w:val="28"/>
          <w:highlight w:val="none"/>
          <w:u w:val="single"/>
        </w:rPr>
        <w:t xml:space="preserve">                                             （盖章） </w:t>
      </w:r>
    </w:p>
    <w:p>
      <w:pPr>
        <w:pStyle w:val="20"/>
        <w:spacing w:line="720" w:lineRule="auto"/>
        <w:ind w:firstLine="0"/>
        <w:rPr>
          <w:rFonts w:ascii="宋体" w:hAnsi="宋体" w:cs="宋体"/>
          <w:b/>
          <w:sz w:val="28"/>
          <w:highlight w:val="none"/>
        </w:rPr>
      </w:pPr>
      <w:r>
        <w:rPr>
          <w:rFonts w:hint="eastAsia" w:ascii="宋体" w:hAnsi="宋体" w:cs="宋体"/>
          <w:sz w:val="28"/>
          <w:highlight w:val="none"/>
        </w:rPr>
        <w:t>日    期：</w:t>
      </w:r>
      <w:r>
        <w:rPr>
          <w:rFonts w:hint="eastAsia" w:ascii="宋体" w:hAnsi="宋体" w:cs="宋体"/>
          <w:sz w:val="28"/>
          <w:highlight w:val="none"/>
          <w:u w:val="single"/>
        </w:rPr>
        <w:t xml:space="preserve">               </w:t>
      </w:r>
      <w:r>
        <w:rPr>
          <w:rFonts w:hint="eastAsia" w:ascii="宋体" w:hAnsi="宋体" w:cs="宋体"/>
          <w:sz w:val="28"/>
          <w:highlight w:val="none"/>
        </w:rPr>
        <w:t>年</w:t>
      </w:r>
      <w:r>
        <w:rPr>
          <w:rFonts w:hint="eastAsia" w:ascii="宋体" w:hAnsi="宋体" w:cs="宋体"/>
          <w:sz w:val="28"/>
          <w:highlight w:val="none"/>
          <w:u w:val="single"/>
        </w:rPr>
        <w:t xml:space="preserve">                </w:t>
      </w:r>
      <w:r>
        <w:rPr>
          <w:rFonts w:hint="eastAsia" w:ascii="宋体" w:hAnsi="宋体" w:cs="宋体"/>
          <w:sz w:val="28"/>
          <w:highlight w:val="none"/>
        </w:rPr>
        <w:t>月</w:t>
      </w:r>
      <w:r>
        <w:rPr>
          <w:rFonts w:hint="eastAsia" w:ascii="宋体" w:hAnsi="宋体" w:cs="宋体"/>
          <w:sz w:val="28"/>
          <w:highlight w:val="none"/>
          <w:u w:val="single"/>
        </w:rPr>
        <w:t xml:space="preserve">           </w:t>
      </w:r>
      <w:r>
        <w:rPr>
          <w:rFonts w:hint="eastAsia" w:ascii="宋体" w:hAnsi="宋体" w:cs="宋体"/>
          <w:b/>
          <w:sz w:val="28"/>
          <w:highlight w:val="none"/>
          <w:u w:val="single"/>
        </w:rPr>
        <w:t xml:space="preserve">   </w:t>
      </w:r>
      <w:r>
        <w:rPr>
          <w:rFonts w:hint="eastAsia" w:ascii="宋体" w:hAnsi="宋体" w:cs="宋体"/>
          <w:sz w:val="28"/>
          <w:highlight w:val="none"/>
        </w:rPr>
        <w:t>日</w:t>
      </w: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资格证明文件，含：</w:t>
      </w:r>
    </w:p>
    <w:p>
      <w:pPr>
        <w:spacing w:line="360" w:lineRule="auto"/>
        <w:rPr>
          <w:rFonts w:ascii="宋体" w:hAnsi="宋体" w:cs="宋体"/>
          <w:szCs w:val="21"/>
          <w:highlight w:val="none"/>
        </w:rPr>
      </w:pPr>
      <w:r>
        <w:rPr>
          <w:rFonts w:hint="eastAsia" w:ascii="宋体" w:hAnsi="宋体" w:cs="宋体"/>
          <w:szCs w:val="21"/>
          <w:highlight w:val="none"/>
        </w:rPr>
        <w:t>(1)资格条件自查表；</w:t>
      </w:r>
    </w:p>
    <w:p>
      <w:pPr>
        <w:spacing w:line="360" w:lineRule="auto"/>
        <w:rPr>
          <w:rFonts w:ascii="宋体" w:hAnsi="宋体" w:cs="宋体"/>
          <w:szCs w:val="21"/>
          <w:highlight w:val="none"/>
        </w:rPr>
      </w:pPr>
      <w:r>
        <w:rPr>
          <w:rFonts w:hint="eastAsia" w:ascii="宋体" w:hAnsi="宋体" w:cs="宋体"/>
          <w:szCs w:val="21"/>
          <w:highlight w:val="none"/>
        </w:rPr>
        <w:t>(2)投标声明书</w:t>
      </w:r>
      <w:r>
        <w:rPr>
          <w:rFonts w:hint="eastAsia" w:ascii="宋体" w:hAnsi="宋体"/>
          <w:szCs w:val="21"/>
          <w:highlight w:val="none"/>
        </w:rPr>
        <w:t>（</w:t>
      </w:r>
      <w:r>
        <w:rPr>
          <w:rFonts w:hint="eastAsia" w:ascii="宋体" w:hAnsi="宋体"/>
          <w:szCs w:val="21"/>
          <w:highlight w:val="none"/>
          <w:lang w:eastAsia="zh-Hans"/>
        </w:rPr>
        <w:t>若</w:t>
      </w:r>
      <w:r>
        <w:rPr>
          <w:rFonts w:hint="eastAsia" w:ascii="宋体" w:hAnsi="宋体"/>
          <w:szCs w:val="21"/>
          <w:highlight w:val="none"/>
        </w:rPr>
        <w:t>联合体投标的，联合体各方均须提供）</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(3)有效的“多证合一”的营业执照（未办理多证合一的提供营业执照、税务登记证、组织机构代码证）副本复印件。投标人如果有名称变更的，应提供由行政主管部门出具的变更证明文件（若联合体投标的，联合体各方均须提供）；</w:t>
      </w:r>
    </w:p>
    <w:p>
      <w:pPr>
        <w:spacing w:line="360" w:lineRule="auto"/>
        <w:rPr>
          <w:rFonts w:ascii="宋体" w:hAnsi="宋体" w:cs="宋体"/>
          <w:szCs w:val="21"/>
          <w:highlight w:val="none"/>
        </w:rPr>
      </w:pPr>
      <w:r>
        <w:rPr>
          <w:rFonts w:hint="eastAsia" w:ascii="宋体" w:hAnsi="宋体" w:cs="宋体"/>
          <w:szCs w:val="21"/>
          <w:highlight w:val="none"/>
        </w:rPr>
        <w:t>(4) 关于资格的承诺函</w:t>
      </w:r>
      <w:r>
        <w:rPr>
          <w:rFonts w:hint="eastAsia" w:ascii="宋体" w:hAnsi="宋体"/>
          <w:szCs w:val="21"/>
          <w:highlight w:val="none"/>
        </w:rPr>
        <w:t>（</w:t>
      </w:r>
      <w:r>
        <w:rPr>
          <w:rFonts w:hint="eastAsia" w:ascii="宋体" w:hAnsi="宋体"/>
          <w:szCs w:val="21"/>
          <w:highlight w:val="none"/>
          <w:lang w:eastAsia="zh-Hans"/>
        </w:rPr>
        <w:t>若</w:t>
      </w:r>
      <w:r>
        <w:rPr>
          <w:rFonts w:hint="eastAsia" w:ascii="宋体" w:hAnsi="宋体"/>
          <w:szCs w:val="21"/>
          <w:highlight w:val="none"/>
        </w:rPr>
        <w:t>联合体投标的，联合体各方均须提供）</w:t>
      </w:r>
      <w:r>
        <w:rPr>
          <w:rFonts w:hint="eastAsia" w:ascii="宋体" w:hAnsi="宋体" w:cs="宋体"/>
          <w:szCs w:val="21"/>
          <w:highlight w:val="none"/>
        </w:rPr>
        <w:t>；</w:t>
      </w:r>
    </w:p>
    <w:p>
      <w:pPr>
        <w:spacing w:line="360" w:lineRule="exact"/>
        <w:rPr>
          <w:rFonts w:ascii="宋体" w:hAnsi="宋体" w:cs="宋体"/>
          <w:szCs w:val="21"/>
          <w:highlight w:val="none"/>
        </w:rPr>
      </w:pPr>
      <w:r>
        <w:rPr>
          <w:rFonts w:hint="eastAsia" w:ascii="宋体" w:hAnsi="宋体" w:cs="宋体"/>
          <w:szCs w:val="21"/>
          <w:highlight w:val="none"/>
        </w:rPr>
        <w:t>(5)投标人的特定条件的证明文件（如有）；</w:t>
      </w:r>
    </w:p>
    <w:p>
      <w:pPr>
        <w:spacing w:line="360" w:lineRule="exact"/>
        <w:rPr>
          <w:rFonts w:ascii="宋体" w:hAnsi="宋体" w:cs="宋体"/>
          <w:szCs w:val="22"/>
          <w:highlight w:val="none"/>
        </w:rPr>
      </w:pPr>
      <w:r>
        <w:rPr>
          <w:rFonts w:hint="eastAsia" w:ascii="宋体" w:hAnsi="宋体" w:cs="宋体"/>
          <w:szCs w:val="22"/>
          <w:highlight w:val="none"/>
        </w:rPr>
        <w:t>(6)</w:t>
      </w:r>
      <w:r>
        <w:rPr>
          <w:rFonts w:hint="eastAsia" w:ascii="宋体" w:hAnsi="宋体" w:cs="宋体"/>
          <w:bCs/>
          <w:szCs w:val="21"/>
          <w:highlight w:val="none"/>
        </w:rPr>
        <w:t>联合体协议书（如需联合体时提供）。</w:t>
      </w:r>
    </w:p>
    <w:p>
      <w:pPr>
        <w:spacing w:line="360" w:lineRule="auto"/>
        <w:rPr>
          <w:rFonts w:ascii="宋体" w:hAnsi="宋体" w:cs="宋体"/>
          <w:szCs w:val="21"/>
          <w:highlight w:val="none"/>
        </w:rPr>
      </w:pPr>
    </w:p>
    <w:p>
      <w:pPr>
        <w:adjustRightInd w:val="0"/>
        <w:snapToGrid w:val="0"/>
        <w:spacing w:line="360" w:lineRule="auto"/>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r>
        <w:rPr>
          <w:rFonts w:ascii="宋体" w:hAnsi="宋体" w:cs="宋体"/>
          <w:b/>
          <w:sz w:val="24"/>
          <w:highlight w:val="none"/>
        </w:rPr>
        <w:br w:type="page"/>
      </w:r>
      <w:r>
        <w:rPr>
          <w:rFonts w:hint="eastAsia" w:ascii="宋体" w:hAnsi="宋体" w:cs="宋体"/>
          <w:b/>
          <w:sz w:val="24"/>
          <w:highlight w:val="none"/>
        </w:rPr>
        <w:t>（一）资格条件自查表</w:t>
      </w:r>
    </w:p>
    <w:p>
      <w:pPr>
        <w:adjustRightInd w:val="0"/>
        <w:snapToGrid w:val="0"/>
        <w:jc w:val="center"/>
        <w:rPr>
          <w:rFonts w:ascii="宋体" w:hAnsi="宋体" w:cs="宋体"/>
          <w:b/>
          <w:sz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2611"/>
      </w:tblGrid>
      <w:tr>
        <w:trPr>
          <w:trHeight w:val="107" w:hRule="atLeast"/>
          <w:jc w:val="center"/>
        </w:trPr>
        <w:tc>
          <w:tcPr>
            <w:tcW w:w="831" w:type="dxa"/>
            <w:vAlign w:val="center"/>
          </w:tcPr>
          <w:p>
            <w:pPr>
              <w:adjustRightInd w:val="0"/>
              <w:snapToGrid w:val="0"/>
              <w:jc w:val="center"/>
              <w:rPr>
                <w:rFonts w:ascii="宋体" w:hAnsi="宋体" w:cs="宋体"/>
                <w:szCs w:val="21"/>
                <w:highlight w:val="none"/>
              </w:rPr>
            </w:pPr>
            <w:r>
              <w:rPr>
                <w:rStyle w:val="40"/>
                <w:rFonts w:hint="eastAsia" w:ascii="宋体" w:hAnsi="宋体" w:cs="宋体"/>
                <w:szCs w:val="21"/>
                <w:highlight w:val="none"/>
              </w:rPr>
              <w:t>评审内容</w:t>
            </w:r>
          </w:p>
        </w:tc>
        <w:tc>
          <w:tcPr>
            <w:tcW w:w="4221" w:type="dxa"/>
            <w:vAlign w:val="center"/>
          </w:tcPr>
          <w:p>
            <w:pPr>
              <w:adjustRightInd w:val="0"/>
              <w:snapToGrid w:val="0"/>
              <w:jc w:val="center"/>
              <w:rPr>
                <w:rFonts w:ascii="宋体" w:hAnsi="宋体" w:cs="宋体"/>
                <w:szCs w:val="21"/>
                <w:highlight w:val="none"/>
              </w:rPr>
            </w:pPr>
            <w:r>
              <w:rPr>
                <w:rStyle w:val="40"/>
                <w:rFonts w:hint="eastAsia" w:ascii="宋体" w:hAnsi="宋体" w:cs="宋体"/>
                <w:szCs w:val="21"/>
                <w:highlight w:val="none"/>
              </w:rPr>
              <w:t>招标文件要求</w:t>
            </w:r>
          </w:p>
        </w:tc>
        <w:tc>
          <w:tcPr>
            <w:tcW w:w="1270" w:type="dxa"/>
            <w:vAlign w:val="center"/>
          </w:tcPr>
          <w:p>
            <w:pPr>
              <w:adjustRightInd w:val="0"/>
              <w:snapToGrid w:val="0"/>
              <w:jc w:val="center"/>
              <w:rPr>
                <w:rFonts w:ascii="宋体" w:hAnsi="宋体" w:cs="宋体"/>
                <w:szCs w:val="21"/>
                <w:highlight w:val="none"/>
              </w:rPr>
            </w:pPr>
            <w:r>
              <w:rPr>
                <w:rStyle w:val="40"/>
                <w:rFonts w:hint="eastAsia" w:ascii="宋体" w:hAnsi="宋体" w:cs="宋体"/>
                <w:szCs w:val="21"/>
                <w:highlight w:val="none"/>
              </w:rPr>
              <w:t>自查结论</w:t>
            </w:r>
          </w:p>
        </w:tc>
        <w:tc>
          <w:tcPr>
            <w:tcW w:w="2611" w:type="dxa"/>
            <w:vAlign w:val="center"/>
          </w:tcPr>
          <w:p>
            <w:pPr>
              <w:adjustRightInd w:val="0"/>
              <w:snapToGrid w:val="0"/>
              <w:jc w:val="center"/>
              <w:rPr>
                <w:rFonts w:ascii="宋体" w:hAnsi="宋体" w:cs="宋体"/>
                <w:szCs w:val="21"/>
                <w:highlight w:val="none"/>
              </w:rPr>
            </w:pPr>
            <w:r>
              <w:rPr>
                <w:rStyle w:val="40"/>
                <w:rFonts w:hint="eastAsia" w:ascii="宋体" w:hAnsi="宋体" w:cs="宋体"/>
                <w:szCs w:val="21"/>
                <w:highlight w:val="none"/>
              </w:rPr>
              <w:t>证明资料</w:t>
            </w:r>
          </w:p>
        </w:tc>
      </w:tr>
      <w:tr>
        <w:trPr>
          <w:trHeight w:val="107" w:hRule="atLeast"/>
          <w:jc w:val="center"/>
        </w:trPr>
        <w:tc>
          <w:tcPr>
            <w:tcW w:w="831" w:type="dxa"/>
            <w:vMerge w:val="restart"/>
            <w:vAlign w:val="center"/>
          </w:tcPr>
          <w:p>
            <w:pPr>
              <w:pStyle w:val="124"/>
              <w:adjustRightInd w:val="0"/>
              <w:snapToGrid w:val="0"/>
              <w:spacing w:before="0" w:beforeAutospacing="0" w:after="0" w:afterAutospacing="0"/>
              <w:jc w:val="center"/>
              <w:rPr>
                <w:rFonts w:cs="宋体"/>
                <w:b/>
                <w:sz w:val="21"/>
                <w:szCs w:val="21"/>
                <w:highlight w:val="none"/>
              </w:rPr>
            </w:pPr>
            <w:r>
              <w:rPr>
                <w:rFonts w:hint="eastAsia" w:cs="宋体"/>
                <w:b/>
                <w:sz w:val="21"/>
                <w:szCs w:val="21"/>
                <w:highlight w:val="none"/>
              </w:rPr>
              <w:t>资</w:t>
            </w:r>
          </w:p>
          <w:p>
            <w:pPr>
              <w:pStyle w:val="124"/>
              <w:adjustRightInd w:val="0"/>
              <w:snapToGrid w:val="0"/>
              <w:spacing w:before="0" w:beforeAutospacing="0" w:after="0" w:afterAutospacing="0"/>
              <w:jc w:val="center"/>
              <w:rPr>
                <w:rFonts w:cs="宋体"/>
                <w:b/>
                <w:sz w:val="21"/>
                <w:szCs w:val="21"/>
                <w:highlight w:val="none"/>
              </w:rPr>
            </w:pPr>
            <w:r>
              <w:rPr>
                <w:rFonts w:hint="eastAsia" w:cs="宋体"/>
                <w:b/>
                <w:sz w:val="21"/>
                <w:szCs w:val="21"/>
                <w:highlight w:val="none"/>
              </w:rPr>
              <w:t>格</w:t>
            </w:r>
          </w:p>
          <w:p>
            <w:pPr>
              <w:pStyle w:val="124"/>
              <w:adjustRightInd w:val="0"/>
              <w:snapToGrid w:val="0"/>
              <w:spacing w:before="0" w:beforeAutospacing="0" w:after="0" w:afterAutospacing="0"/>
              <w:jc w:val="center"/>
              <w:rPr>
                <w:rFonts w:cs="宋体"/>
                <w:b/>
                <w:sz w:val="21"/>
                <w:szCs w:val="21"/>
                <w:highlight w:val="none"/>
              </w:rPr>
            </w:pPr>
            <w:r>
              <w:rPr>
                <w:rFonts w:hint="eastAsia" w:cs="宋体"/>
                <w:b/>
                <w:sz w:val="21"/>
                <w:szCs w:val="21"/>
                <w:highlight w:val="none"/>
              </w:rPr>
              <w:t>性</w:t>
            </w:r>
          </w:p>
          <w:p>
            <w:pPr>
              <w:pStyle w:val="124"/>
              <w:adjustRightInd w:val="0"/>
              <w:snapToGrid w:val="0"/>
              <w:spacing w:before="0" w:beforeAutospacing="0" w:after="0" w:afterAutospacing="0"/>
              <w:jc w:val="center"/>
              <w:rPr>
                <w:rFonts w:cs="宋体"/>
                <w:b/>
                <w:sz w:val="21"/>
                <w:szCs w:val="21"/>
                <w:highlight w:val="none"/>
              </w:rPr>
            </w:pPr>
            <w:r>
              <w:rPr>
                <w:rFonts w:hint="eastAsia" w:cs="宋体"/>
                <w:b/>
                <w:sz w:val="21"/>
                <w:szCs w:val="21"/>
                <w:highlight w:val="none"/>
              </w:rPr>
              <w:t>审</w:t>
            </w:r>
          </w:p>
          <w:p>
            <w:pPr>
              <w:pStyle w:val="124"/>
              <w:adjustRightInd w:val="0"/>
              <w:snapToGrid w:val="0"/>
              <w:spacing w:before="0" w:beforeAutospacing="0" w:after="0" w:afterAutospacing="0"/>
              <w:jc w:val="center"/>
              <w:rPr>
                <w:rFonts w:cs="宋体"/>
                <w:b/>
                <w:sz w:val="21"/>
                <w:szCs w:val="21"/>
                <w:highlight w:val="none"/>
              </w:rPr>
            </w:pPr>
            <w:r>
              <w:rPr>
                <w:rFonts w:hint="eastAsia" w:cs="宋体"/>
                <w:b/>
                <w:sz w:val="21"/>
                <w:szCs w:val="21"/>
                <w:highlight w:val="none"/>
              </w:rPr>
              <w:t>查</w:t>
            </w:r>
          </w:p>
        </w:tc>
        <w:tc>
          <w:tcPr>
            <w:tcW w:w="4221" w:type="dxa"/>
            <w:vAlign w:val="center"/>
          </w:tcPr>
          <w:p>
            <w:pPr>
              <w:adjustRightInd w:val="0"/>
              <w:snapToGrid w:val="0"/>
              <w:rPr>
                <w:rFonts w:ascii="宋体" w:hAnsi="宋体" w:cs="宋体"/>
                <w:szCs w:val="21"/>
                <w:highlight w:val="none"/>
              </w:rPr>
            </w:pPr>
            <w:r>
              <w:rPr>
                <w:rFonts w:hint="eastAsia" w:ascii="宋体" w:hAnsi="宋体" w:cs="宋体"/>
                <w:szCs w:val="21"/>
                <w:highlight w:val="none"/>
              </w:rPr>
              <w:t>1.投标人具备《政府采购法》第二十二条所规定的条件：</w:t>
            </w:r>
          </w:p>
        </w:tc>
        <w:tc>
          <w:tcPr>
            <w:tcW w:w="1270" w:type="dxa"/>
            <w:vMerge w:val="restart"/>
            <w:vAlign w:val="center"/>
          </w:tcPr>
          <w:p>
            <w:pPr>
              <w:adjustRightInd w:val="0"/>
              <w:snapToGrid w:val="0"/>
              <w:rPr>
                <w:rFonts w:ascii="宋体" w:hAnsi="宋体" w:cs="宋体"/>
                <w:szCs w:val="21"/>
                <w:highlight w:val="none"/>
              </w:rPr>
            </w:pPr>
            <w:r>
              <w:rPr>
                <w:rFonts w:hint="eastAsia" w:ascii="宋体" w:hAnsi="宋体" w:cs="宋体"/>
                <w:szCs w:val="21"/>
                <w:highlight w:val="none"/>
              </w:rPr>
              <w:t xml:space="preserve">□通过 </w:t>
            </w:r>
          </w:p>
          <w:p>
            <w:pPr>
              <w:adjustRightInd w:val="0"/>
              <w:snapToGrid w:val="0"/>
              <w:rPr>
                <w:rFonts w:ascii="宋体" w:hAnsi="宋体" w:cs="宋体"/>
                <w:szCs w:val="21"/>
                <w:highlight w:val="none"/>
              </w:rPr>
            </w:pPr>
            <w:r>
              <w:rPr>
                <w:rFonts w:hint="eastAsia" w:ascii="宋体" w:hAnsi="宋体" w:cs="宋体"/>
                <w:szCs w:val="21"/>
                <w:highlight w:val="none"/>
              </w:rPr>
              <w:t>□不通过</w:t>
            </w:r>
          </w:p>
        </w:tc>
        <w:tc>
          <w:tcPr>
            <w:tcW w:w="2611"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 ）页-（  ）页</w:t>
            </w:r>
          </w:p>
        </w:tc>
      </w:tr>
      <w:tr>
        <w:trPr>
          <w:trHeight w:val="309" w:hRule="atLeast"/>
          <w:jc w:val="center"/>
        </w:trPr>
        <w:tc>
          <w:tcPr>
            <w:tcW w:w="831" w:type="dxa"/>
            <w:vMerge w:val="continue"/>
            <w:vAlign w:val="center"/>
          </w:tcPr>
          <w:p>
            <w:pPr>
              <w:pStyle w:val="124"/>
              <w:adjustRightInd w:val="0"/>
              <w:snapToGrid w:val="0"/>
              <w:spacing w:before="0" w:beforeAutospacing="0" w:after="0" w:afterAutospacing="0"/>
              <w:jc w:val="center"/>
              <w:rPr>
                <w:rFonts w:cs="宋体"/>
                <w:b/>
                <w:sz w:val="21"/>
                <w:szCs w:val="21"/>
                <w:highlight w:val="none"/>
              </w:rPr>
            </w:pPr>
          </w:p>
        </w:tc>
        <w:tc>
          <w:tcPr>
            <w:tcW w:w="4221" w:type="dxa"/>
            <w:vAlign w:val="center"/>
          </w:tcPr>
          <w:p>
            <w:pPr>
              <w:rPr>
                <w:rFonts w:ascii="宋体" w:hAnsi="宋体" w:cs="宋体"/>
                <w:highlight w:val="none"/>
              </w:rPr>
            </w:pPr>
            <w:r>
              <w:rPr>
                <w:rFonts w:hint="eastAsia" w:ascii="宋体" w:hAnsi="宋体" w:cs="宋体"/>
                <w:highlight w:val="none"/>
              </w:rPr>
              <w:t>1.1有效的“多证合一”的营业执照（未办理多证合一的提供营业执照、税务登记证、组织机构代码证）副本复印件。投标人如果有名称变更的，应提供由行政主管部门出具的变更证明文件；</w:t>
            </w:r>
          </w:p>
        </w:tc>
        <w:tc>
          <w:tcPr>
            <w:tcW w:w="1270" w:type="dxa"/>
            <w:vMerge w:val="continue"/>
            <w:vAlign w:val="center"/>
          </w:tcPr>
          <w:p>
            <w:pPr>
              <w:adjustRightInd w:val="0"/>
              <w:snapToGrid w:val="0"/>
              <w:rPr>
                <w:rFonts w:ascii="宋体" w:hAnsi="宋体" w:cs="宋体"/>
                <w:szCs w:val="21"/>
                <w:highlight w:val="none"/>
              </w:rPr>
            </w:pPr>
          </w:p>
        </w:tc>
        <w:tc>
          <w:tcPr>
            <w:tcW w:w="2611"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 ）页</w:t>
            </w:r>
          </w:p>
        </w:tc>
      </w:tr>
      <w:tr>
        <w:trPr>
          <w:trHeight w:val="309" w:hRule="atLeast"/>
          <w:jc w:val="center"/>
        </w:trPr>
        <w:tc>
          <w:tcPr>
            <w:tcW w:w="831" w:type="dxa"/>
            <w:vMerge w:val="continue"/>
            <w:vAlign w:val="center"/>
          </w:tcPr>
          <w:p>
            <w:pPr>
              <w:pStyle w:val="124"/>
              <w:adjustRightInd w:val="0"/>
              <w:snapToGrid w:val="0"/>
              <w:spacing w:before="0" w:beforeAutospacing="0" w:after="0" w:afterAutospacing="0"/>
              <w:jc w:val="center"/>
              <w:rPr>
                <w:rFonts w:cs="宋体"/>
                <w:b/>
                <w:sz w:val="21"/>
                <w:szCs w:val="21"/>
                <w:highlight w:val="none"/>
              </w:rPr>
            </w:pPr>
          </w:p>
        </w:tc>
        <w:tc>
          <w:tcPr>
            <w:tcW w:w="4221" w:type="dxa"/>
            <w:vAlign w:val="center"/>
          </w:tcPr>
          <w:p>
            <w:pPr>
              <w:adjustRightInd w:val="0"/>
              <w:snapToGrid w:val="0"/>
              <w:rPr>
                <w:rFonts w:ascii="宋体" w:hAnsi="宋体" w:cs="宋体"/>
                <w:szCs w:val="21"/>
                <w:highlight w:val="none"/>
              </w:rPr>
            </w:pPr>
            <w:r>
              <w:rPr>
                <w:rFonts w:hint="eastAsia" w:ascii="宋体" w:hAnsi="宋体" w:cs="宋体"/>
                <w:szCs w:val="21"/>
                <w:highlight w:val="none"/>
              </w:rPr>
              <w:t xml:space="preserve">1.2 </w:t>
            </w:r>
            <w:r>
              <w:rPr>
                <w:rFonts w:hint="eastAsia" w:ascii="宋体" w:hAnsi="宋体" w:cs="宋体"/>
                <w:highlight w:val="none"/>
              </w:rPr>
              <w:t>关于资格的承诺函；</w:t>
            </w:r>
          </w:p>
        </w:tc>
        <w:tc>
          <w:tcPr>
            <w:tcW w:w="1270" w:type="dxa"/>
            <w:vMerge w:val="continue"/>
            <w:vAlign w:val="center"/>
          </w:tcPr>
          <w:p>
            <w:pPr>
              <w:adjustRightInd w:val="0"/>
              <w:snapToGrid w:val="0"/>
              <w:rPr>
                <w:rFonts w:ascii="宋体" w:hAnsi="宋体" w:cs="宋体"/>
                <w:szCs w:val="21"/>
                <w:highlight w:val="none"/>
              </w:rPr>
            </w:pPr>
          </w:p>
        </w:tc>
        <w:tc>
          <w:tcPr>
            <w:tcW w:w="2611"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 ）页</w:t>
            </w:r>
          </w:p>
        </w:tc>
      </w:tr>
      <w:tr>
        <w:trPr>
          <w:trHeight w:val="23" w:hRule="atLeast"/>
          <w:jc w:val="center"/>
        </w:trPr>
        <w:tc>
          <w:tcPr>
            <w:tcW w:w="831" w:type="dxa"/>
            <w:vMerge w:val="continue"/>
            <w:vAlign w:val="center"/>
          </w:tcPr>
          <w:p>
            <w:pPr>
              <w:pStyle w:val="124"/>
              <w:adjustRightInd w:val="0"/>
              <w:snapToGrid w:val="0"/>
              <w:spacing w:before="0" w:beforeAutospacing="0" w:after="0" w:afterAutospacing="0"/>
              <w:jc w:val="center"/>
              <w:rPr>
                <w:rFonts w:cs="宋体"/>
                <w:sz w:val="21"/>
                <w:szCs w:val="21"/>
                <w:highlight w:val="none"/>
              </w:rPr>
            </w:pPr>
          </w:p>
        </w:tc>
        <w:tc>
          <w:tcPr>
            <w:tcW w:w="4221" w:type="dxa"/>
            <w:vAlign w:val="center"/>
          </w:tcPr>
          <w:p>
            <w:pPr>
              <w:wordWrap w:val="0"/>
              <w:adjustRightInd w:val="0"/>
              <w:snapToGrid w:val="0"/>
              <w:rPr>
                <w:rFonts w:ascii="宋体" w:hAnsi="宋体" w:cs="宋体"/>
                <w:szCs w:val="21"/>
                <w:highlight w:val="none"/>
              </w:rPr>
            </w:pPr>
            <w:r>
              <w:rPr>
                <w:rFonts w:hint="eastAsia" w:ascii="宋体" w:hAnsi="宋体" w:cs="宋体"/>
                <w:szCs w:val="21"/>
                <w:highlight w:val="none"/>
              </w:rPr>
              <w:t>2.未被“信用中国”（www.creditchina.gov.cn)、中国政府采购网（www.ccgp.gov.cn）列入失信被执行人、重大税收违法案件当事人名单、政府采购严重违法失信行为记录名单。</w:t>
            </w:r>
          </w:p>
        </w:tc>
        <w:tc>
          <w:tcPr>
            <w:tcW w:w="1270" w:type="dxa"/>
            <w:vAlign w:val="center"/>
          </w:tcPr>
          <w:p>
            <w:pPr>
              <w:adjustRightInd w:val="0"/>
              <w:snapToGrid w:val="0"/>
              <w:rPr>
                <w:rFonts w:ascii="宋体" w:hAnsi="宋体" w:cs="宋体"/>
                <w:szCs w:val="21"/>
                <w:highlight w:val="none"/>
              </w:rPr>
            </w:pPr>
          </w:p>
        </w:tc>
        <w:tc>
          <w:tcPr>
            <w:tcW w:w="2611" w:type="dxa"/>
            <w:vAlign w:val="center"/>
          </w:tcPr>
          <w:p>
            <w:pPr>
              <w:adjustRightInd w:val="0"/>
              <w:snapToGrid w:val="0"/>
              <w:jc w:val="center"/>
              <w:rPr>
                <w:rFonts w:ascii="宋体" w:hAnsi="宋体" w:cs="宋体"/>
                <w:szCs w:val="21"/>
                <w:highlight w:val="none"/>
              </w:rPr>
            </w:pPr>
          </w:p>
        </w:tc>
      </w:tr>
      <w:tr>
        <w:trPr>
          <w:trHeight w:val="611" w:hRule="atLeast"/>
          <w:jc w:val="center"/>
        </w:trPr>
        <w:tc>
          <w:tcPr>
            <w:tcW w:w="831" w:type="dxa"/>
            <w:vMerge w:val="continue"/>
            <w:vAlign w:val="center"/>
          </w:tcPr>
          <w:p>
            <w:pPr>
              <w:pStyle w:val="124"/>
              <w:adjustRightInd w:val="0"/>
              <w:snapToGrid w:val="0"/>
              <w:spacing w:before="0" w:beforeAutospacing="0" w:after="0" w:afterAutospacing="0"/>
              <w:jc w:val="center"/>
              <w:rPr>
                <w:rFonts w:cs="宋体"/>
                <w:sz w:val="21"/>
                <w:szCs w:val="21"/>
                <w:highlight w:val="none"/>
              </w:rPr>
            </w:pPr>
          </w:p>
        </w:tc>
        <w:tc>
          <w:tcPr>
            <w:tcW w:w="4221" w:type="dxa"/>
            <w:vAlign w:val="center"/>
          </w:tcPr>
          <w:p>
            <w:pPr>
              <w:adjustRightInd w:val="0"/>
              <w:snapToGrid w:val="0"/>
              <w:rPr>
                <w:rFonts w:ascii="宋体" w:hAnsi="宋体" w:cs="宋体"/>
                <w:szCs w:val="21"/>
                <w:highlight w:val="none"/>
              </w:rPr>
            </w:pPr>
            <w:r>
              <w:rPr>
                <w:rFonts w:hint="eastAsia" w:ascii="宋体" w:hAnsi="宋体" w:cs="宋体"/>
                <w:highlight w:val="none"/>
              </w:rPr>
              <w:t>3.落实政府采购政策需满足的资格要求：（如有）</w:t>
            </w:r>
          </w:p>
        </w:tc>
        <w:tc>
          <w:tcPr>
            <w:tcW w:w="1270" w:type="dxa"/>
            <w:vAlign w:val="center"/>
          </w:tcPr>
          <w:p>
            <w:pPr>
              <w:adjustRightInd w:val="0"/>
              <w:snapToGrid w:val="0"/>
              <w:rPr>
                <w:rFonts w:ascii="宋体" w:hAnsi="宋体" w:cs="宋体"/>
                <w:szCs w:val="21"/>
                <w:highlight w:val="none"/>
              </w:rPr>
            </w:pPr>
            <w:r>
              <w:rPr>
                <w:rFonts w:hint="eastAsia" w:ascii="宋体" w:hAnsi="宋体" w:cs="宋体"/>
                <w:szCs w:val="21"/>
                <w:highlight w:val="none"/>
              </w:rPr>
              <w:t xml:space="preserve">□通过 </w:t>
            </w:r>
          </w:p>
          <w:p>
            <w:pPr>
              <w:adjustRightInd w:val="0"/>
              <w:snapToGrid w:val="0"/>
              <w:rPr>
                <w:rFonts w:ascii="宋体" w:hAnsi="宋体" w:cs="宋体"/>
                <w:szCs w:val="21"/>
                <w:highlight w:val="none"/>
              </w:rPr>
            </w:pPr>
            <w:r>
              <w:rPr>
                <w:rFonts w:hint="eastAsia" w:ascii="宋体" w:hAnsi="宋体" w:cs="宋体"/>
                <w:szCs w:val="21"/>
                <w:highlight w:val="none"/>
              </w:rPr>
              <w:t>□不通过</w:t>
            </w:r>
          </w:p>
        </w:tc>
        <w:tc>
          <w:tcPr>
            <w:tcW w:w="2611"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 ）页-（  ）页</w:t>
            </w:r>
          </w:p>
        </w:tc>
      </w:tr>
      <w:tr>
        <w:trPr>
          <w:trHeight w:val="107" w:hRule="atLeast"/>
          <w:jc w:val="center"/>
        </w:trPr>
        <w:tc>
          <w:tcPr>
            <w:tcW w:w="831" w:type="dxa"/>
            <w:vMerge w:val="continue"/>
            <w:vAlign w:val="center"/>
          </w:tcPr>
          <w:p>
            <w:pPr>
              <w:adjustRightInd w:val="0"/>
              <w:snapToGrid w:val="0"/>
              <w:rPr>
                <w:rFonts w:ascii="宋体" w:hAnsi="宋体" w:cs="宋体"/>
                <w:szCs w:val="21"/>
                <w:highlight w:val="none"/>
              </w:rPr>
            </w:pPr>
          </w:p>
        </w:tc>
        <w:tc>
          <w:tcPr>
            <w:tcW w:w="4221" w:type="dxa"/>
            <w:vAlign w:val="center"/>
          </w:tcPr>
          <w:p>
            <w:pPr>
              <w:adjustRightInd w:val="0"/>
              <w:snapToGrid w:val="0"/>
              <w:rPr>
                <w:rFonts w:ascii="宋体" w:hAnsi="宋体" w:cs="宋体"/>
                <w:szCs w:val="21"/>
                <w:highlight w:val="none"/>
              </w:rPr>
            </w:pPr>
            <w:r>
              <w:rPr>
                <w:rFonts w:hint="eastAsia" w:ascii="宋体" w:hAnsi="宋体" w:cs="宋体"/>
                <w:szCs w:val="21"/>
                <w:highlight w:val="none"/>
              </w:rPr>
              <w:t>4.本项目的特定资格要求：</w:t>
            </w:r>
          </w:p>
          <w:p>
            <w:pPr>
              <w:adjustRightInd w:val="0"/>
              <w:snapToGrid w:val="0"/>
              <w:rPr>
                <w:rFonts w:ascii="宋体" w:hAnsi="宋体" w:cs="宋体"/>
                <w:szCs w:val="21"/>
                <w:highlight w:val="none"/>
              </w:rPr>
            </w:pPr>
            <w:r>
              <w:rPr>
                <w:rFonts w:hint="eastAsia" w:ascii="宋体" w:hAnsi="宋体" w:cs="宋体"/>
                <w:szCs w:val="21"/>
                <w:highlight w:val="none"/>
              </w:rPr>
              <w:t>4.1本项目接受联合体投标。</w:t>
            </w:r>
          </w:p>
        </w:tc>
        <w:tc>
          <w:tcPr>
            <w:tcW w:w="1270" w:type="dxa"/>
            <w:vAlign w:val="center"/>
          </w:tcPr>
          <w:p>
            <w:pPr>
              <w:adjustRightInd w:val="0"/>
              <w:snapToGrid w:val="0"/>
              <w:rPr>
                <w:rFonts w:ascii="宋体" w:hAnsi="宋体" w:cs="宋体"/>
                <w:szCs w:val="21"/>
                <w:highlight w:val="none"/>
              </w:rPr>
            </w:pPr>
            <w:r>
              <w:rPr>
                <w:rFonts w:hint="eastAsia" w:ascii="宋体" w:hAnsi="宋体" w:cs="宋体"/>
                <w:szCs w:val="21"/>
                <w:highlight w:val="none"/>
              </w:rPr>
              <w:t>□通过</w:t>
            </w:r>
          </w:p>
          <w:p>
            <w:pPr>
              <w:adjustRightInd w:val="0"/>
              <w:snapToGrid w:val="0"/>
              <w:rPr>
                <w:rFonts w:ascii="宋体" w:hAnsi="宋体" w:cs="宋体"/>
                <w:szCs w:val="21"/>
                <w:highlight w:val="none"/>
              </w:rPr>
            </w:pPr>
            <w:r>
              <w:rPr>
                <w:rFonts w:hint="eastAsia" w:ascii="宋体" w:hAnsi="宋体" w:cs="宋体"/>
                <w:szCs w:val="21"/>
                <w:highlight w:val="none"/>
              </w:rPr>
              <w:t>□不通过</w:t>
            </w:r>
          </w:p>
        </w:tc>
        <w:tc>
          <w:tcPr>
            <w:tcW w:w="2611" w:type="dxa"/>
            <w:vAlign w:val="center"/>
          </w:tcPr>
          <w:p>
            <w:pPr>
              <w:adjustRightInd w:val="0"/>
              <w:snapToGrid w:val="0"/>
              <w:jc w:val="center"/>
              <w:rPr>
                <w:rFonts w:ascii="宋体" w:hAnsi="宋体" w:cs="宋体"/>
                <w:szCs w:val="21"/>
                <w:highlight w:val="none"/>
              </w:rPr>
            </w:pPr>
          </w:p>
        </w:tc>
      </w:tr>
    </w:tbl>
    <w:p>
      <w:pPr>
        <w:pStyle w:val="20"/>
        <w:ind w:firstLine="0"/>
        <w:rPr>
          <w:rFonts w:ascii="宋体" w:hAnsi="宋体" w:cs="宋体"/>
          <w:b/>
          <w:szCs w:val="21"/>
          <w:highlight w:val="none"/>
        </w:rPr>
      </w:pPr>
      <w:r>
        <w:rPr>
          <w:rFonts w:hint="eastAsia" w:ascii="宋体" w:hAnsi="宋体" w:cs="宋体"/>
          <w:b/>
          <w:szCs w:val="21"/>
          <w:highlight w:val="none"/>
        </w:rPr>
        <w:t>备注：</w:t>
      </w:r>
    </w:p>
    <w:p>
      <w:pPr>
        <w:pStyle w:val="20"/>
        <w:ind w:firstLine="0"/>
        <w:rPr>
          <w:rFonts w:ascii="宋体" w:hAnsi="宋体" w:cs="宋体"/>
          <w:b/>
          <w:szCs w:val="21"/>
          <w:highlight w:val="none"/>
        </w:rPr>
      </w:pPr>
      <w:r>
        <w:rPr>
          <w:rFonts w:hint="eastAsia" w:ascii="宋体" w:hAnsi="宋体" w:cs="宋体"/>
          <w:b/>
          <w:szCs w:val="21"/>
          <w:highlight w:val="none"/>
        </w:rPr>
        <w:t>1</w:t>
      </w:r>
      <w:r>
        <w:rPr>
          <w:rFonts w:ascii="宋体" w:hAnsi="宋体" w:cs="宋体"/>
          <w:b/>
          <w:szCs w:val="21"/>
          <w:highlight w:val="none"/>
        </w:rPr>
        <w:t>.</w:t>
      </w:r>
      <w:r>
        <w:rPr>
          <w:rFonts w:hint="eastAsia" w:ascii="宋体" w:hAnsi="宋体" w:cs="宋体"/>
          <w:b/>
          <w:szCs w:val="21"/>
          <w:highlight w:val="none"/>
        </w:rPr>
        <w:t>投标人自查表将作为投标人有效性审查的重要内容之一，投标人必须严格按照其内容及序列要求在投标文件中对应如实提供，对资格证明文件的任何缺漏和不符合项将会直接导致投标无效！</w:t>
      </w:r>
    </w:p>
    <w:p>
      <w:pPr>
        <w:pStyle w:val="6"/>
        <w:spacing w:line="380" w:lineRule="exact"/>
        <w:rPr>
          <w:rFonts w:ascii="宋体" w:hAnsi="宋体" w:cs="宋体"/>
          <w:sz w:val="28"/>
          <w:szCs w:val="28"/>
          <w:highlight w:val="none"/>
        </w:rPr>
      </w:pPr>
      <w:bookmarkStart w:id="302" w:name="_Toc502819365"/>
      <w:bookmarkStart w:id="303" w:name="_Toc520902430"/>
      <w:bookmarkStart w:id="304" w:name="_Toc497935758"/>
      <w:bookmarkStart w:id="305" w:name="_Toc316649312"/>
      <w:bookmarkStart w:id="306" w:name="_Toc481153685"/>
      <w:r>
        <w:rPr>
          <w:rFonts w:ascii="宋体" w:hAnsi="宋体" w:cs="宋体"/>
          <w:sz w:val="28"/>
          <w:szCs w:val="28"/>
          <w:highlight w:val="none"/>
        </w:rPr>
        <w:br w:type="page"/>
      </w:r>
      <w:r>
        <w:rPr>
          <w:rFonts w:hint="eastAsia" w:ascii="宋体" w:hAnsi="宋体" w:cs="宋体"/>
          <w:sz w:val="28"/>
          <w:szCs w:val="28"/>
          <w:highlight w:val="none"/>
        </w:rPr>
        <w:t>（二）投标声明书</w:t>
      </w:r>
      <w:bookmarkEnd w:id="302"/>
      <w:bookmarkEnd w:id="303"/>
      <w:bookmarkEnd w:id="304"/>
    </w:p>
    <w:p>
      <w:pPr>
        <w:rPr>
          <w:rFonts w:ascii="宋体" w:hAnsi="宋体" w:cs="宋体"/>
          <w:b/>
          <w:highlight w:val="none"/>
        </w:rPr>
      </w:pPr>
    </w:p>
    <w:p>
      <w:pPr>
        <w:rPr>
          <w:rFonts w:ascii="宋体" w:hAnsi="宋体" w:cs="宋体"/>
          <w:b/>
          <w:highlight w:val="none"/>
        </w:rPr>
      </w:pPr>
    </w:p>
    <w:p>
      <w:pPr>
        <w:rPr>
          <w:rFonts w:ascii="宋体" w:hAnsi="宋体" w:cs="宋体"/>
          <w:b/>
          <w:szCs w:val="21"/>
          <w:highlight w:val="none"/>
        </w:rPr>
      </w:pPr>
      <w:r>
        <w:rPr>
          <w:rFonts w:hint="eastAsia" w:ascii="宋体" w:hAnsi="宋体" w:cs="宋体"/>
          <w:szCs w:val="21"/>
          <w:highlight w:val="none"/>
          <w:u w:val="single"/>
        </w:rPr>
        <w:t>（</w:t>
      </w:r>
      <w:r>
        <w:rPr>
          <w:rFonts w:hint="eastAsia" w:ascii="宋体" w:hAnsi="宋体" w:cs="宋体"/>
          <w:i/>
          <w:szCs w:val="21"/>
          <w:highlight w:val="none"/>
          <w:u w:val="single"/>
        </w:rPr>
        <w:t>采购代理机构</w:t>
      </w:r>
      <w:r>
        <w:rPr>
          <w:rFonts w:hint="eastAsia" w:ascii="宋体" w:hAnsi="宋体" w:cs="宋体"/>
          <w:szCs w:val="21"/>
          <w:highlight w:val="none"/>
          <w:u w:val="single"/>
        </w:rPr>
        <w:t>）</w:t>
      </w:r>
      <w:r>
        <w:rPr>
          <w:rFonts w:hint="eastAsia" w:ascii="宋体" w:hAnsi="宋体" w:cs="宋体"/>
          <w:b/>
          <w:szCs w:val="21"/>
          <w:highlight w:val="none"/>
        </w:rPr>
        <w:t>：</w:t>
      </w:r>
    </w:p>
    <w:p>
      <w:pPr>
        <w:snapToGrid w:val="0"/>
        <w:spacing w:before="146" w:beforeLines="50" w:line="360" w:lineRule="auto"/>
        <w:ind w:firstLine="428" w:firstLineChars="202"/>
        <w:rPr>
          <w:rFonts w:ascii="宋体" w:hAnsi="宋体" w:cs="宋体"/>
          <w:szCs w:val="21"/>
          <w:highlight w:val="none"/>
        </w:rPr>
      </w:pPr>
      <w:r>
        <w:rPr>
          <w:rFonts w:hint="eastAsia" w:ascii="宋体" w:hAnsi="宋体" w:cs="宋体"/>
          <w:szCs w:val="21"/>
          <w:highlight w:val="none"/>
        </w:rPr>
        <w:t>关于贵司年</w:t>
      </w:r>
      <w:r>
        <w:rPr>
          <w:rFonts w:hint="eastAsia" w:ascii="宋体" w:hAnsi="宋体" w:cs="宋体"/>
          <w:szCs w:val="21"/>
          <w:highlight w:val="none"/>
          <w:u w:val="single"/>
        </w:rPr>
        <w:t>　　</w:t>
      </w:r>
      <w:r>
        <w:rPr>
          <w:rFonts w:hint="eastAsia" w:ascii="宋体" w:hAnsi="宋体" w:cs="宋体"/>
          <w:szCs w:val="21"/>
          <w:highlight w:val="none"/>
        </w:rPr>
        <w:t>月</w:t>
      </w:r>
      <w:r>
        <w:rPr>
          <w:rFonts w:hint="eastAsia" w:ascii="宋体" w:hAnsi="宋体" w:cs="宋体"/>
          <w:szCs w:val="21"/>
          <w:highlight w:val="none"/>
          <w:u w:val="single"/>
        </w:rPr>
        <w:t>　　</w:t>
      </w:r>
      <w:r>
        <w:rPr>
          <w:rFonts w:hint="eastAsia" w:ascii="宋体" w:hAnsi="宋体" w:cs="宋体"/>
          <w:szCs w:val="21"/>
          <w:highlight w:val="none"/>
        </w:rPr>
        <w:t>日发布</w:t>
      </w:r>
      <w:r>
        <w:rPr>
          <w:rFonts w:hint="eastAsia" w:ascii="宋体" w:hAnsi="宋体" w:cs="宋体"/>
          <w:kern w:val="28"/>
          <w:szCs w:val="21"/>
          <w:highlight w:val="none"/>
          <w:u w:val="single"/>
        </w:rPr>
        <w:t>XXXXXXXXXXXXXXXX</w:t>
      </w:r>
      <w:r>
        <w:rPr>
          <w:rFonts w:hint="eastAsia" w:ascii="宋体" w:hAnsi="宋体" w:cs="宋体"/>
          <w:szCs w:val="21"/>
          <w:highlight w:val="none"/>
        </w:rPr>
        <w:t>项目（项目编号：　　　）的招标公告，本单位愿意参加投标，并声明：</w:t>
      </w:r>
    </w:p>
    <w:p>
      <w:pPr>
        <w:snapToGrid w:val="0"/>
        <w:spacing w:line="360" w:lineRule="auto"/>
        <w:ind w:firstLine="428" w:firstLineChars="202"/>
        <w:rPr>
          <w:rFonts w:ascii="宋体" w:hAnsi="宋体" w:cs="宋体"/>
          <w:szCs w:val="21"/>
          <w:highlight w:val="none"/>
        </w:rPr>
      </w:pPr>
      <w:r>
        <w:rPr>
          <w:rFonts w:hint="eastAsia" w:ascii="宋体" w:hAnsi="宋体" w:cs="宋体"/>
          <w:szCs w:val="21"/>
          <w:highlight w:val="none"/>
        </w:rPr>
        <w:t>我单位具备</w:t>
      </w:r>
      <w:r>
        <w:rPr>
          <w:rFonts w:hint="eastAsia" w:ascii="宋体" w:hAnsi="宋体" w:cs="宋体"/>
          <w:bCs/>
          <w:szCs w:val="21"/>
          <w:highlight w:val="none"/>
        </w:rPr>
        <w:t>《中华人民共和国政府采购法》第二十二条资格条件，</w:t>
      </w:r>
      <w:r>
        <w:rPr>
          <w:rFonts w:hint="eastAsia" w:ascii="宋体" w:hAnsi="宋体" w:cs="宋体"/>
          <w:szCs w:val="21"/>
          <w:highlight w:val="none"/>
        </w:rPr>
        <w:t>并已清楚招标文件的要求及有关文件规定。</w:t>
      </w:r>
    </w:p>
    <w:p>
      <w:pPr>
        <w:snapToGrid w:val="0"/>
        <w:spacing w:line="360" w:lineRule="auto"/>
        <w:ind w:firstLine="428" w:firstLineChars="202"/>
        <w:rPr>
          <w:rFonts w:ascii="宋体" w:hAnsi="宋体" w:cs="宋体"/>
          <w:szCs w:val="21"/>
          <w:highlight w:val="none"/>
        </w:rPr>
      </w:pPr>
      <w:r>
        <w:rPr>
          <w:rFonts w:hint="eastAsia" w:ascii="宋体" w:hAnsi="宋体" w:cs="宋体"/>
          <w:szCs w:val="21"/>
          <w:highlight w:val="none"/>
        </w:rPr>
        <w:t>我单位的单位负责人或单位负责人与所参投的本采购项目的其他投标人的单位负责人或单位负责人不为同一人且与其他投标人之间不存在直接控股、管理关系。</w:t>
      </w:r>
    </w:p>
    <w:p>
      <w:pPr>
        <w:widowControl/>
        <w:snapToGrid w:val="0"/>
        <w:spacing w:line="360" w:lineRule="auto"/>
        <w:ind w:firstLine="424" w:firstLineChars="200"/>
        <w:jc w:val="left"/>
        <w:rPr>
          <w:rFonts w:ascii="宋体" w:hAnsi="宋体" w:cs="宋体"/>
          <w:szCs w:val="21"/>
          <w:highlight w:val="none"/>
        </w:rPr>
      </w:pPr>
      <w:r>
        <w:rPr>
          <w:rFonts w:hint="eastAsia" w:ascii="宋体" w:hAnsi="宋体" w:cs="宋体"/>
          <w:szCs w:val="21"/>
          <w:highlight w:val="none"/>
        </w:rPr>
        <w:t>根据《中华人民共和国政府采购法实施条例》的规定，本单位如为本采购项目提供整体设计、规范编制或者项目管理、监理、检测等服务的投标人，不得再参加该采购项目的其他采购活动。否则，由此所造成的损失、不良后果及法律责任，一律由我单位承担。</w:t>
      </w:r>
    </w:p>
    <w:p>
      <w:pPr>
        <w:snapToGrid w:val="0"/>
        <w:spacing w:line="360" w:lineRule="auto"/>
        <w:ind w:firstLine="428" w:firstLineChars="202"/>
        <w:rPr>
          <w:rFonts w:ascii="宋体" w:hAnsi="宋体" w:cs="宋体"/>
          <w:szCs w:val="21"/>
          <w:highlight w:val="none"/>
        </w:rPr>
      </w:pPr>
      <w:r>
        <w:rPr>
          <w:rFonts w:hint="eastAsia" w:ascii="宋体" w:hAnsi="宋体" w:cs="宋体"/>
          <w:szCs w:val="21"/>
          <w:highlight w:val="none"/>
        </w:rPr>
        <w:t>我单位未被信用中国网站（www.creditchina.gov.cn）列入失信被执行人、重大税收违法件当事人名单，未被中国政府采购网（www.ccgp.gov.cn）列入政府采购严重违法失信行为记录名单。</w:t>
      </w:r>
    </w:p>
    <w:p>
      <w:pPr>
        <w:snapToGrid w:val="0"/>
        <w:spacing w:line="360" w:lineRule="auto"/>
        <w:ind w:firstLine="428" w:firstLineChars="202"/>
        <w:rPr>
          <w:rFonts w:ascii="宋体" w:hAnsi="宋体" w:cs="宋体"/>
          <w:szCs w:val="21"/>
          <w:highlight w:val="none"/>
        </w:rPr>
      </w:pPr>
      <w:r>
        <w:rPr>
          <w:rFonts w:hint="eastAsia" w:ascii="宋体" w:hAnsi="宋体" w:cs="宋体"/>
          <w:szCs w:val="21"/>
          <w:highlight w:val="none"/>
        </w:rPr>
        <w:t>本次招标采购活动中，如有违法、违规、弄虚作假行为，所造成的损失、不良后果及法律责任，一律由我单位承担。</w:t>
      </w:r>
    </w:p>
    <w:p>
      <w:pPr>
        <w:spacing w:line="360" w:lineRule="auto"/>
        <w:ind w:firstLine="420"/>
        <w:rPr>
          <w:rFonts w:ascii="宋体" w:hAnsi="宋体" w:cs="宋体"/>
          <w:szCs w:val="21"/>
          <w:highlight w:val="none"/>
        </w:rPr>
      </w:pPr>
      <w:r>
        <w:rPr>
          <w:rFonts w:hint="eastAsia" w:ascii="宋体" w:hAnsi="宋体" w:cs="宋体"/>
          <w:szCs w:val="21"/>
          <w:highlight w:val="none"/>
        </w:rPr>
        <w:t>特此声明！</w:t>
      </w:r>
    </w:p>
    <w:p>
      <w:pPr>
        <w:adjustRightInd w:val="0"/>
        <w:snapToGrid w:val="0"/>
        <w:spacing w:line="360" w:lineRule="auto"/>
        <w:ind w:left="425"/>
        <w:rPr>
          <w:rFonts w:ascii="宋体" w:hAnsi="宋体" w:cs="宋体"/>
          <w:spacing w:val="4"/>
          <w:szCs w:val="21"/>
          <w:highlight w:val="none"/>
        </w:rPr>
      </w:pPr>
    </w:p>
    <w:p>
      <w:pPr>
        <w:adjustRightInd w:val="0"/>
        <w:snapToGrid w:val="0"/>
        <w:spacing w:line="360" w:lineRule="auto"/>
        <w:ind w:left="425"/>
        <w:rPr>
          <w:rFonts w:ascii="宋体" w:hAnsi="宋体" w:cs="宋体"/>
          <w:spacing w:val="4"/>
          <w:szCs w:val="21"/>
          <w:highlight w:val="none"/>
        </w:rPr>
      </w:pPr>
    </w:p>
    <w:p>
      <w:pPr>
        <w:adjustRightInd w:val="0"/>
        <w:snapToGrid w:val="0"/>
        <w:spacing w:line="360" w:lineRule="auto"/>
        <w:ind w:left="425"/>
        <w:rPr>
          <w:rFonts w:ascii="宋体" w:hAnsi="宋体" w:cs="宋体"/>
          <w:spacing w:val="4"/>
          <w:szCs w:val="21"/>
          <w:highlight w:val="none"/>
        </w:rPr>
      </w:pPr>
    </w:p>
    <w:p>
      <w:pPr>
        <w:spacing w:line="480" w:lineRule="auto"/>
        <w:ind w:right="420" w:firstLine="3180" w:firstLineChars="1500"/>
        <w:rPr>
          <w:rFonts w:ascii="宋体" w:hAnsi="宋体" w:cs="宋体"/>
          <w:szCs w:val="21"/>
          <w:highlight w:val="none"/>
        </w:rPr>
      </w:pPr>
      <w:r>
        <w:rPr>
          <w:rFonts w:hint="eastAsia" w:ascii="宋体" w:hAnsi="宋体" w:cs="宋体"/>
          <w:szCs w:val="21"/>
          <w:highlight w:val="none"/>
        </w:rPr>
        <w:t>投标人（公章）：</w:t>
      </w:r>
    </w:p>
    <w:p>
      <w:pPr>
        <w:spacing w:line="480" w:lineRule="auto"/>
        <w:ind w:right="420" w:firstLine="3180" w:firstLineChars="1500"/>
        <w:rPr>
          <w:rFonts w:ascii="宋体" w:hAnsi="宋体" w:cs="宋体"/>
          <w:szCs w:val="21"/>
          <w:highlight w:val="none"/>
        </w:rPr>
      </w:pPr>
      <w:r>
        <w:rPr>
          <w:rFonts w:hint="eastAsia" w:ascii="宋体" w:hAnsi="宋体" w:cs="宋体"/>
          <w:szCs w:val="21"/>
          <w:highlight w:val="none"/>
        </w:rPr>
        <w:t>投标人代表（签字或印章）：</w:t>
      </w:r>
    </w:p>
    <w:p>
      <w:pPr>
        <w:spacing w:line="480" w:lineRule="auto"/>
        <w:ind w:right="420" w:firstLine="4982" w:firstLineChars="2350"/>
        <w:rPr>
          <w:rFonts w:ascii="宋体" w:hAnsi="宋体" w:cs="宋体"/>
          <w:szCs w:val="21"/>
          <w:highlight w:val="none"/>
        </w:rPr>
      </w:pPr>
      <w:r>
        <w:rPr>
          <w:rFonts w:hint="eastAsia" w:ascii="宋体" w:hAnsi="宋体" w:cs="宋体"/>
          <w:szCs w:val="21"/>
          <w:highlight w:val="none"/>
        </w:rPr>
        <w:t>年    月    日</w:t>
      </w:r>
    </w:p>
    <w:p>
      <w:pPr>
        <w:pStyle w:val="20"/>
        <w:ind w:firstLine="0"/>
        <w:jc w:val="center"/>
        <w:rPr>
          <w:rFonts w:ascii="宋体" w:hAnsi="宋体" w:cs="宋体"/>
          <w:highlight w:val="none"/>
        </w:rPr>
      </w:pPr>
    </w:p>
    <w:p>
      <w:pPr>
        <w:pStyle w:val="20"/>
        <w:ind w:firstLine="0"/>
        <w:jc w:val="center"/>
        <w:rPr>
          <w:rFonts w:ascii="宋体" w:hAnsi="宋体" w:cs="宋体"/>
          <w:highlight w:val="none"/>
        </w:rPr>
      </w:pPr>
    </w:p>
    <w:p>
      <w:pPr>
        <w:pStyle w:val="20"/>
        <w:ind w:firstLine="0"/>
        <w:jc w:val="center"/>
        <w:rPr>
          <w:rFonts w:ascii="宋体" w:hAnsi="宋体" w:cs="宋体"/>
          <w:highlight w:val="none"/>
        </w:rPr>
      </w:pPr>
    </w:p>
    <w:p>
      <w:pPr>
        <w:pStyle w:val="20"/>
        <w:ind w:firstLine="0"/>
        <w:jc w:val="center"/>
        <w:rPr>
          <w:rFonts w:ascii="宋体" w:hAnsi="宋体" w:cs="宋体"/>
          <w:highlight w:val="none"/>
        </w:rPr>
      </w:pPr>
    </w:p>
    <w:p>
      <w:pPr>
        <w:pStyle w:val="20"/>
        <w:ind w:firstLine="0"/>
        <w:jc w:val="center"/>
        <w:rPr>
          <w:rFonts w:ascii="宋体" w:hAnsi="宋体" w:cs="宋体"/>
          <w:highlight w:val="none"/>
        </w:rPr>
      </w:pPr>
    </w:p>
    <w:p>
      <w:pPr>
        <w:pStyle w:val="20"/>
        <w:ind w:firstLine="0"/>
        <w:jc w:val="center"/>
        <w:rPr>
          <w:rFonts w:ascii="宋体" w:hAnsi="宋体" w:cs="宋体"/>
          <w:highlight w:val="none"/>
        </w:rPr>
      </w:pPr>
    </w:p>
    <w:p>
      <w:pPr>
        <w:pStyle w:val="20"/>
        <w:ind w:firstLine="0"/>
        <w:jc w:val="left"/>
        <w:rPr>
          <w:rFonts w:ascii="宋体" w:hAnsi="宋体" w:cs="宋体"/>
          <w:b/>
          <w:bCs/>
          <w:highlight w:val="none"/>
        </w:rPr>
      </w:pPr>
    </w:p>
    <w:p>
      <w:pPr>
        <w:pStyle w:val="20"/>
        <w:ind w:firstLine="0"/>
        <w:jc w:val="left"/>
        <w:rPr>
          <w:rFonts w:ascii="宋体" w:hAnsi="宋体" w:cs="宋体"/>
          <w:b/>
          <w:bCs/>
          <w:highlight w:val="none"/>
        </w:rPr>
      </w:pPr>
      <w:r>
        <w:rPr>
          <w:rFonts w:hint="eastAsia" w:ascii="宋体" w:hAnsi="宋体"/>
          <w:b/>
          <w:bCs/>
          <w:szCs w:val="21"/>
          <w:highlight w:val="none"/>
        </w:rPr>
        <w:t>注：</w:t>
      </w:r>
      <w:r>
        <w:rPr>
          <w:rFonts w:hint="eastAsia" w:ascii="宋体" w:hAnsi="宋体"/>
          <w:b/>
          <w:bCs/>
          <w:szCs w:val="21"/>
          <w:highlight w:val="none"/>
          <w:lang w:eastAsia="zh-Hans"/>
        </w:rPr>
        <w:t>若</w:t>
      </w:r>
      <w:r>
        <w:rPr>
          <w:rFonts w:hint="eastAsia" w:ascii="宋体" w:hAnsi="宋体"/>
          <w:b/>
          <w:bCs/>
          <w:szCs w:val="21"/>
          <w:highlight w:val="none"/>
        </w:rPr>
        <w:t>联合体投标的，联合体各方均须提供。</w:t>
      </w:r>
    </w:p>
    <w:p>
      <w:pPr>
        <w:pStyle w:val="20"/>
        <w:ind w:firstLine="0"/>
        <w:jc w:val="center"/>
        <w:rPr>
          <w:rFonts w:ascii="宋体" w:hAnsi="宋体" w:cs="宋体"/>
          <w:highlight w:val="none"/>
        </w:rPr>
      </w:pPr>
    </w:p>
    <w:p>
      <w:pPr>
        <w:pStyle w:val="20"/>
        <w:ind w:firstLine="0"/>
        <w:jc w:val="center"/>
        <w:rPr>
          <w:rFonts w:ascii="宋体" w:hAnsi="宋体" w:cs="宋体"/>
          <w:highlight w:val="none"/>
        </w:rPr>
      </w:pPr>
    </w:p>
    <w:p>
      <w:pPr>
        <w:pStyle w:val="6"/>
        <w:spacing w:line="380" w:lineRule="exact"/>
        <w:ind w:left="0" w:firstLine="0"/>
        <w:rPr>
          <w:rFonts w:ascii="宋体" w:hAnsi="宋体" w:cs="宋体"/>
          <w:sz w:val="28"/>
          <w:szCs w:val="28"/>
          <w:highlight w:val="none"/>
        </w:rPr>
      </w:pPr>
      <w:bookmarkStart w:id="307" w:name="_Toc316649311"/>
      <w:bookmarkStart w:id="308" w:name="_Toc502819364"/>
      <w:bookmarkStart w:id="309" w:name="_Toc481153684"/>
      <w:bookmarkStart w:id="310" w:name="_Toc497935757"/>
      <w:bookmarkStart w:id="311" w:name="_Toc520902431"/>
      <w:r>
        <w:rPr>
          <w:rFonts w:hint="eastAsia" w:ascii="宋体" w:hAnsi="宋体" w:cs="宋体"/>
          <w:sz w:val="28"/>
          <w:szCs w:val="28"/>
          <w:highlight w:val="none"/>
        </w:rPr>
        <w:t>（三）</w:t>
      </w:r>
      <w:bookmarkEnd w:id="307"/>
      <w:bookmarkEnd w:id="308"/>
      <w:bookmarkEnd w:id="309"/>
      <w:bookmarkEnd w:id="310"/>
      <w:r>
        <w:rPr>
          <w:rFonts w:hint="eastAsia" w:ascii="宋体" w:hAnsi="宋体" w:cs="宋体"/>
          <w:sz w:val="28"/>
          <w:szCs w:val="28"/>
          <w:highlight w:val="none"/>
        </w:rPr>
        <w:t>有效的“多证合一”的营业执照（未办理多证合一的提供营业执照、税务登记证、组织机构代码证）副本复印件。投标人如果有名称变更的，应提供由行政主管部门出具的变更证明文件；</w:t>
      </w:r>
      <w:bookmarkEnd w:id="311"/>
    </w:p>
    <w:p>
      <w:pPr>
        <w:pStyle w:val="20"/>
        <w:ind w:firstLine="0"/>
        <w:jc w:val="center"/>
        <w:rPr>
          <w:rFonts w:ascii="宋体" w:hAnsi="宋体" w:cs="宋体"/>
          <w:bCs/>
          <w:sz w:val="22"/>
          <w:szCs w:val="22"/>
          <w:highlight w:val="none"/>
        </w:rPr>
      </w:pPr>
      <w:r>
        <w:rPr>
          <w:rFonts w:hint="eastAsia" w:ascii="宋体" w:hAnsi="宋体" w:cs="宋体"/>
          <w:bCs/>
          <w:sz w:val="22"/>
          <w:szCs w:val="22"/>
          <w:highlight w:val="none"/>
        </w:rPr>
        <w:t>（复印件并加盖公章）</w:t>
      </w:r>
    </w:p>
    <w:p>
      <w:pPr>
        <w:pStyle w:val="20"/>
        <w:ind w:firstLine="0"/>
        <w:jc w:val="center"/>
        <w:rPr>
          <w:rFonts w:ascii="宋体" w:hAnsi="宋体" w:cs="宋体"/>
          <w:highlight w:val="none"/>
        </w:rPr>
      </w:pPr>
    </w:p>
    <w:p>
      <w:pPr>
        <w:spacing w:line="380" w:lineRule="exact"/>
        <w:jc w:val="left"/>
        <w:rPr>
          <w:rFonts w:ascii="宋体" w:hAnsi="宋体" w:cs="宋体"/>
          <w:b/>
          <w:bCs/>
          <w:kern w:val="0"/>
          <w:sz w:val="20"/>
          <w:highlight w:val="none"/>
        </w:rPr>
      </w:pPr>
      <w:r>
        <w:rPr>
          <w:rFonts w:hint="eastAsia" w:ascii="宋体" w:hAnsi="宋体"/>
          <w:b/>
          <w:bCs/>
          <w:kern w:val="0"/>
          <w:sz w:val="20"/>
          <w:szCs w:val="21"/>
          <w:highlight w:val="none"/>
        </w:rPr>
        <w:t>注：</w:t>
      </w:r>
      <w:r>
        <w:rPr>
          <w:rFonts w:hint="eastAsia" w:ascii="宋体" w:hAnsi="宋体"/>
          <w:b/>
          <w:bCs/>
          <w:kern w:val="0"/>
          <w:sz w:val="20"/>
          <w:szCs w:val="21"/>
          <w:highlight w:val="none"/>
          <w:lang w:eastAsia="zh-Hans"/>
        </w:rPr>
        <w:t>若</w:t>
      </w:r>
      <w:r>
        <w:rPr>
          <w:rFonts w:hint="eastAsia" w:ascii="宋体" w:hAnsi="宋体"/>
          <w:b/>
          <w:bCs/>
          <w:kern w:val="0"/>
          <w:sz w:val="20"/>
          <w:szCs w:val="21"/>
          <w:highlight w:val="none"/>
        </w:rPr>
        <w:t>联合体投标的，联合体各方均须提供。</w:t>
      </w:r>
    </w:p>
    <w:p>
      <w:pPr>
        <w:pStyle w:val="20"/>
        <w:ind w:firstLine="0"/>
        <w:jc w:val="center"/>
        <w:rPr>
          <w:rFonts w:ascii="宋体" w:hAnsi="宋体" w:cs="宋体"/>
          <w:highlight w:val="none"/>
        </w:rPr>
      </w:pPr>
    </w:p>
    <w:p>
      <w:pPr>
        <w:pStyle w:val="20"/>
        <w:ind w:firstLine="0"/>
        <w:jc w:val="center"/>
        <w:rPr>
          <w:rFonts w:ascii="宋体" w:hAnsi="宋体" w:cs="宋体"/>
          <w:highlight w:val="none"/>
        </w:rPr>
      </w:pPr>
    </w:p>
    <w:p>
      <w:pPr>
        <w:pStyle w:val="20"/>
        <w:ind w:firstLine="0"/>
        <w:jc w:val="center"/>
        <w:rPr>
          <w:rFonts w:ascii="宋体" w:hAnsi="宋体" w:cs="宋体"/>
          <w:highlight w:val="none"/>
        </w:rPr>
      </w:pPr>
    </w:p>
    <w:p>
      <w:pPr>
        <w:pStyle w:val="20"/>
        <w:ind w:firstLine="0"/>
        <w:jc w:val="center"/>
        <w:rPr>
          <w:rFonts w:ascii="宋体" w:hAnsi="宋体" w:cs="宋体"/>
          <w:highlight w:val="none"/>
        </w:rPr>
      </w:pPr>
    </w:p>
    <w:p>
      <w:pPr>
        <w:rPr>
          <w:rFonts w:ascii="宋体" w:hAnsi="宋体" w:cs="宋体"/>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6"/>
        <w:spacing w:line="380" w:lineRule="exact"/>
        <w:rPr>
          <w:rFonts w:ascii="宋体" w:hAnsi="宋体" w:cs="宋体"/>
          <w:sz w:val="28"/>
          <w:szCs w:val="28"/>
          <w:highlight w:val="none"/>
        </w:rPr>
      </w:pPr>
      <w:r>
        <w:rPr>
          <w:rFonts w:hint="eastAsia" w:ascii="宋体" w:hAnsi="宋体" w:cs="宋体"/>
          <w:sz w:val="28"/>
          <w:szCs w:val="28"/>
          <w:highlight w:val="none"/>
        </w:rPr>
        <w:t>（四）关于资格的承诺函</w:t>
      </w:r>
    </w:p>
    <w:p>
      <w:pPr>
        <w:rPr>
          <w:rFonts w:ascii="宋体" w:hAnsi="宋体" w:cs="宋体"/>
          <w:highlight w:val="none"/>
        </w:rPr>
      </w:pPr>
    </w:p>
    <w:p>
      <w:pPr>
        <w:pStyle w:val="20"/>
        <w:ind w:firstLine="0"/>
        <w:jc w:val="center"/>
        <w:rPr>
          <w:rFonts w:ascii="宋体" w:hAnsi="宋体" w:cs="宋体"/>
          <w:highlight w:val="none"/>
        </w:rPr>
      </w:pPr>
    </w:p>
    <w:p>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致：采购人</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我单位承诺：</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我单位满足《中华人民共和国政府采购法》第二十二条 供应商参加政府采购活动应当具备的下列条件：</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（一）具有独立承担民事责任的能力；</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（二）具有良好的商业信誉和健全的财务会计制度；</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（三）具有履行合同所必需的设备和专业技术能力；</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（四）有依法缴纳税收和社会保障资金的良好记录；</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（五）参加政府采购活动前三年内，在经营活动中没有重大违法记录；</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（六）法律、行政法规规定的其他条件。</w:t>
      </w:r>
    </w:p>
    <w:p>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xml:space="preserve"> </w:t>
      </w:r>
    </w:p>
    <w:p>
      <w:pPr>
        <w:spacing w:line="360" w:lineRule="auto"/>
        <w:ind w:firstLine="363" w:firstLineChars="150"/>
        <w:rPr>
          <w:rFonts w:ascii="宋体" w:hAnsi="宋体" w:cs="宋体"/>
          <w:kern w:val="0"/>
          <w:sz w:val="24"/>
          <w:szCs w:val="24"/>
          <w:highlight w:val="none"/>
        </w:rPr>
      </w:pPr>
      <w:r>
        <w:rPr>
          <w:rFonts w:hint="eastAsia" w:ascii="宋体" w:hAnsi="宋体" w:cs="宋体"/>
          <w:kern w:val="0"/>
          <w:sz w:val="24"/>
          <w:szCs w:val="24"/>
          <w:highlight w:val="none"/>
        </w:rPr>
        <w:t>特此承诺。</w:t>
      </w:r>
    </w:p>
    <w:p>
      <w:pPr>
        <w:spacing w:line="360" w:lineRule="auto"/>
        <w:rPr>
          <w:rFonts w:ascii="宋体" w:hAnsi="宋体" w:cs="宋体"/>
          <w:kern w:val="0"/>
          <w:sz w:val="24"/>
          <w:szCs w:val="24"/>
          <w:highlight w:val="none"/>
        </w:rPr>
      </w:pPr>
    </w:p>
    <w:p>
      <w:pPr>
        <w:spacing w:line="360" w:lineRule="auto"/>
        <w:rPr>
          <w:rFonts w:ascii="宋体" w:hAnsi="宋体" w:cs="宋体"/>
          <w:kern w:val="0"/>
          <w:sz w:val="24"/>
          <w:szCs w:val="24"/>
          <w:highlight w:val="none"/>
        </w:rPr>
      </w:pPr>
    </w:p>
    <w:p>
      <w:pPr>
        <w:spacing w:line="360" w:lineRule="auto"/>
        <w:ind w:firstLine="4859" w:firstLineChars="2008"/>
        <w:rPr>
          <w:rFonts w:ascii="宋体" w:hAnsi="宋体" w:cs="宋体"/>
          <w:kern w:val="0"/>
          <w:sz w:val="24"/>
          <w:szCs w:val="24"/>
          <w:highlight w:val="none"/>
        </w:rPr>
      </w:pPr>
      <w:r>
        <w:rPr>
          <w:rFonts w:hint="eastAsia" w:ascii="宋体" w:hAnsi="宋体" w:cs="宋体"/>
          <w:kern w:val="0"/>
          <w:sz w:val="24"/>
          <w:szCs w:val="24"/>
          <w:highlight w:val="none"/>
        </w:rPr>
        <w:t>投标人（公章）：</w:t>
      </w:r>
    </w:p>
    <w:p>
      <w:pPr>
        <w:spacing w:line="360" w:lineRule="auto"/>
        <w:ind w:firstLine="4859" w:firstLineChars="2008"/>
        <w:rPr>
          <w:rFonts w:ascii="宋体" w:hAnsi="宋体" w:cs="宋体"/>
          <w:kern w:val="0"/>
          <w:sz w:val="24"/>
          <w:szCs w:val="24"/>
          <w:highlight w:val="none"/>
        </w:rPr>
      </w:pPr>
      <w:r>
        <w:rPr>
          <w:rFonts w:hint="eastAsia" w:ascii="宋体" w:hAnsi="宋体" w:cs="宋体"/>
          <w:kern w:val="0"/>
          <w:sz w:val="24"/>
          <w:szCs w:val="24"/>
          <w:highlight w:val="none"/>
        </w:rPr>
        <w:t>投标人代表（签字或印章）：</w:t>
      </w:r>
    </w:p>
    <w:p>
      <w:pPr>
        <w:spacing w:line="360" w:lineRule="auto"/>
        <w:ind w:firstLine="4859" w:firstLineChars="2008"/>
        <w:rPr>
          <w:rFonts w:ascii="宋体" w:hAnsi="宋体" w:cs="宋体"/>
          <w:highlight w:val="none"/>
        </w:rPr>
      </w:pPr>
      <w:r>
        <w:rPr>
          <w:rFonts w:hint="eastAsia" w:ascii="宋体" w:hAnsi="宋体" w:cs="宋体"/>
          <w:kern w:val="0"/>
          <w:sz w:val="24"/>
          <w:szCs w:val="24"/>
          <w:highlight w:val="none"/>
        </w:rPr>
        <w:t>年月日</w:t>
      </w:r>
    </w:p>
    <w:p>
      <w:pPr>
        <w:spacing w:line="380" w:lineRule="exact"/>
        <w:jc w:val="left"/>
        <w:rPr>
          <w:rFonts w:ascii="宋体" w:hAnsi="宋体"/>
          <w:b/>
          <w:bCs/>
          <w:kern w:val="0"/>
          <w:sz w:val="20"/>
          <w:szCs w:val="21"/>
          <w:highlight w:val="none"/>
        </w:rPr>
      </w:pPr>
    </w:p>
    <w:p>
      <w:pPr>
        <w:spacing w:line="380" w:lineRule="exact"/>
        <w:jc w:val="left"/>
        <w:rPr>
          <w:rFonts w:ascii="宋体" w:hAnsi="宋体"/>
          <w:b/>
          <w:bCs/>
          <w:kern w:val="0"/>
          <w:sz w:val="20"/>
          <w:szCs w:val="21"/>
          <w:highlight w:val="none"/>
        </w:rPr>
      </w:pPr>
    </w:p>
    <w:p>
      <w:pPr>
        <w:spacing w:line="380" w:lineRule="exact"/>
        <w:jc w:val="left"/>
        <w:rPr>
          <w:rFonts w:ascii="宋体" w:hAnsi="宋体"/>
          <w:b/>
          <w:bCs/>
          <w:kern w:val="0"/>
          <w:sz w:val="20"/>
          <w:szCs w:val="21"/>
          <w:highlight w:val="none"/>
        </w:rPr>
      </w:pPr>
    </w:p>
    <w:p>
      <w:pPr>
        <w:spacing w:line="380" w:lineRule="exact"/>
        <w:jc w:val="left"/>
        <w:rPr>
          <w:rFonts w:ascii="宋体" w:hAnsi="宋体"/>
          <w:b/>
          <w:bCs/>
          <w:kern w:val="0"/>
          <w:sz w:val="20"/>
          <w:szCs w:val="21"/>
          <w:highlight w:val="none"/>
        </w:rPr>
      </w:pPr>
    </w:p>
    <w:p>
      <w:pPr>
        <w:spacing w:line="380" w:lineRule="exact"/>
        <w:jc w:val="left"/>
        <w:rPr>
          <w:rFonts w:ascii="宋体" w:hAnsi="宋体" w:cs="宋体"/>
          <w:b/>
          <w:bCs/>
          <w:kern w:val="0"/>
          <w:sz w:val="20"/>
          <w:highlight w:val="none"/>
        </w:rPr>
      </w:pPr>
      <w:r>
        <w:rPr>
          <w:rFonts w:hint="eastAsia" w:ascii="宋体" w:hAnsi="宋体"/>
          <w:b/>
          <w:bCs/>
          <w:kern w:val="0"/>
          <w:sz w:val="20"/>
          <w:szCs w:val="21"/>
          <w:highlight w:val="none"/>
        </w:rPr>
        <w:t>注：</w:t>
      </w:r>
      <w:r>
        <w:rPr>
          <w:rFonts w:hint="eastAsia" w:ascii="宋体" w:hAnsi="宋体"/>
          <w:b/>
          <w:bCs/>
          <w:kern w:val="0"/>
          <w:sz w:val="20"/>
          <w:szCs w:val="21"/>
          <w:highlight w:val="none"/>
          <w:lang w:eastAsia="zh-Hans"/>
        </w:rPr>
        <w:t>若</w:t>
      </w:r>
      <w:r>
        <w:rPr>
          <w:rFonts w:hint="eastAsia" w:ascii="宋体" w:hAnsi="宋体"/>
          <w:b/>
          <w:bCs/>
          <w:kern w:val="0"/>
          <w:sz w:val="20"/>
          <w:szCs w:val="21"/>
          <w:highlight w:val="none"/>
        </w:rPr>
        <w:t>联合体投标的，联合体各方均须提供。</w:t>
      </w:r>
    </w:p>
    <w:p>
      <w:pPr>
        <w:rPr>
          <w:rFonts w:ascii="宋体" w:hAnsi="宋体" w:cs="宋体"/>
          <w:highlight w:val="none"/>
        </w:rPr>
      </w:pPr>
      <w:r>
        <w:rPr>
          <w:rFonts w:hint="eastAsia" w:ascii="宋体" w:hAnsi="宋体" w:cs="宋体"/>
          <w:highlight w:val="none"/>
        </w:rPr>
        <w:br w:type="page"/>
      </w:r>
    </w:p>
    <w:bookmarkEnd w:id="305"/>
    <w:bookmarkEnd w:id="306"/>
    <w:p>
      <w:pPr>
        <w:pStyle w:val="6"/>
        <w:spacing w:line="380" w:lineRule="exact"/>
        <w:ind w:left="0" w:firstLine="0"/>
        <w:rPr>
          <w:rFonts w:ascii="宋体" w:hAnsi="宋体" w:cs="宋体"/>
          <w:sz w:val="28"/>
          <w:szCs w:val="28"/>
          <w:highlight w:val="none"/>
        </w:rPr>
      </w:pPr>
      <w:bookmarkStart w:id="312" w:name="_Toc520902436"/>
      <w:r>
        <w:rPr>
          <w:rFonts w:hint="eastAsia" w:ascii="宋体" w:hAnsi="宋体" w:cs="宋体"/>
          <w:sz w:val="28"/>
          <w:szCs w:val="28"/>
          <w:highlight w:val="none"/>
        </w:rPr>
        <w:t>（六）投标人的特定条件的证明文件</w:t>
      </w:r>
      <w:bookmarkEnd w:id="312"/>
      <w:r>
        <w:rPr>
          <w:rFonts w:hint="eastAsia" w:ascii="宋体" w:hAnsi="宋体" w:cs="宋体"/>
          <w:sz w:val="28"/>
          <w:szCs w:val="28"/>
          <w:highlight w:val="none"/>
        </w:rPr>
        <w:t>（如有）</w:t>
      </w:r>
    </w:p>
    <w:p>
      <w:pPr>
        <w:jc w:val="center"/>
        <w:rPr>
          <w:rFonts w:ascii="宋体" w:hAnsi="宋体" w:cs="宋体"/>
          <w:highlight w:val="none"/>
        </w:rPr>
      </w:pPr>
    </w:p>
    <w:p>
      <w:pPr>
        <w:rPr>
          <w:highlight w:val="none"/>
        </w:rPr>
      </w:pPr>
    </w:p>
    <w:p>
      <w:pPr>
        <w:rPr>
          <w:highlight w:val="none"/>
        </w:rPr>
      </w:pPr>
    </w:p>
    <w:p>
      <w:pPr>
        <w:rPr>
          <w:highlight w:val="none"/>
        </w:rPr>
      </w:pPr>
    </w:p>
    <w:p>
      <w:pPr>
        <w:spacing w:line="360" w:lineRule="auto"/>
        <w:jc w:val="center"/>
        <w:rPr>
          <w:rFonts w:ascii="宋体" w:hAnsi="宋体" w:cs="宋体"/>
          <w:b/>
          <w:sz w:val="48"/>
          <w:szCs w:val="48"/>
          <w:highlight w:val="none"/>
        </w:rPr>
      </w:pPr>
      <w:bookmarkStart w:id="313" w:name="_Toc481153678"/>
      <w:bookmarkStart w:id="314" w:name="_Toc497935749"/>
      <w:bookmarkStart w:id="315" w:name="_Toc316649305"/>
      <w:bookmarkStart w:id="316" w:name="_Toc502819357"/>
      <w:r>
        <w:rPr>
          <w:rFonts w:ascii="宋体" w:hAnsi="宋体" w:cs="宋体"/>
          <w:b/>
          <w:sz w:val="48"/>
          <w:szCs w:val="48"/>
          <w:highlight w:val="none"/>
        </w:rPr>
        <w:br w:type="page"/>
      </w:r>
    </w:p>
    <w:p>
      <w:pPr>
        <w:snapToGrid w:val="0"/>
        <w:spacing w:line="360" w:lineRule="auto"/>
        <w:ind w:firstLine="1474" w:firstLineChars="523"/>
        <w:jc w:val="left"/>
        <w:rPr>
          <w:rFonts w:ascii="宋体" w:hAnsi="宋体" w:cs="宋体"/>
          <w:b/>
          <w:sz w:val="28"/>
          <w:szCs w:val="28"/>
          <w:highlight w:val="none"/>
        </w:rPr>
      </w:pPr>
      <w:r>
        <w:rPr>
          <w:rFonts w:hint="eastAsia" w:ascii="宋体" w:hAnsi="宋体" w:cs="宋体"/>
          <w:b/>
          <w:sz w:val="28"/>
          <w:szCs w:val="28"/>
          <w:highlight w:val="none"/>
        </w:rPr>
        <w:t>（七）联合体协议书（如需联合体时提供）</w:t>
      </w:r>
    </w:p>
    <w:p>
      <w:pPr>
        <w:rPr>
          <w:rFonts w:hAnsi="宋体" w:cs="宋体"/>
          <w:highlight w:val="none"/>
        </w:rPr>
      </w:pPr>
    </w:p>
    <w:p>
      <w:pPr>
        <w:topLinePunct/>
        <w:spacing w:line="440" w:lineRule="exact"/>
        <w:ind w:firstLine="424" w:firstLineChars="200"/>
        <w:rPr>
          <w:rFonts w:hAnsi="宋体" w:cs="宋体"/>
          <w:szCs w:val="24"/>
          <w:highlight w:val="none"/>
        </w:rPr>
      </w:pPr>
      <w:r>
        <w:rPr>
          <w:rFonts w:hint="eastAsia" w:hAnsi="宋体" w:cs="宋体"/>
          <w:szCs w:val="24"/>
          <w:highlight w:val="none"/>
          <w:u w:val="single"/>
        </w:rPr>
        <w:t xml:space="preserve">                </w:t>
      </w:r>
      <w:r>
        <w:rPr>
          <w:rFonts w:hint="eastAsia" w:hAnsi="宋体" w:cs="宋体"/>
          <w:szCs w:val="24"/>
          <w:highlight w:val="none"/>
        </w:rPr>
        <w:t>（所有成员单位名称）自愿组成</w:t>
      </w:r>
      <w:r>
        <w:rPr>
          <w:rFonts w:hint="eastAsia" w:hAnsi="宋体" w:cs="宋体"/>
          <w:szCs w:val="24"/>
          <w:highlight w:val="none"/>
          <w:u w:val="single"/>
        </w:rPr>
        <w:t xml:space="preserve">                 </w:t>
      </w:r>
      <w:r>
        <w:rPr>
          <w:rFonts w:hint="eastAsia" w:hAnsi="宋体" w:cs="宋体"/>
          <w:szCs w:val="24"/>
          <w:highlight w:val="none"/>
        </w:rPr>
        <w:t>（联合体名称），共同参加</w:t>
      </w:r>
      <w:r>
        <w:rPr>
          <w:rFonts w:hint="eastAsia" w:hAnsi="宋体" w:cs="宋体"/>
          <w:szCs w:val="24"/>
          <w:highlight w:val="none"/>
          <w:u w:val="single"/>
        </w:rPr>
        <w:t xml:space="preserve">            </w:t>
      </w:r>
      <w:r>
        <w:rPr>
          <w:rFonts w:hint="eastAsia" w:hAnsi="宋体" w:cs="宋体"/>
          <w:szCs w:val="24"/>
          <w:highlight w:val="none"/>
        </w:rPr>
        <w:t>（项目名称）。现就联合体投标事宜订立如下协议。</w:t>
      </w:r>
    </w:p>
    <w:p>
      <w:pPr>
        <w:topLinePunct/>
        <w:spacing w:line="440" w:lineRule="exact"/>
        <w:ind w:firstLine="424" w:firstLineChars="200"/>
        <w:rPr>
          <w:rFonts w:hAnsi="宋体" w:cs="宋体"/>
          <w:szCs w:val="24"/>
          <w:highlight w:val="none"/>
        </w:rPr>
      </w:pPr>
      <w:r>
        <w:rPr>
          <w:rFonts w:hint="eastAsia" w:hAnsi="宋体" w:cs="宋体"/>
          <w:szCs w:val="24"/>
          <w:highlight w:val="none"/>
        </w:rPr>
        <w:t>1．</w:t>
      </w:r>
      <w:r>
        <w:rPr>
          <w:rFonts w:hint="eastAsia" w:hAnsi="宋体" w:cs="宋体"/>
          <w:szCs w:val="24"/>
          <w:highlight w:val="none"/>
          <w:u w:val="single"/>
        </w:rPr>
        <w:t xml:space="preserve">            </w:t>
      </w:r>
      <w:r>
        <w:rPr>
          <w:rFonts w:hint="eastAsia" w:hAnsi="宋体" w:cs="宋体"/>
          <w:szCs w:val="24"/>
          <w:highlight w:val="none"/>
        </w:rPr>
        <w:t>（某成员单位名称）为</w:t>
      </w:r>
      <w:r>
        <w:rPr>
          <w:rFonts w:hint="eastAsia" w:hAnsi="宋体" w:cs="宋体"/>
          <w:szCs w:val="24"/>
          <w:highlight w:val="none"/>
          <w:u w:val="single"/>
        </w:rPr>
        <w:t xml:space="preserve">                 </w:t>
      </w:r>
      <w:r>
        <w:rPr>
          <w:rFonts w:hint="eastAsia" w:hAnsi="宋体" w:cs="宋体"/>
          <w:szCs w:val="24"/>
          <w:highlight w:val="none"/>
        </w:rPr>
        <w:t>（联合体名称）牵头人。</w:t>
      </w:r>
    </w:p>
    <w:p>
      <w:pPr>
        <w:topLinePunct/>
        <w:spacing w:line="440" w:lineRule="exact"/>
        <w:ind w:firstLine="424" w:firstLineChars="200"/>
        <w:rPr>
          <w:rFonts w:hAnsi="宋体" w:cs="宋体"/>
          <w:szCs w:val="24"/>
          <w:highlight w:val="none"/>
        </w:rPr>
      </w:pPr>
      <w:r>
        <w:rPr>
          <w:rFonts w:hint="eastAsia" w:hAnsi="宋体" w:cs="宋体"/>
          <w:szCs w:val="24"/>
          <w:highlight w:val="none"/>
        </w:rPr>
        <w:t>2．联合体各成员授权牵头人代表联合体参加投标活动，签署文件，提交和接收相关的资料、信息及指示，进行合同谈判活动，负责合同实施阶段的组织和协调工作，以及处理与本项目有关的一切事宜。</w:t>
      </w:r>
    </w:p>
    <w:p>
      <w:pPr>
        <w:topLinePunct/>
        <w:spacing w:line="440" w:lineRule="exact"/>
        <w:ind w:firstLine="424" w:firstLineChars="200"/>
        <w:rPr>
          <w:rFonts w:hAnsi="宋体" w:cs="宋体"/>
          <w:szCs w:val="24"/>
          <w:highlight w:val="none"/>
        </w:rPr>
      </w:pPr>
      <w:r>
        <w:rPr>
          <w:rFonts w:hint="eastAsia" w:hAnsi="宋体" w:cs="宋体"/>
          <w:szCs w:val="24"/>
          <w:highlight w:val="none"/>
        </w:rPr>
        <w:t>3．联合体牵头人在本项目中签署的一切文件和处理的一切事宜，联合体各成员均予以承认。联合体各成员将严格按照招标文件、投标文件和合同的要求全面履行义务，并向采购人承担连带责任。</w:t>
      </w:r>
    </w:p>
    <w:p>
      <w:pPr>
        <w:topLinePunct/>
        <w:spacing w:line="440" w:lineRule="exact"/>
        <w:ind w:firstLine="424" w:firstLineChars="200"/>
        <w:rPr>
          <w:rFonts w:hAnsi="宋体" w:cs="宋体"/>
          <w:szCs w:val="24"/>
          <w:highlight w:val="none"/>
        </w:rPr>
      </w:pPr>
      <w:r>
        <w:rPr>
          <w:rFonts w:hint="eastAsia" w:hAnsi="宋体" w:cs="宋体"/>
          <w:szCs w:val="24"/>
          <w:highlight w:val="none"/>
        </w:rPr>
        <w:t>4．联合体各成员单位内部的职责分工如下：</w:t>
      </w:r>
    </w:p>
    <w:p>
      <w:pPr>
        <w:topLinePunct/>
        <w:spacing w:line="440" w:lineRule="exact"/>
        <w:ind w:firstLine="424" w:firstLineChars="200"/>
        <w:rPr>
          <w:rFonts w:hAnsi="宋体" w:cs="宋体"/>
          <w:szCs w:val="24"/>
          <w:highlight w:val="none"/>
        </w:rPr>
      </w:pPr>
      <w:r>
        <w:rPr>
          <w:rFonts w:hint="eastAsia" w:hAnsi="宋体" w:cs="宋体"/>
          <w:szCs w:val="24"/>
          <w:highlight w:val="none"/>
        </w:rPr>
        <w:t>（1）由联合体牵头人承担</w:t>
      </w:r>
      <w:r>
        <w:rPr>
          <w:rFonts w:hint="eastAsia" w:hAnsi="宋体" w:cs="宋体"/>
          <w:szCs w:val="24"/>
          <w:highlight w:val="none"/>
          <w:u w:val="single"/>
        </w:rPr>
        <w:t xml:space="preserve">               工作（占合同总金额     %）</w:t>
      </w:r>
      <w:r>
        <w:rPr>
          <w:rFonts w:hint="eastAsia" w:hAnsi="宋体" w:cs="宋体"/>
          <w:szCs w:val="24"/>
          <w:highlight w:val="none"/>
        </w:rPr>
        <w:t>；</w:t>
      </w:r>
    </w:p>
    <w:p>
      <w:pPr>
        <w:topLinePunct/>
        <w:spacing w:line="440" w:lineRule="exact"/>
        <w:ind w:firstLine="424" w:firstLineChars="200"/>
        <w:rPr>
          <w:rFonts w:hAnsi="宋体" w:cs="宋体"/>
          <w:szCs w:val="24"/>
          <w:highlight w:val="none"/>
        </w:rPr>
      </w:pPr>
      <w:r>
        <w:rPr>
          <w:rFonts w:hint="eastAsia" w:hAnsi="宋体" w:cs="宋体"/>
          <w:szCs w:val="24"/>
          <w:highlight w:val="none"/>
        </w:rPr>
        <w:t>（2）由联合体成员承担</w:t>
      </w:r>
      <w:r>
        <w:rPr>
          <w:rFonts w:hint="eastAsia" w:hAnsi="宋体" w:cs="宋体"/>
          <w:szCs w:val="24"/>
          <w:highlight w:val="none"/>
          <w:u w:val="single"/>
        </w:rPr>
        <w:t xml:space="preserve">                 工作（占合同总金额     %）</w:t>
      </w:r>
      <w:r>
        <w:rPr>
          <w:rFonts w:hint="eastAsia" w:hAnsi="宋体" w:cs="宋体"/>
          <w:szCs w:val="24"/>
          <w:highlight w:val="none"/>
        </w:rPr>
        <w:t>。</w:t>
      </w:r>
    </w:p>
    <w:p>
      <w:pPr>
        <w:topLinePunct/>
        <w:spacing w:line="440" w:lineRule="exact"/>
        <w:ind w:firstLine="424" w:firstLineChars="200"/>
        <w:rPr>
          <w:rFonts w:hAnsi="宋体" w:cs="宋体"/>
          <w:szCs w:val="24"/>
          <w:highlight w:val="none"/>
        </w:rPr>
      </w:pPr>
      <w:r>
        <w:rPr>
          <w:rFonts w:hint="eastAsia" w:hAnsi="宋体" w:cs="宋体"/>
          <w:szCs w:val="24"/>
          <w:highlight w:val="none"/>
        </w:rPr>
        <w:t>5．投标工作和联合体在中标后实施过程中的有关费用按各自承担的工作量分摊。</w:t>
      </w:r>
    </w:p>
    <w:p>
      <w:pPr>
        <w:topLinePunct/>
        <w:spacing w:line="440" w:lineRule="exact"/>
        <w:ind w:firstLine="424" w:firstLineChars="200"/>
        <w:rPr>
          <w:rFonts w:hAnsi="宋体" w:cs="宋体"/>
          <w:szCs w:val="24"/>
          <w:highlight w:val="none"/>
        </w:rPr>
      </w:pPr>
      <w:r>
        <w:rPr>
          <w:rFonts w:hint="eastAsia" w:hAnsi="宋体" w:cs="宋体"/>
          <w:szCs w:val="24"/>
          <w:highlight w:val="none"/>
        </w:rPr>
        <w:t xml:space="preserve">6．本协议书自所有成员单位法定代表人签字或盖章并加盖单位章之日起生效，合同履行完毕后自动失效。 </w:t>
      </w:r>
    </w:p>
    <w:p>
      <w:pPr>
        <w:topLinePunct/>
        <w:spacing w:line="440" w:lineRule="exact"/>
        <w:ind w:firstLine="424" w:firstLineChars="200"/>
        <w:rPr>
          <w:rFonts w:hAnsi="宋体" w:cs="宋体"/>
          <w:szCs w:val="24"/>
          <w:highlight w:val="none"/>
        </w:rPr>
      </w:pPr>
      <w:r>
        <w:rPr>
          <w:rFonts w:hint="eastAsia" w:hAnsi="宋体" w:cs="宋体"/>
          <w:szCs w:val="24"/>
          <w:highlight w:val="none"/>
        </w:rPr>
        <w:t>7．本协议书一式</w:t>
      </w:r>
      <w:r>
        <w:rPr>
          <w:rFonts w:hint="eastAsia" w:hAnsi="宋体" w:cs="宋体"/>
          <w:szCs w:val="24"/>
          <w:highlight w:val="none"/>
          <w:u w:val="single"/>
        </w:rPr>
        <w:t xml:space="preserve">   </w:t>
      </w:r>
      <w:r>
        <w:rPr>
          <w:rFonts w:hint="eastAsia" w:hAnsi="宋体" w:cs="宋体"/>
          <w:szCs w:val="24"/>
          <w:highlight w:val="none"/>
        </w:rPr>
        <w:t>份，联合体成员和采购人各执一份。</w:t>
      </w:r>
    </w:p>
    <w:p>
      <w:pPr>
        <w:topLinePunct/>
        <w:spacing w:line="440" w:lineRule="exact"/>
        <w:rPr>
          <w:rFonts w:hAnsi="宋体" w:cs="宋体"/>
          <w:szCs w:val="24"/>
          <w:highlight w:val="none"/>
        </w:rPr>
      </w:pPr>
    </w:p>
    <w:p>
      <w:pPr>
        <w:topLinePunct/>
        <w:spacing w:line="440" w:lineRule="exact"/>
        <w:ind w:firstLine="424" w:firstLineChars="200"/>
        <w:rPr>
          <w:rFonts w:hAnsi="宋体" w:cs="宋体"/>
          <w:szCs w:val="24"/>
          <w:highlight w:val="none"/>
        </w:rPr>
      </w:pPr>
      <w:r>
        <w:rPr>
          <w:rFonts w:hint="eastAsia" w:hAnsi="宋体" w:cs="宋体"/>
          <w:szCs w:val="24"/>
          <w:highlight w:val="none"/>
        </w:rPr>
        <w:t>联合体牵头人名称：</w:t>
      </w:r>
      <w:r>
        <w:rPr>
          <w:rFonts w:hint="eastAsia" w:hAnsi="宋体" w:cs="宋体"/>
          <w:szCs w:val="24"/>
          <w:highlight w:val="none"/>
          <w:u w:val="single"/>
        </w:rPr>
        <w:t xml:space="preserve">             </w:t>
      </w:r>
      <w:r>
        <w:rPr>
          <w:rFonts w:hint="eastAsia" w:hAnsi="宋体" w:cs="宋体"/>
          <w:szCs w:val="24"/>
          <w:highlight w:val="none"/>
        </w:rPr>
        <w:t>（盖单位章）</w:t>
      </w:r>
    </w:p>
    <w:p>
      <w:pPr>
        <w:topLinePunct/>
        <w:spacing w:line="440" w:lineRule="exact"/>
        <w:ind w:firstLine="424" w:firstLineChars="200"/>
        <w:rPr>
          <w:rFonts w:hAnsi="宋体" w:cs="宋体"/>
          <w:szCs w:val="24"/>
          <w:highlight w:val="none"/>
        </w:rPr>
      </w:pPr>
      <w:r>
        <w:rPr>
          <w:rFonts w:hint="eastAsia" w:hAnsi="宋体" w:cs="宋体"/>
          <w:szCs w:val="24"/>
          <w:highlight w:val="none"/>
        </w:rPr>
        <w:t>法定代表人：</w:t>
      </w:r>
      <w:r>
        <w:rPr>
          <w:rFonts w:hint="eastAsia" w:hAnsi="宋体" w:cs="宋体"/>
          <w:szCs w:val="24"/>
          <w:highlight w:val="none"/>
          <w:u w:val="single"/>
        </w:rPr>
        <w:t xml:space="preserve">                 </w:t>
      </w:r>
      <w:r>
        <w:rPr>
          <w:rFonts w:hint="eastAsia" w:hAnsi="宋体" w:cs="宋体"/>
          <w:szCs w:val="24"/>
          <w:highlight w:val="none"/>
        </w:rPr>
        <w:t>（签字或盖章）</w:t>
      </w:r>
    </w:p>
    <w:p>
      <w:pPr>
        <w:topLinePunct/>
        <w:spacing w:line="440" w:lineRule="exact"/>
        <w:rPr>
          <w:rFonts w:hAnsi="宋体" w:cs="宋体"/>
          <w:szCs w:val="24"/>
          <w:highlight w:val="none"/>
        </w:rPr>
      </w:pPr>
    </w:p>
    <w:p>
      <w:pPr>
        <w:topLinePunct/>
        <w:spacing w:line="440" w:lineRule="exact"/>
        <w:ind w:firstLine="424" w:firstLineChars="200"/>
        <w:rPr>
          <w:rFonts w:hAnsi="宋体" w:cs="宋体"/>
          <w:szCs w:val="24"/>
          <w:highlight w:val="none"/>
        </w:rPr>
      </w:pPr>
      <w:r>
        <w:rPr>
          <w:rFonts w:hint="eastAsia" w:hAnsi="宋体" w:cs="宋体"/>
          <w:szCs w:val="24"/>
          <w:highlight w:val="none"/>
        </w:rPr>
        <w:t>联合体成员名称：</w:t>
      </w:r>
      <w:r>
        <w:rPr>
          <w:rFonts w:hint="eastAsia" w:hAnsi="宋体" w:cs="宋体"/>
          <w:szCs w:val="24"/>
          <w:highlight w:val="none"/>
          <w:u w:val="single"/>
        </w:rPr>
        <w:t xml:space="preserve">               </w:t>
      </w:r>
      <w:r>
        <w:rPr>
          <w:rFonts w:hint="eastAsia" w:hAnsi="宋体" w:cs="宋体"/>
          <w:szCs w:val="24"/>
          <w:highlight w:val="none"/>
        </w:rPr>
        <w:t>（盖单位章）</w:t>
      </w:r>
    </w:p>
    <w:p>
      <w:pPr>
        <w:topLinePunct/>
        <w:spacing w:line="440" w:lineRule="exact"/>
        <w:ind w:firstLine="424" w:firstLineChars="200"/>
        <w:rPr>
          <w:rFonts w:hAnsi="宋体" w:cs="宋体"/>
          <w:szCs w:val="24"/>
          <w:highlight w:val="none"/>
        </w:rPr>
      </w:pPr>
      <w:r>
        <w:rPr>
          <w:rFonts w:hint="eastAsia" w:hAnsi="宋体" w:cs="宋体"/>
          <w:szCs w:val="24"/>
          <w:highlight w:val="none"/>
        </w:rPr>
        <w:t>法定代表人：</w:t>
      </w:r>
      <w:r>
        <w:rPr>
          <w:rFonts w:hint="eastAsia" w:hAnsi="宋体" w:cs="宋体"/>
          <w:szCs w:val="24"/>
          <w:highlight w:val="none"/>
          <w:u w:val="single"/>
        </w:rPr>
        <w:t xml:space="preserve">                 </w:t>
      </w:r>
      <w:r>
        <w:rPr>
          <w:rFonts w:hint="eastAsia" w:hAnsi="宋体" w:cs="宋体"/>
          <w:szCs w:val="24"/>
          <w:highlight w:val="none"/>
        </w:rPr>
        <w:t>（签字或盖章）</w:t>
      </w:r>
    </w:p>
    <w:p>
      <w:pPr>
        <w:topLinePunct/>
        <w:spacing w:line="440" w:lineRule="exact"/>
        <w:rPr>
          <w:rFonts w:hAnsi="宋体" w:cs="宋体"/>
          <w:szCs w:val="24"/>
          <w:highlight w:val="none"/>
        </w:rPr>
      </w:pPr>
      <w:r>
        <w:rPr>
          <w:rFonts w:hint="eastAsia" w:hAnsi="宋体" w:cs="宋体"/>
          <w:szCs w:val="24"/>
          <w:highlight w:val="none"/>
        </w:rPr>
        <w:t xml:space="preserve"> </w:t>
      </w:r>
    </w:p>
    <w:p>
      <w:pPr>
        <w:widowControl/>
        <w:jc w:val="left"/>
        <w:rPr>
          <w:rFonts w:hAnsi="宋体" w:cs="宋体"/>
          <w:szCs w:val="24"/>
          <w:highlight w:val="none"/>
        </w:rPr>
      </w:pPr>
      <w:r>
        <w:rPr>
          <w:rFonts w:hint="eastAsia" w:hAnsi="宋体" w:cs="宋体"/>
          <w:szCs w:val="24"/>
          <w:highlight w:val="none"/>
          <w:u w:val="single"/>
        </w:rPr>
        <w:t xml:space="preserve">        </w:t>
      </w:r>
      <w:r>
        <w:rPr>
          <w:rFonts w:hint="eastAsia" w:hAnsi="宋体" w:cs="宋体"/>
          <w:szCs w:val="24"/>
          <w:highlight w:val="none"/>
        </w:rPr>
        <w:t>年</w:t>
      </w:r>
      <w:r>
        <w:rPr>
          <w:rFonts w:hint="eastAsia" w:hAnsi="宋体" w:cs="宋体"/>
          <w:szCs w:val="24"/>
          <w:highlight w:val="none"/>
          <w:u w:val="single"/>
        </w:rPr>
        <w:t xml:space="preserve">     </w:t>
      </w:r>
      <w:r>
        <w:rPr>
          <w:rFonts w:hint="eastAsia" w:hAnsi="宋体" w:cs="宋体"/>
          <w:szCs w:val="24"/>
          <w:highlight w:val="none"/>
        </w:rPr>
        <w:t>月</w:t>
      </w:r>
      <w:r>
        <w:rPr>
          <w:rFonts w:hint="eastAsia" w:hAnsi="宋体" w:cs="宋体"/>
          <w:szCs w:val="24"/>
          <w:highlight w:val="none"/>
          <w:u w:val="single"/>
        </w:rPr>
        <w:t xml:space="preserve">    </w:t>
      </w:r>
      <w:r>
        <w:rPr>
          <w:rFonts w:hint="eastAsia" w:hAnsi="宋体" w:cs="宋体"/>
          <w:szCs w:val="24"/>
          <w:highlight w:val="none"/>
        </w:rPr>
        <w:t>日</w:t>
      </w:r>
    </w:p>
    <w:p>
      <w:pPr>
        <w:tabs>
          <w:tab w:val="left" w:pos="360"/>
        </w:tabs>
        <w:ind w:left="357" w:hanging="357"/>
        <w:rPr>
          <w:rFonts w:hAnsi="宋体" w:cs="宋体"/>
          <w:szCs w:val="24"/>
          <w:highlight w:val="none"/>
        </w:rPr>
      </w:pPr>
    </w:p>
    <w:p>
      <w:pPr>
        <w:rPr>
          <w:rFonts w:hAnsi="宋体" w:cs="宋体"/>
          <w:b/>
          <w:bCs/>
          <w:szCs w:val="24"/>
          <w:highlight w:val="none"/>
        </w:rPr>
      </w:pPr>
      <w:r>
        <w:rPr>
          <w:rFonts w:hint="eastAsia" w:hAnsi="宋体" w:cs="宋体"/>
          <w:b/>
          <w:bCs/>
          <w:szCs w:val="24"/>
          <w:highlight w:val="none"/>
        </w:rPr>
        <w:t>注：采用联合体形式投标的供应商必须提供联合体协议。</w:t>
      </w:r>
    </w:p>
    <w:p>
      <w:pPr>
        <w:rPr>
          <w:highlight w:val="none"/>
        </w:rPr>
      </w:pPr>
    </w:p>
    <w:p>
      <w:pPr>
        <w:spacing w:line="360" w:lineRule="auto"/>
        <w:jc w:val="center"/>
        <w:rPr>
          <w:rFonts w:ascii="宋体" w:hAnsi="宋体" w:cs="宋体"/>
          <w:b/>
          <w:sz w:val="48"/>
          <w:szCs w:val="48"/>
          <w:highlight w:val="none"/>
        </w:rPr>
      </w:pPr>
    </w:p>
    <w:p>
      <w:pPr>
        <w:rPr>
          <w:highlight w:val="none"/>
        </w:rPr>
      </w:pPr>
    </w:p>
    <w:p>
      <w:pPr>
        <w:spacing w:line="360" w:lineRule="auto"/>
        <w:jc w:val="center"/>
        <w:rPr>
          <w:rFonts w:ascii="宋体" w:hAnsi="宋体" w:cs="宋体"/>
          <w:b/>
          <w:sz w:val="48"/>
          <w:szCs w:val="48"/>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报价文件</w:t>
      </w:r>
    </w:p>
    <w:p>
      <w:pPr>
        <w:spacing w:line="360" w:lineRule="auto"/>
        <w:rPr>
          <w:rFonts w:ascii="宋体" w:hAnsi="宋体" w:cs="宋体"/>
          <w:sz w:val="28"/>
          <w:szCs w:val="28"/>
          <w:highlight w:val="none"/>
        </w:rPr>
      </w:pPr>
      <w:r>
        <w:rPr>
          <w:rFonts w:hint="eastAsia" w:ascii="宋体" w:hAnsi="宋体" w:cs="宋体"/>
          <w:sz w:val="28"/>
          <w:szCs w:val="28"/>
          <w:highlight w:val="none"/>
        </w:rPr>
        <w:t>封面</w:t>
      </w:r>
    </w:p>
    <w:p>
      <w:pPr>
        <w:spacing w:line="360" w:lineRule="auto"/>
        <w:ind w:firstLine="560"/>
        <w:jc w:val="right"/>
        <w:rPr>
          <w:rFonts w:ascii="宋体" w:hAnsi="宋体" w:cs="宋体"/>
          <w:sz w:val="28"/>
          <w:highlight w:val="none"/>
        </w:rPr>
      </w:pPr>
    </w:p>
    <w:p>
      <w:pPr>
        <w:spacing w:line="360" w:lineRule="auto"/>
        <w:ind w:firstLine="1288" w:firstLineChars="400"/>
        <w:rPr>
          <w:rFonts w:ascii="宋体" w:hAnsi="宋体" w:cs="宋体"/>
          <w:sz w:val="32"/>
          <w:highlight w:val="none"/>
        </w:rPr>
      </w:pPr>
    </w:p>
    <w:p>
      <w:pPr>
        <w:spacing w:line="360" w:lineRule="auto"/>
        <w:jc w:val="center"/>
        <w:rPr>
          <w:rFonts w:ascii="宋体" w:hAnsi="宋体" w:cs="宋体"/>
          <w:sz w:val="28"/>
          <w:highlight w:val="none"/>
          <w:u w:val="single"/>
        </w:rPr>
      </w:pPr>
      <w:r>
        <w:rPr>
          <w:rFonts w:hint="eastAsia" w:ascii="宋体" w:hAnsi="宋体" w:cs="宋体"/>
          <w:sz w:val="28"/>
          <w:highlight w:val="none"/>
          <w:u w:val="single"/>
        </w:rPr>
        <w:t>________________________________________________</w:t>
      </w:r>
      <w:r>
        <w:rPr>
          <w:rFonts w:hint="eastAsia" w:ascii="宋体" w:hAnsi="宋体" w:cs="宋体"/>
          <w:sz w:val="28"/>
          <w:highlight w:val="none"/>
        </w:rPr>
        <w:t>项目</w:t>
      </w:r>
    </w:p>
    <w:p>
      <w:pPr>
        <w:spacing w:line="360" w:lineRule="auto"/>
        <w:ind w:firstLine="1288" w:firstLineChars="400"/>
        <w:rPr>
          <w:rFonts w:ascii="宋体" w:hAnsi="宋体" w:cs="宋体"/>
          <w:sz w:val="32"/>
          <w:highlight w:val="none"/>
        </w:rPr>
      </w:pPr>
    </w:p>
    <w:p>
      <w:pPr>
        <w:spacing w:line="360" w:lineRule="auto"/>
        <w:ind w:firstLine="1288" w:firstLineChars="400"/>
        <w:rPr>
          <w:rFonts w:ascii="宋体" w:hAnsi="宋体" w:cs="宋体"/>
          <w:sz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 标 文 件</w:t>
      </w:r>
    </w:p>
    <w:p>
      <w:pPr>
        <w:spacing w:line="360" w:lineRule="auto"/>
        <w:ind w:firstLine="1692" w:firstLineChars="600"/>
        <w:rPr>
          <w:rFonts w:ascii="宋体" w:hAnsi="宋体" w:cs="宋体"/>
          <w:sz w:val="28"/>
          <w:highlight w:val="none"/>
        </w:rPr>
      </w:pPr>
    </w:p>
    <w:p>
      <w:pPr>
        <w:spacing w:line="360" w:lineRule="auto"/>
        <w:ind w:firstLine="1692" w:firstLineChars="600"/>
        <w:rPr>
          <w:rFonts w:ascii="宋体" w:hAnsi="宋体" w:cs="宋体"/>
          <w:sz w:val="28"/>
          <w:highlight w:val="none"/>
          <w:u w:val="single"/>
        </w:rPr>
      </w:pPr>
      <w:r>
        <w:rPr>
          <w:rFonts w:hint="eastAsia" w:ascii="宋体" w:hAnsi="宋体" w:cs="宋体"/>
          <w:sz w:val="28"/>
          <w:highlight w:val="none"/>
        </w:rPr>
        <w:t>招标编号：</w:t>
      </w:r>
      <w:r>
        <w:rPr>
          <w:rFonts w:hint="eastAsia" w:ascii="宋体" w:hAnsi="宋体" w:cs="宋体"/>
          <w:sz w:val="28"/>
          <w:highlight w:val="none"/>
          <w:u w:val="single"/>
        </w:rPr>
        <w:t>______________</w:t>
      </w:r>
    </w:p>
    <w:p>
      <w:pPr>
        <w:tabs>
          <w:tab w:val="center" w:pos="5205"/>
        </w:tabs>
        <w:spacing w:line="360" w:lineRule="auto"/>
        <w:ind w:firstLine="1692" w:firstLineChars="600"/>
        <w:rPr>
          <w:rFonts w:ascii="宋体" w:hAnsi="宋体" w:cs="宋体"/>
          <w:sz w:val="28"/>
          <w:highlight w:val="none"/>
          <w:u w:val="single"/>
        </w:rPr>
      </w:pPr>
      <w:r>
        <w:rPr>
          <w:rFonts w:hint="eastAsia" w:ascii="宋体" w:hAnsi="宋体" w:cs="宋体"/>
          <w:sz w:val="28"/>
          <w:highlight w:val="none"/>
        </w:rPr>
        <w:t>标项：</w:t>
      </w:r>
      <w:r>
        <w:rPr>
          <w:rFonts w:hint="eastAsia" w:ascii="宋体" w:hAnsi="宋体" w:cs="宋体"/>
          <w:sz w:val="28"/>
          <w:highlight w:val="none"/>
          <w:u w:val="single"/>
        </w:rPr>
        <w:t>____________</w:t>
      </w:r>
    </w:p>
    <w:p>
      <w:pPr>
        <w:spacing w:line="360" w:lineRule="auto"/>
        <w:ind w:firstLine="1692" w:firstLineChars="600"/>
        <w:rPr>
          <w:rFonts w:ascii="宋体" w:hAnsi="宋体" w:cs="宋体"/>
          <w:sz w:val="28"/>
          <w:szCs w:val="22"/>
          <w:highlight w:val="none"/>
          <w:u w:val="singl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720" w:lineRule="auto"/>
        <w:rPr>
          <w:rFonts w:ascii="宋体" w:hAnsi="宋体" w:cs="宋体"/>
          <w:b/>
          <w:sz w:val="28"/>
          <w:highlight w:val="none"/>
          <w:u w:val="single"/>
        </w:rPr>
      </w:pPr>
      <w:r>
        <w:rPr>
          <w:rFonts w:hint="eastAsia" w:ascii="宋体" w:hAnsi="宋体" w:cs="宋体"/>
          <w:sz w:val="28"/>
          <w:highlight w:val="none"/>
        </w:rPr>
        <w:t>投标文件名称：</w:t>
      </w:r>
      <w:r>
        <w:rPr>
          <w:rFonts w:hint="eastAsia" w:ascii="宋体" w:hAnsi="宋体" w:cs="宋体"/>
          <w:b/>
          <w:sz w:val="28"/>
          <w:highlight w:val="none"/>
          <w:u w:val="single"/>
        </w:rPr>
        <w:t xml:space="preserve">           报价文件                      </w:t>
      </w:r>
    </w:p>
    <w:p>
      <w:pPr>
        <w:spacing w:line="720" w:lineRule="auto"/>
        <w:rPr>
          <w:rFonts w:ascii="宋体" w:hAnsi="宋体" w:cs="宋体"/>
          <w:b/>
          <w:sz w:val="28"/>
          <w:highlight w:val="none"/>
        </w:rPr>
      </w:pPr>
      <w:r>
        <w:rPr>
          <w:rFonts w:hint="eastAsia" w:ascii="宋体" w:hAnsi="宋体" w:cs="宋体"/>
          <w:sz w:val="28"/>
          <w:highlight w:val="none"/>
        </w:rPr>
        <w:t>投标人：</w:t>
      </w:r>
      <w:r>
        <w:rPr>
          <w:rFonts w:hint="eastAsia" w:ascii="宋体" w:hAnsi="宋体" w:cs="宋体"/>
          <w:sz w:val="28"/>
          <w:highlight w:val="none"/>
          <w:u w:val="single"/>
        </w:rPr>
        <w:t xml:space="preserve">                                             （盖章） </w:t>
      </w:r>
    </w:p>
    <w:p>
      <w:pPr>
        <w:adjustRightInd w:val="0"/>
        <w:snapToGrid w:val="0"/>
        <w:jc w:val="left"/>
        <w:rPr>
          <w:rFonts w:ascii="宋体" w:hAnsi="宋体" w:cs="宋体"/>
          <w:b/>
          <w:sz w:val="24"/>
          <w:highlight w:val="none"/>
          <w:u w:val="single"/>
        </w:rPr>
      </w:pPr>
      <w:r>
        <w:rPr>
          <w:rFonts w:hint="eastAsia" w:ascii="宋体" w:hAnsi="宋体" w:cs="宋体"/>
          <w:sz w:val="28"/>
          <w:highlight w:val="none"/>
        </w:rPr>
        <w:t>日    期：</w:t>
      </w:r>
      <w:r>
        <w:rPr>
          <w:rFonts w:hint="eastAsia" w:ascii="宋体" w:hAnsi="宋体" w:cs="宋体"/>
          <w:sz w:val="28"/>
          <w:highlight w:val="none"/>
          <w:u w:val="single"/>
        </w:rPr>
        <w:t xml:space="preserve">                </w:t>
      </w:r>
      <w:r>
        <w:rPr>
          <w:rFonts w:hint="eastAsia" w:ascii="宋体" w:hAnsi="宋体" w:cs="宋体"/>
          <w:sz w:val="28"/>
          <w:highlight w:val="none"/>
        </w:rPr>
        <w:t>年</w:t>
      </w:r>
      <w:r>
        <w:rPr>
          <w:rFonts w:hint="eastAsia" w:ascii="宋体" w:hAnsi="宋体" w:cs="宋体"/>
          <w:sz w:val="28"/>
          <w:highlight w:val="none"/>
          <w:u w:val="single"/>
        </w:rPr>
        <w:t xml:space="preserve">                </w:t>
      </w:r>
      <w:r>
        <w:rPr>
          <w:rFonts w:hint="eastAsia" w:ascii="宋体" w:hAnsi="宋体" w:cs="宋体"/>
          <w:sz w:val="28"/>
          <w:highlight w:val="none"/>
        </w:rPr>
        <w:t>月</w:t>
      </w:r>
      <w:r>
        <w:rPr>
          <w:rFonts w:hint="eastAsia" w:ascii="宋体" w:hAnsi="宋体" w:cs="宋体"/>
          <w:sz w:val="28"/>
          <w:highlight w:val="none"/>
          <w:u w:val="single"/>
        </w:rPr>
        <w:t xml:space="preserve">           </w:t>
      </w:r>
      <w:r>
        <w:rPr>
          <w:rFonts w:hint="eastAsia" w:ascii="宋体" w:hAnsi="宋体" w:cs="宋体"/>
          <w:b/>
          <w:sz w:val="28"/>
          <w:highlight w:val="none"/>
          <w:u w:val="single"/>
        </w:rPr>
        <w:t xml:space="preserve">   </w:t>
      </w:r>
      <w:r>
        <w:rPr>
          <w:rFonts w:hint="eastAsia" w:ascii="宋体" w:hAnsi="宋体" w:cs="宋体"/>
          <w:sz w:val="28"/>
          <w:highlight w:val="none"/>
        </w:rPr>
        <w:t>日</w:t>
      </w:r>
    </w:p>
    <w:p>
      <w:pPr>
        <w:spacing w:line="360" w:lineRule="exact"/>
        <w:rPr>
          <w:rFonts w:ascii="宋体" w:hAnsi="宋体" w:cs="宋体"/>
          <w:szCs w:val="21"/>
          <w:highlight w:val="none"/>
        </w:rPr>
      </w:pPr>
    </w:p>
    <w:p>
      <w:pPr>
        <w:spacing w:line="360" w:lineRule="exact"/>
        <w:rPr>
          <w:rFonts w:ascii="宋体" w:hAnsi="宋体" w:cs="宋体"/>
          <w:szCs w:val="21"/>
          <w:highlight w:val="none"/>
        </w:rPr>
      </w:pPr>
    </w:p>
    <w:p>
      <w:pPr>
        <w:spacing w:line="360" w:lineRule="exact"/>
        <w:rPr>
          <w:rFonts w:ascii="宋体" w:hAnsi="宋体" w:cs="宋体"/>
          <w:szCs w:val="21"/>
          <w:highlight w:val="none"/>
        </w:rPr>
      </w:pPr>
    </w:p>
    <w:p>
      <w:pPr>
        <w:spacing w:line="360" w:lineRule="exact"/>
        <w:rPr>
          <w:rFonts w:ascii="宋体" w:hAnsi="宋体" w:cs="宋体"/>
          <w:szCs w:val="21"/>
          <w:highlight w:val="none"/>
        </w:rPr>
      </w:pPr>
    </w:p>
    <w:p>
      <w:pPr>
        <w:spacing w:line="360" w:lineRule="exact"/>
        <w:ind w:firstLine="212" w:firstLineChars="100"/>
        <w:rPr>
          <w:rFonts w:ascii="宋体" w:hAnsi="宋体" w:cs="宋体"/>
          <w:szCs w:val="21"/>
          <w:highlight w:val="none"/>
        </w:rPr>
      </w:pPr>
    </w:p>
    <w:p>
      <w:pPr>
        <w:spacing w:line="360" w:lineRule="exact"/>
        <w:ind w:firstLine="212" w:firstLineChars="100"/>
        <w:rPr>
          <w:rFonts w:ascii="宋体" w:hAnsi="宋体" w:cs="宋体"/>
          <w:szCs w:val="21"/>
          <w:highlight w:val="none"/>
        </w:rPr>
      </w:pPr>
    </w:p>
    <w:p>
      <w:pPr>
        <w:spacing w:line="360" w:lineRule="exact"/>
        <w:ind w:firstLine="212" w:firstLineChars="100"/>
        <w:rPr>
          <w:rFonts w:ascii="宋体" w:hAnsi="宋体" w:cs="宋体"/>
          <w:szCs w:val="21"/>
          <w:highlight w:val="none"/>
        </w:rPr>
      </w:pPr>
    </w:p>
    <w:p>
      <w:pPr>
        <w:spacing w:line="360" w:lineRule="exact"/>
        <w:ind w:firstLine="212" w:firstLineChars="1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w:t>
      </w:r>
      <w:r>
        <w:rPr>
          <w:rFonts w:hint="eastAsia" w:ascii="宋体" w:hAnsi="宋体" w:cs="宋体"/>
          <w:szCs w:val="21"/>
          <w:highlight w:val="none"/>
        </w:rPr>
        <w:t>报价文件，含：</w:t>
      </w:r>
    </w:p>
    <w:p>
      <w:pPr>
        <w:spacing w:line="360" w:lineRule="exact"/>
        <w:rPr>
          <w:rFonts w:ascii="宋体" w:hAnsi="宋体" w:cs="宋体"/>
          <w:highlight w:val="none"/>
        </w:rPr>
      </w:pPr>
      <w:r>
        <w:rPr>
          <w:rFonts w:hint="eastAsia" w:ascii="宋体" w:hAnsi="宋体" w:cs="宋体"/>
          <w:highlight w:val="none"/>
        </w:rPr>
        <w:t>(1)开标一览表；</w:t>
      </w:r>
    </w:p>
    <w:p>
      <w:pPr>
        <w:spacing w:line="360" w:lineRule="exact"/>
        <w:rPr>
          <w:rFonts w:ascii="宋体" w:hAnsi="宋体" w:cs="宋体"/>
          <w:highlight w:val="none"/>
        </w:rPr>
      </w:pPr>
      <w:r>
        <w:rPr>
          <w:rFonts w:hint="eastAsia" w:ascii="宋体" w:hAnsi="宋体" w:cs="宋体"/>
          <w:highlight w:val="none"/>
        </w:rPr>
        <w:t>(2)投标报价组成明细表；</w:t>
      </w:r>
    </w:p>
    <w:p>
      <w:pPr>
        <w:spacing w:line="360" w:lineRule="exact"/>
        <w:rPr>
          <w:rFonts w:ascii="宋体" w:hAnsi="宋体" w:cs="宋体"/>
          <w:highlight w:val="none"/>
        </w:rPr>
      </w:pPr>
      <w:r>
        <w:rPr>
          <w:rFonts w:hint="eastAsia" w:ascii="宋体" w:hAnsi="宋体" w:cs="宋体"/>
          <w:highlight w:val="none"/>
        </w:rPr>
        <w:t>(3)中小企业声明函（如有需提供）；</w:t>
      </w:r>
    </w:p>
    <w:p>
      <w:pPr>
        <w:spacing w:line="360" w:lineRule="exact"/>
        <w:rPr>
          <w:rFonts w:ascii="宋体" w:hAnsi="宋体" w:cs="宋体"/>
          <w:highlight w:val="none"/>
        </w:rPr>
      </w:pPr>
      <w:r>
        <w:rPr>
          <w:rFonts w:hint="eastAsia" w:ascii="宋体" w:hAnsi="宋体" w:cs="宋体"/>
          <w:highlight w:val="none"/>
        </w:rPr>
        <w:t>(4)残疾人福利性单位声明函（如有需提供）；</w:t>
      </w:r>
    </w:p>
    <w:p>
      <w:pPr>
        <w:spacing w:line="360" w:lineRule="exact"/>
        <w:rPr>
          <w:rFonts w:ascii="宋体" w:hAnsi="宋体" w:cs="宋体"/>
          <w:szCs w:val="22"/>
          <w:highlight w:val="none"/>
        </w:rPr>
      </w:pPr>
      <w:r>
        <w:rPr>
          <w:rFonts w:hint="eastAsia" w:ascii="宋体" w:hAnsi="宋体" w:cs="宋体"/>
          <w:highlight w:val="none"/>
        </w:rPr>
        <w:t>(5)</w:t>
      </w:r>
      <w:r>
        <w:rPr>
          <w:rFonts w:hint="eastAsia" w:ascii="宋体" w:hAnsi="宋体" w:cs="宋体"/>
          <w:szCs w:val="22"/>
          <w:highlight w:val="none"/>
        </w:rPr>
        <w:t>监狱企业声明函</w:t>
      </w:r>
      <w:r>
        <w:rPr>
          <w:rFonts w:hint="eastAsia" w:ascii="宋体" w:hAnsi="宋体" w:cs="宋体"/>
          <w:highlight w:val="none"/>
        </w:rPr>
        <w:t>（如有需提供）</w:t>
      </w:r>
      <w:r>
        <w:rPr>
          <w:rFonts w:hint="eastAsia" w:ascii="宋体" w:hAnsi="宋体" w:cs="宋体"/>
          <w:szCs w:val="22"/>
          <w:highlight w:val="none"/>
        </w:rPr>
        <w:t>；</w:t>
      </w:r>
    </w:p>
    <w:p>
      <w:pPr>
        <w:spacing w:line="360" w:lineRule="exact"/>
        <w:rPr>
          <w:rFonts w:ascii="宋体" w:hAnsi="宋体" w:cs="宋体"/>
          <w:szCs w:val="22"/>
          <w:highlight w:val="none"/>
        </w:rPr>
      </w:pPr>
    </w:p>
    <w:p>
      <w:pPr>
        <w:rPr>
          <w:rFonts w:ascii="宋体" w:hAnsi="宋体" w:cs="宋体"/>
          <w:highlight w:val="none"/>
        </w:rPr>
      </w:pPr>
    </w:p>
    <w:p>
      <w:pPr>
        <w:rPr>
          <w:highlight w:val="none"/>
        </w:rPr>
      </w:pPr>
      <w:bookmarkStart w:id="317" w:name="_Toc520902410"/>
    </w:p>
    <w:p>
      <w:pPr>
        <w:rPr>
          <w:rFonts w:ascii="宋体" w:hAnsi="宋体" w:cs="宋体"/>
          <w:sz w:val="24"/>
          <w:szCs w:val="2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spacing w:line="380" w:lineRule="exact"/>
        <w:rPr>
          <w:rFonts w:ascii="宋体" w:hAnsi="宋体" w:cs="宋体"/>
          <w:bCs w:val="0"/>
          <w:sz w:val="24"/>
          <w:szCs w:val="24"/>
          <w:highlight w:val="none"/>
        </w:rPr>
      </w:pPr>
    </w:p>
    <w:p>
      <w:pPr>
        <w:rPr>
          <w:rFonts w:ascii="宋体" w:hAnsi="宋体" w:cs="宋体"/>
          <w:sz w:val="24"/>
          <w:szCs w:val="24"/>
          <w:highlight w:val="none"/>
        </w:rPr>
      </w:pPr>
    </w:p>
    <w:p>
      <w:pPr>
        <w:pStyle w:val="4"/>
        <w:rPr>
          <w:rFonts w:ascii="宋体" w:hAnsi="宋体" w:cs="宋体"/>
          <w:bCs w:val="0"/>
          <w:sz w:val="24"/>
          <w:szCs w:val="24"/>
          <w:highlight w:val="none"/>
        </w:rPr>
      </w:pPr>
    </w:p>
    <w:p>
      <w:pPr>
        <w:rPr>
          <w:rFonts w:ascii="宋体" w:hAnsi="宋体" w:cs="宋体"/>
          <w:sz w:val="24"/>
          <w:szCs w:val="24"/>
          <w:highlight w:val="none"/>
        </w:rPr>
      </w:pPr>
    </w:p>
    <w:p>
      <w:pPr>
        <w:pStyle w:val="4"/>
        <w:rPr>
          <w:rFonts w:ascii="宋体" w:hAnsi="宋体" w:cs="宋体"/>
          <w:bCs w:val="0"/>
          <w:sz w:val="24"/>
          <w:szCs w:val="24"/>
          <w:highlight w:val="none"/>
        </w:rPr>
      </w:pPr>
    </w:p>
    <w:p>
      <w:pPr>
        <w:rPr>
          <w:rFonts w:ascii="宋体" w:hAnsi="宋体" w:cs="宋体"/>
          <w:sz w:val="24"/>
          <w:szCs w:val="24"/>
          <w:highlight w:val="none"/>
        </w:rPr>
      </w:pPr>
    </w:p>
    <w:p>
      <w:pPr>
        <w:pStyle w:val="4"/>
        <w:rPr>
          <w:rFonts w:ascii="宋体" w:hAnsi="宋体" w:cs="宋体"/>
          <w:bCs w:val="0"/>
          <w:sz w:val="24"/>
          <w:szCs w:val="24"/>
          <w:highlight w:val="none"/>
        </w:rPr>
      </w:pPr>
    </w:p>
    <w:p>
      <w:pPr>
        <w:rPr>
          <w:rFonts w:ascii="宋体" w:hAnsi="宋体" w:cs="宋体"/>
          <w:sz w:val="24"/>
          <w:szCs w:val="24"/>
          <w:highlight w:val="none"/>
        </w:rPr>
      </w:pPr>
    </w:p>
    <w:p>
      <w:pPr>
        <w:pStyle w:val="4"/>
        <w:rPr>
          <w:highlight w:val="none"/>
        </w:rPr>
      </w:pPr>
    </w:p>
    <w:p>
      <w:pPr>
        <w:pStyle w:val="4"/>
        <w:spacing w:line="380" w:lineRule="exact"/>
        <w:rPr>
          <w:rFonts w:ascii="宋体" w:hAnsi="宋体" w:cs="宋体"/>
          <w:bCs w:val="0"/>
          <w:sz w:val="24"/>
          <w:szCs w:val="24"/>
          <w:highlight w:val="none"/>
        </w:rPr>
      </w:pPr>
    </w:p>
    <w:p>
      <w:pPr>
        <w:pStyle w:val="4"/>
        <w:spacing w:line="380" w:lineRule="exact"/>
        <w:rPr>
          <w:rFonts w:ascii="宋体" w:hAnsi="宋体" w:cs="宋体"/>
          <w:bCs w:val="0"/>
          <w:sz w:val="24"/>
          <w:szCs w:val="24"/>
          <w:highlight w:val="none"/>
        </w:rPr>
      </w:pPr>
      <w:r>
        <w:rPr>
          <w:rFonts w:hint="eastAsia" w:ascii="宋体" w:hAnsi="宋体" w:cs="宋体"/>
          <w:bCs w:val="0"/>
          <w:sz w:val="24"/>
          <w:szCs w:val="24"/>
          <w:highlight w:val="none"/>
        </w:rPr>
        <w:t>（一）开标一览表</w:t>
      </w:r>
      <w:bookmarkEnd w:id="313"/>
      <w:bookmarkEnd w:id="314"/>
      <w:bookmarkEnd w:id="315"/>
      <w:bookmarkEnd w:id="316"/>
      <w:bookmarkEnd w:id="317"/>
    </w:p>
    <w:p>
      <w:pPr>
        <w:spacing w:line="400" w:lineRule="exact"/>
        <w:ind w:left="525"/>
        <w:rPr>
          <w:rFonts w:ascii="宋体" w:hAnsi="宋体" w:cs="宋体"/>
          <w:szCs w:val="21"/>
          <w:highlight w:val="none"/>
        </w:rPr>
      </w:pPr>
    </w:p>
    <w:p>
      <w:pPr>
        <w:rPr>
          <w:rFonts w:ascii="宋体" w:hAnsi="宋体" w:cs="宋体"/>
          <w:szCs w:val="21"/>
          <w:highlight w:val="none"/>
        </w:rPr>
      </w:pPr>
    </w:p>
    <w:p>
      <w:pPr>
        <w:spacing w:line="380" w:lineRule="exact"/>
        <w:rPr>
          <w:rFonts w:ascii="宋体" w:hAnsi="宋体" w:cs="宋体"/>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招标编号：</w:t>
      </w:r>
      <w:r>
        <w:rPr>
          <w:rFonts w:hint="eastAsia" w:ascii="宋体" w:hAnsi="宋体" w:cs="宋体"/>
          <w:szCs w:val="21"/>
          <w:highlight w:val="none"/>
          <w:u w:val="single"/>
        </w:rPr>
        <w:t xml:space="preserve">                </w:t>
      </w:r>
      <w:r>
        <w:rPr>
          <w:rFonts w:hint="eastAsia" w:ascii="宋体" w:hAnsi="宋体" w:cs="宋体"/>
          <w:sz w:val="24"/>
          <w:szCs w:val="24"/>
          <w:highlight w:val="none"/>
        </w:rPr>
        <w:t xml:space="preserve"> </w:t>
      </w:r>
    </w:p>
    <w:p>
      <w:pPr>
        <w:spacing w:line="380" w:lineRule="exact"/>
        <w:rPr>
          <w:rFonts w:ascii="宋体" w:hAnsi="宋体" w:cs="宋体"/>
          <w:szCs w:val="21"/>
          <w:highlight w:val="none"/>
          <w:u w:val="single"/>
        </w:rPr>
      </w:pPr>
    </w:p>
    <w:tbl>
      <w:tblPr>
        <w:tblStyle w:val="37"/>
        <w:tblW w:w="9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505"/>
        <w:gridCol w:w="2004"/>
        <w:gridCol w:w="2106"/>
        <w:gridCol w:w="1346"/>
        <w:gridCol w:w="1559"/>
      </w:tblGrid>
      <w:tr>
        <w:trPr>
          <w:trHeight w:val="100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i/>
                <w:sz w:val="24"/>
                <w:szCs w:val="24"/>
                <w:highlight w:val="none"/>
              </w:rPr>
            </w:pPr>
            <w:r>
              <w:rPr>
                <w:rFonts w:hint="eastAsia" w:ascii="宋体" w:hAnsi="宋体" w:cs="宋体"/>
                <w:sz w:val="24"/>
                <w:szCs w:val="24"/>
                <w:highlight w:val="none"/>
              </w:rPr>
              <w:t>序号</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项目内容</w:t>
            </w:r>
          </w:p>
        </w:tc>
        <w:tc>
          <w:tcPr>
            <w:tcW w:w="200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最高限价</w:t>
            </w:r>
          </w:p>
          <w:p>
            <w:pPr>
              <w:jc w:val="center"/>
              <w:rPr>
                <w:rFonts w:ascii="宋体" w:hAnsi="宋体" w:cs="宋体"/>
                <w:sz w:val="24"/>
                <w:szCs w:val="24"/>
                <w:highlight w:val="none"/>
              </w:rPr>
            </w:pPr>
            <w:r>
              <w:rPr>
                <w:rFonts w:hint="eastAsia" w:ascii="宋体" w:hAnsi="宋体" w:cs="宋体"/>
                <w:sz w:val="24"/>
                <w:szCs w:val="24"/>
                <w:highlight w:val="none"/>
              </w:rPr>
              <w:t>（元）</w:t>
            </w:r>
          </w:p>
        </w:tc>
        <w:tc>
          <w:tcPr>
            <w:tcW w:w="21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投标报价</w:t>
            </w:r>
          </w:p>
          <w:p>
            <w:pPr>
              <w:jc w:val="center"/>
              <w:rPr>
                <w:rFonts w:ascii="宋体" w:hAnsi="宋体" w:cs="宋体"/>
                <w:sz w:val="24"/>
                <w:szCs w:val="24"/>
                <w:highlight w:val="none"/>
              </w:rPr>
            </w:pPr>
            <w:r>
              <w:rPr>
                <w:rFonts w:hint="eastAsia" w:ascii="宋体" w:hAnsi="宋体" w:cs="宋体"/>
                <w:sz w:val="24"/>
                <w:szCs w:val="24"/>
                <w:highlight w:val="none"/>
              </w:rPr>
              <w:t>（单位：元）</w:t>
            </w:r>
          </w:p>
        </w:tc>
        <w:tc>
          <w:tcPr>
            <w:tcW w:w="134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工期</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投标声明</w:t>
            </w:r>
          </w:p>
        </w:tc>
      </w:tr>
      <w:tr>
        <w:trPr>
          <w:trHeight w:val="116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1</w:t>
            </w:r>
          </w:p>
        </w:tc>
        <w:tc>
          <w:tcPr>
            <w:tcW w:w="1505" w:type="dxa"/>
            <w:tcBorders>
              <w:top w:val="single" w:color="000000" w:sz="4" w:space="0"/>
              <w:left w:val="single" w:color="000000" w:sz="4" w:space="0"/>
              <w:bottom w:val="single" w:color="000000" w:sz="4" w:space="0"/>
              <w:right w:val="single" w:color="000000" w:sz="4" w:space="0"/>
            </w:tcBorders>
            <w:vAlign w:val="center"/>
          </w:tcPr>
          <w:p>
            <w:pPr>
              <w:snapToGrid w:val="0"/>
              <w:spacing w:line="26" w:lineRule="atLeast"/>
              <w:jc w:val="center"/>
              <w:rPr>
                <w:rFonts w:ascii="宋体" w:hAnsi="宋体" w:cs="宋体"/>
                <w:sz w:val="24"/>
                <w:szCs w:val="24"/>
                <w:highlight w:val="none"/>
              </w:rPr>
            </w:pPr>
          </w:p>
        </w:tc>
        <w:tc>
          <w:tcPr>
            <w:tcW w:w="2004" w:type="dxa"/>
            <w:tcBorders>
              <w:top w:val="single" w:color="000000" w:sz="4" w:space="0"/>
              <w:left w:val="single" w:color="000000" w:sz="4" w:space="0"/>
              <w:bottom w:val="single" w:color="000000" w:sz="4" w:space="0"/>
              <w:right w:val="single" w:color="auto" w:sz="4" w:space="0"/>
            </w:tcBorders>
            <w:vAlign w:val="center"/>
          </w:tcPr>
          <w:p>
            <w:pPr>
              <w:snapToGrid w:val="0"/>
              <w:spacing w:line="26" w:lineRule="atLeast"/>
              <w:jc w:val="center"/>
              <w:rPr>
                <w:rFonts w:ascii="宋体" w:hAnsi="宋体" w:cs="宋体"/>
                <w:sz w:val="24"/>
                <w:szCs w:val="24"/>
                <w:highlight w:val="none"/>
              </w:rPr>
            </w:pPr>
          </w:p>
        </w:tc>
        <w:tc>
          <w:tcPr>
            <w:tcW w:w="2106" w:type="dxa"/>
            <w:tcBorders>
              <w:top w:val="single" w:color="000000" w:sz="4" w:space="0"/>
              <w:left w:val="single" w:color="auto" w:sz="4" w:space="0"/>
              <w:bottom w:val="single" w:color="000000" w:sz="4" w:space="0"/>
              <w:right w:val="single" w:color="auto" w:sz="4" w:space="0"/>
            </w:tcBorders>
            <w:vAlign w:val="center"/>
          </w:tcPr>
          <w:p>
            <w:pPr>
              <w:snapToGrid w:val="0"/>
              <w:spacing w:line="26" w:lineRule="atLeast"/>
              <w:rPr>
                <w:rFonts w:ascii="宋体" w:hAnsi="宋体" w:cs="宋体"/>
                <w:sz w:val="24"/>
                <w:szCs w:val="24"/>
                <w:highlight w:val="none"/>
              </w:rPr>
            </w:pPr>
          </w:p>
        </w:tc>
        <w:tc>
          <w:tcPr>
            <w:tcW w:w="1346" w:type="dxa"/>
            <w:tcBorders>
              <w:top w:val="single" w:color="000000" w:sz="4" w:space="0"/>
              <w:left w:val="single" w:color="auto" w:sz="4" w:space="0"/>
              <w:bottom w:val="single" w:color="000000" w:sz="4" w:space="0"/>
              <w:right w:val="single" w:color="000000" w:sz="4" w:space="0"/>
            </w:tcBorders>
            <w:vAlign w:val="center"/>
          </w:tcPr>
          <w:p>
            <w:pPr>
              <w:snapToGrid w:val="0"/>
              <w:spacing w:line="26" w:lineRule="atLeast"/>
              <w:jc w:val="center"/>
              <w:rPr>
                <w:rFonts w:ascii="宋体" w:hAnsi="宋体" w:cs="宋体"/>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highlight w:val="none"/>
              </w:rPr>
            </w:pPr>
          </w:p>
        </w:tc>
      </w:tr>
      <w:tr>
        <w:trPr>
          <w:trHeight w:val="1091" w:hRule="atLeast"/>
          <w:jc w:val="center"/>
        </w:trPr>
        <w:tc>
          <w:tcPr>
            <w:tcW w:w="4218" w:type="dxa"/>
            <w:gridSpan w:val="3"/>
            <w:tcBorders>
              <w:top w:val="single" w:color="000000" w:sz="4" w:space="0"/>
              <w:left w:val="single" w:color="000000" w:sz="4" w:space="0"/>
              <w:right w:val="single" w:color="auto" w:sz="4" w:space="0"/>
            </w:tcBorders>
            <w:vAlign w:val="center"/>
          </w:tcPr>
          <w:p>
            <w:pPr>
              <w:snapToGrid w:val="0"/>
              <w:spacing w:line="26" w:lineRule="atLeast"/>
              <w:jc w:val="center"/>
              <w:rPr>
                <w:rFonts w:ascii="宋体" w:hAnsi="宋体" w:cs="宋体"/>
                <w:sz w:val="24"/>
                <w:szCs w:val="24"/>
                <w:highlight w:val="none"/>
              </w:rPr>
            </w:pPr>
            <w:r>
              <w:rPr>
                <w:rFonts w:hint="eastAsia" w:ascii="宋体" w:hAnsi="宋体" w:cs="宋体"/>
                <w:sz w:val="24"/>
                <w:szCs w:val="24"/>
                <w:highlight w:val="none"/>
              </w:rPr>
              <w:t>投标报价（元）</w:t>
            </w:r>
          </w:p>
        </w:tc>
        <w:tc>
          <w:tcPr>
            <w:tcW w:w="5011" w:type="dxa"/>
            <w:gridSpan w:val="3"/>
            <w:tcBorders>
              <w:top w:val="single" w:color="000000" w:sz="4" w:space="0"/>
              <w:left w:val="single" w:color="auto" w:sz="4" w:space="0"/>
              <w:right w:val="single" w:color="000000" w:sz="4" w:space="0"/>
            </w:tcBorders>
            <w:vAlign w:val="center"/>
          </w:tcPr>
          <w:p>
            <w:pPr>
              <w:snapToGrid w:val="0"/>
              <w:spacing w:line="26" w:lineRule="atLeast"/>
              <w:rPr>
                <w:rFonts w:ascii="宋体" w:hAnsi="宋体" w:cs="宋体"/>
                <w:sz w:val="24"/>
                <w:szCs w:val="24"/>
                <w:highlight w:val="none"/>
              </w:rPr>
            </w:pPr>
            <w:r>
              <w:rPr>
                <w:rFonts w:hint="eastAsia" w:ascii="宋体" w:hAnsi="宋体" w:cs="宋体"/>
                <w:sz w:val="24"/>
                <w:szCs w:val="24"/>
                <w:highlight w:val="none"/>
              </w:rPr>
              <w:t>大写：</w:t>
            </w:r>
          </w:p>
          <w:p>
            <w:pPr>
              <w:snapToGrid w:val="0"/>
              <w:spacing w:line="26" w:lineRule="atLeast"/>
              <w:ind w:firstLine="242" w:firstLineChars="100"/>
              <w:rPr>
                <w:rFonts w:ascii="宋体" w:hAnsi="宋体" w:cs="宋体"/>
                <w:sz w:val="24"/>
                <w:szCs w:val="24"/>
                <w:highlight w:val="none"/>
              </w:rPr>
            </w:pPr>
          </w:p>
          <w:p>
            <w:pPr>
              <w:rPr>
                <w:rFonts w:ascii="宋体" w:hAnsi="宋体" w:cs="宋体"/>
                <w:sz w:val="24"/>
                <w:szCs w:val="24"/>
                <w:highlight w:val="none"/>
              </w:rPr>
            </w:pPr>
            <w:r>
              <w:rPr>
                <w:rFonts w:hint="eastAsia" w:ascii="宋体" w:hAnsi="宋体" w:cs="宋体"/>
                <w:sz w:val="24"/>
                <w:szCs w:val="24"/>
                <w:highlight w:val="none"/>
              </w:rPr>
              <w:t>小写：¥</w:t>
            </w:r>
          </w:p>
        </w:tc>
      </w:tr>
    </w:tbl>
    <w:p>
      <w:pPr>
        <w:spacing w:line="380" w:lineRule="exact"/>
        <w:rPr>
          <w:rFonts w:ascii="宋体" w:hAnsi="宋体" w:cs="宋体"/>
          <w:szCs w:val="21"/>
          <w:highlight w:val="none"/>
          <w:u w:val="single"/>
        </w:rPr>
      </w:pPr>
    </w:p>
    <w:p>
      <w:pPr>
        <w:spacing w:line="380" w:lineRule="exact"/>
        <w:rPr>
          <w:rFonts w:ascii="宋体" w:hAnsi="宋体" w:cs="宋体"/>
          <w:szCs w:val="21"/>
          <w:highlight w:val="none"/>
        </w:rPr>
      </w:pPr>
    </w:p>
    <w:p>
      <w:pPr>
        <w:spacing w:line="380" w:lineRule="exact"/>
        <w:rPr>
          <w:rFonts w:ascii="宋体" w:hAnsi="宋体" w:cs="宋体"/>
          <w:szCs w:val="21"/>
          <w:highlight w:val="none"/>
        </w:rPr>
      </w:pPr>
      <w:r>
        <w:rPr>
          <w:rFonts w:hint="eastAsia" w:ascii="宋体" w:hAnsi="宋体" w:cs="宋体"/>
          <w:szCs w:val="21"/>
          <w:highlight w:val="none"/>
        </w:rPr>
        <w:t>投标人（公章）：</w:t>
      </w:r>
    </w:p>
    <w:p>
      <w:pPr>
        <w:spacing w:line="380" w:lineRule="exact"/>
        <w:rPr>
          <w:rFonts w:ascii="宋体" w:hAnsi="宋体" w:cs="宋体"/>
          <w:szCs w:val="21"/>
          <w:highlight w:val="none"/>
        </w:rPr>
      </w:pPr>
    </w:p>
    <w:p>
      <w:pPr>
        <w:spacing w:line="380" w:lineRule="exact"/>
        <w:rPr>
          <w:rFonts w:ascii="宋体" w:hAnsi="宋体" w:cs="宋体"/>
          <w:szCs w:val="21"/>
          <w:highlight w:val="none"/>
        </w:rPr>
      </w:pPr>
      <w:r>
        <w:rPr>
          <w:rFonts w:hint="eastAsia" w:ascii="宋体" w:hAnsi="宋体" w:cs="宋体"/>
          <w:szCs w:val="21"/>
          <w:highlight w:val="none"/>
        </w:rPr>
        <w:t>投标人代表（签字或印章）：</w:t>
      </w:r>
    </w:p>
    <w:p>
      <w:pPr>
        <w:spacing w:line="380" w:lineRule="exact"/>
        <w:rPr>
          <w:rFonts w:ascii="宋体" w:hAnsi="宋体" w:cs="宋体"/>
          <w:szCs w:val="21"/>
          <w:highlight w:val="none"/>
        </w:rPr>
      </w:pPr>
    </w:p>
    <w:p>
      <w:pPr>
        <w:rPr>
          <w:rFonts w:ascii="宋体" w:hAnsi="宋体" w:cs="宋体"/>
          <w:highlight w:val="none"/>
        </w:rPr>
      </w:pPr>
      <w:r>
        <w:rPr>
          <w:rFonts w:hint="eastAsia" w:ascii="宋体" w:hAnsi="宋体" w:cs="宋体"/>
          <w:szCs w:val="21"/>
          <w:highlight w:val="none"/>
        </w:rPr>
        <w:t>日期：</w:t>
      </w:r>
    </w:p>
    <w:p>
      <w:pPr>
        <w:rPr>
          <w:rFonts w:ascii="宋体" w:hAnsi="宋体" w:cs="宋体"/>
          <w:highlight w:val="none"/>
        </w:rPr>
      </w:pPr>
    </w:p>
    <w:p>
      <w:pPr>
        <w:rPr>
          <w:rFonts w:ascii="宋体" w:hAnsi="宋体" w:cs="宋体"/>
          <w:sz w:val="24"/>
          <w:szCs w:val="24"/>
          <w:highlight w:val="none"/>
        </w:rPr>
      </w:pPr>
      <w:bookmarkStart w:id="318" w:name="_Toc497935762"/>
      <w:bookmarkStart w:id="319" w:name="_Toc520902427"/>
      <w:bookmarkStart w:id="320" w:name="_Toc502819371"/>
    </w:p>
    <w:p>
      <w:pPr>
        <w:pStyle w:val="4"/>
        <w:spacing w:line="380" w:lineRule="exact"/>
        <w:rPr>
          <w:rFonts w:ascii="宋体" w:hAnsi="宋体" w:cs="宋体"/>
          <w:bCs w:val="0"/>
          <w:sz w:val="24"/>
          <w:szCs w:val="24"/>
          <w:highlight w:val="none"/>
        </w:rPr>
      </w:pPr>
      <w:r>
        <w:rPr>
          <w:rFonts w:ascii="宋体" w:hAnsi="宋体" w:cs="宋体"/>
          <w:bCs w:val="0"/>
          <w:sz w:val="24"/>
          <w:szCs w:val="24"/>
          <w:highlight w:val="none"/>
        </w:rPr>
        <w:br w:type="page"/>
      </w:r>
      <w:r>
        <w:rPr>
          <w:rFonts w:ascii="宋体" w:hAnsi="宋体" w:cs="宋体"/>
          <w:bCs w:val="0"/>
          <w:sz w:val="24"/>
          <w:szCs w:val="24"/>
          <w:highlight w:val="none"/>
        </w:rPr>
        <w:t>（二）投标报价组成明细表</w:t>
      </w:r>
    </w:p>
    <w:p>
      <w:pPr>
        <w:rPr>
          <w:highlight w:val="none"/>
        </w:rPr>
      </w:pPr>
    </w:p>
    <w:tbl>
      <w:tblPr>
        <w:tblStyle w:val="37"/>
        <w:tblW w:w="9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135"/>
        <w:gridCol w:w="1701"/>
        <w:gridCol w:w="709"/>
        <w:gridCol w:w="850"/>
        <w:gridCol w:w="1276"/>
        <w:gridCol w:w="851"/>
        <w:gridCol w:w="793"/>
        <w:gridCol w:w="908"/>
      </w:tblGrid>
      <w:tr>
        <w:trPr>
          <w:trHeight w:val="510" w:hRule="atLeast"/>
        </w:trPr>
        <w:tc>
          <w:tcPr>
            <w:tcW w:w="811" w:type="dxa"/>
            <w:vAlign w:val="center"/>
          </w:tcPr>
          <w:p>
            <w:pPr>
              <w:spacing w:line="300" w:lineRule="exact"/>
              <w:jc w:val="center"/>
              <w:rPr>
                <w:rFonts w:ascii="宋体" w:hAnsi="宋体"/>
                <w:bCs/>
                <w:szCs w:val="21"/>
                <w:highlight w:val="none"/>
              </w:rPr>
            </w:pPr>
            <w:r>
              <w:rPr>
                <w:rFonts w:ascii="宋体" w:hAnsi="宋体"/>
                <w:bCs/>
                <w:szCs w:val="21"/>
                <w:highlight w:val="none"/>
              </w:rPr>
              <w:t>序号</w:t>
            </w:r>
          </w:p>
        </w:tc>
        <w:tc>
          <w:tcPr>
            <w:tcW w:w="1135" w:type="dxa"/>
            <w:vAlign w:val="center"/>
          </w:tcPr>
          <w:p>
            <w:pPr>
              <w:spacing w:line="300" w:lineRule="exact"/>
              <w:jc w:val="center"/>
              <w:rPr>
                <w:rFonts w:ascii="宋体" w:hAnsi="宋体"/>
                <w:bCs/>
                <w:szCs w:val="21"/>
                <w:highlight w:val="none"/>
              </w:rPr>
            </w:pPr>
            <w:r>
              <w:rPr>
                <w:rFonts w:hint="eastAsia" w:ascii="宋体" w:hAnsi="宋体"/>
                <w:szCs w:val="21"/>
                <w:highlight w:val="none"/>
              </w:rPr>
              <w:t>名称</w:t>
            </w:r>
          </w:p>
        </w:tc>
        <w:tc>
          <w:tcPr>
            <w:tcW w:w="1701" w:type="dxa"/>
            <w:vAlign w:val="center"/>
          </w:tcPr>
          <w:p>
            <w:pPr>
              <w:spacing w:line="300" w:lineRule="exact"/>
              <w:jc w:val="center"/>
              <w:rPr>
                <w:rFonts w:ascii="宋体" w:hAnsi="宋体"/>
                <w:bCs/>
                <w:szCs w:val="21"/>
                <w:highlight w:val="none"/>
              </w:rPr>
            </w:pPr>
            <w:r>
              <w:rPr>
                <w:rFonts w:hint="eastAsia" w:ascii="宋体" w:hAnsi="宋体"/>
                <w:szCs w:val="21"/>
                <w:highlight w:val="none"/>
              </w:rPr>
              <w:t>技术参数</w:t>
            </w:r>
          </w:p>
        </w:tc>
        <w:tc>
          <w:tcPr>
            <w:tcW w:w="709" w:type="dxa"/>
            <w:vAlign w:val="center"/>
          </w:tcPr>
          <w:p>
            <w:pPr>
              <w:spacing w:line="300" w:lineRule="exact"/>
              <w:jc w:val="center"/>
              <w:rPr>
                <w:rFonts w:ascii="宋体" w:hAnsi="宋体"/>
                <w:bCs/>
                <w:szCs w:val="21"/>
                <w:highlight w:val="none"/>
              </w:rPr>
            </w:pPr>
            <w:r>
              <w:rPr>
                <w:rFonts w:hint="eastAsia" w:ascii="宋体" w:hAnsi="宋体"/>
                <w:bCs/>
                <w:szCs w:val="21"/>
                <w:highlight w:val="none"/>
              </w:rPr>
              <w:t>单位</w:t>
            </w:r>
          </w:p>
        </w:tc>
        <w:tc>
          <w:tcPr>
            <w:tcW w:w="850" w:type="dxa"/>
            <w:vAlign w:val="center"/>
          </w:tcPr>
          <w:p>
            <w:pPr>
              <w:spacing w:line="300" w:lineRule="exact"/>
              <w:jc w:val="center"/>
              <w:rPr>
                <w:rFonts w:ascii="宋体" w:hAnsi="宋体"/>
                <w:bCs/>
                <w:szCs w:val="21"/>
                <w:highlight w:val="none"/>
              </w:rPr>
            </w:pPr>
            <w:r>
              <w:rPr>
                <w:rFonts w:ascii="宋体" w:hAnsi="宋体"/>
                <w:bCs/>
                <w:szCs w:val="21"/>
                <w:highlight w:val="none"/>
              </w:rPr>
              <w:t>数量</w:t>
            </w:r>
          </w:p>
        </w:tc>
        <w:tc>
          <w:tcPr>
            <w:tcW w:w="1276" w:type="dxa"/>
            <w:vAlign w:val="center"/>
          </w:tcPr>
          <w:p>
            <w:pPr>
              <w:spacing w:line="300" w:lineRule="exact"/>
              <w:jc w:val="center"/>
              <w:rPr>
                <w:rFonts w:ascii="宋体" w:hAnsi="宋体"/>
                <w:bCs/>
                <w:szCs w:val="21"/>
                <w:highlight w:val="none"/>
              </w:rPr>
            </w:pPr>
            <w:r>
              <w:rPr>
                <w:rFonts w:ascii="宋体" w:hAnsi="宋体"/>
                <w:bCs/>
                <w:szCs w:val="21"/>
                <w:highlight w:val="none"/>
              </w:rPr>
              <w:t>单价</w:t>
            </w:r>
          </w:p>
        </w:tc>
        <w:tc>
          <w:tcPr>
            <w:tcW w:w="851" w:type="dxa"/>
            <w:vAlign w:val="center"/>
          </w:tcPr>
          <w:p>
            <w:pPr>
              <w:spacing w:line="300" w:lineRule="exact"/>
              <w:jc w:val="center"/>
              <w:rPr>
                <w:rFonts w:ascii="宋体" w:hAnsi="宋体"/>
                <w:bCs/>
                <w:szCs w:val="21"/>
                <w:highlight w:val="none"/>
              </w:rPr>
            </w:pPr>
            <w:r>
              <w:rPr>
                <w:rFonts w:ascii="宋体" w:hAnsi="宋体"/>
                <w:bCs/>
                <w:szCs w:val="21"/>
                <w:highlight w:val="none"/>
              </w:rPr>
              <w:t>合价</w:t>
            </w:r>
          </w:p>
        </w:tc>
        <w:tc>
          <w:tcPr>
            <w:tcW w:w="793" w:type="dxa"/>
            <w:vAlign w:val="center"/>
          </w:tcPr>
          <w:p>
            <w:pPr>
              <w:spacing w:line="300" w:lineRule="exact"/>
              <w:jc w:val="center"/>
              <w:rPr>
                <w:rFonts w:ascii="宋体" w:hAnsi="宋体"/>
                <w:bCs/>
                <w:szCs w:val="21"/>
                <w:highlight w:val="none"/>
              </w:rPr>
            </w:pPr>
            <w:r>
              <w:rPr>
                <w:rFonts w:hint="eastAsia" w:ascii="宋体" w:hAnsi="宋体"/>
                <w:bCs/>
                <w:szCs w:val="21"/>
                <w:highlight w:val="none"/>
              </w:rPr>
              <w:t>品牌</w:t>
            </w:r>
          </w:p>
        </w:tc>
        <w:tc>
          <w:tcPr>
            <w:tcW w:w="908" w:type="dxa"/>
            <w:vAlign w:val="center"/>
          </w:tcPr>
          <w:p>
            <w:pPr>
              <w:spacing w:line="300" w:lineRule="exact"/>
              <w:jc w:val="center"/>
              <w:rPr>
                <w:rFonts w:ascii="宋体" w:hAnsi="宋体"/>
                <w:bCs/>
                <w:szCs w:val="21"/>
                <w:highlight w:val="none"/>
              </w:rPr>
            </w:pPr>
            <w:r>
              <w:rPr>
                <w:rFonts w:hint="eastAsia" w:ascii="宋体" w:hAnsi="宋体"/>
                <w:bCs/>
                <w:szCs w:val="21"/>
                <w:highlight w:val="none"/>
              </w:rPr>
              <w:t>备注</w:t>
            </w:r>
          </w:p>
        </w:tc>
      </w:tr>
      <w:tr>
        <w:trPr>
          <w:trHeight w:val="510" w:hRule="atLeast"/>
        </w:trPr>
        <w:tc>
          <w:tcPr>
            <w:tcW w:w="811" w:type="dxa"/>
            <w:vAlign w:val="center"/>
          </w:tcPr>
          <w:p>
            <w:pPr>
              <w:spacing w:line="300" w:lineRule="exact"/>
              <w:jc w:val="center"/>
              <w:rPr>
                <w:rFonts w:ascii="宋体" w:hAnsi="宋体"/>
                <w:caps/>
                <w:szCs w:val="21"/>
                <w:highlight w:val="none"/>
              </w:rPr>
            </w:pPr>
            <w:r>
              <w:rPr>
                <w:rFonts w:ascii="宋体" w:hAnsi="宋体"/>
                <w:caps/>
                <w:szCs w:val="21"/>
                <w:highlight w:val="none"/>
              </w:rPr>
              <w:t>1</w:t>
            </w:r>
          </w:p>
        </w:tc>
        <w:tc>
          <w:tcPr>
            <w:tcW w:w="1135" w:type="dxa"/>
            <w:vAlign w:val="center"/>
          </w:tcPr>
          <w:p>
            <w:pPr>
              <w:adjustRightInd w:val="0"/>
              <w:spacing w:line="276" w:lineRule="auto"/>
              <w:ind w:left="420" w:hanging="420"/>
              <w:jc w:val="center"/>
              <w:rPr>
                <w:rFonts w:ascii="宋体" w:hAnsi="宋体" w:cs="宋体"/>
                <w:highlight w:val="none"/>
              </w:rPr>
            </w:pPr>
          </w:p>
        </w:tc>
        <w:tc>
          <w:tcPr>
            <w:tcW w:w="1701" w:type="dxa"/>
            <w:vAlign w:val="center"/>
          </w:tcPr>
          <w:p>
            <w:pPr>
              <w:adjustRightInd w:val="0"/>
              <w:spacing w:line="276" w:lineRule="auto"/>
              <w:ind w:left="420" w:hanging="420"/>
              <w:jc w:val="center"/>
              <w:rPr>
                <w:rFonts w:ascii="宋体" w:hAnsi="宋体" w:cs="宋体"/>
                <w:highlight w:val="none"/>
              </w:rPr>
            </w:pPr>
          </w:p>
        </w:tc>
        <w:tc>
          <w:tcPr>
            <w:tcW w:w="709" w:type="dxa"/>
            <w:vAlign w:val="center"/>
          </w:tcPr>
          <w:p>
            <w:pPr>
              <w:adjustRightInd w:val="0"/>
              <w:spacing w:line="276" w:lineRule="auto"/>
              <w:ind w:left="420" w:hanging="420"/>
              <w:jc w:val="center"/>
              <w:rPr>
                <w:rFonts w:ascii="宋体" w:hAnsi="宋体" w:cs="宋体"/>
                <w:highlight w:val="none"/>
              </w:rPr>
            </w:pPr>
          </w:p>
        </w:tc>
        <w:tc>
          <w:tcPr>
            <w:tcW w:w="850" w:type="dxa"/>
            <w:vAlign w:val="center"/>
          </w:tcPr>
          <w:p>
            <w:pPr>
              <w:adjustRightInd w:val="0"/>
              <w:spacing w:line="276" w:lineRule="auto"/>
              <w:ind w:left="420" w:hanging="420"/>
              <w:jc w:val="center"/>
              <w:rPr>
                <w:rFonts w:ascii="宋体" w:hAnsi="宋体" w:cs="宋体"/>
                <w:highlight w:val="none"/>
              </w:rPr>
            </w:pPr>
          </w:p>
        </w:tc>
        <w:tc>
          <w:tcPr>
            <w:tcW w:w="1276" w:type="dxa"/>
            <w:vAlign w:val="center"/>
          </w:tcPr>
          <w:p>
            <w:pPr>
              <w:adjustRightInd w:val="0"/>
              <w:spacing w:line="276" w:lineRule="auto"/>
              <w:ind w:left="420" w:hanging="420"/>
              <w:jc w:val="center"/>
              <w:rPr>
                <w:rFonts w:ascii="宋体" w:hAnsi="宋体" w:cs="宋体"/>
                <w:highlight w:val="none"/>
              </w:rPr>
            </w:pPr>
          </w:p>
        </w:tc>
        <w:tc>
          <w:tcPr>
            <w:tcW w:w="851" w:type="dxa"/>
            <w:vAlign w:val="center"/>
          </w:tcPr>
          <w:p>
            <w:pPr>
              <w:spacing w:line="300" w:lineRule="exact"/>
              <w:jc w:val="center"/>
              <w:rPr>
                <w:rFonts w:ascii="宋体" w:hAnsi="宋体"/>
                <w:szCs w:val="21"/>
                <w:highlight w:val="none"/>
              </w:rPr>
            </w:pPr>
          </w:p>
        </w:tc>
        <w:tc>
          <w:tcPr>
            <w:tcW w:w="793" w:type="dxa"/>
            <w:vAlign w:val="center"/>
          </w:tcPr>
          <w:p>
            <w:pPr>
              <w:spacing w:line="300" w:lineRule="exact"/>
              <w:jc w:val="center"/>
              <w:rPr>
                <w:rFonts w:ascii="宋体" w:hAnsi="宋体"/>
                <w:szCs w:val="21"/>
                <w:highlight w:val="none"/>
              </w:rPr>
            </w:pPr>
          </w:p>
        </w:tc>
        <w:tc>
          <w:tcPr>
            <w:tcW w:w="908" w:type="dxa"/>
            <w:vAlign w:val="center"/>
          </w:tcPr>
          <w:p>
            <w:pPr>
              <w:spacing w:line="300" w:lineRule="exact"/>
              <w:jc w:val="center"/>
              <w:rPr>
                <w:rFonts w:ascii="宋体" w:hAnsi="宋体"/>
                <w:szCs w:val="21"/>
                <w:highlight w:val="none"/>
              </w:rPr>
            </w:pPr>
          </w:p>
        </w:tc>
      </w:tr>
      <w:tr>
        <w:trPr>
          <w:trHeight w:val="510" w:hRule="atLeast"/>
        </w:trPr>
        <w:tc>
          <w:tcPr>
            <w:tcW w:w="811" w:type="dxa"/>
            <w:vAlign w:val="center"/>
          </w:tcPr>
          <w:p>
            <w:pPr>
              <w:spacing w:line="300" w:lineRule="exact"/>
              <w:jc w:val="center"/>
              <w:rPr>
                <w:rFonts w:ascii="宋体" w:hAnsi="宋体"/>
                <w:caps/>
                <w:szCs w:val="21"/>
                <w:highlight w:val="none"/>
              </w:rPr>
            </w:pPr>
            <w:r>
              <w:rPr>
                <w:rFonts w:hint="eastAsia" w:ascii="宋体" w:hAnsi="宋体"/>
                <w:caps/>
                <w:szCs w:val="21"/>
                <w:highlight w:val="none"/>
              </w:rPr>
              <w:t>2</w:t>
            </w:r>
          </w:p>
        </w:tc>
        <w:tc>
          <w:tcPr>
            <w:tcW w:w="1135" w:type="dxa"/>
            <w:vAlign w:val="center"/>
          </w:tcPr>
          <w:p>
            <w:pPr>
              <w:adjustRightInd w:val="0"/>
              <w:spacing w:line="276" w:lineRule="auto"/>
              <w:ind w:left="420" w:hanging="420"/>
              <w:jc w:val="center"/>
              <w:rPr>
                <w:rFonts w:ascii="宋体" w:hAnsi="宋体" w:cs="宋体"/>
                <w:highlight w:val="none"/>
              </w:rPr>
            </w:pPr>
          </w:p>
        </w:tc>
        <w:tc>
          <w:tcPr>
            <w:tcW w:w="1701" w:type="dxa"/>
            <w:vAlign w:val="center"/>
          </w:tcPr>
          <w:p>
            <w:pPr>
              <w:adjustRightInd w:val="0"/>
              <w:spacing w:line="276" w:lineRule="auto"/>
              <w:ind w:left="420" w:hanging="420"/>
              <w:jc w:val="center"/>
              <w:rPr>
                <w:rFonts w:ascii="宋体" w:hAnsi="宋体" w:cs="宋体"/>
                <w:highlight w:val="none"/>
              </w:rPr>
            </w:pPr>
          </w:p>
        </w:tc>
        <w:tc>
          <w:tcPr>
            <w:tcW w:w="709" w:type="dxa"/>
            <w:vAlign w:val="center"/>
          </w:tcPr>
          <w:p>
            <w:pPr>
              <w:adjustRightInd w:val="0"/>
              <w:spacing w:line="276" w:lineRule="auto"/>
              <w:ind w:left="420" w:hanging="420"/>
              <w:jc w:val="center"/>
              <w:rPr>
                <w:rFonts w:ascii="宋体" w:hAnsi="宋体" w:cs="宋体"/>
                <w:highlight w:val="none"/>
              </w:rPr>
            </w:pPr>
          </w:p>
        </w:tc>
        <w:tc>
          <w:tcPr>
            <w:tcW w:w="850" w:type="dxa"/>
            <w:vAlign w:val="center"/>
          </w:tcPr>
          <w:p>
            <w:pPr>
              <w:adjustRightInd w:val="0"/>
              <w:spacing w:line="276" w:lineRule="auto"/>
              <w:ind w:left="420" w:hanging="420"/>
              <w:jc w:val="center"/>
              <w:rPr>
                <w:rFonts w:ascii="宋体" w:hAnsi="宋体" w:cs="宋体"/>
                <w:highlight w:val="none"/>
              </w:rPr>
            </w:pPr>
          </w:p>
        </w:tc>
        <w:tc>
          <w:tcPr>
            <w:tcW w:w="1276" w:type="dxa"/>
            <w:vAlign w:val="center"/>
          </w:tcPr>
          <w:p>
            <w:pPr>
              <w:adjustRightInd w:val="0"/>
              <w:spacing w:line="276" w:lineRule="auto"/>
              <w:ind w:left="420" w:hanging="420"/>
              <w:jc w:val="center"/>
              <w:rPr>
                <w:rFonts w:ascii="宋体" w:hAnsi="宋体" w:cs="宋体"/>
                <w:highlight w:val="none"/>
              </w:rPr>
            </w:pPr>
          </w:p>
        </w:tc>
        <w:tc>
          <w:tcPr>
            <w:tcW w:w="851" w:type="dxa"/>
            <w:vAlign w:val="center"/>
          </w:tcPr>
          <w:p>
            <w:pPr>
              <w:spacing w:line="300" w:lineRule="exact"/>
              <w:jc w:val="center"/>
              <w:rPr>
                <w:rFonts w:ascii="宋体" w:hAnsi="宋体"/>
                <w:szCs w:val="21"/>
                <w:highlight w:val="none"/>
              </w:rPr>
            </w:pPr>
          </w:p>
        </w:tc>
        <w:tc>
          <w:tcPr>
            <w:tcW w:w="793" w:type="dxa"/>
            <w:vAlign w:val="center"/>
          </w:tcPr>
          <w:p>
            <w:pPr>
              <w:spacing w:line="300" w:lineRule="exact"/>
              <w:jc w:val="center"/>
              <w:rPr>
                <w:rFonts w:ascii="宋体" w:hAnsi="宋体"/>
                <w:szCs w:val="21"/>
                <w:highlight w:val="none"/>
              </w:rPr>
            </w:pPr>
          </w:p>
        </w:tc>
        <w:tc>
          <w:tcPr>
            <w:tcW w:w="908" w:type="dxa"/>
            <w:vAlign w:val="center"/>
          </w:tcPr>
          <w:p>
            <w:pPr>
              <w:spacing w:line="300" w:lineRule="exact"/>
              <w:jc w:val="center"/>
              <w:rPr>
                <w:rFonts w:ascii="宋体" w:hAnsi="宋体"/>
                <w:szCs w:val="21"/>
                <w:highlight w:val="none"/>
              </w:rPr>
            </w:pPr>
          </w:p>
        </w:tc>
      </w:tr>
      <w:tr>
        <w:trPr>
          <w:trHeight w:val="510" w:hRule="atLeast"/>
        </w:trPr>
        <w:tc>
          <w:tcPr>
            <w:tcW w:w="811" w:type="dxa"/>
            <w:vAlign w:val="center"/>
          </w:tcPr>
          <w:p>
            <w:pPr>
              <w:spacing w:line="300" w:lineRule="exact"/>
              <w:jc w:val="center"/>
              <w:rPr>
                <w:rFonts w:ascii="宋体" w:hAnsi="宋体"/>
                <w:szCs w:val="21"/>
                <w:highlight w:val="none"/>
              </w:rPr>
            </w:pPr>
            <w:r>
              <w:rPr>
                <w:rFonts w:hint="eastAsia" w:ascii="宋体" w:hAnsi="宋体" w:cs="宋体"/>
                <w:highlight w:val="none"/>
              </w:rPr>
              <w:t>...</w:t>
            </w:r>
          </w:p>
        </w:tc>
        <w:tc>
          <w:tcPr>
            <w:tcW w:w="1135" w:type="dxa"/>
            <w:vAlign w:val="center"/>
          </w:tcPr>
          <w:p>
            <w:pPr>
              <w:adjustRightInd w:val="0"/>
              <w:spacing w:line="276" w:lineRule="auto"/>
              <w:jc w:val="center"/>
              <w:rPr>
                <w:rFonts w:ascii="宋体" w:hAnsi="宋体" w:cs="宋体"/>
                <w:highlight w:val="none"/>
              </w:rPr>
            </w:pPr>
            <w:r>
              <w:rPr>
                <w:rFonts w:hint="eastAsia" w:ascii="宋体" w:hAnsi="宋体" w:cs="宋体"/>
                <w:highlight w:val="none"/>
              </w:rPr>
              <w:t>...</w:t>
            </w:r>
          </w:p>
        </w:tc>
        <w:tc>
          <w:tcPr>
            <w:tcW w:w="1701" w:type="dxa"/>
            <w:vAlign w:val="center"/>
          </w:tcPr>
          <w:p>
            <w:pPr>
              <w:adjustRightInd w:val="0"/>
              <w:spacing w:line="276" w:lineRule="auto"/>
              <w:jc w:val="center"/>
              <w:rPr>
                <w:rFonts w:ascii="宋体" w:hAnsi="宋体" w:cs="宋体"/>
                <w:highlight w:val="none"/>
              </w:rPr>
            </w:pPr>
          </w:p>
        </w:tc>
        <w:tc>
          <w:tcPr>
            <w:tcW w:w="709" w:type="dxa"/>
            <w:vAlign w:val="center"/>
          </w:tcPr>
          <w:p>
            <w:pPr>
              <w:adjustRightInd w:val="0"/>
              <w:spacing w:line="276" w:lineRule="auto"/>
              <w:ind w:left="420" w:hanging="420"/>
              <w:jc w:val="center"/>
              <w:rPr>
                <w:rFonts w:ascii="宋体" w:hAnsi="宋体" w:cs="宋体"/>
                <w:highlight w:val="none"/>
              </w:rPr>
            </w:pPr>
          </w:p>
        </w:tc>
        <w:tc>
          <w:tcPr>
            <w:tcW w:w="850" w:type="dxa"/>
            <w:vAlign w:val="center"/>
          </w:tcPr>
          <w:p>
            <w:pPr>
              <w:adjustRightInd w:val="0"/>
              <w:spacing w:line="276" w:lineRule="auto"/>
              <w:ind w:left="420" w:hanging="420"/>
              <w:jc w:val="center"/>
              <w:rPr>
                <w:rFonts w:ascii="宋体" w:hAnsi="宋体" w:cs="宋体"/>
                <w:highlight w:val="none"/>
              </w:rPr>
            </w:pPr>
          </w:p>
        </w:tc>
        <w:tc>
          <w:tcPr>
            <w:tcW w:w="1276" w:type="dxa"/>
            <w:vAlign w:val="center"/>
          </w:tcPr>
          <w:p>
            <w:pPr>
              <w:adjustRightInd w:val="0"/>
              <w:spacing w:line="276" w:lineRule="auto"/>
              <w:ind w:left="420" w:hanging="420"/>
              <w:jc w:val="center"/>
              <w:rPr>
                <w:rFonts w:ascii="宋体" w:hAnsi="宋体" w:cs="宋体"/>
                <w:highlight w:val="none"/>
              </w:rPr>
            </w:pPr>
          </w:p>
        </w:tc>
        <w:tc>
          <w:tcPr>
            <w:tcW w:w="851" w:type="dxa"/>
            <w:vAlign w:val="center"/>
          </w:tcPr>
          <w:p>
            <w:pPr>
              <w:spacing w:line="300" w:lineRule="exact"/>
              <w:jc w:val="center"/>
              <w:rPr>
                <w:rFonts w:ascii="宋体" w:hAnsi="宋体"/>
                <w:szCs w:val="21"/>
                <w:highlight w:val="none"/>
              </w:rPr>
            </w:pPr>
          </w:p>
        </w:tc>
        <w:tc>
          <w:tcPr>
            <w:tcW w:w="793" w:type="dxa"/>
            <w:vAlign w:val="center"/>
          </w:tcPr>
          <w:p>
            <w:pPr>
              <w:spacing w:line="300" w:lineRule="exact"/>
              <w:jc w:val="center"/>
              <w:rPr>
                <w:rFonts w:ascii="宋体" w:hAnsi="宋体"/>
                <w:szCs w:val="21"/>
                <w:highlight w:val="none"/>
              </w:rPr>
            </w:pPr>
          </w:p>
        </w:tc>
        <w:tc>
          <w:tcPr>
            <w:tcW w:w="908" w:type="dxa"/>
            <w:vAlign w:val="center"/>
          </w:tcPr>
          <w:p>
            <w:pPr>
              <w:spacing w:line="300" w:lineRule="exact"/>
              <w:jc w:val="center"/>
              <w:rPr>
                <w:rFonts w:ascii="宋体" w:hAnsi="宋体"/>
                <w:szCs w:val="21"/>
                <w:highlight w:val="none"/>
              </w:rPr>
            </w:pPr>
          </w:p>
        </w:tc>
      </w:tr>
      <w:tr>
        <w:trPr>
          <w:trHeight w:val="1010" w:hRule="atLeast"/>
        </w:trPr>
        <w:tc>
          <w:tcPr>
            <w:tcW w:w="5206" w:type="dxa"/>
            <w:gridSpan w:val="5"/>
            <w:vAlign w:val="center"/>
          </w:tcPr>
          <w:p>
            <w:pPr>
              <w:spacing w:line="300" w:lineRule="exact"/>
              <w:jc w:val="center"/>
              <w:rPr>
                <w:rFonts w:ascii="宋体" w:hAnsi="宋体"/>
                <w:szCs w:val="21"/>
                <w:highlight w:val="none"/>
              </w:rPr>
            </w:pPr>
            <w:r>
              <w:rPr>
                <w:rFonts w:hint="eastAsia" w:ascii="宋体" w:hAnsi="宋体"/>
                <w:szCs w:val="21"/>
                <w:highlight w:val="none"/>
              </w:rPr>
              <w:t>投标价合计（元）</w:t>
            </w:r>
          </w:p>
        </w:tc>
        <w:tc>
          <w:tcPr>
            <w:tcW w:w="3828" w:type="dxa"/>
            <w:gridSpan w:val="4"/>
            <w:vAlign w:val="center"/>
          </w:tcPr>
          <w:p>
            <w:pPr>
              <w:spacing w:line="300" w:lineRule="exact"/>
              <w:rPr>
                <w:rFonts w:ascii="宋体" w:hAnsi="宋体"/>
                <w:szCs w:val="21"/>
                <w:highlight w:val="none"/>
              </w:rPr>
            </w:pPr>
          </w:p>
        </w:tc>
      </w:tr>
    </w:tbl>
    <w:p>
      <w:pPr>
        <w:tabs>
          <w:tab w:val="left" w:pos="426"/>
        </w:tabs>
        <w:snapToGrid w:val="0"/>
        <w:spacing w:line="360" w:lineRule="auto"/>
        <w:ind w:firstLine="141" w:firstLineChars="67"/>
        <w:rPr>
          <w:rFonts w:ascii="宋体" w:hAnsi="宋体"/>
          <w:b/>
          <w:bCs/>
          <w:szCs w:val="21"/>
          <w:highlight w:val="none"/>
        </w:rPr>
      </w:pPr>
      <w:r>
        <w:rPr>
          <w:rFonts w:hint="eastAsia" w:ascii="宋体" w:hAnsi="宋体"/>
          <w:b/>
          <w:bCs/>
          <w:szCs w:val="21"/>
          <w:highlight w:val="none"/>
        </w:rPr>
        <w:t>注：1、</w:t>
      </w:r>
      <w:r>
        <w:rPr>
          <w:b/>
          <w:bCs/>
          <w:highlight w:val="none"/>
        </w:rPr>
        <w:t>供应商应详细列出</w:t>
      </w:r>
      <w:r>
        <w:rPr>
          <w:rFonts w:hint="eastAsia"/>
          <w:b/>
          <w:bCs/>
          <w:highlight w:val="none"/>
        </w:rPr>
        <w:t>招</w:t>
      </w:r>
      <w:r>
        <w:rPr>
          <w:b/>
          <w:bCs/>
          <w:highlight w:val="none"/>
        </w:rPr>
        <w:t>标文件规定的所有费用的明细表</w:t>
      </w:r>
      <w:r>
        <w:rPr>
          <w:rFonts w:hint="eastAsia"/>
          <w:b/>
          <w:bCs/>
          <w:highlight w:val="none"/>
        </w:rPr>
        <w:t>，本表“</w:t>
      </w:r>
      <w:r>
        <w:rPr>
          <w:b/>
          <w:bCs/>
          <w:highlight w:val="none"/>
        </w:rPr>
        <w:t>投标价合计</w:t>
      </w:r>
      <w:r>
        <w:rPr>
          <w:rFonts w:hint="eastAsia"/>
          <w:b/>
          <w:bCs/>
          <w:highlight w:val="none"/>
        </w:rPr>
        <w:t>”应与“开标一览表”中的“</w:t>
      </w:r>
      <w:r>
        <w:rPr>
          <w:b/>
          <w:bCs/>
          <w:highlight w:val="none"/>
        </w:rPr>
        <w:t>投标</w:t>
      </w:r>
      <w:r>
        <w:rPr>
          <w:rFonts w:hint="eastAsia"/>
          <w:b/>
          <w:bCs/>
          <w:highlight w:val="none"/>
        </w:rPr>
        <w:t>报价”保持一致</w:t>
      </w:r>
      <w:r>
        <w:rPr>
          <w:b/>
          <w:bCs/>
          <w:highlight w:val="none"/>
        </w:rPr>
        <w:t>。</w:t>
      </w:r>
    </w:p>
    <w:p>
      <w:pPr>
        <w:numPr>
          <w:ilvl w:val="0"/>
          <w:numId w:val="17"/>
        </w:numPr>
        <w:spacing w:line="400" w:lineRule="exact"/>
        <w:ind w:firstLine="453"/>
        <w:jc w:val="left"/>
        <w:rPr>
          <w:rFonts w:ascii="宋体" w:hAnsi="宋体"/>
          <w:b/>
          <w:bCs/>
          <w:highlight w:val="none"/>
        </w:rPr>
      </w:pPr>
      <w:r>
        <w:rPr>
          <w:rFonts w:hint="eastAsia" w:ascii="宋体" w:hAnsi="宋体"/>
          <w:b/>
          <w:bCs/>
          <w:highlight w:val="none"/>
        </w:rPr>
        <w:t>本表需根据采购文件第二部分 招标项目需求的所有内容进行分别报价。</w:t>
      </w:r>
    </w:p>
    <w:p>
      <w:pPr>
        <w:numPr>
          <w:ilvl w:val="0"/>
          <w:numId w:val="17"/>
        </w:numPr>
        <w:spacing w:line="400" w:lineRule="exact"/>
        <w:ind w:firstLine="453"/>
        <w:jc w:val="left"/>
        <w:rPr>
          <w:rFonts w:ascii="宋体" w:hAnsi="宋体"/>
          <w:b/>
          <w:bCs/>
          <w:highlight w:val="none"/>
        </w:rPr>
      </w:pPr>
      <w:r>
        <w:rPr>
          <w:rFonts w:ascii="宋体" w:hAnsi="宋体"/>
          <w:b/>
          <w:bCs/>
          <w:highlight w:val="none"/>
        </w:rPr>
        <w:t>此表在不改变表式的情况下，可自行制作扩展。</w:t>
      </w:r>
    </w:p>
    <w:p>
      <w:pPr>
        <w:tabs>
          <w:tab w:val="left" w:pos="426"/>
        </w:tabs>
        <w:snapToGrid w:val="0"/>
        <w:spacing w:line="360" w:lineRule="auto"/>
        <w:ind w:firstLine="141" w:firstLineChars="67"/>
        <w:rPr>
          <w:szCs w:val="21"/>
          <w:highlight w:val="none"/>
        </w:rPr>
      </w:pPr>
    </w:p>
    <w:p>
      <w:pPr>
        <w:widowControl/>
        <w:adjustRightInd w:val="0"/>
        <w:spacing w:line="360" w:lineRule="auto"/>
        <w:jc w:val="left"/>
        <w:rPr>
          <w:rFonts w:ascii="宋体" w:hAnsi="宋体" w:cs="宋体"/>
          <w:szCs w:val="21"/>
          <w:highlight w:val="none"/>
        </w:rPr>
      </w:pPr>
      <w:r>
        <w:rPr>
          <w:rFonts w:ascii="宋体" w:hAnsi="宋体" w:cs="宋体"/>
          <w:szCs w:val="21"/>
          <w:highlight w:val="none"/>
        </w:rPr>
        <w:t>供应商（盖章）：</w:t>
      </w:r>
    </w:p>
    <w:p>
      <w:pPr>
        <w:widowControl/>
        <w:adjustRightInd w:val="0"/>
        <w:spacing w:line="360" w:lineRule="auto"/>
        <w:jc w:val="left"/>
        <w:rPr>
          <w:rFonts w:ascii="宋体" w:hAnsi="宋体" w:cs="宋体"/>
          <w:szCs w:val="21"/>
          <w:highlight w:val="none"/>
        </w:rPr>
      </w:pPr>
      <w:r>
        <w:rPr>
          <w:rFonts w:ascii="宋体" w:hAnsi="宋体" w:cs="宋体"/>
          <w:szCs w:val="21"/>
          <w:highlight w:val="none"/>
        </w:rPr>
        <w:t xml:space="preserve">法定代表人或授权代表(签字或盖章)：                   </w:t>
      </w:r>
    </w:p>
    <w:p>
      <w:pPr>
        <w:snapToGrid w:val="0"/>
        <w:spacing w:line="360" w:lineRule="auto"/>
        <w:rPr>
          <w:rFonts w:ascii="宋体" w:hAnsi="宋体"/>
          <w:szCs w:val="21"/>
          <w:highlight w:val="none"/>
        </w:rPr>
      </w:pPr>
      <w:r>
        <w:rPr>
          <w:rFonts w:ascii="宋体" w:hAnsi="宋体" w:cs="宋体"/>
          <w:szCs w:val="21"/>
          <w:highlight w:val="none"/>
        </w:rPr>
        <w:t>日  期：</w:t>
      </w:r>
    </w:p>
    <w:p>
      <w:pPr>
        <w:rPr>
          <w:highlight w:val="none"/>
        </w:rPr>
      </w:pPr>
    </w:p>
    <w:p>
      <w:pPr>
        <w:snapToGrid w:val="0"/>
        <w:spacing w:line="360" w:lineRule="auto"/>
        <w:jc w:val="center"/>
        <w:rPr>
          <w:rFonts w:ascii="宋体" w:hAnsi="宋体" w:cs="宋体"/>
          <w:sz w:val="24"/>
          <w:szCs w:val="24"/>
          <w:highlight w:val="none"/>
        </w:rPr>
      </w:pPr>
      <w:r>
        <w:rPr>
          <w:rFonts w:ascii="宋体" w:hAnsi="宋体" w:cs="宋体"/>
          <w:sz w:val="24"/>
          <w:szCs w:val="24"/>
          <w:highlight w:val="none"/>
        </w:rPr>
        <w:br w:type="page"/>
      </w:r>
    </w:p>
    <w:p>
      <w:pPr>
        <w:snapToGrid w:val="0"/>
        <w:spacing w:line="360" w:lineRule="auto"/>
        <w:jc w:val="center"/>
        <w:rPr>
          <w:rFonts w:ascii="宋体" w:hAnsi="宋体"/>
          <w:b/>
          <w:szCs w:val="21"/>
          <w:highlight w:val="none"/>
        </w:rPr>
      </w:pPr>
      <w:r>
        <w:rPr>
          <w:rFonts w:hint="eastAsia" w:ascii="宋体" w:hAnsi="宋体" w:cs="宋体"/>
          <w:b/>
          <w:kern w:val="0"/>
          <w:sz w:val="24"/>
          <w:szCs w:val="24"/>
          <w:highlight w:val="none"/>
        </w:rPr>
        <w:t>（三）</w:t>
      </w:r>
      <w:bookmarkEnd w:id="318"/>
      <w:bookmarkEnd w:id="319"/>
      <w:bookmarkEnd w:id="320"/>
      <w:r>
        <w:rPr>
          <w:rFonts w:hint="eastAsia" w:ascii="宋体" w:hAnsi="宋体" w:cs="宋体"/>
          <w:b/>
          <w:kern w:val="0"/>
          <w:sz w:val="24"/>
          <w:szCs w:val="24"/>
          <w:highlight w:val="none"/>
        </w:rPr>
        <w:t>中小企业声明函</w:t>
      </w:r>
    </w:p>
    <w:p>
      <w:pPr>
        <w:spacing w:line="276" w:lineRule="auto"/>
        <w:jc w:val="center"/>
        <w:rPr>
          <w:sz w:val="24"/>
          <w:highlight w:val="none"/>
        </w:rPr>
      </w:pPr>
      <w:r>
        <w:rPr>
          <w:sz w:val="24"/>
          <w:highlight w:val="none"/>
        </w:rPr>
        <w:t>（如非中小微企业，可不提供此声明函）</w:t>
      </w:r>
    </w:p>
    <w:p>
      <w:pPr>
        <w:spacing w:line="360" w:lineRule="auto"/>
        <w:ind w:firstLine="448" w:firstLineChars="200"/>
        <w:rPr>
          <w:rFonts w:ascii="宋体" w:hAnsi="宋体" w:cs="宋体"/>
          <w:spacing w:val="6"/>
          <w:szCs w:val="21"/>
          <w:highlight w:val="none"/>
        </w:rPr>
      </w:pPr>
      <w:r>
        <w:rPr>
          <w:rFonts w:hint="eastAsia" w:ascii="宋体" w:hAnsi="宋体" w:cs="宋体"/>
          <w:spacing w:val="6"/>
          <w:szCs w:val="21"/>
          <w:highlight w:val="none"/>
        </w:rPr>
        <w:t>本公司（联合体）郑重声明，根据《政府采购促进中小企业发展管理办法》（财库[2020]46号）的规定，本公司（联合体）参加</w:t>
      </w:r>
      <w:r>
        <w:rPr>
          <w:rFonts w:hint="eastAsia" w:ascii="宋体" w:hAnsi="宋体" w:cs="宋体"/>
          <w:spacing w:val="6"/>
          <w:szCs w:val="21"/>
          <w:highlight w:val="none"/>
          <w:u w:val="single"/>
        </w:rPr>
        <w:t>（单位名称）</w:t>
      </w:r>
      <w:r>
        <w:rPr>
          <w:rFonts w:hint="eastAsia" w:ascii="宋体" w:hAnsi="宋体" w:cs="宋体"/>
          <w:spacing w:val="6"/>
          <w:szCs w:val="21"/>
          <w:highlight w:val="none"/>
        </w:rPr>
        <w:t>的</w:t>
      </w:r>
      <w:r>
        <w:rPr>
          <w:rFonts w:hint="eastAsia" w:ascii="宋体" w:hAnsi="宋体" w:cs="宋体"/>
          <w:spacing w:val="6"/>
          <w:szCs w:val="21"/>
          <w:highlight w:val="none"/>
          <w:u w:val="single"/>
        </w:rPr>
        <w:t>（</w:t>
      </w:r>
      <w:r>
        <w:rPr>
          <w:rFonts w:hint="eastAsia" w:ascii="宋体" w:hAnsi="宋体" w:cs="宋体"/>
          <w:b/>
          <w:bCs/>
          <w:spacing w:val="6"/>
          <w:szCs w:val="21"/>
          <w:highlight w:val="none"/>
          <w:u w:val="single"/>
        </w:rPr>
        <w:t>余姚市电子政务外网网络安全服务集成项目</w:t>
      </w:r>
      <w:r>
        <w:rPr>
          <w:rFonts w:hint="eastAsia" w:ascii="宋体" w:hAnsi="宋体" w:cs="宋体"/>
          <w:spacing w:val="6"/>
          <w:szCs w:val="21"/>
          <w:highlight w:val="none"/>
          <w:u w:val="single"/>
        </w:rPr>
        <w:t>）</w:t>
      </w:r>
      <w:r>
        <w:rPr>
          <w:rFonts w:hint="eastAsia" w:ascii="宋体" w:hAnsi="宋体" w:cs="宋体"/>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48" w:firstLineChars="200"/>
        <w:rPr>
          <w:rFonts w:ascii="宋体" w:hAnsi="宋体" w:cs="宋体"/>
          <w:spacing w:val="6"/>
          <w:szCs w:val="21"/>
          <w:highlight w:val="none"/>
          <w:u w:val="single"/>
        </w:rPr>
      </w:pPr>
      <w:r>
        <w:rPr>
          <w:rFonts w:hint="eastAsia" w:ascii="宋体" w:hAnsi="宋体" w:cs="宋体"/>
          <w:spacing w:val="6"/>
          <w:szCs w:val="21"/>
          <w:highlight w:val="none"/>
        </w:rPr>
        <w:t>1.</w:t>
      </w:r>
      <w:r>
        <w:rPr>
          <w:rFonts w:hint="eastAsia" w:ascii="宋体" w:hAnsi="宋体" w:cs="宋体"/>
          <w:b/>
          <w:bCs/>
          <w:spacing w:val="6"/>
          <w:szCs w:val="21"/>
          <w:highlight w:val="none"/>
          <w:u w:val="single"/>
        </w:rPr>
        <w:t>（余姚市电子政务外网网络安全服务集成项目）</w:t>
      </w:r>
      <w:r>
        <w:rPr>
          <w:rFonts w:hint="eastAsia" w:ascii="宋体" w:hAnsi="宋体" w:cs="宋体"/>
          <w:spacing w:val="6"/>
          <w:szCs w:val="21"/>
          <w:highlight w:val="none"/>
        </w:rPr>
        <w:t>，属于</w:t>
      </w:r>
      <w:r>
        <w:rPr>
          <w:rFonts w:hint="eastAsia" w:ascii="宋体" w:hAnsi="宋体" w:cs="宋体"/>
          <w:b/>
          <w:bCs/>
          <w:spacing w:val="6"/>
          <w:szCs w:val="21"/>
          <w:highlight w:val="none"/>
          <w:u w:val="single"/>
        </w:rPr>
        <w:t>（软件和信息技术服务业）</w:t>
      </w:r>
      <w:r>
        <w:rPr>
          <w:rFonts w:hint="eastAsia" w:ascii="宋体" w:hAnsi="宋体" w:cs="宋体"/>
          <w:spacing w:val="6"/>
          <w:szCs w:val="21"/>
          <w:highlight w:val="none"/>
        </w:rPr>
        <w:t>；承建（承接）企业为</w:t>
      </w:r>
      <w:r>
        <w:rPr>
          <w:rFonts w:hint="eastAsia" w:ascii="宋体" w:hAnsi="宋体" w:cs="宋体"/>
          <w:spacing w:val="6"/>
          <w:szCs w:val="21"/>
          <w:highlight w:val="none"/>
          <w:u w:val="single"/>
        </w:rPr>
        <w:t>（企业名称）</w:t>
      </w:r>
      <w:r>
        <w:rPr>
          <w:rFonts w:hint="eastAsia" w:ascii="宋体" w:hAnsi="宋体" w:cs="宋体"/>
          <w:spacing w:val="6"/>
          <w:szCs w:val="21"/>
          <w:highlight w:val="none"/>
        </w:rPr>
        <w:t>，从业人员</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人，营业收入为</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万元，资产总额为</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万元，属于</w:t>
      </w:r>
      <w:r>
        <w:rPr>
          <w:rFonts w:hint="eastAsia" w:ascii="宋体" w:hAnsi="宋体" w:cs="宋体"/>
          <w:spacing w:val="6"/>
          <w:szCs w:val="21"/>
          <w:highlight w:val="none"/>
          <w:u w:val="single"/>
        </w:rPr>
        <w:t>（中型企业、小型企业、微型企业）</w:t>
      </w:r>
      <w:r>
        <w:rPr>
          <w:rFonts w:hint="eastAsia" w:ascii="宋体" w:hAnsi="宋体" w:cs="宋体"/>
          <w:spacing w:val="6"/>
          <w:szCs w:val="21"/>
          <w:highlight w:val="none"/>
        </w:rPr>
        <w:t>；</w:t>
      </w:r>
    </w:p>
    <w:p>
      <w:pPr>
        <w:spacing w:line="360" w:lineRule="auto"/>
        <w:ind w:firstLine="448" w:firstLineChars="200"/>
        <w:rPr>
          <w:rFonts w:ascii="宋体" w:hAnsi="宋体" w:cs="宋体"/>
          <w:spacing w:val="6"/>
          <w:szCs w:val="21"/>
          <w:highlight w:val="none"/>
        </w:rPr>
      </w:pPr>
      <w:r>
        <w:rPr>
          <w:rFonts w:hint="eastAsia" w:ascii="宋体" w:hAnsi="宋体" w:cs="宋体"/>
          <w:spacing w:val="6"/>
          <w:szCs w:val="21"/>
          <w:highlight w:val="none"/>
        </w:rPr>
        <w:t>……</w:t>
      </w:r>
    </w:p>
    <w:p>
      <w:pPr>
        <w:spacing w:line="360" w:lineRule="auto"/>
        <w:ind w:firstLine="448" w:firstLineChars="200"/>
        <w:rPr>
          <w:rFonts w:ascii="宋体" w:hAnsi="宋体" w:cs="宋体"/>
          <w:spacing w:val="6"/>
          <w:szCs w:val="21"/>
          <w:highlight w:val="none"/>
        </w:rPr>
      </w:pPr>
      <w:r>
        <w:rPr>
          <w:rFonts w:hint="eastAsia" w:ascii="宋体" w:hAnsi="宋体" w:cs="宋体"/>
          <w:spacing w:val="6"/>
          <w:szCs w:val="21"/>
          <w:highlight w:val="none"/>
        </w:rPr>
        <w:t>以上企业，不属于大企业的分支机构，不存在控股股东为大企业的情形，也不存在与大企业的负责人为同一人的情形。</w:t>
      </w:r>
    </w:p>
    <w:p>
      <w:pPr>
        <w:spacing w:line="360" w:lineRule="auto"/>
        <w:ind w:firstLine="448" w:firstLineChars="200"/>
        <w:rPr>
          <w:rFonts w:ascii="宋体" w:hAnsi="宋体" w:cs="宋体"/>
          <w:spacing w:val="6"/>
          <w:szCs w:val="21"/>
          <w:highlight w:val="none"/>
        </w:rPr>
      </w:pPr>
      <w:r>
        <w:rPr>
          <w:rFonts w:hint="eastAsia" w:ascii="宋体" w:hAnsi="宋体" w:cs="宋体"/>
          <w:spacing w:val="6"/>
          <w:szCs w:val="21"/>
          <w:highlight w:val="none"/>
        </w:rPr>
        <w:t>本企业对上述声明内容的真实性负责。如有虚假，将依法承担相应责任。</w:t>
      </w:r>
    </w:p>
    <w:p>
      <w:pPr>
        <w:tabs>
          <w:tab w:val="left" w:pos="4860"/>
        </w:tabs>
        <w:spacing w:line="360" w:lineRule="auto"/>
        <w:ind w:right="-58" w:firstLine="1008" w:firstLineChars="450"/>
        <w:rPr>
          <w:rFonts w:ascii="宋体" w:hAnsi="宋体" w:cs="宋体"/>
          <w:spacing w:val="6"/>
          <w:szCs w:val="21"/>
          <w:highlight w:val="none"/>
        </w:rPr>
      </w:pPr>
    </w:p>
    <w:p>
      <w:pPr>
        <w:tabs>
          <w:tab w:val="left" w:pos="4860"/>
        </w:tabs>
        <w:spacing w:line="360" w:lineRule="auto"/>
        <w:ind w:right="-58" w:firstLine="4816" w:firstLineChars="2150"/>
        <w:rPr>
          <w:rFonts w:ascii="宋体" w:hAnsi="宋体" w:cs="宋体"/>
          <w:spacing w:val="6"/>
          <w:szCs w:val="21"/>
          <w:highlight w:val="none"/>
        </w:rPr>
      </w:pPr>
      <w:r>
        <w:rPr>
          <w:rFonts w:hint="eastAsia" w:ascii="宋体" w:hAnsi="宋体" w:cs="宋体"/>
          <w:spacing w:val="6"/>
          <w:szCs w:val="21"/>
          <w:highlight w:val="none"/>
        </w:rPr>
        <w:t xml:space="preserve">企业名称（盖章）：                </w:t>
      </w:r>
    </w:p>
    <w:p>
      <w:pPr>
        <w:tabs>
          <w:tab w:val="left" w:pos="4860"/>
        </w:tabs>
        <w:spacing w:line="360" w:lineRule="auto"/>
        <w:ind w:right="-58" w:firstLine="4816" w:firstLineChars="2150"/>
        <w:rPr>
          <w:rFonts w:ascii="宋体" w:hAnsi="宋体" w:cs="宋体"/>
          <w:spacing w:val="6"/>
          <w:szCs w:val="21"/>
          <w:highlight w:val="none"/>
        </w:rPr>
      </w:pPr>
      <w:r>
        <w:rPr>
          <w:rFonts w:hint="eastAsia" w:ascii="宋体" w:hAnsi="宋体" w:cs="宋体"/>
          <w:spacing w:val="6"/>
          <w:szCs w:val="21"/>
          <w:highlight w:val="none"/>
        </w:rPr>
        <w:t xml:space="preserve">日期：  </w:t>
      </w:r>
    </w:p>
    <w:p>
      <w:pPr>
        <w:autoSpaceDE w:val="0"/>
        <w:autoSpaceDN w:val="0"/>
        <w:spacing w:line="360" w:lineRule="auto"/>
        <w:ind w:left="4060" w:right="-54"/>
        <w:rPr>
          <w:rFonts w:ascii="宋体" w:hAnsi="宋体" w:cs="宋体"/>
          <w:kern w:val="0"/>
          <w:szCs w:val="21"/>
          <w:highlight w:val="none"/>
        </w:rPr>
      </w:pPr>
    </w:p>
    <w:p>
      <w:pPr>
        <w:autoSpaceDE w:val="0"/>
        <w:autoSpaceDN w:val="0"/>
        <w:spacing w:line="360" w:lineRule="auto"/>
        <w:rPr>
          <w:rFonts w:ascii="宋体" w:hAnsi="宋体" w:cs="宋体"/>
          <w:szCs w:val="21"/>
          <w:highlight w:val="none"/>
          <w:lang w:val="zh-CN"/>
        </w:rPr>
      </w:pPr>
    </w:p>
    <w:p>
      <w:pPr>
        <w:snapToGrid w:val="0"/>
        <w:spacing w:line="360" w:lineRule="auto"/>
        <w:rPr>
          <w:rFonts w:ascii="宋体" w:hAnsi="宋体" w:cs="宋体"/>
          <w:b/>
          <w:szCs w:val="21"/>
          <w:highlight w:val="none"/>
        </w:rPr>
      </w:pP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1、从业人员、营业收入、资产总额填报上一年度数据，无上一年度数据的新成立企业可不填报。</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2、本项目所属行业见前附表。</w:t>
      </w:r>
    </w:p>
    <w:p>
      <w:pPr>
        <w:adjustRightInd w:val="0"/>
        <w:snapToGrid w:val="0"/>
        <w:spacing w:line="360" w:lineRule="auto"/>
        <w:jc w:val="left"/>
        <w:rPr>
          <w:rFonts w:ascii="宋体" w:hAnsi="宋体" w:cs="宋体"/>
          <w:b/>
          <w:bCs/>
          <w:szCs w:val="21"/>
          <w:highlight w:val="none"/>
        </w:rPr>
      </w:pPr>
      <w:r>
        <w:rPr>
          <w:rFonts w:hint="eastAsia" w:ascii="宋体" w:hAnsi="宋体" w:cs="宋体"/>
          <w:b/>
          <w:bCs/>
          <w:szCs w:val="21"/>
          <w:highlight w:val="none"/>
        </w:rPr>
        <w:t>3、中小企业划型标准规定（工信部联企业[2011]300号）附后。</w:t>
      </w:r>
    </w:p>
    <w:p>
      <w:pPr>
        <w:pStyle w:val="48"/>
        <w:ind w:firstLine="449"/>
        <w:rPr>
          <w:rFonts w:ascii="宋体" w:hAnsi="宋体" w:cs="宋体"/>
          <w:spacing w:val="6"/>
          <w:kern w:val="2"/>
          <w:highlight w:val="none"/>
        </w:rPr>
        <w:sectPr>
          <w:headerReference r:id="rId11" w:type="default"/>
          <w:pgSz w:w="11907" w:h="16840"/>
          <w:pgMar w:top="1276" w:right="1701" w:bottom="1429" w:left="1701" w:header="720" w:footer="720" w:gutter="0"/>
          <w:cols w:space="0" w:num="1"/>
          <w:docGrid w:type="linesAndChars" w:linePitch="293" w:charSpace="537"/>
        </w:sectPr>
      </w:pPr>
    </w:p>
    <w:p>
      <w:pPr>
        <w:jc w:val="center"/>
        <w:rPr>
          <w:rStyle w:val="90"/>
          <w:rFonts w:hint="default"/>
          <w:color w:val="auto"/>
          <w:sz w:val="28"/>
          <w:szCs w:val="28"/>
          <w:highlight w:val="none"/>
        </w:rPr>
      </w:pPr>
      <w:r>
        <w:rPr>
          <w:rFonts w:hint="eastAsia" w:ascii="宋体" w:hAnsi="宋体" w:cs="宋体"/>
          <w:b/>
          <w:kern w:val="0"/>
          <w:sz w:val="28"/>
          <w:szCs w:val="28"/>
          <w:highlight w:val="none"/>
        </w:rPr>
        <w:t>中小微行业划型标准规定</w:t>
      </w:r>
      <w:r>
        <w:rPr>
          <w:rStyle w:val="90"/>
          <w:rFonts w:hint="default"/>
          <w:color w:val="auto"/>
          <w:sz w:val="28"/>
          <w:szCs w:val="28"/>
          <w:highlight w:val="none"/>
        </w:rPr>
        <w:t>（根据工信部联企业〔2011〕300号制定）</w:t>
      </w:r>
    </w:p>
    <w:tbl>
      <w:tblPr>
        <w:tblStyle w:val="37"/>
        <w:tblW w:w="0" w:type="auto"/>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pPr>
              <w:widowControl/>
              <w:jc w:val="center"/>
              <w:textAlignment w:val="center"/>
              <w:rPr>
                <w:rFonts w:ascii="宋体" w:hAnsi="宋体" w:cs="宋体"/>
                <w:b/>
                <w:sz w:val="18"/>
                <w:szCs w:val="18"/>
                <w:highlight w:val="none"/>
              </w:rPr>
            </w:pPr>
            <w:r>
              <w:rPr>
                <w:rFonts w:hint="eastAsia" w:ascii="宋体" w:hAnsi="宋体" w:cs="宋体"/>
                <w:b/>
                <w:kern w:val="0"/>
                <w:sz w:val="18"/>
                <w:szCs w:val="18"/>
                <w:highlight w:val="none"/>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ascii="宋体" w:hAnsi="宋体" w:cs="宋体"/>
                <w:b/>
                <w:sz w:val="18"/>
                <w:szCs w:val="18"/>
                <w:highlight w:val="none"/>
              </w:rPr>
            </w:pPr>
            <w:r>
              <w:rPr>
                <w:rFonts w:hint="eastAsia" w:ascii="宋体" w:hAnsi="宋体" w:cs="宋体"/>
                <w:b/>
                <w:kern w:val="0"/>
                <w:sz w:val="18"/>
                <w:szCs w:val="18"/>
                <w:highlight w:val="none"/>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ascii="宋体" w:hAnsi="宋体" w:cs="宋体"/>
                <w:b/>
                <w:sz w:val="18"/>
                <w:szCs w:val="18"/>
                <w:highlight w:val="none"/>
              </w:rPr>
            </w:pPr>
            <w:r>
              <w:rPr>
                <w:rFonts w:hint="eastAsia" w:ascii="宋体" w:hAnsi="宋体" w:cs="宋体"/>
                <w:b/>
                <w:kern w:val="0"/>
                <w:sz w:val="18"/>
                <w:szCs w:val="18"/>
                <w:highlight w:val="none"/>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ascii="宋体" w:hAnsi="宋体" w:cs="宋体"/>
                <w:b/>
                <w:sz w:val="18"/>
                <w:szCs w:val="18"/>
                <w:highlight w:val="none"/>
              </w:rPr>
            </w:pPr>
            <w:r>
              <w:rPr>
                <w:rFonts w:hint="eastAsia" w:ascii="宋体" w:hAnsi="宋体" w:cs="宋体"/>
                <w:b/>
                <w:kern w:val="0"/>
                <w:sz w:val="18"/>
                <w:szCs w:val="18"/>
                <w:highlight w:val="none"/>
              </w:rPr>
              <w:t>微型企业</w:t>
            </w:r>
          </w:p>
        </w:tc>
      </w:tr>
      <w:tr>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pPr>
              <w:jc w:val="center"/>
              <w:rPr>
                <w:rFonts w:ascii="宋体" w:hAnsi="宋体" w:cs="宋体"/>
                <w:b/>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资产总额Z（万元）</w:t>
            </w: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Z＜300</w:t>
            </w: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X＜5</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Z＜2000</w:t>
            </w: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sz w:val="18"/>
                <w:szCs w:val="18"/>
                <w:highlight w:val="none"/>
              </w:rPr>
            </w:pPr>
          </w:p>
        </w:tc>
      </w:tr>
      <w:tr>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18"/>
                <w:szCs w:val="18"/>
                <w:highlight w:val="none"/>
              </w:rPr>
            </w:pP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18"/>
                <w:szCs w:val="18"/>
                <w:highlight w:val="none"/>
              </w:rPr>
            </w:pP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Z＜100</w:t>
            </w:r>
          </w:p>
        </w:tc>
      </w:tr>
      <w:tr>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12" w:space="0"/>
              <w:right w:val="single" w:color="000000" w:sz="12" w:space="0"/>
            </w:tcBorders>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pPr>
              <w:rPr>
                <w:rFonts w:ascii="宋体" w:hAnsi="宋体" w:cs="宋体"/>
                <w:sz w:val="18"/>
                <w:szCs w:val="18"/>
                <w:highlight w:val="none"/>
              </w:rPr>
            </w:pPr>
          </w:p>
        </w:tc>
        <w:tc>
          <w:tcPr>
            <w:tcW w:w="1406" w:type="dxa"/>
            <w:tcBorders>
              <w:top w:val="single" w:color="000000" w:sz="4" w:space="0"/>
              <w:left w:val="single" w:color="000000" w:sz="4" w:space="0"/>
              <w:bottom w:val="single" w:color="000000" w:sz="12" w:space="0"/>
              <w:right w:val="single" w:color="000000" w:sz="12" w:space="0"/>
            </w:tcBorders>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pPr>
              <w:rPr>
                <w:rFonts w:ascii="宋体" w:hAnsi="宋体" w:cs="宋体"/>
                <w:sz w:val="18"/>
                <w:szCs w:val="18"/>
                <w:highlight w:val="none"/>
              </w:rPr>
            </w:pPr>
          </w:p>
        </w:tc>
        <w:tc>
          <w:tcPr>
            <w:tcW w:w="1515" w:type="dxa"/>
            <w:tcBorders>
              <w:top w:val="single" w:color="000000" w:sz="4" w:space="0"/>
              <w:left w:val="single" w:color="000000" w:sz="4" w:space="0"/>
              <w:bottom w:val="single" w:color="000000" w:sz="12" w:space="0"/>
              <w:right w:val="single" w:color="000000" w:sz="12" w:space="0"/>
            </w:tcBorders>
            <w:vAlign w:val="bottom"/>
          </w:tcPr>
          <w:p>
            <w:pPr>
              <w:rPr>
                <w:rFonts w:ascii="宋体" w:hAnsi="宋体" w:cs="宋体"/>
                <w:sz w:val="18"/>
                <w:szCs w:val="18"/>
                <w:highlight w:val="none"/>
              </w:rPr>
            </w:pPr>
          </w:p>
        </w:tc>
      </w:tr>
    </w:tbl>
    <w:p>
      <w:pPr>
        <w:rPr>
          <w:rFonts w:ascii="宋体" w:hAnsi="宋体" w:cs="宋体"/>
          <w:sz w:val="28"/>
          <w:szCs w:val="28"/>
          <w:highlight w:val="none"/>
        </w:rPr>
      </w:pPr>
      <w:r>
        <w:rPr>
          <w:rFonts w:hint="eastAsia" w:ascii="宋体" w:hAnsi="宋体" w:cs="宋体"/>
          <w:kern w:val="0"/>
          <w:sz w:val="18"/>
          <w:szCs w:val="18"/>
          <w:highlight w:val="none"/>
        </w:rPr>
        <w:t>说明　1.企业类型的划分以统计部门的统计数据为依据。2.个体工商户和本规定以外的行业，参照本规定进行划型。3.本规定的中型企业标准上限即为大型企业标准的下限。</w:t>
      </w:r>
      <w:bookmarkStart w:id="321" w:name="_Toc497935763"/>
      <w:bookmarkStart w:id="322" w:name="_Toc502819372"/>
    </w:p>
    <w:p>
      <w:pPr>
        <w:pStyle w:val="6"/>
        <w:spacing w:line="380" w:lineRule="exact"/>
        <w:rPr>
          <w:rFonts w:ascii="宋体" w:hAnsi="宋体" w:cs="宋体"/>
          <w:sz w:val="28"/>
          <w:szCs w:val="28"/>
          <w:highlight w:val="none"/>
        </w:rPr>
        <w:sectPr>
          <w:headerReference r:id="rId12" w:type="default"/>
          <w:pgSz w:w="16840" w:h="11907" w:orient="landscape"/>
          <w:pgMar w:top="1701" w:right="1276" w:bottom="1701" w:left="1429" w:header="720" w:footer="720" w:gutter="0"/>
          <w:cols w:space="0" w:num="1"/>
          <w:docGrid w:type="linesAndChars" w:linePitch="293" w:charSpace="537"/>
        </w:sectPr>
      </w:pPr>
    </w:p>
    <w:bookmarkEnd w:id="321"/>
    <w:bookmarkEnd w:id="322"/>
    <w:p>
      <w:pPr>
        <w:pStyle w:val="4"/>
        <w:spacing w:line="380" w:lineRule="exact"/>
        <w:rPr>
          <w:rFonts w:ascii="宋体" w:hAnsi="宋体" w:cs="宋体"/>
          <w:sz w:val="24"/>
          <w:szCs w:val="24"/>
          <w:highlight w:val="none"/>
        </w:rPr>
      </w:pPr>
      <w:bookmarkStart w:id="323" w:name="_Toc520902428"/>
      <w:r>
        <w:rPr>
          <w:rFonts w:hint="eastAsia" w:ascii="宋体" w:hAnsi="宋体" w:cs="宋体"/>
          <w:sz w:val="24"/>
          <w:szCs w:val="24"/>
          <w:highlight w:val="none"/>
        </w:rPr>
        <w:t>（五）残疾人福利性单位声明函（如有需提供）</w:t>
      </w:r>
      <w:bookmarkEnd w:id="323"/>
    </w:p>
    <w:p>
      <w:pPr>
        <w:ind w:firstLine="424" w:firstLineChars="200"/>
        <w:rPr>
          <w:rFonts w:ascii="宋体" w:hAnsi="宋体" w:cs="宋体"/>
          <w:szCs w:val="21"/>
          <w:highlight w:val="none"/>
        </w:rPr>
      </w:pPr>
    </w:p>
    <w:p>
      <w:pPr>
        <w:spacing w:line="588" w:lineRule="exact"/>
        <w:ind w:firstLine="424" w:firstLineChars="200"/>
        <w:rPr>
          <w:rFonts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4" w:firstLineChars="200"/>
        <w:rPr>
          <w:rFonts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pPr>
        <w:tabs>
          <w:tab w:val="left" w:pos="4860"/>
        </w:tabs>
        <w:spacing w:line="588" w:lineRule="exact"/>
        <w:ind w:right="1560" w:firstLine="424" w:firstLineChars="200"/>
        <w:jc w:val="center"/>
        <w:rPr>
          <w:rFonts w:ascii="宋体" w:hAnsi="宋体" w:cs="宋体"/>
          <w:szCs w:val="21"/>
          <w:highlight w:val="none"/>
        </w:rPr>
      </w:pPr>
    </w:p>
    <w:p>
      <w:pPr>
        <w:tabs>
          <w:tab w:val="left" w:pos="4860"/>
        </w:tabs>
        <w:spacing w:line="588" w:lineRule="exact"/>
        <w:ind w:right="1560" w:firstLine="424" w:firstLineChars="200"/>
        <w:jc w:val="center"/>
        <w:rPr>
          <w:rFonts w:ascii="宋体" w:hAnsi="宋体" w:cs="宋体"/>
          <w:szCs w:val="21"/>
          <w:highlight w:val="none"/>
        </w:rPr>
      </w:pPr>
    </w:p>
    <w:p>
      <w:pPr>
        <w:tabs>
          <w:tab w:val="left" w:pos="4860"/>
        </w:tabs>
        <w:spacing w:line="588" w:lineRule="exact"/>
        <w:ind w:right="1560" w:firstLine="424" w:firstLineChars="200"/>
        <w:jc w:val="center"/>
        <w:rPr>
          <w:rFonts w:ascii="宋体" w:hAnsi="宋体" w:cs="宋体"/>
          <w:szCs w:val="21"/>
          <w:highlight w:val="none"/>
        </w:rPr>
      </w:pPr>
      <w:r>
        <w:rPr>
          <w:rFonts w:hint="eastAsia" w:ascii="宋体" w:hAnsi="宋体" w:cs="宋体"/>
          <w:szCs w:val="21"/>
          <w:highlight w:val="none"/>
        </w:rPr>
        <w:t xml:space="preserve">               单位名称（盖章）：</w:t>
      </w:r>
    </w:p>
    <w:p>
      <w:pPr>
        <w:spacing w:line="380" w:lineRule="exact"/>
        <w:rPr>
          <w:rFonts w:ascii="宋体" w:hAnsi="宋体" w:cs="宋体"/>
          <w:szCs w:val="21"/>
          <w:highlight w:val="none"/>
        </w:rPr>
      </w:pPr>
      <w:r>
        <w:rPr>
          <w:rFonts w:hint="eastAsia" w:ascii="宋体" w:hAnsi="宋体" w:cs="宋体"/>
          <w:szCs w:val="21"/>
          <w:highlight w:val="none"/>
        </w:rPr>
        <w:t xml:space="preserve">                                   日  期：</w:t>
      </w:r>
    </w:p>
    <w:p>
      <w:pPr>
        <w:spacing w:line="400" w:lineRule="exact"/>
        <w:ind w:firstLine="424" w:firstLineChars="200"/>
        <w:rPr>
          <w:rFonts w:ascii="宋体" w:hAnsi="宋体" w:cs="宋体"/>
          <w:b/>
          <w:szCs w:val="21"/>
          <w:highlight w:val="none"/>
        </w:rPr>
      </w:pPr>
    </w:p>
    <w:p>
      <w:pPr>
        <w:spacing w:line="400" w:lineRule="exact"/>
        <w:ind w:firstLine="424" w:firstLineChars="200"/>
        <w:rPr>
          <w:rFonts w:ascii="宋体" w:hAnsi="宋体" w:cs="宋体"/>
          <w:b/>
          <w:szCs w:val="21"/>
          <w:highlight w:val="none"/>
        </w:rPr>
      </w:pPr>
      <w:r>
        <w:rPr>
          <w:rFonts w:hint="eastAsia" w:ascii="宋体" w:hAnsi="宋体" w:cs="宋体"/>
          <w:b/>
          <w:szCs w:val="21"/>
          <w:highlight w:val="none"/>
        </w:rPr>
        <w:t>注：</w:t>
      </w:r>
    </w:p>
    <w:p>
      <w:pPr>
        <w:spacing w:line="400" w:lineRule="exact"/>
        <w:ind w:firstLine="424" w:firstLineChars="200"/>
        <w:rPr>
          <w:rFonts w:ascii="宋体" w:hAnsi="宋体" w:cs="宋体"/>
          <w:b/>
          <w:szCs w:val="21"/>
          <w:highlight w:val="none"/>
        </w:rPr>
      </w:pPr>
      <w:r>
        <w:rPr>
          <w:rFonts w:hint="eastAsia" w:ascii="宋体" w:hAnsi="宋体" w:cs="宋体"/>
          <w:b/>
          <w:szCs w:val="21"/>
          <w:highlight w:val="none"/>
        </w:rPr>
        <w:t>享受政府采购支持政策的残疾人福利性单位应当同时满足以下条件：</w:t>
      </w:r>
    </w:p>
    <w:p>
      <w:pPr>
        <w:spacing w:line="400" w:lineRule="exact"/>
        <w:ind w:firstLine="424" w:firstLineChars="200"/>
        <w:rPr>
          <w:rFonts w:ascii="宋体" w:hAnsi="宋体" w:cs="宋体"/>
          <w:b/>
          <w:szCs w:val="21"/>
          <w:highlight w:val="none"/>
        </w:rPr>
      </w:pPr>
      <w:r>
        <w:rPr>
          <w:rFonts w:hint="eastAsia" w:ascii="宋体" w:hAnsi="宋体" w:cs="宋体"/>
          <w:b/>
          <w:szCs w:val="21"/>
          <w:highlight w:val="none"/>
        </w:rPr>
        <w:t>（一）安置的残疾人占本单位在职职工人数的比例不低于25%（含25%），并且安置的残疾人人数不少于10人（含10人）；</w:t>
      </w:r>
    </w:p>
    <w:p>
      <w:pPr>
        <w:spacing w:line="400" w:lineRule="exact"/>
        <w:ind w:firstLine="424" w:firstLineChars="200"/>
        <w:rPr>
          <w:rFonts w:ascii="宋体" w:hAnsi="宋体" w:cs="宋体"/>
          <w:b/>
          <w:szCs w:val="21"/>
          <w:highlight w:val="none"/>
        </w:rPr>
      </w:pPr>
      <w:r>
        <w:rPr>
          <w:rFonts w:hint="eastAsia" w:ascii="宋体" w:hAnsi="宋体" w:cs="宋体"/>
          <w:b/>
          <w:szCs w:val="21"/>
          <w:highlight w:val="none"/>
        </w:rPr>
        <w:t>（二）依法与安置的每位残疾人签订了一年以上（含一年）的劳动合同或服务协议；</w:t>
      </w:r>
    </w:p>
    <w:p>
      <w:pPr>
        <w:spacing w:line="400" w:lineRule="exact"/>
        <w:ind w:firstLine="424" w:firstLineChars="200"/>
        <w:rPr>
          <w:rFonts w:ascii="宋体" w:hAnsi="宋体" w:cs="宋体"/>
          <w:b/>
          <w:szCs w:val="21"/>
          <w:highlight w:val="none"/>
        </w:rPr>
      </w:pPr>
      <w:r>
        <w:rPr>
          <w:rFonts w:hint="eastAsia" w:ascii="宋体" w:hAnsi="宋体" w:cs="宋体"/>
          <w:b/>
          <w:szCs w:val="21"/>
          <w:highlight w:val="none"/>
        </w:rPr>
        <w:t>（三）为安置的每位残疾人按月足额缴纳了基本养老保险、基本医疗保险、失业保险、工伤保险和生育保险等社会保险费；</w:t>
      </w:r>
    </w:p>
    <w:p>
      <w:pPr>
        <w:spacing w:line="400" w:lineRule="exact"/>
        <w:ind w:firstLine="424" w:firstLineChars="200"/>
        <w:rPr>
          <w:rFonts w:ascii="宋体" w:hAnsi="宋体" w:cs="宋体"/>
          <w:b/>
          <w:szCs w:val="21"/>
          <w:highlight w:val="none"/>
        </w:rPr>
      </w:pPr>
      <w:r>
        <w:rPr>
          <w:rFonts w:hint="eastAsia" w:ascii="宋体" w:hAnsi="宋体" w:cs="宋体"/>
          <w:b/>
          <w:szCs w:val="21"/>
          <w:highlight w:val="none"/>
        </w:rPr>
        <w:t>（四）通过银行等金融机构向安置的每位残疾人，按月支付了不低于单位所在区县适用的经省级人民政府批准的月最低工资标准的工资；</w:t>
      </w:r>
    </w:p>
    <w:p>
      <w:pPr>
        <w:spacing w:line="400" w:lineRule="exact"/>
        <w:ind w:firstLine="424" w:firstLineChars="200"/>
        <w:rPr>
          <w:rFonts w:ascii="宋体" w:hAnsi="宋体" w:cs="宋体"/>
          <w:b/>
          <w:szCs w:val="21"/>
          <w:highlight w:val="none"/>
        </w:rPr>
      </w:pPr>
      <w:r>
        <w:rPr>
          <w:rFonts w:hint="eastAsia" w:ascii="宋体" w:hAnsi="宋体" w:cs="宋体"/>
          <w:b/>
          <w:szCs w:val="21"/>
          <w:highlight w:val="none"/>
        </w:rPr>
        <w:t>（五）提供本单位制造的货物、承担的工程或者服务（以下简称产品），或者提供其他残疾人福利性单位制造的货物（不包括使用非残疾人福利性单位注册商标的货物）。</w:t>
      </w:r>
    </w:p>
    <w:p>
      <w:pPr>
        <w:spacing w:line="380" w:lineRule="exact"/>
        <w:rPr>
          <w:rFonts w:ascii="宋体" w:hAnsi="宋体" w:cs="宋体"/>
          <w:szCs w:val="21"/>
          <w:highlight w:val="none"/>
        </w:rPr>
      </w:pPr>
      <w:r>
        <w:rPr>
          <w:rFonts w:hint="eastAsia" w:ascii="宋体" w:hAnsi="宋体" w:cs="宋体"/>
          <w:b/>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ascii="宋体" w:hAnsi="宋体" w:cs="宋体"/>
          <w:b/>
          <w:bCs/>
          <w:sz w:val="30"/>
          <w:szCs w:val="30"/>
          <w:highlight w:val="none"/>
        </w:rPr>
        <w:sectPr>
          <w:headerReference r:id="rId13" w:type="default"/>
          <w:pgSz w:w="11907" w:h="16840"/>
          <w:pgMar w:top="1276" w:right="1701" w:bottom="1429" w:left="1701" w:header="720" w:footer="720" w:gutter="0"/>
          <w:cols w:space="0" w:num="1"/>
          <w:docGrid w:type="linesAndChars" w:linePitch="293" w:charSpace="537"/>
        </w:sectPr>
      </w:pPr>
    </w:p>
    <w:p>
      <w:pPr>
        <w:jc w:val="center"/>
        <w:rPr>
          <w:rFonts w:ascii="宋体" w:hAnsi="宋体" w:cs="宋体"/>
          <w:b/>
          <w:bCs/>
          <w:sz w:val="28"/>
          <w:szCs w:val="28"/>
          <w:highlight w:val="none"/>
        </w:rPr>
      </w:pPr>
      <w:r>
        <w:rPr>
          <w:rFonts w:hint="eastAsia" w:ascii="宋体" w:hAnsi="宋体" w:cs="宋体"/>
          <w:b/>
          <w:sz w:val="28"/>
          <w:szCs w:val="28"/>
          <w:highlight w:val="none"/>
        </w:rPr>
        <w:t>（六）监狱企业声明函（如有需提供）</w:t>
      </w:r>
    </w:p>
    <w:p>
      <w:pPr>
        <w:spacing w:line="360" w:lineRule="auto"/>
        <w:ind w:firstLine="530" w:firstLineChars="250"/>
        <w:rPr>
          <w:rFonts w:ascii="宋体" w:hAnsi="宋体" w:cs="宋体"/>
          <w:szCs w:val="21"/>
          <w:highlight w:val="none"/>
        </w:rPr>
      </w:pPr>
    </w:p>
    <w:p>
      <w:pPr>
        <w:spacing w:line="360" w:lineRule="auto"/>
        <w:ind w:firstLine="530" w:firstLineChars="250"/>
        <w:rPr>
          <w:rFonts w:ascii="宋体" w:hAnsi="宋体" w:cs="宋体"/>
          <w:szCs w:val="21"/>
          <w:highlight w:val="none"/>
        </w:rPr>
      </w:pPr>
      <w:r>
        <w:rPr>
          <w:rFonts w:hint="eastAsia" w:ascii="宋体" w:hAnsi="宋体" w:cs="宋体"/>
          <w:szCs w:val="21"/>
          <w:highlight w:val="none"/>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rFonts w:ascii="宋体" w:hAnsi="宋体" w:cs="宋体"/>
          <w:szCs w:val="21"/>
          <w:highlight w:val="none"/>
        </w:rPr>
      </w:pPr>
      <w:r>
        <w:rPr>
          <w:rFonts w:hint="eastAsia" w:ascii="宋体" w:hAnsi="宋体" w:cs="宋体"/>
          <w:szCs w:val="21"/>
          <w:highlight w:val="none"/>
        </w:rPr>
        <w:t>根据上述标准，我企业属于监狱企业的理由为：。</w:t>
      </w:r>
    </w:p>
    <w:p>
      <w:pPr>
        <w:spacing w:line="360" w:lineRule="auto"/>
        <w:ind w:firstLine="480"/>
        <w:rPr>
          <w:rFonts w:ascii="宋体" w:hAnsi="宋体" w:cs="宋体"/>
          <w:szCs w:val="21"/>
          <w:highlight w:val="none"/>
        </w:rPr>
      </w:pPr>
      <w:r>
        <w:rPr>
          <w:rFonts w:hint="eastAsia" w:ascii="宋体" w:hAnsi="宋体" w:cs="宋体"/>
          <w:szCs w:val="21"/>
          <w:highlight w:val="none"/>
        </w:rPr>
        <w:t>本企业为参加（项目名称： ）（项目编号： ）采购活动提供本企业的产品。</w:t>
      </w:r>
    </w:p>
    <w:p>
      <w:pPr>
        <w:spacing w:line="360" w:lineRule="auto"/>
        <w:ind w:firstLine="480"/>
        <w:rPr>
          <w:rFonts w:ascii="宋体" w:hAnsi="宋体" w:cs="宋体"/>
          <w:szCs w:val="21"/>
          <w:highlight w:val="none"/>
        </w:rPr>
      </w:pPr>
      <w:r>
        <w:rPr>
          <w:rFonts w:hint="eastAsia" w:ascii="宋体" w:hAnsi="宋体" w:cs="宋体"/>
          <w:szCs w:val="21"/>
          <w:highlight w:val="none"/>
        </w:rPr>
        <w:t>本企业对上述声明的真实性负责。如有虚假，将依法承担相应责任。</w:t>
      </w:r>
    </w:p>
    <w:p>
      <w:pPr>
        <w:spacing w:line="360" w:lineRule="auto"/>
        <w:ind w:firstLine="480"/>
        <w:rPr>
          <w:rFonts w:ascii="宋体" w:hAnsi="宋体" w:cs="宋体"/>
          <w:szCs w:val="21"/>
          <w:highlight w:val="none"/>
        </w:rPr>
      </w:pPr>
    </w:p>
    <w:p>
      <w:pPr>
        <w:spacing w:line="360" w:lineRule="auto"/>
        <w:ind w:firstLine="480"/>
        <w:rPr>
          <w:rFonts w:ascii="宋体" w:hAnsi="宋体" w:cs="宋体"/>
          <w:szCs w:val="21"/>
          <w:highlight w:val="none"/>
        </w:rPr>
      </w:pPr>
      <w:r>
        <w:rPr>
          <w:rFonts w:hint="eastAsia" w:ascii="宋体" w:hAnsi="宋体" w:cs="宋体"/>
          <w:szCs w:val="21"/>
          <w:highlight w:val="none"/>
        </w:rPr>
        <w:t>投标单位名称（盖章）：</w:t>
      </w:r>
    </w:p>
    <w:p>
      <w:pPr>
        <w:spacing w:line="360" w:lineRule="auto"/>
        <w:ind w:firstLine="480"/>
        <w:rPr>
          <w:rFonts w:ascii="宋体" w:hAnsi="宋体" w:cs="宋体"/>
          <w:szCs w:val="21"/>
          <w:highlight w:val="none"/>
        </w:rPr>
      </w:pPr>
      <w:r>
        <w:rPr>
          <w:rFonts w:hint="eastAsia" w:ascii="宋体" w:hAnsi="宋体" w:cs="宋体"/>
          <w:szCs w:val="21"/>
          <w:highlight w:val="none"/>
        </w:rPr>
        <w:t>日期： 年 月 日</w:t>
      </w:r>
    </w:p>
    <w:p>
      <w:pPr>
        <w:spacing w:line="360" w:lineRule="auto"/>
        <w:ind w:firstLine="480"/>
        <w:rPr>
          <w:rFonts w:ascii="宋体" w:hAnsi="宋体" w:cs="宋体"/>
          <w:szCs w:val="21"/>
          <w:highlight w:val="none"/>
        </w:rPr>
      </w:pPr>
    </w:p>
    <w:p>
      <w:pPr>
        <w:spacing w:line="360" w:lineRule="auto"/>
        <w:ind w:firstLine="480"/>
        <w:rPr>
          <w:rFonts w:ascii="宋体" w:hAnsi="宋体" w:cs="宋体"/>
          <w:szCs w:val="21"/>
          <w:highlight w:val="none"/>
        </w:rPr>
      </w:pPr>
    </w:p>
    <w:p>
      <w:pPr>
        <w:spacing w:line="360" w:lineRule="auto"/>
        <w:ind w:firstLine="480"/>
        <w:rPr>
          <w:rFonts w:ascii="宋体" w:hAnsi="宋体" w:cs="宋体"/>
          <w:szCs w:val="21"/>
          <w:highlight w:val="none"/>
        </w:rPr>
      </w:pPr>
      <w:r>
        <w:rPr>
          <w:rFonts w:hint="eastAsia" w:ascii="宋体" w:hAnsi="宋体" w:cs="宋体"/>
          <w:szCs w:val="21"/>
          <w:highlight w:val="none"/>
        </w:rPr>
        <w:t>供应商为监狱企业的提供此函。</w:t>
      </w:r>
    </w:p>
    <w:p>
      <w:pPr>
        <w:spacing w:line="360" w:lineRule="auto"/>
        <w:ind w:firstLine="480"/>
        <w:rPr>
          <w:rFonts w:ascii="宋体" w:hAnsi="宋体" w:cs="宋体"/>
          <w:szCs w:val="21"/>
          <w:highlight w:val="none"/>
        </w:rPr>
      </w:pPr>
      <w:r>
        <w:rPr>
          <w:rFonts w:hint="eastAsia" w:ascii="宋体" w:hAnsi="宋体" w:cs="宋体"/>
          <w:szCs w:val="21"/>
          <w:highlight w:val="none"/>
        </w:rPr>
        <w:t>监狱管理局、戒毒管理局（含新疆生产建设兵团）出具的属于监狱企业的证明文件。</w:t>
      </w:r>
    </w:p>
    <w:p>
      <w:pPr>
        <w:spacing w:line="360" w:lineRule="auto"/>
        <w:ind w:firstLine="480"/>
        <w:rPr>
          <w:rFonts w:ascii="宋体" w:hAnsi="宋体" w:cs="宋体"/>
          <w:highlight w:val="none"/>
        </w:rPr>
      </w:pPr>
      <w:r>
        <w:rPr>
          <w:rFonts w:hint="eastAsia" w:ascii="宋体" w:hAnsi="宋体" w:cs="宋体"/>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rPr>
          <w:rFonts w:ascii="宋体" w:hAnsi="宋体" w:cs="宋体"/>
          <w:highlight w:val="none"/>
        </w:rPr>
      </w:pPr>
    </w:p>
    <w:p>
      <w:pPr>
        <w:pStyle w:val="4"/>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bookmarkEnd w:id="324"/>
    <w:sectPr>
      <w:pgSz w:w="11907" w:h="16840"/>
      <w:pgMar w:top="1276" w:right="1701" w:bottom="1429" w:left="1701" w:header="720" w:footer="720" w:gutter="0"/>
      <w:cols w:space="0" w:num="1"/>
      <w:docGrid w:type="linesAndChars" w:linePitch="293"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Light">
    <w:altName w:val="汉仪中黑KW"/>
    <w:panose1 w:val="020B0502040204020203"/>
    <w:charset w:val="86"/>
    <w:family w:val="swiss"/>
    <w:pitch w:val="default"/>
    <w:sig w:usb0="00000000" w:usb1="00000000" w:usb2="00000016" w:usb3="00000000" w:csb0="0004001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华文细黑">
    <w:altName w:val="黑体-简"/>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AFF" w:usb1="C000605B"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Garamond">
    <w:altName w:val="苹方-简"/>
    <w:panose1 w:val="02020404030301010803"/>
    <w:charset w:val="00"/>
    <w:family w:val="roman"/>
    <w:pitch w:val="default"/>
    <w:sig w:usb0="00000000" w:usb1="00000000" w:usb2="00000000" w:usb3="00000000" w:csb0="0000009F" w:csb1="DFD70000"/>
  </w:font>
  <w:font w:name="Verdana">
    <w:panose1 w:val="020B0804030504040204"/>
    <w:charset w:val="00"/>
    <w:family w:val="swiss"/>
    <w:pitch w:val="default"/>
    <w:sig w:usb0="A10006FF" w:usb1="4000205B" w:usb2="00000010" w:usb3="00000000" w:csb0="2000019F" w:csb1="00000000"/>
  </w:font>
  <w:font w:name="新宋体">
    <w:altName w:val="方正书宋_GBK"/>
    <w:panose1 w:val="02010609030101010101"/>
    <w:charset w:val="86"/>
    <w:family w:val="modern"/>
    <w:pitch w:val="default"/>
    <w:sig w:usb0="00000000" w:usb1="00000000" w:usb2="00000006" w:usb3="00000000" w:csb0="00040001" w:csb1="00000000"/>
  </w:font>
  <w:font w:name="隶书">
    <w:altName w:val="报隶-简"/>
    <w:panose1 w:val="0201050906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报隶-简">
    <w:panose1 w:val="02010600040101010101"/>
    <w:charset w:val="86"/>
    <w:family w:val="auto"/>
    <w:pitch w:val="default"/>
    <w:sig w:usb0="80000287" w:usb1="280F3C52" w:usb2="00000016" w:usb3="00000000" w:csb0="0004001F"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黑体-简">
    <w:panose1 w:val="02000000000000000000"/>
    <w:charset w:val="86"/>
    <w:family w:val="auto"/>
    <w:pitch w:val="default"/>
    <w:sig w:usb0="8000002F" w:usb1="0800004A" w:usb2="00000000" w:usb3="00000000" w:csb0="203E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850" w:hRule="exact" w:wrap="around" w:vAnchor="text" w:hAnchor="margin" w:xAlign="center" w:y="348"/>
      <w:snapToGrid w:val="0"/>
      <w:jc w:val="center"/>
      <w:rPr>
        <w:kern w:val="0"/>
        <w:sz w:val="18"/>
        <w:szCs w:val="18"/>
      </w:rPr>
    </w:pPr>
    <w:r>
      <w:rPr>
        <w:kern w:val="0"/>
        <w:sz w:val="18"/>
        <w:szCs w:val="18"/>
      </w:rPr>
      <w:fldChar w:fldCharType="begin"/>
    </w:r>
    <w:r>
      <w:rPr>
        <w:kern w:val="0"/>
        <w:sz w:val="18"/>
        <w:szCs w:val="18"/>
      </w:rPr>
      <w:instrText xml:space="preserve">PAGE  </w:instrText>
    </w:r>
    <w:r>
      <w:rPr>
        <w:kern w:val="0"/>
        <w:sz w:val="18"/>
        <w:szCs w:val="18"/>
      </w:rPr>
      <w:fldChar w:fldCharType="separate"/>
    </w:r>
    <w:r>
      <w:rPr>
        <w:kern w:val="0"/>
        <w:sz w:val="18"/>
        <w:szCs w:val="18"/>
      </w:rPr>
      <w:t>17</w:t>
    </w:r>
    <w:r>
      <w:rPr>
        <w:kern w:val="0"/>
        <w:sz w:val="18"/>
        <w:szCs w:val="18"/>
      </w:rPr>
      <w:fldChar w:fldCharType="end"/>
    </w:r>
  </w:p>
  <w:p>
    <w:pPr>
      <w:snapToGrid w:val="0"/>
      <w:jc w:val="left"/>
      <w:rPr>
        <w:ker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 xml:space="preserve">政府采购公开招标采购文件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kern w:val="0"/>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73C5E"/>
    <w:multiLevelType w:val="singleLevel"/>
    <w:tmpl w:val="88773C5E"/>
    <w:lvl w:ilvl="0" w:tentative="0">
      <w:start w:val="1"/>
      <w:numFmt w:val="decimal"/>
      <w:suff w:val="nothing"/>
      <w:lvlText w:val="%1）"/>
      <w:lvlJc w:val="left"/>
    </w:lvl>
  </w:abstractNum>
  <w:abstractNum w:abstractNumId="1">
    <w:nsid w:val="9BCE3259"/>
    <w:multiLevelType w:val="singleLevel"/>
    <w:tmpl w:val="9BCE3259"/>
    <w:lvl w:ilvl="0" w:tentative="0">
      <w:start w:val="1"/>
      <w:numFmt w:val="decimal"/>
      <w:pStyle w:val="13"/>
      <w:lvlText w:val="%1."/>
      <w:lvlJc w:val="left"/>
      <w:pPr>
        <w:tabs>
          <w:tab w:val="left" w:pos="360"/>
        </w:tabs>
        <w:ind w:left="360" w:hanging="360"/>
      </w:pPr>
    </w:lvl>
  </w:abstractNum>
  <w:abstractNum w:abstractNumId="2">
    <w:nsid w:val="A7B1DE4F"/>
    <w:multiLevelType w:val="singleLevel"/>
    <w:tmpl w:val="A7B1DE4F"/>
    <w:lvl w:ilvl="0" w:tentative="0">
      <w:start w:val="1"/>
      <w:numFmt w:val="decimal"/>
      <w:lvlText w:val="%1."/>
      <w:lvlJc w:val="left"/>
      <w:pPr>
        <w:tabs>
          <w:tab w:val="left" w:pos="312"/>
        </w:tabs>
      </w:pPr>
    </w:lvl>
  </w:abstractNum>
  <w:abstractNum w:abstractNumId="3">
    <w:nsid w:val="B1E1A522"/>
    <w:multiLevelType w:val="singleLevel"/>
    <w:tmpl w:val="B1E1A522"/>
    <w:lvl w:ilvl="0" w:tentative="0">
      <w:start w:val="2"/>
      <w:numFmt w:val="decimal"/>
      <w:suff w:val="nothing"/>
      <w:lvlText w:val="%1、"/>
      <w:lvlJc w:val="left"/>
      <w:pPr>
        <w:ind w:left="183"/>
      </w:pPr>
    </w:lvl>
  </w:abstractNum>
  <w:abstractNum w:abstractNumId="4">
    <w:nsid w:val="C3243BC1"/>
    <w:multiLevelType w:val="singleLevel"/>
    <w:tmpl w:val="C3243BC1"/>
    <w:lvl w:ilvl="0" w:tentative="0">
      <w:start w:val="5"/>
      <w:numFmt w:val="decimal"/>
      <w:suff w:val="space"/>
      <w:lvlText w:val="%1."/>
      <w:lvlJc w:val="left"/>
    </w:lvl>
  </w:abstractNum>
  <w:abstractNum w:abstractNumId="5">
    <w:nsid w:val="D84410BE"/>
    <w:multiLevelType w:val="singleLevel"/>
    <w:tmpl w:val="D84410BE"/>
    <w:lvl w:ilvl="0" w:tentative="0">
      <w:start w:val="1"/>
      <w:numFmt w:val="decimal"/>
      <w:suff w:val="nothing"/>
      <w:lvlText w:val="（%1）"/>
      <w:lvlJc w:val="left"/>
    </w:lvl>
  </w:abstractNum>
  <w:abstractNum w:abstractNumId="6">
    <w:nsid w:val="DFBA146B"/>
    <w:multiLevelType w:val="singleLevel"/>
    <w:tmpl w:val="DFBA146B"/>
    <w:lvl w:ilvl="0" w:tentative="0">
      <w:start w:val="1"/>
      <w:numFmt w:val="decimal"/>
      <w:suff w:val="nothing"/>
      <w:lvlText w:val="%1、"/>
      <w:lvlJc w:val="left"/>
    </w:lvl>
  </w:abstractNum>
  <w:abstractNum w:abstractNumId="7">
    <w:nsid w:val="E8864402"/>
    <w:multiLevelType w:val="singleLevel"/>
    <w:tmpl w:val="E8864402"/>
    <w:lvl w:ilvl="0" w:tentative="0">
      <w:start w:val="6"/>
      <w:numFmt w:val="chineseCounting"/>
      <w:suff w:val="nothing"/>
      <w:lvlText w:val="（%1）"/>
      <w:lvlJc w:val="left"/>
      <w:rPr>
        <w:rFonts w:hint="eastAsia"/>
      </w:rPr>
    </w:lvl>
  </w:abstractNum>
  <w:abstractNum w:abstractNumId="8">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1559"/>
        </w:tabs>
        <w:ind w:left="1559" w:hanging="567"/>
      </w:pPr>
      <w:rPr>
        <w:rFonts w:hint="eastAsia"/>
      </w:rPr>
    </w:lvl>
    <w:lvl w:ilvl="2" w:tentative="0">
      <w:start w:val="1"/>
      <w:numFmt w:val="decimal"/>
      <w:pStyle w:val="121"/>
      <w:isLgl/>
      <w:lvlText w:val="%1.%2.%3."/>
      <w:lvlJc w:val="left"/>
      <w:pPr>
        <w:tabs>
          <w:tab w:val="left" w:pos="1276"/>
        </w:tabs>
        <w:ind w:left="1276" w:hanging="709"/>
      </w:pPr>
      <w:rPr>
        <w:rFonts w:hint="default" w:ascii="Times New Roman" w:hAnsi="Times New Roman" w:cs="Times New Roman"/>
      </w:rPr>
    </w:lvl>
    <w:lvl w:ilvl="3" w:tentative="0">
      <w:start w:val="1"/>
      <w:numFmt w:val="decimal"/>
      <w:isLgl/>
      <w:lvlText w:val="%1.%2.%3.%4."/>
      <w:lvlJc w:val="left"/>
      <w:pPr>
        <w:tabs>
          <w:tab w:val="left" w:pos="1560"/>
        </w:tabs>
        <w:ind w:left="1560" w:hanging="851"/>
      </w:pPr>
      <w:rPr>
        <w:rFonts w:hint="eastAsia"/>
      </w:rPr>
    </w:lvl>
    <w:lvl w:ilvl="4" w:tentative="0">
      <w:start w:val="1"/>
      <w:numFmt w:val="decimal"/>
      <w:pStyle w:val="8"/>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9">
    <w:nsid w:val="208A7ABE"/>
    <w:multiLevelType w:val="multilevel"/>
    <w:tmpl w:val="208A7ABE"/>
    <w:lvl w:ilvl="0" w:tentative="0">
      <w:start w:val="1"/>
      <w:numFmt w:val="decimal"/>
      <w:pStyle w:val="119"/>
      <w:suff w:val="space"/>
      <w:lvlText w:val="表%1"/>
      <w:lvlJc w:val="left"/>
      <w:pPr>
        <w:ind w:left="424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38F37E8"/>
    <w:multiLevelType w:val="multilevel"/>
    <w:tmpl w:val="338F37E8"/>
    <w:lvl w:ilvl="0" w:tentative="0">
      <w:start w:val="1"/>
      <w:numFmt w:val="decimal"/>
      <w:lvlText w:val="%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B363D98"/>
    <w:multiLevelType w:val="multilevel"/>
    <w:tmpl w:val="3B363D98"/>
    <w:lvl w:ilvl="0" w:tentative="0">
      <w:start w:val="1"/>
      <w:numFmt w:val="decimal"/>
      <w:pStyle w:val="15"/>
      <w:suff w:val="space"/>
      <w:lvlText w:val="图%1"/>
      <w:lvlJc w:val="left"/>
      <w:pPr>
        <w:ind w:left="2263" w:hanging="42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2">
    <w:nsid w:val="4CA75A52"/>
    <w:multiLevelType w:val="multilevel"/>
    <w:tmpl w:val="4CA75A52"/>
    <w:lvl w:ilvl="0" w:tentative="0">
      <w:start w:val="1"/>
      <w:numFmt w:val="decimal"/>
      <w:pStyle w:val="80"/>
      <w:suff w:val="nothing"/>
      <w:lvlText w:val="（%1）"/>
      <w:lvlJc w:val="left"/>
      <w:pPr>
        <w:ind w:left="420" w:firstLine="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13">
    <w:nsid w:val="57AD35CA"/>
    <w:multiLevelType w:val="singleLevel"/>
    <w:tmpl w:val="57AD35CA"/>
    <w:lvl w:ilvl="0" w:tentative="0">
      <w:start w:val="1"/>
      <w:numFmt w:val="decimal"/>
      <w:suff w:val="nothing"/>
      <w:lvlText w:val="（%1）"/>
      <w:lvlJc w:val="left"/>
    </w:lvl>
  </w:abstractNum>
  <w:abstractNum w:abstractNumId="14">
    <w:nsid w:val="69326E84"/>
    <w:multiLevelType w:val="multilevel"/>
    <w:tmpl w:val="69326E84"/>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abstractNum w:abstractNumId="15">
    <w:nsid w:val="6CBF3D06"/>
    <w:multiLevelType w:val="multilevel"/>
    <w:tmpl w:val="6CBF3D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ECE6E3"/>
    <w:multiLevelType w:val="singleLevel"/>
    <w:tmpl w:val="7DECE6E3"/>
    <w:lvl w:ilvl="0" w:tentative="0">
      <w:start w:val="1"/>
      <w:numFmt w:val="decimal"/>
      <w:suff w:val="nothing"/>
      <w:lvlText w:val="（%1）"/>
      <w:lvlJc w:val="left"/>
    </w:lvl>
  </w:abstractNum>
  <w:num w:numId="1">
    <w:abstractNumId w:val="8"/>
  </w:num>
  <w:num w:numId="2">
    <w:abstractNumId w:val="1"/>
  </w:num>
  <w:num w:numId="3">
    <w:abstractNumId w:val="11"/>
  </w:num>
  <w:num w:numId="4">
    <w:abstractNumId w:val="12"/>
  </w:num>
  <w:num w:numId="5">
    <w:abstractNumId w:val="9"/>
  </w:num>
  <w:num w:numId="6">
    <w:abstractNumId w:val="5"/>
  </w:num>
  <w:num w:numId="7">
    <w:abstractNumId w:val="14"/>
  </w:num>
  <w:num w:numId="8">
    <w:abstractNumId w:val="16"/>
  </w:num>
  <w:num w:numId="9">
    <w:abstractNumId w:val="6"/>
  </w:num>
  <w:num w:numId="10">
    <w:abstractNumId w:val="10"/>
    <w:lvlOverride w:ilvl="0">
      <w:startOverride w:val="1"/>
    </w:lvlOverride>
  </w:num>
  <w:num w:numId="11">
    <w:abstractNumId w:val="0"/>
  </w:num>
  <w:num w:numId="12">
    <w:abstractNumId w:val="2"/>
  </w:num>
  <w:num w:numId="13">
    <w:abstractNumId w:val="15"/>
  </w:num>
  <w:num w:numId="14">
    <w:abstractNumId w:val="4"/>
  </w:num>
  <w:num w:numId="15">
    <w:abstractNumId w:val="13"/>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bordersDoNotSurroundHeader w:val="0"/>
  <w:bordersDoNotSurroundFooter w:val="0"/>
  <w:documentProtection w:enforcement="0"/>
  <w:defaultTabStop w:val="420"/>
  <w:drawingGridHorizontalSpacing w:val="106"/>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lYWVkNTZhNTkxZGMxZGVmODkxZjVlYjY0NjNkYTIifQ=="/>
  </w:docVars>
  <w:rsids>
    <w:rsidRoot w:val="000505E5"/>
    <w:rsid w:val="00004271"/>
    <w:rsid w:val="00005EDA"/>
    <w:rsid w:val="00014A75"/>
    <w:rsid w:val="00014BBF"/>
    <w:rsid w:val="00015792"/>
    <w:rsid w:val="00017236"/>
    <w:rsid w:val="00020BCC"/>
    <w:rsid w:val="00022A87"/>
    <w:rsid w:val="00023E13"/>
    <w:rsid w:val="00025E4F"/>
    <w:rsid w:val="00031F00"/>
    <w:rsid w:val="00041420"/>
    <w:rsid w:val="000446C1"/>
    <w:rsid w:val="000505E5"/>
    <w:rsid w:val="00052C75"/>
    <w:rsid w:val="00055AE2"/>
    <w:rsid w:val="00056AFF"/>
    <w:rsid w:val="00056BD6"/>
    <w:rsid w:val="00072186"/>
    <w:rsid w:val="00072330"/>
    <w:rsid w:val="000767B6"/>
    <w:rsid w:val="00081656"/>
    <w:rsid w:val="00083D19"/>
    <w:rsid w:val="00087979"/>
    <w:rsid w:val="0009637A"/>
    <w:rsid w:val="00097BC4"/>
    <w:rsid w:val="000A03B5"/>
    <w:rsid w:val="000A2EFF"/>
    <w:rsid w:val="000A3A9B"/>
    <w:rsid w:val="000A6C5D"/>
    <w:rsid w:val="000B16EE"/>
    <w:rsid w:val="000B5D3E"/>
    <w:rsid w:val="000C6A35"/>
    <w:rsid w:val="000D04B0"/>
    <w:rsid w:val="000D295B"/>
    <w:rsid w:val="000D53A1"/>
    <w:rsid w:val="000D68E9"/>
    <w:rsid w:val="000D7717"/>
    <w:rsid w:val="000E0A8E"/>
    <w:rsid w:val="000E4A9A"/>
    <w:rsid w:val="000E5535"/>
    <w:rsid w:val="000F40FB"/>
    <w:rsid w:val="000F7713"/>
    <w:rsid w:val="00100E09"/>
    <w:rsid w:val="00101B16"/>
    <w:rsid w:val="001029BB"/>
    <w:rsid w:val="00104A8A"/>
    <w:rsid w:val="00107E7E"/>
    <w:rsid w:val="00113E5D"/>
    <w:rsid w:val="001173F9"/>
    <w:rsid w:val="0012763E"/>
    <w:rsid w:val="001319E7"/>
    <w:rsid w:val="00132869"/>
    <w:rsid w:val="001344ED"/>
    <w:rsid w:val="00134C7C"/>
    <w:rsid w:val="00136DEE"/>
    <w:rsid w:val="001379B1"/>
    <w:rsid w:val="00144576"/>
    <w:rsid w:val="00144A1D"/>
    <w:rsid w:val="001455A3"/>
    <w:rsid w:val="00146A09"/>
    <w:rsid w:val="00153624"/>
    <w:rsid w:val="00154E0D"/>
    <w:rsid w:val="001550CE"/>
    <w:rsid w:val="00160C17"/>
    <w:rsid w:val="001630B9"/>
    <w:rsid w:val="00163676"/>
    <w:rsid w:val="00165D8E"/>
    <w:rsid w:val="001756E9"/>
    <w:rsid w:val="001821DD"/>
    <w:rsid w:val="001826BB"/>
    <w:rsid w:val="001835A5"/>
    <w:rsid w:val="00185B56"/>
    <w:rsid w:val="00193F02"/>
    <w:rsid w:val="001951A5"/>
    <w:rsid w:val="001977B3"/>
    <w:rsid w:val="001A3E02"/>
    <w:rsid w:val="001A5BCA"/>
    <w:rsid w:val="001A6CE3"/>
    <w:rsid w:val="001B0C99"/>
    <w:rsid w:val="001B3653"/>
    <w:rsid w:val="001C00AF"/>
    <w:rsid w:val="001C2436"/>
    <w:rsid w:val="001C34B4"/>
    <w:rsid w:val="001C4541"/>
    <w:rsid w:val="001C5F00"/>
    <w:rsid w:val="001C6AD9"/>
    <w:rsid w:val="001D2412"/>
    <w:rsid w:val="001D5F40"/>
    <w:rsid w:val="001D7EC1"/>
    <w:rsid w:val="001E4F06"/>
    <w:rsid w:val="001E71E3"/>
    <w:rsid w:val="001E7790"/>
    <w:rsid w:val="001F22E3"/>
    <w:rsid w:val="001F3822"/>
    <w:rsid w:val="001F58F8"/>
    <w:rsid w:val="001F6CDE"/>
    <w:rsid w:val="00201730"/>
    <w:rsid w:val="00201E66"/>
    <w:rsid w:val="00203A5F"/>
    <w:rsid w:val="00206DC5"/>
    <w:rsid w:val="00210EBD"/>
    <w:rsid w:val="00214ADD"/>
    <w:rsid w:val="00215CBA"/>
    <w:rsid w:val="00216F69"/>
    <w:rsid w:val="002171F8"/>
    <w:rsid w:val="00217724"/>
    <w:rsid w:val="0022092B"/>
    <w:rsid w:val="0022264A"/>
    <w:rsid w:val="00223BFA"/>
    <w:rsid w:val="002264B5"/>
    <w:rsid w:val="00226B9A"/>
    <w:rsid w:val="00230932"/>
    <w:rsid w:val="0023184C"/>
    <w:rsid w:val="00234670"/>
    <w:rsid w:val="00234F3F"/>
    <w:rsid w:val="00236132"/>
    <w:rsid w:val="002362EE"/>
    <w:rsid w:val="002372CE"/>
    <w:rsid w:val="00237A24"/>
    <w:rsid w:val="002401C9"/>
    <w:rsid w:val="00241A9D"/>
    <w:rsid w:val="00242834"/>
    <w:rsid w:val="00242A30"/>
    <w:rsid w:val="00243DB3"/>
    <w:rsid w:val="00246A95"/>
    <w:rsid w:val="00246D0E"/>
    <w:rsid w:val="00246F2C"/>
    <w:rsid w:val="00247FF7"/>
    <w:rsid w:val="002522C5"/>
    <w:rsid w:val="0025367E"/>
    <w:rsid w:val="00255AC1"/>
    <w:rsid w:val="00255EFE"/>
    <w:rsid w:val="00260FC8"/>
    <w:rsid w:val="002666AA"/>
    <w:rsid w:val="00266E7A"/>
    <w:rsid w:val="00270744"/>
    <w:rsid w:val="00271611"/>
    <w:rsid w:val="00271D21"/>
    <w:rsid w:val="00276FE2"/>
    <w:rsid w:val="002858C6"/>
    <w:rsid w:val="00287A53"/>
    <w:rsid w:val="00291398"/>
    <w:rsid w:val="00292637"/>
    <w:rsid w:val="00292CF4"/>
    <w:rsid w:val="002A20E9"/>
    <w:rsid w:val="002A3FCE"/>
    <w:rsid w:val="002A49D1"/>
    <w:rsid w:val="002A4C09"/>
    <w:rsid w:val="002B0E1B"/>
    <w:rsid w:val="002B4802"/>
    <w:rsid w:val="002C2521"/>
    <w:rsid w:val="002C3B51"/>
    <w:rsid w:val="002C73DA"/>
    <w:rsid w:val="002C775C"/>
    <w:rsid w:val="002D2FF2"/>
    <w:rsid w:val="002D4FD9"/>
    <w:rsid w:val="002D5626"/>
    <w:rsid w:val="002F06E4"/>
    <w:rsid w:val="002F35E0"/>
    <w:rsid w:val="002F4CC3"/>
    <w:rsid w:val="002F736F"/>
    <w:rsid w:val="002F7B55"/>
    <w:rsid w:val="003037F9"/>
    <w:rsid w:val="0030638B"/>
    <w:rsid w:val="00306EDA"/>
    <w:rsid w:val="00310DA5"/>
    <w:rsid w:val="00311E94"/>
    <w:rsid w:val="0031223A"/>
    <w:rsid w:val="0031271A"/>
    <w:rsid w:val="00313645"/>
    <w:rsid w:val="00316051"/>
    <w:rsid w:val="003178B7"/>
    <w:rsid w:val="003275AB"/>
    <w:rsid w:val="00331AF6"/>
    <w:rsid w:val="00332B38"/>
    <w:rsid w:val="00333A51"/>
    <w:rsid w:val="003370F4"/>
    <w:rsid w:val="00337BF7"/>
    <w:rsid w:val="0034105E"/>
    <w:rsid w:val="0034478E"/>
    <w:rsid w:val="0034508C"/>
    <w:rsid w:val="00345648"/>
    <w:rsid w:val="00347E40"/>
    <w:rsid w:val="00353CF1"/>
    <w:rsid w:val="00355CB1"/>
    <w:rsid w:val="00357201"/>
    <w:rsid w:val="00361410"/>
    <w:rsid w:val="00362357"/>
    <w:rsid w:val="00370198"/>
    <w:rsid w:val="00371A4E"/>
    <w:rsid w:val="00371DB7"/>
    <w:rsid w:val="0037524E"/>
    <w:rsid w:val="0037562B"/>
    <w:rsid w:val="00382CD6"/>
    <w:rsid w:val="00383AE5"/>
    <w:rsid w:val="00384D20"/>
    <w:rsid w:val="00384EEA"/>
    <w:rsid w:val="0038564B"/>
    <w:rsid w:val="00385B48"/>
    <w:rsid w:val="003868F8"/>
    <w:rsid w:val="00386D8C"/>
    <w:rsid w:val="00390008"/>
    <w:rsid w:val="00390C85"/>
    <w:rsid w:val="00391AFA"/>
    <w:rsid w:val="00393752"/>
    <w:rsid w:val="00394E02"/>
    <w:rsid w:val="003967F6"/>
    <w:rsid w:val="003A276F"/>
    <w:rsid w:val="003A477E"/>
    <w:rsid w:val="003A557B"/>
    <w:rsid w:val="003A62FE"/>
    <w:rsid w:val="003A66C4"/>
    <w:rsid w:val="003A6EC9"/>
    <w:rsid w:val="003B3C9A"/>
    <w:rsid w:val="003B643A"/>
    <w:rsid w:val="003B75FC"/>
    <w:rsid w:val="003C027B"/>
    <w:rsid w:val="003D242B"/>
    <w:rsid w:val="003D39A7"/>
    <w:rsid w:val="003D4B91"/>
    <w:rsid w:val="003D6519"/>
    <w:rsid w:val="003D70DC"/>
    <w:rsid w:val="003D7CF6"/>
    <w:rsid w:val="003E16A7"/>
    <w:rsid w:val="003E34A7"/>
    <w:rsid w:val="003E3F90"/>
    <w:rsid w:val="003E4819"/>
    <w:rsid w:val="003E503E"/>
    <w:rsid w:val="003E6131"/>
    <w:rsid w:val="003E74EE"/>
    <w:rsid w:val="003E7EEA"/>
    <w:rsid w:val="003F034C"/>
    <w:rsid w:val="0040409F"/>
    <w:rsid w:val="004066D1"/>
    <w:rsid w:val="00413981"/>
    <w:rsid w:val="00413A17"/>
    <w:rsid w:val="00416385"/>
    <w:rsid w:val="0042140B"/>
    <w:rsid w:val="0042341F"/>
    <w:rsid w:val="00423E6F"/>
    <w:rsid w:val="004266F9"/>
    <w:rsid w:val="004314B5"/>
    <w:rsid w:val="00431720"/>
    <w:rsid w:val="00435C0C"/>
    <w:rsid w:val="00444571"/>
    <w:rsid w:val="004448B1"/>
    <w:rsid w:val="00446235"/>
    <w:rsid w:val="00447FAB"/>
    <w:rsid w:val="0045091C"/>
    <w:rsid w:val="00450A83"/>
    <w:rsid w:val="0045524E"/>
    <w:rsid w:val="00455AFB"/>
    <w:rsid w:val="004563E7"/>
    <w:rsid w:val="00457DC3"/>
    <w:rsid w:val="0046041A"/>
    <w:rsid w:val="00461818"/>
    <w:rsid w:val="00470628"/>
    <w:rsid w:val="00475771"/>
    <w:rsid w:val="0047583B"/>
    <w:rsid w:val="0048158B"/>
    <w:rsid w:val="00481EE9"/>
    <w:rsid w:val="004823D4"/>
    <w:rsid w:val="00483A73"/>
    <w:rsid w:val="004844E3"/>
    <w:rsid w:val="00484F3D"/>
    <w:rsid w:val="00496409"/>
    <w:rsid w:val="004A0162"/>
    <w:rsid w:val="004A0620"/>
    <w:rsid w:val="004B31AE"/>
    <w:rsid w:val="004B354C"/>
    <w:rsid w:val="004B3654"/>
    <w:rsid w:val="004B7F8F"/>
    <w:rsid w:val="004C116F"/>
    <w:rsid w:val="004C5113"/>
    <w:rsid w:val="004C5505"/>
    <w:rsid w:val="004C5532"/>
    <w:rsid w:val="004C73F1"/>
    <w:rsid w:val="004D1526"/>
    <w:rsid w:val="004D2691"/>
    <w:rsid w:val="004D40AD"/>
    <w:rsid w:val="004D4AE4"/>
    <w:rsid w:val="004D5D78"/>
    <w:rsid w:val="004D6451"/>
    <w:rsid w:val="004D7B93"/>
    <w:rsid w:val="004E015D"/>
    <w:rsid w:val="004E111E"/>
    <w:rsid w:val="004E259B"/>
    <w:rsid w:val="004E30B8"/>
    <w:rsid w:val="004E68D7"/>
    <w:rsid w:val="004F1D14"/>
    <w:rsid w:val="004F4067"/>
    <w:rsid w:val="004F5A53"/>
    <w:rsid w:val="004F5C88"/>
    <w:rsid w:val="004F5F7D"/>
    <w:rsid w:val="004F6C6D"/>
    <w:rsid w:val="004F6F1B"/>
    <w:rsid w:val="0050284E"/>
    <w:rsid w:val="005031BE"/>
    <w:rsid w:val="00503B96"/>
    <w:rsid w:val="0050606F"/>
    <w:rsid w:val="00507EC6"/>
    <w:rsid w:val="00513690"/>
    <w:rsid w:val="0051676B"/>
    <w:rsid w:val="00522BD6"/>
    <w:rsid w:val="00525DD3"/>
    <w:rsid w:val="005265A0"/>
    <w:rsid w:val="005325B4"/>
    <w:rsid w:val="00533B46"/>
    <w:rsid w:val="00533B6E"/>
    <w:rsid w:val="00533E4F"/>
    <w:rsid w:val="005369E9"/>
    <w:rsid w:val="00537D2B"/>
    <w:rsid w:val="00537DEE"/>
    <w:rsid w:val="005427F4"/>
    <w:rsid w:val="005431BE"/>
    <w:rsid w:val="00543969"/>
    <w:rsid w:val="00544A0C"/>
    <w:rsid w:val="005452C7"/>
    <w:rsid w:val="00553393"/>
    <w:rsid w:val="00560647"/>
    <w:rsid w:val="00561837"/>
    <w:rsid w:val="00562C1C"/>
    <w:rsid w:val="00564C15"/>
    <w:rsid w:val="005663AD"/>
    <w:rsid w:val="005708BA"/>
    <w:rsid w:val="00570E57"/>
    <w:rsid w:val="00573BED"/>
    <w:rsid w:val="00581C7E"/>
    <w:rsid w:val="005859D6"/>
    <w:rsid w:val="00587DE5"/>
    <w:rsid w:val="005904EE"/>
    <w:rsid w:val="005906A5"/>
    <w:rsid w:val="00592E2C"/>
    <w:rsid w:val="00594561"/>
    <w:rsid w:val="005A083C"/>
    <w:rsid w:val="005A272C"/>
    <w:rsid w:val="005A484D"/>
    <w:rsid w:val="005A6B9A"/>
    <w:rsid w:val="005B030C"/>
    <w:rsid w:val="005B11DF"/>
    <w:rsid w:val="005B5860"/>
    <w:rsid w:val="005B61FD"/>
    <w:rsid w:val="005C14F1"/>
    <w:rsid w:val="005C1F49"/>
    <w:rsid w:val="005C794D"/>
    <w:rsid w:val="005D1E88"/>
    <w:rsid w:val="005D6F2C"/>
    <w:rsid w:val="005E083E"/>
    <w:rsid w:val="005E1B2D"/>
    <w:rsid w:val="005E3E12"/>
    <w:rsid w:val="005F16D2"/>
    <w:rsid w:val="006059A8"/>
    <w:rsid w:val="00607445"/>
    <w:rsid w:val="00610370"/>
    <w:rsid w:val="0061140A"/>
    <w:rsid w:val="00611D11"/>
    <w:rsid w:val="00613E6C"/>
    <w:rsid w:val="00614876"/>
    <w:rsid w:val="00616C54"/>
    <w:rsid w:val="00617649"/>
    <w:rsid w:val="00632F68"/>
    <w:rsid w:val="00635CE2"/>
    <w:rsid w:val="00636528"/>
    <w:rsid w:val="00636F8A"/>
    <w:rsid w:val="006430A3"/>
    <w:rsid w:val="006466BB"/>
    <w:rsid w:val="00650BCF"/>
    <w:rsid w:val="00650F0C"/>
    <w:rsid w:val="00652009"/>
    <w:rsid w:val="00654009"/>
    <w:rsid w:val="00655C41"/>
    <w:rsid w:val="00657F13"/>
    <w:rsid w:val="00662739"/>
    <w:rsid w:val="00662C89"/>
    <w:rsid w:val="006633E2"/>
    <w:rsid w:val="00663B51"/>
    <w:rsid w:val="006647C4"/>
    <w:rsid w:val="00666ABE"/>
    <w:rsid w:val="00667140"/>
    <w:rsid w:val="0067103C"/>
    <w:rsid w:val="00672890"/>
    <w:rsid w:val="00673AAD"/>
    <w:rsid w:val="006752E2"/>
    <w:rsid w:val="00681AF8"/>
    <w:rsid w:val="00682E36"/>
    <w:rsid w:val="00686C61"/>
    <w:rsid w:val="00690F4C"/>
    <w:rsid w:val="00693191"/>
    <w:rsid w:val="006933BD"/>
    <w:rsid w:val="00696026"/>
    <w:rsid w:val="006966C2"/>
    <w:rsid w:val="00697838"/>
    <w:rsid w:val="006A228A"/>
    <w:rsid w:val="006A483A"/>
    <w:rsid w:val="006B0F31"/>
    <w:rsid w:val="006B13F6"/>
    <w:rsid w:val="006B6425"/>
    <w:rsid w:val="006C1A46"/>
    <w:rsid w:val="006C4237"/>
    <w:rsid w:val="006C43B0"/>
    <w:rsid w:val="006D3BB7"/>
    <w:rsid w:val="006D3C88"/>
    <w:rsid w:val="006D4620"/>
    <w:rsid w:val="006D52DD"/>
    <w:rsid w:val="006D555C"/>
    <w:rsid w:val="006D740C"/>
    <w:rsid w:val="006E142D"/>
    <w:rsid w:val="006E208A"/>
    <w:rsid w:val="006E5C95"/>
    <w:rsid w:val="006E71C9"/>
    <w:rsid w:val="006F334B"/>
    <w:rsid w:val="006F72C7"/>
    <w:rsid w:val="00705DAE"/>
    <w:rsid w:val="007147DA"/>
    <w:rsid w:val="00715785"/>
    <w:rsid w:val="00716C57"/>
    <w:rsid w:val="007222C4"/>
    <w:rsid w:val="0072295A"/>
    <w:rsid w:val="0072353D"/>
    <w:rsid w:val="007236A5"/>
    <w:rsid w:val="007247F4"/>
    <w:rsid w:val="00726A68"/>
    <w:rsid w:val="007312AB"/>
    <w:rsid w:val="007361C2"/>
    <w:rsid w:val="00740148"/>
    <w:rsid w:val="007428FE"/>
    <w:rsid w:val="0074492E"/>
    <w:rsid w:val="00744BDF"/>
    <w:rsid w:val="0074542C"/>
    <w:rsid w:val="00745CF2"/>
    <w:rsid w:val="0075203A"/>
    <w:rsid w:val="0075254A"/>
    <w:rsid w:val="00761826"/>
    <w:rsid w:val="00761C18"/>
    <w:rsid w:val="00764C29"/>
    <w:rsid w:val="00765BD6"/>
    <w:rsid w:val="00767FDB"/>
    <w:rsid w:val="00771068"/>
    <w:rsid w:val="007724E3"/>
    <w:rsid w:val="00784838"/>
    <w:rsid w:val="00784C93"/>
    <w:rsid w:val="00794C19"/>
    <w:rsid w:val="00794C1E"/>
    <w:rsid w:val="00796585"/>
    <w:rsid w:val="007965AC"/>
    <w:rsid w:val="007978D1"/>
    <w:rsid w:val="007A2DAB"/>
    <w:rsid w:val="007A5096"/>
    <w:rsid w:val="007A50A7"/>
    <w:rsid w:val="007A530B"/>
    <w:rsid w:val="007A6AB9"/>
    <w:rsid w:val="007A6C12"/>
    <w:rsid w:val="007B3AFA"/>
    <w:rsid w:val="007B4F74"/>
    <w:rsid w:val="007B66F3"/>
    <w:rsid w:val="007B74E2"/>
    <w:rsid w:val="007B7547"/>
    <w:rsid w:val="007C0607"/>
    <w:rsid w:val="007C0853"/>
    <w:rsid w:val="007C2794"/>
    <w:rsid w:val="007C60E2"/>
    <w:rsid w:val="007C7DDA"/>
    <w:rsid w:val="007D18CD"/>
    <w:rsid w:val="007D2397"/>
    <w:rsid w:val="007D56B8"/>
    <w:rsid w:val="007E0602"/>
    <w:rsid w:val="007E1369"/>
    <w:rsid w:val="007E3322"/>
    <w:rsid w:val="007F2C4C"/>
    <w:rsid w:val="007F329A"/>
    <w:rsid w:val="007F5F6E"/>
    <w:rsid w:val="007F6693"/>
    <w:rsid w:val="007F69F7"/>
    <w:rsid w:val="00805E00"/>
    <w:rsid w:val="008128E3"/>
    <w:rsid w:val="00812A6B"/>
    <w:rsid w:val="00813D9D"/>
    <w:rsid w:val="008145A4"/>
    <w:rsid w:val="008159C6"/>
    <w:rsid w:val="0081605E"/>
    <w:rsid w:val="00821983"/>
    <w:rsid w:val="008349C4"/>
    <w:rsid w:val="00835556"/>
    <w:rsid w:val="008401D8"/>
    <w:rsid w:val="008403C2"/>
    <w:rsid w:val="00844396"/>
    <w:rsid w:val="00845A68"/>
    <w:rsid w:val="00851BDC"/>
    <w:rsid w:val="00852497"/>
    <w:rsid w:val="008526D0"/>
    <w:rsid w:val="0085556F"/>
    <w:rsid w:val="00860D47"/>
    <w:rsid w:val="00863C5B"/>
    <w:rsid w:val="00865842"/>
    <w:rsid w:val="0086772F"/>
    <w:rsid w:val="008720A7"/>
    <w:rsid w:val="008722F7"/>
    <w:rsid w:val="00872D88"/>
    <w:rsid w:val="00874DC0"/>
    <w:rsid w:val="00875144"/>
    <w:rsid w:val="008758A6"/>
    <w:rsid w:val="00875DEB"/>
    <w:rsid w:val="00876427"/>
    <w:rsid w:val="008771CE"/>
    <w:rsid w:val="0088062D"/>
    <w:rsid w:val="008854C6"/>
    <w:rsid w:val="008854DB"/>
    <w:rsid w:val="00887182"/>
    <w:rsid w:val="008A07F9"/>
    <w:rsid w:val="008A0BC5"/>
    <w:rsid w:val="008A6879"/>
    <w:rsid w:val="008B2EC2"/>
    <w:rsid w:val="008B4DEC"/>
    <w:rsid w:val="008B56B7"/>
    <w:rsid w:val="008B756A"/>
    <w:rsid w:val="008C67AD"/>
    <w:rsid w:val="008C707D"/>
    <w:rsid w:val="008C7D0E"/>
    <w:rsid w:val="008D6939"/>
    <w:rsid w:val="008D6C38"/>
    <w:rsid w:val="008D7645"/>
    <w:rsid w:val="008E09A4"/>
    <w:rsid w:val="008F06FF"/>
    <w:rsid w:val="008F6850"/>
    <w:rsid w:val="00900F0D"/>
    <w:rsid w:val="009011C1"/>
    <w:rsid w:val="009120FB"/>
    <w:rsid w:val="0092508D"/>
    <w:rsid w:val="00925C36"/>
    <w:rsid w:val="00926619"/>
    <w:rsid w:val="00927EF7"/>
    <w:rsid w:val="00934770"/>
    <w:rsid w:val="00934E6C"/>
    <w:rsid w:val="00943C4E"/>
    <w:rsid w:val="00945466"/>
    <w:rsid w:val="00945812"/>
    <w:rsid w:val="00946A54"/>
    <w:rsid w:val="00947C36"/>
    <w:rsid w:val="00947FCD"/>
    <w:rsid w:val="0095006C"/>
    <w:rsid w:val="00961092"/>
    <w:rsid w:val="00962B51"/>
    <w:rsid w:val="00963067"/>
    <w:rsid w:val="00971830"/>
    <w:rsid w:val="00973CFD"/>
    <w:rsid w:val="0097554F"/>
    <w:rsid w:val="00975B78"/>
    <w:rsid w:val="00975F59"/>
    <w:rsid w:val="0097685B"/>
    <w:rsid w:val="00981EF8"/>
    <w:rsid w:val="00984932"/>
    <w:rsid w:val="009937D5"/>
    <w:rsid w:val="00996505"/>
    <w:rsid w:val="0099676C"/>
    <w:rsid w:val="009A04D9"/>
    <w:rsid w:val="009A122D"/>
    <w:rsid w:val="009A15CB"/>
    <w:rsid w:val="009A2416"/>
    <w:rsid w:val="009A2C01"/>
    <w:rsid w:val="009A38CE"/>
    <w:rsid w:val="009A4C25"/>
    <w:rsid w:val="009B10FB"/>
    <w:rsid w:val="009B246C"/>
    <w:rsid w:val="009B3ED1"/>
    <w:rsid w:val="009B3EE6"/>
    <w:rsid w:val="009B6874"/>
    <w:rsid w:val="009C04AE"/>
    <w:rsid w:val="009C0B0E"/>
    <w:rsid w:val="009C5CB5"/>
    <w:rsid w:val="009D107D"/>
    <w:rsid w:val="009D3CBC"/>
    <w:rsid w:val="009D53CC"/>
    <w:rsid w:val="009E0E56"/>
    <w:rsid w:val="009E4489"/>
    <w:rsid w:val="009E4BD5"/>
    <w:rsid w:val="009F21CF"/>
    <w:rsid w:val="009F4FF5"/>
    <w:rsid w:val="009F7A10"/>
    <w:rsid w:val="00A019DD"/>
    <w:rsid w:val="00A02F31"/>
    <w:rsid w:val="00A04CFB"/>
    <w:rsid w:val="00A11E93"/>
    <w:rsid w:val="00A20B29"/>
    <w:rsid w:val="00A21F82"/>
    <w:rsid w:val="00A27C67"/>
    <w:rsid w:val="00A32010"/>
    <w:rsid w:val="00A43431"/>
    <w:rsid w:val="00A45235"/>
    <w:rsid w:val="00A45D35"/>
    <w:rsid w:val="00A472E1"/>
    <w:rsid w:val="00A53248"/>
    <w:rsid w:val="00A55B00"/>
    <w:rsid w:val="00A57035"/>
    <w:rsid w:val="00A6216D"/>
    <w:rsid w:val="00A641DA"/>
    <w:rsid w:val="00A65D5E"/>
    <w:rsid w:val="00A6616B"/>
    <w:rsid w:val="00A70901"/>
    <w:rsid w:val="00A747DA"/>
    <w:rsid w:val="00A774CE"/>
    <w:rsid w:val="00A77865"/>
    <w:rsid w:val="00A81EE5"/>
    <w:rsid w:val="00A821E9"/>
    <w:rsid w:val="00A83739"/>
    <w:rsid w:val="00A84421"/>
    <w:rsid w:val="00A85ED5"/>
    <w:rsid w:val="00A86272"/>
    <w:rsid w:val="00A87098"/>
    <w:rsid w:val="00A90685"/>
    <w:rsid w:val="00A912D2"/>
    <w:rsid w:val="00A91EA8"/>
    <w:rsid w:val="00A929D7"/>
    <w:rsid w:val="00A92A35"/>
    <w:rsid w:val="00A95342"/>
    <w:rsid w:val="00A960B8"/>
    <w:rsid w:val="00A96DEF"/>
    <w:rsid w:val="00A979E8"/>
    <w:rsid w:val="00AA2D13"/>
    <w:rsid w:val="00AA38D6"/>
    <w:rsid w:val="00AA3A04"/>
    <w:rsid w:val="00AA5638"/>
    <w:rsid w:val="00AB663F"/>
    <w:rsid w:val="00AB76A7"/>
    <w:rsid w:val="00AC599D"/>
    <w:rsid w:val="00AC5CC5"/>
    <w:rsid w:val="00AD0395"/>
    <w:rsid w:val="00AD15A2"/>
    <w:rsid w:val="00AD317E"/>
    <w:rsid w:val="00AE3FA5"/>
    <w:rsid w:val="00AE4994"/>
    <w:rsid w:val="00AE4BA3"/>
    <w:rsid w:val="00AF0047"/>
    <w:rsid w:val="00AF3ADC"/>
    <w:rsid w:val="00B03B40"/>
    <w:rsid w:val="00B04012"/>
    <w:rsid w:val="00B06902"/>
    <w:rsid w:val="00B108AA"/>
    <w:rsid w:val="00B11C37"/>
    <w:rsid w:val="00B12E99"/>
    <w:rsid w:val="00B150D9"/>
    <w:rsid w:val="00B179F1"/>
    <w:rsid w:val="00B21587"/>
    <w:rsid w:val="00B22915"/>
    <w:rsid w:val="00B4119E"/>
    <w:rsid w:val="00B411A8"/>
    <w:rsid w:val="00B44F32"/>
    <w:rsid w:val="00B50A56"/>
    <w:rsid w:val="00B53A93"/>
    <w:rsid w:val="00B55ED8"/>
    <w:rsid w:val="00B5603D"/>
    <w:rsid w:val="00B56FC0"/>
    <w:rsid w:val="00B609E0"/>
    <w:rsid w:val="00B64CA3"/>
    <w:rsid w:val="00B6649A"/>
    <w:rsid w:val="00B66F36"/>
    <w:rsid w:val="00B87471"/>
    <w:rsid w:val="00B9026F"/>
    <w:rsid w:val="00B920CE"/>
    <w:rsid w:val="00B935BB"/>
    <w:rsid w:val="00B952DC"/>
    <w:rsid w:val="00B97DF3"/>
    <w:rsid w:val="00BA0A27"/>
    <w:rsid w:val="00BA6734"/>
    <w:rsid w:val="00BB35CE"/>
    <w:rsid w:val="00BB3749"/>
    <w:rsid w:val="00BB6493"/>
    <w:rsid w:val="00BD0A22"/>
    <w:rsid w:val="00BD458A"/>
    <w:rsid w:val="00BD5E93"/>
    <w:rsid w:val="00BE34E4"/>
    <w:rsid w:val="00BE3FC6"/>
    <w:rsid w:val="00BF01E8"/>
    <w:rsid w:val="00BF0D32"/>
    <w:rsid w:val="00BF142A"/>
    <w:rsid w:val="00BF6D53"/>
    <w:rsid w:val="00C01856"/>
    <w:rsid w:val="00C01894"/>
    <w:rsid w:val="00C01A1A"/>
    <w:rsid w:val="00C11BB1"/>
    <w:rsid w:val="00C12797"/>
    <w:rsid w:val="00C21D55"/>
    <w:rsid w:val="00C30A80"/>
    <w:rsid w:val="00C31FEB"/>
    <w:rsid w:val="00C360F7"/>
    <w:rsid w:val="00C362B0"/>
    <w:rsid w:val="00C36304"/>
    <w:rsid w:val="00C409E3"/>
    <w:rsid w:val="00C4124B"/>
    <w:rsid w:val="00C413AF"/>
    <w:rsid w:val="00C41937"/>
    <w:rsid w:val="00C43CFD"/>
    <w:rsid w:val="00C44687"/>
    <w:rsid w:val="00C455D4"/>
    <w:rsid w:val="00C45C3D"/>
    <w:rsid w:val="00C47279"/>
    <w:rsid w:val="00C5254D"/>
    <w:rsid w:val="00C52A0C"/>
    <w:rsid w:val="00C52AFC"/>
    <w:rsid w:val="00C57A93"/>
    <w:rsid w:val="00C662FA"/>
    <w:rsid w:val="00C6691D"/>
    <w:rsid w:val="00C67B0E"/>
    <w:rsid w:val="00C67CD4"/>
    <w:rsid w:val="00C70269"/>
    <w:rsid w:val="00C7257C"/>
    <w:rsid w:val="00C75363"/>
    <w:rsid w:val="00C77CE8"/>
    <w:rsid w:val="00C8046B"/>
    <w:rsid w:val="00C807D3"/>
    <w:rsid w:val="00C81305"/>
    <w:rsid w:val="00C82394"/>
    <w:rsid w:val="00C86058"/>
    <w:rsid w:val="00C923E2"/>
    <w:rsid w:val="00C94176"/>
    <w:rsid w:val="00C9472A"/>
    <w:rsid w:val="00C95924"/>
    <w:rsid w:val="00C9792F"/>
    <w:rsid w:val="00CA0CE1"/>
    <w:rsid w:val="00CA2175"/>
    <w:rsid w:val="00CA3290"/>
    <w:rsid w:val="00CA4E3B"/>
    <w:rsid w:val="00CA671D"/>
    <w:rsid w:val="00CA7C23"/>
    <w:rsid w:val="00CB0554"/>
    <w:rsid w:val="00CB476B"/>
    <w:rsid w:val="00CB4A31"/>
    <w:rsid w:val="00CB5765"/>
    <w:rsid w:val="00CB6AF3"/>
    <w:rsid w:val="00CB78E6"/>
    <w:rsid w:val="00CB7F9F"/>
    <w:rsid w:val="00CD08C9"/>
    <w:rsid w:val="00CD2029"/>
    <w:rsid w:val="00CD4E99"/>
    <w:rsid w:val="00CE16BC"/>
    <w:rsid w:val="00CE2BC7"/>
    <w:rsid w:val="00CE6337"/>
    <w:rsid w:val="00CF0336"/>
    <w:rsid w:val="00CF10ED"/>
    <w:rsid w:val="00CF2072"/>
    <w:rsid w:val="00CF259D"/>
    <w:rsid w:val="00CF2778"/>
    <w:rsid w:val="00CF2C2B"/>
    <w:rsid w:val="00CF60FB"/>
    <w:rsid w:val="00D129E5"/>
    <w:rsid w:val="00D13E26"/>
    <w:rsid w:val="00D1436A"/>
    <w:rsid w:val="00D14933"/>
    <w:rsid w:val="00D14F32"/>
    <w:rsid w:val="00D15CC9"/>
    <w:rsid w:val="00D17ED6"/>
    <w:rsid w:val="00D26647"/>
    <w:rsid w:val="00D27D84"/>
    <w:rsid w:val="00D33222"/>
    <w:rsid w:val="00D33C05"/>
    <w:rsid w:val="00D40818"/>
    <w:rsid w:val="00D41E5C"/>
    <w:rsid w:val="00D42FFE"/>
    <w:rsid w:val="00D454D7"/>
    <w:rsid w:val="00D50343"/>
    <w:rsid w:val="00D50F2C"/>
    <w:rsid w:val="00D522F8"/>
    <w:rsid w:val="00D550EF"/>
    <w:rsid w:val="00D5587D"/>
    <w:rsid w:val="00D60911"/>
    <w:rsid w:val="00D639E4"/>
    <w:rsid w:val="00D63CEA"/>
    <w:rsid w:val="00D649EC"/>
    <w:rsid w:val="00D74C86"/>
    <w:rsid w:val="00D7527D"/>
    <w:rsid w:val="00D809C5"/>
    <w:rsid w:val="00D813D6"/>
    <w:rsid w:val="00D82936"/>
    <w:rsid w:val="00D87E98"/>
    <w:rsid w:val="00D91A32"/>
    <w:rsid w:val="00D973BF"/>
    <w:rsid w:val="00DA34CD"/>
    <w:rsid w:val="00DA7BE1"/>
    <w:rsid w:val="00DB2BAA"/>
    <w:rsid w:val="00DB2CD9"/>
    <w:rsid w:val="00DB7BA9"/>
    <w:rsid w:val="00DB7BAE"/>
    <w:rsid w:val="00DC0AB2"/>
    <w:rsid w:val="00DC0C0F"/>
    <w:rsid w:val="00DC27DA"/>
    <w:rsid w:val="00DC41C7"/>
    <w:rsid w:val="00DC6664"/>
    <w:rsid w:val="00DD0585"/>
    <w:rsid w:val="00DD171E"/>
    <w:rsid w:val="00DE013B"/>
    <w:rsid w:val="00DE0CAD"/>
    <w:rsid w:val="00DE3F63"/>
    <w:rsid w:val="00DE4951"/>
    <w:rsid w:val="00DE67A1"/>
    <w:rsid w:val="00DE7856"/>
    <w:rsid w:val="00DF0845"/>
    <w:rsid w:val="00DF17DD"/>
    <w:rsid w:val="00DF4427"/>
    <w:rsid w:val="00E004A8"/>
    <w:rsid w:val="00E00D8D"/>
    <w:rsid w:val="00E01BE8"/>
    <w:rsid w:val="00E04112"/>
    <w:rsid w:val="00E13EF5"/>
    <w:rsid w:val="00E14F17"/>
    <w:rsid w:val="00E16E82"/>
    <w:rsid w:val="00E2682F"/>
    <w:rsid w:val="00E31715"/>
    <w:rsid w:val="00E32D23"/>
    <w:rsid w:val="00E33F68"/>
    <w:rsid w:val="00E36154"/>
    <w:rsid w:val="00E40566"/>
    <w:rsid w:val="00E463EB"/>
    <w:rsid w:val="00E50F7D"/>
    <w:rsid w:val="00E511FF"/>
    <w:rsid w:val="00E5155B"/>
    <w:rsid w:val="00E522F1"/>
    <w:rsid w:val="00E52498"/>
    <w:rsid w:val="00E5373E"/>
    <w:rsid w:val="00E5391B"/>
    <w:rsid w:val="00E53B29"/>
    <w:rsid w:val="00E53B32"/>
    <w:rsid w:val="00E61020"/>
    <w:rsid w:val="00E6243C"/>
    <w:rsid w:val="00E629A4"/>
    <w:rsid w:val="00E63577"/>
    <w:rsid w:val="00E64B37"/>
    <w:rsid w:val="00E653BA"/>
    <w:rsid w:val="00E729BF"/>
    <w:rsid w:val="00E91E19"/>
    <w:rsid w:val="00E933ED"/>
    <w:rsid w:val="00E93B5A"/>
    <w:rsid w:val="00E94020"/>
    <w:rsid w:val="00E95FD4"/>
    <w:rsid w:val="00E96A19"/>
    <w:rsid w:val="00E9751E"/>
    <w:rsid w:val="00EA0807"/>
    <w:rsid w:val="00EA2C02"/>
    <w:rsid w:val="00EA4EA2"/>
    <w:rsid w:val="00EA55FC"/>
    <w:rsid w:val="00EA64F2"/>
    <w:rsid w:val="00EB1430"/>
    <w:rsid w:val="00EB2883"/>
    <w:rsid w:val="00EB6C72"/>
    <w:rsid w:val="00EC0E7E"/>
    <w:rsid w:val="00EC16CA"/>
    <w:rsid w:val="00EC4E31"/>
    <w:rsid w:val="00EC59EC"/>
    <w:rsid w:val="00ED0FA4"/>
    <w:rsid w:val="00ED2BDE"/>
    <w:rsid w:val="00ED3833"/>
    <w:rsid w:val="00ED66B6"/>
    <w:rsid w:val="00ED6FCA"/>
    <w:rsid w:val="00EE04E5"/>
    <w:rsid w:val="00EE31D3"/>
    <w:rsid w:val="00EE34F1"/>
    <w:rsid w:val="00EE6082"/>
    <w:rsid w:val="00EE748F"/>
    <w:rsid w:val="00EE75F4"/>
    <w:rsid w:val="00EF0540"/>
    <w:rsid w:val="00EF1D90"/>
    <w:rsid w:val="00EF28B7"/>
    <w:rsid w:val="00EF6144"/>
    <w:rsid w:val="00F017E2"/>
    <w:rsid w:val="00F03111"/>
    <w:rsid w:val="00F04A65"/>
    <w:rsid w:val="00F07DDD"/>
    <w:rsid w:val="00F150B6"/>
    <w:rsid w:val="00F16A16"/>
    <w:rsid w:val="00F23874"/>
    <w:rsid w:val="00F26D1B"/>
    <w:rsid w:val="00F31D33"/>
    <w:rsid w:val="00F332D6"/>
    <w:rsid w:val="00F34512"/>
    <w:rsid w:val="00F352AA"/>
    <w:rsid w:val="00F36E3B"/>
    <w:rsid w:val="00F40F76"/>
    <w:rsid w:val="00F4356B"/>
    <w:rsid w:val="00F45E7B"/>
    <w:rsid w:val="00F46F9F"/>
    <w:rsid w:val="00F54D3F"/>
    <w:rsid w:val="00F55A5D"/>
    <w:rsid w:val="00F56B00"/>
    <w:rsid w:val="00F57B62"/>
    <w:rsid w:val="00F628B1"/>
    <w:rsid w:val="00F67381"/>
    <w:rsid w:val="00F72C5D"/>
    <w:rsid w:val="00F72DEB"/>
    <w:rsid w:val="00F759CF"/>
    <w:rsid w:val="00F84FE8"/>
    <w:rsid w:val="00F90EAE"/>
    <w:rsid w:val="00F91A47"/>
    <w:rsid w:val="00F92BAC"/>
    <w:rsid w:val="00F93741"/>
    <w:rsid w:val="00F937B5"/>
    <w:rsid w:val="00F93946"/>
    <w:rsid w:val="00F94C35"/>
    <w:rsid w:val="00F96F2E"/>
    <w:rsid w:val="00FA7FEC"/>
    <w:rsid w:val="00FB4DF5"/>
    <w:rsid w:val="00FB744F"/>
    <w:rsid w:val="00FB756E"/>
    <w:rsid w:val="00FC164F"/>
    <w:rsid w:val="00FC33CC"/>
    <w:rsid w:val="00FD0BBE"/>
    <w:rsid w:val="00FD4355"/>
    <w:rsid w:val="00FD5F6D"/>
    <w:rsid w:val="00FD61F5"/>
    <w:rsid w:val="00FE3B3D"/>
    <w:rsid w:val="00FE7095"/>
    <w:rsid w:val="00FE7D3D"/>
    <w:rsid w:val="00FF2941"/>
    <w:rsid w:val="00FF50F3"/>
    <w:rsid w:val="013637D1"/>
    <w:rsid w:val="01690AE1"/>
    <w:rsid w:val="01911920"/>
    <w:rsid w:val="0195144F"/>
    <w:rsid w:val="01E90844"/>
    <w:rsid w:val="0216066F"/>
    <w:rsid w:val="027C10EF"/>
    <w:rsid w:val="028118E8"/>
    <w:rsid w:val="03581529"/>
    <w:rsid w:val="03584B58"/>
    <w:rsid w:val="03AD58A1"/>
    <w:rsid w:val="040530C2"/>
    <w:rsid w:val="040E5683"/>
    <w:rsid w:val="04421053"/>
    <w:rsid w:val="046A27CE"/>
    <w:rsid w:val="047E19E3"/>
    <w:rsid w:val="04B71C71"/>
    <w:rsid w:val="04C04C52"/>
    <w:rsid w:val="04CC5AD0"/>
    <w:rsid w:val="05213482"/>
    <w:rsid w:val="052E47BF"/>
    <w:rsid w:val="05722D2C"/>
    <w:rsid w:val="06284D83"/>
    <w:rsid w:val="063F0996"/>
    <w:rsid w:val="065546FA"/>
    <w:rsid w:val="068F658C"/>
    <w:rsid w:val="06996F06"/>
    <w:rsid w:val="06CB49BC"/>
    <w:rsid w:val="070D637B"/>
    <w:rsid w:val="07391925"/>
    <w:rsid w:val="076F416E"/>
    <w:rsid w:val="081568E0"/>
    <w:rsid w:val="085F79FA"/>
    <w:rsid w:val="093D3AA9"/>
    <w:rsid w:val="0A0B5CE8"/>
    <w:rsid w:val="0A1F5F83"/>
    <w:rsid w:val="0A762E91"/>
    <w:rsid w:val="0A834A27"/>
    <w:rsid w:val="0A8552D7"/>
    <w:rsid w:val="0A973FDD"/>
    <w:rsid w:val="0B111BA4"/>
    <w:rsid w:val="0B1170D9"/>
    <w:rsid w:val="0B1B2552"/>
    <w:rsid w:val="0B6158EF"/>
    <w:rsid w:val="0B9A0899"/>
    <w:rsid w:val="0BB124BD"/>
    <w:rsid w:val="0BFA4CBE"/>
    <w:rsid w:val="0C0F534B"/>
    <w:rsid w:val="0C5C2956"/>
    <w:rsid w:val="0C9D4705"/>
    <w:rsid w:val="0D33399D"/>
    <w:rsid w:val="0D3F3B65"/>
    <w:rsid w:val="0D906017"/>
    <w:rsid w:val="0D913B3D"/>
    <w:rsid w:val="0E1A63DB"/>
    <w:rsid w:val="0E4F6609"/>
    <w:rsid w:val="0E6179B4"/>
    <w:rsid w:val="0EB263FC"/>
    <w:rsid w:val="0EFB7460"/>
    <w:rsid w:val="0F7947D4"/>
    <w:rsid w:val="102664FC"/>
    <w:rsid w:val="104D4694"/>
    <w:rsid w:val="10657457"/>
    <w:rsid w:val="10790FE5"/>
    <w:rsid w:val="10821443"/>
    <w:rsid w:val="10B8454F"/>
    <w:rsid w:val="10C068D6"/>
    <w:rsid w:val="1191235E"/>
    <w:rsid w:val="11DF30C9"/>
    <w:rsid w:val="12691DDE"/>
    <w:rsid w:val="126B4739"/>
    <w:rsid w:val="12CA7A56"/>
    <w:rsid w:val="12FD414F"/>
    <w:rsid w:val="13E42447"/>
    <w:rsid w:val="1443504D"/>
    <w:rsid w:val="146F2E2A"/>
    <w:rsid w:val="14AD5A2E"/>
    <w:rsid w:val="153526BF"/>
    <w:rsid w:val="15A57CB6"/>
    <w:rsid w:val="16563C3F"/>
    <w:rsid w:val="16597641"/>
    <w:rsid w:val="16967567"/>
    <w:rsid w:val="16E66CA8"/>
    <w:rsid w:val="16F13FCB"/>
    <w:rsid w:val="16F27536"/>
    <w:rsid w:val="177D6416"/>
    <w:rsid w:val="17BB6387"/>
    <w:rsid w:val="17BD1E3F"/>
    <w:rsid w:val="182E7A7E"/>
    <w:rsid w:val="18754787"/>
    <w:rsid w:val="18833533"/>
    <w:rsid w:val="1A217544"/>
    <w:rsid w:val="1A655F10"/>
    <w:rsid w:val="1A736AA5"/>
    <w:rsid w:val="1A986A3F"/>
    <w:rsid w:val="1AD45E89"/>
    <w:rsid w:val="1B617245"/>
    <w:rsid w:val="1B7F31F5"/>
    <w:rsid w:val="1B9C64CF"/>
    <w:rsid w:val="1BB05AD7"/>
    <w:rsid w:val="1C2426B7"/>
    <w:rsid w:val="1C6159B2"/>
    <w:rsid w:val="1C6F4602"/>
    <w:rsid w:val="1C8C02F2"/>
    <w:rsid w:val="1CE43C8A"/>
    <w:rsid w:val="1CF43957"/>
    <w:rsid w:val="1D6875D0"/>
    <w:rsid w:val="1E677EBF"/>
    <w:rsid w:val="1E9810D7"/>
    <w:rsid w:val="1ECC35CA"/>
    <w:rsid w:val="1F1B0F72"/>
    <w:rsid w:val="1F7F7738"/>
    <w:rsid w:val="1FD54A0A"/>
    <w:rsid w:val="1FD63720"/>
    <w:rsid w:val="1FF22FB9"/>
    <w:rsid w:val="202909D5"/>
    <w:rsid w:val="206F1C9D"/>
    <w:rsid w:val="20B10327"/>
    <w:rsid w:val="20BD4F1E"/>
    <w:rsid w:val="20E05BC8"/>
    <w:rsid w:val="211A7117"/>
    <w:rsid w:val="2169228F"/>
    <w:rsid w:val="21C80CCE"/>
    <w:rsid w:val="222A213F"/>
    <w:rsid w:val="228F5B46"/>
    <w:rsid w:val="22940D16"/>
    <w:rsid w:val="22A23018"/>
    <w:rsid w:val="233872F7"/>
    <w:rsid w:val="23C2284B"/>
    <w:rsid w:val="23DE53DF"/>
    <w:rsid w:val="24603EC0"/>
    <w:rsid w:val="24C30219"/>
    <w:rsid w:val="256C0CC0"/>
    <w:rsid w:val="25B76202"/>
    <w:rsid w:val="25D7675A"/>
    <w:rsid w:val="25DC4098"/>
    <w:rsid w:val="26284BE7"/>
    <w:rsid w:val="26494463"/>
    <w:rsid w:val="26785D97"/>
    <w:rsid w:val="26A80C5D"/>
    <w:rsid w:val="26ABCFCD"/>
    <w:rsid w:val="26CC2BCF"/>
    <w:rsid w:val="27392E24"/>
    <w:rsid w:val="275859A0"/>
    <w:rsid w:val="277125BE"/>
    <w:rsid w:val="27B769DB"/>
    <w:rsid w:val="27C923FA"/>
    <w:rsid w:val="28C663BF"/>
    <w:rsid w:val="28F6108D"/>
    <w:rsid w:val="29F24AC5"/>
    <w:rsid w:val="2A3C192C"/>
    <w:rsid w:val="2B1C4BAB"/>
    <w:rsid w:val="2BE0560C"/>
    <w:rsid w:val="2BEF61A7"/>
    <w:rsid w:val="2C0F5DBF"/>
    <w:rsid w:val="2C11611D"/>
    <w:rsid w:val="2C323920"/>
    <w:rsid w:val="2C44598A"/>
    <w:rsid w:val="2C461B91"/>
    <w:rsid w:val="2C7212B2"/>
    <w:rsid w:val="2C8D6F52"/>
    <w:rsid w:val="2C9D0B2A"/>
    <w:rsid w:val="2CD418C9"/>
    <w:rsid w:val="2CFE27E0"/>
    <w:rsid w:val="2D2545EB"/>
    <w:rsid w:val="2D7642C7"/>
    <w:rsid w:val="2DB651CE"/>
    <w:rsid w:val="2DBB67A8"/>
    <w:rsid w:val="2DBD0EC3"/>
    <w:rsid w:val="2E093550"/>
    <w:rsid w:val="2E56075F"/>
    <w:rsid w:val="2E9514D7"/>
    <w:rsid w:val="2EB23BE8"/>
    <w:rsid w:val="2EB327FB"/>
    <w:rsid w:val="2F171C9D"/>
    <w:rsid w:val="2F3F794F"/>
    <w:rsid w:val="2F7D33FF"/>
    <w:rsid w:val="2F946F22"/>
    <w:rsid w:val="2FBAE000"/>
    <w:rsid w:val="2FBDA7B4"/>
    <w:rsid w:val="2FDDD8FC"/>
    <w:rsid w:val="2FF04620"/>
    <w:rsid w:val="300536AE"/>
    <w:rsid w:val="301D19FF"/>
    <w:rsid w:val="30390BA2"/>
    <w:rsid w:val="30513EBC"/>
    <w:rsid w:val="30564A47"/>
    <w:rsid w:val="30586A11"/>
    <w:rsid w:val="30963095"/>
    <w:rsid w:val="30AB208F"/>
    <w:rsid w:val="30C46676"/>
    <w:rsid w:val="30CC0E58"/>
    <w:rsid w:val="30D03B22"/>
    <w:rsid w:val="30EE706E"/>
    <w:rsid w:val="30F60559"/>
    <w:rsid w:val="310E5EDD"/>
    <w:rsid w:val="312863E3"/>
    <w:rsid w:val="323D13A3"/>
    <w:rsid w:val="326351F9"/>
    <w:rsid w:val="327D3BE6"/>
    <w:rsid w:val="32A2645E"/>
    <w:rsid w:val="32F303BF"/>
    <w:rsid w:val="332D5F33"/>
    <w:rsid w:val="33AD2BD0"/>
    <w:rsid w:val="33DF0D99"/>
    <w:rsid w:val="34095F58"/>
    <w:rsid w:val="34580D8D"/>
    <w:rsid w:val="3484600B"/>
    <w:rsid w:val="349D1EA9"/>
    <w:rsid w:val="34A86C19"/>
    <w:rsid w:val="34C86F41"/>
    <w:rsid w:val="350C7949"/>
    <w:rsid w:val="35226835"/>
    <w:rsid w:val="35A51BFC"/>
    <w:rsid w:val="363B35DD"/>
    <w:rsid w:val="3675208B"/>
    <w:rsid w:val="36B8299D"/>
    <w:rsid w:val="37022F00"/>
    <w:rsid w:val="377E1D1C"/>
    <w:rsid w:val="37D270A9"/>
    <w:rsid w:val="38105987"/>
    <w:rsid w:val="381F7CD3"/>
    <w:rsid w:val="38667EC5"/>
    <w:rsid w:val="389E0841"/>
    <w:rsid w:val="38AA794E"/>
    <w:rsid w:val="38C30C14"/>
    <w:rsid w:val="38D64977"/>
    <w:rsid w:val="38EE7F12"/>
    <w:rsid w:val="39636CCE"/>
    <w:rsid w:val="39A8569B"/>
    <w:rsid w:val="3A617529"/>
    <w:rsid w:val="3AF10037"/>
    <w:rsid w:val="3B7B298C"/>
    <w:rsid w:val="3B7F4E52"/>
    <w:rsid w:val="3BAB3E99"/>
    <w:rsid w:val="3BC34118"/>
    <w:rsid w:val="3BF80DCA"/>
    <w:rsid w:val="3C081607"/>
    <w:rsid w:val="3C6726C9"/>
    <w:rsid w:val="3D452CE3"/>
    <w:rsid w:val="3D976D74"/>
    <w:rsid w:val="3DAD9027"/>
    <w:rsid w:val="3E155FAD"/>
    <w:rsid w:val="3E2E2B5F"/>
    <w:rsid w:val="3E7FA5C9"/>
    <w:rsid w:val="3ECA2AA8"/>
    <w:rsid w:val="3EF5673F"/>
    <w:rsid w:val="3EFF635C"/>
    <w:rsid w:val="3F0538C0"/>
    <w:rsid w:val="3F1706F6"/>
    <w:rsid w:val="3F4076F5"/>
    <w:rsid w:val="3F980BD8"/>
    <w:rsid w:val="3FAE03FB"/>
    <w:rsid w:val="3FCA7A98"/>
    <w:rsid w:val="3FD00372"/>
    <w:rsid w:val="3FE31639"/>
    <w:rsid w:val="3FEBBA1E"/>
    <w:rsid w:val="4005330D"/>
    <w:rsid w:val="40AD4102"/>
    <w:rsid w:val="412B15D8"/>
    <w:rsid w:val="42196C84"/>
    <w:rsid w:val="421E5A06"/>
    <w:rsid w:val="42E67A54"/>
    <w:rsid w:val="43452E25"/>
    <w:rsid w:val="435117C9"/>
    <w:rsid w:val="435C3917"/>
    <w:rsid w:val="43792ACE"/>
    <w:rsid w:val="438D1498"/>
    <w:rsid w:val="4392593E"/>
    <w:rsid w:val="43B540BA"/>
    <w:rsid w:val="43E9461E"/>
    <w:rsid w:val="445B21D4"/>
    <w:rsid w:val="446666E9"/>
    <w:rsid w:val="44EE129A"/>
    <w:rsid w:val="44F30F65"/>
    <w:rsid w:val="456450B8"/>
    <w:rsid w:val="456B32E3"/>
    <w:rsid w:val="460D6DA0"/>
    <w:rsid w:val="463A7DBE"/>
    <w:rsid w:val="463B406B"/>
    <w:rsid w:val="465F7466"/>
    <w:rsid w:val="46F36F75"/>
    <w:rsid w:val="471817A8"/>
    <w:rsid w:val="47507FEA"/>
    <w:rsid w:val="47BC567F"/>
    <w:rsid w:val="47BE372E"/>
    <w:rsid w:val="47CA5E4A"/>
    <w:rsid w:val="47E0136E"/>
    <w:rsid w:val="48846D6F"/>
    <w:rsid w:val="495E079C"/>
    <w:rsid w:val="4A407EA2"/>
    <w:rsid w:val="4A527BD5"/>
    <w:rsid w:val="4A597273"/>
    <w:rsid w:val="4ABE2EB5"/>
    <w:rsid w:val="4ADC1B12"/>
    <w:rsid w:val="4B0343DF"/>
    <w:rsid w:val="4BAB1C93"/>
    <w:rsid w:val="4BE9528C"/>
    <w:rsid w:val="4BF85439"/>
    <w:rsid w:val="4BFC604B"/>
    <w:rsid w:val="4C1155A4"/>
    <w:rsid w:val="4C963626"/>
    <w:rsid w:val="4D025988"/>
    <w:rsid w:val="4D203FBB"/>
    <w:rsid w:val="4D9941B2"/>
    <w:rsid w:val="4DBC1CC4"/>
    <w:rsid w:val="4DBF3EDE"/>
    <w:rsid w:val="4E063DF1"/>
    <w:rsid w:val="4E083770"/>
    <w:rsid w:val="4E0E2C9E"/>
    <w:rsid w:val="4E2F2707"/>
    <w:rsid w:val="4E3C4FB1"/>
    <w:rsid w:val="4E7D4D24"/>
    <w:rsid w:val="4EA312FE"/>
    <w:rsid w:val="4EE63D45"/>
    <w:rsid w:val="4F42290E"/>
    <w:rsid w:val="4FA96E38"/>
    <w:rsid w:val="505D50B8"/>
    <w:rsid w:val="508D1CBB"/>
    <w:rsid w:val="50AA42C7"/>
    <w:rsid w:val="50B90CFC"/>
    <w:rsid w:val="50C50B3D"/>
    <w:rsid w:val="51671566"/>
    <w:rsid w:val="51680206"/>
    <w:rsid w:val="516A3A56"/>
    <w:rsid w:val="51A97CDA"/>
    <w:rsid w:val="52223896"/>
    <w:rsid w:val="52571407"/>
    <w:rsid w:val="527C2E63"/>
    <w:rsid w:val="527D38F3"/>
    <w:rsid w:val="52C61160"/>
    <w:rsid w:val="52CDF919"/>
    <w:rsid w:val="53334C23"/>
    <w:rsid w:val="53530819"/>
    <w:rsid w:val="53894668"/>
    <w:rsid w:val="538F52EF"/>
    <w:rsid w:val="53963229"/>
    <w:rsid w:val="53A809DE"/>
    <w:rsid w:val="53C54C16"/>
    <w:rsid w:val="541505F1"/>
    <w:rsid w:val="544D38E7"/>
    <w:rsid w:val="549D4E7C"/>
    <w:rsid w:val="54B90F7D"/>
    <w:rsid w:val="54E86941"/>
    <w:rsid w:val="55102AA8"/>
    <w:rsid w:val="55AF05D2"/>
    <w:rsid w:val="55B45BC3"/>
    <w:rsid w:val="55DC5987"/>
    <w:rsid w:val="55FD7EA9"/>
    <w:rsid w:val="56222C58"/>
    <w:rsid w:val="56BC4D54"/>
    <w:rsid w:val="57791B4D"/>
    <w:rsid w:val="58042D01"/>
    <w:rsid w:val="580E54D3"/>
    <w:rsid w:val="5845465A"/>
    <w:rsid w:val="58782EFD"/>
    <w:rsid w:val="589A34D9"/>
    <w:rsid w:val="58A6099E"/>
    <w:rsid w:val="58B71BBF"/>
    <w:rsid w:val="58CF4710"/>
    <w:rsid w:val="5911074C"/>
    <w:rsid w:val="59434106"/>
    <w:rsid w:val="59B6738F"/>
    <w:rsid w:val="5A07278A"/>
    <w:rsid w:val="5A846346"/>
    <w:rsid w:val="5AAB1367"/>
    <w:rsid w:val="5AC94E7D"/>
    <w:rsid w:val="5B824F5E"/>
    <w:rsid w:val="5B860BB6"/>
    <w:rsid w:val="5BED67C8"/>
    <w:rsid w:val="5BFB00CD"/>
    <w:rsid w:val="5C214335"/>
    <w:rsid w:val="5C705CBE"/>
    <w:rsid w:val="5CAB1AF3"/>
    <w:rsid w:val="5CCB662E"/>
    <w:rsid w:val="5D25175A"/>
    <w:rsid w:val="5D323FC2"/>
    <w:rsid w:val="5D7E2D63"/>
    <w:rsid w:val="5D9702C9"/>
    <w:rsid w:val="5DE402C0"/>
    <w:rsid w:val="5DE97524"/>
    <w:rsid w:val="5DFD2BBB"/>
    <w:rsid w:val="5DFE5C52"/>
    <w:rsid w:val="5E076C22"/>
    <w:rsid w:val="5E6A498F"/>
    <w:rsid w:val="5E7121F6"/>
    <w:rsid w:val="5E7F6BFF"/>
    <w:rsid w:val="5EC944B2"/>
    <w:rsid w:val="5ED82947"/>
    <w:rsid w:val="5EE110BD"/>
    <w:rsid w:val="5EE17A4E"/>
    <w:rsid w:val="5EE45F5E"/>
    <w:rsid w:val="5F012CEB"/>
    <w:rsid w:val="5F513ACC"/>
    <w:rsid w:val="5F9971C4"/>
    <w:rsid w:val="5FCE0393"/>
    <w:rsid w:val="5FD9C643"/>
    <w:rsid w:val="5FFD2C0B"/>
    <w:rsid w:val="60087BAD"/>
    <w:rsid w:val="60A5771E"/>
    <w:rsid w:val="60B62814"/>
    <w:rsid w:val="60DE31F4"/>
    <w:rsid w:val="613F6527"/>
    <w:rsid w:val="614909B6"/>
    <w:rsid w:val="614C4F26"/>
    <w:rsid w:val="61785AA0"/>
    <w:rsid w:val="61DB311C"/>
    <w:rsid w:val="61DF5D9B"/>
    <w:rsid w:val="61F47A98"/>
    <w:rsid w:val="62052780"/>
    <w:rsid w:val="627D0BD0"/>
    <w:rsid w:val="629B6B1C"/>
    <w:rsid w:val="62A42563"/>
    <w:rsid w:val="62B4049C"/>
    <w:rsid w:val="62B92A90"/>
    <w:rsid w:val="63354203"/>
    <w:rsid w:val="638B02C3"/>
    <w:rsid w:val="63BF18F5"/>
    <w:rsid w:val="63E45722"/>
    <w:rsid w:val="63E6501D"/>
    <w:rsid w:val="64C36A3C"/>
    <w:rsid w:val="64D15E6F"/>
    <w:rsid w:val="64D65C51"/>
    <w:rsid w:val="64F51B8A"/>
    <w:rsid w:val="65BBC118"/>
    <w:rsid w:val="65D35C16"/>
    <w:rsid w:val="65DE236C"/>
    <w:rsid w:val="661D5409"/>
    <w:rsid w:val="66504B06"/>
    <w:rsid w:val="666B5E4F"/>
    <w:rsid w:val="667F097B"/>
    <w:rsid w:val="675E4AC0"/>
    <w:rsid w:val="675F42B1"/>
    <w:rsid w:val="67DF08A2"/>
    <w:rsid w:val="6817003C"/>
    <w:rsid w:val="68585345"/>
    <w:rsid w:val="69207F5F"/>
    <w:rsid w:val="69224EEB"/>
    <w:rsid w:val="694E2184"/>
    <w:rsid w:val="697D0373"/>
    <w:rsid w:val="697E9D9B"/>
    <w:rsid w:val="69836E0A"/>
    <w:rsid w:val="698823D8"/>
    <w:rsid w:val="69FE0036"/>
    <w:rsid w:val="6A275AF9"/>
    <w:rsid w:val="6AB853DB"/>
    <w:rsid w:val="6ABC4ECB"/>
    <w:rsid w:val="6AF558B0"/>
    <w:rsid w:val="6B4750DC"/>
    <w:rsid w:val="6BA70DD8"/>
    <w:rsid w:val="6BB551BE"/>
    <w:rsid w:val="6BF60A70"/>
    <w:rsid w:val="6C035E2F"/>
    <w:rsid w:val="6C134077"/>
    <w:rsid w:val="6CB03B27"/>
    <w:rsid w:val="6D250BC3"/>
    <w:rsid w:val="6DA265FA"/>
    <w:rsid w:val="6DC139BC"/>
    <w:rsid w:val="6DE704B1"/>
    <w:rsid w:val="6E7B492F"/>
    <w:rsid w:val="6EF27D95"/>
    <w:rsid w:val="6F156053"/>
    <w:rsid w:val="6F4073B9"/>
    <w:rsid w:val="6FA04DBB"/>
    <w:rsid w:val="6FEAE4FA"/>
    <w:rsid w:val="6FFF5706"/>
    <w:rsid w:val="703E735B"/>
    <w:rsid w:val="705A39BC"/>
    <w:rsid w:val="705C33D8"/>
    <w:rsid w:val="70781894"/>
    <w:rsid w:val="70C8713F"/>
    <w:rsid w:val="7106076B"/>
    <w:rsid w:val="71326EE3"/>
    <w:rsid w:val="71493487"/>
    <w:rsid w:val="72D72495"/>
    <w:rsid w:val="72D76975"/>
    <w:rsid w:val="73E791AB"/>
    <w:rsid w:val="74874E95"/>
    <w:rsid w:val="74E1473D"/>
    <w:rsid w:val="75142B3F"/>
    <w:rsid w:val="751C1388"/>
    <w:rsid w:val="755B16EF"/>
    <w:rsid w:val="75BD1D4C"/>
    <w:rsid w:val="75FE90C8"/>
    <w:rsid w:val="767E572A"/>
    <w:rsid w:val="76C7231F"/>
    <w:rsid w:val="76E539FB"/>
    <w:rsid w:val="777478E6"/>
    <w:rsid w:val="777636D7"/>
    <w:rsid w:val="77786331"/>
    <w:rsid w:val="77921091"/>
    <w:rsid w:val="78283BA0"/>
    <w:rsid w:val="783E29C4"/>
    <w:rsid w:val="78CE219D"/>
    <w:rsid w:val="78CF56CB"/>
    <w:rsid w:val="78F93040"/>
    <w:rsid w:val="79895284"/>
    <w:rsid w:val="79D35D8D"/>
    <w:rsid w:val="79FF5E16"/>
    <w:rsid w:val="7A1F0FD2"/>
    <w:rsid w:val="7A575F13"/>
    <w:rsid w:val="7A8B6668"/>
    <w:rsid w:val="7A8C64D5"/>
    <w:rsid w:val="7AEC944A"/>
    <w:rsid w:val="7B4B6523"/>
    <w:rsid w:val="7B73B492"/>
    <w:rsid w:val="7BBFC413"/>
    <w:rsid w:val="7BED7746"/>
    <w:rsid w:val="7BEE3352"/>
    <w:rsid w:val="7BEE9B9F"/>
    <w:rsid w:val="7BF05A73"/>
    <w:rsid w:val="7BF43313"/>
    <w:rsid w:val="7BFFA9CF"/>
    <w:rsid w:val="7C1508DF"/>
    <w:rsid w:val="7C1E3C37"/>
    <w:rsid w:val="7C1F772A"/>
    <w:rsid w:val="7C3117D7"/>
    <w:rsid w:val="7C3F770A"/>
    <w:rsid w:val="7C7C44BA"/>
    <w:rsid w:val="7C9E2682"/>
    <w:rsid w:val="7CFE4EEE"/>
    <w:rsid w:val="7D2D1A6C"/>
    <w:rsid w:val="7E202F6C"/>
    <w:rsid w:val="7E392B5A"/>
    <w:rsid w:val="7E6C610C"/>
    <w:rsid w:val="7E904848"/>
    <w:rsid w:val="7EB0676F"/>
    <w:rsid w:val="7EB779CC"/>
    <w:rsid w:val="7ECB2000"/>
    <w:rsid w:val="7EE211CD"/>
    <w:rsid w:val="7F9135F0"/>
    <w:rsid w:val="7FAFEA1A"/>
    <w:rsid w:val="7FB77DFB"/>
    <w:rsid w:val="7FBB354B"/>
    <w:rsid w:val="7FCF6FF7"/>
    <w:rsid w:val="7FDE0B0B"/>
    <w:rsid w:val="7FEC2213"/>
    <w:rsid w:val="7FFF5DED"/>
    <w:rsid w:val="7FFFF2FB"/>
    <w:rsid w:val="8FFE9DD7"/>
    <w:rsid w:val="96FD3EEE"/>
    <w:rsid w:val="97EB6CD4"/>
    <w:rsid w:val="9FE70423"/>
    <w:rsid w:val="AB4CAD8B"/>
    <w:rsid w:val="BDD35BEE"/>
    <w:rsid w:val="BF08738B"/>
    <w:rsid w:val="BF6BFD14"/>
    <w:rsid w:val="BFB9F6E3"/>
    <w:rsid w:val="C716182E"/>
    <w:rsid w:val="C77EE6F3"/>
    <w:rsid w:val="CDDF3910"/>
    <w:rsid w:val="CFFE2D76"/>
    <w:rsid w:val="DEE7646A"/>
    <w:rsid w:val="DEFE03EC"/>
    <w:rsid w:val="DF5FBC52"/>
    <w:rsid w:val="E77F4370"/>
    <w:rsid w:val="EBFE1EA1"/>
    <w:rsid w:val="EFFF1C8E"/>
    <w:rsid w:val="F0EE2A51"/>
    <w:rsid w:val="F2BE5F4C"/>
    <w:rsid w:val="F7B75194"/>
    <w:rsid w:val="F7DF0175"/>
    <w:rsid w:val="F7FB3CCD"/>
    <w:rsid w:val="FA2FA9D9"/>
    <w:rsid w:val="FA97B4AD"/>
    <w:rsid w:val="FBDF76D2"/>
    <w:rsid w:val="FBEFAA27"/>
    <w:rsid w:val="FBFFD3A8"/>
    <w:rsid w:val="FDF7B747"/>
    <w:rsid w:val="FE7F8DA5"/>
    <w:rsid w:val="FEB9443C"/>
    <w:rsid w:val="FF6F3368"/>
    <w:rsid w:val="FFEFB46B"/>
    <w:rsid w:val="FFFF7BD1"/>
    <w:rsid w:val="FFFFE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9"/>
    <w:qFormat/>
    <w:uiPriority w:val="9"/>
    <w:pPr>
      <w:keepNext/>
      <w:keepLines/>
      <w:spacing w:beforeLines="100" w:afterLines="100" w:line="400" w:lineRule="exact"/>
      <w:jc w:val="center"/>
      <w:outlineLvl w:val="0"/>
    </w:pPr>
    <w:rPr>
      <w:b/>
      <w:bCs/>
      <w:kern w:val="44"/>
      <w:sz w:val="44"/>
      <w:szCs w:val="44"/>
    </w:rPr>
  </w:style>
  <w:style w:type="paragraph" w:styleId="4">
    <w:name w:val="heading 2"/>
    <w:basedOn w:val="1"/>
    <w:next w:val="5"/>
    <w:link w:val="50"/>
    <w:qFormat/>
    <w:uiPriority w:val="9"/>
    <w:pPr>
      <w:keepNext/>
      <w:jc w:val="center"/>
      <w:outlineLvl w:val="1"/>
    </w:pPr>
    <w:rPr>
      <w:rFonts w:ascii="Cambria" w:hAnsi="Cambria"/>
      <w:b/>
      <w:bCs/>
      <w:kern w:val="0"/>
      <w:sz w:val="30"/>
      <w:szCs w:val="32"/>
    </w:rPr>
  </w:style>
  <w:style w:type="paragraph" w:styleId="6">
    <w:name w:val="heading 3"/>
    <w:basedOn w:val="1"/>
    <w:next w:val="1"/>
    <w:link w:val="51"/>
    <w:qFormat/>
    <w:uiPriority w:val="9"/>
    <w:pPr>
      <w:keepNext/>
      <w:tabs>
        <w:tab w:val="left" w:pos="720"/>
      </w:tabs>
      <w:spacing w:line="240" w:lineRule="atLeast"/>
      <w:ind w:left="720" w:hanging="720"/>
      <w:jc w:val="center"/>
      <w:outlineLvl w:val="2"/>
    </w:pPr>
    <w:rPr>
      <w:b/>
      <w:bCs/>
      <w:kern w:val="0"/>
      <w:sz w:val="32"/>
      <w:szCs w:val="32"/>
    </w:rPr>
  </w:style>
  <w:style w:type="paragraph" w:styleId="7">
    <w:name w:val="heading 4"/>
    <w:basedOn w:val="1"/>
    <w:next w:val="1"/>
    <w:link w:val="52"/>
    <w:qFormat/>
    <w:uiPriority w:val="0"/>
    <w:pPr>
      <w:keepNext/>
      <w:keepLines/>
      <w:spacing w:before="280" w:after="290" w:line="374" w:lineRule="auto"/>
      <w:outlineLvl w:val="3"/>
    </w:pPr>
    <w:rPr>
      <w:rFonts w:ascii="Cambria" w:hAnsi="Cambria"/>
      <w:b/>
      <w:bCs/>
      <w:kern w:val="0"/>
      <w:sz w:val="28"/>
      <w:szCs w:val="28"/>
    </w:rPr>
  </w:style>
  <w:style w:type="paragraph" w:styleId="8">
    <w:name w:val="heading 5"/>
    <w:basedOn w:val="1"/>
    <w:next w:val="1"/>
    <w:link w:val="53"/>
    <w:qFormat/>
    <w:uiPriority w:val="0"/>
    <w:pPr>
      <w:keepNext/>
      <w:keepLines/>
      <w:numPr>
        <w:ilvl w:val="4"/>
        <w:numId w:val="1"/>
      </w:numPr>
      <w:tabs>
        <w:tab w:val="left" w:pos="425"/>
        <w:tab w:val="left" w:pos="1418"/>
        <w:tab w:val="left" w:pos="1560"/>
      </w:tabs>
      <w:spacing w:before="280" w:after="290" w:line="376" w:lineRule="auto"/>
      <w:outlineLvl w:val="4"/>
    </w:pPr>
    <w:rPr>
      <w:b/>
      <w:bCs/>
      <w:kern w:val="0"/>
      <w:sz w:val="20"/>
      <w:szCs w:val="28"/>
    </w:rPr>
  </w:style>
  <w:style w:type="paragraph" w:styleId="9">
    <w:name w:val="heading 6"/>
    <w:basedOn w:val="1"/>
    <w:next w:val="1"/>
    <w:link w:val="54"/>
    <w:qFormat/>
    <w:uiPriority w:val="0"/>
    <w:pPr>
      <w:keepNext/>
      <w:keepLines/>
      <w:spacing w:line="360" w:lineRule="auto"/>
      <w:jc w:val="left"/>
      <w:outlineLvl w:val="5"/>
    </w:pPr>
    <w:rPr>
      <w:rFonts w:eastAsia="黑体"/>
      <w:bCs/>
      <w:kern w:val="0"/>
      <w:sz w:val="24"/>
      <w:szCs w:val="21"/>
    </w:rPr>
  </w:style>
  <w:style w:type="paragraph" w:styleId="10">
    <w:name w:val="heading 7"/>
    <w:basedOn w:val="1"/>
    <w:next w:val="1"/>
    <w:link w:val="55"/>
    <w:qFormat/>
    <w:uiPriority w:val="0"/>
    <w:pPr>
      <w:keepNext/>
      <w:keepLines/>
      <w:spacing w:line="360" w:lineRule="auto"/>
      <w:jc w:val="left"/>
      <w:outlineLvl w:val="6"/>
    </w:pPr>
    <w:rPr>
      <w:bCs/>
      <w:kern w:val="0"/>
      <w:sz w:val="24"/>
      <w:szCs w:val="24"/>
      <w:lang w:eastAsia="en-US"/>
    </w:rPr>
  </w:style>
  <w:style w:type="paragraph" w:styleId="11">
    <w:name w:val="heading 8"/>
    <w:basedOn w:val="1"/>
    <w:next w:val="1"/>
    <w:link w:val="56"/>
    <w:qFormat/>
    <w:uiPriority w:val="0"/>
    <w:pPr>
      <w:keepNext/>
      <w:keepLines/>
      <w:spacing w:line="360" w:lineRule="auto"/>
      <w:jc w:val="left"/>
      <w:outlineLvl w:val="7"/>
    </w:pPr>
    <w:rPr>
      <w:kern w:val="0"/>
      <w:sz w:val="24"/>
      <w:szCs w:val="24"/>
      <w:lang w:eastAsia="en-US"/>
    </w:rPr>
  </w:style>
  <w:style w:type="paragraph" w:styleId="12">
    <w:name w:val="heading 9"/>
    <w:basedOn w:val="1"/>
    <w:next w:val="1"/>
    <w:link w:val="57"/>
    <w:qFormat/>
    <w:uiPriority w:val="0"/>
    <w:pPr>
      <w:keepNext/>
      <w:keepLines/>
      <w:spacing w:line="360" w:lineRule="auto"/>
      <w:jc w:val="left"/>
      <w:outlineLvl w:val="8"/>
    </w:pPr>
    <w:rPr>
      <w:kern w:val="0"/>
      <w:sz w:val="24"/>
      <w:szCs w:val="21"/>
      <w:lang w:eastAsia="en-US"/>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Message Header"/>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cs="Times New Roman"/>
      <w:kern w:val="2"/>
      <w:sz w:val="24"/>
      <w:szCs w:val="22"/>
      <w:shd w:val="pct20" w:color="auto" w:fill="auto"/>
      <w:lang w:val="en-US" w:eastAsia="zh-CN" w:bidi="ar-SA"/>
    </w:rPr>
  </w:style>
  <w:style w:type="paragraph" w:customStyle="1" w:styleId="5">
    <w:name w:val="段落文字"/>
    <w:basedOn w:val="1"/>
    <w:qFormat/>
    <w:uiPriority w:val="0"/>
    <w:pPr>
      <w:spacing w:line="360" w:lineRule="auto"/>
      <w:ind w:firstLine="200" w:firstLineChars="200"/>
    </w:pPr>
    <w:rPr>
      <w:rFonts w:ascii="Times New Roman" w:hAnsi="Times New Roman" w:eastAsia="仿宋_GB2312"/>
      <w:sz w:val="28"/>
    </w:rPr>
  </w:style>
  <w:style w:type="paragraph" w:styleId="13">
    <w:name w:val="List Number"/>
    <w:basedOn w:val="1"/>
    <w:semiHidden/>
    <w:unhideWhenUsed/>
    <w:qFormat/>
    <w:uiPriority w:val="99"/>
    <w:pPr>
      <w:numPr>
        <w:ilvl w:val="0"/>
        <w:numId w:val="2"/>
      </w:numPr>
    </w:pPr>
  </w:style>
  <w:style w:type="paragraph" w:styleId="14">
    <w:name w:val="Normal Indent"/>
    <w:basedOn w:val="1"/>
    <w:next w:val="1"/>
    <w:link w:val="58"/>
    <w:qFormat/>
    <w:uiPriority w:val="99"/>
    <w:pPr>
      <w:widowControl/>
      <w:adjustRightInd w:val="0"/>
      <w:snapToGrid w:val="0"/>
      <w:spacing w:line="480" w:lineRule="exact"/>
      <w:ind w:firstLine="567"/>
    </w:pPr>
    <w:rPr>
      <w:rFonts w:ascii="宋体"/>
      <w:color w:val="000000"/>
      <w:kern w:val="28"/>
      <w:sz w:val="28"/>
    </w:rPr>
  </w:style>
  <w:style w:type="paragraph" w:styleId="15">
    <w:name w:val="caption"/>
    <w:basedOn w:val="1"/>
    <w:next w:val="1"/>
    <w:link w:val="59"/>
    <w:qFormat/>
    <w:uiPriority w:val="0"/>
    <w:pPr>
      <w:numPr>
        <w:ilvl w:val="0"/>
        <w:numId w:val="3"/>
      </w:numPr>
      <w:spacing w:line="360" w:lineRule="auto"/>
      <w:ind w:left="0" w:firstLine="0"/>
      <w:jc w:val="center"/>
    </w:pPr>
    <w:rPr>
      <w:kern w:val="0"/>
      <w:sz w:val="20"/>
      <w:szCs w:val="21"/>
    </w:rPr>
  </w:style>
  <w:style w:type="paragraph" w:styleId="16">
    <w:name w:val="Document Map"/>
    <w:basedOn w:val="1"/>
    <w:link w:val="60"/>
    <w:qFormat/>
    <w:uiPriority w:val="99"/>
    <w:pPr>
      <w:shd w:val="clear" w:color="auto" w:fill="000080"/>
    </w:pPr>
    <w:rPr>
      <w:kern w:val="0"/>
      <w:sz w:val="2"/>
    </w:rPr>
  </w:style>
  <w:style w:type="paragraph" w:styleId="17">
    <w:name w:val="annotation text"/>
    <w:basedOn w:val="1"/>
    <w:link w:val="61"/>
    <w:qFormat/>
    <w:uiPriority w:val="0"/>
    <w:pPr>
      <w:jc w:val="left"/>
    </w:pPr>
    <w:rPr>
      <w:kern w:val="0"/>
      <w:sz w:val="20"/>
    </w:rPr>
  </w:style>
  <w:style w:type="paragraph" w:styleId="18">
    <w:name w:val="Body Text"/>
    <w:basedOn w:val="1"/>
    <w:next w:val="19"/>
    <w:link w:val="62"/>
    <w:qFormat/>
    <w:uiPriority w:val="0"/>
    <w:rPr>
      <w:kern w:val="0"/>
      <w:sz w:val="20"/>
    </w:rPr>
  </w:style>
  <w:style w:type="paragraph" w:styleId="19">
    <w:name w:val="Body Text First Indent"/>
    <w:basedOn w:val="18"/>
    <w:next w:val="1"/>
    <w:link w:val="63"/>
    <w:unhideWhenUsed/>
    <w:qFormat/>
    <w:uiPriority w:val="99"/>
    <w:pPr>
      <w:spacing w:after="120"/>
      <w:ind w:firstLine="420" w:firstLineChars="100"/>
    </w:pPr>
    <w:rPr>
      <w:kern w:val="2"/>
      <w:sz w:val="21"/>
    </w:rPr>
  </w:style>
  <w:style w:type="paragraph" w:styleId="20">
    <w:name w:val="Body Text Indent"/>
    <w:basedOn w:val="1"/>
    <w:next w:val="1"/>
    <w:link w:val="64"/>
    <w:qFormat/>
    <w:uiPriority w:val="0"/>
    <w:pPr>
      <w:spacing w:line="380" w:lineRule="exact"/>
      <w:ind w:firstLine="480"/>
    </w:pPr>
    <w:rPr>
      <w:kern w:val="0"/>
      <w:sz w:val="20"/>
    </w:rPr>
  </w:style>
  <w:style w:type="paragraph" w:styleId="21">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22">
    <w:name w:val="toc 3"/>
    <w:basedOn w:val="1"/>
    <w:next w:val="1"/>
    <w:qFormat/>
    <w:uiPriority w:val="39"/>
    <w:pPr>
      <w:ind w:left="840" w:leftChars="400"/>
    </w:pPr>
  </w:style>
  <w:style w:type="paragraph" w:styleId="23">
    <w:name w:val="Plain Text"/>
    <w:basedOn w:val="1"/>
    <w:link w:val="65"/>
    <w:qFormat/>
    <w:uiPriority w:val="0"/>
    <w:rPr>
      <w:rFonts w:ascii="宋体" w:hAnsi="Courier New"/>
      <w:kern w:val="0"/>
      <w:sz w:val="20"/>
      <w:szCs w:val="21"/>
    </w:rPr>
  </w:style>
  <w:style w:type="paragraph" w:styleId="24">
    <w:name w:val="Date"/>
    <w:basedOn w:val="1"/>
    <w:next w:val="1"/>
    <w:link w:val="66"/>
    <w:qFormat/>
    <w:uiPriority w:val="0"/>
    <w:rPr>
      <w:kern w:val="0"/>
      <w:sz w:val="28"/>
    </w:rPr>
  </w:style>
  <w:style w:type="paragraph" w:styleId="25">
    <w:name w:val="Body Text Indent 2"/>
    <w:basedOn w:val="1"/>
    <w:link w:val="67"/>
    <w:qFormat/>
    <w:uiPriority w:val="0"/>
    <w:pPr>
      <w:tabs>
        <w:tab w:val="left" w:pos="240"/>
        <w:tab w:val="left" w:pos="480"/>
      </w:tabs>
      <w:ind w:left="630" w:leftChars="300"/>
    </w:pPr>
    <w:rPr>
      <w:kern w:val="0"/>
      <w:sz w:val="20"/>
    </w:rPr>
  </w:style>
  <w:style w:type="paragraph" w:styleId="26">
    <w:name w:val="Balloon Text"/>
    <w:basedOn w:val="1"/>
    <w:link w:val="68"/>
    <w:qFormat/>
    <w:uiPriority w:val="99"/>
    <w:rPr>
      <w:kern w:val="0"/>
      <w:sz w:val="18"/>
      <w:szCs w:val="18"/>
    </w:rPr>
  </w:style>
  <w:style w:type="paragraph" w:styleId="27">
    <w:name w:val="footer"/>
    <w:basedOn w:val="1"/>
    <w:link w:val="69"/>
    <w:unhideWhenUsed/>
    <w:qFormat/>
    <w:uiPriority w:val="99"/>
    <w:pPr>
      <w:tabs>
        <w:tab w:val="center" w:pos="4153"/>
        <w:tab w:val="right" w:pos="8306"/>
      </w:tabs>
      <w:snapToGrid w:val="0"/>
      <w:jc w:val="left"/>
    </w:pPr>
    <w:rPr>
      <w:kern w:val="0"/>
      <w:sz w:val="18"/>
      <w:szCs w:val="18"/>
    </w:rPr>
  </w:style>
  <w:style w:type="paragraph" w:styleId="28">
    <w:name w:val="header"/>
    <w:basedOn w:val="1"/>
    <w:link w:val="7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rPr>
      <w:sz w:val="24"/>
    </w:rPr>
  </w:style>
  <w:style w:type="paragraph" w:styleId="30">
    <w:name w:val="Body Text Indent 3"/>
    <w:basedOn w:val="1"/>
    <w:link w:val="71"/>
    <w:qFormat/>
    <w:uiPriority w:val="0"/>
    <w:pPr>
      <w:spacing w:after="120"/>
      <w:ind w:left="420" w:leftChars="200"/>
    </w:pPr>
    <w:rPr>
      <w:kern w:val="0"/>
      <w:sz w:val="16"/>
      <w:szCs w:val="16"/>
    </w:rPr>
  </w:style>
  <w:style w:type="paragraph" w:styleId="31">
    <w:name w:val="toc 2"/>
    <w:basedOn w:val="1"/>
    <w:next w:val="1"/>
    <w:qFormat/>
    <w:uiPriority w:val="39"/>
    <w:pPr>
      <w:ind w:left="420" w:leftChars="200"/>
    </w:pPr>
  </w:style>
  <w:style w:type="paragraph" w:styleId="32">
    <w:name w:val="Body Text 2"/>
    <w:basedOn w:val="1"/>
    <w:link w:val="72"/>
    <w:qFormat/>
    <w:uiPriority w:val="0"/>
    <w:pPr>
      <w:spacing w:after="120" w:line="480" w:lineRule="auto"/>
    </w:pPr>
    <w:rPr>
      <w:kern w:val="0"/>
      <w:sz w:val="20"/>
    </w:rPr>
  </w:style>
  <w:style w:type="paragraph" w:styleId="33">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4">
    <w:name w:val="Title"/>
    <w:next w:val="1"/>
    <w:qFormat/>
    <w:uiPriority w:val="10"/>
    <w:pPr>
      <w:widowControl w:val="0"/>
      <w:spacing w:before="240" w:after="60"/>
      <w:jc w:val="center"/>
      <w:outlineLvl w:val="0"/>
    </w:pPr>
    <w:rPr>
      <w:rFonts w:ascii="微软雅黑 Light" w:hAnsi="微软雅黑 Light" w:eastAsia="等线 Light" w:cs="等线"/>
      <w:b/>
      <w:bCs/>
      <w:kern w:val="2"/>
      <w:sz w:val="32"/>
      <w:szCs w:val="32"/>
      <w:lang w:val="en-US" w:eastAsia="zh-CN" w:bidi="ar-SA"/>
    </w:rPr>
  </w:style>
  <w:style w:type="paragraph" w:styleId="35">
    <w:name w:val="annotation subject"/>
    <w:basedOn w:val="17"/>
    <w:next w:val="17"/>
    <w:link w:val="73"/>
    <w:qFormat/>
    <w:uiPriority w:val="99"/>
    <w:rPr>
      <w:b/>
      <w:bCs/>
    </w:rPr>
  </w:style>
  <w:style w:type="paragraph" w:styleId="36">
    <w:name w:val="Body Text First Indent 2"/>
    <w:basedOn w:val="20"/>
    <w:next w:val="1"/>
    <w:link w:val="74"/>
    <w:qFormat/>
    <w:uiPriority w:val="0"/>
    <w:pPr>
      <w:widowControl/>
      <w:tabs>
        <w:tab w:val="left" w:pos="0"/>
        <w:tab w:val="left" w:pos="1260"/>
        <w:tab w:val="left" w:pos="1365"/>
      </w:tabs>
      <w:ind w:left="200" w:firstLine="200" w:firstLineChars="200"/>
      <w:jc w:val="left"/>
    </w:p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rPr>
      <w:rFonts w:cs="Times New Roman"/>
    </w:rPr>
  </w:style>
  <w:style w:type="character" w:styleId="42">
    <w:name w:val="FollowedHyperlink"/>
    <w:qFormat/>
    <w:uiPriority w:val="0"/>
    <w:rPr>
      <w:rFonts w:cs="Times New Roman"/>
      <w:color w:val="800080"/>
      <w:u w:val="single"/>
    </w:rPr>
  </w:style>
  <w:style w:type="character" w:styleId="43">
    <w:name w:val="HTML Typewriter"/>
    <w:qFormat/>
    <w:uiPriority w:val="99"/>
    <w:rPr>
      <w:rFonts w:ascii="Courier New" w:hAnsi="Courier New" w:cs="Courier New"/>
      <w:sz w:val="20"/>
      <w:szCs w:val="20"/>
    </w:rPr>
  </w:style>
  <w:style w:type="character" w:styleId="44">
    <w:name w:val="Hyperlink"/>
    <w:qFormat/>
    <w:uiPriority w:val="99"/>
    <w:rPr>
      <w:rFonts w:cs="Times New Roman"/>
      <w:color w:val="0000FF"/>
      <w:u w:val="single"/>
    </w:rPr>
  </w:style>
  <w:style w:type="character" w:styleId="45">
    <w:name w:val="annotation reference"/>
    <w:qFormat/>
    <w:uiPriority w:val="0"/>
    <w:rPr>
      <w:sz w:val="21"/>
      <w:szCs w:val="21"/>
    </w:rPr>
  </w:style>
  <w:style w:type="paragraph" w:customStyle="1" w:styleId="46">
    <w:name w:val="Default"/>
    <w:next w:val="47"/>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8">
    <w:name w:val="列出段落1"/>
    <w:basedOn w:val="1"/>
    <w:qFormat/>
    <w:uiPriority w:val="0"/>
    <w:pPr>
      <w:adjustRightInd w:val="0"/>
      <w:spacing w:before="60" w:after="60" w:line="300" w:lineRule="auto"/>
      <w:ind w:firstLine="420" w:firstLineChars="200"/>
      <w:jc w:val="left"/>
      <w:textAlignment w:val="baseline"/>
    </w:pPr>
    <w:rPr>
      <w:rFonts w:ascii="Arial" w:hAnsi="Arial"/>
      <w:kern w:val="0"/>
      <w:szCs w:val="21"/>
    </w:rPr>
  </w:style>
  <w:style w:type="character" w:customStyle="1" w:styleId="49">
    <w:name w:val="标题 1 字符"/>
    <w:link w:val="3"/>
    <w:qFormat/>
    <w:uiPriority w:val="9"/>
    <w:rPr>
      <w:rFonts w:ascii="Times New Roman" w:hAnsi="Times New Roman" w:eastAsia="宋体" w:cs="Times New Roman"/>
      <w:b/>
      <w:bCs/>
      <w:kern w:val="44"/>
      <w:sz w:val="44"/>
      <w:szCs w:val="44"/>
    </w:rPr>
  </w:style>
  <w:style w:type="character" w:customStyle="1" w:styleId="50">
    <w:name w:val="标题 2 字符"/>
    <w:link w:val="4"/>
    <w:qFormat/>
    <w:uiPriority w:val="9"/>
    <w:rPr>
      <w:rFonts w:ascii="Cambria" w:hAnsi="Cambria" w:eastAsia="宋体" w:cs="Times New Roman"/>
      <w:b/>
      <w:bCs/>
      <w:sz w:val="30"/>
      <w:szCs w:val="32"/>
    </w:rPr>
  </w:style>
  <w:style w:type="character" w:customStyle="1" w:styleId="51">
    <w:name w:val="标题 3 字符"/>
    <w:link w:val="6"/>
    <w:qFormat/>
    <w:uiPriority w:val="9"/>
    <w:rPr>
      <w:rFonts w:ascii="Times New Roman" w:hAnsi="Times New Roman" w:eastAsia="宋体" w:cs="Times New Roman"/>
      <w:b/>
      <w:bCs/>
      <w:kern w:val="0"/>
      <w:sz w:val="32"/>
      <w:szCs w:val="32"/>
    </w:rPr>
  </w:style>
  <w:style w:type="character" w:customStyle="1" w:styleId="52">
    <w:name w:val="标题 4 字符"/>
    <w:link w:val="7"/>
    <w:qFormat/>
    <w:uiPriority w:val="0"/>
    <w:rPr>
      <w:rFonts w:ascii="Cambria" w:hAnsi="Cambria" w:eastAsia="宋体" w:cs="Times New Roman"/>
      <w:b/>
      <w:bCs/>
      <w:kern w:val="0"/>
      <w:sz w:val="28"/>
      <w:szCs w:val="28"/>
    </w:rPr>
  </w:style>
  <w:style w:type="character" w:customStyle="1" w:styleId="53">
    <w:name w:val="标题 5 字符"/>
    <w:link w:val="8"/>
    <w:qFormat/>
    <w:uiPriority w:val="0"/>
    <w:rPr>
      <w:rFonts w:ascii="Times New Roman" w:hAnsi="Times New Roman" w:eastAsia="宋体" w:cs="Times New Roman"/>
      <w:b/>
      <w:bCs/>
      <w:szCs w:val="28"/>
    </w:rPr>
  </w:style>
  <w:style w:type="character" w:customStyle="1" w:styleId="54">
    <w:name w:val="标题 6 字符"/>
    <w:link w:val="9"/>
    <w:qFormat/>
    <w:uiPriority w:val="0"/>
    <w:rPr>
      <w:rFonts w:ascii="Times New Roman" w:hAnsi="Times New Roman" w:eastAsia="黑体"/>
      <w:bCs/>
      <w:sz w:val="24"/>
      <w:szCs w:val="21"/>
    </w:rPr>
  </w:style>
  <w:style w:type="character" w:customStyle="1" w:styleId="55">
    <w:name w:val="标题 7 字符"/>
    <w:link w:val="10"/>
    <w:qFormat/>
    <w:uiPriority w:val="0"/>
    <w:rPr>
      <w:rFonts w:ascii="Times New Roman" w:hAnsi="Times New Roman" w:eastAsia="宋体"/>
      <w:bCs/>
      <w:sz w:val="24"/>
      <w:szCs w:val="24"/>
      <w:lang w:eastAsia="en-US"/>
    </w:rPr>
  </w:style>
  <w:style w:type="character" w:customStyle="1" w:styleId="56">
    <w:name w:val="标题 8 字符"/>
    <w:link w:val="11"/>
    <w:qFormat/>
    <w:uiPriority w:val="0"/>
    <w:rPr>
      <w:rFonts w:ascii="Times New Roman" w:hAnsi="Times New Roman" w:eastAsia="宋体" w:cs="Times New Roman"/>
      <w:sz w:val="24"/>
      <w:szCs w:val="24"/>
      <w:lang w:eastAsia="en-US"/>
    </w:rPr>
  </w:style>
  <w:style w:type="character" w:customStyle="1" w:styleId="57">
    <w:name w:val="标题 9 字符"/>
    <w:link w:val="12"/>
    <w:qFormat/>
    <w:uiPriority w:val="0"/>
    <w:rPr>
      <w:rFonts w:ascii="Times New Roman" w:hAnsi="Times New Roman" w:eastAsia="宋体" w:cs="Times New Roman"/>
      <w:sz w:val="24"/>
      <w:szCs w:val="21"/>
      <w:lang w:eastAsia="en-US"/>
    </w:rPr>
  </w:style>
  <w:style w:type="character" w:customStyle="1" w:styleId="58">
    <w:name w:val="正文缩进 字符"/>
    <w:link w:val="14"/>
    <w:qFormat/>
    <w:uiPriority w:val="99"/>
    <w:rPr>
      <w:rFonts w:ascii="宋体" w:hAnsi="Times New Roman" w:eastAsia="宋体" w:cs="Times New Roman"/>
      <w:snapToGrid/>
      <w:color w:val="000000"/>
      <w:kern w:val="28"/>
      <w:sz w:val="28"/>
      <w:szCs w:val="20"/>
    </w:rPr>
  </w:style>
  <w:style w:type="character" w:customStyle="1" w:styleId="59">
    <w:name w:val="题注 字符"/>
    <w:link w:val="15"/>
    <w:qFormat/>
    <w:locked/>
    <w:uiPriority w:val="35"/>
    <w:rPr>
      <w:rFonts w:ascii="Times New Roman" w:hAnsi="Times New Roman" w:eastAsia="宋体"/>
      <w:szCs w:val="21"/>
    </w:rPr>
  </w:style>
  <w:style w:type="character" w:customStyle="1" w:styleId="60">
    <w:name w:val="文档结构图 字符"/>
    <w:link w:val="16"/>
    <w:qFormat/>
    <w:uiPriority w:val="99"/>
    <w:rPr>
      <w:rFonts w:ascii="Times New Roman" w:hAnsi="Times New Roman" w:eastAsia="宋体" w:cs="Times New Roman"/>
      <w:kern w:val="0"/>
      <w:sz w:val="2"/>
      <w:szCs w:val="20"/>
      <w:shd w:val="clear" w:color="auto" w:fill="000080"/>
    </w:rPr>
  </w:style>
  <w:style w:type="character" w:customStyle="1" w:styleId="61">
    <w:name w:val="批注文字 字符1"/>
    <w:link w:val="17"/>
    <w:qFormat/>
    <w:uiPriority w:val="0"/>
    <w:rPr>
      <w:rFonts w:ascii="Times New Roman" w:hAnsi="Times New Roman" w:eastAsia="宋体" w:cs="Times New Roman"/>
      <w:szCs w:val="20"/>
    </w:rPr>
  </w:style>
  <w:style w:type="character" w:customStyle="1" w:styleId="62">
    <w:name w:val="正文文本 字符"/>
    <w:link w:val="18"/>
    <w:qFormat/>
    <w:uiPriority w:val="0"/>
    <w:rPr>
      <w:rFonts w:ascii="Times New Roman" w:hAnsi="Times New Roman" w:eastAsia="宋体" w:cs="Times New Roman"/>
      <w:kern w:val="0"/>
      <w:sz w:val="20"/>
      <w:szCs w:val="20"/>
    </w:rPr>
  </w:style>
  <w:style w:type="character" w:customStyle="1" w:styleId="63">
    <w:name w:val="正文文本首行缩进 字符"/>
    <w:link w:val="19"/>
    <w:qFormat/>
    <w:uiPriority w:val="99"/>
  </w:style>
  <w:style w:type="character" w:customStyle="1" w:styleId="64">
    <w:name w:val="正文文本缩进 字符"/>
    <w:link w:val="20"/>
    <w:qFormat/>
    <w:uiPriority w:val="0"/>
    <w:rPr>
      <w:rFonts w:ascii="Times New Roman" w:hAnsi="Times New Roman" w:eastAsia="宋体" w:cs="Times New Roman"/>
      <w:kern w:val="0"/>
      <w:sz w:val="20"/>
      <w:szCs w:val="20"/>
    </w:rPr>
  </w:style>
  <w:style w:type="character" w:customStyle="1" w:styleId="65">
    <w:name w:val="纯文本 字符"/>
    <w:link w:val="23"/>
    <w:qFormat/>
    <w:uiPriority w:val="0"/>
    <w:rPr>
      <w:rFonts w:ascii="宋体" w:hAnsi="Courier New" w:eastAsia="宋体" w:cs="Times New Roman"/>
      <w:kern w:val="0"/>
      <w:szCs w:val="21"/>
    </w:rPr>
  </w:style>
  <w:style w:type="character" w:customStyle="1" w:styleId="66">
    <w:name w:val="日期 字符"/>
    <w:link w:val="24"/>
    <w:qFormat/>
    <w:uiPriority w:val="0"/>
    <w:rPr>
      <w:rFonts w:ascii="Times New Roman" w:hAnsi="Times New Roman" w:eastAsia="宋体" w:cs="Times New Roman"/>
      <w:sz w:val="28"/>
      <w:szCs w:val="20"/>
    </w:rPr>
  </w:style>
  <w:style w:type="character" w:customStyle="1" w:styleId="67">
    <w:name w:val="正文文本缩进 2 字符"/>
    <w:link w:val="25"/>
    <w:qFormat/>
    <w:uiPriority w:val="0"/>
    <w:rPr>
      <w:rFonts w:ascii="Times New Roman" w:hAnsi="Times New Roman" w:eastAsia="宋体" w:cs="Times New Roman"/>
      <w:kern w:val="0"/>
      <w:sz w:val="20"/>
      <w:szCs w:val="20"/>
    </w:rPr>
  </w:style>
  <w:style w:type="character" w:customStyle="1" w:styleId="68">
    <w:name w:val="批注框文本 字符"/>
    <w:link w:val="26"/>
    <w:qFormat/>
    <w:uiPriority w:val="99"/>
    <w:rPr>
      <w:rFonts w:ascii="Times New Roman" w:hAnsi="Times New Roman" w:eastAsia="宋体" w:cs="Times New Roman"/>
      <w:sz w:val="18"/>
      <w:szCs w:val="18"/>
    </w:rPr>
  </w:style>
  <w:style w:type="character" w:customStyle="1" w:styleId="69">
    <w:name w:val="页脚 字符"/>
    <w:link w:val="27"/>
    <w:qFormat/>
    <w:uiPriority w:val="99"/>
    <w:rPr>
      <w:sz w:val="18"/>
      <w:szCs w:val="18"/>
    </w:rPr>
  </w:style>
  <w:style w:type="character" w:customStyle="1" w:styleId="70">
    <w:name w:val="页眉 字符"/>
    <w:link w:val="28"/>
    <w:qFormat/>
    <w:uiPriority w:val="99"/>
    <w:rPr>
      <w:sz w:val="18"/>
      <w:szCs w:val="18"/>
    </w:rPr>
  </w:style>
  <w:style w:type="character" w:customStyle="1" w:styleId="71">
    <w:name w:val="正文文本缩进 3 字符"/>
    <w:link w:val="30"/>
    <w:qFormat/>
    <w:uiPriority w:val="0"/>
    <w:rPr>
      <w:rFonts w:ascii="Times New Roman" w:hAnsi="Times New Roman" w:eastAsia="宋体" w:cs="Times New Roman"/>
      <w:sz w:val="16"/>
      <w:szCs w:val="16"/>
    </w:rPr>
  </w:style>
  <w:style w:type="character" w:customStyle="1" w:styleId="72">
    <w:name w:val="正文文本 2 字符"/>
    <w:link w:val="32"/>
    <w:qFormat/>
    <w:uiPriority w:val="0"/>
    <w:rPr>
      <w:rFonts w:ascii="Times New Roman" w:hAnsi="Times New Roman" w:eastAsia="宋体" w:cs="Times New Roman"/>
      <w:kern w:val="0"/>
      <w:sz w:val="20"/>
      <w:szCs w:val="20"/>
    </w:rPr>
  </w:style>
  <w:style w:type="character" w:customStyle="1" w:styleId="73">
    <w:name w:val="批注主题 字符"/>
    <w:link w:val="35"/>
    <w:qFormat/>
    <w:uiPriority w:val="99"/>
    <w:rPr>
      <w:rFonts w:ascii="Times New Roman" w:hAnsi="Times New Roman" w:eastAsia="宋体" w:cs="Times New Roman"/>
      <w:b/>
      <w:bCs/>
      <w:szCs w:val="20"/>
    </w:rPr>
  </w:style>
  <w:style w:type="character" w:customStyle="1" w:styleId="74">
    <w:name w:val="正文文本首行缩进 2 字符"/>
    <w:link w:val="36"/>
    <w:qFormat/>
    <w:uiPriority w:val="0"/>
  </w:style>
  <w:style w:type="character" w:customStyle="1" w:styleId="75">
    <w:name w:val="font61"/>
    <w:qFormat/>
    <w:uiPriority w:val="0"/>
    <w:rPr>
      <w:rFonts w:hint="eastAsia" w:ascii="宋体" w:hAnsi="宋体" w:eastAsia="宋体" w:cs="宋体"/>
      <w:color w:val="000000"/>
      <w:sz w:val="20"/>
      <w:szCs w:val="20"/>
      <w:u w:val="none"/>
    </w:rPr>
  </w:style>
  <w:style w:type="character" w:customStyle="1" w:styleId="76">
    <w:name w:val="_正文段落 Char"/>
    <w:link w:val="77"/>
    <w:qFormat/>
    <w:uiPriority w:val="0"/>
    <w:rPr>
      <w:rFonts w:ascii="仿宋_GB2312" w:eastAsia="仿宋_GB2312"/>
      <w:sz w:val="28"/>
      <w:szCs w:val="24"/>
    </w:rPr>
  </w:style>
  <w:style w:type="paragraph" w:customStyle="1" w:styleId="77">
    <w:name w:val="_正文段落"/>
    <w:basedOn w:val="1"/>
    <w:link w:val="76"/>
    <w:qFormat/>
    <w:uiPriority w:val="0"/>
    <w:pPr>
      <w:spacing w:line="360" w:lineRule="auto"/>
      <w:ind w:firstLine="200" w:firstLineChars="200"/>
    </w:pPr>
    <w:rPr>
      <w:rFonts w:ascii="仿宋_GB2312" w:eastAsia="仿宋_GB2312"/>
      <w:kern w:val="0"/>
      <w:sz w:val="28"/>
      <w:szCs w:val="24"/>
    </w:rPr>
  </w:style>
  <w:style w:type="character" w:customStyle="1" w:styleId="78">
    <w:name w:val="普通文字 Char Char2"/>
    <w:qFormat/>
    <w:locked/>
    <w:uiPriority w:val="0"/>
    <w:rPr>
      <w:rFonts w:ascii="宋体" w:hAnsi="Courier New" w:eastAsia="宋体" w:cs="Times New Roman"/>
      <w:kern w:val="2"/>
      <w:sz w:val="21"/>
      <w:lang w:val="en-US" w:eastAsia="zh-CN" w:bidi="ar-SA"/>
    </w:rPr>
  </w:style>
  <w:style w:type="character" w:customStyle="1" w:styleId="79">
    <w:name w:val="正文（1） Char"/>
    <w:link w:val="80"/>
    <w:qFormat/>
    <w:uiPriority w:val="0"/>
    <w:rPr>
      <w:rFonts w:ascii="Times New Roman" w:hAnsi="Times New Roman" w:eastAsia="宋体"/>
      <w:sz w:val="24"/>
      <w:szCs w:val="21"/>
    </w:rPr>
  </w:style>
  <w:style w:type="paragraph" w:customStyle="1" w:styleId="80">
    <w:name w:val="正文（1）"/>
    <w:basedOn w:val="1"/>
    <w:link w:val="79"/>
    <w:qFormat/>
    <w:uiPriority w:val="0"/>
    <w:pPr>
      <w:numPr>
        <w:ilvl w:val="0"/>
        <w:numId w:val="4"/>
      </w:numPr>
      <w:spacing w:line="360" w:lineRule="auto"/>
    </w:pPr>
    <w:rPr>
      <w:kern w:val="0"/>
      <w:sz w:val="24"/>
      <w:szCs w:val="21"/>
    </w:rPr>
  </w:style>
  <w:style w:type="character" w:customStyle="1" w:styleId="81">
    <w:name w:val="标题2 Char Char"/>
    <w:link w:val="82"/>
    <w:qFormat/>
    <w:uiPriority w:val="0"/>
    <w:rPr>
      <w:rFonts w:ascii="宋体" w:hAnsi="Times New Roman" w:eastAsia="宋体" w:cs="Times New Roman"/>
      <w:b/>
      <w:kern w:val="0"/>
      <w:sz w:val="24"/>
      <w:szCs w:val="20"/>
    </w:rPr>
  </w:style>
  <w:style w:type="paragraph" w:customStyle="1" w:styleId="82">
    <w:name w:val="标题2"/>
    <w:basedOn w:val="1"/>
    <w:link w:val="81"/>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83">
    <w:name w:val="表格正文 Char"/>
    <w:link w:val="84"/>
    <w:qFormat/>
    <w:uiPriority w:val="0"/>
    <w:rPr>
      <w:rFonts w:ascii="Times New Roman" w:hAnsi="Times New Roman" w:eastAsia="宋体"/>
      <w:szCs w:val="21"/>
    </w:rPr>
  </w:style>
  <w:style w:type="paragraph" w:customStyle="1" w:styleId="84">
    <w:name w:val="表格正文"/>
    <w:basedOn w:val="1"/>
    <w:link w:val="83"/>
    <w:qFormat/>
    <w:uiPriority w:val="0"/>
    <w:pPr>
      <w:jc w:val="left"/>
    </w:pPr>
    <w:rPr>
      <w:kern w:val="0"/>
      <w:sz w:val="20"/>
      <w:szCs w:val="21"/>
    </w:rPr>
  </w:style>
  <w:style w:type="character" w:customStyle="1" w:styleId="85">
    <w:name w:val="正文2 Char Char"/>
    <w:link w:val="86"/>
    <w:qFormat/>
    <w:uiPriority w:val="0"/>
    <w:rPr>
      <w:rFonts w:eastAsia="宋体"/>
      <w:sz w:val="24"/>
    </w:rPr>
  </w:style>
  <w:style w:type="paragraph" w:customStyle="1" w:styleId="86">
    <w:name w:val="正文2"/>
    <w:basedOn w:val="1"/>
    <w:link w:val="85"/>
    <w:qFormat/>
    <w:uiPriority w:val="0"/>
    <w:pPr>
      <w:spacing w:before="156" w:line="360" w:lineRule="auto"/>
      <w:ind w:firstLine="510" w:firstLineChars="200"/>
    </w:pPr>
    <w:rPr>
      <w:kern w:val="0"/>
      <w:sz w:val="24"/>
    </w:rPr>
  </w:style>
  <w:style w:type="character" w:customStyle="1" w:styleId="87">
    <w:name w:val="纯文本 Char1"/>
    <w:qFormat/>
    <w:uiPriority w:val="99"/>
    <w:rPr>
      <w:rFonts w:ascii="宋体" w:hAnsi="Courier New" w:eastAsia="宋体"/>
      <w:kern w:val="2"/>
      <w:sz w:val="21"/>
      <w:lang w:val="en-US" w:eastAsia="zh-CN" w:bidi="ar-SA"/>
    </w:rPr>
  </w:style>
  <w:style w:type="character" w:customStyle="1" w:styleId="88">
    <w:name w:val="表格文字 Char Char"/>
    <w:link w:val="89"/>
    <w:qFormat/>
    <w:uiPriority w:val="99"/>
    <w:rPr>
      <w:rFonts w:ascii="宋体" w:hAnsi="宋体" w:eastAsia="宋体" w:cs="Times New Roman"/>
      <w:bCs/>
      <w:spacing w:val="-4"/>
      <w:kern w:val="0"/>
      <w:sz w:val="32"/>
      <w:szCs w:val="32"/>
      <w:lang w:val="zh-CN"/>
    </w:rPr>
  </w:style>
  <w:style w:type="paragraph" w:customStyle="1" w:styleId="89">
    <w:name w:val="表格文字"/>
    <w:basedOn w:val="1"/>
    <w:next w:val="18"/>
    <w:link w:val="88"/>
    <w:qFormat/>
    <w:uiPriority w:val="99"/>
    <w:pPr>
      <w:jc w:val="left"/>
    </w:pPr>
    <w:rPr>
      <w:rFonts w:ascii="宋体" w:hAnsi="宋体"/>
      <w:bCs/>
      <w:spacing w:val="-4"/>
      <w:kern w:val="0"/>
      <w:sz w:val="32"/>
      <w:szCs w:val="32"/>
      <w:lang w:val="zh-CN"/>
    </w:rPr>
  </w:style>
  <w:style w:type="character" w:customStyle="1" w:styleId="90">
    <w:name w:val="font01"/>
    <w:qFormat/>
    <w:uiPriority w:val="0"/>
    <w:rPr>
      <w:rFonts w:hint="eastAsia" w:ascii="宋体" w:hAnsi="宋体" w:eastAsia="宋体" w:cs="宋体"/>
      <w:b/>
      <w:color w:val="333333"/>
      <w:sz w:val="24"/>
      <w:szCs w:val="24"/>
      <w:u w:val="none"/>
    </w:rPr>
  </w:style>
  <w:style w:type="character" w:customStyle="1" w:styleId="91">
    <w:name w:val="ca-31"/>
    <w:qFormat/>
    <w:uiPriority w:val="0"/>
    <w:rPr>
      <w:rFonts w:hint="eastAsia" w:ascii="宋体" w:hAnsi="宋体" w:eastAsia="宋体"/>
      <w:sz w:val="21"/>
      <w:szCs w:val="21"/>
    </w:rPr>
  </w:style>
  <w:style w:type="character" w:customStyle="1" w:styleId="92">
    <w:name w:val="ca-51"/>
    <w:qFormat/>
    <w:uiPriority w:val="0"/>
    <w:rPr>
      <w:rFonts w:hint="eastAsia" w:ascii="宋体" w:hAnsi="宋体" w:eastAsia="宋体"/>
      <w:color w:val="FF0000"/>
      <w:sz w:val="21"/>
      <w:szCs w:val="21"/>
    </w:rPr>
  </w:style>
  <w:style w:type="character" w:customStyle="1" w:styleId="93">
    <w:name w:val="内容"/>
    <w:qFormat/>
    <w:uiPriority w:val="0"/>
    <w:rPr>
      <w:rFonts w:ascii="华文细黑" w:eastAsia="华文细黑"/>
      <w:color w:val="75787B"/>
      <w:sz w:val="20"/>
      <w:u w:val="none"/>
    </w:rPr>
  </w:style>
  <w:style w:type="character" w:customStyle="1" w:styleId="94">
    <w:name w:val="主体 Char Char"/>
    <w:link w:val="95"/>
    <w:qFormat/>
    <w:uiPriority w:val="99"/>
    <w:rPr>
      <w:rFonts w:ascii="宋体" w:hAnsi="宋体" w:eastAsia="宋体" w:cs="Times New Roman"/>
      <w:kern w:val="58"/>
      <w:sz w:val="24"/>
      <w:szCs w:val="24"/>
    </w:rPr>
  </w:style>
  <w:style w:type="paragraph" w:customStyle="1" w:styleId="95">
    <w:name w:val="主体"/>
    <w:basedOn w:val="1"/>
    <w:link w:val="94"/>
    <w:qFormat/>
    <w:uiPriority w:val="99"/>
    <w:pPr>
      <w:spacing w:line="360" w:lineRule="auto"/>
      <w:ind w:firstLine="480" w:firstLineChars="200"/>
    </w:pPr>
    <w:rPr>
      <w:rFonts w:ascii="宋体" w:hAnsi="宋体"/>
      <w:kern w:val="58"/>
      <w:sz w:val="24"/>
      <w:szCs w:val="24"/>
    </w:rPr>
  </w:style>
  <w:style w:type="character" w:customStyle="1" w:styleId="96">
    <w:name w:val="Char Char15"/>
    <w:qFormat/>
    <w:uiPriority w:val="0"/>
    <w:rPr>
      <w:rFonts w:ascii="Arial" w:hAnsi="Arial" w:eastAsia="黑体"/>
      <w:b/>
      <w:bCs/>
      <w:kern w:val="2"/>
      <w:sz w:val="28"/>
      <w:szCs w:val="28"/>
      <w:lang w:val="en-US" w:eastAsia="zh-CN" w:bidi="ar-SA"/>
    </w:rPr>
  </w:style>
  <w:style w:type="character" w:customStyle="1" w:styleId="97">
    <w:name w:val="标准正文 Char"/>
    <w:qFormat/>
    <w:uiPriority w:val="0"/>
    <w:rPr>
      <w:kern w:val="2"/>
      <w:sz w:val="24"/>
      <w:szCs w:val="24"/>
    </w:rPr>
  </w:style>
  <w:style w:type="character" w:customStyle="1" w:styleId="98">
    <w:name w:val="NormalCharacter"/>
    <w:semiHidden/>
    <w:qFormat/>
    <w:uiPriority w:val="0"/>
  </w:style>
  <w:style w:type="paragraph" w:customStyle="1" w:styleId="99">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此正文"/>
    <w:basedOn w:val="1"/>
    <w:qFormat/>
    <w:uiPriority w:val="0"/>
    <w:pPr>
      <w:spacing w:line="360" w:lineRule="auto"/>
      <w:ind w:firstLine="200" w:firstLineChars="200"/>
    </w:pPr>
    <w:rPr>
      <w:sz w:val="24"/>
      <w:szCs w:val="24"/>
    </w:rPr>
  </w:style>
  <w:style w:type="paragraph" w:customStyle="1" w:styleId="103">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修订1"/>
    <w:unhideWhenUsed/>
    <w:qFormat/>
    <w:uiPriority w:val="99"/>
    <w:rPr>
      <w:rFonts w:ascii="Times New Roman" w:hAnsi="Times New Roman" w:eastAsia="宋体" w:cs="Times New Roman"/>
      <w:kern w:val="2"/>
      <w:sz w:val="21"/>
      <w:lang w:val="en-US" w:eastAsia="zh-CN" w:bidi="ar-SA"/>
    </w:rPr>
  </w:style>
  <w:style w:type="paragraph" w:customStyle="1" w:styleId="105">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标书正文"/>
    <w:basedOn w:val="1"/>
    <w:qFormat/>
    <w:uiPriority w:val="99"/>
    <w:pPr>
      <w:ind w:firstLine="480" w:firstLineChars="200"/>
    </w:pPr>
  </w:style>
  <w:style w:type="paragraph" w:customStyle="1" w:styleId="107">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Char Char Char"/>
    <w:basedOn w:val="1"/>
    <w:qFormat/>
    <w:uiPriority w:val="0"/>
    <w:rPr>
      <w:rFonts w:ascii="Tahoma" w:hAnsi="Tahoma"/>
      <w:sz w:val="24"/>
    </w:rPr>
  </w:style>
  <w:style w:type="paragraph" w:customStyle="1" w:styleId="110">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Char2"/>
    <w:basedOn w:val="1"/>
    <w:qFormat/>
    <w:uiPriority w:val="0"/>
    <w:pPr>
      <w:tabs>
        <w:tab w:val="left" w:pos="720"/>
      </w:tabs>
      <w:ind w:left="720" w:hanging="360"/>
    </w:pPr>
    <w:rPr>
      <w:sz w:val="24"/>
      <w:szCs w:val="24"/>
    </w:rPr>
  </w:style>
  <w:style w:type="paragraph" w:customStyle="1" w:styleId="113">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Char Char Char Char Char Char"/>
    <w:basedOn w:val="1"/>
    <w:qFormat/>
    <w:uiPriority w:val="0"/>
    <w:pPr>
      <w:ind w:firstLine="200" w:firstLineChars="200"/>
    </w:pPr>
    <w:rPr>
      <w:rFonts w:ascii="Tahoma" w:hAnsi="Tahoma"/>
      <w:sz w:val="24"/>
    </w:rPr>
  </w:style>
  <w:style w:type="paragraph" w:customStyle="1" w:styleId="116">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Char2 Char Char"/>
    <w:basedOn w:val="1"/>
    <w:qFormat/>
    <w:uiPriority w:val="0"/>
    <w:rPr>
      <w:rFonts w:ascii="Tahoma" w:hAnsi="Tahoma"/>
      <w:sz w:val="24"/>
    </w:rPr>
  </w:style>
  <w:style w:type="paragraph" w:customStyle="1" w:styleId="119">
    <w:name w:val="表注"/>
    <w:basedOn w:val="1"/>
    <w:qFormat/>
    <w:uiPriority w:val="0"/>
    <w:pPr>
      <w:numPr>
        <w:ilvl w:val="0"/>
        <w:numId w:val="5"/>
      </w:numPr>
      <w:spacing w:line="360" w:lineRule="auto"/>
      <w:ind w:left="0" w:firstLine="0"/>
      <w:jc w:val="center"/>
    </w:pPr>
    <w:rPr>
      <w:szCs w:val="21"/>
    </w:rPr>
  </w:style>
  <w:style w:type="paragraph" w:customStyle="1" w:styleId="120">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
    <w:name w:val="!标题3 Ctrl+3"/>
    <w:basedOn w:val="6"/>
    <w:next w:val="1"/>
    <w:qFormat/>
    <w:uiPriority w:val="0"/>
    <w:pPr>
      <w:keepNext w:val="0"/>
      <w:numPr>
        <w:ilvl w:val="2"/>
        <w:numId w:val="1"/>
      </w:numPr>
      <w:tabs>
        <w:tab w:val="clear" w:pos="720"/>
      </w:tabs>
      <w:adjustRightInd w:val="0"/>
      <w:snapToGrid w:val="0"/>
      <w:spacing w:before="120" w:beforeLines="75" w:after="120" w:afterLines="25" w:line="360" w:lineRule="auto"/>
      <w:ind w:left="709"/>
      <w:jc w:val="left"/>
    </w:pPr>
    <w:rPr>
      <w:rFonts w:ascii="Arial" w:hAnsi="Arial" w:eastAsia="黑体"/>
      <w:b w:val="0"/>
      <w:kern w:val="2"/>
      <w:lang w:val="zh-CN"/>
    </w:rPr>
  </w:style>
  <w:style w:type="paragraph" w:customStyle="1" w:styleId="122">
    <w:name w:val="文档正文"/>
    <w:basedOn w:val="33"/>
    <w:qFormat/>
    <w:uiPriority w:val="0"/>
    <w:pPr>
      <w:shd w:val="clear" w:color="auto" w:fill="FFFFFF"/>
      <w:spacing w:beforeLines="50" w:beforeAutospacing="0" w:after="0" w:afterAutospacing="0" w:line="360" w:lineRule="auto"/>
      <w:ind w:firstLine="560" w:firstLineChars="200"/>
      <w:jc w:val="both"/>
    </w:pPr>
    <w:rPr>
      <w:rFonts w:eastAsia="仿宋" w:cs="Times New Roman"/>
      <w:sz w:val="28"/>
      <w:szCs w:val="32"/>
    </w:rPr>
  </w:style>
  <w:style w:type="paragraph" w:customStyle="1" w:styleId="12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25">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表格文字2"/>
    <w:basedOn w:val="89"/>
    <w:qFormat/>
    <w:uiPriority w:val="99"/>
    <w:pPr>
      <w:jc w:val="both"/>
    </w:pPr>
  </w:style>
  <w:style w:type="paragraph" w:customStyle="1" w:styleId="127">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
    <w:name w:val="!标题2 Ctrl+2"/>
    <w:basedOn w:val="4"/>
    <w:next w:val="16"/>
    <w:qFormat/>
    <w:uiPriority w:val="0"/>
    <w:pPr>
      <w:keepNext w:val="0"/>
      <w:adjustRightInd w:val="0"/>
      <w:snapToGrid w:val="0"/>
      <w:spacing w:before="240" w:beforeLines="200" w:after="120" w:afterLines="50" w:line="360" w:lineRule="auto"/>
      <w:ind w:left="284"/>
      <w:jc w:val="left"/>
    </w:pPr>
    <w:rPr>
      <w:rFonts w:ascii="Times New Roman" w:hAnsi="Times New Roman" w:eastAsia="黑体"/>
      <w:b w:val="0"/>
      <w:sz w:val="36"/>
      <w:szCs w:val="36"/>
      <w:lang w:val="zh-CN"/>
    </w:rPr>
  </w:style>
  <w:style w:type="paragraph" w:customStyle="1" w:styleId="129">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
    <w:name w:val="Table Paragraph"/>
    <w:basedOn w:val="1"/>
    <w:qFormat/>
    <w:uiPriority w:val="1"/>
    <w:rPr>
      <w:rFonts w:ascii="Calibri" w:hAnsi="Calibri"/>
      <w:sz w:val="22"/>
      <w:szCs w:val="22"/>
      <w:lang w:eastAsia="en-US"/>
    </w:rPr>
  </w:style>
  <w:style w:type="paragraph" w:customStyle="1" w:styleId="132">
    <w:name w:val="Char11"/>
    <w:basedOn w:val="16"/>
    <w:qFormat/>
    <w:uiPriority w:val="0"/>
    <w:pPr>
      <w:adjustRightInd w:val="0"/>
      <w:spacing w:line="436" w:lineRule="exact"/>
      <w:ind w:left="357"/>
      <w:jc w:val="left"/>
      <w:outlineLvl w:val="3"/>
    </w:pPr>
    <w:rPr>
      <w:rFonts w:ascii="Tahoma" w:hAnsi="Tahoma"/>
      <w:b/>
      <w:sz w:val="24"/>
      <w:szCs w:val="24"/>
    </w:rPr>
  </w:style>
  <w:style w:type="paragraph" w:styleId="133">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34">
    <w:name w:val="表"/>
    <w:basedOn w:val="1"/>
    <w:qFormat/>
    <w:uiPriority w:val="0"/>
    <w:pPr>
      <w:spacing w:line="360" w:lineRule="auto"/>
    </w:pPr>
    <w:rPr>
      <w:rFonts w:cs="Garamond"/>
      <w:b/>
      <w:bCs/>
      <w:color w:val="FF0000"/>
    </w:rPr>
  </w:style>
  <w:style w:type="paragraph" w:customStyle="1" w:styleId="135">
    <w:name w:val="!标题1 Ctrl+1"/>
    <w:basedOn w:val="3"/>
    <w:next w:val="1"/>
    <w:qFormat/>
    <w:uiPriority w:val="0"/>
    <w:pPr>
      <w:keepNext w:val="0"/>
      <w:keepLines w:val="0"/>
      <w:pageBreakBefore/>
      <w:tabs>
        <w:tab w:val="center" w:pos="0"/>
        <w:tab w:val="left" w:pos="425"/>
        <w:tab w:val="left" w:pos="3402"/>
        <w:tab w:val="left" w:pos="3828"/>
      </w:tabs>
      <w:adjustRightInd w:val="0"/>
      <w:snapToGrid w:val="0"/>
      <w:spacing w:before="240" w:after="240" w:line="240" w:lineRule="auto"/>
      <w:ind w:left="425" w:hanging="425"/>
    </w:pPr>
    <w:rPr>
      <w:rFonts w:ascii="Arial" w:hAnsi="Arial" w:eastAsia="黑体"/>
      <w:b w:val="0"/>
      <w:kern w:val="2"/>
    </w:rPr>
  </w:style>
  <w:style w:type="paragraph" w:customStyle="1" w:styleId="136">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
    <w:name w:val="修订2"/>
    <w:unhideWhenUsed/>
    <w:qFormat/>
    <w:uiPriority w:val="99"/>
    <w:rPr>
      <w:rFonts w:ascii="Times New Roman" w:hAnsi="Times New Roman" w:eastAsia="宋体" w:cs="Times New Roman"/>
      <w:kern w:val="2"/>
      <w:sz w:val="21"/>
      <w:lang w:val="en-US" w:eastAsia="zh-CN" w:bidi="ar-SA"/>
    </w:rPr>
  </w:style>
  <w:style w:type="paragraph" w:customStyle="1" w:styleId="139">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Char1"/>
    <w:basedOn w:val="16"/>
    <w:qFormat/>
    <w:uiPriority w:val="0"/>
    <w:pPr>
      <w:adjustRightInd w:val="0"/>
      <w:spacing w:line="436" w:lineRule="exact"/>
      <w:ind w:left="357"/>
      <w:jc w:val="left"/>
      <w:outlineLvl w:val="3"/>
    </w:pPr>
  </w:style>
  <w:style w:type="paragraph" w:customStyle="1" w:styleId="142">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145">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表格表头"/>
    <w:basedOn w:val="1"/>
    <w:qFormat/>
    <w:uiPriority w:val="0"/>
    <w:pPr>
      <w:jc w:val="center"/>
    </w:pPr>
    <w:rPr>
      <w:rFonts w:eastAsia="黑体"/>
      <w:sz w:val="24"/>
      <w:szCs w:val="21"/>
    </w:rPr>
  </w:style>
  <w:style w:type="paragraph" w:customStyle="1" w:styleId="150">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styleId="152">
    <w:name w:val="List Paragraph"/>
    <w:basedOn w:val="1"/>
    <w:qFormat/>
    <w:uiPriority w:val="34"/>
    <w:pPr>
      <w:ind w:firstLine="420" w:firstLineChars="200"/>
    </w:pPr>
  </w:style>
  <w:style w:type="paragraph" w:customStyle="1" w:styleId="153">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标题4 Ctrl+4"/>
    <w:basedOn w:val="1"/>
    <w:next w:val="1"/>
    <w:qFormat/>
    <w:uiPriority w:val="0"/>
    <w:pPr>
      <w:tabs>
        <w:tab w:val="left" w:pos="851"/>
      </w:tabs>
      <w:adjustRightInd w:val="0"/>
      <w:snapToGrid w:val="0"/>
      <w:spacing w:before="156" w:beforeLines="50" w:after="156" w:afterLines="50" w:line="360" w:lineRule="auto"/>
      <w:ind w:left="851" w:firstLine="200" w:firstLineChars="200"/>
      <w:outlineLvl w:val="3"/>
    </w:pPr>
    <w:rPr>
      <w:rFonts w:ascii="Arial" w:hAnsi="Arial" w:eastAsia="黑体"/>
      <w:b/>
      <w:sz w:val="30"/>
      <w:szCs w:val="30"/>
    </w:rPr>
  </w:style>
  <w:style w:type="paragraph" w:customStyle="1" w:styleId="155">
    <w:name w:val="TOC 标题1"/>
    <w:basedOn w:val="3"/>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56">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_Style 150"/>
    <w:unhideWhenUsed/>
    <w:qFormat/>
    <w:uiPriority w:val="99"/>
    <w:rPr>
      <w:rFonts w:ascii="Times New Roman" w:hAnsi="Times New Roman" w:eastAsia="宋体" w:cs="Times New Roman"/>
      <w:kern w:val="2"/>
      <w:sz w:val="21"/>
      <w:lang w:val="en-US" w:eastAsia="zh-CN" w:bidi="ar-SA"/>
    </w:rPr>
  </w:style>
  <w:style w:type="paragraph" w:customStyle="1" w:styleId="158">
    <w:name w:val="Char"/>
    <w:basedOn w:val="1"/>
    <w:qFormat/>
    <w:uiPriority w:val="0"/>
    <w:pPr>
      <w:widowControl/>
      <w:spacing w:line="400" w:lineRule="exact"/>
      <w:jc w:val="center"/>
    </w:pPr>
    <w:rPr>
      <w:rFonts w:ascii="Verdana" w:hAnsi="Verdana"/>
      <w:kern w:val="0"/>
      <w:lang w:eastAsia="en-US"/>
    </w:rPr>
  </w:style>
  <w:style w:type="paragraph" w:customStyle="1" w:styleId="159">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1">
    <w:name w:val="Char Char2"/>
    <w:basedOn w:val="1"/>
    <w:qFormat/>
    <w:uiPriority w:val="0"/>
    <w:rPr>
      <w:rFonts w:ascii="宋体" w:hAnsi="宋体"/>
      <w:b/>
      <w:sz w:val="28"/>
      <w:szCs w:val="28"/>
    </w:rPr>
  </w:style>
  <w:style w:type="paragraph" w:customStyle="1" w:styleId="162">
    <w:name w:val="*正文"/>
    <w:basedOn w:val="1"/>
    <w:qFormat/>
    <w:uiPriority w:val="0"/>
    <w:pPr>
      <w:widowControl/>
      <w:spacing w:line="360" w:lineRule="auto"/>
      <w:ind w:firstLine="200" w:firstLineChars="200"/>
    </w:pPr>
    <w:rPr>
      <w:rFonts w:ascii="宋体" w:hAnsi="宋体"/>
      <w:kern w:val="0"/>
      <w:sz w:val="24"/>
      <w:szCs w:val="24"/>
    </w:rPr>
  </w:style>
  <w:style w:type="paragraph" w:customStyle="1" w:styleId="16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4">
    <w:name w:val="No Spacing1"/>
    <w:basedOn w:val="1"/>
    <w:qFormat/>
    <w:uiPriority w:val="0"/>
    <w:rPr>
      <w:rFonts w:ascii="等线" w:hAnsi="等线" w:eastAsia="等线"/>
      <w:szCs w:val="21"/>
    </w:rPr>
  </w:style>
  <w:style w:type="paragraph" w:customStyle="1" w:styleId="165">
    <w:name w:val="表格小4字"/>
    <w:qFormat/>
    <w:uiPriority w:val="0"/>
    <w:pPr>
      <w:adjustRightInd w:val="0"/>
      <w:snapToGrid w:val="0"/>
      <w:spacing w:line="300" w:lineRule="auto"/>
    </w:pPr>
    <w:rPr>
      <w:rFonts w:ascii="仿宋" w:hAnsi="仿宋" w:eastAsia="仿宋" w:cs="Times New Roman"/>
      <w:kern w:val="2"/>
      <w:sz w:val="24"/>
      <w:szCs w:val="28"/>
      <w:lang w:val="en-US" w:eastAsia="zh-CN" w:bidi="ar-SA"/>
    </w:rPr>
  </w:style>
  <w:style w:type="character" w:customStyle="1" w:styleId="166">
    <w:name w:val="批注文字 字符"/>
    <w:qFormat/>
    <w:uiPriority w:val="0"/>
    <w:rPr>
      <w:rFonts w:ascii="Times New Roman" w:hAnsi="Times New Roman" w:eastAsia="宋体" w:cs="Times New Roman"/>
      <w:kern w:val="0"/>
      <w:sz w:val="20"/>
      <w:szCs w:val="20"/>
    </w:rPr>
  </w:style>
  <w:style w:type="table" w:customStyle="1" w:styleId="167">
    <w:name w:val="网格型2"/>
    <w:qFormat/>
    <w:uiPriority w:val="39"/>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68">
    <w:name w:val="标题-正文"/>
    <w:basedOn w:val="1"/>
    <w:qFormat/>
    <w:uiPriority w:val="7"/>
    <w:pPr>
      <w:adjustRightInd w:val="0"/>
      <w:spacing w:line="360" w:lineRule="auto"/>
      <w:jc w:val="left"/>
    </w:pPr>
    <w:rPr>
      <w:rFonts w:cstheme="min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182</Pages>
  <Words>23153</Words>
  <Characters>131973</Characters>
  <Lines>1099</Lines>
  <Paragraphs>309</Paragraphs>
  <TotalTime>19</TotalTime>
  <ScaleCrop>false</ScaleCrop>
  <LinksUpToDate>false</LinksUpToDate>
  <CharactersWithSpaces>154817</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2023-12-03T17:18:00Z</dcterms:created>
  <dc:creator>Administrator</dc:creator>
  <cp:lastModifiedBy>戴佳颖</cp:lastModifiedBy>
  <cp:lastPrinted>2023-12-02T00:14:00Z</cp:lastPrinted>
  <dcterms:modified xsi:type="dcterms:W3CDTF">2024-02-05T14:25:51Z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6EDCE1DE18DD33A56F7FC065CA0A3C0B_43</vt:lpwstr>
  </property>
</Properties>
</file>