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after="120" w:line="600" w:lineRule="exact"/>
        <w:jc w:val="center"/>
        <w:rPr>
          <w:rFonts w:ascii="宋体" w:hAnsi="宋体"/>
          <w:b/>
          <w:color w:val="000000" w:themeColor="text1"/>
          <w:sz w:val="40"/>
          <w:szCs w:val="32"/>
          <w14:textFill>
            <w14:solidFill>
              <w14:schemeClr w14:val="tx1"/>
            </w14:solidFill>
          </w14:textFill>
        </w:rPr>
      </w:pPr>
    </w:p>
    <w:p>
      <w:pPr>
        <w:spacing w:after="120" w:line="700" w:lineRule="exact"/>
        <w:jc w:val="center"/>
        <w:rPr>
          <w:rFonts w:ascii="宋体" w:hAnsi="宋体"/>
          <w:b/>
          <w:color w:val="000000" w:themeColor="text1"/>
          <w:sz w:val="40"/>
          <w:szCs w:val="50"/>
          <w14:textFill>
            <w14:solidFill>
              <w14:schemeClr w14:val="tx1"/>
            </w14:solidFill>
          </w14:textFill>
        </w:rPr>
      </w:pPr>
    </w:p>
    <w:p>
      <w:pPr>
        <w:spacing w:after="120" w:line="360" w:lineRule="auto"/>
        <w:jc w:val="center"/>
        <w:rPr>
          <w:rFonts w:ascii="宋体" w:hAnsi="宋体"/>
          <w:b/>
          <w:sz w:val="48"/>
        </w:rPr>
      </w:pPr>
      <w:r>
        <w:rPr>
          <w:rFonts w:hint="eastAsia" w:ascii="宋体" w:hAnsi="宋体"/>
          <w:b/>
          <w:sz w:val="48"/>
        </w:rPr>
        <w:t>政府采购项目</w:t>
      </w:r>
    </w:p>
    <w:p>
      <w:pPr>
        <w:spacing w:after="120" w:line="360" w:lineRule="auto"/>
        <w:jc w:val="center"/>
        <w:rPr>
          <w:rFonts w:ascii="宋体" w:hAnsi="宋体"/>
          <w:b/>
          <w:sz w:val="72"/>
        </w:rPr>
      </w:pPr>
      <w:bookmarkStart w:id="0" w:name="_Hlk100132314"/>
      <w:r>
        <w:rPr>
          <w:rFonts w:hint="eastAsia" w:ascii="宋体" w:hAnsi="宋体"/>
          <w:b/>
          <w:sz w:val="72"/>
        </w:rPr>
        <w:t>公开招标采购文件</w:t>
      </w:r>
      <w:bookmarkEnd w:id="0"/>
    </w:p>
    <w:p>
      <w:pPr>
        <w:ind w:left="424" w:leftChars="202"/>
        <w:rPr>
          <w:rFonts w:ascii="宋体" w:hAnsi="宋体"/>
          <w:b/>
          <w:color w:val="000000" w:themeColor="text1"/>
          <w:sz w:val="36"/>
          <w:szCs w:val="36"/>
          <w14:textFill>
            <w14:solidFill>
              <w14:schemeClr w14:val="tx1"/>
            </w14:solidFill>
          </w14:textFill>
        </w:rPr>
      </w:pPr>
    </w:p>
    <w:p>
      <w:pPr>
        <w:spacing w:line="600" w:lineRule="exact"/>
        <w:ind w:left="424" w:leftChars="202"/>
        <w:rPr>
          <w:rFonts w:ascii="宋体" w:hAnsi="宋体"/>
          <w:b/>
          <w:color w:val="000000" w:themeColor="text1"/>
          <w:sz w:val="28"/>
          <w:szCs w:val="28"/>
          <w14:textFill>
            <w14:solidFill>
              <w14:schemeClr w14:val="tx1"/>
            </w14:solidFill>
          </w14:textFill>
        </w:rPr>
      </w:pPr>
    </w:p>
    <w:p>
      <w:pPr>
        <w:spacing w:line="600" w:lineRule="exact"/>
        <w:ind w:left="424" w:leftChars="202"/>
        <w:rPr>
          <w:rFonts w:ascii="宋体" w:hAnsi="宋体"/>
          <w:b/>
          <w:color w:val="000000" w:themeColor="text1"/>
          <w:sz w:val="28"/>
          <w:szCs w:val="28"/>
          <w14:textFill>
            <w14:solidFill>
              <w14:schemeClr w14:val="tx1"/>
            </w14:solidFill>
          </w14:textFill>
        </w:rPr>
      </w:pPr>
    </w:p>
    <w:p>
      <w:pPr>
        <w:tabs>
          <w:tab w:val="left" w:pos="7770"/>
          <w:tab w:val="left" w:pos="7980"/>
        </w:tabs>
        <w:adjustRightInd w:val="0"/>
        <w:snapToGrid w:val="0"/>
        <w:spacing w:line="700" w:lineRule="exact"/>
        <w:ind w:firstLine="420" w:firstLineChars="150"/>
        <w:rPr>
          <w:rFonts w:ascii="宋体" w:hAnsi="宋体" w:cs="宋体"/>
          <w:b/>
          <w:bCs/>
          <w:sz w:val="28"/>
          <w:szCs w:val="28"/>
        </w:rPr>
      </w:pPr>
      <w:r>
        <w:rPr>
          <w:rFonts w:hint="eastAsia" w:ascii="宋体" w:hAnsi="宋体" w:cs="宋体"/>
          <w:b/>
          <w:bCs/>
          <w:sz w:val="28"/>
          <w:szCs w:val="28"/>
        </w:rPr>
        <w:t>项目编号：</w:t>
      </w:r>
      <w:r>
        <w:rPr>
          <w:rFonts w:ascii="宋体" w:hAnsi="宋体" w:cs="宋体"/>
          <w:b/>
          <w:bCs/>
          <w:sz w:val="28"/>
          <w:szCs w:val="28"/>
        </w:rPr>
        <w:t>NBGZZB322091</w:t>
      </w:r>
    </w:p>
    <w:p>
      <w:pPr>
        <w:tabs>
          <w:tab w:val="left" w:pos="7770"/>
          <w:tab w:val="left" w:pos="7980"/>
        </w:tabs>
        <w:adjustRightInd w:val="0"/>
        <w:snapToGrid w:val="0"/>
        <w:spacing w:line="700" w:lineRule="exact"/>
        <w:ind w:firstLine="420" w:firstLineChars="150"/>
        <w:rPr>
          <w:rFonts w:ascii="宋体" w:hAnsi="宋体" w:cs="宋体"/>
          <w:b/>
          <w:bCs/>
          <w:sz w:val="28"/>
          <w:szCs w:val="28"/>
        </w:rPr>
      </w:pPr>
      <w:r>
        <w:rPr>
          <w:rFonts w:hint="eastAsia" w:ascii="宋体" w:hAnsi="宋体" w:cs="宋体"/>
          <w:b/>
          <w:bCs/>
          <w:sz w:val="28"/>
          <w:szCs w:val="28"/>
        </w:rPr>
        <w:t>项目名称：高新区排水管网信息化管理平台（二期）</w:t>
      </w:r>
    </w:p>
    <w:p>
      <w:pPr>
        <w:tabs>
          <w:tab w:val="left" w:pos="7770"/>
          <w:tab w:val="left" w:pos="7980"/>
        </w:tabs>
        <w:adjustRightInd w:val="0"/>
        <w:snapToGrid w:val="0"/>
        <w:spacing w:line="700" w:lineRule="exact"/>
        <w:ind w:firstLine="420" w:firstLineChars="150"/>
        <w:rPr>
          <w:rFonts w:ascii="宋体" w:hAnsi="宋体" w:cs="宋体"/>
          <w:b/>
          <w:bCs/>
          <w:sz w:val="28"/>
          <w:szCs w:val="28"/>
        </w:rPr>
      </w:pPr>
      <w:r>
        <w:rPr>
          <w:rFonts w:hint="eastAsia" w:ascii="宋体" w:hAnsi="宋体" w:cs="宋体"/>
          <w:b/>
          <w:bCs/>
          <w:sz w:val="28"/>
          <w:szCs w:val="28"/>
        </w:rPr>
        <w:t>采购单位：宁波国家高新区综合行政执法局（综合行政执法大队）</w:t>
      </w:r>
    </w:p>
    <w:p>
      <w:pPr>
        <w:tabs>
          <w:tab w:val="left" w:pos="7770"/>
          <w:tab w:val="left" w:pos="7980"/>
        </w:tabs>
        <w:adjustRightInd w:val="0"/>
        <w:snapToGrid w:val="0"/>
        <w:spacing w:line="700" w:lineRule="exact"/>
        <w:ind w:firstLine="420" w:firstLineChars="150"/>
        <w:rPr>
          <w:rFonts w:ascii="宋体" w:hAnsi="宋体" w:cs="宋体"/>
          <w:b/>
          <w:bCs/>
          <w:sz w:val="28"/>
          <w:szCs w:val="28"/>
        </w:rPr>
      </w:pPr>
      <w:r>
        <w:rPr>
          <w:rFonts w:hint="eastAsia" w:ascii="宋体" w:hAnsi="宋体" w:cs="宋体"/>
          <w:b/>
          <w:bCs/>
          <w:sz w:val="28"/>
          <w:szCs w:val="28"/>
        </w:rPr>
        <w:t>代理机构：宁波国咨工程造价咨询有限公司</w:t>
      </w:r>
    </w:p>
    <w:p>
      <w:pPr>
        <w:tabs>
          <w:tab w:val="left" w:pos="7770"/>
          <w:tab w:val="left" w:pos="7980"/>
        </w:tabs>
        <w:adjustRightInd w:val="0"/>
        <w:snapToGrid w:val="0"/>
        <w:spacing w:line="700" w:lineRule="exact"/>
        <w:ind w:firstLine="450" w:firstLineChars="150"/>
        <w:rPr>
          <w:rFonts w:ascii="宋体" w:hAnsi="宋体" w:cs="宋体"/>
          <w:b/>
          <w:bCs/>
          <w:sz w:val="30"/>
          <w:szCs w:val="30"/>
        </w:rPr>
      </w:pPr>
    </w:p>
    <w:p>
      <w:pPr>
        <w:tabs>
          <w:tab w:val="left" w:pos="7770"/>
          <w:tab w:val="left" w:pos="7980"/>
        </w:tabs>
        <w:adjustRightInd w:val="0"/>
        <w:snapToGrid w:val="0"/>
        <w:spacing w:line="700" w:lineRule="exact"/>
        <w:ind w:firstLine="480" w:firstLineChars="150"/>
        <w:jc w:val="center"/>
        <w:rPr>
          <w:rFonts w:ascii="宋体" w:hAnsi="宋体" w:cs="宋体"/>
          <w:b/>
          <w:bCs/>
          <w:color w:val="000000"/>
          <w:sz w:val="24"/>
          <w:szCs w:val="24"/>
        </w:rPr>
      </w:pPr>
      <w:r>
        <w:rPr>
          <w:rFonts w:hint="eastAsia" w:ascii="宋体" w:hAnsi="宋体" w:cs="宋体"/>
          <w:b/>
          <w:color w:val="000000"/>
          <w:sz w:val="32"/>
          <w:szCs w:val="32"/>
        </w:rPr>
        <w:t>二〇二二年十月</w:t>
      </w:r>
    </w:p>
    <w:p>
      <w:pPr>
        <w:spacing w:line="360" w:lineRule="auto"/>
        <w:jc w:val="left"/>
        <w:rPr>
          <w:rFonts w:ascii="宋体" w:hAnsi="宋体"/>
          <w:b/>
          <w:sz w:val="36"/>
        </w:rPr>
      </w:pPr>
    </w:p>
    <w:p>
      <w:pPr>
        <w:spacing w:line="360" w:lineRule="auto"/>
        <w:jc w:val="center"/>
        <w:rPr>
          <w:rFonts w:ascii="宋体" w:hAnsi="宋体"/>
          <w:b/>
          <w:sz w:val="36"/>
        </w:rPr>
      </w:pPr>
    </w:p>
    <w:p>
      <w:pPr>
        <w:widowControl/>
        <w:jc w:val="left"/>
        <w:rPr>
          <w:rFonts w:ascii="宋体" w:hAnsi="宋体"/>
          <w:b/>
          <w:sz w:val="36"/>
        </w:rPr>
      </w:pPr>
      <w:r>
        <w:rPr>
          <w:rFonts w:ascii="宋体" w:hAnsi="宋体"/>
          <w:b/>
          <w:sz w:val="36"/>
        </w:rPr>
        <w:br w:type="page"/>
      </w:r>
    </w:p>
    <w:p>
      <w:pPr>
        <w:spacing w:line="360" w:lineRule="auto"/>
        <w:jc w:val="center"/>
        <w:rPr>
          <w:rFonts w:ascii="宋体" w:hAnsi="宋体"/>
          <w:b/>
          <w:sz w:val="36"/>
        </w:rPr>
      </w:pPr>
    </w:p>
    <w:p>
      <w:pPr>
        <w:spacing w:line="360" w:lineRule="auto"/>
        <w:jc w:val="center"/>
        <w:rPr>
          <w:rFonts w:ascii="宋体" w:hAnsi="宋体"/>
          <w:b/>
          <w:sz w:val="36"/>
        </w:rPr>
      </w:pPr>
    </w:p>
    <w:p>
      <w:pPr>
        <w:spacing w:line="360" w:lineRule="auto"/>
        <w:jc w:val="center"/>
        <w:rPr>
          <w:rFonts w:ascii="宋体" w:hAnsi="宋体"/>
          <w:b/>
          <w:sz w:val="36"/>
        </w:rPr>
      </w:pPr>
      <w:r>
        <w:rPr>
          <w:rFonts w:hint="eastAsia" w:ascii="宋体" w:hAnsi="宋体"/>
          <w:b/>
          <w:sz w:val="36"/>
        </w:rPr>
        <w:t>目 录</w:t>
      </w:r>
    </w:p>
    <w:p>
      <w:pPr>
        <w:spacing w:line="360" w:lineRule="auto"/>
        <w:jc w:val="center"/>
        <w:rPr>
          <w:rFonts w:ascii="宋体" w:hAnsi="宋体"/>
          <w:b/>
          <w:sz w:val="36"/>
        </w:rPr>
      </w:pPr>
    </w:p>
    <w:p>
      <w:pPr>
        <w:pStyle w:val="29"/>
        <w:tabs>
          <w:tab w:val="right" w:leader="dot" w:pos="8495"/>
        </w:tabs>
        <w:rPr>
          <w:rFonts w:asciiTheme="minorHAnsi" w:hAnsiTheme="minorHAnsi" w:eastAsiaTheme="minorEastAsia" w:cstheme="minorBidi"/>
          <w:sz w:val="21"/>
          <w:szCs w:val="22"/>
        </w:rPr>
      </w:pPr>
      <w:r>
        <w:rPr>
          <w:rFonts w:ascii="宋体" w:hAnsi="宋体"/>
          <w:b/>
        </w:rPr>
        <w:fldChar w:fldCharType="begin"/>
      </w:r>
      <w:r>
        <w:rPr>
          <w:rFonts w:ascii="宋体" w:hAnsi="宋体"/>
          <w:b/>
        </w:rPr>
        <w:instrText xml:space="preserve"> TOC \o "1-3" \h \z \u </w:instrText>
      </w:r>
      <w:r>
        <w:rPr>
          <w:rFonts w:ascii="宋体" w:hAnsi="宋体"/>
          <w:b/>
        </w:rPr>
        <w:fldChar w:fldCharType="separate"/>
      </w:r>
      <w:r>
        <w:fldChar w:fldCharType="begin"/>
      </w:r>
      <w:r>
        <w:instrText xml:space="preserve"> HYPERLINK \l "_Toc520902391" </w:instrText>
      </w:r>
      <w:r>
        <w:fldChar w:fldCharType="separate"/>
      </w:r>
      <w:r>
        <w:rPr>
          <w:rStyle w:val="52"/>
          <w:rFonts w:hint="eastAsia" w:ascii="宋体" w:hAnsi="宋体"/>
          <w:color w:val="auto"/>
        </w:rPr>
        <w:t>第一部分    采购公告</w:t>
      </w:r>
      <w:r>
        <w:tab/>
      </w:r>
      <w:r>
        <w:fldChar w:fldCharType="begin"/>
      </w:r>
      <w:r>
        <w:instrText xml:space="preserve"> PAGEREF _Toc520902391 \h </w:instrText>
      </w:r>
      <w:r>
        <w:fldChar w:fldCharType="separate"/>
      </w:r>
      <w:r>
        <w:t>1</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"_Toc520902392" </w:instrText>
      </w:r>
      <w:r>
        <w:fldChar w:fldCharType="separate"/>
      </w:r>
      <w:r>
        <w:rPr>
          <w:rStyle w:val="52"/>
          <w:rFonts w:hint="eastAsia" w:ascii="宋体" w:hAnsi="宋体"/>
          <w:color w:val="auto"/>
        </w:rPr>
        <w:t>第二部分    投标资料表</w:t>
      </w:r>
      <w:r>
        <w:tab/>
      </w:r>
      <w:r>
        <w:fldChar w:fldCharType="begin"/>
      </w:r>
      <w:r>
        <w:instrText xml:space="preserve"> PAGEREF _Toc520902392 \h </w:instrText>
      </w:r>
      <w:r>
        <w:fldChar w:fldCharType="separate"/>
      </w:r>
      <w:r>
        <w:t>4</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"_Toc520902393" </w:instrText>
      </w:r>
      <w:r>
        <w:fldChar w:fldCharType="separate"/>
      </w:r>
      <w:r>
        <w:rPr>
          <w:rStyle w:val="52"/>
          <w:rFonts w:hint="eastAsia"/>
          <w:color w:val="auto"/>
        </w:rPr>
        <w:t xml:space="preserve">第三部分 </w:t>
      </w:r>
      <w:r>
        <w:rPr>
          <w:rStyle w:val="52"/>
          <w:color w:val="auto"/>
        </w:rPr>
        <w:t xml:space="preserve">   </w:t>
      </w:r>
      <w:r>
        <w:rPr>
          <w:rStyle w:val="52"/>
          <w:rFonts w:hint="eastAsia"/>
          <w:color w:val="auto"/>
        </w:rPr>
        <w:t>投标人须知</w:t>
      </w:r>
      <w:r>
        <w:tab/>
      </w:r>
      <w:r>
        <w:fldChar w:fldCharType="begin"/>
      </w:r>
      <w:r>
        <w:instrText xml:space="preserve"> PAGEREF _Toc520902393 \h </w:instrText>
      </w:r>
      <w:r>
        <w:fldChar w:fldCharType="separate"/>
      </w:r>
      <w:r>
        <w:t>10</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"_Toc520902404" </w:instrText>
      </w:r>
      <w:r>
        <w:fldChar w:fldCharType="separate"/>
      </w:r>
      <w:r>
        <w:rPr>
          <w:rStyle w:val="52"/>
          <w:rFonts w:hint="eastAsia" w:ascii="宋体" w:hAnsi="宋体"/>
          <w:color w:val="auto"/>
        </w:rPr>
        <w:t>第四部分    合同格式</w:t>
      </w:r>
      <w:r>
        <w:tab/>
      </w:r>
      <w:r>
        <w:fldChar w:fldCharType="begin"/>
      </w:r>
      <w:r>
        <w:instrText xml:space="preserve"> PAGEREF _Toc520902404 \h </w:instrText>
      </w:r>
      <w:r>
        <w:fldChar w:fldCharType="separate"/>
      </w:r>
      <w:r>
        <w:t>23</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"_Toc520902405" </w:instrText>
      </w:r>
      <w:r>
        <w:fldChar w:fldCharType="separate"/>
      </w:r>
      <w:r>
        <w:rPr>
          <w:rStyle w:val="52"/>
          <w:rFonts w:hint="eastAsia" w:ascii="宋体" w:hAnsi="宋体"/>
          <w:color w:val="auto"/>
        </w:rPr>
        <w:t>第五部分    评标办法</w:t>
      </w:r>
      <w:r>
        <w:tab/>
      </w:r>
      <w:r>
        <w:fldChar w:fldCharType="begin"/>
      </w:r>
      <w:r>
        <w:instrText xml:space="preserve"> PAGEREF _Toc520902405 \h </w:instrText>
      </w:r>
      <w:r>
        <w:fldChar w:fldCharType="separate"/>
      </w:r>
      <w:r>
        <w:t>32</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"_Toc520902406" </w:instrText>
      </w:r>
      <w:r>
        <w:fldChar w:fldCharType="separate"/>
      </w:r>
      <w:r>
        <w:rPr>
          <w:rStyle w:val="52"/>
          <w:rFonts w:hint="eastAsia" w:ascii="宋体" w:hAnsi="宋体"/>
          <w:color w:val="auto"/>
        </w:rPr>
        <w:t>第六部分    招标项目需求</w:t>
      </w:r>
      <w:r>
        <w:tab/>
      </w:r>
      <w:r>
        <w:fldChar w:fldCharType="begin"/>
      </w:r>
      <w:r>
        <w:instrText xml:space="preserve"> PAGEREF _Toc520902406 \h </w:instrText>
      </w:r>
      <w:r>
        <w:fldChar w:fldCharType="separate"/>
      </w:r>
      <w:r>
        <w:t>44</w:t>
      </w:r>
      <w:r>
        <w:fldChar w:fldCharType="end"/>
      </w:r>
      <w:r>
        <w:fldChar w:fldCharType="end"/>
      </w:r>
    </w:p>
    <w:p>
      <w:pPr>
        <w:pStyle w:val="29"/>
        <w:tabs>
          <w:tab w:val="right" w:leader="dot" w:pos="8495"/>
        </w:tabs>
        <w:rPr>
          <w:rFonts w:asciiTheme="minorHAnsi" w:hAnsiTheme="minorHAnsi" w:eastAsiaTheme="minorEastAsia" w:cstheme="minorBidi"/>
          <w:sz w:val="21"/>
          <w:szCs w:val="22"/>
        </w:rPr>
      </w:pPr>
      <w:r>
        <w:fldChar w:fldCharType="begin"/>
      </w:r>
      <w:r>
        <w:instrText xml:space="preserve"> HYPERLINK \l "_Toc520902407" </w:instrText>
      </w:r>
      <w:r>
        <w:fldChar w:fldCharType="separate"/>
      </w:r>
      <w:r>
        <w:rPr>
          <w:rStyle w:val="52"/>
          <w:rFonts w:hint="eastAsia" w:ascii="宋体" w:hAnsi="宋体"/>
          <w:color w:val="auto"/>
        </w:rPr>
        <w:t>第七部分    附件（投标文件格式）</w:t>
      </w:r>
      <w:r>
        <w:tab/>
      </w:r>
      <w:r>
        <w:fldChar w:fldCharType="begin"/>
      </w:r>
      <w:r>
        <w:instrText xml:space="preserve"> PAGEREF _Toc520902407 \h </w:instrText>
      </w:r>
      <w:r>
        <w:fldChar w:fldCharType="separate"/>
      </w:r>
      <w:r>
        <w:t>71</w:t>
      </w:r>
      <w:r>
        <w:fldChar w:fldCharType="end"/>
      </w:r>
      <w:r>
        <w:fldChar w:fldCharType="end"/>
      </w:r>
    </w:p>
    <w:p>
      <w:pPr>
        <w:spacing w:line="360" w:lineRule="auto"/>
        <w:rPr>
          <w:rFonts w:ascii="宋体" w:hAnsi="宋体"/>
          <w:b/>
          <w:sz w:val="36"/>
        </w:rPr>
        <w:sectPr>
          <w:headerReference r:id="rId5" w:type="first"/>
          <w:headerReference r:id="rId3" w:type="default"/>
          <w:footerReference r:id="rId6" w:type="default"/>
          <w:headerReference r:id="rId4" w:type="even"/>
          <w:pgSz w:w="11907" w:h="16840"/>
          <w:pgMar w:top="1276" w:right="1417" w:bottom="1276" w:left="1560" w:header="720" w:footer="720" w:gutter="0"/>
          <w:pgNumType w:start="1"/>
          <w:cols w:space="720" w:num="1"/>
          <w:docGrid w:type="linesAndChars" w:linePitch="285" w:charSpace="0"/>
        </w:sectPr>
      </w:pPr>
      <w:r>
        <w:rPr>
          <w:rFonts w:ascii="宋体" w:hAnsi="宋体"/>
          <w:b/>
        </w:rPr>
        <w:fldChar w:fldCharType="end"/>
      </w:r>
    </w:p>
    <w:p>
      <w:pPr>
        <w:spacing w:line="360" w:lineRule="auto"/>
        <w:jc w:val="center"/>
        <w:rPr>
          <w:rFonts w:ascii="宋体" w:hAnsi="宋体"/>
          <w:b/>
          <w:sz w:val="36"/>
        </w:rPr>
      </w:pPr>
    </w:p>
    <w:p>
      <w:pPr>
        <w:pStyle w:val="2"/>
        <w:spacing w:beforeLines="0" w:afterLines="0" w:line="360" w:lineRule="auto"/>
        <w:rPr>
          <w:rFonts w:ascii="宋体" w:hAnsi="宋体"/>
          <w:sz w:val="32"/>
          <w:szCs w:val="32"/>
        </w:rPr>
      </w:pPr>
      <w:bookmarkStart w:id="1" w:name="_Toc298230957"/>
      <w:r>
        <w:rPr>
          <w:rFonts w:ascii="宋体" w:hAnsi="宋体"/>
          <w:sz w:val="32"/>
          <w:szCs w:val="32"/>
        </w:rPr>
        <w:br w:type="page"/>
      </w:r>
      <w:bookmarkStart w:id="2" w:name="_Toc520902391"/>
      <w:r>
        <w:rPr>
          <w:rFonts w:hint="eastAsia" w:ascii="宋体" w:hAnsi="宋体"/>
          <w:sz w:val="32"/>
          <w:szCs w:val="32"/>
        </w:rPr>
        <w:t>第一部分</w:t>
      </w:r>
      <w:bookmarkEnd w:id="1"/>
      <w:r>
        <w:rPr>
          <w:rFonts w:hint="eastAsia" w:ascii="宋体" w:hAnsi="宋体"/>
          <w:sz w:val="32"/>
          <w:szCs w:val="32"/>
        </w:rPr>
        <w:t xml:space="preserve"> 采购公告</w:t>
      </w:r>
      <w:bookmarkEnd w:id="2"/>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rPr>
        <w:t>项目概况</w:t>
      </w:r>
    </w:p>
    <w:p>
      <w:pPr>
        <w:pBdr>
          <w:top w:val="single" w:color="auto" w:sz="4" w:space="1"/>
          <w:left w:val="single" w:color="auto" w:sz="4" w:space="4"/>
          <w:bottom w:val="single" w:color="auto" w:sz="4" w:space="1"/>
          <w:right w:val="single" w:color="auto" w:sz="4" w:space="4"/>
        </w:pBdr>
        <w:spacing w:line="360" w:lineRule="auto"/>
        <w:ind w:firstLine="420" w:firstLineChars="200"/>
        <w:rPr>
          <w:rFonts w:ascii="宋体" w:hAnsi="宋体"/>
        </w:rPr>
      </w:pPr>
      <w:r>
        <w:rPr>
          <w:rFonts w:hint="eastAsia" w:ascii="宋体" w:hAnsi="宋体"/>
          <w:u w:val="single"/>
        </w:rPr>
        <w:t>高新区排水管网信息化管理平台（二期）</w:t>
      </w:r>
      <w:r>
        <w:rPr>
          <w:rFonts w:hint="eastAsia" w:ascii="宋体" w:hAnsi="宋体"/>
        </w:rPr>
        <w:t>的潜在投标人应在</w:t>
      </w:r>
      <w:r>
        <w:rPr>
          <w:rFonts w:hint="eastAsia" w:ascii="宋体" w:hAnsi="宋体"/>
          <w:u w:val="single"/>
        </w:rPr>
        <w:t>政府采购云平台（</w:t>
      </w:r>
      <w:r>
        <w:fldChar w:fldCharType="begin"/>
      </w:r>
      <w:r>
        <w:instrText xml:space="preserve"> HYPERLINK "http://www.zcygov.cn）获取（下载）招标文件，并于2022年" </w:instrText>
      </w:r>
      <w:r>
        <w:fldChar w:fldCharType="separate"/>
      </w:r>
      <w:r>
        <w:rPr>
          <w:rStyle w:val="52"/>
          <w:rFonts w:hint="eastAsia"/>
          <w:color w:val="auto"/>
        </w:rPr>
        <w:t>www</w:t>
      </w:r>
      <w:r>
        <w:rPr>
          <w:rStyle w:val="52"/>
          <w:rFonts w:hint="eastAsia" w:ascii="宋体" w:hAnsi="宋体"/>
          <w:color w:val="auto"/>
        </w:rPr>
        <w:t>.</w:t>
      </w:r>
      <w:r>
        <w:rPr>
          <w:rStyle w:val="52"/>
          <w:rFonts w:hint="eastAsia"/>
          <w:color w:val="auto"/>
        </w:rPr>
        <w:t>zcygov</w:t>
      </w:r>
      <w:r>
        <w:rPr>
          <w:rStyle w:val="52"/>
          <w:rFonts w:hint="eastAsia" w:ascii="宋体" w:hAnsi="宋体"/>
          <w:color w:val="auto"/>
        </w:rPr>
        <w:t>.</w:t>
      </w:r>
      <w:r>
        <w:rPr>
          <w:rStyle w:val="52"/>
          <w:rFonts w:hint="eastAsia"/>
          <w:color w:val="auto"/>
        </w:rPr>
        <w:t>cn</w:t>
      </w:r>
      <w:r>
        <w:rPr>
          <w:rStyle w:val="52"/>
          <w:rFonts w:hint="eastAsia" w:ascii="宋体" w:hAnsi="宋体"/>
          <w:color w:val="auto"/>
        </w:rPr>
        <w:t>）获取（下载）采购文件，并于</w:t>
      </w:r>
      <w:r>
        <w:rPr>
          <w:rStyle w:val="52"/>
          <w:rFonts w:hint="eastAsia"/>
          <w:color w:val="auto"/>
        </w:rPr>
        <w:t>202</w:t>
      </w:r>
      <w:r>
        <w:rPr>
          <w:rStyle w:val="52"/>
          <w:color w:val="auto"/>
        </w:rPr>
        <w:t>2</w:t>
      </w:r>
      <w:r>
        <w:rPr>
          <w:rStyle w:val="52"/>
          <w:rFonts w:hint="eastAsia" w:ascii="宋体" w:hAnsi="宋体"/>
          <w:bCs/>
          <w:color w:val="auto"/>
        </w:rPr>
        <w:t>年</w:t>
      </w:r>
      <w:r>
        <w:rPr>
          <w:rStyle w:val="52"/>
          <w:rFonts w:hint="eastAsia" w:ascii="宋体" w:hAnsi="宋体"/>
          <w:bCs/>
          <w:color w:val="auto"/>
        </w:rPr>
        <w:fldChar w:fldCharType="end"/>
      </w:r>
      <w:r>
        <w:rPr>
          <w:rStyle w:val="52"/>
          <w:rFonts w:hint="eastAsia"/>
          <w:bCs/>
          <w:color w:val="auto"/>
        </w:rPr>
        <w:t>月日点分</w:t>
      </w:r>
      <w:r>
        <w:rPr>
          <w:rFonts w:hint="eastAsia" w:ascii="宋体" w:hAnsi="宋体"/>
          <w:bCs/>
          <w:u w:val="single"/>
        </w:rPr>
        <w:t>（</w:t>
      </w:r>
      <w:r>
        <w:rPr>
          <w:rFonts w:hint="eastAsia" w:ascii="宋体" w:hAnsi="宋体"/>
          <w:bCs/>
        </w:rPr>
        <w:t>北京时间）前递交投标文件</w:t>
      </w:r>
      <w:r>
        <w:rPr>
          <w:rFonts w:hint="eastAsia" w:ascii="宋体" w:hAnsi="宋体"/>
        </w:rPr>
        <w:t>。</w:t>
      </w:r>
    </w:p>
    <w:p>
      <w:pPr>
        <w:ind w:firstLine="200"/>
        <w:rPr>
          <w:rFonts w:ascii="宋体" w:hAnsi="宋体"/>
        </w:rPr>
      </w:pPr>
    </w:p>
    <w:p>
      <w:pPr>
        <w:pStyle w:val="3"/>
        <w:spacing w:line="360" w:lineRule="auto"/>
        <w:jc w:val="both"/>
        <w:rPr>
          <w:rFonts w:ascii="宋体" w:hAnsi="宋体" w:cs="宋体"/>
          <w:sz w:val="21"/>
          <w:szCs w:val="21"/>
        </w:rPr>
      </w:pPr>
      <w:bookmarkStart w:id="3" w:name="_Toc28359079"/>
      <w:bookmarkStart w:id="4" w:name="_Toc28359002"/>
      <w:bookmarkStart w:id="5" w:name="_Hlk24379207"/>
      <w:bookmarkStart w:id="6" w:name="_Toc35393621"/>
      <w:bookmarkStart w:id="7" w:name="_Toc35393790"/>
      <w:r>
        <w:rPr>
          <w:rFonts w:hint="eastAsia" w:ascii="宋体" w:hAnsi="宋体" w:cs="宋体"/>
          <w:sz w:val="21"/>
          <w:szCs w:val="21"/>
        </w:rPr>
        <w:t>一、项目基本情况</w:t>
      </w:r>
      <w:bookmarkEnd w:id="3"/>
      <w:bookmarkEnd w:id="4"/>
      <w:bookmarkEnd w:id="5"/>
      <w:bookmarkEnd w:id="6"/>
      <w:bookmarkEnd w:id="7"/>
    </w:p>
    <w:p>
      <w:pPr>
        <w:spacing w:line="360" w:lineRule="auto"/>
        <w:ind w:firstLine="420" w:firstLineChars="200"/>
        <w:rPr>
          <w:rFonts w:ascii="宋体" w:hAnsi="宋体"/>
        </w:rPr>
      </w:pPr>
      <w:r>
        <w:rPr>
          <w:rFonts w:hint="eastAsia" w:ascii="宋体" w:hAnsi="宋体"/>
        </w:rPr>
        <w:t>项目编号：</w:t>
      </w:r>
      <w:r>
        <w:rPr>
          <w:rFonts w:ascii="宋体" w:hAnsi="宋体"/>
        </w:rPr>
        <w:t>NBGZZB322091</w:t>
      </w:r>
    </w:p>
    <w:p>
      <w:pPr>
        <w:spacing w:line="360" w:lineRule="auto"/>
        <w:ind w:firstLine="420" w:firstLineChars="200"/>
        <w:rPr>
          <w:rFonts w:ascii="宋体" w:hAnsi="宋体"/>
        </w:rPr>
      </w:pPr>
      <w:r>
        <w:rPr>
          <w:rFonts w:hint="eastAsia" w:ascii="宋体" w:hAnsi="宋体"/>
        </w:rPr>
        <w:t>项目名称：高新区排水管网信息化管理平台（二期）</w:t>
      </w:r>
    </w:p>
    <w:p>
      <w:pPr>
        <w:spacing w:line="360" w:lineRule="auto"/>
        <w:ind w:firstLine="420" w:firstLineChars="200"/>
        <w:rPr>
          <w:rFonts w:ascii="宋体" w:hAnsi="宋体"/>
        </w:rPr>
      </w:pPr>
      <w:r>
        <w:rPr>
          <w:rFonts w:hint="eastAsia" w:ascii="宋体" w:hAnsi="宋体"/>
        </w:rPr>
        <w:t>预算金额（元）：7000000</w:t>
      </w:r>
    </w:p>
    <w:p>
      <w:pPr>
        <w:spacing w:line="360" w:lineRule="auto"/>
        <w:ind w:firstLine="420" w:firstLineChars="200"/>
        <w:rPr>
          <w:rFonts w:ascii="宋体" w:hAnsi="宋体"/>
        </w:rPr>
      </w:pPr>
      <w:r>
        <w:rPr>
          <w:rFonts w:hint="eastAsia" w:ascii="宋体" w:hAnsi="宋体"/>
        </w:rPr>
        <w:t>最高限价（元）：标项一：4099818；标项二：2208694</w:t>
      </w:r>
    </w:p>
    <w:p>
      <w:pPr>
        <w:spacing w:line="360" w:lineRule="auto"/>
        <w:ind w:firstLine="420" w:firstLineChars="200"/>
        <w:rPr>
          <w:rFonts w:ascii="宋体" w:hAnsi="宋体"/>
        </w:rPr>
      </w:pPr>
      <w:r>
        <w:rPr>
          <w:rFonts w:hint="eastAsia" w:ascii="宋体" w:hAnsi="宋体"/>
        </w:rPr>
        <w:t>采购需求：</w:t>
      </w:r>
    </w:p>
    <w:p>
      <w:pPr>
        <w:pStyle w:val="41"/>
        <w:spacing w:line="360" w:lineRule="auto"/>
        <w:rPr>
          <w:rFonts w:ascii="宋体" w:hAnsi="宋体"/>
        </w:rPr>
      </w:pPr>
      <w:r>
        <w:rPr>
          <w:rFonts w:hint="eastAsia"/>
        </w:rPr>
        <w:t>标项一：</w:t>
      </w:r>
    </w:p>
    <w:p>
      <w:pPr>
        <w:pStyle w:val="41"/>
        <w:spacing w:line="360" w:lineRule="auto"/>
        <w:rPr>
          <w:rFonts w:ascii="宋体" w:hAnsi="宋体"/>
        </w:rPr>
      </w:pPr>
      <w:r>
        <w:rPr>
          <w:rFonts w:hint="eastAsia" w:ascii="宋体" w:hAnsi="宋体"/>
        </w:rPr>
        <w:t>标项名称：高新区排水管网信息化管理平台（二期）</w:t>
      </w:r>
      <w:r>
        <w:rPr>
          <w:rFonts w:hint="eastAsia"/>
        </w:rPr>
        <w:t>标项一</w:t>
      </w:r>
    </w:p>
    <w:p>
      <w:pPr>
        <w:pStyle w:val="41"/>
        <w:spacing w:line="360" w:lineRule="auto"/>
        <w:rPr>
          <w:rFonts w:ascii="宋体" w:hAnsi="宋体"/>
        </w:rPr>
      </w:pPr>
      <w:r>
        <w:rPr>
          <w:rFonts w:hint="eastAsia" w:ascii="宋体" w:hAnsi="宋体"/>
        </w:rPr>
        <w:t>数量：</w:t>
      </w:r>
      <w:r>
        <w:rPr>
          <w:rFonts w:hint="eastAsia"/>
        </w:rPr>
        <w:t>1</w:t>
      </w:r>
    </w:p>
    <w:p>
      <w:pPr>
        <w:pStyle w:val="41"/>
        <w:spacing w:line="360" w:lineRule="auto"/>
        <w:rPr>
          <w:rFonts w:ascii="宋体" w:hAnsi="宋体"/>
        </w:rPr>
      </w:pPr>
      <w:r>
        <w:rPr>
          <w:rFonts w:hint="eastAsia" w:ascii="宋体" w:hAnsi="宋体"/>
        </w:rPr>
        <w:t>预算金额（元）：4700000</w:t>
      </w:r>
    </w:p>
    <w:p>
      <w:pPr>
        <w:pStyle w:val="41"/>
        <w:spacing w:line="360" w:lineRule="auto"/>
        <w:rPr>
          <w:rFonts w:ascii="宋体" w:hAnsi="宋体"/>
        </w:rPr>
      </w:pPr>
      <w:r>
        <w:rPr>
          <w:rFonts w:hint="eastAsia" w:ascii="宋体" w:hAnsi="宋体"/>
        </w:rPr>
        <w:t>根据宁波市排水数字化改革（2021-2025年）要求建设排水设施动态感知体系，包含污水泵站、污水管网、雨水管网、井盖、城市易涝区等排水设施的监测设备，并在一期系统基础上，完善高新区排水数字化管理应用系统，具体详见采购文件第六部分招标项目需求标项一。</w:t>
      </w:r>
    </w:p>
    <w:p>
      <w:pPr>
        <w:pStyle w:val="41"/>
        <w:spacing w:line="360" w:lineRule="auto"/>
        <w:rPr>
          <w:rFonts w:ascii="宋体" w:hAnsi="宋体"/>
        </w:rPr>
      </w:pPr>
      <w:r>
        <w:rPr>
          <w:rFonts w:hint="eastAsia" w:ascii="宋体" w:hAnsi="宋体"/>
        </w:rPr>
        <w:t>备注：/</w:t>
      </w:r>
    </w:p>
    <w:p>
      <w:pPr>
        <w:pStyle w:val="41"/>
        <w:spacing w:line="360" w:lineRule="auto"/>
      </w:pPr>
      <w:r>
        <w:t>标项二</w:t>
      </w:r>
      <w:r>
        <w:rPr>
          <w:rFonts w:hint="eastAsia"/>
        </w:rPr>
        <w:t>：</w:t>
      </w:r>
    </w:p>
    <w:p>
      <w:pPr>
        <w:pStyle w:val="41"/>
        <w:spacing w:line="360" w:lineRule="auto"/>
        <w:rPr>
          <w:rFonts w:ascii="宋体" w:hAnsi="宋体"/>
        </w:rPr>
      </w:pPr>
      <w:r>
        <w:rPr>
          <w:rFonts w:hint="eastAsia" w:ascii="宋体" w:hAnsi="宋体"/>
        </w:rPr>
        <w:t>标项名称：高新区排水管网信息化管理平台（二期）</w:t>
      </w:r>
      <w:r>
        <w:rPr>
          <w:rFonts w:hint="eastAsia"/>
        </w:rPr>
        <w:t>标项二</w:t>
      </w:r>
    </w:p>
    <w:p>
      <w:pPr>
        <w:pStyle w:val="41"/>
        <w:spacing w:line="360" w:lineRule="auto"/>
        <w:rPr>
          <w:rFonts w:ascii="宋体" w:hAnsi="宋体"/>
        </w:rPr>
      </w:pPr>
      <w:r>
        <w:rPr>
          <w:rFonts w:hint="eastAsia" w:ascii="宋体" w:hAnsi="宋体"/>
        </w:rPr>
        <w:t>数量：</w:t>
      </w:r>
      <w:r>
        <w:rPr>
          <w:rFonts w:hint="eastAsia"/>
        </w:rPr>
        <w:t>1</w:t>
      </w:r>
    </w:p>
    <w:p>
      <w:pPr>
        <w:pStyle w:val="41"/>
        <w:spacing w:line="360" w:lineRule="auto"/>
        <w:rPr>
          <w:rFonts w:ascii="宋体" w:hAnsi="宋体"/>
        </w:rPr>
      </w:pPr>
      <w:r>
        <w:rPr>
          <w:rFonts w:hint="eastAsia" w:ascii="宋体" w:hAnsi="宋体"/>
        </w:rPr>
        <w:t>预算金额（元）：2300000</w:t>
      </w:r>
    </w:p>
    <w:p>
      <w:pPr>
        <w:pStyle w:val="41"/>
        <w:spacing w:line="360" w:lineRule="auto"/>
        <w:rPr>
          <w:rFonts w:ascii="宋体" w:hAnsi="宋体"/>
        </w:rPr>
      </w:pPr>
      <w:r>
        <w:rPr>
          <w:rFonts w:hint="eastAsia" w:ascii="宋体" w:hAnsi="宋体"/>
        </w:rPr>
        <w:t>根据宁波市排水户管理专项行动方案（2022-2024年）和宁波市排水数字化改革要求，建设排水户、排水口、河道等排水设施的监测，融合到高新区排水数字化管理应用系统，具体详见采购文件第六部分招标项目需求标项二。</w:t>
      </w:r>
    </w:p>
    <w:p>
      <w:pPr>
        <w:pStyle w:val="41"/>
        <w:spacing w:line="360" w:lineRule="auto"/>
        <w:rPr>
          <w:rFonts w:ascii="宋体" w:hAnsi="宋体"/>
        </w:rPr>
      </w:pPr>
      <w:r>
        <w:rPr>
          <w:rFonts w:hint="eastAsia" w:ascii="宋体" w:hAnsi="宋体"/>
        </w:rPr>
        <w:t>备注：/</w:t>
      </w:r>
    </w:p>
    <w:p/>
    <w:p>
      <w:pPr>
        <w:spacing w:line="360" w:lineRule="auto"/>
        <w:ind w:firstLine="420" w:firstLineChars="200"/>
        <w:rPr>
          <w:rFonts w:ascii="宋体" w:hAnsi="宋体"/>
        </w:rPr>
      </w:pPr>
      <w:r>
        <w:rPr>
          <w:rFonts w:hint="eastAsia" w:ascii="宋体" w:hAnsi="宋体"/>
        </w:rPr>
        <w:t>合同履行期限：自合同签订生效之日起</w:t>
      </w:r>
      <w:r>
        <w:rPr>
          <w:rFonts w:ascii="宋体" w:hAnsi="宋体"/>
        </w:rPr>
        <w:t>10</w:t>
      </w:r>
      <w:r>
        <w:rPr>
          <w:rFonts w:hint="eastAsia" w:ascii="宋体" w:hAnsi="宋体"/>
        </w:rPr>
        <w:t>个月内完成。</w:t>
      </w:r>
    </w:p>
    <w:p>
      <w:pPr>
        <w:pStyle w:val="41"/>
        <w:spacing w:line="360" w:lineRule="auto"/>
        <w:rPr>
          <w:rFonts w:ascii="宋体" w:hAnsi="宋体"/>
          <w:szCs w:val="22"/>
        </w:rPr>
      </w:pPr>
      <w:r>
        <w:rPr>
          <w:rFonts w:hint="eastAsia" w:ascii="宋体" w:hAnsi="宋体"/>
          <w:szCs w:val="22"/>
        </w:rPr>
        <w:t>其中标项一：2022年12月31日前，需完成污水泵站、污水管网、雨水管网的监测数据联网和新建或改造。</w:t>
      </w:r>
    </w:p>
    <w:p>
      <w:pPr>
        <w:spacing w:line="360" w:lineRule="auto"/>
        <w:ind w:firstLine="420" w:firstLineChars="200"/>
        <w:rPr>
          <w:rFonts w:ascii="宋体" w:hAnsi="宋体" w:cs="宋体"/>
          <w:szCs w:val="21"/>
        </w:rPr>
      </w:pPr>
      <w:r>
        <w:rPr>
          <w:rFonts w:hint="eastAsia" w:ascii="宋体" w:hAnsi="宋体" w:cs="宋体"/>
          <w:szCs w:val="21"/>
        </w:rPr>
        <w:t>本项目</w:t>
      </w:r>
      <w:r>
        <w:rPr>
          <w:rFonts w:hint="eastAsia" w:ascii="宋体" w:hAnsi="宋体" w:cs="宋体"/>
          <w:szCs w:val="21"/>
          <w:u w:val="single"/>
        </w:rPr>
        <w:t>接受</w:t>
      </w:r>
      <w:r>
        <w:rPr>
          <w:rFonts w:hint="eastAsia" w:ascii="宋体" w:hAnsi="宋体" w:cs="宋体"/>
          <w:szCs w:val="21"/>
        </w:rPr>
        <w:t>联合体投标，</w:t>
      </w:r>
      <w:r>
        <w:rPr>
          <w:rFonts w:hint="eastAsia" w:ascii="宋体" w:hAnsi="宋体"/>
          <w:szCs w:val="21"/>
        </w:rPr>
        <w:t>联合体牵头人和成员总数量最多不超过</w:t>
      </w:r>
      <w:r>
        <w:rPr>
          <w:rFonts w:ascii="宋体" w:hAnsi="宋体"/>
          <w:szCs w:val="21"/>
        </w:rPr>
        <w:t>2</w:t>
      </w:r>
      <w:r>
        <w:rPr>
          <w:rFonts w:hint="eastAsia" w:ascii="宋体" w:hAnsi="宋体"/>
          <w:szCs w:val="21"/>
        </w:rPr>
        <w:t>家</w:t>
      </w:r>
      <w:r>
        <w:rPr>
          <w:rFonts w:hint="eastAsia" w:ascii="宋体" w:hAnsi="宋体" w:cs="宋体"/>
          <w:szCs w:val="21"/>
        </w:rPr>
        <w:t>。</w:t>
      </w:r>
    </w:p>
    <w:p>
      <w:pPr>
        <w:pStyle w:val="3"/>
        <w:numPr>
          <w:ilvl w:val="0"/>
          <w:numId w:val="2"/>
        </w:numPr>
        <w:spacing w:line="360" w:lineRule="auto"/>
        <w:jc w:val="both"/>
        <w:rPr>
          <w:rFonts w:ascii="宋体" w:hAnsi="宋体" w:cs="宋体"/>
          <w:sz w:val="21"/>
          <w:szCs w:val="21"/>
        </w:rPr>
      </w:pPr>
      <w:bookmarkStart w:id="8" w:name="_Toc28359003"/>
      <w:bookmarkStart w:id="9" w:name="_Toc28359080"/>
      <w:bookmarkStart w:id="10" w:name="_Toc35393791"/>
      <w:bookmarkStart w:id="11" w:name="_Toc35393622"/>
      <w:r>
        <w:rPr>
          <w:rFonts w:hint="eastAsia" w:ascii="宋体" w:hAnsi="宋体" w:cs="宋体"/>
          <w:sz w:val="21"/>
          <w:szCs w:val="21"/>
        </w:rPr>
        <w:t>申请人的资格要求：</w:t>
      </w:r>
      <w:bookmarkEnd w:id="8"/>
      <w:bookmarkEnd w:id="9"/>
      <w:bookmarkEnd w:id="10"/>
      <w:bookmarkEnd w:id="11"/>
    </w:p>
    <w:p>
      <w:pPr>
        <w:numPr>
          <w:ilvl w:val="255"/>
          <w:numId w:val="0"/>
        </w:numPr>
      </w:pPr>
      <w:r>
        <w:rPr>
          <w:rFonts w:hint="eastAsia"/>
          <w:b/>
          <w:bCs/>
        </w:rPr>
        <w:t>标项一</w:t>
      </w:r>
      <w:r>
        <w:rPr>
          <w:rFonts w:hint="eastAsia" w:ascii="宋体" w:hAnsi="宋体" w:cs="宋体"/>
          <w:b/>
          <w:bCs/>
          <w:szCs w:val="21"/>
        </w:rPr>
        <w:t>资格要求</w:t>
      </w:r>
      <w:r>
        <w:rPr>
          <w:rFonts w:hint="eastAsia"/>
          <w:b/>
          <w:bCs/>
        </w:rPr>
        <w:t>：</w:t>
      </w:r>
    </w:p>
    <w:p>
      <w:pPr>
        <w:spacing w:line="360" w:lineRule="auto"/>
        <w:ind w:firstLine="420" w:firstLineChars="200"/>
        <w:rPr>
          <w:rFonts w:ascii="宋体" w:hAnsi="宋体"/>
          <w:szCs w:val="21"/>
        </w:rPr>
      </w:pPr>
      <w:bookmarkStart w:id="12" w:name="_Toc28359004"/>
      <w:bookmarkStart w:id="13" w:name="_Toc28359081"/>
      <w:r>
        <w:rPr>
          <w:rFonts w:hint="eastAsia"/>
        </w:rPr>
        <w:t>1</w:t>
      </w:r>
      <w:r>
        <w:rPr>
          <w:rFonts w:hint="eastAsia" w:ascii="宋体" w:hAnsi="宋体"/>
        </w:rPr>
        <w:t>.满足《中华人民共和国政府采购法》第二十二条规定；未被“信用中国”（</w:t>
      </w:r>
      <w:r>
        <w:rPr>
          <w:rFonts w:hint="eastAsia"/>
        </w:rPr>
        <w:t>www</w:t>
      </w:r>
      <w:r>
        <w:rPr>
          <w:rFonts w:hint="eastAsia" w:ascii="宋体" w:hAnsi="宋体"/>
        </w:rPr>
        <w:t>.</w:t>
      </w:r>
      <w:r>
        <w:rPr>
          <w:rFonts w:hint="eastAsia"/>
        </w:rPr>
        <w:t>creditchina</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)、中国政府采购网（</w:t>
      </w:r>
      <w:r>
        <w:rPr>
          <w:rFonts w:hint="eastAsia"/>
        </w:rPr>
        <w:t>www</w:t>
      </w:r>
      <w:r>
        <w:rPr>
          <w:rFonts w:hint="eastAsia" w:ascii="宋体" w:hAnsi="宋体"/>
        </w:rPr>
        <w:t>.</w:t>
      </w:r>
      <w:r>
        <w:rPr>
          <w:rFonts w:hint="eastAsia"/>
        </w:rPr>
        <w:t>ccgp</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）列入失信被执行人、重大税收违法案件当事人名单、政府采购严重违法失信行为记录名单。</w:t>
      </w:r>
    </w:p>
    <w:p>
      <w:pPr>
        <w:spacing w:line="360" w:lineRule="auto"/>
        <w:ind w:firstLine="420" w:firstLineChars="200"/>
        <w:rPr>
          <w:rFonts w:ascii="宋体" w:hAnsi="宋体"/>
        </w:rPr>
      </w:pPr>
      <w:r>
        <w:rPr>
          <w:rFonts w:hint="eastAsia"/>
        </w:rPr>
        <w:t>2</w:t>
      </w:r>
      <w:r>
        <w:rPr>
          <w:rFonts w:hint="eastAsia" w:ascii="宋体" w:hAnsi="宋体"/>
        </w:rPr>
        <w:t>.落实政府采购政策需满足的资格要求：无。</w:t>
      </w:r>
    </w:p>
    <w:p>
      <w:pPr>
        <w:adjustRightInd w:val="0"/>
        <w:snapToGrid w:val="0"/>
        <w:spacing w:line="360" w:lineRule="auto"/>
        <w:ind w:firstLine="420" w:firstLineChars="200"/>
        <w:rPr>
          <w:rFonts w:ascii="宋体" w:hAnsi="宋体" w:cs="宋体"/>
          <w:b/>
          <w:bCs/>
          <w:szCs w:val="21"/>
          <w:shd w:val="clear" w:color="auto" w:fill="FFFFFF"/>
        </w:rPr>
      </w:pPr>
      <w:r>
        <w:rPr>
          <w:rFonts w:ascii="宋体" w:hAnsi="宋体"/>
          <w:b/>
          <w:bCs/>
        </w:rPr>
        <w:t>3</w:t>
      </w:r>
      <w:r>
        <w:rPr>
          <w:rFonts w:hint="eastAsia" w:ascii="宋体" w:hAnsi="宋体"/>
          <w:b/>
          <w:bCs/>
        </w:rPr>
        <w:t>.本项目的特定资格要求：</w:t>
      </w:r>
      <w:bookmarkStart w:id="14" w:name="_Toc35393623"/>
      <w:bookmarkStart w:id="15" w:name="_Toc35393792"/>
      <w:r>
        <w:rPr>
          <w:rFonts w:hint="eastAsia" w:ascii="宋体" w:hAnsi="宋体" w:cs="宋体"/>
          <w:b/>
          <w:bCs/>
          <w:szCs w:val="21"/>
          <w:shd w:val="clear" w:color="auto" w:fill="FFFFFF"/>
        </w:rPr>
        <w:t>标项一</w:t>
      </w:r>
      <w:r>
        <w:rPr>
          <w:rFonts w:ascii="宋体" w:hAnsi="宋体" w:cs="宋体"/>
          <w:b/>
          <w:bCs/>
          <w:szCs w:val="21"/>
          <w:shd w:val="clear" w:color="auto" w:fill="FFFFFF"/>
        </w:rPr>
        <w:t>投标人具有测绘乙级及以上资质证书（专业类别：地理信息系统工程）。</w:t>
      </w:r>
    </w:p>
    <w:p>
      <w:pPr>
        <w:pStyle w:val="41"/>
        <w:ind w:left="0" w:leftChars="0" w:firstLine="0" w:firstLineChars="0"/>
        <w:rPr>
          <w:b/>
          <w:bCs/>
        </w:rPr>
      </w:pPr>
      <w:r>
        <w:rPr>
          <w:rFonts w:hint="eastAsia"/>
          <w:b/>
          <w:bCs/>
        </w:rPr>
        <w:t>标项二资格要求：</w:t>
      </w:r>
    </w:p>
    <w:p>
      <w:pPr>
        <w:spacing w:line="360" w:lineRule="auto"/>
        <w:ind w:firstLine="420" w:firstLineChars="200"/>
        <w:rPr>
          <w:rFonts w:ascii="宋体" w:hAnsi="宋体"/>
          <w:szCs w:val="21"/>
        </w:rPr>
      </w:pPr>
      <w:r>
        <w:rPr>
          <w:rFonts w:hint="eastAsia"/>
        </w:rPr>
        <w:t>1</w:t>
      </w:r>
      <w:r>
        <w:rPr>
          <w:rFonts w:hint="eastAsia" w:ascii="宋体" w:hAnsi="宋体"/>
        </w:rPr>
        <w:t>.满足《中华人民共和国政府采购法》第二十二条规定；未被“信用中国”（</w:t>
      </w:r>
      <w:r>
        <w:rPr>
          <w:rFonts w:hint="eastAsia"/>
        </w:rPr>
        <w:t>www</w:t>
      </w:r>
      <w:r>
        <w:rPr>
          <w:rFonts w:hint="eastAsia" w:ascii="宋体" w:hAnsi="宋体"/>
        </w:rPr>
        <w:t>.</w:t>
      </w:r>
      <w:r>
        <w:rPr>
          <w:rFonts w:hint="eastAsia"/>
        </w:rPr>
        <w:t>creditchina</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)、中国政府采购网（</w:t>
      </w:r>
      <w:r>
        <w:rPr>
          <w:rFonts w:hint="eastAsia"/>
        </w:rPr>
        <w:t>www</w:t>
      </w:r>
      <w:r>
        <w:rPr>
          <w:rFonts w:hint="eastAsia" w:ascii="宋体" w:hAnsi="宋体"/>
        </w:rPr>
        <w:t>.</w:t>
      </w:r>
      <w:r>
        <w:rPr>
          <w:rFonts w:hint="eastAsia"/>
        </w:rPr>
        <w:t>ccgp</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）列入失信被执行人、重大税收违法案件当事人名单、政府采购严重违法失信行为记录名单。</w:t>
      </w:r>
    </w:p>
    <w:p>
      <w:pPr>
        <w:spacing w:line="360" w:lineRule="auto"/>
        <w:ind w:firstLine="420" w:firstLineChars="200"/>
        <w:rPr>
          <w:rFonts w:ascii="宋体" w:hAnsi="宋体"/>
        </w:rPr>
      </w:pPr>
      <w:r>
        <w:rPr>
          <w:rFonts w:hint="eastAsia"/>
        </w:rPr>
        <w:t>2</w:t>
      </w:r>
      <w:r>
        <w:rPr>
          <w:rFonts w:hint="eastAsia" w:ascii="宋体" w:hAnsi="宋体"/>
        </w:rPr>
        <w:t>.落实政府采购政策需满足的资格要求：无。</w:t>
      </w:r>
    </w:p>
    <w:p>
      <w:pPr>
        <w:adjustRightInd w:val="0"/>
        <w:snapToGrid w:val="0"/>
        <w:spacing w:line="360" w:lineRule="auto"/>
        <w:ind w:firstLine="420" w:firstLineChars="200"/>
        <w:rPr>
          <w:rFonts w:ascii="宋体" w:hAnsi="宋体" w:cs="宋体"/>
          <w:b/>
          <w:bCs/>
          <w:szCs w:val="21"/>
          <w:shd w:val="clear" w:color="auto" w:fill="FFFFFF"/>
        </w:rPr>
      </w:pPr>
      <w:r>
        <w:rPr>
          <w:rFonts w:ascii="宋体" w:hAnsi="宋体"/>
          <w:b/>
          <w:bCs/>
        </w:rPr>
        <w:t>3</w:t>
      </w:r>
      <w:r>
        <w:rPr>
          <w:rFonts w:hint="eastAsia" w:ascii="宋体" w:hAnsi="宋体"/>
          <w:b/>
          <w:bCs/>
        </w:rPr>
        <w:t>.本项目的特定资格要求：无</w:t>
      </w:r>
    </w:p>
    <w:p>
      <w:pPr>
        <w:pStyle w:val="3"/>
        <w:spacing w:line="360" w:lineRule="auto"/>
        <w:jc w:val="both"/>
        <w:rPr>
          <w:rFonts w:ascii="宋体" w:hAnsi="宋体" w:cs="宋体"/>
          <w:sz w:val="21"/>
          <w:szCs w:val="21"/>
        </w:rPr>
      </w:pPr>
      <w:r>
        <w:rPr>
          <w:rFonts w:hint="eastAsia" w:ascii="宋体" w:hAnsi="宋体" w:cs="宋体"/>
          <w:sz w:val="21"/>
          <w:szCs w:val="21"/>
        </w:rPr>
        <w:t>三、获取采购文件</w:t>
      </w:r>
      <w:bookmarkEnd w:id="12"/>
      <w:bookmarkEnd w:id="13"/>
      <w:bookmarkEnd w:id="14"/>
      <w:bookmarkEnd w:id="15"/>
      <w:r>
        <w:rPr>
          <w:rFonts w:hint="eastAsia" w:ascii="宋体" w:hAnsi="宋体" w:cs="宋体"/>
          <w:sz w:val="21"/>
          <w:szCs w:val="21"/>
        </w:rPr>
        <w:t>：</w:t>
      </w:r>
    </w:p>
    <w:p>
      <w:pPr>
        <w:adjustRightInd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shd w:val="clear" w:color="auto" w:fill="FFFFFF"/>
        </w:rPr>
        <w:t>时间：公告发布之日起至</w:t>
      </w:r>
      <w:r>
        <w:rPr>
          <w:rFonts w:hint="eastAsia" w:ascii="宋体" w:hAnsi="宋体" w:cs="宋体"/>
          <w:kern w:val="0"/>
          <w:szCs w:val="21"/>
          <w:u w:val="single"/>
          <w:shd w:val="clear" w:color="auto" w:fill="FFFFFF"/>
        </w:rPr>
        <w:t>2022年10月13日</w:t>
      </w:r>
      <w:r>
        <w:rPr>
          <w:rFonts w:hint="eastAsia" w:ascii="宋体" w:hAnsi="宋体" w:cs="宋体"/>
          <w:kern w:val="0"/>
          <w:szCs w:val="21"/>
          <w:shd w:val="clear" w:color="auto" w:fill="FFFFFF"/>
        </w:rPr>
        <w:t>，每天上午</w:t>
      </w:r>
      <w:r>
        <w:rPr>
          <w:rFonts w:hint="eastAsia" w:ascii="宋体" w:hAnsi="宋体" w:cs="宋体"/>
          <w:kern w:val="0"/>
          <w:szCs w:val="21"/>
          <w:u w:val="single"/>
          <w:shd w:val="clear" w:color="auto" w:fill="FFFFFF"/>
        </w:rPr>
        <w:t>00:00至12:00</w:t>
      </w:r>
      <w:r>
        <w:rPr>
          <w:rFonts w:hint="eastAsia" w:ascii="宋体" w:hAnsi="宋体" w:cs="宋体"/>
          <w:kern w:val="0"/>
          <w:szCs w:val="21"/>
          <w:shd w:val="clear" w:color="auto" w:fill="FFFFFF"/>
        </w:rPr>
        <w:t>，下午</w:t>
      </w:r>
      <w:r>
        <w:rPr>
          <w:rFonts w:hint="eastAsia" w:ascii="宋体" w:hAnsi="宋体" w:cs="宋体"/>
          <w:kern w:val="0"/>
          <w:szCs w:val="21"/>
          <w:u w:val="single"/>
          <w:shd w:val="clear" w:color="auto" w:fill="FFFFFF"/>
        </w:rPr>
        <w:t>12:00至23:59</w:t>
      </w:r>
      <w:r>
        <w:rPr>
          <w:rFonts w:hint="eastAsia" w:ascii="宋体" w:hAnsi="宋体" w:cs="宋体"/>
          <w:kern w:val="0"/>
          <w:szCs w:val="21"/>
          <w:shd w:val="clear" w:color="auto" w:fill="FFFFFF"/>
        </w:rPr>
        <w:t>（北京时间，法定节假日除外）；</w:t>
      </w:r>
    </w:p>
    <w:p>
      <w:pPr>
        <w:adjustRightInd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shd w:val="clear" w:color="auto" w:fill="FFFFFF"/>
        </w:rPr>
        <w:t>地点（网址）：政府采购云平台</w:t>
      </w:r>
      <w:r>
        <w:rPr>
          <w:rFonts w:hint="eastAsia" w:ascii="宋体" w:hAnsi="宋体" w:cs="宋体"/>
          <w:kern w:val="0"/>
          <w:szCs w:val="21"/>
        </w:rPr>
        <w:t>（www.zcygov.cn）</w:t>
      </w:r>
      <w:r>
        <w:rPr>
          <w:rFonts w:hint="eastAsia" w:ascii="宋体" w:hAnsi="宋体" w:cs="宋体"/>
          <w:kern w:val="0"/>
          <w:szCs w:val="21"/>
          <w:shd w:val="clear" w:color="auto" w:fill="FFFFFF"/>
        </w:rPr>
        <w:t>； </w:t>
      </w:r>
    </w:p>
    <w:p>
      <w:pPr>
        <w:adjustRightInd w:val="0"/>
        <w:snapToGrid w:val="0"/>
        <w:spacing w:line="460" w:lineRule="exact"/>
        <w:ind w:firstLine="420" w:firstLineChars="200"/>
        <w:jc w:val="left"/>
        <w:rPr>
          <w:rFonts w:ascii="宋体" w:hAnsi="宋体" w:cs="宋体"/>
          <w:kern w:val="0"/>
          <w:szCs w:val="21"/>
        </w:rPr>
      </w:pPr>
      <w:r>
        <w:rPr>
          <w:rFonts w:hint="eastAsia" w:ascii="宋体" w:hAnsi="宋体" w:cs="宋体"/>
          <w:kern w:val="0"/>
          <w:szCs w:val="21"/>
          <w:shd w:val="clear" w:color="auto" w:fill="FFFFFF"/>
        </w:rPr>
        <w:t>方式：供应商登录政采云平台https://www.zcygov.cn/在线申请获取采购文件（进入“项目采购”应用，在获取采购文件菜单中选择项目，申请获取采购文件）； </w:t>
      </w:r>
    </w:p>
    <w:p>
      <w:pPr>
        <w:spacing w:line="360" w:lineRule="auto"/>
        <w:ind w:firstLine="420" w:firstLineChars="200"/>
        <w:rPr>
          <w:rFonts w:ascii="宋体" w:hAnsi="宋体" w:cs="宋体"/>
        </w:rPr>
      </w:pPr>
      <w:r>
        <w:rPr>
          <w:rFonts w:hint="eastAsia" w:ascii="宋体" w:hAnsi="宋体" w:cs="宋体"/>
          <w:szCs w:val="21"/>
          <w:shd w:val="clear" w:color="auto" w:fill="FFFFFF"/>
        </w:rPr>
        <w:t>售价（元）：0。</w:t>
      </w:r>
    </w:p>
    <w:p>
      <w:pPr>
        <w:spacing w:line="360" w:lineRule="auto"/>
        <w:ind w:firstLine="420" w:firstLineChars="200"/>
        <w:rPr>
          <w:rFonts w:ascii="宋体" w:hAnsi="宋体" w:cs="宋体"/>
        </w:rPr>
      </w:pPr>
    </w:p>
    <w:p>
      <w:pPr>
        <w:pStyle w:val="3"/>
        <w:spacing w:line="360" w:lineRule="auto"/>
        <w:jc w:val="both"/>
        <w:rPr>
          <w:rFonts w:ascii="宋体" w:hAnsi="宋体" w:cs="宋体"/>
          <w:sz w:val="21"/>
          <w:szCs w:val="21"/>
        </w:rPr>
      </w:pPr>
      <w:bookmarkStart w:id="16" w:name="_Toc28359005"/>
      <w:bookmarkStart w:id="17" w:name="_Toc28359082"/>
      <w:bookmarkStart w:id="18" w:name="_Toc35393624"/>
      <w:bookmarkStart w:id="19" w:name="_Toc35393793"/>
      <w:r>
        <w:rPr>
          <w:rFonts w:hint="eastAsia" w:ascii="宋体" w:hAnsi="宋体" w:cs="宋体"/>
          <w:sz w:val="21"/>
          <w:szCs w:val="21"/>
        </w:rPr>
        <w:t>四、提交投标文件</w:t>
      </w:r>
      <w:bookmarkEnd w:id="16"/>
      <w:bookmarkEnd w:id="17"/>
      <w:r>
        <w:rPr>
          <w:rFonts w:hint="eastAsia" w:ascii="宋体" w:hAnsi="宋体" w:cs="宋体"/>
          <w:sz w:val="21"/>
          <w:szCs w:val="21"/>
        </w:rPr>
        <w:t>截止时间、开标时间和地点</w:t>
      </w:r>
      <w:bookmarkEnd w:id="18"/>
      <w:bookmarkEnd w:id="19"/>
    </w:p>
    <w:p>
      <w:pPr>
        <w:spacing w:line="480" w:lineRule="atLeast"/>
        <w:ind w:firstLine="420"/>
        <w:jc w:val="left"/>
        <w:rPr>
          <w:rFonts w:ascii="宋体" w:hAnsi="宋体" w:cs="宋体"/>
          <w:kern w:val="0"/>
          <w:sz w:val="27"/>
          <w:szCs w:val="27"/>
        </w:rPr>
      </w:pPr>
      <w:r>
        <w:rPr>
          <w:rFonts w:hint="eastAsia" w:ascii="宋体" w:hAnsi="宋体" w:cs="宋体"/>
          <w:kern w:val="0"/>
          <w:szCs w:val="21"/>
          <w:shd w:val="clear" w:color="auto" w:fill="FFFFFF"/>
        </w:rPr>
        <w:t>提交投标文件截止时间：</w:t>
      </w:r>
      <w:r>
        <w:rPr>
          <w:rFonts w:hint="eastAsia" w:ascii="宋体" w:hAnsi="宋体" w:cs="宋体"/>
          <w:kern w:val="0"/>
          <w:szCs w:val="21"/>
          <w:u w:val="single"/>
          <w:shd w:val="clear" w:color="auto" w:fill="FFFFFF"/>
        </w:rPr>
        <w:t>2022年10月31日9:30（北京时间）前</w:t>
      </w:r>
    </w:p>
    <w:p>
      <w:pPr>
        <w:spacing w:line="480" w:lineRule="atLeast"/>
        <w:ind w:firstLine="420"/>
        <w:jc w:val="left"/>
        <w:rPr>
          <w:rFonts w:ascii="宋体" w:hAnsi="宋体" w:cs="宋体"/>
          <w:kern w:val="0"/>
          <w:sz w:val="27"/>
          <w:szCs w:val="27"/>
        </w:rPr>
      </w:pPr>
      <w:r>
        <w:rPr>
          <w:rFonts w:hint="eastAsia" w:ascii="宋体" w:hAnsi="宋体" w:cs="宋体"/>
          <w:kern w:val="0"/>
          <w:szCs w:val="21"/>
          <w:shd w:val="clear" w:color="auto" w:fill="FFFFFF"/>
        </w:rPr>
        <w:t>投标地点（网址）：</w:t>
      </w:r>
      <w:r>
        <w:rPr>
          <w:rFonts w:hint="eastAsia" w:ascii="宋体" w:hAnsi="宋体" w:cs="宋体"/>
          <w:kern w:val="0"/>
          <w:szCs w:val="21"/>
          <w:u w:val="single"/>
          <w:shd w:val="clear" w:color="auto" w:fill="FFFFFF"/>
        </w:rPr>
        <w:t>本项目通过“政府采购云平台（www.zcygov.cn）”实行在线制作并提交投标文件（电子投标）</w:t>
      </w:r>
    </w:p>
    <w:p>
      <w:pPr>
        <w:spacing w:line="480" w:lineRule="atLeast"/>
        <w:ind w:firstLine="420"/>
        <w:jc w:val="left"/>
        <w:rPr>
          <w:rFonts w:ascii="宋体" w:hAnsi="宋体" w:cs="宋体"/>
          <w:kern w:val="0"/>
          <w:sz w:val="27"/>
          <w:szCs w:val="27"/>
        </w:rPr>
      </w:pPr>
      <w:r>
        <w:rPr>
          <w:rFonts w:hint="eastAsia" w:ascii="宋体" w:hAnsi="宋体" w:cs="宋体"/>
          <w:kern w:val="0"/>
          <w:szCs w:val="21"/>
          <w:shd w:val="clear" w:color="auto" w:fill="FFFFFF"/>
        </w:rPr>
        <w:t>开标时间：</w:t>
      </w:r>
      <w:r>
        <w:rPr>
          <w:rFonts w:hint="eastAsia" w:ascii="宋体" w:hAnsi="宋体" w:cs="宋体"/>
          <w:kern w:val="0"/>
          <w:szCs w:val="21"/>
          <w:u w:val="single"/>
          <w:shd w:val="clear" w:color="auto" w:fill="FFFFFF"/>
        </w:rPr>
        <w:t>2022年10月31日9:30（北京时间）前</w:t>
      </w:r>
    </w:p>
    <w:p>
      <w:pPr>
        <w:spacing w:line="480" w:lineRule="atLeast"/>
        <w:ind w:firstLine="420"/>
        <w:jc w:val="left"/>
        <w:rPr>
          <w:rFonts w:ascii="宋体" w:hAnsi="宋体" w:cs="宋体"/>
          <w:kern w:val="0"/>
          <w:sz w:val="27"/>
          <w:szCs w:val="27"/>
        </w:rPr>
      </w:pPr>
      <w:r>
        <w:rPr>
          <w:rFonts w:hint="eastAsia" w:ascii="宋体" w:hAnsi="宋体" w:cs="宋体"/>
          <w:kern w:val="0"/>
          <w:szCs w:val="21"/>
          <w:shd w:val="clear" w:color="auto" w:fill="FFFFFF"/>
        </w:rPr>
        <w:t>开标地点（网址）：</w:t>
      </w:r>
      <w:r>
        <w:rPr>
          <w:rFonts w:hint="eastAsia" w:ascii="宋体" w:hAnsi="宋体" w:cs="宋体"/>
          <w:kern w:val="0"/>
          <w:szCs w:val="21"/>
          <w:u w:val="single"/>
          <w:shd w:val="clear" w:color="auto" w:fill="FFFFFF"/>
        </w:rPr>
        <w:t>宁波高新区公共资源交易中心（宁波市高新区广贤路997号南楼三楼开标室，详见电子显示屏），本项目通过“政府采购云平台”实行在线电子评标，投标人可在线参加开标</w:t>
      </w:r>
    </w:p>
    <w:p>
      <w:pPr>
        <w:spacing w:line="360" w:lineRule="auto"/>
        <w:ind w:firstLine="420" w:firstLineChars="200"/>
        <w:rPr>
          <w:rFonts w:ascii="宋体" w:hAnsi="宋体"/>
          <w:bCs/>
          <w:u w:val="single"/>
        </w:rPr>
      </w:pPr>
    </w:p>
    <w:p>
      <w:pPr>
        <w:pStyle w:val="3"/>
        <w:spacing w:line="360" w:lineRule="auto"/>
        <w:jc w:val="both"/>
        <w:rPr>
          <w:rFonts w:ascii="宋体" w:hAnsi="宋体" w:cs="宋体"/>
          <w:sz w:val="21"/>
          <w:szCs w:val="21"/>
        </w:rPr>
      </w:pPr>
      <w:bookmarkStart w:id="20" w:name="_Toc28359084"/>
      <w:bookmarkStart w:id="21" w:name="_Toc35393625"/>
      <w:bookmarkStart w:id="22" w:name="_Toc35393794"/>
      <w:bookmarkStart w:id="23" w:name="_Toc28359007"/>
      <w:r>
        <w:rPr>
          <w:rFonts w:hint="eastAsia" w:ascii="宋体" w:hAnsi="宋体" w:cs="宋体"/>
          <w:sz w:val="21"/>
          <w:szCs w:val="21"/>
        </w:rPr>
        <w:t>五、公告期限</w:t>
      </w:r>
      <w:bookmarkEnd w:id="20"/>
      <w:bookmarkEnd w:id="21"/>
      <w:bookmarkEnd w:id="22"/>
      <w:bookmarkEnd w:id="23"/>
    </w:p>
    <w:p>
      <w:pPr>
        <w:spacing w:line="360" w:lineRule="auto"/>
        <w:ind w:firstLine="420" w:firstLineChars="200"/>
        <w:rPr>
          <w:rFonts w:ascii="宋体" w:hAnsi="宋体" w:cs="宋体"/>
          <w:kern w:val="0"/>
        </w:rPr>
      </w:pPr>
      <w:r>
        <w:rPr>
          <w:rFonts w:hint="eastAsia" w:ascii="宋体" w:hAnsi="宋体" w:cs="宋体"/>
          <w:kern w:val="0"/>
        </w:rPr>
        <w:t>自本公告发布之日起</w:t>
      </w:r>
      <w:r>
        <w:rPr>
          <w:rFonts w:hint="eastAsia" w:cs="宋体"/>
          <w:kern w:val="0"/>
        </w:rPr>
        <w:t>5</w:t>
      </w:r>
      <w:r>
        <w:rPr>
          <w:rFonts w:hint="eastAsia" w:ascii="宋体" w:hAnsi="宋体" w:cs="宋体"/>
          <w:kern w:val="0"/>
        </w:rPr>
        <w:t>个工作日。</w:t>
      </w:r>
    </w:p>
    <w:p>
      <w:pPr>
        <w:spacing w:line="360" w:lineRule="auto"/>
        <w:ind w:firstLine="420" w:firstLineChars="200"/>
        <w:rPr>
          <w:rFonts w:ascii="宋体" w:hAnsi="宋体" w:cs="宋体"/>
          <w:kern w:val="0"/>
          <w:szCs w:val="21"/>
        </w:rPr>
      </w:pPr>
    </w:p>
    <w:p>
      <w:pPr>
        <w:pStyle w:val="3"/>
        <w:spacing w:line="360" w:lineRule="auto"/>
        <w:jc w:val="both"/>
        <w:rPr>
          <w:rFonts w:ascii="宋体" w:hAnsi="宋体" w:cs="宋体"/>
          <w:sz w:val="21"/>
          <w:szCs w:val="21"/>
        </w:rPr>
      </w:pPr>
      <w:bookmarkStart w:id="24" w:name="_Toc35393626"/>
      <w:bookmarkStart w:id="25" w:name="_Toc35393795"/>
      <w:r>
        <w:rPr>
          <w:rFonts w:hint="eastAsia" w:ascii="宋体" w:hAnsi="宋体" w:cs="宋体"/>
          <w:sz w:val="21"/>
          <w:szCs w:val="21"/>
        </w:rPr>
        <w:t>六、其他补充事宜</w:t>
      </w:r>
      <w:bookmarkEnd w:id="24"/>
      <w:bookmarkEnd w:id="25"/>
    </w:p>
    <w:p>
      <w:pPr>
        <w:spacing w:line="360" w:lineRule="auto"/>
        <w:ind w:firstLine="420" w:firstLineChars="200"/>
        <w:rPr>
          <w:rFonts w:cs="宋体" w:asciiTheme="minorEastAsia" w:hAnsiTheme="minorEastAsia" w:eastAsiaTheme="minorEastAsia"/>
        </w:rPr>
      </w:pPr>
      <w:r>
        <w:rPr>
          <w:rFonts w:hint="eastAsia" w:cs="宋体" w:eastAsiaTheme="minorEastAsia"/>
        </w:rPr>
        <w:t>1</w:t>
      </w:r>
      <w:r>
        <w:rPr>
          <w:rFonts w:hint="eastAsia" w:cs="宋体" w:asciiTheme="minorEastAsia" w:hAnsiTheme="minorEastAsia" w:eastAsiaTheme="minorEastAsia"/>
        </w:rPr>
        <w:t>.供应商认为采购文件使自己的权益受到损害的，可以自获取采购文件之日或者采购文件公告期限届满之日（公告期限届满后获取采购文件的，以公告期限届满之日为准）起</w:t>
      </w:r>
      <w:r>
        <w:rPr>
          <w:rFonts w:hint="eastAsia" w:cs="宋体" w:eastAsiaTheme="minorEastAsia"/>
        </w:rPr>
        <w:t>7</w:t>
      </w:r>
      <w:r>
        <w:rPr>
          <w:rFonts w:hint="eastAsia" w:cs="宋体" w:asciiTheme="minorEastAsia" w:hAnsiTheme="minorEastAsia" w:eastAsiaTheme="minorEastAsia"/>
        </w:rPr>
        <w:t>个工作日内，</w:t>
      </w:r>
      <w:bookmarkStart w:id="26" w:name="_Hlk97714722"/>
      <w:r>
        <w:rPr>
          <w:rFonts w:hint="eastAsia" w:cs="宋体" w:asciiTheme="minorEastAsia" w:hAnsiTheme="minorEastAsia" w:eastAsiaTheme="minorEastAsia"/>
          <w:szCs w:val="21"/>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bookmarkEnd w:id="26"/>
    </w:p>
    <w:p>
      <w:pPr>
        <w:spacing w:line="360" w:lineRule="auto"/>
        <w:ind w:firstLine="420" w:firstLineChars="200"/>
        <w:rPr>
          <w:rFonts w:cs="宋体" w:asciiTheme="minorEastAsia" w:hAnsiTheme="minorEastAsia" w:eastAsiaTheme="minorEastAsia"/>
        </w:rPr>
      </w:pPr>
      <w:r>
        <w:rPr>
          <w:rFonts w:hint="eastAsia" w:cs="宋体" w:eastAsiaTheme="minorEastAsia"/>
        </w:rPr>
        <w:t>2</w:t>
      </w:r>
      <w:r>
        <w:rPr>
          <w:rFonts w:hint="eastAsia" w:cs="宋体" w:asciiTheme="minorEastAsia" w:hAnsiTheme="minorEastAsia" w:eastAsiaTheme="minorEastAsia"/>
        </w:rPr>
        <w:t>.其他事项：</w:t>
      </w:r>
    </w:p>
    <w:p>
      <w:pPr>
        <w:spacing w:line="360" w:lineRule="auto"/>
        <w:ind w:firstLine="420" w:firstLineChars="200"/>
        <w:jc w:val="left"/>
        <w:rPr>
          <w:rFonts w:cs="宋体" w:asciiTheme="minorEastAsia" w:hAnsiTheme="minorEastAsia" w:eastAsiaTheme="minorEastAsia"/>
          <w:szCs w:val="21"/>
        </w:rPr>
      </w:pPr>
      <w:r>
        <w:rPr>
          <w:rFonts w:hint="eastAsia" w:cs="宋体" w:eastAsiaTheme="minorEastAsia"/>
          <w:szCs w:val="21"/>
        </w:rPr>
        <w:t>2</w:t>
      </w:r>
      <w:r>
        <w:rPr>
          <w:rFonts w:hint="eastAsia" w:cs="宋体" w:asciiTheme="minorEastAsia" w:hAnsiTheme="minorEastAsia" w:eastAsiaTheme="minorEastAsia"/>
          <w:szCs w:val="21"/>
        </w:rPr>
        <w:t>.</w:t>
      </w:r>
      <w:r>
        <w:rPr>
          <w:rFonts w:hint="eastAsia" w:cs="宋体" w:eastAsiaTheme="minorEastAsia"/>
          <w:szCs w:val="21"/>
        </w:rPr>
        <w:t>1</w:t>
      </w:r>
      <w:r>
        <w:rPr>
          <w:rFonts w:hint="eastAsia" w:cs="宋体" w:asciiTheme="minorEastAsia" w:hAnsiTheme="minorEastAsia" w:eastAsiaTheme="minorEastAsia"/>
          <w:szCs w:val="21"/>
        </w:rPr>
        <w:t>落实政策：（1）《关于促进残疾人就业政府采购政策的通知》（财库〔</w:t>
      </w:r>
      <w:r>
        <w:rPr>
          <w:rFonts w:hint="eastAsia" w:cs="宋体" w:eastAsiaTheme="minorEastAsia"/>
          <w:szCs w:val="21"/>
        </w:rPr>
        <w:t>2017</w:t>
      </w:r>
      <w:r>
        <w:rPr>
          <w:rFonts w:hint="eastAsia" w:cs="宋体" w:asciiTheme="minorEastAsia" w:hAnsiTheme="minorEastAsia" w:eastAsiaTheme="minorEastAsia"/>
          <w:szCs w:val="21"/>
        </w:rPr>
        <w:t>〕</w:t>
      </w:r>
      <w:r>
        <w:rPr>
          <w:rFonts w:hint="eastAsia" w:cs="宋体" w:eastAsiaTheme="minorEastAsia"/>
          <w:szCs w:val="21"/>
        </w:rPr>
        <w:t>141</w:t>
      </w:r>
      <w:r>
        <w:rPr>
          <w:rFonts w:hint="eastAsia" w:cs="宋体" w:asciiTheme="minorEastAsia" w:hAnsiTheme="minorEastAsia" w:eastAsiaTheme="minorEastAsia"/>
          <w:szCs w:val="21"/>
        </w:rPr>
        <w:t>号）、《政府采购促进中小企业发展管理办法》（财库﹝</w:t>
      </w:r>
      <w:r>
        <w:rPr>
          <w:rFonts w:hint="eastAsia" w:cs="宋体" w:eastAsiaTheme="minorEastAsia"/>
          <w:szCs w:val="21"/>
        </w:rPr>
        <w:t>2020</w:t>
      </w:r>
      <w:r>
        <w:rPr>
          <w:rFonts w:hint="eastAsia" w:cs="宋体" w:asciiTheme="minorEastAsia" w:hAnsiTheme="minorEastAsia" w:eastAsiaTheme="minorEastAsia"/>
          <w:szCs w:val="21"/>
        </w:rPr>
        <w:t>﹞</w:t>
      </w:r>
      <w:r>
        <w:rPr>
          <w:rFonts w:hint="eastAsia" w:cs="宋体" w:eastAsiaTheme="minorEastAsia"/>
          <w:szCs w:val="21"/>
        </w:rPr>
        <w:t>46</w:t>
      </w:r>
      <w:r>
        <w:rPr>
          <w:rFonts w:hint="eastAsia" w:cs="宋体" w:asciiTheme="minorEastAsia" w:hAnsiTheme="minorEastAsia" w:eastAsiaTheme="minorEastAsia"/>
          <w:szCs w:val="21"/>
        </w:rPr>
        <w:t xml:space="preserve"> 号）、《关于政府采购支持监狱企业发展有关问题的通知》(财库〔</w:t>
      </w:r>
      <w:r>
        <w:rPr>
          <w:rFonts w:hint="eastAsia" w:cs="宋体" w:eastAsiaTheme="minorEastAsia"/>
          <w:szCs w:val="21"/>
        </w:rPr>
        <w:t>2014</w:t>
      </w:r>
      <w:r>
        <w:rPr>
          <w:rFonts w:hint="eastAsia" w:cs="宋体" w:asciiTheme="minorEastAsia" w:hAnsiTheme="minorEastAsia" w:eastAsiaTheme="minorEastAsia"/>
          <w:szCs w:val="21"/>
        </w:rPr>
        <w:t>〕</w:t>
      </w:r>
      <w:r>
        <w:rPr>
          <w:rFonts w:hint="eastAsia" w:cs="宋体" w:eastAsiaTheme="minorEastAsia"/>
          <w:szCs w:val="21"/>
        </w:rPr>
        <w:t>68</w:t>
      </w:r>
      <w:r>
        <w:rPr>
          <w:rFonts w:hint="eastAsia" w:cs="宋体" w:asciiTheme="minorEastAsia" w:hAnsiTheme="minorEastAsia" w:eastAsiaTheme="minorEastAsia"/>
          <w:szCs w:val="21"/>
        </w:rPr>
        <w:t>号)。（2）</w:t>
      </w:r>
      <w:bookmarkStart w:id="27" w:name="_Hlk97714790"/>
      <w:r>
        <w:rPr>
          <w:rFonts w:hint="eastAsia" w:cs="宋体" w:asciiTheme="minorEastAsia" w:hAnsiTheme="minorEastAsia" w:eastAsiaTheme="minorEastAsia"/>
          <w:szCs w:val="21"/>
        </w:rPr>
        <w:t>《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w:t>
      </w:r>
      <w:r>
        <w:rPr>
          <w:rFonts w:cs="宋体" w:asciiTheme="minorEastAsia" w:hAnsiTheme="minorEastAsia" w:eastAsiaTheme="minorEastAsia"/>
          <w:szCs w:val="21"/>
        </w:rPr>
        <w:t>2</w:t>
      </w:r>
      <w:r>
        <w:rPr>
          <w:rFonts w:hint="eastAsia" w:cs="宋体" w:asciiTheme="minorEastAsia" w:hAnsiTheme="minorEastAsia" w:eastAsiaTheme="minorEastAsia"/>
          <w:szCs w:val="21"/>
        </w:rPr>
        <w:t>）</w:t>
      </w:r>
      <w:r>
        <w:rPr>
          <w:rFonts w:cs="宋体" w:asciiTheme="minorEastAsia" w:hAnsiTheme="minorEastAsia" w:eastAsiaTheme="minorEastAsia"/>
          <w:szCs w:val="21"/>
        </w:rPr>
        <w:t>8</w:t>
      </w:r>
      <w:r>
        <w:rPr>
          <w:rFonts w:hint="eastAsia" w:cs="宋体" w:asciiTheme="minorEastAsia" w:hAnsiTheme="minorEastAsia" w:eastAsiaTheme="minorEastAsia"/>
          <w:szCs w:val="21"/>
        </w:rPr>
        <w:t>号）已开始实施，此前有关规定与上述文件内容不一致的，按上述文件要求执行。</w:t>
      </w:r>
      <w:bookmarkEnd w:id="27"/>
    </w:p>
    <w:p>
      <w:pPr>
        <w:wordWrap w:val="0"/>
        <w:spacing w:line="360" w:lineRule="auto"/>
        <w:ind w:firstLine="420" w:firstLineChars="200"/>
        <w:jc w:val="left"/>
        <w:rPr>
          <w:rFonts w:cs="宋体" w:asciiTheme="minorEastAsia" w:hAnsiTheme="minorEastAsia" w:eastAsiaTheme="minorEastAsia"/>
          <w:szCs w:val="21"/>
        </w:rPr>
      </w:pPr>
      <w:r>
        <w:rPr>
          <w:rFonts w:hint="eastAsia" w:cs="宋体" w:eastAsiaTheme="minorEastAsia"/>
          <w:szCs w:val="21"/>
        </w:rPr>
        <w:t>2</w:t>
      </w:r>
      <w:r>
        <w:rPr>
          <w:rFonts w:hint="eastAsia" w:cs="宋体" w:asciiTheme="minorEastAsia" w:hAnsiTheme="minorEastAsia" w:eastAsiaTheme="minorEastAsia"/>
          <w:szCs w:val="21"/>
        </w:rPr>
        <w:t>.</w:t>
      </w:r>
      <w:r>
        <w:rPr>
          <w:rFonts w:hint="eastAsia" w:cs="宋体" w:eastAsiaTheme="minorEastAsia"/>
          <w:szCs w:val="21"/>
        </w:rPr>
        <w:t>2</w:t>
      </w:r>
      <w:r>
        <w:rPr>
          <w:rFonts w:hint="eastAsia" w:cs="宋体" w:asciiTheme="minorEastAsia" w:hAnsiTheme="minorEastAsia" w:eastAsiaTheme="minorEastAsia"/>
          <w:szCs w:val="21"/>
        </w:rPr>
        <w:t>各投标人应在开标前确保成为浙江省政府采购网正式注册入库投标人，并完成</w:t>
      </w:r>
      <w:r>
        <w:rPr>
          <w:rFonts w:hint="eastAsia" w:cs="宋体" w:eastAsiaTheme="minorEastAsia"/>
          <w:szCs w:val="21"/>
        </w:rPr>
        <w:t>CA</w:t>
      </w:r>
      <w:r>
        <w:rPr>
          <w:rFonts w:hint="eastAsia" w:cs="宋体" w:asciiTheme="minorEastAsia" w:hAnsiTheme="minorEastAsia" w:eastAsiaTheme="minorEastAsia"/>
          <w:szCs w:val="21"/>
        </w:rPr>
        <w:t>数字证书办理。因未注册入库、未办理</w:t>
      </w:r>
      <w:r>
        <w:rPr>
          <w:rFonts w:hint="eastAsia" w:cs="宋体" w:eastAsiaTheme="minorEastAsia"/>
          <w:szCs w:val="21"/>
        </w:rPr>
        <w:t>CA</w:t>
      </w:r>
      <w:r>
        <w:rPr>
          <w:rFonts w:hint="eastAsia" w:cs="宋体" w:asciiTheme="minorEastAsia" w:hAnsiTheme="minorEastAsia" w:eastAsiaTheme="minorEastAsia"/>
          <w:szCs w:val="21"/>
        </w:rPr>
        <w:t>数字证书等原因造成无法投标或投标失败等后果由投标人自行承担。（具体操作详见投标人</w:t>
      </w:r>
      <w:r>
        <w:rPr>
          <w:rFonts w:hint="eastAsia" w:cs="宋体" w:eastAsiaTheme="minorEastAsia"/>
          <w:szCs w:val="21"/>
        </w:rPr>
        <w:t>CA</w:t>
      </w:r>
      <w:r>
        <w:rPr>
          <w:rFonts w:hint="eastAsia" w:cs="宋体" w:asciiTheme="minorEastAsia" w:hAnsiTheme="minorEastAsia" w:eastAsiaTheme="minorEastAsia"/>
          <w:szCs w:val="21"/>
        </w:rPr>
        <w:t>申领操作指南</w:t>
      </w:r>
      <w:r>
        <w:rPr>
          <w:rFonts w:hint="eastAsia" w:cs="宋体" w:eastAsiaTheme="minorEastAsia"/>
          <w:szCs w:val="21"/>
        </w:rPr>
        <w:t>https</w:t>
      </w:r>
      <w:r>
        <w:rPr>
          <w:rFonts w:hint="eastAsia" w:cs="宋体" w:asciiTheme="minorEastAsia" w:hAnsiTheme="minorEastAsia" w:eastAsiaTheme="minorEastAsia"/>
          <w:szCs w:val="21"/>
        </w:rPr>
        <w:t>://</w:t>
      </w:r>
      <w:r>
        <w:rPr>
          <w:rFonts w:hint="eastAsia" w:cs="宋体" w:eastAsiaTheme="minorEastAsia"/>
          <w:szCs w:val="21"/>
        </w:rPr>
        <w:t>help</w:t>
      </w:r>
      <w:r>
        <w:rPr>
          <w:rFonts w:hint="eastAsia" w:cs="宋体" w:asciiTheme="minorEastAsia" w:hAnsiTheme="minorEastAsia" w:eastAsiaTheme="minorEastAsia"/>
          <w:szCs w:val="21"/>
        </w:rPr>
        <w:t>.</w:t>
      </w:r>
      <w:r>
        <w:rPr>
          <w:rFonts w:hint="eastAsia" w:cs="宋体" w:eastAsiaTheme="minorEastAsia"/>
          <w:szCs w:val="21"/>
        </w:rPr>
        <w:t>zcygov</w:t>
      </w:r>
      <w:r>
        <w:rPr>
          <w:rFonts w:hint="eastAsia" w:cs="宋体" w:asciiTheme="minorEastAsia" w:hAnsiTheme="minorEastAsia" w:eastAsiaTheme="minorEastAsia"/>
          <w:szCs w:val="21"/>
        </w:rPr>
        <w:t>.</w:t>
      </w:r>
      <w:r>
        <w:rPr>
          <w:rFonts w:hint="eastAsia" w:cs="宋体" w:eastAsiaTheme="minorEastAsia"/>
          <w:szCs w:val="21"/>
        </w:rPr>
        <w:t>cn</w:t>
      </w:r>
      <w:r>
        <w:rPr>
          <w:rFonts w:hint="eastAsia" w:cs="宋体" w:asciiTheme="minorEastAsia" w:hAnsiTheme="minorEastAsia" w:eastAsiaTheme="minorEastAsia"/>
          <w:szCs w:val="21"/>
        </w:rPr>
        <w:t>/</w:t>
      </w:r>
      <w:r>
        <w:rPr>
          <w:rFonts w:hint="eastAsia" w:cs="宋体" w:eastAsiaTheme="minorEastAsia"/>
          <w:szCs w:val="21"/>
        </w:rPr>
        <w:t>web</w:t>
      </w:r>
      <w:r>
        <w:rPr>
          <w:rFonts w:hint="eastAsia" w:cs="宋体" w:asciiTheme="minorEastAsia" w:hAnsiTheme="minorEastAsia" w:eastAsiaTheme="minorEastAsia"/>
          <w:szCs w:val="21"/>
        </w:rPr>
        <w:t>/</w:t>
      </w:r>
      <w:r>
        <w:rPr>
          <w:rFonts w:hint="eastAsia" w:cs="宋体" w:eastAsiaTheme="minorEastAsia"/>
          <w:szCs w:val="21"/>
        </w:rPr>
        <w:t>site</w:t>
      </w:r>
      <w:r>
        <w:rPr>
          <w:rFonts w:hint="eastAsia" w:cs="宋体" w:asciiTheme="minorEastAsia" w:hAnsiTheme="minorEastAsia" w:eastAsiaTheme="minorEastAsia"/>
          <w:szCs w:val="21"/>
        </w:rPr>
        <w:t>_</w:t>
      </w:r>
      <w:r>
        <w:rPr>
          <w:rFonts w:hint="eastAsia" w:cs="宋体" w:eastAsiaTheme="minorEastAsia"/>
          <w:szCs w:val="21"/>
        </w:rPr>
        <w:t>2</w:t>
      </w:r>
      <w:r>
        <w:rPr>
          <w:rFonts w:hint="eastAsia" w:cs="宋体" w:asciiTheme="minorEastAsia" w:hAnsiTheme="minorEastAsia" w:eastAsiaTheme="minorEastAsia"/>
          <w:szCs w:val="21"/>
        </w:rPr>
        <w:t>/</w:t>
      </w:r>
      <w:r>
        <w:rPr>
          <w:rFonts w:hint="eastAsia" w:cs="宋体" w:eastAsiaTheme="minorEastAsia"/>
          <w:szCs w:val="21"/>
        </w:rPr>
        <w:t>2018</w:t>
      </w:r>
      <w:r>
        <w:rPr>
          <w:rFonts w:hint="eastAsia" w:cs="宋体" w:asciiTheme="minorEastAsia" w:hAnsiTheme="minorEastAsia" w:eastAsiaTheme="minorEastAsia"/>
          <w:szCs w:val="21"/>
        </w:rPr>
        <w:t>/</w:t>
      </w:r>
      <w:r>
        <w:rPr>
          <w:rFonts w:hint="eastAsia" w:cs="宋体" w:eastAsiaTheme="minorEastAsia"/>
          <w:szCs w:val="21"/>
        </w:rPr>
        <w:t>11</w:t>
      </w:r>
      <w:r>
        <w:rPr>
          <w:rFonts w:hint="eastAsia" w:cs="宋体" w:asciiTheme="minorEastAsia" w:hAnsiTheme="minorEastAsia" w:eastAsiaTheme="minorEastAsia"/>
          <w:szCs w:val="21"/>
        </w:rPr>
        <w:t>-</w:t>
      </w:r>
      <w:r>
        <w:rPr>
          <w:rFonts w:hint="eastAsia" w:cs="宋体" w:eastAsiaTheme="minorEastAsia"/>
          <w:szCs w:val="21"/>
        </w:rPr>
        <w:t>29</w:t>
      </w:r>
      <w:r>
        <w:rPr>
          <w:rFonts w:hint="eastAsia" w:cs="宋体" w:asciiTheme="minorEastAsia" w:hAnsiTheme="minorEastAsia" w:eastAsiaTheme="minorEastAsia"/>
          <w:szCs w:val="21"/>
        </w:rPr>
        <w:t>/</w:t>
      </w:r>
      <w:r>
        <w:rPr>
          <w:rFonts w:hint="eastAsia" w:cs="宋体" w:eastAsiaTheme="minorEastAsia"/>
          <w:szCs w:val="21"/>
        </w:rPr>
        <w:t>2452</w:t>
      </w:r>
      <w:r>
        <w:rPr>
          <w:rFonts w:hint="eastAsia" w:cs="宋体" w:asciiTheme="minorEastAsia" w:hAnsiTheme="minorEastAsia" w:eastAsiaTheme="minorEastAsia"/>
          <w:szCs w:val="21"/>
        </w:rPr>
        <w:t>.</w:t>
      </w:r>
      <w:r>
        <w:rPr>
          <w:rFonts w:hint="eastAsia" w:cs="宋体" w:eastAsiaTheme="minorEastAsia"/>
          <w:szCs w:val="21"/>
        </w:rPr>
        <w:t>html</w:t>
      </w:r>
      <w:r>
        <w:rPr>
          <w:rFonts w:hint="eastAsia" w:cs="宋体" w:asciiTheme="minorEastAsia" w:hAnsiTheme="minorEastAsia" w:eastAsiaTheme="minorEastAsia"/>
          <w:szCs w:val="21"/>
        </w:rPr>
        <w:t>）。</w:t>
      </w:r>
    </w:p>
    <w:p>
      <w:pPr>
        <w:wordWrap w:val="0"/>
        <w:spacing w:line="360" w:lineRule="auto"/>
        <w:ind w:firstLine="420" w:firstLineChars="200"/>
        <w:jc w:val="left"/>
        <w:rPr>
          <w:rFonts w:cs="宋体" w:asciiTheme="minorEastAsia" w:hAnsiTheme="minorEastAsia" w:eastAsiaTheme="minorEastAsia"/>
          <w:szCs w:val="21"/>
        </w:rPr>
      </w:pPr>
      <w:r>
        <w:rPr>
          <w:rFonts w:hint="eastAsia" w:cs="宋体" w:eastAsiaTheme="minorEastAsia"/>
          <w:szCs w:val="21"/>
        </w:rPr>
        <w:t>2</w:t>
      </w:r>
      <w:r>
        <w:rPr>
          <w:rFonts w:hint="eastAsia" w:cs="宋体" w:asciiTheme="minorEastAsia" w:hAnsiTheme="minorEastAsia" w:eastAsiaTheme="minorEastAsia"/>
          <w:szCs w:val="21"/>
        </w:rPr>
        <w:t>.</w:t>
      </w:r>
      <w:r>
        <w:rPr>
          <w:rFonts w:hint="eastAsia" w:cs="宋体" w:eastAsiaTheme="minorEastAsia"/>
          <w:szCs w:val="21"/>
        </w:rPr>
        <w:t>3</w:t>
      </w:r>
      <w:r>
        <w:rPr>
          <w:rFonts w:hint="eastAsia" w:cs="宋体" w:asciiTheme="minorEastAsia" w:hAnsiTheme="minorEastAsia" w:eastAsiaTheme="minorEastAsia"/>
          <w:szCs w:val="21"/>
        </w:rPr>
        <w:t>本次政府采购活动有关信息在“浙江政府采购网（</w:t>
      </w:r>
      <w:r>
        <w:rPr>
          <w:rFonts w:hint="eastAsia" w:cs="宋体" w:eastAsiaTheme="minorEastAsia"/>
          <w:szCs w:val="21"/>
        </w:rPr>
        <w:t>http</w:t>
      </w:r>
      <w:r>
        <w:rPr>
          <w:rFonts w:hint="eastAsia" w:cs="宋体" w:asciiTheme="minorEastAsia" w:hAnsiTheme="minorEastAsia" w:eastAsiaTheme="minorEastAsia"/>
          <w:szCs w:val="21"/>
        </w:rPr>
        <w:t>://</w:t>
      </w:r>
      <w:r>
        <w:rPr>
          <w:rFonts w:hint="eastAsia" w:cs="宋体" w:eastAsiaTheme="minorEastAsia"/>
          <w:szCs w:val="21"/>
        </w:rPr>
        <w:t>zfcg</w:t>
      </w:r>
      <w:r>
        <w:rPr>
          <w:rFonts w:hint="eastAsia" w:cs="宋体" w:asciiTheme="minorEastAsia" w:hAnsiTheme="minorEastAsia" w:eastAsiaTheme="minorEastAsia"/>
          <w:szCs w:val="21"/>
        </w:rPr>
        <w:t>.</w:t>
      </w:r>
      <w:r>
        <w:rPr>
          <w:rFonts w:hint="eastAsia" w:cs="宋体" w:eastAsiaTheme="minorEastAsia"/>
          <w:szCs w:val="21"/>
        </w:rPr>
        <w:t>czt</w:t>
      </w:r>
      <w:r>
        <w:rPr>
          <w:rFonts w:hint="eastAsia" w:cs="宋体" w:asciiTheme="minorEastAsia" w:hAnsiTheme="minorEastAsia" w:eastAsiaTheme="minorEastAsia"/>
          <w:szCs w:val="21"/>
        </w:rPr>
        <w:t>.</w:t>
      </w:r>
      <w:r>
        <w:rPr>
          <w:rFonts w:hint="eastAsia" w:cs="宋体" w:eastAsiaTheme="minorEastAsia"/>
          <w:szCs w:val="21"/>
        </w:rPr>
        <w:t>zj</w:t>
      </w:r>
      <w:r>
        <w:rPr>
          <w:rFonts w:hint="eastAsia" w:cs="宋体" w:asciiTheme="minorEastAsia" w:hAnsiTheme="minorEastAsia" w:eastAsiaTheme="minorEastAsia"/>
          <w:szCs w:val="21"/>
        </w:rPr>
        <w:t>.</w:t>
      </w:r>
      <w:r>
        <w:rPr>
          <w:rFonts w:hint="eastAsia" w:cs="宋体" w:eastAsiaTheme="minorEastAsia"/>
          <w:szCs w:val="21"/>
        </w:rPr>
        <w:t>gov</w:t>
      </w:r>
      <w:r>
        <w:rPr>
          <w:rFonts w:hint="eastAsia" w:cs="宋体" w:asciiTheme="minorEastAsia" w:hAnsiTheme="minorEastAsia" w:eastAsiaTheme="minorEastAsia"/>
          <w:szCs w:val="21"/>
        </w:rPr>
        <w:t>.</w:t>
      </w:r>
      <w:r>
        <w:rPr>
          <w:rFonts w:hint="eastAsia" w:cs="宋体" w:eastAsiaTheme="minorEastAsia"/>
          <w:szCs w:val="21"/>
        </w:rPr>
        <w:t>cn</w:t>
      </w:r>
      <w:r>
        <w:rPr>
          <w:rFonts w:hint="eastAsia" w:cs="宋体" w:asciiTheme="minorEastAsia" w:hAnsiTheme="minorEastAsia" w:eastAsiaTheme="minorEastAsia"/>
          <w:szCs w:val="21"/>
        </w:rPr>
        <w:t>/）”、“宁波市政府采购网（</w:t>
      </w:r>
      <w:r>
        <w:rPr>
          <w:rFonts w:hint="eastAsia" w:cs="宋体" w:eastAsiaTheme="minorEastAsia"/>
          <w:szCs w:val="21"/>
        </w:rPr>
        <w:t>www</w:t>
      </w:r>
      <w:r>
        <w:rPr>
          <w:rFonts w:hint="eastAsia" w:cs="宋体" w:asciiTheme="minorEastAsia" w:hAnsiTheme="minorEastAsia" w:eastAsiaTheme="minorEastAsia"/>
          <w:szCs w:val="21"/>
        </w:rPr>
        <w:t>.</w:t>
      </w:r>
      <w:r>
        <w:rPr>
          <w:rFonts w:hint="eastAsia" w:cs="宋体" w:eastAsiaTheme="minorEastAsia"/>
          <w:szCs w:val="21"/>
        </w:rPr>
        <w:t>nbzfcg</w:t>
      </w:r>
      <w:r>
        <w:rPr>
          <w:rFonts w:hint="eastAsia" w:cs="宋体" w:asciiTheme="minorEastAsia" w:hAnsiTheme="minorEastAsia" w:eastAsiaTheme="minorEastAsia"/>
          <w:szCs w:val="21"/>
        </w:rPr>
        <w:t>.</w:t>
      </w:r>
      <w:r>
        <w:rPr>
          <w:rFonts w:hint="eastAsia" w:cs="宋体" w:eastAsiaTheme="minorEastAsia"/>
          <w:szCs w:val="21"/>
        </w:rPr>
        <w:t>cn</w:t>
      </w:r>
      <w:r>
        <w:rPr>
          <w:rFonts w:hint="eastAsia" w:cs="宋体" w:asciiTheme="minorEastAsia" w:hAnsiTheme="minorEastAsia" w:eastAsiaTheme="minorEastAsia"/>
          <w:szCs w:val="21"/>
        </w:rPr>
        <w:t>）、“宁波市公共资源交易网（高新区分网）（http://gaoxin.nbggzy.cn/）”网站上公布，公布信息视同送达所有潜在投标人。</w:t>
      </w:r>
    </w:p>
    <w:p>
      <w:pPr>
        <w:spacing w:line="360" w:lineRule="auto"/>
        <w:ind w:firstLine="420" w:firstLineChars="200"/>
        <w:jc w:val="left"/>
        <w:rPr>
          <w:rFonts w:cs="宋体" w:asciiTheme="minorEastAsia" w:hAnsiTheme="minorEastAsia" w:eastAsiaTheme="minorEastAsia"/>
          <w:szCs w:val="21"/>
        </w:rPr>
      </w:pPr>
      <w:r>
        <w:rPr>
          <w:rFonts w:hint="eastAsia" w:cs="宋体" w:eastAsiaTheme="minorEastAsia"/>
          <w:szCs w:val="21"/>
        </w:rPr>
        <w:t>2</w:t>
      </w:r>
      <w:r>
        <w:rPr>
          <w:rFonts w:hint="eastAsia" w:cs="宋体" w:asciiTheme="minorEastAsia" w:hAnsiTheme="minorEastAsia" w:eastAsiaTheme="minorEastAsia"/>
          <w:szCs w:val="21"/>
        </w:rPr>
        <w:t>.</w:t>
      </w:r>
      <w:r>
        <w:rPr>
          <w:rFonts w:hint="eastAsia" w:cs="宋体" w:eastAsiaTheme="minorEastAsia"/>
          <w:szCs w:val="21"/>
        </w:rPr>
        <w:t>4</w:t>
      </w:r>
      <w:r>
        <w:rPr>
          <w:rFonts w:hint="eastAsia" w:cs="宋体" w:asciiTheme="minorEastAsia" w:hAnsiTheme="minorEastAsia" w:eastAsiaTheme="minorEastAsia"/>
          <w:szCs w:val="21"/>
        </w:rPr>
        <w:t>疫情期间特别提醒事项（投标人提交备份投标文件方式）：</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（1）采用邮寄方式提交备份投标文件，需按以下要求递交：</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投标人须在2022年</w:t>
      </w:r>
      <w:r>
        <w:rPr>
          <w:rFonts w:ascii="宋体" w:hAnsi="宋体" w:cs="宋体"/>
          <w:kern w:val="0"/>
          <w:szCs w:val="21"/>
          <w:shd w:val="clear" w:color="auto" w:fill="FFFFFF"/>
        </w:rPr>
        <w:t>10</w:t>
      </w:r>
      <w:r>
        <w:rPr>
          <w:rFonts w:hint="eastAsia" w:ascii="宋体" w:hAnsi="宋体" w:cs="宋体"/>
          <w:kern w:val="0"/>
          <w:szCs w:val="21"/>
          <w:shd w:val="clear" w:color="auto" w:fill="FFFFFF"/>
        </w:rPr>
        <w:t>月</w:t>
      </w:r>
      <w:r>
        <w:rPr>
          <w:rFonts w:ascii="宋体" w:hAnsi="宋体" w:cs="宋体"/>
          <w:kern w:val="0"/>
          <w:szCs w:val="21"/>
          <w:shd w:val="clear" w:color="auto" w:fill="FFFFFF"/>
        </w:rPr>
        <w:t>30</w:t>
      </w:r>
      <w:r>
        <w:rPr>
          <w:rFonts w:hint="eastAsia" w:ascii="宋体" w:hAnsi="宋体" w:cs="宋体"/>
          <w:kern w:val="0"/>
          <w:szCs w:val="21"/>
          <w:shd w:val="clear" w:color="auto" w:fill="FFFFFF"/>
        </w:rPr>
        <w:t>日16:00（北京时间）前将备份投标文件邮寄至规定地点，由采购代理机构工作人员进行签收。各投标人自行考虑邮寄在途时间，邮寄过程中无论何种因素导致备份投标文件未按时递交的后果，均由投标人自行负责。备份投标文件递交时间以招标代理实际收到投标文件的时间为准。迟到的备份投标文件将被拒收。请各投标人确保密封包装在邮寄过程密封包装完好，并在邮寄包裹上注明项目名称，因邮寄过程的密封破损造成不符合开标要求的，本招标代理及采购人概不负责。</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备份投标文件邮寄地址为：</w:t>
      </w:r>
      <w:r>
        <w:rPr>
          <w:rFonts w:hint="eastAsia" w:ascii="宋体" w:hAnsi="宋体" w:cs="宋体"/>
        </w:rPr>
        <w:t>宁波市鄞州区和源路510号宁兴国贸大厦12楼</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收件人：</w:t>
      </w:r>
      <w:r>
        <w:rPr>
          <w:rFonts w:hint="eastAsia" w:ascii="宋体" w:hAnsi="宋体" w:cs="宋体"/>
          <w:bCs/>
        </w:rPr>
        <w:t>陈钢峰</w:t>
      </w:r>
      <w:r>
        <w:rPr>
          <w:rFonts w:hint="eastAsia" w:ascii="宋体" w:hAnsi="宋体" w:cs="宋体"/>
          <w:kern w:val="0"/>
          <w:szCs w:val="21"/>
          <w:shd w:val="clear" w:color="auto" w:fill="FFFFFF"/>
        </w:rPr>
        <w:t xml:space="preserve">   联系方式：</w:t>
      </w:r>
      <w:r>
        <w:rPr>
          <w:rFonts w:hint="eastAsia" w:ascii="宋体" w:hAnsi="宋体" w:cs="宋体"/>
          <w:bCs/>
        </w:rPr>
        <w:t>0574-88203787</w:t>
      </w:r>
      <w:r>
        <w:rPr>
          <w:rFonts w:hint="eastAsia" w:ascii="宋体" w:hAnsi="宋体" w:cs="宋体"/>
          <w:kern w:val="0"/>
          <w:szCs w:val="21"/>
          <w:shd w:val="clear" w:color="auto" w:fill="FFFFFF"/>
        </w:rPr>
        <w:t>、</w:t>
      </w:r>
      <w:r>
        <w:rPr>
          <w:rFonts w:ascii="宋体" w:hAnsi="宋体" w:cs="宋体"/>
          <w:kern w:val="0"/>
          <w:szCs w:val="21"/>
          <w:shd w:val="clear" w:color="auto" w:fill="FFFFFF"/>
        </w:rPr>
        <w:t>18868663530</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2）采用现场递交方式递交电子备份投标文件，在投标当天投标人员需持72小时内核酸阴性证明、佩戴口罩且体温测量正常后（以开标当日测量体温为准）方可递交至开标室，详见电子显示屏。若投标人因未按上述要求办理而导致无法准时进入开标现场的，由投标人自行负责。</w:t>
      </w:r>
    </w:p>
    <w:p>
      <w:pPr>
        <w:snapToGrid w:val="0"/>
        <w:spacing w:line="400" w:lineRule="exact"/>
        <w:ind w:firstLine="411" w:firstLineChars="196"/>
        <w:rPr>
          <w:rFonts w:cs="宋体" w:asciiTheme="minorEastAsia" w:hAnsiTheme="minorEastAsia" w:eastAsiaTheme="minorEastAsia"/>
          <w:szCs w:val="21"/>
        </w:rPr>
      </w:pPr>
      <w:r>
        <w:rPr>
          <w:rFonts w:hint="eastAsia"/>
          <w:bCs/>
          <w:szCs w:val="21"/>
        </w:rPr>
        <w:t>2</w:t>
      </w:r>
      <w:r>
        <w:rPr>
          <w:rFonts w:hint="eastAsia" w:ascii="宋体" w:hAnsi="宋体"/>
          <w:bCs/>
          <w:szCs w:val="21"/>
        </w:rPr>
        <w:t>.</w:t>
      </w:r>
      <w:r>
        <w:rPr>
          <w:rFonts w:hint="eastAsia"/>
          <w:bCs/>
          <w:szCs w:val="21"/>
        </w:rPr>
        <w:t>5</w:t>
      </w:r>
      <w:r>
        <w:rPr>
          <w:rFonts w:hint="eastAsia" w:ascii="宋体" w:hAnsi="宋体"/>
          <w:bCs/>
          <w:szCs w:val="21"/>
        </w:rPr>
        <w:t>单位负责人为同一人或者存在直接控股、管理关系的不同投标人，不得同时参加同一合同项下的投标。为本项目提供整体设计、规范编制或者项目管理、监理、检测等服务的投标人，不得再参加本项目的投标。</w:t>
      </w:r>
    </w:p>
    <w:p>
      <w:pPr>
        <w:pStyle w:val="3"/>
        <w:spacing w:line="360" w:lineRule="auto"/>
        <w:jc w:val="both"/>
        <w:rPr>
          <w:rFonts w:ascii="宋体" w:hAnsi="宋体" w:cs="宋体"/>
          <w:sz w:val="21"/>
          <w:szCs w:val="21"/>
        </w:rPr>
      </w:pPr>
      <w:bookmarkStart w:id="28" w:name="_Toc28359008"/>
      <w:bookmarkStart w:id="29" w:name="_Toc28359085"/>
      <w:bookmarkStart w:id="30" w:name="_Toc35393796"/>
      <w:bookmarkStart w:id="31" w:name="_Toc35393627"/>
      <w:r>
        <w:rPr>
          <w:rFonts w:hint="eastAsia" w:ascii="宋体" w:hAnsi="宋体" w:cs="宋体"/>
          <w:sz w:val="21"/>
          <w:szCs w:val="21"/>
        </w:rPr>
        <w:t>七、</w:t>
      </w:r>
      <w:bookmarkEnd w:id="28"/>
      <w:bookmarkEnd w:id="29"/>
      <w:bookmarkEnd w:id="30"/>
      <w:bookmarkEnd w:id="31"/>
      <w:r>
        <w:rPr>
          <w:rFonts w:hint="eastAsia" w:ascii="宋体" w:hAnsi="宋体" w:cs="宋体"/>
          <w:sz w:val="21"/>
          <w:szCs w:val="21"/>
        </w:rPr>
        <w:t>对本次招标提出询问、质疑、投诉，请按以下方式联系。</w:t>
      </w:r>
    </w:p>
    <w:p>
      <w:pPr>
        <w:adjustRightInd w:val="0"/>
        <w:snapToGrid w:val="0"/>
        <w:spacing w:line="460" w:lineRule="exact"/>
        <w:ind w:firstLine="420" w:firstLineChars="200"/>
        <w:jc w:val="left"/>
        <w:rPr>
          <w:rFonts w:ascii="宋体" w:hAnsi="宋体" w:cs="宋体"/>
          <w:kern w:val="0"/>
          <w:szCs w:val="21"/>
        </w:rPr>
      </w:pPr>
      <w:bookmarkStart w:id="32" w:name="_Toc520902392"/>
      <w:bookmarkStart w:id="33" w:name="_Toc298230958"/>
      <w:r>
        <w:rPr>
          <w:rFonts w:hint="eastAsia" w:ascii="宋体" w:hAnsi="宋体" w:cs="宋体"/>
          <w:kern w:val="0"/>
          <w:szCs w:val="21"/>
          <w:shd w:val="clear" w:color="auto" w:fill="FFFFFF"/>
        </w:rPr>
        <w:t>1.采购人信息</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名    称：宁波国家高新区综合行政执法局（综合行政执法大队）　</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    址：宁波高新区广贤路997号南楼6楼 </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传    真：/ 　　</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项目联系人（询问）：薛辉</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项目联系方式（询问）：0574-89288782</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质疑联系人：周小群</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质疑联系方式：0574-89288785</w:t>
      </w:r>
    </w:p>
    <w:p>
      <w:pPr>
        <w:widowControl/>
        <w:spacing w:line="360" w:lineRule="auto"/>
        <w:ind w:firstLine="420" w:firstLineChars="200"/>
        <w:jc w:val="left"/>
        <w:rPr>
          <w:rFonts w:ascii="宋体" w:hAnsi="宋体" w:cs="宋体"/>
        </w:rPr>
      </w:pPr>
    </w:p>
    <w:p>
      <w:pPr>
        <w:widowControl/>
        <w:spacing w:line="360" w:lineRule="auto"/>
        <w:ind w:firstLine="420" w:firstLineChars="200"/>
        <w:jc w:val="left"/>
        <w:rPr>
          <w:rFonts w:ascii="宋体" w:hAnsi="宋体" w:cs="宋体"/>
        </w:rPr>
      </w:pPr>
      <w:r>
        <w:rPr>
          <w:rFonts w:hint="eastAsia" w:cs="宋体"/>
        </w:rPr>
        <w:t>2</w:t>
      </w:r>
      <w:r>
        <w:rPr>
          <w:rFonts w:hint="eastAsia" w:ascii="宋体" w:hAnsi="宋体" w:cs="宋体"/>
        </w:rPr>
        <w:t>.采购代理机构信息</w:t>
      </w:r>
    </w:p>
    <w:p>
      <w:pPr>
        <w:tabs>
          <w:tab w:val="left" w:pos="0"/>
        </w:tabs>
        <w:spacing w:line="360" w:lineRule="auto"/>
        <w:ind w:firstLine="420" w:firstLineChars="200"/>
        <w:rPr>
          <w:rFonts w:ascii="宋体" w:hAnsi="宋体" w:cs="宋体"/>
          <w:bCs/>
        </w:rPr>
      </w:pPr>
      <w:r>
        <w:rPr>
          <w:rFonts w:hint="eastAsia" w:ascii="宋体" w:hAnsi="宋体" w:cs="宋体"/>
          <w:bCs/>
        </w:rPr>
        <w:t>名称：宁波国咨工程造价咨询有限公司</w:t>
      </w:r>
    </w:p>
    <w:p>
      <w:pPr>
        <w:tabs>
          <w:tab w:val="left" w:pos="0"/>
        </w:tabs>
        <w:spacing w:line="360" w:lineRule="auto"/>
        <w:ind w:firstLine="420" w:firstLineChars="200"/>
        <w:rPr>
          <w:rFonts w:ascii="宋体" w:hAnsi="宋体" w:cs="宋体"/>
          <w:bCs/>
        </w:rPr>
      </w:pPr>
      <w:r>
        <w:rPr>
          <w:rFonts w:hint="eastAsia" w:ascii="宋体" w:hAnsi="宋体" w:cs="宋体"/>
          <w:bCs/>
        </w:rPr>
        <w:t>地址：</w:t>
      </w:r>
      <w:r>
        <w:rPr>
          <w:rFonts w:hint="eastAsia" w:cs="宋体" w:asciiTheme="minorEastAsia" w:hAnsiTheme="minorEastAsia" w:eastAsiaTheme="minorEastAsia"/>
        </w:rPr>
        <w:t>宁波市鄞州区和源路510号宁兴国贸大厦</w:t>
      </w:r>
      <w:r>
        <w:rPr>
          <w:rFonts w:cs="宋体" w:asciiTheme="minorEastAsia" w:hAnsiTheme="minorEastAsia" w:eastAsiaTheme="minorEastAsia"/>
        </w:rPr>
        <w:t>12</w:t>
      </w:r>
      <w:r>
        <w:rPr>
          <w:rFonts w:hint="eastAsia" w:cs="宋体" w:asciiTheme="minorEastAsia" w:hAnsiTheme="minorEastAsia" w:eastAsiaTheme="minorEastAsia"/>
        </w:rPr>
        <w:t>楼</w:t>
      </w:r>
    </w:p>
    <w:p>
      <w:pPr>
        <w:tabs>
          <w:tab w:val="left" w:pos="0"/>
        </w:tabs>
        <w:spacing w:line="360" w:lineRule="auto"/>
        <w:ind w:firstLine="420" w:firstLineChars="200"/>
        <w:rPr>
          <w:rFonts w:ascii="宋体" w:hAnsi="宋体" w:cs="宋体"/>
          <w:bCs/>
        </w:rPr>
      </w:pPr>
      <w:r>
        <w:rPr>
          <w:rFonts w:hint="eastAsia" w:ascii="宋体" w:hAnsi="宋体" w:cs="宋体"/>
          <w:bCs/>
        </w:rPr>
        <w:t>传真：/</w:t>
      </w:r>
    </w:p>
    <w:p>
      <w:pPr>
        <w:tabs>
          <w:tab w:val="left" w:pos="0"/>
        </w:tabs>
        <w:spacing w:line="360" w:lineRule="auto"/>
        <w:ind w:firstLine="420" w:firstLineChars="200"/>
        <w:rPr>
          <w:rFonts w:ascii="宋体" w:hAnsi="宋体" w:cs="宋体"/>
          <w:bCs/>
        </w:rPr>
      </w:pPr>
      <w:r>
        <w:rPr>
          <w:rFonts w:hint="eastAsia" w:ascii="宋体" w:hAnsi="宋体" w:cs="宋体"/>
          <w:bCs/>
        </w:rPr>
        <w:t>项目联系人（询问）：陈钢峰、王浩宇、姚玲娜、石文杰</w:t>
      </w:r>
    </w:p>
    <w:p>
      <w:pPr>
        <w:tabs>
          <w:tab w:val="left" w:pos="0"/>
        </w:tabs>
        <w:spacing w:line="360" w:lineRule="auto"/>
        <w:ind w:firstLine="420" w:firstLineChars="200"/>
        <w:rPr>
          <w:rFonts w:ascii="宋体" w:hAnsi="宋体" w:cs="宋体"/>
          <w:bCs/>
        </w:rPr>
      </w:pPr>
      <w:r>
        <w:rPr>
          <w:rFonts w:hint="eastAsia" w:ascii="宋体" w:hAnsi="宋体" w:cs="宋体"/>
          <w:bCs/>
        </w:rPr>
        <w:t>项目联系方式（询问）：0574-88203787</w:t>
      </w:r>
    </w:p>
    <w:p>
      <w:pPr>
        <w:tabs>
          <w:tab w:val="left" w:pos="0"/>
        </w:tabs>
        <w:spacing w:line="360" w:lineRule="auto"/>
        <w:ind w:firstLine="420" w:firstLineChars="200"/>
        <w:rPr>
          <w:rFonts w:ascii="宋体" w:hAnsi="宋体" w:cs="宋体"/>
          <w:bCs/>
        </w:rPr>
      </w:pPr>
      <w:r>
        <w:rPr>
          <w:rFonts w:hint="eastAsia" w:ascii="宋体" w:hAnsi="宋体" w:cs="宋体"/>
          <w:bCs/>
        </w:rPr>
        <w:t>质疑联系人： 张婷婷</w:t>
      </w:r>
    </w:p>
    <w:p>
      <w:pPr>
        <w:tabs>
          <w:tab w:val="left" w:pos="0"/>
        </w:tabs>
        <w:spacing w:line="360" w:lineRule="auto"/>
        <w:ind w:firstLine="420" w:firstLineChars="200"/>
        <w:rPr>
          <w:rFonts w:ascii="宋体" w:hAnsi="宋体" w:cs="宋体"/>
          <w:bCs/>
        </w:rPr>
      </w:pPr>
      <w:r>
        <w:rPr>
          <w:rFonts w:hint="eastAsia" w:ascii="宋体" w:hAnsi="宋体" w:cs="宋体"/>
          <w:bCs/>
        </w:rPr>
        <w:t>质疑联系方式：0574-88203787</w:t>
      </w:r>
    </w:p>
    <w:p>
      <w:pPr>
        <w:widowControl/>
        <w:spacing w:line="360" w:lineRule="auto"/>
        <w:ind w:firstLine="420" w:firstLineChars="200"/>
        <w:jc w:val="left"/>
        <w:rPr>
          <w:rFonts w:ascii="宋体" w:hAnsi="宋体" w:cs="宋体"/>
        </w:rPr>
      </w:pPr>
      <w:r>
        <w:rPr>
          <w:rFonts w:hint="eastAsia" w:ascii="宋体" w:hAnsi="宋体" w:cs="宋体"/>
        </w:rPr>
        <w:t>电子邮箱：</w:t>
      </w:r>
      <w:r>
        <w:rPr>
          <w:rFonts w:ascii="宋体" w:hAnsi="宋体" w:cs="宋体"/>
        </w:rPr>
        <w:t>3908508</w:t>
      </w:r>
      <w:r>
        <w:rPr>
          <w:rFonts w:hint="eastAsia" w:ascii="宋体" w:hAnsi="宋体" w:cs="宋体"/>
        </w:rPr>
        <w:t>@qq.com</w:t>
      </w:r>
    </w:p>
    <w:p>
      <w:pPr>
        <w:widowControl/>
        <w:spacing w:line="360" w:lineRule="auto"/>
        <w:ind w:firstLine="420" w:firstLineChars="200"/>
        <w:jc w:val="left"/>
        <w:rPr>
          <w:rFonts w:ascii="宋体" w:hAnsi="宋体" w:cs="宋体"/>
        </w:rPr>
      </w:pP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3.同级政府采购监督管理部门</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名    称：</w:t>
      </w:r>
      <w:r>
        <w:rPr>
          <w:rFonts w:hint="eastAsia" w:ascii="宋体" w:hAnsi="宋体" w:cs="宋体"/>
          <w:kern w:val="0"/>
          <w:szCs w:val="21"/>
        </w:rPr>
        <w:t>宁波高新区政府采购管理办公室</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地    址：宁波高新区广贤路999号 </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 xml:space="preserve">传     真：/ 　  </w:t>
      </w:r>
    </w:p>
    <w:p>
      <w:pPr>
        <w:adjustRightInd w:val="0"/>
        <w:snapToGrid w:val="0"/>
        <w:spacing w:line="460" w:lineRule="exact"/>
        <w:ind w:firstLine="420" w:firstLineChars="200"/>
        <w:jc w:val="left"/>
        <w:rPr>
          <w:rFonts w:ascii="宋体" w:hAnsi="宋体" w:cs="宋体"/>
          <w:kern w:val="0"/>
          <w:szCs w:val="21"/>
          <w:shd w:val="clear" w:color="auto" w:fill="FFFFFF"/>
        </w:rPr>
      </w:pPr>
      <w:r>
        <w:rPr>
          <w:rFonts w:hint="eastAsia" w:ascii="宋体" w:hAnsi="宋体" w:cs="宋体"/>
          <w:kern w:val="0"/>
          <w:szCs w:val="21"/>
          <w:shd w:val="clear" w:color="auto" w:fill="FFFFFF"/>
        </w:rPr>
        <w:t>联  系  人 ：</w:t>
      </w:r>
      <w:r>
        <w:rPr>
          <w:rFonts w:hint="eastAsia" w:ascii="宋体" w:hAnsi="宋体" w:cs="宋体"/>
          <w:kern w:val="0"/>
          <w:szCs w:val="21"/>
        </w:rPr>
        <w:t>蔡科</w:t>
      </w:r>
      <w:r>
        <w:rPr>
          <w:rFonts w:hint="eastAsia" w:ascii="宋体" w:hAnsi="宋体" w:cs="宋体"/>
          <w:kern w:val="0"/>
          <w:szCs w:val="21"/>
          <w:shd w:val="clear" w:color="auto" w:fill="FFFFFF"/>
        </w:rPr>
        <w:t>　</w:t>
      </w:r>
    </w:p>
    <w:p>
      <w:pPr>
        <w:adjustRightInd w:val="0"/>
        <w:snapToGrid w:val="0"/>
        <w:spacing w:line="460" w:lineRule="exact"/>
        <w:ind w:firstLine="420" w:firstLineChars="200"/>
        <w:jc w:val="left"/>
        <w:rPr>
          <w:rFonts w:ascii="宋体" w:hAnsi="宋体" w:cs="宋体"/>
          <w:b/>
          <w:color w:val="000000"/>
          <w:kern w:val="0"/>
          <w:sz w:val="24"/>
          <w:szCs w:val="21"/>
        </w:rPr>
      </w:pPr>
      <w:r>
        <w:rPr>
          <w:rFonts w:hint="eastAsia" w:ascii="宋体" w:hAnsi="宋体" w:cs="宋体"/>
          <w:kern w:val="0"/>
          <w:szCs w:val="21"/>
          <w:shd w:val="clear" w:color="auto" w:fill="FFFFFF"/>
        </w:rPr>
        <w:t>监督投诉电话：</w:t>
      </w:r>
      <w:r>
        <w:rPr>
          <w:rFonts w:hint="eastAsia" w:ascii="宋体" w:hAnsi="宋体" w:cs="宋体"/>
          <w:kern w:val="0"/>
          <w:szCs w:val="21"/>
        </w:rPr>
        <w:t>0574-89288732</w:t>
      </w:r>
    </w:p>
    <w:p>
      <w:pPr>
        <w:spacing w:line="360" w:lineRule="auto"/>
        <w:rPr>
          <w:rFonts w:ascii="宋体" w:hAnsi="宋体"/>
          <w:szCs w:val="21"/>
        </w:rPr>
      </w:pPr>
    </w:p>
    <w:p>
      <w:pPr>
        <w:spacing w:line="360" w:lineRule="auto"/>
        <w:rPr>
          <w:rFonts w:ascii="宋体" w:hAnsi="宋体"/>
          <w:szCs w:val="21"/>
        </w:rPr>
      </w:pPr>
      <w:r>
        <w:rPr>
          <w:rFonts w:hint="eastAsia" w:ascii="宋体" w:hAnsi="宋体"/>
          <w:szCs w:val="21"/>
        </w:rPr>
        <w:t>若对项目采购电子交易系统操作有疑问，可登录政采云（</w:t>
      </w:r>
      <w:r>
        <w:rPr>
          <w:rFonts w:hint="eastAsia"/>
          <w:szCs w:val="21"/>
        </w:rPr>
        <w:t>https</w:t>
      </w:r>
      <w:r>
        <w:rPr>
          <w:rFonts w:hint="eastAsia" w:ascii="宋体" w:hAnsi="宋体"/>
          <w:szCs w:val="21"/>
        </w:rPr>
        <w:t>://</w:t>
      </w:r>
      <w:r>
        <w:rPr>
          <w:rFonts w:hint="eastAsia"/>
          <w:szCs w:val="21"/>
        </w:rPr>
        <w:t>www</w:t>
      </w:r>
      <w:r>
        <w:rPr>
          <w:rFonts w:hint="eastAsia" w:ascii="宋体" w:hAnsi="宋体"/>
          <w:szCs w:val="21"/>
        </w:rPr>
        <w:t>.</w:t>
      </w:r>
      <w:r>
        <w:rPr>
          <w:rFonts w:hint="eastAsia"/>
          <w:szCs w:val="21"/>
        </w:rPr>
        <w:t>zcygov</w:t>
      </w:r>
      <w:r>
        <w:rPr>
          <w:rFonts w:hint="eastAsia" w:ascii="宋体" w:hAnsi="宋体"/>
          <w:szCs w:val="21"/>
        </w:rPr>
        <w:t>.</w:t>
      </w:r>
      <w:r>
        <w:rPr>
          <w:rFonts w:hint="eastAsia"/>
          <w:szCs w:val="21"/>
        </w:rPr>
        <w:t>cn</w:t>
      </w:r>
      <w:r>
        <w:rPr>
          <w:rFonts w:hint="eastAsia" w:ascii="宋体" w:hAnsi="宋体"/>
          <w:szCs w:val="21"/>
        </w:rPr>
        <w:t>/），点击右侧咨询小采，获取采小蜜智能服务管家帮助，或拨打政采云服务热线</w:t>
      </w:r>
      <w:r>
        <w:rPr>
          <w:rFonts w:hint="eastAsia"/>
          <w:szCs w:val="21"/>
        </w:rPr>
        <w:t>400</w:t>
      </w:r>
      <w:r>
        <w:rPr>
          <w:rFonts w:hint="eastAsia" w:ascii="宋体" w:hAnsi="宋体"/>
          <w:szCs w:val="21"/>
        </w:rPr>
        <w:t>-</w:t>
      </w:r>
      <w:r>
        <w:rPr>
          <w:rFonts w:hint="eastAsia"/>
          <w:szCs w:val="21"/>
        </w:rPr>
        <w:t>881</w:t>
      </w:r>
      <w:r>
        <w:rPr>
          <w:rFonts w:hint="eastAsia" w:ascii="宋体" w:hAnsi="宋体"/>
          <w:szCs w:val="21"/>
        </w:rPr>
        <w:t>-</w:t>
      </w:r>
      <w:r>
        <w:rPr>
          <w:rFonts w:hint="eastAsia"/>
          <w:szCs w:val="21"/>
        </w:rPr>
        <w:t>7190</w:t>
      </w:r>
      <w:r>
        <w:rPr>
          <w:rFonts w:hint="eastAsia" w:ascii="宋体" w:hAnsi="宋体"/>
          <w:szCs w:val="21"/>
        </w:rPr>
        <w:t>获取热线服务帮助。</w:t>
      </w:r>
    </w:p>
    <w:p>
      <w:pPr>
        <w:spacing w:line="360" w:lineRule="auto"/>
        <w:rPr>
          <w:rFonts w:asciiTheme="minorEastAsia" w:hAnsiTheme="minorEastAsia" w:eastAsiaTheme="minorEastAsia"/>
          <w:szCs w:val="21"/>
        </w:rPr>
        <w:sectPr>
          <w:headerReference r:id="rId7" w:type="default"/>
          <w:footerReference r:id="rId8" w:type="default"/>
          <w:type w:val="continuous"/>
          <w:pgSz w:w="11907" w:h="16840"/>
          <w:pgMar w:top="1276" w:right="1701" w:bottom="1276" w:left="1701" w:header="720" w:footer="720" w:gutter="0"/>
          <w:pgNumType w:start="0"/>
          <w:cols w:space="720" w:num="1"/>
          <w:docGrid w:type="linesAndChars" w:linePitch="285" w:charSpace="0"/>
        </w:sectPr>
      </w:pPr>
      <w:r>
        <w:rPr>
          <w:rFonts w:hint="eastAsia"/>
          <w:szCs w:val="21"/>
        </w:rPr>
        <w:t>CA</w:t>
      </w:r>
      <w:r>
        <w:rPr>
          <w:rFonts w:hint="eastAsia" w:ascii="宋体" w:hAnsi="宋体"/>
          <w:szCs w:val="21"/>
        </w:rPr>
        <w:t>问题联系电话（人工）：汇信</w:t>
      </w:r>
      <w:r>
        <w:rPr>
          <w:rFonts w:hint="eastAsia"/>
          <w:szCs w:val="21"/>
        </w:rPr>
        <w:t>CA400</w:t>
      </w:r>
      <w:r>
        <w:rPr>
          <w:rFonts w:hint="eastAsia" w:ascii="宋体" w:hAnsi="宋体"/>
          <w:szCs w:val="21"/>
        </w:rPr>
        <w:t>-</w:t>
      </w:r>
      <w:r>
        <w:rPr>
          <w:rFonts w:hint="eastAsia"/>
          <w:szCs w:val="21"/>
        </w:rPr>
        <w:t>888</w:t>
      </w:r>
      <w:r>
        <w:rPr>
          <w:rFonts w:hint="eastAsia" w:ascii="宋体" w:hAnsi="宋体"/>
          <w:szCs w:val="21"/>
        </w:rPr>
        <w:t>-</w:t>
      </w:r>
      <w:r>
        <w:rPr>
          <w:rFonts w:hint="eastAsia"/>
          <w:szCs w:val="21"/>
        </w:rPr>
        <w:t>4636</w:t>
      </w:r>
      <w:r>
        <w:rPr>
          <w:rFonts w:hint="eastAsia" w:ascii="宋体" w:hAnsi="宋体"/>
          <w:szCs w:val="21"/>
        </w:rPr>
        <w:t>；天谷</w:t>
      </w:r>
      <w:r>
        <w:rPr>
          <w:rFonts w:hint="eastAsia"/>
          <w:szCs w:val="21"/>
        </w:rPr>
        <w:t>CA400</w:t>
      </w:r>
      <w:r>
        <w:rPr>
          <w:rFonts w:hint="eastAsia" w:ascii="宋体" w:hAnsi="宋体"/>
          <w:szCs w:val="21"/>
        </w:rPr>
        <w:t>-</w:t>
      </w:r>
      <w:r>
        <w:rPr>
          <w:rFonts w:hint="eastAsia"/>
          <w:szCs w:val="21"/>
        </w:rPr>
        <w:t>087</w:t>
      </w:r>
      <w:r>
        <w:rPr>
          <w:rFonts w:hint="eastAsia" w:ascii="宋体" w:hAnsi="宋体"/>
          <w:szCs w:val="21"/>
        </w:rPr>
        <w:t>-</w:t>
      </w:r>
      <w:r>
        <w:rPr>
          <w:rFonts w:hint="eastAsia"/>
          <w:szCs w:val="21"/>
        </w:rPr>
        <w:t>8198</w:t>
      </w:r>
      <w:r>
        <w:rPr>
          <w:rFonts w:hint="eastAsia" w:ascii="宋体" w:hAnsi="宋体"/>
          <w:szCs w:val="21"/>
        </w:rPr>
        <w:t>。</w:t>
      </w:r>
    </w:p>
    <w:p>
      <w:pPr>
        <w:pStyle w:val="2"/>
        <w:spacing w:beforeLines="0" w:afterLines="0" w:line="360" w:lineRule="auto"/>
        <w:rPr>
          <w:rFonts w:ascii="宋体" w:hAnsi="宋体"/>
          <w:sz w:val="32"/>
          <w:szCs w:val="32"/>
        </w:rPr>
      </w:pPr>
      <w:r>
        <w:rPr>
          <w:rFonts w:hint="eastAsia" w:ascii="宋体" w:hAnsi="宋体"/>
          <w:sz w:val="32"/>
          <w:szCs w:val="32"/>
        </w:rPr>
        <w:t>第二部分 投标资料表</w:t>
      </w:r>
      <w:bookmarkEnd w:id="32"/>
      <w:bookmarkEnd w:id="33"/>
    </w:p>
    <w:p>
      <w:pPr>
        <w:spacing w:line="360" w:lineRule="auto"/>
        <w:ind w:firstLine="420" w:firstLineChars="200"/>
        <w:rPr>
          <w:rFonts w:ascii="宋体" w:hAnsi="宋体"/>
          <w:szCs w:val="21"/>
        </w:rPr>
      </w:pPr>
      <w:r>
        <w:rPr>
          <w:rFonts w:hint="eastAsia" w:ascii="宋体" w:hAnsi="宋体"/>
          <w:szCs w:val="21"/>
        </w:rPr>
        <w:t>本部分关于本次招标项目的具体要求是对“投标人须知</w:t>
      </w:r>
      <w:r>
        <w:rPr>
          <w:rFonts w:ascii="宋体" w:hAnsi="宋体"/>
          <w:szCs w:val="21"/>
        </w:rPr>
        <w:t>”</w:t>
      </w:r>
      <w:r>
        <w:rPr>
          <w:rFonts w:hint="eastAsia" w:ascii="宋体" w:hAnsi="宋体"/>
          <w:szCs w:val="21"/>
        </w:rPr>
        <w:t>和</w:t>
      </w:r>
      <w:r>
        <w:rPr>
          <w:rFonts w:ascii="宋体" w:hAnsi="宋体"/>
          <w:szCs w:val="21"/>
        </w:rPr>
        <w:t>“</w:t>
      </w:r>
      <w:r>
        <w:rPr>
          <w:rFonts w:hint="eastAsia" w:ascii="宋体" w:hAnsi="宋体"/>
          <w:szCs w:val="21"/>
        </w:rPr>
        <w:t>合同格式</w:t>
      </w:r>
      <w:r>
        <w:rPr>
          <w:rFonts w:ascii="宋体" w:hAnsi="宋体"/>
          <w:szCs w:val="21"/>
        </w:rPr>
        <w:t>”</w:t>
      </w:r>
      <w:r>
        <w:rPr>
          <w:rFonts w:hint="eastAsia" w:ascii="宋体" w:hAnsi="宋体"/>
          <w:szCs w:val="21"/>
        </w:rPr>
        <w:t>的相关条款的补充和修改，如有矛盾，应以此为准。</w:t>
      </w:r>
    </w:p>
    <w:tbl>
      <w:tblPr>
        <w:tblStyle w:val="42"/>
        <w:tblW w:w="8613" w:type="dxa"/>
        <w:tblInd w:w="0" w:type="dxa"/>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7512"/>
      </w:tblGrid>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40" w:hRule="atLeast"/>
          <w:tblHeader/>
        </w:trPr>
        <w:tc>
          <w:tcPr>
            <w:tcW w:w="1101" w:type="dxa"/>
            <w:vAlign w:val="center"/>
          </w:tcPr>
          <w:p>
            <w:pPr>
              <w:spacing w:before="143" w:beforeLines="50" w:line="360" w:lineRule="auto"/>
              <w:jc w:val="center"/>
              <w:rPr>
                <w:rFonts w:ascii="宋体" w:hAnsi="宋体" w:cs="宋体"/>
                <w:szCs w:val="21"/>
              </w:rPr>
            </w:pPr>
            <w:r>
              <w:rPr>
                <w:rFonts w:hint="eastAsia" w:ascii="宋体" w:hAnsi="宋体" w:cs="宋体"/>
                <w:szCs w:val="21"/>
              </w:rPr>
              <w:t>条款号</w:t>
            </w:r>
          </w:p>
        </w:tc>
        <w:tc>
          <w:tcPr>
            <w:tcW w:w="7512" w:type="dxa"/>
            <w:vAlign w:val="center"/>
          </w:tcPr>
          <w:p>
            <w:pPr>
              <w:spacing w:before="143" w:beforeLines="50" w:line="360" w:lineRule="auto"/>
              <w:jc w:val="center"/>
              <w:rPr>
                <w:rFonts w:ascii="宋体" w:hAnsi="宋体" w:cs="宋体"/>
                <w:b/>
                <w:szCs w:val="21"/>
              </w:rPr>
            </w:pPr>
            <w:r>
              <w:rPr>
                <w:rFonts w:hint="eastAsia" w:ascii="宋体" w:hAnsi="宋体" w:cs="宋体"/>
                <w:b/>
                <w:szCs w:val="21"/>
              </w:rPr>
              <w:t>条款内容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Merge w:val="restart"/>
            <w:vAlign w:val="center"/>
          </w:tcPr>
          <w:p>
            <w:pPr>
              <w:spacing w:before="143" w:beforeLines="50" w:line="360" w:lineRule="auto"/>
              <w:jc w:val="center"/>
              <w:rPr>
                <w:rFonts w:ascii="宋体" w:hAnsi="宋体" w:cs="宋体"/>
                <w:szCs w:val="21"/>
              </w:rPr>
            </w:pPr>
            <w:r>
              <w:rPr>
                <w:rFonts w:hint="eastAsia" w:cs="宋体"/>
                <w:szCs w:val="21"/>
              </w:rPr>
              <w:t>1</w:t>
            </w:r>
            <w:r>
              <w:rPr>
                <w:rFonts w:hint="eastAsia" w:ascii="宋体" w:hAnsi="宋体" w:cs="宋体"/>
                <w:szCs w:val="21"/>
              </w:rPr>
              <w:t>.</w:t>
            </w:r>
            <w:r>
              <w:rPr>
                <w:rFonts w:hint="eastAsia" w:cs="宋体"/>
                <w:szCs w:val="21"/>
              </w:rPr>
              <w:t>1</w:t>
            </w:r>
          </w:p>
        </w:tc>
        <w:tc>
          <w:tcPr>
            <w:tcW w:w="7512" w:type="dxa"/>
            <w:vAlign w:val="center"/>
          </w:tcPr>
          <w:p>
            <w:pPr>
              <w:spacing w:line="360" w:lineRule="auto"/>
              <w:rPr>
                <w:rFonts w:ascii="宋体" w:hAnsi="宋体"/>
                <w:szCs w:val="21"/>
              </w:rPr>
            </w:pPr>
            <w:r>
              <w:rPr>
                <w:rFonts w:hint="eastAsia" w:ascii="宋体" w:hAnsi="宋体"/>
              </w:rPr>
              <w:t>采购人名称：</w:t>
            </w:r>
            <w:r>
              <w:rPr>
                <w:rFonts w:hint="eastAsia" w:ascii="宋体" w:hAnsi="宋体" w:cs="宋体"/>
              </w:rPr>
              <w:t>宁波国家高新区综合行政执法局（综合行政执法大队）</w:t>
            </w:r>
          </w:p>
          <w:p>
            <w:pPr>
              <w:spacing w:line="360" w:lineRule="auto"/>
              <w:rPr>
                <w:rFonts w:ascii="宋体" w:hAnsi="宋体"/>
                <w:szCs w:val="21"/>
              </w:rPr>
            </w:pPr>
            <w:r>
              <w:rPr>
                <w:rFonts w:hint="eastAsia" w:ascii="宋体" w:hAnsi="宋体"/>
                <w:szCs w:val="21"/>
              </w:rPr>
              <w:t>地    址：</w:t>
            </w:r>
            <w:r>
              <w:rPr>
                <w:rFonts w:hint="eastAsia" w:ascii="宋体" w:hAnsi="宋体" w:cs="宋体"/>
              </w:rPr>
              <w:t>宁波高新区广贤路997号南楼6楼</w:t>
            </w:r>
          </w:p>
          <w:p>
            <w:pPr>
              <w:spacing w:line="360" w:lineRule="auto"/>
              <w:rPr>
                <w:rFonts w:ascii="宋体" w:hAnsi="宋体"/>
                <w:szCs w:val="21"/>
              </w:rPr>
            </w:pPr>
            <w:r>
              <w:rPr>
                <w:rFonts w:hint="eastAsia" w:ascii="宋体" w:hAnsi="宋体"/>
                <w:szCs w:val="21"/>
              </w:rPr>
              <w:t>邮    编：315</w:t>
            </w:r>
            <w:r>
              <w:rPr>
                <w:rFonts w:ascii="宋体" w:hAnsi="宋体"/>
                <w:szCs w:val="21"/>
              </w:rPr>
              <w:t>000</w:t>
            </w:r>
          </w:p>
          <w:p>
            <w:pPr>
              <w:adjustRightInd w:val="0"/>
              <w:snapToGrid w:val="0"/>
              <w:spacing w:line="460" w:lineRule="exact"/>
              <w:jc w:val="left"/>
              <w:rPr>
                <w:rFonts w:ascii="宋体" w:hAnsi="宋体" w:cs="宋体"/>
                <w:kern w:val="0"/>
                <w:szCs w:val="21"/>
                <w:shd w:val="clear" w:color="auto" w:fill="FFFFFF"/>
              </w:rPr>
            </w:pPr>
            <w:r>
              <w:rPr>
                <w:rFonts w:hint="eastAsia" w:ascii="宋体" w:hAnsi="宋体" w:cs="宋体"/>
                <w:kern w:val="0"/>
                <w:szCs w:val="21"/>
                <w:shd w:val="clear" w:color="auto" w:fill="FFFFFF"/>
              </w:rPr>
              <w:t>项目联系人（询问）：薛辉</w:t>
            </w:r>
          </w:p>
          <w:p>
            <w:pPr>
              <w:adjustRightInd w:val="0"/>
              <w:snapToGrid w:val="0"/>
              <w:spacing w:line="460" w:lineRule="exact"/>
              <w:jc w:val="left"/>
              <w:rPr>
                <w:rFonts w:ascii="宋体" w:hAnsi="宋体" w:cs="宋体"/>
              </w:rPr>
            </w:pPr>
            <w:r>
              <w:rPr>
                <w:rFonts w:hint="eastAsia" w:ascii="宋体" w:hAnsi="宋体" w:cs="宋体"/>
                <w:kern w:val="0"/>
                <w:szCs w:val="21"/>
                <w:shd w:val="clear" w:color="auto" w:fill="FFFFFF"/>
              </w:rPr>
              <w:t>项目联系方式（询问）：0574-89288782</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2717" w:hRule="atLeast"/>
        </w:trPr>
        <w:tc>
          <w:tcPr>
            <w:tcW w:w="1101" w:type="dxa"/>
            <w:vMerge w:val="continue"/>
            <w:vAlign w:val="center"/>
          </w:tcPr>
          <w:p>
            <w:pPr>
              <w:spacing w:before="143" w:beforeLines="50" w:line="360" w:lineRule="auto"/>
              <w:jc w:val="center"/>
              <w:rPr>
                <w:rFonts w:ascii="宋体" w:hAnsi="宋体" w:cs="宋体"/>
                <w:b/>
                <w:bCs/>
                <w:sz w:val="32"/>
                <w:szCs w:val="21"/>
              </w:rPr>
            </w:pPr>
          </w:p>
        </w:tc>
        <w:tc>
          <w:tcPr>
            <w:tcW w:w="7512" w:type="dxa"/>
            <w:vAlign w:val="center"/>
          </w:tcPr>
          <w:p>
            <w:pPr>
              <w:spacing w:line="360" w:lineRule="auto"/>
              <w:rPr>
                <w:rFonts w:ascii="宋体" w:hAnsi="宋体"/>
                <w:u w:val="single"/>
              </w:rPr>
            </w:pPr>
            <w:r>
              <w:rPr>
                <w:rFonts w:hint="eastAsia" w:ascii="宋体" w:hAnsi="宋体"/>
              </w:rPr>
              <w:t>采购代理机构名称：宁波国咨工程造价咨询有限公司</w:t>
            </w:r>
          </w:p>
          <w:p>
            <w:pPr>
              <w:spacing w:line="360" w:lineRule="auto"/>
              <w:rPr>
                <w:rFonts w:ascii="宋体" w:hAnsi="宋体" w:cs="宋体"/>
                <w:bCs/>
              </w:rPr>
            </w:pPr>
            <w:r>
              <w:rPr>
                <w:rFonts w:hint="eastAsia" w:ascii="宋体" w:hAnsi="宋体"/>
                <w:szCs w:val="21"/>
              </w:rPr>
              <w:t>地址：</w:t>
            </w:r>
            <w:r>
              <w:rPr>
                <w:rFonts w:hint="eastAsia" w:cs="宋体" w:asciiTheme="minorEastAsia" w:hAnsiTheme="minorEastAsia" w:eastAsiaTheme="minorEastAsia"/>
              </w:rPr>
              <w:t>宁波市鄞州区和源路510号宁兴国贸大厦12楼</w:t>
            </w:r>
          </w:p>
          <w:p>
            <w:pPr>
              <w:spacing w:line="360" w:lineRule="auto"/>
              <w:rPr>
                <w:rFonts w:ascii="宋体" w:hAnsi="宋体"/>
                <w:szCs w:val="21"/>
              </w:rPr>
            </w:pPr>
            <w:r>
              <w:rPr>
                <w:rFonts w:hint="eastAsia" w:ascii="宋体" w:hAnsi="宋体"/>
                <w:szCs w:val="21"/>
              </w:rPr>
              <w:t>邮编：</w:t>
            </w:r>
            <w:r>
              <w:rPr>
                <w:rFonts w:hint="eastAsia"/>
                <w:szCs w:val="21"/>
              </w:rPr>
              <w:t>315040</w:t>
            </w:r>
          </w:p>
          <w:p>
            <w:pPr>
              <w:spacing w:line="360" w:lineRule="auto"/>
              <w:rPr>
                <w:rFonts w:ascii="宋体" w:hAnsi="宋体"/>
                <w:szCs w:val="21"/>
              </w:rPr>
            </w:pPr>
            <w:r>
              <w:rPr>
                <w:rFonts w:hint="eastAsia" w:ascii="宋体" w:hAnsi="宋体"/>
                <w:szCs w:val="21"/>
              </w:rPr>
              <w:t>电话：</w:t>
            </w:r>
            <w:r>
              <w:rPr>
                <w:rFonts w:cs="宋体" w:eastAsiaTheme="minorEastAsia"/>
                <w:spacing w:val="-2"/>
              </w:rPr>
              <w:t>0574-88203787</w:t>
            </w:r>
          </w:p>
          <w:p>
            <w:pPr>
              <w:spacing w:line="360" w:lineRule="auto"/>
              <w:rPr>
                <w:rFonts w:ascii="宋体" w:hAnsi="宋体"/>
                <w:szCs w:val="21"/>
              </w:rPr>
            </w:pPr>
            <w:r>
              <w:rPr>
                <w:rFonts w:hint="eastAsia" w:ascii="宋体" w:hAnsi="宋体"/>
                <w:szCs w:val="21"/>
              </w:rPr>
              <w:t>电子邮件：</w:t>
            </w:r>
            <w:r>
              <w:rPr>
                <w:szCs w:val="21"/>
              </w:rPr>
              <w:t>3908508@qq.com</w:t>
            </w:r>
          </w:p>
          <w:p>
            <w:pPr>
              <w:spacing w:line="360" w:lineRule="auto"/>
              <w:rPr>
                <w:rFonts w:ascii="宋体" w:hAnsi="宋体" w:cs="宋体"/>
                <w:szCs w:val="21"/>
              </w:rPr>
            </w:pPr>
            <w:r>
              <w:rPr>
                <w:rFonts w:hint="eastAsia" w:ascii="宋体" w:hAnsi="宋体"/>
                <w:szCs w:val="21"/>
              </w:rPr>
              <w:t>联系人：</w:t>
            </w:r>
            <w:r>
              <w:rPr>
                <w:rFonts w:hint="eastAsia" w:ascii="宋体" w:hAnsi="宋体" w:cs="宋体"/>
                <w:bCs/>
              </w:rPr>
              <w:t>陈钢峰、王浩宇、姚玲娜、石文杰</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496" w:hRule="atLeast"/>
        </w:trPr>
        <w:tc>
          <w:tcPr>
            <w:tcW w:w="1101" w:type="dxa"/>
            <w:vMerge w:val="continue"/>
            <w:vAlign w:val="center"/>
          </w:tcPr>
          <w:p>
            <w:pPr>
              <w:spacing w:before="143" w:beforeLines="50" w:line="360" w:lineRule="auto"/>
              <w:jc w:val="center"/>
              <w:rPr>
                <w:rFonts w:ascii="宋体" w:hAnsi="宋体" w:cs="宋体"/>
                <w:b/>
                <w:bCs/>
                <w:sz w:val="32"/>
                <w:szCs w:val="21"/>
              </w:rPr>
            </w:pPr>
          </w:p>
        </w:tc>
        <w:tc>
          <w:tcPr>
            <w:tcW w:w="7512" w:type="dxa"/>
            <w:vAlign w:val="center"/>
          </w:tcPr>
          <w:p>
            <w:pPr>
              <w:adjustRightInd w:val="0"/>
              <w:snapToGrid w:val="0"/>
              <w:spacing w:line="360" w:lineRule="auto"/>
              <w:rPr>
                <w:rFonts w:ascii="宋体" w:hAnsi="宋体" w:cs="宋体"/>
                <w:szCs w:val="21"/>
              </w:rPr>
            </w:pPr>
            <w:r>
              <w:rPr>
                <w:rFonts w:hint="eastAsia" w:ascii="宋体" w:hAnsi="宋体" w:cs="宋体"/>
                <w:szCs w:val="21"/>
              </w:rPr>
              <w:t>项目名称：</w:t>
            </w:r>
            <w:r>
              <w:rPr>
                <w:rFonts w:hint="eastAsia" w:asciiTheme="minorEastAsia" w:hAnsiTheme="minorEastAsia" w:eastAsiaTheme="minorEastAsia"/>
                <w:szCs w:val="21"/>
                <w:u w:val="single"/>
              </w:rPr>
              <w:t>高新区排水管网信息化管理平台（二期）</w:t>
            </w:r>
            <w:r>
              <w:rPr>
                <w:rFonts w:hint="eastAsia" w:ascii="宋体" w:hAnsi="宋体" w:cs="宋体"/>
                <w:szCs w:val="21"/>
              </w:rPr>
              <w:t>（本次采购为非专门面向中小企业）</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2</w:t>
            </w:r>
            <w:r>
              <w:rPr>
                <w:rFonts w:hint="eastAsia" w:ascii="宋体" w:hAnsi="宋体" w:cs="宋体"/>
                <w:szCs w:val="21"/>
              </w:rPr>
              <w:t>.</w:t>
            </w:r>
            <w:r>
              <w:rPr>
                <w:rFonts w:hint="eastAsia" w:cs="宋体"/>
                <w:szCs w:val="21"/>
              </w:rPr>
              <w:t>1</w:t>
            </w:r>
          </w:p>
        </w:tc>
        <w:tc>
          <w:tcPr>
            <w:tcW w:w="7512" w:type="dxa"/>
            <w:vAlign w:val="center"/>
          </w:tcPr>
          <w:p>
            <w:pPr>
              <w:spacing w:line="360" w:lineRule="auto"/>
              <w:jc w:val="left"/>
              <w:rPr>
                <w:rFonts w:ascii="宋体" w:hAnsi="宋体"/>
                <w:szCs w:val="21"/>
              </w:rPr>
            </w:pPr>
            <w:r>
              <w:rPr>
                <w:rFonts w:hint="eastAsia" w:ascii="宋体" w:hAnsi="宋体"/>
                <w:szCs w:val="21"/>
              </w:rPr>
              <w:t>招标范围：详见采购文件第六部分“招标项目需求”。</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ascii="宋体" w:hAnsi="宋体"/>
                <w:b/>
              </w:rPr>
              <w:t>★</w:t>
            </w:r>
            <w:r>
              <w:rPr>
                <w:rFonts w:hint="eastAsia" w:cs="宋体"/>
                <w:szCs w:val="21"/>
              </w:rPr>
              <w:t>3</w:t>
            </w:r>
            <w:r>
              <w:rPr>
                <w:rFonts w:hint="eastAsia" w:ascii="宋体" w:hAnsi="宋体" w:cs="宋体"/>
                <w:szCs w:val="21"/>
              </w:rPr>
              <w:t>.</w:t>
            </w:r>
            <w:r>
              <w:rPr>
                <w:rFonts w:hint="eastAsia" w:cs="宋体"/>
                <w:szCs w:val="21"/>
              </w:rPr>
              <w:t>1</w:t>
            </w:r>
          </w:p>
        </w:tc>
        <w:tc>
          <w:tcPr>
            <w:tcW w:w="7512" w:type="dxa"/>
            <w:vAlign w:val="center"/>
          </w:tcPr>
          <w:p>
            <w:pPr>
              <w:adjustRightInd w:val="0"/>
              <w:snapToGrid w:val="0"/>
              <w:spacing w:line="360" w:lineRule="auto"/>
              <w:rPr>
                <w:rFonts w:ascii="宋体" w:hAnsi="宋体" w:cs="宋体"/>
                <w:b/>
                <w:szCs w:val="21"/>
              </w:rPr>
            </w:pPr>
            <w:r>
              <w:rPr>
                <w:rFonts w:hint="eastAsia" w:ascii="宋体" w:hAnsi="宋体" w:cs="宋体"/>
                <w:b/>
                <w:szCs w:val="21"/>
              </w:rPr>
              <w:t>合格投标人的资格要求（本项目采用资格后审）：</w:t>
            </w:r>
          </w:p>
          <w:p>
            <w:pPr>
              <w:numPr>
                <w:ilvl w:val="255"/>
                <w:numId w:val="0"/>
              </w:numPr>
              <w:adjustRightInd w:val="0"/>
              <w:snapToGrid w:val="0"/>
              <w:spacing w:line="360" w:lineRule="auto"/>
              <w:rPr>
                <w:b/>
                <w:bCs/>
              </w:rPr>
            </w:pPr>
            <w:r>
              <w:rPr>
                <w:rFonts w:hint="eastAsia"/>
                <w:b/>
                <w:bCs/>
              </w:rPr>
              <w:t>标项一</w:t>
            </w:r>
            <w:r>
              <w:rPr>
                <w:rFonts w:hint="eastAsia" w:ascii="宋体" w:hAnsi="宋体" w:cs="宋体"/>
                <w:b/>
                <w:bCs/>
                <w:szCs w:val="21"/>
              </w:rPr>
              <w:t>资格要求</w:t>
            </w:r>
            <w:r>
              <w:rPr>
                <w:rFonts w:hint="eastAsia"/>
                <w:b/>
                <w:bCs/>
              </w:rPr>
              <w:t>：</w:t>
            </w:r>
          </w:p>
          <w:p>
            <w:pPr>
              <w:spacing w:line="360" w:lineRule="auto"/>
              <w:ind w:firstLine="420" w:firstLineChars="200"/>
              <w:rPr>
                <w:rFonts w:ascii="宋体" w:hAnsi="宋体"/>
                <w:szCs w:val="21"/>
              </w:rPr>
            </w:pPr>
            <w:r>
              <w:rPr>
                <w:rFonts w:hint="eastAsia"/>
              </w:rPr>
              <w:t>1</w:t>
            </w:r>
            <w:r>
              <w:rPr>
                <w:rFonts w:hint="eastAsia" w:ascii="宋体" w:hAnsi="宋体"/>
              </w:rPr>
              <w:t>.满足《中华人民共和国政府采购法》第二十二条规定；未被“信用中国”（</w:t>
            </w:r>
            <w:r>
              <w:rPr>
                <w:rFonts w:hint="eastAsia"/>
              </w:rPr>
              <w:t>www</w:t>
            </w:r>
            <w:r>
              <w:rPr>
                <w:rFonts w:hint="eastAsia" w:ascii="宋体" w:hAnsi="宋体"/>
              </w:rPr>
              <w:t>.</w:t>
            </w:r>
            <w:r>
              <w:rPr>
                <w:rFonts w:hint="eastAsia"/>
              </w:rPr>
              <w:t>creditchina</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)、中国政府采购网（</w:t>
            </w:r>
            <w:r>
              <w:rPr>
                <w:rFonts w:hint="eastAsia"/>
              </w:rPr>
              <w:t>www</w:t>
            </w:r>
            <w:r>
              <w:rPr>
                <w:rFonts w:hint="eastAsia" w:ascii="宋体" w:hAnsi="宋体"/>
              </w:rPr>
              <w:t>.</w:t>
            </w:r>
            <w:r>
              <w:rPr>
                <w:rFonts w:hint="eastAsia"/>
              </w:rPr>
              <w:t>ccgp</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）列入失信被执行人、重大税收违法案件当事人名单、政府采购严重违法失信行为记录名单。</w:t>
            </w:r>
          </w:p>
          <w:p>
            <w:pPr>
              <w:spacing w:line="360" w:lineRule="auto"/>
              <w:ind w:firstLine="420" w:firstLineChars="200"/>
              <w:rPr>
                <w:rFonts w:ascii="宋体" w:hAnsi="宋体"/>
              </w:rPr>
            </w:pPr>
            <w:r>
              <w:rPr>
                <w:rFonts w:hint="eastAsia"/>
              </w:rPr>
              <w:t>2</w:t>
            </w:r>
            <w:r>
              <w:rPr>
                <w:rFonts w:hint="eastAsia" w:ascii="宋体" w:hAnsi="宋体"/>
              </w:rPr>
              <w:t>.落实政府采购政策需满足的资格要求：无。</w:t>
            </w:r>
          </w:p>
          <w:p>
            <w:pPr>
              <w:adjustRightInd w:val="0"/>
              <w:snapToGrid w:val="0"/>
              <w:spacing w:line="360" w:lineRule="auto"/>
              <w:ind w:firstLine="420" w:firstLineChars="200"/>
              <w:rPr>
                <w:rFonts w:ascii="宋体" w:hAnsi="宋体" w:cs="宋体"/>
                <w:b/>
                <w:bCs/>
                <w:szCs w:val="21"/>
                <w:shd w:val="clear" w:color="auto" w:fill="FFFFFF"/>
              </w:rPr>
            </w:pPr>
            <w:r>
              <w:rPr>
                <w:rFonts w:ascii="宋体" w:hAnsi="宋体"/>
                <w:b/>
                <w:bCs/>
              </w:rPr>
              <w:t>3</w:t>
            </w:r>
            <w:r>
              <w:rPr>
                <w:rFonts w:hint="eastAsia" w:ascii="宋体" w:hAnsi="宋体"/>
                <w:b/>
                <w:bCs/>
              </w:rPr>
              <w:t>.本项目的特定资格要求：</w:t>
            </w:r>
          </w:p>
          <w:p>
            <w:pPr>
              <w:adjustRightInd w:val="0"/>
              <w:snapToGrid w:val="0"/>
              <w:spacing w:line="360" w:lineRule="auto"/>
              <w:ind w:firstLine="420" w:firstLineChars="200"/>
              <w:rPr>
                <w:rFonts w:ascii="宋体" w:hAnsi="宋体" w:cs="宋体"/>
                <w:b/>
                <w:bCs/>
                <w:szCs w:val="21"/>
                <w:shd w:val="clear" w:color="auto" w:fill="FFFFFF"/>
              </w:rPr>
            </w:pPr>
            <w:r>
              <w:rPr>
                <w:rFonts w:hint="eastAsia" w:ascii="宋体" w:hAnsi="宋体" w:cs="宋体"/>
                <w:b/>
                <w:bCs/>
                <w:szCs w:val="21"/>
                <w:shd w:val="clear" w:color="auto" w:fill="FFFFFF"/>
              </w:rPr>
              <w:t>标项一</w:t>
            </w:r>
            <w:r>
              <w:rPr>
                <w:rFonts w:ascii="宋体" w:hAnsi="宋体" w:cs="宋体"/>
                <w:b/>
                <w:bCs/>
                <w:szCs w:val="21"/>
                <w:shd w:val="clear" w:color="auto" w:fill="FFFFFF"/>
              </w:rPr>
              <w:t>投标人具有测绘乙级及以上资质证书（专业类别：地理信息系统工程）。</w:t>
            </w:r>
          </w:p>
          <w:p>
            <w:pPr>
              <w:adjustRightInd w:val="0"/>
              <w:snapToGrid w:val="0"/>
              <w:spacing w:line="360" w:lineRule="auto"/>
              <w:rPr>
                <w:b/>
                <w:bCs/>
              </w:rPr>
            </w:pPr>
            <w:r>
              <w:rPr>
                <w:rFonts w:hint="eastAsia"/>
                <w:b/>
                <w:bCs/>
              </w:rPr>
              <w:t>标项二资格要求：</w:t>
            </w:r>
          </w:p>
          <w:p>
            <w:pPr>
              <w:spacing w:line="360" w:lineRule="auto"/>
              <w:ind w:firstLine="420" w:firstLineChars="200"/>
              <w:rPr>
                <w:rFonts w:ascii="宋体" w:hAnsi="宋体"/>
                <w:szCs w:val="21"/>
              </w:rPr>
            </w:pPr>
            <w:r>
              <w:rPr>
                <w:rFonts w:hint="eastAsia"/>
              </w:rPr>
              <w:t>1</w:t>
            </w:r>
            <w:r>
              <w:rPr>
                <w:rFonts w:hint="eastAsia" w:ascii="宋体" w:hAnsi="宋体"/>
              </w:rPr>
              <w:t>.满足《中华人民共和国政府采购法》第二十二条规定；未被“信用中国”（</w:t>
            </w:r>
            <w:r>
              <w:rPr>
                <w:rFonts w:hint="eastAsia"/>
              </w:rPr>
              <w:t>www</w:t>
            </w:r>
            <w:r>
              <w:rPr>
                <w:rFonts w:hint="eastAsia" w:ascii="宋体" w:hAnsi="宋体"/>
              </w:rPr>
              <w:t>.</w:t>
            </w:r>
            <w:r>
              <w:rPr>
                <w:rFonts w:hint="eastAsia"/>
              </w:rPr>
              <w:t>creditchina</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)、中国政府采购网（</w:t>
            </w:r>
            <w:r>
              <w:rPr>
                <w:rFonts w:hint="eastAsia"/>
              </w:rPr>
              <w:t>www</w:t>
            </w:r>
            <w:r>
              <w:rPr>
                <w:rFonts w:hint="eastAsia" w:ascii="宋体" w:hAnsi="宋体"/>
              </w:rPr>
              <w:t>.</w:t>
            </w:r>
            <w:r>
              <w:rPr>
                <w:rFonts w:hint="eastAsia"/>
              </w:rPr>
              <w:t>ccgp</w:t>
            </w:r>
            <w:r>
              <w:rPr>
                <w:rFonts w:hint="eastAsia" w:ascii="宋体" w:hAnsi="宋体"/>
              </w:rPr>
              <w:t>.</w:t>
            </w:r>
            <w:r>
              <w:rPr>
                <w:rFonts w:hint="eastAsia"/>
              </w:rPr>
              <w:t>gov</w:t>
            </w:r>
            <w:r>
              <w:rPr>
                <w:rFonts w:hint="eastAsia" w:ascii="宋体" w:hAnsi="宋体"/>
              </w:rPr>
              <w:t>.</w:t>
            </w:r>
            <w:r>
              <w:rPr>
                <w:rFonts w:hint="eastAsia"/>
              </w:rPr>
              <w:t>cn</w:t>
            </w:r>
            <w:r>
              <w:rPr>
                <w:rFonts w:hint="eastAsia" w:ascii="宋体" w:hAnsi="宋体"/>
              </w:rPr>
              <w:t>）列入失信被执行人、重大税收违法案件当事人名单、政府采购严重违法失信行为记录名单。</w:t>
            </w:r>
          </w:p>
          <w:p>
            <w:pPr>
              <w:spacing w:line="360" w:lineRule="auto"/>
              <w:ind w:firstLine="420" w:firstLineChars="200"/>
              <w:rPr>
                <w:rFonts w:ascii="宋体" w:hAnsi="宋体"/>
              </w:rPr>
            </w:pPr>
            <w:r>
              <w:rPr>
                <w:rFonts w:hint="eastAsia"/>
              </w:rPr>
              <w:t>2</w:t>
            </w:r>
            <w:r>
              <w:rPr>
                <w:rFonts w:hint="eastAsia" w:ascii="宋体" w:hAnsi="宋体"/>
              </w:rPr>
              <w:t>.落实政府采购政策需满足的资格要求：无。</w:t>
            </w:r>
          </w:p>
          <w:p>
            <w:pPr>
              <w:adjustRightInd w:val="0"/>
              <w:snapToGrid w:val="0"/>
              <w:spacing w:line="360" w:lineRule="auto"/>
              <w:ind w:firstLine="420" w:firstLineChars="200"/>
              <w:jc w:val="left"/>
              <w:rPr>
                <w:rFonts w:asciiTheme="minorEastAsia" w:hAnsiTheme="minorEastAsia" w:eastAsiaTheme="minorEastAsia"/>
                <w:i/>
                <w:szCs w:val="21"/>
                <w:u w:val="single"/>
              </w:rPr>
            </w:pPr>
            <w:r>
              <w:rPr>
                <w:rFonts w:ascii="宋体" w:hAnsi="宋体"/>
                <w:b/>
                <w:bCs/>
              </w:rPr>
              <w:t>3</w:t>
            </w:r>
            <w:r>
              <w:rPr>
                <w:rFonts w:hint="eastAsia" w:ascii="宋体" w:hAnsi="宋体"/>
                <w:b/>
                <w:bCs/>
              </w:rPr>
              <w:t>.本项目的特定资格要求：无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4</w:t>
            </w:r>
            <w:r>
              <w:rPr>
                <w:rFonts w:hint="eastAsia" w:ascii="宋体" w:hAnsi="宋体" w:cs="宋体"/>
                <w:szCs w:val="21"/>
              </w:rPr>
              <w:t>.</w:t>
            </w:r>
            <w:r>
              <w:rPr>
                <w:rFonts w:hint="eastAsia" w:cs="宋体"/>
                <w:szCs w:val="21"/>
              </w:rPr>
              <w:t>1</w:t>
            </w:r>
          </w:p>
        </w:tc>
        <w:tc>
          <w:tcPr>
            <w:tcW w:w="7512" w:type="dxa"/>
            <w:vAlign w:val="center"/>
          </w:tcPr>
          <w:p>
            <w:pPr>
              <w:tabs>
                <w:tab w:val="left" w:pos="0"/>
              </w:tabs>
              <w:spacing w:before="143" w:beforeLines="50"/>
              <w:rPr>
                <w:rFonts w:ascii="宋体" w:hAnsi="宋体"/>
                <w:szCs w:val="21"/>
              </w:rPr>
            </w:pPr>
            <w:r>
              <w:rPr>
                <w:rFonts w:hint="eastAsia" w:ascii="宋体" w:hAnsi="宋体"/>
                <w:szCs w:val="21"/>
              </w:rPr>
              <w:t>现场考察：不组织；</w:t>
            </w:r>
          </w:p>
          <w:p>
            <w:pPr>
              <w:tabs>
                <w:tab w:val="left" w:pos="0"/>
              </w:tabs>
              <w:spacing w:before="143" w:beforeLines="50"/>
              <w:rPr>
                <w:rFonts w:ascii="宋体" w:hAnsi="宋体" w:cs="宋体"/>
                <w:b/>
                <w:szCs w:val="21"/>
              </w:rPr>
            </w:pPr>
            <w:r>
              <w:rPr>
                <w:rFonts w:hint="eastAsia" w:ascii="宋体" w:hAnsi="宋体"/>
                <w:szCs w:val="21"/>
              </w:rPr>
              <w:t>答疑会：不组织。</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ascii="宋体" w:hAnsi="宋体"/>
                <w:b/>
              </w:rPr>
              <w:t>★</w:t>
            </w:r>
            <w:r>
              <w:rPr>
                <w:rFonts w:hint="eastAsia" w:cs="宋体"/>
                <w:szCs w:val="21"/>
              </w:rPr>
              <w:t>5</w:t>
            </w:r>
            <w:r>
              <w:rPr>
                <w:rFonts w:hint="eastAsia" w:ascii="宋体" w:hAnsi="宋体" w:cs="宋体"/>
                <w:szCs w:val="21"/>
              </w:rPr>
              <w:t>.</w:t>
            </w:r>
            <w:r>
              <w:rPr>
                <w:rFonts w:hint="eastAsia" w:cs="宋体"/>
                <w:szCs w:val="21"/>
              </w:rPr>
              <w:t>1</w:t>
            </w:r>
          </w:p>
        </w:tc>
        <w:tc>
          <w:tcPr>
            <w:tcW w:w="7512" w:type="dxa"/>
            <w:vAlign w:val="center"/>
          </w:tcPr>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b/>
                <w:szCs w:val="21"/>
              </w:rPr>
              <w:t>投标文件组成：</w:t>
            </w:r>
            <w:r>
              <w:rPr>
                <w:rFonts w:hint="eastAsia" w:cs="宋体" w:asciiTheme="minorEastAsia" w:hAnsiTheme="minorEastAsia" w:eastAsiaTheme="minorEastAsia"/>
                <w:b/>
                <w:bCs/>
                <w:kern w:val="0"/>
                <w:szCs w:val="21"/>
              </w:rPr>
              <w:t>本项目实行网上投标，投标人应准备以下投标文件：</w:t>
            </w: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5</w:t>
            </w:r>
            <w:r>
              <w:rPr>
                <w:rFonts w:hint="eastAsia" w:cs="宋体" w:asciiTheme="minorEastAsia" w:hAnsiTheme="minorEastAsia" w:eastAsiaTheme="minorEastAsia"/>
                <w:b/>
                <w:bCs/>
                <w:kern w:val="0"/>
                <w:szCs w:val="21"/>
              </w:rPr>
              <w:t>.</w:t>
            </w:r>
            <w:r>
              <w:rPr>
                <w:rFonts w:hint="eastAsia" w:cs="宋体" w:eastAsiaTheme="minorEastAsia"/>
                <w:b/>
                <w:bCs/>
                <w:kern w:val="0"/>
                <w:szCs w:val="21"/>
              </w:rPr>
              <w:t>1</w:t>
            </w:r>
            <w:r>
              <w:rPr>
                <w:rFonts w:hint="eastAsia" w:cs="宋体" w:asciiTheme="minorEastAsia" w:hAnsiTheme="minorEastAsia" w:eastAsiaTheme="minorEastAsia"/>
                <w:b/>
                <w:bCs/>
                <w:kern w:val="0"/>
                <w:szCs w:val="21"/>
              </w:rPr>
              <w:t>.</w:t>
            </w:r>
            <w:r>
              <w:rPr>
                <w:rFonts w:hint="eastAsia" w:cs="宋体" w:eastAsiaTheme="minorEastAsia"/>
                <w:b/>
                <w:bCs/>
                <w:kern w:val="0"/>
                <w:szCs w:val="21"/>
              </w:rPr>
              <w:t>1</w:t>
            </w:r>
            <w:r>
              <w:rPr>
                <w:rFonts w:hint="eastAsia" w:cs="宋体" w:asciiTheme="minorEastAsia" w:hAnsiTheme="minorEastAsia" w:eastAsiaTheme="minorEastAsia"/>
                <w:b/>
                <w:bCs/>
                <w:kern w:val="0"/>
                <w:szCs w:val="21"/>
              </w:rPr>
              <w:t>.资格文件</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eastAsiaTheme="minorEastAsia"/>
                <w:kern w:val="0"/>
                <w:szCs w:val="21"/>
              </w:rPr>
              <w:t>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关于满足资格的承诺函；</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eastAsiaTheme="minorEastAsia"/>
                <w:kern w:val="0"/>
                <w:szCs w:val="21"/>
              </w:rPr>
              <w:t>2</w:t>
            </w:r>
            <w:r>
              <w:rPr>
                <w:rFonts w:hint="eastAsia" w:cs="宋体" w:asciiTheme="minorEastAsia" w:hAnsiTheme="minorEastAsia" w:eastAsiaTheme="minorEastAsia"/>
                <w:kern w:val="0"/>
                <w:szCs w:val="21"/>
              </w:rPr>
              <w:t>）有效的“多证合一”的营业执照（未办理多证合一的提供营业执照、税务登记证、组织机构代码证）副本复印件。供应商如果有名称变更的，应提供由行政主管部门出具的变更证明文件；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ascii="宋体" w:hAnsi="宋体" w:cs="宋体"/>
                <w:bCs/>
              </w:rPr>
              <w:t>落实政府采购政策需满足的资格要求证明材料（如有）；</w:t>
            </w:r>
          </w:p>
          <w:p>
            <w:pPr>
              <w:widowControl/>
              <w:spacing w:line="360" w:lineRule="auto"/>
              <w:ind w:firstLine="420" w:firstLineChars="200"/>
              <w:jc w:val="left"/>
              <w:rPr>
                <w:rFonts w:cs="宋体" w:asciiTheme="minorEastAsia" w:hAnsiTheme="minorEastAsia"/>
                <w:kern w:val="0"/>
                <w:szCs w:val="21"/>
              </w:rPr>
            </w:pPr>
            <w:r>
              <w:rPr>
                <w:rFonts w:hint="eastAsia" w:cs="宋体" w:asciiTheme="minorEastAsia" w:hAnsiTheme="minorEastAsia" w:eastAsiaTheme="minorEastAsia"/>
                <w:kern w:val="0"/>
                <w:szCs w:val="21"/>
              </w:rPr>
              <w:t>（</w:t>
            </w:r>
            <w:r>
              <w:rPr>
                <w:rFonts w:cs="宋体" w:eastAsiaTheme="minorEastAsia"/>
                <w:kern w:val="0"/>
                <w:szCs w:val="21"/>
              </w:rPr>
              <w:t>4</w:t>
            </w:r>
            <w:r>
              <w:rPr>
                <w:rFonts w:hint="eastAsia" w:cs="宋体" w:asciiTheme="minorEastAsia" w:hAnsiTheme="minorEastAsia" w:eastAsiaTheme="minorEastAsia"/>
                <w:kern w:val="0"/>
                <w:szCs w:val="21"/>
              </w:rPr>
              <w:t>）投标人的特定条件的证明文件</w:t>
            </w:r>
            <w:r>
              <w:rPr>
                <w:rFonts w:hint="eastAsia" w:ascii="宋体" w:hAnsi="宋体" w:cs="宋体"/>
                <w:bCs/>
              </w:rPr>
              <w:t>（如有）；</w:t>
            </w:r>
          </w:p>
          <w:p>
            <w:pPr>
              <w:widowControl/>
              <w:spacing w:line="360" w:lineRule="auto"/>
              <w:ind w:firstLine="420" w:firstLineChars="200"/>
              <w:jc w:val="left"/>
            </w:pPr>
            <w:r>
              <w:rPr>
                <w:rFonts w:hint="eastAsia" w:cs="宋体" w:asciiTheme="minorEastAsia" w:hAnsiTheme="minorEastAsia" w:eastAsiaTheme="minorEastAsia"/>
                <w:kern w:val="0"/>
                <w:szCs w:val="21"/>
              </w:rPr>
              <w:t>（5）</w:t>
            </w:r>
            <w:r>
              <w:rPr>
                <w:rFonts w:hint="eastAsia" w:cs="宋体"/>
              </w:rPr>
              <w:t>联合体投标协议书（如有）</w:t>
            </w:r>
            <w:r>
              <w:rPr>
                <w:rFonts w:cs="宋体"/>
                <w:b/>
              </w:rPr>
              <w:t>[</w:t>
            </w:r>
            <w:r>
              <w:rPr>
                <w:rFonts w:hint="eastAsia" w:cs="宋体"/>
                <w:b/>
              </w:rPr>
              <w:t>若是联合体投标的必须提供，否则不必提供</w:t>
            </w:r>
            <w:r>
              <w:rPr>
                <w:rFonts w:cs="宋体"/>
                <w:b/>
              </w:rPr>
              <w:t>]</w:t>
            </w:r>
            <w:r>
              <w:rPr>
                <w:rFonts w:hint="eastAsia" w:cs="宋体"/>
                <w:b/>
              </w:rPr>
              <w:t>。</w:t>
            </w: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5</w:t>
            </w:r>
            <w:r>
              <w:rPr>
                <w:rFonts w:hint="eastAsia" w:cs="宋体" w:asciiTheme="minorEastAsia" w:hAnsiTheme="minorEastAsia" w:eastAsiaTheme="minorEastAsia"/>
                <w:b/>
                <w:bCs/>
                <w:kern w:val="0"/>
                <w:szCs w:val="21"/>
              </w:rPr>
              <w:t>.</w:t>
            </w:r>
            <w:r>
              <w:rPr>
                <w:rFonts w:hint="eastAsia" w:cs="宋体" w:eastAsiaTheme="minorEastAsia"/>
                <w:b/>
                <w:bCs/>
                <w:kern w:val="0"/>
                <w:szCs w:val="21"/>
              </w:rPr>
              <w:t>1</w:t>
            </w:r>
            <w:r>
              <w:rPr>
                <w:rFonts w:hint="eastAsia" w:cs="宋体" w:asciiTheme="minorEastAsia" w:hAnsiTheme="minorEastAsia" w:eastAsiaTheme="minorEastAsia"/>
                <w:b/>
                <w:bCs/>
                <w:kern w:val="0"/>
                <w:szCs w:val="21"/>
              </w:rPr>
              <w:t>.</w:t>
            </w:r>
            <w:r>
              <w:rPr>
                <w:rFonts w:hint="eastAsia" w:cs="宋体" w:eastAsiaTheme="minorEastAsia"/>
                <w:b/>
                <w:bCs/>
                <w:kern w:val="0"/>
                <w:szCs w:val="21"/>
              </w:rPr>
              <w:t>2</w:t>
            </w:r>
            <w:r>
              <w:rPr>
                <w:rFonts w:hint="eastAsia" w:cs="宋体" w:asciiTheme="minorEastAsia" w:hAnsiTheme="minorEastAsia" w:eastAsiaTheme="minorEastAsia"/>
                <w:b/>
                <w:bCs/>
                <w:kern w:val="0"/>
                <w:szCs w:val="21"/>
              </w:rPr>
              <w:t>.商务技术文件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）评分标准对应页码；</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）投标人基本情况表；</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技术条款偏离表</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5</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商务条款偏离表</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6</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第五部分“评标办法”中“评分标准”要求提供的资料（如有需提供）</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7</w:t>
            </w:r>
            <w:r>
              <w:rPr>
                <w:rFonts w:hint="eastAsia" w:cs="宋体" w:asciiTheme="minorEastAsia" w:hAnsiTheme="minorEastAsia" w:eastAsiaTheme="minorEastAsia"/>
                <w:kern w:val="0"/>
                <w:szCs w:val="21"/>
              </w:rPr>
              <w:t>）评分标准或采购文件需要提供的其他技术商务材料。</w:t>
            </w: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5</w:t>
            </w:r>
            <w:r>
              <w:rPr>
                <w:rFonts w:hint="eastAsia" w:cs="宋体" w:asciiTheme="minorEastAsia" w:hAnsiTheme="minorEastAsia" w:eastAsiaTheme="minorEastAsia"/>
                <w:b/>
                <w:bCs/>
                <w:kern w:val="0"/>
                <w:szCs w:val="21"/>
              </w:rPr>
              <w:t>.</w:t>
            </w:r>
            <w:r>
              <w:rPr>
                <w:rFonts w:hint="eastAsia" w:cs="宋体" w:eastAsiaTheme="minorEastAsia"/>
                <w:b/>
                <w:bCs/>
                <w:kern w:val="0"/>
                <w:szCs w:val="21"/>
              </w:rPr>
              <w:t>1</w:t>
            </w:r>
            <w:r>
              <w:rPr>
                <w:rFonts w:hint="eastAsia" w:cs="宋体" w:asciiTheme="minorEastAsia" w:hAnsiTheme="minorEastAsia" w:eastAsiaTheme="minorEastAsia"/>
                <w:b/>
                <w:bCs/>
                <w:kern w:val="0"/>
                <w:szCs w:val="21"/>
              </w:rPr>
              <w:t>.</w:t>
            </w:r>
            <w:r>
              <w:rPr>
                <w:rFonts w:hint="eastAsia" w:cs="宋体" w:eastAsiaTheme="minorEastAsia"/>
                <w:b/>
                <w:bCs/>
                <w:kern w:val="0"/>
                <w:szCs w:val="21"/>
              </w:rPr>
              <w:t>3</w:t>
            </w:r>
            <w:r>
              <w:rPr>
                <w:rFonts w:hint="eastAsia" w:cs="宋体" w:asciiTheme="minorEastAsia" w:hAnsiTheme="minorEastAsia" w:eastAsiaTheme="minorEastAsia"/>
                <w:b/>
                <w:bCs/>
                <w:kern w:val="0"/>
                <w:szCs w:val="21"/>
              </w:rPr>
              <w:t>.报价文件</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投标函；</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开标一览表；</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投标分项报价表；</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中小企业声明函；</w:t>
            </w:r>
          </w:p>
          <w:p>
            <w:pPr>
              <w:tabs>
                <w:tab w:val="left" w:pos="1418"/>
              </w:tabs>
              <w:spacing w:line="360" w:lineRule="auto"/>
              <w:ind w:firstLine="420" w:firstLineChars="200"/>
              <w:contextualSpacing/>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5</w:t>
            </w:r>
            <w:r>
              <w:rPr>
                <w:rFonts w:hint="eastAsia" w:cs="宋体" w:asciiTheme="minorEastAsia" w:hAnsiTheme="minorEastAsia" w:eastAsiaTheme="minorEastAsia"/>
                <w:kern w:val="0"/>
                <w:szCs w:val="21"/>
              </w:rPr>
              <w:t>）</w:t>
            </w:r>
            <w:r>
              <w:rPr>
                <w:rFonts w:hint="eastAsia" w:ascii="宋体" w:hAnsi="宋体"/>
                <w:szCs w:val="21"/>
              </w:rPr>
              <w:t>监狱企业声明函（如有需提供）</w:t>
            </w:r>
            <w:r>
              <w:rPr>
                <w:rFonts w:hint="eastAsia" w:cs="宋体" w:asciiTheme="minorEastAsia" w:hAnsiTheme="minorEastAsia" w:eastAsiaTheme="minorEastAsia"/>
                <w:kern w:val="0"/>
                <w:szCs w:val="21"/>
              </w:rPr>
              <w:t>；</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6</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残疾人福利性单位声明函</w:t>
            </w:r>
            <w:r>
              <w:rPr>
                <w:rFonts w:hint="eastAsia" w:cs="宋体" w:asciiTheme="minorEastAsia" w:hAnsiTheme="minorEastAsia" w:eastAsiaTheme="minorEastAsia"/>
                <w:kern w:val="0"/>
                <w:szCs w:val="21"/>
              </w:rPr>
              <w:t>（如有需提供）</w:t>
            </w:r>
            <w:r>
              <w:rPr>
                <w:rFonts w:hint="eastAsia" w:asciiTheme="minorEastAsia" w:hAnsiTheme="minorEastAsia" w:eastAsiaTheme="minorEastAsia"/>
                <w:szCs w:val="21"/>
              </w:rPr>
              <w:t>；</w:t>
            </w:r>
          </w:p>
          <w:p>
            <w:pPr>
              <w:widowControl/>
              <w:spacing w:line="360" w:lineRule="auto"/>
              <w:ind w:firstLine="420" w:firstLineChars="200"/>
              <w:jc w:val="left"/>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投标人认为需提交的其他文件资料。</w:t>
            </w:r>
          </w:p>
          <w:p>
            <w:pPr>
              <w:widowControl/>
              <w:spacing w:line="360" w:lineRule="auto"/>
              <w:ind w:firstLine="315" w:firstLineChars="150"/>
              <w:jc w:val="left"/>
            </w:pPr>
            <w:r>
              <w:rPr>
                <w:rFonts w:hint="eastAsia"/>
              </w:rPr>
              <w:t>对非专门面向中小企业采购的项目，如果投标人为中小企业，应提供中小企业声明函；如未按照要求提供，将不得享受评标标准中注明的针对小微企业的价格扣除优惠。</w:t>
            </w:r>
          </w:p>
          <w:p>
            <w:pPr>
              <w:widowControl/>
              <w:spacing w:line="360" w:lineRule="auto"/>
              <w:ind w:firstLine="315" w:firstLineChars="150"/>
              <w:jc w:val="left"/>
            </w:pPr>
            <w:r>
              <w:rPr>
                <w:rFonts w:hint="eastAsia"/>
              </w:rPr>
              <w:t>对非专门面向中小企业采购的项目，如果投标人为联合体，且联合体中有中小企业，应提供中小企业声明函；如未按照要求提供，将不得享受评标标准中注明的针对小微企业联合体的价格扣除优惠。</w:t>
            </w: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5.</w:t>
            </w:r>
            <w:r>
              <w:rPr>
                <w:rFonts w:hint="eastAsia" w:cs="宋体" w:asciiTheme="minorEastAsia" w:hAnsiTheme="minorEastAsia" w:eastAsiaTheme="minorEastAsia"/>
                <w:b/>
                <w:bCs/>
                <w:kern w:val="0"/>
                <w:szCs w:val="21"/>
              </w:rPr>
              <w:t>1.</w:t>
            </w:r>
            <w:r>
              <w:rPr>
                <w:rFonts w:hint="eastAsia" w:cs="宋体" w:eastAsiaTheme="minorEastAsia"/>
                <w:b/>
                <w:bCs/>
                <w:kern w:val="0"/>
                <w:szCs w:val="21"/>
              </w:rPr>
              <w:t>4</w:t>
            </w:r>
            <w:r>
              <w:rPr>
                <w:rFonts w:hint="eastAsia" w:cs="宋体" w:asciiTheme="minorEastAsia" w:hAnsiTheme="minorEastAsia" w:eastAsiaTheme="minorEastAsia"/>
                <w:b/>
                <w:bCs/>
                <w:kern w:val="0"/>
                <w:szCs w:val="21"/>
              </w:rPr>
              <w:t>.注意事项</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b/>
                <w:bCs/>
                <w:kern w:val="0"/>
                <w:szCs w:val="21"/>
              </w:rPr>
              <w:t xml:space="preserve">电子投标文件中所须加盖公章部分均采用 </w:t>
            </w:r>
            <w:r>
              <w:rPr>
                <w:rFonts w:hint="eastAsia" w:cs="宋体" w:eastAsiaTheme="minorEastAsia"/>
                <w:b/>
                <w:bCs/>
                <w:kern w:val="0"/>
                <w:szCs w:val="21"/>
              </w:rPr>
              <w:t>CA</w:t>
            </w:r>
            <w:r>
              <w:rPr>
                <w:rFonts w:hint="eastAsia" w:cs="宋体" w:asciiTheme="minorEastAsia" w:hAnsiTheme="minorEastAsia" w:eastAsiaTheme="minorEastAsia"/>
                <w:b/>
                <w:bCs/>
                <w:kern w:val="0"/>
                <w:szCs w:val="21"/>
              </w:rPr>
              <w:t xml:space="preserve"> 签章。</w:t>
            </w:r>
          </w:p>
          <w:p>
            <w:pPr>
              <w:spacing w:line="400" w:lineRule="exact"/>
              <w:rPr>
                <w:rFonts w:ascii="宋体" w:hAnsi="宋体" w:cs="宋体"/>
                <w:b/>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）上述组成投标文件的各项资料中本采购文件的有规定格式的，应统一按本采购文件的规定格式填写。未有规定格式的资料，投标人应自行编制，但至少要包含以上要求的内容。</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ascii="宋体" w:hAnsi="宋体"/>
                <w:b/>
              </w:rPr>
              <w:t>★</w:t>
            </w:r>
            <w:r>
              <w:rPr>
                <w:rFonts w:hint="eastAsia" w:cs="宋体"/>
                <w:szCs w:val="21"/>
              </w:rPr>
              <w:t>6</w:t>
            </w:r>
            <w:r>
              <w:rPr>
                <w:rFonts w:hint="eastAsia" w:ascii="宋体" w:hAnsi="宋体" w:cs="宋体"/>
                <w:szCs w:val="21"/>
              </w:rPr>
              <w:t>.</w:t>
            </w:r>
            <w:r>
              <w:rPr>
                <w:rFonts w:hint="eastAsia" w:cs="宋体"/>
                <w:szCs w:val="21"/>
              </w:rPr>
              <w:t>1</w:t>
            </w:r>
          </w:p>
        </w:tc>
        <w:tc>
          <w:tcPr>
            <w:tcW w:w="7512" w:type="dxa"/>
            <w:vAlign w:val="center"/>
          </w:tcPr>
          <w:p>
            <w:pPr>
              <w:spacing w:line="360" w:lineRule="auto"/>
              <w:rPr>
                <w:rFonts w:ascii="宋体" w:hAnsi="宋体" w:cs="宋体"/>
                <w:szCs w:val="21"/>
              </w:rPr>
            </w:pPr>
            <w:r>
              <w:rPr>
                <w:rFonts w:hint="eastAsia" w:ascii="宋体" w:hAnsi="宋体" w:cs="宋体"/>
                <w:szCs w:val="21"/>
              </w:rPr>
              <w:t>本项目为</w:t>
            </w:r>
            <w:r>
              <w:rPr>
                <w:rFonts w:hint="eastAsia" w:ascii="宋体" w:hAnsi="宋体" w:cs="宋体"/>
                <w:b/>
                <w:iCs/>
                <w:szCs w:val="21"/>
              </w:rPr>
              <w:t>固定总价方式</w:t>
            </w:r>
            <w:r>
              <w:rPr>
                <w:rFonts w:hint="eastAsia" w:ascii="宋体" w:hAnsi="宋体" w:cs="宋体"/>
                <w:szCs w:val="21"/>
              </w:rPr>
              <w:t>。</w:t>
            </w:r>
          </w:p>
          <w:p>
            <w:pPr>
              <w:spacing w:line="360" w:lineRule="auto"/>
              <w:rPr>
                <w:rFonts w:ascii="宋体" w:hAnsi="宋体" w:cs="宋体"/>
                <w:szCs w:val="21"/>
              </w:rPr>
            </w:pPr>
            <w:r>
              <w:rPr>
                <w:rFonts w:hint="eastAsia" w:ascii="宋体" w:hAnsi="宋体"/>
              </w:rPr>
              <w:t>报价应包含按要求完成本项目采购内容的所有费用，</w:t>
            </w:r>
            <w:r>
              <w:rPr>
                <w:rFonts w:hint="eastAsia" w:ascii="宋体" w:hAnsi="宋体" w:cs="宋体"/>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pPr>
              <w:spacing w:line="360" w:lineRule="auto"/>
              <w:rPr>
                <w:rFonts w:ascii="宋体" w:hAnsi="宋体" w:cs="宋体"/>
                <w:szCs w:val="21"/>
              </w:rPr>
            </w:pPr>
            <w:r>
              <w:rPr>
                <w:rFonts w:hint="eastAsia" w:ascii="宋体" w:hAnsi="宋体" w:cs="宋体"/>
                <w:szCs w:val="21"/>
              </w:rPr>
              <w:t>投标人应承担其参加本招标活动自身所发生的费用。</w:t>
            </w:r>
          </w:p>
          <w:p>
            <w:pPr>
              <w:spacing w:line="360" w:lineRule="auto"/>
              <w:rPr>
                <w:rFonts w:ascii="宋体" w:hAnsi="宋体" w:cs="宋体"/>
                <w:szCs w:val="21"/>
              </w:rPr>
            </w:pPr>
            <w:r>
              <w:rPr>
                <w:rFonts w:hint="eastAsia" w:ascii="宋体" w:hAnsi="宋体" w:cs="宋体"/>
                <w:szCs w:val="21"/>
              </w:rPr>
              <w:t>项目实施过程中可能发生的风险和费用均由中标人承担。</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ascii="宋体" w:hAnsi="宋体"/>
                <w:b/>
              </w:rPr>
              <w:t>★</w:t>
            </w:r>
            <w:r>
              <w:rPr>
                <w:rFonts w:hint="eastAsia" w:cs="宋体"/>
                <w:szCs w:val="21"/>
              </w:rPr>
              <w:t>7</w:t>
            </w:r>
            <w:r>
              <w:rPr>
                <w:rFonts w:hint="eastAsia" w:ascii="宋体" w:hAnsi="宋体" w:cs="宋体"/>
                <w:szCs w:val="21"/>
              </w:rPr>
              <w:t>.</w:t>
            </w:r>
            <w:r>
              <w:rPr>
                <w:rFonts w:hint="eastAsia" w:cs="宋体"/>
                <w:szCs w:val="21"/>
              </w:rPr>
              <w:t>1</w:t>
            </w:r>
          </w:p>
        </w:tc>
        <w:tc>
          <w:tcPr>
            <w:tcW w:w="7512" w:type="dxa"/>
            <w:vAlign w:val="center"/>
          </w:tcPr>
          <w:p>
            <w:pPr>
              <w:spacing w:before="143" w:beforeLines="50" w:line="360" w:lineRule="auto"/>
            </w:pPr>
            <w:r>
              <w:rPr>
                <w:rFonts w:hint="eastAsia"/>
              </w:rPr>
              <w:t>本项目采用最高投标限价，超过最高限价的投标将被判定为无效投标。</w:t>
            </w:r>
          </w:p>
          <w:p>
            <w:pPr>
              <w:spacing w:line="360" w:lineRule="auto"/>
            </w:pPr>
            <w:r>
              <w:rPr>
                <w:rFonts w:hint="eastAsia" w:ascii="宋体" w:hAnsi="宋体"/>
              </w:rPr>
              <w:t>最高限价：标项一：4099818元；标项二：2208694元</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8</w:t>
            </w:r>
            <w:r>
              <w:rPr>
                <w:rFonts w:hint="eastAsia" w:ascii="宋体" w:hAnsi="宋体" w:cs="宋体"/>
                <w:szCs w:val="21"/>
              </w:rPr>
              <w:t>.</w:t>
            </w:r>
            <w:r>
              <w:rPr>
                <w:rFonts w:hint="eastAsia" w:cs="宋体"/>
                <w:szCs w:val="21"/>
              </w:rPr>
              <w:t>1</w:t>
            </w:r>
          </w:p>
        </w:tc>
        <w:tc>
          <w:tcPr>
            <w:tcW w:w="7512" w:type="dxa"/>
            <w:vAlign w:val="center"/>
          </w:tcPr>
          <w:p>
            <w:pPr>
              <w:widowControl/>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投标文件数量要求：</w:t>
            </w:r>
          </w:p>
          <w:p>
            <w:pPr>
              <w:widowControl/>
              <w:spacing w:line="360" w:lineRule="auto"/>
              <w:rPr>
                <w:rFonts w:cs="宋体" w:asciiTheme="minorEastAsia" w:hAnsiTheme="minorEastAsia" w:eastAsiaTheme="minorEastAsia"/>
                <w:kern w:val="0"/>
                <w:sz w:val="24"/>
              </w:rPr>
            </w:pPr>
            <w:r>
              <w:rPr>
                <w:rFonts w:ascii="宋体" w:hAnsi="宋体"/>
                <w:b/>
              </w:rPr>
              <w:t>★</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、上传到政府采购云平台的电子投标文件（含资格文件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份、商务技术文件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份、报价文件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w:t>
            </w:r>
          </w:p>
          <w:p>
            <w:pPr>
              <w:widowControl/>
              <w:spacing w:line="360" w:lineRule="auto"/>
              <w:rPr>
                <w:rFonts w:cs="宋体" w:asciiTheme="minorEastAsia" w:hAnsiTheme="minorEastAsia" w:eastAsiaTheme="minorEastAsia"/>
                <w:kern w:val="0"/>
                <w:szCs w:val="21"/>
              </w:rPr>
            </w:pPr>
            <w:r>
              <w:rPr>
                <w:rFonts w:hint="eastAsia" w:cs="宋体" w:eastAsiaTheme="minorEastAsia"/>
                <w:kern w:val="0"/>
                <w:szCs w:val="21"/>
              </w:rPr>
              <w:t>2</w:t>
            </w:r>
            <w:r>
              <w:rPr>
                <w:rFonts w:hint="eastAsia" w:cs="宋体" w:asciiTheme="minorEastAsia" w:hAnsiTheme="minorEastAsia" w:eastAsiaTheme="minorEastAsia"/>
                <w:kern w:val="0"/>
                <w:szCs w:val="21"/>
              </w:rPr>
              <w:t xml:space="preserve">、以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盘形式存储的电子备份投标文件（含资格文件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份、商务技术文件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份、报价文件</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注：（</w:t>
            </w:r>
            <w:r>
              <w:rPr>
                <w:rFonts w:hint="eastAsia" w:cs="宋体" w:eastAsiaTheme="minorEastAsia"/>
                <w:b/>
                <w:bCs/>
                <w:kern w:val="0"/>
                <w:szCs w:val="21"/>
              </w:rPr>
              <w:t>1</w:t>
            </w:r>
            <w:r>
              <w:rPr>
                <w:rFonts w:hint="eastAsia" w:cs="宋体" w:asciiTheme="minorEastAsia" w:hAnsiTheme="minorEastAsia" w:eastAsiaTheme="minorEastAsia"/>
                <w:b/>
                <w:bCs/>
                <w:kern w:val="0"/>
                <w:szCs w:val="21"/>
              </w:rPr>
              <w:t>）电子备份投标文件不作实质性要求，是否提交由投标人自行决定。</w:t>
            </w:r>
          </w:p>
          <w:p>
            <w:pPr>
              <w:widowControl/>
              <w:spacing w:line="360" w:lineRule="auto"/>
              <w:ind w:firstLine="420" w:firstLineChars="200"/>
              <w:rPr>
                <w:rFonts w:cs="宋体" w:asciiTheme="minorEastAsia" w:hAnsiTheme="minorEastAsia" w:eastAsiaTheme="minorEastAsia"/>
                <w:kern w:val="0"/>
                <w:szCs w:val="21"/>
              </w:rPr>
            </w:pPr>
            <w:r>
              <w:rPr>
                <w:rFonts w:hint="eastAsia" w:cs="宋体" w:asciiTheme="minorEastAsia" w:hAnsiTheme="minorEastAsia" w:eastAsiaTheme="minorEastAsia"/>
                <w:b/>
                <w:bCs/>
                <w:kern w:val="0"/>
                <w:szCs w:val="21"/>
              </w:rPr>
              <w:t>（</w:t>
            </w:r>
            <w:r>
              <w:rPr>
                <w:rFonts w:hint="eastAsia" w:cs="宋体" w:eastAsiaTheme="minorEastAsia"/>
                <w:b/>
                <w:bCs/>
                <w:kern w:val="0"/>
                <w:szCs w:val="21"/>
              </w:rPr>
              <w:t>2</w:t>
            </w:r>
            <w:r>
              <w:rPr>
                <w:rFonts w:hint="eastAsia" w:cs="宋体" w:asciiTheme="minorEastAsia" w:hAnsiTheme="minorEastAsia" w:eastAsiaTheme="minorEastAsia"/>
                <w:b/>
                <w:bCs/>
                <w:kern w:val="0"/>
                <w:szCs w:val="21"/>
              </w:rPr>
              <w:t>）中标人在收到中标通知书后</w:t>
            </w:r>
            <w:r>
              <w:rPr>
                <w:rFonts w:hint="eastAsia" w:cs="宋体" w:eastAsiaTheme="minorEastAsia"/>
                <w:b/>
                <w:bCs/>
                <w:kern w:val="0"/>
                <w:szCs w:val="21"/>
              </w:rPr>
              <w:t>3</w:t>
            </w:r>
            <w:r>
              <w:rPr>
                <w:rFonts w:hint="eastAsia" w:cs="宋体" w:asciiTheme="minorEastAsia" w:hAnsiTheme="minorEastAsia" w:eastAsiaTheme="minorEastAsia"/>
                <w:b/>
                <w:bCs/>
                <w:kern w:val="0"/>
                <w:szCs w:val="21"/>
              </w:rPr>
              <w:t>天内向采购代理机构提供通过电子加密投标文件全套打印装订成册的纸质投标文件（加盖公章），具体份数根据采购人要求提供。</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9</w:t>
            </w:r>
            <w:r>
              <w:rPr>
                <w:rFonts w:hint="eastAsia" w:ascii="宋体" w:hAnsi="宋体" w:cs="宋体"/>
                <w:szCs w:val="21"/>
              </w:rPr>
              <w:t>.</w:t>
            </w:r>
            <w:r>
              <w:rPr>
                <w:rFonts w:hint="eastAsia" w:cs="宋体"/>
                <w:szCs w:val="21"/>
              </w:rPr>
              <w:t>1</w:t>
            </w:r>
          </w:p>
        </w:tc>
        <w:tc>
          <w:tcPr>
            <w:tcW w:w="7512" w:type="dxa"/>
            <w:vAlign w:val="center"/>
          </w:tcPr>
          <w:p>
            <w:pPr>
              <w:spacing w:before="143" w:beforeLines="50" w:line="360" w:lineRule="auto"/>
              <w:rPr>
                <w:rFonts w:ascii="宋体" w:hAnsi="宋体" w:cs="宋体"/>
                <w:szCs w:val="21"/>
              </w:rPr>
            </w:pPr>
            <w:r>
              <w:rPr>
                <w:rFonts w:hint="eastAsia" w:ascii="宋体" w:hAnsi="宋体" w:cs="宋体"/>
                <w:b/>
                <w:szCs w:val="21"/>
              </w:rPr>
              <w:t>投标有效期</w:t>
            </w:r>
            <w:r>
              <w:rPr>
                <w:rFonts w:hint="eastAsia" w:ascii="宋体" w:hAnsi="宋体" w:cs="宋体"/>
                <w:szCs w:val="21"/>
              </w:rPr>
              <w:t>：</w:t>
            </w:r>
            <w:r>
              <w:rPr>
                <w:rFonts w:cs="宋体"/>
                <w:b/>
                <w:szCs w:val="21"/>
              </w:rPr>
              <w:t>90</w:t>
            </w:r>
            <w:r>
              <w:rPr>
                <w:rFonts w:ascii="宋体" w:hAnsi="宋体" w:cs="宋体"/>
                <w:b/>
                <w:szCs w:val="21"/>
              </w:rPr>
              <w:t xml:space="preserve"> 天</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10</w:t>
            </w:r>
            <w:r>
              <w:rPr>
                <w:rFonts w:hint="eastAsia" w:ascii="宋体" w:hAnsi="宋体" w:cs="宋体"/>
                <w:szCs w:val="21"/>
              </w:rPr>
              <w:t>.</w:t>
            </w:r>
            <w:r>
              <w:rPr>
                <w:rFonts w:hint="eastAsia" w:cs="宋体"/>
                <w:szCs w:val="21"/>
              </w:rPr>
              <w:t>1</w:t>
            </w:r>
          </w:p>
        </w:tc>
        <w:tc>
          <w:tcPr>
            <w:tcW w:w="7512" w:type="dxa"/>
            <w:vAlign w:val="center"/>
          </w:tcPr>
          <w:p>
            <w:pPr>
              <w:spacing w:line="360" w:lineRule="auto"/>
              <w:rPr>
                <w:rFonts w:ascii="宋体" w:hAnsi="宋体"/>
                <w:b/>
              </w:rPr>
            </w:pPr>
            <w:r>
              <w:rPr>
                <w:rFonts w:hint="eastAsia" w:ascii="宋体" w:hAnsi="宋体"/>
                <w:b/>
              </w:rPr>
              <w:t>投标保证金金额：无</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11</w:t>
            </w:r>
            <w:r>
              <w:rPr>
                <w:rFonts w:hint="eastAsia" w:ascii="宋体" w:hAnsi="宋体" w:cs="宋体"/>
                <w:szCs w:val="21"/>
              </w:rPr>
              <w:t>.</w:t>
            </w:r>
            <w:r>
              <w:rPr>
                <w:rFonts w:hint="eastAsia" w:cs="宋体"/>
                <w:szCs w:val="21"/>
              </w:rPr>
              <w:t>1</w:t>
            </w:r>
          </w:p>
        </w:tc>
        <w:tc>
          <w:tcPr>
            <w:tcW w:w="7512" w:type="dxa"/>
            <w:vAlign w:val="center"/>
          </w:tcPr>
          <w:p>
            <w:pPr>
              <w:spacing w:before="143" w:beforeLines="50" w:line="360" w:lineRule="auto"/>
              <w:rPr>
                <w:rFonts w:ascii="宋体" w:hAnsi="宋体" w:cs="宋体"/>
                <w:szCs w:val="21"/>
              </w:rPr>
            </w:pPr>
            <w:r>
              <w:rPr>
                <w:rFonts w:hint="eastAsia" w:ascii="宋体" w:hAnsi="宋体" w:cs="宋体"/>
                <w:szCs w:val="21"/>
              </w:rPr>
              <w:t>投标截止时间：</w:t>
            </w:r>
            <w:r>
              <w:rPr>
                <w:rFonts w:hint="eastAsia" w:cs="宋体"/>
                <w:szCs w:val="21"/>
                <w:u w:val="single"/>
              </w:rPr>
              <w:t>2022年10月31日9：30（</w:t>
            </w:r>
            <w:r>
              <w:rPr>
                <w:rFonts w:hint="eastAsia" w:ascii="宋体" w:hAnsi="宋体" w:cs="宋体"/>
                <w:szCs w:val="21"/>
              </w:rPr>
              <w:t>北京时间）。</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12</w:t>
            </w:r>
            <w:r>
              <w:rPr>
                <w:rFonts w:hint="eastAsia" w:ascii="宋体" w:hAnsi="宋体" w:cs="宋体"/>
                <w:szCs w:val="21"/>
              </w:rPr>
              <w:t>.</w:t>
            </w:r>
            <w:r>
              <w:rPr>
                <w:rFonts w:hint="eastAsia" w:cs="宋体"/>
                <w:szCs w:val="21"/>
              </w:rPr>
              <w:t>1</w:t>
            </w:r>
          </w:p>
        </w:tc>
        <w:tc>
          <w:tcPr>
            <w:tcW w:w="7512" w:type="dxa"/>
            <w:vAlign w:val="center"/>
          </w:tcPr>
          <w:p>
            <w:pPr>
              <w:spacing w:before="143" w:beforeLines="50" w:line="360" w:lineRule="auto"/>
              <w:rPr>
                <w:rFonts w:ascii="宋体" w:hAnsi="宋体" w:cs="宋体"/>
                <w:szCs w:val="21"/>
              </w:rPr>
            </w:pPr>
            <w:r>
              <w:rPr>
                <w:rFonts w:hint="eastAsia" w:ascii="宋体" w:hAnsi="宋体"/>
                <w:szCs w:val="21"/>
              </w:rPr>
              <w:t>投标文件开启步骤：</w:t>
            </w:r>
            <w:r>
              <w:rPr>
                <w:rFonts w:hint="eastAsia" w:hAnsi="宋体"/>
                <w:szCs w:val="21"/>
              </w:rPr>
              <w:t>所有投标文件（资格文件、商务技术文件和报价文件）同时开启。</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vAlign w:val="center"/>
          </w:tcPr>
          <w:p>
            <w:pPr>
              <w:spacing w:before="143" w:beforeLines="50" w:line="360" w:lineRule="auto"/>
              <w:jc w:val="center"/>
              <w:rPr>
                <w:rFonts w:ascii="宋体" w:hAnsi="宋体" w:cs="宋体"/>
                <w:szCs w:val="21"/>
              </w:rPr>
            </w:pPr>
            <w:r>
              <w:rPr>
                <w:rFonts w:hint="eastAsia" w:cs="宋体"/>
                <w:szCs w:val="21"/>
              </w:rPr>
              <w:t>13</w:t>
            </w:r>
            <w:r>
              <w:rPr>
                <w:rFonts w:hint="eastAsia" w:ascii="宋体" w:hAnsi="宋体" w:cs="宋体"/>
                <w:szCs w:val="21"/>
              </w:rPr>
              <w:t>.</w:t>
            </w:r>
            <w:r>
              <w:rPr>
                <w:rFonts w:hint="eastAsia" w:cs="宋体"/>
                <w:szCs w:val="21"/>
              </w:rPr>
              <w:t>1</w:t>
            </w:r>
          </w:p>
        </w:tc>
        <w:tc>
          <w:tcPr>
            <w:tcW w:w="7512" w:type="dxa"/>
            <w:vAlign w:val="center"/>
          </w:tcPr>
          <w:p>
            <w:pPr>
              <w:spacing w:line="360" w:lineRule="auto"/>
              <w:jc w:val="left"/>
            </w:pPr>
            <w:r>
              <w:rPr>
                <w:rFonts w:hint="eastAsia"/>
              </w:rPr>
              <w:t>招标代理服务费：按照宁波市中介超市网就本项目中选价格（人民币</w:t>
            </w:r>
            <w:r>
              <w:t>5</w:t>
            </w:r>
            <w:r>
              <w:rPr>
                <w:rFonts w:hint="eastAsia"/>
              </w:rPr>
              <w:t>50</w:t>
            </w:r>
            <w:r>
              <w:t>0</w:t>
            </w:r>
            <w:r>
              <w:rPr>
                <w:rFonts w:hint="eastAsia"/>
              </w:rPr>
              <w:t>0元）向中标人进行收取。</w:t>
            </w:r>
          </w:p>
          <w:p>
            <w:pPr>
              <w:spacing w:line="360" w:lineRule="auto"/>
              <w:rPr>
                <w:rFonts w:ascii="宋体" w:hAnsi="宋体"/>
                <w:szCs w:val="21"/>
              </w:rPr>
            </w:pPr>
            <w:r>
              <w:rPr>
                <w:rFonts w:hint="eastAsia" w:ascii="宋体" w:hAnsi="宋体"/>
                <w:szCs w:val="21"/>
              </w:rPr>
              <w:t>本项目中标服务费按各标段中标情况分别收取：</w:t>
            </w:r>
          </w:p>
          <w:p>
            <w:pPr>
              <w:spacing w:line="360" w:lineRule="auto"/>
              <w:rPr>
                <w:rFonts w:ascii="宋体" w:hAnsi="宋体"/>
                <w:szCs w:val="21"/>
              </w:rPr>
            </w:pPr>
            <w:r>
              <w:rPr>
                <w:rFonts w:hint="eastAsia" w:ascii="宋体" w:hAnsi="宋体"/>
                <w:szCs w:val="21"/>
              </w:rPr>
              <w:t>（1）标项一的中标服务费为35</w:t>
            </w:r>
            <w:r>
              <w:rPr>
                <w:rFonts w:ascii="宋体" w:hAnsi="宋体"/>
                <w:szCs w:val="21"/>
              </w:rPr>
              <w:t>000</w:t>
            </w:r>
            <w:r>
              <w:rPr>
                <w:rFonts w:hint="eastAsia" w:ascii="宋体" w:hAnsi="宋体"/>
                <w:szCs w:val="21"/>
              </w:rPr>
              <w:t>元整，向标项一中标单位收取。</w:t>
            </w:r>
          </w:p>
          <w:p>
            <w:pPr>
              <w:spacing w:line="360" w:lineRule="auto"/>
              <w:rPr>
                <w:rFonts w:ascii="宋体" w:hAnsi="宋体"/>
                <w:szCs w:val="21"/>
              </w:rPr>
            </w:pPr>
            <w:r>
              <w:rPr>
                <w:rFonts w:hint="eastAsia" w:ascii="宋体" w:hAnsi="宋体"/>
                <w:szCs w:val="21"/>
              </w:rPr>
              <w:t>（2）标项二的中标服务费为</w:t>
            </w:r>
            <w:r>
              <w:rPr>
                <w:rFonts w:ascii="宋体" w:hAnsi="宋体"/>
                <w:szCs w:val="21"/>
              </w:rPr>
              <w:t>20000</w:t>
            </w:r>
            <w:r>
              <w:rPr>
                <w:rFonts w:hint="eastAsia" w:ascii="宋体" w:hAnsi="宋体"/>
                <w:szCs w:val="21"/>
              </w:rPr>
              <w:t>元整，向标项二中标单位收取。</w:t>
            </w:r>
          </w:p>
          <w:p>
            <w:pPr>
              <w:spacing w:line="360" w:lineRule="auto"/>
              <w:rPr>
                <w:rFonts w:ascii="宋体" w:hAnsi="宋体"/>
                <w:szCs w:val="21"/>
              </w:rPr>
            </w:pPr>
            <w:r>
              <w:rPr>
                <w:rFonts w:hint="eastAsia" w:ascii="宋体" w:hAnsi="宋体"/>
                <w:szCs w:val="21"/>
              </w:rPr>
              <w:t>中标人应在本公司发出成交通知书5个工作日内向本公司支付中标服务费；</w:t>
            </w:r>
          </w:p>
          <w:p>
            <w:pPr>
              <w:pStyle w:val="41"/>
              <w:ind w:left="0" w:leftChars="0" w:firstLine="0" w:firstLineChars="0"/>
            </w:pPr>
            <w:r>
              <w:rPr>
                <w:rFonts w:hint="eastAsia" w:ascii="宋体" w:hAnsi="宋体"/>
                <w:szCs w:val="21"/>
              </w:rPr>
              <w:t>中标服务费只收现金、银行票汇款、电汇款。</w:t>
            </w:r>
          </w:p>
        </w:tc>
      </w:tr>
      <w:tr>
        <w:tblPrEx>
          <w:tblBorders>
            <w:top w:val="single" w:color="000000" w:sz="12" w:space="0"/>
            <w:left w:val="single" w:color="000000" w:sz="12" w:space="0"/>
            <w:bottom w:val="single" w:color="auto" w:sz="4" w:space="0"/>
            <w:right w:val="single" w:color="000000" w:sz="12" w:space="0"/>
            <w:insideH w:val="single" w:color="000000" w:sz="6" w:space="0"/>
            <w:insideV w:val="single" w:color="000000" w:sz="6" w:space="0"/>
          </w:tblBorders>
          <w:tblCellMar>
            <w:top w:w="0" w:type="dxa"/>
            <w:left w:w="108" w:type="dxa"/>
            <w:bottom w:w="0" w:type="dxa"/>
            <w:right w:w="108" w:type="dxa"/>
          </w:tblCellMar>
        </w:tblPrEx>
        <w:trPr>
          <w:trHeight w:val="600" w:hRule="atLeast"/>
        </w:trPr>
        <w:tc>
          <w:tcPr>
            <w:tcW w:w="1101" w:type="dxa"/>
            <w:tcBorders>
              <w:bottom w:val="single" w:color="auto" w:sz="12" w:space="0"/>
            </w:tcBorders>
            <w:vAlign w:val="center"/>
          </w:tcPr>
          <w:p>
            <w:pPr>
              <w:spacing w:before="143" w:beforeLines="50" w:line="360" w:lineRule="auto"/>
              <w:jc w:val="center"/>
              <w:rPr>
                <w:rFonts w:ascii="宋体" w:hAnsi="宋体" w:cs="宋体"/>
                <w:szCs w:val="21"/>
              </w:rPr>
            </w:pPr>
            <w:r>
              <w:rPr>
                <w:rFonts w:hint="eastAsia" w:cs="宋体"/>
                <w:szCs w:val="21"/>
              </w:rPr>
              <w:t>14.1</w:t>
            </w:r>
          </w:p>
        </w:tc>
        <w:tc>
          <w:tcPr>
            <w:tcW w:w="7512" w:type="dxa"/>
            <w:tcBorders>
              <w:bottom w:val="single" w:color="auto" w:sz="12" w:space="0"/>
            </w:tcBorders>
            <w:vAlign w:val="center"/>
          </w:tcPr>
          <w:p>
            <w:pPr>
              <w:spacing w:line="360" w:lineRule="auto"/>
              <w:ind w:left="788" w:hanging="787" w:hangingChars="375"/>
              <w:rPr>
                <w:rFonts w:ascii="宋体" w:hAnsi="宋体" w:cs="宋体"/>
                <w:szCs w:val="21"/>
              </w:rPr>
            </w:pPr>
            <w:r>
              <w:rPr>
                <w:rFonts w:hint="eastAsia" w:ascii="宋体" w:hAnsi="宋体" w:cs="宋体"/>
                <w:szCs w:val="21"/>
              </w:rPr>
              <w:t>发布本项目招标公告、中标公示的媒体：</w:t>
            </w:r>
          </w:p>
          <w:p>
            <w:pPr>
              <w:spacing w:line="360" w:lineRule="auto"/>
            </w:pPr>
            <w:r>
              <w:rPr>
                <w:rFonts w:hint="eastAsia" w:cs="宋体" w:asciiTheme="minorEastAsia" w:hAnsiTheme="minorEastAsia" w:eastAsiaTheme="minorEastAsia"/>
                <w:szCs w:val="21"/>
              </w:rPr>
              <w:t>浙江政府采购网（http://zfcg.czt.zj.gov.cn/）”、“宁波市政府采购网（www.nbzfcg.cn）”、“宁波市公共资源交易网（高新区分网）（http://gaoxin.nbggzy.cn/）</w:t>
            </w:r>
          </w:p>
        </w:tc>
      </w:tr>
    </w:tbl>
    <w:p>
      <w:pPr>
        <w:widowControl/>
        <w:spacing w:line="360" w:lineRule="auto"/>
        <w:ind w:firstLine="420" w:firstLineChars="200"/>
        <w:jc w:val="left"/>
        <w:rPr>
          <w:rFonts w:ascii="宋体" w:hAnsi="宋体" w:cs="宋体"/>
          <w:szCs w:val="21"/>
          <w:u w:val="single"/>
        </w:rPr>
        <w:sectPr>
          <w:headerReference r:id="rId9" w:type="default"/>
          <w:footerReference r:id="rId11" w:type="default"/>
          <w:headerReference r:id="rId10" w:type="even"/>
          <w:pgSz w:w="11907" w:h="16840"/>
          <w:pgMar w:top="1276" w:right="1701" w:bottom="1560" w:left="1701" w:header="720" w:footer="720" w:gutter="0"/>
          <w:cols w:space="720" w:num="1"/>
          <w:docGrid w:type="linesAndChars" w:linePitch="286" w:charSpace="0"/>
        </w:sectPr>
      </w:pPr>
    </w:p>
    <w:p>
      <w:pPr>
        <w:pStyle w:val="2"/>
        <w:spacing w:before="286" w:after="286"/>
        <w:rPr>
          <w:sz w:val="32"/>
          <w:szCs w:val="32"/>
        </w:rPr>
        <w:sectPr>
          <w:headerReference r:id="rId12" w:type="default"/>
          <w:type w:val="continuous"/>
          <w:pgSz w:w="11907" w:h="16840"/>
          <w:pgMar w:top="1111" w:right="1701" w:bottom="1428" w:left="1701" w:header="720" w:footer="720" w:gutter="0"/>
          <w:cols w:space="720" w:num="1"/>
          <w:docGrid w:type="linesAndChars" w:linePitch="286" w:charSpace="0"/>
        </w:sectPr>
      </w:pPr>
      <w:bookmarkStart w:id="34" w:name="_Toc316649292"/>
      <w:bookmarkStart w:id="35" w:name="_Toc520902393"/>
    </w:p>
    <w:p>
      <w:pPr>
        <w:pStyle w:val="2"/>
        <w:spacing w:before="286" w:after="286"/>
        <w:rPr>
          <w:sz w:val="32"/>
          <w:szCs w:val="32"/>
        </w:rPr>
      </w:pPr>
      <w:r>
        <w:rPr>
          <w:rFonts w:hint="eastAsia"/>
          <w:sz w:val="32"/>
          <w:szCs w:val="32"/>
        </w:rPr>
        <w:t>第三部分 投标人须知</w:t>
      </w:r>
      <w:bookmarkEnd w:id="34"/>
      <w:bookmarkEnd w:id="35"/>
    </w:p>
    <w:p>
      <w:pPr>
        <w:jc w:val="center"/>
        <w:outlineLvl w:val="1"/>
        <w:rPr>
          <w:rFonts w:ascii="宋体" w:hAnsi="宋体" w:cs="宋体"/>
          <w:b/>
          <w:sz w:val="28"/>
        </w:rPr>
      </w:pPr>
      <w:bookmarkStart w:id="36" w:name="_Toc440276561"/>
      <w:bookmarkStart w:id="37" w:name="_Toc513798900"/>
      <w:bookmarkStart w:id="38" w:name="_Toc520902394"/>
      <w:bookmarkStart w:id="39" w:name="_Toc513799071"/>
      <w:bookmarkStart w:id="40" w:name="_Toc501721199"/>
      <w:bookmarkStart w:id="41" w:name="_Toc481153623"/>
      <w:bookmarkStart w:id="42" w:name="_Toc316649293"/>
      <w:bookmarkStart w:id="43" w:name="_Toc501721427"/>
      <w:bookmarkStart w:id="44" w:name="_Toc501721316"/>
      <w:bookmarkStart w:id="45" w:name="_Toc502819341"/>
      <w:bookmarkStart w:id="46" w:name="_Toc497935707"/>
      <w:bookmarkStart w:id="47" w:name="_Toc481153658"/>
      <w:r>
        <w:rPr>
          <w:rFonts w:hint="eastAsia" w:cs="宋体"/>
          <w:b/>
          <w:sz w:val="28"/>
        </w:rPr>
        <w:t>A</w:t>
      </w:r>
      <w:r>
        <w:rPr>
          <w:rFonts w:hint="eastAsia" w:ascii="宋体" w:hAnsi="宋体" w:cs="宋体"/>
          <w:b/>
          <w:sz w:val="28"/>
        </w:rPr>
        <w:t xml:space="preserve">  总则</w:t>
      </w:r>
      <w:bookmarkEnd w:id="36"/>
      <w:bookmarkEnd w:id="37"/>
      <w:bookmarkEnd w:id="38"/>
      <w:bookmarkEnd w:id="39"/>
    </w:p>
    <w:p>
      <w:pPr>
        <w:spacing w:line="360" w:lineRule="auto"/>
        <w:rPr>
          <w:rFonts w:ascii="宋体" w:hAnsi="宋体" w:cs="宋体"/>
          <w:b/>
          <w:szCs w:val="21"/>
        </w:rPr>
      </w:pPr>
      <w:r>
        <w:rPr>
          <w:rFonts w:hint="eastAsia" w:cs="宋体"/>
          <w:b/>
          <w:szCs w:val="21"/>
        </w:rPr>
        <w:t>1</w:t>
      </w:r>
      <w:r>
        <w:rPr>
          <w:rFonts w:hint="eastAsia" w:ascii="宋体" w:hAnsi="宋体" w:cs="宋体"/>
          <w:b/>
          <w:szCs w:val="21"/>
        </w:rPr>
        <w:t>.   适用范围</w:t>
      </w:r>
    </w:p>
    <w:p>
      <w:pPr>
        <w:spacing w:line="360" w:lineRule="auto"/>
        <w:ind w:firstLine="420" w:firstLineChars="200"/>
        <w:rPr>
          <w:rFonts w:ascii="宋体" w:hAnsi="宋体"/>
        </w:rPr>
      </w:pPr>
      <w:r>
        <w:rPr>
          <w:rFonts w:hint="eastAsia" w:ascii="宋体" w:hAnsi="宋体"/>
        </w:rPr>
        <w:t>本采购文件适用于本项目的招标、投标、评标、定标、验收、合同履约、付款等行为（法律、法规另有规定的，从其规定）。</w:t>
      </w:r>
    </w:p>
    <w:p>
      <w:pPr>
        <w:spacing w:line="360" w:lineRule="auto"/>
        <w:rPr>
          <w:rFonts w:ascii="宋体" w:hAnsi="宋体" w:cs="宋体"/>
          <w:b/>
          <w:szCs w:val="21"/>
        </w:rPr>
      </w:pPr>
    </w:p>
    <w:p>
      <w:pPr>
        <w:spacing w:line="360" w:lineRule="auto"/>
        <w:rPr>
          <w:rFonts w:ascii="宋体" w:hAnsi="宋体" w:cs="宋体"/>
          <w:b/>
          <w:szCs w:val="21"/>
        </w:rPr>
      </w:pPr>
      <w:r>
        <w:rPr>
          <w:rFonts w:hint="eastAsia" w:cs="宋体"/>
          <w:b/>
          <w:szCs w:val="21"/>
        </w:rPr>
        <w:t>2</w:t>
      </w:r>
      <w:r>
        <w:rPr>
          <w:rFonts w:hint="eastAsia" w:ascii="宋体" w:hAnsi="宋体" w:cs="宋体"/>
          <w:b/>
          <w:szCs w:val="21"/>
        </w:rPr>
        <w:t>.   定义</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1</w:t>
      </w:r>
      <w:r>
        <w:rPr>
          <w:rFonts w:hint="eastAsia" w:ascii="宋体" w:hAnsi="宋体" w:cs="宋体"/>
          <w:szCs w:val="21"/>
        </w:rPr>
        <w:t>“采购人”、“采购代理机构”和“项目名称”：</w:t>
      </w:r>
      <w:r>
        <w:rPr>
          <w:rFonts w:ascii="宋体" w:hAnsi="宋体" w:cs="宋体"/>
          <w:szCs w:val="21"/>
        </w:rPr>
        <w:t>见</w:t>
      </w:r>
      <w:r>
        <w:rPr>
          <w:rFonts w:hint="eastAsia" w:ascii="宋体" w:hAnsi="宋体" w:cs="宋体"/>
          <w:szCs w:val="21"/>
        </w:rPr>
        <w:t>“投标资料表”</w:t>
      </w:r>
      <w:r>
        <w:rPr>
          <w:rFonts w:ascii="宋体" w:hAnsi="宋体" w:cs="宋体"/>
          <w:szCs w:val="21"/>
        </w:rPr>
        <w:t>。</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2</w:t>
      </w:r>
      <w:r>
        <w:rPr>
          <w:rFonts w:hint="eastAsia" w:ascii="宋体" w:hAnsi="宋体" w:cs="宋体"/>
          <w:szCs w:val="21"/>
        </w:rPr>
        <w:t>“投标人”系指向采购人提交投标文件的单位或个人。</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3</w:t>
      </w:r>
      <w:r>
        <w:rPr>
          <w:rFonts w:hint="eastAsia" w:ascii="宋体" w:hAnsi="宋体" w:cs="宋体"/>
          <w:szCs w:val="21"/>
        </w:rPr>
        <w:t>“产品”系指投标人按采购文件规定，须向采购人提供的一切设备、保险、税金、备品备件、工具、手册及其它有关技术资料和材料。</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4</w:t>
      </w:r>
      <w:r>
        <w:rPr>
          <w:rFonts w:hint="eastAsia" w:ascii="宋体" w:hAnsi="宋体" w:cs="宋体"/>
          <w:szCs w:val="21"/>
        </w:rPr>
        <w:t>“服务”系指采购文件规定投标人须承担的安装、调试、技术协助、校准、培训、技术指导以及其它类似的义务。</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5</w:t>
      </w:r>
      <w:r>
        <w:rPr>
          <w:rFonts w:hint="eastAsia" w:ascii="宋体" w:hAnsi="宋体" w:cs="宋体"/>
          <w:szCs w:val="21"/>
        </w:rPr>
        <w:t>“项目”系指投标人按采购文件规定向采购人提供的货物或服务。</w:t>
      </w:r>
    </w:p>
    <w:p>
      <w:pPr>
        <w:spacing w:line="360" w:lineRule="auto"/>
        <w:rPr>
          <w:rFonts w:ascii="宋体" w:hAnsi="宋体" w:cs="宋体"/>
          <w:szCs w:val="21"/>
        </w:rPr>
      </w:pPr>
      <w:r>
        <w:rPr>
          <w:rFonts w:hint="eastAsia" w:cs="宋体"/>
          <w:b/>
          <w:szCs w:val="21"/>
        </w:rPr>
        <w:t>2</w:t>
      </w:r>
      <w:r>
        <w:rPr>
          <w:rFonts w:hint="eastAsia" w:ascii="宋体" w:hAnsi="宋体" w:cs="宋体"/>
          <w:b/>
          <w:szCs w:val="21"/>
        </w:rPr>
        <w:t>.</w:t>
      </w:r>
      <w:r>
        <w:rPr>
          <w:rFonts w:hint="eastAsia" w:cs="宋体"/>
          <w:b/>
          <w:szCs w:val="21"/>
        </w:rPr>
        <w:t>6</w:t>
      </w:r>
      <w:r>
        <w:rPr>
          <w:rFonts w:hint="eastAsia" w:ascii="宋体" w:hAnsi="宋体" w:cs="宋体"/>
          <w:szCs w:val="21"/>
        </w:rPr>
        <w:t>“书面形式”包括信函、传真、邮件等。</w:t>
      </w:r>
    </w:p>
    <w:p>
      <w:pPr>
        <w:spacing w:line="360" w:lineRule="auto"/>
        <w:rPr>
          <w:rFonts w:ascii="宋体" w:hAnsi="宋体" w:cs="宋体"/>
          <w:b/>
          <w:szCs w:val="21"/>
        </w:rPr>
      </w:pPr>
      <w:r>
        <w:rPr>
          <w:rFonts w:hint="eastAsia" w:cs="宋体"/>
          <w:b/>
          <w:szCs w:val="21"/>
        </w:rPr>
        <w:t>2</w:t>
      </w:r>
      <w:r>
        <w:rPr>
          <w:rFonts w:hint="eastAsia" w:ascii="宋体" w:hAnsi="宋体" w:cs="宋体"/>
          <w:b/>
          <w:szCs w:val="21"/>
        </w:rPr>
        <w:t>.</w:t>
      </w:r>
      <w:r>
        <w:rPr>
          <w:rFonts w:hint="eastAsia" w:cs="宋体"/>
          <w:b/>
          <w:szCs w:val="21"/>
        </w:rPr>
        <w:t>7</w:t>
      </w:r>
      <w:r>
        <w:rPr>
          <w:rFonts w:hint="eastAsia" w:ascii="宋体" w:hAnsi="宋体" w:cs="宋体"/>
          <w:szCs w:val="21"/>
        </w:rPr>
        <w:t>“★”系指实质性要求条款。投标文件对这些条款的任何负偏离将导致投标无效。</w:t>
      </w:r>
    </w:p>
    <w:p>
      <w:pPr>
        <w:spacing w:line="360" w:lineRule="auto"/>
        <w:rPr>
          <w:rFonts w:ascii="宋体" w:hAnsi="宋体" w:cs="宋体"/>
          <w:b/>
          <w:szCs w:val="21"/>
        </w:rPr>
      </w:pPr>
    </w:p>
    <w:p>
      <w:pPr>
        <w:spacing w:line="360" w:lineRule="auto"/>
        <w:rPr>
          <w:rFonts w:ascii="宋体" w:hAnsi="宋体" w:cs="宋体"/>
          <w:b/>
          <w:szCs w:val="21"/>
        </w:rPr>
      </w:pPr>
      <w:r>
        <w:rPr>
          <w:rFonts w:hint="eastAsia" w:cs="宋体"/>
          <w:b/>
          <w:szCs w:val="21"/>
        </w:rPr>
        <w:t>3</w:t>
      </w:r>
      <w:r>
        <w:rPr>
          <w:rFonts w:hint="eastAsia" w:ascii="宋体" w:hAnsi="宋体" w:cs="宋体"/>
          <w:b/>
          <w:szCs w:val="21"/>
        </w:rPr>
        <w:t>.   招标范围</w:t>
      </w:r>
    </w:p>
    <w:p>
      <w:pPr>
        <w:spacing w:line="360" w:lineRule="auto"/>
        <w:rPr>
          <w:rFonts w:ascii="宋体" w:hAnsi="宋体"/>
        </w:rPr>
      </w:pPr>
      <w:r>
        <w:rPr>
          <w:rFonts w:hint="eastAsia" w:cs="宋体"/>
          <w:b/>
          <w:szCs w:val="21"/>
        </w:rPr>
        <w:t>3</w:t>
      </w:r>
      <w:r>
        <w:rPr>
          <w:rFonts w:hint="eastAsia" w:ascii="宋体" w:hAnsi="宋体" w:cs="宋体"/>
          <w:b/>
          <w:szCs w:val="21"/>
        </w:rPr>
        <w:t>.</w:t>
      </w:r>
      <w:r>
        <w:rPr>
          <w:rFonts w:hint="eastAsia" w:cs="宋体"/>
          <w:b/>
          <w:szCs w:val="21"/>
        </w:rPr>
        <w:t>1</w:t>
      </w:r>
      <w:r>
        <w:rPr>
          <w:rFonts w:hint="eastAsia" w:ascii="宋体" w:hAnsi="宋体"/>
        </w:rPr>
        <w:t>招标范围：</w:t>
      </w:r>
      <w:r>
        <w:rPr>
          <w:rFonts w:ascii="宋体" w:hAnsi="宋体"/>
        </w:rPr>
        <w:t>见</w:t>
      </w:r>
      <w:r>
        <w:rPr>
          <w:rFonts w:hint="eastAsia" w:ascii="宋体" w:hAnsi="宋体"/>
        </w:rPr>
        <w:t>“投标资料表”</w:t>
      </w:r>
      <w:r>
        <w:rPr>
          <w:rFonts w:ascii="宋体" w:hAnsi="宋体"/>
        </w:rPr>
        <w:t>。</w:t>
      </w:r>
    </w:p>
    <w:p>
      <w:pPr>
        <w:spacing w:line="360" w:lineRule="auto"/>
        <w:rPr>
          <w:rFonts w:ascii="宋体" w:hAnsi="宋体"/>
        </w:rPr>
      </w:pPr>
      <w:r>
        <w:rPr>
          <w:rFonts w:hint="eastAsia" w:cs="宋体"/>
          <w:b/>
          <w:szCs w:val="21"/>
        </w:rPr>
        <w:t>3</w:t>
      </w:r>
      <w:r>
        <w:rPr>
          <w:rFonts w:hint="eastAsia" w:ascii="宋体" w:hAnsi="宋体" w:cs="宋体"/>
          <w:b/>
          <w:szCs w:val="21"/>
        </w:rPr>
        <w:t>.</w:t>
      </w:r>
      <w:r>
        <w:rPr>
          <w:rFonts w:hint="eastAsia" w:cs="宋体"/>
          <w:b/>
          <w:szCs w:val="21"/>
        </w:rPr>
        <w:t>2</w:t>
      </w:r>
      <w:r>
        <w:rPr>
          <w:rFonts w:hint="eastAsia" w:ascii="宋体" w:hAnsi="宋体"/>
        </w:rPr>
        <w:t>本项目不得转包、分包。</w:t>
      </w:r>
    </w:p>
    <w:p>
      <w:pPr>
        <w:spacing w:line="360" w:lineRule="auto"/>
        <w:ind w:firstLine="210" w:firstLineChars="100"/>
        <w:rPr>
          <w:rFonts w:ascii="宋体" w:hAnsi="宋体" w:cs="宋体"/>
          <w:b/>
          <w:szCs w:val="21"/>
        </w:rPr>
      </w:pPr>
    </w:p>
    <w:p>
      <w:pPr>
        <w:spacing w:line="360" w:lineRule="auto"/>
        <w:rPr>
          <w:rFonts w:ascii="宋体" w:hAnsi="宋体" w:cs="宋体"/>
          <w:b/>
          <w:szCs w:val="21"/>
        </w:rPr>
      </w:pPr>
      <w:r>
        <w:rPr>
          <w:rFonts w:hint="eastAsia" w:cs="宋体"/>
          <w:b/>
          <w:szCs w:val="21"/>
        </w:rPr>
        <w:t>4</w:t>
      </w:r>
      <w:r>
        <w:rPr>
          <w:rFonts w:hint="eastAsia" w:ascii="宋体" w:hAnsi="宋体" w:cs="宋体"/>
          <w:b/>
          <w:szCs w:val="21"/>
        </w:rPr>
        <w:t>.   合格的投标人</w:t>
      </w:r>
    </w:p>
    <w:p>
      <w:pPr>
        <w:spacing w:line="360" w:lineRule="auto"/>
        <w:rPr>
          <w:rFonts w:ascii="宋体" w:hAnsi="宋体" w:cs="宋体"/>
          <w:szCs w:val="21"/>
        </w:rPr>
      </w:pPr>
      <w:r>
        <w:rPr>
          <w:rFonts w:hint="eastAsia" w:cs="宋体"/>
          <w:b/>
          <w:szCs w:val="21"/>
        </w:rPr>
        <w:t>4</w:t>
      </w:r>
      <w:r>
        <w:rPr>
          <w:rFonts w:hint="eastAsia" w:ascii="宋体" w:hAnsi="宋体" w:cs="宋体"/>
          <w:b/>
          <w:szCs w:val="21"/>
        </w:rPr>
        <w:t>.</w:t>
      </w:r>
      <w:r>
        <w:rPr>
          <w:rFonts w:hint="eastAsia" w:cs="宋体"/>
          <w:b/>
          <w:szCs w:val="21"/>
        </w:rPr>
        <w:t>1</w:t>
      </w:r>
      <w:r>
        <w:rPr>
          <w:rFonts w:hint="eastAsia" w:ascii="宋体" w:hAnsi="宋体" w:cs="宋体"/>
          <w:szCs w:val="21"/>
        </w:rPr>
        <w:t>合格的投标人应该是：</w:t>
      </w:r>
    </w:p>
    <w:p>
      <w:pPr>
        <w:spacing w:line="440" w:lineRule="exact"/>
        <w:ind w:firstLine="420" w:firstLineChars="200"/>
        <w:rPr>
          <w:rFonts w:ascii="宋体" w:hAnsi="宋体"/>
          <w:szCs w:val="21"/>
        </w:rPr>
      </w:pPr>
      <w:r>
        <w:rPr>
          <w:rFonts w:hint="eastAsia" w:ascii="宋体" w:hAnsi="宋体"/>
          <w:szCs w:val="21"/>
        </w:rPr>
        <w:t>具有提供本次招标服务内容能力，具有合法营销资格，并独立于采购人和采购代理机构的中国境内企业、其它组织或者自然人。金融、保险、通讯等特定行业的全国性企业所设立的区域性分支机构可以投标，但需依法办理工商、税务和社保登记手续，并获得总机构授权或者能够提供房产权证或其他有效财产证明材料，证明其具备实际承担责任的能力和法定的缔结合同能力。</w:t>
      </w:r>
    </w:p>
    <w:p>
      <w:pPr>
        <w:spacing w:line="440" w:lineRule="exact"/>
        <w:ind w:firstLine="420" w:firstLineChars="200"/>
        <w:rPr>
          <w:rFonts w:ascii="宋体" w:hAnsi="宋体"/>
          <w:szCs w:val="21"/>
        </w:rPr>
      </w:pPr>
      <w:r>
        <w:rPr>
          <w:rFonts w:hint="eastAsia" w:ascii="宋体" w:hAnsi="宋体"/>
          <w:szCs w:val="21"/>
        </w:rPr>
        <w:t>单位负责人为同一人或者存在直接控股、管理关系的不同投标人，不得参加同一合同项下的政府采购活动。除单一来源采购项目外，为采购项目提供整体设计、规范编制或者项目管理、监理、检测等服务的投标人，不得再参加该采购项目的其他采购活动。</w:t>
      </w:r>
    </w:p>
    <w:p>
      <w:pPr>
        <w:spacing w:line="440" w:lineRule="exact"/>
        <w:ind w:firstLine="420" w:firstLineChars="200"/>
        <w:rPr>
          <w:rFonts w:ascii="宋体" w:hAnsi="宋体"/>
          <w:szCs w:val="21"/>
        </w:rPr>
      </w:pPr>
      <w:r>
        <w:rPr>
          <w:rFonts w:hint="eastAsia" w:ascii="宋体" w:hAnsi="宋体"/>
          <w:szCs w:val="21"/>
        </w:rPr>
        <w:t>投标人应遵守国家有关的法律、法规、规章等相关文件的规定，具有健全的财务会计制度、依法缴纳税收和社会保障资金、参加本次采购活动之前的三年内，在经营活动中无重大违法记录，在招标投标活动中无欺诈和腐败行为。</w:t>
      </w:r>
    </w:p>
    <w:p>
      <w:pPr>
        <w:spacing w:line="440" w:lineRule="exact"/>
        <w:ind w:firstLine="420" w:firstLineChars="200"/>
        <w:rPr>
          <w:rFonts w:ascii="宋体" w:hAnsi="宋体"/>
          <w:b/>
          <w:szCs w:val="21"/>
        </w:rPr>
      </w:pPr>
      <w:r>
        <w:rPr>
          <w:rFonts w:hint="eastAsia" w:ascii="宋体" w:hAnsi="宋体"/>
          <w:b/>
          <w:szCs w:val="21"/>
        </w:rPr>
        <w:t>根据政府采购相关法律、法规、规章、文件规定并满足采购文件规定资格条件的区域性分支机构、个人独资企业、合伙企业参加本项目投标并由单位负责人签署的相关投标资料与本采购文件规定由法定代表人签署的文件材料具有同等效力。</w:t>
      </w:r>
    </w:p>
    <w:p>
      <w:pPr>
        <w:spacing w:line="400" w:lineRule="exact"/>
        <w:rPr>
          <w:rFonts w:ascii="宋体" w:hAnsi="宋体" w:cs="宋体"/>
          <w:szCs w:val="21"/>
        </w:rPr>
      </w:pPr>
      <w:r>
        <w:rPr>
          <w:rFonts w:hint="eastAsia" w:cs="宋体"/>
          <w:b/>
          <w:szCs w:val="21"/>
        </w:rPr>
        <w:t>4</w:t>
      </w:r>
      <w:r>
        <w:rPr>
          <w:rFonts w:hint="eastAsia" w:ascii="宋体" w:hAnsi="宋体" w:cs="宋体"/>
          <w:b/>
          <w:szCs w:val="21"/>
        </w:rPr>
        <w:t>.</w:t>
      </w:r>
      <w:r>
        <w:rPr>
          <w:rFonts w:hint="eastAsia" w:cs="宋体"/>
          <w:b/>
          <w:szCs w:val="21"/>
        </w:rPr>
        <w:t>2</w:t>
      </w:r>
      <w:r>
        <w:rPr>
          <w:rFonts w:hint="eastAsia" w:ascii="宋体" w:hAnsi="宋体" w:cs="宋体"/>
          <w:szCs w:val="21"/>
        </w:rPr>
        <w:t>符合本采购文件载明的对上述</w:t>
      </w:r>
      <w:r>
        <w:rPr>
          <w:rFonts w:hint="eastAsia" w:cs="宋体"/>
          <w:b/>
          <w:szCs w:val="21"/>
        </w:rPr>
        <w:t>4</w:t>
      </w:r>
      <w:r>
        <w:rPr>
          <w:rFonts w:hint="eastAsia" w:ascii="宋体" w:hAnsi="宋体" w:cs="宋体"/>
          <w:b/>
          <w:szCs w:val="21"/>
        </w:rPr>
        <w:t>.</w:t>
      </w:r>
      <w:r>
        <w:rPr>
          <w:rFonts w:hint="eastAsia" w:cs="宋体"/>
          <w:b/>
          <w:szCs w:val="21"/>
        </w:rPr>
        <w:t>1</w:t>
      </w:r>
      <w:r>
        <w:rPr>
          <w:rFonts w:hint="eastAsia" w:ascii="宋体" w:hAnsi="宋体" w:cs="宋体"/>
          <w:szCs w:val="21"/>
        </w:rPr>
        <w:t>条的例外的规定或对投标人资格的其他补充要求：详见招标公告。</w:t>
      </w:r>
    </w:p>
    <w:p>
      <w:pPr>
        <w:spacing w:line="400" w:lineRule="exact"/>
        <w:rPr>
          <w:rFonts w:ascii="宋体" w:hAnsi="宋体" w:cs="宋体"/>
          <w:szCs w:val="21"/>
        </w:rPr>
      </w:pPr>
    </w:p>
    <w:p>
      <w:pPr>
        <w:spacing w:line="400" w:lineRule="exact"/>
        <w:rPr>
          <w:rFonts w:ascii="宋体" w:hAnsi="宋体" w:cs="宋体"/>
          <w:b/>
          <w:szCs w:val="21"/>
        </w:rPr>
      </w:pPr>
      <w:r>
        <w:rPr>
          <w:rFonts w:hint="eastAsia" w:cs="宋体"/>
          <w:b/>
          <w:szCs w:val="21"/>
        </w:rPr>
        <w:t>5</w:t>
      </w:r>
      <w:r>
        <w:rPr>
          <w:rFonts w:hint="eastAsia" w:ascii="宋体" w:hAnsi="宋体" w:cs="宋体"/>
          <w:b/>
          <w:szCs w:val="21"/>
        </w:rPr>
        <w:t>.投标人代表</w:t>
      </w:r>
    </w:p>
    <w:p>
      <w:pPr>
        <w:spacing w:line="400" w:lineRule="exact"/>
        <w:rPr>
          <w:rFonts w:ascii="宋体" w:hAnsi="宋体" w:cs="宋体"/>
          <w:szCs w:val="21"/>
        </w:rPr>
      </w:pPr>
      <w:r>
        <w:rPr>
          <w:rFonts w:hint="eastAsia" w:cs="宋体"/>
          <w:b/>
          <w:szCs w:val="21"/>
        </w:rPr>
        <w:t>5</w:t>
      </w:r>
      <w:r>
        <w:rPr>
          <w:rFonts w:hint="eastAsia" w:ascii="宋体" w:hAnsi="宋体" w:cs="宋体"/>
          <w:b/>
          <w:szCs w:val="21"/>
        </w:rPr>
        <w:t>.</w:t>
      </w:r>
      <w:r>
        <w:rPr>
          <w:rFonts w:hint="eastAsia" w:cs="宋体"/>
          <w:b/>
          <w:szCs w:val="21"/>
        </w:rPr>
        <w:t>1</w:t>
      </w:r>
      <w:r>
        <w:rPr>
          <w:rFonts w:hint="eastAsia" w:ascii="宋体" w:hAnsi="宋体" w:cs="宋体"/>
          <w:szCs w:val="21"/>
        </w:rPr>
        <w:t>投标人代表须持有“单位负责人授权书”。单位负责人是指单位法定代表人或者法律、行政法规规定代表单位行使职权的主要负责人（下同）。</w:t>
      </w:r>
    </w:p>
    <w:p>
      <w:pPr>
        <w:spacing w:line="400" w:lineRule="exact"/>
        <w:rPr>
          <w:rFonts w:ascii="宋体" w:hAnsi="宋体" w:cs="宋体"/>
          <w:szCs w:val="21"/>
          <w:shd w:val="pct10" w:color="auto" w:fill="FFFFFF"/>
        </w:rPr>
      </w:pPr>
      <w:r>
        <w:rPr>
          <w:rFonts w:hint="eastAsia" w:cs="宋体"/>
          <w:b/>
          <w:szCs w:val="21"/>
        </w:rPr>
        <w:t>5</w:t>
      </w:r>
      <w:r>
        <w:rPr>
          <w:rFonts w:hint="eastAsia" w:ascii="宋体" w:hAnsi="宋体" w:cs="宋体"/>
          <w:b/>
          <w:szCs w:val="21"/>
        </w:rPr>
        <w:t>.</w:t>
      </w:r>
      <w:r>
        <w:rPr>
          <w:rFonts w:hint="eastAsia" w:cs="宋体"/>
          <w:b/>
          <w:szCs w:val="21"/>
        </w:rPr>
        <w:t>2</w:t>
      </w:r>
      <w:r>
        <w:rPr>
          <w:rFonts w:hint="eastAsia" w:ascii="宋体" w:hAnsi="宋体" w:cs="宋体"/>
          <w:szCs w:val="21"/>
        </w:rPr>
        <w:t>若投标人代表是单位负责人的，则须符合投标资料表第</w:t>
      </w:r>
      <w:r>
        <w:rPr>
          <w:rFonts w:hint="eastAsia" w:cs="宋体"/>
          <w:b/>
          <w:szCs w:val="21"/>
        </w:rPr>
        <w:t>5</w:t>
      </w:r>
      <w:r>
        <w:rPr>
          <w:rFonts w:hint="eastAsia" w:ascii="宋体" w:hAnsi="宋体" w:cs="宋体"/>
          <w:b/>
          <w:szCs w:val="21"/>
        </w:rPr>
        <w:t>.</w:t>
      </w:r>
      <w:r>
        <w:rPr>
          <w:rFonts w:hint="eastAsia" w:cs="宋体"/>
          <w:b/>
          <w:szCs w:val="21"/>
        </w:rPr>
        <w:t>1</w:t>
      </w:r>
      <w:r>
        <w:rPr>
          <w:rFonts w:hint="eastAsia" w:ascii="宋体" w:hAnsi="宋体" w:cs="宋体"/>
          <w:szCs w:val="21"/>
        </w:rPr>
        <w:t>条的要求。</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6</w:t>
      </w:r>
      <w:r>
        <w:rPr>
          <w:rFonts w:hint="eastAsia" w:ascii="宋体" w:hAnsi="宋体" w:cs="宋体"/>
          <w:b/>
          <w:szCs w:val="21"/>
        </w:rPr>
        <w:t>.投标费用</w:t>
      </w:r>
    </w:p>
    <w:p>
      <w:pPr>
        <w:spacing w:line="400" w:lineRule="exact"/>
        <w:rPr>
          <w:rFonts w:ascii="宋体" w:hAnsi="宋体" w:cs="宋体"/>
          <w:szCs w:val="21"/>
        </w:rPr>
      </w:pPr>
      <w:r>
        <w:rPr>
          <w:rFonts w:hint="eastAsia" w:cs="宋体"/>
          <w:b/>
          <w:szCs w:val="21"/>
        </w:rPr>
        <w:t>6</w:t>
      </w:r>
      <w:r>
        <w:rPr>
          <w:rFonts w:hint="eastAsia" w:ascii="宋体" w:hAnsi="宋体" w:cs="宋体"/>
          <w:b/>
          <w:szCs w:val="21"/>
        </w:rPr>
        <w:t>.</w:t>
      </w:r>
      <w:r>
        <w:rPr>
          <w:rFonts w:hint="eastAsia" w:cs="宋体"/>
          <w:b/>
          <w:szCs w:val="21"/>
        </w:rPr>
        <w:t>1</w:t>
      </w:r>
      <w:r>
        <w:rPr>
          <w:rFonts w:hint="eastAsia" w:ascii="宋体" w:hAnsi="宋体" w:cs="宋体"/>
          <w:szCs w:val="21"/>
        </w:rPr>
        <w:t>不论招标的结果如何，投标人自行承担其参加本次投标有关的全部费用。</w:t>
      </w:r>
    </w:p>
    <w:p>
      <w:pPr>
        <w:spacing w:line="400" w:lineRule="exact"/>
        <w:jc w:val="center"/>
        <w:rPr>
          <w:rFonts w:ascii="宋体" w:hAnsi="宋体" w:cs="宋体"/>
          <w:b/>
          <w:sz w:val="28"/>
        </w:rPr>
      </w:pPr>
    </w:p>
    <w:p>
      <w:pPr>
        <w:jc w:val="center"/>
        <w:outlineLvl w:val="1"/>
        <w:rPr>
          <w:rFonts w:ascii="宋体" w:hAnsi="宋体" w:cs="宋体"/>
          <w:b/>
          <w:sz w:val="28"/>
        </w:rPr>
      </w:pPr>
      <w:bookmarkStart w:id="48" w:name="_Toc513798901"/>
      <w:bookmarkStart w:id="49" w:name="_Toc520902395"/>
      <w:bookmarkStart w:id="50" w:name="_Toc440276562"/>
      <w:bookmarkStart w:id="51" w:name="_Toc513799072"/>
      <w:r>
        <w:rPr>
          <w:rFonts w:hint="eastAsia" w:cs="宋体"/>
          <w:b/>
          <w:sz w:val="28"/>
        </w:rPr>
        <w:t>B</w:t>
      </w:r>
      <w:r>
        <w:rPr>
          <w:rFonts w:hint="eastAsia" w:ascii="宋体" w:hAnsi="宋体" w:cs="宋体"/>
          <w:b/>
          <w:sz w:val="28"/>
        </w:rPr>
        <w:t>采购文件</w:t>
      </w:r>
      <w:bookmarkEnd w:id="48"/>
      <w:bookmarkEnd w:id="49"/>
      <w:bookmarkEnd w:id="50"/>
      <w:bookmarkEnd w:id="51"/>
    </w:p>
    <w:p>
      <w:pPr>
        <w:spacing w:line="400" w:lineRule="exact"/>
        <w:rPr>
          <w:rFonts w:ascii="宋体" w:hAnsi="宋体" w:cs="宋体"/>
          <w:szCs w:val="21"/>
        </w:rPr>
      </w:pPr>
      <w:r>
        <w:rPr>
          <w:rFonts w:hint="eastAsia" w:cs="宋体"/>
          <w:b/>
          <w:szCs w:val="21"/>
        </w:rPr>
        <w:t>7</w:t>
      </w:r>
      <w:r>
        <w:rPr>
          <w:rFonts w:hint="eastAsia" w:ascii="宋体" w:hAnsi="宋体" w:cs="宋体"/>
          <w:b/>
          <w:szCs w:val="21"/>
        </w:rPr>
        <w:t>.采购文件的构成</w:t>
      </w:r>
    </w:p>
    <w:p>
      <w:pPr>
        <w:spacing w:line="400" w:lineRule="exact"/>
        <w:rPr>
          <w:rFonts w:ascii="宋体" w:hAnsi="宋体" w:cs="宋体"/>
          <w:szCs w:val="21"/>
        </w:rPr>
      </w:pPr>
      <w:r>
        <w:rPr>
          <w:rFonts w:hint="eastAsia" w:cs="宋体"/>
          <w:b/>
          <w:szCs w:val="21"/>
        </w:rPr>
        <w:t>7</w:t>
      </w:r>
      <w:r>
        <w:rPr>
          <w:rFonts w:hint="eastAsia" w:ascii="宋体" w:hAnsi="宋体" w:cs="宋体"/>
          <w:b/>
          <w:szCs w:val="21"/>
        </w:rPr>
        <w:t>.</w:t>
      </w:r>
      <w:r>
        <w:rPr>
          <w:rFonts w:hint="eastAsia" w:cs="宋体"/>
          <w:b/>
          <w:szCs w:val="21"/>
        </w:rPr>
        <w:t>1</w:t>
      </w:r>
      <w:r>
        <w:rPr>
          <w:rFonts w:hint="eastAsia" w:ascii="宋体" w:hAnsi="宋体" w:cs="宋体"/>
          <w:szCs w:val="21"/>
        </w:rPr>
        <w:t>采购文件共有七部分。内容如下：</w:t>
      </w:r>
    </w:p>
    <w:p>
      <w:pPr>
        <w:spacing w:line="400" w:lineRule="exact"/>
        <w:ind w:left="281" w:leftChars="134"/>
        <w:rPr>
          <w:rFonts w:ascii="宋体" w:hAnsi="宋体" w:cs="宋体"/>
          <w:szCs w:val="21"/>
        </w:rPr>
      </w:pPr>
      <w:r>
        <w:rPr>
          <w:rFonts w:hint="eastAsia" w:ascii="宋体" w:hAnsi="宋体" w:cs="宋体"/>
          <w:szCs w:val="21"/>
        </w:rPr>
        <w:t>第一部分 招标公告</w:t>
      </w:r>
    </w:p>
    <w:p>
      <w:pPr>
        <w:spacing w:line="400" w:lineRule="exact"/>
        <w:ind w:left="281" w:leftChars="134"/>
        <w:rPr>
          <w:rFonts w:ascii="宋体" w:hAnsi="宋体" w:cs="宋体"/>
          <w:szCs w:val="21"/>
        </w:rPr>
      </w:pPr>
      <w:r>
        <w:rPr>
          <w:rFonts w:hint="eastAsia" w:ascii="宋体" w:hAnsi="宋体" w:cs="宋体"/>
          <w:szCs w:val="21"/>
        </w:rPr>
        <w:t>第二部分  投标资料表</w:t>
      </w:r>
    </w:p>
    <w:p>
      <w:pPr>
        <w:spacing w:line="400" w:lineRule="exact"/>
        <w:ind w:left="281" w:leftChars="134"/>
        <w:rPr>
          <w:rFonts w:ascii="宋体" w:hAnsi="宋体" w:cs="宋体"/>
          <w:szCs w:val="21"/>
        </w:rPr>
      </w:pPr>
      <w:r>
        <w:rPr>
          <w:rFonts w:hint="eastAsia" w:ascii="宋体" w:hAnsi="宋体" w:cs="宋体"/>
          <w:szCs w:val="21"/>
        </w:rPr>
        <w:t>第三部分 投标人须知</w:t>
      </w:r>
    </w:p>
    <w:p>
      <w:pPr>
        <w:spacing w:line="400" w:lineRule="exact"/>
        <w:ind w:left="281" w:leftChars="134"/>
        <w:rPr>
          <w:rFonts w:ascii="宋体" w:hAnsi="宋体" w:cs="宋体"/>
          <w:szCs w:val="21"/>
        </w:rPr>
      </w:pPr>
      <w:r>
        <w:rPr>
          <w:rFonts w:hint="eastAsia" w:ascii="宋体" w:hAnsi="宋体" w:cs="宋体"/>
          <w:szCs w:val="21"/>
        </w:rPr>
        <w:t>第四部分 合同格式</w:t>
      </w:r>
    </w:p>
    <w:p>
      <w:pPr>
        <w:spacing w:line="400" w:lineRule="exact"/>
        <w:ind w:left="281" w:leftChars="134"/>
        <w:rPr>
          <w:rFonts w:ascii="宋体" w:hAnsi="宋体" w:cs="宋体"/>
          <w:szCs w:val="21"/>
        </w:rPr>
      </w:pPr>
      <w:r>
        <w:rPr>
          <w:rFonts w:hint="eastAsia" w:ascii="宋体" w:hAnsi="宋体" w:cs="宋体"/>
          <w:szCs w:val="21"/>
        </w:rPr>
        <w:t>第五部分 评标办法</w:t>
      </w:r>
    </w:p>
    <w:p>
      <w:pPr>
        <w:spacing w:line="400" w:lineRule="exact"/>
        <w:ind w:left="281" w:leftChars="134"/>
        <w:rPr>
          <w:rFonts w:ascii="宋体" w:hAnsi="宋体" w:cs="宋体"/>
          <w:szCs w:val="21"/>
        </w:rPr>
      </w:pPr>
      <w:r>
        <w:rPr>
          <w:rFonts w:hint="eastAsia" w:ascii="宋体" w:hAnsi="宋体" w:cs="宋体"/>
          <w:szCs w:val="21"/>
        </w:rPr>
        <w:t>第六部分 招标项目需求</w:t>
      </w:r>
    </w:p>
    <w:p>
      <w:pPr>
        <w:spacing w:line="400" w:lineRule="exact"/>
        <w:ind w:left="281" w:leftChars="134"/>
        <w:rPr>
          <w:rFonts w:ascii="宋体" w:hAnsi="宋体" w:cs="宋体"/>
          <w:szCs w:val="21"/>
        </w:rPr>
      </w:pPr>
      <w:r>
        <w:rPr>
          <w:rFonts w:hint="eastAsia" w:ascii="宋体" w:hAnsi="宋体" w:cs="宋体"/>
          <w:szCs w:val="21"/>
        </w:rPr>
        <w:t>第七部分 附件（投标文件格式）</w:t>
      </w:r>
    </w:p>
    <w:p>
      <w:pPr>
        <w:spacing w:line="400" w:lineRule="exact"/>
        <w:ind w:firstLine="462" w:firstLineChars="220"/>
        <w:rPr>
          <w:rFonts w:ascii="宋体" w:hAnsi="宋体" w:cs="宋体"/>
          <w:b/>
          <w:szCs w:val="21"/>
        </w:rPr>
      </w:pPr>
      <w:r>
        <w:rPr>
          <w:rFonts w:hint="eastAsia" w:ascii="宋体" w:hAnsi="宋体" w:cs="宋体"/>
          <w:b/>
          <w:szCs w:val="21"/>
        </w:rPr>
        <w:t>投标人应详细阅读采购文件的全部内容和要求，不按采购文件的要求提供投标文件和资料导致的风险由投标人承担。</w:t>
      </w:r>
    </w:p>
    <w:p>
      <w:pPr>
        <w:spacing w:line="400" w:lineRule="exact"/>
        <w:ind w:firstLine="210" w:firstLineChars="100"/>
        <w:rPr>
          <w:rFonts w:ascii="宋体" w:hAnsi="宋体" w:cs="宋体"/>
          <w:b/>
          <w:szCs w:val="21"/>
        </w:rPr>
      </w:pPr>
    </w:p>
    <w:p>
      <w:pPr>
        <w:spacing w:line="400" w:lineRule="exact"/>
        <w:rPr>
          <w:rFonts w:ascii="宋体" w:hAnsi="宋体" w:cs="宋体"/>
          <w:b/>
          <w:szCs w:val="21"/>
        </w:rPr>
      </w:pPr>
      <w:r>
        <w:rPr>
          <w:rFonts w:hint="eastAsia" w:cs="宋体"/>
          <w:b/>
          <w:szCs w:val="21"/>
        </w:rPr>
        <w:t>8</w:t>
      </w:r>
      <w:r>
        <w:rPr>
          <w:rFonts w:hint="eastAsia" w:ascii="宋体" w:hAnsi="宋体" w:cs="宋体"/>
          <w:b/>
          <w:szCs w:val="21"/>
        </w:rPr>
        <w:t>.采购文件的澄清和修改</w:t>
      </w:r>
    </w:p>
    <w:p>
      <w:pPr>
        <w:spacing w:line="400" w:lineRule="exact"/>
        <w:ind w:firstLine="420" w:firstLineChars="200"/>
        <w:rPr>
          <w:rFonts w:ascii="宋体" w:hAnsi="宋体" w:cs="宋体"/>
          <w:bCs/>
          <w:szCs w:val="21"/>
        </w:rPr>
      </w:pPr>
      <w:r>
        <w:rPr>
          <w:rFonts w:hint="eastAsia" w:cs="宋体"/>
          <w:bCs/>
          <w:szCs w:val="21"/>
        </w:rPr>
        <w:t>采购人可以对已发出的招标文件进行必要的澄清或者修改，将以“更正公告”的形式发布在政采云平台，供应商应及时登录政采云平台，进行浏览并下载，未及时浏览下载的责任自负。澄清或者修改的内容可能影响投标文件编制的，采购人应当在投标截止时间至少15日前，以书面形式通知所有获取招标文件的潜在供应商，不足15日的，采购人应当顺延提交投标文件的截止时间；澄清或者修改的内容不影响投标文件编制的，则不受15日的期限限制。澄清或者修改的内容为招标文件的组成部分，对所有供应商具有约束力。</w:t>
      </w:r>
    </w:p>
    <w:p>
      <w:pPr>
        <w:spacing w:line="400" w:lineRule="exact"/>
        <w:rPr>
          <w:rFonts w:ascii="宋体" w:hAnsi="宋体" w:cs="宋体"/>
          <w:szCs w:val="24"/>
          <w:u w:val="single"/>
        </w:rPr>
      </w:pPr>
    </w:p>
    <w:p>
      <w:pPr>
        <w:jc w:val="center"/>
        <w:outlineLvl w:val="1"/>
        <w:rPr>
          <w:rFonts w:ascii="宋体" w:hAnsi="宋体" w:cs="宋体"/>
          <w:b/>
          <w:sz w:val="28"/>
        </w:rPr>
      </w:pPr>
      <w:bookmarkStart w:id="52" w:name="_Toc440276563"/>
      <w:bookmarkStart w:id="53" w:name="_Toc513798902"/>
      <w:bookmarkStart w:id="54" w:name="_Toc520902396"/>
      <w:bookmarkStart w:id="55" w:name="_Toc513799073"/>
      <w:r>
        <w:rPr>
          <w:rFonts w:hint="eastAsia" w:cs="宋体"/>
          <w:b/>
          <w:sz w:val="28"/>
        </w:rPr>
        <w:t>C</w:t>
      </w:r>
      <w:r>
        <w:rPr>
          <w:rFonts w:hint="eastAsia" w:ascii="宋体" w:hAnsi="宋体" w:cs="宋体"/>
          <w:b/>
          <w:sz w:val="28"/>
        </w:rPr>
        <w:t xml:space="preserve">  投标文件</w:t>
      </w:r>
      <w:bookmarkEnd w:id="52"/>
      <w:bookmarkEnd w:id="53"/>
      <w:bookmarkEnd w:id="54"/>
      <w:bookmarkEnd w:id="55"/>
    </w:p>
    <w:p>
      <w:pPr>
        <w:spacing w:line="360" w:lineRule="auto"/>
        <w:rPr>
          <w:rFonts w:ascii="宋体" w:hAnsi="宋体" w:cs="宋体"/>
          <w:b/>
          <w:szCs w:val="21"/>
        </w:rPr>
      </w:pPr>
      <w:r>
        <w:rPr>
          <w:rFonts w:hint="eastAsia" w:cs="宋体"/>
          <w:b/>
          <w:szCs w:val="21"/>
        </w:rPr>
        <w:t>9</w:t>
      </w:r>
      <w:r>
        <w:rPr>
          <w:rFonts w:hint="eastAsia" w:ascii="宋体" w:hAnsi="宋体" w:cs="宋体"/>
          <w:b/>
          <w:szCs w:val="21"/>
        </w:rPr>
        <w:t>. 投标文件的组成</w:t>
      </w:r>
    </w:p>
    <w:p>
      <w:pPr>
        <w:spacing w:line="400" w:lineRule="exact"/>
        <w:rPr>
          <w:rFonts w:cs="宋体" w:asciiTheme="minorEastAsia" w:hAnsiTheme="minorEastAsia" w:eastAsiaTheme="minorEastAsia"/>
          <w:kern w:val="0"/>
          <w:sz w:val="24"/>
        </w:rPr>
      </w:pPr>
      <w:r>
        <w:rPr>
          <w:rFonts w:hint="eastAsia" w:cs="宋体" w:eastAsiaTheme="minorEastAsia"/>
          <w:b/>
          <w:szCs w:val="21"/>
        </w:rPr>
        <w:t>9</w:t>
      </w:r>
      <w:r>
        <w:rPr>
          <w:rFonts w:hint="eastAsia" w:cs="宋体" w:asciiTheme="minorEastAsia" w:hAnsiTheme="minorEastAsia" w:eastAsiaTheme="minorEastAsia"/>
          <w:b/>
          <w:szCs w:val="21"/>
        </w:rPr>
        <w:t>.</w:t>
      </w:r>
      <w:r>
        <w:rPr>
          <w:rFonts w:hint="eastAsia" w:cs="宋体" w:eastAsiaTheme="minorEastAsia"/>
          <w:b/>
          <w:szCs w:val="21"/>
        </w:rPr>
        <w:t>1</w:t>
      </w:r>
      <w:r>
        <w:rPr>
          <w:rFonts w:hint="eastAsia" w:cs="宋体" w:asciiTheme="minorEastAsia" w:hAnsiTheme="minorEastAsia" w:eastAsiaTheme="minorEastAsia"/>
          <w:b/>
          <w:bCs/>
          <w:kern w:val="0"/>
          <w:szCs w:val="21"/>
        </w:rPr>
        <w:t>投标文件的形式和效力</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）投标文件分为电子投标文件以及备份投标文件，备份投标文件为以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盘存储的电子备份投标文件。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）电子投标文件，按“政采云供应商项目采购-电子招投标操作指南”及本采购文件要求制作、加密并递交。</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 xml:space="preserve">）以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盘存储的电子备份投标文件，须按“政采云供应商项目采购-电子招投标操作指南”制作的备份文件（后缀格式为“.</w:t>
      </w:r>
      <w:r>
        <w:rPr>
          <w:rFonts w:hint="eastAsia" w:cs="宋体" w:eastAsiaTheme="minorEastAsia"/>
          <w:kern w:val="0"/>
          <w:szCs w:val="21"/>
        </w:rPr>
        <w:t>bfbs</w:t>
      </w:r>
      <w:r>
        <w:rPr>
          <w:rFonts w:hint="eastAsia" w:cs="宋体" w:asciiTheme="minorEastAsia" w:hAnsiTheme="minorEastAsia" w:eastAsiaTheme="minorEastAsia"/>
          <w:kern w:val="0"/>
          <w:szCs w:val="21"/>
        </w:rPr>
        <w:t xml:space="preserve">”）。因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盘损坏无法正常获取电子备份文件或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盘存储的电子备份投标文件格式原因未能成功上传政采云系统的均作无效标处理，一切责任由投标人自行负责。</w:t>
      </w:r>
    </w:p>
    <w:p>
      <w:pPr>
        <w:spacing w:line="400" w:lineRule="exact"/>
        <w:ind w:firstLine="420" w:firstLineChars="200"/>
        <w:rPr>
          <w:rFonts w:ascii="宋体" w:hAnsi="宋体" w:cs="宋体"/>
          <w:szCs w:val="21"/>
        </w:rPr>
      </w:pPr>
      <w:r>
        <w:rPr>
          <w:rFonts w:hint="eastAsia" w:cs="宋体" w:asciiTheme="minorEastAsia" w:hAnsiTheme="minorEastAsia" w:eastAsiaTheme="minorEastAsia"/>
          <w:b/>
          <w:kern w:val="0"/>
          <w:szCs w:val="21"/>
        </w:rPr>
        <w:t>（</w:t>
      </w:r>
      <w:r>
        <w:rPr>
          <w:rFonts w:hint="eastAsia" w:cs="宋体" w:eastAsiaTheme="minorEastAsia"/>
          <w:b/>
          <w:bCs/>
          <w:kern w:val="0"/>
          <w:szCs w:val="21"/>
        </w:rPr>
        <w:t>4</w:t>
      </w:r>
      <w:r>
        <w:rPr>
          <w:rFonts w:hint="eastAsia" w:cs="宋体" w:asciiTheme="minorEastAsia" w:hAnsiTheme="minorEastAsia" w:eastAsiaTheme="minorEastAsia"/>
          <w:b/>
          <w:bCs/>
          <w:kern w:val="0"/>
          <w:szCs w:val="21"/>
        </w:rPr>
        <w:t xml:space="preserve">）投标文件的效力：投标文件的启用，按先后顺位分别为电子投标文件、以 </w:t>
      </w:r>
      <w:r>
        <w:rPr>
          <w:rFonts w:hint="eastAsia" w:cs="宋体" w:eastAsiaTheme="minorEastAsia"/>
          <w:b/>
          <w:bCs/>
          <w:kern w:val="0"/>
          <w:szCs w:val="21"/>
        </w:rPr>
        <w:t>U</w:t>
      </w:r>
      <w:r>
        <w:rPr>
          <w:rFonts w:hint="eastAsia" w:cs="宋体" w:asciiTheme="minorEastAsia" w:hAnsiTheme="minorEastAsia" w:eastAsiaTheme="minorEastAsia"/>
          <w:b/>
          <w:bCs/>
          <w:kern w:val="0"/>
          <w:szCs w:val="21"/>
        </w:rPr>
        <w:t xml:space="preserve"> 盘存储的电子备份投标文件。在下一顺位的投标文件启用时，前一顺位的投标文件自动失效。电子投标文件未能按时解密，供应商提供了电子备份投标文件，以电子备份投标文件作为依据，否则视为投标文件撤回。电子投标文件已按时解密的，电子备份投标文件自动失效。</w:t>
      </w:r>
    </w:p>
    <w:p>
      <w:pPr>
        <w:spacing w:line="400" w:lineRule="exact"/>
        <w:rPr>
          <w:rFonts w:ascii="宋体" w:hAnsi="宋体" w:cs="宋体"/>
          <w:szCs w:val="21"/>
        </w:rPr>
      </w:pPr>
      <w:r>
        <w:rPr>
          <w:rFonts w:hint="eastAsia" w:cs="宋体"/>
          <w:b/>
          <w:szCs w:val="21"/>
        </w:rPr>
        <w:t>9</w:t>
      </w:r>
      <w:r>
        <w:rPr>
          <w:rFonts w:hint="eastAsia" w:ascii="宋体" w:hAnsi="宋体" w:cs="宋体"/>
          <w:b/>
          <w:szCs w:val="21"/>
        </w:rPr>
        <w:t>.</w:t>
      </w:r>
      <w:r>
        <w:rPr>
          <w:rFonts w:hint="eastAsia" w:cs="宋体"/>
          <w:b/>
          <w:szCs w:val="21"/>
        </w:rPr>
        <w:t>2</w:t>
      </w:r>
      <w:r>
        <w:rPr>
          <w:rFonts w:hint="eastAsia" w:cs="宋体" w:asciiTheme="minorEastAsia" w:hAnsiTheme="minorEastAsia" w:eastAsiaTheme="minorEastAsia"/>
          <w:bCs/>
          <w:kern w:val="0"/>
          <w:szCs w:val="21"/>
        </w:rPr>
        <w:t xml:space="preserve">投标文件由资格文件、商务技术文件和报价文件三部分组成，资格文件、商务技术文件、报价文件分别编制；电子投标文件中所须加盖公章部分均采用 </w:t>
      </w:r>
      <w:r>
        <w:rPr>
          <w:rFonts w:hint="eastAsia" w:cs="宋体" w:eastAsiaTheme="minorEastAsia"/>
          <w:bCs/>
          <w:kern w:val="0"/>
          <w:szCs w:val="21"/>
        </w:rPr>
        <w:t>CA</w:t>
      </w:r>
      <w:r>
        <w:rPr>
          <w:rFonts w:hint="eastAsia" w:cs="宋体" w:asciiTheme="minorEastAsia" w:hAnsiTheme="minorEastAsia" w:eastAsiaTheme="minorEastAsia"/>
          <w:bCs/>
          <w:kern w:val="0"/>
          <w:szCs w:val="21"/>
        </w:rPr>
        <w:t xml:space="preserve"> 签章。</w:t>
      </w:r>
      <w:r>
        <w:rPr>
          <w:rFonts w:hint="eastAsia" w:ascii="宋体" w:hAnsi="宋体" w:cs="宋体"/>
          <w:szCs w:val="21"/>
        </w:rPr>
        <w:t>具体组成内容在本采购文件“投标资料表”中做出规定。</w:t>
      </w:r>
    </w:p>
    <w:p>
      <w:pPr>
        <w:spacing w:line="440" w:lineRule="exact"/>
        <w:rPr>
          <w:rFonts w:ascii="宋体" w:hAnsi="宋体"/>
          <w:szCs w:val="21"/>
        </w:rPr>
      </w:pPr>
      <w:r>
        <w:rPr>
          <w:rFonts w:hint="eastAsia"/>
          <w:b/>
          <w:szCs w:val="21"/>
        </w:rPr>
        <w:t>9</w:t>
      </w:r>
      <w:r>
        <w:rPr>
          <w:rFonts w:hint="eastAsia" w:ascii="宋体" w:hAnsi="宋体"/>
          <w:b/>
          <w:szCs w:val="21"/>
        </w:rPr>
        <w:t>.</w:t>
      </w:r>
      <w:r>
        <w:rPr>
          <w:rFonts w:hint="eastAsia"/>
          <w:b/>
          <w:szCs w:val="21"/>
        </w:rPr>
        <w:t>3</w:t>
      </w:r>
      <w:r>
        <w:rPr>
          <w:rFonts w:hint="eastAsia" w:ascii="宋体" w:hAnsi="宋体"/>
          <w:szCs w:val="21"/>
        </w:rPr>
        <w:t>组成投标文件的各项资料中本招标书的有规定格式的，应统一按本招标书的规定格式填写。未有规定格式的资料，投标人应自行编制，但至少要包含组成投标文件要求的内容。</w:t>
      </w:r>
    </w:p>
    <w:p>
      <w:pPr>
        <w:spacing w:line="440" w:lineRule="exact"/>
        <w:rPr>
          <w:rFonts w:ascii="宋体" w:hAnsi="宋体"/>
          <w:szCs w:val="21"/>
        </w:rPr>
      </w:pPr>
    </w:p>
    <w:p>
      <w:pPr>
        <w:spacing w:line="400" w:lineRule="exact"/>
        <w:rPr>
          <w:rFonts w:ascii="宋体" w:hAnsi="宋体" w:cs="宋体"/>
          <w:b/>
          <w:szCs w:val="21"/>
        </w:rPr>
      </w:pPr>
      <w:r>
        <w:rPr>
          <w:rFonts w:hint="eastAsia" w:cs="宋体"/>
          <w:b/>
          <w:szCs w:val="21"/>
        </w:rPr>
        <w:t>10</w:t>
      </w:r>
      <w:r>
        <w:rPr>
          <w:rFonts w:hint="eastAsia" w:ascii="宋体" w:hAnsi="宋体" w:cs="宋体"/>
          <w:b/>
          <w:szCs w:val="21"/>
        </w:rPr>
        <w:t>.投标报价</w:t>
      </w:r>
    </w:p>
    <w:p>
      <w:pPr>
        <w:spacing w:line="400" w:lineRule="exact"/>
        <w:rPr>
          <w:rFonts w:ascii="宋体" w:hAnsi="宋体" w:cs="宋体"/>
          <w:szCs w:val="21"/>
        </w:rPr>
      </w:pPr>
      <w:r>
        <w:rPr>
          <w:rFonts w:hint="eastAsia" w:cs="宋体"/>
          <w:b/>
          <w:szCs w:val="21"/>
        </w:rPr>
        <w:t>10</w:t>
      </w:r>
      <w:r>
        <w:rPr>
          <w:rFonts w:hint="eastAsia" w:ascii="宋体" w:hAnsi="宋体" w:cs="宋体"/>
          <w:b/>
          <w:szCs w:val="21"/>
        </w:rPr>
        <w:t>.</w:t>
      </w:r>
      <w:r>
        <w:rPr>
          <w:rFonts w:hint="eastAsia" w:cs="宋体"/>
          <w:b/>
          <w:szCs w:val="21"/>
        </w:rPr>
        <w:t>1</w:t>
      </w:r>
      <w:r>
        <w:rPr>
          <w:rFonts w:hint="eastAsia" w:ascii="宋体" w:hAnsi="宋体" w:cs="宋体"/>
          <w:szCs w:val="21"/>
        </w:rPr>
        <w:t>本次招标对投标报价组成的具体要求在采购文件“投标资料表”中做出规定。</w:t>
      </w:r>
    </w:p>
    <w:p>
      <w:pPr>
        <w:spacing w:line="400" w:lineRule="exact"/>
        <w:rPr>
          <w:rFonts w:ascii="宋体" w:hAnsi="宋体" w:cs="宋体"/>
          <w:szCs w:val="21"/>
        </w:rPr>
      </w:pPr>
      <w:r>
        <w:rPr>
          <w:rFonts w:hint="eastAsia" w:cs="宋体"/>
          <w:b/>
          <w:szCs w:val="21"/>
        </w:rPr>
        <w:t>10</w:t>
      </w:r>
      <w:r>
        <w:rPr>
          <w:rFonts w:hint="eastAsia" w:ascii="宋体" w:hAnsi="宋体" w:cs="宋体"/>
          <w:b/>
          <w:szCs w:val="21"/>
        </w:rPr>
        <w:t>.</w:t>
      </w:r>
      <w:r>
        <w:rPr>
          <w:rFonts w:hint="eastAsia" w:cs="宋体"/>
          <w:b/>
          <w:szCs w:val="21"/>
        </w:rPr>
        <w:t>2</w:t>
      </w:r>
      <w:r>
        <w:rPr>
          <w:rFonts w:hint="eastAsia" w:ascii="宋体" w:hAnsi="宋体" w:cs="宋体"/>
          <w:szCs w:val="21"/>
        </w:rPr>
        <w:t>投标人要按照采购文件中的“开标一览表”格式和内容完整填写投标总价及其他事项。</w:t>
      </w:r>
    </w:p>
    <w:p>
      <w:pPr>
        <w:spacing w:line="400" w:lineRule="exact"/>
        <w:rPr>
          <w:rFonts w:ascii="宋体" w:hAnsi="宋体" w:cs="宋体"/>
          <w:szCs w:val="21"/>
        </w:rPr>
      </w:pPr>
      <w:r>
        <w:rPr>
          <w:rFonts w:hint="eastAsia" w:cs="宋体"/>
          <w:b/>
          <w:szCs w:val="21"/>
        </w:rPr>
        <w:t>10</w:t>
      </w:r>
      <w:r>
        <w:rPr>
          <w:rFonts w:hint="eastAsia" w:ascii="宋体" w:hAnsi="宋体" w:cs="宋体"/>
          <w:b/>
          <w:szCs w:val="21"/>
        </w:rPr>
        <w:t>.</w:t>
      </w:r>
      <w:r>
        <w:rPr>
          <w:rFonts w:hint="eastAsia" w:cs="宋体"/>
          <w:b/>
          <w:szCs w:val="21"/>
        </w:rPr>
        <w:t>3</w:t>
      </w:r>
      <w:r>
        <w:rPr>
          <w:rFonts w:hint="eastAsia" w:ascii="宋体" w:hAnsi="宋体" w:cs="宋体"/>
          <w:szCs w:val="21"/>
        </w:rPr>
        <w:t>除非采购文件另有备选投标方案的规定，投标应该只有一个投标报价。投标人若有投标声明，应载明在“开标一览表”中，供开标时唱出，未经唱出的声明在评标时不作考虑。</w:t>
      </w:r>
    </w:p>
    <w:p>
      <w:pPr>
        <w:spacing w:line="400" w:lineRule="exact"/>
        <w:rPr>
          <w:rFonts w:ascii="宋体" w:hAnsi="宋体" w:cs="宋体"/>
          <w:b/>
          <w:szCs w:val="21"/>
        </w:rPr>
      </w:pPr>
      <w:r>
        <w:rPr>
          <w:rFonts w:hint="eastAsia" w:cs="宋体"/>
          <w:b/>
          <w:szCs w:val="21"/>
        </w:rPr>
        <w:t>10</w:t>
      </w:r>
      <w:r>
        <w:rPr>
          <w:rFonts w:hint="eastAsia" w:ascii="宋体" w:hAnsi="宋体" w:cs="宋体"/>
          <w:b/>
          <w:szCs w:val="21"/>
        </w:rPr>
        <w:t>.</w:t>
      </w:r>
      <w:r>
        <w:rPr>
          <w:rFonts w:hint="eastAsia" w:cs="宋体"/>
          <w:b/>
          <w:szCs w:val="21"/>
        </w:rPr>
        <w:t>4</w:t>
      </w:r>
      <w:r>
        <w:rPr>
          <w:rFonts w:hint="eastAsia" w:ascii="宋体" w:hAnsi="宋体" w:cs="宋体"/>
          <w:szCs w:val="21"/>
        </w:rPr>
        <w:t>开标后以及在评标及中标后的合同执行过程中，投标人不得以任何理由变更投标价格。</w:t>
      </w:r>
      <w:r>
        <w:rPr>
          <w:rFonts w:hint="eastAsia" w:ascii="宋体" w:hAnsi="宋体" w:cs="宋体"/>
          <w:b/>
          <w:szCs w:val="21"/>
        </w:rPr>
        <w:t>若投标人在中标以后做出任何改变投标价格的决定，将被视作撤标而失去中标资格。</w:t>
      </w:r>
    </w:p>
    <w:p>
      <w:pPr>
        <w:spacing w:line="400" w:lineRule="exact"/>
        <w:rPr>
          <w:rFonts w:ascii="宋体" w:hAnsi="宋体" w:cs="宋体"/>
          <w:b/>
          <w:szCs w:val="21"/>
        </w:rPr>
      </w:pPr>
      <w:r>
        <w:rPr>
          <w:rFonts w:hint="eastAsia" w:cs="宋体"/>
          <w:b/>
          <w:szCs w:val="21"/>
        </w:rPr>
        <w:t>10</w:t>
      </w:r>
      <w:r>
        <w:rPr>
          <w:rFonts w:hint="eastAsia" w:ascii="宋体" w:hAnsi="宋体" w:cs="宋体"/>
          <w:b/>
          <w:szCs w:val="21"/>
        </w:rPr>
        <w:t>.</w:t>
      </w:r>
      <w:r>
        <w:rPr>
          <w:rFonts w:hint="eastAsia" w:cs="宋体"/>
          <w:b/>
          <w:szCs w:val="21"/>
        </w:rPr>
        <w:t>5</w:t>
      </w:r>
      <w:r>
        <w:rPr>
          <w:rFonts w:hint="eastAsia" w:ascii="宋体" w:hAnsi="宋体" w:cs="宋体"/>
          <w:b/>
          <w:szCs w:val="21"/>
        </w:rPr>
        <w:t xml:space="preserve">  本项目采用最高投标限价，超过最高限价的投标文件无效。</w:t>
      </w:r>
    </w:p>
    <w:p>
      <w:pPr>
        <w:spacing w:line="400" w:lineRule="exact"/>
        <w:rPr>
          <w:rFonts w:ascii="宋体" w:hAnsi="宋体" w:cs="宋体"/>
          <w:b/>
          <w:szCs w:val="21"/>
        </w:rPr>
      </w:pPr>
      <w:r>
        <w:rPr>
          <w:rFonts w:hint="eastAsia" w:cs="宋体"/>
          <w:b/>
          <w:szCs w:val="21"/>
        </w:rPr>
        <w:t>10</w:t>
      </w:r>
      <w:r>
        <w:rPr>
          <w:rFonts w:hint="eastAsia" w:ascii="宋体" w:hAnsi="宋体" w:cs="宋体"/>
          <w:b/>
          <w:szCs w:val="21"/>
        </w:rPr>
        <w:t>.</w:t>
      </w:r>
      <w:r>
        <w:rPr>
          <w:rFonts w:hint="eastAsia" w:cs="宋体"/>
          <w:b/>
          <w:szCs w:val="21"/>
        </w:rPr>
        <w:t>6</w:t>
      </w:r>
      <w:r>
        <w:rPr>
          <w:rFonts w:hint="eastAsia" w:ascii="宋体" w:hAnsi="宋体" w:cs="宋体"/>
          <w:szCs w:val="21"/>
        </w:rPr>
        <w:t>本项目的投标货币为人民币。</w:t>
      </w:r>
    </w:p>
    <w:p>
      <w:pPr>
        <w:spacing w:line="400" w:lineRule="exact"/>
        <w:rPr>
          <w:rFonts w:ascii="宋体" w:hAnsi="宋体" w:cs="宋体"/>
          <w:b/>
          <w:szCs w:val="21"/>
        </w:rPr>
      </w:pPr>
    </w:p>
    <w:p>
      <w:pPr>
        <w:spacing w:line="400" w:lineRule="exact"/>
        <w:rPr>
          <w:rFonts w:ascii="宋体" w:hAnsi="宋体" w:cs="宋体"/>
          <w:szCs w:val="21"/>
        </w:rPr>
      </w:pPr>
      <w:r>
        <w:rPr>
          <w:rFonts w:hint="eastAsia" w:cs="宋体"/>
          <w:b/>
          <w:szCs w:val="21"/>
        </w:rPr>
        <w:t>11</w:t>
      </w:r>
      <w:r>
        <w:rPr>
          <w:rFonts w:hint="eastAsia" w:ascii="宋体" w:hAnsi="宋体" w:cs="宋体"/>
          <w:b/>
          <w:szCs w:val="21"/>
        </w:rPr>
        <w:t>.  投标文件的格式和编写</w:t>
      </w:r>
    </w:p>
    <w:p>
      <w:pPr>
        <w:spacing w:line="400" w:lineRule="exact"/>
        <w:rPr>
          <w:rFonts w:ascii="宋体" w:hAnsi="宋体" w:cs="宋体"/>
          <w:szCs w:val="21"/>
        </w:rPr>
      </w:pPr>
      <w:r>
        <w:rPr>
          <w:rFonts w:hint="eastAsia" w:cs="宋体"/>
          <w:b/>
          <w:szCs w:val="21"/>
        </w:rPr>
        <w:t>11</w:t>
      </w:r>
      <w:r>
        <w:rPr>
          <w:rFonts w:hint="eastAsia" w:ascii="宋体" w:hAnsi="宋体" w:cs="宋体"/>
          <w:b/>
          <w:szCs w:val="21"/>
        </w:rPr>
        <w:t>.</w:t>
      </w:r>
      <w:r>
        <w:rPr>
          <w:rFonts w:hint="eastAsia" w:cs="宋体"/>
          <w:b/>
          <w:szCs w:val="21"/>
        </w:rPr>
        <w:t>1</w:t>
      </w:r>
      <w:r>
        <w:rPr>
          <w:rFonts w:hint="eastAsia" w:ascii="宋体" w:hAnsi="宋体" w:cs="宋体"/>
          <w:szCs w:val="21"/>
        </w:rPr>
        <w:t>投标文件须按“投标文件的有关格式”提供的统一格式填写、签署和加盖公章。</w:t>
      </w:r>
    </w:p>
    <w:p>
      <w:pPr>
        <w:spacing w:line="400" w:lineRule="exact"/>
        <w:rPr>
          <w:rFonts w:ascii="宋体" w:hAnsi="宋体" w:cs="宋体"/>
          <w:szCs w:val="21"/>
        </w:rPr>
      </w:pPr>
      <w:r>
        <w:rPr>
          <w:rFonts w:hint="eastAsia" w:cs="宋体"/>
          <w:b/>
          <w:szCs w:val="21"/>
        </w:rPr>
        <w:t>11</w:t>
      </w:r>
      <w:r>
        <w:rPr>
          <w:rFonts w:hint="eastAsia" w:ascii="宋体" w:hAnsi="宋体" w:cs="宋体"/>
          <w:b/>
          <w:szCs w:val="21"/>
        </w:rPr>
        <w:t>.</w:t>
      </w:r>
      <w:r>
        <w:rPr>
          <w:rFonts w:hint="eastAsia" w:cs="宋体"/>
          <w:b/>
          <w:szCs w:val="21"/>
        </w:rPr>
        <w:t>2</w:t>
      </w:r>
      <w:r>
        <w:rPr>
          <w:rFonts w:hint="eastAsia" w:ascii="宋体" w:hAnsi="宋体" w:cs="宋体"/>
          <w:szCs w:val="21"/>
        </w:rPr>
        <w:t>“开标一览表”应按照统一格式填写，不得自行增减内容。</w:t>
      </w:r>
    </w:p>
    <w:p>
      <w:pPr>
        <w:widowControl/>
        <w:spacing w:line="360" w:lineRule="auto"/>
        <w:rPr>
          <w:rFonts w:cs="宋体" w:asciiTheme="minorEastAsia" w:hAnsiTheme="minorEastAsia" w:eastAsiaTheme="minorEastAsia"/>
          <w:b/>
          <w:szCs w:val="21"/>
        </w:rPr>
      </w:pPr>
      <w:r>
        <w:rPr>
          <w:rFonts w:hint="eastAsia" w:cs="宋体" w:eastAsiaTheme="minorEastAsia"/>
          <w:b/>
          <w:szCs w:val="21"/>
        </w:rPr>
        <w:t>11</w:t>
      </w:r>
      <w:r>
        <w:rPr>
          <w:rFonts w:hint="eastAsia" w:cs="宋体" w:asciiTheme="minorEastAsia" w:hAnsiTheme="minorEastAsia" w:eastAsiaTheme="minorEastAsia"/>
          <w:b/>
          <w:szCs w:val="21"/>
        </w:rPr>
        <w:t>.</w:t>
      </w:r>
      <w:r>
        <w:rPr>
          <w:rFonts w:hint="eastAsia" w:cs="宋体" w:eastAsiaTheme="minorEastAsia"/>
          <w:b/>
          <w:szCs w:val="21"/>
        </w:rPr>
        <w:t>3</w:t>
      </w:r>
      <w:r>
        <w:rPr>
          <w:rFonts w:hint="eastAsia" w:cs="宋体" w:asciiTheme="minorEastAsia" w:hAnsiTheme="minorEastAsia" w:eastAsiaTheme="minorEastAsia"/>
          <w:b/>
          <w:szCs w:val="21"/>
        </w:rPr>
        <w:t xml:space="preserve">  投标书文件数量：</w:t>
      </w:r>
    </w:p>
    <w:p>
      <w:pPr>
        <w:widowControl/>
        <w:spacing w:line="360" w:lineRule="auto"/>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）上传到政府采购云平台的电子投标文件（含资格文件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份、商务技术文件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份、报价文件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 xml:space="preserve">）以 </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盘形式存储的电子备份投标文件（含资格文件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份、商务技术文件 </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份、报价文件</w:t>
      </w:r>
      <w:r>
        <w:rPr>
          <w:rFonts w:hint="eastAsia" w:cs="宋体" w:eastAsiaTheme="minorEastAsia"/>
          <w:kern w:val="0"/>
          <w:szCs w:val="21"/>
        </w:rPr>
        <w:t>1</w:t>
      </w:r>
      <w:r>
        <w:rPr>
          <w:rFonts w:hint="eastAsia" w:cs="宋体" w:asciiTheme="minorEastAsia" w:hAnsiTheme="minorEastAsia" w:eastAsiaTheme="minorEastAsia"/>
          <w:kern w:val="0"/>
          <w:szCs w:val="21"/>
        </w:rPr>
        <w:t xml:space="preserve"> 份）。</w:t>
      </w:r>
    </w:p>
    <w:p>
      <w:pPr>
        <w:spacing w:line="400" w:lineRule="exact"/>
        <w:rPr>
          <w:rFonts w:cs="宋体" w:asciiTheme="minorEastAsia" w:hAnsiTheme="minorEastAsia" w:eastAsiaTheme="minorEastAsia"/>
          <w:b/>
          <w:bCs/>
          <w:kern w:val="0"/>
          <w:szCs w:val="21"/>
        </w:rPr>
      </w:pPr>
      <w:r>
        <w:rPr>
          <w:rFonts w:hint="eastAsia" w:cs="宋体" w:asciiTheme="minorEastAsia" w:hAnsiTheme="minorEastAsia" w:eastAsiaTheme="minorEastAsia"/>
          <w:b/>
          <w:bCs/>
          <w:kern w:val="0"/>
          <w:szCs w:val="21"/>
        </w:rPr>
        <w:t>注：（</w:t>
      </w:r>
      <w:r>
        <w:rPr>
          <w:rFonts w:hint="eastAsia" w:cs="宋体" w:eastAsiaTheme="minorEastAsia"/>
          <w:b/>
          <w:bCs/>
          <w:kern w:val="0"/>
          <w:szCs w:val="21"/>
        </w:rPr>
        <w:t>1</w:t>
      </w:r>
      <w:r>
        <w:rPr>
          <w:rFonts w:hint="eastAsia" w:cs="宋体" w:asciiTheme="minorEastAsia" w:hAnsiTheme="minorEastAsia" w:eastAsiaTheme="minorEastAsia"/>
          <w:b/>
          <w:bCs/>
          <w:kern w:val="0"/>
          <w:szCs w:val="21"/>
        </w:rPr>
        <w:t>）电子备份投标文件不作实质性要求，是否提交由投标人自行决定。</w:t>
      </w:r>
    </w:p>
    <w:p>
      <w:pPr>
        <w:spacing w:line="400" w:lineRule="exact"/>
        <w:ind w:firstLine="420" w:firstLineChars="200"/>
        <w:rPr>
          <w:rFonts w:ascii="宋体" w:hAnsi="宋体" w:cs="宋体"/>
          <w:szCs w:val="21"/>
        </w:rPr>
      </w:pPr>
      <w:r>
        <w:rPr>
          <w:rFonts w:hint="eastAsia" w:cs="宋体" w:asciiTheme="minorEastAsia" w:hAnsiTheme="minorEastAsia" w:eastAsiaTheme="minorEastAsia"/>
          <w:b/>
          <w:bCs/>
          <w:kern w:val="0"/>
          <w:szCs w:val="21"/>
        </w:rPr>
        <w:t>（</w:t>
      </w:r>
      <w:r>
        <w:rPr>
          <w:rFonts w:hint="eastAsia" w:cs="宋体" w:eastAsiaTheme="minorEastAsia"/>
          <w:b/>
          <w:bCs/>
          <w:kern w:val="0"/>
          <w:szCs w:val="21"/>
        </w:rPr>
        <w:t>2</w:t>
      </w:r>
      <w:r>
        <w:rPr>
          <w:rFonts w:hint="eastAsia" w:cs="宋体" w:asciiTheme="minorEastAsia" w:hAnsiTheme="minorEastAsia" w:eastAsiaTheme="minorEastAsia"/>
          <w:b/>
          <w:bCs/>
          <w:kern w:val="0"/>
          <w:szCs w:val="21"/>
        </w:rPr>
        <w:t>）中标人在收到中标通知书后</w:t>
      </w:r>
      <w:r>
        <w:rPr>
          <w:rFonts w:hint="eastAsia" w:cs="宋体" w:eastAsiaTheme="minorEastAsia"/>
          <w:b/>
          <w:bCs/>
          <w:kern w:val="0"/>
          <w:szCs w:val="21"/>
        </w:rPr>
        <w:t>3</w:t>
      </w:r>
      <w:r>
        <w:rPr>
          <w:rFonts w:hint="eastAsia" w:cs="宋体" w:asciiTheme="minorEastAsia" w:hAnsiTheme="minorEastAsia" w:eastAsiaTheme="minorEastAsia"/>
          <w:b/>
          <w:bCs/>
          <w:kern w:val="0"/>
          <w:szCs w:val="21"/>
        </w:rPr>
        <w:t>天内向采购代理机构提供通过电子加密投标文件全套打印装订成册的纸质投标文件（加盖公章），具体份数根据采购人要求提供。</w:t>
      </w:r>
    </w:p>
    <w:p>
      <w:pPr>
        <w:widowControl/>
        <w:spacing w:line="360" w:lineRule="auto"/>
        <w:jc w:val="left"/>
        <w:rPr>
          <w:rFonts w:cs="宋体" w:asciiTheme="minorEastAsia" w:hAnsiTheme="minorEastAsia" w:eastAsiaTheme="minorEastAsia"/>
          <w:kern w:val="0"/>
          <w:sz w:val="24"/>
        </w:rPr>
      </w:pPr>
      <w:r>
        <w:rPr>
          <w:rFonts w:cs="宋体" w:eastAsiaTheme="minorEastAsia"/>
          <w:b/>
          <w:szCs w:val="21"/>
        </w:rPr>
        <w:t>1</w:t>
      </w:r>
      <w:r>
        <w:rPr>
          <w:rFonts w:hint="eastAsia" w:cs="宋体" w:eastAsiaTheme="minorEastAsia"/>
          <w:b/>
          <w:szCs w:val="21"/>
        </w:rPr>
        <w:t>1</w:t>
      </w:r>
      <w:r>
        <w:rPr>
          <w:rFonts w:hint="eastAsia" w:cs="宋体" w:asciiTheme="minorEastAsia" w:hAnsiTheme="minorEastAsia" w:eastAsiaTheme="minorEastAsia"/>
          <w:b/>
          <w:szCs w:val="21"/>
        </w:rPr>
        <w:t>.</w:t>
      </w:r>
      <w:r>
        <w:rPr>
          <w:rFonts w:cs="宋体" w:eastAsiaTheme="minorEastAsia"/>
          <w:b/>
          <w:szCs w:val="21"/>
        </w:rPr>
        <w:t>4</w:t>
      </w:r>
      <w:r>
        <w:rPr>
          <w:rFonts w:hint="eastAsia" w:cs="宋体" w:asciiTheme="minorEastAsia" w:hAnsiTheme="minorEastAsia" w:eastAsiaTheme="minorEastAsia"/>
          <w:b/>
          <w:bCs/>
          <w:kern w:val="0"/>
          <w:szCs w:val="21"/>
        </w:rPr>
        <w:t xml:space="preserve">电子投标文件部分：投标人应根据“政采云供应商项目采购-电子招投标操作指南”及本采购文件规定的格式和顺序编制电子投标文件并进行关联定位；电子投标文件中须加盖供应商公章部分均采用 </w:t>
      </w:r>
      <w:r>
        <w:rPr>
          <w:rFonts w:hint="eastAsia" w:cs="宋体" w:eastAsiaTheme="minorEastAsia"/>
          <w:b/>
          <w:bCs/>
          <w:kern w:val="0"/>
          <w:szCs w:val="21"/>
        </w:rPr>
        <w:t>CA</w:t>
      </w:r>
      <w:r>
        <w:rPr>
          <w:rFonts w:hint="eastAsia" w:cs="宋体" w:asciiTheme="minorEastAsia" w:hAnsiTheme="minorEastAsia" w:eastAsiaTheme="minorEastAsia"/>
          <w:b/>
          <w:bCs/>
          <w:kern w:val="0"/>
          <w:szCs w:val="21"/>
        </w:rPr>
        <w:t xml:space="preserve"> 签章，签字部分可用 </w:t>
      </w:r>
      <w:r>
        <w:rPr>
          <w:rFonts w:hint="eastAsia" w:cs="宋体" w:eastAsiaTheme="minorEastAsia"/>
          <w:b/>
          <w:bCs/>
          <w:kern w:val="0"/>
          <w:szCs w:val="21"/>
        </w:rPr>
        <w:t>CA</w:t>
      </w:r>
      <w:r>
        <w:rPr>
          <w:rFonts w:hint="eastAsia" w:cs="宋体" w:asciiTheme="minorEastAsia" w:hAnsiTheme="minorEastAsia" w:eastAsiaTheme="minorEastAsia"/>
          <w:b/>
          <w:bCs/>
          <w:kern w:val="0"/>
          <w:szCs w:val="21"/>
        </w:rPr>
        <w:t xml:space="preserve"> 锁法人章（如有），未申请法人章的将签名部分签好后以扫描件形式上传至投标文件（具体操作请咨询政采云</w:t>
      </w:r>
      <w:r>
        <w:rPr>
          <w:rFonts w:hint="eastAsia" w:cs="宋体" w:eastAsiaTheme="minorEastAsia"/>
          <w:b/>
          <w:bCs/>
          <w:kern w:val="0"/>
          <w:szCs w:val="21"/>
        </w:rPr>
        <w:t>400</w:t>
      </w:r>
      <w:r>
        <w:rPr>
          <w:rFonts w:hint="eastAsia" w:cs="宋体" w:asciiTheme="minorEastAsia" w:hAnsiTheme="minorEastAsia" w:eastAsiaTheme="minorEastAsia"/>
          <w:b/>
          <w:bCs/>
          <w:kern w:val="0"/>
          <w:szCs w:val="21"/>
        </w:rPr>
        <w:t>-</w:t>
      </w:r>
      <w:r>
        <w:rPr>
          <w:rFonts w:hint="eastAsia" w:cs="宋体" w:eastAsiaTheme="minorEastAsia"/>
          <w:b/>
          <w:bCs/>
          <w:kern w:val="0"/>
          <w:szCs w:val="21"/>
        </w:rPr>
        <w:t>8817190</w:t>
      </w:r>
      <w:r>
        <w:rPr>
          <w:rFonts w:hint="eastAsia" w:cs="宋体" w:asciiTheme="minorEastAsia" w:hAnsiTheme="minorEastAsia" w:eastAsiaTheme="minorEastAsia"/>
          <w:b/>
          <w:bCs/>
          <w:kern w:val="0"/>
          <w:szCs w:val="21"/>
        </w:rPr>
        <w:t>）。</w:t>
      </w:r>
    </w:p>
    <w:p>
      <w:pPr>
        <w:spacing w:line="400" w:lineRule="exact"/>
        <w:rPr>
          <w:rFonts w:ascii="宋体" w:hAnsi="宋体" w:cs="宋体"/>
          <w:b/>
          <w:szCs w:val="21"/>
        </w:rPr>
      </w:pPr>
      <w:r>
        <w:rPr>
          <w:rFonts w:hint="eastAsia" w:cs="宋体" w:eastAsiaTheme="minorEastAsia"/>
          <w:b/>
          <w:szCs w:val="21"/>
        </w:rPr>
        <w:t>11</w:t>
      </w:r>
      <w:r>
        <w:rPr>
          <w:rFonts w:hint="eastAsia" w:cs="宋体" w:asciiTheme="minorEastAsia" w:hAnsiTheme="minorEastAsia" w:eastAsiaTheme="minorEastAsia"/>
          <w:b/>
          <w:szCs w:val="21"/>
        </w:rPr>
        <w:t>.</w:t>
      </w:r>
      <w:r>
        <w:rPr>
          <w:rFonts w:cs="宋体" w:eastAsiaTheme="minorEastAsia"/>
          <w:b/>
          <w:szCs w:val="21"/>
        </w:rPr>
        <w:t>5</w:t>
      </w:r>
      <w:r>
        <w:rPr>
          <w:rFonts w:hint="eastAsia" w:cs="宋体" w:asciiTheme="minorEastAsia" w:hAnsiTheme="minorEastAsia" w:eastAsiaTheme="minorEastAsia"/>
          <w:b/>
          <w:bCs/>
          <w:kern w:val="0"/>
          <w:szCs w:val="21"/>
        </w:rPr>
        <w:t xml:space="preserve">以 </w:t>
      </w:r>
      <w:r>
        <w:rPr>
          <w:rFonts w:hint="eastAsia" w:cs="宋体" w:eastAsiaTheme="minorEastAsia"/>
          <w:b/>
          <w:bCs/>
          <w:kern w:val="0"/>
          <w:szCs w:val="21"/>
        </w:rPr>
        <w:t>U</w:t>
      </w:r>
      <w:r>
        <w:rPr>
          <w:rFonts w:hint="eastAsia" w:cs="宋体" w:asciiTheme="minorEastAsia" w:hAnsiTheme="minorEastAsia" w:eastAsiaTheme="minorEastAsia"/>
          <w:b/>
          <w:bCs/>
          <w:kern w:val="0"/>
          <w:szCs w:val="21"/>
        </w:rPr>
        <w:t xml:space="preserve"> 盘存储的备份投标文件，单独密封递交。</w:t>
      </w:r>
    </w:p>
    <w:p>
      <w:pPr>
        <w:spacing w:line="400" w:lineRule="exact"/>
        <w:rPr>
          <w:rFonts w:ascii="宋体" w:hAnsi="宋体" w:cs="宋体"/>
          <w:b/>
          <w:szCs w:val="21"/>
        </w:rPr>
      </w:pPr>
      <w:r>
        <w:rPr>
          <w:rFonts w:hint="eastAsia" w:cs="宋体"/>
          <w:b/>
          <w:szCs w:val="21"/>
        </w:rPr>
        <w:t>11</w:t>
      </w:r>
      <w:r>
        <w:rPr>
          <w:rFonts w:hint="eastAsia" w:ascii="宋体" w:hAnsi="宋体" w:cs="宋体"/>
          <w:b/>
          <w:szCs w:val="21"/>
        </w:rPr>
        <w:t>.</w:t>
      </w:r>
      <w:r>
        <w:rPr>
          <w:rFonts w:cs="宋体"/>
          <w:b/>
          <w:szCs w:val="21"/>
        </w:rPr>
        <w:t>6</w:t>
      </w:r>
      <w:r>
        <w:rPr>
          <w:rFonts w:hint="eastAsia" w:ascii="宋体" w:hAnsi="宋体" w:cs="宋体"/>
          <w:szCs w:val="21"/>
        </w:rPr>
        <w:t>除采购文件有特殊要求外，投标文件中所使用的计量单位应采用国家法定计量单位。</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12</w:t>
      </w:r>
      <w:r>
        <w:rPr>
          <w:rFonts w:hint="eastAsia" w:ascii="宋体" w:hAnsi="宋体" w:cs="宋体"/>
          <w:b/>
          <w:szCs w:val="21"/>
        </w:rPr>
        <w:t>. 投标有效期</w:t>
      </w:r>
    </w:p>
    <w:p>
      <w:pPr>
        <w:spacing w:line="400" w:lineRule="exact"/>
        <w:rPr>
          <w:rFonts w:ascii="宋体" w:hAnsi="宋体" w:cs="宋体"/>
          <w:szCs w:val="21"/>
        </w:rPr>
      </w:pPr>
      <w:r>
        <w:rPr>
          <w:rFonts w:hint="eastAsia" w:cs="宋体"/>
          <w:b/>
          <w:szCs w:val="21"/>
        </w:rPr>
        <w:t>12</w:t>
      </w:r>
      <w:r>
        <w:rPr>
          <w:rFonts w:hint="eastAsia" w:ascii="宋体" w:hAnsi="宋体" w:cs="宋体"/>
          <w:b/>
          <w:szCs w:val="21"/>
        </w:rPr>
        <w:t>.</w:t>
      </w:r>
      <w:r>
        <w:rPr>
          <w:rFonts w:hint="eastAsia" w:cs="宋体"/>
          <w:b/>
          <w:szCs w:val="21"/>
        </w:rPr>
        <w:t>1</w:t>
      </w:r>
      <w:r>
        <w:rPr>
          <w:rFonts w:hint="eastAsia" w:ascii="宋体" w:hAnsi="宋体" w:cs="宋体"/>
          <w:szCs w:val="21"/>
        </w:rPr>
        <w:t>投标有效期在本采购文件“投标资料表”中做出规定。投标有效期从提交投标文件的截止之日起算。投标文件中承诺的投标有效期应当不少于采购文件中载明的投标有效期。投标有效期内投标人撤销投标文件的，采购人或者采购代理机构可以不退还投标保证金。</w:t>
      </w:r>
    </w:p>
    <w:p>
      <w:pPr>
        <w:spacing w:line="400" w:lineRule="exact"/>
        <w:rPr>
          <w:rFonts w:ascii="宋体" w:hAnsi="宋体" w:cs="宋体"/>
          <w:szCs w:val="21"/>
        </w:rPr>
      </w:pPr>
      <w:r>
        <w:rPr>
          <w:rFonts w:hint="eastAsia" w:cs="宋体"/>
          <w:b/>
          <w:szCs w:val="21"/>
        </w:rPr>
        <w:t>12</w:t>
      </w:r>
      <w:r>
        <w:rPr>
          <w:rFonts w:hint="eastAsia" w:ascii="宋体" w:hAnsi="宋体" w:cs="宋体"/>
          <w:b/>
          <w:szCs w:val="21"/>
        </w:rPr>
        <w:t>.</w:t>
      </w:r>
      <w:r>
        <w:rPr>
          <w:rFonts w:hint="eastAsia" w:cs="宋体"/>
          <w:b/>
          <w:szCs w:val="21"/>
        </w:rPr>
        <w:t>2</w:t>
      </w:r>
      <w:r>
        <w:rPr>
          <w:rFonts w:hint="eastAsia" w:ascii="宋体" w:hAnsi="宋体" w:cs="宋体"/>
          <w:szCs w:val="21"/>
        </w:rPr>
        <w:t>在特殊情况下，在原投标有效期截止之前，应采购人要求，采购代理机构可要求投标人延长投标有效期，这种要求的提出和投标人的答复都应以书面（含传真）的形式进行。同意延长有效期的投标人不会被要求或允许修改其投标文件。若投标人不接受延期要求，则其投标失效，其投标保证金予以退还。</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13</w:t>
      </w:r>
      <w:r>
        <w:rPr>
          <w:rFonts w:hint="eastAsia" w:ascii="宋体" w:hAnsi="宋体" w:cs="宋体"/>
          <w:b/>
          <w:szCs w:val="21"/>
        </w:rPr>
        <w:t xml:space="preserve">  投标保证金</w:t>
      </w:r>
    </w:p>
    <w:p>
      <w:pPr>
        <w:spacing w:line="400" w:lineRule="exact"/>
        <w:rPr>
          <w:rFonts w:ascii="宋体" w:hAnsi="宋体" w:cs="宋体"/>
          <w:bCs/>
          <w:szCs w:val="21"/>
        </w:rPr>
      </w:pPr>
      <w:r>
        <w:rPr>
          <w:rFonts w:hint="eastAsia" w:cs="宋体"/>
          <w:bCs/>
          <w:szCs w:val="21"/>
        </w:rPr>
        <w:t>本项目不设置投标保证金。</w:t>
      </w:r>
    </w:p>
    <w:p>
      <w:pPr>
        <w:spacing w:line="400" w:lineRule="exact"/>
        <w:rPr>
          <w:rFonts w:ascii="宋体" w:hAnsi="宋体" w:cs="宋体"/>
          <w:sz w:val="24"/>
          <w:u w:val="single"/>
        </w:rPr>
      </w:pPr>
    </w:p>
    <w:p>
      <w:pPr>
        <w:jc w:val="center"/>
        <w:outlineLvl w:val="1"/>
        <w:rPr>
          <w:rFonts w:ascii="宋体" w:hAnsi="宋体" w:cs="宋体"/>
          <w:b/>
          <w:sz w:val="28"/>
        </w:rPr>
      </w:pPr>
      <w:bookmarkStart w:id="56" w:name="_Toc513799074"/>
      <w:bookmarkStart w:id="57" w:name="_Toc440276564"/>
      <w:bookmarkStart w:id="58" w:name="_Toc520902397"/>
      <w:bookmarkStart w:id="59" w:name="_Toc513798903"/>
      <w:r>
        <w:rPr>
          <w:rFonts w:hint="eastAsia" w:cs="宋体"/>
          <w:b/>
          <w:sz w:val="28"/>
        </w:rPr>
        <w:t>D</w:t>
      </w:r>
      <w:r>
        <w:rPr>
          <w:rFonts w:hint="eastAsia" w:ascii="宋体" w:hAnsi="宋体" w:cs="宋体"/>
          <w:b/>
          <w:sz w:val="28"/>
        </w:rPr>
        <w:t xml:space="preserve">  投标文件的递交</w:t>
      </w:r>
      <w:bookmarkEnd w:id="56"/>
      <w:bookmarkEnd w:id="57"/>
      <w:bookmarkEnd w:id="58"/>
      <w:bookmarkEnd w:id="59"/>
    </w:p>
    <w:p>
      <w:pPr>
        <w:spacing w:line="400" w:lineRule="exact"/>
        <w:rPr>
          <w:rFonts w:cs="宋体" w:asciiTheme="minorEastAsia" w:hAnsiTheme="minorEastAsia" w:eastAsiaTheme="minorEastAsia"/>
          <w:szCs w:val="21"/>
        </w:rPr>
      </w:pPr>
      <w:r>
        <w:rPr>
          <w:rFonts w:hint="eastAsia" w:cs="宋体" w:eastAsiaTheme="minorEastAsia"/>
          <w:b/>
          <w:szCs w:val="21"/>
        </w:rPr>
        <w:t>14</w:t>
      </w:r>
      <w:r>
        <w:rPr>
          <w:rFonts w:hint="eastAsia" w:cs="宋体" w:asciiTheme="minorEastAsia" w:hAnsiTheme="minorEastAsia" w:eastAsiaTheme="minorEastAsia"/>
          <w:b/>
          <w:szCs w:val="21"/>
        </w:rPr>
        <w:t>.投标文件的装订、密封、标记和递送</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eastAsiaTheme="minorEastAsia"/>
          <w:b/>
          <w:szCs w:val="21"/>
        </w:rPr>
        <w:t>14</w:t>
      </w:r>
      <w:r>
        <w:rPr>
          <w:rFonts w:hint="eastAsia" w:cs="宋体" w:asciiTheme="minorEastAsia" w:hAnsiTheme="minorEastAsia" w:eastAsiaTheme="minorEastAsia"/>
          <w:b/>
          <w:szCs w:val="21"/>
        </w:rPr>
        <w:t>.</w:t>
      </w:r>
      <w:r>
        <w:rPr>
          <w:rFonts w:hint="eastAsia" w:cs="宋体" w:eastAsiaTheme="minorEastAsia"/>
          <w:b/>
          <w:szCs w:val="21"/>
        </w:rPr>
        <w:t>1</w:t>
      </w:r>
      <w:r>
        <w:rPr>
          <w:rFonts w:hint="eastAsia" w:cs="宋体" w:asciiTheme="minorEastAsia" w:hAnsiTheme="minorEastAsia" w:eastAsiaTheme="minorEastAsia"/>
          <w:kern w:val="0"/>
          <w:szCs w:val="21"/>
        </w:rPr>
        <w:t>电子投标文件：供应商应根据“项目采购-电子招投标操作指南”及本采购文件规定的格式和顺序编制电子投标文件并进行关联定位。</w:t>
      </w:r>
    </w:p>
    <w:p>
      <w:pPr>
        <w:spacing w:line="400" w:lineRule="exact"/>
        <w:rPr>
          <w:rFonts w:cs="宋体" w:asciiTheme="minorEastAsia" w:hAnsiTheme="minorEastAsia" w:eastAsiaTheme="minorEastAsia"/>
          <w:kern w:val="0"/>
          <w:sz w:val="24"/>
        </w:rPr>
      </w:pPr>
      <w:r>
        <w:rPr>
          <w:rFonts w:hint="eastAsia" w:cs="宋体" w:eastAsiaTheme="minorEastAsia"/>
          <w:b/>
          <w:szCs w:val="21"/>
        </w:rPr>
        <w:t>14</w:t>
      </w:r>
      <w:r>
        <w:rPr>
          <w:rFonts w:hint="eastAsia" w:cs="宋体" w:asciiTheme="minorEastAsia" w:hAnsiTheme="minorEastAsia" w:eastAsiaTheme="minorEastAsia"/>
          <w:b/>
          <w:szCs w:val="21"/>
        </w:rPr>
        <w:t>.</w:t>
      </w:r>
      <w:r>
        <w:rPr>
          <w:rFonts w:hint="eastAsia" w:cs="宋体" w:eastAsiaTheme="minorEastAsia"/>
          <w:b/>
          <w:bCs/>
          <w:kern w:val="0"/>
          <w:szCs w:val="21"/>
        </w:rPr>
        <w:t>2</w:t>
      </w:r>
      <w:r>
        <w:rPr>
          <w:rFonts w:hint="eastAsia" w:cs="宋体" w:asciiTheme="minorEastAsia" w:hAnsiTheme="minorEastAsia" w:eastAsiaTheme="minorEastAsia"/>
          <w:b/>
          <w:bCs/>
          <w:kern w:val="0"/>
          <w:szCs w:val="21"/>
        </w:rPr>
        <w:t xml:space="preserve">  电子备份投标文件：单独包封，外包装封面上应注明投标人名称、投标人地址、投标文件名称（电子投标文件的备份文件）、投标项目名称、项目编号及“开标时启封”字样，并加盖投标人公章。</w:t>
      </w:r>
    </w:p>
    <w:p>
      <w:pPr>
        <w:spacing w:line="400" w:lineRule="exact"/>
        <w:rPr>
          <w:rFonts w:cs="宋体" w:asciiTheme="minorEastAsia" w:hAnsiTheme="minorEastAsia" w:eastAsiaTheme="minorEastAsia"/>
          <w:kern w:val="0"/>
          <w:sz w:val="24"/>
        </w:rPr>
      </w:pPr>
      <w:r>
        <w:rPr>
          <w:rFonts w:hint="eastAsia" w:cs="宋体" w:eastAsiaTheme="minorEastAsia"/>
          <w:b/>
          <w:szCs w:val="21"/>
        </w:rPr>
        <w:t>14</w:t>
      </w:r>
      <w:r>
        <w:rPr>
          <w:rFonts w:hint="eastAsia" w:cs="宋体" w:asciiTheme="minorEastAsia" w:hAnsiTheme="minorEastAsia" w:eastAsiaTheme="minorEastAsia"/>
          <w:b/>
          <w:szCs w:val="21"/>
        </w:rPr>
        <w:t>.</w:t>
      </w:r>
      <w:r>
        <w:rPr>
          <w:rFonts w:hint="eastAsia" w:cs="宋体" w:eastAsiaTheme="minorEastAsia"/>
          <w:b/>
          <w:bCs/>
          <w:kern w:val="0"/>
          <w:szCs w:val="21"/>
        </w:rPr>
        <w:t>3</w:t>
      </w:r>
      <w:r>
        <w:rPr>
          <w:rFonts w:hint="eastAsia" w:cs="宋体" w:asciiTheme="minorEastAsia" w:hAnsiTheme="minorEastAsia" w:eastAsiaTheme="minorEastAsia"/>
          <w:b/>
          <w:bCs/>
          <w:kern w:val="0"/>
          <w:szCs w:val="21"/>
        </w:rPr>
        <w:t xml:space="preserve">  未按规定密封或标记的投标文件，采购人有权拒绝接受其投标。</w:t>
      </w:r>
    </w:p>
    <w:p>
      <w:pPr>
        <w:spacing w:line="400" w:lineRule="exact"/>
        <w:rPr>
          <w:rFonts w:ascii="宋体" w:hAnsi="宋体" w:cs="宋体"/>
          <w:szCs w:val="21"/>
        </w:rPr>
      </w:pPr>
      <w:r>
        <w:rPr>
          <w:rFonts w:hint="eastAsia" w:cs="宋体" w:eastAsiaTheme="minorEastAsia"/>
          <w:szCs w:val="21"/>
        </w:rPr>
        <w:t>14</w:t>
      </w:r>
      <w:r>
        <w:rPr>
          <w:rFonts w:hint="eastAsia" w:cs="宋体" w:asciiTheme="minorEastAsia" w:hAnsiTheme="minorEastAsia" w:eastAsiaTheme="minorEastAsia"/>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 xml:space="preserve">  如果投标人未按上述要求密封或标记而造成投标文件被误投或提前拆封的风险由投标人承担。</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15</w:t>
      </w:r>
      <w:r>
        <w:rPr>
          <w:rFonts w:hint="eastAsia" w:ascii="宋体" w:hAnsi="宋体" w:cs="宋体"/>
          <w:b/>
          <w:szCs w:val="21"/>
        </w:rPr>
        <w:t>. 投标截止时间</w:t>
      </w:r>
    </w:p>
    <w:p>
      <w:pPr>
        <w:spacing w:line="400" w:lineRule="exact"/>
        <w:rPr>
          <w:rFonts w:ascii="宋体" w:hAnsi="宋体" w:cs="宋体"/>
          <w:szCs w:val="21"/>
        </w:rPr>
      </w:pPr>
      <w:r>
        <w:rPr>
          <w:rFonts w:hint="eastAsia" w:cs="宋体"/>
          <w:b/>
          <w:szCs w:val="21"/>
        </w:rPr>
        <w:t>15</w:t>
      </w:r>
      <w:r>
        <w:rPr>
          <w:rFonts w:hint="eastAsia" w:ascii="宋体" w:hAnsi="宋体" w:cs="宋体"/>
          <w:b/>
          <w:szCs w:val="21"/>
        </w:rPr>
        <w:t>.</w:t>
      </w:r>
      <w:r>
        <w:rPr>
          <w:rFonts w:hint="eastAsia" w:cs="宋体"/>
          <w:b/>
          <w:szCs w:val="21"/>
        </w:rPr>
        <w:t>1</w:t>
      </w:r>
      <w:r>
        <w:rPr>
          <w:rFonts w:hint="eastAsia" w:ascii="宋体" w:hAnsi="宋体" w:cs="宋体"/>
          <w:szCs w:val="21"/>
        </w:rPr>
        <w:t>投标人应在采购文件要求提交（上传）投标文件的截止时间前，将投标文件上传至政府采购云平台。采购代理机构</w:t>
      </w:r>
      <w:r>
        <w:rPr>
          <w:rFonts w:hint="eastAsia" w:ascii="宋体" w:hAnsi="宋体" w:cs="宋体"/>
          <w:b/>
          <w:szCs w:val="21"/>
        </w:rPr>
        <w:t>拒绝接收在投标截止时间以后提交（上传）的投标文件</w:t>
      </w:r>
      <w:r>
        <w:rPr>
          <w:rFonts w:hint="eastAsia" w:ascii="宋体" w:hAnsi="宋体" w:cs="宋体"/>
          <w:szCs w:val="21"/>
        </w:rPr>
        <w:t>。</w:t>
      </w:r>
    </w:p>
    <w:p>
      <w:pPr>
        <w:spacing w:line="400" w:lineRule="exact"/>
        <w:rPr>
          <w:rFonts w:ascii="宋体" w:hAnsi="宋体" w:cs="宋体"/>
          <w:szCs w:val="21"/>
        </w:rPr>
      </w:pPr>
      <w:r>
        <w:rPr>
          <w:rFonts w:hint="eastAsia" w:cs="宋体"/>
          <w:b/>
          <w:szCs w:val="21"/>
        </w:rPr>
        <w:t>15</w:t>
      </w:r>
      <w:r>
        <w:rPr>
          <w:rFonts w:hint="eastAsia" w:ascii="宋体" w:hAnsi="宋体" w:cs="宋体"/>
          <w:b/>
          <w:szCs w:val="21"/>
        </w:rPr>
        <w:t>.</w:t>
      </w:r>
      <w:r>
        <w:rPr>
          <w:rFonts w:hint="eastAsia" w:cs="宋体"/>
          <w:b/>
          <w:szCs w:val="21"/>
        </w:rPr>
        <w:t>2</w:t>
      </w:r>
      <w:r>
        <w:rPr>
          <w:rFonts w:hint="eastAsia" w:ascii="宋体" w:hAnsi="宋体" w:cs="宋体"/>
          <w:szCs w:val="21"/>
        </w:rPr>
        <w:t>采购代理机构因故需推迟投标截止时间、开标时间时，应提前以公告或书面的形式通知购买采购文件的所有潜在投标人。潜在投标人在收到通知后应立即以书面形式回复采购代理机构。在这种情况下，采购代理机构和潜在投标人相应的权利和义务将受到新的截止期的约束。</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16</w:t>
      </w:r>
      <w:r>
        <w:rPr>
          <w:rFonts w:hint="eastAsia" w:ascii="宋体" w:hAnsi="宋体" w:cs="宋体"/>
          <w:b/>
          <w:szCs w:val="21"/>
        </w:rPr>
        <w:t>.投标文件的修改和撤回</w:t>
      </w:r>
    </w:p>
    <w:p>
      <w:pPr>
        <w:spacing w:line="400" w:lineRule="exact"/>
        <w:rPr>
          <w:rFonts w:ascii="宋体" w:hAnsi="宋体" w:cs="宋体"/>
          <w:szCs w:val="21"/>
        </w:rPr>
      </w:pPr>
      <w:r>
        <w:rPr>
          <w:rFonts w:hint="eastAsia" w:cs="宋体"/>
          <w:b/>
          <w:szCs w:val="21"/>
        </w:rPr>
        <w:t>16</w:t>
      </w:r>
      <w:r>
        <w:rPr>
          <w:rFonts w:hint="eastAsia" w:ascii="宋体" w:hAnsi="宋体" w:cs="宋体"/>
          <w:b/>
          <w:szCs w:val="21"/>
        </w:rPr>
        <w:t>.</w:t>
      </w:r>
      <w:r>
        <w:rPr>
          <w:rFonts w:hint="eastAsia" w:cs="宋体"/>
          <w:b/>
          <w:szCs w:val="21"/>
        </w:rPr>
        <w:t>1</w:t>
      </w:r>
      <w:r>
        <w:rPr>
          <w:rFonts w:hint="eastAsia" w:ascii="宋体" w:hAnsi="宋体" w:cs="宋体"/>
          <w:szCs w:val="21"/>
        </w:rPr>
        <w:t>投标人在投标截止时间前，可以对已经提交的投标文件进行补充、修改或者撤回。</w:t>
      </w:r>
    </w:p>
    <w:p>
      <w:pPr>
        <w:spacing w:line="400" w:lineRule="exact"/>
        <w:ind w:firstLine="630" w:firstLineChars="300"/>
        <w:rPr>
          <w:rFonts w:ascii="宋体" w:hAnsi="宋体" w:cs="宋体"/>
          <w:szCs w:val="21"/>
        </w:rPr>
      </w:pPr>
      <w:r>
        <w:rPr>
          <w:rFonts w:hint="eastAsia" w:ascii="宋体" w:hAnsi="宋体" w:cs="宋体"/>
          <w:szCs w:val="21"/>
        </w:rPr>
        <w:t>对已经完成传输递交的电子加密投标文件进行补充或者修改的，应当先行撤回原文件，补充、修改后重新传输递交。投标人在投标截止时间前未重新完成传输递交的，视为撤回投标文件。投标截止时间后递交的电子加密投标文件，电子交易平台将拒收。</w:t>
      </w:r>
    </w:p>
    <w:p>
      <w:pPr>
        <w:spacing w:line="400" w:lineRule="exact"/>
        <w:ind w:firstLine="630" w:firstLineChars="300"/>
        <w:rPr>
          <w:rFonts w:ascii="宋体" w:hAnsi="宋体" w:cs="宋体"/>
          <w:szCs w:val="21"/>
        </w:rPr>
      </w:pPr>
      <w:r>
        <w:rPr>
          <w:rFonts w:hint="eastAsia" w:ascii="宋体" w:hAnsi="宋体" w:cs="宋体"/>
          <w:szCs w:val="21"/>
        </w:rPr>
        <w:t>投标人在投标截止时间前递交了需要补充或修改的电子加密投标文件的备份投标文件，可以重新提交补充或修改后的备份投标文件。</w:t>
      </w:r>
    </w:p>
    <w:p>
      <w:pPr>
        <w:spacing w:line="400" w:lineRule="exact"/>
        <w:rPr>
          <w:rFonts w:ascii="宋体" w:hAnsi="宋体" w:cs="宋体"/>
          <w:szCs w:val="21"/>
        </w:rPr>
      </w:pPr>
      <w:r>
        <w:rPr>
          <w:rFonts w:hint="eastAsia" w:cs="宋体"/>
          <w:b/>
          <w:szCs w:val="21"/>
        </w:rPr>
        <w:t>16</w:t>
      </w:r>
      <w:r>
        <w:rPr>
          <w:rFonts w:hint="eastAsia" w:ascii="宋体" w:hAnsi="宋体" w:cs="宋体"/>
          <w:b/>
          <w:szCs w:val="21"/>
        </w:rPr>
        <w:t>.</w:t>
      </w:r>
      <w:r>
        <w:rPr>
          <w:rFonts w:hint="eastAsia" w:cs="宋体"/>
          <w:b/>
          <w:szCs w:val="21"/>
        </w:rPr>
        <w:t>2</w:t>
      </w:r>
      <w:r>
        <w:rPr>
          <w:rFonts w:hint="eastAsia" w:ascii="宋体" w:hAnsi="宋体" w:cs="宋体"/>
          <w:szCs w:val="21"/>
        </w:rPr>
        <w:t>投标截止时间后，投标人不得对其投标文件进行补充、修改。</w:t>
      </w:r>
    </w:p>
    <w:p>
      <w:pPr>
        <w:spacing w:line="400" w:lineRule="exact"/>
        <w:rPr>
          <w:rFonts w:ascii="宋体" w:hAnsi="宋体" w:cs="宋体"/>
          <w:szCs w:val="21"/>
        </w:rPr>
      </w:pPr>
    </w:p>
    <w:p>
      <w:pPr>
        <w:jc w:val="center"/>
        <w:outlineLvl w:val="1"/>
        <w:rPr>
          <w:rFonts w:ascii="宋体" w:hAnsi="宋体" w:cs="宋体"/>
          <w:b/>
          <w:sz w:val="28"/>
        </w:rPr>
      </w:pPr>
      <w:bookmarkStart w:id="60" w:name="_Toc513798904"/>
      <w:bookmarkStart w:id="61" w:name="_Toc520902398"/>
      <w:bookmarkStart w:id="62" w:name="_Toc513799075"/>
      <w:bookmarkStart w:id="63" w:name="_Toc440276565"/>
      <w:r>
        <w:rPr>
          <w:rFonts w:hint="eastAsia" w:cs="宋体"/>
          <w:b/>
          <w:sz w:val="28"/>
        </w:rPr>
        <w:t>E</w:t>
      </w:r>
      <w:r>
        <w:rPr>
          <w:rFonts w:hint="eastAsia" w:ascii="宋体" w:hAnsi="宋体" w:cs="宋体"/>
          <w:b/>
          <w:sz w:val="28"/>
        </w:rPr>
        <w:t xml:space="preserve">  开标</w:t>
      </w:r>
      <w:bookmarkEnd w:id="60"/>
      <w:bookmarkEnd w:id="61"/>
      <w:bookmarkEnd w:id="62"/>
      <w:bookmarkEnd w:id="63"/>
    </w:p>
    <w:p>
      <w:pPr>
        <w:spacing w:line="400" w:lineRule="exact"/>
        <w:rPr>
          <w:rFonts w:cs="宋体" w:asciiTheme="minorEastAsia" w:hAnsiTheme="minorEastAsia" w:eastAsiaTheme="minorEastAsia"/>
          <w:szCs w:val="21"/>
        </w:rPr>
      </w:pPr>
      <w:r>
        <w:rPr>
          <w:rFonts w:hint="eastAsia" w:cs="宋体" w:eastAsiaTheme="minorEastAsia"/>
          <w:b/>
          <w:szCs w:val="21"/>
        </w:rPr>
        <w:t>17</w:t>
      </w:r>
      <w:r>
        <w:rPr>
          <w:rFonts w:hint="eastAsia" w:cs="宋体" w:asciiTheme="minorEastAsia" w:hAnsiTheme="minorEastAsia" w:eastAsiaTheme="minorEastAsia"/>
          <w:szCs w:val="21"/>
        </w:rPr>
        <w:t>.</w:t>
      </w:r>
      <w:r>
        <w:rPr>
          <w:rFonts w:hint="eastAsia" w:cs="宋体" w:asciiTheme="minorEastAsia" w:hAnsiTheme="minorEastAsia" w:eastAsiaTheme="minorEastAsia"/>
          <w:b/>
          <w:szCs w:val="21"/>
        </w:rPr>
        <w:t>开标</w:t>
      </w:r>
    </w:p>
    <w:p>
      <w:pPr>
        <w:spacing w:line="400" w:lineRule="exact"/>
        <w:rPr>
          <w:rFonts w:cs="宋体" w:asciiTheme="minorEastAsia" w:hAnsiTheme="minorEastAsia" w:eastAsiaTheme="minorEastAsia"/>
          <w:szCs w:val="21"/>
        </w:rPr>
      </w:pPr>
      <w:r>
        <w:rPr>
          <w:rFonts w:hint="eastAsia" w:cs="宋体" w:eastAsiaTheme="minorEastAsia"/>
          <w:b/>
          <w:szCs w:val="21"/>
        </w:rPr>
        <w:t>17</w:t>
      </w:r>
      <w:r>
        <w:rPr>
          <w:rFonts w:hint="eastAsia" w:cs="宋体" w:asciiTheme="minorEastAsia" w:hAnsiTheme="minorEastAsia" w:eastAsiaTheme="minorEastAsia"/>
          <w:b/>
          <w:szCs w:val="21"/>
        </w:rPr>
        <w:t>.</w:t>
      </w:r>
      <w:r>
        <w:rPr>
          <w:rFonts w:hint="eastAsia" w:cs="宋体" w:eastAsiaTheme="minorEastAsia"/>
          <w:b/>
          <w:szCs w:val="21"/>
        </w:rPr>
        <w:t>1</w:t>
      </w:r>
      <w:r>
        <w:rPr>
          <w:rFonts w:hint="eastAsia" w:cs="宋体" w:asciiTheme="minorEastAsia" w:hAnsiTheme="minorEastAsia" w:eastAsiaTheme="minorEastAsia"/>
          <w:szCs w:val="21"/>
        </w:rPr>
        <w:t>采购代理机构按采购文件规定的时间、地点主持公开开标。</w:t>
      </w:r>
    </w:p>
    <w:p>
      <w:pPr>
        <w:spacing w:line="400" w:lineRule="exact"/>
        <w:rPr>
          <w:rFonts w:ascii="宋体" w:hAnsi="宋体" w:cs="宋体"/>
          <w:szCs w:val="21"/>
        </w:rPr>
      </w:pPr>
      <w:r>
        <w:rPr>
          <w:rFonts w:hint="eastAsia" w:cs="宋体"/>
          <w:b/>
          <w:szCs w:val="21"/>
        </w:rPr>
        <w:t>17</w:t>
      </w:r>
      <w:r>
        <w:rPr>
          <w:rFonts w:hint="eastAsia" w:ascii="宋体" w:hAnsi="宋体" w:cs="宋体"/>
          <w:b/>
          <w:szCs w:val="21"/>
        </w:rPr>
        <w:t>.</w:t>
      </w:r>
      <w:r>
        <w:rPr>
          <w:rFonts w:hint="eastAsia" w:cs="宋体"/>
          <w:b/>
          <w:szCs w:val="21"/>
        </w:rPr>
        <w:t>2</w:t>
      </w:r>
      <w:r>
        <w:rPr>
          <w:rFonts w:hint="eastAsia" w:ascii="宋体" w:hAnsi="宋体" w:cs="宋体"/>
          <w:bCs/>
          <w:szCs w:val="21"/>
        </w:rPr>
        <w:t>投标文件开启步骤：详见第二部分“投标资料表”。</w:t>
      </w:r>
    </w:p>
    <w:p>
      <w:pPr>
        <w:widowControl/>
        <w:spacing w:line="360" w:lineRule="auto"/>
        <w:jc w:val="left"/>
        <w:rPr>
          <w:rFonts w:cs="宋体" w:asciiTheme="minorEastAsia" w:hAnsiTheme="minorEastAsia" w:eastAsiaTheme="minorEastAsia"/>
          <w:b/>
          <w:bCs/>
          <w:kern w:val="0"/>
          <w:szCs w:val="21"/>
        </w:rPr>
      </w:pPr>
      <w:r>
        <w:rPr>
          <w:rFonts w:hint="eastAsia" w:cs="宋体" w:eastAsiaTheme="minorEastAsia"/>
          <w:b/>
          <w:szCs w:val="21"/>
        </w:rPr>
        <w:t>17</w:t>
      </w:r>
      <w:r>
        <w:rPr>
          <w:rFonts w:hint="eastAsia" w:cs="宋体" w:asciiTheme="minorEastAsia" w:hAnsiTheme="minorEastAsia" w:eastAsiaTheme="minorEastAsia"/>
          <w:b/>
          <w:szCs w:val="21"/>
        </w:rPr>
        <w:t>.</w:t>
      </w:r>
      <w:r>
        <w:rPr>
          <w:rFonts w:hint="eastAsia" w:cs="宋体" w:eastAsiaTheme="minorEastAsia"/>
          <w:b/>
          <w:szCs w:val="21"/>
        </w:rPr>
        <w:t>3</w:t>
      </w:r>
      <w:r>
        <w:rPr>
          <w:rFonts w:hint="eastAsia" w:cs="宋体" w:asciiTheme="minorEastAsia" w:hAnsiTheme="minorEastAsia" w:eastAsiaTheme="minorEastAsia"/>
          <w:b/>
          <w:bCs/>
          <w:kern w:val="0"/>
          <w:szCs w:val="21"/>
        </w:rPr>
        <w:t>电子投标开标及评审程序</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）投标截止时间后，投标人登录政采云平台，用“项目采购-开标评标”功能对电子投标文件进行在线解密。在线解密电子投标文件时间为开标时间起</w:t>
      </w:r>
      <w:r>
        <w:rPr>
          <w:rFonts w:hint="eastAsia" w:cs="宋体" w:eastAsiaTheme="minorEastAsia"/>
          <w:b/>
          <w:kern w:val="0"/>
          <w:szCs w:val="21"/>
          <w:u w:val="single"/>
        </w:rPr>
        <w:t>30</w:t>
      </w:r>
      <w:r>
        <w:rPr>
          <w:rFonts w:hint="eastAsia" w:cs="宋体" w:asciiTheme="minorEastAsia" w:hAnsiTheme="minorEastAsia" w:eastAsiaTheme="minorEastAsia"/>
          <w:b/>
          <w:kern w:val="0"/>
          <w:szCs w:val="21"/>
          <w:u w:val="single"/>
        </w:rPr>
        <w:t>分钟</w:t>
      </w:r>
      <w:r>
        <w:rPr>
          <w:rFonts w:hint="eastAsia" w:cs="宋体" w:asciiTheme="minorEastAsia" w:hAnsiTheme="minorEastAsia" w:eastAsiaTheme="minorEastAsia"/>
          <w:b/>
          <w:kern w:val="0"/>
          <w:szCs w:val="21"/>
        </w:rPr>
        <w:t>内。</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）开启投标文件，采购人或采购代理机构对投标人的资格进行审查。</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cs="宋体" w:eastAsiaTheme="minorEastAsia"/>
          <w:kern w:val="0"/>
          <w:szCs w:val="21"/>
        </w:rPr>
        <w:t>3</w:t>
      </w:r>
      <w:r>
        <w:rPr>
          <w:rFonts w:hint="eastAsia" w:cs="宋体" w:asciiTheme="minorEastAsia" w:hAnsiTheme="minorEastAsia" w:eastAsiaTheme="minorEastAsia"/>
          <w:kern w:val="0"/>
          <w:szCs w:val="21"/>
        </w:rPr>
        <w:t>）评标委员会对商务技术文件、报价文件进行评审。</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cs="宋体" w:eastAsiaTheme="minorEastAsia"/>
          <w:kern w:val="0"/>
          <w:szCs w:val="21"/>
        </w:rPr>
        <w:t>4</w:t>
      </w:r>
      <w:r>
        <w:rPr>
          <w:rFonts w:hint="eastAsia" w:cs="宋体" w:asciiTheme="minorEastAsia" w:hAnsiTheme="minorEastAsia" w:eastAsiaTheme="minorEastAsia"/>
          <w:kern w:val="0"/>
          <w:szCs w:val="21"/>
        </w:rPr>
        <w:t>）在系统上公布评审结果。</w:t>
      </w:r>
    </w:p>
    <w:p>
      <w:pPr>
        <w:widowControl/>
        <w:spacing w:line="360" w:lineRule="auto"/>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注：政采云公司如对电子化开标及评审程序有调整的，按调整后的程序操作。</w:t>
      </w:r>
    </w:p>
    <w:p>
      <w:pPr>
        <w:widowControl/>
        <w:spacing w:line="360" w:lineRule="auto"/>
        <w:jc w:val="left"/>
        <w:rPr>
          <w:rFonts w:cs="宋体" w:asciiTheme="minorEastAsia" w:hAnsiTheme="minorEastAsia" w:eastAsiaTheme="minorEastAsia"/>
          <w:kern w:val="0"/>
          <w:sz w:val="24"/>
        </w:rPr>
      </w:pPr>
      <w:r>
        <w:rPr>
          <w:rFonts w:hint="eastAsia" w:cs="宋体" w:eastAsiaTheme="minorEastAsia"/>
          <w:b/>
          <w:szCs w:val="21"/>
        </w:rPr>
        <w:t>17</w:t>
      </w:r>
      <w:r>
        <w:rPr>
          <w:rFonts w:hint="eastAsia" w:cs="宋体" w:asciiTheme="minorEastAsia" w:hAnsiTheme="minorEastAsia" w:eastAsiaTheme="minorEastAsia"/>
          <w:b/>
          <w:szCs w:val="21"/>
        </w:rPr>
        <w:t>.</w:t>
      </w:r>
      <w:r>
        <w:rPr>
          <w:rFonts w:hint="eastAsia" w:cs="宋体" w:eastAsiaTheme="minorEastAsia"/>
          <w:b/>
          <w:szCs w:val="21"/>
        </w:rPr>
        <w:t>4</w:t>
      </w:r>
      <w:r>
        <w:rPr>
          <w:rFonts w:hint="eastAsia" w:cs="宋体" w:asciiTheme="minorEastAsia" w:hAnsiTheme="minorEastAsia" w:eastAsiaTheme="minorEastAsia"/>
          <w:b/>
          <w:bCs/>
          <w:kern w:val="0"/>
          <w:szCs w:val="21"/>
        </w:rPr>
        <w:t>特别说明</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本项目采用政采云电子投标开标及评审程序，但有下情形之一的，按以下情况处理：</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eastAsiaTheme="minorEastAsia"/>
          <w:kern w:val="0"/>
          <w:szCs w:val="21"/>
        </w:rPr>
        <w:t>1</w:t>
      </w:r>
      <w:r>
        <w:rPr>
          <w:rFonts w:hint="eastAsia" w:cs="宋体" w:asciiTheme="minorEastAsia" w:hAnsiTheme="minorEastAsia" w:eastAsiaTheme="minorEastAsia"/>
          <w:kern w:val="0"/>
          <w:szCs w:val="21"/>
        </w:rPr>
        <w:t>.若供应商在规定时间内无法解密或解密失败，代理机构将开启所有供应商递交的以</w:t>
      </w:r>
      <w:r>
        <w:rPr>
          <w:rFonts w:hint="eastAsia" w:cs="宋体" w:eastAsiaTheme="minorEastAsia"/>
          <w:kern w:val="0"/>
          <w:szCs w:val="21"/>
        </w:rPr>
        <w:t>U</w:t>
      </w:r>
      <w:r>
        <w:rPr>
          <w:rFonts w:hint="eastAsia" w:cs="宋体" w:asciiTheme="minorEastAsia" w:hAnsiTheme="minorEastAsia" w:eastAsiaTheme="minorEastAsia"/>
          <w:kern w:val="0"/>
          <w:szCs w:val="21"/>
        </w:rPr>
        <w:t xml:space="preserve"> 盘存储的电子备份投标文件，上传至政采云平台项目采购模块，以完成开标，电子投标文件自动失效。</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eastAsiaTheme="minorEastAsia"/>
          <w:kern w:val="0"/>
          <w:szCs w:val="21"/>
        </w:rPr>
        <w:t>2</w:t>
      </w:r>
      <w:r>
        <w:rPr>
          <w:rFonts w:hint="eastAsia" w:cs="宋体" w:asciiTheme="minorEastAsia" w:hAnsiTheme="minorEastAsia" w:eastAsiaTheme="minorEastAsia"/>
          <w:kern w:val="0"/>
          <w:szCs w:val="21"/>
        </w:rPr>
        <w:t>.采购过程中出现以下情形，导致电子交易平台无法正常运行，或者无法保证电子交易的公平、公正和安全时，采购人（或代理机构）可中止电子交易活动：</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）电子交易平台发生故障而无法登录访问的；</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）电子交易平台应用或数据库出现错误，不能进行正常操作的；</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）电子交易平台发现严重安全漏洞，有潜在泄密危险的；</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）病毒发作导致不能进行正常操作的；</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5</w:t>
      </w:r>
      <w:r>
        <w:rPr>
          <w:rFonts w:hint="eastAsia" w:cs="宋体" w:asciiTheme="minorEastAsia" w:hAnsiTheme="minorEastAsia" w:eastAsiaTheme="minorEastAsia"/>
          <w:kern w:val="0"/>
          <w:szCs w:val="21"/>
        </w:rPr>
        <w:t>）其他无法保证电子交易的公平、公正和安全的情况。</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出现前款规定情形，不影响采购公平、公正性的，采购人（或代理机构）可以待上述情形消除后继续组织电子交易活动。</w:t>
      </w:r>
    </w:p>
    <w:p>
      <w:pPr>
        <w:spacing w:line="400" w:lineRule="exact"/>
        <w:rPr>
          <w:rFonts w:ascii="宋体" w:hAnsi="宋体" w:cs="宋体"/>
          <w:szCs w:val="21"/>
          <w:u w:val="single"/>
        </w:rPr>
      </w:pPr>
      <w:r>
        <w:rPr>
          <w:rFonts w:hint="eastAsia" w:eastAsiaTheme="minorEastAsia"/>
          <w:b/>
          <w:szCs w:val="21"/>
        </w:rPr>
        <w:t>17</w:t>
      </w:r>
      <w:r>
        <w:rPr>
          <w:rFonts w:hint="eastAsia" w:asciiTheme="minorEastAsia" w:hAnsiTheme="minorEastAsia" w:eastAsiaTheme="minorEastAsia"/>
          <w:b/>
          <w:szCs w:val="21"/>
        </w:rPr>
        <w:t>.</w:t>
      </w:r>
      <w:r>
        <w:rPr>
          <w:rFonts w:hint="eastAsia" w:eastAsiaTheme="minorEastAsia"/>
          <w:b/>
          <w:szCs w:val="21"/>
        </w:rPr>
        <w:t>5</w:t>
      </w:r>
      <w:r>
        <w:rPr>
          <w:rFonts w:hint="eastAsia" w:asciiTheme="minorEastAsia" w:hAnsiTheme="minorEastAsia" w:eastAsiaTheme="minorEastAsia"/>
          <w:szCs w:val="21"/>
        </w:rPr>
        <w:t>投标截止时间止，投标人不足</w:t>
      </w:r>
      <w:r>
        <w:rPr>
          <w:rFonts w:hint="eastAsia" w:eastAsiaTheme="minorEastAsia"/>
          <w:szCs w:val="21"/>
        </w:rPr>
        <w:t>3</w:t>
      </w:r>
      <w:r>
        <w:rPr>
          <w:rFonts w:hint="eastAsia" w:asciiTheme="minorEastAsia" w:hAnsiTheme="minorEastAsia" w:eastAsiaTheme="minorEastAsia"/>
          <w:szCs w:val="21"/>
        </w:rPr>
        <w:t>家的，不得开标。</w:t>
      </w:r>
    </w:p>
    <w:p>
      <w:pPr>
        <w:spacing w:line="400" w:lineRule="exact"/>
        <w:rPr>
          <w:rFonts w:eastAsiaTheme="minorEastAsia"/>
          <w:b/>
          <w:szCs w:val="21"/>
        </w:rPr>
      </w:pPr>
      <w:r>
        <w:rPr>
          <w:rFonts w:hint="eastAsia" w:eastAsiaTheme="minorEastAsia"/>
          <w:b/>
          <w:szCs w:val="21"/>
        </w:rPr>
        <w:t>17</w:t>
      </w:r>
      <w:r>
        <w:rPr>
          <w:rFonts w:hint="eastAsia" w:asciiTheme="minorEastAsia" w:hAnsiTheme="minorEastAsia" w:eastAsiaTheme="minorEastAsia"/>
          <w:b/>
          <w:szCs w:val="21"/>
        </w:rPr>
        <w:t>.</w:t>
      </w:r>
      <w:r>
        <w:rPr>
          <w:rFonts w:eastAsiaTheme="minorEastAsia"/>
          <w:b/>
          <w:szCs w:val="21"/>
        </w:rPr>
        <w:t>6</w:t>
      </w:r>
      <w:r>
        <w:rPr>
          <w:rFonts w:hint="eastAsia" w:eastAsiaTheme="minorEastAsia"/>
          <w:b/>
          <w:szCs w:val="21"/>
        </w:rPr>
        <w:t>废标</w:t>
      </w:r>
    </w:p>
    <w:p>
      <w:pPr>
        <w:spacing w:line="400" w:lineRule="exact"/>
        <w:ind w:firstLine="420" w:firstLineChars="200"/>
        <w:rPr>
          <w:rFonts w:eastAsiaTheme="minorEastAsia"/>
          <w:bCs/>
          <w:szCs w:val="21"/>
        </w:rPr>
      </w:pPr>
      <w:r>
        <w:rPr>
          <w:rFonts w:hint="eastAsia" w:eastAsiaTheme="minorEastAsia"/>
          <w:bCs/>
          <w:szCs w:val="21"/>
        </w:rPr>
        <w:t>根据《中华人民共和国政府采购法》第三十六条，出现下列情形之一的，应予以废标：</w:t>
      </w:r>
    </w:p>
    <w:p>
      <w:pPr>
        <w:spacing w:line="400" w:lineRule="exact"/>
        <w:ind w:firstLine="420" w:firstLineChars="200"/>
        <w:rPr>
          <w:rFonts w:eastAsiaTheme="minorEastAsia"/>
          <w:bCs/>
          <w:szCs w:val="21"/>
        </w:rPr>
      </w:pPr>
      <w:r>
        <w:rPr>
          <w:rFonts w:hint="eastAsia" w:eastAsiaTheme="minorEastAsia"/>
          <w:bCs/>
          <w:szCs w:val="21"/>
        </w:rPr>
        <w:t>（1）符合专业条件的供应商或者对采购文件作实质响应的供应商不足三家的；</w:t>
      </w:r>
    </w:p>
    <w:p>
      <w:pPr>
        <w:spacing w:line="400" w:lineRule="exact"/>
        <w:ind w:firstLine="420" w:firstLineChars="200"/>
        <w:rPr>
          <w:rFonts w:eastAsiaTheme="minorEastAsia"/>
          <w:bCs/>
          <w:szCs w:val="21"/>
        </w:rPr>
      </w:pPr>
      <w:r>
        <w:rPr>
          <w:rFonts w:hint="eastAsia" w:eastAsiaTheme="minorEastAsia"/>
          <w:bCs/>
          <w:szCs w:val="21"/>
        </w:rPr>
        <w:t>（2）出现影响采购公正的违法、违规行为的；</w:t>
      </w:r>
    </w:p>
    <w:p>
      <w:pPr>
        <w:spacing w:line="400" w:lineRule="exact"/>
        <w:ind w:firstLine="420" w:firstLineChars="200"/>
        <w:rPr>
          <w:rFonts w:eastAsiaTheme="minorEastAsia"/>
          <w:bCs/>
          <w:szCs w:val="21"/>
        </w:rPr>
      </w:pPr>
      <w:r>
        <w:rPr>
          <w:rFonts w:hint="eastAsia" w:eastAsiaTheme="minorEastAsia"/>
          <w:bCs/>
          <w:szCs w:val="21"/>
        </w:rPr>
        <w:t>（3）所有投标供应商的报价均超过了采购预算，采购人不能支付的；</w:t>
      </w:r>
    </w:p>
    <w:p>
      <w:pPr>
        <w:spacing w:line="400" w:lineRule="exact"/>
        <w:ind w:firstLine="420" w:firstLineChars="200"/>
        <w:rPr>
          <w:rFonts w:ascii="宋体" w:hAnsi="宋体" w:cs="宋体"/>
          <w:bCs/>
          <w:szCs w:val="21"/>
          <w:u w:val="single"/>
        </w:rPr>
      </w:pPr>
      <w:r>
        <w:rPr>
          <w:rFonts w:hint="eastAsia" w:eastAsiaTheme="minorEastAsia"/>
          <w:bCs/>
          <w:szCs w:val="21"/>
        </w:rPr>
        <w:t>（4）因重大变故，采购任务取消的。</w:t>
      </w:r>
    </w:p>
    <w:p>
      <w:pPr>
        <w:spacing w:line="400" w:lineRule="exact"/>
        <w:rPr>
          <w:rFonts w:ascii="宋体" w:hAnsi="宋体" w:cs="宋体"/>
          <w:sz w:val="24"/>
          <w:szCs w:val="24"/>
        </w:rPr>
      </w:pPr>
    </w:p>
    <w:p>
      <w:pPr>
        <w:spacing w:before="143" w:beforeLines="50" w:after="143" w:afterLines="50"/>
        <w:jc w:val="center"/>
        <w:outlineLvl w:val="1"/>
        <w:rPr>
          <w:rFonts w:ascii="宋体" w:hAnsi="宋体" w:cs="宋体"/>
          <w:b/>
          <w:sz w:val="28"/>
        </w:rPr>
      </w:pPr>
      <w:bookmarkStart w:id="64" w:name="_Toc513798905"/>
      <w:bookmarkStart w:id="65" w:name="_Toc513799076"/>
      <w:bookmarkStart w:id="66" w:name="_Toc520902399"/>
      <w:bookmarkStart w:id="67" w:name="_Toc440276566"/>
      <w:r>
        <w:rPr>
          <w:rFonts w:hint="eastAsia" w:cs="宋体"/>
          <w:b/>
          <w:sz w:val="28"/>
        </w:rPr>
        <w:t>F</w:t>
      </w:r>
      <w:r>
        <w:rPr>
          <w:rFonts w:hint="eastAsia" w:ascii="宋体" w:hAnsi="宋体" w:cs="宋体"/>
          <w:b/>
          <w:sz w:val="28"/>
        </w:rPr>
        <w:t xml:space="preserve">  评标和定标</w:t>
      </w:r>
      <w:bookmarkEnd w:id="64"/>
      <w:bookmarkEnd w:id="65"/>
      <w:bookmarkEnd w:id="66"/>
      <w:bookmarkEnd w:id="67"/>
    </w:p>
    <w:p>
      <w:pPr>
        <w:spacing w:line="400" w:lineRule="exact"/>
        <w:rPr>
          <w:rFonts w:ascii="宋体" w:hAnsi="宋体" w:cs="宋体"/>
          <w:szCs w:val="21"/>
        </w:rPr>
      </w:pPr>
      <w:r>
        <w:rPr>
          <w:rFonts w:hint="eastAsia" w:cs="宋体"/>
          <w:b/>
          <w:szCs w:val="21"/>
        </w:rPr>
        <w:t>18</w:t>
      </w:r>
      <w:r>
        <w:rPr>
          <w:rFonts w:hint="eastAsia" w:ascii="宋体" w:hAnsi="宋体" w:cs="宋体"/>
          <w:b/>
          <w:szCs w:val="21"/>
        </w:rPr>
        <w:t>. 评标委员会及评标</w:t>
      </w:r>
    </w:p>
    <w:p>
      <w:pPr>
        <w:spacing w:line="400" w:lineRule="exact"/>
        <w:rPr>
          <w:rFonts w:ascii="宋体" w:hAnsi="宋体" w:cs="宋体"/>
          <w:szCs w:val="21"/>
        </w:rPr>
      </w:pPr>
      <w:r>
        <w:rPr>
          <w:rFonts w:hint="eastAsia" w:cs="宋体"/>
          <w:b/>
          <w:szCs w:val="21"/>
        </w:rPr>
        <w:t>18</w:t>
      </w:r>
      <w:r>
        <w:rPr>
          <w:rFonts w:hint="eastAsia" w:ascii="宋体" w:hAnsi="宋体" w:cs="宋体"/>
          <w:b/>
          <w:szCs w:val="21"/>
        </w:rPr>
        <w:t>.</w:t>
      </w:r>
      <w:r>
        <w:rPr>
          <w:rFonts w:hint="eastAsia" w:cs="宋体"/>
          <w:b/>
          <w:szCs w:val="21"/>
        </w:rPr>
        <w:t>1</w:t>
      </w:r>
      <w:r>
        <w:rPr>
          <w:rFonts w:hint="eastAsia" w:ascii="宋体" w:hAnsi="宋体" w:cs="宋体"/>
          <w:szCs w:val="21"/>
        </w:rPr>
        <w:t>受采购人的委托，采购代理机构依据《中华人民共和国政府采购法》、《中华人民共和国政府采购实施条例》等有关规定组建评标委员会，并主持评标活动。评标委员会由采购人代表和技术、经济专家组成。</w:t>
      </w:r>
      <w:r>
        <w:rPr>
          <w:rFonts w:hint="eastAsia" w:ascii="宋体" w:hAnsi="宋体" w:cs="宋体"/>
          <w:b/>
          <w:szCs w:val="21"/>
          <w:u w:val="single"/>
        </w:rPr>
        <w:t>评标委员会成员名单在招标结果确定之前依法保密</w:t>
      </w:r>
      <w:r>
        <w:rPr>
          <w:rFonts w:hint="eastAsia" w:ascii="宋体" w:hAnsi="宋体" w:cs="宋体"/>
          <w:szCs w:val="21"/>
        </w:rPr>
        <w:t>。</w:t>
      </w:r>
    </w:p>
    <w:p>
      <w:pPr>
        <w:spacing w:line="400" w:lineRule="exact"/>
        <w:rPr>
          <w:rFonts w:ascii="宋体" w:hAnsi="宋体" w:cs="宋体"/>
          <w:szCs w:val="21"/>
        </w:rPr>
      </w:pPr>
      <w:r>
        <w:rPr>
          <w:rFonts w:hint="eastAsia" w:cs="宋体"/>
          <w:b/>
          <w:szCs w:val="21"/>
        </w:rPr>
        <w:t>18</w:t>
      </w:r>
      <w:r>
        <w:rPr>
          <w:rFonts w:hint="eastAsia" w:ascii="宋体" w:hAnsi="宋体" w:cs="宋体"/>
          <w:b/>
          <w:szCs w:val="21"/>
        </w:rPr>
        <w:t>.</w:t>
      </w:r>
      <w:r>
        <w:rPr>
          <w:rFonts w:hint="eastAsia" w:cs="宋体"/>
          <w:b/>
          <w:szCs w:val="21"/>
        </w:rPr>
        <w:t>2</w:t>
      </w:r>
      <w:r>
        <w:rPr>
          <w:rFonts w:hint="eastAsia" w:ascii="宋体" w:hAnsi="宋体" w:cs="宋体"/>
          <w:szCs w:val="21"/>
        </w:rPr>
        <w:t>评标委员会将遵循公平、公正、科学、廉洁的原则和法定的程序进行评标，并且只依据采购文件要求和投标文件的响应情况进行评审，不依据任何来自开标后的补充声明、修正方案。</w:t>
      </w:r>
    </w:p>
    <w:p>
      <w:pPr>
        <w:spacing w:line="400" w:lineRule="exact"/>
        <w:rPr>
          <w:rFonts w:ascii="宋体" w:hAnsi="宋体" w:cs="宋体"/>
          <w:szCs w:val="21"/>
        </w:rPr>
      </w:pPr>
      <w:r>
        <w:rPr>
          <w:rFonts w:hint="eastAsia" w:cs="宋体"/>
          <w:b/>
          <w:szCs w:val="21"/>
        </w:rPr>
        <w:t>18</w:t>
      </w:r>
      <w:r>
        <w:rPr>
          <w:rFonts w:hint="eastAsia" w:ascii="宋体" w:hAnsi="宋体" w:cs="宋体"/>
          <w:b/>
          <w:szCs w:val="21"/>
        </w:rPr>
        <w:t>.</w:t>
      </w:r>
      <w:r>
        <w:rPr>
          <w:rFonts w:hint="eastAsia" w:cs="宋体"/>
          <w:b/>
          <w:szCs w:val="21"/>
        </w:rPr>
        <w:t>3</w:t>
      </w:r>
      <w:r>
        <w:rPr>
          <w:rFonts w:hint="eastAsia" w:ascii="宋体" w:hAnsi="宋体" w:cs="宋体"/>
          <w:szCs w:val="21"/>
        </w:rPr>
        <w:t>评标委员会根据本须知的规定、采购文件的“评标标准”和“招标项目要求”中所列的具体标准，对投标文件进行评审和比较。</w:t>
      </w:r>
    </w:p>
    <w:p>
      <w:pPr>
        <w:spacing w:line="400" w:lineRule="exact"/>
        <w:rPr>
          <w:rFonts w:ascii="宋体" w:hAnsi="宋体" w:cs="宋体"/>
          <w:szCs w:val="21"/>
        </w:rPr>
      </w:pPr>
      <w:r>
        <w:rPr>
          <w:rFonts w:hint="eastAsia" w:cs="宋体"/>
          <w:b/>
          <w:szCs w:val="21"/>
        </w:rPr>
        <w:t>18</w:t>
      </w:r>
      <w:r>
        <w:rPr>
          <w:rFonts w:hint="eastAsia" w:ascii="宋体" w:hAnsi="宋体" w:cs="宋体"/>
          <w:b/>
          <w:szCs w:val="21"/>
        </w:rPr>
        <w:t>.</w:t>
      </w:r>
      <w:r>
        <w:rPr>
          <w:rFonts w:hint="eastAsia" w:cs="宋体"/>
          <w:b/>
          <w:szCs w:val="21"/>
        </w:rPr>
        <w:t>4</w:t>
      </w:r>
      <w:r>
        <w:rPr>
          <w:rFonts w:hint="eastAsia" w:ascii="宋体" w:hAnsi="宋体" w:cs="宋体"/>
          <w:szCs w:val="21"/>
        </w:rPr>
        <w:t>在评审中若发现投标文件的正本与副本不一致，则以正本为准；若发现电子文本与书面文本不一致，则以书面文本为准。</w:t>
      </w:r>
    </w:p>
    <w:p>
      <w:pPr>
        <w:spacing w:line="400" w:lineRule="exact"/>
        <w:rPr>
          <w:rFonts w:ascii="宋体" w:hAnsi="宋体" w:cs="宋体"/>
          <w:szCs w:val="21"/>
        </w:rPr>
      </w:pPr>
    </w:p>
    <w:p>
      <w:pPr>
        <w:spacing w:line="400" w:lineRule="exact"/>
        <w:rPr>
          <w:rFonts w:ascii="宋体" w:hAnsi="宋体" w:cs="宋体"/>
          <w:szCs w:val="21"/>
        </w:rPr>
      </w:pPr>
      <w:r>
        <w:rPr>
          <w:rFonts w:hint="eastAsia" w:cs="宋体"/>
          <w:b/>
          <w:szCs w:val="21"/>
        </w:rPr>
        <w:t>19</w:t>
      </w:r>
      <w:r>
        <w:rPr>
          <w:rFonts w:hint="eastAsia" w:ascii="宋体" w:hAnsi="宋体" w:cs="宋体"/>
          <w:b/>
          <w:szCs w:val="21"/>
        </w:rPr>
        <w:t>.投标的澄清</w:t>
      </w:r>
    </w:p>
    <w:p>
      <w:pPr>
        <w:spacing w:line="400" w:lineRule="exact"/>
        <w:rPr>
          <w:rFonts w:ascii="宋体" w:hAnsi="宋体" w:cs="宋体"/>
          <w:szCs w:val="21"/>
        </w:rPr>
      </w:pPr>
      <w:r>
        <w:rPr>
          <w:rFonts w:hint="eastAsia" w:cs="宋体"/>
          <w:b/>
          <w:szCs w:val="21"/>
        </w:rPr>
        <w:t>19</w:t>
      </w:r>
      <w:r>
        <w:rPr>
          <w:rFonts w:hint="eastAsia" w:ascii="宋体" w:hAnsi="宋体" w:cs="宋体"/>
          <w:b/>
          <w:szCs w:val="21"/>
        </w:rPr>
        <w:t>.</w:t>
      </w:r>
      <w:r>
        <w:rPr>
          <w:rFonts w:hint="eastAsia" w:cs="宋体"/>
          <w:b/>
          <w:szCs w:val="21"/>
        </w:rPr>
        <w:t>1</w:t>
      </w:r>
      <w:r>
        <w:rPr>
          <w:rFonts w:hint="eastAsia" w:ascii="宋体" w:hAnsi="宋体" w:cs="宋体"/>
          <w:szCs w:val="21"/>
        </w:rPr>
        <w:t>对于投标文件中含义不明确、同类问题表述不一致或者有明显文字和计算错误的内容，评标委员会应当以书面形式要求投标人作出必要的澄清、说明或者补正。</w:t>
      </w:r>
    </w:p>
    <w:p>
      <w:pPr>
        <w:spacing w:line="400" w:lineRule="exact"/>
        <w:rPr>
          <w:rFonts w:ascii="宋体" w:hAnsi="宋体" w:cs="宋体"/>
          <w:szCs w:val="21"/>
        </w:rPr>
      </w:pPr>
      <w:r>
        <w:rPr>
          <w:rFonts w:hint="eastAsia" w:cs="宋体"/>
          <w:b/>
          <w:szCs w:val="21"/>
        </w:rPr>
        <w:t>19</w:t>
      </w:r>
      <w:r>
        <w:rPr>
          <w:rFonts w:hint="eastAsia" w:ascii="宋体" w:hAnsi="宋体" w:cs="宋体"/>
          <w:b/>
          <w:szCs w:val="21"/>
        </w:rPr>
        <w:t>.</w:t>
      </w:r>
      <w:r>
        <w:rPr>
          <w:rFonts w:hint="eastAsia" w:cs="宋体"/>
          <w:b/>
          <w:szCs w:val="21"/>
        </w:rPr>
        <w:t>2</w:t>
      </w:r>
      <w:r>
        <w:rPr>
          <w:rFonts w:hint="eastAsia" w:ascii="宋体" w:hAnsi="宋体" w:cs="宋体"/>
          <w:szCs w:val="21"/>
        </w:rPr>
        <w:t>投标人的澄清、说明或者补正应当采用书面形式，并加盖公章，或者由法定代表人或其授权的代表签字。投标人的澄清、说明或者补正不得超出投标文件的范围或者改变投标文件的实质性内容。</w:t>
      </w:r>
    </w:p>
    <w:p>
      <w:pPr>
        <w:spacing w:line="400" w:lineRule="exact"/>
        <w:rPr>
          <w:rFonts w:ascii="宋体" w:hAnsi="宋体" w:cs="宋体"/>
          <w:szCs w:val="21"/>
          <w:u w:val="single"/>
        </w:rPr>
      </w:pPr>
      <w:r>
        <w:rPr>
          <w:rFonts w:hint="eastAsia" w:cs="宋体"/>
          <w:b/>
          <w:szCs w:val="21"/>
        </w:rPr>
        <w:t>19</w:t>
      </w:r>
      <w:r>
        <w:rPr>
          <w:rFonts w:hint="eastAsia" w:ascii="宋体" w:hAnsi="宋体" w:cs="宋体"/>
          <w:b/>
          <w:szCs w:val="21"/>
        </w:rPr>
        <w:t>.</w:t>
      </w:r>
      <w:r>
        <w:rPr>
          <w:rFonts w:hint="eastAsia" w:cs="宋体"/>
          <w:b/>
          <w:szCs w:val="21"/>
        </w:rPr>
        <w:t>3</w:t>
      </w:r>
      <w:r>
        <w:rPr>
          <w:rFonts w:hint="eastAsia" w:ascii="宋体" w:hAnsi="宋体" w:cs="宋体"/>
          <w:szCs w:val="21"/>
        </w:rPr>
        <w:t>采用</w:t>
      </w:r>
      <w:r>
        <w:rPr>
          <w:rFonts w:hint="eastAsia" w:ascii="宋体" w:hAnsi="宋体" w:cs="宋体"/>
          <w:kern w:val="0"/>
          <w:szCs w:val="21"/>
        </w:rPr>
        <w:t>电子招投标的，澄清、说明或者补正通过电子交易平台提交电子版文件</w:t>
      </w:r>
      <w:r>
        <w:rPr>
          <w:rFonts w:hint="eastAsia" w:ascii="宋体" w:hAnsi="宋体" w:cs="宋体"/>
          <w:szCs w:val="21"/>
        </w:rPr>
        <w:t>，并加盖公章，或者由法定代表人或其授权的代表签字</w:t>
      </w:r>
      <w:r>
        <w:rPr>
          <w:rFonts w:hint="eastAsia" w:ascii="宋体" w:hAnsi="宋体" w:cs="宋体"/>
          <w:kern w:val="0"/>
          <w:szCs w:val="21"/>
        </w:rPr>
        <w:t>。供应商提交澄清说明或补正的时间为</w:t>
      </w:r>
      <w:r>
        <w:rPr>
          <w:rFonts w:hint="eastAsia" w:cs="宋体"/>
          <w:kern w:val="0"/>
          <w:szCs w:val="21"/>
          <w:u w:val="single"/>
        </w:rPr>
        <w:t>30</w:t>
      </w:r>
      <w:r>
        <w:rPr>
          <w:rFonts w:hint="eastAsia" w:ascii="宋体" w:hAnsi="宋体" w:cs="宋体"/>
          <w:kern w:val="0"/>
          <w:szCs w:val="21"/>
        </w:rPr>
        <w:t>分钟。</w:t>
      </w:r>
    </w:p>
    <w:p>
      <w:pPr>
        <w:spacing w:line="400" w:lineRule="exact"/>
        <w:rPr>
          <w:rFonts w:ascii="宋体" w:hAnsi="宋体" w:cs="宋体"/>
          <w:b/>
          <w:szCs w:val="21"/>
        </w:rPr>
      </w:pPr>
      <w:r>
        <w:rPr>
          <w:rFonts w:hint="eastAsia" w:cs="宋体"/>
          <w:b/>
          <w:szCs w:val="21"/>
        </w:rPr>
        <w:t>19</w:t>
      </w:r>
      <w:r>
        <w:rPr>
          <w:rFonts w:hint="eastAsia" w:ascii="宋体" w:hAnsi="宋体" w:cs="宋体"/>
          <w:b/>
          <w:szCs w:val="21"/>
        </w:rPr>
        <w:t>.</w:t>
      </w:r>
      <w:r>
        <w:rPr>
          <w:rFonts w:hint="eastAsia" w:cs="宋体"/>
          <w:b/>
          <w:szCs w:val="21"/>
        </w:rPr>
        <w:t>4</w:t>
      </w:r>
      <w:r>
        <w:rPr>
          <w:rFonts w:hint="eastAsia" w:ascii="宋体" w:hAnsi="宋体" w:cs="宋体"/>
          <w:b/>
          <w:szCs w:val="21"/>
          <w:u w:val="single"/>
        </w:rPr>
        <w:t>若投标人未响应澄清安排的通知进行答疑和澄清，将被视作自动放弃。</w:t>
      </w:r>
    </w:p>
    <w:p>
      <w:pPr>
        <w:pStyle w:val="41"/>
      </w:pPr>
    </w:p>
    <w:p>
      <w:pPr>
        <w:pStyle w:val="41"/>
      </w:pPr>
    </w:p>
    <w:p>
      <w:pPr>
        <w:spacing w:line="400" w:lineRule="exact"/>
        <w:rPr>
          <w:rFonts w:ascii="宋体" w:hAnsi="宋体" w:cs="宋体"/>
          <w:szCs w:val="21"/>
          <w:u w:val="single"/>
        </w:rPr>
      </w:pPr>
      <w:r>
        <w:rPr>
          <w:rFonts w:hint="eastAsia" w:cs="宋体"/>
          <w:b/>
          <w:szCs w:val="21"/>
        </w:rPr>
        <w:t>20</w:t>
      </w:r>
      <w:r>
        <w:rPr>
          <w:rFonts w:hint="eastAsia" w:ascii="宋体" w:hAnsi="宋体" w:cs="宋体"/>
          <w:b/>
          <w:szCs w:val="21"/>
        </w:rPr>
        <w:t>.评标办法：</w:t>
      </w:r>
      <w:r>
        <w:rPr>
          <w:rFonts w:hint="eastAsia" w:ascii="宋体" w:hAnsi="宋体"/>
          <w:szCs w:val="21"/>
        </w:rPr>
        <w:t>评标采用的方法有最低评标价法和综合评分法。</w:t>
      </w:r>
      <w:r>
        <w:rPr>
          <w:rFonts w:hint="eastAsia" w:ascii="宋体" w:hAnsi="宋体"/>
          <w:b/>
          <w:szCs w:val="21"/>
        </w:rPr>
        <w:t>本项目招标采用的评标方法载明在采购文件第五部分“评标办法”中。</w:t>
      </w:r>
    </w:p>
    <w:p>
      <w:pPr>
        <w:spacing w:line="400" w:lineRule="exact"/>
        <w:ind w:left="153" w:leftChars="73" w:firstLine="315" w:firstLineChars="150"/>
        <w:rPr>
          <w:rFonts w:ascii="宋体" w:hAnsi="宋体" w:cs="宋体"/>
          <w:szCs w:val="21"/>
        </w:rPr>
      </w:pPr>
    </w:p>
    <w:p>
      <w:pPr>
        <w:spacing w:line="400" w:lineRule="exact"/>
        <w:rPr>
          <w:rFonts w:ascii="宋体" w:hAnsi="宋体" w:cs="宋体"/>
          <w:szCs w:val="21"/>
        </w:rPr>
      </w:pPr>
      <w:r>
        <w:rPr>
          <w:rFonts w:hint="eastAsia" w:cs="宋体"/>
          <w:b/>
          <w:szCs w:val="21"/>
        </w:rPr>
        <w:t>21</w:t>
      </w:r>
      <w:r>
        <w:rPr>
          <w:rFonts w:hint="eastAsia" w:ascii="宋体" w:hAnsi="宋体" w:cs="宋体"/>
          <w:b/>
          <w:szCs w:val="21"/>
        </w:rPr>
        <w:t>.  评标程序和原则</w:t>
      </w:r>
    </w:p>
    <w:p>
      <w:pPr>
        <w:spacing w:line="440" w:lineRule="exact"/>
        <w:rPr>
          <w:rFonts w:ascii="宋体" w:hAnsi="宋体"/>
          <w:szCs w:val="21"/>
          <w:shd w:val="pct10" w:color="auto" w:fill="FFFFFF"/>
        </w:rPr>
      </w:pPr>
      <w:r>
        <w:rPr>
          <w:rFonts w:hint="eastAsia"/>
          <w:b/>
          <w:szCs w:val="21"/>
        </w:rPr>
        <w:t>21</w:t>
      </w:r>
      <w:r>
        <w:rPr>
          <w:rFonts w:hint="eastAsia" w:ascii="宋体" w:hAnsi="宋体"/>
          <w:b/>
          <w:szCs w:val="21"/>
        </w:rPr>
        <w:t>.</w:t>
      </w:r>
      <w:r>
        <w:rPr>
          <w:rFonts w:hint="eastAsia"/>
          <w:b/>
          <w:szCs w:val="21"/>
        </w:rPr>
        <w:t>1</w:t>
      </w:r>
      <w:r>
        <w:rPr>
          <w:rFonts w:hint="eastAsia" w:ascii="宋体" w:hAnsi="宋体"/>
          <w:szCs w:val="21"/>
          <w:u w:val="thick"/>
        </w:rPr>
        <w:t>评标程序</w:t>
      </w:r>
      <w:r>
        <w:rPr>
          <w:rFonts w:hint="eastAsia" w:ascii="宋体" w:hAnsi="宋体"/>
          <w:szCs w:val="21"/>
        </w:rPr>
        <w:t>：遵循资格审查、符合性审查、澄清有关问题、比较与评价、推荐中标供应商（或中标候选人）的程序依次进行。</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2</w:t>
      </w:r>
      <w:r>
        <w:rPr>
          <w:rFonts w:hint="eastAsia" w:ascii="宋体" w:hAnsi="宋体"/>
          <w:szCs w:val="21"/>
          <w:u w:val="thick"/>
        </w:rPr>
        <w:t>资格审查</w:t>
      </w:r>
      <w:r>
        <w:rPr>
          <w:rFonts w:hint="eastAsia" w:ascii="宋体" w:hAnsi="宋体"/>
          <w:szCs w:val="21"/>
        </w:rPr>
        <w:t>：公开招标采购项目开标结束后，采购人或者采购代理机构应当依法对投标人的资格进行审查。详见采购文件第五部分“评标办法”。</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3</w:t>
      </w:r>
      <w:r>
        <w:rPr>
          <w:rFonts w:hint="eastAsia" w:ascii="宋体" w:hAnsi="宋体"/>
          <w:szCs w:val="21"/>
          <w:u w:val="thick"/>
        </w:rPr>
        <w:t>符合性审查</w:t>
      </w:r>
      <w:r>
        <w:rPr>
          <w:rFonts w:hint="eastAsia" w:ascii="宋体" w:hAnsi="宋体"/>
          <w:szCs w:val="21"/>
        </w:rPr>
        <w:t>：评标委员会应当对符合资格的投标人的投标文件进行符合性审查，以确定其是否满足采购文件的实质性要求。详见采购文件第五部分“评标办法”。</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4</w:t>
      </w:r>
      <w:r>
        <w:rPr>
          <w:rFonts w:hint="eastAsia" w:ascii="宋体" w:hAnsi="宋体"/>
          <w:szCs w:val="21"/>
          <w:u w:val="thick"/>
        </w:rPr>
        <w:t>澄清有关问题</w:t>
      </w:r>
      <w:r>
        <w:rPr>
          <w:rFonts w:hint="eastAsia" w:ascii="宋体" w:hAnsi="宋体"/>
          <w:szCs w:val="21"/>
        </w:rPr>
        <w:t>：按第</w:t>
      </w:r>
      <w:r>
        <w:rPr>
          <w:rFonts w:hint="eastAsia"/>
          <w:b/>
          <w:szCs w:val="21"/>
        </w:rPr>
        <w:t>19</w:t>
      </w:r>
      <w:r>
        <w:rPr>
          <w:rFonts w:hint="eastAsia" w:ascii="宋体" w:hAnsi="宋体"/>
          <w:szCs w:val="21"/>
        </w:rPr>
        <w:t>条规定进行。</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5</w:t>
      </w:r>
      <w:r>
        <w:rPr>
          <w:rFonts w:hint="eastAsia" w:ascii="宋体" w:hAnsi="宋体"/>
          <w:szCs w:val="21"/>
          <w:u w:val="thick"/>
        </w:rPr>
        <w:t>综合比较与评价</w:t>
      </w:r>
      <w:r>
        <w:rPr>
          <w:rFonts w:hint="eastAsia" w:ascii="宋体" w:hAnsi="宋体"/>
          <w:szCs w:val="21"/>
        </w:rPr>
        <w:t>：评标委员会应当按照采购文件中规定的评标方法和标准，对符合性审查合格的投标文件进行商务和技术评估，综合比较与评价。</w:t>
      </w:r>
    </w:p>
    <w:p>
      <w:pPr>
        <w:spacing w:line="440" w:lineRule="exact"/>
        <w:rPr>
          <w:rFonts w:ascii="宋体" w:hAnsi="宋体"/>
          <w:b/>
          <w:szCs w:val="21"/>
        </w:rPr>
      </w:pPr>
      <w:r>
        <w:rPr>
          <w:rFonts w:hint="eastAsia"/>
          <w:b/>
          <w:szCs w:val="21"/>
        </w:rPr>
        <w:t>21</w:t>
      </w:r>
      <w:r>
        <w:rPr>
          <w:rFonts w:hint="eastAsia" w:ascii="宋体" w:hAnsi="宋体"/>
          <w:b/>
          <w:szCs w:val="21"/>
        </w:rPr>
        <w:t>.</w:t>
      </w:r>
      <w:r>
        <w:rPr>
          <w:rFonts w:hint="eastAsia"/>
          <w:b/>
          <w:szCs w:val="21"/>
        </w:rPr>
        <w:t>5</w:t>
      </w:r>
      <w:r>
        <w:rPr>
          <w:rFonts w:hint="eastAsia" w:ascii="宋体" w:hAnsi="宋体"/>
          <w:b/>
          <w:szCs w:val="21"/>
        </w:rPr>
        <w:t>.</w:t>
      </w:r>
      <w:r>
        <w:rPr>
          <w:rFonts w:hint="eastAsia"/>
          <w:b/>
          <w:szCs w:val="21"/>
        </w:rPr>
        <w:t>1</w:t>
      </w:r>
      <w:r>
        <w:rPr>
          <w:rFonts w:hint="eastAsia" w:ascii="宋体" w:hAnsi="宋体"/>
          <w:szCs w:val="21"/>
          <w:u w:val="thick"/>
        </w:rPr>
        <w:t>商务评价</w:t>
      </w:r>
      <w:r>
        <w:rPr>
          <w:rFonts w:hint="eastAsia" w:ascii="宋体" w:hAnsi="宋体"/>
          <w:szCs w:val="21"/>
        </w:rPr>
        <w:t>：按照采购文件的要求和“评标标准”对照投标文件的响应进行商务评价，并对其偏差计算相应的商务评分分值。</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5</w:t>
      </w:r>
      <w:r>
        <w:rPr>
          <w:rFonts w:hint="eastAsia" w:ascii="宋体" w:hAnsi="宋体"/>
          <w:b/>
          <w:szCs w:val="21"/>
        </w:rPr>
        <w:t>.</w:t>
      </w:r>
      <w:r>
        <w:rPr>
          <w:rFonts w:hint="eastAsia"/>
          <w:b/>
          <w:szCs w:val="21"/>
        </w:rPr>
        <w:t>2</w:t>
      </w:r>
      <w:r>
        <w:rPr>
          <w:rFonts w:hint="eastAsia" w:ascii="宋体" w:hAnsi="宋体"/>
          <w:szCs w:val="21"/>
          <w:u w:val="thick"/>
        </w:rPr>
        <w:t>技术评价</w:t>
      </w:r>
      <w:r>
        <w:rPr>
          <w:rFonts w:hint="eastAsia" w:ascii="宋体" w:hAnsi="宋体"/>
          <w:szCs w:val="21"/>
        </w:rPr>
        <w:t>：按照采购文件的要求和“评标标准”对照投标文件的响应进行技术评价，评定其偏差程度，并计算其相应的技术评分分值。</w:t>
      </w:r>
    </w:p>
    <w:p>
      <w:pPr>
        <w:spacing w:line="440" w:lineRule="exact"/>
        <w:jc w:val="left"/>
        <w:rPr>
          <w:rFonts w:ascii="宋体" w:hAnsi="宋体"/>
          <w:szCs w:val="21"/>
        </w:rPr>
      </w:pPr>
      <w:r>
        <w:rPr>
          <w:rFonts w:hint="eastAsia"/>
          <w:b/>
          <w:szCs w:val="21"/>
        </w:rPr>
        <w:t>21</w:t>
      </w:r>
      <w:r>
        <w:rPr>
          <w:rFonts w:hint="eastAsia" w:ascii="宋体" w:hAnsi="宋体"/>
          <w:b/>
          <w:szCs w:val="21"/>
        </w:rPr>
        <w:t>.</w:t>
      </w:r>
      <w:r>
        <w:rPr>
          <w:rFonts w:hint="eastAsia"/>
          <w:b/>
          <w:szCs w:val="21"/>
        </w:rPr>
        <w:t>5</w:t>
      </w:r>
      <w:r>
        <w:rPr>
          <w:rFonts w:hint="eastAsia" w:ascii="宋体" w:hAnsi="宋体"/>
          <w:b/>
          <w:szCs w:val="21"/>
        </w:rPr>
        <w:t>.</w:t>
      </w:r>
      <w:r>
        <w:rPr>
          <w:rFonts w:hint="eastAsia"/>
          <w:b/>
          <w:szCs w:val="21"/>
        </w:rPr>
        <w:t>3</w:t>
      </w:r>
      <w:r>
        <w:rPr>
          <w:rFonts w:hint="eastAsia" w:ascii="宋体" w:hAnsi="宋体"/>
          <w:szCs w:val="21"/>
          <w:u w:val="thick"/>
        </w:rPr>
        <w:t>综合评价</w:t>
      </w:r>
      <w:r>
        <w:rPr>
          <w:rFonts w:hint="eastAsia" w:ascii="宋体" w:hAnsi="宋体"/>
          <w:szCs w:val="21"/>
        </w:rPr>
        <w:t>：对经过商务评价、技术评价的投标，按“评标标准”规定的评价办法进行综合评价，做出评标结果排序。</w:t>
      </w:r>
    </w:p>
    <w:p>
      <w:pPr>
        <w:spacing w:line="440" w:lineRule="exact"/>
        <w:jc w:val="left"/>
        <w:rPr>
          <w:rFonts w:ascii="宋体" w:hAnsi="宋体"/>
          <w:szCs w:val="21"/>
        </w:rPr>
      </w:pPr>
    </w:p>
    <w:p>
      <w:pPr>
        <w:spacing w:line="440" w:lineRule="exact"/>
        <w:rPr>
          <w:rFonts w:ascii="宋体" w:hAnsi="宋体"/>
          <w:b/>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 xml:space="preserve">  评标过程处理原则</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1</w:t>
      </w:r>
      <w:r>
        <w:rPr>
          <w:rFonts w:hint="eastAsia" w:ascii="宋体" w:hAnsi="宋体"/>
          <w:szCs w:val="21"/>
        </w:rPr>
        <w:t>通过资格审查的投标人不足</w:t>
      </w:r>
      <w:r>
        <w:rPr>
          <w:rFonts w:hint="eastAsia"/>
          <w:szCs w:val="21"/>
        </w:rPr>
        <w:t>3</w:t>
      </w:r>
      <w:r>
        <w:rPr>
          <w:rFonts w:hint="eastAsia" w:ascii="宋体" w:hAnsi="宋体"/>
          <w:szCs w:val="21"/>
        </w:rPr>
        <w:t>家的，本标项作废标处理，重新组织采购。</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2</w:t>
      </w:r>
      <w:r>
        <w:rPr>
          <w:rFonts w:hint="eastAsia" w:ascii="宋体" w:hAnsi="宋体"/>
          <w:szCs w:val="21"/>
        </w:rPr>
        <w:t>投标文件报价出现前后不一致的，除采购文件另有规定外，按照下列规定修正：</w:t>
      </w:r>
    </w:p>
    <w:p>
      <w:pPr>
        <w:spacing w:line="440" w:lineRule="exact"/>
        <w:ind w:firstLine="449" w:firstLineChars="214"/>
        <w:rPr>
          <w:rFonts w:ascii="宋体" w:hAnsi="宋体"/>
          <w:szCs w:val="21"/>
        </w:rPr>
      </w:pPr>
      <w:r>
        <w:rPr>
          <w:rFonts w:hint="eastAsia" w:ascii="宋体" w:hAnsi="宋体"/>
          <w:szCs w:val="21"/>
        </w:rPr>
        <w:t>（一）投标文件中开标一览表(报价表)内容与投标文件中相应内容不一致的，以开标一览表(报价表)为准；</w:t>
      </w:r>
    </w:p>
    <w:p>
      <w:pPr>
        <w:spacing w:line="440" w:lineRule="exact"/>
        <w:ind w:firstLine="449" w:firstLineChars="214"/>
        <w:rPr>
          <w:rFonts w:ascii="宋体" w:hAnsi="宋体"/>
          <w:szCs w:val="21"/>
        </w:rPr>
      </w:pPr>
      <w:r>
        <w:rPr>
          <w:rFonts w:hint="eastAsia" w:ascii="宋体" w:hAnsi="宋体"/>
          <w:szCs w:val="21"/>
        </w:rPr>
        <w:t>（二）大写金额和小写金额不一致的，以大写金额为准；</w:t>
      </w:r>
    </w:p>
    <w:p>
      <w:pPr>
        <w:spacing w:line="440" w:lineRule="exact"/>
        <w:ind w:firstLine="449" w:firstLineChars="214"/>
        <w:rPr>
          <w:rFonts w:ascii="宋体" w:hAnsi="宋体"/>
          <w:szCs w:val="21"/>
        </w:rPr>
      </w:pPr>
      <w:r>
        <w:rPr>
          <w:rFonts w:hint="eastAsia" w:ascii="宋体" w:hAnsi="宋体"/>
          <w:szCs w:val="21"/>
        </w:rPr>
        <w:t>（三）单价金额小数点或者百分比有明显错位的，以开标一览表的总价为准，并修改单价；</w:t>
      </w:r>
    </w:p>
    <w:p>
      <w:pPr>
        <w:spacing w:line="440" w:lineRule="exact"/>
        <w:ind w:firstLine="449" w:firstLineChars="214"/>
        <w:rPr>
          <w:rFonts w:ascii="宋体" w:hAnsi="宋体"/>
          <w:szCs w:val="21"/>
        </w:rPr>
      </w:pPr>
      <w:r>
        <w:rPr>
          <w:rFonts w:hint="eastAsia" w:ascii="宋体" w:hAnsi="宋体"/>
          <w:szCs w:val="21"/>
        </w:rPr>
        <w:t>（四）总价金额与按单价汇总金额不一致的，以单价金额计算结果为准。</w:t>
      </w:r>
    </w:p>
    <w:p>
      <w:pPr>
        <w:spacing w:line="440" w:lineRule="exact"/>
        <w:ind w:firstLine="449" w:firstLineChars="214"/>
        <w:rPr>
          <w:rFonts w:ascii="宋体" w:hAnsi="宋体"/>
          <w:szCs w:val="21"/>
        </w:rPr>
      </w:pPr>
      <w:r>
        <w:rPr>
          <w:rFonts w:hint="eastAsia" w:ascii="宋体" w:hAnsi="宋体"/>
          <w:szCs w:val="21"/>
        </w:rPr>
        <w:t>同时出现两种以上不一致的，按照前款规定的顺序修正。修正后的报价按照本须知</w:t>
      </w:r>
      <w:r>
        <w:rPr>
          <w:rFonts w:hint="eastAsia"/>
          <w:szCs w:val="21"/>
        </w:rPr>
        <w:t>19</w:t>
      </w:r>
      <w:r>
        <w:rPr>
          <w:rFonts w:hint="eastAsia" w:ascii="宋体" w:hAnsi="宋体"/>
          <w:szCs w:val="21"/>
        </w:rPr>
        <w:t>.</w:t>
      </w:r>
      <w:r>
        <w:rPr>
          <w:rFonts w:hint="eastAsia"/>
          <w:szCs w:val="21"/>
        </w:rPr>
        <w:t>2</w:t>
      </w:r>
      <w:r>
        <w:rPr>
          <w:rFonts w:hint="eastAsia" w:ascii="宋体" w:hAnsi="宋体"/>
          <w:szCs w:val="21"/>
        </w:rPr>
        <w:t>条的规定经投标人确认后产生约束力，投标人不确认的，其投标无效。</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3</w:t>
      </w: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4</w:t>
      </w:r>
      <w:r>
        <w:rPr>
          <w:rFonts w:hint="eastAsia" w:ascii="宋体" w:hAnsi="宋体"/>
          <w:szCs w:val="21"/>
        </w:rPr>
        <w:t>评标委员会成员对需要共同认定的事项存在争议的，应当按照少数服从多数的原则作出结论。持不同意见的评标委员会成员应当在评标报告上签署不同意见及理由，否则视为同意评标报告。</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5</w:t>
      </w:r>
      <w:r>
        <w:rPr>
          <w:rFonts w:hint="eastAsia" w:ascii="宋体" w:hAnsi="宋体"/>
          <w:szCs w:val="21"/>
        </w:rPr>
        <w:t>采用最低评标价法的采购项目，提供相同品牌产品的不同投标人参加同一标项投标的，以其中通过资格审查、符合性审查且报价最低的参加评标；报价相同的，由采购人或者采购人委托评标委员会采取随机抽取方式确定，其他投标无效。</w:t>
      </w:r>
    </w:p>
    <w:p>
      <w:pPr>
        <w:spacing w:line="440" w:lineRule="exact"/>
        <w:ind w:firstLine="420" w:firstLineChars="200"/>
        <w:rPr>
          <w:rFonts w:ascii="宋体" w:hAnsi="宋体"/>
          <w:szCs w:val="21"/>
        </w:rPr>
      </w:pPr>
      <w:r>
        <w:rPr>
          <w:rFonts w:hint="eastAsia" w:ascii="宋体" w:hAnsi="宋体"/>
          <w:szCs w:val="21"/>
        </w:rPr>
        <w:t>使用综合评分法的采购项目，提供相同品牌产品且通过资格审查、符合性审查的不同投标人参加同一标项项投标的，按一家投标人计算，评审后得分最高的同品牌投标人获得中标人推荐资格；评审得分相同的，由采购人或者采购人委托评标委员会采取随机抽取方式确定，其他同品牌投标人不作为中标候选人。</w:t>
      </w:r>
    </w:p>
    <w:p>
      <w:pPr>
        <w:spacing w:line="440" w:lineRule="exact"/>
        <w:ind w:firstLine="449" w:firstLineChars="214"/>
        <w:rPr>
          <w:rFonts w:ascii="宋体" w:hAnsi="宋体"/>
          <w:szCs w:val="21"/>
        </w:rPr>
      </w:pPr>
      <w:r>
        <w:rPr>
          <w:rFonts w:hint="eastAsia" w:ascii="宋体" w:hAnsi="宋体"/>
          <w:szCs w:val="21"/>
        </w:rPr>
        <w:t>非单一产品采购项目，采购文件中应载明核心产品，多家投标人提供的核心产品品牌相同的，按上述规定处理。</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6</w:t>
      </w:r>
      <w:r>
        <w:rPr>
          <w:rFonts w:hint="eastAsia" w:ascii="宋体" w:hAnsi="宋体"/>
          <w:szCs w:val="21"/>
        </w:rPr>
        <w:t>有下列情形之一的，视为投标人串通投标，其投标无效：</w:t>
      </w:r>
    </w:p>
    <w:p>
      <w:pPr>
        <w:spacing w:line="440" w:lineRule="exact"/>
        <w:ind w:firstLine="449" w:firstLineChars="214"/>
        <w:rPr>
          <w:rFonts w:ascii="宋体" w:hAnsi="宋体"/>
          <w:szCs w:val="21"/>
        </w:rPr>
      </w:pPr>
      <w:r>
        <w:rPr>
          <w:rFonts w:hint="eastAsia" w:ascii="宋体" w:hAnsi="宋体"/>
          <w:szCs w:val="21"/>
        </w:rPr>
        <w:t>（一）不同投标人的投标文件由同一单位或者个人编制；</w:t>
      </w:r>
    </w:p>
    <w:p>
      <w:pPr>
        <w:spacing w:line="440" w:lineRule="exact"/>
        <w:ind w:firstLine="449" w:firstLineChars="214"/>
        <w:rPr>
          <w:rFonts w:ascii="宋体" w:hAnsi="宋体"/>
          <w:szCs w:val="21"/>
        </w:rPr>
      </w:pPr>
      <w:r>
        <w:rPr>
          <w:rFonts w:hint="eastAsia" w:ascii="宋体" w:hAnsi="宋体"/>
          <w:szCs w:val="21"/>
        </w:rPr>
        <w:t>（二）不同投标人委托同一单位或者个人办理投标事宜；</w:t>
      </w:r>
    </w:p>
    <w:p>
      <w:pPr>
        <w:spacing w:line="440" w:lineRule="exact"/>
        <w:ind w:firstLine="449" w:firstLineChars="214"/>
        <w:rPr>
          <w:rFonts w:ascii="宋体" w:hAnsi="宋体"/>
          <w:szCs w:val="21"/>
        </w:rPr>
      </w:pPr>
      <w:r>
        <w:rPr>
          <w:rFonts w:hint="eastAsia" w:ascii="宋体" w:hAnsi="宋体"/>
          <w:szCs w:val="21"/>
        </w:rPr>
        <w:t>（三）不同投标人的投标文件载明的项目管理成员或者联系人员为同一人；</w:t>
      </w:r>
    </w:p>
    <w:p>
      <w:pPr>
        <w:spacing w:line="440" w:lineRule="exact"/>
        <w:ind w:firstLine="449" w:firstLineChars="214"/>
        <w:rPr>
          <w:rFonts w:ascii="宋体" w:hAnsi="宋体"/>
          <w:szCs w:val="21"/>
        </w:rPr>
      </w:pPr>
      <w:r>
        <w:rPr>
          <w:rFonts w:hint="eastAsia" w:ascii="宋体" w:hAnsi="宋体"/>
          <w:szCs w:val="21"/>
        </w:rPr>
        <w:t>（四）不同投标人的投标文件异常一致或者投标报价呈规律性差异；</w:t>
      </w:r>
    </w:p>
    <w:p>
      <w:pPr>
        <w:spacing w:line="440" w:lineRule="exact"/>
        <w:ind w:firstLine="449" w:firstLineChars="214"/>
        <w:rPr>
          <w:rFonts w:ascii="宋体" w:hAnsi="宋体"/>
          <w:szCs w:val="21"/>
        </w:rPr>
      </w:pPr>
      <w:r>
        <w:rPr>
          <w:rFonts w:hint="eastAsia" w:ascii="宋体" w:hAnsi="宋体"/>
          <w:szCs w:val="21"/>
        </w:rPr>
        <w:t>（五）不同投标人的投标文件相互混装；</w:t>
      </w:r>
    </w:p>
    <w:p>
      <w:pPr>
        <w:spacing w:line="440" w:lineRule="exact"/>
        <w:ind w:firstLine="449" w:firstLineChars="214"/>
        <w:rPr>
          <w:rFonts w:ascii="宋体" w:hAnsi="宋体"/>
          <w:szCs w:val="21"/>
        </w:rPr>
      </w:pPr>
      <w:r>
        <w:rPr>
          <w:rFonts w:hint="eastAsia" w:ascii="宋体" w:hAnsi="宋体"/>
          <w:szCs w:val="21"/>
        </w:rPr>
        <w:t>（六）不同投标人的投标保证金从同一单位或者个人的账户转出。</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7</w:t>
      </w:r>
      <w:r>
        <w:rPr>
          <w:rFonts w:hint="eastAsia" w:ascii="宋体" w:hAnsi="宋体"/>
          <w:szCs w:val="21"/>
        </w:rPr>
        <w:t>投标人存在下列情况之一的，投标无效：</w:t>
      </w:r>
    </w:p>
    <w:p>
      <w:pPr>
        <w:spacing w:line="440" w:lineRule="exact"/>
        <w:ind w:firstLine="449" w:firstLineChars="214"/>
        <w:rPr>
          <w:rFonts w:ascii="宋体" w:hAnsi="宋体"/>
          <w:szCs w:val="21"/>
        </w:rPr>
      </w:pPr>
      <w:r>
        <w:rPr>
          <w:rFonts w:hint="eastAsia" w:ascii="宋体" w:hAnsi="宋体"/>
          <w:szCs w:val="21"/>
        </w:rPr>
        <w:t>（一）未按照采购文件的规定提交投标保证金的；</w:t>
      </w:r>
    </w:p>
    <w:p>
      <w:pPr>
        <w:spacing w:line="440" w:lineRule="exact"/>
        <w:ind w:firstLine="449" w:firstLineChars="214"/>
        <w:rPr>
          <w:rFonts w:ascii="宋体" w:hAnsi="宋体"/>
          <w:szCs w:val="21"/>
        </w:rPr>
      </w:pPr>
      <w:r>
        <w:rPr>
          <w:rFonts w:hint="eastAsia" w:ascii="宋体" w:hAnsi="宋体"/>
          <w:szCs w:val="21"/>
        </w:rPr>
        <w:t>（二）投标文件未按采购文件要求签署、盖章的；</w:t>
      </w:r>
    </w:p>
    <w:p>
      <w:pPr>
        <w:spacing w:line="440" w:lineRule="exact"/>
        <w:ind w:firstLine="449" w:firstLineChars="214"/>
        <w:rPr>
          <w:rFonts w:ascii="宋体" w:hAnsi="宋体"/>
          <w:szCs w:val="21"/>
        </w:rPr>
      </w:pPr>
      <w:r>
        <w:rPr>
          <w:rFonts w:hint="eastAsia" w:ascii="宋体" w:hAnsi="宋体"/>
          <w:szCs w:val="21"/>
        </w:rPr>
        <w:t>（三）不具备采购文件中规定的资格要求的；</w:t>
      </w:r>
    </w:p>
    <w:p>
      <w:pPr>
        <w:spacing w:line="440" w:lineRule="exact"/>
        <w:ind w:firstLine="449" w:firstLineChars="214"/>
        <w:rPr>
          <w:rFonts w:ascii="宋体" w:hAnsi="宋体"/>
          <w:szCs w:val="21"/>
        </w:rPr>
      </w:pPr>
      <w:r>
        <w:rPr>
          <w:rFonts w:hint="eastAsia" w:ascii="宋体" w:hAnsi="宋体"/>
          <w:szCs w:val="21"/>
        </w:rPr>
        <w:t>（四）报价超过采购文件中规定的预算金额或者最高限价的；</w:t>
      </w:r>
    </w:p>
    <w:p>
      <w:pPr>
        <w:spacing w:line="440" w:lineRule="exact"/>
        <w:ind w:firstLine="449" w:firstLineChars="214"/>
        <w:rPr>
          <w:rFonts w:ascii="宋体" w:hAnsi="宋体"/>
          <w:szCs w:val="21"/>
        </w:rPr>
      </w:pPr>
      <w:r>
        <w:rPr>
          <w:rFonts w:hint="eastAsia" w:ascii="宋体" w:hAnsi="宋体"/>
          <w:szCs w:val="21"/>
        </w:rPr>
        <w:t>（五）投标文件含有采购人不能接受的附加条件的；</w:t>
      </w:r>
    </w:p>
    <w:p>
      <w:pPr>
        <w:spacing w:line="440" w:lineRule="exact"/>
        <w:ind w:firstLine="449" w:firstLineChars="214"/>
        <w:rPr>
          <w:rFonts w:ascii="宋体" w:hAnsi="宋体"/>
          <w:szCs w:val="21"/>
        </w:rPr>
      </w:pPr>
      <w:r>
        <w:rPr>
          <w:rFonts w:hint="eastAsia" w:ascii="宋体" w:hAnsi="宋体"/>
          <w:szCs w:val="21"/>
        </w:rPr>
        <w:t>（六）法律、法规和采购文件规定的其他无效情形。</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8</w:t>
      </w:r>
      <w:r>
        <w:rPr>
          <w:rFonts w:hint="eastAsia" w:ascii="宋体" w:hAnsi="宋体"/>
          <w:szCs w:val="21"/>
        </w:rPr>
        <w:t>评标结果汇总完成后，除下列情形外，任何人不得修改评标结果：</w:t>
      </w:r>
    </w:p>
    <w:p>
      <w:pPr>
        <w:spacing w:line="440" w:lineRule="exact"/>
        <w:ind w:firstLine="449" w:firstLineChars="214"/>
        <w:rPr>
          <w:rFonts w:ascii="宋体" w:hAnsi="宋体"/>
          <w:szCs w:val="21"/>
        </w:rPr>
      </w:pPr>
      <w:r>
        <w:rPr>
          <w:rFonts w:hint="eastAsia" w:ascii="宋体" w:hAnsi="宋体"/>
          <w:szCs w:val="21"/>
        </w:rPr>
        <w:t>（一）分值汇总计算错误的;</w:t>
      </w:r>
    </w:p>
    <w:p>
      <w:pPr>
        <w:spacing w:line="440" w:lineRule="exact"/>
        <w:ind w:firstLine="449" w:firstLineChars="214"/>
        <w:rPr>
          <w:rFonts w:ascii="宋体" w:hAnsi="宋体"/>
          <w:szCs w:val="21"/>
        </w:rPr>
      </w:pPr>
      <w:r>
        <w:rPr>
          <w:rFonts w:hint="eastAsia" w:ascii="宋体" w:hAnsi="宋体"/>
          <w:szCs w:val="21"/>
        </w:rPr>
        <w:t>（二）分项评分超出评分标准范围的;</w:t>
      </w:r>
    </w:p>
    <w:p>
      <w:pPr>
        <w:spacing w:line="440" w:lineRule="exact"/>
        <w:ind w:firstLine="449" w:firstLineChars="214"/>
        <w:rPr>
          <w:rFonts w:ascii="宋体" w:hAnsi="宋体"/>
          <w:szCs w:val="21"/>
        </w:rPr>
      </w:pPr>
      <w:r>
        <w:rPr>
          <w:rFonts w:hint="eastAsia" w:ascii="宋体" w:hAnsi="宋体"/>
          <w:szCs w:val="21"/>
        </w:rPr>
        <w:t>（三）评标委员会成员对客观评审因素评分不一致的;</w:t>
      </w:r>
    </w:p>
    <w:p>
      <w:pPr>
        <w:spacing w:line="440" w:lineRule="exact"/>
        <w:ind w:firstLine="449" w:firstLineChars="214"/>
        <w:rPr>
          <w:rFonts w:ascii="宋体" w:hAnsi="宋体"/>
          <w:szCs w:val="21"/>
        </w:rPr>
      </w:pPr>
      <w:r>
        <w:rPr>
          <w:rFonts w:hint="eastAsia" w:ascii="宋体" w:hAnsi="宋体"/>
          <w:szCs w:val="21"/>
        </w:rPr>
        <w:t>（四）经评标委员会认定评分畸高、畸低的。</w:t>
      </w:r>
    </w:p>
    <w:p>
      <w:pPr>
        <w:spacing w:line="440" w:lineRule="exact"/>
        <w:ind w:firstLine="449" w:firstLineChars="214"/>
        <w:rPr>
          <w:rFonts w:ascii="宋体" w:hAnsi="宋体"/>
          <w:szCs w:val="21"/>
        </w:rPr>
      </w:pPr>
      <w:r>
        <w:rPr>
          <w:rFonts w:hint="eastAsia" w:ascii="宋体" w:hAnsi="宋体"/>
          <w:szCs w:val="21"/>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spacing w:line="440" w:lineRule="exact"/>
        <w:ind w:firstLine="449" w:firstLineChars="214"/>
        <w:rPr>
          <w:rFonts w:ascii="宋体" w:hAnsi="宋体"/>
          <w:szCs w:val="21"/>
        </w:rPr>
      </w:pPr>
      <w:r>
        <w:rPr>
          <w:rFonts w:hint="eastAsia" w:ascii="宋体" w:hAnsi="宋体"/>
          <w:szCs w:val="21"/>
        </w:rPr>
        <w:t>投标人对本条第一款情形提出质疑的，采购人或者采购代理机构可以组织原评标委员会进行重新评审，重新评审改变评标结果的，应当书面报告本级财政部门。</w:t>
      </w:r>
    </w:p>
    <w:p>
      <w:pPr>
        <w:spacing w:line="440" w:lineRule="exact"/>
        <w:rPr>
          <w:rFonts w:ascii="宋体" w:hAnsi="宋体"/>
          <w:szCs w:val="21"/>
        </w:rPr>
      </w:pPr>
      <w:r>
        <w:rPr>
          <w:rFonts w:hint="eastAsia"/>
          <w:b/>
          <w:szCs w:val="21"/>
        </w:rPr>
        <w:t>21</w:t>
      </w:r>
      <w:r>
        <w:rPr>
          <w:rFonts w:hint="eastAsia" w:ascii="宋体" w:hAnsi="宋体"/>
          <w:b/>
          <w:szCs w:val="21"/>
        </w:rPr>
        <w:t>.</w:t>
      </w:r>
      <w:r>
        <w:rPr>
          <w:rFonts w:hint="eastAsia"/>
          <w:b/>
          <w:szCs w:val="21"/>
        </w:rPr>
        <w:t>6</w:t>
      </w:r>
      <w:r>
        <w:rPr>
          <w:rFonts w:hint="eastAsia" w:ascii="宋体" w:hAnsi="宋体"/>
          <w:b/>
          <w:szCs w:val="21"/>
        </w:rPr>
        <w:t>.</w:t>
      </w:r>
      <w:r>
        <w:rPr>
          <w:rFonts w:hint="eastAsia"/>
          <w:b/>
          <w:szCs w:val="21"/>
        </w:rPr>
        <w:t>9</w:t>
      </w:r>
      <w:r>
        <w:rPr>
          <w:rFonts w:hint="eastAsia" w:ascii="宋体" w:hAnsi="宋体"/>
          <w:szCs w:val="21"/>
        </w:rPr>
        <w:t>评标委员会发现采购文件存在歧义、重大缺陷导致评标工作无法进行，或者采购文件内容违反国家有关强制性规定的，应当停止评标工作，与采购人或者采购代理机构沟通并作书面记录。采购人或者采购代理机构确认后，应当修改采购文件，重新组织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cs="宋体"/>
          <w:b/>
          <w:szCs w:val="21"/>
        </w:rPr>
        <w:t>22</w:t>
      </w:r>
      <w:r>
        <w:rPr>
          <w:rFonts w:hint="eastAsia" w:ascii="宋体" w:hAnsi="宋体" w:cs="宋体"/>
          <w:b/>
          <w:szCs w:val="21"/>
        </w:rPr>
        <w:t>.推荐中标候选人</w:t>
      </w:r>
    </w:p>
    <w:p>
      <w:pPr>
        <w:spacing w:line="400" w:lineRule="exact"/>
        <w:rPr>
          <w:rFonts w:ascii="宋体" w:hAnsi="宋体" w:cs="宋体"/>
          <w:kern w:val="0"/>
          <w:szCs w:val="21"/>
        </w:rPr>
      </w:pPr>
      <w:r>
        <w:rPr>
          <w:rFonts w:hint="eastAsia" w:cs="宋体"/>
          <w:b/>
          <w:szCs w:val="21"/>
        </w:rPr>
        <w:t>22</w:t>
      </w:r>
      <w:r>
        <w:rPr>
          <w:rFonts w:hint="eastAsia" w:ascii="宋体" w:hAnsi="宋体" w:cs="宋体"/>
          <w:b/>
          <w:szCs w:val="21"/>
        </w:rPr>
        <w:t>.</w:t>
      </w:r>
      <w:r>
        <w:rPr>
          <w:rFonts w:hint="eastAsia" w:cs="宋体"/>
          <w:b/>
          <w:szCs w:val="21"/>
        </w:rPr>
        <w:t>1</w:t>
      </w:r>
      <w:r>
        <w:rPr>
          <w:rFonts w:hint="eastAsia" w:ascii="宋体" w:hAnsi="宋体" w:cs="宋体"/>
          <w:kern w:val="0"/>
          <w:szCs w:val="21"/>
        </w:rPr>
        <w:t>评标委员会按照采购文件第五部分“评标标准”推荐中标候选人。</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cs="宋体"/>
          <w:b/>
          <w:szCs w:val="21"/>
        </w:rPr>
        <w:t>23</w:t>
      </w:r>
      <w:r>
        <w:rPr>
          <w:rFonts w:hint="eastAsia" w:ascii="宋体" w:hAnsi="宋体" w:cs="宋体"/>
          <w:b/>
          <w:szCs w:val="21"/>
        </w:rPr>
        <w:t>.定标</w:t>
      </w:r>
    </w:p>
    <w:p>
      <w:pPr>
        <w:spacing w:line="400" w:lineRule="exact"/>
        <w:rPr>
          <w:rFonts w:ascii="宋体" w:hAnsi="宋体" w:cs="宋体"/>
          <w:b/>
          <w:szCs w:val="21"/>
        </w:rPr>
      </w:pPr>
      <w:r>
        <w:rPr>
          <w:rFonts w:hint="eastAsia" w:cs="宋体"/>
          <w:b/>
          <w:szCs w:val="21"/>
        </w:rPr>
        <w:t>23</w:t>
      </w:r>
      <w:r>
        <w:rPr>
          <w:rFonts w:hint="eastAsia" w:ascii="宋体" w:hAnsi="宋体" w:cs="宋体"/>
          <w:b/>
          <w:szCs w:val="21"/>
        </w:rPr>
        <w:t>.</w:t>
      </w:r>
      <w:r>
        <w:rPr>
          <w:rFonts w:hint="eastAsia" w:cs="宋体"/>
          <w:b/>
          <w:szCs w:val="21"/>
        </w:rPr>
        <w:t>1</w:t>
      </w:r>
      <w:r>
        <w:rPr>
          <w:rFonts w:hint="eastAsia" w:ascii="宋体" w:hAnsi="宋体" w:cs="宋体"/>
          <w:szCs w:val="21"/>
        </w:rPr>
        <w:t>确定中标人。本项目由评标委员会推荐中标候选人，采购人不得在评标委员会推荐的中标候选人以外确定中标候选人。</w:t>
      </w:r>
    </w:p>
    <w:p>
      <w:pPr>
        <w:spacing w:line="400" w:lineRule="exact"/>
        <w:rPr>
          <w:rFonts w:ascii="宋体" w:hAnsi="宋体" w:cs="宋体"/>
          <w:szCs w:val="21"/>
        </w:rPr>
      </w:pPr>
      <w:r>
        <w:rPr>
          <w:rFonts w:hint="eastAsia" w:cs="宋体"/>
          <w:b/>
          <w:szCs w:val="21"/>
        </w:rPr>
        <w:t>23</w:t>
      </w:r>
      <w:r>
        <w:rPr>
          <w:rFonts w:hint="eastAsia" w:ascii="宋体" w:hAnsi="宋体" w:cs="宋体"/>
          <w:b/>
          <w:szCs w:val="21"/>
        </w:rPr>
        <w:t>.</w:t>
      </w:r>
      <w:r>
        <w:rPr>
          <w:rFonts w:hint="eastAsia" w:cs="宋体"/>
          <w:b/>
          <w:szCs w:val="21"/>
        </w:rPr>
        <w:t>2</w:t>
      </w:r>
      <w:r>
        <w:rPr>
          <w:rFonts w:hint="eastAsia" w:ascii="宋体" w:hAnsi="宋体" w:cs="宋体"/>
          <w:szCs w:val="21"/>
        </w:rPr>
        <w:t>采购代理机构在评标结束后</w:t>
      </w:r>
      <w:r>
        <w:rPr>
          <w:rFonts w:hint="eastAsia" w:cs="宋体"/>
          <w:szCs w:val="21"/>
        </w:rPr>
        <w:t>2</w:t>
      </w:r>
      <w:r>
        <w:rPr>
          <w:rFonts w:hint="eastAsia" w:ascii="宋体" w:hAnsi="宋体" w:cs="宋体"/>
          <w:szCs w:val="21"/>
        </w:rPr>
        <w:t>个工作日内将评标报告交采购人确认，采购人在收到评标报告之日起</w:t>
      </w:r>
      <w:r>
        <w:rPr>
          <w:rFonts w:hint="eastAsia" w:cs="宋体"/>
          <w:szCs w:val="21"/>
        </w:rPr>
        <w:t>5</w:t>
      </w:r>
      <w:r>
        <w:rPr>
          <w:rFonts w:hint="eastAsia" w:ascii="宋体" w:hAnsi="宋体" w:cs="宋体"/>
          <w:szCs w:val="21"/>
        </w:rPr>
        <w:t>个工作日内在评标报告确定的中标候选人中按顺序确定中标人，采购人在收到评标报告之日起</w:t>
      </w:r>
      <w:r>
        <w:rPr>
          <w:rFonts w:hint="eastAsia" w:cs="宋体"/>
          <w:szCs w:val="21"/>
        </w:rPr>
        <w:t>5</w:t>
      </w:r>
      <w:r>
        <w:rPr>
          <w:rFonts w:hint="eastAsia" w:ascii="宋体" w:hAnsi="宋体" w:cs="宋体"/>
          <w:szCs w:val="21"/>
        </w:rPr>
        <w:t>个工作日内未按评标报告推荐的中标候选人排序确定中标人，又不能说明合法理由的，视同按评标报告推荐的顺序确定排名第一的中标候选人为中标人。</w:t>
      </w:r>
    </w:p>
    <w:p>
      <w:pPr>
        <w:spacing w:line="400" w:lineRule="exact"/>
        <w:rPr>
          <w:rFonts w:ascii="宋体" w:hAnsi="宋体" w:cs="宋体"/>
          <w:szCs w:val="21"/>
        </w:rPr>
      </w:pPr>
      <w:r>
        <w:rPr>
          <w:rFonts w:hint="eastAsia" w:cs="宋体"/>
          <w:b/>
          <w:szCs w:val="21"/>
        </w:rPr>
        <w:t>23</w:t>
      </w:r>
      <w:r>
        <w:rPr>
          <w:rFonts w:hint="eastAsia" w:ascii="宋体" w:hAnsi="宋体" w:cs="宋体"/>
          <w:b/>
          <w:szCs w:val="21"/>
        </w:rPr>
        <w:t>.</w:t>
      </w:r>
      <w:r>
        <w:rPr>
          <w:rFonts w:hint="eastAsia" w:cs="宋体"/>
          <w:b/>
          <w:szCs w:val="21"/>
        </w:rPr>
        <w:t>3</w:t>
      </w:r>
      <w:r>
        <w:rPr>
          <w:rFonts w:hint="eastAsia" w:ascii="宋体" w:hAnsi="宋体" w:cs="宋体"/>
          <w:szCs w:val="21"/>
        </w:rPr>
        <w:t>采购代理机构自中标人确定之日起</w:t>
      </w:r>
      <w:r>
        <w:rPr>
          <w:rFonts w:hint="eastAsia" w:cs="宋体"/>
          <w:szCs w:val="21"/>
        </w:rPr>
        <w:t>2</w:t>
      </w:r>
      <w:r>
        <w:rPr>
          <w:rFonts w:hint="eastAsia" w:ascii="宋体" w:hAnsi="宋体" w:cs="宋体"/>
          <w:szCs w:val="21"/>
        </w:rPr>
        <w:t>个工作日内，在发布招标公告的网站上对中标结果进行公示，中标结果公告期限为</w:t>
      </w:r>
      <w:r>
        <w:rPr>
          <w:rFonts w:hint="eastAsia" w:cs="宋体"/>
          <w:szCs w:val="21"/>
        </w:rPr>
        <w:t>1</w:t>
      </w:r>
      <w:r>
        <w:rPr>
          <w:rFonts w:hint="eastAsia" w:ascii="宋体" w:hAnsi="宋体" w:cs="宋体"/>
          <w:szCs w:val="21"/>
        </w:rPr>
        <w:t>个工作日。</w:t>
      </w:r>
    </w:p>
    <w:p>
      <w:pPr>
        <w:spacing w:line="400" w:lineRule="exact"/>
        <w:rPr>
          <w:rFonts w:ascii="宋体" w:hAnsi="宋体" w:cs="宋体"/>
          <w:kern w:val="0"/>
          <w:szCs w:val="21"/>
        </w:rPr>
      </w:pPr>
    </w:p>
    <w:p>
      <w:pPr>
        <w:jc w:val="center"/>
        <w:outlineLvl w:val="1"/>
        <w:rPr>
          <w:rFonts w:ascii="宋体" w:hAnsi="宋体" w:cs="宋体"/>
          <w:b/>
          <w:sz w:val="28"/>
        </w:rPr>
      </w:pPr>
      <w:bookmarkStart w:id="68" w:name="_Toc440276567"/>
      <w:r>
        <w:rPr>
          <w:rFonts w:hint="eastAsia" w:cs="宋体"/>
          <w:b/>
          <w:sz w:val="28"/>
        </w:rPr>
        <w:t>G</w:t>
      </w:r>
      <w:r>
        <w:rPr>
          <w:rFonts w:hint="eastAsia" w:ascii="宋体" w:hAnsi="宋体" w:cs="宋体"/>
          <w:b/>
          <w:sz w:val="28"/>
        </w:rPr>
        <w:t xml:space="preserve">  授予合同</w:t>
      </w:r>
      <w:bookmarkEnd w:id="68"/>
    </w:p>
    <w:p>
      <w:pPr>
        <w:spacing w:line="400" w:lineRule="exact"/>
        <w:rPr>
          <w:rFonts w:ascii="宋体" w:hAnsi="宋体" w:cs="宋体"/>
          <w:b/>
          <w:szCs w:val="21"/>
        </w:rPr>
      </w:pPr>
      <w:r>
        <w:rPr>
          <w:rFonts w:hint="eastAsia" w:cs="宋体"/>
          <w:b/>
          <w:szCs w:val="21"/>
        </w:rPr>
        <w:t>24</w:t>
      </w:r>
      <w:r>
        <w:rPr>
          <w:rFonts w:hint="eastAsia" w:ascii="宋体" w:hAnsi="宋体" w:cs="宋体"/>
          <w:b/>
          <w:szCs w:val="21"/>
        </w:rPr>
        <w:t>.中标通知</w:t>
      </w:r>
    </w:p>
    <w:p>
      <w:pPr>
        <w:spacing w:line="400" w:lineRule="exact"/>
        <w:rPr>
          <w:rFonts w:ascii="宋体" w:hAnsi="宋体" w:cs="宋体"/>
          <w:kern w:val="0"/>
          <w:szCs w:val="21"/>
        </w:rPr>
      </w:pPr>
      <w:r>
        <w:rPr>
          <w:rFonts w:hint="eastAsia" w:cs="宋体"/>
          <w:b/>
          <w:szCs w:val="21"/>
        </w:rPr>
        <w:t>24</w:t>
      </w:r>
      <w:r>
        <w:rPr>
          <w:rFonts w:hint="eastAsia" w:ascii="宋体" w:hAnsi="宋体" w:cs="宋体"/>
          <w:b/>
          <w:szCs w:val="21"/>
        </w:rPr>
        <w:t>.</w:t>
      </w:r>
      <w:r>
        <w:rPr>
          <w:rFonts w:hint="eastAsia" w:cs="宋体"/>
          <w:b/>
          <w:szCs w:val="21"/>
        </w:rPr>
        <w:t>1</w:t>
      </w:r>
      <w:r>
        <w:rPr>
          <w:rFonts w:hint="eastAsia" w:ascii="宋体" w:hAnsi="宋体" w:cs="宋体"/>
          <w:kern w:val="0"/>
          <w:szCs w:val="21"/>
        </w:rPr>
        <w:t>在公告中标结果的同时，采购代理机构应当向中标人发出中标通知书。</w:t>
      </w:r>
    </w:p>
    <w:p>
      <w:pPr>
        <w:spacing w:line="400" w:lineRule="exact"/>
        <w:rPr>
          <w:rFonts w:ascii="宋体" w:hAnsi="宋体" w:cs="宋体"/>
          <w:kern w:val="0"/>
          <w:szCs w:val="21"/>
        </w:rPr>
      </w:pPr>
      <w:r>
        <w:rPr>
          <w:rFonts w:hint="eastAsia" w:cs="宋体"/>
          <w:b/>
          <w:szCs w:val="21"/>
        </w:rPr>
        <w:t>24</w:t>
      </w:r>
      <w:r>
        <w:rPr>
          <w:rFonts w:hint="eastAsia" w:ascii="宋体" w:hAnsi="宋体" w:cs="宋体"/>
          <w:b/>
          <w:szCs w:val="21"/>
        </w:rPr>
        <w:t>.</w:t>
      </w:r>
      <w:r>
        <w:rPr>
          <w:rFonts w:hint="eastAsia" w:cs="宋体"/>
          <w:b/>
          <w:szCs w:val="21"/>
        </w:rPr>
        <w:t>2</w:t>
      </w:r>
      <w:r>
        <w:rPr>
          <w:rFonts w:hint="eastAsia" w:ascii="宋体" w:hAnsi="宋体" w:cs="宋体"/>
          <w:kern w:val="0"/>
          <w:szCs w:val="21"/>
        </w:rPr>
        <w:t>中标通知书发出后，采购人不得违法改变中标结果，中标人无正当理由不得放弃中标。</w:t>
      </w:r>
    </w:p>
    <w:p>
      <w:pPr>
        <w:spacing w:line="400" w:lineRule="exact"/>
        <w:ind w:firstLine="420" w:firstLineChars="200"/>
        <w:rPr>
          <w:rFonts w:ascii="宋体" w:hAnsi="宋体" w:cs="宋体"/>
          <w:kern w:val="0"/>
          <w:szCs w:val="21"/>
        </w:rPr>
      </w:pPr>
    </w:p>
    <w:p>
      <w:pPr>
        <w:spacing w:line="400" w:lineRule="exact"/>
        <w:rPr>
          <w:rFonts w:ascii="宋体" w:hAnsi="宋体" w:cs="宋体"/>
          <w:b/>
          <w:szCs w:val="21"/>
        </w:rPr>
      </w:pPr>
      <w:r>
        <w:rPr>
          <w:rFonts w:hint="eastAsia" w:cs="宋体"/>
          <w:b/>
          <w:szCs w:val="21"/>
        </w:rPr>
        <w:t>25</w:t>
      </w:r>
      <w:r>
        <w:rPr>
          <w:rFonts w:hint="eastAsia" w:ascii="宋体" w:hAnsi="宋体" w:cs="宋体"/>
          <w:b/>
          <w:szCs w:val="21"/>
        </w:rPr>
        <w:t>.签订合同</w:t>
      </w:r>
    </w:p>
    <w:p>
      <w:pPr>
        <w:spacing w:line="400" w:lineRule="exact"/>
        <w:rPr>
          <w:rFonts w:ascii="宋体" w:hAnsi="宋体" w:cs="宋体"/>
          <w:kern w:val="0"/>
          <w:szCs w:val="21"/>
        </w:rPr>
      </w:pPr>
      <w:r>
        <w:rPr>
          <w:rFonts w:hint="eastAsia" w:cs="宋体"/>
          <w:b/>
          <w:szCs w:val="21"/>
        </w:rPr>
        <w:t>25</w:t>
      </w:r>
      <w:r>
        <w:rPr>
          <w:rFonts w:hint="eastAsia" w:ascii="宋体" w:hAnsi="宋体" w:cs="宋体"/>
          <w:b/>
          <w:szCs w:val="21"/>
        </w:rPr>
        <w:t>.</w:t>
      </w:r>
      <w:r>
        <w:rPr>
          <w:rFonts w:hint="eastAsia" w:cs="宋体"/>
          <w:b/>
          <w:szCs w:val="21"/>
        </w:rPr>
        <w:t>1</w:t>
      </w:r>
      <w:r>
        <w:rPr>
          <w:rFonts w:hint="eastAsia" w:ascii="宋体" w:hAnsi="宋体" w:cs="宋体"/>
          <w:kern w:val="0"/>
          <w:szCs w:val="21"/>
        </w:rPr>
        <w:t>中标人应在采购代理机构发出中标通知书的</w:t>
      </w:r>
      <w:r>
        <w:rPr>
          <w:rFonts w:hint="eastAsia" w:cs="宋体"/>
          <w:kern w:val="0"/>
          <w:szCs w:val="21"/>
        </w:rPr>
        <w:t>30</w:t>
      </w:r>
      <w:r>
        <w:rPr>
          <w:rFonts w:hint="eastAsia" w:ascii="宋体" w:hAnsi="宋体" w:cs="宋体"/>
          <w:kern w:val="0"/>
          <w:szCs w:val="21"/>
        </w:rPr>
        <w:t>日内，应与采购人签订合同。所签订的合同不得对采购文件确定的事项和中标人投标文件作实质性修改。</w:t>
      </w:r>
    </w:p>
    <w:p>
      <w:pPr>
        <w:spacing w:line="400" w:lineRule="exact"/>
        <w:rPr>
          <w:rFonts w:ascii="宋体" w:hAnsi="宋体" w:cs="宋体"/>
          <w:kern w:val="0"/>
          <w:szCs w:val="21"/>
        </w:rPr>
      </w:pPr>
      <w:r>
        <w:rPr>
          <w:rFonts w:hint="eastAsia" w:cs="宋体"/>
          <w:b/>
          <w:szCs w:val="21"/>
        </w:rPr>
        <w:t>25</w:t>
      </w:r>
      <w:r>
        <w:rPr>
          <w:rFonts w:hint="eastAsia" w:ascii="宋体" w:hAnsi="宋体" w:cs="宋体"/>
          <w:b/>
          <w:szCs w:val="21"/>
        </w:rPr>
        <w:t>.</w:t>
      </w:r>
      <w:r>
        <w:rPr>
          <w:rFonts w:hint="eastAsia" w:cs="宋体"/>
          <w:b/>
          <w:szCs w:val="21"/>
        </w:rPr>
        <w:t>2</w:t>
      </w:r>
      <w:r>
        <w:rPr>
          <w:rFonts w:hint="eastAsia" w:ascii="宋体" w:hAnsi="宋体" w:cs="宋体"/>
          <w:kern w:val="0"/>
          <w:szCs w:val="21"/>
        </w:rPr>
        <w:t>除中标通知书外，采购文件、中标人的投标文件及评标过程中有关的澄清文件也均应作为合同附件。</w:t>
      </w:r>
    </w:p>
    <w:p>
      <w:pPr>
        <w:spacing w:line="400" w:lineRule="exact"/>
        <w:rPr>
          <w:rFonts w:ascii="宋体" w:hAnsi="宋体" w:cs="宋体"/>
          <w:kern w:val="0"/>
          <w:szCs w:val="21"/>
        </w:rPr>
      </w:pPr>
      <w:r>
        <w:rPr>
          <w:rFonts w:hint="eastAsia" w:cs="宋体"/>
          <w:b/>
          <w:szCs w:val="21"/>
        </w:rPr>
        <w:t>25</w:t>
      </w:r>
      <w:r>
        <w:rPr>
          <w:rFonts w:hint="eastAsia" w:ascii="宋体" w:hAnsi="宋体" w:cs="宋体"/>
          <w:b/>
          <w:szCs w:val="21"/>
        </w:rPr>
        <w:t>.</w:t>
      </w:r>
      <w:r>
        <w:rPr>
          <w:rFonts w:hint="eastAsia" w:cs="宋体"/>
          <w:b/>
          <w:szCs w:val="21"/>
        </w:rPr>
        <w:t>3</w:t>
      </w:r>
      <w:r>
        <w:rPr>
          <w:rFonts w:hint="eastAsia" w:ascii="宋体" w:hAnsi="宋体" w:cs="宋体"/>
          <w:kern w:val="0"/>
          <w:szCs w:val="21"/>
        </w:rPr>
        <w:t>中标人拒绝与采购人签订合同的，采购人可以按照评标报告推荐的中标候选人名单排序，确定下一候选人为中标人，也可以重新开展政府采购活动。</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cs="宋体"/>
          <w:b/>
          <w:szCs w:val="21"/>
        </w:rPr>
        <w:t>26</w:t>
      </w:r>
      <w:r>
        <w:rPr>
          <w:rFonts w:cs="宋体"/>
          <w:b/>
          <w:szCs w:val="21"/>
        </w:rPr>
        <w:t>.</w:t>
      </w:r>
      <w:r>
        <w:rPr>
          <w:rFonts w:hint="eastAsia" w:ascii="宋体" w:hAnsi="宋体" w:cs="宋体"/>
          <w:b/>
          <w:szCs w:val="21"/>
        </w:rPr>
        <w:t>履约保证金</w:t>
      </w:r>
    </w:p>
    <w:p>
      <w:pPr>
        <w:spacing w:line="400" w:lineRule="exact"/>
        <w:rPr>
          <w:rFonts w:ascii="宋体" w:hAnsi="宋体" w:cs="宋体"/>
          <w:bCs/>
          <w:kern w:val="0"/>
          <w:szCs w:val="21"/>
        </w:rPr>
      </w:pPr>
      <w:r>
        <w:rPr>
          <w:rFonts w:hint="eastAsia" w:cs="宋体"/>
          <w:bCs/>
          <w:szCs w:val="21"/>
        </w:rPr>
        <w:t>本项目不设置履约保证金。</w:t>
      </w:r>
    </w:p>
    <w:p>
      <w:pPr>
        <w:spacing w:line="400" w:lineRule="exact"/>
        <w:rPr>
          <w:rFonts w:ascii="宋体" w:hAnsi="宋体" w:cs="宋体"/>
          <w:kern w:val="0"/>
          <w:szCs w:val="21"/>
        </w:rPr>
      </w:pPr>
    </w:p>
    <w:p>
      <w:pPr>
        <w:spacing w:line="400" w:lineRule="exact"/>
        <w:rPr>
          <w:rFonts w:ascii="宋体" w:hAnsi="宋体" w:cs="宋体"/>
          <w:b/>
          <w:szCs w:val="21"/>
        </w:rPr>
      </w:pPr>
      <w:r>
        <w:rPr>
          <w:rFonts w:hint="eastAsia" w:cs="宋体"/>
          <w:b/>
          <w:szCs w:val="21"/>
        </w:rPr>
        <w:t>27</w:t>
      </w:r>
      <w:r>
        <w:rPr>
          <w:rFonts w:hint="eastAsia" w:ascii="宋体" w:hAnsi="宋体" w:cs="宋体"/>
          <w:b/>
          <w:szCs w:val="21"/>
        </w:rPr>
        <w:t>.履约验收</w:t>
      </w:r>
    </w:p>
    <w:p>
      <w:pPr>
        <w:spacing w:line="400" w:lineRule="exact"/>
        <w:rPr>
          <w:rFonts w:ascii="宋体" w:hAnsi="宋体" w:cs="宋体"/>
          <w:kern w:val="0"/>
          <w:szCs w:val="21"/>
        </w:rPr>
      </w:pPr>
      <w:r>
        <w:rPr>
          <w:rFonts w:hint="eastAsia" w:ascii="宋体" w:hAnsi="宋体" w:cs="宋体"/>
          <w:kern w:val="0"/>
          <w:szCs w:val="21"/>
        </w:rPr>
        <w:t>采购人负责对中标人的履约行为进行验收，验收符合相关政策法规和地方标准。</w:t>
      </w:r>
    </w:p>
    <w:p>
      <w:pPr>
        <w:spacing w:line="400" w:lineRule="exact"/>
        <w:rPr>
          <w:rFonts w:ascii="宋体" w:hAnsi="宋体" w:cs="宋体"/>
          <w:kern w:val="0"/>
          <w:szCs w:val="21"/>
        </w:rPr>
      </w:pPr>
    </w:p>
    <w:p>
      <w:pPr>
        <w:jc w:val="center"/>
        <w:outlineLvl w:val="1"/>
        <w:rPr>
          <w:rFonts w:ascii="宋体" w:hAnsi="宋体" w:cs="宋体"/>
          <w:b/>
          <w:sz w:val="28"/>
        </w:rPr>
      </w:pPr>
      <w:bookmarkStart w:id="69" w:name="_Toc440276568"/>
      <w:r>
        <w:rPr>
          <w:rFonts w:hint="eastAsia" w:cs="宋体"/>
          <w:b/>
          <w:sz w:val="28"/>
        </w:rPr>
        <w:t>H</w:t>
      </w:r>
      <w:r>
        <w:rPr>
          <w:rFonts w:hint="eastAsia" w:ascii="宋体" w:hAnsi="宋体" w:cs="宋体"/>
          <w:b/>
          <w:sz w:val="28"/>
        </w:rPr>
        <w:t xml:space="preserve">  采购代理机构服务费</w:t>
      </w:r>
      <w:bookmarkEnd w:id="69"/>
    </w:p>
    <w:p>
      <w:pPr>
        <w:spacing w:line="400" w:lineRule="exact"/>
        <w:rPr>
          <w:rFonts w:ascii="宋体" w:hAnsi="宋体" w:cs="宋体"/>
          <w:b/>
          <w:szCs w:val="21"/>
        </w:rPr>
      </w:pPr>
      <w:r>
        <w:rPr>
          <w:rFonts w:hint="eastAsia" w:cs="宋体"/>
          <w:b/>
          <w:szCs w:val="21"/>
        </w:rPr>
        <w:t>28</w:t>
      </w:r>
      <w:r>
        <w:rPr>
          <w:rFonts w:hint="eastAsia" w:ascii="宋体" w:hAnsi="宋体" w:cs="宋体"/>
          <w:b/>
          <w:szCs w:val="21"/>
        </w:rPr>
        <w:t>.采购代理机构服务费</w:t>
      </w:r>
    </w:p>
    <w:p>
      <w:pPr>
        <w:spacing w:line="400" w:lineRule="exact"/>
        <w:rPr>
          <w:rFonts w:ascii="宋体" w:hAnsi="宋体" w:cs="宋体"/>
          <w:kern w:val="0"/>
          <w:szCs w:val="21"/>
        </w:rPr>
      </w:pPr>
      <w:r>
        <w:rPr>
          <w:rFonts w:hint="eastAsia" w:cs="宋体"/>
          <w:b/>
          <w:szCs w:val="21"/>
        </w:rPr>
        <w:t>28</w:t>
      </w:r>
      <w:r>
        <w:rPr>
          <w:rFonts w:hint="eastAsia" w:ascii="宋体" w:hAnsi="宋体" w:cs="宋体"/>
          <w:b/>
          <w:szCs w:val="21"/>
        </w:rPr>
        <w:t>.</w:t>
      </w:r>
      <w:r>
        <w:rPr>
          <w:rFonts w:hint="eastAsia" w:cs="宋体"/>
          <w:b/>
          <w:szCs w:val="21"/>
        </w:rPr>
        <w:t>1</w:t>
      </w:r>
      <w:r>
        <w:rPr>
          <w:rFonts w:hint="eastAsia" w:ascii="宋体" w:hAnsi="宋体" w:cs="宋体"/>
          <w:kern w:val="0"/>
          <w:szCs w:val="21"/>
        </w:rPr>
        <w:t>中标人应在中标结果公示结束后向采购代理机构支付采购代理机构服务费。</w:t>
      </w:r>
    </w:p>
    <w:p>
      <w:pPr>
        <w:spacing w:line="400" w:lineRule="exact"/>
        <w:rPr>
          <w:rFonts w:ascii="宋体" w:hAnsi="宋体" w:cs="宋体"/>
          <w:kern w:val="0"/>
          <w:szCs w:val="21"/>
        </w:rPr>
      </w:pPr>
    </w:p>
    <w:p>
      <w:pPr>
        <w:spacing w:line="400" w:lineRule="exact"/>
        <w:rPr>
          <w:rFonts w:ascii="宋体" w:hAnsi="宋体" w:cs="宋体"/>
          <w:kern w:val="0"/>
          <w:szCs w:val="21"/>
        </w:rPr>
      </w:pPr>
    </w:p>
    <w:p>
      <w:pPr>
        <w:jc w:val="center"/>
        <w:outlineLvl w:val="1"/>
        <w:rPr>
          <w:rFonts w:ascii="宋体" w:hAnsi="宋体" w:cs="宋体"/>
          <w:b/>
          <w:sz w:val="28"/>
        </w:rPr>
      </w:pPr>
      <w:r>
        <w:rPr>
          <w:rFonts w:hint="eastAsia" w:ascii="宋体" w:hAnsi="宋体" w:cs="宋体"/>
          <w:b/>
          <w:sz w:val="28"/>
        </w:rPr>
        <w:t>Ⅰ信息发布媒体</w:t>
      </w:r>
    </w:p>
    <w:p>
      <w:pPr>
        <w:spacing w:line="400" w:lineRule="exact"/>
        <w:rPr>
          <w:rFonts w:ascii="宋体" w:hAnsi="宋体" w:cs="宋体"/>
          <w:b/>
          <w:szCs w:val="21"/>
        </w:rPr>
      </w:pPr>
      <w:r>
        <w:rPr>
          <w:rFonts w:hint="eastAsia" w:cs="宋体"/>
          <w:b/>
          <w:szCs w:val="21"/>
        </w:rPr>
        <w:t>29</w:t>
      </w:r>
      <w:r>
        <w:rPr>
          <w:rFonts w:hint="eastAsia" w:ascii="宋体" w:hAnsi="宋体" w:cs="宋体"/>
          <w:b/>
          <w:szCs w:val="21"/>
        </w:rPr>
        <w:t>.有关发布项目招标公告、中标公示的媒体：</w:t>
      </w:r>
    </w:p>
    <w:p>
      <w:pPr>
        <w:spacing w:line="400" w:lineRule="exact"/>
        <w:rPr>
          <w:rFonts w:ascii="宋体" w:hAnsi="宋体" w:cs="宋体"/>
          <w:kern w:val="0"/>
          <w:szCs w:val="21"/>
        </w:rPr>
      </w:pPr>
      <w:r>
        <w:rPr>
          <w:rFonts w:hint="eastAsia" w:cs="宋体" w:asciiTheme="minorEastAsia" w:hAnsiTheme="minorEastAsia" w:eastAsiaTheme="minorEastAsia"/>
          <w:szCs w:val="21"/>
        </w:rPr>
        <w:t>浙江政府采购网（http://zfcg.czt.zj.gov.cn/）”、“宁波市政府采购网（www.nbzfcg.cn）”、“宁波市公共资源交易网（高新区分网）（http://gaoxin.nbggzy.cn/）</w:t>
      </w:r>
    </w:p>
    <w:p>
      <w:pPr>
        <w:jc w:val="center"/>
        <w:outlineLvl w:val="1"/>
        <w:rPr>
          <w:rFonts w:ascii="宋体" w:hAnsi="宋体" w:cs="宋体"/>
          <w:b/>
          <w:sz w:val="28"/>
        </w:rPr>
      </w:pPr>
      <w:r>
        <w:rPr>
          <w:rFonts w:hint="eastAsia" w:cs="宋体"/>
          <w:b/>
          <w:sz w:val="28"/>
        </w:rPr>
        <w:t>J</w:t>
      </w:r>
      <w:r>
        <w:rPr>
          <w:rFonts w:hint="eastAsia" w:ascii="宋体" w:hAnsi="宋体" w:cs="宋体"/>
          <w:b/>
          <w:sz w:val="28"/>
        </w:rPr>
        <w:t xml:space="preserve">  其他规定</w:t>
      </w:r>
    </w:p>
    <w:p>
      <w:pPr>
        <w:spacing w:line="400" w:lineRule="exact"/>
        <w:rPr>
          <w:rFonts w:ascii="宋体" w:hAnsi="宋体" w:cs="宋体"/>
          <w:b/>
          <w:szCs w:val="21"/>
        </w:rPr>
      </w:pPr>
      <w:r>
        <w:rPr>
          <w:rFonts w:hint="eastAsia" w:cs="宋体"/>
          <w:b/>
          <w:szCs w:val="21"/>
        </w:rPr>
        <w:t>30</w:t>
      </w:r>
      <w:r>
        <w:rPr>
          <w:rFonts w:hint="eastAsia" w:ascii="宋体" w:hAnsi="宋体" w:cs="宋体"/>
          <w:b/>
          <w:szCs w:val="21"/>
        </w:rPr>
        <w:t>.其他规定</w:t>
      </w:r>
    </w:p>
    <w:p>
      <w:pPr>
        <w:spacing w:line="400" w:lineRule="exact"/>
        <w:rPr>
          <w:rFonts w:ascii="宋体" w:hAnsi="宋体" w:cs="宋体"/>
          <w:kern w:val="0"/>
          <w:szCs w:val="21"/>
        </w:rPr>
      </w:pPr>
      <w:r>
        <w:rPr>
          <w:rFonts w:hint="eastAsia" w:cs="宋体"/>
          <w:b/>
          <w:szCs w:val="21"/>
        </w:rPr>
        <w:t>30</w:t>
      </w:r>
      <w:r>
        <w:rPr>
          <w:rFonts w:hint="eastAsia" w:ascii="宋体" w:hAnsi="宋体" w:cs="宋体"/>
          <w:b/>
          <w:szCs w:val="21"/>
        </w:rPr>
        <w:t>.</w:t>
      </w:r>
      <w:r>
        <w:rPr>
          <w:rFonts w:hint="eastAsia" w:cs="宋体"/>
          <w:b/>
          <w:szCs w:val="21"/>
        </w:rPr>
        <w:t>1</w:t>
      </w:r>
      <w:r>
        <w:rPr>
          <w:rFonts w:hint="eastAsia" w:ascii="宋体" w:hAnsi="宋体" w:cs="宋体"/>
          <w:kern w:val="0"/>
          <w:szCs w:val="21"/>
        </w:rPr>
        <w:t>自购买采购文件之日起，投标人应保证其提供的联系方式</w:t>
      </w:r>
      <w:r>
        <w:rPr>
          <w:rFonts w:ascii="宋体" w:hAnsi="宋体" w:cs="宋体"/>
          <w:kern w:val="0"/>
          <w:szCs w:val="21"/>
        </w:rPr>
        <w:t>(</w:t>
      </w:r>
      <w:r>
        <w:rPr>
          <w:rFonts w:hint="eastAsia" w:ascii="宋体" w:hAnsi="宋体" w:cs="宋体"/>
          <w:kern w:val="0"/>
          <w:szCs w:val="21"/>
        </w:rPr>
        <w:t>电话、传真、电子邮件</w:t>
      </w:r>
      <w:r>
        <w:rPr>
          <w:rFonts w:ascii="宋体" w:hAnsi="宋体" w:cs="宋体"/>
          <w:kern w:val="0"/>
          <w:szCs w:val="21"/>
        </w:rPr>
        <w:t>)</w:t>
      </w:r>
      <w:r>
        <w:rPr>
          <w:rFonts w:hint="eastAsia" w:ascii="宋体" w:hAnsi="宋体" w:cs="宋体"/>
          <w:kern w:val="0"/>
          <w:szCs w:val="21"/>
        </w:rPr>
        <w:t>一直有效，以保证往来函件</w:t>
      </w:r>
      <w:r>
        <w:rPr>
          <w:rFonts w:ascii="宋体" w:hAnsi="宋体" w:cs="宋体"/>
          <w:kern w:val="0"/>
          <w:szCs w:val="21"/>
        </w:rPr>
        <w:t>(</w:t>
      </w:r>
      <w:r>
        <w:rPr>
          <w:rFonts w:hint="eastAsia" w:ascii="宋体" w:hAnsi="宋体" w:cs="宋体"/>
          <w:kern w:val="0"/>
          <w:szCs w:val="21"/>
        </w:rPr>
        <w:t>采购文件的澄清、修改等</w:t>
      </w:r>
      <w:r>
        <w:rPr>
          <w:rFonts w:ascii="宋体" w:hAnsi="宋体" w:cs="宋体"/>
          <w:kern w:val="0"/>
          <w:szCs w:val="21"/>
        </w:rPr>
        <w:t>)</w:t>
      </w:r>
      <w:r>
        <w:rPr>
          <w:rFonts w:hint="eastAsia" w:ascii="宋体" w:hAnsi="宋体" w:cs="宋体"/>
          <w:kern w:val="0"/>
          <w:szCs w:val="21"/>
        </w:rPr>
        <w:t>能及时通知投标人，并能及时反馈信息，否则采购人不承担由此引起的一切后果。</w:t>
      </w:r>
    </w:p>
    <w:p>
      <w:pPr>
        <w:spacing w:line="400" w:lineRule="exact"/>
        <w:rPr>
          <w:rFonts w:ascii="宋体" w:hAnsi="宋体" w:cs="宋体"/>
          <w:kern w:val="0"/>
          <w:szCs w:val="21"/>
        </w:rPr>
      </w:pPr>
      <w:r>
        <w:rPr>
          <w:rFonts w:hint="eastAsia" w:cs="宋体"/>
          <w:b/>
          <w:szCs w:val="21"/>
        </w:rPr>
        <w:t>30</w:t>
      </w:r>
      <w:r>
        <w:rPr>
          <w:rFonts w:hint="eastAsia" w:ascii="宋体" w:hAnsi="宋体" w:cs="宋体"/>
          <w:b/>
          <w:szCs w:val="21"/>
        </w:rPr>
        <w:t>.</w:t>
      </w:r>
      <w:r>
        <w:rPr>
          <w:rFonts w:hint="eastAsia" w:cs="宋体"/>
          <w:b/>
          <w:szCs w:val="21"/>
        </w:rPr>
        <w:t>2</w:t>
      </w:r>
      <w:r>
        <w:rPr>
          <w:rFonts w:hint="eastAsia" w:ascii="宋体" w:hAnsi="宋体" w:cs="宋体"/>
          <w:kern w:val="0"/>
          <w:szCs w:val="21"/>
        </w:rPr>
        <w:t>知识产权</w:t>
      </w:r>
    </w:p>
    <w:p>
      <w:pPr>
        <w:spacing w:line="400" w:lineRule="exact"/>
        <w:rPr>
          <w:rFonts w:ascii="宋体" w:hAnsi="宋体" w:cs="宋体"/>
          <w:kern w:val="0"/>
          <w:szCs w:val="21"/>
        </w:rPr>
      </w:pPr>
      <w:r>
        <w:rPr>
          <w:rFonts w:hint="eastAsia" w:cs="宋体"/>
          <w:b/>
          <w:szCs w:val="21"/>
        </w:rPr>
        <w:t>30</w:t>
      </w:r>
      <w:r>
        <w:rPr>
          <w:rFonts w:hint="eastAsia" w:ascii="宋体" w:hAnsi="宋体" w:cs="宋体"/>
          <w:b/>
          <w:szCs w:val="21"/>
        </w:rPr>
        <w:t>.</w:t>
      </w:r>
      <w:r>
        <w:rPr>
          <w:rFonts w:hint="eastAsia" w:cs="宋体"/>
          <w:b/>
          <w:szCs w:val="21"/>
        </w:rPr>
        <w:t>2</w:t>
      </w:r>
      <w:r>
        <w:rPr>
          <w:rFonts w:hint="eastAsia" w:ascii="宋体" w:hAnsi="宋体" w:cs="宋体"/>
          <w:b/>
          <w:szCs w:val="21"/>
        </w:rPr>
        <w:t>.</w:t>
      </w:r>
      <w:r>
        <w:rPr>
          <w:rFonts w:hint="eastAsia" w:cs="宋体"/>
          <w:b/>
          <w:szCs w:val="21"/>
        </w:rPr>
        <w:t>1</w:t>
      </w:r>
      <w:r>
        <w:rPr>
          <w:rFonts w:ascii="宋体" w:hAnsi="宋体" w:cs="宋体"/>
          <w:kern w:val="0"/>
          <w:szCs w:val="21"/>
        </w:rPr>
        <w:t>投标人应保证提交的全部文件不会侵犯其</w:t>
      </w:r>
      <w:r>
        <w:rPr>
          <w:rFonts w:hint="eastAsia" w:ascii="宋体" w:hAnsi="宋体" w:cs="宋体"/>
          <w:kern w:val="0"/>
          <w:szCs w:val="21"/>
        </w:rPr>
        <w:t>他</w:t>
      </w:r>
      <w:r>
        <w:rPr>
          <w:rFonts w:ascii="宋体" w:hAnsi="宋体" w:cs="宋体"/>
          <w:kern w:val="0"/>
          <w:szCs w:val="21"/>
        </w:rPr>
        <w:t>任何人的知识产权或专有技术或商业秘密。投标人应保证，如果投标文件使用他人的知识产权或专有技术或商业秘密，投标人已获得了适当授权。投标人应进一步保证，</w:t>
      </w:r>
      <w:r>
        <w:rPr>
          <w:rFonts w:hint="eastAsia" w:ascii="宋体" w:hAnsi="宋体" w:cs="宋体"/>
          <w:kern w:val="0"/>
          <w:szCs w:val="21"/>
        </w:rPr>
        <w:t>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不会侵犯他人的知识产权或专</w:t>
      </w:r>
      <w:r>
        <w:rPr>
          <w:rFonts w:hint="eastAsia" w:ascii="宋体" w:hAnsi="宋体" w:cs="宋体"/>
          <w:kern w:val="0"/>
          <w:szCs w:val="21"/>
        </w:rPr>
        <w:t>有</w:t>
      </w:r>
      <w:r>
        <w:rPr>
          <w:rFonts w:ascii="宋体" w:hAnsi="宋体" w:cs="宋体"/>
          <w:kern w:val="0"/>
          <w:szCs w:val="21"/>
        </w:rPr>
        <w:t>技术或商业秘密，并应当使</w:t>
      </w:r>
      <w:r>
        <w:rPr>
          <w:rFonts w:hint="eastAsia" w:ascii="宋体" w:hAnsi="宋体" w:cs="宋体"/>
          <w:kern w:val="0"/>
          <w:szCs w:val="21"/>
        </w:rPr>
        <w:t>采购人</w:t>
      </w:r>
      <w:r>
        <w:rPr>
          <w:rFonts w:ascii="宋体" w:hAnsi="宋体" w:cs="宋体"/>
          <w:kern w:val="0"/>
          <w:szCs w:val="21"/>
        </w:rPr>
        <w:t>免于因被指控侵犯上述权利产生的任何责任，</w:t>
      </w:r>
      <w:r>
        <w:rPr>
          <w:rFonts w:hint="eastAsia" w:ascii="宋体" w:hAnsi="宋体" w:cs="宋体"/>
          <w:kern w:val="0"/>
          <w:szCs w:val="21"/>
        </w:rPr>
        <w:t>若采购人</w:t>
      </w:r>
      <w:r>
        <w:rPr>
          <w:rFonts w:ascii="宋体" w:hAnsi="宋体" w:cs="宋体"/>
          <w:kern w:val="0"/>
          <w:szCs w:val="21"/>
        </w:rPr>
        <w:t>使用其</w:t>
      </w:r>
      <w:r>
        <w:rPr>
          <w:rFonts w:hint="eastAsia" w:ascii="宋体" w:hAnsi="宋体" w:cs="宋体"/>
          <w:kern w:val="0"/>
          <w:szCs w:val="21"/>
        </w:rPr>
        <w:t>成果</w:t>
      </w:r>
      <w:r>
        <w:rPr>
          <w:rFonts w:ascii="宋体" w:hAnsi="宋体" w:cs="宋体"/>
          <w:kern w:val="0"/>
          <w:szCs w:val="21"/>
        </w:rPr>
        <w:t>被指控侵犯上述权利</w:t>
      </w:r>
      <w:r>
        <w:rPr>
          <w:rFonts w:hint="eastAsia" w:ascii="宋体" w:hAnsi="宋体" w:cs="宋体"/>
          <w:kern w:val="0"/>
          <w:szCs w:val="21"/>
        </w:rPr>
        <w:t>，投标人应</w:t>
      </w:r>
      <w:r>
        <w:rPr>
          <w:rFonts w:ascii="宋体" w:hAnsi="宋体" w:cs="宋体"/>
          <w:kern w:val="0"/>
          <w:szCs w:val="21"/>
        </w:rPr>
        <w:t>赔偿</w:t>
      </w:r>
      <w:r>
        <w:rPr>
          <w:rFonts w:hint="eastAsia" w:ascii="宋体" w:hAnsi="宋体" w:cs="宋体"/>
          <w:kern w:val="0"/>
          <w:szCs w:val="21"/>
        </w:rPr>
        <w:t>采购人</w:t>
      </w:r>
      <w:r>
        <w:rPr>
          <w:rFonts w:ascii="宋体" w:hAnsi="宋体" w:cs="宋体"/>
          <w:kern w:val="0"/>
          <w:szCs w:val="21"/>
        </w:rPr>
        <w:t>由此而产生的费用和损失。</w:t>
      </w:r>
    </w:p>
    <w:p>
      <w:pPr>
        <w:spacing w:line="400" w:lineRule="exact"/>
        <w:rPr>
          <w:rFonts w:ascii="宋体" w:hAnsi="宋体" w:cs="宋体"/>
          <w:kern w:val="0"/>
          <w:szCs w:val="21"/>
        </w:rPr>
      </w:pPr>
      <w:r>
        <w:rPr>
          <w:rFonts w:hint="eastAsia" w:cs="宋体"/>
          <w:b/>
          <w:szCs w:val="21"/>
        </w:rPr>
        <w:t>30</w:t>
      </w:r>
      <w:r>
        <w:rPr>
          <w:rFonts w:hint="eastAsia" w:ascii="宋体" w:hAnsi="宋体" w:cs="宋体"/>
          <w:b/>
          <w:szCs w:val="21"/>
        </w:rPr>
        <w:t>.</w:t>
      </w:r>
      <w:r>
        <w:rPr>
          <w:rFonts w:hint="eastAsia" w:cs="宋体"/>
          <w:b/>
          <w:szCs w:val="21"/>
        </w:rPr>
        <w:t>2</w:t>
      </w:r>
      <w:r>
        <w:rPr>
          <w:rFonts w:hint="eastAsia" w:ascii="宋体" w:hAnsi="宋体" w:cs="宋体"/>
          <w:b/>
          <w:szCs w:val="21"/>
        </w:rPr>
        <w:t>.</w:t>
      </w:r>
      <w:r>
        <w:rPr>
          <w:rFonts w:hint="eastAsia" w:cs="宋体"/>
          <w:b/>
          <w:szCs w:val="21"/>
        </w:rPr>
        <w:t>2</w:t>
      </w:r>
      <w:r>
        <w:rPr>
          <w:rFonts w:hint="eastAsia" w:ascii="宋体" w:hAnsi="宋体" w:cs="宋体"/>
          <w:kern w:val="0"/>
          <w:szCs w:val="21"/>
        </w:rPr>
        <w:t>投标人中标后参与本项目研究的资料、成果等知识产权归采购人，有关的信息未经采购人同意不得向第三方泄露。</w:t>
      </w:r>
    </w:p>
    <w:p>
      <w:pPr>
        <w:spacing w:line="400" w:lineRule="exact"/>
        <w:rPr>
          <w:rFonts w:ascii="宋体" w:hAnsi="宋体" w:cs="宋体"/>
          <w:kern w:val="0"/>
          <w:szCs w:val="21"/>
        </w:rPr>
      </w:pPr>
      <w:r>
        <w:rPr>
          <w:rFonts w:hint="eastAsia" w:cs="宋体"/>
          <w:b/>
          <w:szCs w:val="21"/>
        </w:rPr>
        <w:t>30</w:t>
      </w:r>
      <w:r>
        <w:rPr>
          <w:rFonts w:hint="eastAsia" w:ascii="宋体" w:hAnsi="宋体" w:cs="宋体"/>
          <w:b/>
          <w:szCs w:val="21"/>
        </w:rPr>
        <w:t>.</w:t>
      </w:r>
      <w:r>
        <w:rPr>
          <w:rFonts w:hint="eastAsia" w:cs="宋体"/>
          <w:b/>
          <w:szCs w:val="21"/>
        </w:rPr>
        <w:t>2</w:t>
      </w:r>
      <w:r>
        <w:rPr>
          <w:rFonts w:hint="eastAsia" w:ascii="宋体" w:hAnsi="宋体" w:cs="宋体"/>
          <w:b/>
          <w:szCs w:val="21"/>
        </w:rPr>
        <w:t>.</w:t>
      </w:r>
      <w:r>
        <w:rPr>
          <w:rFonts w:hint="eastAsia" w:cs="宋体"/>
          <w:b/>
          <w:szCs w:val="21"/>
        </w:rPr>
        <w:t>3</w:t>
      </w:r>
      <w:r>
        <w:rPr>
          <w:rFonts w:hint="eastAsia" w:ascii="宋体" w:hAnsi="宋体" w:cs="宋体"/>
          <w:kern w:val="0"/>
          <w:szCs w:val="21"/>
        </w:rPr>
        <w:t>采购人在招商引资、产权转让的商业活动中，所使用本项目有关的任何成果，无需征得中标供应商同意，中标供应商应积极配合提供相关资料和成果；中标供应商有责任对涉及项目的重要信息进行保密；中标供应商如因为项目的开展需要向第三方提供资料,必须提前得到采购人批准。</w:t>
      </w:r>
    </w:p>
    <w:p>
      <w:pPr>
        <w:spacing w:line="400" w:lineRule="exact"/>
        <w:rPr>
          <w:rFonts w:ascii="宋体" w:hAnsi="宋体" w:cs="宋体"/>
          <w:b/>
          <w:szCs w:val="21"/>
        </w:rPr>
      </w:pPr>
    </w:p>
    <w:p>
      <w:pPr>
        <w:spacing w:line="440" w:lineRule="exact"/>
        <w:rPr>
          <w:rFonts w:ascii="宋体" w:hAnsi="宋体"/>
          <w:b/>
          <w:szCs w:val="21"/>
        </w:rPr>
      </w:pPr>
      <w:r>
        <w:rPr>
          <w:rFonts w:hint="eastAsia"/>
          <w:b/>
          <w:szCs w:val="21"/>
        </w:rPr>
        <w:t>31</w:t>
      </w:r>
      <w:r>
        <w:rPr>
          <w:rFonts w:hint="eastAsia" w:ascii="宋体" w:hAnsi="宋体"/>
          <w:b/>
          <w:szCs w:val="21"/>
        </w:rPr>
        <w:t>.政府采购活动中有关中小企业的相关规定（采购进口产品项目不适用）</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1</w:t>
      </w:r>
      <w:r>
        <w:rPr>
          <w:rFonts w:hint="eastAsia" w:ascii="宋体" w:hAnsi="宋体"/>
          <w:szCs w:val="21"/>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2</w:t>
      </w:r>
      <w:r>
        <w:rPr>
          <w:rFonts w:hint="eastAsia" w:ascii="宋体" w:hAnsi="宋体"/>
          <w:szCs w:val="21"/>
        </w:rPr>
        <w:t>在政府采购活动中，投标人提供的货物、工程或者服务符合下列情形的，享受本办法规定的中小企业扶持政策：</w:t>
      </w:r>
    </w:p>
    <w:p>
      <w:pPr>
        <w:spacing w:line="400" w:lineRule="exact"/>
        <w:ind w:firstLine="420" w:firstLineChars="200"/>
        <w:rPr>
          <w:rFonts w:ascii="宋体" w:hAnsi="宋体"/>
          <w:szCs w:val="21"/>
        </w:rPr>
      </w:pPr>
      <w:r>
        <w:rPr>
          <w:rFonts w:hint="eastAsia" w:ascii="宋体" w:hAnsi="宋体"/>
          <w:szCs w:val="21"/>
        </w:rPr>
        <w:t>（一）在货物采购项目中，货物由中小企业制造，即货物由中小企业生产且使用该中小企业商号或者注册商标；</w:t>
      </w:r>
    </w:p>
    <w:p>
      <w:pPr>
        <w:spacing w:line="400" w:lineRule="exact"/>
        <w:ind w:firstLine="420" w:firstLineChars="200"/>
        <w:rPr>
          <w:rFonts w:ascii="宋体" w:hAnsi="宋体"/>
          <w:szCs w:val="21"/>
        </w:rPr>
      </w:pPr>
      <w:r>
        <w:rPr>
          <w:rFonts w:hint="eastAsia" w:ascii="宋体" w:hAnsi="宋体"/>
          <w:szCs w:val="21"/>
        </w:rPr>
        <w:t>（二）在工程采购项目中，工程由中小企业承建，即工程施工单位为中小企业；</w:t>
      </w:r>
    </w:p>
    <w:p>
      <w:pPr>
        <w:spacing w:line="400" w:lineRule="exact"/>
        <w:ind w:firstLine="420" w:firstLineChars="200"/>
        <w:rPr>
          <w:rFonts w:ascii="宋体" w:hAnsi="宋体"/>
          <w:szCs w:val="21"/>
        </w:rPr>
      </w:pPr>
      <w:r>
        <w:rPr>
          <w:rFonts w:hint="eastAsia" w:ascii="宋体" w:hAnsi="宋体"/>
          <w:szCs w:val="21"/>
        </w:rPr>
        <w:t>（三）在服务采购项目中，服务由中小企业承接，即提供服务的人员为中小企业依照《中华人民共和国劳动民法典》订立劳动合同的从业人员。</w:t>
      </w:r>
    </w:p>
    <w:p>
      <w:pPr>
        <w:spacing w:line="400" w:lineRule="exact"/>
        <w:ind w:firstLine="420" w:firstLineChars="200"/>
        <w:rPr>
          <w:rFonts w:ascii="宋体" w:hAnsi="宋体"/>
          <w:szCs w:val="21"/>
        </w:rPr>
      </w:pPr>
      <w:r>
        <w:rPr>
          <w:rFonts w:hint="eastAsia" w:ascii="宋体" w:hAnsi="宋体"/>
          <w:szCs w:val="21"/>
        </w:rPr>
        <w:t>在货物采购项目中，投标人提供的货物既有中小企业制造货物，也有大型企业制造货物的，不享受本办法规定的中小企业扶持政策。</w:t>
      </w:r>
    </w:p>
    <w:p>
      <w:pPr>
        <w:spacing w:line="400" w:lineRule="exact"/>
        <w:ind w:firstLine="420" w:firstLineChars="200"/>
        <w:rPr>
          <w:rFonts w:ascii="宋体" w:hAnsi="宋体"/>
          <w:b/>
          <w:szCs w:val="21"/>
        </w:rPr>
      </w:pPr>
      <w:r>
        <w:rPr>
          <w:rFonts w:hint="eastAsia" w:ascii="宋体" w:hAnsi="宋体"/>
          <w:szCs w:val="21"/>
        </w:rPr>
        <w:t>以联合体形式参加政府采购活动，联合体各方均为中小企业的，联合体视同中小企业。其中，联合体各方均为小微企业的，联合体视同小微企业。</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3</w:t>
      </w:r>
      <w:r>
        <w:rPr>
          <w:rFonts w:hint="eastAsia" w:ascii="宋体" w:hAnsi="宋体"/>
          <w:szCs w:val="21"/>
        </w:rPr>
        <w:t>中小企业参加政府采购活动，应当出具《中小企业声明函》（格式见附件），否则不得享受相关中小企业扶持政策。</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5</w:t>
      </w:r>
      <w:r>
        <w:rPr>
          <w:rFonts w:hint="eastAsia" w:ascii="宋体" w:hAnsi="宋体"/>
          <w:szCs w:val="21"/>
        </w:rPr>
        <w:t>享受扶持政策获得政府采购合同的，小微企业不得将合同分包给大中型企业，中型企业不得将合同分包给大型企业。</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6</w:t>
      </w:r>
      <w:r>
        <w:rPr>
          <w:rFonts w:hint="eastAsia" w:ascii="宋体" w:hAnsi="宋体"/>
          <w:szCs w:val="21"/>
        </w:rPr>
        <w:t>执行财政部、司法部《关于政府采购支持监狱企业发展有关问题的通知》。监狱企业（监狱和戒毒企业）提供自己企业的产品（服务）参加投标视同小型、微型企业，享受评审中价格扣除等政府采购促进中小企业发展的政府采购政策，监狱企业参加政府采购活动时，必须提供由省级以上监狱管理局、戒毒管理局（含新疆生产建设兵团）出具的属于监狱企业的证明文件，未能提供上述证明文件的不予认可。</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7</w:t>
      </w:r>
      <w:r>
        <w:rPr>
          <w:rFonts w:hint="eastAsia" w:ascii="宋体" w:hAnsi="宋体"/>
          <w:szCs w:val="21"/>
        </w:rPr>
        <w:t>根据《关于促进残疾人就业政府采购政策的通知》（财库[</w:t>
      </w:r>
      <w:r>
        <w:rPr>
          <w:rFonts w:hint="eastAsia"/>
          <w:szCs w:val="21"/>
        </w:rPr>
        <w:t>2017</w:t>
      </w:r>
      <w:r>
        <w:rPr>
          <w:rFonts w:hint="eastAsia" w:ascii="宋体" w:hAnsi="宋体"/>
          <w:szCs w:val="21"/>
        </w:rPr>
        <w:t>]</w:t>
      </w:r>
      <w:r>
        <w:rPr>
          <w:rFonts w:hint="eastAsia"/>
          <w:szCs w:val="21"/>
        </w:rPr>
        <w:t>141</w:t>
      </w:r>
      <w:r>
        <w:rPr>
          <w:rFonts w:hint="eastAsia" w:ascii="宋体" w:hAnsi="宋体"/>
          <w:szCs w:val="21"/>
        </w:rPr>
        <w:t>号）规定，残疾人福利性单位视同小型、微型企业。符合条件的残疾人福利性单位在参加政府采购活动时，应当在投标文件中提供通知规定的《残疾人福利性单位声明函》（格式详见该通知附件），并对声明的真实性负责,未能提供上述证明文件的不予认可。</w:t>
      </w:r>
    </w:p>
    <w:p>
      <w:pPr>
        <w:spacing w:line="400" w:lineRule="exact"/>
        <w:rPr>
          <w:rFonts w:ascii="宋体" w:hAnsi="宋体"/>
          <w:szCs w:val="21"/>
        </w:rPr>
      </w:pPr>
      <w:r>
        <w:rPr>
          <w:b/>
          <w:szCs w:val="21"/>
        </w:rPr>
        <w:t>3</w:t>
      </w:r>
      <w:r>
        <w:rPr>
          <w:rFonts w:hint="eastAsia"/>
          <w:b/>
          <w:szCs w:val="21"/>
        </w:rPr>
        <w:t>1</w:t>
      </w:r>
      <w:r>
        <w:rPr>
          <w:rFonts w:ascii="宋体" w:hAnsi="宋体"/>
          <w:b/>
          <w:szCs w:val="21"/>
        </w:rPr>
        <w:t>.</w:t>
      </w:r>
      <w:r>
        <w:rPr>
          <w:rFonts w:hint="eastAsia"/>
          <w:b/>
          <w:szCs w:val="21"/>
        </w:rPr>
        <w:t>8</w:t>
      </w:r>
      <w:r>
        <w:rPr>
          <w:rFonts w:hint="eastAsia" w:ascii="宋体" w:hAnsi="宋体"/>
          <w:szCs w:val="21"/>
        </w:rPr>
        <w:t>执行财政部、国家环保总局《关于环境标志产品政府采购实施的意见》，政府采购优先采购环境标志产品，本项目将对环境标志产品给予一定幅度的价格扣除或技术加分，具体见“评标标准”说明。</w:t>
      </w:r>
    </w:p>
    <w:p>
      <w:pPr>
        <w:spacing w:line="400" w:lineRule="exact"/>
        <w:rPr>
          <w:rFonts w:ascii="宋体" w:hAnsi="宋体"/>
          <w:szCs w:val="21"/>
        </w:rPr>
      </w:pPr>
      <w:r>
        <w:rPr>
          <w:b/>
          <w:szCs w:val="21"/>
        </w:rPr>
        <w:t>3</w:t>
      </w:r>
      <w:r>
        <w:rPr>
          <w:rFonts w:hint="eastAsia"/>
          <w:b/>
          <w:szCs w:val="21"/>
        </w:rPr>
        <w:t>1</w:t>
      </w:r>
      <w:r>
        <w:rPr>
          <w:rFonts w:ascii="宋体" w:hAnsi="宋体"/>
          <w:b/>
          <w:szCs w:val="21"/>
        </w:rPr>
        <w:t>.</w:t>
      </w:r>
      <w:r>
        <w:rPr>
          <w:rFonts w:hint="eastAsia"/>
          <w:b/>
          <w:szCs w:val="21"/>
        </w:rPr>
        <w:t>9</w:t>
      </w:r>
      <w:r>
        <w:rPr>
          <w:rFonts w:hint="eastAsia" w:ascii="宋体" w:hAnsi="宋体"/>
          <w:szCs w:val="21"/>
        </w:rPr>
        <w:t>执行财政部、国家发展改革委员会《节能产品政府采购实施意见》，政府采购优先采购节能产品，本项目将对节能产品给予一定幅度的价格扣除或技术加分，具体见采购文件“评标标准”说明。</w:t>
      </w:r>
    </w:p>
    <w:p>
      <w:pPr>
        <w:spacing w:line="400" w:lineRule="exact"/>
        <w:rPr>
          <w:rFonts w:ascii="宋体" w:hAnsi="宋体"/>
          <w:szCs w:val="21"/>
        </w:rPr>
      </w:pPr>
      <w:r>
        <w:rPr>
          <w:rFonts w:hint="eastAsia"/>
          <w:b/>
          <w:szCs w:val="21"/>
        </w:rPr>
        <w:t>31</w:t>
      </w:r>
      <w:r>
        <w:rPr>
          <w:rFonts w:hint="eastAsia" w:ascii="宋体" w:hAnsi="宋体"/>
          <w:b/>
          <w:szCs w:val="21"/>
        </w:rPr>
        <w:t>.</w:t>
      </w:r>
      <w:r>
        <w:rPr>
          <w:rFonts w:hint="eastAsia"/>
          <w:b/>
          <w:szCs w:val="21"/>
        </w:rPr>
        <w:t>10</w:t>
      </w:r>
      <w:r>
        <w:rPr>
          <w:rFonts w:hint="eastAsia" w:ascii="宋体" w:hAnsi="宋体"/>
          <w:szCs w:val="21"/>
        </w:rPr>
        <w:t>进口产品采购需符合“财政部关于印发《政府采购进口产品管理办法》的通知（财库[</w:t>
      </w:r>
      <w:r>
        <w:rPr>
          <w:rFonts w:hint="eastAsia"/>
          <w:szCs w:val="21"/>
        </w:rPr>
        <w:t>2007</w:t>
      </w:r>
      <w:r>
        <w:rPr>
          <w:rFonts w:hint="eastAsia" w:ascii="宋体" w:hAnsi="宋体"/>
          <w:szCs w:val="21"/>
        </w:rPr>
        <w:t>]</w:t>
      </w:r>
      <w:r>
        <w:rPr>
          <w:rFonts w:hint="eastAsia"/>
          <w:szCs w:val="21"/>
        </w:rPr>
        <w:t>119</w:t>
      </w:r>
      <w:r>
        <w:rPr>
          <w:rFonts w:hint="eastAsia" w:ascii="宋体" w:hAnsi="宋体"/>
          <w:szCs w:val="21"/>
        </w:rPr>
        <w:t>号）”第四、八、九、十、十一条的规定。</w:t>
      </w:r>
    </w:p>
    <w:p>
      <w:pPr>
        <w:spacing w:line="400" w:lineRule="exact"/>
        <w:rPr>
          <w:rFonts w:ascii="宋体" w:hAnsi="宋体"/>
          <w:b/>
          <w:szCs w:val="21"/>
        </w:rPr>
      </w:pPr>
    </w:p>
    <w:p>
      <w:pPr>
        <w:spacing w:line="400" w:lineRule="exact"/>
        <w:rPr>
          <w:rFonts w:ascii="宋体" w:hAnsi="宋体"/>
          <w:b/>
          <w:szCs w:val="21"/>
        </w:rPr>
      </w:pPr>
      <w:r>
        <w:rPr>
          <w:rFonts w:hint="eastAsia"/>
          <w:b/>
          <w:szCs w:val="21"/>
        </w:rPr>
        <w:t>32</w:t>
      </w:r>
      <w:r>
        <w:rPr>
          <w:rFonts w:hint="eastAsia" w:ascii="宋体" w:hAnsi="宋体"/>
          <w:b/>
          <w:szCs w:val="21"/>
        </w:rPr>
        <w:t>.采购文件对投标人质疑的相关规定</w:t>
      </w:r>
    </w:p>
    <w:p>
      <w:pPr>
        <w:spacing w:line="400" w:lineRule="exact"/>
        <w:rPr>
          <w:rFonts w:ascii="宋体" w:hAnsi="宋体"/>
          <w:szCs w:val="21"/>
        </w:rPr>
      </w:pPr>
      <w:r>
        <w:rPr>
          <w:rFonts w:hint="eastAsia"/>
          <w:b/>
          <w:szCs w:val="21"/>
        </w:rPr>
        <w:t>32</w:t>
      </w:r>
      <w:r>
        <w:rPr>
          <w:rFonts w:hint="eastAsia" w:ascii="宋体" w:hAnsi="宋体"/>
          <w:b/>
          <w:szCs w:val="21"/>
        </w:rPr>
        <w:t>.</w:t>
      </w:r>
      <w:r>
        <w:rPr>
          <w:rFonts w:hint="eastAsia"/>
          <w:b/>
          <w:szCs w:val="21"/>
        </w:rPr>
        <w:t>1</w:t>
      </w:r>
      <w:r>
        <w:rPr>
          <w:rFonts w:hint="eastAsia" w:ascii="宋体" w:hAnsi="宋体" w:cs="宋体"/>
          <w:kern w:val="0"/>
          <w:szCs w:val="21"/>
        </w:rPr>
        <w:t>供应商应当自知道或者应当知道其合法权益受到损害之日起</w:t>
      </w:r>
      <w:r>
        <w:rPr>
          <w:rFonts w:hint="eastAsia" w:cs="宋体"/>
          <w:kern w:val="0"/>
          <w:szCs w:val="21"/>
        </w:rPr>
        <w:t>7</w:t>
      </w:r>
      <w:r>
        <w:rPr>
          <w:rFonts w:hint="eastAsia" w:ascii="宋体" w:hAnsi="宋体" w:cs="宋体"/>
          <w:kern w:val="0"/>
          <w:szCs w:val="21"/>
        </w:rPr>
        <w:t>个工作日内提出质疑。</w:t>
      </w:r>
      <w:r>
        <w:rPr>
          <w:rFonts w:hint="eastAsia" w:ascii="宋体" w:hAnsi="宋体"/>
          <w:szCs w:val="21"/>
        </w:rPr>
        <w:t>提出质疑的有效期计算，依照下列规定：</w:t>
      </w:r>
    </w:p>
    <w:p>
      <w:pPr>
        <w:spacing w:line="400" w:lineRule="exact"/>
        <w:ind w:firstLine="199" w:firstLineChars="95"/>
        <w:rPr>
          <w:rFonts w:ascii="宋体" w:hAnsi="宋体"/>
          <w:szCs w:val="21"/>
        </w:rPr>
      </w:pPr>
      <w:r>
        <w:rPr>
          <w:rFonts w:hint="eastAsia" w:ascii="宋体" w:hAnsi="宋体"/>
          <w:szCs w:val="21"/>
        </w:rPr>
        <w:t>（一）对采购信息公告提出质疑的，应当在采购信息公告发布之日起</w:t>
      </w:r>
      <w:r>
        <w:rPr>
          <w:rFonts w:hint="eastAsia"/>
          <w:szCs w:val="21"/>
        </w:rPr>
        <w:t>7</w:t>
      </w:r>
      <w:r>
        <w:rPr>
          <w:rFonts w:hint="eastAsia" w:ascii="宋体" w:hAnsi="宋体"/>
          <w:szCs w:val="21"/>
        </w:rPr>
        <w:t>个工作日内提出。</w:t>
      </w:r>
    </w:p>
    <w:p>
      <w:pPr>
        <w:spacing w:line="400" w:lineRule="exact"/>
        <w:ind w:firstLine="199" w:firstLineChars="95"/>
        <w:rPr>
          <w:rFonts w:ascii="宋体" w:hAnsi="宋体"/>
          <w:szCs w:val="21"/>
        </w:rPr>
      </w:pPr>
      <w:r>
        <w:rPr>
          <w:rFonts w:hint="eastAsia" w:ascii="宋体" w:hAnsi="宋体"/>
          <w:szCs w:val="21"/>
        </w:rPr>
        <w:t>（二）对采购文件提出质疑的，应当在获取采购文件或者采购文件公告期限届满之日起</w:t>
      </w:r>
      <w:r>
        <w:rPr>
          <w:rFonts w:hint="eastAsia"/>
          <w:szCs w:val="21"/>
        </w:rPr>
        <w:t>7</w:t>
      </w:r>
      <w:r>
        <w:rPr>
          <w:rFonts w:hint="eastAsia" w:ascii="宋体" w:hAnsi="宋体"/>
          <w:szCs w:val="21"/>
        </w:rPr>
        <w:t>个工作日内提出。</w:t>
      </w:r>
    </w:p>
    <w:p>
      <w:pPr>
        <w:spacing w:line="400" w:lineRule="exact"/>
        <w:ind w:firstLine="199" w:firstLineChars="95"/>
        <w:rPr>
          <w:rFonts w:ascii="宋体" w:hAnsi="宋体"/>
          <w:szCs w:val="21"/>
        </w:rPr>
      </w:pPr>
      <w:r>
        <w:rPr>
          <w:rFonts w:hint="eastAsia" w:ascii="宋体" w:hAnsi="宋体"/>
          <w:szCs w:val="21"/>
        </w:rPr>
        <w:t>（三）对采购过程提出质疑的，应当在采购文件接收、开标、评标工作、宣布评标结果等环节结束之日起</w:t>
      </w:r>
      <w:r>
        <w:rPr>
          <w:rFonts w:hint="eastAsia"/>
          <w:szCs w:val="21"/>
        </w:rPr>
        <w:t>7</w:t>
      </w:r>
      <w:r>
        <w:rPr>
          <w:rFonts w:hint="eastAsia" w:ascii="宋体" w:hAnsi="宋体"/>
          <w:szCs w:val="21"/>
        </w:rPr>
        <w:t>个工作日内提出。</w:t>
      </w:r>
    </w:p>
    <w:p>
      <w:pPr>
        <w:spacing w:line="400" w:lineRule="exact"/>
        <w:ind w:firstLine="199" w:firstLineChars="95"/>
        <w:rPr>
          <w:rFonts w:ascii="宋体" w:hAnsi="宋体"/>
          <w:szCs w:val="21"/>
        </w:rPr>
      </w:pPr>
      <w:r>
        <w:rPr>
          <w:rFonts w:hint="eastAsia" w:ascii="宋体" w:hAnsi="宋体"/>
          <w:szCs w:val="21"/>
        </w:rPr>
        <w:t>（四）对采购结果提出质疑的，应当在采购结果公告期限届满或书面通知（书面通知可以采用电子邮件、传真方式）采购结果之日起</w:t>
      </w:r>
      <w:r>
        <w:rPr>
          <w:rFonts w:hint="eastAsia"/>
          <w:szCs w:val="21"/>
        </w:rPr>
        <w:t>7</w:t>
      </w:r>
      <w:r>
        <w:rPr>
          <w:rFonts w:hint="eastAsia" w:ascii="宋体" w:hAnsi="宋体"/>
          <w:szCs w:val="21"/>
        </w:rPr>
        <w:t>个工作日内提出，未按规定在发布采购结果公告同时书面通知采购结果的，以供应商实际知道采购结果之日起计算。</w:t>
      </w:r>
    </w:p>
    <w:p>
      <w:pPr>
        <w:spacing w:line="400" w:lineRule="exact"/>
        <w:rPr>
          <w:rFonts w:ascii="宋体" w:hAnsi="宋体"/>
          <w:szCs w:val="21"/>
        </w:rPr>
      </w:pPr>
      <w:r>
        <w:rPr>
          <w:rFonts w:hint="eastAsia"/>
          <w:b/>
          <w:szCs w:val="21"/>
        </w:rPr>
        <w:t>32</w:t>
      </w:r>
      <w:r>
        <w:rPr>
          <w:rFonts w:hint="eastAsia" w:ascii="宋体" w:hAnsi="宋体"/>
          <w:b/>
          <w:szCs w:val="21"/>
        </w:rPr>
        <w:t>.</w:t>
      </w:r>
      <w:r>
        <w:rPr>
          <w:rFonts w:hint="eastAsia"/>
          <w:b/>
          <w:szCs w:val="21"/>
        </w:rPr>
        <w:t>2</w:t>
      </w:r>
      <w:r>
        <w:rPr>
          <w:rFonts w:hint="eastAsia" w:ascii="宋体" w:hAnsi="宋体" w:cs="宋体"/>
          <w:szCs w:val="21"/>
        </w:rPr>
        <w:t>对采购信息公告内容提出质疑的，不限制质疑主体。未依法获取采购文件的，不得就采购文件提出质疑；未提交投标文件的供应商，视为与采购结果没有利害关系，不得就采购响应截止时间后的采购过程、采购结果提出质疑。</w:t>
      </w:r>
    </w:p>
    <w:p>
      <w:pPr>
        <w:spacing w:line="400" w:lineRule="exact"/>
        <w:rPr>
          <w:rFonts w:ascii="宋体" w:hAnsi="宋体"/>
          <w:szCs w:val="21"/>
        </w:rPr>
      </w:pPr>
      <w:r>
        <w:rPr>
          <w:rFonts w:hint="eastAsia"/>
          <w:b/>
          <w:szCs w:val="21"/>
        </w:rPr>
        <w:t>32</w:t>
      </w:r>
      <w:r>
        <w:rPr>
          <w:rFonts w:hint="eastAsia" w:ascii="宋体" w:hAnsi="宋体"/>
          <w:b/>
          <w:szCs w:val="21"/>
        </w:rPr>
        <w:t>.</w:t>
      </w:r>
      <w:r>
        <w:rPr>
          <w:rFonts w:hint="eastAsia"/>
          <w:b/>
          <w:szCs w:val="21"/>
        </w:rPr>
        <w:t>3</w:t>
      </w:r>
      <w:r>
        <w:rPr>
          <w:rFonts w:hint="eastAsia" w:ascii="宋体" w:hAnsi="宋体"/>
          <w:szCs w:val="21"/>
        </w:rPr>
        <w:t>供应商提出质疑应当提交质疑函和必要的证明材料，质疑函应当面以书面形式提出，质疑函格式和内容须符合财政部《质疑函范本》要求，供应商可到中国政府采购网自行下载财政部《质疑函范本》。</w:t>
      </w:r>
    </w:p>
    <w:p>
      <w:pPr>
        <w:spacing w:line="400" w:lineRule="exact"/>
        <w:rPr>
          <w:rFonts w:ascii="宋体" w:hAnsi="宋体"/>
          <w:szCs w:val="21"/>
        </w:rPr>
      </w:pPr>
      <w:r>
        <w:rPr>
          <w:rFonts w:hint="eastAsia"/>
          <w:b/>
          <w:szCs w:val="21"/>
        </w:rPr>
        <w:t>32</w:t>
      </w:r>
      <w:r>
        <w:rPr>
          <w:rFonts w:hint="eastAsia" w:ascii="宋体" w:hAnsi="宋体"/>
          <w:b/>
          <w:szCs w:val="21"/>
        </w:rPr>
        <w:t>.</w:t>
      </w:r>
      <w:r>
        <w:rPr>
          <w:rFonts w:hint="eastAsia"/>
          <w:b/>
          <w:szCs w:val="21"/>
        </w:rPr>
        <w:t>4</w:t>
      </w:r>
      <w:r>
        <w:rPr>
          <w:rFonts w:hint="eastAsia" w:ascii="宋体" w:hAnsi="宋体"/>
          <w:szCs w:val="21"/>
        </w:rPr>
        <w:t>接收书面质疑函的方式：质疑人可通过送达、邮寄、传真、邮件的形式提交书面质疑函，通过邮寄方式提交的书面质疑函以被质疑人签收邮件之日为收到书面质疑文件之日，通过传真或邮件方式提交的书面质疑函以被质疑人收到书面质疑文件原件之日为收到书面质疑文件之日。采购人和采购代理机构接收质疑函的联系方式：见本采购文件第一章有关联系方式。</w:t>
      </w:r>
    </w:p>
    <w:p>
      <w:pPr>
        <w:spacing w:line="400" w:lineRule="exact"/>
        <w:rPr>
          <w:rFonts w:ascii="宋体" w:hAnsi="宋体"/>
          <w:szCs w:val="21"/>
        </w:rPr>
      </w:pPr>
      <w:r>
        <w:rPr>
          <w:rFonts w:hint="eastAsia"/>
          <w:b/>
          <w:szCs w:val="21"/>
        </w:rPr>
        <w:t>32</w:t>
      </w:r>
      <w:r>
        <w:rPr>
          <w:rFonts w:hint="eastAsia" w:ascii="宋体" w:hAnsi="宋体"/>
          <w:b/>
          <w:szCs w:val="21"/>
        </w:rPr>
        <w:t>.</w:t>
      </w:r>
      <w:r>
        <w:rPr>
          <w:rFonts w:hint="eastAsia"/>
          <w:b/>
          <w:szCs w:val="21"/>
        </w:rPr>
        <w:t>5</w:t>
      </w:r>
      <w:r>
        <w:rPr>
          <w:rFonts w:hint="eastAsia" w:ascii="宋体" w:hAnsi="宋体"/>
          <w:szCs w:val="21"/>
        </w:rPr>
        <w:t>. 供应商对采购人或采购代理机构的质疑答复不满意或者采购人或采购代理机构未在规定时间内作出答复的，可以在答复期满后十五个工作日内向同级采购监管部门投诉。</w:t>
      </w:r>
    </w:p>
    <w:p>
      <w:pPr>
        <w:spacing w:line="440" w:lineRule="exact"/>
        <w:ind w:firstLine="105" w:firstLineChars="50"/>
        <w:rPr>
          <w:rFonts w:ascii="宋体" w:hAnsi="宋体"/>
          <w:szCs w:val="21"/>
        </w:rPr>
      </w:pPr>
    </w:p>
    <w:p>
      <w:pPr>
        <w:spacing w:line="440" w:lineRule="exact"/>
        <w:rPr>
          <w:rFonts w:ascii="宋体" w:hAnsi="宋体"/>
          <w:szCs w:val="21"/>
        </w:rPr>
      </w:pPr>
      <w:r>
        <w:rPr>
          <w:rFonts w:hint="eastAsia"/>
          <w:b/>
          <w:szCs w:val="21"/>
        </w:rPr>
        <w:t>33</w:t>
      </w:r>
      <w:r>
        <w:rPr>
          <w:rFonts w:hint="eastAsia" w:ascii="宋体" w:hAnsi="宋体"/>
          <w:b/>
          <w:szCs w:val="21"/>
        </w:rPr>
        <w:t>.联合体规定</w:t>
      </w:r>
    </w:p>
    <w:p>
      <w:pPr>
        <w:spacing w:line="440" w:lineRule="exact"/>
        <w:rPr>
          <w:rFonts w:ascii="宋体" w:hAnsi="宋体"/>
          <w:szCs w:val="21"/>
        </w:rPr>
      </w:pPr>
      <w:r>
        <w:rPr>
          <w:rFonts w:hint="eastAsia"/>
          <w:b/>
          <w:szCs w:val="21"/>
        </w:rPr>
        <w:t>33</w:t>
      </w:r>
      <w:r>
        <w:rPr>
          <w:rFonts w:hint="eastAsia" w:ascii="宋体" w:hAnsi="宋体"/>
          <w:b/>
          <w:szCs w:val="21"/>
        </w:rPr>
        <w:t>.</w:t>
      </w:r>
      <w:r>
        <w:rPr>
          <w:rFonts w:hint="eastAsia"/>
          <w:b/>
          <w:szCs w:val="21"/>
        </w:rPr>
        <w:t>1</w:t>
      </w:r>
      <w:r>
        <w:rPr>
          <w:rFonts w:hint="eastAsia" w:ascii="宋体" w:hAnsi="宋体"/>
          <w:szCs w:val="21"/>
        </w:rPr>
        <w:t>两个以上的自然人、法人或者其他组织可以组成一个联合体，以一个供应商的身份共同参加政府采购。以联合体形式进行政府采购的，参加联合体的供应商均应当具备采购文件规定的资格条件，并应当向采购人提交联合协议，载明联合体各方承担的工作和义务。联合体各方应当共同与采购人签订采购合同，就采购合同约定的事项对采购人承担连带责任。</w:t>
      </w:r>
    </w:p>
    <w:p>
      <w:pPr>
        <w:spacing w:line="440" w:lineRule="exact"/>
        <w:rPr>
          <w:rFonts w:ascii="宋体" w:hAnsi="宋体"/>
          <w:szCs w:val="21"/>
        </w:rPr>
      </w:pPr>
      <w:r>
        <w:rPr>
          <w:rFonts w:hint="eastAsia"/>
          <w:b/>
          <w:szCs w:val="21"/>
        </w:rPr>
        <w:t>33</w:t>
      </w:r>
      <w:r>
        <w:rPr>
          <w:rFonts w:hint="eastAsia" w:ascii="宋体" w:hAnsi="宋体"/>
          <w:b/>
          <w:szCs w:val="21"/>
        </w:rPr>
        <w:t>.</w:t>
      </w:r>
      <w:r>
        <w:rPr>
          <w:rFonts w:hint="eastAsia"/>
          <w:b/>
          <w:szCs w:val="21"/>
        </w:rPr>
        <w:t>2</w:t>
      </w:r>
      <w:r>
        <w:rPr>
          <w:rFonts w:hint="eastAsia" w:ascii="宋体" w:hAnsi="宋体"/>
          <w:szCs w:val="21"/>
        </w:rPr>
        <w:t>联合体中有同类资质的投标人按照联合体分工承担相同工作的，按照资质等级较低的投标人认定资质等级。</w:t>
      </w:r>
    </w:p>
    <w:p>
      <w:pPr>
        <w:spacing w:line="440" w:lineRule="exact"/>
        <w:rPr>
          <w:rFonts w:ascii="宋体" w:hAnsi="宋体"/>
          <w:szCs w:val="21"/>
        </w:rPr>
      </w:pPr>
      <w:r>
        <w:rPr>
          <w:rFonts w:hint="eastAsia"/>
          <w:b/>
          <w:szCs w:val="21"/>
        </w:rPr>
        <w:t>33</w:t>
      </w:r>
      <w:r>
        <w:rPr>
          <w:rFonts w:hint="eastAsia" w:ascii="宋体" w:hAnsi="宋体"/>
          <w:b/>
          <w:szCs w:val="21"/>
        </w:rPr>
        <w:t>.</w:t>
      </w:r>
      <w:r>
        <w:rPr>
          <w:rFonts w:hint="eastAsia"/>
          <w:b/>
          <w:szCs w:val="21"/>
        </w:rPr>
        <w:t>3</w:t>
      </w:r>
      <w:r>
        <w:rPr>
          <w:rFonts w:hint="eastAsia" w:ascii="宋体" w:hAnsi="宋体"/>
          <w:szCs w:val="21"/>
        </w:rPr>
        <w:t>以联合体形式参加政府采购活动的，联合体各方不得再单独参加或者与其他投标人另外组成联合体参加同一标项号的政府采购活动。</w:t>
      </w:r>
    </w:p>
    <w:p>
      <w:pPr>
        <w:spacing w:line="440" w:lineRule="exact"/>
        <w:rPr>
          <w:rFonts w:ascii="宋体" w:hAnsi="宋体"/>
          <w:szCs w:val="21"/>
        </w:rPr>
      </w:pPr>
      <w:r>
        <w:rPr>
          <w:rFonts w:hint="eastAsia"/>
          <w:b/>
          <w:bCs/>
          <w:szCs w:val="21"/>
        </w:rPr>
        <w:t>33</w:t>
      </w:r>
      <w:r>
        <w:rPr>
          <w:rFonts w:hint="eastAsia" w:ascii="宋体" w:hAnsi="宋体"/>
          <w:b/>
          <w:bCs/>
          <w:szCs w:val="21"/>
        </w:rPr>
        <w:t>.</w:t>
      </w:r>
      <w:r>
        <w:rPr>
          <w:rFonts w:hint="eastAsia"/>
          <w:b/>
          <w:bCs/>
          <w:szCs w:val="21"/>
        </w:rPr>
        <w:t>4</w:t>
      </w:r>
      <w:r>
        <w:rPr>
          <w:rFonts w:hint="eastAsia" w:ascii="宋体" w:hAnsi="宋体"/>
          <w:szCs w:val="21"/>
        </w:rPr>
        <w:t>联合体协议中仅约定由联合体主办单位或成员单位中某一方与采购人签订合同的，或联合体协议中仅约定由联合体主办单位或成员单位中某一方就采购合同约定的事项对采购人承担责任的，视为联合体协议不成立，该联合体的投标文件将被作无效处理。</w:t>
      </w:r>
    </w:p>
    <w:bookmarkEnd w:id="40"/>
    <w:bookmarkEnd w:id="41"/>
    <w:bookmarkEnd w:id="42"/>
    <w:bookmarkEnd w:id="43"/>
    <w:bookmarkEnd w:id="44"/>
    <w:bookmarkEnd w:id="45"/>
    <w:bookmarkEnd w:id="46"/>
    <w:bookmarkEnd w:id="47"/>
    <w:p>
      <w:pPr>
        <w:spacing w:line="400" w:lineRule="exact"/>
        <w:ind w:firstLine="102" w:firstLineChars="49"/>
        <w:rPr>
          <w:rFonts w:ascii="宋体" w:hAnsi="宋体" w:cs="宋体"/>
          <w:kern w:val="0"/>
          <w:szCs w:val="21"/>
        </w:rPr>
      </w:pPr>
    </w:p>
    <w:p>
      <w:pPr>
        <w:pStyle w:val="202"/>
        <w:ind w:firstLine="480"/>
      </w:pPr>
    </w:p>
    <w:p>
      <w:pPr>
        <w:pStyle w:val="202"/>
        <w:ind w:firstLine="440"/>
        <w:rPr>
          <w:sz w:val="22"/>
          <w:szCs w:val="22"/>
        </w:rPr>
        <w:sectPr>
          <w:headerReference r:id="rId13" w:type="default"/>
          <w:pgSz w:w="11907" w:h="16840"/>
          <w:pgMar w:top="1111" w:right="1701" w:bottom="1428" w:left="1701" w:header="720" w:footer="720" w:gutter="0"/>
          <w:cols w:space="720" w:num="1"/>
          <w:docGrid w:type="linesAndChars" w:linePitch="286" w:charSpace="0"/>
        </w:sectPr>
      </w:pPr>
    </w:p>
    <w:p>
      <w:pPr>
        <w:pStyle w:val="202"/>
        <w:ind w:firstLine="480"/>
      </w:pPr>
      <w:bookmarkStart w:id="70" w:name="_Toc520902404"/>
      <w:bookmarkStart w:id="71" w:name="_Toc316649302"/>
    </w:p>
    <w:p>
      <w:pPr>
        <w:pStyle w:val="2"/>
        <w:spacing w:beforeLines="0" w:afterLines="0" w:line="360" w:lineRule="auto"/>
        <w:rPr>
          <w:rFonts w:ascii="宋体" w:hAnsi="宋体"/>
          <w:sz w:val="32"/>
          <w:szCs w:val="32"/>
        </w:rPr>
      </w:pPr>
      <w:r>
        <w:rPr>
          <w:rFonts w:hint="eastAsia" w:ascii="宋体" w:hAnsi="宋体"/>
          <w:sz w:val="32"/>
          <w:szCs w:val="32"/>
        </w:rPr>
        <w:t>第四部分 合同格式</w:t>
      </w:r>
      <w:bookmarkEnd w:id="70"/>
      <w:bookmarkEnd w:id="71"/>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bookmarkStart w:id="72" w:name="_Toc298230959"/>
      <w:r>
        <w:rPr>
          <w:rFonts w:ascii="宋体" w:hAnsi="宋体" w:cs="宋体"/>
          <w:b/>
          <w:szCs w:val="21"/>
        </w:rPr>
        <w:t>标项一</w:t>
      </w:r>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r>
        <w:rPr>
          <w:rFonts w:hint="eastAsia" w:ascii="宋体" w:hAnsi="宋体" w:cs="宋体"/>
          <w:b/>
          <w:szCs w:val="21"/>
        </w:rPr>
        <w:t>项目编号：</w:t>
      </w:r>
      <w:r>
        <w:rPr>
          <w:rFonts w:ascii="宋体" w:hAnsi="宋体" w:cs="宋体"/>
          <w:b/>
          <w:szCs w:val="21"/>
        </w:rPr>
        <w:t>NBGZZB322091</w:t>
      </w:r>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r>
        <w:rPr>
          <w:rFonts w:hint="eastAsia" w:ascii="宋体" w:hAnsi="宋体" w:cs="宋体"/>
          <w:b/>
          <w:szCs w:val="21"/>
        </w:rPr>
        <w:t>项目名称：</w:t>
      </w:r>
      <w:r>
        <w:rPr>
          <w:rFonts w:hint="eastAsia" w:ascii="宋体" w:hAnsi="宋体" w:cs="宋体"/>
          <w:szCs w:val="21"/>
        </w:rPr>
        <w:t xml:space="preserve">高新区排水管网信息化管理平台（二期） </w:t>
      </w:r>
    </w:p>
    <w:p>
      <w:pPr>
        <w:adjustRightInd w:val="0"/>
        <w:snapToGrid w:val="0"/>
        <w:spacing w:line="460" w:lineRule="exact"/>
        <w:rPr>
          <w:rFonts w:ascii="宋体" w:hAnsi="宋体" w:cs="宋体"/>
          <w:b/>
          <w:szCs w:val="21"/>
        </w:rPr>
      </w:pPr>
      <w:r>
        <w:rPr>
          <w:rFonts w:hint="eastAsia" w:ascii="宋体" w:hAnsi="宋体" w:cs="宋体"/>
          <w:b/>
          <w:szCs w:val="21"/>
        </w:rPr>
        <w:t>甲方（发包人）：</w:t>
      </w:r>
    </w:p>
    <w:p>
      <w:pPr>
        <w:pBdr>
          <w:bottom w:val="single" w:color="auto" w:sz="2" w:space="1"/>
        </w:pBdr>
        <w:adjustRightInd w:val="0"/>
        <w:snapToGrid w:val="0"/>
        <w:spacing w:line="460" w:lineRule="exact"/>
        <w:rPr>
          <w:rFonts w:ascii="宋体" w:hAnsi="宋体" w:cs="宋体"/>
          <w:b/>
          <w:szCs w:val="21"/>
        </w:rPr>
      </w:pPr>
      <w:r>
        <w:rPr>
          <w:rFonts w:hint="eastAsia" w:ascii="宋体" w:hAnsi="宋体" w:cs="宋体"/>
          <w:b/>
          <w:szCs w:val="21"/>
        </w:rPr>
        <w:t>乙方（承包人）：</w:t>
      </w:r>
    </w:p>
    <w:p>
      <w:pPr>
        <w:adjustRightInd w:val="0"/>
        <w:snapToGrid w:val="0"/>
        <w:spacing w:line="460" w:lineRule="exact"/>
        <w:ind w:firstLine="420"/>
        <w:jc w:val="left"/>
        <w:rPr>
          <w:rFonts w:ascii="宋体" w:hAnsi="宋体" w:cs="宋体"/>
          <w:szCs w:val="21"/>
        </w:rPr>
      </w:pPr>
      <w:r>
        <w:rPr>
          <w:rFonts w:hint="eastAsia" w:ascii="宋体" w:hAnsi="宋体" w:cs="宋体"/>
          <w:bCs/>
          <w:szCs w:val="21"/>
        </w:rPr>
        <w:t>根据《</w:t>
      </w:r>
      <w:r>
        <w:rPr>
          <w:rFonts w:hint="eastAsia" w:ascii="宋体" w:hAnsi="宋体" w:cs="宋体"/>
          <w:szCs w:val="21"/>
        </w:rPr>
        <w:t>中华人民共和国</w:t>
      </w:r>
      <w:r>
        <w:rPr>
          <w:rFonts w:hint="eastAsia" w:ascii="宋体" w:hAnsi="宋体" w:cs="宋体"/>
          <w:bCs/>
          <w:szCs w:val="21"/>
        </w:rPr>
        <w:t>民法典》和相关法律、法规及</w:t>
      </w:r>
      <w:r>
        <w:rPr>
          <w:rFonts w:hint="eastAsia" w:ascii="宋体" w:hAnsi="宋体" w:cs="宋体"/>
          <w:bCs/>
          <w:szCs w:val="21"/>
          <w:u w:val="single"/>
        </w:rPr>
        <w:t>高新区排水管网信息化管理平台（二期）（项目编号：</w:t>
      </w:r>
      <w:r>
        <w:rPr>
          <w:rFonts w:ascii="宋体" w:hAnsi="宋体" w:cs="宋体"/>
          <w:bCs/>
          <w:szCs w:val="21"/>
          <w:u w:val="single"/>
        </w:rPr>
        <w:t>NBGZZB322091</w:t>
      </w:r>
      <w:r>
        <w:rPr>
          <w:rFonts w:hint="eastAsia" w:ascii="宋体" w:hAnsi="宋体" w:cs="宋体"/>
          <w:bCs/>
          <w:szCs w:val="21"/>
          <w:u w:val="single"/>
        </w:rPr>
        <w:t>）标项一</w:t>
      </w:r>
      <w:r>
        <w:rPr>
          <w:rFonts w:hint="eastAsia" w:ascii="宋体" w:hAnsi="宋体" w:cs="宋体"/>
          <w:szCs w:val="21"/>
        </w:rPr>
        <w:t>公开采购的</w:t>
      </w:r>
      <w:r>
        <w:rPr>
          <w:rFonts w:hint="eastAsia" w:ascii="宋体" w:hAnsi="宋体" w:cs="宋体"/>
          <w:bCs/>
          <w:szCs w:val="21"/>
        </w:rPr>
        <w:t>结果，在自愿、平等、协商一致的基础上，订立本合同。</w:t>
      </w:r>
    </w:p>
    <w:p>
      <w:pPr>
        <w:adjustRightInd w:val="0"/>
        <w:snapToGrid w:val="0"/>
        <w:spacing w:line="460" w:lineRule="exact"/>
        <w:rPr>
          <w:rFonts w:ascii="宋体" w:hAnsi="宋体" w:cs="宋体"/>
          <w:b/>
          <w:bCs/>
          <w:color w:val="000000"/>
          <w:szCs w:val="21"/>
        </w:rPr>
      </w:pPr>
      <w:r>
        <w:rPr>
          <w:rFonts w:hint="eastAsia" w:ascii="宋体" w:hAnsi="宋体" w:cs="宋体"/>
          <w:b/>
          <w:bCs/>
          <w:color w:val="000000"/>
          <w:szCs w:val="21"/>
        </w:rPr>
        <w:t>一、建设内容</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建设内容主要包括硬件采购、应用软件系统开发、数据资源建设、应用支撑建设、系统接口、软件购置和网络传输建设。</w:t>
      </w:r>
    </w:p>
    <w:p>
      <w:pPr>
        <w:adjustRightInd w:val="0"/>
        <w:snapToGrid w:val="0"/>
        <w:spacing w:line="460" w:lineRule="exact"/>
        <w:ind w:firstLine="420"/>
        <w:jc w:val="left"/>
      </w:pPr>
      <w:r>
        <w:rPr>
          <w:rFonts w:hint="eastAsia" w:ascii="宋体" w:hAnsi="宋体" w:cs="宋体"/>
          <w:bCs/>
          <w:szCs w:val="21"/>
        </w:rPr>
        <w:t>硬件购置9类综合监控监测前端感知设备：包含管网液位监测仪46台、泵站液位监测仪1台、流量监测仪10台、工况2台、水质COD 7台、气体监测仪2台、视频摄像机10台、积水监测仪6台和电子标签2500个，并包含硬件安装系统调试。</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应用软件系统开发包含治水一张图、监测一张网、智慧排水业务、问题闭环管理、养护管理和泵站统一远程控制。</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数据资源建设包括数据采集、数据治理、数据对接和数据库设计。</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应用支撑建设包含排水管网相关分析模型，含智能溯源分析、内涝分析、堵塞分析、渗漏分析、水质分析模型。</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系统接口建设含宁波市时空信息云平台的空间数据接入，数据对接宁波市水利视频监控系统、宁波市水利智能物联管护系统。软件购置包括国产化中间件、国产化数据库和国产化操作系统。</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网络传输建设包括物联网卡流量的购置、物联网服务器的租赁。</w:t>
      </w:r>
    </w:p>
    <w:p>
      <w:pPr>
        <w:adjustRightInd w:val="0"/>
        <w:snapToGrid w:val="0"/>
        <w:spacing w:line="460" w:lineRule="exact"/>
        <w:ind w:firstLine="420" w:firstLineChars="200"/>
        <w:jc w:val="left"/>
        <w:rPr>
          <w:rFonts w:ascii="宋体" w:hAnsi="宋体" w:cs="宋体"/>
          <w:bCs/>
          <w:szCs w:val="21"/>
        </w:rPr>
      </w:pPr>
      <w:r>
        <w:rPr>
          <w:rFonts w:hint="eastAsia" w:ascii="宋体" w:hAnsi="宋体" w:cs="宋体"/>
          <w:bCs/>
          <w:szCs w:val="21"/>
        </w:rPr>
        <w:t>项目免费质保及运行维护期1年，自项目验收合格之日起算。服务范围包括日常维保服务、主要应用软、硬件系统维保服务、信息化建设咨询服务等。</w:t>
      </w:r>
    </w:p>
    <w:p>
      <w:pPr>
        <w:pStyle w:val="41"/>
        <w:ind w:left="0" w:leftChars="0" w:firstLineChars="0"/>
      </w:pPr>
    </w:p>
    <w:p>
      <w:pPr>
        <w:adjustRightInd w:val="0"/>
        <w:snapToGrid w:val="0"/>
        <w:spacing w:line="460" w:lineRule="exact"/>
        <w:jc w:val="left"/>
        <w:rPr>
          <w:rFonts w:ascii="宋体" w:hAnsi="宋体" w:cs="宋体"/>
          <w:b/>
          <w:szCs w:val="21"/>
        </w:rPr>
      </w:pPr>
      <w:r>
        <w:rPr>
          <w:rFonts w:hint="eastAsia" w:ascii="宋体" w:hAnsi="宋体" w:cs="宋体"/>
          <w:b/>
          <w:szCs w:val="21"/>
        </w:rPr>
        <w:t>二、合同金额</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1.本合同金额为（大写）：_________________元（¥________元）人民币；</w:t>
      </w:r>
    </w:p>
    <w:tbl>
      <w:tblPr>
        <w:tblStyle w:val="42"/>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060"/>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序号</w:t>
            </w:r>
          </w:p>
        </w:tc>
        <w:tc>
          <w:tcPr>
            <w:tcW w:w="306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服务内容</w:t>
            </w:r>
          </w:p>
        </w:tc>
        <w:tc>
          <w:tcPr>
            <w:tcW w:w="4485"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1</w:t>
            </w:r>
          </w:p>
        </w:tc>
        <w:tc>
          <w:tcPr>
            <w:tcW w:w="3060" w:type="dxa"/>
            <w:vAlign w:val="center"/>
          </w:tcPr>
          <w:p>
            <w:pPr>
              <w:adjustRightInd w:val="0"/>
              <w:snapToGrid w:val="0"/>
              <w:spacing w:line="460" w:lineRule="exact"/>
              <w:jc w:val="center"/>
              <w:rPr>
                <w:rFonts w:ascii="宋体" w:hAnsi="宋体" w:cs="宋体"/>
                <w:szCs w:val="21"/>
              </w:rPr>
            </w:pPr>
          </w:p>
        </w:tc>
        <w:tc>
          <w:tcPr>
            <w:tcW w:w="4485" w:type="dxa"/>
          </w:tcPr>
          <w:p>
            <w:pPr>
              <w:widowControl/>
              <w:adjustRightInd w:val="0"/>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b/>
                <w:bCs/>
                <w:szCs w:val="21"/>
              </w:rPr>
            </w:pPr>
            <w:r>
              <w:rPr>
                <w:rFonts w:ascii="宋体" w:hAnsi="宋体" w:cs="宋体"/>
                <w:b/>
                <w:bCs/>
                <w:szCs w:val="21"/>
              </w:rPr>
              <w:t>2</w:t>
            </w:r>
          </w:p>
        </w:tc>
        <w:tc>
          <w:tcPr>
            <w:tcW w:w="306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合计（即合同金额）</w:t>
            </w:r>
          </w:p>
        </w:tc>
        <w:tc>
          <w:tcPr>
            <w:tcW w:w="4485" w:type="dxa"/>
          </w:tcPr>
          <w:p>
            <w:pPr>
              <w:widowControl/>
              <w:adjustRightInd w:val="0"/>
              <w:snapToGrid w:val="0"/>
              <w:spacing w:line="460" w:lineRule="exact"/>
              <w:rPr>
                <w:rFonts w:ascii="宋体" w:hAnsi="宋体" w:cs="宋体"/>
                <w:szCs w:val="21"/>
              </w:rPr>
            </w:pPr>
          </w:p>
        </w:tc>
      </w:tr>
    </w:tbl>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2.上述合同金额</w:t>
      </w:r>
      <w:r>
        <w:rPr>
          <w:rFonts w:hint="eastAsia" w:ascii="宋体" w:hAnsi="宋体" w:cs="宋体"/>
          <w:bCs/>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pPr>
        <w:adjustRightInd w:val="0"/>
        <w:snapToGrid w:val="0"/>
        <w:spacing w:line="460" w:lineRule="exact"/>
        <w:jc w:val="left"/>
        <w:rPr>
          <w:rFonts w:ascii="宋体" w:hAnsi="宋体" w:cs="宋体"/>
          <w:b/>
          <w:szCs w:val="21"/>
        </w:rPr>
      </w:pPr>
      <w:r>
        <w:rPr>
          <w:rFonts w:hint="eastAsia" w:ascii="宋体" w:hAnsi="宋体" w:cs="宋体"/>
          <w:b/>
          <w:szCs w:val="21"/>
        </w:rPr>
        <w:t>三、组成合同的文件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1.本合同协议书；</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2.中标通知书；</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3.投标书及其附件；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4.招标文件；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5.标准、规范及有关技术文件；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6.图纸（如有）。</w:t>
      </w:r>
    </w:p>
    <w:p>
      <w:pPr>
        <w:adjustRightInd w:val="0"/>
        <w:snapToGrid w:val="0"/>
        <w:spacing w:line="460" w:lineRule="exact"/>
        <w:ind w:left="105" w:leftChars="50" w:firstLine="420" w:firstLineChars="200"/>
        <w:rPr>
          <w:rFonts w:ascii="宋体" w:hAnsi="宋体" w:cs="宋体"/>
          <w:szCs w:val="21"/>
        </w:rPr>
      </w:pPr>
      <w:r>
        <w:rPr>
          <w:rFonts w:hint="eastAsia" w:ascii="宋体" w:hAnsi="宋体" w:cs="宋体"/>
          <w:szCs w:val="21"/>
        </w:rPr>
        <w:t>有关甲乙双方洽商、变更等书面协议或文件均视为本合同组成部分。</w:t>
      </w:r>
    </w:p>
    <w:p>
      <w:pPr>
        <w:adjustRightInd w:val="0"/>
        <w:snapToGrid w:val="0"/>
        <w:spacing w:line="460" w:lineRule="exact"/>
        <w:rPr>
          <w:rFonts w:ascii="宋体" w:hAnsi="宋体" w:cs="宋体"/>
          <w:b/>
          <w:szCs w:val="21"/>
        </w:rPr>
      </w:pPr>
      <w:r>
        <w:rPr>
          <w:rFonts w:hint="eastAsia" w:ascii="宋体" w:hAnsi="宋体" w:cs="宋体"/>
          <w:b/>
          <w:szCs w:val="21"/>
        </w:rPr>
        <w:t>四、技术资料</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1.乙方应按招标文件规定的时间向甲方提供服务的台账或记录等相关资料。</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pPr>
        <w:adjustRightInd w:val="0"/>
        <w:snapToGrid w:val="0"/>
        <w:spacing w:line="460" w:lineRule="exact"/>
        <w:ind w:left="360" w:hanging="361" w:hangingChars="171"/>
        <w:rPr>
          <w:rFonts w:ascii="宋体" w:hAnsi="宋体" w:cs="宋体"/>
          <w:b/>
          <w:szCs w:val="21"/>
        </w:rPr>
      </w:pPr>
      <w:r>
        <w:rPr>
          <w:rFonts w:hint="eastAsia" w:ascii="宋体" w:hAnsi="宋体" w:cs="宋体"/>
          <w:b/>
          <w:szCs w:val="21"/>
        </w:rPr>
        <w:t>五、知识产权</w:t>
      </w:r>
    </w:p>
    <w:p>
      <w:pPr>
        <w:adjustRightInd w:val="0"/>
        <w:snapToGrid w:val="0"/>
        <w:spacing w:line="460" w:lineRule="exact"/>
        <w:ind w:left="105" w:leftChars="50" w:firstLine="420" w:firstLineChars="200"/>
        <w:jc w:val="left"/>
        <w:rPr>
          <w:rFonts w:ascii="宋体" w:hAnsi="宋体" w:cs="宋体"/>
          <w:b/>
          <w:szCs w:val="21"/>
        </w:rPr>
      </w:pPr>
      <w:r>
        <w:rPr>
          <w:rFonts w:hint="eastAsia" w:ascii="宋体" w:hAnsi="宋体" w:cs="宋体"/>
          <w:szCs w:val="21"/>
        </w:rPr>
        <w:t>1.乙方应保证所提供的货物或其任何一部分均不会侵犯任何第三方的知识产权</w:t>
      </w:r>
      <w:r>
        <w:rPr>
          <w:rFonts w:hint="eastAsia" w:ascii="宋体" w:hAnsi="宋体" w:cs="宋体"/>
          <w:bCs/>
          <w:szCs w:val="21"/>
        </w:rPr>
        <w:t>。</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2.乙方保证所交付的货物的所有权完全属于乙方且无任何抵押、查封等产权瑕疵。</w:t>
      </w:r>
    </w:p>
    <w:p>
      <w:pPr>
        <w:adjustRightInd w:val="0"/>
        <w:snapToGrid w:val="0"/>
        <w:spacing w:line="460" w:lineRule="exact"/>
        <w:ind w:left="105" w:leftChars="50"/>
        <w:jc w:val="left"/>
        <w:rPr>
          <w:rFonts w:ascii="宋体" w:hAnsi="宋体" w:cs="宋体"/>
          <w:b/>
          <w:szCs w:val="21"/>
        </w:rPr>
      </w:pPr>
      <w:r>
        <w:rPr>
          <w:rFonts w:hint="eastAsia" w:ascii="宋体" w:hAnsi="宋体" w:cs="宋体"/>
          <w:b/>
          <w:szCs w:val="21"/>
        </w:rPr>
        <w:t>六、履约保证金：</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1.在合同签订后</w:t>
      </w:r>
      <w:r>
        <w:rPr>
          <w:rFonts w:hint="eastAsia" w:ascii="宋体" w:hAnsi="宋体" w:cs="宋体"/>
          <w:szCs w:val="21"/>
          <w:u w:val="single"/>
        </w:rPr>
        <w:t xml:space="preserve"> 10 </w:t>
      </w:r>
      <w:r>
        <w:rPr>
          <w:rFonts w:hint="eastAsia" w:ascii="宋体" w:hAnsi="宋体" w:cs="宋体"/>
          <w:szCs w:val="21"/>
        </w:rPr>
        <w:t>个工作日内，乙方应向甲方支付</w:t>
      </w:r>
      <w:r>
        <w:rPr>
          <w:rFonts w:hint="eastAsia" w:ascii="宋体" w:hAnsi="宋体" w:cs="宋体"/>
          <w:szCs w:val="21"/>
          <w:u w:val="single"/>
        </w:rPr>
        <w:t xml:space="preserve">人民币      </w:t>
      </w:r>
      <w:r>
        <w:rPr>
          <w:rFonts w:hint="eastAsia" w:ascii="宋体" w:hAnsi="宋体" w:cs="宋体"/>
          <w:szCs w:val="21"/>
        </w:rPr>
        <w:t xml:space="preserve">的履约保证金，作为乙方认真履行合同条款的保证；       </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2.履约保证金形式：支票、汇票、本票或者金融机构、担保机构出具的保函等非现金形式提交；</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3.履约保证金的退还：项目验收合格后十日内退还，但如乙方未履行或未完全履行合同规定的任何义务，给甲方造成损失的，甲方有权在其提交的履约保证金中获得相应赔偿，不足部分甲方有权继续向乙方追偿。</w:t>
      </w:r>
    </w:p>
    <w:p>
      <w:pPr>
        <w:adjustRightInd w:val="0"/>
        <w:snapToGrid w:val="0"/>
        <w:spacing w:line="460" w:lineRule="exact"/>
        <w:rPr>
          <w:rFonts w:ascii="宋体" w:hAnsi="宋体" w:cs="宋体"/>
          <w:b/>
          <w:szCs w:val="21"/>
        </w:rPr>
      </w:pPr>
      <w:r>
        <w:rPr>
          <w:rFonts w:hint="eastAsia" w:ascii="宋体" w:hAnsi="宋体" w:cs="宋体"/>
          <w:b/>
          <w:szCs w:val="21"/>
        </w:rPr>
        <w:t>七、转包或分包</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1.本合同范围的服务，应由乙方直接供应，不得转让他人供应；</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2.除非得到甲方的书面同意，乙方不得将本合同范围的服务全部或部分分包给他人供应；</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3.如有转让和未经甲方同意的分包行为，甲方有权解除合同，没收履约保证金并追究乙方的违约责任。</w:t>
      </w:r>
    </w:p>
    <w:p>
      <w:pPr>
        <w:adjustRightInd w:val="0"/>
        <w:snapToGrid w:val="0"/>
        <w:spacing w:line="460" w:lineRule="exact"/>
        <w:rPr>
          <w:rFonts w:ascii="宋体" w:hAnsi="宋体" w:cs="宋体"/>
          <w:b/>
          <w:szCs w:val="21"/>
        </w:rPr>
      </w:pPr>
      <w:r>
        <w:rPr>
          <w:rFonts w:hint="eastAsia" w:ascii="宋体" w:hAnsi="宋体" w:cs="宋体"/>
          <w:b/>
          <w:szCs w:val="21"/>
        </w:rPr>
        <w:t>八、合同履行时间、履行方式及履行地点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1.履行时间：</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2.履行方式：</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3.履行地点：</w:t>
      </w:r>
    </w:p>
    <w:p>
      <w:pPr>
        <w:adjustRightInd w:val="0"/>
        <w:snapToGrid w:val="0"/>
        <w:spacing w:line="460" w:lineRule="exact"/>
        <w:rPr>
          <w:rFonts w:ascii="宋体" w:hAnsi="宋体" w:cs="宋体"/>
          <w:b/>
          <w:szCs w:val="21"/>
        </w:rPr>
      </w:pPr>
      <w:r>
        <w:rPr>
          <w:rFonts w:hint="eastAsia" w:ascii="宋体" w:hAnsi="宋体" w:cs="宋体"/>
          <w:b/>
          <w:szCs w:val="21"/>
        </w:rPr>
        <w:t>九、付款方式</w:t>
      </w:r>
    </w:p>
    <w:tbl>
      <w:tblPr>
        <w:tblStyle w:val="4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40"/>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1"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序号</w:t>
            </w:r>
          </w:p>
        </w:tc>
        <w:tc>
          <w:tcPr>
            <w:tcW w:w="174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服务内容</w:t>
            </w:r>
          </w:p>
        </w:tc>
        <w:tc>
          <w:tcPr>
            <w:tcW w:w="6279"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付款办法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31"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1</w:t>
            </w:r>
          </w:p>
        </w:tc>
        <w:tc>
          <w:tcPr>
            <w:tcW w:w="1740" w:type="dxa"/>
            <w:vAlign w:val="center"/>
          </w:tcPr>
          <w:p>
            <w:pPr>
              <w:adjustRightInd w:val="0"/>
              <w:snapToGrid w:val="0"/>
              <w:spacing w:line="460" w:lineRule="exact"/>
              <w:jc w:val="center"/>
              <w:rPr>
                <w:rFonts w:ascii="宋体" w:hAnsi="宋体" w:cs="宋体"/>
                <w:szCs w:val="21"/>
              </w:rPr>
            </w:pPr>
            <w:r>
              <w:rPr>
                <w:rFonts w:hint="eastAsia" w:ascii="宋体" w:hAnsi="宋体" w:cs="宋体"/>
                <w:szCs w:val="21"/>
              </w:rPr>
              <w:t>前期建设</w:t>
            </w:r>
          </w:p>
        </w:tc>
        <w:tc>
          <w:tcPr>
            <w:tcW w:w="6279" w:type="dxa"/>
          </w:tcPr>
          <w:p>
            <w:pPr>
              <w:widowControl/>
              <w:rPr>
                <w:rFonts w:ascii="宋体" w:hAnsi="宋体" w:cs="宋体"/>
                <w:szCs w:val="21"/>
              </w:rPr>
            </w:pPr>
            <w:r>
              <w:rPr>
                <w:rFonts w:hint="eastAsia" w:ascii="宋体" w:hAnsi="宋体" w:cs="宋体"/>
                <w:szCs w:val="21"/>
              </w:rPr>
              <w:t>（1）合同签订生效并具备实施条件后7个工作日内，采购人凭中标人开具的发票向中标人支付签约合同价的40%作为预付款；</w:t>
            </w:r>
          </w:p>
          <w:p>
            <w:pPr>
              <w:widowControl/>
              <w:rPr>
                <w:rFonts w:ascii="宋体" w:hAnsi="宋体" w:cs="宋体"/>
                <w:szCs w:val="21"/>
              </w:rPr>
            </w:pPr>
            <w:r>
              <w:rPr>
                <w:rFonts w:hint="eastAsia" w:ascii="宋体" w:hAnsi="宋体" w:cs="宋体"/>
                <w:szCs w:val="21"/>
              </w:rPr>
              <w:t>（2）硬件到货签收后7个工作日内，采购人凭中标人开具的发票向中标人支付签约合同价的30%；</w:t>
            </w:r>
          </w:p>
          <w:p>
            <w:pPr>
              <w:widowControl/>
              <w:rPr>
                <w:rFonts w:ascii="宋体" w:hAnsi="宋体" w:cs="宋体"/>
                <w:szCs w:val="21"/>
              </w:rPr>
            </w:pPr>
            <w:r>
              <w:rPr>
                <w:rFonts w:hint="eastAsia" w:ascii="宋体" w:hAnsi="宋体" w:cs="宋体"/>
                <w:szCs w:val="21"/>
              </w:rPr>
              <w:t>（3）项目通过终验且最终经采购人确认后付清应付余款。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1"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2</w:t>
            </w:r>
          </w:p>
        </w:tc>
        <w:tc>
          <w:tcPr>
            <w:tcW w:w="1740"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bCs/>
                <w:szCs w:val="21"/>
              </w:rPr>
              <w:t>质保及运行维护</w:t>
            </w:r>
            <w:r>
              <w:rPr>
                <w:rFonts w:hint="eastAsia" w:ascii="宋体" w:hAnsi="宋体" w:cs="宋体"/>
                <w:szCs w:val="21"/>
              </w:rPr>
              <w:t>服务</w:t>
            </w:r>
          </w:p>
        </w:tc>
        <w:tc>
          <w:tcPr>
            <w:tcW w:w="6279" w:type="dxa"/>
          </w:tcPr>
          <w:p>
            <w:pPr>
              <w:widowControl/>
              <w:adjustRightInd w:val="0"/>
              <w:snapToGrid w:val="0"/>
              <w:spacing w:line="460" w:lineRule="exact"/>
              <w:rPr>
                <w:rFonts w:ascii="宋体" w:hAnsi="宋体" w:cs="宋体"/>
                <w:szCs w:val="21"/>
              </w:rPr>
            </w:pPr>
            <w:r>
              <w:rPr>
                <w:rFonts w:hint="eastAsia" w:ascii="宋体" w:hAnsi="宋体" w:cs="宋体"/>
                <w:szCs w:val="21"/>
              </w:rPr>
              <w:t>本项目免费质保及运行维护期1年，自项目验收合格之日起算。服务范围包括日常维保服务、主要应用软、硬件系统维保服务、信息化建设咨询服务等。</w:t>
            </w:r>
          </w:p>
        </w:tc>
      </w:tr>
    </w:tbl>
    <w:p>
      <w:pPr>
        <w:adjustRightInd w:val="0"/>
        <w:snapToGrid w:val="0"/>
        <w:spacing w:line="460" w:lineRule="exact"/>
        <w:rPr>
          <w:rFonts w:ascii="宋体" w:hAnsi="宋体" w:cs="宋体"/>
          <w:b/>
          <w:szCs w:val="21"/>
        </w:rPr>
      </w:pPr>
      <w:r>
        <w:rPr>
          <w:rFonts w:hint="eastAsia" w:ascii="宋体" w:hAnsi="宋体" w:cs="宋体"/>
          <w:b/>
          <w:szCs w:val="21"/>
        </w:rPr>
        <w:t>十、税费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adjustRightInd w:val="0"/>
        <w:snapToGrid w:val="0"/>
        <w:spacing w:line="460" w:lineRule="exact"/>
        <w:ind w:left="360" w:hanging="361" w:hangingChars="171"/>
        <w:rPr>
          <w:rFonts w:ascii="宋体" w:hAnsi="宋体" w:cs="宋体"/>
          <w:szCs w:val="21"/>
        </w:rPr>
      </w:pPr>
      <w:r>
        <w:rPr>
          <w:rFonts w:hint="eastAsia" w:ascii="宋体" w:hAnsi="宋体" w:cs="宋体"/>
          <w:b/>
          <w:szCs w:val="21"/>
        </w:rPr>
        <w:t>十一、质量保证及后续服务</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项目质保及运行维护期一年（其中第一年为免费质保及运行维护），自项目验收合格之日起算，包含但不限于硬件报修、系统升级、运行维护等服务内容。质保及运行维护期内如出现设备故障（除人为原因造成外），乙方无条件负责更换或维修设备（原厂家生产或提供）；质保期外，乙方提供终生维修，维修时只收部件成本费和人工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2.乙方应按招标文件规定的货物性能、技术要求、质量标准向甲方提供未经使用的全新产品。</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3.乙方提供的货物在质保期内因货物本身的质量问题发生故障，乙方应负责免费更换。对达不到技术要求者，根据实际情况，经双方协商，可按以下办法处理：</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⑴重做：由乙方承担所发生的全部费用。</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⑵贬值处理：由甲乙双方合议定价。</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4.在质保期内，乙方应对货物出现的质量及安全问题负责处理解决并承担一切费用。质保期内免费更换或维修配件（原厂家生产或提供）。</w:t>
      </w:r>
    </w:p>
    <w:p>
      <w:pPr>
        <w:adjustRightInd w:val="0"/>
        <w:snapToGrid w:val="0"/>
        <w:spacing w:line="460" w:lineRule="exact"/>
        <w:rPr>
          <w:rFonts w:ascii="宋体" w:hAnsi="宋体" w:cs="宋体"/>
          <w:b/>
          <w:szCs w:val="21"/>
        </w:rPr>
      </w:pPr>
      <w:r>
        <w:rPr>
          <w:rFonts w:hint="eastAsia" w:ascii="宋体" w:hAnsi="宋体" w:cs="宋体"/>
          <w:b/>
          <w:szCs w:val="21"/>
        </w:rPr>
        <w:t>十二、违约责任</w:t>
      </w:r>
    </w:p>
    <w:p>
      <w:pPr>
        <w:numPr>
          <w:ilvl w:val="0"/>
          <w:numId w:val="3"/>
        </w:numPr>
        <w:adjustRightInd w:val="0"/>
        <w:snapToGrid w:val="0"/>
        <w:spacing w:line="460" w:lineRule="exact"/>
        <w:rPr>
          <w:rFonts w:ascii="宋体" w:hAnsi="宋体" w:cs="宋体"/>
          <w:szCs w:val="21"/>
        </w:rPr>
      </w:pPr>
      <w:r>
        <w:rPr>
          <w:rFonts w:hint="eastAsia" w:ascii="宋体" w:hAnsi="宋体" w:cs="宋体"/>
          <w:szCs w:val="21"/>
        </w:rPr>
        <w:t>甲方无正当理由拒收接受服务的，甲方向乙方偿付合同款项5%作为违约金。</w:t>
      </w:r>
    </w:p>
    <w:p>
      <w:pPr>
        <w:numPr>
          <w:ilvl w:val="0"/>
          <w:numId w:val="3"/>
        </w:numPr>
        <w:adjustRightInd w:val="0"/>
        <w:snapToGrid w:val="0"/>
        <w:spacing w:line="460" w:lineRule="exact"/>
        <w:rPr>
          <w:rFonts w:ascii="宋体" w:hAnsi="宋体" w:cs="宋体"/>
          <w:szCs w:val="21"/>
        </w:rPr>
      </w:pPr>
      <w:r>
        <w:rPr>
          <w:rFonts w:hint="eastAsia" w:ascii="宋体" w:hAnsi="宋体" w:cs="宋体"/>
          <w:szCs w:val="21"/>
        </w:rPr>
        <w:t>乙方未能如期提供服务的，每日向甲方支付合同款项的千分之一作为违约金。乙方超过约定日期20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460" w:lineRule="exact"/>
        <w:rPr>
          <w:rFonts w:ascii="宋体" w:hAnsi="宋体" w:cs="宋体"/>
          <w:b/>
          <w:szCs w:val="21"/>
        </w:rPr>
      </w:pPr>
      <w:r>
        <w:rPr>
          <w:rFonts w:hint="eastAsia" w:ascii="宋体" w:hAnsi="宋体" w:cs="宋体"/>
          <w:b/>
          <w:szCs w:val="21"/>
        </w:rPr>
        <w:t>十三、不可抗力事件处理</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pPr>
        <w:adjustRightInd w:val="0"/>
        <w:snapToGrid w:val="0"/>
        <w:spacing w:line="460" w:lineRule="exact"/>
        <w:jc w:val="left"/>
        <w:rPr>
          <w:rFonts w:ascii="宋体" w:hAnsi="宋体" w:cs="宋体"/>
          <w:b/>
          <w:szCs w:val="21"/>
        </w:rPr>
      </w:pPr>
      <w:r>
        <w:rPr>
          <w:rFonts w:hint="eastAsia" w:ascii="宋体" w:hAnsi="宋体" w:cs="宋体"/>
          <w:b/>
          <w:szCs w:val="21"/>
        </w:rPr>
        <w:t>十四、诉讼</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双方在执行合同中所发生的一切争议，应通过协商解决。如协商不成，可向合同签订地法院起诉，合同签订地在此约定为</w:t>
      </w:r>
      <w:r>
        <w:rPr>
          <w:rFonts w:hint="eastAsia" w:ascii="宋体" w:hAnsi="宋体" w:cs="宋体"/>
          <w:szCs w:val="21"/>
          <w:u w:val="single"/>
        </w:rPr>
        <w:t>宁波高新区</w:t>
      </w:r>
      <w:r>
        <w:rPr>
          <w:rFonts w:hint="eastAsia" w:ascii="宋体" w:hAnsi="宋体" w:cs="宋体"/>
          <w:szCs w:val="21"/>
        </w:rPr>
        <w:t>。</w:t>
      </w:r>
    </w:p>
    <w:p>
      <w:pPr>
        <w:adjustRightInd w:val="0"/>
        <w:snapToGrid w:val="0"/>
        <w:spacing w:line="460" w:lineRule="exact"/>
        <w:jc w:val="left"/>
        <w:rPr>
          <w:rFonts w:ascii="宋体" w:hAnsi="宋体" w:cs="宋体"/>
          <w:b/>
          <w:szCs w:val="21"/>
        </w:rPr>
      </w:pPr>
      <w:r>
        <w:rPr>
          <w:rFonts w:hint="eastAsia" w:ascii="宋体" w:hAnsi="宋体" w:cs="宋体"/>
          <w:b/>
          <w:szCs w:val="21"/>
        </w:rPr>
        <w:t>十五、合同生效及其它</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1.合同经双方法定代表人或授权委托代理人签字并加盖单位公章后生效。</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2.合同执行中涉及采购资金和采购内容修改或补充的，签书面补充协议，并作为主合同不可分割的一部分。</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3.本合同未尽事宜，遵照《民法典》有关条文执行。</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4.本合同正本一式份，具有同等法律效力，甲乙双方各执壹份；备案</w:t>
      </w:r>
      <w:r>
        <w:rPr>
          <w:rFonts w:hint="eastAsia" w:ascii="宋体" w:hAnsi="宋体" w:cs="宋体"/>
          <w:szCs w:val="21"/>
          <w:u w:val="single"/>
        </w:rPr>
        <w:t xml:space="preserve"> 壹 </w:t>
      </w:r>
      <w:r>
        <w:rPr>
          <w:rFonts w:hint="eastAsia" w:ascii="宋体" w:hAnsi="宋体" w:cs="宋体"/>
          <w:szCs w:val="21"/>
        </w:rPr>
        <w:t>份。</w:t>
      </w:r>
    </w:p>
    <w:p>
      <w:pPr>
        <w:rPr>
          <w:szCs w:val="21"/>
        </w:rPr>
      </w:pPr>
    </w:p>
    <w:p>
      <w:pPr>
        <w:rPr>
          <w:szCs w:val="21"/>
        </w:rPr>
      </w:pPr>
    </w:p>
    <w:p>
      <w:pPr>
        <w:ind w:firstLine="420" w:firstLineChars="200"/>
        <w:rPr>
          <w:szCs w:val="21"/>
        </w:rPr>
      </w:pPr>
    </w:p>
    <w:p>
      <w:pPr>
        <w:adjustRightInd w:val="0"/>
        <w:snapToGrid w:val="0"/>
        <w:spacing w:line="460" w:lineRule="exact"/>
        <w:rPr>
          <w:rFonts w:ascii="宋体" w:hAnsi="宋体" w:cs="宋体"/>
          <w:szCs w:val="21"/>
        </w:rPr>
      </w:pPr>
      <w:r>
        <w:rPr>
          <w:rFonts w:hint="eastAsia" w:ascii="宋体" w:hAnsi="宋体" w:cs="宋体"/>
          <w:szCs w:val="21"/>
        </w:rPr>
        <w:t xml:space="preserve">甲方：                                      乙方： </w:t>
      </w:r>
    </w:p>
    <w:p>
      <w:pPr>
        <w:adjustRightInd w:val="0"/>
        <w:snapToGrid w:val="0"/>
        <w:spacing w:line="460" w:lineRule="exact"/>
        <w:rPr>
          <w:rFonts w:ascii="宋体" w:hAnsi="宋体" w:cs="宋体"/>
          <w:szCs w:val="21"/>
        </w:rPr>
      </w:pPr>
      <w:r>
        <w:rPr>
          <w:rFonts w:hint="eastAsia" w:ascii="宋体" w:hAnsi="宋体" w:cs="宋体"/>
          <w:szCs w:val="21"/>
        </w:rPr>
        <w:t xml:space="preserve">地址：                                     地址： </w:t>
      </w:r>
    </w:p>
    <w:p>
      <w:pPr>
        <w:adjustRightInd w:val="0"/>
        <w:snapToGrid w:val="0"/>
        <w:spacing w:line="460" w:lineRule="exact"/>
        <w:rPr>
          <w:rFonts w:ascii="宋体" w:hAnsi="宋体" w:cs="宋体"/>
          <w:szCs w:val="21"/>
        </w:rPr>
      </w:pPr>
      <w:r>
        <w:rPr>
          <w:rFonts w:hint="eastAsia" w:ascii="宋体" w:hAnsi="宋体" w:cs="宋体"/>
          <w:szCs w:val="21"/>
        </w:rPr>
        <w:t>法定（或授权）代表人：                     法定（或授权）代表人：</w:t>
      </w:r>
    </w:p>
    <w:p>
      <w:pPr>
        <w:adjustRightInd w:val="0"/>
        <w:snapToGrid w:val="0"/>
        <w:spacing w:line="460" w:lineRule="exact"/>
        <w:rPr>
          <w:rFonts w:ascii="宋体" w:hAnsi="宋体" w:cs="宋体"/>
          <w:szCs w:val="21"/>
        </w:rPr>
      </w:pPr>
      <w:r>
        <w:rPr>
          <w:rFonts w:hint="eastAsia" w:ascii="宋体" w:hAnsi="宋体" w:cs="宋体"/>
          <w:szCs w:val="21"/>
        </w:rPr>
        <w:t xml:space="preserve">电    话：                                 电    话： </w:t>
      </w:r>
    </w:p>
    <w:p>
      <w:pPr>
        <w:adjustRightInd w:val="0"/>
        <w:snapToGrid w:val="0"/>
        <w:spacing w:line="460" w:lineRule="exact"/>
        <w:rPr>
          <w:rFonts w:ascii="宋体" w:hAnsi="宋体" w:cs="宋体"/>
          <w:szCs w:val="21"/>
        </w:rPr>
      </w:pPr>
      <w:r>
        <w:rPr>
          <w:rFonts w:hint="eastAsia" w:ascii="宋体" w:hAnsi="宋体" w:cs="宋体"/>
          <w:szCs w:val="21"/>
        </w:rPr>
        <w:t>签字日期：      年  月  日                 签字日期：      年  月  日</w:t>
      </w:r>
    </w:p>
    <w:p>
      <w:pPr>
        <w:adjustRightInd w:val="0"/>
        <w:snapToGrid w:val="0"/>
        <w:spacing w:line="460" w:lineRule="exact"/>
        <w:rPr>
          <w:rFonts w:ascii="宋体" w:hAnsi="宋体" w:cs="宋体"/>
          <w:szCs w:val="21"/>
        </w:rPr>
      </w:pPr>
      <w:r>
        <w:rPr>
          <w:rFonts w:hint="eastAsia" w:ascii="宋体" w:hAnsi="宋体" w:cs="宋体"/>
          <w:szCs w:val="21"/>
        </w:rPr>
        <w:t xml:space="preserve">签字地点：     </w:t>
      </w:r>
    </w:p>
    <w:p>
      <w:pPr>
        <w:adjustRightInd w:val="0"/>
        <w:snapToGrid w:val="0"/>
        <w:spacing w:line="460" w:lineRule="exact"/>
        <w:rPr>
          <w:rFonts w:ascii="宋体" w:hAnsi="宋体" w:cs="宋体"/>
          <w:szCs w:val="21"/>
        </w:rPr>
      </w:pPr>
    </w:p>
    <w:p>
      <w:pPr>
        <w:adjustRightInd w:val="0"/>
        <w:snapToGrid w:val="0"/>
        <w:spacing w:line="460" w:lineRule="exact"/>
        <w:rPr>
          <w:rFonts w:ascii="宋体" w:hAnsi="宋体" w:cs="宋体"/>
          <w:szCs w:val="21"/>
        </w:rPr>
      </w:pPr>
      <w:r>
        <w:rPr>
          <w:rFonts w:hint="eastAsia" w:ascii="宋体" w:hAnsi="宋体" w:cs="宋体"/>
          <w:szCs w:val="21"/>
        </w:rPr>
        <w:t>合同见证方：</w:t>
      </w:r>
    </w:p>
    <w:p>
      <w:pPr>
        <w:adjustRightInd w:val="0"/>
        <w:snapToGrid w:val="0"/>
        <w:spacing w:line="400" w:lineRule="exact"/>
        <w:rPr>
          <w:rFonts w:ascii="宋体" w:hAnsi="宋体" w:cs="宋体"/>
          <w:szCs w:val="21"/>
        </w:rPr>
      </w:pPr>
      <w:r>
        <w:rPr>
          <w:rFonts w:hint="eastAsia" w:ascii="宋体" w:hAnsi="宋体" w:cs="宋体"/>
          <w:szCs w:val="21"/>
        </w:rPr>
        <w:t>地址：</w:t>
      </w:r>
    </w:p>
    <w:p>
      <w:pPr>
        <w:pStyle w:val="41"/>
        <w:widowControl/>
        <w:jc w:val="left"/>
      </w:pPr>
      <w:r>
        <w:br w:type="page"/>
      </w:r>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r>
        <w:rPr>
          <w:rFonts w:ascii="宋体" w:hAnsi="宋体" w:cs="宋体"/>
          <w:b/>
          <w:szCs w:val="21"/>
        </w:rPr>
        <w:t>标项</w:t>
      </w:r>
      <w:r>
        <w:rPr>
          <w:rFonts w:hint="eastAsia" w:ascii="宋体" w:hAnsi="宋体" w:cs="宋体"/>
          <w:b/>
          <w:szCs w:val="21"/>
        </w:rPr>
        <w:t>二</w:t>
      </w:r>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r>
        <w:rPr>
          <w:rFonts w:hint="eastAsia" w:ascii="宋体" w:hAnsi="宋体" w:cs="宋体"/>
          <w:b/>
          <w:szCs w:val="21"/>
        </w:rPr>
        <w:t>项目编号：</w:t>
      </w:r>
      <w:r>
        <w:rPr>
          <w:rFonts w:ascii="宋体" w:hAnsi="宋体" w:cs="宋体"/>
          <w:b/>
          <w:szCs w:val="21"/>
        </w:rPr>
        <w:t>NBGZZB322091</w:t>
      </w:r>
    </w:p>
    <w:p>
      <w:pPr>
        <w:pBdr>
          <w:bottom w:val="single" w:color="auto" w:sz="2" w:space="1"/>
        </w:pBdr>
        <w:tabs>
          <w:tab w:val="left" w:pos="3640"/>
        </w:tabs>
        <w:adjustRightInd w:val="0"/>
        <w:snapToGrid w:val="0"/>
        <w:spacing w:line="460" w:lineRule="exact"/>
        <w:ind w:left="4469" w:hanging="4469"/>
        <w:jc w:val="left"/>
        <w:rPr>
          <w:rFonts w:ascii="宋体" w:hAnsi="宋体" w:cs="宋体"/>
          <w:b/>
          <w:szCs w:val="21"/>
        </w:rPr>
      </w:pPr>
      <w:r>
        <w:rPr>
          <w:rFonts w:hint="eastAsia" w:ascii="宋体" w:hAnsi="宋体" w:cs="宋体"/>
          <w:b/>
          <w:szCs w:val="21"/>
        </w:rPr>
        <w:t>项目名称：</w:t>
      </w:r>
      <w:r>
        <w:rPr>
          <w:rFonts w:hint="eastAsia" w:ascii="宋体" w:hAnsi="宋体" w:cs="宋体"/>
          <w:szCs w:val="21"/>
        </w:rPr>
        <w:t xml:space="preserve">高新区排水管网信息化管理平台（二期） </w:t>
      </w:r>
    </w:p>
    <w:p>
      <w:pPr>
        <w:adjustRightInd w:val="0"/>
        <w:snapToGrid w:val="0"/>
        <w:spacing w:line="460" w:lineRule="exact"/>
        <w:rPr>
          <w:rFonts w:ascii="宋体" w:hAnsi="宋体" w:cs="宋体"/>
          <w:b/>
          <w:szCs w:val="21"/>
        </w:rPr>
      </w:pPr>
      <w:r>
        <w:rPr>
          <w:rFonts w:hint="eastAsia" w:ascii="宋体" w:hAnsi="宋体" w:cs="宋体"/>
          <w:b/>
          <w:szCs w:val="21"/>
        </w:rPr>
        <w:t>甲方（发包人）：</w:t>
      </w:r>
    </w:p>
    <w:p>
      <w:pPr>
        <w:pBdr>
          <w:bottom w:val="single" w:color="auto" w:sz="2" w:space="1"/>
        </w:pBdr>
        <w:adjustRightInd w:val="0"/>
        <w:snapToGrid w:val="0"/>
        <w:spacing w:line="460" w:lineRule="exact"/>
        <w:rPr>
          <w:rFonts w:ascii="宋体" w:hAnsi="宋体" w:cs="宋体"/>
          <w:b/>
          <w:szCs w:val="21"/>
        </w:rPr>
      </w:pPr>
      <w:r>
        <w:rPr>
          <w:rFonts w:hint="eastAsia" w:ascii="宋体" w:hAnsi="宋体" w:cs="宋体"/>
          <w:b/>
          <w:szCs w:val="21"/>
        </w:rPr>
        <w:t>乙方（承包人）：</w:t>
      </w:r>
    </w:p>
    <w:p>
      <w:pPr>
        <w:adjustRightInd w:val="0"/>
        <w:snapToGrid w:val="0"/>
        <w:spacing w:line="460" w:lineRule="exact"/>
        <w:ind w:firstLine="420"/>
        <w:jc w:val="left"/>
        <w:rPr>
          <w:rFonts w:ascii="宋体" w:hAnsi="宋体" w:cs="宋体"/>
          <w:szCs w:val="21"/>
        </w:rPr>
      </w:pPr>
      <w:r>
        <w:rPr>
          <w:rFonts w:hint="eastAsia" w:ascii="宋体" w:hAnsi="宋体" w:cs="宋体"/>
          <w:bCs/>
          <w:szCs w:val="21"/>
        </w:rPr>
        <w:t>根据《</w:t>
      </w:r>
      <w:r>
        <w:rPr>
          <w:rFonts w:hint="eastAsia" w:ascii="宋体" w:hAnsi="宋体" w:cs="宋体"/>
          <w:szCs w:val="21"/>
        </w:rPr>
        <w:t>中华人民共和国</w:t>
      </w:r>
      <w:r>
        <w:rPr>
          <w:rFonts w:hint="eastAsia" w:ascii="宋体" w:hAnsi="宋体" w:cs="宋体"/>
          <w:bCs/>
          <w:szCs w:val="21"/>
        </w:rPr>
        <w:t>民法典》和相关法律、法规及</w:t>
      </w:r>
      <w:r>
        <w:rPr>
          <w:rFonts w:hint="eastAsia" w:ascii="宋体" w:hAnsi="宋体" w:cs="宋体"/>
          <w:bCs/>
          <w:szCs w:val="21"/>
          <w:u w:val="single"/>
        </w:rPr>
        <w:t>高新区排水管网信息化管理平台（二期）（项目编号：</w:t>
      </w:r>
      <w:r>
        <w:rPr>
          <w:rFonts w:ascii="宋体" w:hAnsi="宋体" w:cs="宋体"/>
          <w:bCs/>
          <w:szCs w:val="21"/>
          <w:u w:val="single"/>
        </w:rPr>
        <w:t>NBGZZB322091</w:t>
      </w:r>
      <w:r>
        <w:rPr>
          <w:rFonts w:hint="eastAsia" w:ascii="宋体" w:hAnsi="宋体" w:cs="宋体"/>
          <w:bCs/>
          <w:szCs w:val="21"/>
          <w:u w:val="single"/>
        </w:rPr>
        <w:t>）标项二</w:t>
      </w:r>
      <w:r>
        <w:rPr>
          <w:rFonts w:hint="eastAsia" w:ascii="宋体" w:hAnsi="宋体" w:cs="宋体"/>
          <w:szCs w:val="21"/>
        </w:rPr>
        <w:t>公开采购的</w:t>
      </w:r>
      <w:r>
        <w:rPr>
          <w:rFonts w:hint="eastAsia" w:ascii="宋体" w:hAnsi="宋体" w:cs="宋体"/>
          <w:bCs/>
          <w:szCs w:val="21"/>
        </w:rPr>
        <w:t>结果，在自愿、平等、协商一致的基础上，订立本合同。</w:t>
      </w:r>
    </w:p>
    <w:p>
      <w:pPr>
        <w:numPr>
          <w:ilvl w:val="0"/>
          <w:numId w:val="4"/>
        </w:numPr>
        <w:adjustRightInd w:val="0"/>
        <w:snapToGrid w:val="0"/>
        <w:spacing w:line="460" w:lineRule="exact"/>
        <w:rPr>
          <w:rFonts w:ascii="宋体" w:hAnsi="宋体" w:cs="宋体"/>
          <w:b/>
          <w:bCs/>
          <w:color w:val="000000"/>
          <w:szCs w:val="21"/>
        </w:rPr>
      </w:pPr>
      <w:r>
        <w:rPr>
          <w:rFonts w:hint="eastAsia" w:ascii="宋体" w:hAnsi="宋体" w:cs="宋体"/>
          <w:b/>
          <w:bCs/>
          <w:color w:val="000000"/>
          <w:szCs w:val="21"/>
        </w:rPr>
        <w:t>建设内容</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建设内容主要包括硬件采购、应用软件系统开发、数据资源建设和网络传输建设。</w:t>
      </w:r>
      <w:r>
        <w:rPr>
          <w:rFonts w:hint="eastAsia" w:ascii="宋体" w:hAnsi="宋体" w:cs="宋体"/>
          <w:bCs/>
          <w:szCs w:val="21"/>
        </w:rPr>
        <w:tab/>
      </w:r>
      <w:r>
        <w:rPr>
          <w:rFonts w:hint="eastAsia" w:ascii="宋体" w:hAnsi="宋体" w:cs="宋体"/>
          <w:bCs/>
          <w:szCs w:val="21"/>
        </w:rPr>
        <w:t>硬件购置4类综合监控监测前端感知设备：包含电导率监测设备 250台、沿河排水口水质监测设备10台、河道水位监测设备20台、河道断面水质监测设备2台，包含硬件安装和系统调试。</w:t>
      </w:r>
    </w:p>
    <w:p>
      <w:pPr>
        <w:widowControl/>
        <w:adjustRightInd w:val="0"/>
        <w:snapToGrid w:val="0"/>
        <w:spacing w:line="460" w:lineRule="exact"/>
        <w:ind w:firstLine="420"/>
        <w:jc w:val="left"/>
        <w:rPr>
          <w:rFonts w:ascii="宋体" w:hAnsi="宋体" w:cs="宋体"/>
          <w:bCs/>
          <w:szCs w:val="21"/>
        </w:rPr>
      </w:pPr>
      <w:r>
        <w:rPr>
          <w:rFonts w:hint="eastAsia" w:ascii="宋体" w:hAnsi="宋体" w:cs="宋体"/>
          <w:bCs/>
          <w:szCs w:val="21"/>
        </w:rPr>
        <w:t>应用软件系统开发包含治水一张图、监测一张网、智慧排水业务等功能的优化。</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数据资源建设包括数据治理。</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网络传输建设包括物联网卡流量的购置。</w:t>
      </w:r>
    </w:p>
    <w:p>
      <w:pPr>
        <w:adjustRightInd w:val="0"/>
        <w:snapToGrid w:val="0"/>
        <w:spacing w:line="460" w:lineRule="exact"/>
        <w:ind w:firstLine="420"/>
        <w:jc w:val="left"/>
        <w:rPr>
          <w:rFonts w:ascii="宋体" w:hAnsi="宋体" w:cs="宋体"/>
          <w:bCs/>
          <w:szCs w:val="21"/>
        </w:rPr>
      </w:pPr>
      <w:r>
        <w:rPr>
          <w:rFonts w:hint="eastAsia" w:ascii="宋体" w:hAnsi="宋体" w:cs="宋体"/>
          <w:bCs/>
          <w:szCs w:val="21"/>
        </w:rPr>
        <w:t>项目免费质保及运行维护期1年，自项目验收合格之日起算。服务范围包括日常维保服务、主要应用软、硬件系统维保服务、信息化建设咨询服务等。</w:t>
      </w:r>
    </w:p>
    <w:p>
      <w:pPr>
        <w:adjustRightInd w:val="0"/>
        <w:snapToGrid w:val="0"/>
        <w:spacing w:line="460" w:lineRule="exact"/>
        <w:jc w:val="left"/>
        <w:rPr>
          <w:rFonts w:ascii="宋体" w:hAnsi="宋体" w:cs="宋体"/>
          <w:b/>
          <w:szCs w:val="21"/>
        </w:rPr>
      </w:pPr>
      <w:r>
        <w:rPr>
          <w:rFonts w:hint="eastAsia" w:ascii="宋体" w:hAnsi="宋体" w:cs="宋体"/>
          <w:b/>
          <w:szCs w:val="21"/>
        </w:rPr>
        <w:t>二、合同金额</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1.本合同金额为（大写）：_________________元（¥________元）人民币；</w:t>
      </w:r>
    </w:p>
    <w:tbl>
      <w:tblPr>
        <w:tblStyle w:val="42"/>
        <w:tblW w:w="85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2"/>
        <w:gridCol w:w="3060"/>
        <w:gridCol w:w="44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序号</w:t>
            </w:r>
          </w:p>
        </w:tc>
        <w:tc>
          <w:tcPr>
            <w:tcW w:w="306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服务内容</w:t>
            </w:r>
          </w:p>
        </w:tc>
        <w:tc>
          <w:tcPr>
            <w:tcW w:w="4485"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金额小计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1</w:t>
            </w:r>
          </w:p>
        </w:tc>
        <w:tc>
          <w:tcPr>
            <w:tcW w:w="3060" w:type="dxa"/>
            <w:vAlign w:val="center"/>
          </w:tcPr>
          <w:p>
            <w:pPr>
              <w:adjustRightInd w:val="0"/>
              <w:snapToGrid w:val="0"/>
              <w:spacing w:line="460" w:lineRule="exact"/>
              <w:jc w:val="center"/>
              <w:rPr>
                <w:rFonts w:ascii="宋体" w:hAnsi="宋体" w:cs="宋体"/>
                <w:szCs w:val="21"/>
              </w:rPr>
            </w:pPr>
          </w:p>
        </w:tc>
        <w:tc>
          <w:tcPr>
            <w:tcW w:w="4485" w:type="dxa"/>
          </w:tcPr>
          <w:p>
            <w:pPr>
              <w:widowControl/>
              <w:adjustRightInd w:val="0"/>
              <w:snapToGrid w:val="0"/>
              <w:spacing w:line="460" w:lineRule="exact"/>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962" w:type="dxa"/>
            <w:vAlign w:val="center"/>
          </w:tcPr>
          <w:p>
            <w:pPr>
              <w:widowControl/>
              <w:adjustRightInd w:val="0"/>
              <w:snapToGrid w:val="0"/>
              <w:spacing w:line="460" w:lineRule="exact"/>
              <w:jc w:val="center"/>
              <w:rPr>
                <w:rFonts w:ascii="宋体" w:hAnsi="宋体" w:cs="宋体"/>
                <w:b/>
                <w:bCs/>
                <w:szCs w:val="21"/>
              </w:rPr>
            </w:pPr>
            <w:r>
              <w:rPr>
                <w:rFonts w:ascii="宋体" w:hAnsi="宋体" w:cs="宋体"/>
                <w:b/>
                <w:bCs/>
                <w:szCs w:val="21"/>
              </w:rPr>
              <w:t>2</w:t>
            </w:r>
          </w:p>
        </w:tc>
        <w:tc>
          <w:tcPr>
            <w:tcW w:w="306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合计（即合同金额）</w:t>
            </w:r>
          </w:p>
        </w:tc>
        <w:tc>
          <w:tcPr>
            <w:tcW w:w="4485" w:type="dxa"/>
          </w:tcPr>
          <w:p>
            <w:pPr>
              <w:widowControl/>
              <w:adjustRightInd w:val="0"/>
              <w:snapToGrid w:val="0"/>
              <w:spacing w:line="460" w:lineRule="exact"/>
              <w:rPr>
                <w:rFonts w:ascii="宋体" w:hAnsi="宋体" w:cs="宋体"/>
                <w:szCs w:val="21"/>
              </w:rPr>
            </w:pPr>
          </w:p>
        </w:tc>
      </w:tr>
    </w:tbl>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2.上述合同金额</w:t>
      </w:r>
      <w:r>
        <w:rPr>
          <w:rFonts w:hint="eastAsia" w:ascii="宋体" w:hAnsi="宋体" w:cs="宋体"/>
          <w:bCs/>
          <w:szCs w:val="21"/>
        </w:rPr>
        <w:t>包括但不限于需求调研、系统设计、系统建设、硬件设备投入、软件投入、测试、检测、验收、培训、报告出具，质保及运行维护期内的硬件保修、系统升级、现场及远程技术支持服务、运维服务以及相关配套人工费、材料费，管理费、税金、采购代理费等一切费用。</w:t>
      </w:r>
    </w:p>
    <w:p>
      <w:pPr>
        <w:adjustRightInd w:val="0"/>
        <w:snapToGrid w:val="0"/>
        <w:spacing w:line="460" w:lineRule="exact"/>
        <w:jc w:val="left"/>
        <w:rPr>
          <w:rFonts w:ascii="宋体" w:hAnsi="宋体" w:cs="宋体"/>
          <w:b/>
          <w:szCs w:val="21"/>
        </w:rPr>
      </w:pPr>
      <w:r>
        <w:rPr>
          <w:rFonts w:hint="eastAsia" w:ascii="宋体" w:hAnsi="宋体" w:cs="宋体"/>
          <w:b/>
          <w:szCs w:val="21"/>
        </w:rPr>
        <w:t>三、组成合同的文件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1.本合同协议书；</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2.中标通知书；</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3.投标书及其附件；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4.招标文件；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5.标准、规范及有关技术文件；</w:t>
      </w:r>
    </w:p>
    <w:p>
      <w:pPr>
        <w:adjustRightInd w:val="0"/>
        <w:snapToGrid w:val="0"/>
        <w:spacing w:line="460" w:lineRule="exact"/>
        <w:ind w:left="105" w:leftChars="50" w:firstLine="420" w:firstLineChars="200"/>
        <w:rPr>
          <w:rFonts w:ascii="宋体" w:hAnsi="宋体" w:cs="宋体"/>
          <w:kern w:val="16"/>
          <w:szCs w:val="21"/>
        </w:rPr>
      </w:pPr>
      <w:r>
        <w:rPr>
          <w:rFonts w:hint="eastAsia" w:ascii="宋体" w:hAnsi="宋体" w:cs="宋体"/>
          <w:kern w:val="16"/>
          <w:szCs w:val="21"/>
        </w:rPr>
        <w:t>6.图纸（如有）。</w:t>
      </w:r>
    </w:p>
    <w:p>
      <w:pPr>
        <w:adjustRightInd w:val="0"/>
        <w:snapToGrid w:val="0"/>
        <w:spacing w:line="460" w:lineRule="exact"/>
        <w:ind w:left="105" w:leftChars="50" w:firstLine="420" w:firstLineChars="200"/>
        <w:rPr>
          <w:rFonts w:ascii="宋体" w:hAnsi="宋体" w:cs="宋体"/>
          <w:szCs w:val="21"/>
        </w:rPr>
      </w:pPr>
      <w:r>
        <w:rPr>
          <w:rFonts w:hint="eastAsia" w:ascii="宋体" w:hAnsi="宋体" w:cs="宋体"/>
          <w:szCs w:val="21"/>
        </w:rPr>
        <w:t>有关甲乙双方洽商、变更等书面协议或文件均视为本合同组成部分。</w:t>
      </w:r>
    </w:p>
    <w:p>
      <w:pPr>
        <w:adjustRightInd w:val="0"/>
        <w:snapToGrid w:val="0"/>
        <w:spacing w:line="460" w:lineRule="exact"/>
        <w:rPr>
          <w:rFonts w:ascii="宋体" w:hAnsi="宋体" w:cs="宋体"/>
          <w:b/>
          <w:szCs w:val="21"/>
        </w:rPr>
      </w:pPr>
      <w:r>
        <w:rPr>
          <w:rFonts w:hint="eastAsia" w:ascii="宋体" w:hAnsi="宋体" w:cs="宋体"/>
          <w:b/>
          <w:szCs w:val="21"/>
        </w:rPr>
        <w:t>四、技术资料</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1.乙方应按招标文件规定的时间向甲方提供服务的台账或记录等相关资料。</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没有甲方事先书面同意，乙方不得将由甲方提供的有关合同或任何合同条文、计划、图纸或其他资料提供给与履行本合同无关的任何其他人。即使向履行本合同有关的人员提供，也应注意保密并限于履行合同的必需范围。</w:t>
      </w:r>
    </w:p>
    <w:p>
      <w:pPr>
        <w:adjustRightInd w:val="0"/>
        <w:snapToGrid w:val="0"/>
        <w:spacing w:line="460" w:lineRule="exact"/>
        <w:ind w:left="360" w:hanging="361" w:hangingChars="171"/>
        <w:rPr>
          <w:rFonts w:ascii="宋体" w:hAnsi="宋体" w:cs="宋体"/>
          <w:b/>
          <w:szCs w:val="21"/>
        </w:rPr>
      </w:pPr>
      <w:r>
        <w:rPr>
          <w:rFonts w:hint="eastAsia" w:ascii="宋体" w:hAnsi="宋体" w:cs="宋体"/>
          <w:b/>
          <w:szCs w:val="21"/>
        </w:rPr>
        <w:t>五、知识产权</w:t>
      </w:r>
    </w:p>
    <w:p>
      <w:pPr>
        <w:adjustRightInd w:val="0"/>
        <w:snapToGrid w:val="0"/>
        <w:spacing w:line="460" w:lineRule="exact"/>
        <w:ind w:left="105" w:leftChars="50" w:firstLine="420" w:firstLineChars="200"/>
        <w:jc w:val="left"/>
        <w:rPr>
          <w:rFonts w:ascii="宋体" w:hAnsi="宋体" w:cs="宋体"/>
          <w:b/>
          <w:szCs w:val="21"/>
        </w:rPr>
      </w:pPr>
      <w:r>
        <w:rPr>
          <w:rFonts w:hint="eastAsia" w:ascii="宋体" w:hAnsi="宋体" w:cs="宋体"/>
          <w:szCs w:val="21"/>
        </w:rPr>
        <w:t>1.乙方应保证所提供的货物或其任何一部分均不会侵犯任何第三方的知识产权</w:t>
      </w:r>
      <w:r>
        <w:rPr>
          <w:rFonts w:hint="eastAsia" w:ascii="宋体" w:hAnsi="宋体" w:cs="宋体"/>
          <w:bCs/>
          <w:szCs w:val="21"/>
        </w:rPr>
        <w:t>。</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2.乙方保证所交付的货物的所有权完全属于乙方且无任何抵押、查封等产权瑕疵。</w:t>
      </w:r>
    </w:p>
    <w:p>
      <w:pPr>
        <w:adjustRightInd w:val="0"/>
        <w:snapToGrid w:val="0"/>
        <w:spacing w:line="460" w:lineRule="exact"/>
        <w:ind w:left="105" w:leftChars="50"/>
        <w:jc w:val="left"/>
        <w:rPr>
          <w:rFonts w:ascii="宋体" w:hAnsi="宋体" w:cs="宋体"/>
          <w:b/>
          <w:szCs w:val="21"/>
        </w:rPr>
      </w:pPr>
      <w:r>
        <w:rPr>
          <w:rFonts w:hint="eastAsia" w:ascii="宋体" w:hAnsi="宋体" w:cs="宋体"/>
          <w:b/>
          <w:szCs w:val="21"/>
        </w:rPr>
        <w:t>六、履约保证金：</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1.在合同签订后</w:t>
      </w:r>
      <w:r>
        <w:rPr>
          <w:rFonts w:hint="eastAsia" w:ascii="宋体" w:hAnsi="宋体" w:cs="宋体"/>
          <w:szCs w:val="21"/>
          <w:u w:val="single"/>
        </w:rPr>
        <w:t xml:space="preserve"> 10 </w:t>
      </w:r>
      <w:r>
        <w:rPr>
          <w:rFonts w:hint="eastAsia" w:ascii="宋体" w:hAnsi="宋体" w:cs="宋体"/>
          <w:szCs w:val="21"/>
        </w:rPr>
        <w:t>个工作日内，乙方应向甲方支付</w:t>
      </w:r>
      <w:r>
        <w:rPr>
          <w:rFonts w:hint="eastAsia" w:ascii="宋体" w:hAnsi="宋体" w:cs="宋体"/>
          <w:szCs w:val="21"/>
          <w:u w:val="single"/>
        </w:rPr>
        <w:t xml:space="preserve">人民币      </w:t>
      </w:r>
      <w:r>
        <w:rPr>
          <w:rFonts w:hint="eastAsia" w:ascii="宋体" w:hAnsi="宋体" w:cs="宋体"/>
          <w:szCs w:val="21"/>
        </w:rPr>
        <w:t xml:space="preserve">的履约保证金，作为乙方认真履行合同条款的保证；       </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2.履约保证金形式：支票、汇票、本票或者金融机构、担保机构出具的保函等非现金形式提交；</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3.履约保证金的退还：项目验收合格后十日内退还，但如乙方未履行或未完全履行合同规定的任何义务，给甲方造成损失的，甲方有权在其提交的履约保证金中获得相应赔偿，不足部分甲方有权继续向乙方追偿。</w:t>
      </w:r>
    </w:p>
    <w:p>
      <w:pPr>
        <w:adjustRightInd w:val="0"/>
        <w:snapToGrid w:val="0"/>
        <w:spacing w:line="460" w:lineRule="exact"/>
        <w:rPr>
          <w:rFonts w:ascii="宋体" w:hAnsi="宋体" w:cs="宋体"/>
          <w:b/>
          <w:szCs w:val="21"/>
        </w:rPr>
      </w:pPr>
      <w:r>
        <w:rPr>
          <w:rFonts w:hint="eastAsia" w:ascii="宋体" w:hAnsi="宋体" w:cs="宋体"/>
          <w:b/>
          <w:szCs w:val="21"/>
        </w:rPr>
        <w:t>七、转包或分包</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1.本合同范围的服务，应由乙方直接供应，不得转让他人供应；</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2.除非得到甲方的书面同意，乙方不得将本合同范围的服务全部或部分分包给他人供应；</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3.如有转让和未经甲方同意的分包行为，甲方有权解除合同，没收履约保证金并追究乙方的违约责任。</w:t>
      </w:r>
    </w:p>
    <w:p>
      <w:pPr>
        <w:adjustRightInd w:val="0"/>
        <w:snapToGrid w:val="0"/>
        <w:spacing w:line="460" w:lineRule="exact"/>
        <w:rPr>
          <w:rFonts w:ascii="宋体" w:hAnsi="宋体" w:cs="宋体"/>
          <w:b/>
          <w:szCs w:val="21"/>
        </w:rPr>
      </w:pPr>
      <w:r>
        <w:rPr>
          <w:rFonts w:hint="eastAsia" w:ascii="宋体" w:hAnsi="宋体" w:cs="宋体"/>
          <w:b/>
          <w:szCs w:val="21"/>
        </w:rPr>
        <w:t>八、合同履行时间、履行方式及履行地点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1.履行时间：</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2.履行方式：</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3.履行地点：</w:t>
      </w:r>
    </w:p>
    <w:p>
      <w:pPr>
        <w:adjustRightInd w:val="0"/>
        <w:snapToGrid w:val="0"/>
        <w:spacing w:line="460" w:lineRule="exact"/>
        <w:rPr>
          <w:rFonts w:ascii="宋体" w:hAnsi="宋体" w:cs="宋体"/>
          <w:b/>
          <w:szCs w:val="21"/>
        </w:rPr>
      </w:pPr>
      <w:r>
        <w:rPr>
          <w:rFonts w:hint="eastAsia" w:ascii="宋体" w:hAnsi="宋体" w:cs="宋体"/>
          <w:b/>
          <w:szCs w:val="21"/>
        </w:rPr>
        <w:t>九、付款方式</w:t>
      </w:r>
    </w:p>
    <w:tbl>
      <w:tblPr>
        <w:tblStyle w:val="42"/>
        <w:tblW w:w="875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1740"/>
        <w:gridCol w:w="62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731"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序号</w:t>
            </w:r>
          </w:p>
        </w:tc>
        <w:tc>
          <w:tcPr>
            <w:tcW w:w="1740"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服务内容</w:t>
            </w:r>
          </w:p>
        </w:tc>
        <w:tc>
          <w:tcPr>
            <w:tcW w:w="6279" w:type="dxa"/>
            <w:vAlign w:val="center"/>
          </w:tcPr>
          <w:p>
            <w:pPr>
              <w:widowControl/>
              <w:adjustRightInd w:val="0"/>
              <w:snapToGrid w:val="0"/>
              <w:spacing w:line="460" w:lineRule="exact"/>
              <w:jc w:val="center"/>
              <w:rPr>
                <w:rFonts w:ascii="宋体" w:hAnsi="宋体" w:cs="宋体"/>
                <w:b/>
                <w:bCs/>
                <w:szCs w:val="21"/>
              </w:rPr>
            </w:pPr>
            <w:r>
              <w:rPr>
                <w:rFonts w:hint="eastAsia" w:ascii="宋体" w:hAnsi="宋体" w:cs="宋体"/>
                <w:b/>
                <w:bCs/>
                <w:szCs w:val="21"/>
              </w:rPr>
              <w:t>付款办法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jc w:val="center"/>
        </w:trPr>
        <w:tc>
          <w:tcPr>
            <w:tcW w:w="731"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1</w:t>
            </w:r>
          </w:p>
        </w:tc>
        <w:tc>
          <w:tcPr>
            <w:tcW w:w="1740" w:type="dxa"/>
            <w:vAlign w:val="center"/>
          </w:tcPr>
          <w:p>
            <w:pPr>
              <w:adjustRightInd w:val="0"/>
              <w:snapToGrid w:val="0"/>
              <w:spacing w:line="460" w:lineRule="exact"/>
              <w:jc w:val="center"/>
              <w:rPr>
                <w:rFonts w:ascii="宋体" w:hAnsi="宋体" w:cs="宋体"/>
                <w:szCs w:val="21"/>
              </w:rPr>
            </w:pPr>
            <w:r>
              <w:rPr>
                <w:rFonts w:hint="eastAsia" w:ascii="宋体" w:hAnsi="宋体" w:cs="宋体"/>
                <w:szCs w:val="21"/>
              </w:rPr>
              <w:t>前期建设</w:t>
            </w:r>
          </w:p>
        </w:tc>
        <w:tc>
          <w:tcPr>
            <w:tcW w:w="6279" w:type="dxa"/>
          </w:tcPr>
          <w:p>
            <w:pPr>
              <w:widowControl/>
              <w:rPr>
                <w:rFonts w:ascii="宋体" w:hAnsi="宋体" w:cs="宋体"/>
                <w:szCs w:val="21"/>
              </w:rPr>
            </w:pPr>
            <w:r>
              <w:rPr>
                <w:rFonts w:hint="eastAsia" w:ascii="宋体" w:hAnsi="宋体" w:cs="宋体"/>
                <w:szCs w:val="21"/>
              </w:rPr>
              <w:t>（1）合同签订生效并具备实施条件后7个工作日内，采购人凭中标人开具的发票向中标人支付签约合同价的40%作为预付款；</w:t>
            </w:r>
          </w:p>
          <w:p>
            <w:pPr>
              <w:widowControl/>
              <w:rPr>
                <w:rFonts w:ascii="宋体" w:hAnsi="宋体" w:cs="宋体"/>
                <w:szCs w:val="21"/>
              </w:rPr>
            </w:pPr>
            <w:r>
              <w:rPr>
                <w:rFonts w:hint="eastAsia" w:ascii="宋体" w:hAnsi="宋体" w:cs="宋体"/>
                <w:szCs w:val="21"/>
              </w:rPr>
              <w:t>（2）硬件到货签收后7个工作日内，采购人凭中标人开具的发票向中标人支付签约合同价的30%；</w:t>
            </w:r>
          </w:p>
          <w:p>
            <w:pPr>
              <w:widowControl/>
              <w:rPr>
                <w:rFonts w:ascii="宋体" w:hAnsi="宋体" w:cs="宋体"/>
                <w:szCs w:val="21"/>
              </w:rPr>
            </w:pPr>
            <w:r>
              <w:rPr>
                <w:rFonts w:hint="eastAsia" w:ascii="宋体" w:hAnsi="宋体" w:cs="宋体"/>
                <w:szCs w:val="21"/>
              </w:rPr>
              <w:t>（3）项目通过终验且最终经采购人确认后付清应付余款。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5" w:hRule="atLeast"/>
          <w:jc w:val="center"/>
        </w:trPr>
        <w:tc>
          <w:tcPr>
            <w:tcW w:w="731"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szCs w:val="21"/>
              </w:rPr>
              <w:t>2</w:t>
            </w:r>
          </w:p>
        </w:tc>
        <w:tc>
          <w:tcPr>
            <w:tcW w:w="1740" w:type="dxa"/>
            <w:vAlign w:val="center"/>
          </w:tcPr>
          <w:p>
            <w:pPr>
              <w:widowControl/>
              <w:adjustRightInd w:val="0"/>
              <w:snapToGrid w:val="0"/>
              <w:spacing w:line="460" w:lineRule="exact"/>
              <w:jc w:val="center"/>
              <w:rPr>
                <w:rFonts w:ascii="宋体" w:hAnsi="宋体" w:cs="宋体"/>
                <w:szCs w:val="21"/>
              </w:rPr>
            </w:pPr>
            <w:r>
              <w:rPr>
                <w:rFonts w:hint="eastAsia" w:ascii="宋体" w:hAnsi="宋体" w:cs="宋体"/>
                <w:bCs/>
                <w:szCs w:val="21"/>
              </w:rPr>
              <w:t>质保及运行维护</w:t>
            </w:r>
            <w:r>
              <w:rPr>
                <w:rFonts w:hint="eastAsia" w:ascii="宋体" w:hAnsi="宋体" w:cs="宋体"/>
                <w:szCs w:val="21"/>
              </w:rPr>
              <w:t>服务</w:t>
            </w:r>
          </w:p>
        </w:tc>
        <w:tc>
          <w:tcPr>
            <w:tcW w:w="6279" w:type="dxa"/>
          </w:tcPr>
          <w:p>
            <w:pPr>
              <w:widowControl/>
              <w:adjustRightInd w:val="0"/>
              <w:snapToGrid w:val="0"/>
              <w:spacing w:line="460" w:lineRule="exact"/>
              <w:rPr>
                <w:rFonts w:ascii="宋体" w:hAnsi="宋体" w:cs="宋体"/>
                <w:szCs w:val="21"/>
              </w:rPr>
            </w:pPr>
            <w:r>
              <w:rPr>
                <w:rFonts w:hint="eastAsia" w:ascii="宋体" w:hAnsi="宋体" w:cs="宋体"/>
                <w:szCs w:val="21"/>
              </w:rPr>
              <w:t>本项目免费质保及运行维护期1年，自项目验收合格之日起算。服务范围包括日常维保服务、主要应用软、硬件系统维保服务、信息化建设咨询服务等。</w:t>
            </w:r>
          </w:p>
        </w:tc>
      </w:tr>
    </w:tbl>
    <w:p>
      <w:pPr>
        <w:adjustRightInd w:val="0"/>
        <w:snapToGrid w:val="0"/>
        <w:spacing w:line="460" w:lineRule="exact"/>
        <w:rPr>
          <w:rFonts w:ascii="宋体" w:hAnsi="宋体" w:cs="宋体"/>
          <w:b/>
          <w:szCs w:val="21"/>
        </w:rPr>
      </w:pPr>
      <w:r>
        <w:rPr>
          <w:rFonts w:hint="eastAsia" w:ascii="宋体" w:hAnsi="宋体" w:cs="宋体"/>
          <w:b/>
          <w:szCs w:val="21"/>
        </w:rPr>
        <w:t>十、税费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本合同执行中相关的一切税费均由乙方负担。</w:t>
      </w:r>
    </w:p>
    <w:p>
      <w:pPr>
        <w:adjustRightInd w:val="0"/>
        <w:snapToGrid w:val="0"/>
        <w:spacing w:line="460" w:lineRule="exact"/>
        <w:ind w:left="360" w:hanging="361" w:hangingChars="171"/>
        <w:rPr>
          <w:rFonts w:ascii="宋体" w:hAnsi="宋体" w:cs="宋体"/>
          <w:szCs w:val="21"/>
        </w:rPr>
      </w:pPr>
      <w:r>
        <w:rPr>
          <w:rFonts w:hint="eastAsia" w:ascii="宋体" w:hAnsi="宋体" w:cs="宋体"/>
          <w:b/>
          <w:szCs w:val="21"/>
        </w:rPr>
        <w:t>十一、质量保证及后续服务</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项目质保及运行维护期一年（其中第一年为免费质保及运行维护），自项目验收合格之日起算，包含但不限于硬件报修、系统升级、运行维护等服务内容。质保及运行维护期内如出现设备故障（除人为原因造成外），乙方无条件负责更换或维修设备（原厂家生产或提供）；质保期外，乙方提供终生维修，维修时只收部件成本费和人工费。</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2.乙方应按招标文件规定的货物性能、技术要求、质量标准向甲方提供未经使用的全新产品。</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3.乙方提供的货物在质保期内因货物本身的质量问题发生故障，乙方应负责免费更换。对达不到技术要求者，根据实际情况，经双方协商，可按以下办法处理：</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⑴重做：由乙方承担所发生的全部费用。</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⑵贬值处理：由甲乙双方合议定价。</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⑶退货处理：乙方应退还甲方支付的合同款，同时应承担该货物的直接费用（运输、保险、检验、货款利息及银行手续费等）。</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4.在质保期内，乙方应对货物出现的质量及安全问题负责处理解决并承担一切费用。质保期内免费更换或维修配件（原厂家生产或提供）。</w:t>
      </w:r>
    </w:p>
    <w:p>
      <w:pPr>
        <w:adjustRightInd w:val="0"/>
        <w:snapToGrid w:val="0"/>
        <w:spacing w:line="460" w:lineRule="exact"/>
        <w:rPr>
          <w:rFonts w:ascii="宋体" w:hAnsi="宋体" w:cs="宋体"/>
          <w:b/>
          <w:szCs w:val="21"/>
        </w:rPr>
      </w:pPr>
      <w:r>
        <w:rPr>
          <w:rFonts w:hint="eastAsia" w:ascii="宋体" w:hAnsi="宋体" w:cs="宋体"/>
          <w:b/>
          <w:szCs w:val="21"/>
        </w:rPr>
        <w:t>十二、违约责任</w:t>
      </w:r>
    </w:p>
    <w:p>
      <w:pPr>
        <w:numPr>
          <w:ilvl w:val="0"/>
          <w:numId w:val="5"/>
        </w:numPr>
        <w:adjustRightInd w:val="0"/>
        <w:snapToGrid w:val="0"/>
        <w:spacing w:line="460" w:lineRule="exact"/>
        <w:rPr>
          <w:rFonts w:ascii="宋体" w:hAnsi="宋体" w:cs="宋体"/>
          <w:szCs w:val="21"/>
        </w:rPr>
      </w:pPr>
      <w:r>
        <w:rPr>
          <w:rFonts w:hint="eastAsia" w:ascii="宋体" w:hAnsi="宋体" w:cs="宋体"/>
          <w:szCs w:val="21"/>
        </w:rPr>
        <w:t>甲方无正当理由拒收接受服务的，甲方向乙方偿付合同款项5%作为违约金。</w:t>
      </w:r>
    </w:p>
    <w:p>
      <w:pPr>
        <w:numPr>
          <w:ilvl w:val="0"/>
          <w:numId w:val="5"/>
        </w:numPr>
        <w:adjustRightInd w:val="0"/>
        <w:snapToGrid w:val="0"/>
        <w:spacing w:line="460" w:lineRule="exact"/>
        <w:rPr>
          <w:rFonts w:ascii="宋体" w:hAnsi="宋体" w:cs="宋体"/>
          <w:szCs w:val="21"/>
        </w:rPr>
      </w:pPr>
      <w:r>
        <w:rPr>
          <w:rFonts w:hint="eastAsia" w:ascii="宋体" w:hAnsi="宋体" w:cs="宋体"/>
          <w:szCs w:val="21"/>
        </w:rPr>
        <w:t>乙方未能如期提供服务的，每日向甲方支付合同款项的千分之一作为违约金。乙方超过约定日期20个工作日仍不能提供服务的，甲方可解除本合同。乙方因未能如期提供服务或因其他违约行为导致甲方解除合同的，乙方应向甲方支付合同总值5%的违约金，如造成甲方损失超过违约金的，超出部分由乙方继续承担赔偿责任。</w:t>
      </w:r>
    </w:p>
    <w:p>
      <w:pPr>
        <w:adjustRightInd w:val="0"/>
        <w:snapToGrid w:val="0"/>
        <w:spacing w:line="460" w:lineRule="exact"/>
        <w:rPr>
          <w:rFonts w:ascii="宋体" w:hAnsi="宋体" w:cs="宋体"/>
          <w:b/>
          <w:szCs w:val="21"/>
        </w:rPr>
      </w:pPr>
      <w:r>
        <w:rPr>
          <w:rFonts w:hint="eastAsia" w:ascii="宋体" w:hAnsi="宋体" w:cs="宋体"/>
          <w:b/>
          <w:szCs w:val="21"/>
        </w:rPr>
        <w:t>十三、不可抗力事件处理</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1.在合同有效期内，任何一方因不可抗力事件导致不能履行合同，则合同履行期可延长，其延长期与不可抗力影响期相同。</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2.不可抗力事件发生后，应立即通知对方，并寄送有关权威机构出具的证明。</w:t>
      </w:r>
    </w:p>
    <w:p>
      <w:pPr>
        <w:adjustRightInd w:val="0"/>
        <w:snapToGrid w:val="0"/>
        <w:spacing w:line="460" w:lineRule="exact"/>
        <w:ind w:firstLine="420" w:firstLineChars="200"/>
        <w:rPr>
          <w:rFonts w:ascii="宋体" w:hAnsi="宋体" w:cs="宋体"/>
          <w:szCs w:val="21"/>
        </w:rPr>
      </w:pPr>
      <w:r>
        <w:rPr>
          <w:rFonts w:hint="eastAsia" w:ascii="宋体" w:hAnsi="宋体" w:cs="宋体"/>
          <w:szCs w:val="21"/>
        </w:rPr>
        <w:t>3.不可抗力事件延续120天以上，双方应通过友好协商，确定是否继续履行合同。</w:t>
      </w:r>
    </w:p>
    <w:p>
      <w:pPr>
        <w:adjustRightInd w:val="0"/>
        <w:snapToGrid w:val="0"/>
        <w:spacing w:line="460" w:lineRule="exact"/>
        <w:jc w:val="left"/>
        <w:rPr>
          <w:rFonts w:ascii="宋体" w:hAnsi="宋体" w:cs="宋体"/>
          <w:b/>
          <w:szCs w:val="21"/>
        </w:rPr>
      </w:pPr>
      <w:r>
        <w:rPr>
          <w:rFonts w:hint="eastAsia" w:ascii="宋体" w:hAnsi="宋体" w:cs="宋体"/>
          <w:b/>
          <w:szCs w:val="21"/>
        </w:rPr>
        <w:t>十四、诉讼</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双方在执行合同中所发生的一切争议，应通过协商解决。如协商不成，可向合同签订地法院起诉，合同签订地在此约定为</w:t>
      </w:r>
      <w:r>
        <w:rPr>
          <w:rFonts w:hint="eastAsia" w:ascii="宋体" w:hAnsi="宋体" w:cs="宋体"/>
          <w:szCs w:val="21"/>
          <w:u w:val="single"/>
        </w:rPr>
        <w:t>宁波高新区</w:t>
      </w:r>
      <w:r>
        <w:rPr>
          <w:rFonts w:hint="eastAsia" w:ascii="宋体" w:hAnsi="宋体" w:cs="宋体"/>
          <w:szCs w:val="21"/>
        </w:rPr>
        <w:t>。</w:t>
      </w:r>
    </w:p>
    <w:p>
      <w:pPr>
        <w:adjustRightInd w:val="0"/>
        <w:snapToGrid w:val="0"/>
        <w:spacing w:line="460" w:lineRule="exact"/>
        <w:jc w:val="left"/>
        <w:rPr>
          <w:rFonts w:ascii="宋体" w:hAnsi="宋体" w:cs="宋体"/>
          <w:b/>
          <w:szCs w:val="21"/>
        </w:rPr>
      </w:pPr>
      <w:r>
        <w:rPr>
          <w:rFonts w:hint="eastAsia" w:ascii="宋体" w:hAnsi="宋体" w:cs="宋体"/>
          <w:b/>
          <w:szCs w:val="21"/>
        </w:rPr>
        <w:t>十五、合同生效及其它</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1.合同经双方法定代表人或授权委托代理人签字并加盖单位公章后生效。</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2.合同执行中涉及采购资金和采购内容修改或补充的，签书面补充协议，并作为主合同不可分割的一部分。</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3.本合同未尽事宜，遵照《民法典》有关条文执行。</w:t>
      </w:r>
    </w:p>
    <w:p>
      <w:pPr>
        <w:adjustRightInd w:val="0"/>
        <w:snapToGrid w:val="0"/>
        <w:spacing w:line="460" w:lineRule="exact"/>
        <w:ind w:left="105" w:leftChars="50" w:firstLine="420" w:firstLineChars="200"/>
        <w:jc w:val="left"/>
        <w:rPr>
          <w:rFonts w:ascii="宋体" w:hAnsi="宋体" w:cs="宋体"/>
          <w:szCs w:val="21"/>
        </w:rPr>
      </w:pPr>
      <w:r>
        <w:rPr>
          <w:rFonts w:hint="eastAsia" w:ascii="宋体" w:hAnsi="宋体" w:cs="宋体"/>
          <w:szCs w:val="21"/>
        </w:rPr>
        <w:t>4.本合同正本一式份，具有同等法律效力，甲乙双方各执壹份；备案</w:t>
      </w:r>
      <w:r>
        <w:rPr>
          <w:rFonts w:hint="eastAsia" w:ascii="宋体" w:hAnsi="宋体" w:cs="宋体"/>
          <w:szCs w:val="21"/>
          <w:u w:val="single"/>
        </w:rPr>
        <w:t xml:space="preserve"> 壹 </w:t>
      </w:r>
      <w:r>
        <w:rPr>
          <w:rFonts w:hint="eastAsia" w:ascii="宋体" w:hAnsi="宋体" w:cs="宋体"/>
          <w:szCs w:val="21"/>
        </w:rPr>
        <w:t>份。</w:t>
      </w:r>
    </w:p>
    <w:p>
      <w:pPr>
        <w:adjustRightInd w:val="0"/>
        <w:snapToGrid w:val="0"/>
        <w:spacing w:line="460" w:lineRule="exact"/>
        <w:rPr>
          <w:rFonts w:ascii="宋体" w:hAnsi="宋体" w:cs="宋体"/>
          <w:szCs w:val="21"/>
        </w:rPr>
      </w:pPr>
      <w:r>
        <w:rPr>
          <w:rFonts w:hint="eastAsia" w:ascii="宋体" w:hAnsi="宋体" w:cs="宋体"/>
          <w:szCs w:val="21"/>
        </w:rPr>
        <w:t xml:space="preserve">甲方：                                      乙方： </w:t>
      </w:r>
    </w:p>
    <w:p>
      <w:pPr>
        <w:adjustRightInd w:val="0"/>
        <w:snapToGrid w:val="0"/>
        <w:spacing w:line="460" w:lineRule="exact"/>
        <w:rPr>
          <w:rFonts w:ascii="宋体" w:hAnsi="宋体" w:cs="宋体"/>
          <w:szCs w:val="21"/>
        </w:rPr>
      </w:pPr>
      <w:r>
        <w:rPr>
          <w:rFonts w:hint="eastAsia" w:ascii="宋体" w:hAnsi="宋体" w:cs="宋体"/>
          <w:szCs w:val="21"/>
        </w:rPr>
        <w:t xml:space="preserve">地址：                                     地址： </w:t>
      </w:r>
    </w:p>
    <w:p>
      <w:pPr>
        <w:adjustRightInd w:val="0"/>
        <w:snapToGrid w:val="0"/>
        <w:spacing w:line="460" w:lineRule="exact"/>
        <w:rPr>
          <w:rFonts w:ascii="宋体" w:hAnsi="宋体" w:cs="宋体"/>
          <w:szCs w:val="21"/>
        </w:rPr>
      </w:pPr>
      <w:r>
        <w:rPr>
          <w:rFonts w:hint="eastAsia" w:ascii="宋体" w:hAnsi="宋体" w:cs="宋体"/>
          <w:szCs w:val="21"/>
        </w:rPr>
        <w:t>法定（或授权）代表人：                     法定（或授权）代表人：</w:t>
      </w:r>
    </w:p>
    <w:p>
      <w:pPr>
        <w:adjustRightInd w:val="0"/>
        <w:snapToGrid w:val="0"/>
        <w:spacing w:line="460" w:lineRule="exact"/>
        <w:rPr>
          <w:rFonts w:ascii="宋体" w:hAnsi="宋体" w:cs="宋体"/>
          <w:szCs w:val="21"/>
        </w:rPr>
      </w:pPr>
      <w:r>
        <w:rPr>
          <w:rFonts w:hint="eastAsia" w:ascii="宋体" w:hAnsi="宋体" w:cs="宋体"/>
          <w:szCs w:val="21"/>
        </w:rPr>
        <w:t xml:space="preserve">电    话：                                 电    话： </w:t>
      </w:r>
    </w:p>
    <w:p>
      <w:pPr>
        <w:adjustRightInd w:val="0"/>
        <w:snapToGrid w:val="0"/>
        <w:spacing w:line="460" w:lineRule="exact"/>
        <w:rPr>
          <w:rFonts w:ascii="宋体" w:hAnsi="宋体" w:cs="宋体"/>
          <w:szCs w:val="21"/>
        </w:rPr>
      </w:pPr>
      <w:r>
        <w:rPr>
          <w:rFonts w:hint="eastAsia" w:ascii="宋体" w:hAnsi="宋体" w:cs="宋体"/>
          <w:szCs w:val="21"/>
        </w:rPr>
        <w:t>签字日期：      年  月  日                 签字日期：      年  月  日</w:t>
      </w:r>
    </w:p>
    <w:p>
      <w:pPr>
        <w:adjustRightInd w:val="0"/>
        <w:snapToGrid w:val="0"/>
        <w:spacing w:line="460" w:lineRule="exact"/>
        <w:rPr>
          <w:rFonts w:ascii="宋体" w:hAnsi="宋体" w:cs="宋体"/>
          <w:szCs w:val="21"/>
        </w:rPr>
      </w:pPr>
      <w:r>
        <w:rPr>
          <w:rFonts w:hint="eastAsia" w:ascii="宋体" w:hAnsi="宋体" w:cs="宋体"/>
          <w:szCs w:val="21"/>
        </w:rPr>
        <w:t xml:space="preserve">签字地点：     </w:t>
      </w:r>
    </w:p>
    <w:p>
      <w:pPr>
        <w:adjustRightInd w:val="0"/>
        <w:snapToGrid w:val="0"/>
        <w:spacing w:line="460" w:lineRule="exact"/>
        <w:rPr>
          <w:rFonts w:ascii="宋体" w:hAnsi="宋体" w:cs="宋体"/>
          <w:szCs w:val="21"/>
        </w:rPr>
      </w:pPr>
    </w:p>
    <w:p>
      <w:pPr>
        <w:adjustRightInd w:val="0"/>
        <w:snapToGrid w:val="0"/>
        <w:spacing w:line="460" w:lineRule="exact"/>
        <w:rPr>
          <w:rFonts w:ascii="宋体" w:hAnsi="宋体" w:cs="宋体"/>
          <w:szCs w:val="21"/>
        </w:rPr>
      </w:pPr>
      <w:r>
        <w:rPr>
          <w:rFonts w:hint="eastAsia" w:ascii="宋体" w:hAnsi="宋体" w:cs="宋体"/>
          <w:szCs w:val="21"/>
        </w:rPr>
        <w:t>合同见证方：</w:t>
      </w:r>
    </w:p>
    <w:p>
      <w:pPr>
        <w:adjustRightInd w:val="0"/>
        <w:snapToGrid w:val="0"/>
        <w:spacing w:line="400" w:lineRule="exact"/>
        <w:rPr>
          <w:szCs w:val="24"/>
        </w:rPr>
      </w:pPr>
      <w:r>
        <w:rPr>
          <w:rFonts w:hint="eastAsia" w:ascii="宋体" w:hAnsi="宋体" w:cs="宋体"/>
          <w:szCs w:val="21"/>
        </w:rPr>
        <w:t>地址：</w:t>
      </w:r>
    </w:p>
    <w:p>
      <w:pPr>
        <w:pStyle w:val="18"/>
        <w:widowControl/>
        <w:spacing w:line="360" w:lineRule="auto"/>
        <w:ind w:firstLine="0"/>
        <w:jc w:val="left"/>
        <w:rPr>
          <w:rFonts w:ascii="宋体" w:hAnsi="宋体"/>
          <w:szCs w:val="21"/>
        </w:rPr>
      </w:pPr>
      <w:r>
        <w:rPr>
          <w:rFonts w:hint="eastAsia" w:ascii="宋体" w:hAnsi="宋体" w:cs="宋体"/>
          <w:color w:val="000000"/>
          <w:kern w:val="2"/>
          <w:sz w:val="24"/>
          <w:szCs w:val="24"/>
        </w:rPr>
        <w:br w:type="page"/>
      </w:r>
    </w:p>
    <w:p>
      <w:pPr>
        <w:pStyle w:val="2"/>
        <w:spacing w:beforeLines="0" w:afterLines="0" w:line="360" w:lineRule="auto"/>
        <w:rPr>
          <w:rFonts w:ascii="宋体" w:hAnsi="宋体"/>
          <w:sz w:val="32"/>
          <w:szCs w:val="32"/>
        </w:rPr>
      </w:pPr>
      <w:bookmarkStart w:id="73" w:name="_Toc520902405"/>
      <w:r>
        <w:rPr>
          <w:rFonts w:hint="eastAsia" w:ascii="宋体" w:hAnsi="宋体"/>
          <w:sz w:val="32"/>
          <w:szCs w:val="32"/>
        </w:rPr>
        <w:t xml:space="preserve">  第五部分 评标办法</w:t>
      </w:r>
      <w:bookmarkEnd w:id="72"/>
      <w:bookmarkEnd w:id="73"/>
    </w:p>
    <w:p>
      <w:pPr>
        <w:tabs>
          <w:tab w:val="left" w:pos="0"/>
          <w:tab w:val="left" w:pos="723"/>
        </w:tabs>
        <w:spacing w:line="360" w:lineRule="exact"/>
        <w:rPr>
          <w:rFonts w:ascii="宋体" w:hAnsi="宋体"/>
          <w:b/>
          <w:szCs w:val="21"/>
        </w:rPr>
      </w:pPr>
      <w:r>
        <w:rPr>
          <w:rFonts w:hint="eastAsia" w:ascii="宋体" w:hAnsi="宋体"/>
          <w:b/>
          <w:szCs w:val="21"/>
        </w:rPr>
        <w:t>一、总则：</w:t>
      </w:r>
    </w:p>
    <w:p>
      <w:pPr>
        <w:spacing w:line="360" w:lineRule="auto"/>
        <w:ind w:firstLine="420" w:firstLineChars="200"/>
        <w:rPr>
          <w:rFonts w:ascii="宋体" w:hAnsi="宋体" w:cs="宋体"/>
          <w:szCs w:val="21"/>
        </w:rPr>
      </w:pPr>
      <w:r>
        <w:rPr>
          <w:rFonts w:hint="eastAsia"/>
          <w:szCs w:val="21"/>
        </w:rPr>
        <w:t>1</w:t>
      </w:r>
      <w:r>
        <w:rPr>
          <w:rFonts w:hint="eastAsia" w:ascii="宋体" w:hAnsi="宋体"/>
          <w:szCs w:val="21"/>
        </w:rPr>
        <w:t>、本办法严格遵照《中华人民共和国政府采购法》《中华人民共和国政府采购法实施条例》、《政府采购货物和服务招标投标管理办法》（</w:t>
      </w:r>
      <w:r>
        <w:rPr>
          <w:rFonts w:hint="eastAsia"/>
          <w:szCs w:val="21"/>
        </w:rPr>
        <w:t>87</w:t>
      </w:r>
      <w:r>
        <w:rPr>
          <w:rFonts w:hint="eastAsia" w:ascii="宋体" w:hAnsi="宋体"/>
          <w:szCs w:val="21"/>
        </w:rPr>
        <w:t>号令），结合项目所在地有关政府采购的规定和项目的实际情况制定。</w:t>
      </w:r>
      <w:r>
        <w:rPr>
          <w:rFonts w:hint="eastAsia" w:ascii="宋体" w:hAnsi="宋体" w:cs="宋体"/>
          <w:szCs w:val="21"/>
        </w:rPr>
        <w:t>本评标标准是对“投标人须知”相关条款的具体表述或补充，如有矛盾，应以本办法为准。</w:t>
      </w:r>
    </w:p>
    <w:p>
      <w:pPr>
        <w:spacing w:line="360" w:lineRule="auto"/>
        <w:ind w:firstLine="420" w:firstLineChars="200"/>
        <w:rPr>
          <w:rFonts w:ascii="宋体" w:hAnsi="宋体" w:cs="宋体"/>
          <w:szCs w:val="21"/>
        </w:rPr>
      </w:pPr>
      <w:r>
        <w:rPr>
          <w:rFonts w:hint="eastAsia" w:cs="宋体"/>
          <w:szCs w:val="21"/>
        </w:rPr>
        <w:t>2</w:t>
      </w:r>
      <w:r>
        <w:rPr>
          <w:rFonts w:hint="eastAsia" w:ascii="宋体" w:hAnsi="宋体" w:cs="宋体"/>
          <w:szCs w:val="21"/>
        </w:rPr>
        <w:t>、本项目评标采用综合评分法。</w:t>
      </w:r>
    </w:p>
    <w:p>
      <w:pPr>
        <w:spacing w:line="360" w:lineRule="auto"/>
        <w:ind w:firstLine="420" w:firstLineChars="200"/>
        <w:rPr>
          <w:rFonts w:ascii="宋体" w:hAnsi="宋体" w:cs="宋体"/>
          <w:szCs w:val="21"/>
        </w:rPr>
      </w:pPr>
      <w:r>
        <w:rPr>
          <w:rFonts w:hint="eastAsia" w:cs="宋体"/>
          <w:szCs w:val="21"/>
        </w:rPr>
        <w:t>3</w:t>
      </w:r>
      <w:r>
        <w:rPr>
          <w:rFonts w:hint="eastAsia" w:ascii="宋体" w:hAnsi="宋体" w:cs="宋体"/>
          <w:szCs w:val="21"/>
        </w:rPr>
        <w:t>、本次采购为非专门面向中小企业，本次评标将对《中小企业声明函》满足采购文件要求的小微企业的价格按本办法中规定的比例进行扣除，用扣除后的价格参与评审。价格扣除只用于评审过程，如中标，中标价格仍按照其投标价格进行公示。</w:t>
      </w:r>
    </w:p>
    <w:p>
      <w:pPr>
        <w:tabs>
          <w:tab w:val="left" w:pos="0"/>
          <w:tab w:val="left" w:pos="723"/>
        </w:tabs>
        <w:spacing w:line="360" w:lineRule="exact"/>
        <w:rPr>
          <w:rFonts w:ascii="宋体" w:hAnsi="宋体"/>
          <w:b/>
          <w:szCs w:val="21"/>
        </w:rPr>
      </w:pPr>
    </w:p>
    <w:p>
      <w:pPr>
        <w:tabs>
          <w:tab w:val="left" w:pos="0"/>
          <w:tab w:val="left" w:pos="723"/>
        </w:tabs>
        <w:spacing w:line="360" w:lineRule="exact"/>
        <w:rPr>
          <w:rFonts w:ascii="宋体" w:hAnsi="宋体"/>
          <w:b/>
          <w:szCs w:val="21"/>
        </w:rPr>
      </w:pPr>
      <w:r>
        <w:rPr>
          <w:rFonts w:hint="eastAsia" w:ascii="宋体" w:hAnsi="宋体"/>
          <w:b/>
          <w:szCs w:val="21"/>
        </w:rPr>
        <w:t>二、评标组织</w:t>
      </w:r>
    </w:p>
    <w:p>
      <w:pPr>
        <w:spacing w:line="360" w:lineRule="auto"/>
        <w:ind w:firstLine="420" w:firstLineChars="200"/>
        <w:rPr>
          <w:rFonts w:ascii="宋体" w:hAnsi="宋体" w:cs="宋体"/>
          <w:szCs w:val="21"/>
        </w:rPr>
      </w:pPr>
      <w:r>
        <w:rPr>
          <w:rFonts w:hint="eastAsia" w:ascii="宋体" w:hAnsi="宋体" w:cs="宋体"/>
          <w:szCs w:val="21"/>
        </w:rPr>
        <w:t>评标委员会：采购人和采购代理机构根据采购项目的内容和特点，按国家相关规定组建评标委员会。评标委员会由采购人代表、技术、经济方面专家等人员组成。</w:t>
      </w:r>
    </w:p>
    <w:p>
      <w:pPr>
        <w:widowControl/>
        <w:tabs>
          <w:tab w:val="left" w:pos="0"/>
          <w:tab w:val="left" w:pos="723"/>
        </w:tabs>
        <w:spacing w:line="360" w:lineRule="exact"/>
        <w:jc w:val="left"/>
        <w:rPr>
          <w:rFonts w:ascii="宋体" w:hAnsi="宋体"/>
          <w:b/>
          <w:szCs w:val="21"/>
        </w:rPr>
      </w:pPr>
    </w:p>
    <w:p>
      <w:pPr>
        <w:widowControl/>
        <w:tabs>
          <w:tab w:val="left" w:pos="0"/>
          <w:tab w:val="left" w:pos="723"/>
        </w:tabs>
        <w:spacing w:line="360" w:lineRule="exact"/>
        <w:jc w:val="left"/>
        <w:rPr>
          <w:rFonts w:ascii="宋体" w:hAnsi="宋体"/>
          <w:b/>
          <w:szCs w:val="21"/>
        </w:rPr>
      </w:pPr>
      <w:r>
        <w:rPr>
          <w:rFonts w:hint="eastAsia" w:ascii="宋体" w:hAnsi="宋体"/>
          <w:b/>
          <w:szCs w:val="21"/>
        </w:rPr>
        <w:t>三、评标程序</w:t>
      </w:r>
    </w:p>
    <w:p>
      <w:pPr>
        <w:spacing w:line="360" w:lineRule="auto"/>
        <w:rPr>
          <w:rFonts w:ascii="宋体" w:hAnsi="宋体"/>
          <w:szCs w:val="21"/>
        </w:rPr>
      </w:pPr>
      <w:r>
        <w:rPr>
          <w:rFonts w:hint="eastAsia"/>
          <w:szCs w:val="21"/>
        </w:rPr>
        <w:t>1</w:t>
      </w:r>
      <w:r>
        <w:rPr>
          <w:rFonts w:hint="eastAsia" w:ascii="宋体" w:hAnsi="宋体"/>
          <w:szCs w:val="21"/>
        </w:rPr>
        <w:t>．资格审查：由采购人或代理机构对投标人的资格进行审查。</w:t>
      </w:r>
      <w:r>
        <w:rPr>
          <w:rFonts w:hint="eastAsia" w:ascii="宋体" w:hAnsi="宋体"/>
          <w:b/>
          <w:szCs w:val="21"/>
        </w:rPr>
        <w:t>资格性审查中，有任意一项审查结论不合格的，作无效标处理。</w:t>
      </w:r>
    </w:p>
    <w:tbl>
      <w:tblPr>
        <w:tblStyle w:val="42"/>
        <w:tblW w:w="83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0"/>
        <w:gridCol w:w="3685"/>
        <w:gridCol w:w="35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jc w:val="center"/>
        </w:trPr>
        <w:tc>
          <w:tcPr>
            <w:tcW w:w="1180" w:type="dxa"/>
            <w:vAlign w:val="center"/>
          </w:tcPr>
          <w:p>
            <w:pPr>
              <w:spacing w:line="360" w:lineRule="auto"/>
              <w:jc w:val="center"/>
              <w:rPr>
                <w:rFonts w:ascii="宋体" w:hAnsi="宋体"/>
                <w:szCs w:val="21"/>
              </w:rPr>
            </w:pPr>
            <w:r>
              <w:rPr>
                <w:rFonts w:hint="eastAsia" w:ascii="宋体" w:hAnsi="宋体"/>
                <w:szCs w:val="21"/>
              </w:rPr>
              <w:t>审查类别</w:t>
            </w:r>
          </w:p>
        </w:tc>
        <w:tc>
          <w:tcPr>
            <w:tcW w:w="3685" w:type="dxa"/>
            <w:tcBorders>
              <w:right w:val="single" w:color="auto" w:sz="8" w:space="0"/>
            </w:tcBorders>
            <w:vAlign w:val="center"/>
          </w:tcPr>
          <w:p>
            <w:pPr>
              <w:spacing w:line="360" w:lineRule="auto"/>
              <w:jc w:val="center"/>
              <w:rPr>
                <w:rFonts w:ascii="宋体" w:hAnsi="宋体"/>
                <w:szCs w:val="21"/>
              </w:rPr>
            </w:pPr>
            <w:r>
              <w:rPr>
                <w:rFonts w:hint="eastAsia" w:ascii="宋体" w:hAnsi="宋体"/>
                <w:szCs w:val="21"/>
              </w:rPr>
              <w:t>审查项目</w:t>
            </w:r>
          </w:p>
        </w:tc>
        <w:tc>
          <w:tcPr>
            <w:tcW w:w="3531" w:type="dxa"/>
            <w:tcBorders>
              <w:left w:val="single" w:color="auto" w:sz="8" w:space="0"/>
            </w:tcBorders>
            <w:vAlign w:val="center"/>
          </w:tcPr>
          <w:p>
            <w:pPr>
              <w:spacing w:line="360" w:lineRule="auto"/>
              <w:jc w:val="center"/>
              <w:rPr>
                <w:rFonts w:ascii="宋体" w:hAnsi="宋体"/>
                <w:szCs w:val="21"/>
              </w:rPr>
            </w:pPr>
            <w:r>
              <w:rPr>
                <w:rFonts w:hint="eastAsia" w:ascii="宋体" w:hAnsi="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restart"/>
            <w:vAlign w:val="center"/>
          </w:tcPr>
          <w:p>
            <w:pPr>
              <w:spacing w:line="360" w:lineRule="auto"/>
              <w:jc w:val="center"/>
              <w:rPr>
                <w:rFonts w:ascii="宋体" w:hAnsi="宋体"/>
                <w:szCs w:val="21"/>
              </w:rPr>
            </w:pPr>
            <w:r>
              <w:rPr>
                <w:rFonts w:hint="eastAsia" w:ascii="宋体" w:hAnsi="宋体"/>
                <w:szCs w:val="21"/>
              </w:rPr>
              <w:t>资格条件</w:t>
            </w:r>
          </w:p>
          <w:p>
            <w:pPr>
              <w:spacing w:line="360" w:lineRule="auto"/>
              <w:jc w:val="center"/>
              <w:rPr>
                <w:rFonts w:ascii="宋体" w:hAnsi="宋体"/>
                <w:szCs w:val="21"/>
              </w:rPr>
            </w:pPr>
            <w:r>
              <w:rPr>
                <w:rFonts w:hint="eastAsia" w:ascii="宋体" w:hAnsi="宋体"/>
                <w:szCs w:val="21"/>
              </w:rPr>
              <w:t>审查</w:t>
            </w:r>
          </w:p>
        </w:tc>
        <w:tc>
          <w:tcPr>
            <w:tcW w:w="3685" w:type="dxa"/>
            <w:tcBorders>
              <w:right w:val="single" w:color="auto" w:sz="8" w:space="0"/>
            </w:tcBorders>
            <w:vAlign w:val="center"/>
          </w:tcPr>
          <w:p>
            <w:pPr>
              <w:spacing w:line="360" w:lineRule="auto"/>
              <w:rPr>
                <w:rFonts w:ascii="宋体" w:hAnsi="宋体"/>
                <w:szCs w:val="21"/>
              </w:rPr>
            </w:pPr>
            <w:r>
              <w:rPr>
                <w:rFonts w:hint="eastAsia"/>
                <w:szCs w:val="21"/>
              </w:rPr>
              <w:t>1</w:t>
            </w:r>
            <w:r>
              <w:rPr>
                <w:rFonts w:hint="eastAsia" w:ascii="宋体" w:hAnsi="宋体"/>
                <w:szCs w:val="21"/>
              </w:rPr>
              <w:t>、符合《中华人民共和国政府采购法》第二十二条的要求：</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1</w:t>
            </w:r>
            <w:r>
              <w:rPr>
                <w:rFonts w:hint="eastAsia" w:ascii="宋体" w:hAnsi="宋体"/>
                <w:szCs w:val="21"/>
              </w:rPr>
              <w:t>具有独立承担民事责任的能力；</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2</w:t>
            </w:r>
            <w:r>
              <w:rPr>
                <w:rFonts w:hint="eastAsia" w:ascii="宋体" w:hAnsi="宋体"/>
                <w:szCs w:val="21"/>
              </w:rPr>
              <w:t>具有良好的商业信誉和健全的财务会计制度；</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3</w:t>
            </w:r>
            <w:r>
              <w:rPr>
                <w:rFonts w:hint="eastAsia" w:ascii="宋体" w:hAnsi="宋体"/>
                <w:szCs w:val="21"/>
              </w:rPr>
              <w:t>具有履行合同所必需的设备和专业技术能力；</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4</w:t>
            </w:r>
            <w:r>
              <w:rPr>
                <w:rFonts w:hint="eastAsia" w:ascii="宋体" w:hAnsi="宋体"/>
                <w:szCs w:val="21"/>
              </w:rPr>
              <w:t>有依法缴纳税收和社会保障资金的良好记录；</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5</w:t>
            </w:r>
            <w:r>
              <w:rPr>
                <w:rFonts w:hint="eastAsia" w:ascii="宋体" w:hAnsi="宋体"/>
                <w:szCs w:val="21"/>
              </w:rPr>
              <w:t>参加政府采购活动前三年内，在经营活动中没有重大违法记录；</w:t>
            </w:r>
          </w:p>
          <w:p>
            <w:pPr>
              <w:spacing w:line="360" w:lineRule="auto"/>
              <w:rPr>
                <w:rFonts w:ascii="宋体" w:hAnsi="宋体"/>
                <w:szCs w:val="21"/>
              </w:rPr>
            </w:pPr>
            <w:r>
              <w:rPr>
                <w:rFonts w:hint="eastAsia"/>
                <w:szCs w:val="21"/>
              </w:rPr>
              <w:t>1</w:t>
            </w:r>
            <w:r>
              <w:rPr>
                <w:rFonts w:hint="eastAsia" w:ascii="宋体" w:hAnsi="宋体"/>
                <w:szCs w:val="21"/>
              </w:rPr>
              <w:t>.</w:t>
            </w:r>
            <w:r>
              <w:rPr>
                <w:rFonts w:hint="eastAsia"/>
                <w:szCs w:val="21"/>
              </w:rPr>
              <w:t>6</w:t>
            </w:r>
            <w:r>
              <w:rPr>
                <w:rFonts w:hint="eastAsia" w:ascii="宋体" w:hAnsi="宋体"/>
                <w:szCs w:val="21"/>
              </w:rPr>
              <w:t>法律、行政法规规定的其他条件。</w:t>
            </w:r>
          </w:p>
        </w:tc>
        <w:tc>
          <w:tcPr>
            <w:tcW w:w="3531" w:type="dxa"/>
            <w:tcBorders>
              <w:left w:val="single" w:color="auto" w:sz="8" w:space="0"/>
            </w:tcBorders>
            <w:vAlign w:val="center"/>
          </w:tcPr>
          <w:p>
            <w:pPr>
              <w:spacing w:line="360" w:lineRule="auto"/>
              <w:rPr>
                <w:szCs w:val="21"/>
              </w:rPr>
            </w:pPr>
            <w:r>
              <w:rPr>
                <w:szCs w:val="21"/>
              </w:rPr>
              <w:t>1</w:t>
            </w:r>
            <w:r>
              <w:rPr>
                <w:rFonts w:hint="eastAsia"/>
                <w:szCs w:val="21"/>
              </w:rPr>
              <w:t>、提供“</w:t>
            </w:r>
            <w:r>
              <w:rPr>
                <w:rFonts w:hint="eastAsia" w:cs="宋体" w:asciiTheme="minorEastAsia" w:hAnsiTheme="minorEastAsia" w:eastAsiaTheme="minorEastAsia"/>
                <w:szCs w:val="21"/>
              </w:rPr>
              <w:t>关于满足资格的承诺函”；</w:t>
            </w:r>
          </w:p>
          <w:p>
            <w:pPr>
              <w:spacing w:line="360" w:lineRule="auto"/>
              <w:rPr>
                <w:rFonts w:ascii="宋体" w:hAnsi="宋体"/>
                <w:szCs w:val="21"/>
              </w:rPr>
            </w:pPr>
            <w:r>
              <w:rPr>
                <w:szCs w:val="21"/>
              </w:rPr>
              <w:t>2</w:t>
            </w:r>
            <w:r>
              <w:rPr>
                <w:rFonts w:hint="eastAsia" w:ascii="宋体" w:hAnsi="宋体"/>
                <w:szCs w:val="21"/>
              </w:rPr>
              <w:t>、提供有效的“多证合一”的营业执照（未办理多证合一的提供营业执照、税务登记证、组织机构代码证）副本复印件。投标人如果有名称变更的，应提供由行政主管部门出具的变更证明文件。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80" w:type="dxa"/>
            <w:vMerge w:val="continue"/>
            <w:vAlign w:val="center"/>
          </w:tcPr>
          <w:p>
            <w:pPr>
              <w:spacing w:line="360" w:lineRule="auto"/>
              <w:jc w:val="center"/>
              <w:rPr>
                <w:rFonts w:ascii="宋体" w:hAnsi="宋体"/>
                <w:szCs w:val="21"/>
              </w:rPr>
            </w:pPr>
          </w:p>
        </w:tc>
        <w:tc>
          <w:tcPr>
            <w:tcW w:w="3685" w:type="dxa"/>
            <w:tcBorders>
              <w:right w:val="single" w:color="auto" w:sz="8" w:space="0"/>
            </w:tcBorders>
            <w:vAlign w:val="center"/>
          </w:tcPr>
          <w:p>
            <w:pPr>
              <w:spacing w:line="360" w:lineRule="auto"/>
              <w:rPr>
                <w:rFonts w:ascii="宋体" w:hAnsi="宋体"/>
                <w:szCs w:val="21"/>
              </w:rPr>
            </w:pPr>
            <w:r>
              <w:rPr>
                <w:rFonts w:hint="eastAsia"/>
                <w:szCs w:val="21"/>
              </w:rPr>
              <w:t>2</w:t>
            </w:r>
            <w:r>
              <w:rPr>
                <w:rFonts w:hint="eastAsia" w:ascii="宋体" w:hAnsi="宋体"/>
                <w:szCs w:val="21"/>
              </w:rPr>
              <w:t>、未被“信用中国”（</w:t>
            </w:r>
            <w:r>
              <w:rPr>
                <w:rFonts w:hint="eastAsia"/>
                <w:szCs w:val="21"/>
              </w:rPr>
              <w:t>www</w:t>
            </w:r>
            <w:r>
              <w:rPr>
                <w:rFonts w:hint="eastAsia" w:ascii="宋体" w:hAnsi="宋体"/>
                <w:szCs w:val="21"/>
              </w:rPr>
              <w:t>.</w:t>
            </w:r>
            <w:r>
              <w:rPr>
                <w:rFonts w:hint="eastAsia"/>
                <w:szCs w:val="21"/>
              </w:rPr>
              <w:t>creditchina</w:t>
            </w:r>
            <w:r>
              <w:rPr>
                <w:rFonts w:hint="eastAsia" w:ascii="宋体" w:hAnsi="宋体"/>
                <w:szCs w:val="21"/>
              </w:rPr>
              <w:t>.</w:t>
            </w:r>
            <w:r>
              <w:rPr>
                <w:rFonts w:hint="eastAsia"/>
                <w:szCs w:val="21"/>
              </w:rPr>
              <w:t>gov</w:t>
            </w:r>
            <w:r>
              <w:rPr>
                <w:rFonts w:hint="eastAsia" w:ascii="宋体" w:hAnsi="宋体"/>
                <w:szCs w:val="21"/>
              </w:rPr>
              <w:t>.</w:t>
            </w:r>
            <w:r>
              <w:rPr>
                <w:rFonts w:hint="eastAsia"/>
                <w:szCs w:val="21"/>
              </w:rPr>
              <w:t>cn</w:t>
            </w:r>
            <w:r>
              <w:rPr>
                <w:rFonts w:hint="eastAsia" w:ascii="宋体" w:hAnsi="宋体"/>
                <w:szCs w:val="21"/>
              </w:rPr>
              <w:t>)、中国政府采购网（</w:t>
            </w:r>
            <w:r>
              <w:rPr>
                <w:rFonts w:hint="eastAsia"/>
                <w:szCs w:val="21"/>
              </w:rPr>
              <w:t>www</w:t>
            </w:r>
            <w:r>
              <w:rPr>
                <w:rFonts w:hint="eastAsia" w:ascii="宋体" w:hAnsi="宋体"/>
                <w:szCs w:val="21"/>
              </w:rPr>
              <w:t>.</w:t>
            </w:r>
            <w:r>
              <w:rPr>
                <w:rFonts w:hint="eastAsia"/>
                <w:szCs w:val="21"/>
              </w:rPr>
              <w:t>ccgp</w:t>
            </w:r>
            <w:r>
              <w:rPr>
                <w:rFonts w:hint="eastAsia" w:ascii="宋体" w:hAnsi="宋体"/>
                <w:szCs w:val="21"/>
              </w:rPr>
              <w:t>.</w:t>
            </w:r>
            <w:r>
              <w:rPr>
                <w:rFonts w:hint="eastAsia"/>
                <w:szCs w:val="21"/>
              </w:rPr>
              <w:t>gov</w:t>
            </w:r>
            <w:r>
              <w:rPr>
                <w:rFonts w:hint="eastAsia" w:ascii="宋体" w:hAnsi="宋体"/>
                <w:szCs w:val="21"/>
              </w:rPr>
              <w:t>.</w:t>
            </w:r>
            <w:r>
              <w:rPr>
                <w:rFonts w:hint="eastAsia"/>
                <w:szCs w:val="21"/>
              </w:rPr>
              <w:t>cn</w:t>
            </w:r>
            <w:r>
              <w:rPr>
                <w:rFonts w:hint="eastAsia" w:ascii="宋体" w:hAnsi="宋体"/>
                <w:szCs w:val="21"/>
              </w:rPr>
              <w:t>）列入失信被执行人、重大税收违法案件当事人名单、政府采购严重违法失信行为记录名单。</w:t>
            </w:r>
          </w:p>
        </w:tc>
        <w:tc>
          <w:tcPr>
            <w:tcW w:w="3531" w:type="dxa"/>
            <w:tcBorders>
              <w:left w:val="single" w:color="auto" w:sz="8" w:space="0"/>
            </w:tcBorders>
            <w:vAlign w:val="center"/>
          </w:tcPr>
          <w:p>
            <w:pPr>
              <w:wordWrap w:val="0"/>
              <w:spacing w:line="360" w:lineRule="auto"/>
              <w:rPr>
                <w:rFonts w:ascii="宋体" w:hAnsi="宋体" w:cs="宋体"/>
                <w:szCs w:val="21"/>
              </w:rPr>
            </w:pPr>
            <w:r>
              <w:rPr>
                <w:rFonts w:hint="eastAsia" w:ascii="宋体" w:hAnsi="宋体" w:cs="宋体"/>
                <w:szCs w:val="21"/>
              </w:rPr>
              <w:t>根据财库【</w:t>
            </w:r>
            <w:r>
              <w:rPr>
                <w:rFonts w:hint="eastAsia" w:cs="宋体"/>
                <w:szCs w:val="21"/>
              </w:rPr>
              <w:t>2016</w:t>
            </w:r>
            <w:r>
              <w:rPr>
                <w:rFonts w:hint="eastAsia" w:ascii="宋体" w:hAnsi="宋体" w:cs="宋体"/>
                <w:szCs w:val="21"/>
              </w:rPr>
              <w:t>】</w:t>
            </w:r>
            <w:r>
              <w:rPr>
                <w:rFonts w:hint="eastAsia" w:cs="宋体"/>
                <w:szCs w:val="21"/>
              </w:rPr>
              <w:t>125</w:t>
            </w:r>
            <w:r>
              <w:rPr>
                <w:rFonts w:hint="eastAsia" w:ascii="宋体" w:hAnsi="宋体" w:cs="宋体"/>
                <w:szCs w:val="21"/>
              </w:rPr>
              <w:t>号文要求，采购人或采购代理机构对投标人的信用记录进行查询并甄别：</w:t>
            </w:r>
          </w:p>
          <w:p>
            <w:pPr>
              <w:wordWrap w:val="0"/>
              <w:spacing w:line="360" w:lineRule="auto"/>
              <w:rPr>
                <w:rFonts w:ascii="宋体" w:hAnsi="宋体" w:cs="宋体"/>
                <w:szCs w:val="21"/>
              </w:rPr>
            </w:pPr>
            <w:r>
              <w:rPr>
                <w:rFonts w:hint="eastAsia" w:cs="宋体"/>
                <w:szCs w:val="21"/>
              </w:rPr>
              <w:t>1</w:t>
            </w:r>
            <w:r>
              <w:rPr>
                <w:rFonts w:hint="eastAsia" w:ascii="宋体" w:hAnsi="宋体" w:cs="宋体"/>
                <w:szCs w:val="21"/>
              </w:rPr>
              <w:t>）信用信息查询的截止时点：投标截止时间；</w:t>
            </w:r>
          </w:p>
          <w:p>
            <w:pPr>
              <w:wordWrap w:val="0"/>
              <w:spacing w:line="360" w:lineRule="auto"/>
              <w:rPr>
                <w:rFonts w:ascii="宋体" w:hAnsi="宋体" w:cs="宋体"/>
                <w:szCs w:val="21"/>
              </w:rPr>
            </w:pPr>
            <w:r>
              <w:rPr>
                <w:rFonts w:hint="eastAsia" w:cs="宋体"/>
                <w:szCs w:val="21"/>
              </w:rPr>
              <w:t>2</w:t>
            </w:r>
            <w:r>
              <w:rPr>
                <w:rFonts w:hint="eastAsia" w:ascii="宋体" w:hAnsi="宋体" w:cs="宋体"/>
                <w:szCs w:val="21"/>
              </w:rPr>
              <w:t>）查询渠道：“信用中国”（</w:t>
            </w:r>
            <w:r>
              <w:rPr>
                <w:rFonts w:hint="eastAsia" w:cs="宋体"/>
                <w:szCs w:val="21"/>
              </w:rPr>
              <w:t>www</w:t>
            </w:r>
            <w:r>
              <w:rPr>
                <w:rFonts w:hint="eastAsia" w:ascii="宋体" w:hAnsi="宋体" w:cs="宋体"/>
                <w:szCs w:val="21"/>
              </w:rPr>
              <w:t>.</w:t>
            </w:r>
            <w:r>
              <w:rPr>
                <w:rFonts w:hint="eastAsia" w:cs="宋体"/>
                <w:szCs w:val="21"/>
              </w:rPr>
              <w:t>creditchina</w:t>
            </w:r>
            <w:r>
              <w:rPr>
                <w:rFonts w:hint="eastAsia" w:ascii="宋体" w:hAnsi="宋体" w:cs="宋体"/>
                <w:szCs w:val="21"/>
              </w:rPr>
              <w:t>.</w:t>
            </w:r>
            <w:r>
              <w:rPr>
                <w:rFonts w:hint="eastAsia" w:cs="宋体"/>
                <w:szCs w:val="21"/>
              </w:rPr>
              <w:t>gov</w:t>
            </w:r>
            <w:r>
              <w:rPr>
                <w:rFonts w:hint="eastAsia" w:ascii="宋体" w:hAnsi="宋体" w:cs="宋体"/>
                <w:szCs w:val="21"/>
              </w:rPr>
              <w:t>.</w:t>
            </w:r>
            <w:r>
              <w:rPr>
                <w:rFonts w:hint="eastAsia" w:cs="宋体"/>
                <w:szCs w:val="21"/>
              </w:rPr>
              <w:t>cn</w:t>
            </w:r>
            <w:r>
              <w:rPr>
                <w:rFonts w:hint="eastAsia" w:ascii="宋体" w:hAnsi="宋体" w:cs="宋体"/>
                <w:szCs w:val="21"/>
              </w:rPr>
              <w:t>)、中国政府采购网（</w:t>
            </w:r>
            <w:r>
              <w:rPr>
                <w:rFonts w:hint="eastAsia" w:cs="宋体"/>
                <w:szCs w:val="21"/>
              </w:rPr>
              <w:t>www</w:t>
            </w:r>
            <w:r>
              <w:rPr>
                <w:rFonts w:hint="eastAsia" w:ascii="宋体" w:hAnsi="宋体" w:cs="宋体"/>
                <w:szCs w:val="21"/>
              </w:rPr>
              <w:t>.</w:t>
            </w:r>
            <w:r>
              <w:rPr>
                <w:rFonts w:hint="eastAsia" w:cs="宋体"/>
                <w:szCs w:val="21"/>
              </w:rPr>
              <w:t>ccgp</w:t>
            </w:r>
            <w:r>
              <w:rPr>
                <w:rFonts w:hint="eastAsia" w:ascii="宋体" w:hAnsi="宋体" w:cs="宋体"/>
                <w:szCs w:val="21"/>
              </w:rPr>
              <w:t>.</w:t>
            </w:r>
            <w:r>
              <w:rPr>
                <w:rFonts w:hint="eastAsia" w:cs="宋体"/>
                <w:szCs w:val="21"/>
              </w:rPr>
              <w:t>gov</w:t>
            </w:r>
            <w:r>
              <w:rPr>
                <w:rFonts w:hint="eastAsia" w:ascii="宋体" w:hAnsi="宋体" w:cs="宋体"/>
                <w:szCs w:val="21"/>
              </w:rPr>
              <w:t>.</w:t>
            </w:r>
            <w:r>
              <w:rPr>
                <w:rFonts w:hint="eastAsia" w:cs="宋体"/>
                <w:szCs w:val="21"/>
              </w:rPr>
              <w:t>cn</w:t>
            </w:r>
            <w:r>
              <w:rPr>
                <w:rFonts w:hint="eastAsia" w:ascii="宋体" w:hAnsi="宋体" w:cs="宋体"/>
                <w:szCs w:val="21"/>
              </w:rPr>
              <w:t>）；</w:t>
            </w:r>
          </w:p>
          <w:p>
            <w:pPr>
              <w:wordWrap w:val="0"/>
              <w:spacing w:line="360" w:lineRule="auto"/>
              <w:rPr>
                <w:rFonts w:ascii="宋体" w:hAnsi="宋体" w:cs="宋体"/>
                <w:szCs w:val="21"/>
              </w:rPr>
            </w:pPr>
            <w:r>
              <w:rPr>
                <w:rFonts w:hint="eastAsia" w:cs="宋体"/>
                <w:szCs w:val="21"/>
              </w:rPr>
              <w:t>3</w:t>
            </w:r>
            <w:r>
              <w:rPr>
                <w:rFonts w:hint="eastAsia" w:ascii="宋体" w:hAnsi="宋体" w:cs="宋体"/>
                <w:szCs w:val="21"/>
              </w:rPr>
              <w:t>）信用信息查询记录和证据留存具体方式：打印查询网页并与其他采购文件一并保存；</w:t>
            </w:r>
          </w:p>
          <w:p>
            <w:pPr>
              <w:wordWrap w:val="0"/>
              <w:spacing w:line="360" w:lineRule="auto"/>
              <w:rPr>
                <w:rFonts w:ascii="宋体" w:hAnsi="宋体" w:cs="宋体"/>
                <w:szCs w:val="21"/>
              </w:rPr>
            </w:pPr>
            <w:r>
              <w:rPr>
                <w:rFonts w:hint="eastAsia" w:cs="宋体"/>
                <w:szCs w:val="21"/>
              </w:rPr>
              <w:t>4</w:t>
            </w:r>
            <w:r>
              <w:rPr>
                <w:rFonts w:hint="eastAsia" w:ascii="宋体" w:hAnsi="宋体" w:cs="宋体"/>
                <w:szCs w:val="21"/>
              </w:rPr>
              <w:t>）信用信息的使用规则：投标人存在不良信用记录的，其投标将被作为无效投标处理。不良信用记录指：被列入失信被执行人、重大税收违法案件当事人名单、政府采购严重违法失信行为记录名单。</w:t>
            </w:r>
          </w:p>
          <w:p>
            <w:pPr>
              <w:wordWrap w:val="0"/>
              <w:spacing w:line="360" w:lineRule="auto"/>
              <w:rPr>
                <w:rFonts w:ascii="宋体" w:hAnsi="宋体"/>
                <w:szCs w:val="21"/>
              </w:rPr>
            </w:pPr>
            <w:r>
              <w:rPr>
                <w:rFonts w:hint="eastAsia" w:ascii="宋体" w:hAnsi="宋体" w:cs="宋体"/>
                <w:szCs w:val="21"/>
              </w:rPr>
              <w:t>若在开标当天因不可抗力事件导致无法查询且一时无法恢复查询的，可在中标公示期间对中标候选人进行事后查询。中标候选人被列入失信被执行人、重大税收违法案件当事人名单、政府采购严重违法失信行为记录名单的，采购人将依法取消其中标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07" w:hRule="atLeast"/>
          <w:jc w:val="center"/>
        </w:trPr>
        <w:tc>
          <w:tcPr>
            <w:tcW w:w="1180" w:type="dxa"/>
            <w:vMerge w:val="continue"/>
            <w:vAlign w:val="center"/>
          </w:tcPr>
          <w:p>
            <w:pPr>
              <w:spacing w:line="360" w:lineRule="auto"/>
              <w:rPr>
                <w:rFonts w:ascii="宋体" w:hAnsi="宋体"/>
                <w:szCs w:val="21"/>
              </w:rPr>
            </w:pPr>
          </w:p>
        </w:tc>
        <w:tc>
          <w:tcPr>
            <w:tcW w:w="3685" w:type="dxa"/>
            <w:tcBorders>
              <w:right w:val="single" w:color="auto" w:sz="8" w:space="0"/>
            </w:tcBorders>
            <w:vAlign w:val="center"/>
          </w:tcPr>
          <w:p>
            <w:pPr>
              <w:spacing w:line="360" w:lineRule="auto"/>
              <w:rPr>
                <w:rFonts w:ascii="宋体" w:hAnsi="宋体"/>
                <w:szCs w:val="21"/>
              </w:rPr>
            </w:pPr>
            <w:r>
              <w:rPr>
                <w:rFonts w:hint="eastAsia"/>
                <w:szCs w:val="21"/>
              </w:rPr>
              <w:t>3</w:t>
            </w:r>
            <w:r>
              <w:rPr>
                <w:rFonts w:hint="eastAsia" w:ascii="宋体" w:hAnsi="宋体"/>
                <w:szCs w:val="21"/>
              </w:rPr>
              <w:t>、落实政府采购政策需满足的资格要求：</w:t>
            </w:r>
          </w:p>
        </w:tc>
        <w:tc>
          <w:tcPr>
            <w:tcW w:w="3531" w:type="dxa"/>
            <w:tcBorders>
              <w:left w:val="single" w:color="auto" w:sz="8" w:space="0"/>
            </w:tcBorders>
            <w:vAlign w:val="center"/>
          </w:tcPr>
          <w:p>
            <w:pPr>
              <w:spacing w:line="360" w:lineRule="auto"/>
              <w:rPr>
                <w:rFonts w:ascii="宋体" w:hAnsi="宋体"/>
                <w:szCs w:val="21"/>
              </w:rPr>
            </w:pPr>
            <w:r>
              <w:rPr>
                <w:rFonts w:hint="eastAsia" w:ascii="宋体" w:hAnsi="宋体"/>
                <w:szCs w:val="21"/>
              </w:rPr>
              <w:t>证明文件（如有）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80" w:type="dxa"/>
            <w:vMerge w:val="continue"/>
            <w:vAlign w:val="center"/>
          </w:tcPr>
          <w:p>
            <w:pPr>
              <w:spacing w:line="360" w:lineRule="auto"/>
              <w:rPr>
                <w:rFonts w:ascii="宋体" w:hAnsi="宋体"/>
                <w:szCs w:val="21"/>
              </w:rPr>
            </w:pPr>
          </w:p>
        </w:tc>
        <w:tc>
          <w:tcPr>
            <w:tcW w:w="3685" w:type="dxa"/>
            <w:tcBorders>
              <w:bottom w:val="single" w:color="auto" w:sz="8" w:space="0"/>
              <w:right w:val="single" w:color="auto" w:sz="8" w:space="0"/>
            </w:tcBorders>
            <w:vAlign w:val="center"/>
          </w:tcPr>
          <w:p>
            <w:pPr>
              <w:spacing w:line="360" w:lineRule="auto"/>
              <w:rPr>
                <w:rFonts w:ascii="宋体" w:hAnsi="宋体"/>
                <w:szCs w:val="21"/>
              </w:rPr>
            </w:pPr>
            <w:r>
              <w:rPr>
                <w:rFonts w:hint="eastAsia"/>
                <w:szCs w:val="21"/>
              </w:rPr>
              <w:t>4</w:t>
            </w:r>
            <w:r>
              <w:rPr>
                <w:rFonts w:hint="eastAsia" w:ascii="宋体" w:hAnsi="宋体"/>
                <w:szCs w:val="21"/>
              </w:rPr>
              <w:t>.本项目的特定资格要求：</w:t>
            </w:r>
          </w:p>
        </w:tc>
        <w:tc>
          <w:tcPr>
            <w:tcW w:w="3531" w:type="dxa"/>
            <w:tcBorders>
              <w:left w:val="single" w:color="auto" w:sz="8" w:space="0"/>
              <w:bottom w:val="single" w:color="auto" w:sz="8" w:space="0"/>
            </w:tcBorders>
            <w:vAlign w:val="center"/>
          </w:tcPr>
          <w:p>
            <w:pPr>
              <w:spacing w:line="360" w:lineRule="auto"/>
              <w:rPr>
                <w:rFonts w:ascii="宋体" w:hAnsi="宋体" w:cs="宋体"/>
                <w:szCs w:val="21"/>
              </w:rPr>
            </w:pPr>
            <w:r>
              <w:rPr>
                <w:rFonts w:hint="eastAsia" w:ascii="宋体" w:hAnsi="宋体" w:cs="宋体"/>
                <w:b/>
                <w:bCs/>
                <w:szCs w:val="21"/>
                <w:shd w:val="clear" w:color="auto" w:fill="FFFFFF"/>
              </w:rPr>
              <w:t>标项一</w:t>
            </w:r>
            <w:r>
              <w:rPr>
                <w:rFonts w:ascii="宋体" w:hAnsi="宋体" w:cs="宋体"/>
                <w:b/>
                <w:bCs/>
                <w:szCs w:val="21"/>
                <w:shd w:val="clear" w:color="auto" w:fill="FFFFFF"/>
              </w:rPr>
              <w:t>投标人具有测绘乙级及以上资质证书（专业类别：地理信息系统工程）。</w:t>
            </w:r>
            <w:r>
              <w:rPr>
                <w:rFonts w:hint="eastAsia" w:ascii="宋体" w:hAnsi="宋体" w:cs="宋体"/>
                <w:b/>
                <w:bCs/>
                <w:szCs w:val="21"/>
                <w:shd w:val="clear" w:color="auto" w:fill="FFFFFF"/>
              </w:rPr>
              <w:t>标项二无。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1180" w:type="dxa"/>
            <w:vAlign w:val="center"/>
          </w:tcPr>
          <w:p>
            <w:pPr>
              <w:spacing w:line="360" w:lineRule="auto"/>
              <w:rPr>
                <w:rFonts w:ascii="宋体" w:hAnsi="宋体"/>
                <w:szCs w:val="21"/>
              </w:rPr>
            </w:pPr>
          </w:p>
        </w:tc>
        <w:tc>
          <w:tcPr>
            <w:tcW w:w="3685" w:type="dxa"/>
            <w:tcBorders>
              <w:bottom w:val="single" w:color="auto" w:sz="8" w:space="0"/>
              <w:right w:val="single" w:color="auto" w:sz="8" w:space="0"/>
            </w:tcBorders>
            <w:vAlign w:val="center"/>
          </w:tcPr>
          <w:p>
            <w:pPr>
              <w:spacing w:line="360" w:lineRule="auto"/>
              <w:rPr>
                <w:szCs w:val="21"/>
              </w:rPr>
            </w:pPr>
            <w:r>
              <w:rPr>
                <w:rFonts w:hint="eastAsia"/>
                <w:szCs w:val="21"/>
              </w:rPr>
              <w:t>5.</w:t>
            </w:r>
            <w:r>
              <w:rPr>
                <w:rFonts w:hint="eastAsia" w:ascii="宋体" w:hAnsi="宋体"/>
                <w:szCs w:val="21"/>
              </w:rPr>
              <w:t>本次招标接受联合体投标。</w:t>
            </w:r>
          </w:p>
        </w:tc>
        <w:tc>
          <w:tcPr>
            <w:tcW w:w="3531" w:type="dxa"/>
            <w:tcBorders>
              <w:left w:val="single" w:color="auto" w:sz="8" w:space="0"/>
              <w:bottom w:val="single" w:color="auto" w:sz="8" w:space="0"/>
            </w:tcBorders>
            <w:vAlign w:val="center"/>
          </w:tcPr>
          <w:p>
            <w:pPr>
              <w:spacing w:line="360" w:lineRule="auto"/>
              <w:rPr>
                <w:rFonts w:ascii="宋体" w:hAnsi="宋体"/>
                <w:szCs w:val="21"/>
              </w:rPr>
            </w:pPr>
            <w:r>
              <w:rPr>
                <w:rFonts w:hint="eastAsia" w:ascii="宋体" w:hAnsi="宋体" w:cs="宋体"/>
                <w:bCs/>
                <w:szCs w:val="21"/>
              </w:rPr>
              <w:t>联合体成员个数（含牵头人）不得超过2个,采用联合体投标的需提供联合体协议；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4865" w:type="dxa"/>
            <w:gridSpan w:val="2"/>
            <w:tcBorders>
              <w:right w:val="single" w:color="auto" w:sz="8" w:space="0"/>
            </w:tcBorders>
            <w:vAlign w:val="center"/>
          </w:tcPr>
          <w:p>
            <w:pPr>
              <w:spacing w:line="360" w:lineRule="auto"/>
              <w:jc w:val="center"/>
              <w:rPr>
                <w:rFonts w:ascii="宋体" w:hAnsi="宋体"/>
                <w:szCs w:val="21"/>
              </w:rPr>
            </w:pPr>
            <w:r>
              <w:rPr>
                <w:rFonts w:hint="eastAsia" w:ascii="宋体" w:hAnsi="宋体"/>
                <w:szCs w:val="21"/>
              </w:rPr>
              <w:t>资格审查结论</w:t>
            </w:r>
          </w:p>
        </w:tc>
        <w:tc>
          <w:tcPr>
            <w:tcW w:w="3531" w:type="dxa"/>
            <w:tcBorders>
              <w:top w:val="single" w:color="auto" w:sz="8" w:space="0"/>
              <w:left w:val="single" w:color="auto" w:sz="8" w:space="0"/>
            </w:tcBorders>
            <w:vAlign w:val="center"/>
          </w:tcPr>
          <w:p>
            <w:pPr>
              <w:spacing w:line="360" w:lineRule="auto"/>
              <w:rPr>
                <w:rFonts w:ascii="宋体" w:hAnsi="宋体"/>
                <w:szCs w:val="21"/>
              </w:rPr>
            </w:pPr>
          </w:p>
        </w:tc>
      </w:tr>
    </w:tbl>
    <w:p>
      <w:pPr>
        <w:spacing w:line="360" w:lineRule="auto"/>
        <w:rPr>
          <w:rFonts w:ascii="宋体" w:hAnsi="宋体"/>
          <w:szCs w:val="21"/>
        </w:rPr>
      </w:pPr>
    </w:p>
    <w:p>
      <w:pPr>
        <w:spacing w:line="360" w:lineRule="auto"/>
        <w:rPr>
          <w:rFonts w:ascii="宋体" w:hAnsi="宋体" w:cs="宋体"/>
          <w:kern w:val="0"/>
          <w:szCs w:val="21"/>
        </w:rPr>
      </w:pPr>
      <w:r>
        <w:rPr>
          <w:rFonts w:hint="eastAsia"/>
          <w:szCs w:val="21"/>
        </w:rPr>
        <w:t>2</w:t>
      </w:r>
      <w:r>
        <w:rPr>
          <w:rFonts w:hint="eastAsia" w:ascii="宋体" w:hAnsi="宋体"/>
          <w:szCs w:val="21"/>
        </w:rPr>
        <w:t>．符合性检查：</w:t>
      </w:r>
      <w:r>
        <w:rPr>
          <w:rFonts w:hint="eastAsia" w:ascii="宋体" w:hAnsi="宋体" w:cs="宋体"/>
          <w:kern w:val="0"/>
          <w:szCs w:val="21"/>
        </w:rPr>
        <w:t>评标委员会应当对符合资格审查的投标人的投标文件进行符合性审查，以确定其是否满足采购文件的实质性要求。</w:t>
      </w:r>
      <w:r>
        <w:rPr>
          <w:rFonts w:hint="eastAsia" w:ascii="宋体" w:hAnsi="宋体"/>
          <w:b/>
          <w:szCs w:val="21"/>
        </w:rPr>
        <w:t>符合性审查中，有任意一项审查结论不合格的，作无效标处理。</w:t>
      </w:r>
    </w:p>
    <w:tbl>
      <w:tblPr>
        <w:tblStyle w:val="42"/>
        <w:tblW w:w="849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67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jc w:val="center"/>
        </w:trPr>
        <w:tc>
          <w:tcPr>
            <w:tcW w:w="1747" w:type="dxa"/>
          </w:tcPr>
          <w:p>
            <w:pPr>
              <w:spacing w:line="360" w:lineRule="auto"/>
              <w:jc w:val="center"/>
              <w:rPr>
                <w:rFonts w:ascii="宋体" w:hAnsi="宋体"/>
                <w:szCs w:val="21"/>
              </w:rPr>
            </w:pPr>
            <w:r>
              <w:rPr>
                <w:rFonts w:hint="eastAsia" w:ascii="宋体" w:hAnsi="宋体"/>
                <w:szCs w:val="21"/>
              </w:rPr>
              <w:t>审查类别</w:t>
            </w:r>
          </w:p>
        </w:tc>
        <w:tc>
          <w:tcPr>
            <w:tcW w:w="6749" w:type="dxa"/>
          </w:tcPr>
          <w:p>
            <w:pPr>
              <w:spacing w:line="360" w:lineRule="auto"/>
              <w:jc w:val="center"/>
              <w:rPr>
                <w:rFonts w:ascii="宋体" w:hAnsi="宋体"/>
                <w:szCs w:val="21"/>
              </w:rPr>
            </w:pPr>
            <w:r>
              <w:rPr>
                <w:rFonts w:hint="eastAsia" w:ascii="宋体" w:hAnsi="宋体"/>
                <w:szCs w:val="21"/>
              </w:rPr>
              <w:t>审查内容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restart"/>
            <w:vAlign w:val="center"/>
          </w:tcPr>
          <w:p>
            <w:pPr>
              <w:spacing w:line="360" w:lineRule="auto"/>
              <w:jc w:val="center"/>
              <w:rPr>
                <w:rFonts w:ascii="宋体" w:hAnsi="宋体"/>
                <w:szCs w:val="21"/>
              </w:rPr>
            </w:pPr>
            <w:r>
              <w:rPr>
                <w:rFonts w:hint="eastAsia" w:ascii="宋体" w:hAnsi="宋体"/>
                <w:szCs w:val="21"/>
              </w:rPr>
              <w:t>符合性审查</w:t>
            </w:r>
          </w:p>
        </w:tc>
        <w:tc>
          <w:tcPr>
            <w:tcW w:w="6749" w:type="dxa"/>
            <w:vAlign w:val="center"/>
          </w:tcPr>
          <w:p>
            <w:pPr>
              <w:tabs>
                <w:tab w:val="left" w:pos="612"/>
              </w:tabs>
              <w:spacing w:before="156" w:beforeLines="50" w:after="156" w:afterLines="50" w:line="360" w:lineRule="auto"/>
              <w:rPr>
                <w:rFonts w:ascii="宋体" w:hAnsi="宋体" w:cs="宋体"/>
                <w:szCs w:val="21"/>
              </w:rPr>
            </w:pPr>
            <w:r>
              <w:rPr>
                <w:rFonts w:hint="eastAsia" w:ascii="宋体" w:hAnsi="宋体" w:cs="宋体"/>
                <w:kern w:val="0"/>
                <w:szCs w:val="21"/>
              </w:rPr>
              <w:t>投标文件的组成是否符合采购文件的要求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tabs>
                <w:tab w:val="left" w:pos="612"/>
              </w:tabs>
              <w:spacing w:before="156" w:beforeLines="50" w:after="156" w:afterLines="50" w:line="360" w:lineRule="auto"/>
              <w:rPr>
                <w:rFonts w:ascii="宋体" w:hAnsi="宋体" w:cs="宋体"/>
                <w:szCs w:val="21"/>
              </w:rPr>
            </w:pPr>
            <w:r>
              <w:rPr>
                <w:rFonts w:hint="eastAsia" w:ascii="宋体" w:hAnsi="宋体" w:cs="宋体"/>
                <w:kern w:val="0"/>
                <w:szCs w:val="21"/>
              </w:rPr>
              <w:t>投标有效期是否符合采购文件要求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tabs>
                <w:tab w:val="left" w:pos="612"/>
              </w:tabs>
              <w:spacing w:before="156" w:beforeLines="50" w:after="156" w:afterLines="50"/>
              <w:rPr>
                <w:rFonts w:ascii="宋体" w:hAnsi="宋体" w:cs="宋体"/>
              </w:rPr>
            </w:pPr>
            <w:r>
              <w:rPr>
                <w:rFonts w:hint="eastAsia" w:ascii="宋体" w:hAnsi="宋体" w:cs="宋体"/>
              </w:rPr>
              <w:t>投标文件是否按照采购文件规定要求签署、盖章且投标文件是否有法定代表人</w:t>
            </w:r>
            <w:r>
              <w:rPr>
                <w:rFonts w:hint="eastAsia" w:ascii="宋体" w:hAnsi="宋体" w:cs="宋体"/>
                <w:szCs w:val="21"/>
                <w:lang w:eastAsia="zh-TW"/>
              </w:rPr>
              <w:t>签署本人姓名（或印盖本人姓名章）</w:t>
            </w:r>
            <w:r>
              <w:rPr>
                <w:rFonts w:hint="eastAsia" w:ascii="宋体" w:hAnsi="宋体" w:cs="宋体"/>
              </w:rPr>
              <w:t>，或</w:t>
            </w:r>
            <w:r>
              <w:rPr>
                <w:rFonts w:hint="eastAsia" w:ascii="宋体" w:hAnsi="宋体" w:cs="宋体"/>
                <w:szCs w:val="21"/>
                <w:lang w:eastAsia="zh-TW"/>
              </w:rPr>
              <w:t>签署</w:t>
            </w:r>
            <w:r>
              <w:rPr>
                <w:rFonts w:hint="eastAsia" w:ascii="宋体" w:hAnsi="宋体" w:cs="宋体"/>
              </w:rPr>
              <w:t>人有法定代表人有效授权书的；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tabs>
                <w:tab w:val="left" w:pos="612"/>
              </w:tabs>
              <w:spacing w:before="156" w:beforeLines="50" w:after="156" w:afterLines="50" w:line="360" w:lineRule="auto"/>
              <w:rPr>
                <w:rFonts w:ascii="宋体" w:hAnsi="宋体" w:cs="宋体"/>
                <w:kern w:val="0"/>
                <w:szCs w:val="21"/>
              </w:rPr>
            </w:pPr>
            <w:r>
              <w:rPr>
                <w:rFonts w:hint="eastAsia" w:ascii="宋体" w:hAnsi="宋体" w:cs="宋体"/>
                <w:szCs w:val="21"/>
              </w:rPr>
              <w:t>投标文件是否满足采购文件的实质性条款（即标注★号条款）无负偏离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tabs>
                <w:tab w:val="left" w:pos="612"/>
              </w:tabs>
              <w:spacing w:before="156" w:beforeLines="50" w:after="156" w:afterLines="50" w:line="360" w:lineRule="auto"/>
              <w:rPr>
                <w:rFonts w:ascii="宋体" w:hAnsi="宋体" w:cs="宋体"/>
                <w:szCs w:val="21"/>
              </w:rPr>
            </w:pPr>
            <w:r>
              <w:rPr>
                <w:rFonts w:hint="eastAsia" w:ascii="宋体" w:hAnsi="宋体" w:cs="宋体"/>
                <w:szCs w:val="21"/>
              </w:rPr>
              <w:t>投标报价是否超过采购文件中规定的采购预算金额或者最高限价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spacing w:before="156" w:beforeLines="50" w:after="156" w:afterLines="50" w:line="360" w:lineRule="auto"/>
              <w:rPr>
                <w:rFonts w:ascii="宋体" w:hAnsi="宋体" w:cs="宋体"/>
                <w:szCs w:val="21"/>
              </w:rPr>
            </w:pPr>
            <w:r>
              <w:rPr>
                <w:rFonts w:hint="eastAsia" w:ascii="宋体" w:hAnsi="宋体" w:cs="宋体"/>
                <w:szCs w:val="21"/>
              </w:rPr>
              <w:t>投标文件是否有采购文件中规定的其它无效投标条款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Merge w:val="continue"/>
          </w:tcPr>
          <w:p>
            <w:pPr>
              <w:spacing w:line="360" w:lineRule="auto"/>
              <w:rPr>
                <w:rFonts w:ascii="宋体" w:hAnsi="宋体"/>
                <w:szCs w:val="21"/>
              </w:rPr>
            </w:pPr>
          </w:p>
        </w:tc>
        <w:tc>
          <w:tcPr>
            <w:tcW w:w="6749" w:type="dxa"/>
            <w:vAlign w:val="center"/>
          </w:tcPr>
          <w:p>
            <w:pPr>
              <w:spacing w:before="156" w:beforeLines="50" w:after="156" w:afterLines="50" w:line="360" w:lineRule="auto"/>
              <w:rPr>
                <w:rFonts w:ascii="宋体" w:hAnsi="宋体" w:cs="宋体"/>
                <w:szCs w:val="21"/>
              </w:rPr>
            </w:pPr>
            <w:r>
              <w:rPr>
                <w:rFonts w:hint="eastAsia" w:ascii="宋体" w:hAnsi="宋体" w:cs="宋体"/>
                <w:szCs w:val="21"/>
              </w:rPr>
              <w:t>按有关法律、法规、规章是否属于投标无效的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360" w:lineRule="auto"/>
              <w:jc w:val="center"/>
              <w:rPr>
                <w:rFonts w:ascii="宋体" w:hAnsi="宋体"/>
                <w:szCs w:val="21"/>
              </w:rPr>
            </w:pPr>
            <w:r>
              <w:rPr>
                <w:rFonts w:hint="eastAsia" w:ascii="宋体" w:hAnsi="宋体"/>
                <w:szCs w:val="21"/>
              </w:rPr>
              <w:t>符合性审查结论</w:t>
            </w:r>
          </w:p>
        </w:tc>
        <w:tc>
          <w:tcPr>
            <w:tcW w:w="6749" w:type="dxa"/>
            <w:vAlign w:val="center"/>
          </w:tcPr>
          <w:p>
            <w:pPr>
              <w:spacing w:before="156" w:beforeLines="50" w:after="156" w:afterLines="50" w:line="360" w:lineRule="auto"/>
              <w:rPr>
                <w:rFonts w:ascii="宋体" w:hAnsi="宋体" w:cs="宋体"/>
                <w:szCs w:val="21"/>
              </w:rPr>
            </w:pPr>
          </w:p>
        </w:tc>
      </w:tr>
    </w:tbl>
    <w:p>
      <w:pPr>
        <w:spacing w:line="360" w:lineRule="auto"/>
        <w:rPr>
          <w:szCs w:val="21"/>
        </w:rPr>
      </w:pPr>
    </w:p>
    <w:p>
      <w:pPr>
        <w:spacing w:line="360" w:lineRule="auto"/>
        <w:rPr>
          <w:rFonts w:ascii="宋体" w:hAnsi="宋体"/>
          <w:szCs w:val="21"/>
        </w:rPr>
      </w:pPr>
      <w:r>
        <w:rPr>
          <w:rFonts w:hint="eastAsia"/>
          <w:szCs w:val="21"/>
        </w:rPr>
        <w:t>3</w:t>
      </w:r>
      <w:r>
        <w:rPr>
          <w:rFonts w:hint="eastAsia" w:ascii="宋体" w:hAnsi="宋体"/>
          <w:szCs w:val="21"/>
        </w:rPr>
        <w:t>．比较与评价：评标委员会对资格审查、符合性审查合格的投标文件，依照本办法“七、评分标准”对投标文件作进一步评审、比较，判定其偏差性质和程度。评标委员会成员经过阅标、审标和询标，对各投标人进行打分。</w:t>
      </w:r>
    </w:p>
    <w:p>
      <w:pPr>
        <w:spacing w:line="360" w:lineRule="auto"/>
        <w:rPr>
          <w:rFonts w:ascii="宋体" w:hAnsi="宋体"/>
          <w:szCs w:val="21"/>
        </w:rPr>
      </w:pPr>
      <w:r>
        <w:rPr>
          <w:rFonts w:hint="eastAsia"/>
          <w:szCs w:val="21"/>
        </w:rPr>
        <w:t>4</w:t>
      </w:r>
      <w:r>
        <w:rPr>
          <w:rFonts w:hint="eastAsia" w:ascii="宋体" w:hAnsi="宋体"/>
          <w:szCs w:val="21"/>
        </w:rPr>
        <w:t>．最终得分及排序：</w:t>
      </w:r>
      <w:r>
        <w:rPr>
          <w:rFonts w:hint="eastAsia" w:ascii="宋体" w:hAnsi="宋体" w:cs="宋体"/>
          <w:szCs w:val="21"/>
        </w:rPr>
        <w:t>评标委员会成员独立按照评分标准（兼评委打分表）规定的内容和分值设置，对各投标文件分别打分汇总后计算平均分（小数点后保留两位数），即为各投标人的综合得分。</w:t>
      </w:r>
      <w:r>
        <w:rPr>
          <w:rFonts w:hint="eastAsia" w:ascii="宋体" w:hAnsi="宋体" w:cs="宋体"/>
          <w:kern w:val="0"/>
          <w:szCs w:val="21"/>
        </w:rPr>
        <w:t>评标结果按评审后得分由高到低顺序排列。得分相同的，按投标报价由低到高顺序排列。得分且投标报价相同的并列。</w:t>
      </w:r>
    </w:p>
    <w:p>
      <w:pPr>
        <w:spacing w:line="360" w:lineRule="auto"/>
        <w:rPr>
          <w:rFonts w:ascii="宋体" w:hAnsi="宋体"/>
          <w:szCs w:val="21"/>
        </w:rPr>
      </w:pPr>
      <w:r>
        <w:rPr>
          <w:rFonts w:hint="eastAsia"/>
          <w:szCs w:val="21"/>
        </w:rPr>
        <w:t>5</w:t>
      </w:r>
      <w:r>
        <w:rPr>
          <w:rFonts w:hint="eastAsia" w:ascii="宋体" w:hAnsi="宋体"/>
          <w:szCs w:val="21"/>
        </w:rPr>
        <w:t>．推荐中标候选人原则：</w:t>
      </w:r>
      <w:r>
        <w:rPr>
          <w:rFonts w:hint="eastAsia" w:ascii="宋体" w:hAnsi="宋体" w:cs="宋体"/>
          <w:kern w:val="0"/>
          <w:szCs w:val="21"/>
        </w:rPr>
        <w:t>投标文件满足采购文件全部实质性要求，且按照评审因素的量化指标评审得分最高的投标人为排名第一的中标候选人。</w:t>
      </w:r>
    </w:p>
    <w:p>
      <w:pPr>
        <w:spacing w:line="360" w:lineRule="auto"/>
        <w:rPr>
          <w:rFonts w:ascii="宋体" w:hAnsi="宋体"/>
          <w:szCs w:val="21"/>
        </w:rPr>
      </w:pPr>
      <w:r>
        <w:rPr>
          <w:rFonts w:hint="eastAsia"/>
          <w:szCs w:val="21"/>
        </w:rPr>
        <w:t>6</w:t>
      </w:r>
      <w:r>
        <w:rPr>
          <w:rFonts w:hint="eastAsia" w:ascii="宋体" w:hAnsi="宋体"/>
          <w:szCs w:val="21"/>
        </w:rPr>
        <w:t>．确定中标人：采购代理机构应当自评标结束之日起</w:t>
      </w:r>
      <w:r>
        <w:rPr>
          <w:rFonts w:hint="eastAsia"/>
          <w:szCs w:val="21"/>
        </w:rPr>
        <w:t>2</w:t>
      </w:r>
      <w:r>
        <w:rPr>
          <w:rFonts w:hint="eastAsia" w:ascii="宋体" w:hAnsi="宋体"/>
          <w:szCs w:val="21"/>
        </w:rPr>
        <w:t>个工作日内将评标报告送交采购人。采购人应当自收到评标报告之日起</w:t>
      </w:r>
      <w:r>
        <w:rPr>
          <w:rFonts w:hint="eastAsia"/>
          <w:szCs w:val="21"/>
        </w:rPr>
        <w:t>5</w:t>
      </w:r>
      <w:r>
        <w:rPr>
          <w:rFonts w:hint="eastAsia" w:ascii="宋体" w:hAnsi="宋体"/>
          <w:szCs w:val="21"/>
        </w:rPr>
        <w:t>个工作日内在评标报告确定的中标候选人名单中按顺序确定中标人。中标人因不可抗力或者自身原因不能履行政府采购合同的，采购人应重新组织招标。</w:t>
      </w:r>
    </w:p>
    <w:p>
      <w:pPr>
        <w:spacing w:line="360" w:lineRule="exact"/>
        <w:rPr>
          <w:rFonts w:ascii="宋体" w:hAnsi="宋体" w:cs="宋体"/>
          <w:szCs w:val="21"/>
        </w:rPr>
      </w:pPr>
    </w:p>
    <w:p>
      <w:pPr>
        <w:widowControl/>
        <w:tabs>
          <w:tab w:val="left" w:pos="0"/>
          <w:tab w:val="left" w:pos="723"/>
        </w:tabs>
        <w:spacing w:line="360" w:lineRule="auto"/>
        <w:jc w:val="left"/>
        <w:rPr>
          <w:rFonts w:ascii="宋体" w:hAnsi="宋体"/>
          <w:b/>
          <w:szCs w:val="21"/>
        </w:rPr>
      </w:pPr>
      <w:r>
        <w:rPr>
          <w:rFonts w:hint="eastAsia" w:ascii="宋体" w:hAnsi="宋体"/>
          <w:b/>
          <w:szCs w:val="21"/>
        </w:rPr>
        <w:t>四、澄清问题的形式</w:t>
      </w:r>
    </w:p>
    <w:p>
      <w:pPr>
        <w:spacing w:line="360" w:lineRule="auto"/>
        <w:ind w:firstLine="420" w:firstLineChars="200"/>
        <w:rPr>
          <w:rFonts w:ascii="宋体" w:hAnsi="宋体"/>
          <w:szCs w:val="21"/>
        </w:rPr>
      </w:pPr>
      <w:r>
        <w:rPr>
          <w:rFonts w:hint="eastAsia" w:ascii="宋体" w:hAnsi="宋体"/>
          <w:szCs w:val="21"/>
        </w:rPr>
        <w:t>对投标文件中含义不明确、同类问题表述不一致或者有明显文字和计算错误的内容，评标委员会可要求投标人作出必要的澄清、说明或者纠正。投标人的澄清、说明或者补正应当采用书面形式，由其授权代表签字或盖章确认，并不得超出投标文件的范围或者改变投标文件的实质性内容。</w:t>
      </w:r>
    </w:p>
    <w:p>
      <w:pPr>
        <w:spacing w:line="360" w:lineRule="auto"/>
        <w:ind w:firstLine="420" w:firstLineChars="200"/>
        <w:rPr>
          <w:rFonts w:ascii="宋体" w:hAnsi="宋体"/>
          <w:szCs w:val="21"/>
        </w:rPr>
      </w:pPr>
    </w:p>
    <w:p>
      <w:pPr>
        <w:widowControl/>
        <w:tabs>
          <w:tab w:val="left" w:pos="0"/>
          <w:tab w:val="left" w:pos="723"/>
        </w:tabs>
        <w:spacing w:line="360" w:lineRule="auto"/>
        <w:jc w:val="left"/>
        <w:rPr>
          <w:rFonts w:ascii="宋体" w:hAnsi="宋体"/>
          <w:b/>
          <w:szCs w:val="21"/>
        </w:rPr>
      </w:pPr>
      <w:r>
        <w:rPr>
          <w:rFonts w:ascii="宋体" w:hAnsi="宋体"/>
          <w:b/>
          <w:szCs w:val="21"/>
        </w:rPr>
        <w:t>五</w:t>
      </w:r>
      <w:r>
        <w:rPr>
          <w:rFonts w:hint="eastAsia" w:ascii="宋体" w:hAnsi="宋体"/>
          <w:b/>
          <w:szCs w:val="21"/>
        </w:rPr>
        <w:t>、</w:t>
      </w:r>
      <w:r>
        <w:rPr>
          <w:rFonts w:ascii="宋体" w:hAnsi="宋体"/>
          <w:b/>
          <w:szCs w:val="21"/>
        </w:rPr>
        <w:t>错误修正</w:t>
      </w:r>
    </w:p>
    <w:p>
      <w:pPr>
        <w:spacing w:line="360" w:lineRule="auto"/>
        <w:ind w:firstLine="420" w:firstLineChars="200"/>
        <w:rPr>
          <w:rFonts w:ascii="宋体" w:hAnsi="宋体"/>
          <w:szCs w:val="21"/>
        </w:rPr>
      </w:pPr>
      <w:r>
        <w:rPr>
          <w:rFonts w:hint="eastAsia" w:ascii="宋体" w:hAnsi="宋体"/>
          <w:szCs w:val="21"/>
        </w:rPr>
        <w:t>投标文件报价出现前后不一致的，按照下列规定修正：</w:t>
      </w:r>
    </w:p>
    <w:p>
      <w:pPr>
        <w:spacing w:line="360" w:lineRule="auto"/>
        <w:ind w:firstLine="420" w:firstLineChars="200"/>
        <w:rPr>
          <w:rFonts w:ascii="宋体" w:hAnsi="宋体"/>
          <w:szCs w:val="21"/>
        </w:rPr>
      </w:pPr>
      <w:r>
        <w:rPr>
          <w:rFonts w:hint="eastAsia"/>
          <w:szCs w:val="21"/>
        </w:rPr>
        <w:t>1</w:t>
      </w:r>
      <w:r>
        <w:rPr>
          <w:rFonts w:hint="eastAsia" w:ascii="宋体" w:hAnsi="宋体"/>
          <w:szCs w:val="21"/>
        </w:rPr>
        <w:t>.投标文件中开标一览表内容与投标文件中相应内容不一致的，以开标一览表为准；</w:t>
      </w:r>
    </w:p>
    <w:p>
      <w:pPr>
        <w:spacing w:line="360" w:lineRule="auto"/>
        <w:ind w:firstLine="420" w:firstLineChars="200"/>
        <w:rPr>
          <w:rFonts w:ascii="宋体" w:hAnsi="宋体"/>
          <w:szCs w:val="21"/>
        </w:rPr>
      </w:pPr>
      <w:r>
        <w:rPr>
          <w:rFonts w:hint="eastAsia"/>
          <w:szCs w:val="21"/>
        </w:rPr>
        <w:t>2</w:t>
      </w:r>
      <w:r>
        <w:rPr>
          <w:rFonts w:hint="eastAsia" w:ascii="宋体" w:hAnsi="宋体"/>
          <w:szCs w:val="21"/>
        </w:rPr>
        <w:t>.大写金额和小写金额不一致的，以大写金额为准；</w:t>
      </w:r>
    </w:p>
    <w:p>
      <w:pPr>
        <w:spacing w:line="360" w:lineRule="auto"/>
        <w:ind w:firstLine="420" w:firstLineChars="200"/>
        <w:rPr>
          <w:rFonts w:ascii="宋体" w:hAnsi="宋体"/>
          <w:szCs w:val="21"/>
        </w:rPr>
      </w:pPr>
      <w:r>
        <w:rPr>
          <w:rFonts w:hint="eastAsia"/>
          <w:szCs w:val="21"/>
        </w:rPr>
        <w:t>3</w:t>
      </w:r>
      <w:r>
        <w:rPr>
          <w:rFonts w:hint="eastAsia" w:ascii="宋体" w:hAnsi="宋体"/>
          <w:szCs w:val="21"/>
        </w:rPr>
        <w:t>.单价金额小数点或者百分比有明显错位的，以开标一览表的总价为准，并修改单价；</w:t>
      </w:r>
    </w:p>
    <w:p>
      <w:pPr>
        <w:spacing w:line="360" w:lineRule="auto"/>
        <w:ind w:firstLine="420" w:firstLineChars="200"/>
        <w:rPr>
          <w:rFonts w:ascii="宋体" w:hAnsi="宋体"/>
          <w:szCs w:val="21"/>
        </w:rPr>
      </w:pPr>
      <w:r>
        <w:rPr>
          <w:rFonts w:hint="eastAsia"/>
          <w:szCs w:val="21"/>
        </w:rPr>
        <w:t>4</w:t>
      </w:r>
      <w:r>
        <w:rPr>
          <w:rFonts w:hint="eastAsia" w:ascii="宋体" w:hAnsi="宋体"/>
          <w:szCs w:val="21"/>
        </w:rPr>
        <w:t>.总价金额与按单价汇总金额不一致的，以单价金额计算结果为准。</w:t>
      </w:r>
    </w:p>
    <w:p>
      <w:pPr>
        <w:spacing w:line="360" w:lineRule="auto"/>
        <w:ind w:firstLine="420" w:firstLineChars="200"/>
        <w:rPr>
          <w:rFonts w:ascii="宋体" w:hAnsi="宋体"/>
          <w:szCs w:val="21"/>
        </w:rPr>
      </w:pPr>
      <w:r>
        <w:rPr>
          <w:rFonts w:hint="eastAsia" w:ascii="宋体" w:hAnsi="宋体"/>
          <w:szCs w:val="21"/>
        </w:rPr>
        <w:t>同时出现两种以上不一致的，按照前款规定的顺序修正。修正后的报价按照投标文件澄清第二款的规定经投标人确认后产生约束力，投标人不确认的，其投标无效。</w:t>
      </w:r>
    </w:p>
    <w:p>
      <w:pPr>
        <w:widowControl/>
        <w:tabs>
          <w:tab w:val="left" w:pos="0"/>
          <w:tab w:val="left" w:pos="723"/>
        </w:tabs>
        <w:spacing w:line="360" w:lineRule="auto"/>
        <w:jc w:val="left"/>
        <w:rPr>
          <w:rFonts w:ascii="宋体" w:hAnsi="宋体"/>
          <w:b/>
          <w:szCs w:val="21"/>
        </w:rPr>
      </w:pPr>
    </w:p>
    <w:p>
      <w:pPr>
        <w:widowControl/>
        <w:tabs>
          <w:tab w:val="left" w:pos="0"/>
          <w:tab w:val="left" w:pos="723"/>
        </w:tabs>
        <w:spacing w:line="360" w:lineRule="auto"/>
        <w:jc w:val="left"/>
        <w:rPr>
          <w:rFonts w:ascii="宋体" w:hAnsi="宋体"/>
          <w:b/>
          <w:szCs w:val="21"/>
        </w:rPr>
      </w:pPr>
      <w:r>
        <w:rPr>
          <w:rFonts w:hint="eastAsia" w:ascii="宋体" w:hAnsi="宋体"/>
          <w:b/>
          <w:szCs w:val="21"/>
        </w:rPr>
        <w:t>六、其它投标无效的情形</w:t>
      </w:r>
    </w:p>
    <w:p>
      <w:pPr>
        <w:spacing w:line="360" w:lineRule="auto"/>
        <w:ind w:firstLine="420" w:firstLineChars="200"/>
        <w:rPr>
          <w:rFonts w:ascii="宋体" w:hAnsi="宋体"/>
          <w:szCs w:val="21"/>
        </w:rPr>
      </w:pPr>
      <w:r>
        <w:rPr>
          <w:rFonts w:hint="eastAsia"/>
          <w:szCs w:val="21"/>
        </w:rPr>
        <w:t>1</w:t>
      </w:r>
      <w:r>
        <w:rPr>
          <w:rFonts w:hint="eastAsia" w:ascii="宋体" w:hAnsi="宋体"/>
          <w:szCs w:val="21"/>
        </w:rPr>
        <w:t>、未提供或未如实提供投标货物的技术参数，或者投标文件标明的响应或偏离与事实不符或虚假投标的；</w:t>
      </w:r>
    </w:p>
    <w:p>
      <w:pPr>
        <w:spacing w:line="360" w:lineRule="auto"/>
        <w:ind w:firstLine="420" w:firstLineChars="200"/>
        <w:rPr>
          <w:rFonts w:ascii="宋体" w:hAnsi="宋体"/>
          <w:szCs w:val="21"/>
        </w:rPr>
      </w:pPr>
      <w:r>
        <w:rPr>
          <w:rFonts w:hint="eastAsia"/>
          <w:szCs w:val="21"/>
        </w:rPr>
        <w:t>2</w:t>
      </w:r>
      <w:r>
        <w:rPr>
          <w:rFonts w:hint="eastAsia" w:ascii="宋体" w:hAnsi="宋体"/>
          <w:szCs w:val="21"/>
        </w:rPr>
        <w:t>、投标技术方案不明确，存在一个或一个以上备选（替代）投标方案的；</w:t>
      </w:r>
    </w:p>
    <w:p>
      <w:pPr>
        <w:spacing w:line="360" w:lineRule="auto"/>
        <w:ind w:firstLine="420" w:firstLineChars="200"/>
        <w:rPr>
          <w:rFonts w:ascii="宋体" w:hAnsi="宋体"/>
          <w:szCs w:val="21"/>
        </w:rPr>
      </w:pPr>
      <w:r>
        <w:rPr>
          <w:rFonts w:hint="eastAsia"/>
          <w:szCs w:val="21"/>
        </w:rPr>
        <w:t>3</w:t>
      </w:r>
      <w:r>
        <w:rPr>
          <w:rFonts w:hint="eastAsia" w:ascii="宋体" w:hAnsi="宋体"/>
          <w:szCs w:val="21"/>
        </w:rPr>
        <w:t>、未采用投标文件要求的报价形式报价的；</w:t>
      </w:r>
    </w:p>
    <w:p>
      <w:pPr>
        <w:spacing w:line="360" w:lineRule="auto"/>
        <w:ind w:firstLine="420" w:firstLineChars="200"/>
        <w:rPr>
          <w:rFonts w:ascii="宋体" w:hAnsi="宋体"/>
          <w:szCs w:val="21"/>
        </w:rPr>
      </w:pPr>
      <w:r>
        <w:rPr>
          <w:rFonts w:hint="eastAsia"/>
          <w:szCs w:val="21"/>
        </w:rPr>
        <w:t>4</w:t>
      </w:r>
      <w:r>
        <w:rPr>
          <w:rFonts w:hint="eastAsia" w:ascii="宋体" w:hAnsi="宋体"/>
          <w:szCs w:val="21"/>
        </w:rPr>
        <w:t>、投标报价具有选择性；</w:t>
      </w:r>
    </w:p>
    <w:p>
      <w:pPr>
        <w:spacing w:line="360" w:lineRule="auto"/>
        <w:ind w:firstLine="420" w:firstLineChars="200"/>
        <w:rPr>
          <w:rFonts w:ascii="宋体" w:hAnsi="宋体"/>
          <w:szCs w:val="21"/>
        </w:rPr>
      </w:pPr>
      <w:r>
        <w:rPr>
          <w:rFonts w:hint="eastAsia"/>
          <w:szCs w:val="21"/>
        </w:rPr>
        <w:t>5</w:t>
      </w:r>
      <w:r>
        <w:rPr>
          <w:rFonts w:hint="eastAsia" w:ascii="宋体" w:hAnsi="宋体"/>
          <w:szCs w:val="21"/>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w:t>
      </w:r>
    </w:p>
    <w:p>
      <w:pPr>
        <w:spacing w:line="360" w:lineRule="auto"/>
        <w:ind w:firstLine="420" w:firstLineChars="200"/>
        <w:rPr>
          <w:rFonts w:ascii="宋体" w:hAnsi="宋体"/>
          <w:szCs w:val="21"/>
        </w:rPr>
      </w:pPr>
      <w:r>
        <w:rPr>
          <w:rFonts w:hint="eastAsia"/>
          <w:szCs w:val="21"/>
        </w:rPr>
        <w:t>6</w:t>
      </w:r>
      <w:r>
        <w:rPr>
          <w:rFonts w:hint="eastAsia" w:ascii="宋体" w:hAnsi="宋体"/>
          <w:szCs w:val="21"/>
        </w:rPr>
        <w:t>、采购文件规定的其他无效情形。</w:t>
      </w:r>
    </w:p>
    <w:p>
      <w:pPr>
        <w:widowControl/>
        <w:tabs>
          <w:tab w:val="left" w:pos="0"/>
          <w:tab w:val="left" w:pos="723"/>
        </w:tabs>
        <w:spacing w:line="360" w:lineRule="auto"/>
        <w:jc w:val="left"/>
        <w:rPr>
          <w:rFonts w:ascii="宋体" w:hAnsi="宋体"/>
          <w:b/>
          <w:szCs w:val="21"/>
        </w:rPr>
      </w:pPr>
    </w:p>
    <w:p>
      <w:pPr>
        <w:widowControl/>
        <w:tabs>
          <w:tab w:val="left" w:pos="0"/>
          <w:tab w:val="left" w:pos="723"/>
        </w:tabs>
        <w:spacing w:line="360" w:lineRule="auto"/>
        <w:jc w:val="left"/>
        <w:rPr>
          <w:rFonts w:ascii="宋体" w:hAnsi="宋体"/>
          <w:b/>
          <w:szCs w:val="21"/>
        </w:rPr>
      </w:pPr>
      <w:r>
        <w:rPr>
          <w:rFonts w:hint="eastAsia" w:ascii="宋体" w:hAnsi="宋体"/>
          <w:b/>
          <w:szCs w:val="21"/>
        </w:rPr>
        <w:t>七、</w:t>
      </w:r>
      <w:r>
        <w:rPr>
          <w:rFonts w:hint="eastAsia" w:ascii="宋体" w:hAnsi="宋体" w:cs="宋体"/>
          <w:b/>
          <w:szCs w:val="21"/>
        </w:rPr>
        <w:t>废标</w:t>
      </w:r>
    </w:p>
    <w:p>
      <w:pPr>
        <w:spacing w:line="360" w:lineRule="auto"/>
        <w:ind w:firstLine="420" w:firstLineChars="200"/>
        <w:rPr>
          <w:szCs w:val="21"/>
        </w:rPr>
      </w:pPr>
      <w:r>
        <w:rPr>
          <w:rFonts w:hint="eastAsia"/>
          <w:szCs w:val="21"/>
        </w:rPr>
        <w:t>根据《中华人民共和国政府采购法》第三十六条，出现下列情形之一的，应予以废标：</w:t>
      </w:r>
    </w:p>
    <w:p>
      <w:pPr>
        <w:spacing w:line="360" w:lineRule="auto"/>
        <w:ind w:firstLine="420" w:firstLineChars="200"/>
        <w:rPr>
          <w:szCs w:val="21"/>
        </w:rPr>
      </w:pPr>
      <w:r>
        <w:rPr>
          <w:rFonts w:hint="eastAsia"/>
          <w:szCs w:val="21"/>
        </w:rPr>
        <w:t>（1）符合专业条件的供应商或者对采购文件作实质响应的供应商不足三家的；</w:t>
      </w:r>
    </w:p>
    <w:p>
      <w:pPr>
        <w:spacing w:line="360" w:lineRule="auto"/>
        <w:ind w:firstLine="420" w:firstLineChars="200"/>
        <w:rPr>
          <w:szCs w:val="21"/>
        </w:rPr>
      </w:pPr>
      <w:r>
        <w:rPr>
          <w:rFonts w:hint="eastAsia"/>
          <w:szCs w:val="21"/>
        </w:rPr>
        <w:t>（2）出现影响采购公正的违法、违规行为的；</w:t>
      </w:r>
    </w:p>
    <w:p>
      <w:pPr>
        <w:spacing w:line="360" w:lineRule="auto"/>
        <w:ind w:firstLine="420" w:firstLineChars="200"/>
        <w:rPr>
          <w:szCs w:val="21"/>
        </w:rPr>
      </w:pPr>
      <w:r>
        <w:rPr>
          <w:rFonts w:hint="eastAsia"/>
          <w:szCs w:val="21"/>
        </w:rPr>
        <w:t>（3）所有投标供应商的报价均超过了采购预算，采购人不能支付的；</w:t>
      </w:r>
    </w:p>
    <w:p>
      <w:pPr>
        <w:spacing w:line="360" w:lineRule="auto"/>
        <w:ind w:firstLine="420" w:firstLineChars="200"/>
        <w:rPr>
          <w:rFonts w:ascii="宋体" w:hAnsi="宋体"/>
          <w:szCs w:val="21"/>
        </w:rPr>
      </w:pPr>
      <w:r>
        <w:rPr>
          <w:rFonts w:hint="eastAsia"/>
          <w:szCs w:val="21"/>
        </w:rPr>
        <w:t>（4）因重大变故，采购任务取消的。</w:t>
      </w:r>
    </w:p>
    <w:p>
      <w:pPr>
        <w:spacing w:line="360" w:lineRule="auto"/>
        <w:rPr>
          <w:rFonts w:ascii="宋体" w:hAnsi="宋体"/>
          <w:b/>
          <w:sz w:val="24"/>
          <w:szCs w:val="24"/>
        </w:rPr>
      </w:pPr>
      <w:r>
        <w:rPr>
          <w:rFonts w:ascii="宋体" w:hAnsi="宋体"/>
          <w:b/>
          <w:sz w:val="24"/>
          <w:szCs w:val="24"/>
        </w:rPr>
        <w:br w:type="page"/>
      </w:r>
      <w:bookmarkStart w:id="74" w:name="_Toc298230960"/>
      <w:r>
        <w:rPr>
          <w:rFonts w:hint="eastAsia" w:ascii="宋体" w:hAnsi="宋体"/>
          <w:b/>
          <w:sz w:val="24"/>
          <w:szCs w:val="24"/>
        </w:rPr>
        <w:t>八、评分标准（兼评委打分表）</w:t>
      </w:r>
    </w:p>
    <w:p>
      <w:pPr>
        <w:pStyle w:val="41"/>
        <w:spacing w:line="360" w:lineRule="auto"/>
        <w:rPr>
          <w:rFonts w:ascii="宋体" w:hAnsi="宋体"/>
          <w:b/>
          <w:sz w:val="24"/>
          <w:szCs w:val="24"/>
        </w:rPr>
      </w:pPr>
      <w:r>
        <w:t>标项一</w:t>
      </w:r>
      <w:r>
        <w:rPr>
          <w:rFonts w:hint="eastAsia"/>
        </w:rPr>
        <w:t>：</w:t>
      </w:r>
    </w:p>
    <w:tbl>
      <w:tblPr>
        <w:tblStyle w:val="4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142"/>
        <w:gridCol w:w="63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420" w:type="pct"/>
            <w:vMerge w:val="restart"/>
            <w:tcBorders>
              <w:top w:val="single" w:color="auto" w:sz="4" w:space="0"/>
              <w:left w:val="single" w:color="auto" w:sz="4" w:space="0"/>
              <w:right w:val="single" w:color="auto" w:sz="2" w:space="0"/>
            </w:tcBorders>
            <w:vAlign w:val="center"/>
          </w:tcPr>
          <w:p>
            <w:pPr>
              <w:snapToGrid w:val="0"/>
              <w:spacing w:line="360" w:lineRule="auto"/>
              <w:rPr>
                <w:rFonts w:ascii="宋体" w:hAnsi="宋体"/>
                <w:snapToGrid w:val="0"/>
                <w:spacing w:val="-4"/>
                <w:szCs w:val="21"/>
              </w:rPr>
            </w:pPr>
            <w:r>
              <w:rPr>
                <w:rFonts w:hint="eastAsia" w:ascii="宋体" w:hAnsi="宋体"/>
                <w:snapToGrid w:val="0"/>
                <w:spacing w:val="-4"/>
                <w:szCs w:val="21"/>
              </w:rPr>
              <w:t>商务技术分</w:t>
            </w:r>
          </w:p>
          <w:p>
            <w:pPr>
              <w:snapToGrid w:val="0"/>
              <w:spacing w:line="360" w:lineRule="auto"/>
              <w:rPr>
                <w:rFonts w:ascii="宋体" w:hAnsi="宋体"/>
                <w:snapToGrid w:val="0"/>
                <w:spacing w:val="-4"/>
                <w:szCs w:val="21"/>
              </w:rPr>
            </w:pPr>
            <w:r>
              <w:rPr>
                <w:rFonts w:hint="eastAsia" w:ascii="宋体" w:hAnsi="宋体"/>
                <w:snapToGrid w:val="0"/>
                <w:spacing w:val="-4"/>
                <w:szCs w:val="21"/>
              </w:rPr>
              <w:t>（满分</w:t>
            </w:r>
            <w:r>
              <w:rPr>
                <w:iCs/>
                <w:snapToGrid w:val="0"/>
                <w:spacing w:val="-4"/>
                <w:szCs w:val="21"/>
              </w:rPr>
              <w:t>90</w:t>
            </w:r>
            <w:r>
              <w:rPr>
                <w:rFonts w:hint="eastAsia" w:ascii="宋体" w:hAnsi="宋体"/>
                <w:snapToGrid w:val="0"/>
                <w:spacing w:val="-4"/>
                <w:szCs w:val="21"/>
              </w:rPr>
              <w:t>分）</w:t>
            </w:r>
          </w:p>
        </w:tc>
        <w:tc>
          <w:tcPr>
            <w:tcW w:w="697"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lang w:val="zh-CN"/>
              </w:rPr>
              <w:t>1、类似业绩（</w:t>
            </w:r>
            <w:r>
              <w:rPr>
                <w:rFonts w:ascii="宋体" w:hAnsi="宋体" w:cs="宋体"/>
              </w:rPr>
              <w:t>1</w:t>
            </w:r>
            <w:r>
              <w:rPr>
                <w:rFonts w:hint="eastAsia" w:ascii="宋体" w:hAnsi="宋体" w:cs="宋体"/>
                <w:szCs w:val="21"/>
                <w:lang w:val="zh-CN"/>
              </w:rPr>
              <w:t>分）</w:t>
            </w:r>
          </w:p>
        </w:tc>
        <w:tc>
          <w:tcPr>
            <w:tcW w:w="3882"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rPr>
            </w:pPr>
            <w:r>
              <w:rPr>
                <w:rFonts w:hint="eastAsia" w:ascii="宋体" w:hAnsi="宋体" w:cs="宋体"/>
              </w:rPr>
              <w:t>自2020年1月1日至今（以合同签订时间为准），投标人承担过类似服务项目的得1分。</w:t>
            </w:r>
          </w:p>
          <w:p>
            <w:pPr>
              <w:widowControl/>
              <w:snapToGrid w:val="0"/>
              <w:spacing w:line="360" w:lineRule="auto"/>
              <w:rPr>
                <w:rFonts w:ascii="宋体" w:cs="宋体"/>
                <w:kern w:val="0"/>
                <w:szCs w:val="21"/>
              </w:rPr>
            </w:pPr>
            <w:r>
              <w:rPr>
                <w:rFonts w:hint="eastAsia" w:ascii="宋体" w:hAnsi="宋体" w:cs="宋体"/>
              </w:rPr>
              <w:t>注：投标文件中提供合同复印件加盖单位公章。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0" w:hRule="atLeast"/>
          <w:jc w:val="center"/>
        </w:trPr>
        <w:tc>
          <w:tcPr>
            <w:tcW w:w="420" w:type="pct"/>
            <w:vMerge w:val="continue"/>
            <w:tcBorders>
              <w:left w:val="single" w:color="auto" w:sz="4" w:space="0"/>
              <w:right w:val="single" w:color="auto" w:sz="2" w:space="0"/>
            </w:tcBorders>
            <w:vAlign w:val="center"/>
          </w:tcPr>
          <w:p>
            <w:pPr>
              <w:snapToGrid w:val="0"/>
              <w:spacing w:line="360" w:lineRule="auto"/>
              <w:rPr>
                <w:rFonts w:ascii="宋体" w:hAnsi="宋体"/>
                <w:snapToGrid w:val="0"/>
                <w:spacing w:val="-4"/>
                <w:szCs w:val="21"/>
              </w:rPr>
            </w:pPr>
          </w:p>
        </w:tc>
        <w:tc>
          <w:tcPr>
            <w:tcW w:w="697"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lang w:val="zh-CN"/>
              </w:rPr>
              <w:t>2、技术指标响应（</w:t>
            </w:r>
            <w:r>
              <w:rPr>
                <w:rFonts w:ascii="宋体" w:hAnsi="宋体" w:cs="宋体"/>
                <w:szCs w:val="21"/>
              </w:rPr>
              <w:t>28</w:t>
            </w:r>
            <w:r>
              <w:rPr>
                <w:rFonts w:ascii="宋体" w:hAnsi="宋体" w:cs="宋体"/>
                <w:szCs w:val="21"/>
                <w:lang w:val="zh-CN"/>
              </w:rPr>
              <w:t>分</w:t>
            </w:r>
            <w:r>
              <w:rPr>
                <w:rFonts w:hint="eastAsia" w:ascii="宋体" w:hAnsi="宋体" w:cs="宋体"/>
                <w:szCs w:val="21"/>
                <w:lang w:val="zh-CN"/>
              </w:rPr>
              <w:t>）</w:t>
            </w:r>
          </w:p>
        </w:tc>
        <w:tc>
          <w:tcPr>
            <w:tcW w:w="3882" w:type="pct"/>
            <w:tcBorders>
              <w:top w:val="single" w:color="auto" w:sz="4" w:space="0"/>
              <w:left w:val="single" w:color="auto" w:sz="4" w:space="0"/>
              <w:right w:val="single" w:color="auto" w:sz="2" w:space="0"/>
            </w:tcBorders>
            <w:vAlign w:val="center"/>
          </w:tcPr>
          <w:p>
            <w:pPr>
              <w:topLinePunct/>
              <w:adjustRightInd w:val="0"/>
              <w:snapToGrid w:val="0"/>
              <w:spacing w:line="380" w:lineRule="exact"/>
              <w:rPr>
                <w:rFonts w:ascii="宋体" w:hAnsi="宋体" w:cs="宋体"/>
                <w:szCs w:val="21"/>
                <w:lang w:val="zh-CN"/>
              </w:rPr>
            </w:pPr>
            <w:r>
              <w:rPr>
                <w:rFonts w:hint="eastAsia" w:ascii="宋体" w:hAnsi="宋体" w:cs="宋体"/>
                <w:szCs w:val="21"/>
                <w:lang w:val="zh-CN"/>
              </w:rPr>
              <w:t>评标委员会根据投标产品技术指标对第六部分中“1.3.建设需求”内容的响应情况：</w:t>
            </w:r>
          </w:p>
          <w:p>
            <w:pPr>
              <w:topLinePunct/>
              <w:adjustRightInd w:val="0"/>
              <w:snapToGrid w:val="0"/>
              <w:spacing w:line="380" w:lineRule="exact"/>
              <w:rPr>
                <w:rFonts w:ascii="宋体" w:hAnsi="宋体" w:cs="宋体"/>
                <w:szCs w:val="21"/>
                <w:lang w:val="zh-CN"/>
              </w:rPr>
            </w:pPr>
            <w:r>
              <w:rPr>
                <w:rFonts w:ascii="宋体" w:hAnsi="宋体" w:cs="宋体"/>
                <w:szCs w:val="21"/>
              </w:rPr>
              <w:t>1.</w:t>
            </w:r>
            <w:r>
              <w:rPr>
                <w:rFonts w:hint="eastAsia" w:ascii="宋体" w:hAnsi="宋体" w:cs="宋体"/>
                <w:szCs w:val="21"/>
                <w:lang w:val="zh-CN"/>
              </w:rPr>
              <w:t>全部满足或者优于招标要求的得</w:t>
            </w:r>
            <w:r>
              <w:rPr>
                <w:rFonts w:hint="eastAsia" w:ascii="宋体" w:hAnsi="宋体" w:cs="宋体"/>
                <w:szCs w:val="21"/>
              </w:rPr>
              <w:t>28</w:t>
            </w:r>
            <w:r>
              <w:rPr>
                <w:rFonts w:hint="eastAsia" w:ascii="宋体" w:hAnsi="宋体" w:cs="宋体"/>
                <w:szCs w:val="21"/>
                <w:lang w:val="zh-CN"/>
              </w:rPr>
              <w:t>分；</w:t>
            </w:r>
          </w:p>
          <w:p>
            <w:pPr>
              <w:topLinePunct/>
              <w:adjustRightInd w:val="0"/>
              <w:snapToGrid w:val="0"/>
              <w:spacing w:line="380" w:lineRule="exact"/>
            </w:pPr>
            <w:r>
              <w:rPr>
                <w:rFonts w:ascii="宋体" w:hAnsi="宋体" w:cs="宋体"/>
                <w:szCs w:val="21"/>
              </w:rPr>
              <w:t>2.</w:t>
            </w:r>
            <w:r>
              <w:rPr>
                <w:rFonts w:hint="eastAsia" w:ascii="宋体" w:hAnsi="宋体" w:cs="宋体"/>
                <w:szCs w:val="21"/>
                <w:lang w:val="zh-CN"/>
              </w:rPr>
              <w:t>未打“</w:t>
            </w:r>
            <w:r>
              <w:rPr>
                <w:rFonts w:hint="eastAsia" w:ascii="宋体" w:hAnsi="宋体" w:cs="宋体"/>
                <w:szCs w:val="21"/>
              </w:rPr>
              <w:t>▲</w:t>
            </w:r>
            <w:r>
              <w:rPr>
                <w:rFonts w:hint="eastAsia" w:ascii="宋体" w:hAnsi="宋体" w:cs="宋体"/>
                <w:szCs w:val="21"/>
                <w:lang w:val="zh-CN"/>
              </w:rPr>
              <w:t>”的一般参数负偏离每条扣</w:t>
            </w:r>
            <w:r>
              <w:rPr>
                <w:rFonts w:hint="eastAsia" w:ascii="宋体" w:hAnsi="宋体" w:cs="宋体"/>
                <w:szCs w:val="21"/>
              </w:rPr>
              <w:t>1</w:t>
            </w:r>
            <w:r>
              <w:rPr>
                <w:rFonts w:hint="eastAsia" w:ascii="宋体" w:hAnsi="宋体" w:cs="宋体"/>
                <w:szCs w:val="21"/>
                <w:lang w:val="zh-CN"/>
              </w:rPr>
              <w:t>分，最高扣</w:t>
            </w:r>
            <w:r>
              <w:rPr>
                <w:rFonts w:ascii="宋体" w:hAnsi="宋体" w:cs="宋体"/>
                <w:szCs w:val="21"/>
              </w:rPr>
              <w:t>16</w:t>
            </w:r>
            <w:r>
              <w:rPr>
                <w:rFonts w:hint="eastAsia" w:ascii="宋体" w:hAnsi="宋体" w:cs="宋体"/>
                <w:szCs w:val="21"/>
              </w:rPr>
              <w:t>分（扣除分数超过16分，视为无效标）；</w:t>
            </w:r>
          </w:p>
          <w:p>
            <w:pPr>
              <w:topLinePunct/>
              <w:adjustRightInd w:val="0"/>
              <w:snapToGrid w:val="0"/>
              <w:spacing w:line="380" w:lineRule="exact"/>
              <w:rPr>
                <w:rFonts w:ascii="宋体" w:hAnsi="宋体" w:cs="宋体"/>
                <w:szCs w:val="21"/>
                <w:lang w:val="zh-CN"/>
              </w:rPr>
            </w:pPr>
            <w:r>
              <w:rPr>
                <w:rFonts w:ascii="宋体" w:hAnsi="宋体" w:cs="宋体"/>
                <w:szCs w:val="21"/>
              </w:rPr>
              <w:t>3.</w:t>
            </w:r>
            <w:r>
              <w:rPr>
                <w:rFonts w:hint="eastAsia" w:ascii="宋体" w:hAnsi="宋体" w:cs="宋体"/>
                <w:szCs w:val="21"/>
                <w:lang w:val="zh-CN"/>
              </w:rPr>
              <w:t>打“</w:t>
            </w:r>
            <w:r>
              <w:rPr>
                <w:rFonts w:hint="eastAsia" w:ascii="宋体" w:hAnsi="宋体" w:cs="宋体"/>
                <w:szCs w:val="21"/>
              </w:rPr>
              <w:t>▲</w:t>
            </w:r>
            <w:r>
              <w:rPr>
                <w:rFonts w:hint="eastAsia" w:ascii="宋体" w:hAnsi="宋体" w:cs="宋体"/>
                <w:szCs w:val="21"/>
                <w:lang w:val="zh-CN"/>
              </w:rPr>
              <w:t>”重要参数如有负偏离每条扣</w:t>
            </w:r>
            <w:r>
              <w:rPr>
                <w:rFonts w:hint="eastAsia" w:ascii="宋体" w:hAnsi="宋体" w:cs="宋体"/>
                <w:szCs w:val="21"/>
              </w:rPr>
              <w:t>1.2</w:t>
            </w:r>
            <w:r>
              <w:rPr>
                <w:rFonts w:hint="eastAsia" w:ascii="宋体" w:hAnsi="宋体" w:cs="宋体"/>
                <w:szCs w:val="21"/>
                <w:lang w:val="zh-CN"/>
              </w:rPr>
              <w:t>分，最高扣</w:t>
            </w:r>
            <w:r>
              <w:rPr>
                <w:rFonts w:ascii="宋体" w:hAnsi="宋体" w:cs="宋体"/>
                <w:szCs w:val="21"/>
              </w:rPr>
              <w:t>12</w:t>
            </w:r>
            <w:r>
              <w:rPr>
                <w:rFonts w:hint="eastAsia" w:ascii="宋体" w:hAnsi="宋体" w:cs="宋体"/>
                <w:szCs w:val="21"/>
              </w:rPr>
              <w:t>分（扣除分数超过12分，视为无效标）。</w:t>
            </w:r>
          </w:p>
          <w:p>
            <w:pPr>
              <w:tabs>
                <w:tab w:val="left" w:pos="4954"/>
              </w:tabs>
              <w:adjustRightInd w:val="0"/>
              <w:snapToGrid w:val="0"/>
              <w:spacing w:line="380" w:lineRule="exact"/>
              <w:rPr>
                <w:rFonts w:ascii="宋体" w:hAnsi="宋体" w:cs="宋体"/>
                <w:szCs w:val="21"/>
                <w:lang w:val="zh-CN"/>
              </w:rPr>
            </w:pPr>
            <w:r>
              <w:rPr>
                <w:rFonts w:hint="eastAsia" w:ascii="宋体" w:hAnsi="宋体" w:cs="宋体"/>
                <w:szCs w:val="21"/>
                <w:lang w:val="zh-CN"/>
              </w:rPr>
              <w:t>注：</w:t>
            </w:r>
            <w:r>
              <w:rPr>
                <w:rFonts w:hint="eastAsia" w:ascii="宋体" w:hAnsi="宋体" w:cs="宋体"/>
                <w:szCs w:val="21"/>
              </w:rPr>
              <w:t>①</w:t>
            </w:r>
            <w:r>
              <w:rPr>
                <w:rFonts w:hint="eastAsia" w:ascii="宋体"/>
                <w:bCs/>
                <w:szCs w:val="21"/>
              </w:rPr>
              <w:t>“每条”特指“技术参数”中参数，即同一产品发生2条参数的负偏离或未响应，按2条计；</w:t>
            </w:r>
          </w:p>
          <w:p>
            <w:pPr>
              <w:tabs>
                <w:tab w:val="left" w:pos="4954"/>
              </w:tabs>
              <w:adjustRightInd w:val="0"/>
              <w:snapToGrid w:val="0"/>
              <w:spacing w:line="380" w:lineRule="exact"/>
              <w:rPr>
                <w:rFonts w:ascii="宋体" w:hAnsi="宋体" w:cs="宋体"/>
              </w:rPr>
            </w:pPr>
            <w:r>
              <w:rPr>
                <w:rFonts w:hint="eastAsia" w:ascii="宋体" w:hAnsi="宋体" w:cs="宋体"/>
                <w:szCs w:val="21"/>
              </w:rPr>
              <w:t>②</w:t>
            </w:r>
            <w:r>
              <w:rPr>
                <w:rFonts w:hint="eastAsia" w:ascii="宋体" w:hAnsi="宋体" w:cs="宋体"/>
                <w:szCs w:val="21"/>
                <w:lang w:val="zh-CN"/>
              </w:rPr>
              <w:t>招标文件要求提供的功能截图或相关证明材料复印件，需附在投标文件中并加盖公章，如未提供或提供内容不全、不清晰</w:t>
            </w:r>
            <w:r>
              <w:rPr>
                <w:rFonts w:hint="eastAsia" w:ascii="宋体" w:hAnsi="宋体" w:cs="宋体"/>
                <w:szCs w:val="21"/>
              </w:rPr>
              <w:t>的</w:t>
            </w:r>
            <w:r>
              <w:rPr>
                <w:rFonts w:hint="eastAsia" w:ascii="宋体" w:hAnsi="宋体" w:cs="宋体"/>
                <w:szCs w:val="21"/>
                <w:lang w:val="zh-CN"/>
              </w:rPr>
              <w:t>则评委可以以该</w:t>
            </w:r>
            <w:r>
              <w:rPr>
                <w:rFonts w:hint="eastAsia" w:ascii="宋体" w:hAnsi="宋体" w:cs="宋体"/>
                <w:szCs w:val="21"/>
              </w:rPr>
              <w:t>条</w:t>
            </w:r>
            <w:r>
              <w:rPr>
                <w:rFonts w:hint="eastAsia" w:ascii="宋体" w:hAnsi="宋体" w:cs="宋体"/>
                <w:szCs w:val="21"/>
                <w:lang w:val="zh-CN"/>
              </w:rPr>
              <w:t>技术参数负偏离处理，引起的后果由投标人负责。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20" w:type="pct"/>
            <w:vMerge w:val="continue"/>
            <w:tcBorders>
              <w:left w:val="single" w:color="auto" w:sz="4" w:space="0"/>
              <w:right w:val="single" w:color="auto" w:sz="2" w:space="0"/>
            </w:tcBorders>
            <w:vAlign w:val="center"/>
          </w:tcPr>
          <w:p>
            <w:pPr>
              <w:snapToGrid w:val="0"/>
              <w:spacing w:line="360" w:lineRule="auto"/>
              <w:rPr>
                <w:rFonts w:ascii="宋体" w:hAnsi="宋体"/>
                <w:snapToGrid w:val="0"/>
                <w:spacing w:val="-4"/>
                <w:szCs w:val="21"/>
              </w:rPr>
            </w:pPr>
          </w:p>
        </w:tc>
        <w:tc>
          <w:tcPr>
            <w:tcW w:w="697"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对本项目的理解及总体规划研究思路（</w:t>
            </w:r>
            <w:r>
              <w:rPr>
                <w:rFonts w:hint="eastAsia" w:ascii="宋体" w:hAnsi="宋体" w:cs="宋体"/>
                <w:szCs w:val="21"/>
              </w:rPr>
              <w:t>6</w:t>
            </w:r>
            <w:r>
              <w:rPr>
                <w:rFonts w:hint="eastAsia" w:ascii="宋体" w:hAnsi="宋体" w:cs="宋体"/>
                <w:szCs w:val="21"/>
                <w:lang w:val="zh-CN"/>
              </w:rPr>
              <w:t>分）</w:t>
            </w:r>
          </w:p>
        </w:tc>
        <w:tc>
          <w:tcPr>
            <w:tcW w:w="3882"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rPr>
            </w:pPr>
            <w:r>
              <w:rPr>
                <w:rFonts w:hint="eastAsia" w:ascii="宋体" w:hAnsi="宋体" w:cs="宋体"/>
                <w:szCs w:val="21"/>
              </w:rPr>
              <w:t>投标人规划内容理念先进、思路清晰、技术架构正确；总体框架、体系建设思路切合实际，合理可行</w:t>
            </w:r>
            <w:r>
              <w:rPr>
                <w:rFonts w:hint="eastAsia" w:ascii="宋体" w:hAnsi="宋体" w:cs="宋体"/>
              </w:rPr>
              <w:t>，最高分6分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①内容完善、思路全面准确的得4.1</w:t>
            </w:r>
            <w:r>
              <w:rPr>
                <w:rFonts w:ascii="宋体" w:hAnsi="宋体" w:cs="宋体"/>
                <w:szCs w:val="21"/>
              </w:rPr>
              <w:t>-</w:t>
            </w:r>
            <w:r>
              <w:rPr>
                <w:rFonts w:hint="eastAsia" w:ascii="宋体" w:hAnsi="宋体" w:cs="宋体"/>
                <w:szCs w:val="21"/>
              </w:rPr>
              <w:t>6分；</w:t>
            </w:r>
          </w:p>
          <w:p>
            <w:pPr>
              <w:snapToGrid w:val="0"/>
              <w:spacing w:line="360" w:lineRule="auto"/>
              <w:rPr>
                <w:rFonts w:ascii="宋体" w:hAnsi="宋体" w:cs="宋体"/>
                <w:szCs w:val="21"/>
              </w:rPr>
            </w:pPr>
            <w:r>
              <w:rPr>
                <w:rFonts w:hint="eastAsia" w:ascii="宋体" w:hAnsi="宋体" w:cs="宋体"/>
                <w:szCs w:val="21"/>
              </w:rPr>
              <w:t>②内容完整、思路较准确的得2.1</w:t>
            </w:r>
            <w:r>
              <w:rPr>
                <w:rFonts w:ascii="宋体" w:hAnsi="宋体" w:cs="宋体"/>
                <w:szCs w:val="21"/>
              </w:rPr>
              <w:t>-</w:t>
            </w:r>
            <w:r>
              <w:rPr>
                <w:rFonts w:hint="eastAsia" w:ascii="宋体" w:hAnsi="宋体" w:cs="宋体"/>
                <w:szCs w:val="21"/>
              </w:rPr>
              <w:t>4分；</w:t>
            </w:r>
          </w:p>
          <w:p>
            <w:pPr>
              <w:snapToGrid w:val="0"/>
              <w:spacing w:line="360" w:lineRule="auto"/>
              <w:rPr>
                <w:rFonts w:ascii="宋体" w:hAnsi="宋体" w:cs="宋体"/>
                <w:szCs w:val="21"/>
              </w:rPr>
            </w:pPr>
            <w:r>
              <w:rPr>
                <w:rFonts w:hint="eastAsia" w:ascii="宋体" w:hAnsi="宋体" w:cs="宋体"/>
                <w:szCs w:val="21"/>
              </w:rPr>
              <w:t>③项目理解内容不充分、认知把握不准确得0.1-2分；</w:t>
            </w:r>
          </w:p>
          <w:p>
            <w:pPr>
              <w:snapToGrid w:val="0"/>
              <w:spacing w:line="360" w:lineRule="auto"/>
              <w:rPr>
                <w:rFonts w:ascii="宋体" w:hAnsi="宋体" w:cs="宋体"/>
                <w:b/>
                <w:bCs/>
                <w:kern w:val="0"/>
                <w:szCs w:val="21"/>
              </w:rPr>
            </w:pPr>
            <w:r>
              <w:rPr>
                <w:rFonts w:hint="eastAsia" w:ascii="宋体" w:hAnsi="宋体" w:cs="宋体"/>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autoSpaceDE w:val="0"/>
              <w:autoSpaceDN w:val="0"/>
              <w:adjustRightInd w:val="0"/>
              <w:snapToGrid w:val="0"/>
              <w:spacing w:line="360" w:lineRule="auto"/>
              <w:jc w:val="center"/>
              <w:rPr>
                <w:rFonts w:ascii="宋体" w:hAnsi="宋体"/>
                <w:snapToGrid w:val="0"/>
                <w:spacing w:val="-4"/>
                <w:szCs w:val="21"/>
              </w:rPr>
            </w:pPr>
            <w:r>
              <w:rPr>
                <w:rFonts w:hint="eastAsia" w:ascii="宋体" w:hAnsi="宋体"/>
                <w:snapToGrid w:val="0"/>
                <w:spacing w:val="-4"/>
                <w:szCs w:val="21"/>
              </w:rPr>
              <w:t>4</w:t>
            </w:r>
            <w:r>
              <w:rPr>
                <w:rFonts w:ascii="宋体" w:hAnsi="宋体"/>
                <w:snapToGrid w:val="0"/>
                <w:spacing w:val="-4"/>
                <w:szCs w:val="21"/>
              </w:rPr>
              <w:t>、</w:t>
            </w:r>
            <w:r>
              <w:rPr>
                <w:rFonts w:hint="eastAsia" w:ascii="宋体" w:hAnsi="宋体" w:cs="宋体"/>
                <w:szCs w:val="21"/>
              </w:rPr>
              <w:t>硬件选型方案（4分）</w:t>
            </w:r>
          </w:p>
        </w:tc>
        <w:tc>
          <w:tcPr>
            <w:tcW w:w="3882"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b/>
                <w:szCs w:val="21"/>
              </w:rPr>
            </w:pPr>
            <w:r>
              <w:rPr>
                <w:rFonts w:hint="eastAsia" w:ascii="宋体" w:hAnsi="宋体" w:cs="宋体"/>
                <w:szCs w:val="21"/>
              </w:rPr>
              <w:t>对硬件选型原则、选型依据、实际选型设备的先进性、</w:t>
            </w:r>
            <w:r>
              <w:rPr>
                <w:rFonts w:hint="eastAsia" w:cs="宋体"/>
                <w:szCs w:val="21"/>
              </w:rPr>
              <w:t>稳定性、</w:t>
            </w:r>
            <w:r>
              <w:rPr>
                <w:rFonts w:hint="eastAsia" w:ascii="宋体" w:hAnsi="宋体" w:cs="宋体"/>
                <w:szCs w:val="21"/>
              </w:rPr>
              <w:t>适用性进行评议</w:t>
            </w:r>
            <w:r>
              <w:rPr>
                <w:rFonts w:hint="eastAsia" w:ascii="宋体" w:hAnsi="宋体" w:cs="宋体"/>
              </w:rPr>
              <w:t>，最高分4分。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top w:val="single" w:color="auto" w:sz="4" w:space="0"/>
              <w:left w:val="single" w:color="auto" w:sz="4" w:space="0"/>
              <w:right w:val="single" w:color="auto" w:sz="2" w:space="0"/>
            </w:tcBorders>
            <w:vAlign w:val="center"/>
          </w:tcPr>
          <w:p>
            <w:pPr>
              <w:snapToGrid w:val="0"/>
              <w:spacing w:line="360" w:lineRule="auto"/>
              <w:jc w:val="center"/>
              <w:rPr>
                <w:rFonts w:ascii="宋体" w:hAnsi="宋体" w:cs="宋体"/>
                <w:szCs w:val="21"/>
              </w:rPr>
            </w:pPr>
            <w:r>
              <w:rPr>
                <w:rFonts w:hint="eastAsia" w:ascii="宋体" w:hAnsi="宋体"/>
                <w:szCs w:val="21"/>
              </w:rPr>
              <w:t>5、</w:t>
            </w:r>
            <w:r>
              <w:rPr>
                <w:rFonts w:hint="eastAsia" w:ascii="宋体" w:hAnsi="宋体" w:cs="宋体"/>
                <w:szCs w:val="21"/>
              </w:rPr>
              <w:t>施工进度计划（4分）</w:t>
            </w:r>
          </w:p>
        </w:tc>
        <w:tc>
          <w:tcPr>
            <w:tcW w:w="3882" w:type="pct"/>
            <w:tcBorders>
              <w:top w:val="single" w:color="auto" w:sz="4" w:space="0"/>
              <w:left w:val="single" w:color="auto" w:sz="4" w:space="0"/>
              <w:right w:val="single" w:color="auto" w:sz="2" w:space="0"/>
            </w:tcBorders>
            <w:vAlign w:val="center"/>
          </w:tcPr>
          <w:p>
            <w:pPr>
              <w:snapToGrid w:val="0"/>
              <w:spacing w:line="360" w:lineRule="auto"/>
              <w:jc w:val="left"/>
              <w:rPr>
                <w:rFonts w:ascii="宋体" w:hAnsi="宋体" w:cs="宋体"/>
                <w:szCs w:val="21"/>
              </w:rPr>
            </w:pPr>
            <w:r>
              <w:rPr>
                <w:rFonts w:hint="eastAsia" w:ascii="宋体" w:hAnsi="宋体" w:cs="宋体"/>
                <w:szCs w:val="21"/>
              </w:rPr>
              <w:t>根据</w:t>
            </w:r>
            <w:r>
              <w:rPr>
                <w:rFonts w:hint="eastAsia" w:ascii="宋体"/>
                <w:bCs/>
                <w:szCs w:val="21"/>
              </w:rPr>
              <w:t>投标人</w:t>
            </w:r>
            <w:r>
              <w:rPr>
                <w:rFonts w:hint="eastAsia" w:ascii="宋体" w:hAnsi="宋体" w:cs="宋体"/>
                <w:szCs w:val="21"/>
              </w:rPr>
              <w:t>的施工进度计划安排是否详细、是否严谨、是否合理、是否可行进行评议，</w:t>
            </w:r>
            <w:r>
              <w:rPr>
                <w:rFonts w:hint="eastAsia" w:ascii="宋体" w:hAnsi="宋体" w:cs="宋体"/>
              </w:rPr>
              <w:t>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ascii="宋体" w:hAnsi="宋体"/>
                <w:szCs w:val="21"/>
              </w:rPr>
              <w:t>6</w:t>
            </w:r>
            <w:r>
              <w:rPr>
                <w:rFonts w:hint="eastAsia" w:ascii="宋体" w:hAnsi="宋体"/>
                <w:szCs w:val="21"/>
              </w:rPr>
              <w:t>、</w:t>
            </w:r>
            <w:r>
              <w:rPr>
                <w:rFonts w:hint="eastAsia" w:ascii="宋体" w:hAnsi="宋体" w:cs="宋体"/>
                <w:szCs w:val="21"/>
              </w:rPr>
              <w:t>质量保证措施（4分）</w:t>
            </w:r>
          </w:p>
        </w:tc>
        <w:tc>
          <w:tcPr>
            <w:tcW w:w="3882"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rPr>
            </w:pPr>
            <w:r>
              <w:rPr>
                <w:rFonts w:hint="eastAsia" w:ascii="宋体" w:hAnsi="宋体" w:cs="宋体"/>
                <w:szCs w:val="21"/>
              </w:rPr>
              <w:t>根据</w:t>
            </w:r>
            <w:r>
              <w:rPr>
                <w:rFonts w:hint="eastAsia" w:ascii="宋体"/>
                <w:bCs/>
                <w:szCs w:val="21"/>
              </w:rPr>
              <w:t>投标人</w:t>
            </w:r>
            <w:r>
              <w:rPr>
                <w:rFonts w:hint="eastAsia" w:ascii="宋体" w:hAnsi="宋体" w:cs="宋体"/>
                <w:szCs w:val="21"/>
              </w:rPr>
              <w:t>针对本项目的质量保证措施是否全面、是否合理、是否可行、是否符合规范进行评议，</w:t>
            </w:r>
            <w:r>
              <w:rPr>
                <w:rFonts w:hint="eastAsia" w:ascii="宋体" w:hAnsi="宋体" w:cs="宋体"/>
              </w:rPr>
              <w:t>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rFonts w:ascii="宋体" w:hAnsi="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培训方案（4分）</w:t>
            </w:r>
          </w:p>
        </w:tc>
        <w:tc>
          <w:tcPr>
            <w:tcW w:w="3882"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rPr>
            </w:pPr>
            <w:r>
              <w:rPr>
                <w:rFonts w:hint="eastAsia" w:ascii="宋体" w:hAnsi="宋体" w:cs="宋体"/>
                <w:szCs w:val="21"/>
              </w:rPr>
              <w:t>根据投标人针对本项目的培训方案，包含培训时间安排及课程内容、日常操作使用和管理维护、基本的故障诊断与排错、培训后续技术支持进行评议，</w:t>
            </w:r>
            <w:r>
              <w:rPr>
                <w:rFonts w:hint="eastAsia" w:ascii="宋体" w:hAnsi="宋体" w:cs="宋体"/>
              </w:rPr>
              <w:t>最高分4分。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rFonts w:ascii="宋体" w:hAnsi="宋体"/>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平台对接方案（7分）</w:t>
            </w:r>
          </w:p>
        </w:tc>
        <w:tc>
          <w:tcPr>
            <w:tcW w:w="3882" w:type="pct"/>
            <w:tcBorders>
              <w:top w:val="single" w:color="auto" w:sz="4" w:space="0"/>
              <w:left w:val="single" w:color="auto" w:sz="4" w:space="0"/>
              <w:right w:val="single" w:color="auto" w:sz="2" w:space="0"/>
            </w:tcBorders>
            <w:vAlign w:val="center"/>
          </w:tcPr>
          <w:p>
            <w:pPr>
              <w:snapToGrid w:val="0"/>
              <w:spacing w:line="360" w:lineRule="auto"/>
            </w:pPr>
            <w:r>
              <w:rPr>
                <w:rFonts w:hint="eastAsia"/>
              </w:rPr>
              <w:t>根据投标人编写的与宁波市物联开放平台对接的方案、与市级水利视频监控管理平台对接的方案，对投标人是否熟悉高新区排水管网系统现状，能否兼容一期平台、能否对接市级平台的方案的完整性、合理性、是否满足招标人实际需求进行评议，最高分7分。</w:t>
            </w:r>
          </w:p>
          <w:p>
            <w:pPr>
              <w:snapToGrid w:val="0"/>
              <w:spacing w:line="360" w:lineRule="auto"/>
              <w:rPr>
                <w:rFonts w:ascii="宋体" w:hAnsi="宋体" w:cs="宋体"/>
                <w:szCs w:val="21"/>
              </w:rPr>
            </w:pPr>
            <w:r>
              <w:rPr>
                <w:rFonts w:hint="eastAsia" w:ascii="宋体" w:hAnsi="宋体" w:cs="宋体"/>
                <w:szCs w:val="21"/>
              </w:rPr>
              <w:t>①</w:t>
            </w:r>
            <w:r>
              <w:rPr>
                <w:rFonts w:hint="eastAsia" w:ascii="宋体" w:hAnsi="宋体" w:cs="宋体"/>
                <w:kern w:val="0"/>
                <w:szCs w:val="21"/>
              </w:rPr>
              <w:t>平台对接方案</w:t>
            </w:r>
            <w:r>
              <w:rPr>
                <w:rFonts w:hint="eastAsia" w:ascii="宋体" w:hAnsi="宋体" w:cs="宋体"/>
                <w:szCs w:val="21"/>
              </w:rPr>
              <w:t>内容完善、完全能</w:t>
            </w:r>
            <w:r>
              <w:rPr>
                <w:rFonts w:hint="eastAsia"/>
              </w:rPr>
              <w:t>满足招标人实际需求</w:t>
            </w:r>
            <w:r>
              <w:rPr>
                <w:rFonts w:hint="eastAsia" w:ascii="宋体" w:hAnsi="宋体" w:cs="宋体"/>
                <w:szCs w:val="21"/>
              </w:rPr>
              <w:t>的得5.</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7分；</w:t>
            </w:r>
          </w:p>
          <w:p>
            <w:pPr>
              <w:snapToGrid w:val="0"/>
              <w:spacing w:line="360" w:lineRule="auto"/>
              <w:rPr>
                <w:rFonts w:ascii="宋体" w:hAnsi="宋体" w:cs="宋体"/>
                <w:szCs w:val="21"/>
              </w:rPr>
            </w:pPr>
            <w:r>
              <w:rPr>
                <w:rFonts w:hint="eastAsia" w:ascii="宋体" w:hAnsi="宋体" w:cs="宋体"/>
                <w:szCs w:val="21"/>
              </w:rPr>
              <w:t>②</w:t>
            </w:r>
            <w:r>
              <w:rPr>
                <w:rFonts w:hint="eastAsia" w:ascii="宋体" w:hAnsi="宋体" w:cs="宋体"/>
                <w:kern w:val="0"/>
                <w:szCs w:val="21"/>
              </w:rPr>
              <w:t>平台对接方案</w:t>
            </w:r>
            <w:r>
              <w:rPr>
                <w:rFonts w:hint="eastAsia" w:ascii="宋体" w:hAnsi="宋体" w:cs="宋体"/>
                <w:szCs w:val="21"/>
              </w:rPr>
              <w:t>内容较完善、较能</w:t>
            </w:r>
            <w:r>
              <w:rPr>
                <w:rFonts w:hint="eastAsia"/>
              </w:rPr>
              <w:t>满足招标人实际需求</w:t>
            </w:r>
            <w:r>
              <w:rPr>
                <w:rFonts w:hint="eastAsia" w:ascii="宋体" w:hAnsi="宋体" w:cs="宋体"/>
                <w:szCs w:val="21"/>
              </w:rPr>
              <w:t>的得3.1-5.5分；</w:t>
            </w:r>
          </w:p>
          <w:p>
            <w:pPr>
              <w:snapToGrid w:val="0"/>
              <w:spacing w:line="360" w:lineRule="auto"/>
              <w:rPr>
                <w:rFonts w:ascii="宋体" w:hAnsi="宋体" w:cs="宋体"/>
                <w:szCs w:val="21"/>
              </w:rPr>
            </w:pPr>
            <w:r>
              <w:rPr>
                <w:rFonts w:hint="eastAsia" w:ascii="宋体" w:hAnsi="宋体" w:cs="宋体"/>
                <w:szCs w:val="21"/>
              </w:rPr>
              <w:t>③项</w:t>
            </w:r>
            <w:r>
              <w:rPr>
                <w:rFonts w:hint="eastAsia" w:ascii="宋体" w:hAnsi="宋体" w:cs="宋体"/>
                <w:kern w:val="0"/>
                <w:szCs w:val="21"/>
              </w:rPr>
              <w:t>平台对接方案</w:t>
            </w:r>
            <w:r>
              <w:rPr>
                <w:rFonts w:hint="eastAsia" w:ascii="宋体" w:hAnsi="宋体" w:cs="宋体"/>
                <w:szCs w:val="21"/>
              </w:rPr>
              <w:t>内容不完善、不能</w:t>
            </w:r>
            <w:r>
              <w:rPr>
                <w:rFonts w:hint="eastAsia"/>
              </w:rPr>
              <w:t>满足招标人实际需求的</w:t>
            </w:r>
            <w:r>
              <w:rPr>
                <w:rFonts w:hint="eastAsia" w:ascii="宋体" w:hAnsi="宋体" w:cs="宋体"/>
                <w:szCs w:val="21"/>
              </w:rPr>
              <w:t>得0.1-3分；</w:t>
            </w:r>
          </w:p>
          <w:p>
            <w:pPr>
              <w:pStyle w:val="41"/>
              <w:ind w:left="0" w:leftChars="0" w:firstLine="0" w:firstLineChars="0"/>
            </w:pPr>
            <w:r>
              <w:rPr>
                <w:rFonts w:hint="eastAsia" w:ascii="宋体" w:hAnsi="宋体" w:cs="宋体"/>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kern w:val="0"/>
                <w:szCs w:val="21"/>
              </w:rPr>
              <w:t>9</w:t>
            </w:r>
            <w:r>
              <w:rPr>
                <w:kern w:val="0"/>
                <w:szCs w:val="21"/>
              </w:rPr>
              <w:t>、</w:t>
            </w:r>
            <w:r>
              <w:rPr>
                <w:rFonts w:hint="eastAsia"/>
                <w:kern w:val="0"/>
                <w:szCs w:val="21"/>
              </w:rPr>
              <w:t>售后服务</w:t>
            </w:r>
            <w:r>
              <w:rPr>
                <w:rFonts w:hint="eastAsia" w:ascii="宋体" w:hAnsi="宋体" w:cs="宋体"/>
                <w:kern w:val="0"/>
                <w:szCs w:val="21"/>
              </w:rPr>
              <w:t>方案（4分）</w:t>
            </w:r>
          </w:p>
        </w:tc>
        <w:tc>
          <w:tcPr>
            <w:tcW w:w="3882" w:type="pct"/>
            <w:tcBorders>
              <w:top w:val="single" w:color="auto" w:sz="4" w:space="0"/>
              <w:left w:val="single" w:color="auto" w:sz="4" w:space="0"/>
              <w:right w:val="single" w:color="auto" w:sz="2" w:space="0"/>
            </w:tcBorders>
            <w:vAlign w:val="center"/>
          </w:tcPr>
          <w:p>
            <w:pPr>
              <w:topLinePunct/>
              <w:adjustRightInd w:val="0"/>
              <w:snapToGrid w:val="0"/>
              <w:spacing w:line="380" w:lineRule="exact"/>
              <w:rPr>
                <w:szCs w:val="24"/>
              </w:rPr>
            </w:pPr>
            <w:r>
              <w:rPr>
                <w:rFonts w:hint="eastAsia"/>
                <w:szCs w:val="24"/>
              </w:rPr>
              <w:t>（1）根据投标人提供的针对本项目的售后服务体系、售后服务方案、售后服务承诺、备品备件、售后服务机构及人员数量情况进行</w:t>
            </w:r>
            <w:r>
              <w:rPr>
                <w:rFonts w:hint="eastAsia" w:ascii="宋体" w:hAnsi="宋体" w:cs="宋体"/>
                <w:szCs w:val="21"/>
              </w:rPr>
              <w:t>评议，</w:t>
            </w:r>
            <w:r>
              <w:rPr>
                <w:rFonts w:hint="eastAsia" w:ascii="宋体" w:hAnsi="宋体" w:cs="宋体"/>
              </w:rPr>
              <w:t>最高分2分。</w:t>
            </w:r>
          </w:p>
          <w:p>
            <w:pPr>
              <w:topLinePunct/>
              <w:adjustRightInd w:val="0"/>
              <w:snapToGrid w:val="0"/>
              <w:spacing w:line="380" w:lineRule="exact"/>
              <w:rPr>
                <w:szCs w:val="24"/>
              </w:rPr>
            </w:pPr>
            <w:r>
              <w:rPr>
                <w:rFonts w:hint="eastAsia"/>
                <w:szCs w:val="24"/>
              </w:rPr>
              <w:t>（2）根据投标人提供的售后服务便捷性，包括响应及时性、到达现场的时间、项目运维期间配合服务的便捷程度、人员设备及技术支持的应急配合能力及时效等方面进行</w:t>
            </w:r>
            <w:r>
              <w:rPr>
                <w:rFonts w:hint="eastAsia" w:ascii="宋体" w:hAnsi="宋体" w:cs="宋体"/>
                <w:szCs w:val="21"/>
              </w:rPr>
              <w:t>评议，</w:t>
            </w:r>
            <w:r>
              <w:rPr>
                <w:rFonts w:hint="eastAsia" w:ascii="宋体" w:hAnsi="宋体" w:cs="宋体"/>
              </w:rPr>
              <w:t>最高分2分。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kern w:val="0"/>
                <w:szCs w:val="21"/>
              </w:rPr>
            </w:pPr>
            <w:r>
              <w:rPr>
                <w:rFonts w:hint="eastAsia"/>
                <w:kern w:val="0"/>
                <w:szCs w:val="21"/>
              </w:rPr>
              <w:t>10、演示视频讲解（8分）</w:t>
            </w:r>
          </w:p>
        </w:tc>
        <w:tc>
          <w:tcPr>
            <w:tcW w:w="3882" w:type="pct"/>
            <w:tcBorders>
              <w:top w:val="single" w:color="auto" w:sz="4" w:space="0"/>
              <w:left w:val="single" w:color="auto" w:sz="4" w:space="0"/>
              <w:right w:val="single" w:color="auto" w:sz="2" w:space="0"/>
            </w:tcBorders>
            <w:vAlign w:val="center"/>
          </w:tcPr>
          <w:p>
            <w:pPr>
              <w:topLinePunct/>
              <w:adjustRightInd w:val="0"/>
              <w:snapToGrid w:val="0"/>
              <w:spacing w:line="380" w:lineRule="exact"/>
            </w:pPr>
            <w:r>
              <w:rPr>
                <w:rFonts w:hint="eastAsia"/>
              </w:rPr>
              <w:t>投标人根据招标文件第二章 招标需求 演示视频在投标截止时间前递交至招标代理机构处，招标代理机构将会在开标现场进行播放，由评委对功能实现、满足情况进行综合评议，演示包含以下内容：</w:t>
            </w:r>
          </w:p>
          <w:p>
            <w:pPr>
              <w:topLinePunct/>
              <w:adjustRightInd w:val="0"/>
              <w:snapToGrid w:val="0"/>
              <w:spacing w:before="85" w:line="380" w:lineRule="exact"/>
              <w:jc w:val="left"/>
            </w:pPr>
            <w:r>
              <w:rPr>
                <w:rFonts w:hint="eastAsia"/>
              </w:rPr>
              <w:t>1、智能管网溯源功能</w:t>
            </w:r>
          </w:p>
          <w:p>
            <w:pPr>
              <w:topLinePunct/>
              <w:adjustRightInd w:val="0"/>
              <w:snapToGrid w:val="0"/>
              <w:spacing w:line="380" w:lineRule="exact"/>
            </w:pPr>
            <w:r>
              <w:rPr>
                <w:rFonts w:hint="eastAsia"/>
              </w:rPr>
              <w:t>2、内涝预警功能</w:t>
            </w:r>
          </w:p>
          <w:p>
            <w:pPr>
              <w:topLinePunct/>
              <w:adjustRightInd w:val="0"/>
              <w:snapToGrid w:val="0"/>
              <w:spacing w:line="380" w:lineRule="exact"/>
            </w:pPr>
            <w:r>
              <w:rPr>
                <w:rFonts w:hint="eastAsia"/>
              </w:rPr>
              <w:t>评审专家根据操作界面是否友好、系统操作是否简便以及演示模块是否满足采购要求等情况进行综合评议，最高分 8分。</w:t>
            </w:r>
          </w:p>
          <w:p>
            <w:pPr>
              <w:snapToGrid w:val="0"/>
              <w:spacing w:line="360" w:lineRule="auto"/>
              <w:rPr>
                <w:rFonts w:ascii="宋体" w:hAnsi="宋体" w:cs="宋体"/>
                <w:szCs w:val="21"/>
              </w:rPr>
            </w:pPr>
            <w:r>
              <w:rPr>
                <w:rFonts w:hint="eastAsia" w:ascii="宋体" w:hAnsi="宋体" w:cs="宋体"/>
                <w:szCs w:val="21"/>
              </w:rPr>
              <w:t>①</w:t>
            </w:r>
            <w:r>
              <w:rPr>
                <w:rFonts w:hint="eastAsia"/>
                <w:kern w:val="0"/>
                <w:szCs w:val="21"/>
              </w:rPr>
              <w:t>演示视频讲解</w:t>
            </w:r>
            <w:r>
              <w:rPr>
                <w:rFonts w:hint="eastAsia" w:ascii="宋体" w:hAnsi="宋体" w:cs="宋体"/>
                <w:szCs w:val="21"/>
              </w:rPr>
              <w:t>内容完整、</w:t>
            </w:r>
            <w:r>
              <w:rPr>
                <w:rFonts w:hint="eastAsia"/>
              </w:rPr>
              <w:t>功能实现准确、完全满足情况</w:t>
            </w:r>
            <w:r>
              <w:rPr>
                <w:rFonts w:hint="eastAsia" w:ascii="宋体" w:hAnsi="宋体" w:cs="宋体"/>
                <w:szCs w:val="21"/>
              </w:rPr>
              <w:t>的得6.</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8分；</w:t>
            </w:r>
          </w:p>
          <w:p>
            <w:pPr>
              <w:snapToGrid w:val="0"/>
              <w:spacing w:line="360" w:lineRule="auto"/>
              <w:rPr>
                <w:rFonts w:ascii="宋体" w:hAnsi="宋体" w:cs="宋体"/>
                <w:szCs w:val="21"/>
              </w:rPr>
            </w:pPr>
            <w:r>
              <w:rPr>
                <w:rFonts w:hint="eastAsia" w:ascii="宋体" w:hAnsi="宋体" w:cs="宋体"/>
                <w:szCs w:val="21"/>
              </w:rPr>
              <w:t>②</w:t>
            </w:r>
            <w:r>
              <w:rPr>
                <w:rFonts w:hint="eastAsia"/>
                <w:kern w:val="0"/>
                <w:szCs w:val="21"/>
              </w:rPr>
              <w:t>演示视频讲解</w:t>
            </w:r>
            <w:r>
              <w:rPr>
                <w:rFonts w:hint="eastAsia" w:ascii="宋体" w:hAnsi="宋体" w:cs="宋体"/>
                <w:szCs w:val="21"/>
              </w:rPr>
              <w:t>内容较完整、</w:t>
            </w:r>
            <w:r>
              <w:rPr>
                <w:rFonts w:hint="eastAsia"/>
              </w:rPr>
              <w:t>功能实现较准确、较能满足情况</w:t>
            </w:r>
            <w:r>
              <w:rPr>
                <w:rFonts w:hint="eastAsia" w:ascii="宋体" w:hAnsi="宋体" w:cs="宋体"/>
                <w:szCs w:val="21"/>
              </w:rPr>
              <w:t>的得4.1</w:t>
            </w:r>
            <w:r>
              <w:rPr>
                <w:rFonts w:ascii="宋体" w:hAnsi="宋体" w:cs="宋体"/>
                <w:szCs w:val="21"/>
              </w:rPr>
              <w:t>-</w:t>
            </w:r>
            <w:r>
              <w:rPr>
                <w:rFonts w:hint="eastAsia" w:ascii="宋体" w:hAnsi="宋体" w:cs="宋体"/>
                <w:szCs w:val="21"/>
              </w:rPr>
              <w:t>6.5分；</w:t>
            </w:r>
          </w:p>
          <w:p>
            <w:pPr>
              <w:snapToGrid w:val="0"/>
              <w:spacing w:line="360" w:lineRule="auto"/>
              <w:rPr>
                <w:rFonts w:ascii="宋体" w:hAnsi="宋体" w:cs="宋体"/>
                <w:szCs w:val="21"/>
              </w:rPr>
            </w:pPr>
            <w:r>
              <w:rPr>
                <w:rFonts w:hint="eastAsia" w:ascii="宋体" w:hAnsi="宋体" w:cs="宋体"/>
                <w:szCs w:val="21"/>
              </w:rPr>
              <w:t>③</w:t>
            </w:r>
            <w:r>
              <w:rPr>
                <w:rFonts w:hint="eastAsia"/>
                <w:kern w:val="0"/>
                <w:szCs w:val="21"/>
              </w:rPr>
              <w:t>演示视频讲解</w:t>
            </w:r>
            <w:r>
              <w:rPr>
                <w:rFonts w:hint="eastAsia" w:ascii="宋体" w:hAnsi="宋体" w:cs="宋体"/>
                <w:szCs w:val="21"/>
              </w:rPr>
              <w:t>内容不充分、</w:t>
            </w:r>
            <w:r>
              <w:rPr>
                <w:rFonts w:hint="eastAsia"/>
              </w:rPr>
              <w:t>功能实现不准确、不能满足情况的</w:t>
            </w:r>
            <w:r>
              <w:rPr>
                <w:rFonts w:hint="eastAsia" w:ascii="宋体" w:hAnsi="宋体" w:cs="宋体"/>
                <w:szCs w:val="21"/>
              </w:rPr>
              <w:t>得0.1-4分；</w:t>
            </w:r>
          </w:p>
          <w:p>
            <w:pPr>
              <w:topLinePunct/>
              <w:adjustRightInd w:val="0"/>
              <w:snapToGrid w:val="0"/>
              <w:spacing w:line="380" w:lineRule="exact"/>
              <w:rPr>
                <w:rFonts w:ascii="宋体" w:hAnsi="宋体" w:cs="宋体"/>
                <w:szCs w:val="21"/>
              </w:rPr>
            </w:pPr>
            <w:r>
              <w:rPr>
                <w:rFonts w:hint="eastAsia" w:ascii="宋体" w:hAnsi="宋体" w:cs="宋体"/>
                <w:szCs w:val="21"/>
              </w:rPr>
              <w:t>④不提供不得分。</w:t>
            </w:r>
          </w:p>
          <w:p>
            <w:pPr>
              <w:topLinePunct/>
              <w:adjustRightInd w:val="0"/>
              <w:snapToGrid w:val="0"/>
              <w:spacing w:line="380" w:lineRule="exact"/>
            </w:pPr>
            <w:r>
              <w:rPr>
                <w:rFonts w:hint="eastAsia"/>
              </w:rPr>
              <w:t>注：本项目不组织现场讲解，供应商需自行录制演示视频（格式要求：MPEG4，时长不超过10分钟），将视频拷入U盘并单独进行密封并在投标截止时间前递交给招标代理机构，递交形式为邮寄（自行承担邮寄过程风险）或开标现场递交（投标人任选其一），未进行演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ascii="宋体" w:hAnsi="宋体" w:cs="宋体"/>
                <w:szCs w:val="21"/>
              </w:rPr>
              <w:t>11、</w:t>
            </w:r>
            <w:r>
              <w:rPr>
                <w:rFonts w:hint="eastAsia" w:ascii="宋体" w:hAnsi="宋体" w:cs="宋体"/>
                <w:szCs w:val="21"/>
                <w:lang w:val="zh-CN"/>
              </w:rPr>
              <w:t>资信及综合能力 (</w:t>
            </w:r>
            <w:r>
              <w:rPr>
                <w:rFonts w:hint="eastAsia" w:ascii="宋体" w:hAnsi="宋体" w:cs="宋体"/>
                <w:szCs w:val="21"/>
              </w:rPr>
              <w:t>7</w:t>
            </w:r>
            <w:r>
              <w:rPr>
                <w:rFonts w:hint="eastAsia" w:ascii="宋体" w:hAnsi="宋体" w:cs="宋体"/>
                <w:szCs w:val="21"/>
                <w:lang w:val="zh-CN"/>
              </w:rPr>
              <w:t>分)</w:t>
            </w:r>
          </w:p>
        </w:tc>
        <w:tc>
          <w:tcPr>
            <w:tcW w:w="3882" w:type="pct"/>
            <w:tcBorders>
              <w:top w:val="single" w:color="auto" w:sz="4" w:space="0"/>
              <w:left w:val="single" w:color="auto" w:sz="4" w:space="0"/>
              <w:right w:val="single" w:color="auto" w:sz="2" w:space="0"/>
            </w:tcBorders>
            <w:vAlign w:val="center"/>
          </w:tcPr>
          <w:p>
            <w:pPr>
              <w:topLinePunct/>
              <w:adjustRightInd w:val="0"/>
              <w:snapToGrid w:val="0"/>
              <w:spacing w:before="85" w:line="380" w:lineRule="exact"/>
              <w:ind w:left="102"/>
              <w:jc w:val="left"/>
            </w:pPr>
            <w:r>
              <w:rPr>
                <w:rFonts w:hint="eastAsia"/>
              </w:rPr>
              <w:t>1）投标人具有有效的ISO27017云服务信息安全管理体系认证证书得2分；具有ISO27018公有云个人信息安全管理体系认证证书得2分；具有ISO22301业务连续性管理体系认证证书的得1分。</w:t>
            </w:r>
            <w:r>
              <w:rPr>
                <w:rFonts w:hint="eastAsia" w:ascii="宋体" w:hAnsi="宋体" w:cs="宋体"/>
                <w:kern w:val="0"/>
                <w:sz w:val="20"/>
                <w:lang w:bidi="ar"/>
              </w:rPr>
              <w:t>本项最多得5分。</w:t>
            </w:r>
          </w:p>
          <w:p>
            <w:pPr>
              <w:topLinePunct/>
              <w:adjustRightInd w:val="0"/>
              <w:snapToGrid w:val="0"/>
              <w:spacing w:before="85" w:line="380" w:lineRule="exact"/>
              <w:ind w:left="102"/>
              <w:jc w:val="left"/>
            </w:pPr>
            <w:r>
              <w:rPr>
                <w:rFonts w:hint="eastAsia"/>
              </w:rPr>
              <w:t>2）投标人具有有效的CMMI软件能力成熟度模型集成证书得1分，具有信息技术服务运行维护标准（ITSS）证书得1分。</w:t>
            </w:r>
            <w:r>
              <w:rPr>
                <w:rFonts w:hint="eastAsia"/>
                <w:lang w:bidi="ar"/>
              </w:rPr>
              <w:t>本项最多得2分。</w:t>
            </w:r>
          </w:p>
          <w:p>
            <w:pPr>
              <w:topLinePunct/>
              <w:adjustRightInd w:val="0"/>
              <w:snapToGrid w:val="0"/>
              <w:spacing w:line="380" w:lineRule="exact"/>
              <w:rPr>
                <w:rFonts w:ascii="宋体" w:hAnsi="宋体" w:cs="宋体"/>
                <w:szCs w:val="21"/>
              </w:rPr>
            </w:pPr>
            <w:r>
              <w:rPr>
                <w:rFonts w:hint="eastAsia"/>
              </w:rPr>
              <w:t>（注：以上投标人资质得分按照联合体各方均可计取，投标文件中须提供相关证件复印件并加盖公章，不提供不得分。）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420"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697"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ascii="宋体" w:hAnsi="宋体" w:cs="宋体"/>
                <w:szCs w:val="21"/>
              </w:rPr>
              <w:t>12、</w:t>
            </w:r>
            <w:r>
              <w:rPr>
                <w:rFonts w:hint="eastAsia" w:ascii="宋体" w:hAnsi="宋体" w:cs="宋体"/>
                <w:szCs w:val="21"/>
                <w:lang w:val="zh-CN"/>
              </w:rPr>
              <w:t xml:space="preserve">项目实施人员资质  </w:t>
            </w:r>
            <w:r>
              <w:rPr>
                <w:rFonts w:ascii="宋体" w:hAnsi="宋体" w:cs="宋体"/>
                <w:szCs w:val="21"/>
              </w:rPr>
              <w:t>(12</w:t>
            </w:r>
            <w:r>
              <w:rPr>
                <w:rFonts w:hint="eastAsia" w:ascii="宋体" w:hAnsi="宋体" w:cs="宋体"/>
                <w:szCs w:val="21"/>
                <w:lang w:val="zh-CN"/>
              </w:rPr>
              <w:t>分</w:t>
            </w:r>
            <w:r>
              <w:rPr>
                <w:rFonts w:ascii="宋体" w:hAnsi="宋体" w:cs="宋体"/>
                <w:szCs w:val="21"/>
              </w:rPr>
              <w:t>)</w:t>
            </w:r>
          </w:p>
        </w:tc>
        <w:tc>
          <w:tcPr>
            <w:tcW w:w="3882" w:type="pct"/>
            <w:tcBorders>
              <w:top w:val="single" w:color="auto" w:sz="4" w:space="0"/>
              <w:left w:val="single" w:color="auto" w:sz="4" w:space="0"/>
              <w:right w:val="single" w:color="auto" w:sz="2" w:space="0"/>
            </w:tcBorders>
            <w:vAlign w:val="center"/>
          </w:tcPr>
          <w:p>
            <w:pPr>
              <w:topLinePunct/>
              <w:adjustRightInd w:val="0"/>
              <w:snapToGrid w:val="0"/>
              <w:spacing w:before="86" w:line="380" w:lineRule="exact"/>
              <w:ind w:left="102"/>
              <w:jc w:val="left"/>
            </w:pPr>
            <w:r>
              <w:rPr>
                <w:rFonts w:hint="eastAsia"/>
              </w:rPr>
              <w:t>1）项目负责人具备信息系统项目管理师</w:t>
            </w:r>
            <w:r>
              <w:rPr>
                <w:rFonts w:hint="eastAsia"/>
                <w:color w:val="000000"/>
              </w:rPr>
              <w:t>得2分；具备</w:t>
            </w:r>
            <w:r>
              <w:rPr>
                <w:rFonts w:hint="eastAsia"/>
              </w:rPr>
              <w:t>通信专业技术人员职业资格证书中级及以上得2分，最高得4分。</w:t>
            </w:r>
          </w:p>
          <w:p>
            <w:pPr>
              <w:topLinePunct/>
              <w:adjustRightInd w:val="0"/>
              <w:snapToGrid w:val="0"/>
              <w:spacing w:before="86" w:line="380" w:lineRule="exact"/>
              <w:ind w:left="102"/>
              <w:jc w:val="left"/>
            </w:pPr>
            <w:r>
              <w:rPr>
                <w:rFonts w:hint="eastAsia"/>
              </w:rPr>
              <w:t>2）项目技术负责人具备国家信息安全水平证书（一级）得2分；具备软件设计师得2分，最高得4分。</w:t>
            </w:r>
          </w:p>
          <w:p>
            <w:pPr>
              <w:topLinePunct/>
              <w:adjustRightInd w:val="0"/>
              <w:snapToGrid w:val="0"/>
              <w:spacing w:before="86" w:line="380" w:lineRule="exact"/>
              <w:ind w:left="102"/>
              <w:jc w:val="left"/>
            </w:pPr>
            <w:r>
              <w:rPr>
                <w:rFonts w:hint="eastAsia"/>
              </w:rPr>
              <w:t>3）本项目组其他组成人员（不含项目负责人和技术负责人）中具有数据库系统工程师得1分；具有网络规划师证书得1分；具有注册测绘师得1分；具有华为云HCIP认证得1分；最高得4分。</w:t>
            </w:r>
          </w:p>
          <w:p>
            <w:pPr>
              <w:topLinePunct/>
              <w:adjustRightInd w:val="0"/>
              <w:snapToGrid w:val="0"/>
              <w:spacing w:line="380" w:lineRule="exact"/>
            </w:pPr>
            <w:r>
              <w:rPr>
                <w:rFonts w:hint="eastAsia"/>
              </w:rPr>
              <w:t>投标文件中需提供人员证书以及社保部门出具的投标人为其缴纳的距开标前三个月内任一个月社会保险缴费证明复印件或</w:t>
            </w:r>
            <w:r>
              <w:rPr>
                <w:rFonts w:hint="eastAsia" w:ascii="宋体" w:hAnsi="宋体" w:cs="宋体"/>
              </w:rPr>
              <w:t>投标人员是本单位人员承诺函，</w:t>
            </w:r>
            <w:r>
              <w:rPr>
                <w:rFonts w:hint="eastAsia"/>
              </w:rPr>
              <w:t>并加盖公章；否则不得分。</w:t>
            </w:r>
          </w:p>
          <w:p>
            <w:pPr>
              <w:topLinePunct/>
              <w:adjustRightInd w:val="0"/>
              <w:snapToGrid w:val="0"/>
              <w:spacing w:before="85" w:line="380" w:lineRule="exact"/>
              <w:ind w:left="102"/>
              <w:jc w:val="left"/>
            </w:pPr>
            <w:r>
              <w:rPr>
                <w:rFonts w:hint="eastAsia"/>
              </w:rPr>
              <w:t>（注：以上投标人资质得分按照联合体各方均可计取，投标文件中须提供相关证件复印件并加盖公章，不提供不得分。）</w:t>
            </w:r>
          </w:p>
          <w:p>
            <w:pPr>
              <w:topLinePunct/>
              <w:adjustRightInd w:val="0"/>
              <w:snapToGrid w:val="0"/>
              <w:spacing w:line="38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420" w:type="pct"/>
            <w:vMerge w:val="continue"/>
            <w:tcBorders>
              <w:left w:val="single" w:color="auto" w:sz="4" w:space="0"/>
              <w:bottom w:val="single" w:color="auto" w:sz="4" w:space="0"/>
              <w:right w:val="single" w:color="auto" w:sz="2" w:space="0"/>
            </w:tcBorders>
            <w:tcMar>
              <w:top w:w="0" w:type="dxa"/>
              <w:left w:w="0" w:type="dxa"/>
              <w:bottom w:w="0" w:type="dxa"/>
              <w:right w:w="0" w:type="dxa"/>
            </w:tcMar>
            <w:vAlign w:val="center"/>
          </w:tcPr>
          <w:p>
            <w:pPr>
              <w:snapToGrid w:val="0"/>
              <w:spacing w:line="360" w:lineRule="auto"/>
            </w:pPr>
          </w:p>
        </w:tc>
        <w:tc>
          <w:tcPr>
            <w:tcW w:w="697"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jc w:val="center"/>
            </w:pPr>
            <w:r>
              <w:rPr>
                <w:rFonts w:hint="eastAsia"/>
              </w:rPr>
              <w:t>政府采购政策分</w:t>
            </w:r>
          </w:p>
          <w:p>
            <w:pPr>
              <w:snapToGrid w:val="0"/>
              <w:spacing w:line="360" w:lineRule="auto"/>
            </w:pPr>
            <w:r>
              <w:rPr>
                <w:rFonts w:hint="eastAsia"/>
              </w:rPr>
              <w:t>（</w:t>
            </w:r>
            <w:r>
              <w:t>1</w:t>
            </w:r>
            <w:r>
              <w:rPr>
                <w:rFonts w:hint="eastAsia"/>
              </w:rPr>
              <w:t>分）</w:t>
            </w:r>
          </w:p>
        </w:tc>
        <w:tc>
          <w:tcPr>
            <w:tcW w:w="3882"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pPr>
            <w:r>
              <w:rPr>
                <w:rFonts w:hint="eastAsia"/>
              </w:rPr>
              <w:t>供应商企业注册地是属于不发达地区或少数民族地区。提供国家相关部门认定的不发达地区或少数民族地区证明的，得</w:t>
            </w:r>
            <w:r>
              <w:t>1</w:t>
            </w:r>
            <w:r>
              <w:rPr>
                <w:rFonts w:hint="eastAsia"/>
              </w:rPr>
              <w:t>分。提供证明不清的不予得分。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420"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jc w:val="center"/>
              <w:rPr>
                <w:rFonts w:ascii="宋体" w:hAnsi="宋体"/>
                <w:snapToGrid w:val="0"/>
                <w:spacing w:val="-4"/>
                <w:szCs w:val="21"/>
              </w:rPr>
            </w:pPr>
            <w:r>
              <w:rPr>
                <w:rFonts w:hint="eastAsia" w:ascii="宋体" w:hAnsi="宋体"/>
                <w:snapToGrid w:val="0"/>
                <w:spacing w:val="-4"/>
                <w:szCs w:val="21"/>
              </w:rPr>
              <w:t>报价分</w:t>
            </w:r>
          </w:p>
          <w:p>
            <w:pPr>
              <w:widowControl/>
              <w:snapToGrid w:val="0"/>
              <w:spacing w:line="360" w:lineRule="auto"/>
            </w:pPr>
            <w:r>
              <w:rPr>
                <w:rFonts w:hint="eastAsia" w:ascii="宋体" w:hAnsi="宋体"/>
                <w:snapToGrid w:val="0"/>
                <w:spacing w:val="-4"/>
                <w:szCs w:val="21"/>
              </w:rPr>
              <w:t>（满分</w:t>
            </w:r>
            <w:r>
              <w:rPr>
                <w:iCs/>
                <w:snapToGrid w:val="0"/>
                <w:spacing w:val="-4"/>
                <w:szCs w:val="21"/>
              </w:rPr>
              <w:t>1</w:t>
            </w:r>
            <w:r>
              <w:rPr>
                <w:rFonts w:hint="eastAsia"/>
                <w:iCs/>
                <w:snapToGrid w:val="0"/>
                <w:spacing w:val="-4"/>
                <w:szCs w:val="21"/>
              </w:rPr>
              <w:t>0</w:t>
            </w:r>
            <w:r>
              <w:rPr>
                <w:rFonts w:hint="eastAsia" w:ascii="宋体" w:hAnsi="宋体"/>
                <w:snapToGrid w:val="0"/>
                <w:spacing w:val="-4"/>
                <w:szCs w:val="21"/>
              </w:rPr>
              <w:t>分）</w:t>
            </w:r>
          </w:p>
        </w:tc>
        <w:tc>
          <w:tcPr>
            <w:tcW w:w="4579" w:type="pct"/>
            <w:gridSpan w:val="2"/>
            <w:tcBorders>
              <w:top w:val="single" w:color="auto" w:sz="4" w:space="0"/>
              <w:left w:val="single" w:color="auto" w:sz="4" w:space="0"/>
              <w:bottom w:val="single" w:color="auto" w:sz="4" w:space="0"/>
              <w:right w:val="single" w:color="auto" w:sz="2" w:space="0"/>
            </w:tcBorders>
            <w:vAlign w:val="center"/>
          </w:tcPr>
          <w:p>
            <w:pPr>
              <w:widowControl/>
              <w:rPr>
                <w:rFonts w:ascii="宋体" w:hAnsi="宋体" w:cs="宋体"/>
                <w:szCs w:val="21"/>
              </w:rPr>
            </w:pPr>
            <w:r>
              <w:rPr>
                <w:rFonts w:hint="eastAsia" w:ascii="宋体" w:hAnsi="宋体" w:cs="宋体"/>
                <w:szCs w:val="21"/>
              </w:rPr>
              <w:t>评标基准价指的是满足采购文件要求且最低的参与评审的价格。</w:t>
            </w:r>
          </w:p>
          <w:p>
            <w:pPr>
              <w:widowControl/>
              <w:rPr>
                <w:rFonts w:ascii="宋体" w:hAnsi="宋体" w:cs="宋体"/>
                <w:szCs w:val="21"/>
              </w:rPr>
            </w:pPr>
            <w:r>
              <w:rPr>
                <w:rFonts w:hint="eastAsia" w:ascii="宋体" w:hAnsi="宋体" w:cs="宋体"/>
                <w:szCs w:val="21"/>
              </w:rPr>
              <w:t>参与评审的价格=投标报价-小微企业价格扣除优惠值（如有）。</w:t>
            </w:r>
          </w:p>
          <w:p>
            <w:pPr>
              <w:widowControl/>
              <w:rPr>
                <w:rFonts w:ascii="宋体" w:hAnsi="宋体" w:cs="宋体"/>
                <w:szCs w:val="21"/>
              </w:rPr>
            </w:pPr>
            <w:r>
              <w:rPr>
                <w:rFonts w:hint="eastAsia" w:ascii="宋体" w:hAnsi="宋体" w:cs="宋体"/>
                <w:szCs w:val="21"/>
              </w:rPr>
              <w:t>参与评审的价格为评标基准价的其价格得分得满分</w:t>
            </w:r>
            <w:r>
              <w:rPr>
                <w:rFonts w:cs="宋体"/>
                <w:szCs w:val="21"/>
                <w:u w:val="single"/>
              </w:rPr>
              <w:t>1</w:t>
            </w:r>
            <w:r>
              <w:rPr>
                <w:rFonts w:hint="eastAsia" w:cs="宋体"/>
                <w:szCs w:val="21"/>
                <w:u w:val="single"/>
              </w:rPr>
              <w:t>0</w:t>
            </w:r>
            <w:r>
              <w:rPr>
                <w:rFonts w:hint="eastAsia" w:ascii="宋体" w:hAnsi="宋体" w:cs="宋体"/>
                <w:szCs w:val="21"/>
              </w:rPr>
              <w:t>分。</w:t>
            </w:r>
          </w:p>
          <w:p>
            <w:pPr>
              <w:widowControl/>
              <w:rPr>
                <w:rFonts w:ascii="宋体" w:hAnsi="宋体" w:cs="宋体"/>
                <w:szCs w:val="21"/>
              </w:rPr>
            </w:pPr>
            <w:r>
              <w:rPr>
                <w:rFonts w:hint="eastAsia" w:ascii="宋体" w:hAnsi="宋体" w:cs="宋体"/>
                <w:szCs w:val="21"/>
              </w:rPr>
              <w:t>其他供应商价格得分按照下列公式计算：</w:t>
            </w:r>
          </w:p>
          <w:p>
            <w:pPr>
              <w:widowControl/>
              <w:rPr>
                <w:rFonts w:ascii="宋体" w:hAnsi="宋体" w:cs="宋体"/>
                <w:szCs w:val="21"/>
              </w:rPr>
            </w:pPr>
            <w:r>
              <w:rPr>
                <w:rFonts w:hint="eastAsia" w:ascii="宋体" w:hAnsi="宋体" w:cs="宋体"/>
                <w:szCs w:val="21"/>
              </w:rPr>
              <w:t>价格得分=（评标基准价/各供应商参与评审的价格）×</w:t>
            </w:r>
            <w:r>
              <w:rPr>
                <w:rFonts w:hint="eastAsia" w:cs="宋体"/>
                <w:szCs w:val="21"/>
                <w:u w:val="single"/>
              </w:rPr>
              <w:t>10</w:t>
            </w:r>
            <w:r>
              <w:rPr>
                <w:rFonts w:hint="eastAsia" w:ascii="宋体" w:hAnsi="宋体" w:cs="宋体"/>
                <w:szCs w:val="21"/>
              </w:rPr>
              <w:t>％×</w:t>
            </w:r>
            <w:r>
              <w:rPr>
                <w:rFonts w:hint="eastAsia" w:cs="宋体"/>
                <w:szCs w:val="21"/>
              </w:rPr>
              <w:t>100</w:t>
            </w:r>
            <w:r>
              <w:rPr>
                <w:rFonts w:hint="eastAsia" w:ascii="宋体" w:hAnsi="宋体" w:cs="宋体"/>
                <w:szCs w:val="21"/>
              </w:rPr>
              <w:t>。</w:t>
            </w:r>
          </w:p>
          <w:p>
            <w:pPr>
              <w:widowControl/>
              <w:rPr>
                <w:rFonts w:ascii="宋体" w:hAnsi="宋体" w:cs="宋体"/>
                <w:szCs w:val="21"/>
              </w:rPr>
            </w:pPr>
            <w:r>
              <w:rPr>
                <w:rFonts w:hint="eastAsia" w:ascii="宋体" w:hAnsi="宋体" w:cs="宋体"/>
                <w:szCs w:val="21"/>
              </w:rPr>
              <w:t>注：</w:t>
            </w:r>
            <w:r>
              <w:rPr>
                <w:rFonts w:hint="eastAsia" w:cs="宋体"/>
                <w:szCs w:val="21"/>
              </w:rPr>
              <w:t>1</w:t>
            </w:r>
            <w:r>
              <w:rPr>
                <w:rFonts w:hint="eastAsia" w:ascii="宋体" w:hAnsi="宋体" w:cs="宋体"/>
                <w:szCs w:val="21"/>
              </w:rPr>
              <w:t>、投标报价超过最高限价的作无效标处理。</w:t>
            </w:r>
          </w:p>
          <w:p>
            <w:pPr>
              <w:widowControl/>
              <w:ind w:firstLine="420" w:firstLineChars="200"/>
              <w:rPr>
                <w:rFonts w:ascii="宋体" w:hAnsi="宋体" w:cs="宋体"/>
                <w:szCs w:val="21"/>
              </w:rPr>
            </w:pPr>
            <w:r>
              <w:rPr>
                <w:rFonts w:hint="eastAsia" w:cs="宋体"/>
                <w:szCs w:val="21"/>
              </w:rPr>
              <w:t>2</w:t>
            </w:r>
            <w:r>
              <w:rPr>
                <w:rFonts w:hint="eastAsia" w:ascii="宋体" w:hAnsi="宋体" w:cs="宋体"/>
                <w:szCs w:val="21"/>
              </w:rPr>
              <w:t>、价格得分小数点后保留</w:t>
            </w:r>
            <w:r>
              <w:rPr>
                <w:rFonts w:hint="eastAsia" w:cs="宋体"/>
                <w:szCs w:val="21"/>
              </w:rPr>
              <w:t>2</w:t>
            </w:r>
            <w:r>
              <w:rPr>
                <w:rFonts w:hint="eastAsia" w:ascii="宋体" w:hAnsi="宋体" w:cs="宋体"/>
                <w:szCs w:val="21"/>
              </w:rPr>
              <w:t>位小数，第</w:t>
            </w:r>
            <w:r>
              <w:rPr>
                <w:rFonts w:hint="eastAsia" w:cs="宋体"/>
                <w:szCs w:val="21"/>
              </w:rPr>
              <w:t>3</w:t>
            </w:r>
            <w:r>
              <w:rPr>
                <w:rFonts w:hint="eastAsia" w:ascii="宋体" w:hAnsi="宋体" w:cs="宋体"/>
                <w:szCs w:val="21"/>
              </w:rPr>
              <w:t>位小数四舍五入。</w:t>
            </w:r>
          </w:p>
          <w:p>
            <w:pPr>
              <w:widowControl/>
              <w:ind w:firstLine="420" w:firstLineChars="200"/>
              <w:rPr>
                <w:rFonts w:ascii="宋体" w:hAnsi="宋体" w:cs="宋体"/>
                <w:szCs w:val="21"/>
              </w:rPr>
            </w:pPr>
            <w:r>
              <w:rPr>
                <w:rFonts w:hint="eastAsia" w:cs="宋体"/>
                <w:szCs w:val="21"/>
              </w:rPr>
              <w:t>3</w:t>
            </w:r>
            <w:r>
              <w:rPr>
                <w:rFonts w:hint="eastAsia" w:ascii="宋体" w:hAnsi="宋体" w:cs="宋体"/>
                <w:szCs w:val="21"/>
              </w:rPr>
              <w:t>、根据《浙江省财政厅关于进一步加大政府采购支持中小企业力度助力扎实稳住经济的通知》（浙财采监（2022）8号），对符合规定的小微企业报价给予</w:t>
            </w:r>
            <w:r>
              <w:rPr>
                <w:rFonts w:cs="宋体"/>
                <w:szCs w:val="21"/>
              </w:rPr>
              <w:t>20</w:t>
            </w:r>
            <w:r>
              <w:rPr>
                <w:rFonts w:hint="eastAsia" w:ascii="宋体" w:hAnsi="宋体" w:cs="宋体"/>
                <w:szCs w:val="21"/>
              </w:rPr>
              <w:t>%的扣除，用扣除后的价格参加评审。</w:t>
            </w:r>
          </w:p>
          <w:p>
            <w:pPr>
              <w:widowControl/>
              <w:rPr>
                <w:rFonts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w:t>
            </w:r>
            <w:r>
              <w:rPr>
                <w:rFonts w:hint="eastAsia" w:cs="宋体"/>
                <w:szCs w:val="21"/>
              </w:rPr>
              <w:t>30</w:t>
            </w:r>
            <w:r>
              <w:rPr>
                <w:rFonts w:hint="eastAsia" w:ascii="宋体" w:hAnsi="宋体" w:cs="宋体"/>
                <w:szCs w:val="21"/>
              </w:rPr>
              <w:t>%以上的，采购人、采购代理机构应当对联合体或者大中型企业的报价给予</w:t>
            </w:r>
            <w:r>
              <w:rPr>
                <w:rFonts w:cs="宋体"/>
                <w:szCs w:val="21"/>
              </w:rPr>
              <w:t>6</w:t>
            </w:r>
            <w:r>
              <w:rPr>
                <w:rFonts w:hint="eastAsia" w:ascii="宋体" w:hAnsi="宋体" w:cs="宋体"/>
                <w:szCs w:val="21"/>
              </w:rPr>
              <w:t>%的扣除，用扣除后的价格参加评审。组成联合体或者接受分包的小微企业与联合体内其他企业、分包企业之间存在直接控股、管理关系的，不享受价格扣除优惠政策。</w:t>
            </w:r>
          </w:p>
          <w:p>
            <w:pPr>
              <w:widowControl/>
              <w:snapToGrid w:val="0"/>
              <w:spacing w:line="360" w:lineRule="auto"/>
              <w:ind w:firstLine="420" w:firstLineChars="200"/>
              <w:rPr>
                <w:rFonts w:ascii="宋体" w:hAnsi="宋体" w:cs="宋体"/>
                <w:szCs w:val="21"/>
              </w:rPr>
            </w:pPr>
            <w:r>
              <w:rPr>
                <w:rFonts w:hint="eastAsia" w:ascii="宋体" w:hAnsi="宋体" w:cs="宋体"/>
                <w:szCs w:val="21"/>
              </w:rPr>
              <w:t>联合体各方均为小微企业的，联合体视同小微企业。</w:t>
            </w:r>
          </w:p>
        </w:tc>
      </w:tr>
    </w:tbl>
    <w:p>
      <w:pPr>
        <w:pStyle w:val="202"/>
        <w:ind w:firstLine="0" w:firstLineChars="0"/>
      </w:pPr>
    </w:p>
    <w:p>
      <w:pPr>
        <w:pStyle w:val="202"/>
        <w:ind w:firstLine="480"/>
      </w:pPr>
      <w:r>
        <w:t>标项二</w:t>
      </w:r>
      <w:r>
        <w:rPr>
          <w:rFonts w:hint="eastAsia"/>
        </w:rPr>
        <w:t>：</w:t>
      </w:r>
    </w:p>
    <w:p>
      <w:pPr>
        <w:spacing w:line="360" w:lineRule="auto"/>
        <w:rPr>
          <w:rFonts w:ascii="宋体" w:hAnsi="宋体"/>
          <w:b/>
          <w:sz w:val="24"/>
          <w:szCs w:val="24"/>
        </w:rPr>
      </w:pPr>
    </w:p>
    <w:tbl>
      <w:tblPr>
        <w:tblStyle w:val="42"/>
        <w:tblW w:w="480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0"/>
        <w:gridCol w:w="962"/>
        <w:gridCol w:w="61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7" w:hRule="atLeast"/>
          <w:jc w:val="center"/>
        </w:trPr>
        <w:tc>
          <w:tcPr>
            <w:tcW w:w="634" w:type="pct"/>
            <w:vMerge w:val="restart"/>
            <w:tcBorders>
              <w:top w:val="single" w:color="auto" w:sz="4" w:space="0"/>
              <w:left w:val="single" w:color="auto" w:sz="4" w:space="0"/>
              <w:right w:val="single" w:color="auto" w:sz="2" w:space="0"/>
            </w:tcBorders>
            <w:vAlign w:val="center"/>
          </w:tcPr>
          <w:p>
            <w:pPr>
              <w:snapToGrid w:val="0"/>
              <w:spacing w:line="360" w:lineRule="auto"/>
              <w:rPr>
                <w:rFonts w:ascii="宋体" w:hAnsi="宋体"/>
                <w:snapToGrid w:val="0"/>
                <w:spacing w:val="-4"/>
                <w:szCs w:val="21"/>
              </w:rPr>
            </w:pPr>
            <w:r>
              <w:rPr>
                <w:rFonts w:hint="eastAsia" w:ascii="宋体" w:hAnsi="宋体"/>
                <w:snapToGrid w:val="0"/>
                <w:spacing w:val="-4"/>
                <w:szCs w:val="21"/>
              </w:rPr>
              <w:t>商务技术分</w:t>
            </w:r>
          </w:p>
          <w:p>
            <w:pPr>
              <w:snapToGrid w:val="0"/>
              <w:spacing w:line="360" w:lineRule="auto"/>
              <w:rPr>
                <w:rFonts w:ascii="宋体" w:hAnsi="宋体"/>
                <w:snapToGrid w:val="0"/>
                <w:spacing w:val="-4"/>
                <w:szCs w:val="21"/>
              </w:rPr>
            </w:pPr>
            <w:r>
              <w:rPr>
                <w:rFonts w:hint="eastAsia" w:ascii="宋体" w:hAnsi="宋体"/>
                <w:snapToGrid w:val="0"/>
                <w:spacing w:val="-4"/>
                <w:szCs w:val="21"/>
              </w:rPr>
              <w:t>（满分</w:t>
            </w:r>
            <w:r>
              <w:rPr>
                <w:iCs/>
                <w:snapToGrid w:val="0"/>
                <w:spacing w:val="-4"/>
                <w:szCs w:val="21"/>
              </w:rPr>
              <w:t>90</w:t>
            </w:r>
            <w:r>
              <w:rPr>
                <w:rFonts w:hint="eastAsia" w:ascii="宋体" w:hAnsi="宋体"/>
                <w:snapToGrid w:val="0"/>
                <w:spacing w:val="-4"/>
                <w:szCs w:val="21"/>
              </w:rPr>
              <w:t>分）</w:t>
            </w:r>
          </w:p>
        </w:tc>
        <w:tc>
          <w:tcPr>
            <w:tcW w:w="588"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lang w:val="zh-CN"/>
              </w:rPr>
              <w:t>1、类似业绩（</w:t>
            </w:r>
            <w:r>
              <w:rPr>
                <w:rFonts w:ascii="宋体" w:hAnsi="宋体" w:cs="宋体"/>
              </w:rPr>
              <w:t>1</w:t>
            </w:r>
            <w:r>
              <w:rPr>
                <w:rFonts w:hint="eastAsia" w:ascii="宋体" w:hAnsi="宋体" w:cs="宋体"/>
                <w:szCs w:val="21"/>
                <w:lang w:val="zh-CN"/>
              </w:rPr>
              <w:t>分）</w:t>
            </w:r>
          </w:p>
        </w:tc>
        <w:tc>
          <w:tcPr>
            <w:tcW w:w="3776"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rPr>
            </w:pPr>
            <w:r>
              <w:rPr>
                <w:rFonts w:hint="eastAsia" w:ascii="宋体" w:hAnsi="宋体" w:cs="宋体"/>
              </w:rPr>
              <w:t>自2020年1月1日至今（以合同签订之日为准），投标人承担过同类智能化项目得1分。</w:t>
            </w:r>
          </w:p>
          <w:p>
            <w:pPr>
              <w:widowControl/>
              <w:snapToGrid w:val="0"/>
              <w:spacing w:line="360" w:lineRule="auto"/>
              <w:rPr>
                <w:rFonts w:ascii="宋体" w:cs="宋体"/>
                <w:kern w:val="0"/>
                <w:szCs w:val="21"/>
              </w:rPr>
            </w:pPr>
            <w:r>
              <w:rPr>
                <w:rFonts w:hint="eastAsia" w:ascii="宋体" w:hAnsi="宋体" w:cs="宋体"/>
              </w:rPr>
              <w:t>注：投标文件中提供合同复印件加盖单位公章。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jc w:val="center"/>
        </w:trPr>
        <w:tc>
          <w:tcPr>
            <w:tcW w:w="634" w:type="pct"/>
            <w:vMerge w:val="continue"/>
            <w:tcBorders>
              <w:left w:val="single" w:color="auto" w:sz="4" w:space="0"/>
              <w:right w:val="single" w:color="auto" w:sz="2" w:space="0"/>
            </w:tcBorders>
            <w:vAlign w:val="center"/>
          </w:tcPr>
          <w:p>
            <w:pPr>
              <w:snapToGrid w:val="0"/>
              <w:spacing w:line="360" w:lineRule="auto"/>
              <w:rPr>
                <w:rFonts w:ascii="宋体" w:hAnsi="宋体"/>
                <w:snapToGrid w:val="0"/>
                <w:spacing w:val="-4"/>
                <w:szCs w:val="21"/>
              </w:rPr>
            </w:pPr>
          </w:p>
        </w:tc>
        <w:tc>
          <w:tcPr>
            <w:tcW w:w="588"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lang w:val="zh-CN"/>
              </w:rPr>
              <w:t>2、技术指标响应（</w:t>
            </w:r>
            <w:r>
              <w:rPr>
                <w:rFonts w:ascii="宋体" w:hAnsi="宋体" w:cs="宋体"/>
                <w:szCs w:val="21"/>
              </w:rPr>
              <w:t>28</w:t>
            </w:r>
            <w:r>
              <w:rPr>
                <w:rFonts w:ascii="宋体" w:hAnsi="宋体" w:cs="宋体"/>
                <w:szCs w:val="21"/>
                <w:lang w:val="zh-CN"/>
              </w:rPr>
              <w:t>分</w:t>
            </w:r>
            <w:r>
              <w:rPr>
                <w:rFonts w:hint="eastAsia" w:ascii="宋体" w:hAnsi="宋体" w:cs="宋体"/>
                <w:szCs w:val="21"/>
                <w:lang w:val="zh-CN"/>
              </w:rPr>
              <w:t>）</w:t>
            </w:r>
          </w:p>
        </w:tc>
        <w:tc>
          <w:tcPr>
            <w:tcW w:w="3776" w:type="pct"/>
            <w:tcBorders>
              <w:top w:val="single" w:color="auto" w:sz="4" w:space="0"/>
              <w:left w:val="single" w:color="auto" w:sz="4" w:space="0"/>
              <w:right w:val="single" w:color="auto" w:sz="2" w:space="0"/>
            </w:tcBorders>
            <w:vAlign w:val="center"/>
          </w:tcPr>
          <w:p>
            <w:pPr>
              <w:topLinePunct/>
              <w:adjustRightInd w:val="0"/>
              <w:snapToGrid w:val="0"/>
              <w:spacing w:line="380" w:lineRule="exact"/>
              <w:rPr>
                <w:rFonts w:ascii="宋体" w:hAnsi="宋体" w:cs="宋体"/>
                <w:szCs w:val="21"/>
                <w:highlight w:val="none"/>
                <w:lang w:val="zh-CN"/>
              </w:rPr>
            </w:pPr>
            <w:r>
              <w:rPr>
                <w:rFonts w:hint="eastAsia" w:ascii="宋体" w:hAnsi="宋体" w:cs="宋体"/>
                <w:szCs w:val="21"/>
                <w:highlight w:val="none"/>
                <w:lang w:val="zh-CN"/>
              </w:rPr>
              <w:t>评标委员会根据投标产品技术指标对第六部分中“1.3.建设需求”内容的响应情况：</w:t>
            </w:r>
            <w:bookmarkStart w:id="79" w:name="_GoBack"/>
            <w:bookmarkEnd w:id="79"/>
          </w:p>
          <w:p>
            <w:pPr>
              <w:topLinePunct/>
              <w:adjustRightInd w:val="0"/>
              <w:snapToGrid w:val="0"/>
              <w:spacing w:line="380" w:lineRule="exact"/>
              <w:rPr>
                <w:rFonts w:ascii="宋体" w:hAnsi="宋体" w:cs="宋体"/>
                <w:szCs w:val="21"/>
                <w:lang w:val="zh-CN"/>
              </w:rPr>
            </w:pPr>
            <w:r>
              <w:rPr>
                <w:rFonts w:ascii="宋体" w:hAnsi="宋体" w:cs="宋体"/>
                <w:szCs w:val="21"/>
              </w:rPr>
              <w:t>1.</w:t>
            </w:r>
            <w:r>
              <w:rPr>
                <w:rFonts w:hint="eastAsia" w:ascii="宋体" w:hAnsi="宋体" w:cs="宋体"/>
                <w:szCs w:val="21"/>
                <w:lang w:val="zh-CN"/>
              </w:rPr>
              <w:t>全部满足或者优于招标要求的得</w:t>
            </w:r>
            <w:r>
              <w:rPr>
                <w:rFonts w:hint="eastAsia" w:ascii="宋体" w:hAnsi="宋体" w:cs="宋体"/>
                <w:szCs w:val="21"/>
              </w:rPr>
              <w:t>28</w:t>
            </w:r>
            <w:r>
              <w:rPr>
                <w:rFonts w:hint="eastAsia" w:ascii="宋体" w:hAnsi="宋体" w:cs="宋体"/>
                <w:szCs w:val="21"/>
                <w:lang w:val="zh-CN"/>
              </w:rPr>
              <w:t>分；</w:t>
            </w:r>
          </w:p>
          <w:p>
            <w:pPr>
              <w:topLinePunct/>
              <w:adjustRightInd w:val="0"/>
              <w:snapToGrid w:val="0"/>
              <w:spacing w:line="380" w:lineRule="exact"/>
              <w:rPr>
                <w:rFonts w:ascii="宋体" w:hAnsi="宋体" w:cs="宋体"/>
                <w:szCs w:val="21"/>
              </w:rPr>
            </w:pPr>
            <w:r>
              <w:rPr>
                <w:rFonts w:ascii="宋体" w:hAnsi="宋体" w:cs="宋体"/>
                <w:szCs w:val="21"/>
              </w:rPr>
              <w:t>2.</w:t>
            </w:r>
            <w:r>
              <w:rPr>
                <w:rFonts w:hint="eastAsia" w:ascii="宋体" w:hAnsi="宋体" w:cs="宋体"/>
                <w:szCs w:val="21"/>
                <w:lang w:val="zh-CN"/>
              </w:rPr>
              <w:t>未打“</w:t>
            </w:r>
            <w:r>
              <w:rPr>
                <w:rFonts w:hint="eastAsia" w:ascii="宋体" w:hAnsi="宋体" w:cs="宋体"/>
                <w:szCs w:val="21"/>
              </w:rPr>
              <w:t>▲</w:t>
            </w:r>
            <w:r>
              <w:rPr>
                <w:rFonts w:hint="eastAsia" w:ascii="宋体" w:hAnsi="宋体" w:cs="宋体"/>
                <w:szCs w:val="21"/>
                <w:lang w:val="zh-CN"/>
              </w:rPr>
              <w:t>”的一般参数负偏离每条扣</w:t>
            </w:r>
            <w:r>
              <w:rPr>
                <w:rFonts w:hint="eastAsia" w:ascii="宋体" w:hAnsi="宋体" w:cs="宋体"/>
                <w:szCs w:val="21"/>
              </w:rPr>
              <w:t>1</w:t>
            </w:r>
            <w:r>
              <w:rPr>
                <w:rFonts w:hint="eastAsia" w:ascii="宋体" w:hAnsi="宋体" w:cs="宋体"/>
                <w:szCs w:val="21"/>
                <w:lang w:val="zh-CN"/>
              </w:rPr>
              <w:t>分，最高扣</w:t>
            </w:r>
            <w:r>
              <w:rPr>
                <w:rFonts w:ascii="宋体" w:hAnsi="宋体" w:cs="宋体"/>
                <w:szCs w:val="21"/>
              </w:rPr>
              <w:t>16</w:t>
            </w:r>
            <w:r>
              <w:rPr>
                <w:rFonts w:hint="eastAsia" w:ascii="宋体" w:hAnsi="宋体" w:cs="宋体"/>
                <w:szCs w:val="21"/>
              </w:rPr>
              <w:t>分（扣除分数超过16分，视为无效标）；</w:t>
            </w:r>
          </w:p>
          <w:p>
            <w:pPr>
              <w:topLinePunct/>
              <w:adjustRightInd w:val="0"/>
              <w:snapToGrid w:val="0"/>
              <w:spacing w:line="380" w:lineRule="exact"/>
              <w:rPr>
                <w:rFonts w:ascii="宋体" w:hAnsi="宋体" w:cs="宋体"/>
                <w:szCs w:val="21"/>
                <w:lang w:val="zh-CN"/>
              </w:rPr>
            </w:pPr>
            <w:r>
              <w:rPr>
                <w:rFonts w:ascii="宋体" w:hAnsi="宋体" w:cs="宋体"/>
                <w:szCs w:val="21"/>
              </w:rPr>
              <w:t>3.</w:t>
            </w:r>
            <w:r>
              <w:rPr>
                <w:rFonts w:hint="eastAsia" w:ascii="宋体" w:hAnsi="宋体" w:cs="宋体"/>
                <w:szCs w:val="21"/>
                <w:lang w:val="zh-CN"/>
              </w:rPr>
              <w:t>打“</w:t>
            </w:r>
            <w:r>
              <w:rPr>
                <w:rFonts w:hint="eastAsia" w:ascii="宋体" w:hAnsi="宋体" w:cs="宋体"/>
                <w:szCs w:val="21"/>
              </w:rPr>
              <w:t>▲</w:t>
            </w:r>
            <w:r>
              <w:rPr>
                <w:rFonts w:hint="eastAsia" w:ascii="宋体" w:hAnsi="宋体" w:cs="宋体"/>
                <w:szCs w:val="21"/>
                <w:lang w:val="zh-CN"/>
              </w:rPr>
              <w:t>”重要参数如有负偏离每条扣</w:t>
            </w:r>
            <w:r>
              <w:rPr>
                <w:rFonts w:hint="eastAsia" w:ascii="宋体" w:hAnsi="宋体" w:cs="宋体"/>
                <w:szCs w:val="21"/>
              </w:rPr>
              <w:t>1.2</w:t>
            </w:r>
            <w:r>
              <w:rPr>
                <w:rFonts w:hint="eastAsia" w:ascii="宋体" w:hAnsi="宋体" w:cs="宋体"/>
                <w:szCs w:val="21"/>
                <w:lang w:val="zh-CN"/>
              </w:rPr>
              <w:t>分，最高扣</w:t>
            </w:r>
            <w:r>
              <w:rPr>
                <w:rFonts w:ascii="宋体" w:hAnsi="宋体" w:cs="宋体"/>
                <w:szCs w:val="21"/>
              </w:rPr>
              <w:t>12</w:t>
            </w:r>
            <w:r>
              <w:rPr>
                <w:rFonts w:hint="eastAsia" w:ascii="宋体" w:hAnsi="宋体" w:cs="宋体"/>
                <w:szCs w:val="21"/>
              </w:rPr>
              <w:t>分（扣除分数超过12分，视为无效标）。</w:t>
            </w:r>
          </w:p>
          <w:p>
            <w:pPr>
              <w:tabs>
                <w:tab w:val="left" w:pos="4954"/>
              </w:tabs>
              <w:adjustRightInd w:val="0"/>
              <w:snapToGrid w:val="0"/>
              <w:spacing w:line="380" w:lineRule="exact"/>
              <w:rPr>
                <w:rFonts w:ascii="宋体" w:hAnsi="宋体" w:cs="宋体"/>
                <w:szCs w:val="21"/>
                <w:lang w:val="zh-CN"/>
              </w:rPr>
            </w:pPr>
            <w:r>
              <w:rPr>
                <w:rFonts w:hint="eastAsia" w:ascii="宋体" w:hAnsi="宋体" w:cs="宋体"/>
                <w:szCs w:val="21"/>
                <w:lang w:val="zh-CN"/>
              </w:rPr>
              <w:t>注：</w:t>
            </w:r>
            <w:r>
              <w:rPr>
                <w:rFonts w:hint="eastAsia" w:ascii="宋体" w:hAnsi="宋体" w:cs="宋体"/>
                <w:szCs w:val="21"/>
              </w:rPr>
              <w:t>①</w:t>
            </w:r>
            <w:r>
              <w:rPr>
                <w:rFonts w:hint="eastAsia" w:ascii="宋体"/>
                <w:bCs/>
                <w:szCs w:val="21"/>
              </w:rPr>
              <w:t>“每条”特指“技术参数”中参数，即同一产品发生2条参数的负偏离或未响应，按2条计；</w:t>
            </w:r>
          </w:p>
          <w:p>
            <w:pPr>
              <w:tabs>
                <w:tab w:val="left" w:pos="4954"/>
              </w:tabs>
              <w:adjustRightInd w:val="0"/>
              <w:snapToGrid w:val="0"/>
              <w:spacing w:line="380" w:lineRule="exact"/>
              <w:rPr>
                <w:rFonts w:ascii="宋体" w:hAnsi="宋体" w:cs="宋体"/>
              </w:rPr>
            </w:pPr>
            <w:r>
              <w:rPr>
                <w:rFonts w:hint="eastAsia" w:ascii="宋体" w:hAnsi="宋体" w:cs="宋体"/>
                <w:szCs w:val="21"/>
              </w:rPr>
              <w:t>②</w:t>
            </w:r>
            <w:r>
              <w:rPr>
                <w:rFonts w:hint="eastAsia" w:ascii="宋体" w:hAnsi="宋体" w:cs="宋体"/>
                <w:szCs w:val="21"/>
                <w:lang w:val="zh-CN"/>
              </w:rPr>
              <w:t>招标文件要求提供的功能截图或相关证明材料复印件，需附在投标文件中并加盖公章，如未提供或提供内容不全、不清晰</w:t>
            </w:r>
            <w:r>
              <w:rPr>
                <w:rFonts w:hint="eastAsia" w:ascii="宋体" w:hAnsi="宋体" w:cs="宋体"/>
                <w:szCs w:val="21"/>
              </w:rPr>
              <w:t>的</w:t>
            </w:r>
            <w:r>
              <w:rPr>
                <w:rFonts w:hint="eastAsia" w:ascii="宋体" w:hAnsi="宋体" w:cs="宋体"/>
                <w:szCs w:val="21"/>
                <w:lang w:val="zh-CN"/>
              </w:rPr>
              <w:t>则评委可以以该</w:t>
            </w:r>
            <w:r>
              <w:rPr>
                <w:rFonts w:hint="eastAsia" w:ascii="宋体" w:hAnsi="宋体" w:cs="宋体"/>
                <w:szCs w:val="21"/>
              </w:rPr>
              <w:t>条</w:t>
            </w:r>
            <w:r>
              <w:rPr>
                <w:rFonts w:hint="eastAsia" w:ascii="宋体" w:hAnsi="宋体" w:cs="宋体"/>
                <w:szCs w:val="21"/>
                <w:lang w:val="zh-CN"/>
              </w:rPr>
              <w:t>技术参数负偏离处理，引起的后果由投标人负责。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634" w:type="pct"/>
            <w:vMerge w:val="continue"/>
            <w:tcBorders>
              <w:left w:val="single" w:color="auto" w:sz="4" w:space="0"/>
              <w:right w:val="single" w:color="auto" w:sz="2" w:space="0"/>
            </w:tcBorders>
            <w:vAlign w:val="center"/>
          </w:tcPr>
          <w:p>
            <w:pPr>
              <w:snapToGrid w:val="0"/>
              <w:spacing w:line="360" w:lineRule="auto"/>
              <w:rPr>
                <w:rFonts w:ascii="宋体" w:hAnsi="宋体"/>
                <w:snapToGrid w:val="0"/>
                <w:spacing w:val="-4"/>
                <w:szCs w:val="21"/>
              </w:rPr>
            </w:pPr>
          </w:p>
        </w:tc>
        <w:tc>
          <w:tcPr>
            <w:tcW w:w="588"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hint="eastAsia" w:ascii="宋体" w:hAnsi="宋体" w:cs="宋体"/>
                <w:szCs w:val="21"/>
              </w:rPr>
              <w:t>3、</w:t>
            </w:r>
            <w:r>
              <w:rPr>
                <w:rFonts w:hint="eastAsia" w:ascii="宋体" w:hAnsi="宋体" w:cs="宋体"/>
                <w:szCs w:val="21"/>
                <w:lang w:val="zh-CN"/>
              </w:rPr>
              <w:t>对本项目的理解及总体规划研究思路（</w:t>
            </w:r>
            <w:r>
              <w:rPr>
                <w:rFonts w:hint="eastAsia" w:ascii="宋体" w:hAnsi="宋体" w:cs="宋体"/>
                <w:szCs w:val="21"/>
              </w:rPr>
              <w:t>7</w:t>
            </w:r>
            <w:r>
              <w:rPr>
                <w:rFonts w:hint="eastAsia" w:ascii="宋体" w:hAnsi="宋体" w:cs="宋体"/>
                <w:szCs w:val="21"/>
                <w:lang w:val="zh-CN"/>
              </w:rPr>
              <w:t>分）</w:t>
            </w:r>
          </w:p>
        </w:tc>
        <w:tc>
          <w:tcPr>
            <w:tcW w:w="3776"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rPr>
            </w:pPr>
            <w:r>
              <w:rPr>
                <w:rFonts w:hint="eastAsia" w:ascii="宋体" w:hAnsi="宋体" w:cs="宋体"/>
                <w:szCs w:val="21"/>
              </w:rPr>
              <w:t>投标人规划内容理念先进、思路清晰、技术架构正确；总体框架、体系建设思路切合实际，合理可行</w:t>
            </w:r>
            <w:r>
              <w:rPr>
                <w:rFonts w:hint="eastAsia" w:ascii="宋体" w:hAnsi="宋体" w:cs="宋体"/>
              </w:rPr>
              <w:t>，最高分7分</w:t>
            </w:r>
            <w:r>
              <w:rPr>
                <w:rFonts w:hint="eastAsia" w:ascii="宋体" w:hAnsi="宋体" w:cs="宋体"/>
                <w:szCs w:val="21"/>
              </w:rPr>
              <w:t>。</w:t>
            </w:r>
          </w:p>
          <w:p>
            <w:pPr>
              <w:snapToGrid w:val="0"/>
              <w:spacing w:line="360" w:lineRule="auto"/>
              <w:rPr>
                <w:rFonts w:ascii="宋体" w:hAnsi="宋体" w:cs="宋体"/>
                <w:szCs w:val="21"/>
              </w:rPr>
            </w:pPr>
            <w:r>
              <w:rPr>
                <w:rFonts w:hint="eastAsia" w:ascii="宋体" w:hAnsi="宋体" w:cs="宋体"/>
                <w:szCs w:val="21"/>
              </w:rPr>
              <w:t>①内容完善、思路全面准确的得4.1</w:t>
            </w:r>
            <w:r>
              <w:rPr>
                <w:rFonts w:ascii="宋体" w:hAnsi="宋体" w:cs="宋体"/>
                <w:szCs w:val="21"/>
              </w:rPr>
              <w:t>-</w:t>
            </w:r>
            <w:r>
              <w:rPr>
                <w:rFonts w:hint="eastAsia" w:ascii="宋体" w:hAnsi="宋体" w:cs="宋体"/>
                <w:szCs w:val="21"/>
              </w:rPr>
              <w:t>7分；</w:t>
            </w:r>
          </w:p>
          <w:p>
            <w:pPr>
              <w:snapToGrid w:val="0"/>
              <w:spacing w:line="360" w:lineRule="auto"/>
              <w:rPr>
                <w:rFonts w:ascii="宋体" w:hAnsi="宋体" w:cs="宋体"/>
                <w:szCs w:val="21"/>
              </w:rPr>
            </w:pPr>
            <w:r>
              <w:rPr>
                <w:rFonts w:hint="eastAsia" w:ascii="宋体" w:hAnsi="宋体" w:cs="宋体"/>
                <w:szCs w:val="21"/>
              </w:rPr>
              <w:t>②内容完整、思路较准确的得2.1</w:t>
            </w:r>
            <w:r>
              <w:rPr>
                <w:rFonts w:ascii="宋体" w:hAnsi="宋体" w:cs="宋体"/>
                <w:szCs w:val="21"/>
              </w:rPr>
              <w:t>-</w:t>
            </w:r>
            <w:r>
              <w:rPr>
                <w:rFonts w:hint="eastAsia" w:ascii="宋体" w:hAnsi="宋体" w:cs="宋体"/>
                <w:szCs w:val="21"/>
              </w:rPr>
              <w:t>4分；</w:t>
            </w:r>
          </w:p>
          <w:p>
            <w:pPr>
              <w:snapToGrid w:val="0"/>
              <w:spacing w:line="360" w:lineRule="auto"/>
              <w:rPr>
                <w:rFonts w:ascii="宋体" w:hAnsi="宋体" w:cs="宋体"/>
                <w:szCs w:val="21"/>
              </w:rPr>
            </w:pPr>
            <w:r>
              <w:rPr>
                <w:rFonts w:hint="eastAsia" w:ascii="宋体" w:hAnsi="宋体" w:cs="宋体"/>
                <w:szCs w:val="21"/>
              </w:rPr>
              <w:t>③项目理解内容不充分、认知把握不准确得0.1-2分；</w:t>
            </w:r>
          </w:p>
          <w:p>
            <w:pPr>
              <w:snapToGrid w:val="0"/>
              <w:spacing w:line="360" w:lineRule="auto"/>
              <w:rPr>
                <w:rFonts w:ascii="宋体" w:hAnsi="宋体" w:cs="宋体"/>
                <w:b/>
                <w:bCs/>
                <w:kern w:val="0"/>
                <w:szCs w:val="21"/>
              </w:rPr>
            </w:pPr>
            <w:r>
              <w:rPr>
                <w:rFonts w:hint="eastAsia" w:ascii="宋体" w:hAnsi="宋体" w:cs="宋体"/>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1"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autoSpaceDE w:val="0"/>
              <w:autoSpaceDN w:val="0"/>
              <w:adjustRightInd w:val="0"/>
              <w:snapToGrid w:val="0"/>
              <w:spacing w:line="360" w:lineRule="auto"/>
              <w:jc w:val="center"/>
              <w:rPr>
                <w:rFonts w:ascii="宋体" w:hAnsi="宋体"/>
                <w:snapToGrid w:val="0"/>
                <w:spacing w:val="-4"/>
                <w:szCs w:val="21"/>
              </w:rPr>
            </w:pPr>
            <w:r>
              <w:rPr>
                <w:rFonts w:hint="eastAsia" w:ascii="宋体" w:hAnsi="宋体"/>
                <w:snapToGrid w:val="0"/>
                <w:spacing w:val="-4"/>
                <w:szCs w:val="21"/>
              </w:rPr>
              <w:t>4</w:t>
            </w:r>
            <w:r>
              <w:rPr>
                <w:rFonts w:ascii="宋体" w:hAnsi="宋体"/>
                <w:snapToGrid w:val="0"/>
                <w:spacing w:val="-4"/>
                <w:szCs w:val="21"/>
              </w:rPr>
              <w:t>、</w:t>
            </w:r>
            <w:r>
              <w:rPr>
                <w:rFonts w:hint="eastAsia" w:ascii="宋体" w:hAnsi="宋体" w:cs="宋体"/>
                <w:szCs w:val="21"/>
              </w:rPr>
              <w:t>硬件选型方案（6分）</w:t>
            </w:r>
          </w:p>
        </w:tc>
        <w:tc>
          <w:tcPr>
            <w:tcW w:w="3776" w:type="pct"/>
            <w:tcBorders>
              <w:top w:val="single" w:color="auto" w:sz="4" w:space="0"/>
              <w:left w:val="single" w:color="auto" w:sz="4" w:space="0"/>
              <w:right w:val="single" w:color="auto" w:sz="2" w:space="0"/>
            </w:tcBorders>
            <w:vAlign w:val="center"/>
          </w:tcPr>
          <w:p>
            <w:pPr>
              <w:snapToGrid w:val="0"/>
              <w:spacing w:line="360" w:lineRule="auto"/>
            </w:pPr>
            <w:r>
              <w:rPr>
                <w:rFonts w:hint="eastAsia"/>
              </w:rPr>
              <w:t>对硬件选型原则、选型依据、实际选型设备的先进性、稳定性、适用性进行评议，最高分6分。</w:t>
            </w:r>
          </w:p>
          <w:p>
            <w:pPr>
              <w:snapToGrid w:val="0"/>
              <w:spacing w:line="360" w:lineRule="auto"/>
              <w:rPr>
                <w:rFonts w:ascii="宋体" w:hAnsi="宋体" w:cs="宋体"/>
                <w:szCs w:val="21"/>
              </w:rPr>
            </w:pPr>
            <w:r>
              <w:rPr>
                <w:rFonts w:hint="eastAsia" w:ascii="宋体" w:hAnsi="宋体" w:cs="宋体"/>
                <w:szCs w:val="21"/>
              </w:rPr>
              <w:t>①硬件选型方案</w:t>
            </w:r>
            <w:r>
              <w:rPr>
                <w:rFonts w:hint="eastAsia"/>
              </w:rPr>
              <w:t>先进、稳定、适用</w:t>
            </w:r>
            <w:r>
              <w:rPr>
                <w:rFonts w:hint="eastAsia" w:ascii="宋体" w:hAnsi="宋体" w:cs="宋体"/>
                <w:szCs w:val="21"/>
              </w:rPr>
              <w:t>的得4.1</w:t>
            </w:r>
            <w:r>
              <w:rPr>
                <w:rFonts w:ascii="宋体" w:hAnsi="宋体" w:cs="宋体"/>
                <w:szCs w:val="21"/>
              </w:rPr>
              <w:t>-</w:t>
            </w:r>
            <w:r>
              <w:rPr>
                <w:rFonts w:hint="eastAsia" w:ascii="宋体" w:hAnsi="宋体" w:cs="宋体"/>
                <w:szCs w:val="21"/>
              </w:rPr>
              <w:t>6分；</w:t>
            </w:r>
          </w:p>
          <w:p>
            <w:pPr>
              <w:snapToGrid w:val="0"/>
              <w:spacing w:line="360" w:lineRule="auto"/>
              <w:rPr>
                <w:rFonts w:ascii="宋体" w:hAnsi="宋体" w:cs="宋体"/>
                <w:szCs w:val="21"/>
              </w:rPr>
            </w:pPr>
            <w:r>
              <w:rPr>
                <w:rFonts w:hint="eastAsia" w:ascii="宋体" w:hAnsi="宋体" w:cs="宋体"/>
                <w:szCs w:val="21"/>
              </w:rPr>
              <w:t>②硬件选型方案较</w:t>
            </w:r>
            <w:r>
              <w:rPr>
                <w:rFonts w:hint="eastAsia"/>
              </w:rPr>
              <w:t>先进、较稳定、较适用</w:t>
            </w:r>
            <w:r>
              <w:rPr>
                <w:rFonts w:hint="eastAsia" w:ascii="宋体" w:hAnsi="宋体" w:cs="宋体"/>
                <w:szCs w:val="21"/>
              </w:rPr>
              <w:t>的得2.1</w:t>
            </w:r>
            <w:r>
              <w:rPr>
                <w:rFonts w:ascii="宋体" w:hAnsi="宋体" w:cs="宋体"/>
                <w:szCs w:val="21"/>
              </w:rPr>
              <w:t>-</w:t>
            </w:r>
            <w:r>
              <w:rPr>
                <w:rFonts w:hint="eastAsia" w:ascii="宋体" w:hAnsi="宋体" w:cs="宋体"/>
                <w:szCs w:val="21"/>
              </w:rPr>
              <w:t>4分；</w:t>
            </w:r>
          </w:p>
          <w:p>
            <w:pPr>
              <w:snapToGrid w:val="0"/>
              <w:spacing w:line="360" w:lineRule="auto"/>
              <w:rPr>
                <w:rFonts w:ascii="宋体" w:hAnsi="宋体" w:cs="宋体"/>
                <w:szCs w:val="21"/>
              </w:rPr>
            </w:pPr>
            <w:r>
              <w:rPr>
                <w:rFonts w:hint="eastAsia" w:ascii="宋体" w:hAnsi="宋体" w:cs="宋体"/>
                <w:szCs w:val="21"/>
              </w:rPr>
              <w:t>③硬件选型方案不</w:t>
            </w:r>
            <w:r>
              <w:rPr>
                <w:rFonts w:hint="eastAsia"/>
              </w:rPr>
              <w:t>先进、不稳定、不适用</w:t>
            </w:r>
            <w:r>
              <w:rPr>
                <w:rFonts w:hint="eastAsia" w:ascii="宋体" w:hAnsi="宋体" w:cs="宋体"/>
                <w:szCs w:val="21"/>
              </w:rPr>
              <w:t>得0.1-2分；</w:t>
            </w:r>
          </w:p>
          <w:p>
            <w:pPr>
              <w:pStyle w:val="58"/>
            </w:pPr>
            <w:r>
              <w:rPr>
                <w:rFonts w:hint="eastAsia" w:hAnsi="宋体"/>
                <w:color w:val="auto"/>
                <w:kern w:val="2"/>
                <w:sz w:val="21"/>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top w:val="single" w:color="auto" w:sz="4" w:space="0"/>
              <w:left w:val="single" w:color="auto" w:sz="4" w:space="0"/>
              <w:right w:val="single" w:color="auto" w:sz="2" w:space="0"/>
            </w:tcBorders>
            <w:vAlign w:val="center"/>
          </w:tcPr>
          <w:p>
            <w:pPr>
              <w:snapToGrid w:val="0"/>
              <w:spacing w:line="360" w:lineRule="auto"/>
              <w:jc w:val="center"/>
              <w:rPr>
                <w:rFonts w:ascii="宋体" w:hAnsi="宋体" w:cs="宋体"/>
                <w:szCs w:val="21"/>
              </w:rPr>
            </w:pPr>
            <w:r>
              <w:rPr>
                <w:rFonts w:hint="eastAsia" w:ascii="宋体" w:hAnsi="宋体"/>
                <w:szCs w:val="21"/>
              </w:rPr>
              <w:t>5、</w:t>
            </w:r>
            <w:r>
              <w:rPr>
                <w:rFonts w:hint="eastAsia" w:ascii="宋体" w:hAnsi="宋体" w:cs="宋体"/>
                <w:szCs w:val="21"/>
              </w:rPr>
              <w:t>施工进度计划（4分）</w:t>
            </w:r>
          </w:p>
        </w:tc>
        <w:tc>
          <w:tcPr>
            <w:tcW w:w="3776" w:type="pct"/>
            <w:tcBorders>
              <w:top w:val="single" w:color="auto" w:sz="4" w:space="0"/>
              <w:left w:val="single" w:color="auto" w:sz="4" w:space="0"/>
              <w:right w:val="single" w:color="auto" w:sz="2" w:space="0"/>
            </w:tcBorders>
            <w:vAlign w:val="center"/>
          </w:tcPr>
          <w:p>
            <w:pPr>
              <w:snapToGrid w:val="0"/>
              <w:spacing w:line="360" w:lineRule="auto"/>
              <w:jc w:val="left"/>
              <w:rPr>
                <w:rFonts w:ascii="宋体" w:hAnsi="宋体" w:cs="宋体"/>
                <w:szCs w:val="21"/>
              </w:rPr>
            </w:pPr>
            <w:r>
              <w:rPr>
                <w:rFonts w:hint="eastAsia" w:ascii="宋体" w:hAnsi="宋体" w:cs="宋体"/>
                <w:szCs w:val="21"/>
              </w:rPr>
              <w:t>根据</w:t>
            </w:r>
            <w:r>
              <w:rPr>
                <w:rFonts w:hint="eastAsia" w:ascii="宋体"/>
                <w:bCs/>
                <w:szCs w:val="21"/>
              </w:rPr>
              <w:t>投标人</w:t>
            </w:r>
            <w:r>
              <w:rPr>
                <w:rFonts w:hint="eastAsia" w:ascii="宋体" w:hAnsi="宋体" w:cs="宋体"/>
                <w:szCs w:val="21"/>
              </w:rPr>
              <w:t>的施工进度计划安排是否详细、是否严谨、是否合理、是否可行进行评议</w:t>
            </w:r>
            <w:r>
              <w:rPr>
                <w:rFonts w:hint="eastAsia" w:ascii="宋体" w:hAnsi="宋体" w:cs="宋体"/>
              </w:rPr>
              <w:t>，最高分4分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9"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lang w:val="zh-CN"/>
              </w:rPr>
            </w:pPr>
            <w:r>
              <w:rPr>
                <w:rFonts w:ascii="宋体" w:hAnsi="宋体"/>
                <w:szCs w:val="21"/>
              </w:rPr>
              <w:t>6</w:t>
            </w:r>
            <w:r>
              <w:rPr>
                <w:rFonts w:hint="eastAsia" w:ascii="宋体" w:hAnsi="宋体"/>
                <w:szCs w:val="21"/>
              </w:rPr>
              <w:t>、</w:t>
            </w:r>
            <w:r>
              <w:rPr>
                <w:rFonts w:hint="eastAsia" w:ascii="宋体" w:hAnsi="宋体" w:cs="宋体"/>
                <w:szCs w:val="21"/>
              </w:rPr>
              <w:t>质量保证措施（5分）</w:t>
            </w:r>
          </w:p>
        </w:tc>
        <w:tc>
          <w:tcPr>
            <w:tcW w:w="3776" w:type="pct"/>
            <w:tcBorders>
              <w:top w:val="single" w:color="auto" w:sz="4" w:space="0"/>
              <w:left w:val="single" w:color="auto" w:sz="4" w:space="0"/>
              <w:right w:val="single" w:color="auto" w:sz="2" w:space="0"/>
            </w:tcBorders>
            <w:vAlign w:val="center"/>
          </w:tcPr>
          <w:p>
            <w:pPr>
              <w:snapToGrid w:val="0"/>
              <w:spacing w:line="360" w:lineRule="auto"/>
            </w:pPr>
            <w:r>
              <w:rPr>
                <w:rFonts w:hint="eastAsia"/>
              </w:rPr>
              <w:t>根据投标人针对本项目的质量保证措施是否全面、是否合理、是否可行、是否符合规范进行评议，最高分5分。</w:t>
            </w:r>
          </w:p>
          <w:p>
            <w:pPr>
              <w:snapToGrid w:val="0"/>
              <w:spacing w:line="360" w:lineRule="auto"/>
              <w:rPr>
                <w:rFonts w:ascii="宋体" w:hAnsi="宋体" w:cs="宋体"/>
                <w:szCs w:val="21"/>
              </w:rPr>
            </w:pPr>
            <w:r>
              <w:rPr>
                <w:rFonts w:hint="eastAsia" w:ascii="宋体" w:hAnsi="宋体" w:cs="宋体"/>
                <w:szCs w:val="21"/>
              </w:rPr>
              <w:t>①</w:t>
            </w:r>
            <w:r>
              <w:rPr>
                <w:rFonts w:hint="eastAsia"/>
              </w:rPr>
              <w:t>质量保证措施全面、合理、可行、符合规范</w:t>
            </w:r>
            <w:r>
              <w:rPr>
                <w:rFonts w:hint="eastAsia" w:ascii="宋体" w:hAnsi="宋体" w:cs="宋体"/>
                <w:szCs w:val="21"/>
              </w:rPr>
              <w:t>的得3.</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5分；</w:t>
            </w:r>
          </w:p>
          <w:p>
            <w:pPr>
              <w:snapToGrid w:val="0"/>
              <w:spacing w:line="360" w:lineRule="auto"/>
              <w:rPr>
                <w:rFonts w:ascii="宋体" w:hAnsi="宋体" w:cs="宋体"/>
                <w:szCs w:val="21"/>
              </w:rPr>
            </w:pPr>
            <w:r>
              <w:rPr>
                <w:rFonts w:hint="eastAsia" w:ascii="宋体" w:hAnsi="宋体" w:cs="宋体"/>
                <w:szCs w:val="21"/>
              </w:rPr>
              <w:t>②</w:t>
            </w:r>
            <w:r>
              <w:rPr>
                <w:rFonts w:hint="eastAsia"/>
              </w:rPr>
              <w:t>质量保证措施较全面、较合理、较可行、较符合规范</w:t>
            </w:r>
            <w:r>
              <w:rPr>
                <w:rFonts w:hint="eastAsia" w:ascii="宋体" w:hAnsi="宋体" w:cs="宋体"/>
                <w:szCs w:val="21"/>
              </w:rPr>
              <w:t>的得1.6</w:t>
            </w:r>
            <w:r>
              <w:rPr>
                <w:rFonts w:ascii="宋体" w:hAnsi="宋体" w:cs="宋体"/>
                <w:szCs w:val="21"/>
              </w:rPr>
              <w:t>-</w:t>
            </w:r>
            <w:r>
              <w:rPr>
                <w:rFonts w:hint="eastAsia" w:ascii="宋体" w:hAnsi="宋体" w:cs="宋体"/>
                <w:szCs w:val="21"/>
              </w:rPr>
              <w:t>3.5分；</w:t>
            </w:r>
          </w:p>
          <w:p>
            <w:pPr>
              <w:snapToGrid w:val="0"/>
              <w:spacing w:line="360" w:lineRule="auto"/>
              <w:rPr>
                <w:rFonts w:ascii="宋体" w:hAnsi="宋体" w:cs="宋体"/>
                <w:szCs w:val="21"/>
              </w:rPr>
            </w:pPr>
            <w:r>
              <w:rPr>
                <w:rFonts w:hint="eastAsia" w:ascii="宋体" w:hAnsi="宋体" w:cs="宋体"/>
                <w:szCs w:val="21"/>
              </w:rPr>
              <w:t>③</w:t>
            </w:r>
            <w:r>
              <w:rPr>
                <w:rFonts w:hint="eastAsia"/>
              </w:rPr>
              <w:t>质量保证措施不全面、不合理、不可行、不符合规范</w:t>
            </w:r>
            <w:r>
              <w:rPr>
                <w:rFonts w:hint="eastAsia" w:ascii="宋体" w:hAnsi="宋体" w:cs="宋体"/>
                <w:szCs w:val="21"/>
              </w:rPr>
              <w:t>的得0.1</w:t>
            </w:r>
            <w:r>
              <w:rPr>
                <w:rFonts w:ascii="宋体" w:hAnsi="宋体" w:cs="宋体"/>
                <w:szCs w:val="21"/>
              </w:rPr>
              <w:t>-</w:t>
            </w:r>
            <w:r>
              <w:rPr>
                <w:rFonts w:hint="eastAsia" w:ascii="宋体" w:hAnsi="宋体" w:cs="宋体"/>
                <w:szCs w:val="21"/>
              </w:rPr>
              <w:t>1.5分；</w:t>
            </w:r>
          </w:p>
          <w:p>
            <w:pPr>
              <w:pStyle w:val="58"/>
            </w:pPr>
            <w:r>
              <w:rPr>
                <w:rFonts w:hint="eastAsia" w:hAnsi="宋体"/>
                <w:color w:val="auto"/>
                <w:kern w:val="2"/>
                <w:sz w:val="21"/>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3"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rFonts w:ascii="宋体" w:hAnsi="宋体"/>
                <w:szCs w:val="21"/>
              </w:rPr>
            </w:pPr>
            <w:r>
              <w:rPr>
                <w:rFonts w:hint="eastAsia" w:ascii="宋体" w:hAnsi="宋体" w:cs="宋体"/>
                <w:szCs w:val="21"/>
              </w:rPr>
              <w:t>7</w:t>
            </w:r>
            <w:r>
              <w:rPr>
                <w:rFonts w:ascii="宋体" w:hAnsi="宋体" w:cs="宋体"/>
                <w:szCs w:val="21"/>
              </w:rPr>
              <w:t>、</w:t>
            </w:r>
            <w:r>
              <w:rPr>
                <w:rFonts w:hint="eastAsia" w:ascii="宋体" w:hAnsi="宋体" w:cs="宋体"/>
                <w:szCs w:val="21"/>
              </w:rPr>
              <w:t>培训方案（4分）</w:t>
            </w:r>
          </w:p>
        </w:tc>
        <w:tc>
          <w:tcPr>
            <w:tcW w:w="3776" w:type="pct"/>
            <w:tcBorders>
              <w:top w:val="single" w:color="auto" w:sz="4" w:space="0"/>
              <w:left w:val="single" w:color="auto" w:sz="4" w:space="0"/>
              <w:right w:val="single" w:color="auto" w:sz="2" w:space="0"/>
            </w:tcBorders>
            <w:vAlign w:val="center"/>
          </w:tcPr>
          <w:p>
            <w:pPr>
              <w:snapToGrid w:val="0"/>
              <w:spacing w:line="360" w:lineRule="auto"/>
              <w:rPr>
                <w:rFonts w:ascii="宋体" w:hAnsi="宋体" w:cs="宋体"/>
                <w:szCs w:val="21"/>
              </w:rPr>
            </w:pPr>
            <w:r>
              <w:rPr>
                <w:rFonts w:hint="eastAsia" w:ascii="宋体" w:hAnsi="宋体" w:cs="宋体"/>
                <w:szCs w:val="21"/>
              </w:rPr>
              <w:t>根据投标人针对本项目的培训方案，包含培训时间安排及课程内容、日常操作使用和管理维护、基本的故障诊断与排错、培训后续技术支持进行评议</w:t>
            </w:r>
            <w:r>
              <w:rPr>
                <w:rFonts w:hint="eastAsia" w:ascii="宋体" w:hAnsi="宋体" w:cs="宋体"/>
              </w:rPr>
              <w:t>，最高分4分</w:t>
            </w:r>
            <w:r>
              <w:rPr>
                <w:rFonts w:hint="eastAsia" w:ascii="宋体" w:hAnsi="宋体" w:cs="宋体"/>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rFonts w:ascii="宋体" w:hAnsi="宋体"/>
                <w:szCs w:val="21"/>
              </w:rPr>
            </w:pPr>
            <w:r>
              <w:rPr>
                <w:rFonts w:hint="eastAsia" w:ascii="宋体" w:hAnsi="宋体" w:cs="宋体"/>
                <w:kern w:val="0"/>
                <w:szCs w:val="21"/>
              </w:rPr>
              <w:t>8</w:t>
            </w:r>
            <w:r>
              <w:rPr>
                <w:rFonts w:ascii="宋体" w:hAnsi="宋体" w:cs="宋体"/>
                <w:kern w:val="0"/>
                <w:szCs w:val="21"/>
              </w:rPr>
              <w:t>、</w:t>
            </w:r>
            <w:r>
              <w:rPr>
                <w:rFonts w:hint="eastAsia" w:ascii="宋体" w:hAnsi="宋体" w:cs="宋体"/>
                <w:kern w:val="0"/>
                <w:szCs w:val="21"/>
              </w:rPr>
              <w:t>平台对接方案（8分）</w:t>
            </w:r>
          </w:p>
        </w:tc>
        <w:tc>
          <w:tcPr>
            <w:tcW w:w="3776" w:type="pct"/>
            <w:tcBorders>
              <w:top w:val="single" w:color="auto" w:sz="4" w:space="0"/>
              <w:left w:val="single" w:color="auto" w:sz="4" w:space="0"/>
              <w:right w:val="single" w:color="auto" w:sz="2" w:space="0"/>
            </w:tcBorders>
            <w:vAlign w:val="center"/>
          </w:tcPr>
          <w:p>
            <w:pPr>
              <w:snapToGrid w:val="0"/>
              <w:spacing w:line="360" w:lineRule="auto"/>
            </w:pPr>
            <w:r>
              <w:rPr>
                <w:rFonts w:hint="eastAsia"/>
              </w:rPr>
              <w:t>根据投标人编写的与宁波市物联开放平台对接的方案、与市级水利视频监控管理平台对接的方案，对投标人是否熟悉高新区排水管网系统现状，能否兼容一期平台、能否对接市级平台的方案的完整性、合理性、是否满足招标人实际需求进行评议，最高分8分。</w:t>
            </w:r>
          </w:p>
          <w:p>
            <w:pPr>
              <w:snapToGrid w:val="0"/>
              <w:spacing w:line="360" w:lineRule="auto"/>
              <w:rPr>
                <w:rFonts w:ascii="宋体" w:hAnsi="宋体" w:cs="宋体"/>
                <w:szCs w:val="21"/>
              </w:rPr>
            </w:pPr>
            <w:r>
              <w:rPr>
                <w:rFonts w:hint="eastAsia" w:ascii="宋体" w:hAnsi="宋体" w:cs="宋体"/>
                <w:szCs w:val="21"/>
              </w:rPr>
              <w:t>①</w:t>
            </w:r>
            <w:r>
              <w:rPr>
                <w:rFonts w:hint="eastAsia" w:ascii="宋体" w:hAnsi="宋体" w:cs="宋体"/>
                <w:kern w:val="0"/>
                <w:szCs w:val="21"/>
              </w:rPr>
              <w:t>平台对接方案</w:t>
            </w:r>
            <w:r>
              <w:rPr>
                <w:rFonts w:hint="eastAsia" w:ascii="宋体" w:hAnsi="宋体" w:cs="宋体"/>
                <w:szCs w:val="21"/>
              </w:rPr>
              <w:t>内容完善、完全能</w:t>
            </w:r>
            <w:r>
              <w:rPr>
                <w:rFonts w:hint="eastAsia"/>
              </w:rPr>
              <w:t>满足招标人实际需求</w:t>
            </w:r>
            <w:r>
              <w:rPr>
                <w:rFonts w:hint="eastAsia" w:ascii="宋体" w:hAnsi="宋体" w:cs="宋体"/>
                <w:szCs w:val="21"/>
              </w:rPr>
              <w:t>的得6.</w:t>
            </w:r>
            <w:r>
              <w:rPr>
                <w:rFonts w:hint="eastAsia" w:ascii="宋体" w:hAnsi="宋体" w:cs="宋体"/>
                <w:szCs w:val="21"/>
                <w:lang w:val="en-US" w:eastAsia="zh-CN"/>
              </w:rPr>
              <w:t>6</w:t>
            </w:r>
            <w:r>
              <w:rPr>
                <w:rFonts w:ascii="宋体" w:hAnsi="宋体" w:cs="宋体"/>
                <w:szCs w:val="21"/>
              </w:rPr>
              <w:t>-</w:t>
            </w:r>
            <w:r>
              <w:rPr>
                <w:rFonts w:hint="eastAsia" w:ascii="宋体" w:hAnsi="宋体" w:cs="宋体"/>
                <w:szCs w:val="21"/>
              </w:rPr>
              <w:t>8分；</w:t>
            </w:r>
          </w:p>
          <w:p>
            <w:pPr>
              <w:snapToGrid w:val="0"/>
              <w:spacing w:line="360" w:lineRule="auto"/>
              <w:rPr>
                <w:rFonts w:ascii="宋体" w:hAnsi="宋体" w:cs="宋体"/>
                <w:szCs w:val="21"/>
              </w:rPr>
            </w:pPr>
            <w:r>
              <w:rPr>
                <w:rFonts w:hint="eastAsia" w:ascii="宋体" w:hAnsi="宋体" w:cs="宋体"/>
                <w:szCs w:val="21"/>
              </w:rPr>
              <w:t>②</w:t>
            </w:r>
            <w:r>
              <w:rPr>
                <w:rFonts w:hint="eastAsia" w:ascii="宋体" w:hAnsi="宋体" w:cs="宋体"/>
                <w:kern w:val="0"/>
                <w:szCs w:val="21"/>
              </w:rPr>
              <w:t>平台对接方案</w:t>
            </w:r>
            <w:r>
              <w:rPr>
                <w:rFonts w:hint="eastAsia" w:ascii="宋体" w:hAnsi="宋体" w:cs="宋体"/>
                <w:szCs w:val="21"/>
              </w:rPr>
              <w:t>内容较完善、较能</w:t>
            </w:r>
            <w:r>
              <w:rPr>
                <w:rFonts w:hint="eastAsia"/>
              </w:rPr>
              <w:t>满足招标人实际需求</w:t>
            </w:r>
            <w:r>
              <w:rPr>
                <w:rFonts w:hint="eastAsia" w:ascii="宋体" w:hAnsi="宋体" w:cs="宋体"/>
                <w:szCs w:val="21"/>
              </w:rPr>
              <w:t>的得4.1</w:t>
            </w:r>
            <w:r>
              <w:rPr>
                <w:rFonts w:ascii="宋体" w:hAnsi="宋体" w:cs="宋体"/>
                <w:szCs w:val="21"/>
              </w:rPr>
              <w:t>-</w:t>
            </w:r>
            <w:r>
              <w:rPr>
                <w:rFonts w:hint="eastAsia" w:ascii="宋体" w:hAnsi="宋体" w:cs="宋体"/>
                <w:szCs w:val="21"/>
              </w:rPr>
              <w:t>6.5分；</w:t>
            </w:r>
          </w:p>
          <w:p>
            <w:pPr>
              <w:snapToGrid w:val="0"/>
              <w:spacing w:line="360" w:lineRule="auto"/>
              <w:rPr>
                <w:rFonts w:ascii="宋体" w:hAnsi="宋体" w:cs="宋体"/>
                <w:szCs w:val="21"/>
              </w:rPr>
            </w:pPr>
            <w:r>
              <w:rPr>
                <w:rFonts w:hint="eastAsia" w:ascii="宋体" w:hAnsi="宋体" w:cs="宋体"/>
                <w:szCs w:val="21"/>
              </w:rPr>
              <w:t>③项</w:t>
            </w:r>
            <w:r>
              <w:rPr>
                <w:rFonts w:hint="eastAsia" w:ascii="宋体" w:hAnsi="宋体" w:cs="宋体"/>
                <w:kern w:val="0"/>
                <w:szCs w:val="21"/>
              </w:rPr>
              <w:t>平台对接方案</w:t>
            </w:r>
            <w:r>
              <w:rPr>
                <w:rFonts w:hint="eastAsia" w:ascii="宋体" w:hAnsi="宋体" w:cs="宋体"/>
                <w:szCs w:val="21"/>
              </w:rPr>
              <w:t>内容不完善、不能</w:t>
            </w:r>
            <w:r>
              <w:rPr>
                <w:rFonts w:hint="eastAsia"/>
              </w:rPr>
              <w:t>满足招标人实际需求的</w:t>
            </w:r>
            <w:r>
              <w:rPr>
                <w:rFonts w:hint="eastAsia" w:ascii="宋体" w:hAnsi="宋体" w:cs="宋体"/>
                <w:szCs w:val="21"/>
              </w:rPr>
              <w:t>得0.1-4分；</w:t>
            </w:r>
          </w:p>
          <w:p>
            <w:pPr>
              <w:snapToGrid w:val="0"/>
              <w:spacing w:line="360" w:lineRule="auto"/>
            </w:pPr>
            <w:r>
              <w:rPr>
                <w:rFonts w:hint="eastAsia" w:ascii="宋体" w:hAnsi="宋体" w:cs="宋体"/>
                <w:szCs w:val="21"/>
              </w:rPr>
              <w:t>④不提供不得分。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kern w:val="0"/>
                <w:szCs w:val="21"/>
              </w:rPr>
              <w:t>9</w:t>
            </w:r>
            <w:r>
              <w:rPr>
                <w:kern w:val="0"/>
                <w:szCs w:val="21"/>
              </w:rPr>
              <w:t>、</w:t>
            </w:r>
            <w:r>
              <w:rPr>
                <w:rFonts w:hint="eastAsia"/>
                <w:kern w:val="0"/>
                <w:szCs w:val="21"/>
              </w:rPr>
              <w:t>售后服务</w:t>
            </w:r>
            <w:r>
              <w:rPr>
                <w:rFonts w:hint="eastAsia" w:ascii="宋体" w:hAnsi="宋体" w:cs="宋体"/>
                <w:kern w:val="0"/>
                <w:szCs w:val="21"/>
              </w:rPr>
              <w:t>方案（4分）</w:t>
            </w:r>
          </w:p>
        </w:tc>
        <w:tc>
          <w:tcPr>
            <w:tcW w:w="3776" w:type="pct"/>
            <w:tcBorders>
              <w:top w:val="single" w:color="auto" w:sz="4" w:space="0"/>
              <w:left w:val="single" w:color="auto" w:sz="4" w:space="0"/>
              <w:right w:val="single" w:color="auto" w:sz="2" w:space="0"/>
            </w:tcBorders>
            <w:vAlign w:val="center"/>
          </w:tcPr>
          <w:p>
            <w:pPr>
              <w:topLinePunct/>
              <w:adjustRightInd w:val="0"/>
              <w:snapToGrid w:val="0"/>
              <w:spacing w:line="380" w:lineRule="exact"/>
              <w:rPr>
                <w:szCs w:val="24"/>
              </w:rPr>
            </w:pPr>
            <w:r>
              <w:rPr>
                <w:rFonts w:hint="eastAsia"/>
                <w:szCs w:val="24"/>
              </w:rPr>
              <w:t>（1）根据投标人提供的针对本项目的售后服务体系、售后服务方案、售后服务承诺、备品备件、售后服务机构及人员数量情况进行</w:t>
            </w:r>
            <w:r>
              <w:rPr>
                <w:rFonts w:hint="eastAsia" w:ascii="宋体" w:hAnsi="宋体" w:cs="宋体"/>
                <w:szCs w:val="21"/>
              </w:rPr>
              <w:t>评议</w:t>
            </w:r>
            <w:r>
              <w:rPr>
                <w:rFonts w:hint="eastAsia" w:ascii="宋体" w:hAnsi="宋体" w:cs="宋体"/>
              </w:rPr>
              <w:t>，最高分2分</w:t>
            </w:r>
            <w:r>
              <w:rPr>
                <w:rFonts w:hint="eastAsia"/>
                <w:szCs w:val="24"/>
              </w:rPr>
              <w:t>。</w:t>
            </w:r>
          </w:p>
          <w:p>
            <w:pPr>
              <w:topLinePunct/>
              <w:adjustRightInd w:val="0"/>
              <w:snapToGrid w:val="0"/>
              <w:spacing w:line="380" w:lineRule="exact"/>
              <w:rPr>
                <w:szCs w:val="24"/>
              </w:rPr>
            </w:pPr>
            <w:r>
              <w:rPr>
                <w:rFonts w:hint="eastAsia"/>
                <w:szCs w:val="24"/>
              </w:rPr>
              <w:t>（2）根据投标人提供的售后服务便捷性，包括响应及时性、到达现场的时间、项目运维期间配合服务的便捷程度、人员设备及技术支持的应急配合能力及时效等方面进行</w:t>
            </w:r>
            <w:r>
              <w:rPr>
                <w:rFonts w:hint="eastAsia" w:ascii="宋体" w:hAnsi="宋体" w:cs="宋体"/>
                <w:szCs w:val="21"/>
              </w:rPr>
              <w:t>评议</w:t>
            </w:r>
            <w:r>
              <w:rPr>
                <w:rFonts w:hint="eastAsia" w:ascii="宋体" w:hAnsi="宋体" w:cs="宋体"/>
              </w:rPr>
              <w:t>，最高分2分</w:t>
            </w:r>
            <w:r>
              <w:rPr>
                <w:rFonts w:hint="eastAsia"/>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kern w:val="0"/>
                <w:szCs w:val="21"/>
              </w:rPr>
            </w:pPr>
            <w:r>
              <w:rPr>
                <w:rFonts w:hint="eastAsia"/>
                <w:kern w:val="0"/>
                <w:szCs w:val="21"/>
              </w:rPr>
              <w:t>10、演示视频讲解（8分）</w:t>
            </w:r>
          </w:p>
        </w:tc>
        <w:tc>
          <w:tcPr>
            <w:tcW w:w="3776" w:type="pct"/>
            <w:tcBorders>
              <w:top w:val="single" w:color="auto" w:sz="4" w:space="0"/>
              <w:left w:val="single" w:color="auto" w:sz="4" w:space="0"/>
              <w:right w:val="single" w:color="auto" w:sz="2" w:space="0"/>
            </w:tcBorders>
            <w:vAlign w:val="center"/>
          </w:tcPr>
          <w:p>
            <w:pPr>
              <w:topLinePunct/>
              <w:adjustRightInd w:val="0"/>
              <w:snapToGrid w:val="0"/>
              <w:spacing w:line="380" w:lineRule="exact"/>
            </w:pPr>
            <w:r>
              <w:rPr>
                <w:rFonts w:hint="eastAsia"/>
              </w:rPr>
              <w:t>投标人根据招标文件第二章 招标需求 演示视频在投标截止时间前递交至招标代理机构处，招标代理机构将会在开标现场进行播放，由评委对功能实现、满足情况进行综合评议，演示包含以下内容：</w:t>
            </w:r>
          </w:p>
          <w:p>
            <w:pPr>
              <w:pStyle w:val="41"/>
              <w:numPr>
                <w:ilvl w:val="0"/>
                <w:numId w:val="6"/>
              </w:numPr>
              <w:ind w:left="0" w:leftChars="0" w:firstLine="0" w:firstLineChars="0"/>
            </w:pPr>
            <w:r>
              <w:rPr>
                <w:rFonts w:hint="eastAsia"/>
              </w:rPr>
              <w:t>展示排水户、排口、河道断面空间信息；</w:t>
            </w:r>
          </w:p>
          <w:p>
            <w:pPr>
              <w:pStyle w:val="41"/>
              <w:numPr>
                <w:ilvl w:val="0"/>
                <w:numId w:val="6"/>
              </w:numPr>
              <w:ind w:left="0" w:leftChars="0" w:firstLine="0" w:firstLineChars="0"/>
            </w:pPr>
            <w:r>
              <w:rPr>
                <w:rFonts w:hint="eastAsia"/>
              </w:rPr>
              <w:t>展示实时监测数据和告警</w:t>
            </w:r>
          </w:p>
          <w:p>
            <w:pPr>
              <w:topLinePunct/>
              <w:adjustRightInd w:val="0"/>
              <w:snapToGrid w:val="0"/>
              <w:spacing w:line="380" w:lineRule="exact"/>
            </w:pPr>
            <w:r>
              <w:rPr>
                <w:rFonts w:hint="eastAsia"/>
              </w:rPr>
              <w:t>评审专家根据操作界面是否友好、系统操作是否简便以及演示模块是否满足采购要求等情况进行综合评议</w:t>
            </w:r>
            <w:r>
              <w:rPr>
                <w:rFonts w:hint="eastAsia" w:ascii="宋体" w:hAnsi="宋体" w:cs="宋体"/>
              </w:rPr>
              <w:t>，最高分8分</w:t>
            </w:r>
            <w:r>
              <w:rPr>
                <w:rFonts w:hint="eastAsia"/>
              </w:rPr>
              <w:t>。</w:t>
            </w:r>
          </w:p>
          <w:p>
            <w:pPr>
              <w:snapToGrid w:val="0"/>
              <w:spacing w:line="360" w:lineRule="auto"/>
              <w:rPr>
                <w:rFonts w:ascii="宋体" w:hAnsi="宋体" w:cs="宋体"/>
                <w:szCs w:val="21"/>
              </w:rPr>
            </w:pPr>
            <w:r>
              <w:rPr>
                <w:rFonts w:hint="eastAsia" w:ascii="宋体" w:hAnsi="宋体" w:cs="宋体"/>
                <w:szCs w:val="21"/>
              </w:rPr>
              <w:t>①</w:t>
            </w:r>
            <w:r>
              <w:rPr>
                <w:rFonts w:hint="eastAsia"/>
                <w:kern w:val="0"/>
                <w:szCs w:val="21"/>
              </w:rPr>
              <w:t>演示视频讲解能</w:t>
            </w:r>
            <w:r>
              <w:rPr>
                <w:rFonts w:hint="eastAsia" w:ascii="宋体" w:hAnsi="宋体" w:cs="宋体"/>
                <w:szCs w:val="21"/>
              </w:rPr>
              <w:t>满足要求的得6.6</w:t>
            </w:r>
            <w:r>
              <w:rPr>
                <w:rFonts w:ascii="宋体" w:hAnsi="宋体" w:cs="宋体"/>
                <w:szCs w:val="21"/>
              </w:rPr>
              <w:t>-</w:t>
            </w:r>
            <w:r>
              <w:rPr>
                <w:rFonts w:hint="eastAsia" w:ascii="宋体" w:hAnsi="宋体" w:cs="宋体"/>
                <w:szCs w:val="21"/>
              </w:rPr>
              <w:t>8分；</w:t>
            </w:r>
          </w:p>
          <w:p>
            <w:pPr>
              <w:snapToGrid w:val="0"/>
              <w:spacing w:line="360" w:lineRule="auto"/>
              <w:rPr>
                <w:rFonts w:ascii="宋体" w:hAnsi="宋体" w:cs="宋体"/>
                <w:szCs w:val="21"/>
              </w:rPr>
            </w:pPr>
            <w:r>
              <w:rPr>
                <w:rFonts w:hint="eastAsia" w:ascii="宋体" w:hAnsi="宋体" w:cs="宋体"/>
                <w:szCs w:val="21"/>
              </w:rPr>
              <w:t>②</w:t>
            </w:r>
            <w:r>
              <w:rPr>
                <w:rFonts w:hint="eastAsia"/>
                <w:kern w:val="0"/>
                <w:szCs w:val="21"/>
              </w:rPr>
              <w:t>演示视频讲解较能</w:t>
            </w:r>
            <w:r>
              <w:rPr>
                <w:rFonts w:hint="eastAsia" w:ascii="宋体" w:hAnsi="宋体" w:cs="宋体"/>
                <w:szCs w:val="21"/>
              </w:rPr>
              <w:t>满足要求的得4.1</w:t>
            </w:r>
            <w:r>
              <w:rPr>
                <w:rFonts w:ascii="宋体" w:hAnsi="宋体" w:cs="宋体"/>
                <w:szCs w:val="21"/>
              </w:rPr>
              <w:t>-</w:t>
            </w:r>
            <w:r>
              <w:rPr>
                <w:rFonts w:hint="eastAsia" w:ascii="宋体" w:hAnsi="宋体" w:cs="宋体"/>
                <w:szCs w:val="21"/>
              </w:rPr>
              <w:t>6.5分；</w:t>
            </w:r>
          </w:p>
          <w:p>
            <w:pPr>
              <w:snapToGrid w:val="0"/>
              <w:spacing w:line="360" w:lineRule="auto"/>
              <w:rPr>
                <w:rFonts w:ascii="宋体" w:hAnsi="宋体" w:cs="宋体"/>
                <w:szCs w:val="21"/>
              </w:rPr>
            </w:pPr>
            <w:r>
              <w:rPr>
                <w:rFonts w:hint="eastAsia" w:ascii="宋体" w:hAnsi="宋体" w:cs="宋体"/>
                <w:szCs w:val="21"/>
              </w:rPr>
              <w:t>③</w:t>
            </w:r>
            <w:r>
              <w:rPr>
                <w:rFonts w:hint="eastAsia"/>
                <w:kern w:val="0"/>
                <w:szCs w:val="21"/>
              </w:rPr>
              <w:t>演示视频讲解不能</w:t>
            </w:r>
            <w:r>
              <w:rPr>
                <w:rFonts w:hint="eastAsia" w:ascii="宋体" w:hAnsi="宋体" w:cs="宋体"/>
                <w:szCs w:val="21"/>
              </w:rPr>
              <w:t>满足要求的的得0.1-4分；</w:t>
            </w:r>
          </w:p>
          <w:p>
            <w:pPr>
              <w:topLinePunct/>
              <w:adjustRightInd w:val="0"/>
              <w:snapToGrid w:val="0"/>
              <w:spacing w:line="380" w:lineRule="exact"/>
              <w:rPr>
                <w:rFonts w:ascii="宋体" w:hAnsi="宋体" w:cs="宋体"/>
                <w:szCs w:val="21"/>
              </w:rPr>
            </w:pPr>
            <w:r>
              <w:rPr>
                <w:rFonts w:hint="eastAsia" w:ascii="宋体" w:hAnsi="宋体" w:cs="宋体"/>
                <w:szCs w:val="21"/>
              </w:rPr>
              <w:t>④不提供不得分。</w:t>
            </w:r>
          </w:p>
          <w:p>
            <w:pPr>
              <w:topLinePunct/>
              <w:adjustRightInd w:val="0"/>
              <w:snapToGrid w:val="0"/>
              <w:spacing w:line="380" w:lineRule="exact"/>
            </w:pPr>
            <w:r>
              <w:rPr>
                <w:rFonts w:hint="eastAsia"/>
              </w:rPr>
              <w:t>注：本项目不组织现场讲解，供应商需自行录制演示视频（格式要求：MPEG4，时长不超过10分钟），将视频拷入U盘并单独进行密封并在投标截止时间前递交给招标代理机构，递交形式为邮寄（自行承担邮寄过程风险）或开标现场递交（投标人任选其一），未进行演示的，本项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2"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ascii="宋体" w:hAnsi="宋体" w:cs="宋体"/>
                <w:szCs w:val="21"/>
              </w:rPr>
              <w:t>11、</w:t>
            </w:r>
            <w:r>
              <w:rPr>
                <w:rFonts w:hint="eastAsia" w:ascii="宋体" w:hAnsi="宋体" w:cs="宋体"/>
                <w:szCs w:val="21"/>
                <w:lang w:val="zh-CN"/>
              </w:rPr>
              <w:t>资信及综合能力 (</w:t>
            </w:r>
            <w:r>
              <w:rPr>
                <w:rFonts w:hint="eastAsia" w:ascii="宋体" w:hAnsi="宋体" w:cs="宋体"/>
                <w:szCs w:val="21"/>
              </w:rPr>
              <w:t>7</w:t>
            </w:r>
            <w:r>
              <w:rPr>
                <w:rFonts w:hint="eastAsia" w:ascii="宋体" w:hAnsi="宋体" w:cs="宋体"/>
                <w:szCs w:val="21"/>
                <w:lang w:val="zh-CN"/>
              </w:rPr>
              <w:t>分)</w:t>
            </w:r>
          </w:p>
        </w:tc>
        <w:tc>
          <w:tcPr>
            <w:tcW w:w="3776" w:type="pct"/>
            <w:tcBorders>
              <w:top w:val="single" w:color="auto" w:sz="4" w:space="0"/>
              <w:left w:val="single" w:color="auto" w:sz="4" w:space="0"/>
              <w:right w:val="single" w:color="auto" w:sz="2" w:space="0"/>
            </w:tcBorders>
            <w:vAlign w:val="center"/>
          </w:tcPr>
          <w:p>
            <w:pPr>
              <w:pStyle w:val="221"/>
              <w:spacing w:before="86"/>
              <w:ind w:left="102"/>
              <w:jc w:val="left"/>
              <w:rPr>
                <w:rFonts w:ascii="Times New Roman" w:hAnsi="Times New Roman" w:cs="Times New Roman"/>
                <w:color w:val="auto"/>
                <w:kern w:val="2"/>
                <w:szCs w:val="20"/>
              </w:rPr>
            </w:pPr>
            <w:r>
              <w:rPr>
                <w:rFonts w:hint="eastAsia"/>
                <w:color w:val="auto"/>
              </w:rPr>
              <w:t>1）</w:t>
            </w:r>
            <w:r>
              <w:rPr>
                <w:rFonts w:ascii="Times New Roman" w:hAnsi="Times New Roman" w:cs="Times New Roman"/>
                <w:color w:val="auto"/>
                <w:kern w:val="2"/>
                <w:szCs w:val="20"/>
              </w:rPr>
              <w:t>投标人具备信息技术服务管理体系认证证书（ISO 20000-1）</w:t>
            </w:r>
            <w:r>
              <w:rPr>
                <w:rFonts w:hint="eastAsia" w:ascii="Times New Roman" w:hAnsi="Times New Roman" w:cs="Times New Roman"/>
                <w:color w:val="auto"/>
                <w:kern w:val="2"/>
                <w:szCs w:val="20"/>
              </w:rPr>
              <w:t>得1分；具备</w:t>
            </w:r>
            <w:r>
              <w:rPr>
                <w:rFonts w:ascii="Times New Roman" w:hAnsi="Times New Roman" w:cs="Times New Roman"/>
                <w:color w:val="auto"/>
                <w:kern w:val="2"/>
                <w:szCs w:val="20"/>
              </w:rPr>
              <w:t>信息安全管理体系认证证书ISO 27001）</w:t>
            </w:r>
            <w:r>
              <w:rPr>
                <w:rFonts w:hint="eastAsia" w:ascii="Times New Roman" w:hAnsi="Times New Roman" w:cs="Times New Roman"/>
                <w:color w:val="auto"/>
                <w:kern w:val="2"/>
                <w:szCs w:val="20"/>
              </w:rPr>
              <w:t>得1分；具备</w:t>
            </w:r>
            <w:r>
              <w:rPr>
                <w:rFonts w:ascii="Times New Roman" w:hAnsi="Times New Roman" w:cs="Times New Roman"/>
                <w:color w:val="auto"/>
                <w:kern w:val="2"/>
                <w:szCs w:val="20"/>
              </w:rPr>
              <w:t>质量管理体系认证证书（ISO 9001）</w:t>
            </w:r>
            <w:r>
              <w:rPr>
                <w:rFonts w:hint="eastAsia" w:ascii="Times New Roman" w:hAnsi="Times New Roman" w:cs="Times New Roman"/>
                <w:color w:val="auto"/>
                <w:kern w:val="2"/>
                <w:szCs w:val="20"/>
              </w:rPr>
              <w:t>得1分；具备职业健康安全管理体系认证证书（ISO45001）得1分；具备环境管理体系认证证书（ISO 14001）得1分；</w:t>
            </w:r>
            <w:r>
              <w:rPr>
                <w:rFonts w:hint="eastAsia" w:ascii="Times New Roman" w:hAnsi="Times New Roman" w:cs="Times New Roman"/>
                <w:color w:val="auto"/>
                <w:kern w:val="2"/>
                <w:szCs w:val="20"/>
                <w:lang w:bidi="ar"/>
              </w:rPr>
              <w:t>本项最多得5分。</w:t>
            </w:r>
          </w:p>
          <w:p>
            <w:pPr>
              <w:pStyle w:val="221"/>
              <w:spacing w:before="86"/>
              <w:ind w:left="102"/>
              <w:jc w:val="left"/>
              <w:rPr>
                <w:rFonts w:ascii="Times New Roman" w:hAnsi="Times New Roman" w:cs="Times New Roman"/>
                <w:color w:val="auto"/>
                <w:kern w:val="2"/>
                <w:szCs w:val="20"/>
              </w:rPr>
            </w:pPr>
            <w:r>
              <w:rPr>
                <w:rFonts w:hint="eastAsia" w:ascii="Times New Roman" w:hAnsi="Times New Roman" w:cs="Times New Roman"/>
                <w:color w:val="auto"/>
                <w:kern w:val="2"/>
                <w:szCs w:val="20"/>
              </w:rPr>
              <w:t>2）投标人具备</w:t>
            </w:r>
            <w:r>
              <w:rPr>
                <w:rFonts w:ascii="Times New Roman" w:hAnsi="Times New Roman" w:cs="Times New Roman"/>
                <w:color w:val="auto"/>
                <w:kern w:val="2"/>
                <w:szCs w:val="20"/>
              </w:rPr>
              <w:t>ITSS信息技术服务标准ITSS符合性证书</w:t>
            </w:r>
            <w:r>
              <w:rPr>
                <w:rFonts w:hint="eastAsia" w:ascii="Times New Roman" w:hAnsi="Times New Roman" w:cs="Times New Roman"/>
                <w:color w:val="auto"/>
                <w:kern w:val="2"/>
                <w:szCs w:val="20"/>
              </w:rPr>
              <w:t>得2分,不提供不得分</w:t>
            </w:r>
            <w:r>
              <w:rPr>
                <w:rFonts w:ascii="Times New Roman" w:hAnsi="Times New Roman" w:cs="Times New Roman"/>
                <w:color w:val="auto"/>
                <w:kern w:val="2"/>
                <w:szCs w:val="20"/>
              </w:rPr>
              <w:t>。</w:t>
            </w:r>
          </w:p>
          <w:p>
            <w:pPr>
              <w:topLinePunct/>
              <w:adjustRightInd w:val="0"/>
              <w:snapToGrid w:val="0"/>
              <w:spacing w:line="380" w:lineRule="exact"/>
              <w:rPr>
                <w:rFonts w:ascii="宋体" w:hAnsi="宋体" w:cs="宋体"/>
                <w:szCs w:val="21"/>
              </w:rPr>
            </w:pPr>
            <w:r>
              <w:t>（注：以上投标人资质得分按照联合体各方均可计取，投标文件中须提供相关证件复印件并加盖公章，不提供不得分。</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0" w:hRule="atLeast"/>
          <w:jc w:val="center"/>
        </w:trPr>
        <w:tc>
          <w:tcPr>
            <w:tcW w:w="634" w:type="pct"/>
            <w:vMerge w:val="continue"/>
            <w:tcBorders>
              <w:left w:val="single" w:color="auto" w:sz="4" w:space="0"/>
              <w:right w:val="single" w:color="auto" w:sz="2" w:space="0"/>
            </w:tcBorders>
            <w:vAlign w:val="center"/>
          </w:tcPr>
          <w:p>
            <w:pPr>
              <w:widowControl/>
              <w:snapToGrid w:val="0"/>
              <w:spacing w:line="360" w:lineRule="auto"/>
              <w:jc w:val="left"/>
              <w:rPr>
                <w:rFonts w:ascii="宋体" w:hAnsi="宋体"/>
                <w:snapToGrid w:val="0"/>
                <w:spacing w:val="-4"/>
                <w:szCs w:val="21"/>
              </w:rPr>
            </w:pPr>
          </w:p>
        </w:tc>
        <w:tc>
          <w:tcPr>
            <w:tcW w:w="588" w:type="pct"/>
            <w:tcBorders>
              <w:left w:val="single" w:color="auto" w:sz="4" w:space="0"/>
              <w:right w:val="single" w:color="auto" w:sz="2" w:space="0"/>
            </w:tcBorders>
            <w:vAlign w:val="center"/>
          </w:tcPr>
          <w:p>
            <w:pPr>
              <w:snapToGrid w:val="0"/>
              <w:spacing w:line="360" w:lineRule="auto"/>
              <w:jc w:val="left"/>
              <w:rPr>
                <w:rFonts w:ascii="宋体" w:hAnsi="宋体" w:cs="宋体"/>
                <w:kern w:val="0"/>
                <w:szCs w:val="21"/>
              </w:rPr>
            </w:pPr>
            <w:r>
              <w:rPr>
                <w:rFonts w:hint="eastAsia" w:ascii="宋体" w:hAnsi="宋体" w:cs="宋体"/>
                <w:szCs w:val="21"/>
              </w:rPr>
              <w:t>12、</w:t>
            </w:r>
            <w:r>
              <w:rPr>
                <w:rFonts w:hint="eastAsia" w:ascii="宋体" w:hAnsi="宋体" w:cs="宋体"/>
                <w:szCs w:val="21"/>
                <w:lang w:val="zh-CN"/>
              </w:rPr>
              <w:t xml:space="preserve">项目实施人员资质  </w:t>
            </w:r>
            <w:r>
              <w:rPr>
                <w:rFonts w:ascii="宋体" w:hAnsi="宋体" w:cs="宋体"/>
                <w:szCs w:val="21"/>
              </w:rPr>
              <w:t>(</w:t>
            </w:r>
            <w:r>
              <w:rPr>
                <w:rFonts w:hint="eastAsia" w:ascii="宋体" w:hAnsi="宋体" w:cs="宋体"/>
                <w:szCs w:val="21"/>
              </w:rPr>
              <w:t>7</w:t>
            </w:r>
            <w:r>
              <w:rPr>
                <w:rFonts w:hint="eastAsia" w:ascii="宋体" w:hAnsi="宋体" w:cs="宋体"/>
                <w:szCs w:val="21"/>
                <w:lang w:val="zh-CN"/>
              </w:rPr>
              <w:t>分</w:t>
            </w:r>
            <w:r>
              <w:rPr>
                <w:rFonts w:ascii="宋体" w:hAnsi="宋体" w:cs="宋体"/>
                <w:szCs w:val="21"/>
              </w:rPr>
              <w:t>)</w:t>
            </w:r>
          </w:p>
        </w:tc>
        <w:tc>
          <w:tcPr>
            <w:tcW w:w="3776" w:type="pct"/>
            <w:tcBorders>
              <w:top w:val="single" w:color="auto" w:sz="4" w:space="0"/>
              <w:left w:val="single" w:color="auto" w:sz="4" w:space="0"/>
              <w:right w:val="single" w:color="auto" w:sz="2" w:space="0"/>
            </w:tcBorders>
            <w:vAlign w:val="center"/>
          </w:tcPr>
          <w:p>
            <w:pPr>
              <w:pStyle w:val="221"/>
              <w:spacing w:before="86"/>
              <w:ind w:left="102"/>
              <w:jc w:val="left"/>
              <w:rPr>
                <w:rFonts w:ascii="Times New Roman" w:hAnsi="Times New Roman" w:cs="Times New Roman"/>
                <w:color w:val="auto"/>
                <w:kern w:val="2"/>
                <w:szCs w:val="20"/>
              </w:rPr>
            </w:pPr>
            <w:r>
              <w:rPr>
                <w:rFonts w:hint="eastAsia"/>
              </w:rPr>
              <w:t>1）项目负责人具备互联网技术相关专业高级工程师职称证书得1分、具备互联网技术相关专业中级工程师职称证书得0.5分</w:t>
            </w:r>
            <w:r>
              <w:rPr>
                <w:rFonts w:hint="eastAsia"/>
                <w:b/>
                <w:bCs/>
                <w:szCs w:val="20"/>
              </w:rPr>
              <w:t>（同类证书，就高计取）</w:t>
            </w:r>
            <w:r>
              <w:rPr>
                <w:rFonts w:hint="eastAsia"/>
              </w:rPr>
              <w:t>；具备注册信息安全专业人员证书，即CISP证书，得1分；具备信息系统项目管理师或项目管理相关高级工程师得1分、项目管理相关中级工程师得0.5分</w:t>
            </w:r>
            <w:r>
              <w:rPr>
                <w:rFonts w:hint="eastAsia"/>
                <w:b/>
                <w:bCs/>
                <w:szCs w:val="20"/>
              </w:rPr>
              <w:t>（同类证书，就高计取）</w:t>
            </w:r>
            <w:r>
              <w:rPr>
                <w:rFonts w:hint="eastAsia"/>
              </w:rPr>
              <w:t>；本项最多得3分。</w:t>
            </w:r>
          </w:p>
          <w:p>
            <w:pPr>
              <w:pStyle w:val="221"/>
              <w:spacing w:before="86"/>
              <w:ind w:left="102"/>
              <w:jc w:val="left"/>
            </w:pPr>
            <w:r>
              <w:rPr>
                <w:rFonts w:hint="eastAsia"/>
              </w:rPr>
              <w:t>2）技术负责人具备系统架构设计师得2分。</w:t>
            </w:r>
          </w:p>
          <w:p>
            <w:pPr>
              <w:pStyle w:val="221"/>
              <w:spacing w:before="86"/>
              <w:ind w:left="102"/>
              <w:jc w:val="left"/>
            </w:pPr>
            <w:r>
              <w:rPr>
                <w:rFonts w:hint="eastAsia"/>
              </w:rPr>
              <w:t>3）项目团队成员(除项目技术负责人外)具备信息系统项目管理师得1分；具备注册信息安全专业人员证书，即CISP证书得1分。本项最多得2分。</w:t>
            </w:r>
          </w:p>
          <w:p>
            <w:pPr>
              <w:pStyle w:val="221"/>
              <w:spacing w:before="86"/>
              <w:ind w:left="102"/>
              <w:jc w:val="left"/>
            </w:pPr>
            <w:r>
              <w:rPr>
                <w:rFonts w:hint="eastAsia"/>
              </w:rPr>
              <w:t>投标文件中需提供人员证书以及社保部门出具的投标人为其缴纳的距开标前三个月内任一个月社会保险缴费证明复印件或</w:t>
            </w:r>
            <w:r>
              <w:rPr>
                <w:rFonts w:hint="eastAsia"/>
                <w:szCs w:val="20"/>
              </w:rPr>
              <w:t>投标人员是本单位人员承诺函，</w:t>
            </w:r>
            <w:r>
              <w:rPr>
                <w:rFonts w:hint="eastAsia"/>
              </w:rPr>
              <w:t>并加盖公章；否则不得分。</w:t>
            </w:r>
          </w:p>
          <w:p>
            <w:pPr>
              <w:topLinePunct/>
              <w:adjustRightInd w:val="0"/>
              <w:snapToGrid w:val="0"/>
              <w:spacing w:line="380" w:lineRule="exact"/>
            </w:pPr>
            <w:r>
              <w:rPr>
                <w:rFonts w:hint="eastAsia"/>
              </w:rPr>
              <w:t>（注：以上投标人资质得分按照联合体各方均可计取，投标文件中须提供相关证件复印件并加盖公章，不提供不得分。）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634" w:type="pct"/>
            <w:vMerge w:val="continue"/>
            <w:tcBorders>
              <w:left w:val="single" w:color="auto" w:sz="4" w:space="0"/>
              <w:bottom w:val="single" w:color="auto" w:sz="4" w:space="0"/>
              <w:right w:val="single" w:color="auto" w:sz="2" w:space="0"/>
            </w:tcBorders>
            <w:tcMar>
              <w:top w:w="0" w:type="dxa"/>
              <w:left w:w="0" w:type="dxa"/>
              <w:bottom w:w="0" w:type="dxa"/>
              <w:right w:w="0" w:type="dxa"/>
            </w:tcMar>
            <w:vAlign w:val="center"/>
          </w:tcPr>
          <w:p>
            <w:pPr>
              <w:snapToGrid w:val="0"/>
              <w:spacing w:line="360" w:lineRule="auto"/>
            </w:pPr>
          </w:p>
        </w:tc>
        <w:tc>
          <w:tcPr>
            <w:tcW w:w="588"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jc w:val="center"/>
            </w:pPr>
            <w:r>
              <w:rPr>
                <w:rFonts w:hint="eastAsia"/>
              </w:rPr>
              <w:t>政府采购政策分</w:t>
            </w:r>
          </w:p>
          <w:p>
            <w:pPr>
              <w:snapToGrid w:val="0"/>
              <w:spacing w:line="360" w:lineRule="auto"/>
            </w:pPr>
            <w:r>
              <w:rPr>
                <w:rFonts w:hint="eastAsia"/>
              </w:rPr>
              <w:t>（</w:t>
            </w:r>
            <w:r>
              <w:t>1</w:t>
            </w:r>
            <w:r>
              <w:rPr>
                <w:rFonts w:hint="eastAsia"/>
              </w:rPr>
              <w:t>分）</w:t>
            </w:r>
          </w:p>
        </w:tc>
        <w:tc>
          <w:tcPr>
            <w:tcW w:w="3776"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pPr>
            <w:r>
              <w:rPr>
                <w:rFonts w:hint="eastAsia"/>
              </w:rPr>
              <w:t>供应商企业注册地是属于不发达地区或少数民族地区。提供国家相关部门认定的不发达地区或少数民族地区证明的，得</w:t>
            </w:r>
            <w:r>
              <w:t>1</w:t>
            </w:r>
            <w:r>
              <w:rPr>
                <w:rFonts w:hint="eastAsia"/>
              </w:rPr>
              <w:t>分。提供证明不清的不予得分。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1" w:hRule="atLeast"/>
          <w:jc w:val="center"/>
        </w:trPr>
        <w:tc>
          <w:tcPr>
            <w:tcW w:w="634" w:type="pct"/>
            <w:tcBorders>
              <w:top w:val="single" w:color="auto" w:sz="4" w:space="0"/>
              <w:left w:val="single" w:color="auto" w:sz="4" w:space="0"/>
              <w:bottom w:val="single" w:color="auto" w:sz="4" w:space="0"/>
              <w:right w:val="single" w:color="auto" w:sz="2" w:space="0"/>
            </w:tcBorders>
            <w:vAlign w:val="center"/>
          </w:tcPr>
          <w:p>
            <w:pPr>
              <w:snapToGrid w:val="0"/>
              <w:spacing w:line="360" w:lineRule="auto"/>
              <w:jc w:val="center"/>
              <w:rPr>
                <w:rFonts w:ascii="宋体" w:hAnsi="宋体"/>
                <w:snapToGrid w:val="0"/>
                <w:spacing w:val="-4"/>
                <w:szCs w:val="21"/>
              </w:rPr>
            </w:pPr>
            <w:r>
              <w:rPr>
                <w:rFonts w:hint="eastAsia" w:ascii="宋体" w:hAnsi="宋体"/>
                <w:snapToGrid w:val="0"/>
                <w:spacing w:val="-4"/>
                <w:szCs w:val="21"/>
              </w:rPr>
              <w:t>报价分</w:t>
            </w:r>
          </w:p>
          <w:p>
            <w:pPr>
              <w:widowControl/>
              <w:snapToGrid w:val="0"/>
              <w:spacing w:line="360" w:lineRule="auto"/>
              <w:ind w:firstLine="404" w:firstLineChars="200"/>
            </w:pPr>
            <w:r>
              <w:rPr>
                <w:rFonts w:hint="eastAsia" w:ascii="宋体" w:hAnsi="宋体"/>
                <w:snapToGrid w:val="0"/>
                <w:spacing w:val="-4"/>
                <w:szCs w:val="21"/>
              </w:rPr>
              <w:t>（满分</w:t>
            </w:r>
            <w:r>
              <w:rPr>
                <w:iCs/>
                <w:snapToGrid w:val="0"/>
                <w:spacing w:val="-4"/>
                <w:szCs w:val="21"/>
              </w:rPr>
              <w:t>1</w:t>
            </w:r>
            <w:r>
              <w:rPr>
                <w:rFonts w:hint="eastAsia"/>
                <w:iCs/>
                <w:snapToGrid w:val="0"/>
                <w:spacing w:val="-4"/>
                <w:szCs w:val="21"/>
              </w:rPr>
              <w:t>0</w:t>
            </w:r>
            <w:r>
              <w:rPr>
                <w:rFonts w:hint="eastAsia" w:ascii="宋体" w:hAnsi="宋体"/>
                <w:snapToGrid w:val="0"/>
                <w:spacing w:val="-4"/>
                <w:szCs w:val="21"/>
              </w:rPr>
              <w:t>分）</w:t>
            </w:r>
          </w:p>
        </w:tc>
        <w:tc>
          <w:tcPr>
            <w:tcW w:w="4365" w:type="pct"/>
            <w:gridSpan w:val="2"/>
            <w:tcBorders>
              <w:top w:val="single" w:color="auto" w:sz="4" w:space="0"/>
              <w:left w:val="single" w:color="auto" w:sz="4" w:space="0"/>
              <w:bottom w:val="single" w:color="auto" w:sz="4" w:space="0"/>
              <w:right w:val="single" w:color="auto" w:sz="2" w:space="0"/>
            </w:tcBorders>
            <w:vAlign w:val="center"/>
          </w:tcPr>
          <w:p>
            <w:pPr>
              <w:widowControl/>
              <w:rPr>
                <w:rFonts w:ascii="宋体" w:hAnsi="宋体" w:cs="宋体"/>
                <w:szCs w:val="21"/>
              </w:rPr>
            </w:pPr>
            <w:r>
              <w:rPr>
                <w:rFonts w:hint="eastAsia" w:ascii="宋体" w:hAnsi="宋体" w:cs="宋体"/>
                <w:szCs w:val="21"/>
              </w:rPr>
              <w:t>评标基准价指的是满足采购文件要求且最低的参与评审的价格。</w:t>
            </w:r>
          </w:p>
          <w:p>
            <w:pPr>
              <w:widowControl/>
              <w:ind w:firstLine="420" w:firstLineChars="200"/>
              <w:rPr>
                <w:rFonts w:ascii="宋体" w:hAnsi="宋体" w:cs="宋体"/>
                <w:szCs w:val="21"/>
              </w:rPr>
            </w:pPr>
            <w:r>
              <w:rPr>
                <w:rFonts w:hint="eastAsia" w:ascii="宋体" w:hAnsi="宋体" w:cs="宋体"/>
                <w:szCs w:val="21"/>
              </w:rPr>
              <w:t>参与评审的价格=投标报价-厅关于进一步加大政府采购支持中小企业力度助力扎实稳住经济的通知》（浙财采监（2022）8号），对符合规定的小微企业报价给予</w:t>
            </w:r>
            <w:r>
              <w:rPr>
                <w:rFonts w:cs="宋体"/>
                <w:szCs w:val="21"/>
              </w:rPr>
              <w:t>20</w:t>
            </w:r>
            <w:r>
              <w:rPr>
                <w:rFonts w:hint="eastAsia" w:ascii="宋体" w:hAnsi="宋体" w:cs="宋体"/>
                <w:szCs w:val="21"/>
              </w:rPr>
              <w:t>%的扣除，用扣除后的价格参加评审。</w:t>
            </w:r>
          </w:p>
          <w:p>
            <w:pPr>
              <w:widowControl/>
              <w:rPr>
                <w:rFonts w:ascii="宋体" w:hAnsi="宋体" w:cs="宋体"/>
                <w:szCs w:val="21"/>
              </w:rPr>
            </w:pPr>
            <w:r>
              <w:rPr>
                <w:rFonts w:hint="eastAsia" w:ascii="宋体" w:hAnsi="宋体" w:cs="宋体"/>
                <w:szCs w:val="21"/>
              </w:rPr>
              <w:t>接受大中型企业与小微企业组成联合体或者允许大中型企业向一家或者多家小微企业分包的采购项目，对于联合协议或者分包意向协议约定小微企业的合同份额占到合同总金额</w:t>
            </w:r>
            <w:r>
              <w:rPr>
                <w:rFonts w:hint="eastAsia" w:cs="宋体"/>
                <w:szCs w:val="21"/>
              </w:rPr>
              <w:t>30</w:t>
            </w:r>
            <w:r>
              <w:rPr>
                <w:rFonts w:hint="eastAsia" w:ascii="宋体" w:hAnsi="宋体" w:cs="宋体"/>
                <w:szCs w:val="21"/>
              </w:rPr>
              <w:t>%以上的，采购人、采购代理机构应当对联合体或者大中型企业的报价给予</w:t>
            </w:r>
            <w:r>
              <w:rPr>
                <w:rFonts w:cs="宋体"/>
                <w:szCs w:val="21"/>
              </w:rPr>
              <w:t>6</w:t>
            </w:r>
            <w:r>
              <w:rPr>
                <w:rFonts w:hint="eastAsia" w:ascii="宋体" w:hAnsi="宋体" w:cs="宋体"/>
                <w:szCs w:val="21"/>
              </w:rPr>
              <w:t>%的扣除，用扣除后的价格参加评审。组成联合体或者接受分包的小微企业与联合体内其他企业、分包企业之间存在直接控股、管理关小微企业价格扣除优惠值（如有）。</w:t>
            </w:r>
          </w:p>
          <w:p>
            <w:pPr>
              <w:widowControl/>
              <w:rPr>
                <w:rFonts w:ascii="宋体" w:hAnsi="宋体" w:cs="宋体"/>
                <w:szCs w:val="21"/>
              </w:rPr>
            </w:pPr>
            <w:r>
              <w:rPr>
                <w:rFonts w:hint="eastAsia" w:ascii="宋体" w:hAnsi="宋体" w:cs="宋体"/>
                <w:szCs w:val="21"/>
              </w:rPr>
              <w:t>参与评审的价格为评标基准价的其价格得分得满分</w:t>
            </w:r>
            <w:r>
              <w:rPr>
                <w:rFonts w:cs="宋体"/>
                <w:szCs w:val="21"/>
                <w:u w:val="single"/>
              </w:rPr>
              <w:t>1</w:t>
            </w:r>
            <w:r>
              <w:rPr>
                <w:rFonts w:hint="eastAsia" w:cs="宋体"/>
                <w:szCs w:val="21"/>
                <w:u w:val="single"/>
              </w:rPr>
              <w:t>0</w:t>
            </w:r>
            <w:r>
              <w:rPr>
                <w:rFonts w:hint="eastAsia" w:ascii="宋体" w:hAnsi="宋体" w:cs="宋体"/>
                <w:szCs w:val="21"/>
              </w:rPr>
              <w:t>分。</w:t>
            </w:r>
          </w:p>
          <w:p>
            <w:pPr>
              <w:widowControl/>
              <w:rPr>
                <w:rFonts w:ascii="宋体" w:hAnsi="宋体" w:cs="宋体"/>
                <w:szCs w:val="21"/>
              </w:rPr>
            </w:pPr>
            <w:r>
              <w:rPr>
                <w:rFonts w:hint="eastAsia" w:ascii="宋体" w:hAnsi="宋体" w:cs="宋体"/>
                <w:szCs w:val="21"/>
              </w:rPr>
              <w:t>其他供应商价格得分按照下列公式计算：</w:t>
            </w:r>
          </w:p>
          <w:p>
            <w:pPr>
              <w:widowControl/>
              <w:rPr>
                <w:rFonts w:ascii="宋体" w:hAnsi="宋体" w:cs="宋体"/>
                <w:szCs w:val="21"/>
              </w:rPr>
            </w:pPr>
            <w:r>
              <w:rPr>
                <w:rFonts w:hint="eastAsia" w:ascii="宋体" w:hAnsi="宋体" w:cs="宋体"/>
                <w:szCs w:val="21"/>
              </w:rPr>
              <w:t>价格得分=（评标基准价/各供应商参与评审的价格）×</w:t>
            </w:r>
            <w:r>
              <w:rPr>
                <w:rFonts w:hint="eastAsia" w:cs="宋体"/>
                <w:szCs w:val="21"/>
                <w:u w:val="single"/>
              </w:rPr>
              <w:t>10</w:t>
            </w:r>
            <w:r>
              <w:rPr>
                <w:rFonts w:hint="eastAsia" w:ascii="宋体" w:hAnsi="宋体" w:cs="宋体"/>
                <w:szCs w:val="21"/>
              </w:rPr>
              <w:t>％×</w:t>
            </w:r>
            <w:r>
              <w:rPr>
                <w:rFonts w:hint="eastAsia" w:cs="宋体"/>
                <w:szCs w:val="21"/>
              </w:rPr>
              <w:t>100</w:t>
            </w:r>
            <w:r>
              <w:rPr>
                <w:rFonts w:hint="eastAsia" w:ascii="宋体" w:hAnsi="宋体" w:cs="宋体"/>
                <w:szCs w:val="21"/>
              </w:rPr>
              <w:t>。</w:t>
            </w:r>
          </w:p>
          <w:p>
            <w:pPr>
              <w:widowControl/>
              <w:rPr>
                <w:rFonts w:ascii="宋体" w:hAnsi="宋体" w:cs="宋体"/>
                <w:szCs w:val="21"/>
              </w:rPr>
            </w:pPr>
            <w:r>
              <w:rPr>
                <w:rFonts w:hint="eastAsia" w:ascii="宋体" w:hAnsi="宋体" w:cs="宋体"/>
                <w:szCs w:val="21"/>
              </w:rPr>
              <w:t>注：</w:t>
            </w:r>
            <w:r>
              <w:rPr>
                <w:rFonts w:hint="eastAsia" w:cs="宋体"/>
                <w:szCs w:val="21"/>
              </w:rPr>
              <w:t>1</w:t>
            </w:r>
            <w:r>
              <w:rPr>
                <w:rFonts w:hint="eastAsia" w:ascii="宋体" w:hAnsi="宋体" w:cs="宋体"/>
                <w:szCs w:val="21"/>
              </w:rPr>
              <w:t>、投标报价超过最高限价的作无效标处理。</w:t>
            </w:r>
          </w:p>
          <w:p>
            <w:pPr>
              <w:widowControl/>
              <w:ind w:firstLine="420" w:firstLineChars="200"/>
              <w:rPr>
                <w:rFonts w:ascii="宋体" w:hAnsi="宋体" w:cs="宋体"/>
                <w:szCs w:val="21"/>
              </w:rPr>
            </w:pPr>
            <w:r>
              <w:rPr>
                <w:rFonts w:hint="eastAsia" w:cs="宋体"/>
                <w:szCs w:val="21"/>
              </w:rPr>
              <w:t>2</w:t>
            </w:r>
            <w:r>
              <w:rPr>
                <w:rFonts w:hint="eastAsia" w:ascii="宋体" w:hAnsi="宋体" w:cs="宋体"/>
                <w:szCs w:val="21"/>
              </w:rPr>
              <w:t>、价格得分小数点后保留</w:t>
            </w:r>
            <w:r>
              <w:rPr>
                <w:rFonts w:hint="eastAsia" w:cs="宋体"/>
                <w:szCs w:val="21"/>
              </w:rPr>
              <w:t>2</w:t>
            </w:r>
            <w:r>
              <w:rPr>
                <w:rFonts w:hint="eastAsia" w:ascii="宋体" w:hAnsi="宋体" w:cs="宋体"/>
                <w:szCs w:val="21"/>
              </w:rPr>
              <w:t>位小数，第</w:t>
            </w:r>
            <w:r>
              <w:rPr>
                <w:rFonts w:hint="eastAsia" w:cs="宋体"/>
                <w:szCs w:val="21"/>
              </w:rPr>
              <w:t>3</w:t>
            </w:r>
            <w:r>
              <w:rPr>
                <w:rFonts w:hint="eastAsia" w:ascii="宋体" w:hAnsi="宋体" w:cs="宋体"/>
                <w:szCs w:val="21"/>
              </w:rPr>
              <w:t>位小数四舍五入。</w:t>
            </w:r>
          </w:p>
          <w:p>
            <w:pPr>
              <w:widowControl/>
              <w:ind w:firstLine="420" w:firstLineChars="200"/>
              <w:rPr>
                <w:rFonts w:ascii="宋体" w:hAnsi="宋体" w:cs="宋体"/>
                <w:szCs w:val="21"/>
              </w:rPr>
            </w:pPr>
            <w:r>
              <w:rPr>
                <w:rFonts w:hint="eastAsia" w:cs="宋体"/>
                <w:szCs w:val="21"/>
              </w:rPr>
              <w:t>3</w:t>
            </w:r>
            <w:r>
              <w:rPr>
                <w:rFonts w:hint="eastAsia" w:ascii="宋体" w:hAnsi="宋体" w:cs="宋体"/>
                <w:szCs w:val="21"/>
              </w:rPr>
              <w:t>、根据《浙江省财政系的，不享受价格扣除优惠政策。</w:t>
            </w:r>
          </w:p>
          <w:p>
            <w:pPr>
              <w:widowControl/>
              <w:snapToGrid w:val="0"/>
              <w:spacing w:line="360" w:lineRule="auto"/>
              <w:ind w:firstLine="420" w:firstLineChars="200"/>
              <w:rPr>
                <w:rFonts w:ascii="宋体" w:hAnsi="宋体" w:cs="宋体"/>
                <w:szCs w:val="21"/>
              </w:rPr>
            </w:pPr>
            <w:r>
              <w:rPr>
                <w:rFonts w:hint="eastAsia" w:ascii="宋体" w:hAnsi="宋体" w:cs="宋体"/>
                <w:szCs w:val="21"/>
              </w:rPr>
              <w:t>联合体各方均为小微企业的，联合体视同小微企业。</w:t>
            </w:r>
          </w:p>
        </w:tc>
      </w:tr>
    </w:tbl>
    <w:p>
      <w:pPr>
        <w:pStyle w:val="202"/>
        <w:ind w:firstLine="0" w:firstLineChars="0"/>
        <w:sectPr>
          <w:headerReference r:id="rId14" w:type="default"/>
          <w:pgSz w:w="11906" w:h="16838"/>
          <w:pgMar w:top="1440" w:right="1800" w:bottom="1440" w:left="1800" w:header="851" w:footer="992" w:gutter="0"/>
          <w:cols w:space="720" w:num="1"/>
          <w:docGrid w:type="lines" w:linePitch="312" w:charSpace="0"/>
        </w:sectPr>
      </w:pPr>
    </w:p>
    <w:p>
      <w:pPr>
        <w:pStyle w:val="2"/>
        <w:spacing w:beforeLines="0" w:afterLines="0" w:line="360" w:lineRule="auto"/>
        <w:rPr>
          <w:rFonts w:ascii="宋体" w:hAnsi="宋体"/>
          <w:sz w:val="32"/>
          <w:szCs w:val="32"/>
        </w:rPr>
      </w:pPr>
      <w:bookmarkStart w:id="75" w:name="_Toc520902406"/>
      <w:r>
        <w:rPr>
          <w:rFonts w:hint="eastAsia" w:ascii="宋体" w:hAnsi="宋体"/>
          <w:sz w:val="32"/>
          <w:szCs w:val="32"/>
        </w:rPr>
        <w:t>第六部分</w:t>
      </w:r>
      <w:bookmarkEnd w:id="74"/>
      <w:r>
        <w:rPr>
          <w:rFonts w:hint="eastAsia" w:ascii="宋体" w:hAnsi="宋体"/>
          <w:sz w:val="32"/>
          <w:szCs w:val="32"/>
        </w:rPr>
        <w:t xml:space="preserve"> 招标项目需求</w:t>
      </w:r>
      <w:bookmarkEnd w:id="75"/>
    </w:p>
    <w:p>
      <w:pPr>
        <w:jc w:val="center"/>
        <w:rPr>
          <w:sz w:val="28"/>
          <w:szCs w:val="28"/>
        </w:rPr>
      </w:pPr>
      <w:bookmarkStart w:id="76" w:name="_Toc316649303"/>
      <w:r>
        <w:rPr>
          <w:rFonts w:hint="eastAsia"/>
          <w:sz w:val="28"/>
          <w:szCs w:val="28"/>
        </w:rPr>
        <w:t>项目需求前附表</w:t>
      </w:r>
    </w:p>
    <w:tbl>
      <w:tblPr>
        <w:tblStyle w:val="42"/>
        <w:tblW w:w="8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2"/>
        <w:gridCol w:w="2382"/>
        <w:gridCol w:w="53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blHeader/>
          <w:jc w:val="center"/>
        </w:trPr>
        <w:tc>
          <w:tcPr>
            <w:tcW w:w="742" w:type="dxa"/>
            <w:vAlign w:val="center"/>
          </w:tcPr>
          <w:p>
            <w:pPr>
              <w:spacing w:line="360" w:lineRule="auto"/>
              <w:jc w:val="center"/>
              <w:rPr>
                <w:rFonts w:ascii="宋体" w:hAnsi="宋体" w:cs="宋体"/>
                <w:b/>
                <w:szCs w:val="21"/>
              </w:rPr>
            </w:pPr>
            <w:r>
              <w:rPr>
                <w:rFonts w:hint="eastAsia" w:ascii="宋体" w:hAnsi="宋体" w:cs="宋体"/>
                <w:b/>
                <w:szCs w:val="21"/>
              </w:rPr>
              <w:t>序号</w:t>
            </w:r>
          </w:p>
        </w:tc>
        <w:tc>
          <w:tcPr>
            <w:tcW w:w="2382" w:type="dxa"/>
            <w:vAlign w:val="center"/>
          </w:tcPr>
          <w:p>
            <w:pPr>
              <w:spacing w:line="360" w:lineRule="auto"/>
              <w:jc w:val="center"/>
              <w:rPr>
                <w:rFonts w:ascii="宋体" w:hAnsi="宋体" w:cs="宋体"/>
                <w:b/>
                <w:szCs w:val="21"/>
              </w:rPr>
            </w:pPr>
            <w:r>
              <w:rPr>
                <w:rFonts w:hint="eastAsia" w:ascii="宋体" w:hAnsi="宋体" w:cs="宋体"/>
                <w:b/>
                <w:szCs w:val="21"/>
              </w:rPr>
              <w:t>项目</w:t>
            </w:r>
          </w:p>
        </w:tc>
        <w:tc>
          <w:tcPr>
            <w:tcW w:w="5332" w:type="dxa"/>
            <w:vAlign w:val="center"/>
          </w:tcPr>
          <w:p>
            <w:pPr>
              <w:spacing w:line="360" w:lineRule="auto"/>
              <w:jc w:val="center"/>
              <w:rPr>
                <w:rFonts w:ascii="宋体" w:hAnsi="宋体" w:cs="宋体"/>
                <w:b/>
                <w:szCs w:val="21"/>
              </w:rPr>
            </w:pPr>
            <w:r>
              <w:rPr>
                <w:rFonts w:hint="eastAsia" w:ascii="宋体" w:hAnsi="宋体" w:cs="宋体"/>
                <w:b/>
                <w:szCs w:val="21"/>
              </w:rPr>
              <w:t>采购需求内容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1</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采购内容</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2</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单位及数量</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详见第一部分《采购公告》及本部分“技术要求表”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3</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交付或者实施的时间和地点</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详见商务要求表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4</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需实现的功能或者目标</w:t>
            </w:r>
          </w:p>
        </w:tc>
        <w:tc>
          <w:tcPr>
            <w:tcW w:w="5332" w:type="dxa"/>
            <w:vAlign w:val="center"/>
          </w:tcPr>
          <w:p>
            <w:pPr>
              <w:spacing w:line="360" w:lineRule="auto"/>
              <w:jc w:val="left"/>
              <w:rPr>
                <w:rFonts w:ascii="宋体" w:hAnsi="宋体" w:cs="宋体"/>
                <w:szCs w:val="21"/>
              </w:rPr>
            </w:pPr>
            <w:r>
              <w:rPr>
                <w:rFonts w:hint="eastAsia" w:ascii="宋体" w:hAnsi="宋体" w:cs="宋体"/>
                <w:szCs w:val="21"/>
              </w:rPr>
              <w:t>详见技术要求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5</w:t>
            </w:r>
          </w:p>
        </w:tc>
        <w:tc>
          <w:tcPr>
            <w:tcW w:w="2382" w:type="dxa"/>
            <w:vAlign w:val="center"/>
          </w:tcPr>
          <w:p>
            <w:pPr>
              <w:spacing w:line="360" w:lineRule="auto"/>
              <w:jc w:val="left"/>
              <w:textAlignment w:val="baseline"/>
              <w:rPr>
                <w:rFonts w:ascii="宋体" w:hAnsi="宋体" w:cs="宋体"/>
                <w:szCs w:val="21"/>
              </w:rPr>
            </w:pPr>
            <w:r>
              <w:rPr>
                <w:rFonts w:hint="eastAsia" w:ascii="宋体" w:hAnsi="宋体" w:cs="宋体"/>
                <w:szCs w:val="21"/>
              </w:rPr>
              <w:t>采购标的需执行的标准</w:t>
            </w:r>
          </w:p>
        </w:tc>
        <w:tc>
          <w:tcPr>
            <w:tcW w:w="5332" w:type="dxa"/>
            <w:vAlign w:val="center"/>
          </w:tcPr>
          <w:p>
            <w:pPr>
              <w:spacing w:line="360" w:lineRule="exact"/>
              <w:jc w:val="left"/>
              <w:rPr>
                <w:rFonts w:ascii="宋体" w:hAnsi="宋体" w:cs="宋体"/>
                <w:szCs w:val="21"/>
              </w:rPr>
            </w:pPr>
            <w:r>
              <w:rPr>
                <w:rFonts w:hint="eastAsia" w:ascii="宋体" w:hAnsi="宋体" w:cs="宋体"/>
                <w:szCs w:val="21"/>
              </w:rPr>
              <w:t>执行国家、地方、有关机构所有相关的技术规范与标准，且确保所采用的技术规范、标准必须是国家或有关机构发布的最新版本，无论此版本在此有无提及。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6</w:t>
            </w:r>
          </w:p>
        </w:tc>
        <w:tc>
          <w:tcPr>
            <w:tcW w:w="2382" w:type="dxa"/>
            <w:vAlign w:val="center"/>
          </w:tcPr>
          <w:p>
            <w:pPr>
              <w:spacing w:line="360" w:lineRule="auto"/>
              <w:jc w:val="left"/>
              <w:textAlignment w:val="baseline"/>
              <w:rPr>
                <w:rFonts w:ascii="宋体" w:hAnsi="宋体" w:cs="宋体"/>
                <w:b/>
                <w:bCs/>
                <w:szCs w:val="21"/>
              </w:rPr>
            </w:pPr>
            <w:r>
              <w:rPr>
                <w:rFonts w:hint="eastAsia" w:ascii="宋体" w:hAnsi="宋体" w:cs="宋体"/>
                <w:b/>
                <w:bCs/>
                <w:szCs w:val="21"/>
              </w:rPr>
              <w:t>采购标的对应的中小企业划分标准所属行业</w:t>
            </w:r>
          </w:p>
        </w:tc>
        <w:tc>
          <w:tcPr>
            <w:tcW w:w="5332" w:type="dxa"/>
            <w:vAlign w:val="center"/>
          </w:tcPr>
          <w:p>
            <w:pPr>
              <w:spacing w:line="360" w:lineRule="exact"/>
              <w:jc w:val="left"/>
              <w:rPr>
                <w:rFonts w:ascii="宋体" w:hAnsi="宋体" w:cs="宋体"/>
                <w:b/>
                <w:bCs/>
                <w:szCs w:val="21"/>
                <w:highlight w:val="yellow"/>
              </w:rPr>
            </w:pPr>
            <w:r>
              <w:rPr>
                <w:rFonts w:hint="eastAsia" w:ascii="宋体" w:hAnsi="宋体" w:cs="宋体"/>
                <w:b/>
                <w:bCs/>
                <w:szCs w:val="21"/>
              </w:rPr>
              <w:t>软件和信息技术服务业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7</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技术规格要求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8</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物理特性要求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9</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质量、安全要求</w:t>
            </w:r>
          </w:p>
        </w:tc>
        <w:tc>
          <w:tcPr>
            <w:tcW w:w="5332" w:type="dxa"/>
            <w:vAlign w:val="center"/>
          </w:tcPr>
          <w:p>
            <w:pPr>
              <w:spacing w:line="360" w:lineRule="auto"/>
              <w:rPr>
                <w:rFonts w:ascii="宋体" w:hAnsi="宋体" w:cs="宋体"/>
              </w:rPr>
            </w:pPr>
            <w:r>
              <w:rPr>
                <w:rFonts w:hint="eastAsia" w:ascii="宋体" w:hAnsi="宋体" w:cs="宋体"/>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10</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服务标准、期限、效率(培训等）</w:t>
            </w:r>
          </w:p>
        </w:tc>
        <w:tc>
          <w:tcPr>
            <w:tcW w:w="5332" w:type="dxa"/>
            <w:vAlign w:val="center"/>
          </w:tcPr>
          <w:p>
            <w:pPr>
              <w:spacing w:line="360" w:lineRule="auto"/>
              <w:rPr>
                <w:rFonts w:ascii="宋体" w:hAnsi="宋体" w:cs="宋体"/>
              </w:rPr>
            </w:pPr>
            <w:r>
              <w:rPr>
                <w:rFonts w:hint="eastAsia" w:ascii="宋体" w:hAnsi="宋体" w:cs="宋体"/>
                <w:szCs w:val="21"/>
              </w:rPr>
              <w:t>详见本部分内容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11</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验收标准</w:t>
            </w:r>
          </w:p>
        </w:tc>
        <w:tc>
          <w:tcPr>
            <w:tcW w:w="5332" w:type="dxa"/>
            <w:vAlign w:val="center"/>
          </w:tcPr>
          <w:p>
            <w:pPr>
              <w:spacing w:line="264" w:lineRule="auto"/>
              <w:rPr>
                <w:rFonts w:ascii="宋体" w:hAnsi="宋体" w:cs="宋体"/>
                <w:szCs w:val="21"/>
              </w:rPr>
            </w:pPr>
            <w:r>
              <w:rPr>
                <w:rFonts w:hint="eastAsia" w:ascii="宋体" w:hAnsi="宋体" w:cs="宋体"/>
                <w:szCs w:val="21"/>
              </w:rPr>
              <w:t>依据国家、行业标准、采购文件要求、合同中的相关条款及经采购人书面确认的需求规格说明书进行验收；如有矛盾，以其中最高要求为准。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12</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现场踏勘</w:t>
            </w:r>
          </w:p>
        </w:tc>
        <w:tc>
          <w:tcPr>
            <w:tcW w:w="5332" w:type="dxa"/>
            <w:vAlign w:val="center"/>
          </w:tcPr>
          <w:p>
            <w:pPr>
              <w:spacing w:line="360" w:lineRule="auto"/>
              <w:rPr>
                <w:rFonts w:ascii="宋体" w:hAnsi="宋体" w:cs="宋体"/>
                <w:szCs w:val="21"/>
              </w:rPr>
            </w:pPr>
            <w:r>
              <w:rPr>
                <w:rFonts w:hint="eastAsia" w:ascii="宋体" w:hAnsi="宋体" w:cs="宋体"/>
                <w:szCs w:val="21"/>
              </w:rPr>
              <w:t>本项目不统一组织现场勘察，供应商可自行对本项目现场和周围环境进行勘察。勘察现场所发生的费用由供应商自己承担。不论何种原因所造成，在勘察过程中，供应商自行对由此次踏勘现场而造成的死亡、人身伤害、财产损失、损害以及任何其它损失、损害和引起的费用和开支承担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742" w:type="dxa"/>
            <w:vAlign w:val="center"/>
          </w:tcPr>
          <w:p>
            <w:pPr>
              <w:spacing w:line="360" w:lineRule="auto"/>
              <w:jc w:val="center"/>
              <w:rPr>
                <w:rFonts w:ascii="宋体" w:hAnsi="宋体" w:cs="宋体"/>
                <w:szCs w:val="21"/>
              </w:rPr>
            </w:pPr>
            <w:r>
              <w:rPr>
                <w:rFonts w:hint="eastAsia" w:cs="宋体"/>
                <w:szCs w:val="21"/>
              </w:rPr>
              <w:t>13</w:t>
            </w:r>
          </w:p>
        </w:tc>
        <w:tc>
          <w:tcPr>
            <w:tcW w:w="2382" w:type="dxa"/>
            <w:vAlign w:val="center"/>
          </w:tcPr>
          <w:p>
            <w:pPr>
              <w:spacing w:line="360" w:lineRule="auto"/>
              <w:jc w:val="left"/>
              <w:rPr>
                <w:rFonts w:ascii="宋体" w:hAnsi="宋体" w:cs="宋体"/>
                <w:szCs w:val="21"/>
              </w:rPr>
            </w:pPr>
            <w:r>
              <w:rPr>
                <w:rFonts w:hint="eastAsia" w:ascii="宋体" w:hAnsi="宋体" w:cs="宋体"/>
                <w:szCs w:val="21"/>
              </w:rPr>
              <w:t>演示时间及地点</w:t>
            </w:r>
          </w:p>
        </w:tc>
        <w:tc>
          <w:tcPr>
            <w:tcW w:w="5332" w:type="dxa"/>
            <w:vAlign w:val="center"/>
          </w:tcPr>
          <w:p>
            <w:pPr>
              <w:spacing w:line="360" w:lineRule="auto"/>
              <w:rPr>
                <w:rFonts w:ascii="宋体" w:hAnsi="宋体" w:cs="宋体"/>
                <w:i/>
                <w:szCs w:val="21"/>
              </w:rPr>
            </w:pPr>
            <w:r>
              <w:rPr>
                <w:rFonts w:hint="eastAsia" w:ascii="宋体" w:hAnsi="宋体" w:cs="宋体"/>
                <w:szCs w:val="21"/>
              </w:rPr>
              <w:t>本项目不组织现场讲解，供应商需自行录制演示视频（格式要求：MPEG4，时长不超过10分钟），将视频拷入U盘并单独进行密封并在投标截止时间前递交给招标代理机构，递交形式为邮寄（自行承担邮寄过程风险）或开标现场递交（投标人任选其一），未进行演示的，本项不得分）。</w:t>
            </w:r>
          </w:p>
        </w:tc>
      </w:tr>
    </w:tbl>
    <w:p>
      <w:pPr>
        <w:spacing w:line="360" w:lineRule="auto"/>
        <w:rPr>
          <w:rFonts w:ascii="宋体" w:hAnsi="宋体" w:cs="宋体"/>
          <w:sz w:val="24"/>
          <w:szCs w:val="24"/>
        </w:rPr>
      </w:pPr>
    </w:p>
    <w:p>
      <w:pPr>
        <w:spacing w:line="360" w:lineRule="auto"/>
        <w:jc w:val="left"/>
        <w:outlineLvl w:val="1"/>
        <w:rPr>
          <w:rFonts w:ascii="黑体" w:hAnsi="黑体" w:eastAsia="黑体" w:cs="黑体"/>
          <w:b/>
          <w:bCs/>
          <w:sz w:val="28"/>
          <w:szCs w:val="28"/>
        </w:rPr>
      </w:pPr>
      <w:r>
        <w:rPr>
          <w:rFonts w:ascii="宋体" w:hAnsi="宋体" w:cs="宋体"/>
          <w:sz w:val="24"/>
          <w:szCs w:val="24"/>
        </w:rPr>
        <w:br w:type="page"/>
      </w:r>
      <w:r>
        <w:rPr>
          <w:rFonts w:hint="eastAsia" w:ascii="黑体" w:hAnsi="黑体" w:eastAsia="黑体" w:cs="黑体"/>
          <w:b/>
          <w:bCs/>
          <w:sz w:val="28"/>
          <w:szCs w:val="28"/>
        </w:rPr>
        <w:t>一、商务要求</w:t>
      </w:r>
    </w:p>
    <w:tbl>
      <w:tblPr>
        <w:tblStyle w:val="42"/>
        <w:tblW w:w="9269" w:type="dxa"/>
        <w:jc w:val="center"/>
        <w:tblLayout w:type="fixed"/>
        <w:tblCellMar>
          <w:top w:w="0" w:type="dxa"/>
          <w:left w:w="0" w:type="dxa"/>
          <w:bottom w:w="0" w:type="dxa"/>
          <w:right w:w="0" w:type="dxa"/>
        </w:tblCellMar>
      </w:tblPr>
      <w:tblGrid>
        <w:gridCol w:w="1705"/>
        <w:gridCol w:w="7564"/>
      </w:tblGrid>
      <w:tr>
        <w:tblPrEx>
          <w:tblCellMar>
            <w:top w:w="0" w:type="dxa"/>
            <w:left w:w="0" w:type="dxa"/>
            <w:bottom w:w="0" w:type="dxa"/>
            <w:right w:w="0" w:type="dxa"/>
          </w:tblCellMar>
        </w:tblPrEx>
        <w:trPr>
          <w:trHeight w:val="567"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kinsoku w:val="0"/>
              <w:overflowPunct w:val="0"/>
              <w:adjustRightInd w:val="0"/>
              <w:snapToGrid w:val="0"/>
              <w:spacing w:line="400" w:lineRule="exact"/>
              <w:ind w:left="103"/>
              <w:jc w:val="center"/>
              <w:rPr>
                <w:rFonts w:ascii="宋体" w:hAnsi="宋体" w:cs="宋体"/>
                <w:b/>
                <w:bCs/>
                <w:kern w:val="0"/>
                <w:szCs w:val="21"/>
              </w:rPr>
            </w:pPr>
            <w:r>
              <w:rPr>
                <w:rFonts w:hint="eastAsia" w:ascii="宋体" w:hAnsi="宋体" w:cs="宋体"/>
                <w:b/>
                <w:bCs/>
                <w:kern w:val="0"/>
                <w:szCs w:val="21"/>
              </w:rPr>
              <w:t>项目</w:t>
            </w:r>
          </w:p>
        </w:tc>
        <w:tc>
          <w:tcPr>
            <w:tcW w:w="756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spacing w:line="400" w:lineRule="exact"/>
              <w:ind w:left="104"/>
              <w:jc w:val="center"/>
              <w:rPr>
                <w:rFonts w:ascii="宋体" w:hAnsi="宋体" w:cs="宋体"/>
                <w:b/>
                <w:bCs/>
                <w:kern w:val="0"/>
                <w:szCs w:val="21"/>
              </w:rPr>
            </w:pPr>
            <w:r>
              <w:rPr>
                <w:rFonts w:hint="eastAsia" w:ascii="宋体" w:hAnsi="宋体" w:cs="宋体"/>
                <w:b/>
                <w:bCs/>
                <w:kern w:val="0"/>
                <w:szCs w:val="21"/>
              </w:rPr>
              <w:t>招标要求</w:t>
            </w:r>
          </w:p>
        </w:tc>
      </w:tr>
      <w:tr>
        <w:tblPrEx>
          <w:tblCellMar>
            <w:top w:w="0" w:type="dxa"/>
            <w:left w:w="0" w:type="dxa"/>
            <w:bottom w:w="0" w:type="dxa"/>
            <w:right w:w="0" w:type="dxa"/>
          </w:tblCellMar>
        </w:tblPrEx>
        <w:trPr>
          <w:trHeight w:val="567"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spacing w:line="400" w:lineRule="exact"/>
              <w:jc w:val="center"/>
              <w:rPr>
                <w:rFonts w:ascii="宋体" w:hAnsi="宋体" w:cs="宋体"/>
                <w:kern w:val="0"/>
                <w:szCs w:val="21"/>
              </w:rPr>
            </w:pPr>
            <w:r>
              <w:rPr>
                <w:rFonts w:hint="eastAsia" w:ascii="宋体" w:hAnsi="宋体" w:cs="宋体"/>
                <w:kern w:val="0"/>
                <w:szCs w:val="21"/>
              </w:rPr>
              <w:t>★前期建设工期</w:t>
            </w:r>
          </w:p>
        </w:tc>
        <w:tc>
          <w:tcPr>
            <w:tcW w:w="756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napToGrid w:val="0"/>
              <w:spacing w:line="400" w:lineRule="exact"/>
              <w:rPr>
                <w:rFonts w:ascii="宋体" w:hAnsi="宋体" w:cs="宋体"/>
                <w:kern w:val="0"/>
                <w:szCs w:val="21"/>
              </w:rPr>
            </w:pPr>
            <w:r>
              <w:rPr>
                <w:rFonts w:hint="eastAsia" w:ascii="宋体" w:hAnsi="宋体" w:cs="宋体"/>
                <w:kern w:val="0"/>
                <w:szCs w:val="21"/>
              </w:rPr>
              <w:t>自合同签订之日起10个月内完成项目的建设实施、系统调试、试运行、应用培训和竣工验收等工作。</w:t>
            </w:r>
          </w:p>
        </w:tc>
      </w:tr>
      <w:tr>
        <w:tblPrEx>
          <w:tblCellMar>
            <w:top w:w="0" w:type="dxa"/>
            <w:left w:w="0" w:type="dxa"/>
            <w:bottom w:w="0" w:type="dxa"/>
            <w:right w:w="0" w:type="dxa"/>
          </w:tblCellMar>
        </w:tblPrEx>
        <w:trPr>
          <w:trHeight w:val="2095"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kinsoku w:val="0"/>
              <w:overflowPunct w:val="0"/>
              <w:spacing w:before="103"/>
              <w:ind w:left="103"/>
              <w:jc w:val="center"/>
              <w:rPr>
                <w:rFonts w:ascii="宋体" w:hAnsi="宋体" w:cs="宋体"/>
                <w:bCs/>
                <w:kern w:val="0"/>
                <w:szCs w:val="21"/>
              </w:rPr>
            </w:pPr>
            <w:r>
              <w:rPr>
                <w:rFonts w:hint="eastAsia" w:ascii="宋体" w:hAnsi="宋体" w:cs="宋体"/>
                <w:bCs/>
                <w:kern w:val="0"/>
                <w:sz w:val="22"/>
                <w:szCs w:val="21"/>
              </w:rPr>
              <w:t>★</w:t>
            </w:r>
            <w:r>
              <w:rPr>
                <w:rFonts w:hint="eastAsia" w:ascii="宋体" w:hAnsi="宋体" w:cs="宋体"/>
                <w:bCs/>
                <w:kern w:val="0"/>
                <w:sz w:val="22"/>
                <w:szCs w:val="21"/>
                <w:lang w:eastAsia="en-US"/>
              </w:rPr>
              <w:t>质保</w:t>
            </w:r>
            <w:r>
              <w:rPr>
                <w:rFonts w:hint="eastAsia" w:ascii="宋体" w:hAnsi="宋体" w:cs="宋体"/>
                <w:bCs/>
                <w:kern w:val="0"/>
                <w:sz w:val="22"/>
                <w:szCs w:val="21"/>
              </w:rPr>
              <w:t>及运行维护</w:t>
            </w:r>
            <w:r>
              <w:rPr>
                <w:rFonts w:hint="eastAsia" w:ascii="宋体" w:hAnsi="宋体" w:cs="宋体"/>
                <w:bCs/>
                <w:kern w:val="0"/>
                <w:sz w:val="22"/>
                <w:szCs w:val="21"/>
                <w:lang w:eastAsia="en-US"/>
              </w:rPr>
              <w:t>期</w:t>
            </w:r>
          </w:p>
        </w:tc>
        <w:tc>
          <w:tcPr>
            <w:tcW w:w="7564" w:type="dxa"/>
            <w:tcBorders>
              <w:top w:val="single" w:color="000000" w:sz="4" w:space="0"/>
              <w:left w:val="single" w:color="000000" w:sz="4" w:space="0"/>
              <w:bottom w:val="single" w:color="000000" w:sz="4" w:space="0"/>
              <w:right w:val="single" w:color="000000" w:sz="4" w:space="0"/>
            </w:tcBorders>
            <w:vAlign w:val="center"/>
          </w:tcPr>
          <w:p>
            <w:pPr>
              <w:kinsoku w:val="0"/>
              <w:overflowPunct w:val="0"/>
              <w:autoSpaceDE w:val="0"/>
              <w:autoSpaceDN w:val="0"/>
              <w:adjustRightInd w:val="0"/>
              <w:spacing w:before="103" w:line="360" w:lineRule="auto"/>
              <w:ind w:left="104"/>
              <w:rPr>
                <w:rFonts w:ascii="宋体" w:hAnsi="宋体" w:cs="宋体"/>
                <w:kern w:val="0"/>
                <w:szCs w:val="21"/>
              </w:rPr>
            </w:pPr>
            <w:r>
              <w:rPr>
                <w:rFonts w:hint="eastAsia" w:ascii="宋体" w:hAnsi="宋体" w:cs="宋体"/>
                <w:kern w:val="0"/>
                <w:szCs w:val="21"/>
              </w:rPr>
              <w:t>本项目免费</w:t>
            </w:r>
            <w:r>
              <w:rPr>
                <w:rFonts w:hint="eastAsia" w:ascii="宋体" w:hAnsi="宋体" w:cs="宋体"/>
                <w:bCs/>
                <w:kern w:val="0"/>
                <w:sz w:val="22"/>
                <w:szCs w:val="21"/>
              </w:rPr>
              <w:t>质保及运行</w:t>
            </w:r>
            <w:r>
              <w:rPr>
                <w:rFonts w:hint="eastAsia" w:ascii="宋体" w:hAnsi="宋体" w:cs="宋体"/>
                <w:kern w:val="0"/>
                <w:szCs w:val="21"/>
              </w:rPr>
              <w:t>维护期1年，自项目验收合格之日起算。服务范围包括日常维保服务、主要应用软、硬件系统维保服务、信息化建设咨询服务等。</w:t>
            </w:r>
          </w:p>
        </w:tc>
      </w:tr>
      <w:tr>
        <w:tblPrEx>
          <w:tblCellMar>
            <w:top w:w="0" w:type="dxa"/>
            <w:left w:w="0" w:type="dxa"/>
            <w:bottom w:w="0" w:type="dxa"/>
            <w:right w:w="0" w:type="dxa"/>
          </w:tblCellMar>
        </w:tblPrEx>
        <w:trPr>
          <w:trHeight w:val="1273"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spacing w:line="360" w:lineRule="exact"/>
              <w:jc w:val="center"/>
              <w:rPr>
                <w:rFonts w:ascii="宋体" w:hAnsi="宋体" w:cs="宋体"/>
                <w:bCs/>
                <w:szCs w:val="21"/>
              </w:rPr>
            </w:pPr>
            <w:r>
              <w:rPr>
                <w:rFonts w:hint="eastAsia" w:ascii="宋体" w:hAnsi="宋体" w:cs="宋体"/>
                <w:bCs/>
                <w:szCs w:val="21"/>
              </w:rPr>
              <w:t>★</w:t>
            </w:r>
            <w:r>
              <w:rPr>
                <w:rFonts w:hint="eastAsia"/>
                <w:bCs/>
                <w:kern w:val="1"/>
                <w:szCs w:val="18"/>
              </w:rPr>
              <w:t>售后技术服务要求</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s="宋体"/>
                <w:bCs/>
                <w:szCs w:val="21"/>
              </w:rPr>
            </w:pPr>
            <w:r>
              <w:rPr>
                <w:rFonts w:hint="eastAsia" w:ascii="宋体" w:hAnsi="宋体" w:cs="宋体"/>
                <w:bCs/>
                <w:szCs w:val="21"/>
              </w:rPr>
              <w:t>质保及运行维护期内：</w:t>
            </w:r>
          </w:p>
          <w:p>
            <w:pPr>
              <w:adjustRightInd w:val="0"/>
              <w:snapToGrid w:val="0"/>
              <w:spacing w:line="400" w:lineRule="exact"/>
              <w:rPr>
                <w:rFonts w:ascii="宋体" w:hAnsi="宋体" w:cs="宋体"/>
                <w:bCs/>
                <w:szCs w:val="21"/>
              </w:rPr>
            </w:pPr>
            <w:r>
              <w:rPr>
                <w:rFonts w:hint="eastAsia" w:ascii="宋体" w:hAnsi="宋体" w:cs="宋体"/>
                <w:bCs/>
                <w:szCs w:val="21"/>
              </w:rPr>
              <w:t>1.质保及运行维护期内本项目采购的所有设备出现故障，中标人无条件负责维修，对不能修复的设备无条件负责更换。</w:t>
            </w:r>
          </w:p>
          <w:p>
            <w:pPr>
              <w:adjustRightInd w:val="0"/>
              <w:snapToGrid w:val="0"/>
              <w:spacing w:line="400" w:lineRule="exact"/>
              <w:rPr>
                <w:rFonts w:ascii="宋体" w:hAnsi="宋体" w:cs="宋体"/>
                <w:bCs/>
                <w:szCs w:val="21"/>
              </w:rPr>
            </w:pPr>
            <w:r>
              <w:rPr>
                <w:rFonts w:hint="eastAsia" w:ascii="宋体" w:hAnsi="宋体" w:cs="宋体"/>
                <w:bCs/>
                <w:szCs w:val="21"/>
              </w:rPr>
              <w:t>2.接到采购人通知后30分钟内响应，4小时内到达维修现场，一般问题12小时内修复，重大问题5个工作日内修复。</w:t>
            </w:r>
          </w:p>
          <w:p>
            <w:pPr>
              <w:adjustRightInd w:val="0"/>
              <w:snapToGrid w:val="0"/>
              <w:spacing w:line="400" w:lineRule="exact"/>
              <w:rPr>
                <w:rFonts w:ascii="宋体" w:hAnsi="宋体" w:cs="宋体"/>
                <w:bCs/>
                <w:szCs w:val="21"/>
              </w:rPr>
            </w:pPr>
            <w:r>
              <w:rPr>
                <w:rFonts w:hint="eastAsia" w:ascii="宋体" w:hAnsi="宋体" w:cs="宋体"/>
                <w:bCs/>
                <w:szCs w:val="21"/>
              </w:rPr>
              <w:t>3.一个月内出现二次及以上未及时响应或维修，采购人有权指定其他有维修能力的单位进行维修，所产生的费用由中标人支付。</w:t>
            </w:r>
          </w:p>
          <w:p>
            <w:pPr>
              <w:adjustRightInd w:val="0"/>
              <w:snapToGrid w:val="0"/>
              <w:spacing w:line="400" w:lineRule="exact"/>
              <w:rPr>
                <w:rFonts w:ascii="宋体" w:hAnsi="宋体" w:cs="宋体"/>
                <w:bCs/>
                <w:szCs w:val="21"/>
              </w:rPr>
            </w:pPr>
            <w:r>
              <w:rPr>
                <w:rFonts w:hint="eastAsia" w:ascii="宋体" w:hAnsi="宋体" w:cs="宋体"/>
                <w:bCs/>
                <w:szCs w:val="21"/>
              </w:rPr>
              <w:t>4.中标人配备一支稳定的专业技术队伍，负责本项目的维修工作，并开通报修电话，确保7×24小时接听系统故障报修，提供维修人员名单表。</w:t>
            </w:r>
          </w:p>
          <w:p>
            <w:pPr>
              <w:adjustRightInd w:val="0"/>
              <w:snapToGrid w:val="0"/>
              <w:spacing w:line="400" w:lineRule="exact"/>
              <w:rPr>
                <w:rFonts w:ascii="宋体" w:hAnsi="宋体" w:cs="宋体"/>
                <w:bCs/>
                <w:szCs w:val="21"/>
              </w:rPr>
            </w:pPr>
            <w:r>
              <w:rPr>
                <w:rFonts w:hint="eastAsia" w:ascii="宋体" w:hAnsi="宋体" w:cs="宋体"/>
                <w:bCs/>
                <w:szCs w:val="21"/>
              </w:rPr>
              <w:t>5.针对本项目配备足够的交通工具、通信工具、检测仪器及维修设备, 制定质保期内对系统的巡视制度和对用户的回访计划。</w:t>
            </w:r>
          </w:p>
          <w:p>
            <w:pPr>
              <w:adjustRightInd w:val="0"/>
              <w:snapToGrid w:val="0"/>
              <w:spacing w:line="400" w:lineRule="exact"/>
              <w:rPr>
                <w:rFonts w:ascii="宋体" w:hAnsi="宋体" w:cs="宋体"/>
                <w:bCs/>
                <w:szCs w:val="21"/>
              </w:rPr>
            </w:pPr>
            <w:r>
              <w:rPr>
                <w:rFonts w:hint="eastAsia" w:ascii="宋体" w:hAnsi="宋体" w:cs="宋体"/>
                <w:bCs/>
                <w:szCs w:val="21"/>
              </w:rPr>
              <w:t>6.做好项目运行维护服务工作，具体服务内容详见本项目相关章节内容。</w:t>
            </w:r>
          </w:p>
          <w:p>
            <w:pPr>
              <w:adjustRightInd w:val="0"/>
              <w:snapToGrid w:val="0"/>
              <w:spacing w:line="400" w:lineRule="exact"/>
              <w:rPr>
                <w:rFonts w:ascii="宋体" w:hAnsi="宋体" w:cs="宋体"/>
                <w:bCs/>
                <w:szCs w:val="21"/>
              </w:rPr>
            </w:pPr>
            <w:r>
              <w:rPr>
                <w:rFonts w:hint="eastAsia" w:ascii="宋体" w:hAnsi="宋体" w:cs="宋体"/>
                <w:bCs/>
                <w:szCs w:val="21"/>
              </w:rPr>
              <w:t>质保及运行维护期外：</w:t>
            </w:r>
          </w:p>
          <w:p>
            <w:pPr>
              <w:adjustRightInd w:val="0"/>
              <w:snapToGrid w:val="0"/>
              <w:spacing w:line="400" w:lineRule="exact"/>
              <w:rPr>
                <w:rFonts w:ascii="宋体" w:hAnsi="宋体" w:cs="宋体"/>
                <w:bCs/>
                <w:szCs w:val="21"/>
              </w:rPr>
            </w:pPr>
            <w:r>
              <w:rPr>
                <w:rFonts w:hint="eastAsia" w:ascii="宋体" w:hAnsi="宋体" w:cs="宋体"/>
                <w:bCs/>
                <w:szCs w:val="21"/>
              </w:rPr>
              <w:t>1.中标人需承诺提供长期的咨询和技术支持服务。</w:t>
            </w:r>
          </w:p>
          <w:p>
            <w:pPr>
              <w:adjustRightInd w:val="0"/>
              <w:snapToGrid w:val="0"/>
              <w:spacing w:line="400" w:lineRule="exact"/>
              <w:rPr>
                <w:rFonts w:ascii="宋体" w:hAnsi="宋体" w:cs="宋体"/>
                <w:szCs w:val="21"/>
              </w:rPr>
            </w:pPr>
            <w:r>
              <w:rPr>
                <w:rFonts w:hint="eastAsia" w:ascii="宋体" w:hAnsi="宋体" w:cs="宋体"/>
                <w:bCs/>
                <w:szCs w:val="21"/>
              </w:rPr>
              <w:t>2.对于涉及本项目的后续需求，中标人需提供技术和工程方面的配合工作。</w:t>
            </w:r>
          </w:p>
        </w:tc>
      </w:tr>
      <w:tr>
        <w:tblPrEx>
          <w:tblCellMar>
            <w:top w:w="0" w:type="dxa"/>
            <w:left w:w="0" w:type="dxa"/>
            <w:bottom w:w="0" w:type="dxa"/>
            <w:right w:w="0" w:type="dxa"/>
          </w:tblCellMar>
        </w:tblPrEx>
        <w:trPr>
          <w:trHeight w:val="1858"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kern w:val="1"/>
                <w:szCs w:val="18"/>
              </w:rPr>
            </w:pPr>
            <w:r>
              <w:rPr>
                <w:rFonts w:hint="eastAsia" w:ascii="宋体" w:hAnsi="宋体" w:cs="宋体"/>
                <w:b/>
                <w:szCs w:val="21"/>
              </w:rPr>
              <w:t>★</w:t>
            </w:r>
            <w:r>
              <w:rPr>
                <w:rFonts w:hint="eastAsia" w:ascii="宋体" w:hAnsi="宋体" w:cs="宋体"/>
                <w:sz w:val="22"/>
                <w:szCs w:val="22"/>
              </w:rPr>
              <w:t>付款方式</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s="宋体"/>
                <w:bCs/>
                <w:szCs w:val="21"/>
              </w:rPr>
            </w:pPr>
            <w:r>
              <w:rPr>
                <w:rFonts w:hint="eastAsia" w:ascii="宋体" w:hAnsi="宋体" w:cs="宋体"/>
                <w:bCs/>
                <w:szCs w:val="21"/>
              </w:rPr>
              <w:t>（1）合同签订生效并具备实施条件后7个工作日内，采购人凭中标人开具的发票向中标人支付签约合同价的40%作为预付款；</w:t>
            </w:r>
          </w:p>
          <w:p>
            <w:pPr>
              <w:widowControl/>
              <w:rPr>
                <w:rFonts w:ascii="宋体" w:hAnsi="宋体" w:cs="宋体"/>
                <w:bCs/>
                <w:szCs w:val="21"/>
              </w:rPr>
            </w:pPr>
            <w:r>
              <w:rPr>
                <w:rFonts w:hint="eastAsia" w:ascii="宋体" w:hAnsi="宋体" w:cs="宋体"/>
                <w:bCs/>
                <w:szCs w:val="21"/>
              </w:rPr>
              <w:t>（2）硬件到货签收后7个工作日内</w:t>
            </w:r>
            <w:r>
              <w:rPr>
                <w:rFonts w:hint="eastAsia" w:ascii="宋体" w:hAnsi="宋体" w:cs="宋体"/>
                <w:szCs w:val="21"/>
              </w:rPr>
              <w:t>，采购人凭中标人开具的发票向中标人支付签约合同价的30%；</w:t>
            </w:r>
          </w:p>
          <w:p>
            <w:pPr>
              <w:adjustRightInd w:val="0"/>
              <w:snapToGrid w:val="0"/>
              <w:spacing w:line="400" w:lineRule="exact"/>
            </w:pPr>
            <w:r>
              <w:rPr>
                <w:rFonts w:hint="eastAsia" w:ascii="宋体" w:hAnsi="宋体" w:cs="宋体"/>
                <w:bCs/>
                <w:szCs w:val="21"/>
              </w:rPr>
              <w:t>（3）项目通过终验且最终经采购人确认后付清应付余款。</w:t>
            </w:r>
          </w:p>
        </w:tc>
      </w:tr>
      <w:tr>
        <w:tblPrEx>
          <w:tblCellMar>
            <w:top w:w="0" w:type="dxa"/>
            <w:left w:w="0" w:type="dxa"/>
            <w:bottom w:w="0" w:type="dxa"/>
            <w:right w:w="0" w:type="dxa"/>
          </w:tblCellMar>
        </w:tblPrEx>
        <w:trPr>
          <w:trHeight w:val="692"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000000"/>
                <w:szCs w:val="21"/>
              </w:rPr>
            </w:pPr>
            <w:r>
              <w:rPr>
                <w:rFonts w:hint="eastAsia" w:ascii="宋体" w:hAnsi="宋体" w:cs="宋体"/>
                <w:sz w:val="22"/>
                <w:szCs w:val="22"/>
              </w:rPr>
              <w:t>签订合同时间</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s="宋体"/>
                <w:color w:val="000000"/>
                <w:szCs w:val="21"/>
              </w:rPr>
            </w:pPr>
            <w:r>
              <w:rPr>
                <w:rFonts w:hint="eastAsia" w:ascii="宋体" w:hAnsi="宋体" w:cs="宋体"/>
                <w:sz w:val="22"/>
                <w:szCs w:val="22"/>
              </w:rPr>
              <w:t>中标通知书发出后30日内。</w:t>
            </w:r>
          </w:p>
        </w:tc>
      </w:tr>
      <w:tr>
        <w:tblPrEx>
          <w:tblCellMar>
            <w:top w:w="0" w:type="dxa"/>
            <w:left w:w="0" w:type="dxa"/>
            <w:bottom w:w="0" w:type="dxa"/>
            <w:right w:w="0" w:type="dxa"/>
          </w:tblCellMar>
        </w:tblPrEx>
        <w:trPr>
          <w:trHeight w:val="637"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sz w:val="22"/>
                <w:szCs w:val="22"/>
              </w:rPr>
            </w:pPr>
            <w:r>
              <w:rPr>
                <w:rFonts w:hint="eastAsia" w:ascii="宋体" w:hAnsi="宋体" w:cs="宋体"/>
                <w:b/>
                <w:szCs w:val="21"/>
              </w:rPr>
              <w:t>★</w:t>
            </w:r>
            <w:r>
              <w:rPr>
                <w:rFonts w:hint="eastAsia" w:ascii="宋体" w:hAnsi="宋体" w:cs="宋体"/>
                <w:szCs w:val="21"/>
              </w:rPr>
              <w:t>投标文件有效期</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s="宋体"/>
                <w:sz w:val="22"/>
                <w:szCs w:val="22"/>
              </w:rPr>
            </w:pPr>
            <w:r>
              <w:rPr>
                <w:rFonts w:hint="eastAsia" w:ascii="宋体" w:hAnsi="宋体" w:cs="宋体"/>
                <w:szCs w:val="21"/>
              </w:rPr>
              <w:t>自投标截止日起90天。</w:t>
            </w:r>
          </w:p>
        </w:tc>
      </w:tr>
      <w:tr>
        <w:trPr>
          <w:trHeight w:val="2935"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rPr>
                <w:rFonts w:ascii="宋体" w:hAnsi="宋体" w:cs="宋体"/>
                <w:color w:val="000000"/>
                <w:szCs w:val="21"/>
              </w:rPr>
            </w:pPr>
            <w:r>
              <w:rPr>
                <w:rFonts w:hint="eastAsia" w:ascii="宋体" w:hAnsi="宋体" w:cs="宋体"/>
                <w:b/>
                <w:szCs w:val="21"/>
              </w:rPr>
              <w:t>★</w:t>
            </w:r>
            <w:r>
              <w:rPr>
                <w:rFonts w:hint="eastAsia" w:ascii="宋体" w:hAnsi="宋体" w:cs="宋体"/>
                <w:szCs w:val="21"/>
              </w:rPr>
              <w:t>履约保证金</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rPr>
                <w:rFonts w:ascii="宋体" w:hAnsi="宋体" w:cs="宋体"/>
                <w:bCs/>
                <w:szCs w:val="24"/>
              </w:rPr>
            </w:pPr>
            <w:r>
              <w:rPr>
                <w:rFonts w:hint="eastAsia" w:ascii="宋体" w:hAnsi="宋体" w:cs="宋体"/>
                <w:bCs/>
                <w:szCs w:val="24"/>
              </w:rPr>
              <w:t>履约保证金金额：签约合同总价的1%。</w:t>
            </w:r>
          </w:p>
          <w:p>
            <w:pPr>
              <w:adjustRightInd w:val="0"/>
              <w:snapToGrid w:val="0"/>
              <w:spacing w:line="400" w:lineRule="exact"/>
              <w:rPr>
                <w:rFonts w:ascii="宋体" w:hAnsi="宋体" w:cs="宋体"/>
                <w:bCs/>
                <w:szCs w:val="24"/>
              </w:rPr>
            </w:pPr>
            <w:r>
              <w:rPr>
                <w:rFonts w:hint="eastAsia" w:ascii="宋体" w:hAnsi="宋体" w:cs="宋体"/>
                <w:bCs/>
                <w:szCs w:val="24"/>
              </w:rPr>
              <w:t>履约保证金形式：支票、电汇、汇票、本票、保函等采购人认可的非现金形式</w:t>
            </w:r>
            <w:r>
              <w:rPr>
                <w:rFonts w:hint="eastAsia" w:ascii="宋体" w:hAnsi="宋体" w:cs="宋体"/>
                <w:bCs/>
                <w:szCs w:val="21"/>
              </w:rPr>
              <w:t>。</w:t>
            </w:r>
          </w:p>
          <w:p>
            <w:pPr>
              <w:adjustRightInd w:val="0"/>
              <w:snapToGrid w:val="0"/>
              <w:spacing w:line="400" w:lineRule="exact"/>
              <w:rPr>
                <w:rFonts w:ascii="宋体" w:hAnsi="宋体" w:cs="宋体"/>
                <w:bCs/>
                <w:szCs w:val="21"/>
              </w:rPr>
            </w:pPr>
            <w:r>
              <w:rPr>
                <w:rFonts w:hint="eastAsia" w:ascii="宋体" w:hAnsi="宋体" w:cs="宋体"/>
                <w:bCs/>
                <w:szCs w:val="21"/>
              </w:rPr>
              <w:t>提交时间：合同签订后10个工作日内。</w:t>
            </w:r>
          </w:p>
          <w:p>
            <w:pPr>
              <w:adjustRightInd w:val="0"/>
              <w:snapToGrid w:val="0"/>
              <w:spacing w:line="400" w:lineRule="exact"/>
              <w:rPr>
                <w:rFonts w:ascii="宋体" w:hAnsi="宋体" w:cs="宋体"/>
                <w:color w:val="000000"/>
                <w:szCs w:val="21"/>
              </w:rPr>
            </w:pPr>
            <w:r>
              <w:rPr>
                <w:rFonts w:hint="eastAsia" w:ascii="宋体" w:hAnsi="宋体" w:cs="宋体"/>
                <w:bCs/>
                <w:szCs w:val="21"/>
              </w:rPr>
              <w:t>履约保证金的退还：</w:t>
            </w:r>
            <w:r>
              <w:rPr>
                <w:rFonts w:hint="eastAsia" w:ascii="宋体" w:hAnsi="宋体" w:cs="宋体"/>
                <w:szCs w:val="21"/>
              </w:rPr>
              <w:t>项目验收合格后十日内退还，但如</w:t>
            </w:r>
            <w:r>
              <w:rPr>
                <w:rFonts w:hint="eastAsia" w:ascii="宋体" w:hAnsi="宋体" w:cs="宋体"/>
                <w:bCs/>
                <w:szCs w:val="21"/>
              </w:rPr>
              <w:t>中标人</w:t>
            </w:r>
            <w:r>
              <w:rPr>
                <w:rFonts w:hint="eastAsia" w:ascii="宋体" w:hAnsi="宋体" w:cs="宋体"/>
                <w:szCs w:val="21"/>
              </w:rPr>
              <w:t>未履行或未完全履行合同规定的任何义务，给</w:t>
            </w:r>
            <w:r>
              <w:rPr>
                <w:rFonts w:hint="eastAsia" w:ascii="宋体" w:hAnsi="宋体" w:cs="宋体"/>
                <w:bCs/>
                <w:szCs w:val="21"/>
              </w:rPr>
              <w:t>采购人</w:t>
            </w:r>
            <w:r>
              <w:rPr>
                <w:rFonts w:hint="eastAsia" w:ascii="宋体" w:hAnsi="宋体" w:cs="宋体"/>
                <w:szCs w:val="21"/>
              </w:rPr>
              <w:t>造成损失的，</w:t>
            </w:r>
            <w:r>
              <w:rPr>
                <w:rFonts w:hint="eastAsia" w:ascii="宋体" w:hAnsi="宋体" w:cs="宋体"/>
                <w:bCs/>
                <w:szCs w:val="21"/>
              </w:rPr>
              <w:t>采购人</w:t>
            </w:r>
            <w:r>
              <w:rPr>
                <w:rFonts w:hint="eastAsia" w:ascii="宋体" w:hAnsi="宋体" w:cs="宋体"/>
                <w:szCs w:val="21"/>
              </w:rPr>
              <w:t>有权在其提交的履约保证金中获得相应赔偿，不足部分</w:t>
            </w:r>
            <w:r>
              <w:rPr>
                <w:rFonts w:hint="eastAsia" w:ascii="宋体" w:hAnsi="宋体" w:cs="宋体"/>
                <w:bCs/>
                <w:szCs w:val="21"/>
              </w:rPr>
              <w:t>采购人</w:t>
            </w:r>
            <w:r>
              <w:rPr>
                <w:rFonts w:hint="eastAsia" w:ascii="宋体" w:hAnsi="宋体" w:cs="宋体"/>
                <w:szCs w:val="21"/>
              </w:rPr>
              <w:t>有权继续向</w:t>
            </w:r>
            <w:r>
              <w:rPr>
                <w:rFonts w:hint="eastAsia" w:ascii="宋体" w:hAnsi="宋体" w:cs="宋体"/>
                <w:bCs/>
                <w:szCs w:val="21"/>
              </w:rPr>
              <w:t>中标人</w:t>
            </w:r>
            <w:r>
              <w:rPr>
                <w:rFonts w:hint="eastAsia" w:ascii="宋体" w:hAnsi="宋体" w:cs="宋体"/>
                <w:szCs w:val="21"/>
              </w:rPr>
              <w:t>追偿</w:t>
            </w:r>
            <w:r>
              <w:rPr>
                <w:rFonts w:hint="eastAsia" w:ascii="宋体" w:hAnsi="宋体" w:cs="宋体"/>
                <w:bCs/>
                <w:szCs w:val="21"/>
              </w:rPr>
              <w:t>。</w:t>
            </w:r>
          </w:p>
        </w:tc>
      </w:tr>
      <w:tr>
        <w:tblPrEx>
          <w:tblCellMar>
            <w:top w:w="0" w:type="dxa"/>
            <w:left w:w="0" w:type="dxa"/>
            <w:bottom w:w="0" w:type="dxa"/>
            <w:right w:w="0" w:type="dxa"/>
          </w:tblCellMar>
        </w:tblPrEx>
        <w:trPr>
          <w:trHeight w:val="1435" w:hRule="atLeast"/>
          <w:jc w:val="center"/>
        </w:trPr>
        <w:tc>
          <w:tcPr>
            <w:tcW w:w="170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jc w:val="center"/>
              <w:textAlignment w:val="baseline"/>
              <w:rPr>
                <w:rFonts w:ascii="宋体" w:hAnsi="宋体" w:cs="宋体"/>
                <w:szCs w:val="21"/>
              </w:rPr>
            </w:pPr>
            <w:r>
              <w:rPr>
                <w:rFonts w:hint="eastAsia" w:ascii="宋体" w:hAnsi="宋体" w:cs="宋体"/>
                <w:szCs w:val="21"/>
              </w:rPr>
              <w:t>其他说明</w:t>
            </w:r>
          </w:p>
        </w:tc>
        <w:tc>
          <w:tcPr>
            <w:tcW w:w="756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400" w:lineRule="exact"/>
              <w:textAlignment w:val="baseline"/>
              <w:rPr>
                <w:rFonts w:ascii="宋体" w:hAnsi="宋体" w:cs="宋体"/>
                <w:szCs w:val="21"/>
              </w:rPr>
            </w:pPr>
            <w:r>
              <w:rPr>
                <w:rFonts w:hint="eastAsia" w:ascii="宋体" w:hAnsi="宋体" w:cs="宋体"/>
                <w:szCs w:val="21"/>
              </w:rPr>
              <w:t>1.供应商保证所供的商品必须是出厂原装合格产品,如发生所供的商品与合同不符,采购人有权拒收或退货,由此产生的一切责任和后果由供应商承担。</w:t>
            </w:r>
          </w:p>
          <w:p>
            <w:pPr>
              <w:adjustRightInd w:val="0"/>
              <w:snapToGrid w:val="0"/>
              <w:spacing w:line="400" w:lineRule="exact"/>
              <w:textAlignment w:val="baseline"/>
              <w:rPr>
                <w:rFonts w:ascii="宋体" w:hAnsi="宋体" w:cs="宋体"/>
                <w:szCs w:val="21"/>
              </w:rPr>
            </w:pPr>
            <w:r>
              <w:rPr>
                <w:rFonts w:hint="eastAsia" w:ascii="宋体" w:hAnsi="宋体" w:cs="宋体"/>
                <w:szCs w:val="21"/>
              </w:rPr>
              <w:t>2.在所供商品交付时，供应商必须向采购人提供产品说明书、质量保证书、质保卡等必须具备的相关资料和必备附件。</w:t>
            </w:r>
          </w:p>
          <w:p>
            <w:pPr>
              <w:adjustRightInd w:val="0"/>
              <w:snapToGrid w:val="0"/>
              <w:spacing w:line="400" w:lineRule="exact"/>
              <w:textAlignment w:val="baseline"/>
              <w:rPr>
                <w:rFonts w:ascii="宋体" w:hAnsi="宋体" w:cs="宋体"/>
                <w:szCs w:val="21"/>
              </w:rPr>
            </w:pPr>
            <w:r>
              <w:rPr>
                <w:rFonts w:hint="eastAsia" w:ascii="宋体" w:hAnsi="宋体" w:cs="宋体"/>
                <w:szCs w:val="21"/>
              </w:rPr>
              <w:t>3.本次采购所提的要求仅为主要要求，不应作为完整详细的要求。</w:t>
            </w:r>
          </w:p>
          <w:p>
            <w:pPr>
              <w:adjustRightInd w:val="0"/>
              <w:snapToGrid w:val="0"/>
              <w:spacing w:line="400" w:lineRule="exact"/>
              <w:textAlignment w:val="baseline"/>
              <w:rPr>
                <w:rFonts w:ascii="宋体" w:hAnsi="宋体" w:cs="宋体"/>
                <w:szCs w:val="21"/>
              </w:rPr>
            </w:pPr>
            <w:r>
              <w:rPr>
                <w:rFonts w:hint="eastAsia" w:ascii="宋体" w:hAnsi="宋体" w:cs="宋体"/>
                <w:szCs w:val="21"/>
              </w:rPr>
              <w:t>4.供应商应对投标材料的一切专利承担责任，并负责保护采购人的利益不受损害；一切由于文字、商标和技术专利侵权引起的法律裁决、诉讼及其费用均与采购人无关。</w:t>
            </w:r>
          </w:p>
        </w:tc>
      </w:tr>
    </w:tbl>
    <w:p>
      <w:pPr>
        <w:widowControl/>
        <w:jc w:val="left"/>
        <w:rPr>
          <w:rFonts w:cs="仿宋" w:asciiTheme="minorEastAsia" w:hAnsiTheme="minorEastAsia" w:eastAsiaTheme="minorEastAsia"/>
          <w:sz w:val="24"/>
          <w:szCs w:val="28"/>
        </w:rPr>
      </w:pPr>
      <w:r>
        <w:rPr>
          <w:rFonts w:cs="仿宋" w:asciiTheme="minorEastAsia" w:hAnsiTheme="minorEastAsia" w:eastAsiaTheme="minorEastAsia"/>
          <w:sz w:val="24"/>
          <w:szCs w:val="28"/>
        </w:rPr>
        <w:br w:type="page"/>
      </w:r>
    </w:p>
    <w:p>
      <w:pPr>
        <w:spacing w:line="360" w:lineRule="auto"/>
        <w:jc w:val="left"/>
        <w:outlineLvl w:val="1"/>
        <w:rPr>
          <w:rFonts w:ascii="黑体" w:hAnsi="黑体" w:eastAsia="黑体" w:cs="黑体"/>
          <w:b/>
          <w:bCs/>
          <w:sz w:val="28"/>
          <w:szCs w:val="28"/>
        </w:rPr>
      </w:pPr>
      <w:r>
        <w:rPr>
          <w:rFonts w:hint="eastAsia" w:ascii="黑体" w:hAnsi="黑体" w:eastAsia="黑体" w:cs="黑体"/>
          <w:b/>
          <w:bCs/>
          <w:sz w:val="28"/>
          <w:szCs w:val="28"/>
        </w:rPr>
        <w:t>二、技术要求</w:t>
      </w:r>
    </w:p>
    <w:p>
      <w:pPr>
        <w:keepNext/>
        <w:keepLines/>
        <w:widowControl/>
        <w:numPr>
          <w:ilvl w:val="1"/>
          <w:numId w:val="0"/>
        </w:numPr>
        <w:spacing w:line="360" w:lineRule="auto"/>
        <w:jc w:val="left"/>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.1</w:t>
      </w:r>
      <w:r>
        <w:rPr>
          <w:rFonts w:hint="eastAsia" w:ascii="黑体" w:hAnsi="等线 Light" w:eastAsia="黑体" w:cs="宋体"/>
          <w:b/>
          <w:bCs/>
          <w:kern w:val="0"/>
          <w:sz w:val="32"/>
          <w:szCs w:val="24"/>
        </w:rPr>
        <w:t>建设背景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数字城市建设是国家治理现代化的必由之路，城市已经成为一个复杂的综合体系，城市建设和治理面临着巨大的挑战。数字城市建设需要搭建信息平台，以平台支撑各类应用开发，按需定制灵活应用，通过平台构建实现城市各类基础设施的数字化，实现各类资源的充分融合和统一调度，高效支撑动态精细化的城市管理。2020年3月，习近平总书记在 浙江考察时提出：期望浙江“努力成为新时代全面展示中国特色社会主义制度优越性的重要窗口”。浙江省委要求深入贯彻习近平总书记考察浙江重要讲话精神，按照省委十四届七次全会的部署要求，切实扛起职责使命，争先创优、比学赶超，为建设“重要窗口”展现更大担当、展示独特风采。</w:t>
      </w:r>
    </w:p>
    <w:p>
      <w:pPr>
        <w:keepNext/>
        <w:keepLines/>
        <w:widowControl/>
        <w:numPr>
          <w:ilvl w:val="1"/>
          <w:numId w:val="0"/>
        </w:numPr>
        <w:spacing w:line="360" w:lineRule="auto"/>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.2</w:t>
      </w:r>
      <w:r>
        <w:rPr>
          <w:rFonts w:hint="eastAsia" w:ascii="黑体" w:hAnsi="等线 Light" w:eastAsia="黑体" w:cs="宋体"/>
          <w:b/>
          <w:bCs/>
          <w:kern w:val="0"/>
          <w:sz w:val="32"/>
          <w:szCs w:val="24"/>
        </w:rPr>
        <w:t>建设目标</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紧密围绕宁波市</w:t>
      </w:r>
      <w:r>
        <w:rPr>
          <w:rFonts w:ascii="宋体" w:hAnsi="宋体" w:cs="宋体"/>
          <w:kern w:val="0"/>
          <w:sz w:val="24"/>
          <w:szCs w:val="36"/>
        </w:rPr>
        <w:t>“</w:t>
      </w:r>
      <w:r>
        <w:rPr>
          <w:rFonts w:hint="eastAsia" w:ascii="宋体" w:hAnsi="宋体" w:cs="宋体"/>
          <w:kern w:val="0"/>
          <w:sz w:val="24"/>
          <w:szCs w:val="36"/>
        </w:rPr>
        <w:t>看水一张网、治水一张图、管水一平台、兴水一盘棋</w:t>
      </w:r>
      <w:r>
        <w:rPr>
          <w:rFonts w:ascii="宋体" w:hAnsi="宋体" w:cs="宋体"/>
          <w:kern w:val="0"/>
          <w:sz w:val="24"/>
          <w:szCs w:val="36"/>
        </w:rPr>
        <w:t>”</w:t>
      </w:r>
      <w:r>
        <w:rPr>
          <w:rFonts w:hint="eastAsia" w:ascii="宋体" w:hAnsi="宋体" w:cs="宋体"/>
          <w:kern w:val="0"/>
          <w:sz w:val="24"/>
          <w:szCs w:val="36"/>
        </w:rPr>
        <w:t>的智慧水利建设总体目标，构建</w:t>
      </w:r>
      <w:r>
        <w:rPr>
          <w:rFonts w:ascii="宋体" w:hAnsi="宋体" w:cs="宋体"/>
          <w:kern w:val="0"/>
          <w:sz w:val="24"/>
          <w:szCs w:val="36"/>
        </w:rPr>
        <w:t>“</w:t>
      </w:r>
      <w:r>
        <w:rPr>
          <w:rFonts w:hint="eastAsia" w:ascii="宋体" w:hAnsi="宋体" w:cs="宋体"/>
          <w:kern w:val="0"/>
          <w:sz w:val="24"/>
          <w:szCs w:val="36"/>
        </w:rPr>
        <w:t>宁波智慧排水</w:t>
      </w:r>
      <w:r>
        <w:rPr>
          <w:rFonts w:ascii="宋体" w:hAnsi="宋体" w:cs="宋体"/>
          <w:kern w:val="0"/>
          <w:sz w:val="24"/>
          <w:szCs w:val="36"/>
        </w:rPr>
        <w:t>”</w:t>
      </w:r>
      <w:r>
        <w:rPr>
          <w:rFonts w:hint="eastAsia" w:ascii="宋体" w:hAnsi="宋体" w:cs="宋体"/>
          <w:kern w:val="0"/>
          <w:sz w:val="24"/>
          <w:szCs w:val="36"/>
        </w:rPr>
        <w:t>系统，通过宁波市智慧水利统一工作平台，依托物联网、大数据、5G、虚拟仿真等高新技术，构建即时感知、状态可见、精细管养、强化监管、服务提升的市县两级贯通的排水数字化应用体系，实现宁波市排水</w:t>
      </w:r>
      <w:r>
        <w:rPr>
          <w:rFonts w:ascii="宋体" w:hAnsi="宋体" w:cs="宋体"/>
          <w:kern w:val="0"/>
          <w:sz w:val="24"/>
          <w:szCs w:val="36"/>
        </w:rPr>
        <w:t>“</w:t>
      </w:r>
      <w:r>
        <w:rPr>
          <w:rFonts w:hint="eastAsia" w:ascii="宋体" w:hAnsi="宋体" w:cs="宋体"/>
          <w:kern w:val="0"/>
          <w:sz w:val="24"/>
          <w:szCs w:val="36"/>
        </w:rPr>
        <w:t>设施监测全覆盖、排水数据资产化、业务管理协同化、排水决策智能化、行业标准规范化</w:t>
      </w:r>
      <w:r>
        <w:rPr>
          <w:rFonts w:ascii="宋体" w:hAnsi="宋体" w:cs="宋体"/>
          <w:kern w:val="0"/>
          <w:sz w:val="24"/>
          <w:szCs w:val="36"/>
        </w:rPr>
        <w:t>”</w:t>
      </w:r>
      <w:r>
        <w:rPr>
          <w:rFonts w:hint="eastAsia" w:ascii="宋体" w:hAnsi="宋体" w:cs="宋体"/>
          <w:kern w:val="0"/>
          <w:sz w:val="24"/>
          <w:szCs w:val="36"/>
        </w:rPr>
        <w:t>的排水行业智慧化、精细化管理系统，支撑排水业务的运行监管、调度指挥与决策支持，保障政府排水监管和企业运维需求，提高排水系统管理水平和设施运行绩效，全面推动宁波市排水数字化改革，推动智慧排水建设迈上新台阶。</w:t>
      </w:r>
    </w:p>
    <w:p>
      <w:pPr>
        <w:keepNext/>
        <w:keepLines/>
        <w:widowControl/>
        <w:numPr>
          <w:ilvl w:val="1"/>
          <w:numId w:val="0"/>
        </w:numPr>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.3</w:t>
      </w:r>
      <w:r>
        <w:rPr>
          <w:rFonts w:hint="eastAsia" w:ascii="黑体" w:hAnsi="等线 Light" w:eastAsia="黑体" w:cs="宋体"/>
          <w:b/>
          <w:bCs/>
          <w:kern w:val="0"/>
          <w:sz w:val="32"/>
          <w:szCs w:val="24"/>
        </w:rPr>
        <w:t>建设需求</w:t>
      </w:r>
    </w:p>
    <w:p>
      <w:pPr>
        <w:pStyle w:val="41"/>
      </w:pPr>
    </w:p>
    <w:p>
      <w:pPr>
        <w:pStyle w:val="41"/>
        <w:ind w:firstLine="480"/>
        <w:jc w:val="left"/>
        <w:outlineLvl w:val="3"/>
        <w:rPr>
          <w:sz w:val="24"/>
          <w:szCs w:val="24"/>
        </w:rPr>
      </w:pPr>
      <w:r>
        <w:rPr>
          <w:sz w:val="24"/>
          <w:szCs w:val="24"/>
        </w:rPr>
        <w:t>标项</w:t>
      </w:r>
      <w:r>
        <w:rPr>
          <w:rFonts w:hint="eastAsia"/>
          <w:sz w:val="24"/>
          <w:szCs w:val="24"/>
        </w:rPr>
        <w:t>一：</w:t>
      </w:r>
    </w:p>
    <w:p>
      <w:pPr>
        <w:keepNext/>
        <w:keepLines/>
        <w:widowControl/>
        <w:numPr>
          <w:ilvl w:val="2"/>
          <w:numId w:val="0"/>
        </w:numPr>
        <w:tabs>
          <w:tab w:val="left" w:pos="851"/>
        </w:tabs>
        <w:spacing w:line="360" w:lineRule="auto"/>
        <w:ind w:firstLine="482" w:firstLineChars="200"/>
        <w:jc w:val="left"/>
        <w:outlineLvl w:val="4"/>
        <w:rPr>
          <w:rFonts w:ascii="黑体" w:hAnsi="宋体" w:eastAsia="黑体" w:cs="宋体"/>
          <w:b/>
          <w:bCs/>
          <w:kern w:val="0"/>
          <w:sz w:val="24"/>
          <w:szCs w:val="32"/>
          <w:lang w:eastAsia="zh-Hans"/>
        </w:rPr>
      </w:pPr>
      <w:r>
        <w:rPr>
          <w:rFonts w:hint="eastAsia" w:ascii="宋体" w:hAnsi="宋体" w:cs="宋体"/>
          <w:b/>
          <w:bCs/>
          <w:kern w:val="0"/>
          <w:sz w:val="24"/>
          <w:szCs w:val="32"/>
        </w:rPr>
        <w:t>1</w:t>
      </w:r>
      <w:r>
        <w:rPr>
          <w:rFonts w:ascii="宋体" w:hAnsi="宋体" w:cs="宋体"/>
          <w:b/>
          <w:bCs/>
          <w:kern w:val="0"/>
          <w:sz w:val="24"/>
          <w:szCs w:val="32"/>
        </w:rPr>
        <w:t>.3.</w:t>
      </w:r>
      <w:r>
        <w:rPr>
          <w:rFonts w:hint="eastAsia" w:ascii="宋体" w:hAnsi="宋体" w:cs="宋体"/>
          <w:b/>
          <w:bCs/>
          <w:kern w:val="0"/>
          <w:sz w:val="24"/>
          <w:szCs w:val="32"/>
        </w:rPr>
        <w:t xml:space="preserve">1 </w:t>
      </w:r>
      <w:r>
        <w:rPr>
          <w:rFonts w:hint="eastAsia" w:ascii="黑体" w:hAnsi="宋体" w:eastAsia="黑体" w:cs="宋体"/>
          <w:b/>
          <w:bCs/>
          <w:kern w:val="0"/>
          <w:sz w:val="24"/>
          <w:szCs w:val="32"/>
        </w:rPr>
        <w:t>硬件采购</w:t>
      </w:r>
      <w:r>
        <w:rPr>
          <w:rFonts w:hint="eastAsia" w:ascii="黑体" w:hAnsi="宋体" w:eastAsia="黑体" w:cs="宋体"/>
          <w:b/>
          <w:bCs/>
          <w:kern w:val="0"/>
          <w:sz w:val="24"/>
          <w:szCs w:val="32"/>
          <w:lang w:eastAsia="zh-Hans"/>
        </w:rPr>
        <w:t>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按本项目基础设施支撑情况，需购置管网液位监测、泵站液位监测、流量监测、工况监测、污水泵站和污水管网水质监测、气体监测、视频监测、积水监测及电子标签等硬件设备，包含硬件安装和系统调试。</w:t>
      </w:r>
    </w:p>
    <w:p>
      <w:pPr>
        <w:pStyle w:val="41"/>
      </w:pPr>
    </w:p>
    <w:p>
      <w:pPr>
        <w:keepNext/>
        <w:keepLines/>
        <w:widowControl/>
        <w:numPr>
          <w:ilvl w:val="3"/>
          <w:numId w:val="0"/>
        </w:numPr>
        <w:tabs>
          <w:tab w:val="left" w:pos="2127"/>
        </w:tabs>
        <w:spacing w:line="360" w:lineRule="auto"/>
        <w:ind w:firstLine="482" w:firstLineChars="200"/>
        <w:jc w:val="left"/>
        <w:outlineLvl w:val="5"/>
        <w:rPr>
          <w:rFonts w:cs="宋体"/>
          <w:szCs w:val="21"/>
        </w:rPr>
      </w:pPr>
      <w:r>
        <w:rPr>
          <w:rFonts w:hint="eastAsia" w:ascii="宋体" w:hAnsi="宋体" w:cs="宋体"/>
          <w:b/>
          <w:bCs/>
          <w:kern w:val="0"/>
          <w:sz w:val="24"/>
          <w:szCs w:val="32"/>
        </w:rPr>
        <w:t>1</w:t>
      </w:r>
      <w:r>
        <w:rPr>
          <w:rFonts w:ascii="宋体" w:hAnsi="宋体" w:cs="宋体"/>
          <w:b/>
          <w:bCs/>
          <w:kern w:val="0"/>
          <w:sz w:val="24"/>
          <w:szCs w:val="32"/>
        </w:rPr>
        <w:t>.3.</w:t>
      </w:r>
      <w:r>
        <w:rPr>
          <w:rFonts w:hint="eastAsia" w:ascii="宋体" w:hAnsi="宋体" w:cs="宋体"/>
          <w:b/>
          <w:bCs/>
          <w:kern w:val="0"/>
          <w:sz w:val="24"/>
          <w:szCs w:val="32"/>
        </w:rPr>
        <w:t>1</w:t>
      </w:r>
      <w:r>
        <w:rPr>
          <w:rFonts w:ascii="宋体" w:hAnsi="宋体" w:cs="宋体"/>
          <w:b/>
          <w:bCs/>
          <w:kern w:val="0"/>
          <w:sz w:val="24"/>
          <w:szCs w:val="32"/>
        </w:rPr>
        <w:t>.1</w:t>
      </w:r>
      <w:r>
        <w:rPr>
          <w:rFonts w:hint="eastAsia" w:ascii="宋体" w:hAnsi="宋体" w:cs="宋体"/>
          <w:b/>
          <w:bCs/>
          <w:kern w:val="0"/>
          <w:sz w:val="24"/>
          <w:szCs w:val="32"/>
        </w:rPr>
        <w:t>设备</w:t>
      </w:r>
      <w:r>
        <w:rPr>
          <w:rFonts w:hint="eastAsia" w:ascii="黑体" w:hAnsi="等线 Light" w:eastAsia="黑体" w:cs="宋体"/>
          <w:b/>
          <w:bCs/>
          <w:kern w:val="0"/>
          <w:sz w:val="24"/>
          <w:szCs w:val="28"/>
        </w:rPr>
        <w:t>清单</w:t>
      </w:r>
    </w:p>
    <w:tbl>
      <w:tblPr>
        <w:tblStyle w:val="46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368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Calibri"/>
                <w:b/>
                <w:bCs/>
                <w:kern w:val="0"/>
                <w:szCs w:val="28"/>
              </w:rPr>
            </w:pPr>
            <w:r>
              <w:rPr>
                <w:rFonts w:hint="eastAsia" w:ascii="宋体" w:hAnsi="宋体" w:eastAsia="Times New Roman" w:cs="宋体"/>
                <w:b/>
                <w:bCs/>
                <w:kern w:val="0"/>
                <w:szCs w:val="28"/>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设备类型</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主要作用</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管网液位监测设备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监测排水管道液位，并按照国家高程基准测量液位</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雨水管网、污水管网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泵站液位监测设备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监测泵站格栅前或格栅后液位，并按照国家高程基准测量液位</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流量监测设备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排水管道的瞬时流量、泵站的瞬时流量和累计流量</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污水管网、雨水排口、排水户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工况监测设备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对 2 个泵站的泵机状态进行监测</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5</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水质监测设备-COD</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对高新区范围内 5 个污水管网整体监测点和 2 个泵站进行COD 指标进行监测</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污水泵站、污水管网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6</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气体监测设备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监测泵站房硫化氢、甲烷等气体浓度</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污水泵站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7</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视频监测设备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在泵站、排水户、下穿立交、低洼地段建设视频监测点</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污水泵站、排水户、城市易涝区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8</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积水监测设备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在 1 个下穿立交、5 个低洼地段，建设积水监测点，获取实时积水信息，为城市防洪排涝提供基础数据支撑</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城市易涝区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9</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电子标签</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记录检查井井盖基础信息，巡查信息，推荐 RFID 无源射频</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检查井井盖</w:t>
            </w:r>
          </w:p>
        </w:tc>
      </w:tr>
    </w:tbl>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当市场上传感器设备出现精度或者技术难度问题时，可采用人工检测的方法。</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技术参数要求</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.3.2.2.1</w:t>
      </w:r>
      <w:r>
        <w:rPr>
          <w:rFonts w:hint="eastAsia" w:ascii="黑体" w:hAnsi="等线 Light" w:eastAsia="黑体" w:cs="宋体"/>
          <w:b/>
          <w:bCs/>
          <w:kern w:val="0"/>
          <w:sz w:val="24"/>
          <w:szCs w:val="28"/>
        </w:rPr>
        <w:t>管网</w:t>
      </w:r>
      <w:r>
        <w:rPr>
          <w:rFonts w:hint="eastAsia" w:ascii="黑体" w:hAnsi="黑体" w:eastAsia="黑体" w:cs="宋体"/>
          <w:b/>
          <w:bCs/>
          <w:kern w:val="0"/>
          <w:sz w:val="24"/>
          <w:szCs w:val="28"/>
        </w:rPr>
        <w:t>液位监测设备</w:t>
      </w:r>
    </w:p>
    <w:p>
      <w:pPr>
        <w:ind w:firstLine="417" w:firstLineChars="199"/>
      </w:pPr>
      <w:r>
        <w:rPr>
          <w:rFonts w:hint="eastAsia"/>
        </w:rPr>
        <w:t>1、设备名称：液位监测仪</w:t>
      </w:r>
    </w:p>
    <w:p>
      <w:pPr>
        <w:ind w:firstLine="417" w:firstLineChars="199"/>
      </w:pPr>
      <w:r>
        <w:rPr>
          <w:rFonts w:hint="eastAsia"/>
        </w:rPr>
        <w:t>2、数量：46</w:t>
      </w:r>
    </w:p>
    <w:p>
      <w:pPr>
        <w:ind w:firstLine="417" w:firstLineChars="199"/>
      </w:pPr>
      <w:r>
        <w:rPr>
          <w:rFonts w:hint="eastAsia"/>
        </w:rPr>
        <w:t>3、主要功能：监测排水管道液位液位，并按照国家高程基准测量液位。</w:t>
      </w:r>
    </w:p>
    <w:p>
      <w:pPr>
        <w:ind w:left="124" w:leftChars="59" w:firstLine="294" w:firstLineChars="140"/>
      </w:pPr>
      <w:r>
        <w:rPr>
          <w:rFonts w:hint="eastAsia"/>
        </w:rPr>
        <w:t xml:space="preserve">4、技术参数： </w:t>
      </w:r>
    </w:p>
    <w:p>
      <w:pPr>
        <w:pStyle w:val="59"/>
        <w:numPr>
          <w:ilvl w:val="0"/>
          <w:numId w:val="7"/>
        </w:numPr>
        <w:ind w:left="544" w:firstLine="294" w:firstLineChars="140"/>
      </w:pPr>
      <w:r>
        <w:rPr>
          <w:rFonts w:hint="eastAsia"/>
        </w:rPr>
        <w:t>双通道探头非接触式（超声波为主，投入式为补充超声波盲区）</w:t>
      </w:r>
    </w:p>
    <w:p>
      <w:pPr>
        <w:pStyle w:val="59"/>
        <w:numPr>
          <w:ilvl w:val="0"/>
          <w:numId w:val="7"/>
        </w:numPr>
        <w:ind w:left="544" w:firstLine="294" w:firstLineChars="140"/>
      </w:pPr>
      <w:r>
        <w:rPr>
          <w:rFonts w:hint="eastAsia"/>
        </w:rPr>
        <w:t>超声波探头，量程可达10m</w:t>
      </w:r>
    </w:p>
    <w:p>
      <w:pPr>
        <w:pStyle w:val="59"/>
        <w:numPr>
          <w:ilvl w:val="0"/>
          <w:numId w:val="7"/>
        </w:numPr>
        <w:ind w:left="544" w:firstLine="294" w:firstLineChars="140"/>
      </w:pPr>
      <w:r>
        <w:rPr>
          <w:rFonts w:hint="eastAsia"/>
        </w:rPr>
        <w:t>接触式：防堵型投入式绝压式液位探头</w:t>
      </w:r>
    </w:p>
    <w:p>
      <w:pPr>
        <w:pStyle w:val="59"/>
        <w:numPr>
          <w:ilvl w:val="0"/>
          <w:numId w:val="7"/>
        </w:numPr>
        <w:ind w:left="544" w:firstLine="294" w:firstLineChars="140"/>
      </w:pPr>
      <w:r>
        <w:rPr>
          <w:rFonts w:hint="eastAsia"/>
        </w:rPr>
        <w:t>工作温度：-10℃~+55℃</w:t>
      </w:r>
    </w:p>
    <w:p>
      <w:pPr>
        <w:pStyle w:val="59"/>
        <w:numPr>
          <w:ilvl w:val="0"/>
          <w:numId w:val="7"/>
        </w:numPr>
        <w:ind w:left="544" w:firstLine="294" w:firstLineChars="140"/>
      </w:pPr>
      <w:r>
        <w:rPr>
          <w:rFonts w:hint="eastAsia"/>
        </w:rPr>
        <w:t>量程：0 ~ 13m</w:t>
      </w:r>
    </w:p>
    <w:p>
      <w:pPr>
        <w:pStyle w:val="59"/>
        <w:numPr>
          <w:ilvl w:val="0"/>
          <w:numId w:val="7"/>
        </w:numPr>
        <w:ind w:left="544" w:firstLine="294" w:firstLineChars="140"/>
      </w:pPr>
      <w:r>
        <w:rPr>
          <w:rFonts w:hint="eastAsia"/>
        </w:rPr>
        <w:t xml:space="preserve">超声波盲区：0.35m </w:t>
      </w:r>
    </w:p>
    <w:p>
      <w:pPr>
        <w:pStyle w:val="59"/>
        <w:numPr>
          <w:ilvl w:val="0"/>
          <w:numId w:val="7"/>
        </w:numPr>
        <w:ind w:left="544" w:firstLine="294" w:firstLineChars="140"/>
      </w:pPr>
      <w:r>
        <w:rPr>
          <w:rFonts w:hint="eastAsia"/>
        </w:rPr>
        <w:t>测量精度：±0.5%（最大量程）</w:t>
      </w:r>
    </w:p>
    <w:p>
      <w:pPr>
        <w:pStyle w:val="59"/>
        <w:numPr>
          <w:ilvl w:val="0"/>
          <w:numId w:val="7"/>
        </w:numPr>
        <w:ind w:left="544" w:firstLine="294" w:firstLineChars="140"/>
      </w:pPr>
      <w:r>
        <w:rPr>
          <w:rFonts w:hint="eastAsia"/>
        </w:rPr>
        <w:t>防护等级：IP68</w:t>
      </w:r>
    </w:p>
    <w:p>
      <w:pPr>
        <w:pStyle w:val="59"/>
        <w:numPr>
          <w:ilvl w:val="0"/>
          <w:numId w:val="7"/>
        </w:numPr>
        <w:ind w:left="544" w:firstLine="294" w:firstLineChars="140"/>
      </w:pPr>
      <w:r>
        <w:rPr>
          <w:rFonts w:hint="eastAsia"/>
        </w:rPr>
        <w:t>输出方式：NB-IoT</w:t>
      </w:r>
    </w:p>
    <w:p>
      <w:pPr>
        <w:pStyle w:val="59"/>
        <w:numPr>
          <w:ilvl w:val="0"/>
          <w:numId w:val="7"/>
        </w:numPr>
        <w:ind w:left="544" w:firstLine="294" w:firstLineChars="140"/>
      </w:pPr>
      <w:r>
        <w:rPr>
          <w:rFonts w:hint="eastAsia"/>
        </w:rPr>
        <w:t>供电方式：蓄电池（自带）</w:t>
      </w:r>
    </w:p>
    <w:p>
      <w:pPr>
        <w:pStyle w:val="59"/>
        <w:numPr>
          <w:ilvl w:val="0"/>
          <w:numId w:val="7"/>
        </w:numPr>
        <w:ind w:left="544" w:firstLine="294" w:firstLineChars="140"/>
      </w:pPr>
      <w:r>
        <w:rPr>
          <w:rFonts w:hint="eastAsia"/>
        </w:rPr>
        <w:t>电池持续供电时间：大于2年(典型工作条件下)</w:t>
      </w:r>
    </w:p>
    <w:p>
      <w:pPr>
        <w:pStyle w:val="59"/>
        <w:ind w:left="504" w:leftChars="240" w:firstLine="419" w:firstLineChars="0"/>
      </w:pPr>
      <w:r>
        <w:rPr>
          <w:rFonts w:hint="eastAsia"/>
        </w:rPr>
        <w:t>▲产品具备射频地磁场辐射抗扰度功能，提供第三方检测报告复印件加盖原厂公章</w:t>
      </w:r>
    </w:p>
    <w:p>
      <w:pPr>
        <w:pStyle w:val="59"/>
        <w:ind w:left="504" w:leftChars="240" w:firstLine="419" w:firstLineChars="0"/>
      </w:pPr>
      <w:r>
        <w:rPr>
          <w:rFonts w:hint="eastAsia"/>
        </w:rPr>
        <w:t>▲产品具备防腐（盐雾）、振动、高温、低温提供第三方检测报告加盖原厂公章</w:t>
      </w:r>
    </w:p>
    <w:p>
      <w:pPr>
        <w:pStyle w:val="59"/>
        <w:ind w:left="504" w:leftChars="240" w:firstLine="419" w:firstLineChars="0"/>
      </w:pPr>
      <w:r>
        <w:rPr>
          <w:rFonts w:hint="eastAsia"/>
        </w:rPr>
        <w:t>▲产品具有CNAS认证的监测机构出具的产品计量认证（校准证书）加盖原厂公章</w:t>
      </w:r>
    </w:p>
    <w:p>
      <w:pPr>
        <w:pStyle w:val="59"/>
        <w:ind w:left="504" w:leftChars="240" w:firstLine="419" w:firstLineChars="0"/>
      </w:pPr>
      <w:r>
        <w:rPr>
          <w:rFonts w:hint="eastAsia"/>
        </w:rPr>
        <w:t>▲2022年底前数据接入宁波市物联网开放平台</w:t>
      </w:r>
    </w:p>
    <w:p>
      <w:pPr>
        <w:pStyle w:val="59"/>
        <w:numPr>
          <w:ilvl w:val="255"/>
          <w:numId w:val="0"/>
        </w:numPr>
        <w:ind w:left="418" w:leftChars="199"/>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highlight w:val="yellow"/>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2泵站液位监测设备</w:t>
      </w:r>
    </w:p>
    <w:p>
      <w:pPr>
        <w:ind w:firstLine="417" w:firstLineChars="199"/>
      </w:pPr>
      <w:r>
        <w:rPr>
          <w:rFonts w:hint="eastAsia"/>
        </w:rPr>
        <w:t>1、设备名称：液位监测仪</w:t>
      </w:r>
    </w:p>
    <w:p>
      <w:pPr>
        <w:ind w:firstLine="417" w:firstLineChars="199"/>
      </w:pPr>
      <w:r>
        <w:rPr>
          <w:rFonts w:hint="eastAsia"/>
        </w:rPr>
        <w:t>2、数量：1</w:t>
      </w:r>
    </w:p>
    <w:p>
      <w:pPr>
        <w:ind w:firstLine="417" w:firstLineChars="199"/>
      </w:pPr>
      <w:r>
        <w:rPr>
          <w:rFonts w:hint="eastAsia"/>
        </w:rPr>
        <w:t>3、主要功能：监测泵站格栅前或格栅后液位，并按照国家高程基准测量液位。</w:t>
      </w:r>
    </w:p>
    <w:p>
      <w:pPr>
        <w:ind w:left="124" w:leftChars="59" w:firstLine="294" w:firstLineChars="140"/>
      </w:pPr>
      <w:r>
        <w:rPr>
          <w:rFonts w:hint="eastAsia"/>
        </w:rPr>
        <w:t xml:space="preserve">4、技术参数： </w:t>
      </w:r>
    </w:p>
    <w:p>
      <w:pPr>
        <w:pStyle w:val="59"/>
        <w:numPr>
          <w:ilvl w:val="0"/>
          <w:numId w:val="8"/>
        </w:numPr>
        <w:tabs>
          <w:tab w:val="clear" w:pos="840"/>
        </w:tabs>
        <w:ind w:firstLineChars="0"/>
      </w:pPr>
      <w:r>
        <w:rPr>
          <w:rFonts w:hint="eastAsia"/>
        </w:rPr>
        <w:t>投入式在线液位监测仪</w:t>
      </w:r>
    </w:p>
    <w:p>
      <w:pPr>
        <w:pStyle w:val="59"/>
        <w:numPr>
          <w:ilvl w:val="0"/>
          <w:numId w:val="8"/>
        </w:numPr>
        <w:tabs>
          <w:tab w:val="clear" w:pos="840"/>
        </w:tabs>
        <w:ind w:firstLineChars="0"/>
      </w:pPr>
      <w:r>
        <w:rPr>
          <w:rFonts w:hint="eastAsia"/>
        </w:rPr>
        <w:t>量程：0~5m</w:t>
      </w:r>
    </w:p>
    <w:p>
      <w:pPr>
        <w:pStyle w:val="59"/>
        <w:numPr>
          <w:ilvl w:val="0"/>
          <w:numId w:val="8"/>
        </w:numPr>
        <w:tabs>
          <w:tab w:val="clear" w:pos="840"/>
        </w:tabs>
        <w:ind w:firstLineChars="0"/>
      </w:pPr>
      <w:r>
        <w:rPr>
          <w:rFonts w:hint="eastAsia"/>
        </w:rPr>
        <w:t>测量精度：±0.5%F.S</w:t>
      </w:r>
    </w:p>
    <w:p>
      <w:pPr>
        <w:pStyle w:val="59"/>
        <w:numPr>
          <w:ilvl w:val="0"/>
          <w:numId w:val="8"/>
        </w:numPr>
        <w:tabs>
          <w:tab w:val="clear" w:pos="840"/>
        </w:tabs>
        <w:ind w:firstLineChars="0"/>
      </w:pPr>
      <w:r>
        <w:rPr>
          <w:rFonts w:hint="eastAsia"/>
        </w:rPr>
        <w:t>工作温度：-20℃~60℃</w:t>
      </w:r>
    </w:p>
    <w:p>
      <w:pPr>
        <w:pStyle w:val="59"/>
        <w:numPr>
          <w:ilvl w:val="0"/>
          <w:numId w:val="8"/>
        </w:numPr>
        <w:tabs>
          <w:tab w:val="clear" w:pos="840"/>
        </w:tabs>
        <w:ind w:firstLineChars="0"/>
      </w:pPr>
      <w:r>
        <w:rPr>
          <w:rFonts w:hint="eastAsia"/>
        </w:rPr>
        <w:t>输入方式：</w:t>
      </w:r>
      <w:r>
        <w:t>RS485</w:t>
      </w:r>
    </w:p>
    <w:p>
      <w:pPr>
        <w:pStyle w:val="59"/>
        <w:numPr>
          <w:ilvl w:val="0"/>
          <w:numId w:val="8"/>
        </w:numPr>
        <w:tabs>
          <w:tab w:val="clear" w:pos="840"/>
        </w:tabs>
        <w:ind w:firstLineChars="0"/>
      </w:pPr>
      <w:r>
        <w:rPr>
          <w:rFonts w:hint="eastAsia"/>
        </w:rPr>
        <w:t>工作电压：DC5～12V±10%</w:t>
      </w:r>
    </w:p>
    <w:p>
      <w:pPr>
        <w:pStyle w:val="59"/>
        <w:numPr>
          <w:ilvl w:val="0"/>
          <w:numId w:val="8"/>
        </w:numPr>
        <w:tabs>
          <w:tab w:val="clear" w:pos="840"/>
        </w:tabs>
        <w:ind w:firstLineChars="0"/>
      </w:pPr>
      <w:r>
        <w:rPr>
          <w:rFonts w:hint="eastAsia"/>
        </w:rPr>
        <w:t>安装方式：投入式(线缆长度1～10米)</w:t>
      </w:r>
    </w:p>
    <w:p>
      <w:pPr>
        <w:pStyle w:val="59"/>
        <w:numPr>
          <w:ilvl w:val="0"/>
          <w:numId w:val="8"/>
        </w:numPr>
        <w:tabs>
          <w:tab w:val="clear" w:pos="840"/>
        </w:tabs>
        <w:ind w:firstLineChars="0"/>
      </w:pPr>
      <w:r>
        <w:rPr>
          <w:rFonts w:hint="eastAsia"/>
        </w:rPr>
        <w:t>输出方式：NB-IoT</w:t>
      </w:r>
    </w:p>
    <w:p>
      <w:pPr>
        <w:pStyle w:val="59"/>
        <w:numPr>
          <w:ilvl w:val="0"/>
          <w:numId w:val="8"/>
        </w:numPr>
        <w:tabs>
          <w:tab w:val="clear" w:pos="840"/>
        </w:tabs>
        <w:ind w:firstLineChars="0"/>
      </w:pPr>
      <w:r>
        <w:rPr>
          <w:rFonts w:hint="eastAsia"/>
        </w:rPr>
        <w:t>防护等级：IP68</w:t>
      </w:r>
    </w:p>
    <w:p>
      <w:pPr>
        <w:pStyle w:val="59"/>
        <w:numPr>
          <w:ilvl w:val="0"/>
          <w:numId w:val="8"/>
        </w:numPr>
        <w:tabs>
          <w:tab w:val="clear" w:pos="840"/>
        </w:tabs>
        <w:ind w:firstLineChars="0"/>
      </w:pPr>
      <w:r>
        <w:rPr>
          <w:rFonts w:hint="eastAsia"/>
        </w:rPr>
        <w:t>供电方式：外接用电（220V市电）</w:t>
      </w:r>
    </w:p>
    <w:p>
      <w:pPr>
        <w:pStyle w:val="59"/>
        <w:numPr>
          <w:ilvl w:val="255"/>
          <w:numId w:val="0"/>
        </w:numPr>
        <w:ind w:left="418" w:leftChars="199"/>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1.3.2.2.3流量监测设备</w:t>
      </w:r>
    </w:p>
    <w:p>
      <w:pPr>
        <w:ind w:firstLine="480"/>
      </w:pPr>
      <w:r>
        <w:rPr>
          <w:rFonts w:hint="eastAsia"/>
        </w:rPr>
        <w:t>1、设备名称：流量监测仪</w:t>
      </w:r>
    </w:p>
    <w:p>
      <w:pPr>
        <w:ind w:firstLine="480"/>
      </w:pPr>
      <w:r>
        <w:rPr>
          <w:rFonts w:hint="eastAsia"/>
        </w:rPr>
        <w:t>2、数量：</w:t>
      </w:r>
      <w:r>
        <w:t>10</w:t>
      </w:r>
    </w:p>
    <w:p>
      <w:pPr>
        <w:ind w:firstLine="480"/>
      </w:pPr>
      <w:r>
        <w:rPr>
          <w:rFonts w:hint="eastAsia"/>
        </w:rPr>
        <w:t>3、主要功能：污水管网的瞬时流量、污水泵站的瞬时流量。</w:t>
      </w:r>
    </w:p>
    <w:p>
      <w:pPr>
        <w:ind w:firstLine="480"/>
      </w:pPr>
      <w:r>
        <w:rPr>
          <w:rFonts w:hint="eastAsia"/>
        </w:rPr>
        <w:t>4、技术参数：</w:t>
      </w:r>
    </w:p>
    <w:p>
      <w:pPr>
        <w:pStyle w:val="59"/>
        <w:numPr>
          <w:ilvl w:val="0"/>
          <w:numId w:val="9"/>
        </w:numPr>
        <w:ind w:firstLineChars="0"/>
      </w:pPr>
      <w:r>
        <w:rPr>
          <w:rFonts w:hint="eastAsia"/>
        </w:rPr>
        <w:t>测量指标：液位、流速、流量</w:t>
      </w:r>
    </w:p>
    <w:p>
      <w:pPr>
        <w:pStyle w:val="59"/>
        <w:numPr>
          <w:ilvl w:val="0"/>
          <w:numId w:val="9"/>
        </w:numPr>
        <w:ind w:firstLineChars="0"/>
      </w:pPr>
      <w:r>
        <w:rPr>
          <w:rFonts w:hint="eastAsia"/>
        </w:rPr>
        <w:t>量程：0~10m/s</w:t>
      </w:r>
    </w:p>
    <w:p>
      <w:pPr>
        <w:pStyle w:val="59"/>
        <w:numPr>
          <w:ilvl w:val="0"/>
          <w:numId w:val="9"/>
        </w:numPr>
        <w:ind w:firstLineChars="0"/>
      </w:pPr>
      <w:r>
        <w:rPr>
          <w:rFonts w:hint="eastAsia"/>
        </w:rPr>
        <w:t>精准度：±0.01m/s</w:t>
      </w:r>
    </w:p>
    <w:p>
      <w:pPr>
        <w:pStyle w:val="59"/>
        <w:numPr>
          <w:ilvl w:val="0"/>
          <w:numId w:val="9"/>
        </w:numPr>
        <w:ind w:firstLineChars="0"/>
      </w:pPr>
      <w:r>
        <w:rPr>
          <w:rFonts w:hint="eastAsia"/>
        </w:rPr>
        <w:t>分辨率：±1% F.S</w:t>
      </w:r>
    </w:p>
    <w:p>
      <w:pPr>
        <w:pStyle w:val="59"/>
        <w:numPr>
          <w:ilvl w:val="0"/>
          <w:numId w:val="9"/>
        </w:numPr>
        <w:ind w:firstLineChars="0"/>
      </w:pPr>
      <w:r>
        <w:rPr>
          <w:rFonts w:hint="eastAsia"/>
        </w:rPr>
        <w:t>测距范围：0.15m~7m</w:t>
      </w:r>
    </w:p>
    <w:p>
      <w:pPr>
        <w:pStyle w:val="59"/>
        <w:numPr>
          <w:ilvl w:val="0"/>
          <w:numId w:val="9"/>
        </w:numPr>
        <w:ind w:firstLineChars="0"/>
      </w:pPr>
      <w:r>
        <w:rPr>
          <w:rFonts w:hint="eastAsia"/>
        </w:rPr>
        <w:t>测速分辨力：1mm</w:t>
      </w:r>
    </w:p>
    <w:p>
      <w:pPr>
        <w:pStyle w:val="59"/>
        <w:numPr>
          <w:ilvl w:val="0"/>
          <w:numId w:val="9"/>
        </w:numPr>
        <w:ind w:firstLineChars="0"/>
      </w:pPr>
      <w:r>
        <w:rPr>
          <w:rFonts w:hint="eastAsia"/>
        </w:rPr>
        <w:t>输入方式：RS485（Modbus RTU）</w:t>
      </w:r>
    </w:p>
    <w:p>
      <w:pPr>
        <w:pStyle w:val="59"/>
        <w:numPr>
          <w:ilvl w:val="0"/>
          <w:numId w:val="9"/>
        </w:numPr>
        <w:ind w:firstLineChars="0"/>
      </w:pPr>
      <w:r>
        <w:rPr>
          <w:rFonts w:hint="eastAsia"/>
        </w:rPr>
        <w:t>防护等级：IP68</w:t>
      </w:r>
    </w:p>
    <w:p>
      <w:pPr>
        <w:pStyle w:val="59"/>
        <w:numPr>
          <w:ilvl w:val="0"/>
          <w:numId w:val="9"/>
        </w:numPr>
        <w:ind w:firstLineChars="0"/>
      </w:pPr>
      <w:r>
        <w:rPr>
          <w:rFonts w:hint="eastAsia"/>
        </w:rPr>
        <w:t>输出方式：NB-IoT</w:t>
      </w:r>
    </w:p>
    <w:p>
      <w:pPr>
        <w:pStyle w:val="59"/>
        <w:numPr>
          <w:ilvl w:val="0"/>
          <w:numId w:val="9"/>
        </w:numPr>
        <w:ind w:firstLineChars="0"/>
      </w:pPr>
      <w:r>
        <w:rPr>
          <w:rFonts w:hint="eastAsia"/>
        </w:rPr>
        <w:t>工作电压：12V DC</w:t>
      </w:r>
    </w:p>
    <w:p>
      <w:pPr>
        <w:pStyle w:val="59"/>
        <w:numPr>
          <w:ilvl w:val="0"/>
          <w:numId w:val="9"/>
        </w:numPr>
        <w:ind w:firstLineChars="0"/>
      </w:pPr>
      <w:r>
        <w:rPr>
          <w:rFonts w:hint="eastAsia"/>
        </w:rPr>
        <w:t>供电方式：蓄电池（自带）</w:t>
      </w:r>
    </w:p>
    <w:p>
      <w:pPr>
        <w:pStyle w:val="59"/>
        <w:numPr>
          <w:ilvl w:val="0"/>
          <w:numId w:val="9"/>
        </w:numPr>
        <w:ind w:firstLineChars="0"/>
      </w:pPr>
      <w:r>
        <w:rPr>
          <w:rFonts w:hint="eastAsia"/>
        </w:rPr>
        <w:t>安装方式：挂壁一体式</w:t>
      </w: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4工况监测设备</w:t>
      </w:r>
    </w:p>
    <w:p>
      <w:pPr>
        <w:ind w:firstLine="480"/>
      </w:pPr>
      <w:r>
        <w:rPr>
          <w:rFonts w:hint="eastAsia"/>
        </w:rPr>
        <w:t xml:space="preserve">1、设备名称：工况监测设备 </w:t>
      </w:r>
    </w:p>
    <w:p>
      <w:pPr>
        <w:ind w:firstLine="480"/>
      </w:pPr>
      <w:r>
        <w:rPr>
          <w:rFonts w:hint="eastAsia"/>
        </w:rPr>
        <w:t>2、数量：2</w:t>
      </w:r>
    </w:p>
    <w:p>
      <w:pPr>
        <w:ind w:firstLine="480"/>
      </w:pPr>
      <w:r>
        <w:rPr>
          <w:rFonts w:hint="eastAsia"/>
        </w:rPr>
        <w:t>3、主要功能：对 2 个泵站的泵机、栅格机状态进行监测</w:t>
      </w:r>
    </w:p>
    <w:p>
      <w:pPr>
        <w:ind w:firstLine="480"/>
      </w:pPr>
      <w:r>
        <w:rPr>
          <w:rFonts w:hint="eastAsia"/>
        </w:rPr>
        <w:t>4、技术参数：</w:t>
      </w:r>
    </w:p>
    <w:p>
      <w:pPr>
        <w:pStyle w:val="59"/>
        <w:numPr>
          <w:ilvl w:val="0"/>
          <w:numId w:val="10"/>
        </w:numPr>
        <w:ind w:firstLineChars="0"/>
      </w:pPr>
      <w:r>
        <w:rPr>
          <w:rFonts w:hint="eastAsia"/>
        </w:rPr>
        <w:t>支持主流PLC控制协议：西门子、施耐德等</w:t>
      </w:r>
    </w:p>
    <w:p>
      <w:pPr>
        <w:pStyle w:val="59"/>
        <w:numPr>
          <w:ilvl w:val="0"/>
          <w:numId w:val="10"/>
        </w:numPr>
        <w:ind w:firstLineChars="0"/>
      </w:pPr>
      <w:r>
        <w:rPr>
          <w:rFonts w:hint="eastAsia"/>
        </w:rPr>
        <w:t>输入方式：RS485 或 RJ45</w:t>
      </w:r>
    </w:p>
    <w:p>
      <w:pPr>
        <w:pStyle w:val="59"/>
        <w:numPr>
          <w:ilvl w:val="0"/>
          <w:numId w:val="10"/>
        </w:numPr>
        <w:ind w:firstLineChars="0"/>
      </w:pPr>
      <w:r>
        <w:rPr>
          <w:rFonts w:hint="eastAsia"/>
        </w:rPr>
        <w:t>供电方式：外接用电（220V市电）</w:t>
      </w:r>
    </w:p>
    <w:p>
      <w:pPr>
        <w:pStyle w:val="59"/>
        <w:numPr>
          <w:ilvl w:val="0"/>
          <w:numId w:val="10"/>
        </w:numPr>
        <w:ind w:firstLineChars="0"/>
      </w:pPr>
      <w:r>
        <w:rPr>
          <w:rFonts w:hint="eastAsia"/>
        </w:rPr>
        <w:t>输出方式：NB-IoT或RJ45</w:t>
      </w:r>
    </w:p>
    <w:p>
      <w:pPr>
        <w:pStyle w:val="59"/>
        <w:numPr>
          <w:ilvl w:val="255"/>
          <w:numId w:val="0"/>
        </w:numPr>
        <w:ind w:left="900"/>
      </w:pP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5水质监测设备</w:t>
      </w:r>
    </w:p>
    <w:p>
      <w:pPr>
        <w:ind w:firstLine="480"/>
      </w:pPr>
      <w:r>
        <w:rPr>
          <w:rFonts w:hint="eastAsia"/>
        </w:rPr>
        <w:t>1、设备名称：水质监测设备-COD</w:t>
      </w:r>
    </w:p>
    <w:p>
      <w:pPr>
        <w:ind w:firstLine="480"/>
      </w:pPr>
      <w:r>
        <w:rPr>
          <w:rFonts w:hint="eastAsia"/>
        </w:rPr>
        <w:t>2、数量：7</w:t>
      </w:r>
    </w:p>
    <w:p>
      <w:pPr>
        <w:ind w:firstLine="480"/>
      </w:pPr>
      <w:r>
        <w:rPr>
          <w:rFonts w:hint="eastAsia"/>
        </w:rPr>
        <w:t>3、主要功能：对高新区范围内 5 个污水管网整体监测点和 2 个泵站进行COD 指标进行监测。</w:t>
      </w:r>
    </w:p>
    <w:p>
      <w:pPr>
        <w:ind w:firstLine="480"/>
      </w:pPr>
      <w:r>
        <w:rPr>
          <w:rFonts w:hint="eastAsia"/>
        </w:rPr>
        <w:t>4、技术参数：</w:t>
      </w:r>
    </w:p>
    <w:p>
      <w:pPr>
        <w:pStyle w:val="59"/>
        <w:numPr>
          <w:ilvl w:val="0"/>
          <w:numId w:val="11"/>
        </w:numPr>
        <w:ind w:firstLineChars="0"/>
      </w:pPr>
      <w:r>
        <w:rPr>
          <w:rFonts w:hint="eastAsia"/>
        </w:rPr>
        <w:t>测量量程：0~500mg/L</w:t>
      </w:r>
    </w:p>
    <w:p>
      <w:pPr>
        <w:pStyle w:val="59"/>
        <w:numPr>
          <w:ilvl w:val="0"/>
          <w:numId w:val="11"/>
        </w:numPr>
        <w:ind w:firstLineChars="0"/>
      </w:pPr>
      <w:r>
        <w:rPr>
          <w:rFonts w:hint="eastAsia"/>
        </w:rPr>
        <w:t>测量方法：UV254法</w:t>
      </w:r>
    </w:p>
    <w:p>
      <w:pPr>
        <w:pStyle w:val="59"/>
        <w:numPr>
          <w:ilvl w:val="0"/>
          <w:numId w:val="11"/>
        </w:numPr>
        <w:ind w:firstLineChars="0"/>
      </w:pPr>
      <w:r>
        <w:rPr>
          <w:rFonts w:hint="eastAsia"/>
        </w:rPr>
        <w:t>分辨率：0.1mg/L</w:t>
      </w:r>
    </w:p>
    <w:p>
      <w:pPr>
        <w:pStyle w:val="59"/>
        <w:numPr>
          <w:ilvl w:val="0"/>
          <w:numId w:val="11"/>
        </w:numPr>
        <w:ind w:firstLineChars="0"/>
      </w:pPr>
      <w:r>
        <w:rPr>
          <w:rFonts w:hint="eastAsia"/>
        </w:rPr>
        <w:t>测量精度：5%FS</w:t>
      </w:r>
    </w:p>
    <w:p>
      <w:pPr>
        <w:pStyle w:val="59"/>
        <w:numPr>
          <w:ilvl w:val="0"/>
          <w:numId w:val="11"/>
        </w:numPr>
        <w:ind w:firstLineChars="0"/>
      </w:pPr>
      <w:r>
        <w:rPr>
          <w:rFonts w:hint="eastAsia"/>
        </w:rPr>
        <w:t>引线长度：10m</w:t>
      </w:r>
    </w:p>
    <w:p>
      <w:pPr>
        <w:pStyle w:val="59"/>
        <w:numPr>
          <w:ilvl w:val="0"/>
          <w:numId w:val="11"/>
        </w:numPr>
        <w:ind w:firstLineChars="0"/>
      </w:pPr>
      <w:r>
        <w:rPr>
          <w:rFonts w:hint="eastAsia"/>
        </w:rPr>
        <w:t>温度范围：5~45℃</w:t>
      </w:r>
    </w:p>
    <w:p>
      <w:pPr>
        <w:pStyle w:val="59"/>
        <w:numPr>
          <w:ilvl w:val="0"/>
          <w:numId w:val="11"/>
        </w:numPr>
        <w:ind w:firstLineChars="0"/>
      </w:pPr>
      <w:r>
        <w:rPr>
          <w:rFonts w:hint="eastAsia"/>
        </w:rPr>
        <w:t>供电电压：12V DC</w:t>
      </w:r>
    </w:p>
    <w:p>
      <w:pPr>
        <w:pStyle w:val="59"/>
        <w:numPr>
          <w:ilvl w:val="0"/>
          <w:numId w:val="11"/>
        </w:numPr>
        <w:ind w:firstLineChars="0"/>
      </w:pPr>
      <w:r>
        <w:rPr>
          <w:rFonts w:hint="eastAsia"/>
        </w:rPr>
        <w:t>输入方式：RS485（Modbus RTU）</w:t>
      </w:r>
    </w:p>
    <w:p>
      <w:pPr>
        <w:pStyle w:val="59"/>
        <w:numPr>
          <w:ilvl w:val="0"/>
          <w:numId w:val="11"/>
        </w:numPr>
        <w:ind w:firstLineChars="0"/>
      </w:pPr>
      <w:r>
        <w:rPr>
          <w:rFonts w:hint="eastAsia"/>
        </w:rPr>
        <w:t>供电方式：蓄电池（自带）</w:t>
      </w:r>
    </w:p>
    <w:p>
      <w:pPr>
        <w:pStyle w:val="59"/>
        <w:numPr>
          <w:ilvl w:val="0"/>
          <w:numId w:val="11"/>
        </w:numPr>
        <w:ind w:firstLineChars="0"/>
      </w:pPr>
      <w:r>
        <w:rPr>
          <w:rFonts w:hint="eastAsia"/>
        </w:rPr>
        <w:t>输出方式：</w:t>
      </w:r>
      <w:r>
        <w:t>NB-IoT</w:t>
      </w:r>
    </w:p>
    <w:p>
      <w:pPr>
        <w:pStyle w:val="59"/>
        <w:numPr>
          <w:ilvl w:val="0"/>
          <w:numId w:val="11"/>
        </w:numPr>
        <w:ind w:firstLineChars="0"/>
      </w:pPr>
      <w:r>
        <w:rPr>
          <w:rFonts w:hint="eastAsia"/>
        </w:rPr>
        <w:t>防护等级：IP68</w:t>
      </w:r>
    </w:p>
    <w:p>
      <w:pPr>
        <w:pStyle w:val="59"/>
        <w:numPr>
          <w:ilvl w:val="0"/>
          <w:numId w:val="11"/>
        </w:numPr>
        <w:ind w:firstLineChars="0"/>
      </w:pPr>
      <w:r>
        <w:rPr>
          <w:rFonts w:hint="eastAsia"/>
        </w:rPr>
        <w:t>安装方式：浸没式</w:t>
      </w: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6气体监测设备</w:t>
      </w:r>
    </w:p>
    <w:p>
      <w:pPr>
        <w:ind w:firstLine="480"/>
      </w:pPr>
      <w:r>
        <w:rPr>
          <w:rFonts w:hint="eastAsia"/>
        </w:rPr>
        <w:t>1、设备名称：在线式气体探测器</w:t>
      </w:r>
    </w:p>
    <w:p>
      <w:pPr>
        <w:ind w:firstLine="480"/>
      </w:pPr>
      <w:r>
        <w:rPr>
          <w:rFonts w:hint="eastAsia"/>
        </w:rPr>
        <w:t>2、数量：2</w:t>
      </w:r>
    </w:p>
    <w:p>
      <w:pPr>
        <w:ind w:firstLine="480"/>
      </w:pPr>
      <w:r>
        <w:rPr>
          <w:rFonts w:hint="eastAsia"/>
        </w:rPr>
        <w:t>3、主要功能：监测泵站房氨气（NH3）、硫化氢（H2S）、甲烷（CH4）、一氧化碳（CO）、氧气（O2）等气体浓度。</w:t>
      </w:r>
    </w:p>
    <w:p>
      <w:pPr>
        <w:ind w:firstLine="480"/>
      </w:pPr>
      <w:r>
        <w:rPr>
          <w:rFonts w:hint="eastAsia"/>
        </w:rPr>
        <w:t>4、技术参数：</w:t>
      </w:r>
    </w:p>
    <w:p>
      <w:pPr>
        <w:pStyle w:val="59"/>
        <w:numPr>
          <w:ilvl w:val="0"/>
          <w:numId w:val="12"/>
        </w:numPr>
        <w:ind w:left="900" w:firstLine="0" w:firstLineChars="0"/>
      </w:pPr>
      <w:r>
        <w:rPr>
          <w:rFonts w:hint="eastAsia"/>
        </w:rPr>
        <w:t>支持检测多种气体</w:t>
      </w:r>
    </w:p>
    <w:p>
      <w:pPr>
        <w:pStyle w:val="59"/>
        <w:numPr>
          <w:ilvl w:val="0"/>
          <w:numId w:val="12"/>
        </w:numPr>
        <w:ind w:left="900" w:firstLine="0" w:firstLineChars="0"/>
      </w:pPr>
      <w:r>
        <w:rPr>
          <w:rFonts w:hint="eastAsia"/>
        </w:rPr>
        <w:t>工作温度:-20～+50℃</w:t>
      </w:r>
    </w:p>
    <w:p>
      <w:pPr>
        <w:pStyle w:val="59"/>
        <w:numPr>
          <w:ilvl w:val="0"/>
          <w:numId w:val="12"/>
        </w:numPr>
        <w:ind w:left="900" w:firstLine="0" w:firstLineChars="0"/>
      </w:pPr>
      <w:r>
        <w:rPr>
          <w:rFonts w:hint="eastAsia"/>
        </w:rPr>
        <w:t>环境湿度:&lt;90%RH</w:t>
      </w:r>
    </w:p>
    <w:p>
      <w:pPr>
        <w:pStyle w:val="59"/>
        <w:numPr>
          <w:ilvl w:val="0"/>
          <w:numId w:val="12"/>
        </w:numPr>
        <w:ind w:left="900" w:firstLine="0" w:firstLineChars="0"/>
      </w:pPr>
      <w:r>
        <w:rPr>
          <w:rFonts w:hint="eastAsia"/>
        </w:rPr>
        <w:t>零点漂移:&lt;±2%(FS) /6h</w:t>
      </w:r>
    </w:p>
    <w:p>
      <w:pPr>
        <w:pStyle w:val="59"/>
        <w:numPr>
          <w:ilvl w:val="0"/>
          <w:numId w:val="12"/>
        </w:numPr>
        <w:ind w:left="900" w:firstLine="0" w:firstLineChars="0"/>
      </w:pPr>
      <w:r>
        <w:rPr>
          <w:rFonts w:hint="eastAsia"/>
        </w:rPr>
        <w:t>传感器寿命: 测量头寿命大于</w:t>
      </w:r>
      <w:r>
        <w:t>2年</w:t>
      </w:r>
      <w:r>
        <w:rPr>
          <w:rFonts w:hint="eastAsia"/>
        </w:rPr>
        <w:t>（正常洁净大气环境下）</w:t>
      </w:r>
    </w:p>
    <w:p>
      <w:pPr>
        <w:pStyle w:val="59"/>
        <w:numPr>
          <w:ilvl w:val="0"/>
          <w:numId w:val="12"/>
        </w:numPr>
        <w:ind w:left="900" w:firstLine="0" w:firstLineChars="0"/>
      </w:pPr>
      <w:r>
        <w:rPr>
          <w:rFonts w:hint="eastAsia"/>
        </w:rPr>
        <w:t>供电方式：外接用电（220V市）</w:t>
      </w:r>
    </w:p>
    <w:p>
      <w:pPr>
        <w:pStyle w:val="59"/>
        <w:numPr>
          <w:ilvl w:val="0"/>
          <w:numId w:val="12"/>
        </w:numPr>
        <w:ind w:left="900" w:firstLine="0" w:firstLineChars="0"/>
      </w:pPr>
      <w:r>
        <w:rPr>
          <w:rFonts w:hint="eastAsia"/>
        </w:rPr>
        <w:t>电防爆形式</w:t>
      </w:r>
      <w:r>
        <w:t>:</w:t>
      </w:r>
      <w:r>
        <w:tab/>
      </w:r>
      <w:r>
        <w:rPr>
          <w:rFonts w:hint="eastAsia"/>
        </w:rPr>
        <w:t>隔爆型</w:t>
      </w:r>
    </w:p>
    <w:p>
      <w:pPr>
        <w:pStyle w:val="59"/>
        <w:numPr>
          <w:ilvl w:val="0"/>
          <w:numId w:val="12"/>
        </w:numPr>
        <w:ind w:left="900" w:firstLine="0" w:firstLineChars="0"/>
      </w:pPr>
      <w:r>
        <w:rPr>
          <w:rFonts w:hint="eastAsia"/>
        </w:rPr>
        <w:t>防爆等级:</w:t>
      </w:r>
      <w:r>
        <w:rPr>
          <w:rFonts w:hint="eastAsia"/>
        </w:rPr>
        <w:tab/>
      </w:r>
      <w:r>
        <w:rPr>
          <w:rFonts w:hint="eastAsia"/>
        </w:rPr>
        <w:t>Ex dII CT6</w:t>
      </w:r>
    </w:p>
    <w:p>
      <w:pPr>
        <w:pStyle w:val="59"/>
        <w:numPr>
          <w:ilvl w:val="0"/>
          <w:numId w:val="12"/>
        </w:numPr>
        <w:ind w:left="900" w:firstLine="0" w:firstLineChars="0"/>
      </w:pPr>
      <w:r>
        <w:rPr>
          <w:rFonts w:hint="eastAsia"/>
        </w:rPr>
        <w:t>NH3传感器：电化学法，量程0-100ppm，精度±2%（F.S），最小读数1ppm，响应时间≤15秒</w:t>
      </w:r>
    </w:p>
    <w:p>
      <w:pPr>
        <w:pStyle w:val="59"/>
        <w:numPr>
          <w:ilvl w:val="0"/>
          <w:numId w:val="12"/>
        </w:numPr>
        <w:ind w:left="900" w:firstLine="0" w:firstLineChars="0"/>
      </w:pPr>
      <w:r>
        <w:rPr>
          <w:rFonts w:hint="eastAsia"/>
        </w:rPr>
        <w:t>CH4传感器：催化燃烧法，量程0-100%LEL，精度±2%（F.S），最小读数1%LEL，响应时间≤15秒</w:t>
      </w:r>
    </w:p>
    <w:p>
      <w:pPr>
        <w:pStyle w:val="59"/>
        <w:numPr>
          <w:ilvl w:val="0"/>
          <w:numId w:val="12"/>
        </w:numPr>
        <w:ind w:left="900" w:firstLine="0" w:firstLineChars="0"/>
      </w:pPr>
      <w:r>
        <w:rPr>
          <w:rFonts w:hint="eastAsia"/>
        </w:rPr>
        <w:t>H2S传感器：电化学法，量程0-100ppm，精度±2%（F.S），最小读数1ppm，响应时间≤15秒</w:t>
      </w:r>
    </w:p>
    <w:p>
      <w:pPr>
        <w:pStyle w:val="59"/>
        <w:numPr>
          <w:ilvl w:val="0"/>
          <w:numId w:val="12"/>
        </w:numPr>
        <w:ind w:left="900" w:firstLine="0" w:firstLineChars="0"/>
      </w:pPr>
      <w:r>
        <w:rPr>
          <w:rFonts w:hint="eastAsia"/>
        </w:rPr>
        <w:t>CO传感器：电化学法，量程0-1000ppm，精度±2%（F.S），最小读数1ppm，响应时间≤15秒</w:t>
      </w:r>
    </w:p>
    <w:p>
      <w:pPr>
        <w:pStyle w:val="59"/>
        <w:numPr>
          <w:ilvl w:val="0"/>
          <w:numId w:val="12"/>
        </w:numPr>
        <w:ind w:left="900" w:firstLine="0" w:firstLineChars="0"/>
      </w:pPr>
      <w:r>
        <w:rPr>
          <w:rFonts w:hint="eastAsia"/>
        </w:rPr>
        <w:t>O2传感器：电化学法，量程0-30%VOL，精度±2%（F.S），最小读数0.1%VOL，响应时间≤15秒</w:t>
      </w:r>
    </w:p>
    <w:p>
      <w:pPr>
        <w:pStyle w:val="59"/>
        <w:ind w:left="504" w:leftChars="240" w:firstLine="419" w:firstLineChars="0"/>
      </w:pPr>
      <w:r>
        <w:rPr>
          <w:rFonts w:hint="eastAsia"/>
        </w:rPr>
        <w:t>▲提供CNEX防爆合格证复印件</w:t>
      </w:r>
    </w:p>
    <w:p>
      <w:pPr>
        <w:pStyle w:val="59"/>
        <w:ind w:left="504" w:leftChars="240" w:firstLine="419" w:firstLineChars="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7视频监测设备</w:t>
      </w:r>
    </w:p>
    <w:p>
      <w:pPr>
        <w:ind w:firstLine="480"/>
      </w:pPr>
      <w:r>
        <w:rPr>
          <w:rFonts w:hint="eastAsia"/>
        </w:rPr>
        <w:t>1、设备名称：红外网络半球机</w:t>
      </w:r>
    </w:p>
    <w:p>
      <w:pPr>
        <w:ind w:firstLine="480"/>
      </w:pPr>
      <w:r>
        <w:rPr>
          <w:rFonts w:hint="eastAsia"/>
        </w:rPr>
        <w:t>2、数量：</w:t>
      </w:r>
      <w:r>
        <w:t>10</w:t>
      </w:r>
    </w:p>
    <w:p>
      <w:pPr>
        <w:ind w:firstLine="480"/>
      </w:pPr>
      <w:r>
        <w:rPr>
          <w:rFonts w:hint="eastAsia"/>
        </w:rPr>
        <w:t>3、主要功能：在泵站、下穿立交、低洼地段建设视频监测点。</w:t>
      </w:r>
    </w:p>
    <w:p>
      <w:pPr>
        <w:ind w:firstLine="480"/>
      </w:pPr>
      <w:r>
        <w:rPr>
          <w:rFonts w:hint="eastAsia"/>
        </w:rPr>
        <w:t>4、技术参数：</w:t>
      </w:r>
    </w:p>
    <w:p>
      <w:pPr>
        <w:pStyle w:val="59"/>
        <w:numPr>
          <w:ilvl w:val="0"/>
          <w:numId w:val="13"/>
        </w:numPr>
        <w:ind w:left="420" w:firstLine="480" w:firstLineChars="0"/>
      </w:pPr>
      <w:r>
        <w:rPr>
          <w:rFonts w:hint="eastAsia"/>
        </w:rPr>
        <w:t>最低照度: 彩色：0.01 Lux @（F1.2，AGC ON），黑白：0 Lux with IR</w:t>
      </w:r>
    </w:p>
    <w:p>
      <w:pPr>
        <w:pStyle w:val="59"/>
        <w:numPr>
          <w:ilvl w:val="0"/>
          <w:numId w:val="13"/>
        </w:numPr>
        <w:ind w:left="420" w:firstLine="480" w:firstLineChars="0"/>
      </w:pPr>
      <w:r>
        <w:rPr>
          <w:rFonts w:hint="eastAsia"/>
        </w:rPr>
        <w:t>宽动态: 120 dB</w:t>
      </w:r>
    </w:p>
    <w:p>
      <w:pPr>
        <w:pStyle w:val="59"/>
        <w:numPr>
          <w:ilvl w:val="0"/>
          <w:numId w:val="13"/>
        </w:numPr>
        <w:ind w:left="420" w:firstLine="480" w:firstLineChars="0"/>
      </w:pPr>
      <w:r>
        <w:rPr>
          <w:rFonts w:hint="eastAsia"/>
        </w:rPr>
        <w:t xml:space="preserve">调节角度: 水平：0°~355°，垂直：0°~70°，旋转：0°~355° </w:t>
      </w:r>
    </w:p>
    <w:p>
      <w:pPr>
        <w:pStyle w:val="59"/>
        <w:numPr>
          <w:ilvl w:val="0"/>
          <w:numId w:val="13"/>
        </w:numPr>
        <w:ind w:left="420" w:firstLine="480" w:firstLineChars="0"/>
      </w:pPr>
      <w:r>
        <w:rPr>
          <w:rFonts w:hint="eastAsia"/>
        </w:rPr>
        <w:t>焦距&amp;视场角: 2.7~12 mm @F1.6，水平视场角：106.8°~32.2°，垂直视场角：55.8°~18.1°，对角视场角：128.2°~37.1°</w:t>
      </w:r>
    </w:p>
    <w:p>
      <w:pPr>
        <w:pStyle w:val="59"/>
        <w:numPr>
          <w:ilvl w:val="0"/>
          <w:numId w:val="13"/>
        </w:numPr>
        <w:ind w:left="420" w:firstLine="480" w:firstLineChars="0"/>
      </w:pPr>
      <w:r>
        <w:rPr>
          <w:rFonts w:hint="eastAsia"/>
        </w:rPr>
        <w:t>补光灯类型: 红外灯</w:t>
      </w:r>
    </w:p>
    <w:p>
      <w:pPr>
        <w:pStyle w:val="59"/>
        <w:numPr>
          <w:ilvl w:val="0"/>
          <w:numId w:val="13"/>
        </w:numPr>
        <w:ind w:left="420" w:firstLine="480" w:firstLineChars="0"/>
      </w:pPr>
      <w:r>
        <w:rPr>
          <w:rFonts w:hint="eastAsia"/>
        </w:rPr>
        <w:t>最大图像尺寸: 1920 × 1080</w:t>
      </w:r>
    </w:p>
    <w:p>
      <w:pPr>
        <w:pStyle w:val="59"/>
        <w:numPr>
          <w:ilvl w:val="0"/>
          <w:numId w:val="13"/>
        </w:numPr>
        <w:ind w:left="420" w:firstLine="480" w:firstLineChars="0"/>
      </w:pPr>
      <w:r>
        <w:rPr>
          <w:rFonts w:hint="eastAsia"/>
        </w:rPr>
        <w:t>视频压缩标准: 主码流：H.265/H.264</w:t>
      </w:r>
    </w:p>
    <w:p>
      <w:pPr>
        <w:pStyle w:val="59"/>
        <w:numPr>
          <w:ilvl w:val="0"/>
          <w:numId w:val="13"/>
        </w:numPr>
        <w:ind w:left="420" w:firstLine="480" w:firstLineChars="0"/>
      </w:pPr>
      <w:r>
        <w:rPr>
          <w:rFonts w:hint="eastAsia"/>
        </w:rPr>
        <w:t>网络存储: 支持NAS（NFS，SMB/CIFS均支持），支持MicroSD(即TF卡)/MicroSDHC/MicroSDXC卡（最大256 GB），断网本地录像存储及断网续传</w:t>
      </w:r>
    </w:p>
    <w:p>
      <w:pPr>
        <w:pStyle w:val="59"/>
        <w:numPr>
          <w:ilvl w:val="0"/>
          <w:numId w:val="13"/>
        </w:numPr>
        <w:ind w:left="420" w:firstLine="480" w:firstLineChars="0"/>
      </w:pPr>
      <w:r>
        <w:rPr>
          <w:rFonts w:hint="eastAsia"/>
        </w:rPr>
        <w:t>启动和工作温湿度: -30 ℃~60 ℃，湿度小于95%（无凝结）</w:t>
      </w:r>
    </w:p>
    <w:p>
      <w:pPr>
        <w:pStyle w:val="59"/>
        <w:numPr>
          <w:ilvl w:val="0"/>
          <w:numId w:val="13"/>
        </w:numPr>
        <w:ind w:left="420" w:firstLine="480" w:firstLineChars="0"/>
      </w:pPr>
      <w:r>
        <w:rPr>
          <w:rFonts w:hint="eastAsia"/>
        </w:rPr>
        <w:t>电流及功耗: DC：12 V，0.8 A，最大功耗：9.6 W； PoE：802.3af，36 V~57 V，0.33 A~0.21 A，最大功耗：12 W</w:t>
      </w:r>
    </w:p>
    <w:p>
      <w:pPr>
        <w:pStyle w:val="59"/>
        <w:numPr>
          <w:ilvl w:val="0"/>
          <w:numId w:val="13"/>
        </w:numPr>
        <w:ind w:left="420" w:firstLine="480" w:firstLineChars="0"/>
      </w:pPr>
      <w:r>
        <w:rPr>
          <w:rFonts w:hint="eastAsia"/>
        </w:rPr>
        <w:t>工作电压: DC：12 V ± 25%</w:t>
      </w:r>
    </w:p>
    <w:p>
      <w:pPr>
        <w:pStyle w:val="59"/>
        <w:numPr>
          <w:ilvl w:val="0"/>
          <w:numId w:val="13"/>
        </w:numPr>
        <w:ind w:left="420" w:firstLine="480" w:firstLineChars="0"/>
      </w:pPr>
      <w:r>
        <w:rPr>
          <w:rFonts w:hint="eastAsia"/>
        </w:rPr>
        <w:t>供电方式：外接用电（220V市电）、太阳能供电系统（自带）</w:t>
      </w:r>
    </w:p>
    <w:p>
      <w:pPr>
        <w:pStyle w:val="59"/>
        <w:numPr>
          <w:ilvl w:val="0"/>
          <w:numId w:val="13"/>
        </w:numPr>
        <w:ind w:left="420" w:firstLine="480" w:firstLineChars="0"/>
      </w:pPr>
      <w:r>
        <w:rPr>
          <w:rFonts w:hint="eastAsia"/>
        </w:rPr>
        <w:t>防护等级: IP68</w:t>
      </w:r>
    </w:p>
    <w:p>
      <w:pPr>
        <w:pStyle w:val="59"/>
        <w:numPr>
          <w:ilvl w:val="0"/>
          <w:numId w:val="13"/>
        </w:numPr>
        <w:ind w:left="420" w:firstLine="480" w:firstLineChars="0"/>
      </w:pPr>
      <w:r>
        <w:rPr>
          <w:rFonts w:hint="eastAsia"/>
        </w:rPr>
        <w:t>存储卡 256G</w:t>
      </w:r>
    </w:p>
    <w:p>
      <w:pPr>
        <w:pStyle w:val="59"/>
        <w:numPr>
          <w:ilvl w:val="0"/>
          <w:numId w:val="13"/>
        </w:numPr>
        <w:ind w:left="420" w:firstLine="480" w:firstLineChars="0"/>
      </w:pPr>
      <w:r>
        <w:rPr>
          <w:rFonts w:hint="eastAsia"/>
        </w:rPr>
        <w:t>移动安装：设备每年最多移动共计12次</w:t>
      </w: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8积水监测设备</w:t>
      </w:r>
    </w:p>
    <w:p>
      <w:pPr>
        <w:ind w:firstLine="480"/>
      </w:pPr>
      <w:r>
        <w:rPr>
          <w:rFonts w:hint="eastAsia"/>
        </w:rPr>
        <w:t>1、设备名称：积水监测仪</w:t>
      </w:r>
    </w:p>
    <w:p>
      <w:pPr>
        <w:ind w:firstLine="480"/>
      </w:pPr>
      <w:r>
        <w:rPr>
          <w:rFonts w:hint="eastAsia"/>
        </w:rPr>
        <w:t>2、数量：6</w:t>
      </w:r>
    </w:p>
    <w:p>
      <w:pPr>
        <w:ind w:firstLine="480"/>
      </w:pPr>
      <w:r>
        <w:rPr>
          <w:rFonts w:hint="eastAsia"/>
        </w:rPr>
        <w:t>3、主要功能：监测城市易涝区的积水液位。</w:t>
      </w:r>
    </w:p>
    <w:p>
      <w:pPr>
        <w:ind w:firstLine="480"/>
      </w:pPr>
      <w:r>
        <w:rPr>
          <w:rFonts w:hint="eastAsia"/>
        </w:rPr>
        <w:t>4、技术参数：</w:t>
      </w:r>
    </w:p>
    <w:p>
      <w:pPr>
        <w:pStyle w:val="59"/>
        <w:numPr>
          <w:ilvl w:val="0"/>
          <w:numId w:val="14"/>
        </w:numPr>
        <w:ind w:firstLineChars="0"/>
      </w:pPr>
      <w:r>
        <w:rPr>
          <w:rFonts w:hint="eastAsia"/>
        </w:rPr>
        <w:t>雷达电子水尺，非接触式</w:t>
      </w:r>
    </w:p>
    <w:p>
      <w:pPr>
        <w:pStyle w:val="59"/>
        <w:numPr>
          <w:ilvl w:val="0"/>
          <w:numId w:val="14"/>
        </w:numPr>
        <w:ind w:firstLineChars="0"/>
      </w:pPr>
      <w:r>
        <w:rPr>
          <w:rFonts w:hint="eastAsia"/>
        </w:rPr>
        <w:t>测量指标：液位</w:t>
      </w:r>
    </w:p>
    <w:p>
      <w:pPr>
        <w:pStyle w:val="59"/>
        <w:numPr>
          <w:ilvl w:val="0"/>
          <w:numId w:val="14"/>
        </w:numPr>
        <w:ind w:firstLineChars="0"/>
      </w:pPr>
      <w:r>
        <w:rPr>
          <w:rFonts w:hint="eastAsia"/>
        </w:rPr>
        <w:t>量程：0~10m</w:t>
      </w:r>
    </w:p>
    <w:p>
      <w:pPr>
        <w:pStyle w:val="59"/>
        <w:numPr>
          <w:ilvl w:val="0"/>
          <w:numId w:val="14"/>
        </w:numPr>
        <w:ind w:firstLineChars="0"/>
      </w:pPr>
      <w:r>
        <w:rPr>
          <w:rFonts w:hint="eastAsia"/>
        </w:rPr>
        <w:t>精度：±3mm</w:t>
      </w:r>
    </w:p>
    <w:p>
      <w:pPr>
        <w:pStyle w:val="59"/>
        <w:numPr>
          <w:ilvl w:val="0"/>
          <w:numId w:val="14"/>
        </w:numPr>
        <w:ind w:firstLineChars="0"/>
      </w:pPr>
      <w:r>
        <w:rPr>
          <w:rFonts w:hint="eastAsia"/>
        </w:rPr>
        <w:t>介质温度：-20℃~65℃</w:t>
      </w:r>
    </w:p>
    <w:p>
      <w:pPr>
        <w:pStyle w:val="59"/>
        <w:numPr>
          <w:ilvl w:val="0"/>
          <w:numId w:val="14"/>
        </w:numPr>
        <w:ind w:firstLineChars="0"/>
      </w:pPr>
      <w:r>
        <w:rPr>
          <w:rFonts w:hint="eastAsia"/>
        </w:rPr>
        <w:t>工作电源：DC 12V</w:t>
      </w:r>
    </w:p>
    <w:p>
      <w:pPr>
        <w:pStyle w:val="59"/>
        <w:numPr>
          <w:ilvl w:val="0"/>
          <w:numId w:val="14"/>
        </w:numPr>
        <w:ind w:firstLineChars="0"/>
      </w:pPr>
      <w:r>
        <w:rPr>
          <w:rFonts w:hint="eastAsia"/>
        </w:rPr>
        <w:t>工作温度：-40℃~70℃</w:t>
      </w:r>
    </w:p>
    <w:p>
      <w:pPr>
        <w:pStyle w:val="59"/>
        <w:numPr>
          <w:ilvl w:val="0"/>
          <w:numId w:val="14"/>
        </w:numPr>
        <w:ind w:firstLineChars="0"/>
      </w:pPr>
      <w:r>
        <w:rPr>
          <w:rFonts w:hint="eastAsia"/>
        </w:rPr>
        <w:t>工作湿度：10%~100%（25℃）</w:t>
      </w:r>
    </w:p>
    <w:p>
      <w:pPr>
        <w:pStyle w:val="59"/>
        <w:numPr>
          <w:ilvl w:val="0"/>
          <w:numId w:val="14"/>
        </w:numPr>
        <w:ind w:firstLineChars="0"/>
      </w:pPr>
      <w:r>
        <w:rPr>
          <w:rFonts w:hint="eastAsia"/>
        </w:rPr>
        <w:t>供电方式：太阳能供电系统（自带）</w:t>
      </w:r>
    </w:p>
    <w:p>
      <w:pPr>
        <w:pStyle w:val="59"/>
        <w:numPr>
          <w:ilvl w:val="0"/>
          <w:numId w:val="14"/>
        </w:numPr>
        <w:ind w:firstLineChars="0"/>
      </w:pPr>
      <w:r>
        <w:rPr>
          <w:rFonts w:hint="eastAsia"/>
        </w:rPr>
        <w:t>输出方式：内置GPRS/4G/NB-loT</w:t>
      </w:r>
    </w:p>
    <w:p>
      <w:pPr>
        <w:pStyle w:val="59"/>
        <w:numPr>
          <w:ilvl w:val="0"/>
          <w:numId w:val="14"/>
        </w:numPr>
        <w:ind w:firstLineChars="0"/>
      </w:pPr>
      <w:r>
        <w:rPr>
          <w:rFonts w:hint="eastAsia"/>
        </w:rPr>
        <w:t>防护等级：</w:t>
      </w:r>
      <w:r>
        <w:t>IP68</w:t>
      </w:r>
    </w:p>
    <w:p>
      <w:pPr>
        <w:pStyle w:val="59"/>
        <w:numPr>
          <w:ilvl w:val="0"/>
          <w:numId w:val="13"/>
        </w:numPr>
        <w:ind w:left="420" w:firstLine="480" w:firstLineChars="0"/>
      </w:pPr>
      <w:r>
        <w:rPr>
          <w:rFonts w:hint="eastAsia"/>
        </w:rPr>
        <w:t>移动安装：设备每年最多移动共计12次</w:t>
      </w: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.3.2.2.</w:t>
      </w:r>
      <w:r>
        <w:rPr>
          <w:rFonts w:hint="eastAsia" w:ascii="黑体" w:hAnsi="等线 Light" w:eastAsia="黑体" w:cs="宋体"/>
          <w:b/>
          <w:bCs/>
          <w:kern w:val="0"/>
          <w:sz w:val="24"/>
          <w:szCs w:val="28"/>
        </w:rPr>
        <w:t>9电子标签</w:t>
      </w:r>
    </w:p>
    <w:p>
      <w:pPr>
        <w:ind w:firstLine="480"/>
      </w:pPr>
      <w:r>
        <w:rPr>
          <w:rFonts w:hint="eastAsia"/>
        </w:rPr>
        <w:t>1、设备名称：RFID电子标签</w:t>
      </w:r>
    </w:p>
    <w:p>
      <w:pPr>
        <w:ind w:firstLine="480"/>
      </w:pPr>
      <w:r>
        <w:rPr>
          <w:rFonts w:hint="eastAsia"/>
        </w:rPr>
        <w:t>2、数量：2500</w:t>
      </w:r>
    </w:p>
    <w:p>
      <w:pPr>
        <w:ind w:firstLine="480"/>
      </w:pPr>
      <w:r>
        <w:rPr>
          <w:rFonts w:hint="eastAsia"/>
        </w:rPr>
        <w:t>3、主要功能：记录检查井井盖基础信息，巡查信息。</w:t>
      </w:r>
    </w:p>
    <w:p>
      <w:pPr>
        <w:ind w:firstLine="480"/>
      </w:pPr>
      <w:r>
        <w:rPr>
          <w:rFonts w:hint="eastAsia"/>
        </w:rPr>
        <w:t>4、技术参数：</w:t>
      </w:r>
    </w:p>
    <w:p>
      <w:pPr>
        <w:pStyle w:val="59"/>
        <w:numPr>
          <w:ilvl w:val="0"/>
          <w:numId w:val="14"/>
        </w:numPr>
        <w:ind w:firstLineChars="0"/>
      </w:pPr>
      <w:r>
        <w:rPr>
          <w:rFonts w:hint="eastAsia"/>
        </w:rPr>
        <w:t>工作温度：-40℃~+85℃</w:t>
      </w:r>
    </w:p>
    <w:p>
      <w:pPr>
        <w:pStyle w:val="59"/>
        <w:numPr>
          <w:ilvl w:val="0"/>
          <w:numId w:val="14"/>
        </w:numPr>
        <w:ind w:firstLineChars="0"/>
      </w:pPr>
      <w:r>
        <w:rPr>
          <w:rFonts w:hint="eastAsia"/>
        </w:rPr>
        <w:t>存储温度：-45℃~+105℃</w:t>
      </w:r>
    </w:p>
    <w:p>
      <w:pPr>
        <w:pStyle w:val="59"/>
        <w:numPr>
          <w:ilvl w:val="0"/>
          <w:numId w:val="14"/>
        </w:numPr>
        <w:ind w:firstLineChars="0"/>
      </w:pPr>
      <w:r>
        <w:rPr>
          <w:rFonts w:hint="eastAsia"/>
        </w:rPr>
        <w:t>相对湿度：5%~95%</w:t>
      </w:r>
    </w:p>
    <w:p>
      <w:pPr>
        <w:pStyle w:val="59"/>
        <w:numPr>
          <w:ilvl w:val="0"/>
          <w:numId w:val="14"/>
        </w:numPr>
        <w:ind w:firstLineChars="0"/>
      </w:pPr>
      <w:r>
        <w:rPr>
          <w:rFonts w:hint="eastAsia"/>
        </w:rPr>
        <w:t>频率：860MHz~960MHz</w:t>
      </w:r>
    </w:p>
    <w:p>
      <w:pPr>
        <w:pStyle w:val="59"/>
        <w:numPr>
          <w:ilvl w:val="0"/>
          <w:numId w:val="14"/>
        </w:numPr>
        <w:ind w:firstLineChars="0"/>
      </w:pPr>
      <w:r>
        <w:rPr>
          <w:rFonts w:hint="eastAsia"/>
        </w:rPr>
        <w:t>防护等级：IP68</w:t>
      </w:r>
    </w:p>
    <w:p>
      <w:pPr>
        <w:pStyle w:val="59"/>
        <w:numPr>
          <w:ilvl w:val="0"/>
          <w:numId w:val="14"/>
        </w:numPr>
        <w:ind w:firstLineChars="0"/>
      </w:pPr>
      <w:r>
        <w:rPr>
          <w:rFonts w:hint="eastAsia"/>
        </w:rPr>
        <w:t>输出方式/协议：ISO1800-6C、EPCCLASSIGEN2</w:t>
      </w:r>
    </w:p>
    <w:p>
      <w:pPr>
        <w:pStyle w:val="59"/>
        <w:numPr>
          <w:ilvl w:val="0"/>
          <w:numId w:val="14"/>
        </w:numPr>
        <w:ind w:firstLineChars="0"/>
      </w:pPr>
      <w:r>
        <w:rPr>
          <w:rFonts w:hint="eastAsia"/>
        </w:rPr>
        <w:t>供电方式：无源</w:t>
      </w:r>
    </w:p>
    <w:p>
      <w:pPr>
        <w:pStyle w:val="59"/>
        <w:numPr>
          <w:ilvl w:val="255"/>
          <w:numId w:val="0"/>
        </w:numPr>
        <w:ind w:left="900"/>
      </w:pPr>
    </w:p>
    <w:p>
      <w:pPr>
        <w:pStyle w:val="59"/>
        <w:numPr>
          <w:ilvl w:val="255"/>
          <w:numId w:val="0"/>
        </w:numPr>
        <w:ind w:left="900"/>
        <w:rPr>
          <w:rFonts w:ascii="宋体" w:hAnsi="宋体" w:cs="宋体"/>
          <w:color w:val="000000"/>
          <w:kern w:val="0"/>
          <w:sz w:val="24"/>
          <w:szCs w:val="24"/>
        </w:rPr>
      </w:pPr>
      <w:r>
        <w:rPr>
          <w:rFonts w:hint="eastAsia" w:ascii="宋体" w:hAnsi="宋体" w:cs="宋体"/>
          <w:color w:val="000000"/>
          <w:kern w:val="0"/>
          <w:sz w:val="24"/>
          <w:szCs w:val="24"/>
        </w:rPr>
        <w:t>▲2022年12月31日前，需完成污水泵站、污水管网、雨水管网的监测数据联网和新建或改造。</w:t>
      </w:r>
    </w:p>
    <w:p>
      <w:pPr>
        <w:pStyle w:val="59"/>
        <w:numPr>
          <w:ilvl w:val="255"/>
          <w:numId w:val="0"/>
        </w:numPr>
        <w:ind w:left="900"/>
        <w:rPr>
          <w:rFonts w:ascii="宋体" w:hAnsi="宋体" w:cs="宋体"/>
          <w:color w:val="000000"/>
          <w:kern w:val="0"/>
          <w:sz w:val="24"/>
          <w:szCs w:val="24"/>
        </w:rPr>
      </w:pPr>
    </w:p>
    <w:p>
      <w:pPr>
        <w:keepNext/>
        <w:keepLines/>
        <w:widowControl/>
        <w:numPr>
          <w:ilvl w:val="3"/>
          <w:numId w:val="0"/>
        </w:numPr>
        <w:tabs>
          <w:tab w:val="left" w:pos="2127"/>
        </w:tabs>
        <w:spacing w:line="360" w:lineRule="auto"/>
        <w:ind w:firstLine="482" w:firstLineChars="200"/>
        <w:jc w:val="left"/>
        <w:outlineLvl w:val="4"/>
      </w:pPr>
      <w:r>
        <w:rPr>
          <w:rFonts w:hint="eastAsia" w:ascii="黑体" w:hAnsi="宋体" w:eastAsia="黑体" w:cs="宋体"/>
          <w:b/>
          <w:bCs/>
          <w:kern w:val="0"/>
          <w:sz w:val="24"/>
          <w:szCs w:val="32"/>
        </w:rPr>
        <w:t>1.3.2 应用软件系统开发需求</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.2</w:t>
      </w:r>
      <w:r>
        <w:rPr>
          <w:rFonts w:ascii="黑体" w:hAnsi="宋体" w:eastAsia="黑体" w:cs="宋体"/>
          <w:b/>
          <w:bCs/>
          <w:kern w:val="0"/>
          <w:sz w:val="24"/>
          <w:szCs w:val="32"/>
        </w:rPr>
        <w:t>.1</w:t>
      </w:r>
      <w:r>
        <w:rPr>
          <w:rFonts w:hint="eastAsia" w:ascii="黑体" w:hAnsi="等线 Light" w:eastAsia="黑体" w:cs="宋体"/>
          <w:b/>
          <w:bCs/>
          <w:kern w:val="0"/>
          <w:sz w:val="24"/>
          <w:szCs w:val="28"/>
        </w:rPr>
        <w:t>功能需求</w:t>
      </w:r>
    </w:p>
    <w:p>
      <w:pPr>
        <w:keepNext/>
        <w:keepLines/>
        <w:widowControl/>
        <w:numPr>
          <w:ilvl w:val="4"/>
          <w:numId w:val="0"/>
        </w:numPr>
        <w:spacing w:line="360" w:lineRule="auto"/>
        <w:ind w:firstLine="482" w:firstLineChars="200"/>
        <w:jc w:val="left"/>
        <w:outlineLvl w:val="6"/>
        <w:rPr>
          <w:rFonts w:ascii="黑体" w:hAnsi="黑体" w:eastAsia="黑体" w:cs="宋体"/>
          <w:b/>
          <w:bCs/>
          <w:kern w:val="0"/>
          <w:sz w:val="32"/>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.2</w:t>
      </w:r>
      <w:r>
        <w:rPr>
          <w:rFonts w:ascii="黑体" w:hAnsi="宋体" w:eastAsia="黑体" w:cs="宋体"/>
          <w:b/>
          <w:bCs/>
          <w:kern w:val="0"/>
          <w:sz w:val="24"/>
          <w:szCs w:val="32"/>
        </w:rPr>
        <w:t>.1.1</w:t>
      </w:r>
      <w:r>
        <w:rPr>
          <w:rFonts w:hint="eastAsia" w:ascii="黑体" w:hAnsi="黑体" w:eastAsia="黑体" w:cs="宋体"/>
          <w:b/>
          <w:bCs/>
          <w:kern w:val="0"/>
          <w:sz w:val="24"/>
          <w:szCs w:val="28"/>
        </w:rPr>
        <w:t>治水一张图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地理信息平台的支持下，通过图层叠加，实现对管网数据数字化显示，形象直观地展现管网在城市中的分布情况，实时掌握河道排口及管网信息，融合地下三维管网、河道排水口、智能传感器监测、视频监控和CCTV检测等数据。</w:t>
      </w:r>
    </w:p>
    <w:p>
      <w:pPr>
        <w:spacing w:line="360" w:lineRule="auto"/>
        <w:ind w:firstLine="480" w:firstLineChars="200"/>
        <w:contextualSpacing/>
        <w:rPr>
          <w:rFonts w:cs="宋体"/>
          <w:b/>
          <w:bCs/>
          <w:szCs w:val="21"/>
        </w:rPr>
      </w:pPr>
      <w:r>
        <w:rPr>
          <w:rFonts w:hint="eastAsia" w:ascii="宋体" w:hAnsi="宋体" w:cs="宋体"/>
          <w:kern w:val="0"/>
          <w:sz w:val="24"/>
          <w:szCs w:val="36"/>
        </w:rPr>
        <w:t>根据治水管理的需要，对排口、管网、污染源等进行标绘。对治水管理信息进行集中显示和管理，呈现</w:t>
      </w:r>
      <w:r>
        <w:rPr>
          <w:rFonts w:ascii="宋体" w:hAnsi="宋体" w:cs="宋体"/>
          <w:kern w:val="0"/>
          <w:sz w:val="24"/>
          <w:szCs w:val="36"/>
        </w:rPr>
        <w:t>“</w:t>
      </w:r>
      <w:r>
        <w:rPr>
          <w:rFonts w:hint="eastAsia" w:ascii="宋体" w:hAnsi="宋体" w:cs="宋体"/>
          <w:kern w:val="0"/>
          <w:sz w:val="24"/>
          <w:szCs w:val="36"/>
        </w:rPr>
        <w:t>一张图</w:t>
      </w:r>
      <w:r>
        <w:rPr>
          <w:rFonts w:ascii="宋体" w:hAnsi="宋体" w:cs="宋体"/>
          <w:kern w:val="0"/>
          <w:sz w:val="24"/>
          <w:szCs w:val="36"/>
        </w:rPr>
        <w:t>”</w:t>
      </w:r>
      <w:r>
        <w:rPr>
          <w:rFonts w:hint="eastAsia" w:ascii="宋体" w:hAnsi="宋体" w:cs="宋体"/>
          <w:kern w:val="0"/>
          <w:sz w:val="24"/>
          <w:szCs w:val="36"/>
        </w:rPr>
        <w:t>展示，实现数据信息的互联共享，辅助管理人员进行快速决策。</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1、排水设施信息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（1）管网基础信息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对雨水管线、污水管线、泵站、检查井、雨水篦子等设施的属性，含数量、长度、所在位置等信息进行可视化展示。</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（2）排口信息</w:t>
      </w:r>
    </w:p>
    <w:p>
      <w:pPr>
        <w:pStyle w:val="41"/>
        <w:ind w:left="0" w:leftChars="0" w:firstLine="480"/>
      </w:pPr>
      <w:r>
        <w:rPr>
          <w:rFonts w:hint="eastAsia" w:ascii="宋体" w:hAnsi="宋体" w:cs="宋体"/>
          <w:kern w:val="0"/>
          <w:sz w:val="24"/>
          <w:szCs w:val="36"/>
        </w:rPr>
        <w:t>在一张图上展示所有排口分布，点击可以查看详细信息。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（3）泵站信息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对泵站名称、所在位置、运行状态等信息进行展示。</w:t>
      </w:r>
    </w:p>
    <w:p>
      <w:pPr>
        <w:pStyle w:val="41"/>
        <w:numPr>
          <w:ilvl w:val="255"/>
          <w:numId w:val="0"/>
        </w:numPr>
        <w:ind w:left="420" w:leftChars="200"/>
        <w:rPr>
          <w:rFonts w:ascii="宋体" w:hAnsi="宋体" w:cs="宋体"/>
          <w:kern w:val="0"/>
          <w:sz w:val="24"/>
          <w:szCs w:val="36"/>
        </w:rPr>
      </w:pPr>
      <w:r>
        <w:rPr>
          <w:rFonts w:hint="eastAsia" w:ascii="宋体" w:hAnsi="宋体" w:cs="宋体"/>
          <w:kern w:val="0"/>
          <w:sz w:val="24"/>
          <w:szCs w:val="36"/>
        </w:rPr>
        <w:t>（4）电子标签信息</w:t>
      </w:r>
    </w:p>
    <w:p>
      <w:pPr>
        <w:widowControl/>
        <w:spacing w:line="360" w:lineRule="auto"/>
        <w:ind w:firstLine="480" w:firstLineChars="200"/>
      </w:pPr>
      <w:r>
        <w:rPr>
          <w:rFonts w:hint="eastAsia" w:ascii="宋体" w:hAnsi="宋体" w:cs="宋体"/>
          <w:kern w:val="0"/>
          <w:sz w:val="24"/>
          <w:szCs w:val="36"/>
        </w:rPr>
        <w:t>展示电子标签的分布图，可以查看电子标签的地理位置和电子标签的基本信息。</w:t>
      </w:r>
    </w:p>
    <w:p>
      <w:pPr>
        <w:widowControl/>
        <w:numPr>
          <w:ilvl w:val="0"/>
          <w:numId w:val="15"/>
        </w:numPr>
        <w:spacing w:line="360" w:lineRule="auto"/>
        <w:ind w:firstLine="480" w:firstLineChars="200"/>
        <w:rPr>
          <w:rFonts w:ascii="宋体" w:hAnsi="宋体" w:cs="宋体"/>
          <w:kern w:val="0"/>
          <w:sz w:val="24"/>
          <w:szCs w:val="36"/>
        </w:rPr>
      </w:pPr>
      <w:r>
        <w:rPr>
          <w:rFonts w:hint="eastAsia" w:ascii="宋体" w:hAnsi="宋体" w:cs="宋体"/>
          <w:kern w:val="0"/>
          <w:sz w:val="24"/>
          <w:szCs w:val="36"/>
        </w:rPr>
        <w:t>城市易涝区</w:t>
      </w:r>
    </w:p>
    <w:p>
      <w:pPr>
        <w:widowControl/>
        <w:spacing w:line="360" w:lineRule="auto"/>
        <w:ind w:firstLine="480" w:firstLineChars="200"/>
      </w:pPr>
      <w:r>
        <w:rPr>
          <w:rFonts w:hint="eastAsia" w:ascii="宋体" w:hAnsi="宋体" w:cs="宋体"/>
          <w:kern w:val="0"/>
          <w:sz w:val="24"/>
          <w:szCs w:val="36"/>
        </w:rPr>
        <w:t>（1）内涝风险点分布图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在地图上展示下穿立交、低洼地段、城镇住宅建筑地下空间易涝点分布，点击后可以查看详情。</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（2）历史涝点分布图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收集高新区近10年历史涝点基本信息，在地图上展示分布图，点击某个历史涝点查看具体属性信息。按街道汇总风险点数量，也支持在地图上框选某个区域进行汇总。</w:t>
      </w:r>
    </w:p>
    <w:p>
      <w:pPr>
        <w:pStyle w:val="41"/>
        <w:ind w:left="0" w:leftChars="0" w:firstLineChars="0"/>
      </w:pPr>
      <w:r>
        <w:rPr>
          <w:rFonts w:hint="eastAsia" w:ascii="宋体" w:hAnsi="宋体" w:cs="宋体"/>
          <w:kern w:val="0"/>
          <w:sz w:val="24"/>
          <w:szCs w:val="36"/>
        </w:rPr>
        <w:t>（3）救援资源分布图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在地图上展示救援物资库和救援队伍分布，点击图标可以查看具体配置信息。按街道对物资点进行汇总，也支持在地图上框选某个区域进行汇总。</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（4）内涝风险点查询和定位</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提供所有内涝风险点列表的查询和筛选，点击列表中的内涝风险点，显示内涝点的详细信息，并定位到地图上的对应点位。</w:t>
      </w:r>
    </w:p>
    <w:p>
      <w:pPr>
        <w:pStyle w:val="41"/>
        <w:ind w:left="0" w:leftChars="0" w:firstLine="0" w:firstLineChars="0"/>
      </w:pP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3、基础地理信息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河道信息：在地图上展示河道分布，点击河道，显示河道编号、名称、长度、平均宽度等相关的信息。支持列表的查询，可以按照河道等级等进行筛选，点击河道信息可以定位到地图上的对应点位。</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道路信息：在地图上展示道路分布，点击道路，显示道路名称、建创日期、道路起终点等信息。支持道路列表的查询，可以按照街道等进行筛选，点击道路信息可以定位到地图上的对应点位。</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▲河道积淤信息：对河道的积淤情况分析，形成分布图。</w:t>
      </w:r>
    </w:p>
    <w:p>
      <w:pPr>
        <w:widowControl/>
        <w:spacing w:line="360" w:lineRule="auto"/>
        <w:ind w:firstLine="480" w:firstLineChars="200"/>
        <w:rPr>
          <w:rFonts w:ascii="宋体" w:hAnsi="宋体" w:cs="宋体"/>
          <w:kern w:val="0"/>
          <w:sz w:val="24"/>
          <w:szCs w:val="36"/>
        </w:rPr>
      </w:pP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4、共治码</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共治码建设：公众发现水环境问题，可直接扫河长牌共治码或排水口共治码，发送现场照片或视频进行投诉，平台值班人员根据投诉共治码，准确定位问题所在的位置，快速进行落实并反馈处理结果。提高治水效率的同时，让更多人参与治水监督。</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共治码管理：支持对共治码进行增加、删除、修改和查询，并提供共治码生成和导出等功能。</w:t>
      </w:r>
    </w:p>
    <w:p>
      <w:pPr>
        <w:pStyle w:val="41"/>
      </w:pP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5、三维管网可视化</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融合实景三维数据，实现基础数据二三维一体化，对主要河道及周边环境进行场景漫游。</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通过三维可视化显示技术，还原管网整体环境，可支持三维模型加载、缩放、旋转等事件，提供地上地下三维数据对比、地表透明、卷帘等功能。</w:t>
      </w:r>
    </w:p>
    <w:p>
      <w:pPr>
        <w:pStyle w:val="41"/>
      </w:pP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6、管网流向展示</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在地图上查看管线的分布图，用颜色区分雨水管、污水管，查看管线的流向、经过的泵站、最终流向污水处理厂或河道，在地图上动态的展示排水的整个流向过程。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▲展示地表排水分布图：以排口为依据，对不同排口对应的连通管网按照不同颜色进行标识，直观、清晰地总览管线和排口的连接情况。</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排水区分布图：根据管网流向关系，为排水口划分出对应排水区，并在地图上标识，直观、清晰地总览排口和排水区的关联关系。</w:t>
      </w:r>
    </w:p>
    <w:p>
      <w:pPr>
        <w:pStyle w:val="41"/>
      </w:pP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7、查询统计</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主要为用户针对不同分类数据提供灵活的属性查询和空间查询功能，查询结果以分页方式呈现，点击后跳转到相应位置。</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统计功能：对雨水管线、污水管线、排口、泵站、检查井、雨水篦子等设施统计，生成相应的统计表，并支持导出Excel。</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.1.2</w:t>
      </w:r>
      <w:r>
        <w:rPr>
          <w:rFonts w:hint="eastAsia" w:ascii="黑体" w:hAnsi="黑体" w:eastAsia="黑体" w:cs="宋体"/>
          <w:b/>
          <w:bCs/>
          <w:kern w:val="0"/>
          <w:sz w:val="24"/>
          <w:szCs w:val="28"/>
        </w:rPr>
        <w:t>监测一张网</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基于物联网技术，通过在主要监测位置布设相应的传感器，实时获取所需的监测数据，结合治水一张图可以方便快捷的了解相关管网、排口的分布情况，当排水设施上监测数据达到预设条件时自动告警，上报问题并进入问题闭环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1、传感器分布图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按照布设原则，在不同的排水设施处安装相应的传感器，在监测一张网建立液位、流量、工况、水质、视频、气体、积水、全景图对应的图层，用不同颜色或图标展示不同类型的传感器，如用柱体高度直观展示氨氮数值，点击后可查看传感器的具体位置、设备是否正常运行等信息。</w:t>
      </w:r>
    </w:p>
    <w:p>
      <w:pPr>
        <w:widowControl/>
        <w:spacing w:line="360" w:lineRule="auto"/>
        <w:ind w:firstLine="480" w:firstLineChars="200"/>
      </w:pPr>
      <w:r>
        <w:rPr>
          <w:rFonts w:hint="eastAsia" w:ascii="宋体" w:hAnsi="宋体" w:cs="宋体"/>
          <w:kern w:val="0"/>
          <w:sz w:val="24"/>
          <w:szCs w:val="36"/>
        </w:rPr>
        <w:t>系统具备传感器管理功能，支持新增、修改、导入、导出、删除等功能，并管理传感器移动位置历史信息。</w:t>
      </w:r>
    </w:p>
    <w:p>
      <w:pPr>
        <w:widowControl/>
        <w:numPr>
          <w:ilvl w:val="0"/>
          <w:numId w:val="16"/>
        </w:numPr>
        <w:spacing w:line="360" w:lineRule="auto"/>
        <w:ind w:firstLine="480" w:firstLineChars="200"/>
        <w:rPr>
          <w:rFonts w:ascii="宋体" w:hAnsi="宋体" w:cs="宋体"/>
          <w:kern w:val="0"/>
          <w:sz w:val="24"/>
          <w:szCs w:val="36"/>
        </w:rPr>
      </w:pPr>
      <w:r>
        <w:rPr>
          <w:rFonts w:hint="eastAsia" w:ascii="宋体" w:hAnsi="宋体" w:cs="宋体"/>
          <w:kern w:val="0"/>
          <w:sz w:val="24"/>
          <w:szCs w:val="36"/>
        </w:rPr>
        <w:t>在线监测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（1）入河排水口的水质监测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全区入河排水口的水质监测数据进行可视化管理，实时监测排水口的水质状态，通过列表和图表方式显示水质（如PH、氨氮等）数值和趋势。点击排水口，不仅可以显示排水口编号、所在道路、坐标等基本信息，还能显示安装在排水口的传感器的设备编号、设备状态、安装位置等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对入河排水口可以进行流向分析和溯源分析，结合监测指标对监测点进行异常报警，上报问题并进入问题闭环管理。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（2）污染源头的监测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对污染源头的排水户在线监测，利用电导率的数值定性分析水的污染物浓度，判定排水户雨水管内晴天是否有水流出。</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对排水户可以进行流向分析和溯源分析，结合监测指标对监测点进行异常报警，并上报问题进入问题闭环系统。</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（3）河道断面水质监测分析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水环境的问题根源在岸上、关键在排口、核心在管网。对河道控制断面定期的分析pH、温度、浊度、溶解氧、氨氮、总磷等指标，以图表的方式展示不同因子的数据变化趋势。</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对断面水质状态进行统计分析，包括水质评价、趋势分析、月度报表统计等。</w:t>
      </w:r>
    </w:p>
    <w:p>
      <w:pPr>
        <w:widowControl/>
        <w:spacing w:line="360" w:lineRule="auto"/>
        <w:ind w:firstLine="240" w:firstLineChars="100"/>
        <w:rPr>
          <w:rFonts w:ascii="宋体" w:hAnsi="宋体" w:cs="宋体"/>
          <w:kern w:val="0"/>
          <w:sz w:val="24"/>
          <w:szCs w:val="36"/>
        </w:rPr>
      </w:pPr>
      <w:r>
        <w:rPr>
          <w:rFonts w:hint="eastAsia" w:ascii="宋体" w:hAnsi="宋体" w:cs="宋体"/>
          <w:kern w:val="0"/>
          <w:sz w:val="24"/>
          <w:szCs w:val="36"/>
        </w:rPr>
        <w:t>（4）排水管道运行状态和健康状态监控</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综合排水管道的基本信息、CCTV检测情况等信息，从以下几个方面对排水管网的健康等级进行评估：</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1）管网敷设年代及设计年限；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2）管网材质；</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3）管道健康状况（基于CCTV检测结果）：修复指数 RI、养护指数 MI。</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评估结果形成排水管网健康状况图，用不同颜色显示不同的健康等级。</w:t>
      </w:r>
    </w:p>
    <w:p>
      <w:pPr>
        <w:widowControl/>
        <w:spacing w:line="360" w:lineRule="auto"/>
        <w:ind w:firstLine="240" w:firstLineChars="100"/>
        <w:rPr>
          <w:rFonts w:ascii="宋体" w:hAnsi="宋体" w:cs="宋体"/>
          <w:kern w:val="0"/>
          <w:sz w:val="24"/>
          <w:szCs w:val="36"/>
        </w:rPr>
      </w:pPr>
      <w:r>
        <w:rPr>
          <w:rFonts w:hint="eastAsia" w:ascii="宋体" w:hAnsi="宋体" w:cs="宋体"/>
          <w:kern w:val="0"/>
          <w:sz w:val="24"/>
          <w:szCs w:val="36"/>
        </w:rPr>
        <w:t>（5）系统支持对排水管网CCTV检测和修复事项的管理。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3、污染通量分析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对于污水泵站和污水管网，在地图上实时展示污染通量的状态，点击后显示污染通量的变化趋势。</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对泵站和污水管网可以进行流向分析和溯源分析，结合监测指标对监测点进行异常报警，上报问题并进入问题闭环管理。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4、告警中心</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实时告警：当物联设备出现故障时，设备图标在地图上动态闪烁，提示有告警发生，点击图标可查看实时告警信息。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历史告警：主要用于历史警情的查看。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告警统计：实现不同类型、不同时间段警报信息的统计，可查询某一类型设备在不同时间段内的报警次数，也可统计同一时间段内不同类型设备的报警次数与报警类型。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监测数据阈值管理：可手动设置告警阈值，包含阈值数据的新增、修改、删除，需支持对同一类型的设备进行统一设置，也可以对具体排水设施进行单独设置。</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.1.3</w:t>
      </w:r>
      <w:r>
        <w:rPr>
          <w:rFonts w:hint="eastAsia" w:ascii="黑体" w:hAnsi="黑体" w:eastAsia="黑体" w:cs="宋体"/>
          <w:b/>
          <w:bCs/>
          <w:kern w:val="0"/>
          <w:sz w:val="24"/>
          <w:szCs w:val="28"/>
        </w:rPr>
        <w:t>智慧排水业务</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基于管网和易涝点GIS信息及周边物联网感知监测数据，实现管网异常排水排污追溯、内涝预警、智能管网分析功能。系统帮助管理者掌握区域管网拓扑关系、水质监测现状、污染源水质特征、污染传播途径及其动态变化情况，快速有效实现污染源辨识与追溯，为区域排水管网管理、监测与治理提供决策依据。</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1、智能管网溯源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污染溯源链：通过构建“污染源-排污通道-排污口-受纳水体-控制断面”水污染溯源链，利用智能监测设备及时发现非法排污情况，通过智能管网溯源功能，向管网上游追溯至排水户，实现对污染源进行排查溯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溯源分析：通过大数据分析技术，缩小监管排查范围、辅助确定污染源所在区域、自动标注出疑似排污区或排污点，也可手动添加。</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溯源历史：每次溯源结束，对溯源结果进行记录，形成溯源历史清单。</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人工排查：对污染溯源结果中的疑似排污单元，可以录入并展示人工排查的结果。</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对溯源结果按照指标阈值上报给告警中心并进行问题闭环管理。</w:t>
      </w:r>
    </w:p>
    <w:p>
      <w:pPr>
        <w:widowControl/>
        <w:tabs>
          <w:tab w:val="right" w:pos="8251"/>
        </w:tabs>
        <w:spacing w:line="360" w:lineRule="auto"/>
        <w:ind w:firstLine="480" w:firstLineChars="200"/>
        <w:rPr>
          <w:rFonts w:ascii="宋体" w:hAnsi="宋体" w:cs="宋体"/>
          <w:kern w:val="0"/>
          <w:sz w:val="24"/>
          <w:szCs w:val="36"/>
        </w:rPr>
      </w:pPr>
      <w:r>
        <w:rPr>
          <w:rFonts w:hint="eastAsia" w:ascii="宋体" w:hAnsi="宋体" w:cs="宋体"/>
          <w:kern w:val="0"/>
          <w:sz w:val="24"/>
          <w:szCs w:val="36"/>
        </w:rPr>
        <w:t>对污水管网和泵站进行溯源分析，监测污水流量、液位，异常情况报警。</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2、内涝预警</w:t>
      </w:r>
    </w:p>
    <w:p>
      <w:pPr>
        <w:widowControl/>
        <w:spacing w:line="360" w:lineRule="auto"/>
        <w:ind w:firstLine="480"/>
      </w:pPr>
      <w:r>
        <w:rPr>
          <w:rFonts w:hint="eastAsia" w:ascii="宋体" w:hAnsi="宋体" w:cs="宋体"/>
          <w:kern w:val="0"/>
          <w:sz w:val="24"/>
          <w:szCs w:val="36"/>
        </w:rPr>
        <w:t>▲（1）内涝风险分析图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根据高新区的地形和地理信息数据，分析不同区域的积水程度，识别高、中、低风险区域，形成高新区内涝风险分析图。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（2）内涝风险等级预警</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利用历史降水数据和历史积水监测数据，统计降水数据与关联积水隐患点积水深度数据的关系，分析积水成因，建立内涝风险预警模型。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通过多要素多尺度综合监测对内涝风险进行研判、处置，支撑城市内涝常态化管控。对城区重要下穿立交、低洼地段、城镇住宅建筑地下空间等重要点位根据内涝风险预警模型、降水数据、积水深度数据预判内涝风险等级，并用不同颜色展示不同风险等级。</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（3）积水监测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实时监测内涝点中的积水深度，在地图上以柱状呈现，积水深度达到阈值进行报警，并用不同颜色显示不同的报警等级。</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（4）应急预案</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对于内涝报警点提供应急预案，预案内容包括：组织指挥体系及职责、预防和预警机制、灾情分类、分级响应、应急保障、善后工作等。系统应支持预案的增加、修改、删除等管理功能。</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（5）救援信息管理</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系统具备救援物资、救援队伍新增、删除、修改等信息管理功能。</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3、智能管网分析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（1）堵塞分析</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监测上下游水位差的变化情况。上游出现持续高水位，下游出现持续低水位，则管网可能出现堵塞，对这些管段进行标注，红色代表堵塞，黄色代表排水较为缓慢，绿色代表排水顺畅，并将堵塞管段信息上报给问题闭环管理。</w:t>
      </w:r>
    </w:p>
    <w:p>
      <w:pPr>
        <w:widowControl/>
        <w:numPr>
          <w:ilvl w:val="0"/>
          <w:numId w:val="17"/>
        </w:numPr>
        <w:spacing w:line="360" w:lineRule="auto"/>
        <w:ind w:firstLine="480" w:firstLineChars="200"/>
        <w:rPr>
          <w:rFonts w:ascii="宋体" w:hAnsi="宋体" w:cs="宋体"/>
          <w:kern w:val="0"/>
          <w:sz w:val="24"/>
          <w:szCs w:val="36"/>
        </w:rPr>
      </w:pPr>
      <w:r>
        <w:rPr>
          <w:rFonts w:hint="eastAsia" w:ascii="宋体" w:hAnsi="宋体" w:cs="宋体"/>
          <w:kern w:val="0"/>
          <w:sz w:val="24"/>
          <w:szCs w:val="36"/>
        </w:rPr>
        <w:t>渗漏分析</w:t>
      </w:r>
    </w:p>
    <w:p>
      <w:pPr>
        <w:widowControl/>
        <w:spacing w:line="360" w:lineRule="auto"/>
        <w:ind w:firstLine="480" w:firstLineChars="200"/>
        <w:rPr>
          <w:rFonts w:ascii="黑体" w:hAnsi="黑体" w:eastAsia="黑体" w:cs="宋体"/>
          <w:b/>
          <w:bCs/>
          <w:kern w:val="0"/>
          <w:sz w:val="24"/>
          <w:szCs w:val="28"/>
        </w:rPr>
      </w:pPr>
      <w:r>
        <w:rPr>
          <w:rFonts w:hint="eastAsia" w:ascii="宋体" w:hAnsi="宋体" w:cs="宋体"/>
          <w:kern w:val="0"/>
          <w:sz w:val="24"/>
          <w:szCs w:val="36"/>
        </w:rPr>
        <w:t>监测上游总流量和下游总流量的流量差。当流量差较大时，则可能出现管网水向外渗漏或者地下水向管网内渗漏的情况。在管网可能出现渗漏的位置进行标注，并上报给问题闭环管理。</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.1.4</w:t>
      </w:r>
      <w:r>
        <w:rPr>
          <w:rFonts w:hint="eastAsia" w:ascii="黑体" w:hAnsi="黑体" w:eastAsia="黑体" w:cs="宋体"/>
          <w:b/>
          <w:bCs/>
          <w:kern w:val="0"/>
          <w:sz w:val="24"/>
          <w:szCs w:val="28"/>
        </w:rPr>
        <w:t>问题闭环管理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通过基于排水管网、河道排口、排水户、河道断面等在线监测监控自动报警和管网日常养护、河道日常巡查、群众举报等方式发现问题，进行闭环流程设计，建立多部门联动机制，构建高效的全过程监管体系。从排水户、市政排水管网、河道排口、污染溯源发现问题到任务派单、事件处理、任务追踪形成问题闭环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1、问题上报</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除了系统自动报警上报问题外，还可通过移动端将问题描述、照片、视频上传，管理员将对收到上报问题作进一步处理。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2、问题清单</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推行问题清单化制度，在确定问题以及任务后，通过系统录入问题，按照影响对象、问题性质、问题表现、问题主要指标进行分类，形成问题清单，管理员可以对问题状态进行管理。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3、任务派发及反馈</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系统可以进行派发单位的管理，将问题清单推送至相关责任单位，责任单位接收问题清单后处理并反馈，实现问题闭环。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4、任务跟踪</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管理员可以查询任务，并按照时间、地点、紧急程度、任务状态、负责单位等条件进行筛选或对任务进行删除和修改。管理员对执行人员完成的任务进行审核，对问题清单以及任务整改进度情况进行跟踪，直至已解决、列入工程改造或暂不具备工程改造条件等。</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.1.5</w:t>
      </w:r>
      <w:r>
        <w:rPr>
          <w:rFonts w:hint="eastAsia" w:ascii="黑体" w:hAnsi="黑体" w:eastAsia="黑体" w:cs="宋体"/>
          <w:b/>
          <w:bCs/>
          <w:kern w:val="0"/>
          <w:sz w:val="24"/>
          <w:szCs w:val="28"/>
        </w:rPr>
        <w:t>养护管理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提供日常养护内容的管理功能，具体功能包括：</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养护人员管理，可对养护人员的名称、所属单位等信息进行增加、修改、删除等操作。</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养护日志的新增、修改、删除。</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养护任务单管理：可生成养护任务单，以便一线养护人员根据养护单现场养护，并能上传养护结果。</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养护路径管理，可对养护路径进行增加、修改、删除操作。</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提供养护查询与统计功能，并支持报表导出excel功能。</w:t>
      </w:r>
    </w:p>
    <w:p>
      <w:pPr>
        <w:keepNext/>
        <w:keepLines/>
        <w:widowControl/>
        <w:numPr>
          <w:ilvl w:val="4"/>
          <w:numId w:val="0"/>
        </w:numPr>
        <w:spacing w:line="360" w:lineRule="auto"/>
        <w:ind w:left="-79" w:firstLine="482" w:firstLineChars="200"/>
        <w:jc w:val="left"/>
        <w:outlineLvl w:val="6"/>
        <w:rPr>
          <w:rFonts w:ascii="黑体" w:hAnsi="黑体"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.1.6</w:t>
      </w:r>
      <w:r>
        <w:rPr>
          <w:rFonts w:hint="eastAsia" w:ascii="黑体" w:hAnsi="黑体" w:eastAsia="黑体" w:cs="宋体"/>
          <w:b/>
          <w:bCs/>
          <w:kern w:val="0"/>
          <w:sz w:val="24"/>
          <w:szCs w:val="28"/>
        </w:rPr>
        <w:t>泵站统一远</w:t>
      </w:r>
      <w:r>
        <w:rPr>
          <w:rFonts w:hint="eastAsia" w:ascii="黑体" w:hAnsi="黑体" w:eastAsia="黑体" w:cs="宋体"/>
          <w:b/>
          <w:bCs/>
          <w:spacing w:val="-1"/>
          <w:kern w:val="0"/>
          <w:sz w:val="24"/>
          <w:szCs w:val="28"/>
        </w:rPr>
        <w:t>程</w:t>
      </w:r>
      <w:r>
        <w:rPr>
          <w:rFonts w:hint="eastAsia" w:ascii="黑体" w:hAnsi="黑体" w:eastAsia="黑体" w:cs="宋体"/>
          <w:b/>
          <w:bCs/>
          <w:spacing w:val="-3"/>
          <w:kern w:val="0"/>
          <w:sz w:val="24"/>
          <w:szCs w:val="28"/>
        </w:rPr>
        <w:t>控</w:t>
      </w:r>
      <w:r>
        <w:rPr>
          <w:rFonts w:hint="eastAsia" w:ascii="黑体" w:hAnsi="黑体" w:eastAsia="黑体" w:cs="宋体"/>
          <w:b/>
          <w:bCs/>
          <w:kern w:val="0"/>
          <w:sz w:val="24"/>
          <w:szCs w:val="28"/>
        </w:rPr>
        <w:t>制</w:t>
      </w:r>
    </w:p>
    <w:p>
      <w:pPr>
        <w:widowControl/>
        <w:spacing w:line="360" w:lineRule="auto"/>
        <w:ind w:firstLine="420"/>
      </w:pPr>
      <w:r>
        <w:rPr>
          <w:rFonts w:hint="eastAsia" w:ascii="宋体" w:hAnsi="宋体" w:cs="宋体"/>
          <w:kern w:val="0"/>
          <w:sz w:val="24"/>
          <w:szCs w:val="36"/>
        </w:rPr>
        <w:t>配合完成市水务设施运行管理中心下达的“厂-站-网”一体调控信息化建设联网工作任务。通过物联网感知设备收集泵站数据并上传到宁波市城镇污水处理厂水质水量在线监测系统。</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黑体" w:eastAsia="黑体" w:cs="宋体"/>
          <w:b/>
          <w:bCs/>
          <w:kern w:val="0"/>
          <w:sz w:val="24"/>
          <w:szCs w:val="28"/>
        </w:rPr>
        <w:t>1</w:t>
      </w:r>
      <w:r>
        <w:rPr>
          <w:rFonts w:ascii="黑体" w:hAnsi="黑体" w:eastAsia="黑体" w:cs="宋体"/>
          <w:b/>
          <w:bCs/>
          <w:kern w:val="0"/>
          <w:sz w:val="24"/>
          <w:szCs w:val="28"/>
        </w:rPr>
        <w:t>.3.</w:t>
      </w:r>
      <w:r>
        <w:rPr>
          <w:rFonts w:hint="eastAsia" w:ascii="黑体" w:hAnsi="黑体" w:eastAsia="黑体" w:cs="宋体"/>
          <w:b/>
          <w:bCs/>
          <w:kern w:val="0"/>
          <w:sz w:val="24"/>
          <w:szCs w:val="28"/>
        </w:rPr>
        <w:t>2</w:t>
      </w:r>
      <w:r>
        <w:rPr>
          <w:rFonts w:ascii="黑体" w:hAnsi="黑体" w:eastAsia="黑体" w:cs="宋体"/>
          <w:b/>
          <w:bCs/>
          <w:kern w:val="0"/>
          <w:sz w:val="24"/>
          <w:szCs w:val="28"/>
        </w:rPr>
        <w:t>.</w:t>
      </w:r>
      <w:r>
        <w:rPr>
          <w:rFonts w:hint="eastAsia" w:ascii="黑体" w:hAnsi="黑体" w:eastAsia="黑体" w:cs="宋体"/>
          <w:b/>
          <w:bCs/>
          <w:kern w:val="0"/>
          <w:sz w:val="24"/>
          <w:szCs w:val="28"/>
        </w:rPr>
        <w:t>2</w:t>
      </w:r>
      <w:r>
        <w:rPr>
          <w:rFonts w:hint="eastAsia" w:ascii="黑体" w:hAnsi="等线 Light" w:eastAsia="黑体" w:cs="宋体"/>
          <w:b/>
          <w:bCs/>
          <w:kern w:val="0"/>
          <w:sz w:val="24"/>
          <w:szCs w:val="28"/>
        </w:rPr>
        <w:t>系统性能需求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系统设计和建设上需充分考虑今后一段时期内的业务、数据拓展需要，具备可扩展性。系统应支持国产与非国产设备兼容访问，主要包括客户端、服务器、中间件等方面的配置。</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系统支持包括全文检索在内多种检索手段，百万数据单次检索客户端响应时间</w:t>
      </w:r>
      <w:r>
        <w:rPr>
          <w:rFonts w:ascii="宋体" w:hAnsi="宋体" w:cs="宋体"/>
          <w:kern w:val="0"/>
          <w:sz w:val="24"/>
          <w:szCs w:val="36"/>
        </w:rPr>
        <w:t>≤</w:t>
      </w:r>
      <w:r>
        <w:rPr>
          <w:rFonts w:hint="eastAsia" w:ascii="宋体" w:hAnsi="宋体" w:cs="宋体"/>
          <w:kern w:val="0"/>
          <w:sz w:val="24"/>
          <w:szCs w:val="36"/>
        </w:rPr>
        <w:t>2秒；</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在网络稳定的环境下操作性界面单一操作的系统响应时间</w:t>
      </w:r>
      <w:r>
        <w:rPr>
          <w:rFonts w:ascii="宋体" w:hAnsi="宋体" w:cs="宋体"/>
          <w:kern w:val="0"/>
          <w:sz w:val="24"/>
          <w:szCs w:val="36"/>
        </w:rPr>
        <w:t>≤</w:t>
      </w:r>
      <w:r>
        <w:rPr>
          <w:rFonts w:hint="eastAsia" w:ascii="宋体" w:hAnsi="宋体" w:cs="宋体"/>
          <w:kern w:val="0"/>
          <w:sz w:val="24"/>
          <w:szCs w:val="36"/>
        </w:rPr>
        <w:t>2秒；</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系统提供7*24小时的连续运行，平均年故障时间：&lt;1天，数据库平均恢复时间小于1小时；系统故障在2小时内响应并且系统平均恢复时间小于4小时；</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电子目录数据接收，导入(导出)临时或核心数据库每批次能承载50万条以上，记录数据信息不发生错误；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系统支持并发用户数大于100人，同时在线人数大于300人；</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目录数据查全率达到100％，目录数据查准率大于98％；</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全文检索查全率不小于98%，全文查准率不小于98%。</w:t>
      </w:r>
    </w:p>
    <w:p>
      <w:pPr>
        <w:keepNext/>
        <w:keepLines/>
        <w:widowControl/>
        <w:numPr>
          <w:ilvl w:val="4"/>
          <w:numId w:val="0"/>
        </w:numPr>
        <w:spacing w:line="360" w:lineRule="auto"/>
        <w:ind w:left="-79" w:firstLine="482" w:firstLineChars="200"/>
        <w:jc w:val="left"/>
        <w:outlineLvl w:val="5"/>
        <w:rPr>
          <w:rFonts w:ascii="黑体" w:hAnsi="黑体" w:eastAsia="黑体" w:cs="宋体"/>
          <w:b/>
          <w:bCs/>
          <w:kern w:val="0"/>
          <w:sz w:val="24"/>
          <w:szCs w:val="28"/>
        </w:rPr>
      </w:pPr>
      <w:r>
        <w:rPr>
          <w:rFonts w:hint="eastAsia" w:ascii="黑体" w:hAnsi="黑体" w:eastAsia="黑体" w:cs="宋体"/>
          <w:b/>
          <w:bCs/>
          <w:kern w:val="0"/>
          <w:sz w:val="24"/>
          <w:szCs w:val="28"/>
        </w:rPr>
        <w:t>1.3.2.3发布端需求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本项目发布端为PC端。</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PC端：依托PC端，接入前端感知设备，实现治水一张图、监测一张网、智慧排水业务、问题闭环管理、养护管理和泵站统一远程控制等可视化应用。</w:t>
      </w:r>
    </w:p>
    <w:p>
      <w:pPr>
        <w:keepNext/>
        <w:keepLines/>
        <w:widowControl/>
        <w:numPr>
          <w:ilvl w:val="3"/>
          <w:numId w:val="0"/>
        </w:numPr>
        <w:tabs>
          <w:tab w:val="left" w:pos="2127"/>
        </w:tabs>
        <w:spacing w:line="360" w:lineRule="auto"/>
        <w:ind w:firstLine="482" w:firstLineChars="200"/>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1.3.3数据资源需求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数据资源建设需数据采集、数据治理、数据库设计三部分。</w:t>
      </w:r>
    </w:p>
    <w:p>
      <w:pPr>
        <w:widowControl/>
        <w:spacing w:line="360" w:lineRule="auto"/>
        <w:ind w:firstLine="420" w:firstLineChars="200"/>
        <w:rPr>
          <w:rFonts w:ascii="宋体" w:hAnsi="宋体" w:cs="宋体"/>
          <w:kern w:val="0"/>
          <w:sz w:val="24"/>
          <w:szCs w:val="36"/>
        </w:rPr>
      </w:pPr>
      <w:r>
        <w:rPr>
          <w:rFonts w:hint="eastAsia"/>
        </w:rPr>
        <w:t>▲</w:t>
      </w:r>
      <w:r>
        <w:rPr>
          <w:rFonts w:hint="eastAsia" w:ascii="宋体" w:hAnsi="宋体" w:cs="宋体"/>
          <w:kern w:val="0"/>
          <w:sz w:val="24"/>
          <w:szCs w:val="36"/>
        </w:rPr>
        <w:t>数据采集包括320 KM 三维管网生产和8套全景图的基础数据采集。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数据治理包括数据清洗、数据分类、数据转化、数据关联以及数据脱密处理。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数据库设计包括基础地理信息数据库、基础设施数据库、排水户数据库、CCTV检测数据库、智能监测数据库、内涝数据库、告警数据库、问题数据库、养护数据库等。</w:t>
      </w:r>
    </w:p>
    <w:p>
      <w:pPr>
        <w:keepNext/>
        <w:keepLines/>
        <w:widowControl/>
        <w:numPr>
          <w:ilvl w:val="3"/>
          <w:numId w:val="0"/>
        </w:numPr>
        <w:tabs>
          <w:tab w:val="left" w:pos="2127"/>
        </w:tabs>
        <w:spacing w:line="360" w:lineRule="auto"/>
        <w:ind w:firstLine="482" w:firstLineChars="200"/>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1.3.4应用支撑需求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本项目需建设排水管网相关分析模型，含智能溯源分析、内涝分析、堵塞分析、渗漏分析、水质分析模型。</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智能溯源分析模型：根据管网数据和被溯源点信息，结合关键管网节点和排水户的传感器所监测到的污染通量指标，综合分析判断各管段的污染状态，建立智能溯源分析模型。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内涝分析模型</w:t>
      </w:r>
      <w:r>
        <w:rPr>
          <w:rFonts w:hint="eastAsia"/>
        </w:rPr>
        <w:t>：</w:t>
      </w:r>
      <w:r>
        <w:rPr>
          <w:rFonts w:hint="eastAsia" w:ascii="宋体" w:hAnsi="宋体" w:cs="宋体"/>
          <w:kern w:val="0"/>
          <w:sz w:val="24"/>
          <w:szCs w:val="36"/>
        </w:rPr>
        <w:t>根据内涝点的历史数据，结合当前水位数据和降雨量预测数据，综合分析判断内涝点的内涝风险等级，建立内涝分析模型。</w:t>
      </w:r>
    </w:p>
    <w:p>
      <w:pPr>
        <w:widowControl/>
        <w:numPr>
          <w:ilvl w:val="255"/>
          <w:numId w:val="0"/>
        </w:numPr>
        <w:spacing w:line="360" w:lineRule="auto"/>
        <w:ind w:firstLine="480" w:firstLineChars="200"/>
        <w:jc w:val="left"/>
        <w:rPr>
          <w:rFonts w:ascii="宋体" w:hAnsi="宋体" w:cs="宋体"/>
          <w:kern w:val="0"/>
          <w:sz w:val="24"/>
          <w:szCs w:val="36"/>
        </w:rPr>
      </w:pPr>
      <w:r>
        <w:rPr>
          <w:rFonts w:hint="eastAsia" w:ascii="宋体" w:hAnsi="宋体" w:cs="宋体"/>
          <w:kern w:val="0"/>
          <w:sz w:val="24"/>
          <w:szCs w:val="36"/>
        </w:rPr>
        <w:t>堵塞分析模型：根据管网数据，结合关键管网节点的传感器所监测到的液位指标，综合分析判断各管段的堵塞状态，建立堵塞分析模型。</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渗漏分析模型：通过监测管道内液位或流量的实时数据，积累历史数据，建立渗漏分析模型。模型监测各点位上游相邻点位的流量，上游总流量明显大于点位流量，则说明发生向外滲漏；上游总流量明显小于点位流量，则说明发生向内滲漏。</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水质分析模型：根据管网数据，结合关键管网节点和排水户的传感器所监测到的水质指标，综合分析判断各管段的水质状态，建立水质分析模型。</w:t>
      </w:r>
    </w:p>
    <w:p>
      <w:pPr>
        <w:keepNext/>
        <w:keepLines/>
        <w:widowControl/>
        <w:numPr>
          <w:ilvl w:val="3"/>
          <w:numId w:val="0"/>
        </w:numPr>
        <w:tabs>
          <w:tab w:val="left" w:pos="2127"/>
        </w:tabs>
        <w:spacing w:line="360" w:lineRule="auto"/>
        <w:ind w:firstLine="482" w:firstLineChars="200"/>
        <w:jc w:val="left"/>
        <w:outlineLvl w:val="4"/>
      </w:pPr>
      <w:r>
        <w:rPr>
          <w:rFonts w:hint="eastAsia" w:ascii="黑体" w:hAnsi="宋体" w:eastAsia="黑体" w:cs="宋体"/>
          <w:b/>
          <w:bCs/>
          <w:kern w:val="0"/>
          <w:sz w:val="24"/>
          <w:szCs w:val="32"/>
        </w:rPr>
        <w:t>1.3.5系统接口需求</w:t>
      </w:r>
    </w:p>
    <w:p>
      <w:pPr>
        <w:pStyle w:val="41"/>
        <w:ind w:left="0" w:leftChars="0" w:firstLine="480"/>
        <w:rPr>
          <w:rFonts w:ascii="宋体" w:hAnsi="宋体" w:cs="宋体"/>
          <w:kern w:val="0"/>
          <w:sz w:val="24"/>
          <w:szCs w:val="36"/>
        </w:rPr>
      </w:pPr>
      <w:r>
        <w:rPr>
          <w:rFonts w:hint="eastAsia" w:ascii="宋体" w:hAnsi="宋体" w:cs="宋体"/>
          <w:kern w:val="0"/>
          <w:sz w:val="24"/>
          <w:szCs w:val="36"/>
        </w:rPr>
        <w:t>空间数据来源：</w:t>
      </w:r>
      <w:r>
        <w:rPr>
          <w:rFonts w:hint="eastAsia" w:ascii="宋体" w:hAnsi="宋体" w:cs="宋体"/>
          <w:color w:val="000000"/>
          <w:kern w:val="0"/>
          <w:sz w:val="22"/>
          <w:szCs w:val="22"/>
          <w:lang w:bidi="ar"/>
        </w:rPr>
        <w:t>宁波市时空信息云平台的空间数据。</w:t>
      </w:r>
    </w:p>
    <w:p>
      <w:pPr>
        <w:widowControl/>
        <w:spacing w:line="360" w:lineRule="auto"/>
        <w:ind w:firstLine="420" w:firstLineChars="200"/>
        <w:rPr>
          <w:rFonts w:ascii="宋体" w:hAnsi="宋体" w:cs="宋体"/>
          <w:kern w:val="0"/>
          <w:sz w:val="24"/>
          <w:szCs w:val="36"/>
        </w:rPr>
      </w:pPr>
      <w:r>
        <w:rPr>
          <w:rFonts w:hint="eastAsia"/>
        </w:rPr>
        <w:t>▲</w:t>
      </w:r>
      <w:r>
        <w:rPr>
          <w:rFonts w:hint="eastAsia" w:ascii="宋体" w:hAnsi="宋体" w:cs="宋体"/>
          <w:kern w:val="0"/>
          <w:sz w:val="24"/>
          <w:szCs w:val="36"/>
        </w:rPr>
        <w:t>数据对接包括宁波市水利视频监控系统、宁波市水利智能物联管护系统。</w:t>
      </w:r>
    </w:p>
    <w:p>
      <w:pPr>
        <w:keepNext/>
        <w:keepLines/>
        <w:widowControl/>
        <w:numPr>
          <w:ilvl w:val="2"/>
          <w:numId w:val="0"/>
        </w:numPr>
        <w:tabs>
          <w:tab w:val="left" w:pos="851"/>
        </w:tabs>
        <w:spacing w:line="360" w:lineRule="auto"/>
        <w:ind w:firstLine="482" w:firstLineChars="200"/>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6 软件购置需求</w:t>
      </w:r>
    </w:p>
    <w:p>
      <w:pPr>
        <w:keepNext/>
        <w:keepLines/>
        <w:widowControl/>
        <w:numPr>
          <w:ilvl w:val="3"/>
          <w:numId w:val="0"/>
        </w:numPr>
        <w:tabs>
          <w:tab w:val="left" w:pos="2127"/>
        </w:tabs>
        <w:spacing w:line="360" w:lineRule="auto"/>
        <w:ind w:firstLine="482" w:firstLineChars="200"/>
        <w:jc w:val="left"/>
        <w:outlineLvl w:val="5"/>
        <w:rPr>
          <w:rFonts w:ascii="黑体" w:hAnsi="黑体" w:eastAsia="黑体" w:cs="宋体"/>
          <w:b/>
          <w:bCs/>
          <w:kern w:val="0"/>
          <w:sz w:val="24"/>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6.1</w:t>
      </w:r>
      <w:r>
        <w:rPr>
          <w:rFonts w:hint="eastAsia" w:ascii="黑体" w:hAnsi="黑体" w:eastAsia="黑体" w:cs="宋体"/>
          <w:b/>
          <w:bCs/>
          <w:kern w:val="0"/>
          <w:sz w:val="24"/>
          <w:szCs w:val="28"/>
        </w:rPr>
        <w:t>信创云部署要求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本项目需部署在政务外网，需要信创云提供系列基础设施体系服务及安全体系服务，包括：</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基础设施体系服务：计算资源、存储资源、网络资源、备份服务。</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安全体系服务：云平台安全、网络安全、主机安全、应用安全、数据安全。</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业务上云服务：政务外网。</w:t>
      </w:r>
    </w:p>
    <w:p>
      <w:pPr>
        <w:keepNext/>
        <w:keepLines/>
        <w:widowControl/>
        <w:numPr>
          <w:ilvl w:val="3"/>
          <w:numId w:val="0"/>
        </w:numPr>
        <w:tabs>
          <w:tab w:val="left" w:pos="2127"/>
        </w:tabs>
        <w:spacing w:line="360" w:lineRule="auto"/>
        <w:ind w:firstLine="482" w:firstLineChars="200"/>
        <w:jc w:val="left"/>
        <w:outlineLvl w:val="5"/>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6.2购置需求</w:t>
      </w:r>
    </w:p>
    <w:p>
      <w:pPr>
        <w:widowControl/>
        <w:spacing w:line="360" w:lineRule="auto"/>
        <w:ind w:firstLine="480" w:firstLineChars="200"/>
        <w:rPr>
          <w:rFonts w:ascii="黑体" w:hAnsi="黑体" w:eastAsia="黑体" w:cs="宋体"/>
          <w:kern w:val="0"/>
          <w:sz w:val="32"/>
          <w:szCs w:val="24"/>
        </w:rPr>
      </w:pPr>
      <w:r>
        <w:rPr>
          <w:rFonts w:ascii="宋体" w:hAnsi="宋体" w:cs="宋体"/>
          <w:kern w:val="0"/>
          <w:sz w:val="24"/>
          <w:szCs w:val="24"/>
        </w:rPr>
        <w:t>1</w:t>
      </w:r>
      <w:r>
        <w:rPr>
          <w:rFonts w:hint="eastAsia" w:ascii="宋体" w:hAnsi="宋体" w:cs="宋体"/>
          <w:kern w:val="0"/>
          <w:sz w:val="24"/>
          <w:szCs w:val="24"/>
        </w:rPr>
        <w:t>、Web应用中间件</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具备Web应用、EJB应用、虚拟主机、应用服务器集群、身份验证、日志审计等基本工作，提供类库管理、图形化监控、JVM配置、垃圾回收配置等工具，支持实例部署、数据库连接服务，为业务系统提供运行环境。</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2、国产化数据库</w:t>
      </w:r>
    </w:p>
    <w:p>
      <w:pPr>
        <w:widowControl/>
        <w:spacing w:line="360" w:lineRule="auto"/>
        <w:ind w:firstLine="480" w:firstLineChars="200"/>
        <w:rPr>
          <w:rFonts w:ascii="宋体" w:hAnsi="宋体" w:cs="宋体"/>
          <w:color w:val="000000"/>
          <w:kern w:val="0"/>
          <w:sz w:val="24"/>
          <w:szCs w:val="24"/>
        </w:rPr>
      </w:pPr>
      <w:r>
        <w:rPr>
          <w:rFonts w:hint="eastAsia" w:ascii="宋体" w:hAnsi="宋体" w:cs="宋体"/>
          <w:color w:val="000000"/>
          <w:kern w:val="0"/>
          <w:sz w:val="24"/>
          <w:szCs w:val="24"/>
        </w:rPr>
        <w:t>具备数据存储、访问控制、身份鉴别和数据备份恢复等功能。管理员及用户可通过图形化或命令行工具实现对数据库对象的管理；开发人员可通过标准化接口开发机遇数据库的应用和软件。</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3、国产化操作系统</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具备文件管理、设备管理、用户管理、日志管理、服务管理、进程和监控管理、网络管理、资源管理、软件包管理、磁盘管理、安全中心等基本功能，提供语言支持工具、文件共享服务、集成开发平台、更新管理器、备份还原等常用工具，支持KVM、Docker拟化技术，并提供本地和远程批量部署。</w:t>
      </w:r>
    </w:p>
    <w:p>
      <w:pPr>
        <w:pStyle w:val="41"/>
      </w:pPr>
    </w:p>
    <w:p>
      <w:pPr>
        <w:keepNext/>
        <w:keepLines/>
        <w:widowControl/>
        <w:numPr>
          <w:ilvl w:val="2"/>
          <w:numId w:val="0"/>
        </w:numPr>
        <w:tabs>
          <w:tab w:val="left" w:pos="851"/>
        </w:tabs>
        <w:spacing w:line="360" w:lineRule="auto"/>
        <w:ind w:firstLine="482" w:firstLineChars="200"/>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7网络传输需求</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7.</w:t>
      </w:r>
      <w:r>
        <w:rPr>
          <w:rFonts w:ascii="黑体" w:hAnsi="宋体" w:eastAsia="黑体" w:cs="宋体"/>
          <w:b/>
          <w:bCs/>
          <w:kern w:val="0"/>
          <w:sz w:val="24"/>
          <w:szCs w:val="32"/>
        </w:rPr>
        <w:t>1</w:t>
      </w:r>
      <w:r>
        <w:rPr>
          <w:rFonts w:hint="eastAsia" w:ascii="黑体" w:hAnsi="等线 Light" w:eastAsia="黑体" w:cs="宋体"/>
          <w:b/>
          <w:bCs/>
          <w:kern w:val="0"/>
          <w:sz w:val="24"/>
          <w:szCs w:val="28"/>
        </w:rPr>
        <w:t>通讯网络</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需选用以下网络通信方式：</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现场监测终端至本项目建设的物联网接入平台的通讯优先采用窄带物联网（NB-IoT）,实现实时监测数据的上传。对于NB-IoT网络信号较弱的区域，可更换采用4G/5G通讯方式，对于4G信号也较弱的场合，可临时采用LORA的通讯方式。视频数据传输可采用光纤有线通讯或4G/5G无线通讯方式。</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包含管网液位监测仪46台，泵站液位监测仪1台，流量监测仪10台，工况2台，水质COD 7台，气体监测仪2台，视频摄像机10台，积水监测仪6台，共计74台的NB-IoT物联网卡流量1年费用和10台4G/5G 物联网卡流量1年费用。</w:t>
      </w:r>
    </w:p>
    <w:p>
      <w:pPr>
        <w:widowControl/>
        <w:spacing w:line="360" w:lineRule="auto"/>
        <w:ind w:firstLine="480" w:firstLineChars="200"/>
      </w:pPr>
      <w:r>
        <w:rPr>
          <w:rFonts w:hint="eastAsia" w:ascii="宋体" w:hAnsi="宋体" w:cs="宋体"/>
          <w:kern w:val="0"/>
          <w:sz w:val="24"/>
          <w:szCs w:val="24"/>
        </w:rPr>
        <w:t>包含物联网服务器租用1年费用。</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7.</w:t>
      </w:r>
      <w:r>
        <w:rPr>
          <w:rFonts w:ascii="黑体" w:hAnsi="宋体" w:eastAsia="黑体" w:cs="宋体"/>
          <w:b/>
          <w:bCs/>
          <w:kern w:val="0"/>
          <w:sz w:val="24"/>
          <w:szCs w:val="32"/>
        </w:rPr>
        <w:t>2</w:t>
      </w:r>
      <w:r>
        <w:rPr>
          <w:rFonts w:hint="eastAsia" w:ascii="黑体" w:hAnsi="等线 Light" w:eastAsia="黑体" w:cs="宋体"/>
          <w:b/>
          <w:bCs/>
          <w:kern w:val="0"/>
          <w:sz w:val="24"/>
          <w:szCs w:val="28"/>
        </w:rPr>
        <w:t>物联监测设备数据传输频次</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所有物联监测设备（除视频监测）按照下述规定的频次主动报送监测数据，并对报送频次可以在本项目建设的物联网接入平台进行设置。物联监测设备（除视频监测）从数据开始传输到传输至本项目建设的物联网接入平台，90%以上的数据时延不得超过60秒。</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7.</w:t>
      </w:r>
      <w:r>
        <w:rPr>
          <w:rFonts w:ascii="黑体" w:hAnsi="宋体" w:eastAsia="黑体" w:cs="宋体"/>
          <w:b/>
          <w:bCs/>
          <w:kern w:val="0"/>
          <w:sz w:val="24"/>
          <w:szCs w:val="32"/>
        </w:rPr>
        <w:t>3</w:t>
      </w:r>
      <w:r>
        <w:rPr>
          <w:rFonts w:hint="eastAsia" w:ascii="黑体" w:hAnsi="等线 Light" w:eastAsia="黑体" w:cs="宋体"/>
          <w:b/>
          <w:bCs/>
          <w:kern w:val="0"/>
          <w:sz w:val="24"/>
          <w:szCs w:val="28"/>
        </w:rPr>
        <w:t>视频监测站指标</w:t>
      </w:r>
    </w:p>
    <w:p>
      <w:pPr>
        <w:widowControl/>
        <w:spacing w:line="360" w:lineRule="auto"/>
        <w:ind w:firstLine="482" w:firstLineChars="200"/>
        <w:rPr>
          <w:rFonts w:ascii="宋体" w:hAnsi="宋体" w:cs="宋体"/>
          <w:b/>
          <w:bCs/>
          <w:kern w:val="0"/>
          <w:sz w:val="24"/>
          <w:szCs w:val="24"/>
        </w:rPr>
      </w:pPr>
      <w:r>
        <w:rPr>
          <w:rFonts w:hint="eastAsia" w:ascii="宋体" w:hAnsi="宋体" w:cs="宋体"/>
          <w:b/>
          <w:bCs/>
          <w:kern w:val="0"/>
          <w:sz w:val="24"/>
          <w:szCs w:val="24"/>
        </w:rPr>
        <w:t>1. 存储指标</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水利工程视频监控系统应对实时视频信息或图片信息进行存储，信息连续存储时间不小于30天，重点视频或图片信息存储时间根据需求来做延长，且具有历史图像调用回放功能。采用无线传输方式的前端设备，前端信息存储时间应不小于2天。对于新建水利工程视频监控系统的前端摄像机设备，建议采用200 万像素(1080P分辨率)以上。</w:t>
      </w:r>
    </w:p>
    <w:p>
      <w:pPr>
        <w:widowControl/>
        <w:autoSpaceDE w:val="0"/>
        <w:autoSpaceDN w:val="0"/>
        <w:spacing w:line="360" w:lineRule="auto"/>
        <w:ind w:firstLine="482" w:firstLineChars="200"/>
        <w:jc w:val="left"/>
        <w:rPr>
          <w:rFonts w:ascii="宋体" w:hAnsi="宋体" w:cs="宋体"/>
          <w:b/>
          <w:bCs/>
          <w:color w:val="000000"/>
          <w:kern w:val="0"/>
          <w:sz w:val="24"/>
          <w:szCs w:val="24"/>
        </w:rPr>
      </w:pPr>
      <w:r>
        <w:rPr>
          <w:rFonts w:hint="eastAsia" w:ascii="宋体" w:hAnsi="宋体" w:cs="宋体"/>
          <w:b/>
          <w:bCs/>
          <w:color w:val="000000"/>
          <w:kern w:val="0"/>
          <w:sz w:val="24"/>
          <w:szCs w:val="24"/>
        </w:rPr>
        <w:t>2. 视频管理平台及接入</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当传输距离≥100米应采用光纤进行传输，短距离传输可采用超五类网线； 当遇到有线网络建设困难的场合，可根据实际需要采用无线传输方式：可选择无线网络传输前端设备或有线传输设备结合无线网络模块进行传输。</w:t>
      </w:r>
    </w:p>
    <w:p>
      <w:pPr>
        <w:pStyle w:val="41"/>
      </w:pPr>
    </w:p>
    <w:p>
      <w:pPr>
        <w:pStyle w:val="41"/>
      </w:pPr>
    </w:p>
    <w:p/>
    <w:p>
      <w:pPr>
        <w:pStyle w:val="41"/>
        <w:spacing w:line="360" w:lineRule="auto"/>
        <w:ind w:left="0" w:leftChars="0" w:firstLine="0" w:firstLineChars="0"/>
        <w:jc w:val="left"/>
        <w:outlineLvl w:val="3"/>
        <w:rPr>
          <w:rFonts w:ascii="黑体" w:hAnsi="等线 Light" w:eastAsia="黑体" w:cs="宋体"/>
          <w:b/>
          <w:bCs/>
          <w:kern w:val="0"/>
          <w:sz w:val="32"/>
          <w:szCs w:val="24"/>
        </w:rPr>
      </w:pPr>
      <w:r>
        <w:t>标项</w:t>
      </w:r>
      <w:r>
        <w:rPr>
          <w:rFonts w:hint="eastAsia"/>
        </w:rPr>
        <w:t>二：</w:t>
      </w:r>
    </w:p>
    <w:p>
      <w:pPr>
        <w:keepNext/>
        <w:keepLines/>
        <w:widowControl/>
        <w:numPr>
          <w:ilvl w:val="2"/>
          <w:numId w:val="0"/>
        </w:numPr>
        <w:tabs>
          <w:tab w:val="left" w:pos="851"/>
        </w:tabs>
        <w:spacing w:line="360" w:lineRule="auto"/>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1.3.1 硬件采购需求</w:t>
      </w:r>
    </w:p>
    <w:p>
      <w:pPr>
        <w:keepNext/>
        <w:keepLines/>
        <w:widowControl/>
        <w:numPr>
          <w:ilvl w:val="2"/>
          <w:numId w:val="0"/>
        </w:numPr>
        <w:tabs>
          <w:tab w:val="left" w:pos="851"/>
        </w:tabs>
        <w:spacing w:line="360" w:lineRule="auto"/>
        <w:ind w:firstLine="480" w:firstLineChars="200"/>
        <w:jc w:val="left"/>
        <w:rPr>
          <w:rFonts w:ascii="宋体" w:hAnsi="宋体" w:cs="宋体"/>
          <w:kern w:val="0"/>
          <w:sz w:val="24"/>
          <w:szCs w:val="36"/>
        </w:rPr>
      </w:pPr>
      <w:r>
        <w:rPr>
          <w:rFonts w:hint="eastAsia" w:ascii="宋体" w:hAnsi="宋体" w:cs="宋体"/>
          <w:kern w:val="0"/>
          <w:sz w:val="24"/>
          <w:szCs w:val="36"/>
        </w:rPr>
        <w:t>按本项目基础设施支撑情况，需购置电导率监测设备、沿河排水口水质监测设备、河道水位监测设备、河道断面水质监测设备等硬件设备，包含硬件安装和系统调试。</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宋体" w:hAnsi="宋体" w:cs="宋体"/>
          <w:b/>
          <w:bCs/>
          <w:kern w:val="0"/>
          <w:sz w:val="24"/>
          <w:szCs w:val="32"/>
        </w:rPr>
        <w:t>1</w:t>
      </w:r>
      <w:r>
        <w:rPr>
          <w:rFonts w:ascii="宋体" w:hAnsi="宋体" w:cs="宋体"/>
          <w:b/>
          <w:bCs/>
          <w:kern w:val="0"/>
          <w:sz w:val="24"/>
          <w:szCs w:val="32"/>
        </w:rPr>
        <w:t>.3.</w:t>
      </w:r>
      <w:r>
        <w:rPr>
          <w:rFonts w:hint="eastAsia" w:ascii="宋体" w:hAnsi="宋体" w:cs="宋体"/>
          <w:b/>
          <w:bCs/>
          <w:kern w:val="0"/>
          <w:sz w:val="24"/>
          <w:szCs w:val="32"/>
        </w:rPr>
        <w:t>1</w:t>
      </w:r>
      <w:r>
        <w:rPr>
          <w:rFonts w:ascii="宋体" w:hAnsi="宋体" w:cs="宋体"/>
          <w:b/>
          <w:bCs/>
          <w:kern w:val="0"/>
          <w:sz w:val="24"/>
          <w:szCs w:val="32"/>
        </w:rPr>
        <w:t>.1</w:t>
      </w:r>
      <w:r>
        <w:rPr>
          <w:rFonts w:hint="eastAsia" w:ascii="宋体" w:hAnsi="宋体" w:cs="宋体"/>
          <w:b/>
          <w:bCs/>
          <w:kern w:val="0"/>
          <w:sz w:val="24"/>
          <w:szCs w:val="32"/>
        </w:rPr>
        <w:t>设备</w:t>
      </w:r>
      <w:r>
        <w:rPr>
          <w:rFonts w:hint="eastAsia" w:ascii="黑体" w:hAnsi="等线 Light" w:eastAsia="黑体" w:cs="宋体"/>
          <w:b/>
          <w:bCs/>
          <w:kern w:val="0"/>
          <w:sz w:val="24"/>
          <w:szCs w:val="28"/>
        </w:rPr>
        <w:t>清单</w:t>
      </w:r>
    </w:p>
    <w:tbl>
      <w:tblPr>
        <w:tblStyle w:val="464"/>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559"/>
        <w:gridCol w:w="3686"/>
        <w:gridCol w:w="25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Calibri"/>
                <w:b/>
                <w:bCs/>
                <w:kern w:val="0"/>
                <w:szCs w:val="28"/>
              </w:rPr>
            </w:pPr>
            <w:r>
              <w:rPr>
                <w:rFonts w:hint="eastAsia" w:ascii="宋体" w:hAnsi="宋体" w:eastAsia="Times New Roman" w:cs="宋体"/>
                <w:b/>
                <w:bCs/>
                <w:kern w:val="0"/>
                <w:szCs w:val="28"/>
              </w:rPr>
              <w:t>序号</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设备类型</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主要作用</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jc w:val="center"/>
              <w:rPr>
                <w:rFonts w:ascii="宋体" w:hAnsi="宋体" w:eastAsia="Times New Roman" w:cs="宋体"/>
                <w:b/>
                <w:bCs/>
                <w:kern w:val="0"/>
                <w:szCs w:val="28"/>
              </w:rPr>
            </w:pPr>
            <w:r>
              <w:rPr>
                <w:rFonts w:hint="eastAsia" w:ascii="宋体" w:hAnsi="宋体" w:eastAsia="Times New Roman" w:cs="宋体"/>
                <w:b/>
                <w:bCs/>
                <w:kern w:val="0"/>
                <w:szCs w:val="28"/>
              </w:rPr>
              <w:t>安装位置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1</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电导率监测设备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利用污水电导率的数字定性分析排水户、排水口排水的污染物浓度</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雨水排口、排水户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2</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沿河排水口水质监测设备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含pH值、COD、氨氮、总磷</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沿河排水口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3</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河道水位监测设备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Arial" w:hAnsi="Arial" w:eastAsia="Times New Roman" w:cs="宋体"/>
                <w:sz w:val="20"/>
              </w:rPr>
              <w:t>监测河道水位</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Arial" w:hAnsi="Arial" w:eastAsia="Times New Roman" w:cs="宋体"/>
                <w:sz w:val="20"/>
              </w:rPr>
              <w:t>桥墩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4</w:t>
            </w:r>
          </w:p>
        </w:tc>
        <w:tc>
          <w:tcPr>
            <w:tcW w:w="1559"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河道断面水质监测设备</w:t>
            </w:r>
          </w:p>
        </w:tc>
        <w:tc>
          <w:tcPr>
            <w:tcW w:w="3686"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含 pH、温度、浊度、溶解氧、氨氮、总磷、叶绿素</w:t>
            </w:r>
          </w:p>
        </w:tc>
        <w:tc>
          <w:tcPr>
            <w:tcW w:w="2551" w:type="dxa"/>
            <w:tcBorders>
              <w:top w:val="single" w:color="auto" w:sz="4" w:space="0"/>
              <w:left w:val="single" w:color="auto" w:sz="4" w:space="0"/>
              <w:bottom w:val="single" w:color="auto" w:sz="4" w:space="0"/>
              <w:right w:val="single" w:color="auto" w:sz="4" w:space="0"/>
            </w:tcBorders>
            <w:vAlign w:val="center"/>
          </w:tcPr>
          <w:p>
            <w:pPr>
              <w:spacing w:before="120" w:beforeLines="50" w:after="120" w:afterLines="50"/>
              <w:rPr>
                <w:rFonts w:ascii="宋体" w:hAnsi="宋体" w:eastAsia="Times New Roman" w:cs="宋体"/>
                <w:kern w:val="0"/>
                <w:szCs w:val="28"/>
              </w:rPr>
            </w:pPr>
            <w:r>
              <w:rPr>
                <w:rFonts w:hint="eastAsia" w:ascii="宋体" w:hAnsi="宋体" w:eastAsia="Times New Roman" w:cs="宋体"/>
                <w:kern w:val="0"/>
                <w:szCs w:val="28"/>
              </w:rPr>
              <w:t>河道重点区域</w:t>
            </w:r>
          </w:p>
        </w:tc>
      </w:tr>
    </w:tbl>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当市场上传感器设备出现精度或者技术难度问题时，可采用人工检测的方法。</w:t>
      </w:r>
    </w:p>
    <w:p>
      <w:pPr>
        <w:keepNext/>
        <w:keepLines/>
        <w:widowControl/>
        <w:numPr>
          <w:ilvl w:val="3"/>
          <w:numId w:val="0"/>
        </w:numPr>
        <w:tabs>
          <w:tab w:val="left" w:pos="2127"/>
        </w:tabs>
        <w:spacing w:line="360" w:lineRule="auto"/>
        <w:ind w:firstLine="482" w:firstLineChars="200"/>
        <w:jc w:val="left"/>
        <w:outlineLvl w:val="5"/>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w:t>
      </w:r>
      <w:r>
        <w:rPr>
          <w:rFonts w:hint="eastAsia" w:ascii="黑体" w:hAnsi="等线 Light" w:eastAsia="黑体" w:cs="宋体"/>
          <w:b/>
          <w:bCs/>
          <w:kern w:val="0"/>
          <w:sz w:val="24"/>
          <w:szCs w:val="28"/>
        </w:rPr>
        <w:t>1</w:t>
      </w:r>
      <w:r>
        <w:rPr>
          <w:rFonts w:ascii="黑体" w:hAnsi="等线 Light" w:eastAsia="黑体" w:cs="宋体"/>
          <w:b/>
          <w:bCs/>
          <w:kern w:val="0"/>
          <w:sz w:val="24"/>
          <w:szCs w:val="28"/>
        </w:rPr>
        <w:t>.2</w:t>
      </w:r>
      <w:r>
        <w:rPr>
          <w:rFonts w:hint="eastAsia" w:ascii="黑体" w:hAnsi="等线 Light" w:eastAsia="黑体" w:cs="宋体"/>
          <w:b/>
          <w:bCs/>
          <w:kern w:val="0"/>
          <w:sz w:val="24"/>
          <w:szCs w:val="28"/>
        </w:rPr>
        <w:t>技术参数要求</w:t>
      </w: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w:t>
      </w:r>
      <w:r>
        <w:rPr>
          <w:rFonts w:hint="eastAsia" w:ascii="黑体" w:hAnsi="等线 Light" w:eastAsia="黑体" w:cs="宋体"/>
          <w:b/>
          <w:bCs/>
          <w:kern w:val="0"/>
          <w:sz w:val="24"/>
          <w:szCs w:val="28"/>
        </w:rPr>
        <w:t>1</w:t>
      </w:r>
      <w:r>
        <w:rPr>
          <w:rFonts w:ascii="黑体" w:hAnsi="等线 Light" w:eastAsia="黑体" w:cs="宋体"/>
          <w:b/>
          <w:bCs/>
          <w:kern w:val="0"/>
          <w:sz w:val="24"/>
          <w:szCs w:val="28"/>
        </w:rPr>
        <w:t>.2.</w:t>
      </w:r>
      <w:r>
        <w:rPr>
          <w:rFonts w:hint="eastAsia" w:ascii="黑体" w:hAnsi="等线 Light" w:eastAsia="黑体" w:cs="宋体"/>
          <w:b/>
          <w:bCs/>
          <w:kern w:val="0"/>
          <w:sz w:val="24"/>
          <w:szCs w:val="28"/>
        </w:rPr>
        <w:t>1电导率监测设备</w:t>
      </w:r>
    </w:p>
    <w:p>
      <w:pPr>
        <w:ind w:firstLine="480"/>
      </w:pPr>
      <w:r>
        <w:rPr>
          <w:rFonts w:hint="eastAsia"/>
        </w:rPr>
        <w:t>1、设备名称：电导率监测仪</w:t>
      </w:r>
    </w:p>
    <w:p>
      <w:pPr>
        <w:ind w:firstLine="480"/>
      </w:pPr>
      <w:r>
        <w:rPr>
          <w:rFonts w:hint="eastAsia"/>
        </w:rPr>
        <w:t>2、数量：</w:t>
      </w:r>
      <w:r>
        <w:t>250</w:t>
      </w:r>
    </w:p>
    <w:p>
      <w:pPr>
        <w:ind w:firstLine="480"/>
      </w:pPr>
      <w:r>
        <w:rPr>
          <w:rFonts w:hint="eastAsia"/>
        </w:rPr>
        <w:t>3、主要功能：利用污水电导率的数字定性分析排水户的污染程度。</w:t>
      </w:r>
    </w:p>
    <w:p>
      <w:pPr>
        <w:ind w:firstLine="480"/>
      </w:pPr>
      <w:r>
        <w:rPr>
          <w:rFonts w:hint="eastAsia"/>
        </w:rPr>
        <w:t>4、技术参数：</w:t>
      </w:r>
    </w:p>
    <w:p>
      <w:pPr>
        <w:pStyle w:val="59"/>
        <w:numPr>
          <w:ilvl w:val="0"/>
          <w:numId w:val="18"/>
        </w:numPr>
        <w:ind w:firstLineChars="0"/>
      </w:pPr>
      <w:r>
        <w:t>测量量程</w:t>
      </w:r>
      <w:r>
        <w:rPr>
          <w:rFonts w:hint="eastAsia"/>
        </w:rPr>
        <w:t>：</w:t>
      </w:r>
      <w:r>
        <w:t xml:space="preserve">0～5000uS/cm </w:t>
      </w:r>
    </w:p>
    <w:p>
      <w:pPr>
        <w:pStyle w:val="59"/>
        <w:numPr>
          <w:ilvl w:val="0"/>
          <w:numId w:val="18"/>
        </w:numPr>
        <w:ind w:firstLineChars="0"/>
      </w:pPr>
      <w:r>
        <w:t>测量精度</w:t>
      </w:r>
      <w:r>
        <w:rPr>
          <w:rFonts w:hint="eastAsia"/>
        </w:rPr>
        <w:t>：</w:t>
      </w:r>
      <w:r>
        <w:t>±</w:t>
      </w:r>
      <w:r>
        <w:rPr>
          <w:rFonts w:hint="eastAsia"/>
        </w:rPr>
        <w:t>3</w:t>
      </w:r>
      <w:r>
        <w:t xml:space="preserve">%F.S. </w:t>
      </w:r>
    </w:p>
    <w:p>
      <w:pPr>
        <w:pStyle w:val="59"/>
        <w:numPr>
          <w:ilvl w:val="0"/>
          <w:numId w:val="18"/>
        </w:numPr>
        <w:ind w:firstLineChars="0"/>
      </w:pPr>
      <w:r>
        <w:t>分辨率</w:t>
      </w:r>
      <w:r>
        <w:rPr>
          <w:rFonts w:hint="eastAsia"/>
        </w:rPr>
        <w:t>：</w:t>
      </w:r>
      <w:r>
        <w:t>1uS/cm</w:t>
      </w:r>
    </w:p>
    <w:p>
      <w:pPr>
        <w:pStyle w:val="59"/>
        <w:numPr>
          <w:ilvl w:val="0"/>
          <w:numId w:val="18"/>
        </w:numPr>
        <w:ind w:firstLineChars="0"/>
      </w:pPr>
      <w:r>
        <w:rPr>
          <w:rFonts w:hint="eastAsia"/>
        </w:rPr>
        <w:t>标准频次：5min/次</w:t>
      </w:r>
    </w:p>
    <w:p>
      <w:pPr>
        <w:pStyle w:val="59"/>
        <w:numPr>
          <w:ilvl w:val="0"/>
          <w:numId w:val="18"/>
        </w:numPr>
        <w:ind w:firstLineChars="0"/>
      </w:pPr>
      <w:r>
        <w:t>工作电压</w:t>
      </w:r>
      <w:r>
        <w:rPr>
          <w:rFonts w:hint="eastAsia"/>
        </w:rPr>
        <w:t>：</w:t>
      </w:r>
      <w:r>
        <w:t>DC</w:t>
      </w:r>
      <w:r>
        <w:rPr>
          <w:rFonts w:hint="eastAsia"/>
        </w:rPr>
        <w:t>3</w:t>
      </w:r>
      <w:r>
        <w:t>～</w:t>
      </w:r>
      <w:r>
        <w:rPr>
          <w:rFonts w:hint="eastAsia"/>
        </w:rPr>
        <w:t>6</w:t>
      </w:r>
      <w:r>
        <w:t>V±10%</w:t>
      </w:r>
    </w:p>
    <w:p>
      <w:pPr>
        <w:pStyle w:val="59"/>
        <w:numPr>
          <w:ilvl w:val="0"/>
          <w:numId w:val="18"/>
        </w:numPr>
        <w:ind w:firstLineChars="0"/>
      </w:pPr>
      <w:r>
        <w:rPr>
          <w:rFonts w:hint="eastAsia"/>
        </w:rPr>
        <w:t>工作温度:0～60℃</w:t>
      </w:r>
    </w:p>
    <w:p>
      <w:pPr>
        <w:pStyle w:val="59"/>
        <w:numPr>
          <w:ilvl w:val="0"/>
          <w:numId w:val="18"/>
        </w:numPr>
        <w:ind w:firstLineChars="0"/>
      </w:pPr>
      <w:r>
        <w:t>防护等级</w:t>
      </w:r>
      <w:r>
        <w:rPr>
          <w:rFonts w:hint="eastAsia"/>
        </w:rPr>
        <w:t>：</w:t>
      </w:r>
      <w:r>
        <w:t>IP68</w:t>
      </w:r>
    </w:p>
    <w:p>
      <w:pPr>
        <w:pStyle w:val="59"/>
        <w:numPr>
          <w:ilvl w:val="0"/>
          <w:numId w:val="18"/>
        </w:numPr>
        <w:ind w:firstLineChars="0"/>
      </w:pPr>
      <w:r>
        <w:rPr>
          <w:rFonts w:hint="eastAsia"/>
        </w:rPr>
        <w:t>输出方式：</w:t>
      </w:r>
      <w:r>
        <w:t>NB-IoT</w:t>
      </w:r>
    </w:p>
    <w:p>
      <w:pPr>
        <w:pStyle w:val="59"/>
        <w:numPr>
          <w:ilvl w:val="0"/>
          <w:numId w:val="18"/>
        </w:numPr>
        <w:ind w:firstLineChars="0"/>
      </w:pPr>
      <w:r>
        <w:rPr>
          <w:rFonts w:hint="eastAsia"/>
        </w:rPr>
        <w:t>供电方式：蓄电池（自带）</w:t>
      </w:r>
    </w:p>
    <w:p>
      <w:pPr>
        <w:pStyle w:val="59"/>
        <w:numPr>
          <w:ilvl w:val="0"/>
          <w:numId w:val="18"/>
        </w:numPr>
        <w:ind w:firstLineChars="0"/>
      </w:pPr>
      <w:r>
        <w:rPr>
          <w:rFonts w:hint="eastAsia"/>
        </w:rPr>
        <w:t>安装方式：投入式(5米)膨胀螺丝固定</w:t>
      </w:r>
    </w:p>
    <w:p>
      <w:pPr>
        <w:pStyle w:val="59"/>
        <w:ind w:left="504" w:leftChars="240" w:firstLine="419" w:firstLineChars="0"/>
      </w:pPr>
      <w:r>
        <w:rPr>
          <w:rFonts w:hint="eastAsia"/>
        </w:rPr>
        <w:t>▲提供环境保护技术成果鉴定证书复印件</w:t>
      </w:r>
    </w:p>
    <w:p>
      <w:pPr>
        <w:pStyle w:val="59"/>
        <w:ind w:left="504" w:leftChars="240" w:firstLine="419" w:firstLineChars="0"/>
      </w:pPr>
      <w:r>
        <w:rPr>
          <w:rFonts w:hint="eastAsia"/>
        </w:rPr>
        <w:t>▲提供产品功耗在线监测报告复印件</w:t>
      </w:r>
    </w:p>
    <w:p>
      <w:pPr>
        <w:pStyle w:val="59"/>
        <w:ind w:left="504" w:leftChars="240" w:firstLine="419" w:firstLineChars="0"/>
      </w:pPr>
      <w:r>
        <w:rPr>
          <w:rFonts w:hint="eastAsia"/>
        </w:rPr>
        <w:t>▲提供生产厂家省科技型中小企业证书复印件</w:t>
      </w:r>
    </w:p>
    <w:p>
      <w:pPr>
        <w:pStyle w:val="59"/>
        <w:ind w:left="504" w:leftChars="240" w:firstLine="419" w:firstLineChars="0"/>
      </w:pPr>
      <w:r>
        <w:rPr>
          <w:rFonts w:hint="eastAsia"/>
        </w:rPr>
        <w:t>▲进入区级支撑数字化改革软件企业和产品推荐名单证明材料</w:t>
      </w:r>
    </w:p>
    <w:p>
      <w:pPr>
        <w:pStyle w:val="59"/>
        <w:numPr>
          <w:ilvl w:val="255"/>
          <w:numId w:val="0"/>
        </w:numPr>
        <w:ind w:left="900"/>
      </w:pP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w:t>
      </w:r>
      <w:r>
        <w:rPr>
          <w:rFonts w:hint="eastAsia" w:ascii="黑体" w:hAnsi="等线 Light" w:eastAsia="黑体" w:cs="宋体"/>
          <w:b/>
          <w:bCs/>
          <w:kern w:val="0"/>
          <w:sz w:val="24"/>
          <w:szCs w:val="28"/>
        </w:rPr>
        <w:t>1</w:t>
      </w:r>
      <w:r>
        <w:rPr>
          <w:rFonts w:ascii="黑体" w:hAnsi="等线 Light" w:eastAsia="黑体" w:cs="宋体"/>
          <w:b/>
          <w:bCs/>
          <w:kern w:val="0"/>
          <w:sz w:val="24"/>
          <w:szCs w:val="28"/>
        </w:rPr>
        <w:t>.2.</w:t>
      </w:r>
      <w:r>
        <w:rPr>
          <w:rFonts w:hint="eastAsia" w:ascii="黑体" w:hAnsi="等线 Light" w:eastAsia="黑体" w:cs="宋体"/>
          <w:b/>
          <w:bCs/>
          <w:kern w:val="0"/>
          <w:sz w:val="24"/>
          <w:szCs w:val="28"/>
        </w:rPr>
        <w:t>2沿河排水口水质监测设备</w:t>
      </w:r>
    </w:p>
    <w:p>
      <w:pPr>
        <w:ind w:firstLine="480"/>
      </w:pPr>
      <w:r>
        <w:rPr>
          <w:rFonts w:hint="eastAsia"/>
        </w:rPr>
        <w:t>1、设备名称：多参数传感器</w:t>
      </w:r>
    </w:p>
    <w:p>
      <w:pPr>
        <w:ind w:firstLine="480"/>
      </w:pPr>
      <w:r>
        <w:rPr>
          <w:rFonts w:hint="eastAsia"/>
        </w:rPr>
        <w:t>2、数量：</w:t>
      </w:r>
      <w:r>
        <w:t>10</w:t>
      </w:r>
    </w:p>
    <w:p>
      <w:pPr>
        <w:ind w:firstLine="480"/>
      </w:pPr>
      <w:r>
        <w:rPr>
          <w:rFonts w:hint="eastAsia"/>
        </w:rPr>
        <w:t>3、主要功能：对沿河排水口排水污染物浓度监测，含 pH 值、COD、氨氮、电导率等，并根据实际情况可移动到其他位置进行监测。</w:t>
      </w:r>
    </w:p>
    <w:p>
      <w:pPr>
        <w:ind w:firstLine="480"/>
      </w:pPr>
      <w:r>
        <w:rPr>
          <w:rFonts w:hint="eastAsia"/>
        </w:rPr>
        <w:t>4、技术参数：</w:t>
      </w:r>
    </w:p>
    <w:p>
      <w:pPr>
        <w:pStyle w:val="59"/>
        <w:numPr>
          <w:ilvl w:val="0"/>
          <w:numId w:val="19"/>
        </w:numPr>
        <w:ind w:firstLineChars="0"/>
      </w:pPr>
      <w:r>
        <w:rPr>
          <w:rFonts w:hint="eastAsia"/>
        </w:rPr>
        <w:t>支持检测多个参数： pH 值、COD、氨氮、电导率等</w:t>
      </w:r>
    </w:p>
    <w:p>
      <w:pPr>
        <w:pStyle w:val="59"/>
        <w:numPr>
          <w:ilvl w:val="0"/>
          <w:numId w:val="19"/>
        </w:numPr>
        <w:ind w:firstLineChars="0"/>
      </w:pPr>
      <w:r>
        <w:rPr>
          <w:rFonts w:hint="eastAsia"/>
        </w:rPr>
        <w:t>pH测量方法：玻璃电极法</w:t>
      </w:r>
    </w:p>
    <w:p>
      <w:pPr>
        <w:pStyle w:val="59"/>
        <w:numPr>
          <w:ilvl w:val="0"/>
          <w:numId w:val="19"/>
        </w:numPr>
        <w:ind w:firstLineChars="0"/>
      </w:pPr>
      <w:r>
        <w:rPr>
          <w:rFonts w:hint="eastAsia"/>
        </w:rPr>
        <w:t>COD测量方法：UV254法</w:t>
      </w:r>
    </w:p>
    <w:p>
      <w:pPr>
        <w:pStyle w:val="59"/>
        <w:numPr>
          <w:ilvl w:val="0"/>
          <w:numId w:val="19"/>
        </w:numPr>
        <w:ind w:firstLineChars="0"/>
      </w:pPr>
      <w:r>
        <w:rPr>
          <w:rFonts w:hint="eastAsia"/>
        </w:rPr>
        <w:t>氨氮测量方法：离子交换法</w:t>
      </w:r>
    </w:p>
    <w:p>
      <w:pPr>
        <w:pStyle w:val="59"/>
        <w:numPr>
          <w:ilvl w:val="0"/>
          <w:numId w:val="19"/>
        </w:numPr>
        <w:ind w:firstLineChars="0"/>
      </w:pPr>
      <w:r>
        <w:rPr>
          <w:rFonts w:hint="eastAsia"/>
        </w:rPr>
        <w:t>电导率测量方法：石墨电极法/四电极交流驱动（蛙视）</w:t>
      </w:r>
    </w:p>
    <w:p>
      <w:pPr>
        <w:pStyle w:val="59"/>
        <w:numPr>
          <w:ilvl w:val="0"/>
          <w:numId w:val="19"/>
        </w:numPr>
        <w:ind w:firstLineChars="0"/>
      </w:pPr>
      <w:r>
        <w:rPr>
          <w:rFonts w:hint="eastAsia"/>
        </w:rPr>
        <w:t>工作温度：0~50℃</w:t>
      </w:r>
    </w:p>
    <w:p>
      <w:pPr>
        <w:pStyle w:val="59"/>
        <w:numPr>
          <w:ilvl w:val="0"/>
          <w:numId w:val="19"/>
        </w:numPr>
        <w:ind w:firstLineChars="0"/>
      </w:pPr>
      <w:r>
        <w:rPr>
          <w:rFonts w:hint="eastAsia"/>
        </w:rPr>
        <w:t>工作电压：5/12V DC</w:t>
      </w:r>
    </w:p>
    <w:p>
      <w:pPr>
        <w:pStyle w:val="59"/>
        <w:numPr>
          <w:ilvl w:val="0"/>
          <w:numId w:val="19"/>
        </w:numPr>
        <w:ind w:firstLineChars="0"/>
      </w:pPr>
      <w:r>
        <w:rPr>
          <w:rFonts w:hint="eastAsia"/>
        </w:rPr>
        <w:t>输入方式：RS485</w:t>
      </w:r>
    </w:p>
    <w:p>
      <w:pPr>
        <w:pStyle w:val="59"/>
        <w:numPr>
          <w:ilvl w:val="0"/>
          <w:numId w:val="19"/>
        </w:numPr>
        <w:ind w:firstLineChars="0"/>
      </w:pPr>
      <w:r>
        <w:rPr>
          <w:rFonts w:hint="eastAsia"/>
        </w:rPr>
        <w:t>供电方式：太阳能供电系统（自带）</w:t>
      </w:r>
    </w:p>
    <w:p>
      <w:pPr>
        <w:pStyle w:val="59"/>
        <w:numPr>
          <w:ilvl w:val="0"/>
          <w:numId w:val="19"/>
        </w:numPr>
        <w:ind w:firstLineChars="0"/>
      </w:pPr>
      <w:r>
        <w:rPr>
          <w:rFonts w:hint="eastAsia"/>
        </w:rPr>
        <w:t>输出方式：NB-IoT</w:t>
      </w:r>
    </w:p>
    <w:p>
      <w:pPr>
        <w:pStyle w:val="59"/>
        <w:numPr>
          <w:ilvl w:val="0"/>
          <w:numId w:val="19"/>
        </w:numPr>
        <w:ind w:firstLineChars="0"/>
      </w:pPr>
      <w:r>
        <w:rPr>
          <w:rFonts w:hint="eastAsia"/>
        </w:rPr>
        <w:t>防护等级：IP68</w:t>
      </w:r>
    </w:p>
    <w:p>
      <w:pPr>
        <w:pStyle w:val="59"/>
        <w:numPr>
          <w:ilvl w:val="0"/>
          <w:numId w:val="19"/>
        </w:numPr>
        <w:ind w:firstLineChars="0"/>
      </w:pPr>
      <w:r>
        <w:rPr>
          <w:rFonts w:hint="eastAsia"/>
        </w:rPr>
        <w:t>移动安装：设备每年最多移动共计10次</w:t>
      </w:r>
    </w:p>
    <w:p>
      <w:pPr>
        <w:pStyle w:val="59"/>
        <w:numPr>
          <w:ilvl w:val="255"/>
          <w:numId w:val="0"/>
        </w:numPr>
        <w:ind w:left="900"/>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w:t>
      </w:r>
      <w:r>
        <w:rPr>
          <w:rFonts w:hint="eastAsia" w:ascii="黑体" w:hAnsi="等线 Light" w:eastAsia="黑体" w:cs="宋体"/>
          <w:b/>
          <w:bCs/>
          <w:kern w:val="0"/>
          <w:sz w:val="24"/>
          <w:szCs w:val="28"/>
        </w:rPr>
        <w:t>1</w:t>
      </w:r>
      <w:r>
        <w:rPr>
          <w:rFonts w:ascii="黑体" w:hAnsi="等线 Light" w:eastAsia="黑体" w:cs="宋体"/>
          <w:b/>
          <w:bCs/>
          <w:kern w:val="0"/>
          <w:sz w:val="24"/>
          <w:szCs w:val="28"/>
        </w:rPr>
        <w:t>.2.</w:t>
      </w:r>
      <w:r>
        <w:rPr>
          <w:rFonts w:hint="eastAsia" w:ascii="黑体" w:hAnsi="等线 Light" w:eastAsia="黑体" w:cs="宋体"/>
          <w:b/>
          <w:bCs/>
          <w:kern w:val="0"/>
          <w:sz w:val="24"/>
          <w:szCs w:val="28"/>
        </w:rPr>
        <w:t>3河道水位监测设备</w:t>
      </w:r>
    </w:p>
    <w:p>
      <w:pPr>
        <w:ind w:firstLine="480"/>
      </w:pPr>
      <w:r>
        <w:rPr>
          <w:rFonts w:hint="eastAsia"/>
        </w:rPr>
        <w:t>1、设备名称：一体式太阳能水位在线监测仪</w:t>
      </w:r>
    </w:p>
    <w:p>
      <w:pPr>
        <w:ind w:firstLine="480"/>
      </w:pPr>
      <w:r>
        <w:rPr>
          <w:rFonts w:hint="eastAsia"/>
        </w:rPr>
        <w:t>2、数量：20</w:t>
      </w:r>
    </w:p>
    <w:p>
      <w:pPr>
        <w:ind w:firstLine="480"/>
      </w:pPr>
      <w:r>
        <w:rPr>
          <w:rFonts w:hint="eastAsia"/>
        </w:rPr>
        <w:t>3、主要功能：监测河道水位。</w:t>
      </w:r>
    </w:p>
    <w:p>
      <w:pPr>
        <w:ind w:firstLine="480"/>
      </w:pPr>
      <w:r>
        <w:rPr>
          <w:rFonts w:hint="eastAsia"/>
        </w:rPr>
        <w:t>4、技术参数：</w:t>
      </w:r>
    </w:p>
    <w:p>
      <w:pPr>
        <w:pStyle w:val="59"/>
        <w:numPr>
          <w:ilvl w:val="0"/>
          <w:numId w:val="19"/>
        </w:numPr>
        <w:ind w:left="420" w:firstLine="426" w:firstLineChars="0"/>
      </w:pPr>
      <w:r>
        <w:rPr>
          <w:rFonts w:hint="eastAsia"/>
        </w:rPr>
        <w:t>量程：</w:t>
      </w:r>
      <w:r>
        <w:t>2M</w:t>
      </w:r>
    </w:p>
    <w:p>
      <w:pPr>
        <w:pStyle w:val="59"/>
        <w:numPr>
          <w:ilvl w:val="0"/>
          <w:numId w:val="19"/>
        </w:numPr>
        <w:ind w:left="420" w:firstLine="426" w:firstLineChars="0"/>
      </w:pPr>
      <w:r>
        <w:rPr>
          <w:rFonts w:hint="eastAsia"/>
        </w:rPr>
        <w:t>精度</w:t>
      </w:r>
      <w:r>
        <w:t>:±0.5%F.S.</w:t>
      </w:r>
    </w:p>
    <w:p>
      <w:pPr>
        <w:pStyle w:val="59"/>
        <w:numPr>
          <w:ilvl w:val="0"/>
          <w:numId w:val="19"/>
        </w:numPr>
        <w:ind w:left="420" w:firstLine="426" w:firstLineChars="0"/>
      </w:pPr>
      <w:r>
        <w:rPr>
          <w:rFonts w:hint="eastAsia"/>
        </w:rPr>
        <w:t>最低分辨率：</w:t>
      </w:r>
      <w:r>
        <w:t>1mm</w:t>
      </w:r>
    </w:p>
    <w:p>
      <w:pPr>
        <w:pStyle w:val="59"/>
        <w:numPr>
          <w:ilvl w:val="0"/>
          <w:numId w:val="19"/>
        </w:numPr>
        <w:ind w:left="420" w:firstLine="426" w:firstLineChars="0"/>
      </w:pPr>
      <w:r>
        <w:rPr>
          <w:rFonts w:hint="eastAsia"/>
        </w:rPr>
        <w:t>标准频次：</w:t>
      </w:r>
      <w:r>
        <w:t>5min/次</w:t>
      </w:r>
    </w:p>
    <w:p>
      <w:pPr>
        <w:pStyle w:val="59"/>
        <w:numPr>
          <w:ilvl w:val="0"/>
          <w:numId w:val="19"/>
        </w:numPr>
        <w:ind w:left="420" w:firstLine="426" w:firstLineChars="0"/>
      </w:pPr>
      <w:r>
        <w:rPr>
          <w:rFonts w:hint="eastAsia"/>
        </w:rPr>
        <w:t>工作电压：</w:t>
      </w:r>
      <w:r>
        <w:t>DC3～6V±10%</w:t>
      </w:r>
    </w:p>
    <w:p>
      <w:pPr>
        <w:pStyle w:val="59"/>
        <w:numPr>
          <w:ilvl w:val="0"/>
          <w:numId w:val="19"/>
        </w:numPr>
        <w:ind w:left="420" w:firstLine="426" w:firstLineChars="0"/>
      </w:pPr>
      <w:r>
        <w:rPr>
          <w:rFonts w:hint="eastAsia"/>
        </w:rPr>
        <w:t>工作温度</w:t>
      </w:r>
      <w:r>
        <w:t>:0～60℃</w:t>
      </w:r>
    </w:p>
    <w:p>
      <w:pPr>
        <w:pStyle w:val="59"/>
        <w:numPr>
          <w:ilvl w:val="0"/>
          <w:numId w:val="19"/>
        </w:numPr>
        <w:ind w:left="420" w:firstLine="426" w:firstLineChars="0"/>
      </w:pPr>
      <w:r>
        <w:rPr>
          <w:rFonts w:hint="eastAsia"/>
        </w:rPr>
        <w:t>供电方式：太阳能供电系统（自带）</w:t>
      </w:r>
    </w:p>
    <w:p>
      <w:pPr>
        <w:pStyle w:val="59"/>
        <w:numPr>
          <w:ilvl w:val="0"/>
          <w:numId w:val="19"/>
        </w:numPr>
        <w:ind w:left="420" w:firstLine="426" w:firstLineChars="0"/>
      </w:pPr>
      <w:r>
        <w:rPr>
          <w:rFonts w:hint="eastAsia"/>
        </w:rPr>
        <w:t>输出方式</w:t>
      </w:r>
      <w:r>
        <w:t>:NB-IoT</w:t>
      </w:r>
    </w:p>
    <w:p>
      <w:pPr>
        <w:pStyle w:val="59"/>
        <w:numPr>
          <w:ilvl w:val="0"/>
          <w:numId w:val="19"/>
        </w:numPr>
        <w:ind w:left="420" w:firstLine="426" w:firstLineChars="0"/>
      </w:pPr>
      <w:r>
        <w:rPr>
          <w:rFonts w:hint="eastAsia"/>
        </w:rPr>
        <w:t>防护等级：</w:t>
      </w:r>
      <w:r>
        <w:t>IP68</w:t>
      </w:r>
    </w:p>
    <w:p>
      <w:pPr>
        <w:pStyle w:val="59"/>
        <w:numPr>
          <w:ilvl w:val="0"/>
          <w:numId w:val="19"/>
        </w:numPr>
        <w:ind w:left="420" w:firstLine="426" w:firstLineChars="0"/>
      </w:pPr>
      <w:r>
        <w:rPr>
          <w:rFonts w:hint="eastAsia"/>
        </w:rPr>
        <w:t>连续工作时长：</w:t>
      </w:r>
      <w:r>
        <w:t>10</w:t>
      </w:r>
      <w:r>
        <w:rPr>
          <w:rFonts w:hint="eastAsia"/>
        </w:rPr>
        <w:t>天</w:t>
      </w:r>
      <w:r>
        <w:t>(无任何光照)</w:t>
      </w:r>
    </w:p>
    <w:p>
      <w:pPr>
        <w:pStyle w:val="59"/>
        <w:numPr>
          <w:ilvl w:val="0"/>
          <w:numId w:val="19"/>
        </w:numPr>
        <w:ind w:left="420" w:firstLine="426" w:firstLineChars="0"/>
      </w:pPr>
      <w:r>
        <w:rPr>
          <w:rFonts w:hint="eastAsia"/>
        </w:rPr>
        <w:t>安装方式:盘式座膨胀螺丝固定</w:t>
      </w:r>
    </w:p>
    <w:p>
      <w:pPr>
        <w:pStyle w:val="59"/>
        <w:numPr>
          <w:ilvl w:val="255"/>
          <w:numId w:val="0"/>
        </w:numPr>
        <w:ind w:left="846"/>
      </w:pPr>
    </w:p>
    <w:p>
      <w:pPr>
        <w:keepNext/>
        <w:keepLines/>
        <w:widowControl/>
        <w:numPr>
          <w:ilvl w:val="4"/>
          <w:numId w:val="0"/>
        </w:numPr>
        <w:spacing w:line="360" w:lineRule="auto"/>
        <w:ind w:left="-79" w:firstLine="482" w:firstLineChars="200"/>
        <w:jc w:val="left"/>
        <w:outlineLvl w:val="6"/>
        <w:rPr>
          <w:rFonts w:ascii="黑体" w:hAnsi="等线 Light" w:eastAsia="黑体" w:cs="宋体"/>
          <w:b/>
          <w:bCs/>
          <w:kern w:val="0"/>
          <w:sz w:val="24"/>
          <w:szCs w:val="28"/>
        </w:rPr>
      </w:pPr>
      <w:r>
        <w:rPr>
          <w:rFonts w:hint="eastAsia" w:ascii="黑体" w:hAnsi="等线 Light" w:eastAsia="黑体" w:cs="宋体"/>
          <w:b/>
          <w:bCs/>
          <w:kern w:val="0"/>
          <w:sz w:val="24"/>
          <w:szCs w:val="28"/>
        </w:rPr>
        <w:t>1</w:t>
      </w:r>
      <w:r>
        <w:rPr>
          <w:rFonts w:ascii="黑体" w:hAnsi="等线 Light" w:eastAsia="黑体" w:cs="宋体"/>
          <w:b/>
          <w:bCs/>
          <w:kern w:val="0"/>
          <w:sz w:val="24"/>
          <w:szCs w:val="28"/>
        </w:rPr>
        <w:t>.3.</w:t>
      </w:r>
      <w:r>
        <w:rPr>
          <w:rFonts w:hint="eastAsia" w:ascii="黑体" w:hAnsi="等线 Light" w:eastAsia="黑体" w:cs="宋体"/>
          <w:b/>
          <w:bCs/>
          <w:kern w:val="0"/>
          <w:sz w:val="24"/>
          <w:szCs w:val="28"/>
        </w:rPr>
        <w:t>1</w:t>
      </w:r>
      <w:r>
        <w:rPr>
          <w:rFonts w:ascii="黑体" w:hAnsi="等线 Light" w:eastAsia="黑体" w:cs="宋体"/>
          <w:b/>
          <w:bCs/>
          <w:kern w:val="0"/>
          <w:sz w:val="24"/>
          <w:szCs w:val="28"/>
        </w:rPr>
        <w:t>.2.</w:t>
      </w:r>
      <w:r>
        <w:rPr>
          <w:rFonts w:hint="eastAsia" w:ascii="黑体" w:hAnsi="等线 Light" w:eastAsia="黑体" w:cs="宋体"/>
          <w:b/>
          <w:bCs/>
          <w:kern w:val="0"/>
          <w:sz w:val="24"/>
          <w:szCs w:val="28"/>
        </w:rPr>
        <w:t>4河道断面水质监测设备</w:t>
      </w:r>
    </w:p>
    <w:p>
      <w:pPr>
        <w:ind w:firstLine="480"/>
      </w:pPr>
      <w:r>
        <w:rPr>
          <w:rFonts w:hint="eastAsia"/>
        </w:rPr>
        <w:t>1、设备名称：浮标式水质监测站</w:t>
      </w:r>
    </w:p>
    <w:p>
      <w:pPr>
        <w:ind w:firstLine="480"/>
      </w:pPr>
      <w:r>
        <w:rPr>
          <w:rFonts w:hint="eastAsia"/>
        </w:rPr>
        <w:t>2、数量：2</w:t>
      </w:r>
    </w:p>
    <w:p>
      <w:pPr>
        <w:ind w:firstLine="480"/>
      </w:pPr>
      <w:r>
        <w:rPr>
          <w:rFonts w:hint="eastAsia"/>
        </w:rPr>
        <w:t>3、主要功能：对断面的污染浓度监测，含pH、温度、浊度、溶解氧、氨氮、叶绿素等。</w:t>
      </w:r>
    </w:p>
    <w:p>
      <w:pPr>
        <w:ind w:firstLine="480"/>
      </w:pPr>
      <w:r>
        <w:rPr>
          <w:rFonts w:hint="eastAsia"/>
        </w:rPr>
        <w:t>4、技术参数：</w:t>
      </w:r>
    </w:p>
    <w:p>
      <w:pPr>
        <w:pStyle w:val="59"/>
        <w:numPr>
          <w:ilvl w:val="0"/>
          <w:numId w:val="20"/>
        </w:numPr>
        <w:ind w:firstLineChars="0"/>
      </w:pPr>
      <w:r>
        <w:rPr>
          <w:rFonts w:hint="eastAsia"/>
        </w:rPr>
        <w:t>支持检测多个参数： pH、温度、浊度、溶解氧、氨氮、叶绿素等</w:t>
      </w:r>
    </w:p>
    <w:p>
      <w:pPr>
        <w:pStyle w:val="59"/>
        <w:numPr>
          <w:ilvl w:val="0"/>
          <w:numId w:val="20"/>
        </w:numPr>
        <w:ind w:firstLineChars="0"/>
      </w:pPr>
      <w:r>
        <w:rPr>
          <w:rFonts w:hint="eastAsia"/>
        </w:rPr>
        <w:t>pH、温度测量方法：玻璃电极法</w:t>
      </w:r>
    </w:p>
    <w:p>
      <w:pPr>
        <w:pStyle w:val="59"/>
        <w:numPr>
          <w:ilvl w:val="0"/>
          <w:numId w:val="20"/>
        </w:numPr>
        <w:ind w:firstLineChars="0"/>
      </w:pPr>
      <w:r>
        <w:rPr>
          <w:rFonts w:hint="eastAsia"/>
        </w:rPr>
        <w:t>浊度测量方法：90°散射法</w:t>
      </w:r>
    </w:p>
    <w:p>
      <w:pPr>
        <w:pStyle w:val="59"/>
        <w:numPr>
          <w:ilvl w:val="0"/>
          <w:numId w:val="20"/>
        </w:numPr>
        <w:ind w:firstLineChars="0"/>
      </w:pPr>
      <w:r>
        <w:rPr>
          <w:rFonts w:hint="eastAsia"/>
        </w:rPr>
        <w:t>溶解氧测量方法：荧光法</w:t>
      </w:r>
    </w:p>
    <w:p>
      <w:pPr>
        <w:pStyle w:val="59"/>
        <w:numPr>
          <w:ilvl w:val="0"/>
          <w:numId w:val="20"/>
        </w:numPr>
        <w:ind w:firstLineChars="0"/>
      </w:pPr>
      <w:r>
        <w:rPr>
          <w:rFonts w:hint="eastAsia"/>
        </w:rPr>
        <w:t>氨氮测量方法：离子交换法</w:t>
      </w:r>
    </w:p>
    <w:p>
      <w:pPr>
        <w:pStyle w:val="59"/>
        <w:numPr>
          <w:ilvl w:val="0"/>
          <w:numId w:val="20"/>
        </w:numPr>
        <w:ind w:firstLineChars="0"/>
      </w:pPr>
      <w:r>
        <w:rPr>
          <w:rFonts w:hint="eastAsia"/>
        </w:rPr>
        <w:t>叶绿素测量方法：荧光法</w:t>
      </w:r>
    </w:p>
    <w:p>
      <w:pPr>
        <w:pStyle w:val="59"/>
        <w:numPr>
          <w:ilvl w:val="0"/>
          <w:numId w:val="20"/>
        </w:numPr>
        <w:ind w:firstLineChars="0"/>
      </w:pPr>
      <w:r>
        <w:rPr>
          <w:rFonts w:hint="eastAsia"/>
        </w:rPr>
        <w:t>工作温度：0~50℃</w:t>
      </w:r>
    </w:p>
    <w:p>
      <w:pPr>
        <w:pStyle w:val="59"/>
        <w:numPr>
          <w:ilvl w:val="0"/>
          <w:numId w:val="20"/>
        </w:numPr>
        <w:ind w:firstLineChars="0"/>
      </w:pPr>
      <w:r>
        <w:rPr>
          <w:rFonts w:hint="eastAsia"/>
        </w:rPr>
        <w:t>工作电压：5/12V DC</w:t>
      </w:r>
    </w:p>
    <w:p>
      <w:pPr>
        <w:pStyle w:val="59"/>
        <w:numPr>
          <w:ilvl w:val="0"/>
          <w:numId w:val="20"/>
        </w:numPr>
        <w:ind w:firstLineChars="0"/>
      </w:pPr>
      <w:r>
        <w:rPr>
          <w:rFonts w:hint="eastAsia"/>
        </w:rPr>
        <w:t>输入方式：RS485</w:t>
      </w:r>
    </w:p>
    <w:p>
      <w:pPr>
        <w:pStyle w:val="59"/>
        <w:numPr>
          <w:ilvl w:val="0"/>
          <w:numId w:val="20"/>
        </w:numPr>
        <w:ind w:firstLineChars="0"/>
      </w:pPr>
      <w:r>
        <w:rPr>
          <w:rFonts w:hint="eastAsia"/>
        </w:rPr>
        <w:t>供电方式：太阳能供电系统（自带）</w:t>
      </w:r>
    </w:p>
    <w:p>
      <w:pPr>
        <w:pStyle w:val="59"/>
        <w:numPr>
          <w:ilvl w:val="0"/>
          <w:numId w:val="20"/>
        </w:numPr>
        <w:ind w:firstLineChars="0"/>
      </w:pPr>
      <w:r>
        <w:rPr>
          <w:rFonts w:hint="eastAsia"/>
        </w:rPr>
        <w:t>输出方式：NB-IoT</w:t>
      </w:r>
    </w:p>
    <w:p>
      <w:pPr>
        <w:pStyle w:val="59"/>
        <w:numPr>
          <w:ilvl w:val="0"/>
          <w:numId w:val="20"/>
        </w:numPr>
        <w:ind w:firstLineChars="0"/>
      </w:pPr>
      <w:r>
        <w:rPr>
          <w:rFonts w:hint="eastAsia"/>
        </w:rPr>
        <w:t>防护等级：IP68</w:t>
      </w:r>
    </w:p>
    <w:p>
      <w:pPr>
        <w:pStyle w:val="59"/>
        <w:numPr>
          <w:ilvl w:val="255"/>
          <w:numId w:val="0"/>
        </w:numPr>
        <w:ind w:left="900"/>
      </w:pPr>
    </w:p>
    <w:p>
      <w:pPr>
        <w:keepNext/>
        <w:keepLines/>
        <w:widowControl/>
        <w:numPr>
          <w:ilvl w:val="3"/>
          <w:numId w:val="0"/>
        </w:numPr>
        <w:tabs>
          <w:tab w:val="left" w:pos="2127"/>
        </w:tabs>
        <w:spacing w:line="360" w:lineRule="auto"/>
        <w:ind w:firstLine="482" w:firstLineChars="200"/>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1.3.2 应用软件系统开发需求</w:t>
      </w:r>
    </w:p>
    <w:p>
      <w:pPr>
        <w:keepNext/>
        <w:keepLines/>
        <w:widowControl/>
        <w:numPr>
          <w:ilvl w:val="3"/>
          <w:numId w:val="0"/>
        </w:numPr>
        <w:tabs>
          <w:tab w:val="left" w:pos="2127"/>
        </w:tabs>
        <w:spacing w:line="360" w:lineRule="auto"/>
        <w:ind w:firstLine="482" w:firstLineChars="200"/>
        <w:jc w:val="left"/>
        <w:outlineLvl w:val="5"/>
        <w:rPr>
          <w:rFonts w:ascii="黑体" w:hAnsi="宋体" w:eastAsia="黑体" w:cs="宋体"/>
          <w:b/>
          <w:bCs/>
          <w:kern w:val="0"/>
          <w:sz w:val="24"/>
          <w:szCs w:val="32"/>
        </w:rPr>
      </w:pPr>
      <w:r>
        <w:rPr>
          <w:rFonts w:hint="eastAsia" w:ascii="黑体" w:hAnsi="宋体" w:eastAsia="黑体" w:cs="宋体"/>
          <w:b/>
          <w:bCs/>
          <w:kern w:val="0"/>
          <w:sz w:val="24"/>
          <w:szCs w:val="32"/>
        </w:rPr>
        <w:t>1.3.2</w:t>
      </w:r>
      <w:r>
        <w:rPr>
          <w:rFonts w:ascii="黑体" w:hAnsi="宋体" w:eastAsia="黑体" w:cs="宋体"/>
          <w:b/>
          <w:bCs/>
          <w:kern w:val="0"/>
          <w:sz w:val="24"/>
          <w:szCs w:val="32"/>
        </w:rPr>
        <w:t>.1</w:t>
      </w:r>
      <w:r>
        <w:rPr>
          <w:rFonts w:hint="eastAsia" w:ascii="黑体" w:hAnsi="宋体" w:eastAsia="黑体" w:cs="宋体"/>
          <w:b/>
          <w:bCs/>
          <w:kern w:val="0"/>
          <w:sz w:val="24"/>
          <w:szCs w:val="32"/>
        </w:rPr>
        <w:t>功能需求</w:t>
      </w:r>
    </w:p>
    <w:p/>
    <w:p>
      <w:pPr>
        <w:keepNext/>
        <w:keepLines/>
        <w:widowControl/>
        <w:numPr>
          <w:ilvl w:val="4"/>
          <w:numId w:val="0"/>
        </w:numPr>
        <w:spacing w:line="360" w:lineRule="auto"/>
        <w:jc w:val="left"/>
        <w:outlineLvl w:val="6"/>
        <w:rPr>
          <w:rFonts w:ascii="黑体" w:hAnsi="宋体" w:eastAsia="黑体" w:cs="宋体"/>
          <w:b/>
          <w:bCs/>
          <w:kern w:val="0"/>
          <w:sz w:val="24"/>
          <w:szCs w:val="32"/>
        </w:rPr>
      </w:pPr>
      <w:r>
        <w:rPr>
          <w:rFonts w:hint="eastAsia" w:ascii="黑体" w:hAnsi="宋体" w:eastAsia="黑体" w:cs="宋体"/>
          <w:b/>
          <w:bCs/>
          <w:kern w:val="0"/>
          <w:sz w:val="24"/>
          <w:szCs w:val="32"/>
        </w:rPr>
        <w:t>1</w:t>
      </w:r>
      <w:r>
        <w:rPr>
          <w:rFonts w:ascii="黑体" w:hAnsi="宋体" w:eastAsia="黑体" w:cs="宋体"/>
          <w:b/>
          <w:bCs/>
          <w:kern w:val="0"/>
          <w:sz w:val="24"/>
          <w:szCs w:val="32"/>
        </w:rPr>
        <w:t>.3</w:t>
      </w:r>
      <w:r>
        <w:rPr>
          <w:rFonts w:hint="eastAsia" w:ascii="黑体" w:hAnsi="宋体" w:eastAsia="黑体" w:cs="宋体"/>
          <w:b/>
          <w:bCs/>
          <w:kern w:val="0"/>
          <w:sz w:val="24"/>
          <w:szCs w:val="32"/>
        </w:rPr>
        <w:t>.2</w:t>
      </w:r>
      <w:r>
        <w:rPr>
          <w:rFonts w:ascii="黑体" w:hAnsi="宋体" w:eastAsia="黑体" w:cs="宋体"/>
          <w:b/>
          <w:bCs/>
          <w:kern w:val="0"/>
          <w:sz w:val="24"/>
          <w:szCs w:val="32"/>
        </w:rPr>
        <w:t>.1.1.</w:t>
      </w:r>
      <w:r>
        <w:rPr>
          <w:rFonts w:hint="eastAsia" w:ascii="黑体" w:hAnsi="宋体" w:eastAsia="黑体" w:cs="宋体"/>
          <w:b/>
          <w:bCs/>
          <w:kern w:val="0"/>
          <w:sz w:val="24"/>
          <w:szCs w:val="32"/>
        </w:rPr>
        <w:t xml:space="preserve"> 治水一张图</w:t>
      </w:r>
    </w:p>
    <w:p>
      <w:pPr>
        <w:widowControl/>
        <w:numPr>
          <w:ilvl w:val="255"/>
          <w:numId w:val="0"/>
        </w:numPr>
        <w:spacing w:line="360" w:lineRule="auto"/>
        <w:ind w:firstLine="480" w:firstLineChars="200"/>
        <w:jc w:val="left"/>
        <w:rPr>
          <w:rFonts w:ascii="宋体" w:hAnsi="宋体" w:cs="宋体"/>
          <w:kern w:val="0"/>
          <w:sz w:val="24"/>
          <w:szCs w:val="36"/>
        </w:rPr>
      </w:pPr>
      <w:r>
        <w:rPr>
          <w:rFonts w:hint="eastAsia" w:ascii="宋体" w:hAnsi="宋体" w:cs="宋体"/>
          <w:kern w:val="0"/>
          <w:sz w:val="24"/>
          <w:szCs w:val="36"/>
        </w:rPr>
        <w:t>1、排水设施信息</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排水户信息：在一张图上展示排水户分布，对排水户的名称、地址、联系人、联系电话、类型、主要污染物指标、排放水量、污水排放走向和排水许可证办理情况等信息进行可视化展示。动态显示排水户的水质状态，点击排水户可以查看水质异常的历史信息。</w:t>
      </w:r>
    </w:p>
    <w:p>
      <w:pPr>
        <w:widowControl/>
        <w:numPr>
          <w:ilvl w:val="255"/>
          <w:numId w:val="0"/>
        </w:numPr>
        <w:spacing w:line="360" w:lineRule="auto"/>
        <w:ind w:firstLine="480" w:firstLineChars="200"/>
        <w:jc w:val="left"/>
        <w:rPr>
          <w:rFonts w:ascii="宋体" w:hAnsi="宋体" w:cs="宋体"/>
          <w:kern w:val="0"/>
          <w:sz w:val="24"/>
          <w:szCs w:val="36"/>
        </w:rPr>
      </w:pPr>
      <w:r>
        <w:rPr>
          <w:rFonts w:hint="eastAsia" w:ascii="宋体" w:hAnsi="宋体" w:cs="宋体"/>
          <w:kern w:val="0"/>
          <w:sz w:val="24"/>
          <w:szCs w:val="36"/>
        </w:rPr>
        <w:t>2、查询统计</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查询功能：增加排水户查询功能。</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统计功能：排水户统计，并支持导出功能。</w:t>
      </w:r>
    </w:p>
    <w:p>
      <w:pPr>
        <w:keepNext/>
        <w:keepLines/>
        <w:widowControl/>
        <w:numPr>
          <w:ilvl w:val="4"/>
          <w:numId w:val="0"/>
        </w:numPr>
        <w:spacing w:line="360" w:lineRule="auto"/>
        <w:jc w:val="left"/>
        <w:outlineLvl w:val="6"/>
        <w:rPr>
          <w:rFonts w:ascii="黑体" w:hAnsi="宋体" w:eastAsia="黑体" w:cs="宋体"/>
          <w:b/>
          <w:bCs/>
          <w:kern w:val="0"/>
          <w:sz w:val="24"/>
          <w:szCs w:val="32"/>
        </w:rPr>
      </w:pPr>
      <w:r>
        <w:rPr>
          <w:rFonts w:hint="eastAsia" w:ascii="黑体" w:hAnsi="宋体" w:eastAsia="黑体" w:cs="宋体"/>
          <w:b/>
          <w:bCs/>
          <w:kern w:val="0"/>
          <w:sz w:val="24"/>
          <w:szCs w:val="32"/>
        </w:rPr>
        <w:t>1.3.2.</w:t>
      </w:r>
      <w:r>
        <w:rPr>
          <w:rFonts w:ascii="黑体" w:hAnsi="宋体" w:eastAsia="黑体" w:cs="宋体"/>
          <w:b/>
          <w:bCs/>
          <w:kern w:val="0"/>
          <w:sz w:val="24"/>
          <w:szCs w:val="32"/>
        </w:rPr>
        <w:t>1</w:t>
      </w:r>
      <w:r>
        <w:rPr>
          <w:rFonts w:hint="eastAsia" w:ascii="黑体" w:hAnsi="宋体" w:eastAsia="黑体" w:cs="宋体"/>
          <w:b/>
          <w:bCs/>
          <w:kern w:val="0"/>
          <w:sz w:val="24"/>
          <w:szCs w:val="32"/>
        </w:rPr>
        <w:t>.2 监测一张网</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1、传感器分布图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在地图上显示排水户电导率监测设备、排水口水质监测设备、河道水质和水位监测设备的分布图，可结合地图查看对应设备信息。</w:t>
      </w:r>
    </w:p>
    <w:p>
      <w:pPr>
        <w:widowControl/>
        <w:numPr>
          <w:ilvl w:val="255"/>
          <w:numId w:val="0"/>
        </w:numPr>
        <w:spacing w:line="360" w:lineRule="auto"/>
        <w:ind w:firstLine="480" w:firstLineChars="200"/>
        <w:rPr>
          <w:rFonts w:ascii="宋体" w:hAnsi="宋体" w:cs="宋体"/>
          <w:kern w:val="0"/>
          <w:sz w:val="24"/>
          <w:szCs w:val="36"/>
        </w:rPr>
      </w:pPr>
      <w:r>
        <w:rPr>
          <w:rFonts w:hint="eastAsia" w:ascii="宋体" w:hAnsi="宋体" w:cs="宋体"/>
          <w:kern w:val="0"/>
          <w:sz w:val="24"/>
          <w:szCs w:val="36"/>
        </w:rPr>
        <w:t>2、在线监测</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▲河道水质分布图：根据监测结果，分析数据形成高新区水质分布图。</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入河排水口的水质监测：接入排水口水质设备，进行监测数据和报警验证。</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污染源头监测：接入排水户电导率设备，进行监测数据和报警验证。</w:t>
      </w:r>
    </w:p>
    <w:p>
      <w:pPr>
        <w:widowControl/>
        <w:spacing w:line="360" w:lineRule="auto"/>
        <w:ind w:firstLine="480"/>
        <w:rPr>
          <w:rFonts w:ascii="宋体" w:hAnsi="宋体" w:cs="宋体"/>
          <w:kern w:val="0"/>
          <w:sz w:val="24"/>
          <w:szCs w:val="36"/>
        </w:rPr>
      </w:pPr>
      <w:r>
        <w:rPr>
          <w:rFonts w:hint="eastAsia" w:ascii="宋体" w:hAnsi="宋体" w:cs="宋体"/>
          <w:kern w:val="0"/>
          <w:sz w:val="24"/>
          <w:szCs w:val="36"/>
        </w:rPr>
        <w:t>河道断面水质监测分析：接入河道断面水质监测设备，进行监测数据和分析统计功能验证。</w:t>
      </w:r>
    </w:p>
    <w:p>
      <w:pPr>
        <w:keepNext/>
        <w:keepLines/>
        <w:widowControl/>
        <w:numPr>
          <w:ilvl w:val="4"/>
          <w:numId w:val="0"/>
        </w:numPr>
        <w:spacing w:line="360" w:lineRule="auto"/>
        <w:jc w:val="left"/>
        <w:outlineLvl w:val="6"/>
        <w:rPr>
          <w:rFonts w:ascii="黑体" w:hAnsi="宋体" w:eastAsia="黑体" w:cs="宋体"/>
          <w:b/>
          <w:bCs/>
          <w:kern w:val="0"/>
          <w:sz w:val="24"/>
          <w:szCs w:val="32"/>
        </w:rPr>
      </w:pPr>
      <w:r>
        <w:rPr>
          <w:rFonts w:hint="eastAsia" w:ascii="黑体" w:hAnsi="宋体" w:eastAsia="黑体" w:cs="宋体"/>
          <w:b/>
          <w:bCs/>
          <w:kern w:val="0"/>
          <w:sz w:val="24"/>
          <w:szCs w:val="32"/>
        </w:rPr>
        <w:t>1.3.2.</w:t>
      </w:r>
      <w:r>
        <w:rPr>
          <w:rFonts w:ascii="黑体" w:hAnsi="宋体" w:eastAsia="黑体" w:cs="宋体"/>
          <w:b/>
          <w:bCs/>
          <w:kern w:val="0"/>
          <w:sz w:val="24"/>
          <w:szCs w:val="32"/>
        </w:rPr>
        <w:t>1</w:t>
      </w:r>
      <w:r>
        <w:rPr>
          <w:rFonts w:hint="eastAsia" w:ascii="黑体" w:hAnsi="宋体" w:eastAsia="黑体" w:cs="宋体"/>
          <w:b/>
          <w:bCs/>
          <w:kern w:val="0"/>
          <w:sz w:val="24"/>
          <w:szCs w:val="32"/>
        </w:rPr>
        <w:t>.</w:t>
      </w:r>
      <w:r>
        <w:rPr>
          <w:rFonts w:ascii="黑体" w:hAnsi="宋体" w:eastAsia="黑体" w:cs="宋体"/>
          <w:b/>
          <w:bCs/>
          <w:kern w:val="0"/>
          <w:sz w:val="24"/>
          <w:szCs w:val="32"/>
        </w:rPr>
        <w:t>3</w:t>
      </w:r>
      <w:r>
        <w:rPr>
          <w:rFonts w:hint="eastAsia" w:ascii="黑体" w:hAnsi="宋体" w:eastAsia="黑体" w:cs="宋体"/>
          <w:b/>
          <w:bCs/>
          <w:kern w:val="0"/>
          <w:sz w:val="24"/>
          <w:szCs w:val="32"/>
        </w:rPr>
        <w:t xml:space="preserve"> </w:t>
      </w:r>
      <w:r>
        <w:rPr>
          <w:rFonts w:hint="eastAsia" w:ascii="黑体" w:hAnsi="宋体" w:eastAsia="黑体" w:cs="宋体"/>
          <w:b/>
          <w:bCs/>
          <w:kern w:val="0"/>
          <w:sz w:val="24"/>
          <w:szCs w:val="32"/>
          <w:lang w:eastAsia="zh-Hans"/>
        </w:rPr>
        <w:t>智慧排水</w:t>
      </w:r>
      <w:r>
        <w:rPr>
          <w:rFonts w:hint="eastAsia" w:ascii="黑体" w:hAnsi="宋体" w:eastAsia="黑体" w:cs="宋体"/>
          <w:b/>
          <w:bCs/>
          <w:kern w:val="0"/>
          <w:sz w:val="24"/>
          <w:szCs w:val="32"/>
        </w:rPr>
        <w:t>业务</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1、智能管网溯源</w:t>
      </w:r>
    </w:p>
    <w:p>
      <w:pPr>
        <w:widowControl/>
        <w:numPr>
          <w:ilvl w:val="255"/>
          <w:numId w:val="0"/>
        </w:numPr>
        <w:spacing w:line="360" w:lineRule="auto"/>
        <w:ind w:firstLine="480" w:firstLineChars="200"/>
        <w:jc w:val="left"/>
        <w:rPr>
          <w:rFonts w:ascii="宋体" w:hAnsi="宋体" w:cs="宋体"/>
          <w:kern w:val="0"/>
          <w:sz w:val="24"/>
          <w:szCs w:val="36"/>
        </w:rPr>
      </w:pPr>
      <w:r>
        <w:rPr>
          <w:rFonts w:hint="eastAsia" w:ascii="宋体" w:hAnsi="宋体" w:cs="宋体"/>
          <w:kern w:val="0"/>
          <w:sz w:val="24"/>
          <w:szCs w:val="36"/>
        </w:rPr>
        <w:t>对雨水管网和河道进行溯源分析，监测管网液位和河道水位之间的关系，优化溯源模型，优化液位报警参数。</w:t>
      </w:r>
    </w:p>
    <w:p>
      <w:pPr>
        <w:pStyle w:val="41"/>
      </w:pPr>
    </w:p>
    <w:p>
      <w:pPr>
        <w:keepNext/>
        <w:keepLines/>
        <w:widowControl/>
        <w:numPr>
          <w:ilvl w:val="4"/>
          <w:numId w:val="0"/>
        </w:numPr>
        <w:spacing w:line="360" w:lineRule="auto"/>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1.3.3数据资源需求</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本项目数据资源建设需数据治理。</w:t>
      </w:r>
    </w:p>
    <w:p>
      <w:pPr>
        <w:widowControl/>
        <w:spacing w:line="360" w:lineRule="auto"/>
        <w:ind w:firstLine="480" w:firstLineChars="200"/>
        <w:rPr>
          <w:rFonts w:ascii="宋体" w:hAnsi="宋体" w:cs="宋体"/>
          <w:kern w:val="0"/>
          <w:sz w:val="24"/>
          <w:szCs w:val="36"/>
        </w:rPr>
      </w:pPr>
      <w:r>
        <w:rPr>
          <w:rFonts w:hint="eastAsia" w:ascii="宋体" w:hAnsi="宋体" w:cs="宋体"/>
          <w:kern w:val="0"/>
          <w:sz w:val="24"/>
          <w:szCs w:val="36"/>
        </w:rPr>
        <w:t>数据治理包括数据清洗、数据分类、数据转化、数据关联以及数据脱密处理；</w:t>
      </w:r>
    </w:p>
    <w:p>
      <w:pPr>
        <w:keepNext/>
        <w:keepLines/>
        <w:widowControl/>
        <w:numPr>
          <w:ilvl w:val="2"/>
          <w:numId w:val="0"/>
        </w:numPr>
        <w:tabs>
          <w:tab w:val="left" w:pos="851"/>
        </w:tabs>
        <w:spacing w:line="360" w:lineRule="auto"/>
        <w:jc w:val="left"/>
        <w:outlineLvl w:val="4"/>
        <w:rPr>
          <w:rFonts w:ascii="黑体" w:hAnsi="宋体" w:eastAsia="黑体" w:cs="宋体"/>
          <w:b/>
          <w:bCs/>
          <w:kern w:val="0"/>
          <w:sz w:val="24"/>
          <w:szCs w:val="32"/>
        </w:rPr>
      </w:pPr>
      <w:r>
        <w:rPr>
          <w:rFonts w:hint="eastAsia" w:ascii="黑体" w:hAnsi="宋体" w:eastAsia="黑体" w:cs="宋体"/>
          <w:b/>
          <w:bCs/>
          <w:kern w:val="0"/>
          <w:sz w:val="24"/>
          <w:szCs w:val="32"/>
        </w:rPr>
        <w:t>1.3.4网络传输需求</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需选用以下网络通信方式：</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现场监测终端至本项目建设的物联网接入平台的通讯优先采用窄带物联网（NB-IoT）,实现实时监测数据的上传。对于NB-IoT网络信号较弱的区域，可更换采用4G/5G通讯方式，对于4G信号也较弱的场合，可临时采用LORA的通讯方式。视频数据传输可采用光纤有线通讯或4G/5G无线通讯方式。</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包含电导率监测设备 250台，沿河排水口水质监测设备10台，河道水位监测设备20台河道断面水质监测设备2台共计282台的SIM流量1年费用。</w:t>
      </w:r>
    </w:p>
    <w:p>
      <w:pPr>
        <w:pStyle w:val="41"/>
      </w:pPr>
    </w:p>
    <w:p/>
    <w:p>
      <w:pPr>
        <w:keepNext/>
        <w:keepLines/>
        <w:widowControl/>
        <w:numPr>
          <w:ilvl w:val="1"/>
          <w:numId w:val="0"/>
        </w:numPr>
        <w:spacing w:line="360" w:lineRule="auto"/>
        <w:outlineLvl w:val="2"/>
        <w:rPr>
          <w:rFonts w:ascii="黑体" w:hAnsi="宋体" w:eastAsia="黑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.4</w:t>
      </w:r>
      <w:r>
        <w:rPr>
          <w:rFonts w:hint="eastAsia" w:ascii="黑体" w:hAnsi="等线 Light" w:eastAsia="黑体" w:cs="宋体"/>
          <w:b/>
          <w:bCs/>
          <w:kern w:val="0"/>
          <w:sz w:val="32"/>
          <w:szCs w:val="24"/>
        </w:rPr>
        <w:t>知识产权要求</w:t>
      </w:r>
    </w:p>
    <w:p>
      <w:pPr>
        <w:widowControl/>
        <w:spacing w:line="360" w:lineRule="auto"/>
        <w:ind w:firstLine="480" w:firstLineChars="200"/>
        <w:rPr>
          <w:rFonts w:hAnsi="宋体" w:cs="宋体"/>
          <w:kern w:val="0"/>
          <w:sz w:val="24"/>
          <w:szCs w:val="24"/>
        </w:rPr>
      </w:pPr>
      <w:r>
        <w:rPr>
          <w:rFonts w:hint="eastAsia" w:ascii="宋体" w:hAnsi="宋体" w:cs="宋体"/>
          <w:kern w:val="0"/>
          <w:sz w:val="24"/>
          <w:szCs w:val="24"/>
        </w:rPr>
        <w:t>投标人应保证在中华人民共和国境内使用其提供的产品、技术、服务或其任何一部分时，不会产生因第三方提出侵犯其专利权、商标权或其它知识产权而引起的法律和经济纠纷。如法院裁定招标人侵权成立，则招标人有权向投标人追偿，投标人须无条件承担与此相关的所有责任和经济赔偿。</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投标人在本项目中所产生的解决方案、软件等知识产权及相关权益归招标人所有，投标人不得将涉及知识产权的技术秘密透露给第三方。投标人有不可争议的义务确保招标人依据本次采购所获得的知识产权不存在任何瑕疵并且可以不受限制地行使相关权利，包括各项延伸权利。</w:t>
      </w:r>
    </w:p>
    <w:p>
      <w:pPr>
        <w:keepNext/>
        <w:keepLines/>
        <w:widowControl/>
        <w:numPr>
          <w:ilvl w:val="1"/>
          <w:numId w:val="0"/>
        </w:numPr>
        <w:spacing w:line="360" w:lineRule="auto"/>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.5</w:t>
      </w:r>
      <w:r>
        <w:rPr>
          <w:rFonts w:hint="eastAsia" w:ascii="黑体" w:hAnsi="等线 Light" w:eastAsia="黑体" w:cs="宋体"/>
          <w:b/>
          <w:bCs/>
          <w:kern w:val="0"/>
          <w:sz w:val="32"/>
          <w:szCs w:val="24"/>
        </w:rPr>
        <w:t>项目实施要求</w:t>
      </w:r>
    </w:p>
    <w:p>
      <w:pPr>
        <w:spacing w:line="360" w:lineRule="auto"/>
        <w:ind w:firstLine="480"/>
        <w:rPr>
          <w:rFonts w:ascii="宋体" w:hAnsi="宋体"/>
          <w:sz w:val="24"/>
          <w:szCs w:val="24"/>
        </w:rPr>
      </w:pPr>
      <w:r>
        <w:rPr>
          <w:rFonts w:hint="eastAsia" w:ascii="宋体" w:hAnsi="宋体"/>
          <w:sz w:val="24"/>
          <w:szCs w:val="24"/>
        </w:rPr>
        <w:t>1、供应商提供的投标产品应满足采购人当前安装环境的各项要求，并且有责任检查安装现场是否符合产品安装条件。</w:t>
      </w:r>
    </w:p>
    <w:p>
      <w:pPr>
        <w:spacing w:line="360" w:lineRule="auto"/>
        <w:ind w:firstLine="480"/>
        <w:rPr>
          <w:rFonts w:ascii="宋体" w:hAnsi="宋体"/>
          <w:sz w:val="24"/>
          <w:szCs w:val="24"/>
        </w:rPr>
      </w:pPr>
      <w:r>
        <w:rPr>
          <w:rFonts w:hint="eastAsia" w:ascii="宋体" w:hAnsi="宋体"/>
          <w:sz w:val="24"/>
          <w:szCs w:val="24"/>
        </w:rPr>
        <w:t>2、供应商应负责将所有投标产品运到采购人指定地点和位置，并承担运输费用和运输中发生的其它一切费用。</w:t>
      </w:r>
    </w:p>
    <w:p>
      <w:pPr>
        <w:spacing w:line="360" w:lineRule="auto"/>
        <w:ind w:firstLine="480"/>
        <w:rPr>
          <w:rFonts w:ascii="宋体" w:hAnsi="宋体"/>
          <w:sz w:val="24"/>
          <w:szCs w:val="24"/>
        </w:rPr>
      </w:pPr>
      <w:r>
        <w:rPr>
          <w:rFonts w:hint="eastAsia" w:ascii="宋体" w:hAnsi="宋体"/>
          <w:sz w:val="24"/>
          <w:szCs w:val="24"/>
        </w:rPr>
        <w:t>3、软硬件到达采购人指定的现场后，将由供应商与采购人双方共同验收，并进行签字确认。若有差异，应由供应商承担责任。</w:t>
      </w:r>
    </w:p>
    <w:p>
      <w:pPr>
        <w:spacing w:line="360" w:lineRule="auto"/>
        <w:ind w:firstLine="480"/>
        <w:rPr>
          <w:rFonts w:ascii="宋体" w:hAnsi="宋体"/>
          <w:sz w:val="24"/>
          <w:szCs w:val="24"/>
        </w:rPr>
      </w:pPr>
      <w:r>
        <w:rPr>
          <w:rFonts w:hint="eastAsia" w:ascii="宋体" w:hAnsi="宋体"/>
          <w:sz w:val="24"/>
          <w:szCs w:val="24"/>
        </w:rPr>
        <w:t>4、供应商需保证投标设备均为原产原装，保证所提供货物是全新的、未使用过的，是最新或最流行的型号和使用一流的工艺生产的，并完全符合合同规定的质量、规格和性能的要求。</w:t>
      </w:r>
    </w:p>
    <w:p>
      <w:pPr>
        <w:spacing w:line="360" w:lineRule="auto"/>
        <w:ind w:firstLine="480"/>
        <w:rPr>
          <w:rFonts w:ascii="宋体" w:hAnsi="宋体"/>
          <w:sz w:val="24"/>
          <w:szCs w:val="24"/>
        </w:rPr>
      </w:pPr>
      <w:r>
        <w:rPr>
          <w:rFonts w:hint="eastAsia" w:ascii="宋体" w:hAnsi="宋体"/>
          <w:sz w:val="24"/>
          <w:szCs w:val="24"/>
        </w:rPr>
        <w:t>5、设备到货时供应商提供原厂商对本次提供设备的序列号所对应的最终用户为采购人的书面确认，如设备最终用户不是采购人，采购人有权退换设备并要求供应商赔偿所有相关损失。</w:t>
      </w:r>
    </w:p>
    <w:p>
      <w:pPr>
        <w:spacing w:line="360" w:lineRule="auto"/>
        <w:ind w:firstLine="480"/>
        <w:rPr>
          <w:rFonts w:ascii="宋体" w:hAnsi="宋体"/>
          <w:sz w:val="24"/>
          <w:szCs w:val="24"/>
        </w:rPr>
      </w:pPr>
      <w:r>
        <w:rPr>
          <w:rFonts w:hint="eastAsia" w:ascii="宋体" w:hAnsi="宋体"/>
          <w:sz w:val="24"/>
          <w:szCs w:val="24"/>
        </w:rPr>
        <w:t>6、供应商应保证其提供的货物在正确安装、正常使用和保养条件下，在使用寿命期内应具有满意的性能。供应商应对由于设计、工艺或材料的缺陷而产生的故障负完全责任。</w:t>
      </w:r>
    </w:p>
    <w:p>
      <w:pPr>
        <w:spacing w:line="360" w:lineRule="auto"/>
        <w:ind w:firstLine="480"/>
        <w:rPr>
          <w:rFonts w:ascii="宋体" w:hAnsi="宋体"/>
          <w:sz w:val="24"/>
          <w:szCs w:val="24"/>
        </w:rPr>
      </w:pPr>
      <w:r>
        <w:rPr>
          <w:rFonts w:hint="eastAsia" w:ascii="宋体" w:hAnsi="宋体"/>
          <w:sz w:val="24"/>
          <w:szCs w:val="24"/>
        </w:rPr>
        <w:t>7、供应商须保证所配置的产品有合法的使用权，并有相应的使用许可证。</w:t>
      </w:r>
    </w:p>
    <w:p>
      <w:pPr>
        <w:spacing w:line="360" w:lineRule="auto"/>
        <w:ind w:firstLine="480"/>
        <w:rPr>
          <w:rFonts w:ascii="宋体" w:hAnsi="宋体"/>
          <w:sz w:val="24"/>
          <w:szCs w:val="24"/>
        </w:rPr>
      </w:pPr>
      <w:r>
        <w:rPr>
          <w:rFonts w:hint="eastAsia" w:ascii="宋体" w:hAnsi="宋体"/>
          <w:sz w:val="24"/>
          <w:szCs w:val="24"/>
        </w:rPr>
        <w:t>8、供应商应承担投标产品的安装、调试和配置工作，同时应提供安装的系统配置文件和文件档案。</w:t>
      </w:r>
    </w:p>
    <w:p>
      <w:pPr>
        <w:spacing w:line="360" w:lineRule="auto"/>
        <w:ind w:firstLine="480"/>
        <w:rPr>
          <w:rFonts w:ascii="宋体" w:hAnsi="宋体"/>
          <w:sz w:val="24"/>
          <w:szCs w:val="24"/>
        </w:rPr>
      </w:pPr>
      <w:r>
        <w:rPr>
          <w:rFonts w:hint="eastAsia" w:ascii="宋体" w:hAnsi="宋体"/>
          <w:sz w:val="24"/>
          <w:szCs w:val="24"/>
        </w:rPr>
        <w:t>9、供应商应全力与采购人配合，根据采购人的详细需求，提交实施方案并得到采购人认可。</w:t>
      </w:r>
    </w:p>
    <w:p>
      <w:pPr>
        <w:spacing w:line="360" w:lineRule="auto"/>
        <w:ind w:firstLine="480"/>
        <w:rPr>
          <w:rFonts w:ascii="宋体" w:hAnsi="宋体"/>
          <w:sz w:val="24"/>
          <w:szCs w:val="24"/>
        </w:rPr>
      </w:pPr>
      <w:r>
        <w:rPr>
          <w:rFonts w:hint="eastAsia" w:ascii="宋体" w:hAnsi="宋体"/>
          <w:sz w:val="24"/>
          <w:szCs w:val="24"/>
        </w:rPr>
        <w:t>10、供应商应明确承诺能够按采购方需要提供上述原有设备系统安装、升级、迁移等相关工作的原厂商现场实施服务和技术支持。</w:t>
      </w:r>
    </w:p>
    <w:p>
      <w:pPr>
        <w:spacing w:line="360" w:lineRule="auto"/>
        <w:ind w:firstLine="480"/>
        <w:rPr>
          <w:rFonts w:ascii="宋体" w:hAnsi="宋体"/>
          <w:sz w:val="24"/>
          <w:szCs w:val="24"/>
        </w:rPr>
      </w:pPr>
      <w:r>
        <w:rPr>
          <w:rFonts w:hint="eastAsia" w:ascii="宋体" w:hAnsi="宋体"/>
          <w:sz w:val="24"/>
          <w:szCs w:val="24"/>
        </w:rPr>
        <w:t>11、本项目投标报价为交钥匙价，报价应包含按要求完成本项目的所有费用，包含但不仅限于实施所需的硬件、附件、备品备件等费用，以及本项目在实施过程中涉及的专用工具、辅材、安装、调试、检验、培训、技术服务、运杂、保险费、税金、验收检定、软件升级及供应商认为需要的所有费用。中标价格一经确定，除采购有要求追加或变动项目外，不再另行支付任何费用。</w:t>
      </w:r>
    </w:p>
    <w:p>
      <w:pPr>
        <w:keepNext/>
        <w:keepLines/>
        <w:widowControl/>
        <w:numPr>
          <w:ilvl w:val="1"/>
          <w:numId w:val="0"/>
        </w:numPr>
        <w:spacing w:line="360" w:lineRule="auto"/>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.6</w:t>
      </w:r>
      <w:r>
        <w:rPr>
          <w:rFonts w:hint="eastAsia" w:ascii="黑体" w:hAnsi="等线 Light" w:eastAsia="黑体" w:cs="宋体"/>
          <w:b/>
          <w:bCs/>
          <w:kern w:val="0"/>
          <w:sz w:val="32"/>
          <w:szCs w:val="24"/>
        </w:rPr>
        <w:t>项目质量、进度、管理要求</w:t>
      </w:r>
    </w:p>
    <w:p>
      <w:pPr>
        <w:widowControl/>
        <w:spacing w:line="360" w:lineRule="auto"/>
        <w:ind w:firstLine="513" w:firstLineChars="213"/>
        <w:jc w:val="left"/>
        <w:rPr>
          <w:rFonts w:ascii="宋体" w:hAnsi="宋体" w:cs="宋体"/>
          <w:b/>
          <w:bCs/>
          <w:kern w:val="0"/>
          <w:sz w:val="24"/>
          <w:szCs w:val="24"/>
        </w:rPr>
      </w:pPr>
      <w:r>
        <w:rPr>
          <w:rFonts w:hint="eastAsia" w:ascii="宋体" w:hAnsi="宋体" w:cs="宋体"/>
          <w:b/>
          <w:bCs/>
          <w:kern w:val="0"/>
          <w:sz w:val="24"/>
          <w:szCs w:val="24"/>
        </w:rPr>
        <w:t>1. 质量控制要求</w:t>
      </w:r>
    </w:p>
    <w:p>
      <w:pPr>
        <w:widowControl/>
        <w:spacing w:line="360" w:lineRule="auto"/>
        <w:ind w:firstLine="513" w:firstLineChars="214"/>
        <w:jc w:val="left"/>
        <w:rPr>
          <w:rFonts w:ascii="宋体" w:hAnsi="宋体" w:cs="宋体"/>
          <w:bCs/>
          <w:kern w:val="0"/>
          <w:sz w:val="24"/>
          <w:szCs w:val="24"/>
        </w:rPr>
      </w:pPr>
      <w:r>
        <w:rPr>
          <w:rFonts w:hint="eastAsia" w:ascii="宋体" w:hAnsi="宋体" w:cs="宋体"/>
          <w:bCs/>
          <w:kern w:val="0"/>
          <w:sz w:val="24"/>
          <w:szCs w:val="24"/>
        </w:rPr>
        <w:t>供应商需要按照国家相关质量管理要求，配备相应质量管理人员，全过程跟踪和管理项目质量，按时提交完成的项目文档，确保进度计划的执行和质量控制。</w:t>
      </w:r>
    </w:p>
    <w:p>
      <w:pPr>
        <w:widowControl/>
        <w:spacing w:line="360" w:lineRule="auto"/>
        <w:ind w:firstLine="513" w:firstLineChars="213"/>
        <w:jc w:val="left"/>
        <w:rPr>
          <w:rFonts w:ascii="宋体" w:hAnsi="宋体" w:cs="宋体"/>
          <w:b/>
          <w:bCs/>
          <w:kern w:val="0"/>
          <w:sz w:val="24"/>
          <w:szCs w:val="24"/>
        </w:rPr>
      </w:pPr>
      <w:r>
        <w:rPr>
          <w:rFonts w:hint="eastAsia" w:ascii="宋体" w:hAnsi="宋体" w:cs="宋体"/>
          <w:b/>
          <w:bCs/>
          <w:kern w:val="0"/>
          <w:sz w:val="24"/>
          <w:szCs w:val="24"/>
        </w:rPr>
        <w:t>2.项目进度要求</w:t>
      </w:r>
    </w:p>
    <w:p>
      <w:pPr>
        <w:widowControl/>
        <w:spacing w:line="360" w:lineRule="auto"/>
        <w:ind w:firstLine="511" w:firstLineChars="213"/>
        <w:rPr>
          <w:rFonts w:ascii="宋体" w:hAnsi="宋体" w:cs="宋体"/>
          <w:kern w:val="0"/>
          <w:sz w:val="24"/>
          <w:szCs w:val="24"/>
        </w:rPr>
      </w:pPr>
      <w:r>
        <w:rPr>
          <w:rFonts w:hint="eastAsia" w:ascii="宋体" w:hAnsi="宋体" w:cs="宋体"/>
          <w:kern w:val="0"/>
          <w:sz w:val="24"/>
          <w:szCs w:val="24"/>
        </w:rPr>
        <w:t>本项目建设开发周期为1</w:t>
      </w:r>
      <w:r>
        <w:rPr>
          <w:rFonts w:ascii="宋体" w:hAnsi="宋体" w:cs="宋体"/>
          <w:kern w:val="0"/>
          <w:sz w:val="24"/>
          <w:szCs w:val="24"/>
        </w:rPr>
        <w:t>0</w:t>
      </w:r>
      <w:r>
        <w:rPr>
          <w:rFonts w:hint="eastAsia" w:ascii="宋体" w:hAnsi="宋体" w:cs="宋体"/>
          <w:kern w:val="0"/>
          <w:sz w:val="24"/>
          <w:szCs w:val="24"/>
        </w:rPr>
        <w:t>个月（含试运行时间）：其中软件开发内容自合同签订之日起至3个月内完成初始版本功能建设，</w:t>
      </w:r>
      <w:r>
        <w:rPr>
          <w:rFonts w:ascii="宋体" w:hAnsi="宋体" w:cs="宋体"/>
          <w:kern w:val="0"/>
          <w:sz w:val="24"/>
          <w:szCs w:val="24"/>
        </w:rPr>
        <w:t>5</w:t>
      </w:r>
      <w:r>
        <w:rPr>
          <w:rFonts w:hint="eastAsia" w:ascii="宋体" w:hAnsi="宋体" w:cs="宋体"/>
          <w:kern w:val="0"/>
          <w:sz w:val="24"/>
          <w:szCs w:val="24"/>
        </w:rPr>
        <w:t>个月内完成所有功能建设；硬件设备自合同签订之日起至6个月内完成建设；经初验合格后上线试运行，试运行时间不少于3个月。</w:t>
      </w:r>
    </w:p>
    <w:p>
      <w:pPr>
        <w:widowControl/>
        <w:spacing w:line="360" w:lineRule="auto"/>
        <w:ind w:left="420" w:leftChars="200"/>
        <w:jc w:val="left"/>
        <w:rPr>
          <w:rFonts w:ascii="宋体" w:hAnsi="宋体" w:cs="宋体"/>
          <w:b/>
          <w:bCs/>
          <w:kern w:val="0"/>
          <w:sz w:val="24"/>
          <w:szCs w:val="24"/>
        </w:rPr>
      </w:pPr>
      <w:r>
        <w:rPr>
          <w:rFonts w:hint="eastAsia" w:ascii="宋体" w:hAnsi="宋体" w:cs="宋体"/>
          <w:b/>
          <w:bCs/>
          <w:kern w:val="0"/>
          <w:sz w:val="24"/>
          <w:szCs w:val="24"/>
        </w:rPr>
        <w:t>3.项目管理要求</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（1）工期从合同签订开始计算，</w:t>
      </w:r>
      <w:r>
        <w:rPr>
          <w:rFonts w:hint="eastAsia" w:ascii="宋体" w:hAnsi="宋体" w:cs="宋体"/>
          <w:kern w:val="0"/>
          <w:sz w:val="24"/>
          <w:szCs w:val="24"/>
        </w:rPr>
        <w:t>根据要求按期完成终验并交付使用</w:t>
      </w:r>
      <w:r>
        <w:rPr>
          <w:rFonts w:hint="eastAsia" w:ascii="宋体" w:hAnsi="宋体" w:cs="宋体"/>
          <w:bCs/>
          <w:kern w:val="0"/>
          <w:sz w:val="24"/>
          <w:szCs w:val="24"/>
        </w:rPr>
        <w:t>，如中标人无法按期完成，采购人有权提出赔偿。如采购人根据工程实际情况调整工程进度计划，中标人不应为此提出任何增加费用的要求，供应商在投标文件中对此予以明确承诺。</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2）投标人中标后应在7天内成立项目团队，并指定专职的项目经理，负责项目协调和调度工作。除项目经理外，项目组须配备专职的技术负责人，并按照项目实施的要求，配置相应的项目管理、系统设计、系统集成、开发、测试、安全、培训、质量保证等人员。</w:t>
      </w:r>
    </w:p>
    <w:p>
      <w:pPr>
        <w:widowControl/>
        <w:spacing w:line="360" w:lineRule="auto"/>
        <w:ind w:firstLine="480" w:firstLineChars="200"/>
        <w:rPr>
          <w:rFonts w:ascii="宋体" w:hAnsi="宋体" w:cs="宋体"/>
          <w:kern w:val="0"/>
          <w:sz w:val="24"/>
          <w:szCs w:val="24"/>
        </w:rPr>
      </w:pPr>
      <w:r>
        <w:rPr>
          <w:rFonts w:hint="eastAsia" w:ascii="宋体" w:hAnsi="宋体" w:cs="宋体"/>
          <w:bCs/>
          <w:kern w:val="0"/>
          <w:sz w:val="24"/>
          <w:szCs w:val="24"/>
        </w:rPr>
        <w:t>（3）供应商应向采购人提供项目管理人员和技术人员配置情况，要求</w:t>
      </w:r>
      <w:r>
        <w:rPr>
          <w:rFonts w:hint="eastAsia" w:ascii="宋体" w:hAnsi="宋体" w:cs="宋体"/>
          <w:kern w:val="0"/>
          <w:sz w:val="24"/>
          <w:szCs w:val="24"/>
        </w:rPr>
        <w:t>配置运维工程师1人，负责线上平台稳定运行；配置数据分析师1人，负责监测数据、分析数据、上报传感器数据异常；配置数据库管理员1人，负责数据库维护和备份。</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3）本招标文件提出的为项目的主要需求，是供应商编制投标文件和报价的主要依据，但采购人有权根据实际业务需求，对招标文件规定的需求进行补充和优化，最终的需求以各方确认的需求规格说明书为准，并以最终确认的需求规格说明书作为验收依据。</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（4）供应商应对其提供的设计资料负责，由于设计资料表示不清、不全而造成的损失，由供应商负责。</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（5）试运行期间，中标人要提供足够的培训和技术支持，保障用户能够正确的理解和使用系统，同时要根据运行中出现的问题以及用户需求情况，及时整改完善。</w:t>
      </w:r>
    </w:p>
    <w:p>
      <w:pPr>
        <w:widowControl/>
        <w:spacing w:line="360" w:lineRule="auto"/>
        <w:ind w:firstLine="513" w:firstLineChars="214"/>
        <w:rPr>
          <w:rFonts w:ascii="宋体" w:hAnsi="宋体" w:cs="宋体"/>
          <w:bCs/>
          <w:kern w:val="0"/>
          <w:sz w:val="24"/>
          <w:szCs w:val="24"/>
        </w:rPr>
      </w:pPr>
      <w:r>
        <w:rPr>
          <w:rFonts w:hint="eastAsia" w:ascii="宋体" w:hAnsi="宋体" w:cs="宋体"/>
          <w:bCs/>
          <w:kern w:val="0"/>
          <w:sz w:val="24"/>
          <w:szCs w:val="24"/>
        </w:rPr>
        <w:t>（6）项目实行全过程监理制，项目实施过程中中标人应积极配合监理单位。</w:t>
      </w:r>
    </w:p>
    <w:p>
      <w:pPr>
        <w:widowControl/>
        <w:spacing w:line="360" w:lineRule="auto"/>
        <w:ind w:firstLine="513" w:firstLineChars="214"/>
        <w:rPr>
          <w:rFonts w:ascii="宋体" w:hAnsi="Calibri" w:cs="宋体"/>
          <w:kern w:val="0"/>
          <w:sz w:val="24"/>
          <w:szCs w:val="24"/>
        </w:rPr>
      </w:pPr>
      <w:r>
        <w:rPr>
          <w:rFonts w:hint="eastAsia" w:ascii="宋体" w:hAnsi="宋体" w:cs="宋体"/>
          <w:bCs/>
          <w:kern w:val="0"/>
          <w:sz w:val="24"/>
          <w:szCs w:val="24"/>
        </w:rPr>
        <w:t>（7）中标人应积极配合第三方测评单位，开展本项目的网络安全等级保护测评工作。</w:t>
      </w:r>
    </w:p>
    <w:p>
      <w:pPr>
        <w:widowControl/>
        <w:spacing w:line="360" w:lineRule="auto"/>
        <w:ind w:firstLine="513" w:firstLineChars="213"/>
        <w:jc w:val="left"/>
        <w:rPr>
          <w:rFonts w:ascii="宋体" w:hAnsi="宋体" w:cs="宋体"/>
          <w:b/>
          <w:bCs/>
          <w:kern w:val="0"/>
          <w:sz w:val="24"/>
          <w:szCs w:val="24"/>
        </w:rPr>
      </w:pPr>
      <w:r>
        <w:rPr>
          <w:rFonts w:hint="eastAsia" w:ascii="宋体" w:hAnsi="宋体" w:cs="宋体"/>
          <w:b/>
          <w:bCs/>
          <w:kern w:val="0"/>
          <w:sz w:val="24"/>
          <w:szCs w:val="24"/>
        </w:rPr>
        <w:t>4.中标人的工作内容</w:t>
      </w:r>
    </w:p>
    <w:p>
      <w:pPr>
        <w:spacing w:line="360" w:lineRule="auto"/>
        <w:ind w:firstLine="480"/>
        <w:rPr>
          <w:rFonts w:ascii="宋体" w:hAnsi="宋体"/>
          <w:sz w:val="24"/>
          <w:szCs w:val="24"/>
        </w:rPr>
      </w:pPr>
      <w:r>
        <w:rPr>
          <w:rFonts w:hint="eastAsia" w:ascii="宋体" w:hAnsi="宋体"/>
          <w:sz w:val="24"/>
          <w:szCs w:val="24"/>
        </w:rPr>
        <w:t>中标人的工作内容需包含但不局限于以下内容：</w:t>
      </w:r>
    </w:p>
    <w:p>
      <w:pPr>
        <w:spacing w:line="360" w:lineRule="auto"/>
        <w:ind w:firstLine="480"/>
        <w:rPr>
          <w:rFonts w:ascii="宋体" w:hAnsi="宋体"/>
          <w:sz w:val="24"/>
          <w:szCs w:val="24"/>
        </w:rPr>
      </w:pPr>
      <w:r>
        <w:rPr>
          <w:rFonts w:hint="eastAsia" w:ascii="宋体" w:hAnsi="宋体"/>
          <w:sz w:val="24"/>
          <w:szCs w:val="24"/>
        </w:rPr>
        <w:t>（1）软硬件采购及提供相关资料；</w:t>
      </w:r>
    </w:p>
    <w:p>
      <w:pPr>
        <w:spacing w:line="360" w:lineRule="auto"/>
        <w:ind w:firstLine="480"/>
        <w:rPr>
          <w:rFonts w:ascii="宋体" w:hAnsi="宋体"/>
          <w:sz w:val="24"/>
          <w:szCs w:val="24"/>
        </w:rPr>
      </w:pPr>
      <w:r>
        <w:rPr>
          <w:rFonts w:hint="eastAsia" w:ascii="宋体" w:hAnsi="宋体"/>
          <w:sz w:val="24"/>
          <w:szCs w:val="24"/>
        </w:rPr>
        <w:t>（2）软硬件设备及部件的检查、检验及测试（该费用计入总价）；</w:t>
      </w:r>
    </w:p>
    <w:p>
      <w:pPr>
        <w:spacing w:line="360" w:lineRule="auto"/>
        <w:ind w:firstLine="480"/>
        <w:rPr>
          <w:rFonts w:ascii="宋体" w:hAnsi="宋体"/>
          <w:sz w:val="24"/>
          <w:szCs w:val="24"/>
        </w:rPr>
      </w:pPr>
      <w:r>
        <w:rPr>
          <w:rFonts w:hint="eastAsia" w:ascii="宋体" w:hAnsi="宋体"/>
          <w:sz w:val="24"/>
          <w:szCs w:val="24"/>
        </w:rPr>
        <w:t>（3）软硬件设备的安装及部件的就位和固定；</w:t>
      </w:r>
    </w:p>
    <w:p>
      <w:pPr>
        <w:spacing w:line="360" w:lineRule="auto"/>
        <w:ind w:firstLine="480"/>
        <w:rPr>
          <w:rFonts w:ascii="宋体" w:hAnsi="宋体"/>
          <w:sz w:val="24"/>
          <w:szCs w:val="24"/>
        </w:rPr>
      </w:pPr>
      <w:r>
        <w:rPr>
          <w:rFonts w:hint="eastAsia" w:ascii="宋体" w:hAnsi="宋体"/>
          <w:sz w:val="24"/>
          <w:szCs w:val="24"/>
        </w:rPr>
        <w:t>（4）软硬件设备及部件的连接和检查；</w:t>
      </w:r>
    </w:p>
    <w:p>
      <w:pPr>
        <w:spacing w:line="360" w:lineRule="auto"/>
        <w:ind w:firstLine="480"/>
        <w:rPr>
          <w:rFonts w:ascii="宋体" w:hAnsi="宋体"/>
          <w:sz w:val="24"/>
          <w:szCs w:val="24"/>
        </w:rPr>
      </w:pPr>
      <w:r>
        <w:rPr>
          <w:rFonts w:hint="eastAsia" w:ascii="宋体" w:hAnsi="宋体"/>
          <w:sz w:val="24"/>
          <w:szCs w:val="24"/>
        </w:rPr>
        <w:t>（5）软硬件设备与系统的调试；</w:t>
      </w:r>
    </w:p>
    <w:p>
      <w:pPr>
        <w:spacing w:line="360" w:lineRule="auto"/>
        <w:ind w:firstLine="480"/>
        <w:rPr>
          <w:rFonts w:ascii="宋体" w:hAnsi="宋体"/>
          <w:sz w:val="24"/>
          <w:szCs w:val="24"/>
        </w:rPr>
      </w:pPr>
      <w:r>
        <w:rPr>
          <w:rFonts w:hint="eastAsia" w:ascii="宋体" w:hAnsi="宋体"/>
          <w:sz w:val="24"/>
          <w:szCs w:val="24"/>
        </w:rPr>
        <w:t>（6）整个系统调试；</w:t>
      </w:r>
    </w:p>
    <w:p>
      <w:pPr>
        <w:spacing w:line="360" w:lineRule="auto"/>
        <w:ind w:firstLine="480"/>
        <w:rPr>
          <w:rFonts w:ascii="宋体" w:hAnsi="宋体"/>
          <w:sz w:val="24"/>
          <w:szCs w:val="24"/>
        </w:rPr>
      </w:pPr>
      <w:r>
        <w:rPr>
          <w:rFonts w:hint="eastAsia" w:ascii="宋体" w:hAnsi="宋体"/>
          <w:sz w:val="24"/>
          <w:szCs w:val="24"/>
        </w:rPr>
        <w:t>（7）系统试运行；</w:t>
      </w:r>
    </w:p>
    <w:p>
      <w:pPr>
        <w:spacing w:line="360" w:lineRule="auto"/>
        <w:ind w:firstLine="480"/>
        <w:rPr>
          <w:rFonts w:ascii="宋体" w:hAnsi="宋体"/>
          <w:sz w:val="24"/>
          <w:szCs w:val="24"/>
        </w:rPr>
      </w:pPr>
      <w:r>
        <w:rPr>
          <w:rFonts w:hint="eastAsia" w:ascii="宋体" w:hAnsi="宋体"/>
          <w:sz w:val="24"/>
          <w:szCs w:val="24"/>
        </w:rPr>
        <w:t>（8）系统的维护、维修措施及急修接报后的响应措施；</w:t>
      </w:r>
    </w:p>
    <w:p>
      <w:pPr>
        <w:spacing w:line="360" w:lineRule="auto"/>
        <w:ind w:firstLine="480"/>
        <w:rPr>
          <w:rFonts w:ascii="宋体" w:hAnsi="宋体"/>
          <w:sz w:val="24"/>
          <w:szCs w:val="24"/>
        </w:rPr>
      </w:pPr>
      <w:r>
        <w:rPr>
          <w:rFonts w:hint="eastAsia" w:ascii="宋体" w:hAnsi="宋体"/>
          <w:sz w:val="24"/>
          <w:szCs w:val="24"/>
        </w:rPr>
        <w:t>（9）验收（包括负责通过相关部门的整体验收，资料整理交接）；</w:t>
      </w:r>
    </w:p>
    <w:p>
      <w:pPr>
        <w:spacing w:line="360" w:lineRule="auto"/>
        <w:ind w:firstLine="480"/>
        <w:rPr>
          <w:rFonts w:ascii="宋体" w:hAnsi="宋体"/>
          <w:sz w:val="24"/>
          <w:szCs w:val="24"/>
        </w:rPr>
      </w:pPr>
      <w:r>
        <w:rPr>
          <w:rFonts w:hint="eastAsia" w:ascii="宋体" w:hAnsi="宋体"/>
          <w:sz w:val="24"/>
          <w:szCs w:val="24"/>
        </w:rPr>
        <w:t>（10）负责培训资料的编写和技术培训；</w:t>
      </w:r>
    </w:p>
    <w:p>
      <w:pPr>
        <w:spacing w:line="360" w:lineRule="auto"/>
        <w:ind w:firstLine="480"/>
        <w:rPr>
          <w:rFonts w:ascii="宋体" w:hAnsi="宋体"/>
          <w:sz w:val="24"/>
          <w:szCs w:val="24"/>
        </w:rPr>
      </w:pPr>
      <w:r>
        <w:rPr>
          <w:rFonts w:hint="eastAsia" w:ascii="宋体" w:hAnsi="宋体"/>
          <w:sz w:val="24"/>
          <w:szCs w:val="24"/>
        </w:rPr>
        <w:t>（11）售后及运维服务。</w:t>
      </w:r>
    </w:p>
    <w:p>
      <w:pPr>
        <w:widowControl/>
        <w:spacing w:line="360" w:lineRule="auto"/>
        <w:ind w:firstLine="513" w:firstLineChars="213"/>
        <w:jc w:val="left"/>
        <w:rPr>
          <w:rFonts w:ascii="宋体" w:hAnsi="宋体" w:cs="宋体"/>
          <w:b/>
          <w:bCs/>
          <w:kern w:val="0"/>
          <w:sz w:val="24"/>
          <w:szCs w:val="24"/>
        </w:rPr>
      </w:pPr>
      <w:r>
        <w:rPr>
          <w:rFonts w:hint="eastAsia" w:ascii="宋体" w:hAnsi="宋体" w:cs="宋体"/>
          <w:b/>
          <w:bCs/>
          <w:kern w:val="0"/>
          <w:sz w:val="24"/>
          <w:szCs w:val="24"/>
        </w:rPr>
        <w:t>5.项目文档及成果要求</w:t>
      </w:r>
    </w:p>
    <w:p>
      <w:pPr>
        <w:spacing w:line="360" w:lineRule="auto"/>
        <w:ind w:firstLine="480"/>
        <w:rPr>
          <w:rFonts w:ascii="宋体" w:hAnsi="宋体"/>
          <w:sz w:val="24"/>
          <w:szCs w:val="24"/>
        </w:rPr>
      </w:pPr>
      <w:r>
        <w:rPr>
          <w:rFonts w:hint="eastAsia" w:ascii="宋体" w:hAnsi="宋体"/>
          <w:sz w:val="24"/>
          <w:szCs w:val="24"/>
        </w:rPr>
        <w:t>中标人应按照招标文件所约定的内容和时间进行交付；按照标准分阶段交付应用系统的文档，所交付的文档与文件应该是电子版式及纸质形式。交付的文档及成果包括但不限于以下内容：</w:t>
      </w:r>
    </w:p>
    <w:p>
      <w:pPr>
        <w:spacing w:line="360" w:lineRule="auto"/>
        <w:ind w:firstLine="480"/>
        <w:rPr>
          <w:rFonts w:ascii="宋体" w:hAnsi="宋体"/>
          <w:sz w:val="24"/>
          <w:szCs w:val="24"/>
        </w:rPr>
      </w:pPr>
      <w:r>
        <w:rPr>
          <w:rFonts w:hint="eastAsia" w:ascii="宋体" w:hAnsi="宋体"/>
          <w:sz w:val="24"/>
          <w:szCs w:val="24"/>
        </w:rPr>
        <w:t>（1）实施方案</w:t>
      </w:r>
    </w:p>
    <w:p>
      <w:pPr>
        <w:spacing w:line="360" w:lineRule="auto"/>
        <w:ind w:firstLine="480"/>
        <w:rPr>
          <w:rFonts w:ascii="宋体" w:hAnsi="宋体"/>
          <w:sz w:val="24"/>
          <w:szCs w:val="24"/>
        </w:rPr>
      </w:pPr>
      <w:r>
        <w:rPr>
          <w:rFonts w:hint="eastAsia" w:ascii="宋体" w:hAnsi="宋体"/>
          <w:sz w:val="24"/>
          <w:szCs w:val="24"/>
        </w:rPr>
        <w:t>（2）需求规格说明书</w:t>
      </w:r>
    </w:p>
    <w:p>
      <w:pPr>
        <w:spacing w:line="360" w:lineRule="auto"/>
        <w:ind w:firstLine="480"/>
        <w:rPr>
          <w:rFonts w:ascii="宋体" w:hAnsi="宋体"/>
          <w:sz w:val="24"/>
          <w:szCs w:val="24"/>
        </w:rPr>
      </w:pPr>
      <w:r>
        <w:rPr>
          <w:rFonts w:hint="eastAsia" w:ascii="宋体" w:hAnsi="宋体"/>
          <w:sz w:val="24"/>
          <w:szCs w:val="24"/>
        </w:rPr>
        <w:t>（3）数据库设计说明书</w:t>
      </w:r>
    </w:p>
    <w:p>
      <w:pPr>
        <w:spacing w:line="360" w:lineRule="auto"/>
        <w:ind w:firstLine="480"/>
        <w:rPr>
          <w:rFonts w:ascii="宋体" w:hAnsi="宋体"/>
          <w:sz w:val="24"/>
          <w:szCs w:val="24"/>
        </w:rPr>
      </w:pPr>
      <w:r>
        <w:rPr>
          <w:rFonts w:hint="eastAsia" w:ascii="宋体" w:hAnsi="宋体"/>
          <w:sz w:val="24"/>
          <w:szCs w:val="24"/>
        </w:rPr>
        <w:t>（4）用户操作手册</w:t>
      </w:r>
    </w:p>
    <w:p>
      <w:pPr>
        <w:spacing w:line="360" w:lineRule="auto"/>
        <w:ind w:firstLine="480"/>
        <w:rPr>
          <w:rFonts w:ascii="宋体" w:hAnsi="宋体"/>
          <w:sz w:val="24"/>
          <w:szCs w:val="24"/>
        </w:rPr>
      </w:pPr>
      <w:r>
        <w:rPr>
          <w:rFonts w:hint="eastAsia" w:ascii="宋体" w:hAnsi="宋体"/>
          <w:sz w:val="24"/>
          <w:szCs w:val="24"/>
        </w:rPr>
        <w:t>（5）安装手册</w:t>
      </w:r>
    </w:p>
    <w:p>
      <w:pPr>
        <w:spacing w:line="360" w:lineRule="auto"/>
        <w:ind w:firstLine="480"/>
        <w:rPr>
          <w:rFonts w:ascii="宋体" w:hAnsi="宋体"/>
          <w:sz w:val="24"/>
          <w:szCs w:val="24"/>
        </w:rPr>
      </w:pPr>
      <w:r>
        <w:rPr>
          <w:rFonts w:hint="eastAsia" w:ascii="宋体" w:hAnsi="宋体"/>
          <w:sz w:val="24"/>
          <w:szCs w:val="24"/>
        </w:rPr>
        <w:t>（6）项目总结报告</w:t>
      </w:r>
    </w:p>
    <w:p>
      <w:pPr>
        <w:spacing w:line="360" w:lineRule="auto"/>
        <w:ind w:firstLine="480"/>
        <w:rPr>
          <w:rFonts w:ascii="宋体" w:hAnsi="宋体"/>
          <w:sz w:val="24"/>
          <w:szCs w:val="24"/>
        </w:rPr>
      </w:pPr>
      <w:r>
        <w:rPr>
          <w:rFonts w:hint="eastAsia" w:ascii="宋体" w:hAnsi="宋体"/>
          <w:sz w:val="24"/>
          <w:szCs w:val="24"/>
        </w:rPr>
        <w:t>（7）采购人和监理方认为需要的其他材料</w:t>
      </w:r>
    </w:p>
    <w:p>
      <w:pPr>
        <w:keepNext/>
        <w:keepLines/>
        <w:widowControl/>
        <w:numPr>
          <w:ilvl w:val="1"/>
          <w:numId w:val="0"/>
        </w:numPr>
        <w:spacing w:line="360" w:lineRule="auto"/>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.7</w:t>
      </w:r>
      <w:r>
        <w:rPr>
          <w:rFonts w:hint="eastAsia" w:ascii="黑体" w:hAnsi="等线 Light" w:eastAsia="黑体" w:cs="宋体"/>
          <w:b/>
          <w:bCs/>
          <w:kern w:val="0"/>
          <w:sz w:val="32"/>
          <w:szCs w:val="24"/>
        </w:rPr>
        <w:t>培训要求</w:t>
      </w:r>
    </w:p>
    <w:p>
      <w:pPr>
        <w:spacing w:line="360" w:lineRule="auto"/>
        <w:ind w:firstLine="480"/>
        <w:rPr>
          <w:rFonts w:ascii="宋体" w:hAnsi="宋体"/>
          <w:sz w:val="24"/>
          <w:szCs w:val="24"/>
        </w:rPr>
      </w:pPr>
      <w:r>
        <w:rPr>
          <w:rFonts w:hint="eastAsia" w:ascii="宋体" w:hAnsi="宋体"/>
          <w:sz w:val="24"/>
          <w:szCs w:val="24"/>
        </w:rPr>
        <w:t>1、为确保本项目得以顺利实施、正常运行和使用，供应商必须为采购人提供系统使用、系统操作和管理维护培训，培训规模按用户实际需求为准，培训形式包括客户现场培训、课堂培训，供应商必须列明相应的培训课程。</w:t>
      </w:r>
    </w:p>
    <w:p>
      <w:pPr>
        <w:spacing w:line="360" w:lineRule="auto"/>
        <w:ind w:firstLine="480"/>
        <w:rPr>
          <w:rFonts w:ascii="宋体" w:hAnsi="宋体"/>
          <w:sz w:val="24"/>
          <w:szCs w:val="24"/>
        </w:rPr>
      </w:pPr>
      <w:r>
        <w:rPr>
          <w:rFonts w:hint="eastAsia" w:ascii="宋体" w:hAnsi="宋体"/>
          <w:sz w:val="24"/>
          <w:szCs w:val="24"/>
        </w:rPr>
        <w:t>2、供应商应在投标文件中提供详细的培训计划，包括培训项目、人数、地点、日程、资料、其它等详细内容，为所有被培训人员提供培训用文字资料和讲义等相关用品。</w:t>
      </w:r>
    </w:p>
    <w:p>
      <w:pPr>
        <w:spacing w:line="360" w:lineRule="auto"/>
        <w:ind w:firstLine="480"/>
        <w:rPr>
          <w:rFonts w:ascii="宋体" w:hAnsi="宋体"/>
          <w:sz w:val="24"/>
          <w:szCs w:val="24"/>
        </w:rPr>
      </w:pPr>
      <w:r>
        <w:rPr>
          <w:rFonts w:hint="eastAsia" w:ascii="宋体" w:hAnsi="宋体"/>
          <w:sz w:val="24"/>
          <w:szCs w:val="24"/>
        </w:rPr>
        <w:t>3、技术培训的内容必须包含软件的日常操作和管理维护，以及基本的故障诊断与排错。供应商培训人员必须是公司的资深工程师。</w:t>
      </w:r>
    </w:p>
    <w:p>
      <w:pPr>
        <w:spacing w:line="360" w:lineRule="auto"/>
        <w:ind w:firstLine="480"/>
        <w:rPr>
          <w:rFonts w:ascii="宋体" w:hAnsi="宋体"/>
          <w:sz w:val="24"/>
          <w:szCs w:val="24"/>
        </w:rPr>
      </w:pPr>
      <w:r>
        <w:rPr>
          <w:rFonts w:hint="eastAsia" w:ascii="宋体" w:hAnsi="宋体"/>
          <w:sz w:val="24"/>
          <w:szCs w:val="24"/>
        </w:rPr>
        <w:t>4、培训工作必须在合同生效之后系统试运行之前安排。</w:t>
      </w:r>
    </w:p>
    <w:p>
      <w:pPr>
        <w:spacing w:line="360" w:lineRule="auto"/>
        <w:ind w:firstLine="480"/>
        <w:rPr>
          <w:rFonts w:ascii="宋体" w:hAnsi="宋体"/>
          <w:sz w:val="24"/>
          <w:szCs w:val="24"/>
        </w:rPr>
      </w:pPr>
      <w:r>
        <w:rPr>
          <w:rFonts w:hint="eastAsia" w:ascii="宋体" w:hAnsi="宋体"/>
          <w:sz w:val="24"/>
          <w:szCs w:val="24"/>
        </w:rPr>
        <w:t>5、所有培训费用（含培训教材费），已包括在投标总价中。</w:t>
      </w:r>
    </w:p>
    <w:p>
      <w:pPr>
        <w:spacing w:line="360" w:lineRule="auto"/>
        <w:ind w:firstLine="480"/>
        <w:rPr>
          <w:rFonts w:ascii="宋体" w:hAnsi="宋体"/>
          <w:sz w:val="24"/>
          <w:szCs w:val="24"/>
        </w:rPr>
      </w:pPr>
      <w:r>
        <w:rPr>
          <w:rFonts w:hint="eastAsia" w:ascii="宋体" w:hAnsi="宋体"/>
          <w:sz w:val="24"/>
          <w:szCs w:val="24"/>
        </w:rPr>
        <w:t>6、实际培训时间、人数和地点按供应商与项目采购人商定的为准。</w:t>
      </w:r>
    </w:p>
    <w:p>
      <w:pPr>
        <w:spacing w:line="360" w:lineRule="auto"/>
        <w:ind w:firstLine="480"/>
        <w:rPr>
          <w:rFonts w:ascii="宋体" w:hAnsi="宋体"/>
          <w:sz w:val="24"/>
          <w:szCs w:val="24"/>
        </w:rPr>
      </w:pPr>
      <w:r>
        <w:rPr>
          <w:rFonts w:hint="eastAsia" w:ascii="宋体" w:hAnsi="宋体"/>
          <w:sz w:val="24"/>
          <w:szCs w:val="24"/>
        </w:rPr>
        <w:t>7、培训所使用的语言和教材必须是中文，否则供应商必须提供相应的翻译。供应商必须提供培训所需要的技术支持。</w:t>
      </w:r>
    </w:p>
    <w:p>
      <w:pPr>
        <w:keepNext/>
        <w:keepLines/>
        <w:widowControl/>
        <w:numPr>
          <w:ilvl w:val="1"/>
          <w:numId w:val="0"/>
        </w:numPr>
        <w:spacing w:line="360" w:lineRule="auto"/>
        <w:outlineLvl w:val="2"/>
        <w:rPr>
          <w:rFonts w:ascii="黑体" w:hAnsi="等线 Light"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.8</w:t>
      </w:r>
      <w:r>
        <w:rPr>
          <w:rFonts w:hint="eastAsia" w:ascii="黑体" w:hAnsi="等线 Light" w:eastAsia="黑体" w:cs="宋体"/>
          <w:b/>
          <w:bCs/>
          <w:kern w:val="0"/>
          <w:sz w:val="32"/>
          <w:szCs w:val="24"/>
        </w:rPr>
        <w:t>验收要求</w:t>
      </w:r>
    </w:p>
    <w:p>
      <w:pPr>
        <w:spacing w:line="360" w:lineRule="auto"/>
        <w:ind w:firstLine="480" w:firstLineChars="200"/>
        <w:rPr>
          <w:rFonts w:ascii="宋体" w:hAnsi="宋体"/>
          <w:sz w:val="24"/>
          <w:szCs w:val="24"/>
        </w:rPr>
      </w:pPr>
      <w:r>
        <w:rPr>
          <w:rFonts w:hint="eastAsia" w:ascii="宋体" w:hAnsi="宋体"/>
          <w:sz w:val="24"/>
          <w:szCs w:val="24"/>
        </w:rPr>
        <w:t>1、本项目验收分为初验、终验两个阶段。</w:t>
      </w:r>
    </w:p>
    <w:p>
      <w:pPr>
        <w:spacing w:line="360" w:lineRule="auto"/>
        <w:ind w:firstLine="480" w:firstLineChars="200"/>
        <w:rPr>
          <w:rFonts w:ascii="宋体" w:hAnsi="宋体"/>
          <w:sz w:val="24"/>
          <w:szCs w:val="24"/>
        </w:rPr>
      </w:pPr>
      <w:r>
        <w:rPr>
          <w:rFonts w:hint="eastAsia" w:ascii="宋体" w:hAnsi="宋体"/>
          <w:sz w:val="24"/>
          <w:szCs w:val="24"/>
        </w:rPr>
        <w:t>2、在项目分块内容完成建设实施，符合项目建设目标并满足使用要求后，中标人向采购人提交初验申请和相关资料，采购人组织中标人、监理单位进行单项或多项分块内容的初验，并形成初验意见。初验不通过的，中标人应在1个月内完成整改工作并再次提出初验申请。</w:t>
      </w:r>
    </w:p>
    <w:p>
      <w:pPr>
        <w:spacing w:line="360" w:lineRule="auto"/>
        <w:ind w:firstLine="480" w:firstLineChars="200"/>
        <w:rPr>
          <w:rFonts w:ascii="宋体" w:hAnsi="宋体"/>
          <w:sz w:val="24"/>
          <w:szCs w:val="24"/>
        </w:rPr>
      </w:pPr>
      <w:r>
        <w:rPr>
          <w:rFonts w:hint="eastAsia" w:ascii="宋体" w:hAnsi="宋体"/>
          <w:sz w:val="24"/>
          <w:szCs w:val="24"/>
        </w:rPr>
        <w:t>3、项目分块内容均完成初验后，进入试运行，试运行不少于三个月。中标人需制定试运行方案，准备试运行环境，培训用户，提供技术支持并跟踪系统试运行情况。重点验证建设内容的稳定性和可用性，记录出现的各项问题及时整改，并形成试运行记录和报告。试运行结束后，采购人出具试运行评价意见。试运行未通过的，中标人应根据试运行评价意见整改。</w:t>
      </w:r>
    </w:p>
    <w:p>
      <w:pPr>
        <w:spacing w:line="360" w:lineRule="auto"/>
        <w:ind w:firstLine="480" w:firstLineChars="200"/>
        <w:rPr>
          <w:rFonts w:ascii="宋体" w:hAnsi="宋体"/>
          <w:sz w:val="24"/>
          <w:szCs w:val="24"/>
        </w:rPr>
      </w:pPr>
      <w:r>
        <w:rPr>
          <w:rFonts w:hint="eastAsia" w:ascii="宋体" w:hAnsi="宋体"/>
          <w:sz w:val="24"/>
          <w:szCs w:val="24"/>
        </w:rPr>
        <w:t>4、在合同约定的所有建设内容完成建设实施，通过初验且完成试运行，通过第三方等级保护等信息安全测评，并准备好完整的项目建设资料和技术文档后，中标人向采购人提交终验申请和相关资料，采购人组织中标人、监理单位进行项目终验。终验将对项目实施情况、投资情况、合同履行情况、进度情况、质量状况进行检查，并对项目建设成果进行功能性抽查和试验，对实施过程进行评价，形成终验意见。终验未通过的，中标人应在1个月内完成整改工作并再次提出终验申请。</w:t>
      </w:r>
    </w:p>
    <w:p>
      <w:pPr>
        <w:spacing w:line="360" w:lineRule="auto"/>
        <w:ind w:firstLine="480" w:firstLineChars="200"/>
        <w:rPr>
          <w:rFonts w:ascii="宋体" w:hAnsi="宋体"/>
          <w:b/>
          <w:bCs/>
          <w:sz w:val="24"/>
          <w:szCs w:val="24"/>
        </w:rPr>
      </w:pPr>
      <w:r>
        <w:rPr>
          <w:rFonts w:hint="eastAsia" w:ascii="宋体" w:hAnsi="宋体"/>
          <w:sz w:val="24"/>
          <w:szCs w:val="24"/>
        </w:rPr>
        <w:t>5、项目通过终验后，即进入质保及运维服务期，本项目免费质保及运维服务周期不少于一年。</w:t>
      </w:r>
    </w:p>
    <w:p>
      <w:pPr>
        <w:keepNext/>
        <w:keepLines/>
        <w:widowControl/>
        <w:numPr>
          <w:ilvl w:val="1"/>
          <w:numId w:val="0"/>
        </w:numPr>
        <w:spacing w:line="360" w:lineRule="auto"/>
        <w:outlineLvl w:val="2"/>
        <w:rPr>
          <w:rFonts w:ascii="黑体" w:hAnsi="宋体" w:eastAsia="黑体" w:cs="宋体"/>
          <w:b/>
          <w:bCs/>
          <w:kern w:val="0"/>
          <w:sz w:val="32"/>
          <w:szCs w:val="24"/>
        </w:rPr>
      </w:pPr>
      <w:r>
        <w:rPr>
          <w:rFonts w:hint="eastAsia" w:ascii="黑体" w:hAnsi="等线 Light" w:eastAsia="黑体" w:cs="宋体"/>
          <w:b/>
          <w:bCs/>
          <w:kern w:val="0"/>
          <w:sz w:val="32"/>
          <w:szCs w:val="24"/>
        </w:rPr>
        <w:t>1</w:t>
      </w:r>
      <w:r>
        <w:rPr>
          <w:rFonts w:ascii="黑体" w:hAnsi="等线 Light" w:eastAsia="黑体" w:cs="宋体"/>
          <w:b/>
          <w:bCs/>
          <w:kern w:val="0"/>
          <w:sz w:val="32"/>
          <w:szCs w:val="24"/>
        </w:rPr>
        <w:t>.9</w:t>
      </w:r>
      <w:r>
        <w:rPr>
          <w:rFonts w:hint="eastAsia" w:ascii="黑体" w:hAnsi="等线 Light" w:eastAsia="黑体" w:cs="宋体"/>
          <w:b/>
          <w:bCs/>
          <w:kern w:val="0"/>
          <w:sz w:val="32"/>
          <w:szCs w:val="24"/>
        </w:rPr>
        <w:t>售后服务要求</w:t>
      </w:r>
    </w:p>
    <w:p>
      <w:pPr>
        <w:spacing w:line="360" w:lineRule="auto"/>
        <w:ind w:firstLine="480" w:firstLineChars="200"/>
        <w:rPr>
          <w:rFonts w:ascii="宋体" w:hAnsi="宋体"/>
          <w:sz w:val="24"/>
          <w:szCs w:val="24"/>
        </w:rPr>
      </w:pPr>
      <w:r>
        <w:rPr>
          <w:rFonts w:hint="eastAsia" w:ascii="宋体" w:hAnsi="宋体"/>
          <w:sz w:val="24"/>
          <w:szCs w:val="24"/>
        </w:rPr>
        <w:t>1、本项目所有建设内容的免费质保及运维服务周期不少于一年，免费质保及运维服务时间从项目通过终验并正式投入运行开始计算。</w:t>
      </w:r>
    </w:p>
    <w:p>
      <w:pPr>
        <w:spacing w:line="360" w:lineRule="auto"/>
        <w:ind w:firstLine="480" w:firstLineChars="200"/>
        <w:rPr>
          <w:rFonts w:ascii="宋体" w:hAnsi="宋体"/>
          <w:sz w:val="24"/>
          <w:szCs w:val="24"/>
        </w:rPr>
      </w:pPr>
      <w:r>
        <w:rPr>
          <w:rFonts w:hint="eastAsia" w:ascii="宋体" w:hAnsi="宋体"/>
          <w:bCs/>
          <w:sz w:val="24"/>
          <w:szCs w:val="24"/>
        </w:rPr>
        <w:t>2、供应商应及时处理本项目的售后技术维护服务，应包括电话、电子邮箱、现场技术支持、定期检查等维护服务方式。</w:t>
      </w:r>
      <w:r>
        <w:rPr>
          <w:rFonts w:hint="eastAsia" w:ascii="宋体" w:hAnsi="宋体"/>
          <w:sz w:val="24"/>
          <w:szCs w:val="24"/>
        </w:rPr>
        <w:t>供应商应承诺在免费运维期内供应商</w:t>
      </w:r>
      <w:r>
        <w:rPr>
          <w:rFonts w:ascii="宋体" w:hAnsi="宋体"/>
          <w:sz w:val="24"/>
          <w:szCs w:val="24"/>
        </w:rPr>
        <w:t>必须为2人一组或更多人员，其中至少有1人传感器设备养护经验。提供专项项目联系人 7×24 小时待命</w:t>
      </w:r>
      <w:r>
        <w:rPr>
          <w:rFonts w:hint="eastAsia" w:ascii="宋体" w:hAnsi="宋体"/>
          <w:sz w:val="24"/>
          <w:szCs w:val="24"/>
        </w:rPr>
        <w:t>。</w:t>
      </w:r>
    </w:p>
    <w:p>
      <w:pPr>
        <w:spacing w:line="360" w:lineRule="auto"/>
        <w:ind w:firstLine="480" w:firstLineChars="200"/>
        <w:rPr>
          <w:rFonts w:ascii="宋体" w:hAnsi="宋体"/>
          <w:sz w:val="24"/>
          <w:szCs w:val="24"/>
        </w:rPr>
      </w:pPr>
      <w:r>
        <w:rPr>
          <w:rFonts w:hint="eastAsia" w:ascii="宋体" w:hAnsi="宋体"/>
          <w:sz w:val="24"/>
          <w:szCs w:val="24"/>
        </w:rPr>
        <w:t>3、供应商需在投标书中明确承诺，由各原厂商提供相应的投标产品的安装、调试、维修服务。</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4、在免费质保及运维期内，在接到设备故障通知后，在30分钟内响应。当发生污染情况时，业主需要调用设备的服务响应时间在3小时之内。对于影响正常运行的严重故障，运维工程师及其它相关技术人员在接到故障通知后2小时内赶到现场，查找原因，提出解决方案，并工作直至故障修妥完全恢复正常服务为止，一般要求保证系统在4小时之内修复，并需要提供确保承诺实现的措施。</w:t>
      </w:r>
    </w:p>
    <w:p>
      <w:pPr>
        <w:widowControl/>
        <w:spacing w:line="360" w:lineRule="auto"/>
        <w:ind w:firstLine="480" w:firstLineChars="200"/>
        <w:rPr>
          <w:rFonts w:ascii="宋体" w:hAnsi="宋体" w:cs="宋体"/>
          <w:kern w:val="0"/>
          <w:sz w:val="24"/>
          <w:szCs w:val="24"/>
        </w:rPr>
      </w:pPr>
      <w:r>
        <w:rPr>
          <w:rFonts w:ascii="宋体" w:hAnsi="宋体" w:cs="宋体"/>
          <w:kern w:val="0"/>
          <w:sz w:val="24"/>
          <w:szCs w:val="24"/>
        </w:rPr>
        <w:t>5</w:t>
      </w:r>
      <w:r>
        <w:rPr>
          <w:rFonts w:hint="eastAsia" w:ascii="宋体" w:hAnsi="宋体" w:cs="宋体"/>
          <w:kern w:val="0"/>
          <w:sz w:val="24"/>
          <w:szCs w:val="24"/>
        </w:rPr>
        <w:t>、免费运维期服务内容包括：</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日常远程监控：定期通过在线信息软件进行远程监控与检查，内容包括：检查各类传感器以及电源电压、监测信号与数据质量等，完成系统性能自检；利用软件异常报警功能，一旦发现数据异常、设备故障等问题，立即排查处理，并做好日志记录。</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定期现场巡检内容：每月对各类传感器站点开展现场维护1次，具体内容包括：</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1）现场检测各类传感器主机工作状态，包括安装高程、工作电压、监测信号质量、数据成果质量等，完成系统性能自检，并建档记录；综合现场检测情况与日常监控情况，排查与处理各种可能影响测验质量的问题。</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2）检查安装平台、支架等，进行除渣等保养保护；检查平台稳定性，更换生锈螺丝、垫片等零件，消除设备掉落安全隐患；检查整体连接装置、压接固定、钢丝断丝、磨损、锈蚀等情况，排除所有可能存在的各种安全隐患。</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3）电源、通讯：检查与测试电源、通讯设施设备，及时更换性能出现衰减的零部件。检测控制系统主板工作电压、电流，并预测主板使用期及主板的故障率评估；测定与评估蓄电池的蓄电能力及故障率，及时更换蓄电池，保持蓄电池表面整洁。</w:t>
      </w:r>
    </w:p>
    <w:p>
      <w:pPr>
        <w:widowControl/>
        <w:spacing w:line="360" w:lineRule="auto"/>
        <w:ind w:firstLine="480" w:firstLineChars="200"/>
        <w:rPr>
          <w:rFonts w:ascii="宋体" w:hAnsi="宋体" w:cs="宋体"/>
          <w:kern w:val="0"/>
          <w:sz w:val="24"/>
          <w:szCs w:val="24"/>
        </w:rPr>
      </w:pPr>
      <w:r>
        <w:rPr>
          <w:rFonts w:hint="eastAsia" w:ascii="宋体" w:hAnsi="宋体" w:cs="宋体"/>
          <w:kern w:val="0"/>
          <w:sz w:val="24"/>
          <w:szCs w:val="24"/>
        </w:rPr>
        <w:t>6、硬件免费运维期内，服务范围包括：</w:t>
      </w:r>
      <w:r>
        <w:rPr>
          <w:rFonts w:ascii="宋体" w:hAnsi="宋体" w:cs="宋体"/>
          <w:kern w:val="0"/>
          <w:sz w:val="24"/>
          <w:szCs w:val="24"/>
        </w:rPr>
        <w:t>（1）各类传感器：液位、水质、流量、气体、工况、视频等；（2）其它设备及设施：包括安装平台、电源、通讯模块及其套管等配套设施修复与维护。</w:t>
      </w:r>
      <w:r>
        <w:rPr>
          <w:rFonts w:hint="eastAsia" w:ascii="宋体" w:hAnsi="宋体" w:cs="宋体"/>
          <w:kern w:val="0"/>
          <w:sz w:val="24"/>
          <w:szCs w:val="24"/>
        </w:rPr>
        <w:t>（3）物联网感知设备维护和保养包括：设备远程维护、定期巡检、设备校正、设备检修、必要时移动监测点位等运营维护工作。</w:t>
      </w:r>
    </w:p>
    <w:p>
      <w:pPr>
        <w:spacing w:line="360" w:lineRule="auto"/>
        <w:ind w:firstLine="480" w:firstLineChars="200"/>
        <w:rPr>
          <w:rFonts w:ascii="宋体" w:hAnsi="宋体"/>
          <w:sz w:val="24"/>
          <w:szCs w:val="24"/>
        </w:rPr>
      </w:pPr>
      <w:r>
        <w:rPr>
          <w:rFonts w:ascii="宋体" w:hAnsi="宋体"/>
          <w:sz w:val="24"/>
          <w:szCs w:val="24"/>
        </w:rPr>
        <w:t>7</w:t>
      </w:r>
      <w:r>
        <w:rPr>
          <w:rFonts w:hint="eastAsia" w:ascii="宋体" w:hAnsi="宋体"/>
          <w:sz w:val="24"/>
          <w:szCs w:val="24"/>
        </w:rPr>
        <w:t>、在质量保修期内，须由原厂商的工程师每年进行一次全面检查，任何缺陷必须由供应商负责修理，在修理之后，供应商应将缺陷原因、修理内容、完成修理及恢复正常的时间和日期等报告给采购人。</w:t>
      </w:r>
    </w:p>
    <w:p>
      <w:pPr>
        <w:spacing w:line="360" w:lineRule="auto"/>
        <w:ind w:firstLine="480" w:firstLineChars="200"/>
        <w:rPr>
          <w:rFonts w:ascii="宋体" w:hAnsi="宋体"/>
          <w:sz w:val="24"/>
          <w:szCs w:val="24"/>
        </w:rPr>
      </w:pPr>
      <w:r>
        <w:rPr>
          <w:rFonts w:hint="eastAsia" w:ascii="宋体" w:hAnsi="宋体"/>
          <w:sz w:val="24"/>
          <w:szCs w:val="24"/>
        </w:rPr>
        <w:t>8、供应商须作出无推诿承诺。即供应商应提供特殊措施，无论由于哪一方产生的问题而使系统发生不正常情况时，在得到采购人或用户方通知后，须立即派工程师到场，全力协助用户和其他供应商，使系统尽快恢复正常。</w:t>
      </w:r>
    </w:p>
    <w:p>
      <w:pPr>
        <w:spacing w:line="360" w:lineRule="auto"/>
        <w:ind w:firstLine="480" w:firstLineChars="200"/>
        <w:rPr>
          <w:rFonts w:ascii="宋体" w:hAnsi="宋体"/>
          <w:sz w:val="24"/>
          <w:szCs w:val="24"/>
        </w:rPr>
      </w:pPr>
      <w:r>
        <w:rPr>
          <w:rFonts w:hint="eastAsia" w:ascii="宋体" w:hAnsi="宋体"/>
          <w:sz w:val="24"/>
          <w:szCs w:val="24"/>
        </w:rPr>
        <w:t>9、以上所有售后服务的相关费用均需计入投标总价。</w:t>
      </w:r>
    </w:p>
    <w:p>
      <w:pPr>
        <w:widowControl/>
        <w:jc w:val="left"/>
        <w:rPr>
          <w:rFonts w:ascii="宋体" w:hAnsi="宋体" w:cs="宋体"/>
          <w:kern w:val="0"/>
          <w:sz w:val="24"/>
          <w:szCs w:val="24"/>
        </w:rPr>
      </w:pPr>
      <w:r>
        <w:rPr>
          <w:rFonts w:ascii="宋体" w:hAnsi="宋体" w:cs="宋体"/>
          <w:kern w:val="0"/>
          <w:sz w:val="24"/>
          <w:szCs w:val="24"/>
        </w:rPr>
        <w:br w:type="page"/>
      </w:r>
    </w:p>
    <w:p>
      <w:pPr>
        <w:widowControl/>
        <w:spacing w:line="360" w:lineRule="auto"/>
        <w:ind w:firstLine="480" w:firstLineChars="200"/>
        <w:rPr>
          <w:rFonts w:ascii="宋体" w:hAnsi="宋体" w:cs="宋体"/>
          <w:kern w:val="0"/>
          <w:sz w:val="24"/>
          <w:szCs w:val="24"/>
        </w:rPr>
      </w:pPr>
    </w:p>
    <w:p>
      <w:pPr>
        <w:pStyle w:val="2"/>
        <w:spacing w:beforeLines="0" w:afterLines="0" w:line="360" w:lineRule="auto"/>
        <w:rPr>
          <w:rFonts w:ascii="宋体" w:hAnsi="宋体"/>
          <w:sz w:val="32"/>
          <w:szCs w:val="32"/>
        </w:rPr>
      </w:pPr>
      <w:bookmarkStart w:id="77" w:name="_Toc520902407"/>
      <w:r>
        <w:rPr>
          <w:rFonts w:hint="eastAsia" w:ascii="宋体" w:hAnsi="宋体"/>
          <w:sz w:val="32"/>
          <w:szCs w:val="32"/>
        </w:rPr>
        <w:t>第七部分 附件（投标文件格式）</w:t>
      </w:r>
      <w:bookmarkEnd w:id="76"/>
      <w:bookmarkEnd w:id="77"/>
    </w:p>
    <w:p>
      <w:pPr>
        <w:jc w:val="center"/>
        <w:rPr>
          <w:rFonts w:ascii="宋体" w:hAnsi="宋体" w:cs="宋体"/>
          <w:b/>
          <w:sz w:val="36"/>
          <w:szCs w:val="36"/>
          <w:u w:val="single"/>
        </w:rPr>
      </w:pPr>
    </w:p>
    <w:p>
      <w:pPr>
        <w:jc w:val="center"/>
        <w:rPr>
          <w:rFonts w:ascii="宋体" w:hAnsi="宋体" w:cs="宋体"/>
          <w:b/>
          <w:sz w:val="36"/>
          <w:szCs w:val="36"/>
          <w:u w:val="single"/>
        </w:rPr>
      </w:pP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1</w:t>
      </w:r>
      <w:r>
        <w:rPr>
          <w:rFonts w:hint="eastAsia" w:cs="宋体" w:asciiTheme="minorEastAsia" w:hAnsiTheme="minorEastAsia" w:eastAsiaTheme="minorEastAsia"/>
          <w:b/>
          <w:bCs/>
          <w:kern w:val="0"/>
          <w:szCs w:val="21"/>
        </w:rPr>
        <w:t>、投标文件的外包装封面</w:t>
      </w:r>
    </w:p>
    <w:p>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电子备份投标文件</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项目编号：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标项号：</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投标人名称（加盖公章）：</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投标人地址：</w:t>
      </w: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 xml:space="preserve">      年  月  日</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p>
    <w:p>
      <w:pPr>
        <w:widowControl/>
        <w:spacing w:line="360" w:lineRule="auto"/>
        <w:jc w:val="left"/>
        <w:rPr>
          <w:rFonts w:cs="宋体" w:asciiTheme="minorEastAsia" w:hAnsiTheme="minorEastAsia" w:eastAsiaTheme="minorEastAsia"/>
          <w:kern w:val="0"/>
          <w:sz w:val="24"/>
        </w:rPr>
      </w:pPr>
      <w:r>
        <w:rPr>
          <w:rFonts w:hint="eastAsia" w:cs="宋体" w:eastAsiaTheme="minorEastAsia"/>
          <w:b/>
          <w:bCs/>
          <w:kern w:val="0"/>
          <w:szCs w:val="21"/>
        </w:rPr>
        <w:t>2</w:t>
      </w:r>
      <w:r>
        <w:rPr>
          <w:rFonts w:hint="eastAsia" w:cs="宋体" w:asciiTheme="minorEastAsia" w:hAnsiTheme="minorEastAsia" w:eastAsiaTheme="minorEastAsia"/>
          <w:b/>
          <w:bCs/>
          <w:kern w:val="0"/>
          <w:szCs w:val="21"/>
        </w:rPr>
        <w:t>、投标文件封面格式</w:t>
      </w:r>
    </w:p>
    <w:p>
      <w:pPr>
        <w:widowControl/>
        <w:spacing w:before="240" w:beforeLines="100" w:line="360" w:lineRule="auto"/>
        <w:jc w:val="center"/>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资格文件/商务技术文件/报价文件</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项目编号：</w:t>
      </w:r>
    </w:p>
    <w:p>
      <w:pPr>
        <w:widowControl/>
        <w:spacing w:line="360" w:lineRule="auto"/>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项目名称：</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标项号：</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投标人名称（加盖公章）：</w:t>
      </w:r>
    </w:p>
    <w:p>
      <w:pPr>
        <w:widowControl/>
        <w:spacing w:line="360" w:lineRule="auto"/>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投标人地址：</w:t>
      </w:r>
    </w:p>
    <w:p>
      <w:pPr>
        <w:widowControl/>
        <w:spacing w:line="360" w:lineRule="auto"/>
        <w:jc w:val="left"/>
        <w:rPr>
          <w:rFonts w:cs="宋体" w:asciiTheme="minorEastAsia" w:hAnsiTheme="minorEastAsia" w:eastAsiaTheme="minorEastAsia"/>
          <w:kern w:val="0"/>
          <w:szCs w:val="21"/>
        </w:rPr>
      </w:pPr>
    </w:p>
    <w:p>
      <w:pPr>
        <w:widowControl/>
        <w:spacing w:line="360" w:lineRule="auto"/>
        <w:jc w:val="left"/>
        <w:rPr>
          <w:rFonts w:asciiTheme="minorEastAsia" w:hAnsiTheme="minorEastAsia" w:eastAsiaTheme="minorEastAsia"/>
          <w:bCs/>
          <w:sz w:val="24"/>
          <w:szCs w:val="24"/>
        </w:rPr>
      </w:pPr>
      <w:r>
        <w:rPr>
          <w:rFonts w:hint="eastAsia" w:cs="宋体" w:asciiTheme="minorEastAsia" w:hAnsiTheme="minorEastAsia" w:eastAsiaTheme="minorEastAsia"/>
          <w:kern w:val="0"/>
          <w:szCs w:val="21"/>
        </w:rPr>
        <w:t xml:space="preserve">      年  月  日</w:t>
      </w:r>
      <w:r>
        <w:rPr>
          <w:rFonts w:asciiTheme="minorEastAsia" w:hAnsiTheme="minorEastAsia" w:eastAsiaTheme="minorEastAsia"/>
          <w:bCs/>
          <w:sz w:val="24"/>
          <w:szCs w:val="24"/>
        </w:rPr>
        <w:br w:type="page"/>
      </w:r>
    </w:p>
    <w:p>
      <w:pPr>
        <w:adjustRightInd w:val="0"/>
        <w:snapToGrid w:val="0"/>
        <w:jc w:val="center"/>
        <w:rPr>
          <w:rFonts w:asciiTheme="minorEastAsia" w:hAnsiTheme="minorEastAsia" w:eastAsiaTheme="minorEastAsia"/>
          <w:b/>
          <w:sz w:val="24"/>
        </w:rPr>
      </w:pPr>
    </w:p>
    <w:p>
      <w:pPr>
        <w:widowControl/>
        <w:spacing w:line="360" w:lineRule="auto"/>
        <w:jc w:val="left"/>
        <w:outlineLvl w:val="1"/>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资格文件组成：</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eastAsiaTheme="minorEastAsia"/>
          <w:kern w:val="0"/>
          <w:szCs w:val="21"/>
        </w:rPr>
        <w:t>1</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关于满足资格的承诺函；</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cs="宋体" w:eastAsiaTheme="minorEastAsia"/>
          <w:kern w:val="0"/>
          <w:szCs w:val="21"/>
        </w:rPr>
        <w:t>2</w:t>
      </w:r>
      <w:r>
        <w:rPr>
          <w:rFonts w:hint="eastAsia" w:cs="宋体" w:asciiTheme="minorEastAsia" w:hAnsiTheme="minorEastAsia" w:eastAsiaTheme="minorEastAsia"/>
          <w:kern w:val="0"/>
          <w:szCs w:val="21"/>
        </w:rPr>
        <w:t>）有效的“多证合一”的营业执照（未办理多证合一的提供营业执照、税务登记证、组织机构代码证）副本复印件。供应商如果有名称变更的，应提供由行政主管部门出具的变更证明文件；</w:t>
      </w:r>
    </w:p>
    <w:p>
      <w:pPr>
        <w:widowControl/>
        <w:spacing w:line="360" w:lineRule="auto"/>
        <w:ind w:firstLine="420" w:firstLineChars="200"/>
        <w:jc w:val="left"/>
        <w:rPr>
          <w:rFonts w:ascii="宋体" w:hAnsi="宋体" w:cs="宋体"/>
          <w:kern w:val="0"/>
          <w:szCs w:val="21"/>
        </w:rPr>
      </w:pPr>
      <w:r>
        <w:rPr>
          <w:rFonts w:hint="eastAsia" w:ascii="宋体" w:hAnsi="宋体" w:cs="宋体"/>
          <w:kern w:val="0"/>
          <w:szCs w:val="21"/>
        </w:rPr>
        <w:t>（</w:t>
      </w:r>
      <w:r>
        <w:rPr>
          <w:rFonts w:ascii="宋体" w:hAnsi="宋体" w:cs="宋体"/>
          <w:kern w:val="0"/>
          <w:szCs w:val="21"/>
        </w:rPr>
        <w:t>3</w:t>
      </w:r>
      <w:r>
        <w:rPr>
          <w:rFonts w:hint="eastAsia" w:ascii="宋体" w:hAnsi="宋体" w:cs="宋体"/>
          <w:kern w:val="0"/>
          <w:szCs w:val="21"/>
        </w:rPr>
        <w:t>）</w:t>
      </w:r>
      <w:r>
        <w:rPr>
          <w:rFonts w:hint="eastAsia" w:ascii="宋体" w:hAnsi="宋体" w:cs="宋体"/>
          <w:bCs/>
        </w:rPr>
        <w:t>落实政府采购政策需满足的资格要求证明材料</w:t>
      </w:r>
    </w:p>
    <w:p>
      <w:pPr>
        <w:pStyle w:val="238"/>
        <w:ind w:firstLine="400"/>
        <w:rPr>
          <w:rFonts w:cs="宋体" w:asciiTheme="minorEastAsia" w:hAnsiTheme="minorEastAsia" w:eastAsiaTheme="minorEastAsia"/>
          <w:szCs w:val="21"/>
        </w:rPr>
      </w:pPr>
      <w:r>
        <w:rPr>
          <w:rFonts w:hint="eastAsia" w:cs="宋体" w:asciiTheme="minorEastAsia" w:hAnsiTheme="minorEastAsia" w:eastAsiaTheme="minorEastAsia"/>
          <w:szCs w:val="21"/>
        </w:rPr>
        <w:t>（</w:t>
      </w:r>
      <w:r>
        <w:rPr>
          <w:rFonts w:cs="宋体" w:eastAsiaTheme="minorEastAsia"/>
          <w:szCs w:val="21"/>
        </w:rPr>
        <w:t>4</w:t>
      </w:r>
      <w:r>
        <w:rPr>
          <w:rFonts w:hint="eastAsia" w:cs="宋体" w:asciiTheme="minorEastAsia" w:hAnsiTheme="minorEastAsia" w:eastAsiaTheme="minorEastAsia"/>
          <w:szCs w:val="21"/>
        </w:rPr>
        <w:t>）投标人的特定条件的证明文件。</w:t>
      </w:r>
    </w:p>
    <w:p>
      <w:pPr>
        <w:pStyle w:val="238"/>
        <w:ind w:firstLine="400"/>
      </w:pPr>
      <w:r>
        <w:rPr>
          <w:rFonts w:hint="eastAsia" w:cs="宋体" w:asciiTheme="minorEastAsia" w:hAnsiTheme="minorEastAsia" w:eastAsiaTheme="minorEastAsia"/>
          <w:szCs w:val="21"/>
        </w:rPr>
        <w:t>（5）</w:t>
      </w:r>
      <w:r>
        <w:rPr>
          <w:rFonts w:hint="eastAsia" w:cs="宋体"/>
          <w:color w:val="auto"/>
          <w:kern w:val="2"/>
          <w:sz w:val="21"/>
        </w:rPr>
        <w:t>联合体投标协议书（格式见附件）</w:t>
      </w:r>
      <w:r>
        <w:rPr>
          <w:rFonts w:cs="宋体"/>
          <w:b/>
          <w:color w:val="auto"/>
          <w:kern w:val="2"/>
          <w:sz w:val="21"/>
        </w:rPr>
        <w:t>[</w:t>
      </w:r>
      <w:r>
        <w:rPr>
          <w:rFonts w:hint="eastAsia" w:cs="宋体"/>
          <w:b/>
          <w:color w:val="auto"/>
          <w:kern w:val="2"/>
          <w:sz w:val="21"/>
        </w:rPr>
        <w:t>若是联合体投标的必须提供，否则不必提供</w:t>
      </w:r>
      <w:r>
        <w:rPr>
          <w:rFonts w:cs="宋体"/>
          <w:b/>
          <w:color w:val="auto"/>
          <w:kern w:val="2"/>
          <w:sz w:val="21"/>
        </w:rPr>
        <w:t>]</w:t>
      </w:r>
      <w:r>
        <w:rPr>
          <w:rFonts w:hint="eastAsia" w:cs="宋体"/>
          <w:color w:val="auto"/>
          <w:kern w:val="2"/>
          <w:sz w:val="21"/>
        </w:rPr>
        <w:t>；</w:t>
      </w:r>
    </w:p>
    <w:p>
      <w:pPr>
        <w:widowControl/>
        <w:jc w:val="left"/>
        <w:rPr>
          <w:rFonts w:asciiTheme="minorEastAsia" w:hAnsiTheme="minorEastAsia" w:eastAsiaTheme="minorEastAsia"/>
          <w:b/>
          <w:sz w:val="24"/>
        </w:rPr>
      </w:pPr>
      <w:r>
        <w:rPr>
          <w:rFonts w:asciiTheme="minorEastAsia" w:hAnsiTheme="minorEastAsia" w:eastAsiaTheme="minorEastAsia"/>
          <w:b/>
          <w:sz w:val="24"/>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（一）关于满足资格的承诺函</w:t>
      </w:r>
    </w:p>
    <w:p>
      <w:pPr>
        <w:rPr>
          <w:rFonts w:asciiTheme="minorEastAsia" w:hAnsiTheme="minorEastAsia" w:eastAsiaTheme="minorEastAsia"/>
          <w:b/>
        </w:rPr>
      </w:pPr>
    </w:p>
    <w:p>
      <w:pPr>
        <w:rPr>
          <w:rFonts w:asciiTheme="minorEastAsia" w:hAnsiTheme="minorEastAsia" w:eastAsiaTheme="minorEastAsia"/>
          <w:b/>
        </w:rPr>
      </w:pPr>
    </w:p>
    <w:p>
      <w:pPr>
        <w:snapToGrid w:val="0"/>
        <w:spacing w:line="360" w:lineRule="auto"/>
        <w:rPr>
          <w:rFonts w:asciiTheme="minorEastAsia" w:hAnsiTheme="minorEastAsia" w:eastAsiaTheme="minorEastAsia"/>
          <w:b/>
          <w:szCs w:val="21"/>
        </w:rPr>
      </w:pPr>
      <w:r>
        <w:rPr>
          <w:rFonts w:hint="eastAsia" w:asciiTheme="minorEastAsia" w:hAnsiTheme="minorEastAsia" w:eastAsiaTheme="minorEastAsia"/>
          <w:szCs w:val="21"/>
        </w:rPr>
        <w:t>致：</w:t>
      </w:r>
      <w:r>
        <w:rPr>
          <w:rFonts w:hint="eastAsia" w:asciiTheme="minorEastAsia" w:hAnsiTheme="minorEastAsia" w:eastAsiaTheme="minorEastAsia"/>
          <w:szCs w:val="21"/>
          <w:u w:val="single"/>
        </w:rPr>
        <w:t>（采购人）</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关于贵司年</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月</w:t>
      </w:r>
      <w:r>
        <w:rPr>
          <w:rFonts w:hint="eastAsia" w:asciiTheme="minorEastAsia" w:hAnsiTheme="minorEastAsia" w:eastAsiaTheme="minorEastAsia"/>
          <w:szCs w:val="21"/>
          <w:u w:val="single"/>
        </w:rPr>
        <w:t>　　</w:t>
      </w:r>
      <w:r>
        <w:rPr>
          <w:rFonts w:hint="eastAsia" w:asciiTheme="minorEastAsia" w:hAnsiTheme="minorEastAsia" w:eastAsiaTheme="minorEastAsia"/>
          <w:szCs w:val="21"/>
        </w:rPr>
        <w:t>日发布的项目（项目编号：　　　）的招标公告，本单位愿意参加投标，并承诺：</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1、我单位满足《中华人民共和国政府采购法》第二十二条 供应商参加政府采购活动应当具备的下列条件：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w:t>
      </w:r>
      <w:r>
        <w:rPr>
          <w:rFonts w:asciiTheme="minorEastAsia" w:hAnsiTheme="minorEastAsia" w:eastAsiaTheme="minorEastAsia"/>
          <w:szCs w:val="21"/>
        </w:rPr>
        <w:t>1</w:t>
      </w:r>
      <w:r>
        <w:rPr>
          <w:rFonts w:hint="eastAsia" w:asciiTheme="minorEastAsia" w:hAnsiTheme="minorEastAsia" w:eastAsiaTheme="minorEastAsia"/>
          <w:szCs w:val="21"/>
        </w:rPr>
        <w:t>）具有独立承担民事责任的能力；</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（2）具有良好的商业信誉和健全的财务会计制度；</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（3）具有履行合同所必需的设备和专业技术能力；</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（4）有依法缴纳税收和社会保障资金的良好记录；</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（5）参加政府采购活动前三年内，在经营活动中没有重大违法记录；</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（6）法律、行政法规规定的其他条件。</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2、我单位的单位负责人或单位负责人与所参投的本采购项目的其他投标人的单位负责人或单位负责人不为同一人且与其他投标人之间不存在直接控股、管理关系。</w:t>
      </w:r>
    </w:p>
    <w:p>
      <w:pPr>
        <w:widowControl/>
        <w:snapToGrid w:val="0"/>
        <w:spacing w:line="360" w:lineRule="auto"/>
        <w:ind w:firstLine="420" w:firstLineChars="200"/>
        <w:jc w:val="left"/>
        <w:rPr>
          <w:rFonts w:asciiTheme="minorEastAsia" w:hAnsiTheme="minorEastAsia" w:eastAsiaTheme="minorEastAsia"/>
          <w:szCs w:val="21"/>
        </w:rPr>
      </w:pPr>
      <w:r>
        <w:rPr>
          <w:rFonts w:asciiTheme="minorEastAsia" w:hAnsiTheme="minorEastAsia" w:eastAsiaTheme="minorEastAsia"/>
          <w:szCs w:val="21"/>
        </w:rPr>
        <w:t>3</w:t>
      </w:r>
      <w:r>
        <w:rPr>
          <w:rFonts w:hint="eastAsia" w:asciiTheme="minorEastAsia" w:hAnsiTheme="minorEastAsia" w:eastAsiaTheme="minorEastAsia"/>
          <w:szCs w:val="21"/>
        </w:rPr>
        <w:t>、根据《中华人民共和国政府采购法实施条例》的规定，本单位如为本采购项目提供整体设计、规范编制或者项目管理、监理、检测等服务的投标人，不得再参加该采购项目的其他采购活动。否则，由此所造成的损失、不良后果及法律责任，一律由我单位承担。</w:t>
      </w:r>
    </w:p>
    <w:p>
      <w:pPr>
        <w:snapToGrid w:val="0"/>
        <w:spacing w:line="360" w:lineRule="auto"/>
        <w:ind w:firstLine="424" w:firstLineChars="202"/>
        <w:rPr>
          <w:rFonts w:asciiTheme="minorEastAsia" w:hAnsiTheme="minorEastAsia" w:eastAsiaTheme="minorEastAsia"/>
          <w:szCs w:val="21"/>
        </w:rPr>
      </w:pPr>
      <w:r>
        <w:rPr>
          <w:rFonts w:hint="eastAsia" w:asciiTheme="minorEastAsia" w:hAnsiTheme="minorEastAsia" w:eastAsiaTheme="minorEastAsia"/>
          <w:szCs w:val="21"/>
        </w:rPr>
        <w:t>4、我单位未被信用中国网站（</w:t>
      </w:r>
      <w:r>
        <w:rPr>
          <w:rFonts w:hint="eastAsia" w:eastAsiaTheme="minorEastAsia"/>
          <w:szCs w:val="21"/>
        </w:rPr>
        <w:t>www</w:t>
      </w:r>
      <w:r>
        <w:rPr>
          <w:rFonts w:hint="eastAsia" w:asciiTheme="minorEastAsia" w:hAnsiTheme="minorEastAsia" w:eastAsiaTheme="minorEastAsia"/>
          <w:szCs w:val="21"/>
        </w:rPr>
        <w:t>.</w:t>
      </w:r>
      <w:r>
        <w:rPr>
          <w:rFonts w:hint="eastAsia" w:eastAsiaTheme="minorEastAsia"/>
          <w:szCs w:val="21"/>
        </w:rPr>
        <w:t>creditchina</w:t>
      </w:r>
      <w:r>
        <w:rPr>
          <w:rFonts w:hint="eastAsia" w:asciiTheme="minorEastAsia" w:hAnsiTheme="minorEastAsia" w:eastAsiaTheme="minorEastAsia"/>
          <w:szCs w:val="21"/>
        </w:rPr>
        <w:t>.</w:t>
      </w:r>
      <w:r>
        <w:rPr>
          <w:rFonts w:hint="eastAsia" w:eastAsiaTheme="minorEastAsia"/>
          <w:szCs w:val="21"/>
        </w:rPr>
        <w:t>gov</w:t>
      </w:r>
      <w:r>
        <w:rPr>
          <w:rFonts w:hint="eastAsia" w:asciiTheme="minorEastAsia" w:hAnsiTheme="minorEastAsia" w:eastAsiaTheme="minorEastAsia"/>
          <w:szCs w:val="21"/>
        </w:rPr>
        <w:t>.</w:t>
      </w:r>
      <w:r>
        <w:rPr>
          <w:rFonts w:hint="eastAsia" w:eastAsiaTheme="minorEastAsia"/>
          <w:szCs w:val="21"/>
        </w:rPr>
        <w:t>cn</w:t>
      </w:r>
      <w:r>
        <w:rPr>
          <w:rFonts w:hint="eastAsia" w:asciiTheme="minorEastAsia" w:hAnsiTheme="minorEastAsia" w:eastAsiaTheme="minorEastAsia"/>
          <w:szCs w:val="21"/>
        </w:rPr>
        <w:t>）列入失信被执行人、重大税收违法件当事人名单，未被中国政府采购网（</w:t>
      </w:r>
      <w:r>
        <w:rPr>
          <w:rFonts w:hint="eastAsia" w:eastAsiaTheme="minorEastAsia"/>
          <w:szCs w:val="21"/>
        </w:rPr>
        <w:t>www</w:t>
      </w:r>
      <w:r>
        <w:rPr>
          <w:rFonts w:hint="eastAsia" w:asciiTheme="minorEastAsia" w:hAnsiTheme="minorEastAsia" w:eastAsiaTheme="minorEastAsia"/>
          <w:szCs w:val="21"/>
        </w:rPr>
        <w:t>.</w:t>
      </w:r>
      <w:r>
        <w:rPr>
          <w:rFonts w:hint="eastAsia" w:eastAsiaTheme="minorEastAsia"/>
          <w:szCs w:val="21"/>
        </w:rPr>
        <w:t>ccgp</w:t>
      </w:r>
      <w:r>
        <w:rPr>
          <w:rFonts w:hint="eastAsia" w:asciiTheme="minorEastAsia" w:hAnsiTheme="minorEastAsia" w:eastAsiaTheme="minorEastAsia"/>
          <w:szCs w:val="21"/>
        </w:rPr>
        <w:t>.</w:t>
      </w:r>
      <w:r>
        <w:rPr>
          <w:rFonts w:hint="eastAsia" w:eastAsiaTheme="minorEastAsia"/>
          <w:szCs w:val="21"/>
        </w:rPr>
        <w:t>gov</w:t>
      </w:r>
      <w:r>
        <w:rPr>
          <w:rFonts w:hint="eastAsia" w:asciiTheme="minorEastAsia" w:hAnsiTheme="minorEastAsia" w:eastAsiaTheme="minorEastAsia"/>
          <w:szCs w:val="21"/>
        </w:rPr>
        <w:t>.</w:t>
      </w:r>
      <w:r>
        <w:rPr>
          <w:rFonts w:hint="eastAsia" w:eastAsiaTheme="minorEastAsia"/>
          <w:szCs w:val="21"/>
        </w:rPr>
        <w:t>cn</w:t>
      </w:r>
      <w:r>
        <w:rPr>
          <w:rFonts w:hint="eastAsia" w:asciiTheme="minorEastAsia" w:hAnsiTheme="minorEastAsia" w:eastAsiaTheme="minorEastAsia"/>
          <w:szCs w:val="21"/>
        </w:rPr>
        <w:t>）列入政府采购严重违法失信行为记录名单。</w:t>
      </w:r>
    </w:p>
    <w:p>
      <w:pPr>
        <w:snapToGrid w:val="0"/>
        <w:spacing w:line="360" w:lineRule="auto"/>
        <w:ind w:firstLine="420" w:firstLineChars="200"/>
        <w:rPr>
          <w:rFonts w:asciiTheme="minorEastAsia" w:hAnsiTheme="minorEastAsia" w:eastAsiaTheme="minorEastAsia"/>
          <w:szCs w:val="21"/>
        </w:rPr>
      </w:pPr>
      <w:r>
        <w:rPr>
          <w:rFonts w:asciiTheme="minorEastAsia" w:hAnsiTheme="minorEastAsia" w:eastAsiaTheme="minorEastAsia"/>
          <w:szCs w:val="21"/>
        </w:rPr>
        <w:t>5</w:t>
      </w:r>
      <w:r>
        <w:rPr>
          <w:rFonts w:hint="eastAsia" w:asciiTheme="minorEastAsia" w:hAnsiTheme="minorEastAsia" w:eastAsiaTheme="minorEastAsia"/>
          <w:szCs w:val="21"/>
        </w:rPr>
        <w:t>、本次招标采购活动中，如有违法、违规、弄虚作假行为，所造成的损失、不良后果及法律责任，一律由我单位承担。</w:t>
      </w:r>
    </w:p>
    <w:p>
      <w:pPr>
        <w:snapToGrid w:val="0"/>
        <w:spacing w:line="360" w:lineRule="auto"/>
        <w:ind w:firstLine="420"/>
        <w:rPr>
          <w:rFonts w:asciiTheme="minorEastAsia" w:hAnsiTheme="minorEastAsia" w:eastAsiaTheme="minorEastAsia"/>
          <w:szCs w:val="21"/>
        </w:rPr>
      </w:pPr>
    </w:p>
    <w:p>
      <w:pPr>
        <w:snapToGrid w:val="0"/>
        <w:spacing w:line="360" w:lineRule="auto"/>
        <w:ind w:firstLine="420"/>
        <w:rPr>
          <w:rFonts w:asciiTheme="minorEastAsia" w:hAnsiTheme="minorEastAsia" w:eastAsiaTheme="minorEastAsia"/>
          <w:szCs w:val="21"/>
        </w:rPr>
      </w:pPr>
      <w:r>
        <w:rPr>
          <w:rFonts w:hint="eastAsia" w:asciiTheme="minorEastAsia" w:hAnsiTheme="minorEastAsia" w:eastAsiaTheme="minorEastAsia"/>
          <w:szCs w:val="21"/>
        </w:rPr>
        <w:t>特此承诺！</w:t>
      </w:r>
    </w:p>
    <w:p>
      <w:pPr>
        <w:adjustRightInd w:val="0"/>
        <w:snapToGrid w:val="0"/>
        <w:spacing w:line="360" w:lineRule="auto"/>
        <w:ind w:left="425"/>
        <w:rPr>
          <w:rFonts w:asciiTheme="minorEastAsia" w:hAnsiTheme="minorEastAsia" w:eastAsiaTheme="minorEastAsia"/>
          <w:spacing w:val="4"/>
          <w:szCs w:val="21"/>
        </w:rPr>
      </w:pPr>
    </w:p>
    <w:p>
      <w:pPr>
        <w:adjustRightInd w:val="0"/>
        <w:snapToGrid w:val="0"/>
        <w:spacing w:line="360" w:lineRule="auto"/>
        <w:ind w:left="425"/>
        <w:rPr>
          <w:rFonts w:asciiTheme="minorEastAsia" w:hAnsiTheme="minorEastAsia" w:eastAsiaTheme="minorEastAsia"/>
          <w:spacing w:val="4"/>
          <w:szCs w:val="21"/>
        </w:rPr>
      </w:pPr>
    </w:p>
    <w:p>
      <w:pPr>
        <w:snapToGrid w:val="0"/>
        <w:spacing w:line="360" w:lineRule="auto"/>
        <w:ind w:right="420" w:firstLine="3150" w:firstLineChars="1500"/>
        <w:rPr>
          <w:rFonts w:asciiTheme="minorEastAsia" w:hAnsiTheme="minorEastAsia" w:eastAsiaTheme="minorEastAsia"/>
          <w:szCs w:val="21"/>
        </w:rPr>
      </w:pPr>
      <w:r>
        <w:rPr>
          <w:rFonts w:hint="eastAsia" w:asciiTheme="minorEastAsia" w:hAnsiTheme="minorEastAsia" w:eastAsiaTheme="minorEastAsia"/>
          <w:szCs w:val="21"/>
        </w:rPr>
        <w:t>投标人（公章）：</w:t>
      </w:r>
    </w:p>
    <w:p>
      <w:pPr>
        <w:snapToGrid w:val="0"/>
        <w:spacing w:line="360" w:lineRule="auto"/>
        <w:ind w:right="420" w:firstLine="3150" w:firstLineChars="1500"/>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pPr>
        <w:snapToGrid w:val="0"/>
        <w:spacing w:line="360" w:lineRule="auto"/>
        <w:ind w:right="420" w:firstLine="4095" w:firstLineChars="1950"/>
        <w:jc w:val="right"/>
        <w:rPr>
          <w:rFonts w:asciiTheme="minorEastAsia" w:hAnsiTheme="minorEastAsia" w:eastAsiaTheme="minorEastAsia"/>
          <w:szCs w:val="21"/>
        </w:rPr>
      </w:pPr>
      <w:r>
        <w:rPr>
          <w:rFonts w:hint="eastAsia" w:asciiTheme="minorEastAsia" w:hAnsiTheme="minorEastAsia" w:eastAsiaTheme="minorEastAsia"/>
          <w:szCs w:val="21"/>
        </w:rPr>
        <w:t>年 月 日</w:t>
      </w:r>
    </w:p>
    <w:p>
      <w:pPr>
        <w:spacing w:line="400" w:lineRule="exact"/>
        <w:ind w:firstLine="420" w:firstLineChars="200"/>
        <w:rPr>
          <w:rFonts w:ascii="宋体" w:hAnsi="宋体"/>
          <w:bCs/>
          <w:szCs w:val="21"/>
        </w:rPr>
      </w:pPr>
    </w:p>
    <w:p>
      <w:pPr>
        <w:spacing w:line="400" w:lineRule="exact"/>
        <w:ind w:firstLine="420" w:firstLineChars="200"/>
      </w:pPr>
      <w:r>
        <w:rPr>
          <w:rFonts w:hint="eastAsia" w:ascii="宋体" w:hAnsi="宋体"/>
          <w:bCs/>
          <w:szCs w:val="21"/>
        </w:rPr>
        <w:t>注：</w:t>
      </w:r>
      <w:r>
        <w:rPr>
          <w:rFonts w:hint="eastAsia"/>
          <w:bCs/>
          <w:szCs w:val="21"/>
        </w:rPr>
        <w:t>政府采购法所称重大违法记录：是指供应商因违法经营受到刑事处罚或者责令停产停业、吊销许可证或者执照、较大数额罚款等行政处罚。</w:t>
      </w:r>
    </w:p>
    <w:p>
      <w:pPr>
        <w:pStyle w:val="18"/>
        <w:ind w:firstLine="0"/>
        <w:jc w:val="center"/>
        <w:rPr>
          <w:rFonts w:asciiTheme="minorEastAsia" w:hAnsiTheme="minorEastAsia" w:eastAsiaTheme="minorEastAsia"/>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（二）有效的“多证合一”的营业执照（未办理多证合一的提供营业执照、税务登记证、组织机构代码证）副本复印件。投标人如果有名称变更的，应提供由行政主管部门出具的变更证明文件；</w:t>
      </w:r>
    </w:p>
    <w:p>
      <w:pPr>
        <w:pStyle w:val="18"/>
        <w:ind w:firstLine="0"/>
        <w:jc w:val="center"/>
        <w:rPr>
          <w:rFonts w:asciiTheme="minorEastAsia" w:hAnsiTheme="minorEastAsia" w:eastAsiaTheme="minorEastAsia"/>
          <w:bCs/>
          <w:sz w:val="22"/>
          <w:szCs w:val="22"/>
        </w:rPr>
      </w:pPr>
      <w:r>
        <w:rPr>
          <w:rFonts w:hint="eastAsia" w:asciiTheme="minorEastAsia" w:hAnsiTheme="minorEastAsia" w:eastAsiaTheme="minorEastAsia"/>
          <w:bCs/>
          <w:sz w:val="22"/>
          <w:szCs w:val="22"/>
        </w:rPr>
        <w:t>（复印件并加盖公章）</w:t>
      </w: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pStyle w:val="18"/>
        <w:ind w:firstLine="0"/>
        <w:jc w:val="cente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（三）落实政府采购政策需满足的资格要求证明材料</w:t>
      </w:r>
    </w:p>
    <w:p>
      <w:pPr>
        <w:spacing w:line="360" w:lineRule="auto"/>
        <w:rPr>
          <w:rFonts w:asciiTheme="minorEastAsia" w:hAnsiTheme="minorEastAsia" w:eastAsiaTheme="minorEastAsia"/>
        </w:rPr>
      </w:pPr>
    </w:p>
    <w:p>
      <w:pPr>
        <w:pStyle w:val="18"/>
        <w:spacing w:line="360" w:lineRule="auto"/>
        <w:ind w:left="220" w:hanging="220" w:hangingChars="100"/>
        <w:rPr>
          <w:rFonts w:asciiTheme="minorEastAsia" w:hAnsiTheme="minorEastAsia" w:eastAsiaTheme="minorEastAsia"/>
          <w:sz w:val="22"/>
        </w:rPr>
      </w:pPr>
      <w:r>
        <w:rPr>
          <w:rFonts w:asciiTheme="minorEastAsia" w:hAnsiTheme="minorEastAsia" w:eastAsiaTheme="minorEastAsia"/>
          <w:sz w:val="22"/>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（四）投标人的特定条件的证明文件</w:t>
      </w:r>
    </w:p>
    <w:p>
      <w:pPr>
        <w:pStyle w:val="18"/>
        <w:spacing w:line="360" w:lineRule="auto"/>
        <w:ind w:left="220" w:hanging="220" w:hangingChars="100"/>
        <w:rPr>
          <w:rFonts w:asciiTheme="minorEastAsia" w:hAnsiTheme="minorEastAsia" w:eastAsiaTheme="minorEastAsia"/>
          <w:sz w:val="22"/>
        </w:rPr>
      </w:pPr>
    </w:p>
    <w:p>
      <w:pPr>
        <w:pStyle w:val="18"/>
        <w:spacing w:line="360" w:lineRule="auto"/>
        <w:ind w:left="220" w:hanging="220" w:hangingChars="100"/>
        <w:rPr>
          <w:rFonts w:asciiTheme="minorEastAsia" w:hAnsiTheme="minorEastAsia" w:eastAsiaTheme="minorEastAsia"/>
          <w:sz w:val="22"/>
        </w:rPr>
      </w:pPr>
    </w:p>
    <w:p>
      <w:pPr>
        <w:pStyle w:val="18"/>
        <w:spacing w:line="360" w:lineRule="auto"/>
        <w:ind w:left="220" w:hanging="220" w:hangingChars="100"/>
        <w:rPr>
          <w:rFonts w:asciiTheme="minorEastAsia" w:hAnsiTheme="minorEastAsia" w:eastAsiaTheme="minorEastAsia"/>
          <w:sz w:val="22"/>
        </w:rPr>
      </w:pPr>
    </w:p>
    <w:p>
      <w:pPr>
        <w:pStyle w:val="18"/>
        <w:spacing w:line="360" w:lineRule="auto"/>
        <w:ind w:left="220" w:hanging="220" w:hangingChars="100"/>
        <w:rPr>
          <w:rFonts w:asciiTheme="minorEastAsia" w:hAnsiTheme="minorEastAsia" w:eastAsiaTheme="minorEastAsia"/>
          <w:sz w:val="22"/>
        </w:rPr>
      </w:pPr>
      <w:r>
        <w:rPr>
          <w:rFonts w:hint="eastAsia" w:asciiTheme="minorEastAsia" w:hAnsiTheme="minorEastAsia" w:eastAsiaTheme="minorEastAsia"/>
          <w:sz w:val="22"/>
        </w:rPr>
        <w:t>提供资质证书复印件加盖供应商公章。</w:t>
      </w:r>
    </w:p>
    <w:p>
      <w:pPr>
        <w:spacing w:line="360" w:lineRule="auto"/>
        <w:ind w:left="220" w:hanging="220" w:hangingChars="100"/>
        <w:rPr>
          <w:rFonts w:asciiTheme="minorEastAsia" w:hAnsiTheme="minorEastAsia" w:eastAsiaTheme="minorEastAsia"/>
          <w:sz w:val="22"/>
        </w:rPr>
      </w:pPr>
      <w:r>
        <w:rPr>
          <w:rFonts w:hint="eastAsia" w:asciiTheme="minorEastAsia" w:hAnsiTheme="minorEastAsia" w:eastAsiaTheme="minorEastAsia"/>
          <w:sz w:val="22"/>
        </w:rPr>
        <w:br w:type="page"/>
      </w:r>
    </w:p>
    <w:p>
      <w:pPr>
        <w:spacing w:line="440" w:lineRule="exact"/>
        <w:rPr>
          <w:rFonts w:ascii="宋体" w:hAnsi="宋体" w:cs="宋体"/>
          <w:b/>
        </w:rPr>
      </w:pPr>
      <w:r>
        <w:rPr>
          <w:rFonts w:hint="eastAsia" w:ascii="宋体" w:hAnsi="宋体" w:cs="宋体"/>
          <w:b/>
        </w:rPr>
        <w:t>联合体协议书</w:t>
      </w:r>
      <w:r>
        <w:rPr>
          <w:rFonts w:ascii="宋体" w:hAnsi="宋体" w:cs="宋体"/>
          <w:b/>
        </w:rPr>
        <w:t>[若是联合体投标的必须提供，否则不必提供]</w:t>
      </w:r>
    </w:p>
    <w:p>
      <w:pPr>
        <w:pStyle w:val="3"/>
        <w:spacing w:line="380" w:lineRule="exact"/>
        <w:rPr>
          <w:rFonts w:asciiTheme="minorEastAsia" w:hAnsiTheme="minorEastAsia" w:eastAsiaTheme="minorEastAsia"/>
          <w:szCs w:val="21"/>
        </w:rPr>
      </w:pPr>
      <w:r>
        <w:rPr>
          <w:rFonts w:hint="eastAsia" w:asciiTheme="minorEastAsia" w:hAnsiTheme="minorEastAsia" w:eastAsiaTheme="minorEastAsia"/>
          <w:bCs w:val="0"/>
          <w:sz w:val="28"/>
          <w:szCs w:val="28"/>
        </w:rPr>
        <w:t>（五）</w:t>
      </w:r>
      <w:r>
        <w:rPr>
          <w:rFonts w:hint="eastAsia" w:asciiTheme="minorEastAsia" w:hAnsiTheme="minorEastAsia" w:eastAsiaTheme="minorEastAsia"/>
          <w:szCs w:val="21"/>
        </w:rPr>
        <w:t>联合体协议书</w:t>
      </w:r>
    </w:p>
    <w:p>
      <w:pPr>
        <w:spacing w:line="500" w:lineRule="exact"/>
        <w:ind w:firstLine="420" w:firstLineChars="200"/>
        <w:rPr>
          <w:rFonts w:ascii="宋体" w:hAnsi="宋体"/>
          <w:szCs w:val="21"/>
        </w:rPr>
      </w:pPr>
      <w:r>
        <w:rPr>
          <w:rFonts w:hint="eastAsia" w:ascii="宋体" w:hAnsi="宋体"/>
          <w:szCs w:val="21"/>
          <w:u w:val="single"/>
        </w:rPr>
        <w:t xml:space="preserve">     （所有成员单位名称）   </w:t>
      </w:r>
      <w:r>
        <w:rPr>
          <w:rFonts w:hint="eastAsia" w:ascii="宋体" w:hAnsi="宋体"/>
          <w:szCs w:val="21"/>
        </w:rPr>
        <w:t>自愿组成联合体，共同参加</w:t>
      </w:r>
      <w:r>
        <w:rPr>
          <w:rFonts w:hint="eastAsia" w:ascii="宋体" w:hAnsi="宋体"/>
          <w:szCs w:val="21"/>
          <w:u w:val="single"/>
        </w:rPr>
        <w:t xml:space="preserve">   （招标项目名称）   </w:t>
      </w:r>
      <w:r>
        <w:rPr>
          <w:rFonts w:hint="eastAsia" w:ascii="宋体" w:hAnsi="宋体"/>
          <w:szCs w:val="21"/>
        </w:rPr>
        <w:t>投标。现就联合体投标事宜订立如下协议。</w:t>
      </w:r>
    </w:p>
    <w:p>
      <w:pPr>
        <w:spacing w:line="500" w:lineRule="exact"/>
        <w:ind w:firstLine="420" w:firstLineChars="200"/>
        <w:rPr>
          <w:rFonts w:ascii="宋体" w:hAnsi="宋体"/>
          <w:szCs w:val="21"/>
        </w:rPr>
      </w:pPr>
      <w:r>
        <w:rPr>
          <w:rFonts w:hint="eastAsia" w:ascii="宋体" w:hAnsi="宋体"/>
          <w:szCs w:val="21"/>
        </w:rPr>
        <w:t>1、</w:t>
      </w:r>
      <w:r>
        <w:rPr>
          <w:rFonts w:hint="eastAsia" w:ascii="宋体" w:hAnsi="宋体"/>
          <w:szCs w:val="21"/>
          <w:u w:val="single"/>
        </w:rPr>
        <w:t xml:space="preserve">     （某成员单位名称）     </w:t>
      </w:r>
      <w:r>
        <w:rPr>
          <w:rFonts w:hint="eastAsia" w:ascii="宋体" w:hAnsi="宋体"/>
          <w:szCs w:val="21"/>
        </w:rPr>
        <w:t>为本联合体的</w:t>
      </w:r>
      <w:bookmarkStart w:id="78" w:name="_Hlk97735518"/>
      <w:r>
        <w:rPr>
          <w:rFonts w:hint="eastAsia" w:ascii="宋体" w:hAnsi="宋体"/>
          <w:szCs w:val="21"/>
        </w:rPr>
        <w:t>牵头人</w:t>
      </w:r>
      <w:bookmarkEnd w:id="78"/>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2、联合体牵头人合法代表联合体各成员负责本招标项目投标文件编制和合同谈判活动，代表联合体提交和接收相关的资料、信息及指示，处理与之有关的一切事务，并负责合同实施阶段的主办、组织和协调工作。</w:t>
      </w:r>
    </w:p>
    <w:p>
      <w:pPr>
        <w:spacing w:line="500" w:lineRule="exact"/>
        <w:ind w:firstLine="420" w:firstLineChars="200"/>
        <w:rPr>
          <w:rFonts w:ascii="宋体" w:hAnsi="宋体"/>
          <w:szCs w:val="21"/>
        </w:rPr>
      </w:pPr>
      <w:r>
        <w:rPr>
          <w:rFonts w:hint="eastAsia" w:ascii="宋体" w:hAnsi="宋体"/>
          <w:szCs w:val="21"/>
        </w:rPr>
        <w:t>3、联合体将严格按照招标文件的各项要求，提交投标文件，履行合同，并对外承担连带责任。</w:t>
      </w:r>
    </w:p>
    <w:p>
      <w:pPr>
        <w:spacing w:line="500" w:lineRule="exact"/>
        <w:ind w:firstLine="420" w:firstLineChars="200"/>
        <w:rPr>
          <w:rFonts w:ascii="宋体" w:hAnsi="宋体"/>
          <w:szCs w:val="21"/>
        </w:rPr>
      </w:pPr>
      <w:r>
        <w:rPr>
          <w:rFonts w:hint="eastAsia" w:ascii="宋体" w:hAnsi="宋体"/>
          <w:szCs w:val="21"/>
        </w:rPr>
        <w:t>4、联合体各成员单位内部的职责分工如下：</w:t>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5、</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（牵头人）</w:t>
      </w:r>
      <w:r>
        <w:rPr>
          <w:rFonts w:hint="eastAsia" w:ascii="宋体" w:hAnsi="宋体"/>
          <w:szCs w:val="21"/>
        </w:rPr>
        <w:t>协议合同金额占到联合体协议合同总金额</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u w:val="single"/>
        </w:rPr>
        <w:t>（成员单位全称）</w:t>
      </w:r>
      <w:r>
        <w:rPr>
          <w:rFonts w:hint="eastAsia" w:ascii="宋体" w:hAnsi="宋体"/>
          <w:szCs w:val="21"/>
        </w:rPr>
        <w:t>协议合同金额占到联合体协议合同总金额</w:t>
      </w:r>
      <w:r>
        <w:rPr>
          <w:rFonts w:hint="eastAsia" w:ascii="宋体" w:hAnsi="宋体"/>
          <w:szCs w:val="21"/>
          <w:u w:val="single"/>
        </w:rPr>
        <w:tab/>
      </w:r>
      <w:r>
        <w:rPr>
          <w:rFonts w:hint="eastAsia" w:ascii="宋体" w:hAnsi="宋体"/>
          <w:szCs w:val="21"/>
          <w:u w:val="single"/>
        </w:rPr>
        <w:t xml:space="preserve">    </w:t>
      </w:r>
      <w:r>
        <w:rPr>
          <w:rFonts w:hint="eastAsia" w:ascii="宋体" w:hAnsi="宋体"/>
          <w:szCs w:val="21"/>
        </w:rPr>
        <w:t>%；</w:t>
      </w:r>
    </w:p>
    <w:p>
      <w:pPr>
        <w:spacing w:line="500" w:lineRule="exact"/>
        <w:ind w:firstLine="420" w:firstLineChars="200"/>
        <w:rPr>
          <w:rFonts w:ascii="宋体" w:hAnsi="宋体"/>
          <w:szCs w:val="21"/>
        </w:rPr>
      </w:pPr>
      <w:r>
        <w:rPr>
          <w:rFonts w:hint="eastAsia" w:ascii="宋体" w:hAnsi="宋体"/>
          <w:szCs w:val="21"/>
        </w:rPr>
        <w:t>6、本协议书自签署之日起生效，合同履行完毕后自动失效。</w:t>
      </w:r>
    </w:p>
    <w:p>
      <w:pPr>
        <w:spacing w:line="500" w:lineRule="exact"/>
        <w:ind w:firstLine="420" w:firstLineChars="200"/>
        <w:rPr>
          <w:rFonts w:ascii="宋体" w:hAnsi="宋体"/>
          <w:szCs w:val="21"/>
        </w:rPr>
      </w:pPr>
      <w:r>
        <w:rPr>
          <w:rFonts w:hint="eastAsia" w:ascii="宋体" w:hAnsi="宋体"/>
          <w:szCs w:val="21"/>
        </w:rPr>
        <w:t>7、本协议书</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式份，联合体成员和招标人各执</w:t>
      </w:r>
      <w:r>
        <w:rPr>
          <w:rFonts w:hint="eastAsia" w:ascii="宋体" w:hAnsi="宋体"/>
          <w:szCs w:val="21"/>
          <w:u w:val="single"/>
        </w:rPr>
        <w:t xml:space="preserve"> </w:t>
      </w:r>
      <w:r>
        <w:rPr>
          <w:rFonts w:ascii="宋体" w:hAnsi="宋体"/>
          <w:szCs w:val="21"/>
          <w:u w:val="single"/>
        </w:rPr>
        <w:t xml:space="preserve">  </w:t>
      </w:r>
      <w:r>
        <w:rPr>
          <w:rFonts w:hint="eastAsia" w:ascii="宋体" w:hAnsi="宋体"/>
          <w:szCs w:val="21"/>
        </w:rPr>
        <w:t>份。</w:t>
      </w:r>
    </w:p>
    <w:p>
      <w:pPr>
        <w:spacing w:line="360" w:lineRule="auto"/>
        <w:ind w:firstLine="420" w:firstLineChars="200"/>
        <w:rPr>
          <w:rFonts w:ascii="宋体" w:hAnsi="宋体"/>
          <w:szCs w:val="21"/>
        </w:rPr>
      </w:pPr>
    </w:p>
    <w:p>
      <w:pPr>
        <w:rPr>
          <w:rFonts w:ascii="宋体" w:hAnsi="宋体"/>
          <w:szCs w:val="21"/>
        </w:rPr>
      </w:pPr>
    </w:p>
    <w:p>
      <w:pPr>
        <w:spacing w:line="700" w:lineRule="exact"/>
        <w:ind w:firstLine="2835" w:firstLineChars="1350"/>
        <w:jc w:val="right"/>
        <w:rPr>
          <w:rFonts w:ascii="宋体" w:hAnsi="宋体"/>
          <w:szCs w:val="21"/>
          <w:u w:val="single"/>
        </w:rPr>
      </w:pPr>
      <w:r>
        <w:rPr>
          <w:rFonts w:hint="eastAsia" w:ascii="宋体" w:hAnsi="宋体"/>
          <w:szCs w:val="21"/>
        </w:rPr>
        <w:t>牵头人名称：</w:t>
      </w:r>
      <w:r>
        <w:rPr>
          <w:rFonts w:hint="eastAsia" w:ascii="宋体" w:hAnsi="宋体"/>
          <w:szCs w:val="21"/>
          <w:u w:val="single"/>
        </w:rPr>
        <w:t>（盖单位章）（非C</w:t>
      </w:r>
      <w:r>
        <w:rPr>
          <w:rFonts w:ascii="宋体" w:hAnsi="宋体"/>
          <w:szCs w:val="21"/>
          <w:u w:val="single"/>
        </w:rPr>
        <w:t>A</w:t>
      </w:r>
      <w:r>
        <w:rPr>
          <w:rFonts w:hint="eastAsia" w:ascii="宋体" w:hAnsi="宋体"/>
          <w:szCs w:val="21"/>
          <w:u w:val="single"/>
        </w:rPr>
        <w:t>签章）</w:t>
      </w:r>
    </w:p>
    <w:p>
      <w:pPr>
        <w:spacing w:line="700" w:lineRule="exact"/>
        <w:ind w:firstLine="2835" w:firstLineChars="1350"/>
        <w:jc w:val="right"/>
        <w:rPr>
          <w:rFonts w:ascii="宋体" w:hAnsi="宋体"/>
          <w:szCs w:val="21"/>
          <w:u w:val="single"/>
        </w:rPr>
      </w:pPr>
      <w:r>
        <w:rPr>
          <w:rFonts w:hint="eastAsia" w:ascii="宋体" w:hAnsi="宋体"/>
          <w:szCs w:val="21"/>
        </w:rPr>
        <w:t>法定代表人：</w:t>
      </w:r>
      <w:r>
        <w:rPr>
          <w:rFonts w:hint="eastAsia" w:ascii="宋体" w:hAnsi="宋体"/>
          <w:szCs w:val="21"/>
          <w:u w:val="single"/>
        </w:rPr>
        <w:t>（签字或盖章）</w:t>
      </w:r>
    </w:p>
    <w:p>
      <w:pPr>
        <w:spacing w:line="700" w:lineRule="exact"/>
        <w:ind w:firstLine="2835" w:firstLineChars="1350"/>
        <w:jc w:val="right"/>
        <w:rPr>
          <w:rFonts w:ascii="宋体" w:hAnsi="宋体"/>
          <w:szCs w:val="21"/>
          <w:u w:val="single"/>
        </w:rPr>
      </w:pPr>
      <w:r>
        <w:rPr>
          <w:rFonts w:hint="eastAsia" w:ascii="宋体" w:hAnsi="宋体"/>
          <w:szCs w:val="21"/>
        </w:rPr>
        <w:t>成员名称：</w:t>
      </w:r>
      <w:r>
        <w:rPr>
          <w:rFonts w:hint="eastAsia" w:ascii="宋体" w:hAnsi="宋体"/>
          <w:szCs w:val="21"/>
          <w:u w:val="single"/>
        </w:rPr>
        <w:t>（盖单位章）（非C</w:t>
      </w:r>
      <w:r>
        <w:rPr>
          <w:rFonts w:ascii="宋体" w:hAnsi="宋体"/>
          <w:szCs w:val="21"/>
          <w:u w:val="single"/>
        </w:rPr>
        <w:t>A</w:t>
      </w:r>
      <w:r>
        <w:rPr>
          <w:rFonts w:hint="eastAsia" w:ascii="宋体" w:hAnsi="宋体"/>
          <w:szCs w:val="21"/>
          <w:u w:val="single"/>
        </w:rPr>
        <w:t>签章）</w:t>
      </w:r>
    </w:p>
    <w:p>
      <w:pPr>
        <w:spacing w:line="700" w:lineRule="exact"/>
        <w:ind w:firstLine="2835" w:firstLineChars="1350"/>
        <w:jc w:val="right"/>
        <w:rPr>
          <w:rFonts w:ascii="宋体" w:hAnsi="宋体"/>
          <w:szCs w:val="21"/>
          <w:u w:val="single"/>
        </w:rPr>
      </w:pPr>
      <w:r>
        <w:rPr>
          <w:rFonts w:hint="eastAsia" w:ascii="宋体" w:hAnsi="宋体"/>
          <w:szCs w:val="21"/>
        </w:rPr>
        <w:t>法定代表人：</w:t>
      </w:r>
      <w:r>
        <w:rPr>
          <w:rFonts w:hint="eastAsia" w:ascii="宋体" w:hAnsi="宋体"/>
          <w:szCs w:val="21"/>
          <w:u w:val="single"/>
        </w:rPr>
        <w:t>（签字或盖章）</w:t>
      </w:r>
    </w:p>
    <w:p>
      <w:pPr>
        <w:spacing w:line="700" w:lineRule="exact"/>
        <w:jc w:val="right"/>
        <w:rPr>
          <w:rFonts w:ascii="宋体" w:hAnsi="宋体"/>
          <w:szCs w:val="21"/>
          <w:u w:val="single"/>
        </w:rPr>
      </w:pPr>
    </w:p>
    <w:p>
      <w:pPr>
        <w:spacing w:line="700" w:lineRule="exact"/>
        <w:ind w:firstLine="5985" w:firstLineChars="2850"/>
        <w:rPr>
          <w:rFonts w:ascii="宋体" w:hAnsi="宋体"/>
          <w:szCs w:val="21"/>
        </w:rPr>
      </w:pPr>
      <w:r>
        <w:rPr>
          <w:rFonts w:hint="eastAsia" w:ascii="宋体" w:hAnsi="宋体"/>
          <w:szCs w:val="21"/>
        </w:rPr>
        <w:t>年   月   日</w:t>
      </w:r>
    </w:p>
    <w:p>
      <w:pPr>
        <w:pStyle w:val="238"/>
        <w:ind w:firstLine="400"/>
      </w:pPr>
    </w:p>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widowControl/>
        <w:spacing w:line="360" w:lineRule="auto"/>
        <w:jc w:val="left"/>
        <w:outlineLvl w:val="1"/>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商务技术文件组成：</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）评分标准对应页码；</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）单位负责人的身份证明或单位负责人授权书（投标人的代表若不为单位负责人的，必须提交单位负责人授权书），并提供单位负责人和授权代表的身份证正反两面复印件；</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）投标人基本情况表；</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技术条款偏离表</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5</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商务条款偏离表</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6</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第五部分“评标办法”中“评分标准”要求提供的资料（如有需提供）</w:t>
      </w:r>
      <w:r>
        <w:rPr>
          <w:rFonts w:hint="eastAsia" w:cs="宋体" w:asciiTheme="minorEastAsia" w:hAnsiTheme="minorEastAsia" w:eastAsiaTheme="minorEastAsia"/>
          <w:kern w:val="0"/>
          <w:szCs w:val="21"/>
        </w:rPr>
        <w:t>；</w:t>
      </w:r>
    </w:p>
    <w:p>
      <w:pPr>
        <w:widowControl/>
        <w:spacing w:line="360" w:lineRule="auto"/>
        <w:ind w:firstLine="420" w:firstLineChars="200"/>
        <w:jc w:val="left"/>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7</w:t>
      </w:r>
      <w:r>
        <w:rPr>
          <w:rFonts w:hint="eastAsia" w:cs="宋体" w:asciiTheme="minorEastAsia" w:hAnsiTheme="minorEastAsia" w:eastAsiaTheme="minorEastAsia"/>
          <w:kern w:val="0"/>
          <w:szCs w:val="21"/>
        </w:rPr>
        <w:t>）评分标准或采购文件需要提供的其他技术商务材料。</w:t>
      </w:r>
    </w:p>
    <w:p>
      <w:pPr>
        <w:widowControl/>
        <w:spacing w:line="360" w:lineRule="auto"/>
        <w:ind w:firstLine="480" w:firstLineChars="200"/>
        <w:jc w:val="left"/>
        <w:rPr>
          <w:rFonts w:cs="宋体" w:asciiTheme="minorEastAsia" w:hAnsiTheme="minorEastAsia" w:eastAsiaTheme="minorEastAsia"/>
          <w:kern w:val="0"/>
          <w:sz w:val="24"/>
        </w:rPr>
      </w:pPr>
    </w:p>
    <w:p>
      <w:pPr>
        <w:widowControl/>
        <w:ind w:firstLine="484" w:firstLineChars="202"/>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（一）评分标准对应页码</w:t>
      </w:r>
    </w:p>
    <w:p>
      <w:pPr>
        <w:rPr>
          <w:rFonts w:asciiTheme="minorEastAsia" w:hAnsiTheme="minorEastAsia" w:eastAsiaTheme="minorEastAsia"/>
        </w:rPr>
      </w:pPr>
    </w:p>
    <w:tbl>
      <w:tblPr>
        <w:tblStyle w:val="4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503"/>
        <w:gridCol w:w="2693"/>
        <w:gridCol w:w="1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r>
              <w:rPr>
                <w:rFonts w:hint="eastAsia" w:asciiTheme="minorEastAsia" w:hAnsiTheme="minorEastAsia"/>
                <w:b/>
                <w:bCs/>
              </w:rPr>
              <w:t>采购文件对应评分项</w:t>
            </w:r>
          </w:p>
        </w:tc>
        <w:tc>
          <w:tcPr>
            <w:tcW w:w="2693" w:type="dxa"/>
          </w:tcPr>
          <w:p>
            <w:pPr>
              <w:widowControl/>
              <w:spacing w:line="360" w:lineRule="auto"/>
              <w:jc w:val="center"/>
              <w:rPr>
                <w:rFonts w:asciiTheme="minorEastAsia" w:hAnsiTheme="minorEastAsia"/>
                <w:b/>
                <w:bCs/>
              </w:rPr>
            </w:pPr>
            <w:r>
              <w:rPr>
                <w:rFonts w:hint="eastAsia" w:asciiTheme="minorEastAsia" w:hAnsiTheme="minorEastAsia"/>
                <w:b/>
                <w:bCs/>
              </w:rPr>
              <w:t>投标文件对应页码</w:t>
            </w:r>
          </w:p>
        </w:tc>
        <w:tc>
          <w:tcPr>
            <w:tcW w:w="1326" w:type="dxa"/>
          </w:tcPr>
          <w:p>
            <w:pPr>
              <w:widowControl/>
              <w:spacing w:line="360" w:lineRule="auto"/>
              <w:jc w:val="center"/>
              <w:rPr>
                <w:rFonts w:asciiTheme="minorEastAsia" w:hAnsiTheme="minorEastAsia"/>
                <w:b/>
                <w:bCs/>
              </w:rPr>
            </w:pPr>
            <w:r>
              <w:rPr>
                <w:rFonts w:hint="eastAsia" w:asciiTheme="minorEastAsia" w:hAnsiTheme="minor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03" w:type="dxa"/>
          </w:tcPr>
          <w:p>
            <w:pPr>
              <w:widowControl/>
              <w:spacing w:line="360" w:lineRule="auto"/>
              <w:jc w:val="center"/>
              <w:rPr>
                <w:rFonts w:cs="宋体" w:asciiTheme="minorEastAsia" w:hAnsiTheme="minorEastAsia"/>
                <w:kern w:val="0"/>
                <w:sz w:val="24"/>
              </w:rPr>
            </w:pPr>
            <w:r>
              <w:rPr>
                <w:rFonts w:hint="eastAsia" w:asciiTheme="minorEastAsia" w:hAnsiTheme="minorEastAsia"/>
              </w:rPr>
              <w:t>投标人认为应当提供的其他相关证明材料</w:t>
            </w:r>
          </w:p>
        </w:tc>
        <w:tc>
          <w:tcPr>
            <w:tcW w:w="2693" w:type="dxa"/>
          </w:tcPr>
          <w:p>
            <w:pPr>
              <w:widowControl/>
              <w:spacing w:line="360" w:lineRule="auto"/>
              <w:jc w:val="center"/>
              <w:rPr>
                <w:rFonts w:cs="宋体" w:asciiTheme="minorEastAsia" w:hAnsiTheme="minorEastAsia"/>
                <w:kern w:val="0"/>
                <w:sz w:val="24"/>
              </w:rPr>
            </w:pPr>
          </w:p>
        </w:tc>
        <w:tc>
          <w:tcPr>
            <w:tcW w:w="1326" w:type="dxa"/>
          </w:tcPr>
          <w:p>
            <w:pPr>
              <w:widowControl/>
              <w:spacing w:line="360" w:lineRule="auto"/>
              <w:jc w:val="center"/>
              <w:rPr>
                <w:rFonts w:cs="宋体" w:asciiTheme="minorEastAsia" w:hAnsiTheme="minorEastAsia"/>
                <w:kern w:val="0"/>
                <w:sz w:val="24"/>
              </w:rPr>
            </w:pPr>
          </w:p>
        </w:tc>
      </w:tr>
    </w:tbl>
    <w:p>
      <w:pPr>
        <w:widowControl/>
        <w:spacing w:line="360" w:lineRule="auto"/>
        <w:jc w:val="left"/>
        <w:rPr>
          <w:rFonts w:asciiTheme="minorEastAsia" w:hAnsiTheme="minorEastAsia" w:eastAsiaTheme="minorEastAsia"/>
          <w:szCs w:val="21"/>
        </w:rPr>
      </w:pPr>
      <w:r>
        <w:rPr>
          <w:rFonts w:hint="eastAsia" w:asciiTheme="minorEastAsia" w:hAnsiTheme="minorEastAsia" w:eastAsiaTheme="minorEastAsia"/>
          <w:szCs w:val="21"/>
        </w:rPr>
        <w:t>说明：投标人可自行设计表格。</w:t>
      </w:r>
    </w:p>
    <w:p>
      <w:pPr>
        <w:widowControl/>
        <w:spacing w:line="360" w:lineRule="auto"/>
        <w:jc w:val="left"/>
        <w:rPr>
          <w:rFonts w:asciiTheme="minorEastAsia" w:hAnsiTheme="minorEastAsia" w:eastAsiaTheme="minorEastAsia"/>
          <w:szCs w:val="21"/>
        </w:rPr>
      </w:pPr>
    </w:p>
    <w:p>
      <w:pPr>
        <w:widowControl/>
        <w:jc w:val="left"/>
        <w:rPr>
          <w:rFonts w:asciiTheme="minorEastAsia" w:hAnsiTheme="minorEastAsia" w:eastAsiaTheme="minorEastAsia"/>
          <w:b/>
          <w:sz w:val="24"/>
          <w:szCs w:val="24"/>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（二）单位负责人授权书</w:t>
      </w:r>
    </w:p>
    <w:p>
      <w:pPr>
        <w:jc w:val="center"/>
        <w:rPr>
          <w:rFonts w:asciiTheme="minorEastAsia" w:hAnsiTheme="minorEastAsia" w:eastAsiaTheme="minorEastAsia"/>
          <w:bCs/>
          <w:sz w:val="24"/>
          <w:szCs w:val="24"/>
        </w:rPr>
      </w:pPr>
      <w:r>
        <w:rPr>
          <w:rFonts w:hint="eastAsia" w:asciiTheme="minorEastAsia" w:hAnsiTheme="minorEastAsia" w:eastAsiaTheme="minorEastAsia"/>
          <w:bCs/>
          <w:sz w:val="24"/>
          <w:szCs w:val="24"/>
        </w:rPr>
        <w:t>（单位负责人来投标的，此表不用）</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致（</w:t>
      </w:r>
      <w:r>
        <w:rPr>
          <w:rFonts w:hint="eastAsia" w:asciiTheme="minorEastAsia" w:hAnsiTheme="minorEastAsia" w:eastAsiaTheme="minorEastAsia"/>
          <w:i/>
          <w:sz w:val="21"/>
          <w:szCs w:val="21"/>
          <w:u w:val="single"/>
        </w:rPr>
        <w:t>采购代理机构</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w:t>
      </w:r>
      <w:r>
        <w:rPr>
          <w:rFonts w:hint="eastAsia" w:asciiTheme="minorEastAsia" w:hAnsiTheme="minorEastAsia" w:eastAsiaTheme="minorEastAsia"/>
          <w:i/>
          <w:sz w:val="21"/>
          <w:szCs w:val="21"/>
          <w:u w:val="single"/>
        </w:rPr>
        <w:t>投标人全称</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单位负责人</w:t>
      </w:r>
      <w:r>
        <w:rPr>
          <w:rFonts w:hint="eastAsia" w:asciiTheme="minorEastAsia" w:hAnsiTheme="minorEastAsia" w:eastAsiaTheme="minorEastAsia"/>
          <w:i/>
          <w:sz w:val="21"/>
          <w:szCs w:val="21"/>
          <w:u w:val="single"/>
        </w:rPr>
        <w:t>（姓名、职务）</w:t>
      </w:r>
      <w:r>
        <w:rPr>
          <w:rFonts w:hint="eastAsia" w:asciiTheme="minorEastAsia" w:hAnsiTheme="minorEastAsia" w:eastAsiaTheme="minorEastAsia"/>
          <w:sz w:val="21"/>
          <w:szCs w:val="21"/>
        </w:rPr>
        <w:t>授权</w:t>
      </w:r>
      <w:r>
        <w:rPr>
          <w:rFonts w:hint="eastAsia" w:asciiTheme="minorEastAsia" w:hAnsiTheme="minorEastAsia" w:eastAsiaTheme="minorEastAsia"/>
          <w:sz w:val="21"/>
          <w:szCs w:val="21"/>
          <w:u w:val="single"/>
        </w:rPr>
        <w:t>（</w:t>
      </w:r>
      <w:r>
        <w:rPr>
          <w:rFonts w:hint="eastAsia" w:asciiTheme="minorEastAsia" w:hAnsiTheme="minorEastAsia" w:eastAsiaTheme="minorEastAsia"/>
          <w:i/>
          <w:sz w:val="21"/>
          <w:szCs w:val="21"/>
          <w:u w:val="single"/>
        </w:rPr>
        <w:t>被授权代表姓名、职务</w:t>
      </w:r>
      <w:r>
        <w:rPr>
          <w:rFonts w:hint="eastAsia" w:asciiTheme="minorEastAsia" w:hAnsiTheme="minorEastAsia" w:eastAsiaTheme="minorEastAsia"/>
          <w:sz w:val="21"/>
          <w:szCs w:val="21"/>
          <w:u w:val="single"/>
        </w:rPr>
        <w:t>）</w:t>
      </w:r>
      <w:r>
        <w:rPr>
          <w:rFonts w:hint="eastAsia" w:asciiTheme="minorEastAsia" w:hAnsiTheme="minorEastAsia" w:eastAsiaTheme="minorEastAsia"/>
          <w:sz w:val="21"/>
          <w:szCs w:val="21"/>
        </w:rPr>
        <w:t>为本公司合法代理人，参加贵采购代理机构组织的</w:t>
      </w:r>
      <w:r>
        <w:rPr>
          <w:rFonts w:hint="eastAsia" w:asciiTheme="minorEastAsia" w:hAnsiTheme="minorEastAsia" w:eastAsiaTheme="minorEastAsia"/>
          <w:i/>
          <w:sz w:val="21"/>
          <w:szCs w:val="21"/>
          <w:u w:val="single"/>
        </w:rPr>
        <w:t>（招标编号）</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u w:val="single"/>
        </w:rPr>
        <w:t xml:space="preserve">)     </w:t>
      </w:r>
      <w:r>
        <w:rPr>
          <w:rFonts w:hint="eastAsia" w:asciiTheme="minorEastAsia" w:hAnsiTheme="minorEastAsia" w:eastAsiaTheme="minorEastAsia"/>
          <w:sz w:val="21"/>
          <w:szCs w:val="21"/>
        </w:rPr>
        <w:t>项目的招标投标活动，代表本公司处理招标投标活动中的一切事宜。</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本授权书于年月日签字生效,特此声明。</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单位负责人（签字或印章）：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投标人单位全称（公章）：</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日期：</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附：</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被授权代表姓名：（印刷体）</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职务：</w:t>
      </w:r>
    </w:p>
    <w:p>
      <w:pPr>
        <w:pStyle w:val="18"/>
        <w:ind w:firstLine="235"/>
        <w:rPr>
          <w:rFonts w:asciiTheme="minorEastAsia" w:hAnsiTheme="minorEastAsia" w:eastAsiaTheme="minorEastAsia"/>
          <w:sz w:val="21"/>
          <w:szCs w:val="21"/>
        </w:rPr>
      </w:pPr>
      <w:r>
        <w:rPr>
          <w:rFonts w:hint="eastAsia" w:asciiTheme="minorEastAsia" w:hAnsiTheme="minorEastAsia" w:eastAsiaTheme="minorEastAsia"/>
          <w:sz w:val="21"/>
          <w:szCs w:val="21"/>
        </w:rPr>
        <w:t>被授权代表签字：</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详细通讯地址：</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邮政编码：</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传真：</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电话：</w:t>
      </w:r>
    </w:p>
    <w:p>
      <w:pPr>
        <w:ind w:firstLine="207" w:firstLineChars="98"/>
        <w:rPr>
          <w:rFonts w:asciiTheme="minorEastAsia" w:hAnsiTheme="minorEastAsia" w:eastAsiaTheme="minorEastAsia"/>
          <w:b/>
          <w:szCs w:val="21"/>
        </w:rPr>
      </w:pPr>
      <w:r>
        <w:rPr>
          <w:rFonts w:hint="eastAsia" w:asciiTheme="minorEastAsia" w:hAnsiTheme="minorEastAsia" w:eastAsiaTheme="minorEastAsia"/>
          <w:b/>
          <w:szCs w:val="21"/>
        </w:rPr>
        <w:t>附：单位负责人及被授权人身份证复印件</w:t>
      </w:r>
    </w:p>
    <w:p>
      <w:pPr>
        <w:widowControl/>
        <w:jc w:val="left"/>
        <w:rPr>
          <w:rFonts w:asciiTheme="minorEastAsia" w:hAnsiTheme="minorEastAsia" w:eastAsiaTheme="minorEastAsia"/>
          <w:b/>
          <w:szCs w:val="21"/>
        </w:rPr>
      </w:pPr>
      <w:r>
        <w:rPr>
          <w:rFonts w:asciiTheme="minorEastAsia" w:hAnsiTheme="minorEastAsia" w:eastAsiaTheme="minorEastAsia"/>
          <w:b/>
          <w:szCs w:val="21"/>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单位负责人身份证明</w:t>
      </w:r>
    </w:p>
    <w:p>
      <w:pPr>
        <w:pStyle w:val="18"/>
        <w:ind w:firstLine="0"/>
        <w:jc w:val="center"/>
        <w:rPr>
          <w:rFonts w:cs="宋体" w:asciiTheme="minorEastAsia" w:hAnsiTheme="minorEastAsia" w:eastAsiaTheme="minorEastAsia"/>
          <w:bCs/>
          <w:sz w:val="24"/>
        </w:rPr>
      </w:pPr>
      <w:r>
        <w:rPr>
          <w:rFonts w:hint="eastAsia" w:cs="宋体" w:asciiTheme="minorEastAsia" w:hAnsiTheme="minorEastAsia" w:eastAsiaTheme="minorEastAsia"/>
          <w:bCs/>
          <w:sz w:val="24"/>
        </w:rPr>
        <w:t>（单位负责人不来投标的，此表不用）</w:t>
      </w:r>
    </w:p>
    <w:p>
      <w:pPr>
        <w:spacing w:line="480" w:lineRule="auto"/>
        <w:ind w:firstLine="420" w:firstLineChars="200"/>
        <w:rPr>
          <w:rFonts w:cs="宋体" w:asciiTheme="minorEastAsia" w:hAnsiTheme="minorEastAsia" w:eastAsiaTheme="minorEastAsia"/>
          <w:szCs w:val="21"/>
        </w:rPr>
      </w:pP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投标人名称：</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单位性质：</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地址：</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成立时间：年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月＿日</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经营期限：</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姓名：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性别：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年龄：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u w:val="single"/>
        </w:rPr>
        <w:t xml:space="preserve">周岁 </w:t>
      </w:r>
      <w:r>
        <w:rPr>
          <w:rFonts w:cs="宋体" w:asciiTheme="minorEastAsia" w:hAnsiTheme="minorEastAsia" w:eastAsiaTheme="minorEastAsia"/>
          <w:szCs w:val="21"/>
          <w:u w:val="single"/>
        </w:rPr>
        <w:t xml:space="preserve">   </w:t>
      </w:r>
      <w:r>
        <w:rPr>
          <w:rFonts w:hint="eastAsia" w:cs="宋体" w:asciiTheme="minorEastAsia" w:hAnsiTheme="minorEastAsia" w:eastAsiaTheme="minorEastAsia"/>
          <w:szCs w:val="21"/>
        </w:rPr>
        <w:t>职务：_</w:t>
      </w:r>
    </w:p>
    <w:p>
      <w:pPr>
        <w:spacing w:line="480" w:lineRule="auto"/>
        <w:ind w:firstLine="420" w:firstLineChars="200"/>
        <w:rPr>
          <w:rFonts w:cs="宋体" w:asciiTheme="minorEastAsia" w:hAnsiTheme="minorEastAsia" w:eastAsiaTheme="minorEastAsia"/>
          <w:szCs w:val="21"/>
          <w:u w:val="single"/>
        </w:rPr>
      </w:pPr>
      <w:r>
        <w:rPr>
          <w:rFonts w:hint="eastAsia" w:cs="宋体" w:asciiTheme="minorEastAsia" w:hAnsiTheme="minorEastAsia" w:eastAsiaTheme="minorEastAsia"/>
          <w:szCs w:val="21"/>
        </w:rPr>
        <w:t>身份证号码：</w:t>
      </w:r>
    </w:p>
    <w:p>
      <w:pPr>
        <w:spacing w:line="480" w:lineRule="auto"/>
        <w:ind w:firstLine="420" w:firstLineChars="200"/>
        <w:rPr>
          <w:rFonts w:cs="宋体" w:asciiTheme="minorEastAsia" w:hAnsiTheme="minorEastAsia" w:eastAsiaTheme="minorEastAsia"/>
          <w:szCs w:val="21"/>
        </w:rPr>
      </w:pPr>
      <w:r>
        <w:rPr>
          <w:rFonts w:hint="eastAsia" w:cs="宋体" w:asciiTheme="minorEastAsia" w:hAnsiTheme="minorEastAsia" w:eastAsiaTheme="minorEastAsia"/>
          <w:szCs w:val="21"/>
        </w:rPr>
        <w:t>系（投标人名称）的法定代表人（或单位负责人）。</w:t>
      </w:r>
    </w:p>
    <w:p>
      <w:pPr>
        <w:spacing w:line="480" w:lineRule="auto"/>
        <w:ind w:firstLine="840" w:firstLineChars="400"/>
        <w:rPr>
          <w:rFonts w:cs="宋体" w:asciiTheme="minorEastAsia" w:hAnsiTheme="minorEastAsia" w:eastAsiaTheme="minorEastAsia"/>
          <w:szCs w:val="21"/>
        </w:rPr>
      </w:pPr>
      <w:r>
        <w:rPr>
          <w:rFonts w:hint="eastAsia" w:cs="宋体" w:asciiTheme="minorEastAsia" w:hAnsiTheme="minorEastAsia" w:eastAsiaTheme="minorEastAsia"/>
          <w:szCs w:val="21"/>
        </w:rPr>
        <w:t>特此证明。</w:t>
      </w:r>
    </w:p>
    <w:p>
      <w:pPr>
        <w:spacing w:line="360" w:lineRule="auto"/>
        <w:ind w:firstLine="420" w:firstLineChars="200"/>
        <w:rPr>
          <w:rFonts w:cs="宋体" w:asciiTheme="minorEastAsia" w:hAnsiTheme="minorEastAsia" w:eastAsiaTheme="minorEastAsia"/>
          <w:szCs w:val="21"/>
        </w:rPr>
      </w:pPr>
    </w:p>
    <w:p>
      <w:pPr>
        <w:spacing w:line="360" w:lineRule="auto"/>
        <w:ind w:firstLine="420" w:firstLineChars="200"/>
        <w:rPr>
          <w:rFonts w:cs="宋体" w:asciiTheme="minorEastAsia" w:hAnsiTheme="minorEastAsia" w:eastAsiaTheme="minorEastAsia"/>
          <w:szCs w:val="21"/>
        </w:rPr>
      </w:pPr>
    </w:p>
    <w:p>
      <w:pPr>
        <w:wordWrap w:val="0"/>
        <w:spacing w:line="360" w:lineRule="auto"/>
        <w:jc w:val="right"/>
        <w:rPr>
          <w:rFonts w:cs="宋体" w:asciiTheme="minorEastAsia" w:hAnsiTheme="minorEastAsia" w:eastAsiaTheme="minorEastAsia"/>
          <w:szCs w:val="21"/>
        </w:rPr>
      </w:pPr>
      <w:r>
        <w:rPr>
          <w:rFonts w:hint="eastAsia" w:cs="宋体" w:asciiTheme="minorEastAsia" w:hAnsiTheme="minorEastAsia" w:eastAsiaTheme="minorEastAsia"/>
          <w:szCs w:val="21"/>
        </w:rPr>
        <w:t>投标人：（盖单位公章）</w:t>
      </w:r>
    </w:p>
    <w:p>
      <w:pPr>
        <w:spacing w:line="360" w:lineRule="auto"/>
        <w:ind w:firstLine="4515" w:firstLineChars="2150"/>
        <w:rPr>
          <w:rFonts w:cs="宋体" w:asciiTheme="minorEastAsia" w:hAnsiTheme="minorEastAsia" w:eastAsiaTheme="minorEastAsia"/>
          <w:szCs w:val="21"/>
          <w:u w:val="single"/>
        </w:rPr>
      </w:pPr>
    </w:p>
    <w:p>
      <w:pPr>
        <w:spacing w:line="360" w:lineRule="auto"/>
        <w:ind w:firstLine="3675" w:firstLineChars="1750"/>
        <w:rPr>
          <w:rFonts w:cs="宋体" w:asciiTheme="minorEastAsia" w:hAnsiTheme="minorEastAsia" w:eastAsiaTheme="minorEastAsia"/>
          <w:szCs w:val="21"/>
        </w:rPr>
      </w:pPr>
      <w:r>
        <w:rPr>
          <w:rFonts w:hint="eastAsia" w:cs="宋体" w:asciiTheme="minorEastAsia" w:hAnsiTheme="minorEastAsia" w:eastAsiaTheme="minorEastAsia"/>
          <w:szCs w:val="21"/>
        </w:rPr>
        <w:t xml:space="preserve">年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 xml:space="preserve">月 </w:t>
      </w:r>
      <w:r>
        <w:rPr>
          <w:rFonts w:cs="宋体" w:asciiTheme="minorEastAsia" w:hAnsiTheme="minorEastAsia" w:eastAsiaTheme="minorEastAsia"/>
          <w:szCs w:val="21"/>
        </w:rPr>
        <w:t xml:space="preserve"> </w:t>
      </w:r>
      <w:r>
        <w:rPr>
          <w:rFonts w:hint="eastAsia" w:cs="宋体" w:asciiTheme="minorEastAsia" w:hAnsiTheme="minorEastAsia" w:eastAsiaTheme="minorEastAsia"/>
          <w:szCs w:val="21"/>
        </w:rPr>
        <w:t>日</w:t>
      </w:r>
    </w:p>
    <w:p>
      <w:pPr>
        <w:spacing w:line="360" w:lineRule="auto"/>
        <w:rPr>
          <w:rFonts w:cs="宋体" w:asciiTheme="minorEastAsia" w:hAnsiTheme="minorEastAsia" w:eastAsiaTheme="minorEastAsia"/>
          <w:sz w:val="24"/>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p>
    <w:p>
      <w:pPr>
        <w:spacing w:line="360" w:lineRule="auto"/>
        <w:rPr>
          <w:rFonts w:cs="宋体" w:asciiTheme="minorEastAsia" w:hAnsiTheme="minorEastAsia" w:eastAsiaTheme="minorEastAsia"/>
          <w:b/>
          <w:szCs w:val="21"/>
        </w:rPr>
      </w:pPr>
      <w:r>
        <w:rPr>
          <w:rFonts w:hint="eastAsia" w:cs="宋体" w:asciiTheme="minorEastAsia" w:hAnsiTheme="minorEastAsia" w:eastAsiaTheme="minorEastAsia"/>
          <w:b/>
          <w:szCs w:val="21"/>
        </w:rPr>
        <w:t>附法定代表人身份证复印件（正反面）：</w:t>
      </w:r>
    </w:p>
    <w:p>
      <w:pPr>
        <w:rPr>
          <w:rFonts w:cs="宋体" w:asciiTheme="minorEastAsia" w:hAnsiTheme="minorEastAsia" w:eastAsiaTheme="minorEastAsia"/>
        </w:rPr>
      </w:pPr>
    </w:p>
    <w:p>
      <w:pPr>
        <w:rPr>
          <w:rFonts w:cs="宋体" w:asciiTheme="minorEastAsia" w:hAnsiTheme="minorEastAsia" w:eastAsiaTheme="minorEastAsia"/>
          <w:b/>
          <w:sz w:val="32"/>
          <w:szCs w:val="32"/>
        </w:rPr>
      </w:pPr>
    </w:p>
    <w:p>
      <w:pPr>
        <w:rPr>
          <w:rFonts w:cs="宋体" w:asciiTheme="minorEastAsia" w:hAnsiTheme="minorEastAsia" w:eastAsiaTheme="minorEastAsia"/>
          <w:b/>
          <w:sz w:val="32"/>
          <w:szCs w:val="32"/>
        </w:rPr>
      </w:pPr>
    </w:p>
    <w:p>
      <w:pPr>
        <w:ind w:firstLine="205" w:firstLineChars="98"/>
        <w:rPr>
          <w:rFonts w:asciiTheme="minorEastAsia" w:hAnsiTheme="minorEastAsia" w:eastAsiaTheme="minorEastAsia"/>
        </w:rPr>
      </w:pPr>
    </w:p>
    <w:p>
      <w:pPr>
        <w:rPr>
          <w:rFonts w:asciiTheme="minorEastAsia" w:hAnsiTheme="minorEastAsia" w:eastAsiaTheme="minorEastAsia"/>
        </w:rPr>
        <w:sectPr>
          <w:headerReference r:id="rId15" w:type="default"/>
          <w:pgSz w:w="11907" w:h="16840"/>
          <w:pgMar w:top="1304" w:right="1588" w:bottom="1418" w:left="1588" w:header="720" w:footer="720" w:gutter="0"/>
          <w:cols w:space="720" w:num="1"/>
          <w:docGrid w:linePitch="285" w:charSpace="0"/>
        </w:sectPr>
      </w:pPr>
    </w:p>
    <w:p>
      <w:pPr>
        <w:rPr>
          <w:rFonts w:asciiTheme="minorEastAsia" w:hAnsiTheme="minorEastAsia" w:eastAsiaTheme="minorEastAsia"/>
        </w:rPr>
      </w:pP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（三）投标人基本情况表</w:t>
      </w:r>
    </w:p>
    <w:tbl>
      <w:tblPr>
        <w:tblStyle w:val="42"/>
        <w:tblW w:w="92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1"/>
        <w:gridCol w:w="851"/>
        <w:gridCol w:w="1276"/>
        <w:gridCol w:w="1220"/>
        <w:gridCol w:w="892"/>
        <w:gridCol w:w="376"/>
        <w:gridCol w:w="794"/>
        <w:gridCol w:w="545"/>
        <w:gridCol w:w="1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投标人名称</w:t>
            </w:r>
          </w:p>
        </w:tc>
        <w:tc>
          <w:tcPr>
            <w:tcW w:w="7149" w:type="dxa"/>
            <w:gridSpan w:val="8"/>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8"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注册地址</w:t>
            </w:r>
          </w:p>
        </w:tc>
        <w:tc>
          <w:tcPr>
            <w:tcW w:w="3347" w:type="dxa"/>
            <w:gridSpan w:val="3"/>
            <w:vAlign w:val="center"/>
          </w:tcPr>
          <w:p>
            <w:pPr>
              <w:pStyle w:val="143"/>
              <w:jc w:val="center"/>
              <w:rPr>
                <w:rFonts w:asciiTheme="minorEastAsia" w:hAnsiTheme="minorEastAsia" w:eastAsiaTheme="minorEastAsia"/>
                <w:sz w:val="24"/>
                <w:szCs w:val="24"/>
                <w:lang w:val="en-US"/>
              </w:rPr>
            </w:pPr>
          </w:p>
        </w:tc>
        <w:tc>
          <w:tcPr>
            <w:tcW w:w="1268" w:type="dxa"/>
            <w:gridSpan w:val="2"/>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邮政编码</w:t>
            </w:r>
          </w:p>
        </w:tc>
        <w:tc>
          <w:tcPr>
            <w:tcW w:w="2534" w:type="dxa"/>
            <w:gridSpan w:val="3"/>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2" w:hRule="atLeast"/>
          <w:jc w:val="center"/>
        </w:trPr>
        <w:tc>
          <w:tcPr>
            <w:tcW w:w="2061" w:type="dxa"/>
            <w:vMerge w:val="restart"/>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联系方式</w:t>
            </w:r>
          </w:p>
        </w:tc>
        <w:tc>
          <w:tcPr>
            <w:tcW w:w="85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联系人</w:t>
            </w:r>
          </w:p>
        </w:tc>
        <w:tc>
          <w:tcPr>
            <w:tcW w:w="2496" w:type="dxa"/>
            <w:gridSpan w:val="2"/>
            <w:vAlign w:val="center"/>
          </w:tcPr>
          <w:p>
            <w:pPr>
              <w:pStyle w:val="143"/>
              <w:jc w:val="center"/>
              <w:rPr>
                <w:rFonts w:asciiTheme="minorEastAsia" w:hAnsiTheme="minorEastAsia" w:eastAsiaTheme="minorEastAsia"/>
                <w:sz w:val="24"/>
                <w:szCs w:val="24"/>
                <w:lang w:val="en-US"/>
              </w:rPr>
            </w:pPr>
          </w:p>
        </w:tc>
        <w:tc>
          <w:tcPr>
            <w:tcW w:w="1268" w:type="dxa"/>
            <w:gridSpan w:val="2"/>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2534" w:type="dxa"/>
            <w:gridSpan w:val="3"/>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2061" w:type="dxa"/>
            <w:vMerge w:val="continue"/>
            <w:vAlign w:val="center"/>
          </w:tcPr>
          <w:p>
            <w:pPr>
              <w:pStyle w:val="143"/>
              <w:jc w:val="center"/>
              <w:rPr>
                <w:rFonts w:asciiTheme="minorEastAsia" w:hAnsiTheme="minorEastAsia" w:eastAsiaTheme="minorEastAsia"/>
                <w:sz w:val="24"/>
                <w:szCs w:val="24"/>
                <w:lang w:val="en-US"/>
              </w:rPr>
            </w:pPr>
          </w:p>
        </w:tc>
        <w:tc>
          <w:tcPr>
            <w:tcW w:w="85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传真</w:t>
            </w:r>
          </w:p>
        </w:tc>
        <w:tc>
          <w:tcPr>
            <w:tcW w:w="2496" w:type="dxa"/>
            <w:gridSpan w:val="2"/>
            <w:vAlign w:val="center"/>
          </w:tcPr>
          <w:p>
            <w:pPr>
              <w:pStyle w:val="143"/>
              <w:jc w:val="center"/>
              <w:rPr>
                <w:rFonts w:asciiTheme="minorEastAsia" w:hAnsiTheme="minorEastAsia" w:eastAsiaTheme="minorEastAsia"/>
                <w:sz w:val="24"/>
                <w:szCs w:val="24"/>
                <w:lang w:val="en-US"/>
              </w:rPr>
            </w:pPr>
          </w:p>
        </w:tc>
        <w:tc>
          <w:tcPr>
            <w:tcW w:w="1268" w:type="dxa"/>
            <w:gridSpan w:val="2"/>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电子邮址</w:t>
            </w:r>
          </w:p>
        </w:tc>
        <w:tc>
          <w:tcPr>
            <w:tcW w:w="2534" w:type="dxa"/>
            <w:gridSpan w:val="3"/>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法定代表人</w:t>
            </w:r>
          </w:p>
        </w:tc>
        <w:tc>
          <w:tcPr>
            <w:tcW w:w="85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43"/>
              <w:jc w:val="center"/>
              <w:rPr>
                <w:rFonts w:asciiTheme="minorEastAsia" w:hAnsiTheme="minorEastAsia" w:eastAsiaTheme="minorEastAsia"/>
                <w:sz w:val="24"/>
                <w:szCs w:val="24"/>
                <w:lang w:val="en-US"/>
              </w:rPr>
            </w:pPr>
          </w:p>
        </w:tc>
        <w:tc>
          <w:tcPr>
            <w:tcW w:w="1220"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43"/>
              <w:jc w:val="center"/>
              <w:rPr>
                <w:rFonts w:asciiTheme="minorEastAsia" w:hAnsiTheme="minorEastAsia" w:eastAsiaTheme="minorEastAsia"/>
                <w:sz w:val="24"/>
                <w:szCs w:val="24"/>
                <w:lang w:val="en-US"/>
              </w:rPr>
            </w:pPr>
          </w:p>
        </w:tc>
        <w:tc>
          <w:tcPr>
            <w:tcW w:w="794"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技术负责人</w:t>
            </w:r>
          </w:p>
        </w:tc>
        <w:tc>
          <w:tcPr>
            <w:tcW w:w="85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姓名</w:t>
            </w:r>
          </w:p>
        </w:tc>
        <w:tc>
          <w:tcPr>
            <w:tcW w:w="1276" w:type="dxa"/>
            <w:vAlign w:val="center"/>
          </w:tcPr>
          <w:p>
            <w:pPr>
              <w:pStyle w:val="143"/>
              <w:jc w:val="center"/>
              <w:rPr>
                <w:rFonts w:asciiTheme="minorEastAsia" w:hAnsiTheme="minorEastAsia" w:eastAsiaTheme="minorEastAsia"/>
                <w:sz w:val="24"/>
                <w:szCs w:val="24"/>
                <w:lang w:val="en-US"/>
              </w:rPr>
            </w:pPr>
          </w:p>
        </w:tc>
        <w:tc>
          <w:tcPr>
            <w:tcW w:w="1220"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技术职称</w:t>
            </w:r>
          </w:p>
        </w:tc>
        <w:tc>
          <w:tcPr>
            <w:tcW w:w="1268" w:type="dxa"/>
            <w:gridSpan w:val="2"/>
            <w:vAlign w:val="center"/>
          </w:tcPr>
          <w:p>
            <w:pPr>
              <w:pStyle w:val="143"/>
              <w:jc w:val="center"/>
              <w:rPr>
                <w:rFonts w:asciiTheme="minorEastAsia" w:hAnsiTheme="minorEastAsia" w:eastAsiaTheme="minorEastAsia"/>
                <w:sz w:val="24"/>
                <w:szCs w:val="24"/>
                <w:lang w:val="en-US"/>
              </w:rPr>
            </w:pPr>
          </w:p>
        </w:tc>
        <w:tc>
          <w:tcPr>
            <w:tcW w:w="794"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电话</w:t>
            </w:r>
          </w:p>
        </w:tc>
        <w:tc>
          <w:tcPr>
            <w:tcW w:w="1740" w:type="dxa"/>
            <w:gridSpan w:val="2"/>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成立时间</w:t>
            </w:r>
          </w:p>
        </w:tc>
        <w:tc>
          <w:tcPr>
            <w:tcW w:w="3347" w:type="dxa"/>
            <w:gridSpan w:val="3"/>
            <w:vAlign w:val="center"/>
          </w:tcPr>
          <w:p>
            <w:pPr>
              <w:pStyle w:val="143"/>
              <w:jc w:val="center"/>
              <w:rPr>
                <w:rFonts w:asciiTheme="minorEastAsia" w:hAnsiTheme="minorEastAsia" w:eastAsiaTheme="minorEastAsia"/>
                <w:sz w:val="24"/>
                <w:szCs w:val="24"/>
                <w:lang w:val="en-US"/>
              </w:rPr>
            </w:pPr>
          </w:p>
        </w:tc>
        <w:tc>
          <w:tcPr>
            <w:tcW w:w="3802" w:type="dxa"/>
            <w:gridSpan w:val="5"/>
            <w:vAlign w:val="center"/>
          </w:tcPr>
          <w:p>
            <w:pPr>
              <w:jc w:val="center"/>
              <w:rPr>
                <w:rFonts w:asciiTheme="minorEastAsia" w:hAnsiTheme="minorEastAsia" w:eastAsiaTheme="minorEastAsia"/>
                <w:sz w:val="24"/>
                <w:szCs w:val="24"/>
              </w:rPr>
            </w:pPr>
            <w:r>
              <w:rPr>
                <w:rFonts w:hint="eastAsia" w:asciiTheme="minorEastAsia" w:hAnsiTheme="minorEastAsia" w:eastAsiaTheme="minorEastAsia"/>
                <w:sz w:val="24"/>
                <w:szCs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0" w:hRule="atLeast"/>
          <w:jc w:val="center"/>
        </w:trPr>
        <w:tc>
          <w:tcPr>
            <w:tcW w:w="2061" w:type="dxa"/>
            <w:vMerge w:val="restart"/>
            <w:vAlign w:val="center"/>
          </w:tcPr>
          <w:p>
            <w:pPr>
              <w:pStyle w:val="143"/>
              <w:jc w:val="center"/>
              <w:rPr>
                <w:rFonts w:asciiTheme="minorEastAsia" w:hAnsiTheme="minorEastAsia" w:eastAsiaTheme="minorEastAsia"/>
                <w:sz w:val="24"/>
                <w:szCs w:val="24"/>
                <w:lang w:val="en-US"/>
              </w:rPr>
            </w:pPr>
            <w:r>
              <w:rPr>
                <w:rFonts w:asciiTheme="minorEastAsia" w:hAnsiTheme="minorEastAsia" w:eastAsiaTheme="minorEastAsia"/>
                <w:sz w:val="24"/>
                <w:szCs w:val="24"/>
                <w:lang w:val="en-US"/>
              </w:rPr>
              <w:t>资质</w:t>
            </w:r>
            <w:r>
              <w:rPr>
                <w:rFonts w:hint="eastAsia" w:asciiTheme="minorEastAsia" w:hAnsiTheme="minorEastAsia" w:eastAsiaTheme="minorEastAsia"/>
                <w:sz w:val="24"/>
                <w:szCs w:val="24"/>
                <w:lang w:val="en-US"/>
              </w:rPr>
              <w:t>资格与业务范围</w:t>
            </w:r>
          </w:p>
        </w:tc>
        <w:tc>
          <w:tcPr>
            <w:tcW w:w="3347" w:type="dxa"/>
            <w:gridSpan w:val="3"/>
            <w:vMerge w:val="restart"/>
            <w:vAlign w:val="center"/>
          </w:tcPr>
          <w:p>
            <w:pPr>
              <w:pStyle w:val="143"/>
              <w:jc w:val="center"/>
              <w:rPr>
                <w:rFonts w:asciiTheme="minorEastAsia" w:hAnsiTheme="minorEastAsia" w:eastAsiaTheme="minorEastAsia"/>
                <w:sz w:val="24"/>
                <w:szCs w:val="24"/>
                <w:lang w:val="en-US"/>
              </w:rPr>
            </w:pPr>
          </w:p>
        </w:tc>
        <w:tc>
          <w:tcPr>
            <w:tcW w:w="892" w:type="dxa"/>
            <w:vMerge w:val="restart"/>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其中</w:t>
            </w:r>
          </w:p>
        </w:tc>
        <w:tc>
          <w:tcPr>
            <w:tcW w:w="1715" w:type="dxa"/>
            <w:gridSpan w:val="3"/>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高级职称</w:t>
            </w:r>
          </w:p>
        </w:tc>
        <w:tc>
          <w:tcPr>
            <w:tcW w:w="1195" w:type="dxa"/>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5" w:hRule="atLeast"/>
          <w:jc w:val="center"/>
        </w:trPr>
        <w:tc>
          <w:tcPr>
            <w:tcW w:w="2061" w:type="dxa"/>
            <w:vMerge w:val="continue"/>
            <w:vAlign w:val="center"/>
          </w:tcPr>
          <w:p>
            <w:pPr>
              <w:pStyle w:val="143"/>
              <w:jc w:val="center"/>
              <w:rPr>
                <w:rFonts w:asciiTheme="minorEastAsia" w:hAnsiTheme="minorEastAsia" w:eastAsiaTheme="minorEastAsia"/>
                <w:sz w:val="24"/>
                <w:szCs w:val="24"/>
                <w:lang w:val="en-US"/>
              </w:rPr>
            </w:pPr>
          </w:p>
        </w:tc>
        <w:tc>
          <w:tcPr>
            <w:tcW w:w="3347" w:type="dxa"/>
            <w:gridSpan w:val="3"/>
            <w:vMerge w:val="continue"/>
            <w:vAlign w:val="center"/>
          </w:tcPr>
          <w:p>
            <w:pPr>
              <w:pStyle w:val="143"/>
              <w:jc w:val="center"/>
              <w:rPr>
                <w:rFonts w:asciiTheme="minorEastAsia" w:hAnsiTheme="minorEastAsia" w:eastAsiaTheme="minorEastAsia"/>
                <w:sz w:val="24"/>
                <w:szCs w:val="24"/>
                <w:lang w:val="en-US"/>
              </w:rPr>
            </w:pPr>
          </w:p>
        </w:tc>
        <w:tc>
          <w:tcPr>
            <w:tcW w:w="892" w:type="dxa"/>
            <w:vMerge w:val="continue"/>
            <w:vAlign w:val="center"/>
          </w:tcPr>
          <w:p>
            <w:pPr>
              <w:pStyle w:val="143"/>
              <w:jc w:val="center"/>
              <w:rPr>
                <w:rFonts w:asciiTheme="minorEastAsia" w:hAnsiTheme="minorEastAsia" w:eastAsiaTheme="minorEastAsia"/>
                <w:sz w:val="24"/>
                <w:szCs w:val="24"/>
                <w:lang w:val="en-US"/>
              </w:rPr>
            </w:pPr>
          </w:p>
        </w:tc>
        <w:tc>
          <w:tcPr>
            <w:tcW w:w="1715" w:type="dxa"/>
            <w:gridSpan w:val="3"/>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中级职称</w:t>
            </w:r>
          </w:p>
        </w:tc>
        <w:tc>
          <w:tcPr>
            <w:tcW w:w="1195" w:type="dxa"/>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0"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营业执照号</w:t>
            </w:r>
          </w:p>
        </w:tc>
        <w:tc>
          <w:tcPr>
            <w:tcW w:w="3347" w:type="dxa"/>
            <w:gridSpan w:val="3"/>
            <w:vAlign w:val="center"/>
          </w:tcPr>
          <w:p>
            <w:pPr>
              <w:pStyle w:val="143"/>
              <w:jc w:val="center"/>
              <w:rPr>
                <w:rFonts w:asciiTheme="minorEastAsia" w:hAnsiTheme="minorEastAsia" w:eastAsiaTheme="minorEastAsia"/>
                <w:sz w:val="24"/>
                <w:szCs w:val="24"/>
                <w:lang w:val="en-US"/>
              </w:rPr>
            </w:pPr>
          </w:p>
        </w:tc>
        <w:tc>
          <w:tcPr>
            <w:tcW w:w="892" w:type="dxa"/>
            <w:vMerge w:val="continue"/>
            <w:vAlign w:val="center"/>
          </w:tcPr>
          <w:p>
            <w:pPr>
              <w:pStyle w:val="143"/>
              <w:jc w:val="center"/>
              <w:rPr>
                <w:rFonts w:asciiTheme="minorEastAsia" w:hAnsiTheme="minorEastAsia" w:eastAsiaTheme="minorEastAsia"/>
                <w:sz w:val="24"/>
                <w:szCs w:val="24"/>
                <w:lang w:val="en-US"/>
              </w:rPr>
            </w:pPr>
          </w:p>
        </w:tc>
        <w:tc>
          <w:tcPr>
            <w:tcW w:w="1715" w:type="dxa"/>
            <w:gridSpan w:val="3"/>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各类注册人员</w:t>
            </w:r>
          </w:p>
        </w:tc>
        <w:tc>
          <w:tcPr>
            <w:tcW w:w="1195" w:type="dxa"/>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注册资金</w:t>
            </w:r>
          </w:p>
        </w:tc>
        <w:tc>
          <w:tcPr>
            <w:tcW w:w="7149" w:type="dxa"/>
            <w:gridSpan w:val="8"/>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基本账户开户银行</w:t>
            </w:r>
          </w:p>
        </w:tc>
        <w:tc>
          <w:tcPr>
            <w:tcW w:w="7149" w:type="dxa"/>
            <w:gridSpan w:val="8"/>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基本账户账号</w:t>
            </w:r>
          </w:p>
        </w:tc>
        <w:tc>
          <w:tcPr>
            <w:tcW w:w="7149" w:type="dxa"/>
            <w:gridSpan w:val="8"/>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5"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经营范围</w:t>
            </w:r>
          </w:p>
        </w:tc>
        <w:tc>
          <w:tcPr>
            <w:tcW w:w="7149" w:type="dxa"/>
            <w:gridSpan w:val="8"/>
            <w:vAlign w:val="center"/>
          </w:tcPr>
          <w:p>
            <w:pPr>
              <w:pStyle w:val="143"/>
              <w:jc w:val="center"/>
              <w:rPr>
                <w:rFonts w:asciiTheme="minorEastAsia" w:hAnsiTheme="minorEastAsia" w:eastAsiaTheme="minorEastAsia"/>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jc w:val="center"/>
        </w:trPr>
        <w:tc>
          <w:tcPr>
            <w:tcW w:w="2061" w:type="dxa"/>
            <w:vAlign w:val="center"/>
          </w:tcPr>
          <w:p>
            <w:pPr>
              <w:pStyle w:val="143"/>
              <w:jc w:val="center"/>
              <w:rPr>
                <w:rFonts w:asciiTheme="minorEastAsia" w:hAnsiTheme="minorEastAsia" w:eastAsiaTheme="minorEastAsia"/>
                <w:sz w:val="24"/>
                <w:szCs w:val="24"/>
                <w:lang w:val="en-US"/>
              </w:rPr>
            </w:pPr>
            <w:r>
              <w:rPr>
                <w:rFonts w:hint="eastAsia" w:asciiTheme="minorEastAsia" w:hAnsiTheme="minorEastAsia" w:eastAsiaTheme="minorEastAsia"/>
                <w:sz w:val="24"/>
                <w:szCs w:val="24"/>
                <w:lang w:val="en-US"/>
              </w:rPr>
              <w:t>备注</w:t>
            </w:r>
          </w:p>
        </w:tc>
        <w:tc>
          <w:tcPr>
            <w:tcW w:w="7149" w:type="dxa"/>
            <w:gridSpan w:val="8"/>
            <w:vAlign w:val="center"/>
          </w:tcPr>
          <w:p>
            <w:pPr>
              <w:pStyle w:val="143"/>
              <w:jc w:val="center"/>
              <w:rPr>
                <w:rFonts w:asciiTheme="minorEastAsia" w:hAnsiTheme="minorEastAsia" w:eastAsiaTheme="minorEastAsia"/>
                <w:sz w:val="24"/>
                <w:szCs w:val="24"/>
                <w:lang w:val="en-US"/>
              </w:rPr>
            </w:pPr>
          </w:p>
        </w:tc>
      </w:tr>
    </w:tbl>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（四）技术条款偏离表</w:t>
      </w:r>
    </w:p>
    <w:p>
      <w:pPr>
        <w:spacing w:line="380" w:lineRule="exact"/>
        <w:rPr>
          <w:rFonts w:asciiTheme="minorEastAsia" w:hAnsiTheme="minorEastAsia" w:eastAsiaTheme="minorEastAsia"/>
          <w:szCs w:val="21"/>
        </w:rPr>
      </w:pPr>
    </w:p>
    <w:tbl>
      <w:tblPr>
        <w:tblStyle w:val="42"/>
        <w:tblW w:w="86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4"/>
        <w:gridCol w:w="3360"/>
        <w:gridCol w:w="2908"/>
        <w:gridCol w:w="15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360"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采购文件技术要求</w:t>
            </w:r>
          </w:p>
        </w:tc>
        <w:tc>
          <w:tcPr>
            <w:tcW w:w="290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投标文件对应规格</w:t>
            </w:r>
          </w:p>
        </w:tc>
        <w:tc>
          <w:tcPr>
            <w:tcW w:w="157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0" w:hRule="exact"/>
          <w:jc w:val="center"/>
        </w:trPr>
        <w:tc>
          <w:tcPr>
            <w:tcW w:w="794" w:type="dxa"/>
            <w:vAlign w:val="center"/>
          </w:tcPr>
          <w:p>
            <w:pPr>
              <w:spacing w:line="380" w:lineRule="exact"/>
              <w:jc w:val="center"/>
              <w:rPr>
                <w:rFonts w:asciiTheme="minorEastAsia" w:hAnsiTheme="minorEastAsia" w:eastAsiaTheme="minorEastAsia"/>
                <w:sz w:val="22"/>
                <w:szCs w:val="22"/>
              </w:rPr>
            </w:pPr>
          </w:p>
        </w:tc>
        <w:tc>
          <w:tcPr>
            <w:tcW w:w="3360" w:type="dxa"/>
            <w:vAlign w:val="center"/>
          </w:tcPr>
          <w:p>
            <w:pPr>
              <w:spacing w:line="380" w:lineRule="exact"/>
              <w:jc w:val="center"/>
              <w:rPr>
                <w:rFonts w:asciiTheme="minorEastAsia" w:hAnsiTheme="minorEastAsia" w:eastAsiaTheme="minorEastAsia"/>
                <w:sz w:val="22"/>
                <w:szCs w:val="22"/>
              </w:rPr>
            </w:pPr>
          </w:p>
        </w:tc>
        <w:tc>
          <w:tcPr>
            <w:tcW w:w="2908" w:type="dxa"/>
            <w:vAlign w:val="center"/>
          </w:tcPr>
          <w:p>
            <w:pPr>
              <w:spacing w:line="380" w:lineRule="exact"/>
              <w:jc w:val="center"/>
              <w:rPr>
                <w:rFonts w:asciiTheme="minorEastAsia" w:hAnsiTheme="minorEastAsia" w:eastAsiaTheme="minorEastAsia"/>
                <w:sz w:val="22"/>
                <w:szCs w:val="22"/>
              </w:rPr>
            </w:pPr>
          </w:p>
        </w:tc>
        <w:tc>
          <w:tcPr>
            <w:tcW w:w="157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w:t>
      </w:r>
      <w:r>
        <w:rPr>
          <w:rFonts w:hint="eastAsia" w:eastAsiaTheme="minorEastAsia"/>
        </w:rPr>
        <w:t>1</w:t>
      </w:r>
      <w:r>
        <w:rPr>
          <w:rFonts w:hint="eastAsia" w:asciiTheme="minorEastAsia" w:hAnsiTheme="minorEastAsia" w:eastAsiaTheme="minorEastAsia"/>
        </w:rPr>
        <w:t>、本表应列明投标人对技术规格的偏离条款（正偏离或负偏离）；</w:t>
      </w:r>
    </w:p>
    <w:p>
      <w:pPr>
        <w:spacing w:line="360" w:lineRule="auto"/>
        <w:rPr>
          <w:rFonts w:asciiTheme="minorEastAsia" w:hAnsiTheme="minorEastAsia" w:eastAsiaTheme="minorEastAsia"/>
        </w:rPr>
      </w:pPr>
      <w:r>
        <w:rPr>
          <w:rFonts w:hint="eastAsia" w:eastAsiaTheme="minorEastAsia"/>
        </w:rPr>
        <w:t>2</w:t>
      </w:r>
      <w:r>
        <w:rPr>
          <w:rFonts w:hint="eastAsia" w:asciiTheme="minorEastAsia" w:hAnsiTheme="minorEastAsia" w:eastAsiaTheme="minorEastAsia"/>
        </w:rPr>
        <w:t>、无偏离应在本表“说明”处醒目地注明“无条款偏离”的字样。</w:t>
      </w:r>
    </w:p>
    <w:p>
      <w:pPr>
        <w:spacing w:line="360" w:lineRule="auto"/>
        <w:rPr>
          <w:rFonts w:asciiTheme="minorEastAsia" w:hAnsiTheme="minorEastAsia" w:eastAsiaTheme="minorEastAsia"/>
        </w:rPr>
      </w:pPr>
      <w:r>
        <w:rPr>
          <w:rFonts w:hint="eastAsia" w:eastAsiaTheme="minorEastAsia"/>
        </w:rPr>
        <w:t>3</w:t>
      </w:r>
      <w:r>
        <w:rPr>
          <w:rFonts w:hint="eastAsia" w:asciiTheme="minorEastAsia" w:hAnsiTheme="minorEastAsia" w:eastAsiaTheme="minorEastAsia"/>
        </w:rPr>
        <w:t>、本表格供参考，投标人可根据项目实际情况自拟（增减）表格。</w:t>
      </w:r>
    </w:p>
    <w:p>
      <w:pPr>
        <w:spacing w:line="360" w:lineRule="auto"/>
        <w:rPr>
          <w:rFonts w:asciiTheme="minorEastAsia" w:hAnsiTheme="minorEastAsia" w:eastAsiaTheme="minorEastAsia"/>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spacing w:line="380" w:lineRule="exact"/>
        <w:rPr>
          <w:rFonts w:asciiTheme="minorEastAsia" w:hAnsiTheme="minorEastAsia" w:eastAsiaTheme="minorEastAsia"/>
          <w:sz w:val="24"/>
        </w:rPr>
      </w:pP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（五）商务条款偏离表</w:t>
      </w:r>
    </w:p>
    <w:p>
      <w:pPr>
        <w:spacing w:line="380" w:lineRule="exact"/>
        <w:rPr>
          <w:rFonts w:asciiTheme="minorEastAsia" w:hAnsiTheme="minorEastAsia" w:eastAsiaTheme="minorEastAsia"/>
          <w:sz w:val="24"/>
        </w:rPr>
      </w:pPr>
    </w:p>
    <w:tbl>
      <w:tblPr>
        <w:tblStyle w:val="42"/>
        <w:tblW w:w="876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5"/>
        <w:gridCol w:w="3418"/>
        <w:gridCol w:w="2891"/>
        <w:gridCol w:w="16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序号</w:t>
            </w:r>
          </w:p>
        </w:tc>
        <w:tc>
          <w:tcPr>
            <w:tcW w:w="34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采购文件的商务条款</w:t>
            </w:r>
          </w:p>
        </w:tc>
        <w:tc>
          <w:tcPr>
            <w:tcW w:w="2891"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投标文件的商务条款</w:t>
            </w:r>
          </w:p>
        </w:tc>
        <w:tc>
          <w:tcPr>
            <w:tcW w:w="1618" w:type="dxa"/>
            <w:vAlign w:val="center"/>
          </w:tcPr>
          <w:p>
            <w:pPr>
              <w:spacing w:line="380" w:lineRule="exact"/>
              <w:jc w:val="center"/>
              <w:rPr>
                <w:rFonts w:asciiTheme="minorEastAsia" w:hAnsiTheme="minorEastAsia" w:eastAsiaTheme="minorEastAsia"/>
                <w:sz w:val="22"/>
                <w:szCs w:val="22"/>
              </w:rPr>
            </w:pPr>
            <w:r>
              <w:rPr>
                <w:rFonts w:hint="eastAsia" w:asciiTheme="minorEastAsia" w:hAnsiTheme="minorEastAsia" w:eastAsiaTheme="minorEastAsia"/>
                <w:sz w:val="22"/>
                <w:szCs w:val="22"/>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7" w:hRule="atLeast"/>
        </w:trPr>
        <w:tc>
          <w:tcPr>
            <w:tcW w:w="835" w:type="dxa"/>
            <w:vAlign w:val="center"/>
          </w:tcPr>
          <w:p>
            <w:pPr>
              <w:spacing w:line="380" w:lineRule="exact"/>
              <w:jc w:val="center"/>
              <w:rPr>
                <w:rFonts w:asciiTheme="minorEastAsia" w:hAnsiTheme="minorEastAsia" w:eastAsiaTheme="minorEastAsia"/>
                <w:sz w:val="22"/>
                <w:szCs w:val="22"/>
              </w:rPr>
            </w:pPr>
          </w:p>
        </w:tc>
        <w:tc>
          <w:tcPr>
            <w:tcW w:w="3418" w:type="dxa"/>
            <w:vAlign w:val="center"/>
          </w:tcPr>
          <w:p>
            <w:pPr>
              <w:spacing w:line="380" w:lineRule="exact"/>
              <w:jc w:val="center"/>
              <w:rPr>
                <w:rFonts w:asciiTheme="minorEastAsia" w:hAnsiTheme="minorEastAsia" w:eastAsiaTheme="minorEastAsia"/>
                <w:sz w:val="22"/>
                <w:szCs w:val="22"/>
              </w:rPr>
            </w:pPr>
          </w:p>
        </w:tc>
        <w:tc>
          <w:tcPr>
            <w:tcW w:w="2891" w:type="dxa"/>
            <w:vAlign w:val="center"/>
          </w:tcPr>
          <w:p>
            <w:pPr>
              <w:spacing w:line="380" w:lineRule="exact"/>
              <w:jc w:val="center"/>
              <w:rPr>
                <w:rFonts w:asciiTheme="minorEastAsia" w:hAnsiTheme="minorEastAsia" w:eastAsiaTheme="minorEastAsia"/>
                <w:sz w:val="22"/>
                <w:szCs w:val="22"/>
              </w:rPr>
            </w:pPr>
          </w:p>
        </w:tc>
        <w:tc>
          <w:tcPr>
            <w:tcW w:w="1618" w:type="dxa"/>
            <w:vAlign w:val="center"/>
          </w:tcPr>
          <w:p>
            <w:pPr>
              <w:spacing w:line="380" w:lineRule="exact"/>
              <w:jc w:val="center"/>
              <w:rPr>
                <w:rFonts w:asciiTheme="minorEastAsia" w:hAnsiTheme="minorEastAsia" w:eastAsiaTheme="minorEastAsia"/>
                <w:sz w:val="22"/>
                <w:szCs w:val="22"/>
              </w:rPr>
            </w:pPr>
          </w:p>
        </w:tc>
      </w:tr>
    </w:tbl>
    <w:p>
      <w:pPr>
        <w:spacing w:line="360" w:lineRule="auto"/>
        <w:rPr>
          <w:rFonts w:asciiTheme="minorEastAsia" w:hAnsiTheme="minorEastAsia" w:eastAsiaTheme="minorEastAsia"/>
        </w:rPr>
      </w:pPr>
      <w:r>
        <w:rPr>
          <w:rFonts w:hint="eastAsia" w:asciiTheme="minorEastAsia" w:hAnsiTheme="minorEastAsia" w:eastAsiaTheme="minorEastAsia"/>
        </w:rPr>
        <w:t>备注：</w:t>
      </w:r>
      <w:r>
        <w:rPr>
          <w:rFonts w:hint="eastAsia" w:eastAsiaTheme="minorEastAsia"/>
        </w:rPr>
        <w:t>1</w:t>
      </w:r>
      <w:r>
        <w:rPr>
          <w:rFonts w:hint="eastAsia" w:asciiTheme="minorEastAsia" w:hAnsiTheme="minorEastAsia" w:eastAsiaTheme="minorEastAsia"/>
        </w:rPr>
        <w:t>、列明采购文件的商务条款与投标文件对应响应，并说明偏离状况（正偏离或负偏离）；</w:t>
      </w:r>
      <w:r>
        <w:rPr>
          <w:rFonts w:hint="eastAsia" w:eastAsiaTheme="minorEastAsia"/>
        </w:rPr>
        <w:t>2</w:t>
      </w:r>
      <w:r>
        <w:rPr>
          <w:rFonts w:hint="eastAsia" w:asciiTheme="minorEastAsia" w:hAnsiTheme="minorEastAsia" w:eastAsiaTheme="minorEastAsia"/>
        </w:rPr>
        <w:t>、无偏离应在本表“说明”处醒目地注明“无条款偏离”的字样。</w:t>
      </w:r>
    </w:p>
    <w:p>
      <w:pPr>
        <w:spacing w:line="360" w:lineRule="auto"/>
        <w:rPr>
          <w:rFonts w:asciiTheme="minorEastAsia" w:hAnsiTheme="minorEastAsia" w:eastAsiaTheme="minorEastAsia"/>
        </w:rPr>
      </w:pPr>
      <w:r>
        <w:rPr>
          <w:rFonts w:hint="eastAsia" w:eastAsiaTheme="minorEastAsia"/>
        </w:rPr>
        <w:t>3</w:t>
      </w:r>
      <w:r>
        <w:rPr>
          <w:rFonts w:hint="eastAsia" w:asciiTheme="minorEastAsia" w:hAnsiTheme="minorEastAsia" w:eastAsiaTheme="minorEastAsia"/>
        </w:rPr>
        <w:t>、本表格供参考，投标人可根据项目实际情况自拟（增减）表格。</w:t>
      </w:r>
    </w:p>
    <w:p>
      <w:pPr>
        <w:spacing w:line="380" w:lineRule="exact"/>
        <w:rPr>
          <w:rFonts w:asciiTheme="minorEastAsia" w:hAnsiTheme="minorEastAsia" w:eastAsiaTheme="minorEastAsia"/>
          <w:sz w:val="22"/>
          <w:szCs w:val="22"/>
        </w:rPr>
      </w:pPr>
    </w:p>
    <w:p>
      <w:pPr>
        <w:spacing w:line="380" w:lineRule="exact"/>
        <w:rPr>
          <w:rFonts w:asciiTheme="minorEastAsia" w:hAnsiTheme="minorEastAsia" w:eastAsiaTheme="minorEastAsia"/>
          <w:sz w:val="22"/>
          <w:szCs w:val="22"/>
        </w:rPr>
      </w:pPr>
      <w:r>
        <w:rPr>
          <w:rFonts w:hint="eastAsia" w:asciiTheme="minorEastAsia" w:hAnsiTheme="minorEastAsia" w:eastAsiaTheme="minorEastAsia"/>
          <w:sz w:val="22"/>
          <w:szCs w:val="22"/>
        </w:rPr>
        <w:t>投标人（公章）：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投标人代表（签字或印章）：</w:t>
      </w:r>
    </w:p>
    <w:p>
      <w:pPr>
        <w:spacing w:line="380" w:lineRule="exact"/>
        <w:rPr>
          <w:rFonts w:asciiTheme="minorEastAsia" w:hAnsiTheme="minorEastAsia" w:eastAsiaTheme="minorEastAsia"/>
          <w:sz w:val="22"/>
          <w:szCs w:val="22"/>
          <w:u w:val="single"/>
        </w:rPr>
      </w:pPr>
      <w:r>
        <w:rPr>
          <w:rFonts w:hint="eastAsia" w:asciiTheme="minorEastAsia" w:hAnsiTheme="minorEastAsia" w:eastAsiaTheme="minorEastAsia"/>
          <w:sz w:val="22"/>
          <w:szCs w:val="22"/>
        </w:rPr>
        <w:t>日期：</w:t>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（六）第五部分“评标办法”中“评分标准”要求提供的资料（如有需提供）</w:t>
      </w:r>
    </w:p>
    <w:p>
      <w:pPr>
        <w:jc w:val="center"/>
        <w:rPr>
          <w:rFonts w:asciiTheme="minorEastAsia" w:hAnsiTheme="minorEastAsia" w:eastAsiaTheme="minorEastAsia"/>
          <w:b/>
          <w:sz w:val="24"/>
          <w:szCs w:val="24"/>
        </w:rPr>
      </w:pPr>
    </w:p>
    <w:p>
      <w:pPr>
        <w:jc w:val="center"/>
        <w:rPr>
          <w:rFonts w:ascii="宋体" w:hAnsi="宋体"/>
          <w:b/>
          <w:sz w:val="24"/>
          <w:szCs w:val="24"/>
        </w:rPr>
      </w:pPr>
      <w:r>
        <w:rPr>
          <w:rFonts w:hint="eastAsia"/>
          <w:b/>
          <w:sz w:val="24"/>
          <w:szCs w:val="24"/>
        </w:rPr>
        <w:t>1</w:t>
      </w:r>
      <w:r>
        <w:rPr>
          <w:rFonts w:hint="eastAsia" w:ascii="宋体" w:hAnsi="宋体"/>
          <w:b/>
          <w:sz w:val="24"/>
          <w:szCs w:val="24"/>
        </w:rPr>
        <w:t>.</w:t>
      </w:r>
      <w:r>
        <w:rPr>
          <w:rFonts w:hint="eastAsia"/>
          <w:b/>
          <w:sz w:val="24"/>
          <w:szCs w:val="24"/>
        </w:rPr>
        <w:t>1</w:t>
      </w:r>
      <w:r>
        <w:rPr>
          <w:rFonts w:hint="eastAsia" w:ascii="宋体" w:hAnsi="宋体"/>
          <w:b/>
          <w:sz w:val="24"/>
          <w:szCs w:val="24"/>
        </w:rPr>
        <w:t>投标人自</w:t>
      </w:r>
      <w:r>
        <w:rPr>
          <w:rFonts w:hint="eastAsia"/>
          <w:b/>
          <w:iCs/>
          <w:sz w:val="24"/>
          <w:szCs w:val="24"/>
        </w:rPr>
        <w:t>20</w:t>
      </w:r>
      <w:r>
        <w:rPr>
          <w:b/>
          <w:iCs/>
          <w:sz w:val="24"/>
          <w:szCs w:val="24"/>
        </w:rPr>
        <w:t>20</w:t>
      </w:r>
      <w:r>
        <w:rPr>
          <w:rFonts w:hint="eastAsia" w:ascii="宋体" w:hAnsi="宋体"/>
          <w:b/>
          <w:iCs/>
          <w:sz w:val="24"/>
          <w:szCs w:val="24"/>
        </w:rPr>
        <w:t>年</w:t>
      </w:r>
      <w:r>
        <w:rPr>
          <w:rFonts w:hint="eastAsia"/>
          <w:b/>
          <w:iCs/>
          <w:sz w:val="24"/>
          <w:szCs w:val="24"/>
        </w:rPr>
        <w:t>1</w:t>
      </w:r>
      <w:r>
        <w:rPr>
          <w:rFonts w:hint="eastAsia" w:ascii="宋体" w:hAnsi="宋体"/>
          <w:b/>
          <w:iCs/>
          <w:sz w:val="24"/>
          <w:szCs w:val="24"/>
        </w:rPr>
        <w:t>月</w:t>
      </w:r>
      <w:r>
        <w:rPr>
          <w:rFonts w:hint="eastAsia"/>
          <w:b/>
          <w:iCs/>
          <w:sz w:val="24"/>
          <w:szCs w:val="24"/>
        </w:rPr>
        <w:t>1</w:t>
      </w:r>
      <w:r>
        <w:rPr>
          <w:rFonts w:hint="eastAsia" w:ascii="宋体" w:hAnsi="宋体"/>
          <w:b/>
          <w:iCs/>
          <w:sz w:val="24"/>
          <w:szCs w:val="24"/>
        </w:rPr>
        <w:t>日</w:t>
      </w:r>
      <w:r>
        <w:rPr>
          <w:rFonts w:hint="eastAsia" w:ascii="宋体" w:hAnsi="宋体"/>
          <w:b/>
          <w:sz w:val="24"/>
          <w:szCs w:val="24"/>
        </w:rPr>
        <w:t>以来项目汇总表</w:t>
      </w:r>
    </w:p>
    <w:tbl>
      <w:tblPr>
        <w:tblStyle w:val="42"/>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2268"/>
        <w:gridCol w:w="2268"/>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43"/>
              <w:jc w:val="center"/>
              <w:rPr>
                <w:bCs w:val="0"/>
                <w:sz w:val="24"/>
                <w:szCs w:val="24"/>
                <w:lang w:val="en-US"/>
              </w:rPr>
            </w:pPr>
            <w:r>
              <w:rPr>
                <w:rFonts w:hint="eastAsia"/>
                <w:bCs w:val="0"/>
                <w:sz w:val="24"/>
                <w:szCs w:val="24"/>
                <w:lang w:val="en-US"/>
              </w:rPr>
              <w:t>项目序号</w:t>
            </w:r>
          </w:p>
        </w:tc>
        <w:tc>
          <w:tcPr>
            <w:tcW w:w="2268" w:type="dxa"/>
            <w:vAlign w:val="center"/>
          </w:tcPr>
          <w:p>
            <w:pPr>
              <w:pStyle w:val="143"/>
              <w:jc w:val="center"/>
              <w:rPr>
                <w:bCs w:val="0"/>
                <w:sz w:val="24"/>
                <w:szCs w:val="24"/>
                <w:lang w:val="en-US"/>
              </w:rPr>
            </w:pPr>
            <w:r>
              <w:rPr>
                <w:rFonts w:hint="eastAsia"/>
                <w:bCs w:val="0"/>
                <w:sz w:val="24"/>
                <w:szCs w:val="24"/>
                <w:lang w:val="en-US"/>
              </w:rPr>
              <w:t>项目名称</w:t>
            </w:r>
          </w:p>
        </w:tc>
        <w:tc>
          <w:tcPr>
            <w:tcW w:w="2268" w:type="dxa"/>
            <w:vAlign w:val="center"/>
          </w:tcPr>
          <w:p>
            <w:pPr>
              <w:pStyle w:val="143"/>
              <w:jc w:val="center"/>
              <w:rPr>
                <w:bCs w:val="0"/>
                <w:sz w:val="24"/>
                <w:szCs w:val="24"/>
                <w:lang w:val="en-US"/>
              </w:rPr>
            </w:pPr>
            <w:r>
              <w:rPr>
                <w:rFonts w:hint="eastAsia"/>
                <w:bCs w:val="0"/>
                <w:sz w:val="24"/>
                <w:szCs w:val="24"/>
                <w:lang w:val="en-US"/>
              </w:rPr>
              <w:t>发包人名称</w:t>
            </w:r>
          </w:p>
        </w:tc>
        <w:tc>
          <w:tcPr>
            <w:tcW w:w="2977" w:type="dxa"/>
            <w:vAlign w:val="center"/>
          </w:tcPr>
          <w:p>
            <w:pPr>
              <w:pStyle w:val="143"/>
              <w:jc w:val="center"/>
              <w:rPr>
                <w:bCs w:val="0"/>
                <w:sz w:val="24"/>
                <w:szCs w:val="24"/>
                <w:lang w:val="en-US"/>
              </w:rPr>
            </w:pPr>
            <w:r>
              <w:rPr>
                <w:rFonts w:hint="eastAsia"/>
                <w:bCs w:val="0"/>
                <w:sz w:val="24"/>
                <w:szCs w:val="24"/>
                <w:lang w:val="en-US"/>
              </w:rPr>
              <w:t>服务开始和完成日期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8" w:hRule="atLeast"/>
        </w:trPr>
        <w:tc>
          <w:tcPr>
            <w:tcW w:w="1242"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268" w:type="dxa"/>
            <w:vAlign w:val="center"/>
          </w:tcPr>
          <w:p>
            <w:pPr>
              <w:pStyle w:val="143"/>
              <w:jc w:val="center"/>
              <w:rPr>
                <w:bCs w:val="0"/>
                <w:sz w:val="24"/>
                <w:szCs w:val="24"/>
                <w:lang w:val="en-US"/>
              </w:rPr>
            </w:pPr>
          </w:p>
        </w:tc>
        <w:tc>
          <w:tcPr>
            <w:tcW w:w="2977" w:type="dxa"/>
            <w:vAlign w:val="center"/>
          </w:tcPr>
          <w:p>
            <w:pPr>
              <w:pStyle w:val="143"/>
              <w:jc w:val="center"/>
              <w:rPr>
                <w:bCs w:val="0"/>
                <w:sz w:val="24"/>
                <w:szCs w:val="24"/>
                <w:lang w:val="en-US"/>
              </w:rPr>
            </w:pPr>
          </w:p>
        </w:tc>
      </w:tr>
    </w:tbl>
    <w:p>
      <w:pPr>
        <w:spacing w:line="380" w:lineRule="exact"/>
        <w:rPr>
          <w:rFonts w:ascii="宋体" w:hAnsi="宋体"/>
          <w:sz w:val="22"/>
          <w:szCs w:val="22"/>
        </w:rPr>
      </w:pPr>
      <w:r>
        <w:rPr>
          <w:rFonts w:hint="eastAsia" w:ascii="宋体" w:hAnsi="宋体"/>
          <w:sz w:val="22"/>
          <w:szCs w:val="22"/>
        </w:rPr>
        <w:t>投标人（公章）：</w:t>
      </w:r>
    </w:p>
    <w:p>
      <w:pPr>
        <w:spacing w:line="380" w:lineRule="exact"/>
        <w:rPr>
          <w:rFonts w:ascii="宋体" w:hAnsi="宋体"/>
          <w:sz w:val="22"/>
          <w:szCs w:val="22"/>
          <w:u w:val="single"/>
        </w:rPr>
      </w:pPr>
      <w:r>
        <w:rPr>
          <w:rFonts w:hint="eastAsia" w:ascii="宋体" w:hAnsi="宋体"/>
          <w:sz w:val="22"/>
          <w:szCs w:val="22"/>
        </w:rPr>
        <w:t>投标人代表（签字或印章）：</w:t>
      </w:r>
    </w:p>
    <w:p>
      <w:pPr>
        <w:spacing w:line="380" w:lineRule="exact"/>
        <w:rPr>
          <w:rFonts w:ascii="宋体" w:hAnsi="宋体"/>
          <w:sz w:val="22"/>
          <w:szCs w:val="22"/>
          <w:u w:val="single"/>
        </w:rPr>
      </w:pPr>
      <w:r>
        <w:rPr>
          <w:rFonts w:hint="eastAsia" w:ascii="宋体"/>
          <w:sz w:val="22"/>
          <w:szCs w:val="22"/>
        </w:rPr>
        <w:t>日期：</w:t>
      </w:r>
    </w:p>
    <w:p>
      <w:pPr>
        <w:spacing w:after="120" w:afterLines="50"/>
        <w:jc w:val="center"/>
        <w:rPr>
          <w:rFonts w:ascii="宋体"/>
          <w:b/>
          <w:sz w:val="24"/>
          <w:szCs w:val="24"/>
        </w:rPr>
      </w:pPr>
      <w:r>
        <w:rPr>
          <w:rFonts w:ascii="宋体" w:hAnsi="宋体"/>
          <w:b/>
          <w:sz w:val="24"/>
          <w:szCs w:val="24"/>
        </w:rPr>
        <w:br w:type="page"/>
      </w:r>
      <w:r>
        <w:rPr>
          <w:rFonts w:hint="eastAsia"/>
          <w:b/>
          <w:sz w:val="24"/>
          <w:szCs w:val="24"/>
        </w:rPr>
        <w:t>1</w:t>
      </w:r>
      <w:r>
        <w:rPr>
          <w:rFonts w:hint="eastAsia" w:ascii="宋体" w:hAnsi="宋体"/>
          <w:b/>
          <w:sz w:val="24"/>
          <w:szCs w:val="24"/>
        </w:rPr>
        <w:t>.</w:t>
      </w:r>
      <w:r>
        <w:rPr>
          <w:rFonts w:hint="eastAsia"/>
          <w:b/>
          <w:sz w:val="24"/>
          <w:szCs w:val="24"/>
        </w:rPr>
        <w:t>2</w:t>
      </w:r>
      <w:r>
        <w:rPr>
          <w:rFonts w:hint="eastAsia" w:ascii="宋体" w:hAnsi="宋体"/>
          <w:b/>
          <w:sz w:val="24"/>
          <w:szCs w:val="24"/>
        </w:rPr>
        <w:t>投标人自</w:t>
      </w:r>
      <w:r>
        <w:rPr>
          <w:rFonts w:hint="eastAsia"/>
          <w:b/>
          <w:iCs/>
          <w:sz w:val="24"/>
          <w:szCs w:val="24"/>
        </w:rPr>
        <w:t>20</w:t>
      </w:r>
      <w:r>
        <w:rPr>
          <w:b/>
          <w:iCs/>
          <w:sz w:val="24"/>
          <w:szCs w:val="24"/>
        </w:rPr>
        <w:t>20</w:t>
      </w:r>
      <w:r>
        <w:rPr>
          <w:rFonts w:hint="eastAsia" w:ascii="宋体" w:hAnsi="宋体"/>
          <w:b/>
          <w:iCs/>
          <w:sz w:val="24"/>
          <w:szCs w:val="24"/>
        </w:rPr>
        <w:t>年</w:t>
      </w:r>
      <w:r>
        <w:rPr>
          <w:rFonts w:hint="eastAsia"/>
          <w:b/>
          <w:iCs/>
          <w:sz w:val="24"/>
          <w:szCs w:val="24"/>
        </w:rPr>
        <w:t>1</w:t>
      </w:r>
      <w:r>
        <w:rPr>
          <w:rFonts w:hint="eastAsia" w:ascii="宋体" w:hAnsi="宋体"/>
          <w:b/>
          <w:iCs/>
          <w:sz w:val="24"/>
          <w:szCs w:val="24"/>
        </w:rPr>
        <w:t>月</w:t>
      </w:r>
      <w:r>
        <w:rPr>
          <w:rFonts w:hint="eastAsia"/>
          <w:b/>
          <w:iCs/>
          <w:sz w:val="24"/>
          <w:szCs w:val="24"/>
        </w:rPr>
        <w:t>1</w:t>
      </w:r>
      <w:r>
        <w:rPr>
          <w:rFonts w:hint="eastAsia" w:ascii="宋体" w:hAnsi="宋体"/>
          <w:b/>
          <w:iCs/>
          <w:sz w:val="24"/>
          <w:szCs w:val="24"/>
        </w:rPr>
        <w:t>日</w:t>
      </w:r>
      <w:r>
        <w:rPr>
          <w:rFonts w:hint="eastAsia" w:ascii="宋体" w:hAnsi="宋体"/>
          <w:b/>
          <w:sz w:val="24"/>
          <w:szCs w:val="24"/>
        </w:rPr>
        <w:t>以来项目详细情况表</w:t>
      </w:r>
    </w:p>
    <w:p>
      <w:pPr>
        <w:spacing w:after="120" w:afterLines="50"/>
        <w:jc w:val="left"/>
        <w:rPr>
          <w:rFonts w:ascii="宋体"/>
          <w:b/>
          <w:sz w:val="24"/>
          <w:szCs w:val="24"/>
        </w:rPr>
      </w:pPr>
      <w:r>
        <w:rPr>
          <w:rFonts w:hint="eastAsia" w:ascii="宋体" w:hAnsi="宋体"/>
          <w:b/>
          <w:sz w:val="24"/>
          <w:szCs w:val="24"/>
        </w:rPr>
        <w:t>项目序号：</w:t>
      </w:r>
    </w:p>
    <w:tbl>
      <w:tblPr>
        <w:tblStyle w:val="42"/>
        <w:tblW w:w="879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3"/>
        <w:gridCol w:w="60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项目名称</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项目所在地</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发包人名称</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发包人地址</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发包人电话</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主要服务内容</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0"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项目金额</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执行总编辑</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执行主编</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服务开始和完成时间</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7"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服务完成情况</w:t>
            </w:r>
          </w:p>
        </w:tc>
        <w:tc>
          <w:tcPr>
            <w:tcW w:w="60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2713" w:type="dxa"/>
            <w:vAlign w:val="center"/>
          </w:tcPr>
          <w:p>
            <w:pPr>
              <w:pStyle w:val="143"/>
              <w:spacing w:line="360" w:lineRule="auto"/>
              <w:rPr>
                <w:bCs w:val="0"/>
                <w:sz w:val="24"/>
                <w:szCs w:val="24"/>
                <w:lang w:val="en-US"/>
              </w:rPr>
            </w:pPr>
            <w:r>
              <w:rPr>
                <w:rFonts w:hint="eastAsia"/>
                <w:bCs w:val="0"/>
                <w:sz w:val="24"/>
                <w:szCs w:val="24"/>
                <w:lang w:val="en-US"/>
              </w:rPr>
              <w:t>备注</w:t>
            </w:r>
          </w:p>
        </w:tc>
        <w:tc>
          <w:tcPr>
            <w:tcW w:w="6086" w:type="dxa"/>
          </w:tcPr>
          <w:p>
            <w:pPr>
              <w:pStyle w:val="143"/>
              <w:spacing w:line="360" w:lineRule="auto"/>
              <w:rPr>
                <w:bCs w:val="0"/>
                <w:sz w:val="24"/>
                <w:szCs w:val="24"/>
                <w:lang w:val="en-US"/>
              </w:rPr>
            </w:pPr>
          </w:p>
        </w:tc>
      </w:tr>
    </w:tbl>
    <w:p>
      <w:pPr>
        <w:pStyle w:val="145"/>
        <w:spacing w:line="240" w:lineRule="atLeast"/>
        <w:rPr>
          <w:sz w:val="24"/>
          <w:szCs w:val="24"/>
        </w:rPr>
      </w:pPr>
      <w:r>
        <w:rPr>
          <w:rFonts w:hint="eastAsia"/>
          <w:sz w:val="24"/>
          <w:szCs w:val="24"/>
        </w:rPr>
        <w:t>注：</w:t>
      </w:r>
      <w:r>
        <w:rPr>
          <w:rFonts w:hint="eastAsia"/>
          <w:spacing w:val="0"/>
          <w:kern w:val="2"/>
          <w:sz w:val="24"/>
          <w:szCs w:val="24"/>
          <w:lang w:val="en-US"/>
        </w:rPr>
        <w:t>本表应与表</w:t>
      </w:r>
      <w:r>
        <w:rPr>
          <w:rFonts w:hint="eastAsia" w:ascii="Times New Roman" w:hAnsi="Times New Roman"/>
          <w:spacing w:val="0"/>
          <w:kern w:val="2"/>
          <w:sz w:val="24"/>
          <w:szCs w:val="24"/>
          <w:lang w:val="en-US"/>
        </w:rPr>
        <w:t>1</w:t>
      </w:r>
      <w:r>
        <w:rPr>
          <w:rFonts w:hint="eastAsia"/>
          <w:spacing w:val="0"/>
          <w:kern w:val="2"/>
          <w:sz w:val="24"/>
          <w:szCs w:val="24"/>
          <w:lang w:val="en-US"/>
        </w:rPr>
        <w:t>.</w:t>
      </w:r>
      <w:r>
        <w:rPr>
          <w:rFonts w:hint="eastAsia" w:ascii="Times New Roman" w:hAnsi="Times New Roman"/>
          <w:spacing w:val="0"/>
          <w:kern w:val="2"/>
          <w:sz w:val="24"/>
          <w:szCs w:val="24"/>
          <w:lang w:val="en-US"/>
        </w:rPr>
        <w:t>1</w:t>
      </w:r>
      <w:r>
        <w:rPr>
          <w:rFonts w:hint="eastAsia"/>
          <w:spacing w:val="0"/>
          <w:kern w:val="2"/>
          <w:sz w:val="24"/>
          <w:szCs w:val="24"/>
          <w:lang w:val="en-US"/>
        </w:rPr>
        <w:t>“</w:t>
      </w:r>
      <w:r>
        <w:rPr>
          <w:rFonts w:hint="eastAsia"/>
          <w:b/>
          <w:sz w:val="24"/>
          <w:szCs w:val="24"/>
        </w:rPr>
        <w:t>投标人自</w:t>
      </w:r>
      <w:r>
        <w:rPr>
          <w:rFonts w:hint="eastAsia" w:ascii="Times New Roman" w:hAnsi="Times New Roman"/>
          <w:b/>
          <w:iCs/>
          <w:sz w:val="24"/>
          <w:szCs w:val="24"/>
        </w:rPr>
        <w:t>20</w:t>
      </w:r>
      <w:r>
        <w:rPr>
          <w:rFonts w:ascii="Times New Roman" w:hAnsi="Times New Roman"/>
          <w:b/>
          <w:iCs/>
          <w:sz w:val="24"/>
          <w:szCs w:val="24"/>
        </w:rPr>
        <w:t>20</w:t>
      </w:r>
      <w:r>
        <w:rPr>
          <w:rFonts w:hint="eastAsia"/>
          <w:b/>
          <w:iCs/>
          <w:sz w:val="24"/>
          <w:szCs w:val="24"/>
        </w:rPr>
        <w:t>年</w:t>
      </w:r>
      <w:r>
        <w:rPr>
          <w:rFonts w:hint="eastAsia" w:ascii="Times New Roman" w:hAnsi="Times New Roman"/>
          <w:b/>
          <w:iCs/>
          <w:sz w:val="24"/>
          <w:szCs w:val="24"/>
        </w:rPr>
        <w:t>1</w:t>
      </w:r>
      <w:r>
        <w:rPr>
          <w:rFonts w:hint="eastAsia"/>
          <w:b/>
          <w:iCs/>
          <w:sz w:val="24"/>
          <w:szCs w:val="24"/>
        </w:rPr>
        <w:t>月</w:t>
      </w:r>
      <w:r>
        <w:rPr>
          <w:rFonts w:hint="eastAsia" w:ascii="Times New Roman" w:hAnsi="Times New Roman"/>
          <w:b/>
          <w:iCs/>
          <w:sz w:val="24"/>
          <w:szCs w:val="24"/>
        </w:rPr>
        <w:t>1</w:t>
      </w:r>
      <w:r>
        <w:rPr>
          <w:rFonts w:hint="eastAsia"/>
          <w:b/>
          <w:iCs/>
          <w:sz w:val="24"/>
          <w:szCs w:val="24"/>
        </w:rPr>
        <w:t>日</w:t>
      </w:r>
      <w:r>
        <w:rPr>
          <w:rFonts w:hint="eastAsia"/>
          <w:b/>
          <w:sz w:val="24"/>
          <w:szCs w:val="24"/>
        </w:rPr>
        <w:t>以来项目汇总表</w:t>
      </w:r>
      <w:r>
        <w:rPr>
          <w:rFonts w:hint="eastAsia"/>
          <w:spacing w:val="0"/>
          <w:kern w:val="2"/>
          <w:sz w:val="24"/>
          <w:szCs w:val="24"/>
          <w:lang w:val="en-US"/>
        </w:rPr>
        <w:t>”相对应，</w:t>
      </w:r>
      <w:r>
        <w:rPr>
          <w:rFonts w:hint="eastAsia"/>
          <w:sz w:val="24"/>
          <w:szCs w:val="24"/>
        </w:rPr>
        <w:t>后应附</w:t>
      </w:r>
      <w:r>
        <w:rPr>
          <w:rFonts w:hint="eastAsia"/>
          <w:b/>
          <w:sz w:val="24"/>
          <w:szCs w:val="24"/>
        </w:rPr>
        <w:t>合同的复印件并加盖公章</w:t>
      </w:r>
      <w:r>
        <w:rPr>
          <w:rFonts w:hint="eastAsia"/>
          <w:sz w:val="24"/>
          <w:szCs w:val="24"/>
        </w:rPr>
        <w:t>。</w:t>
      </w:r>
    </w:p>
    <w:p>
      <w:pPr>
        <w:spacing w:line="380" w:lineRule="exact"/>
        <w:rPr>
          <w:rFonts w:ascii="宋体" w:hAnsi="宋体"/>
          <w:sz w:val="22"/>
          <w:szCs w:val="22"/>
        </w:rPr>
      </w:pPr>
    </w:p>
    <w:p>
      <w:pPr>
        <w:spacing w:line="380" w:lineRule="exact"/>
        <w:rPr>
          <w:rFonts w:ascii="宋体" w:hAnsi="宋体"/>
          <w:sz w:val="22"/>
          <w:szCs w:val="22"/>
        </w:rPr>
      </w:pPr>
    </w:p>
    <w:p>
      <w:pPr>
        <w:spacing w:line="380" w:lineRule="exact"/>
        <w:rPr>
          <w:rFonts w:ascii="宋体" w:hAnsi="宋体"/>
          <w:sz w:val="22"/>
          <w:szCs w:val="22"/>
        </w:rPr>
      </w:pPr>
      <w:r>
        <w:rPr>
          <w:rFonts w:hint="eastAsia" w:ascii="宋体" w:hAnsi="宋体"/>
          <w:sz w:val="22"/>
          <w:szCs w:val="22"/>
        </w:rPr>
        <w:t>投标人（公章）：</w:t>
      </w:r>
    </w:p>
    <w:p>
      <w:pPr>
        <w:spacing w:line="380" w:lineRule="exact"/>
        <w:rPr>
          <w:rFonts w:ascii="宋体" w:hAnsi="宋体"/>
          <w:sz w:val="22"/>
          <w:szCs w:val="22"/>
          <w:u w:val="single"/>
        </w:rPr>
      </w:pPr>
      <w:r>
        <w:rPr>
          <w:rFonts w:hint="eastAsia" w:ascii="宋体" w:hAnsi="宋体"/>
          <w:sz w:val="22"/>
          <w:szCs w:val="22"/>
        </w:rPr>
        <w:t>投标人代表（签字或印章）：</w:t>
      </w:r>
    </w:p>
    <w:p>
      <w:pPr>
        <w:spacing w:line="380" w:lineRule="exact"/>
        <w:rPr>
          <w:rFonts w:ascii="宋体" w:hAnsi="宋体"/>
          <w:sz w:val="22"/>
          <w:szCs w:val="22"/>
          <w:u w:val="single"/>
        </w:rPr>
      </w:pPr>
      <w:r>
        <w:rPr>
          <w:rFonts w:hint="eastAsia" w:ascii="宋体"/>
          <w:sz w:val="22"/>
          <w:szCs w:val="22"/>
        </w:rPr>
        <w:t>日期：</w:t>
      </w:r>
    </w:p>
    <w:p/>
    <w:p/>
    <w:p>
      <w:pPr>
        <w:jc w:val="center"/>
      </w:pPr>
    </w:p>
    <w:p>
      <w:pPr>
        <w:jc w:val="center"/>
      </w:pPr>
    </w:p>
    <w:p>
      <w:pPr>
        <w:widowControl/>
        <w:jc w:val="center"/>
        <w:rPr>
          <w:rFonts w:ascii="宋体"/>
          <w:b/>
          <w:sz w:val="24"/>
          <w:szCs w:val="24"/>
        </w:rPr>
      </w:pPr>
      <w:r>
        <w:rPr>
          <w:rFonts w:ascii="宋体" w:hAnsi="宋体"/>
          <w:b/>
          <w:sz w:val="24"/>
          <w:szCs w:val="24"/>
        </w:rPr>
        <w:br w:type="page"/>
      </w:r>
      <w:r>
        <w:rPr>
          <w:rFonts w:hint="eastAsia"/>
          <w:b/>
          <w:sz w:val="24"/>
          <w:szCs w:val="24"/>
        </w:rPr>
        <w:t>2</w:t>
      </w:r>
      <w:r>
        <w:rPr>
          <w:rFonts w:hint="eastAsia" w:ascii="宋体" w:hAnsi="宋体"/>
          <w:b/>
          <w:sz w:val="24"/>
          <w:szCs w:val="24"/>
        </w:rPr>
        <w:t>.</w:t>
      </w:r>
      <w:r>
        <w:rPr>
          <w:rFonts w:hint="eastAsia"/>
          <w:b/>
          <w:sz w:val="24"/>
          <w:szCs w:val="24"/>
        </w:rPr>
        <w:t>1</w:t>
      </w:r>
      <w:r>
        <w:rPr>
          <w:rFonts w:hint="eastAsia" w:ascii="宋体" w:hAnsi="宋体"/>
          <w:b/>
          <w:sz w:val="24"/>
          <w:szCs w:val="24"/>
        </w:rPr>
        <w:t>、项目负责人资历表</w:t>
      </w:r>
    </w:p>
    <w:p>
      <w:pPr>
        <w:jc w:val="center"/>
        <w:rPr>
          <w:rFonts w:ascii="宋体"/>
        </w:rPr>
      </w:pPr>
    </w:p>
    <w:tbl>
      <w:tblPr>
        <w:tblStyle w:val="42"/>
        <w:tblW w:w="885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885"/>
        <w:gridCol w:w="885"/>
        <w:gridCol w:w="885"/>
        <w:gridCol w:w="886"/>
        <w:gridCol w:w="886"/>
        <w:gridCol w:w="886"/>
        <w:gridCol w:w="886"/>
        <w:gridCol w:w="886"/>
        <w:gridCol w:w="8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pPr>
              <w:pStyle w:val="143"/>
              <w:spacing w:line="360" w:lineRule="auto"/>
              <w:rPr>
                <w:bCs w:val="0"/>
                <w:sz w:val="24"/>
                <w:szCs w:val="24"/>
                <w:lang w:val="en-US"/>
              </w:rPr>
            </w:pPr>
            <w:r>
              <w:rPr>
                <w:rFonts w:ascii="Times New Roman" w:hAnsi="Times New Roman"/>
                <w:bCs w:val="0"/>
                <w:sz w:val="24"/>
                <w:szCs w:val="24"/>
                <w:lang w:val="en-US"/>
              </w:rPr>
              <w:t>1</w:t>
            </w:r>
            <w:r>
              <w:rPr>
                <w:bCs w:val="0"/>
                <w:sz w:val="24"/>
                <w:szCs w:val="24"/>
                <w:lang w:val="en-US"/>
              </w:rPr>
              <w:t>.</w:t>
            </w:r>
            <w:r>
              <w:rPr>
                <w:rFonts w:hint="eastAsia"/>
                <w:bCs w:val="0"/>
                <w:sz w:val="24"/>
                <w:szCs w:val="24"/>
                <w:lang w:val="en-US"/>
              </w:rPr>
              <w:t>一般情况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pStyle w:val="143"/>
              <w:spacing w:line="360" w:lineRule="auto"/>
              <w:rPr>
                <w:bCs w:val="0"/>
                <w:sz w:val="24"/>
                <w:szCs w:val="24"/>
                <w:lang w:val="en-US"/>
              </w:rPr>
            </w:pPr>
            <w:r>
              <w:rPr>
                <w:rFonts w:hint="eastAsia"/>
                <w:bCs w:val="0"/>
                <w:sz w:val="24"/>
                <w:szCs w:val="24"/>
                <w:lang w:val="en-US"/>
              </w:rPr>
              <w:t>姓名</w:t>
            </w:r>
          </w:p>
        </w:tc>
        <w:tc>
          <w:tcPr>
            <w:tcW w:w="885" w:type="dxa"/>
          </w:tcPr>
          <w:p>
            <w:pPr>
              <w:pStyle w:val="143"/>
              <w:spacing w:line="360" w:lineRule="auto"/>
              <w:rPr>
                <w:bCs w:val="0"/>
                <w:sz w:val="24"/>
                <w:szCs w:val="24"/>
                <w:lang w:val="en-US"/>
              </w:rPr>
            </w:pPr>
          </w:p>
        </w:tc>
        <w:tc>
          <w:tcPr>
            <w:tcW w:w="885" w:type="dxa"/>
          </w:tcPr>
          <w:p>
            <w:pPr>
              <w:pStyle w:val="143"/>
              <w:spacing w:line="360" w:lineRule="auto"/>
              <w:rPr>
                <w:bCs w:val="0"/>
                <w:sz w:val="24"/>
                <w:szCs w:val="24"/>
                <w:lang w:val="en-US"/>
              </w:rPr>
            </w:pPr>
            <w:r>
              <w:rPr>
                <w:rFonts w:hint="eastAsia"/>
                <w:bCs w:val="0"/>
                <w:sz w:val="24"/>
                <w:szCs w:val="24"/>
                <w:lang w:val="en-US"/>
              </w:rPr>
              <w:t>性别</w:t>
            </w:r>
          </w:p>
        </w:tc>
        <w:tc>
          <w:tcPr>
            <w:tcW w:w="885" w:type="dxa"/>
          </w:tcPr>
          <w:p>
            <w:pPr>
              <w:pStyle w:val="143"/>
              <w:spacing w:line="360" w:lineRule="auto"/>
              <w:rPr>
                <w:bCs w:val="0"/>
                <w:sz w:val="24"/>
                <w:szCs w:val="24"/>
                <w:lang w:val="en-US"/>
              </w:rPr>
            </w:pPr>
          </w:p>
        </w:tc>
        <w:tc>
          <w:tcPr>
            <w:tcW w:w="886" w:type="dxa"/>
          </w:tcPr>
          <w:p>
            <w:pPr>
              <w:pStyle w:val="143"/>
              <w:spacing w:line="360" w:lineRule="auto"/>
              <w:rPr>
                <w:bCs w:val="0"/>
                <w:sz w:val="24"/>
                <w:szCs w:val="24"/>
                <w:lang w:val="en-US"/>
              </w:rPr>
            </w:pPr>
            <w:r>
              <w:rPr>
                <w:rFonts w:hint="eastAsia"/>
                <w:bCs w:val="0"/>
                <w:sz w:val="24"/>
                <w:szCs w:val="24"/>
                <w:lang w:val="en-US"/>
              </w:rPr>
              <w:t>年龄</w:t>
            </w:r>
          </w:p>
        </w:tc>
        <w:tc>
          <w:tcPr>
            <w:tcW w:w="886" w:type="dxa"/>
          </w:tcPr>
          <w:p>
            <w:pPr>
              <w:pStyle w:val="143"/>
              <w:spacing w:line="360" w:lineRule="auto"/>
              <w:rPr>
                <w:bCs w:val="0"/>
                <w:sz w:val="24"/>
                <w:szCs w:val="24"/>
                <w:lang w:val="en-US"/>
              </w:rPr>
            </w:pPr>
          </w:p>
        </w:tc>
        <w:tc>
          <w:tcPr>
            <w:tcW w:w="886" w:type="dxa"/>
          </w:tcPr>
          <w:p>
            <w:pPr>
              <w:pStyle w:val="143"/>
              <w:spacing w:line="360" w:lineRule="auto"/>
              <w:rPr>
                <w:bCs w:val="0"/>
                <w:sz w:val="24"/>
                <w:szCs w:val="24"/>
                <w:lang w:val="en-US"/>
              </w:rPr>
            </w:pPr>
            <w:r>
              <w:rPr>
                <w:rFonts w:hint="eastAsia"/>
                <w:bCs w:val="0"/>
                <w:sz w:val="24"/>
                <w:szCs w:val="24"/>
                <w:lang w:val="en-US"/>
              </w:rPr>
              <w:t>学位</w:t>
            </w:r>
          </w:p>
        </w:tc>
        <w:tc>
          <w:tcPr>
            <w:tcW w:w="886" w:type="dxa"/>
          </w:tcPr>
          <w:p>
            <w:pPr>
              <w:pStyle w:val="143"/>
              <w:spacing w:line="360" w:lineRule="auto"/>
              <w:rPr>
                <w:bCs w:val="0"/>
                <w:sz w:val="24"/>
                <w:szCs w:val="24"/>
                <w:lang w:val="en-US"/>
              </w:rPr>
            </w:pPr>
          </w:p>
        </w:tc>
        <w:tc>
          <w:tcPr>
            <w:tcW w:w="886" w:type="dxa"/>
          </w:tcPr>
          <w:p>
            <w:pPr>
              <w:pStyle w:val="143"/>
              <w:spacing w:line="360" w:lineRule="auto"/>
              <w:rPr>
                <w:bCs w:val="0"/>
                <w:sz w:val="24"/>
                <w:szCs w:val="24"/>
                <w:lang w:val="en-US"/>
              </w:rPr>
            </w:pPr>
            <w:r>
              <w:rPr>
                <w:rFonts w:hint="eastAsia"/>
                <w:bCs w:val="0"/>
                <w:sz w:val="24"/>
                <w:szCs w:val="24"/>
                <w:lang w:val="en-US"/>
              </w:rPr>
              <w:t>身份证号</w:t>
            </w:r>
          </w:p>
        </w:tc>
        <w:tc>
          <w:tcPr>
            <w:tcW w:w="8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pStyle w:val="143"/>
              <w:spacing w:line="360" w:lineRule="auto"/>
              <w:rPr>
                <w:bCs w:val="0"/>
                <w:sz w:val="24"/>
                <w:szCs w:val="24"/>
                <w:lang w:val="en-US"/>
              </w:rPr>
            </w:pPr>
            <w:r>
              <w:rPr>
                <w:rFonts w:hint="eastAsia"/>
                <w:bCs w:val="0"/>
                <w:sz w:val="24"/>
                <w:szCs w:val="24"/>
                <w:lang w:val="en-US"/>
              </w:rPr>
              <w:t>职称</w:t>
            </w:r>
          </w:p>
        </w:tc>
        <w:tc>
          <w:tcPr>
            <w:tcW w:w="885" w:type="dxa"/>
          </w:tcPr>
          <w:p>
            <w:pPr>
              <w:pStyle w:val="143"/>
              <w:spacing w:line="360" w:lineRule="auto"/>
              <w:rPr>
                <w:bCs w:val="0"/>
                <w:sz w:val="24"/>
                <w:szCs w:val="24"/>
                <w:lang w:val="en-US"/>
              </w:rPr>
            </w:pPr>
          </w:p>
        </w:tc>
        <w:tc>
          <w:tcPr>
            <w:tcW w:w="885" w:type="dxa"/>
          </w:tcPr>
          <w:p>
            <w:pPr>
              <w:pStyle w:val="143"/>
              <w:spacing w:line="360" w:lineRule="auto"/>
              <w:rPr>
                <w:bCs w:val="0"/>
                <w:sz w:val="24"/>
                <w:szCs w:val="24"/>
                <w:lang w:val="en-US"/>
              </w:rPr>
            </w:pPr>
            <w:r>
              <w:rPr>
                <w:rFonts w:hint="eastAsia"/>
                <w:bCs w:val="0"/>
                <w:sz w:val="24"/>
                <w:szCs w:val="24"/>
                <w:lang w:val="en-US"/>
              </w:rPr>
              <w:t>执业资格</w:t>
            </w:r>
          </w:p>
        </w:tc>
        <w:tc>
          <w:tcPr>
            <w:tcW w:w="885" w:type="dxa"/>
          </w:tcPr>
          <w:p>
            <w:pPr>
              <w:pStyle w:val="143"/>
              <w:spacing w:line="360" w:lineRule="auto"/>
              <w:rPr>
                <w:bCs w:val="0"/>
                <w:sz w:val="24"/>
                <w:szCs w:val="24"/>
                <w:lang w:val="en-US"/>
              </w:rPr>
            </w:pPr>
          </w:p>
        </w:tc>
        <w:tc>
          <w:tcPr>
            <w:tcW w:w="1772" w:type="dxa"/>
            <w:gridSpan w:val="2"/>
          </w:tcPr>
          <w:p>
            <w:pPr>
              <w:pStyle w:val="143"/>
              <w:spacing w:line="360" w:lineRule="auto"/>
              <w:rPr>
                <w:bCs w:val="0"/>
                <w:sz w:val="24"/>
                <w:szCs w:val="24"/>
                <w:lang w:val="en-US"/>
              </w:rPr>
            </w:pPr>
            <w:r>
              <w:rPr>
                <w:rFonts w:hint="eastAsia"/>
                <w:bCs w:val="0"/>
                <w:sz w:val="24"/>
                <w:szCs w:val="24"/>
                <w:lang w:val="en-US"/>
              </w:rPr>
              <w:t>为投标人服务年限（年）</w:t>
            </w:r>
          </w:p>
        </w:tc>
        <w:tc>
          <w:tcPr>
            <w:tcW w:w="886" w:type="dxa"/>
          </w:tcPr>
          <w:p>
            <w:pPr>
              <w:pStyle w:val="143"/>
              <w:spacing w:line="360" w:lineRule="auto"/>
              <w:rPr>
                <w:bCs w:val="0"/>
                <w:sz w:val="24"/>
                <w:szCs w:val="24"/>
                <w:lang w:val="en-US"/>
              </w:rPr>
            </w:pPr>
          </w:p>
        </w:tc>
        <w:tc>
          <w:tcPr>
            <w:tcW w:w="1772" w:type="dxa"/>
            <w:gridSpan w:val="2"/>
          </w:tcPr>
          <w:p>
            <w:pPr>
              <w:pStyle w:val="143"/>
              <w:spacing w:line="360" w:lineRule="auto"/>
              <w:rPr>
                <w:bCs w:val="0"/>
                <w:sz w:val="24"/>
                <w:szCs w:val="24"/>
                <w:lang w:val="en-US"/>
              </w:rPr>
            </w:pPr>
            <w:r>
              <w:rPr>
                <w:rFonts w:hint="eastAsia"/>
                <w:bCs w:val="0"/>
                <w:sz w:val="24"/>
                <w:szCs w:val="24"/>
                <w:lang w:val="en-US"/>
              </w:rPr>
              <w:t>在本项目中拟任职</w:t>
            </w:r>
          </w:p>
        </w:tc>
        <w:tc>
          <w:tcPr>
            <w:tcW w:w="886" w:type="dxa"/>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pStyle w:val="143"/>
              <w:spacing w:line="360" w:lineRule="auto"/>
              <w:rPr>
                <w:bCs w:val="0"/>
                <w:sz w:val="24"/>
                <w:szCs w:val="24"/>
                <w:lang w:val="en-US"/>
              </w:rPr>
            </w:pPr>
            <w:r>
              <w:rPr>
                <w:rFonts w:hint="eastAsia"/>
                <w:bCs w:val="0"/>
                <w:sz w:val="24"/>
                <w:szCs w:val="24"/>
                <w:lang w:val="en-US"/>
              </w:rPr>
              <w:t>学历</w:t>
            </w:r>
          </w:p>
        </w:tc>
        <w:tc>
          <w:tcPr>
            <w:tcW w:w="7971" w:type="dxa"/>
            <w:gridSpan w:val="9"/>
          </w:tcPr>
          <w:p>
            <w:pPr>
              <w:pStyle w:val="143"/>
              <w:spacing w:line="360" w:lineRule="auto"/>
              <w:rPr>
                <w:bCs w:val="0"/>
                <w:sz w:val="24"/>
                <w:szCs w:val="24"/>
                <w:lang w:val="en-US"/>
              </w:rPr>
            </w:pPr>
            <w:r>
              <w:rPr>
                <w:rFonts w:hint="eastAsia"/>
                <w:bCs w:val="0"/>
                <w:sz w:val="24"/>
                <w:szCs w:val="24"/>
                <w:lang w:val="en-US"/>
              </w:rPr>
              <w:t>年毕业于（学校）（专业）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pPr>
              <w:pStyle w:val="143"/>
              <w:spacing w:line="360" w:lineRule="auto"/>
              <w:rPr>
                <w:bCs w:val="0"/>
                <w:sz w:val="24"/>
                <w:szCs w:val="24"/>
                <w:lang w:val="en-US"/>
              </w:rPr>
            </w:pPr>
            <w:r>
              <w:rPr>
                <w:rFonts w:ascii="Times New Roman" w:hAnsi="Times New Roman"/>
                <w:bCs w:val="0"/>
                <w:sz w:val="24"/>
                <w:szCs w:val="24"/>
                <w:lang w:val="en-US"/>
              </w:rPr>
              <w:t>2</w:t>
            </w:r>
            <w:r>
              <w:rPr>
                <w:bCs w:val="0"/>
                <w:sz w:val="24"/>
                <w:szCs w:val="24"/>
                <w:lang w:val="en-US"/>
              </w:rPr>
              <w:t>.</w:t>
            </w:r>
            <w:r>
              <w:rPr>
                <w:rFonts w:hint="eastAsia"/>
                <w:bCs w:val="0"/>
                <w:sz w:val="24"/>
                <w:szCs w:val="24"/>
                <w:lang w:val="en-US"/>
              </w:rPr>
              <w:t>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 w:type="dxa"/>
          </w:tcPr>
          <w:p>
            <w:pPr>
              <w:pStyle w:val="143"/>
              <w:spacing w:line="360" w:lineRule="auto"/>
              <w:rPr>
                <w:bCs w:val="0"/>
                <w:sz w:val="24"/>
                <w:szCs w:val="24"/>
                <w:lang w:val="en-US"/>
              </w:rPr>
            </w:pPr>
            <w:r>
              <w:rPr>
                <w:rFonts w:hint="eastAsia"/>
                <w:bCs w:val="0"/>
                <w:sz w:val="24"/>
                <w:szCs w:val="24"/>
                <w:lang w:val="en-US"/>
              </w:rPr>
              <w:t>时间</w:t>
            </w:r>
          </w:p>
        </w:tc>
        <w:tc>
          <w:tcPr>
            <w:tcW w:w="4427" w:type="dxa"/>
            <w:gridSpan w:val="5"/>
          </w:tcPr>
          <w:p>
            <w:pPr>
              <w:pStyle w:val="143"/>
              <w:spacing w:line="360" w:lineRule="auto"/>
              <w:rPr>
                <w:bCs w:val="0"/>
                <w:sz w:val="24"/>
                <w:szCs w:val="24"/>
                <w:lang w:val="en-US"/>
              </w:rPr>
            </w:pPr>
            <w:r>
              <w:rPr>
                <w:rFonts w:hint="eastAsia"/>
                <w:bCs w:val="0"/>
                <w:sz w:val="24"/>
                <w:szCs w:val="24"/>
                <w:lang w:val="en-US"/>
              </w:rPr>
              <w:t>负责过的主要项目（类型和金额）</w:t>
            </w:r>
          </w:p>
        </w:tc>
        <w:tc>
          <w:tcPr>
            <w:tcW w:w="1772" w:type="dxa"/>
            <w:gridSpan w:val="2"/>
          </w:tcPr>
          <w:p>
            <w:pPr>
              <w:pStyle w:val="143"/>
              <w:spacing w:line="360" w:lineRule="auto"/>
              <w:rPr>
                <w:bCs w:val="0"/>
                <w:sz w:val="24"/>
                <w:szCs w:val="24"/>
                <w:lang w:val="en-US"/>
              </w:rPr>
            </w:pPr>
            <w:r>
              <w:rPr>
                <w:rFonts w:hint="eastAsia"/>
                <w:bCs w:val="0"/>
                <w:sz w:val="24"/>
                <w:szCs w:val="24"/>
                <w:lang w:val="en-US"/>
              </w:rPr>
              <w:t>该项目中任职</w:t>
            </w:r>
          </w:p>
        </w:tc>
        <w:tc>
          <w:tcPr>
            <w:tcW w:w="1772" w:type="dxa"/>
            <w:gridSpan w:val="2"/>
          </w:tcPr>
          <w:p>
            <w:pPr>
              <w:pStyle w:val="143"/>
              <w:spacing w:line="360" w:lineRule="auto"/>
              <w:rPr>
                <w:bCs w:val="0"/>
                <w:sz w:val="24"/>
                <w:szCs w:val="24"/>
                <w:lang w:val="en-US"/>
              </w:rPr>
            </w:pPr>
            <w:r>
              <w:rPr>
                <w:rFonts w:hint="eastAsia"/>
                <w:bCs w:val="0"/>
                <w:sz w:val="24"/>
                <w:szCs w:val="24"/>
                <w:lang w:val="en-US"/>
              </w:rPr>
              <w:t>发包人及</w:t>
            </w:r>
          </w:p>
          <w:p>
            <w:pPr>
              <w:pStyle w:val="143"/>
              <w:spacing w:line="360" w:lineRule="auto"/>
              <w:rPr>
                <w:bCs w:val="0"/>
                <w:sz w:val="24"/>
                <w:szCs w:val="24"/>
                <w:lang w:val="en-US"/>
              </w:rPr>
            </w:pPr>
            <w:r>
              <w:rPr>
                <w:rFonts w:hint="eastAsia"/>
                <w:bCs w:val="0"/>
                <w:sz w:val="24"/>
                <w:szCs w:val="24"/>
                <w:lang w:val="en-US"/>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7" w:hRule="atLeast"/>
        </w:trPr>
        <w:tc>
          <w:tcPr>
            <w:tcW w:w="885" w:type="dxa"/>
          </w:tcPr>
          <w:p>
            <w:pPr>
              <w:pStyle w:val="143"/>
              <w:spacing w:line="360" w:lineRule="auto"/>
              <w:rPr>
                <w:bCs w:val="0"/>
                <w:sz w:val="24"/>
                <w:szCs w:val="24"/>
                <w:lang w:val="en-US"/>
              </w:rPr>
            </w:pPr>
          </w:p>
        </w:tc>
        <w:tc>
          <w:tcPr>
            <w:tcW w:w="4427" w:type="dxa"/>
            <w:gridSpan w:val="5"/>
          </w:tcPr>
          <w:p>
            <w:pPr>
              <w:pStyle w:val="143"/>
              <w:spacing w:line="360" w:lineRule="auto"/>
              <w:rPr>
                <w:bCs w:val="0"/>
                <w:sz w:val="24"/>
                <w:szCs w:val="24"/>
                <w:lang w:val="en-US"/>
              </w:rPr>
            </w:pPr>
          </w:p>
        </w:tc>
        <w:tc>
          <w:tcPr>
            <w:tcW w:w="1772" w:type="dxa"/>
            <w:gridSpan w:val="2"/>
          </w:tcPr>
          <w:p>
            <w:pPr>
              <w:pStyle w:val="143"/>
              <w:spacing w:line="360" w:lineRule="auto"/>
              <w:rPr>
                <w:bCs w:val="0"/>
                <w:sz w:val="24"/>
                <w:szCs w:val="24"/>
                <w:lang w:val="en-US"/>
              </w:rPr>
            </w:pPr>
          </w:p>
        </w:tc>
        <w:tc>
          <w:tcPr>
            <w:tcW w:w="1772" w:type="dxa"/>
            <w:gridSpan w:val="2"/>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pPr>
              <w:pStyle w:val="143"/>
              <w:spacing w:line="360" w:lineRule="auto"/>
              <w:rPr>
                <w:bCs w:val="0"/>
                <w:sz w:val="24"/>
                <w:szCs w:val="24"/>
                <w:lang w:val="en-US"/>
              </w:rPr>
            </w:pPr>
            <w:r>
              <w:rPr>
                <w:rFonts w:ascii="Times New Roman" w:hAnsi="Times New Roman"/>
                <w:bCs w:val="0"/>
                <w:sz w:val="24"/>
                <w:szCs w:val="24"/>
                <w:lang w:val="en-US"/>
              </w:rPr>
              <w:t>3</w:t>
            </w:r>
            <w:r>
              <w:rPr>
                <w:bCs w:val="0"/>
                <w:sz w:val="24"/>
                <w:szCs w:val="24"/>
                <w:lang w:val="en-US"/>
              </w:rPr>
              <w:t>.</w:t>
            </w:r>
            <w:r>
              <w:rPr>
                <w:rFonts w:hint="eastAsia"/>
                <w:bCs w:val="0"/>
                <w:sz w:val="24"/>
                <w:szCs w:val="24"/>
                <w:lang w:val="en-US"/>
              </w:rPr>
              <w:t>获奖情况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8" w:hRule="atLeast"/>
        </w:trPr>
        <w:tc>
          <w:tcPr>
            <w:tcW w:w="8856" w:type="dxa"/>
            <w:gridSpan w:val="10"/>
          </w:tcPr>
          <w:p>
            <w:pPr>
              <w:pStyle w:val="143"/>
              <w:spacing w:line="360" w:lineRule="auto"/>
              <w:rPr>
                <w:bCs w:val="0"/>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856" w:type="dxa"/>
            <w:gridSpan w:val="10"/>
          </w:tcPr>
          <w:p>
            <w:pPr>
              <w:pStyle w:val="143"/>
              <w:spacing w:line="360" w:lineRule="auto"/>
              <w:rPr>
                <w:bCs w:val="0"/>
                <w:sz w:val="24"/>
                <w:szCs w:val="24"/>
                <w:lang w:val="en-US"/>
              </w:rPr>
            </w:pPr>
            <w:r>
              <w:rPr>
                <w:rFonts w:ascii="Times New Roman" w:hAnsi="Times New Roman"/>
                <w:bCs w:val="0"/>
                <w:sz w:val="24"/>
                <w:szCs w:val="24"/>
                <w:lang w:val="en-US"/>
              </w:rPr>
              <w:t>4</w:t>
            </w:r>
            <w:r>
              <w:rPr>
                <w:bCs w:val="0"/>
                <w:sz w:val="24"/>
                <w:szCs w:val="24"/>
                <w:lang w:val="en-US"/>
              </w:rPr>
              <w:t>.</w:t>
            </w:r>
            <w:r>
              <w:rPr>
                <w:rFonts w:hint="eastAsia"/>
                <w:bCs w:val="0"/>
                <w:sz w:val="24"/>
                <w:szCs w:val="24"/>
                <w:lang w:val="en-US"/>
              </w:rPr>
              <w:t>目前负责的项目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8856" w:type="dxa"/>
            <w:gridSpan w:val="10"/>
          </w:tcPr>
          <w:p>
            <w:pPr>
              <w:pStyle w:val="143"/>
              <w:spacing w:line="360" w:lineRule="auto"/>
              <w:rPr>
                <w:bCs w:val="0"/>
                <w:sz w:val="24"/>
                <w:szCs w:val="24"/>
                <w:lang w:val="en-US"/>
              </w:rPr>
            </w:pPr>
          </w:p>
        </w:tc>
      </w:tr>
    </w:tbl>
    <w:p>
      <w:pPr>
        <w:pStyle w:val="145"/>
        <w:rPr>
          <w:b/>
          <w:iCs/>
          <w:sz w:val="23"/>
          <w:szCs w:val="23"/>
        </w:rPr>
      </w:pPr>
      <w:r>
        <w:rPr>
          <w:rFonts w:hint="eastAsia"/>
          <w:b/>
          <w:iCs/>
          <w:sz w:val="23"/>
          <w:szCs w:val="23"/>
        </w:rPr>
        <w:t>注：</w:t>
      </w:r>
      <w:r>
        <w:rPr>
          <w:rFonts w:hint="eastAsia" w:ascii="Times New Roman" w:hAnsi="Times New Roman"/>
          <w:b/>
          <w:iCs/>
          <w:sz w:val="23"/>
          <w:szCs w:val="23"/>
        </w:rPr>
        <w:t>1</w:t>
      </w:r>
      <w:r>
        <w:rPr>
          <w:rFonts w:hint="eastAsia"/>
          <w:b/>
          <w:iCs/>
          <w:sz w:val="23"/>
          <w:szCs w:val="23"/>
        </w:rPr>
        <w:t>、附拟委任的项目负责人的身份证、人员证书以及社保部门出具的投标人为其缴纳的距开标前三个月内任一个月社会保险缴费证明复印件或投标人员是本单位人员承诺函，并加盖公章；</w:t>
      </w:r>
      <w:r>
        <w:rPr>
          <w:rFonts w:hint="eastAsia" w:ascii="Times New Roman" w:hAnsi="Times New Roman"/>
          <w:b/>
          <w:iCs/>
          <w:sz w:val="23"/>
          <w:szCs w:val="23"/>
        </w:rPr>
        <w:t>2</w:t>
      </w:r>
      <w:r>
        <w:rPr>
          <w:rFonts w:hint="eastAsia"/>
          <w:b/>
          <w:iCs/>
          <w:sz w:val="23"/>
          <w:szCs w:val="23"/>
        </w:rPr>
        <w:t>、针对拟委任的项目负责人主持过的类似项目，须附合同复印件加盖公章，合同中无法体现项目负责人姓名的，须提供用户证明。</w:t>
      </w:r>
    </w:p>
    <w:p>
      <w:pPr>
        <w:jc w:val="center"/>
        <w:rPr>
          <w:rFonts w:ascii="宋体" w:hAnsi="宋体"/>
          <w:b/>
          <w:sz w:val="24"/>
          <w:szCs w:val="24"/>
        </w:rPr>
      </w:pPr>
    </w:p>
    <w:p>
      <w:pPr>
        <w:jc w:val="center"/>
        <w:rPr>
          <w:rFonts w:ascii="宋体" w:hAnsi="宋体"/>
          <w:b/>
          <w:sz w:val="24"/>
          <w:szCs w:val="24"/>
        </w:rPr>
      </w:pPr>
    </w:p>
    <w:p>
      <w:pPr>
        <w:jc w:val="center"/>
        <w:rPr>
          <w:rFonts w:ascii="宋体" w:hAnsi="宋体"/>
          <w:b/>
          <w:sz w:val="24"/>
          <w:szCs w:val="24"/>
        </w:rPr>
      </w:pPr>
    </w:p>
    <w:p>
      <w:pPr>
        <w:spacing w:line="380" w:lineRule="exact"/>
        <w:rPr>
          <w:rFonts w:ascii="宋体" w:hAnsi="宋体"/>
          <w:sz w:val="22"/>
          <w:szCs w:val="22"/>
        </w:rPr>
      </w:pPr>
      <w:r>
        <w:rPr>
          <w:rFonts w:hint="eastAsia" w:ascii="宋体" w:hAnsi="宋体"/>
          <w:sz w:val="22"/>
          <w:szCs w:val="22"/>
        </w:rPr>
        <w:t>投标人（公章）：</w:t>
      </w:r>
    </w:p>
    <w:p>
      <w:pPr>
        <w:spacing w:line="380" w:lineRule="exact"/>
        <w:rPr>
          <w:rFonts w:ascii="宋体" w:hAnsi="宋体"/>
          <w:sz w:val="22"/>
          <w:szCs w:val="22"/>
          <w:u w:val="single"/>
        </w:rPr>
      </w:pPr>
      <w:r>
        <w:rPr>
          <w:rFonts w:hint="eastAsia" w:ascii="宋体" w:hAnsi="宋体"/>
          <w:sz w:val="22"/>
          <w:szCs w:val="22"/>
        </w:rPr>
        <w:t>投标人代表（签字或印章）：</w:t>
      </w:r>
    </w:p>
    <w:p>
      <w:pPr>
        <w:spacing w:line="380" w:lineRule="exact"/>
        <w:rPr>
          <w:rFonts w:ascii="宋体" w:hAnsi="宋体"/>
          <w:sz w:val="22"/>
          <w:szCs w:val="22"/>
          <w:u w:val="single"/>
        </w:rPr>
      </w:pPr>
      <w:r>
        <w:rPr>
          <w:rFonts w:hint="eastAsia" w:ascii="宋体"/>
          <w:sz w:val="22"/>
          <w:szCs w:val="22"/>
        </w:rPr>
        <w:t>日期：</w:t>
      </w:r>
    </w:p>
    <w:p>
      <w:pPr>
        <w:widowControl/>
        <w:jc w:val="center"/>
        <w:rPr>
          <w:rFonts w:ascii="宋体" w:hAnsi="宋体"/>
          <w:b/>
          <w:sz w:val="24"/>
          <w:szCs w:val="24"/>
        </w:rPr>
      </w:pPr>
      <w:r>
        <w:rPr>
          <w:rFonts w:ascii="宋体" w:hAnsi="宋体"/>
          <w:b/>
          <w:sz w:val="24"/>
          <w:szCs w:val="24"/>
        </w:rPr>
        <w:br w:type="page"/>
      </w:r>
    </w:p>
    <w:p>
      <w:pPr>
        <w:widowControl/>
        <w:jc w:val="left"/>
        <w:rPr>
          <w:rFonts w:ascii="宋体" w:hAnsi="宋体"/>
          <w:b/>
          <w:sz w:val="28"/>
          <w:szCs w:val="28"/>
        </w:rPr>
      </w:pPr>
    </w:p>
    <w:p>
      <w:pPr>
        <w:ind w:right="420"/>
        <w:jc w:val="center"/>
        <w:rPr>
          <w:rFonts w:ascii="宋体" w:hAnsi="宋体"/>
          <w:b/>
          <w:sz w:val="28"/>
          <w:szCs w:val="28"/>
        </w:rPr>
      </w:pPr>
      <w:r>
        <w:rPr>
          <w:rFonts w:hint="eastAsia" w:ascii="宋体" w:hAnsi="宋体"/>
          <w:b/>
          <w:sz w:val="28"/>
          <w:szCs w:val="28"/>
        </w:rPr>
        <w:t>附：</w:t>
      </w:r>
      <w:r>
        <w:rPr>
          <w:rFonts w:ascii="宋体" w:hAnsi="宋体"/>
          <w:b/>
          <w:sz w:val="28"/>
          <w:szCs w:val="28"/>
        </w:rPr>
        <w:t>用户证明</w:t>
      </w:r>
    </w:p>
    <w:p>
      <w:pPr>
        <w:ind w:right="420"/>
        <w:jc w:val="center"/>
        <w:rPr>
          <w:rFonts w:ascii="宋体" w:hAnsi="宋体"/>
          <w:szCs w:val="21"/>
        </w:rPr>
      </w:pPr>
      <w:r>
        <w:rPr>
          <w:rFonts w:hint="eastAsia" w:ascii="宋体" w:hAnsi="宋体"/>
          <w:szCs w:val="21"/>
        </w:rPr>
        <w:t>（格式供参考）</w:t>
      </w:r>
    </w:p>
    <w:p>
      <w:pPr>
        <w:jc w:val="center"/>
        <w:rPr>
          <w:rFonts w:ascii="宋体" w:hAnsi="宋体"/>
          <w:b/>
        </w:rPr>
      </w:pPr>
    </w:p>
    <w:p>
      <w:pPr>
        <w:ind w:left="630"/>
        <w:rPr>
          <w:rFonts w:ascii="宋体" w:hAnsi="宋体"/>
          <w:u w:val="single"/>
        </w:rPr>
      </w:pPr>
    </w:p>
    <w:p>
      <w:pPr>
        <w:spacing w:line="600" w:lineRule="auto"/>
        <w:ind w:firstLine="480" w:firstLineChars="200"/>
        <w:jc w:val="left"/>
        <w:rPr>
          <w:rFonts w:ascii="宋体" w:hAnsi="宋体"/>
          <w:sz w:val="24"/>
          <w:szCs w:val="24"/>
        </w:rPr>
      </w:pPr>
      <w:r>
        <w:rPr>
          <w:rFonts w:ascii="宋体" w:hAnsi="宋体"/>
          <w:sz w:val="24"/>
          <w:szCs w:val="24"/>
        </w:rPr>
        <w:t>兹证明</w:t>
      </w:r>
      <w:r>
        <w:rPr>
          <w:rFonts w:ascii="宋体" w:hAnsi="宋体"/>
          <w:sz w:val="24"/>
          <w:szCs w:val="24"/>
          <w:u w:val="single"/>
        </w:rPr>
        <w:t>（投标人全称）</w:t>
      </w:r>
      <w:r>
        <w:rPr>
          <w:rFonts w:ascii="宋体" w:hAnsi="宋体"/>
          <w:sz w:val="24"/>
          <w:szCs w:val="24"/>
        </w:rPr>
        <w:t>于年月日与我单位签订</w:t>
      </w:r>
      <w:r>
        <w:rPr>
          <w:rFonts w:ascii="宋体" w:hAnsi="宋体"/>
          <w:sz w:val="24"/>
          <w:szCs w:val="24"/>
          <w:u w:val="single"/>
        </w:rPr>
        <w:t>（</w:t>
      </w:r>
      <w:r>
        <w:rPr>
          <w:rFonts w:hint="eastAsia" w:ascii="宋体" w:hAnsi="宋体"/>
          <w:sz w:val="24"/>
          <w:szCs w:val="24"/>
          <w:u w:val="single"/>
        </w:rPr>
        <w:t>项目</w:t>
      </w:r>
      <w:r>
        <w:rPr>
          <w:rFonts w:ascii="宋体" w:hAnsi="宋体"/>
          <w:sz w:val="24"/>
          <w:szCs w:val="24"/>
          <w:u w:val="single"/>
        </w:rPr>
        <w:t>名称）</w:t>
      </w:r>
      <w:r>
        <w:rPr>
          <w:rFonts w:ascii="宋体" w:hAnsi="宋体"/>
          <w:sz w:val="24"/>
          <w:szCs w:val="24"/>
        </w:rPr>
        <w:t>项目合同，</w:t>
      </w:r>
      <w:r>
        <w:rPr>
          <w:rFonts w:hint="eastAsia" w:ascii="宋体" w:hAnsi="宋体"/>
          <w:sz w:val="24"/>
          <w:szCs w:val="24"/>
        </w:rPr>
        <w:t>项目负责人为</w:t>
      </w:r>
      <w:r>
        <w:rPr>
          <w:rFonts w:ascii="宋体" w:hAnsi="宋体"/>
          <w:sz w:val="24"/>
          <w:szCs w:val="24"/>
        </w:rPr>
        <w:t>，</w:t>
      </w:r>
      <w:r>
        <w:rPr>
          <w:rFonts w:hint="eastAsia" w:ascii="宋体" w:hAnsi="宋体"/>
          <w:sz w:val="24"/>
          <w:szCs w:val="24"/>
        </w:rPr>
        <w:t>项目其他主要人员有。</w:t>
      </w:r>
      <w:r>
        <w:rPr>
          <w:rFonts w:ascii="宋体" w:hAnsi="宋体"/>
          <w:sz w:val="24"/>
          <w:szCs w:val="24"/>
        </w:rPr>
        <w:t>该项目</w:t>
      </w:r>
      <w:r>
        <w:rPr>
          <w:rFonts w:hint="eastAsia" w:ascii="宋体" w:hAnsi="宋体"/>
          <w:sz w:val="24"/>
          <w:szCs w:val="24"/>
        </w:rPr>
        <w:t>已完成，成果</w:t>
      </w:r>
      <w:r>
        <w:rPr>
          <w:rFonts w:ascii="宋体" w:hAnsi="宋体"/>
          <w:sz w:val="24"/>
          <w:szCs w:val="24"/>
          <w:u w:val="single"/>
        </w:rPr>
        <w:t>（良好/一般/差）</w:t>
      </w:r>
      <w:r>
        <w:rPr>
          <w:rFonts w:ascii="宋体" w:hAnsi="宋体"/>
          <w:sz w:val="24"/>
          <w:szCs w:val="24"/>
        </w:rPr>
        <w:t>。</w:t>
      </w:r>
    </w:p>
    <w:p>
      <w:pPr>
        <w:spacing w:line="440" w:lineRule="exact"/>
        <w:ind w:firstLine="480" w:firstLineChars="200"/>
        <w:jc w:val="left"/>
        <w:rPr>
          <w:rFonts w:ascii="宋体" w:hAnsi="宋体"/>
          <w:sz w:val="24"/>
          <w:szCs w:val="24"/>
        </w:rPr>
      </w:pPr>
    </w:p>
    <w:p>
      <w:pPr>
        <w:spacing w:line="440" w:lineRule="exact"/>
        <w:ind w:firstLine="480" w:firstLineChars="200"/>
        <w:jc w:val="left"/>
        <w:rPr>
          <w:rFonts w:ascii="宋体" w:hAnsi="宋体"/>
          <w:sz w:val="24"/>
          <w:szCs w:val="24"/>
        </w:rPr>
      </w:pPr>
      <w:r>
        <w:rPr>
          <w:rFonts w:ascii="宋体" w:hAnsi="宋体"/>
          <w:sz w:val="24"/>
          <w:szCs w:val="24"/>
        </w:rPr>
        <w:t>特此证明！</w:t>
      </w:r>
    </w:p>
    <w:p>
      <w:pPr>
        <w:spacing w:line="440" w:lineRule="exact"/>
        <w:rPr>
          <w:rFonts w:ascii="宋体" w:hAnsi="宋体"/>
          <w:sz w:val="24"/>
          <w:szCs w:val="24"/>
        </w:rPr>
      </w:pPr>
    </w:p>
    <w:p>
      <w:pPr>
        <w:spacing w:line="720" w:lineRule="auto"/>
        <w:ind w:firstLine="540" w:firstLineChars="225"/>
        <w:rPr>
          <w:rFonts w:ascii="宋体" w:hAnsi="宋体"/>
          <w:sz w:val="24"/>
          <w:szCs w:val="24"/>
        </w:rPr>
      </w:pPr>
      <w:r>
        <w:rPr>
          <w:rFonts w:ascii="宋体" w:hAnsi="宋体"/>
          <w:sz w:val="24"/>
          <w:szCs w:val="24"/>
        </w:rPr>
        <w:t>用户单位（</w:t>
      </w:r>
      <w:r>
        <w:rPr>
          <w:rFonts w:hint="eastAsia" w:ascii="宋体" w:hAnsi="宋体"/>
          <w:sz w:val="24"/>
          <w:szCs w:val="24"/>
        </w:rPr>
        <w:t>公</w:t>
      </w:r>
      <w:r>
        <w:rPr>
          <w:rFonts w:ascii="宋体" w:hAnsi="宋体"/>
          <w:sz w:val="24"/>
          <w:szCs w:val="24"/>
        </w:rPr>
        <w:t>章）：</w:t>
      </w:r>
    </w:p>
    <w:p>
      <w:pPr>
        <w:spacing w:line="720" w:lineRule="auto"/>
        <w:ind w:firstLine="540" w:firstLineChars="225"/>
        <w:rPr>
          <w:rFonts w:ascii="宋体" w:hAnsi="宋体"/>
          <w:sz w:val="24"/>
          <w:szCs w:val="24"/>
        </w:rPr>
      </w:pPr>
      <w:r>
        <w:rPr>
          <w:rFonts w:ascii="宋体" w:hAnsi="宋体"/>
          <w:sz w:val="24"/>
          <w:szCs w:val="24"/>
        </w:rPr>
        <w:t>经办人姓名：（签字或</w:t>
      </w:r>
      <w:r>
        <w:rPr>
          <w:rFonts w:hint="eastAsia" w:ascii="宋体" w:hAnsi="宋体"/>
          <w:sz w:val="24"/>
          <w:szCs w:val="24"/>
        </w:rPr>
        <w:t>印</w:t>
      </w:r>
      <w:r>
        <w:rPr>
          <w:rFonts w:ascii="宋体" w:hAnsi="宋体"/>
          <w:sz w:val="24"/>
          <w:szCs w:val="24"/>
        </w:rPr>
        <w:t>章）</w:t>
      </w:r>
    </w:p>
    <w:p>
      <w:pPr>
        <w:spacing w:line="720" w:lineRule="auto"/>
        <w:ind w:firstLine="540" w:firstLineChars="225"/>
        <w:rPr>
          <w:rFonts w:ascii="宋体" w:hAnsi="宋体"/>
          <w:sz w:val="24"/>
          <w:szCs w:val="24"/>
        </w:rPr>
      </w:pPr>
      <w:r>
        <w:rPr>
          <w:rFonts w:ascii="宋体" w:hAnsi="宋体"/>
          <w:sz w:val="24"/>
          <w:szCs w:val="24"/>
        </w:rPr>
        <w:t>经办人</w:t>
      </w:r>
      <w:r>
        <w:rPr>
          <w:rFonts w:hint="eastAsia" w:ascii="宋体" w:hAnsi="宋体"/>
          <w:sz w:val="24"/>
          <w:szCs w:val="24"/>
        </w:rPr>
        <w:t>电话：</w:t>
      </w:r>
    </w:p>
    <w:p>
      <w:pPr>
        <w:spacing w:line="720" w:lineRule="auto"/>
        <w:ind w:firstLine="540" w:firstLineChars="225"/>
        <w:rPr>
          <w:rFonts w:ascii="宋体" w:hAnsi="宋体"/>
          <w:sz w:val="24"/>
          <w:szCs w:val="24"/>
        </w:rPr>
      </w:pPr>
      <w:r>
        <w:rPr>
          <w:rFonts w:hint="eastAsia" w:ascii="宋体" w:hAnsi="宋体"/>
          <w:sz w:val="24"/>
          <w:szCs w:val="24"/>
        </w:rPr>
        <w:t>手机号</w:t>
      </w:r>
      <w:r>
        <w:rPr>
          <w:rFonts w:ascii="宋体" w:hAnsi="宋体"/>
          <w:sz w:val="24"/>
          <w:szCs w:val="24"/>
        </w:rPr>
        <w:t>：</w:t>
      </w:r>
    </w:p>
    <w:p>
      <w:pPr>
        <w:widowControl/>
        <w:spacing w:line="720" w:lineRule="auto"/>
        <w:ind w:firstLine="600" w:firstLineChars="250"/>
        <w:jc w:val="left"/>
        <w:rPr>
          <w:sz w:val="24"/>
          <w:szCs w:val="24"/>
        </w:rPr>
      </w:pPr>
      <w:r>
        <w:rPr>
          <w:rFonts w:ascii="宋体" w:hAnsi="宋体"/>
          <w:sz w:val="24"/>
          <w:szCs w:val="24"/>
        </w:rPr>
        <w:t>日期：年____月____日</w:t>
      </w:r>
    </w:p>
    <w:p>
      <w:pPr>
        <w:jc w:val="center"/>
        <w:rPr>
          <w:rFonts w:ascii="宋体" w:hAnsi="宋体"/>
          <w:b/>
          <w:sz w:val="24"/>
          <w:szCs w:val="24"/>
        </w:rPr>
      </w:pPr>
      <w:r>
        <w:rPr>
          <w:rFonts w:ascii="宋体" w:hAnsi="宋体"/>
          <w:b/>
          <w:sz w:val="24"/>
          <w:szCs w:val="24"/>
        </w:rPr>
        <w:br w:type="page"/>
      </w:r>
    </w:p>
    <w:p>
      <w:pPr>
        <w:widowControl/>
        <w:jc w:val="center"/>
        <w:rPr>
          <w:bCs/>
          <w:sz w:val="24"/>
          <w:szCs w:val="24"/>
        </w:rPr>
      </w:pPr>
      <w:r>
        <w:rPr>
          <w:rFonts w:hint="eastAsia"/>
          <w:b/>
          <w:sz w:val="24"/>
          <w:szCs w:val="24"/>
        </w:rPr>
        <w:t>2</w:t>
      </w:r>
      <w:r>
        <w:rPr>
          <w:rFonts w:hint="eastAsia" w:ascii="宋体" w:hAnsi="宋体"/>
          <w:b/>
          <w:sz w:val="24"/>
          <w:szCs w:val="24"/>
        </w:rPr>
        <w:t>.</w:t>
      </w:r>
      <w:r>
        <w:rPr>
          <w:rFonts w:hint="eastAsia"/>
          <w:b/>
          <w:sz w:val="24"/>
          <w:szCs w:val="24"/>
        </w:rPr>
        <w:t>2</w:t>
      </w:r>
      <w:r>
        <w:rPr>
          <w:rFonts w:hint="eastAsia" w:ascii="宋体" w:hAnsi="宋体"/>
          <w:b/>
          <w:sz w:val="24"/>
          <w:szCs w:val="24"/>
        </w:rPr>
        <w:t>、拟委任的其他团队成员汇总表</w:t>
      </w:r>
    </w:p>
    <w:p>
      <w:pPr>
        <w:widowControl/>
        <w:jc w:val="center"/>
        <w:rPr>
          <w:bCs/>
          <w:sz w:val="24"/>
          <w:szCs w:val="24"/>
        </w:rPr>
      </w:pPr>
    </w:p>
    <w:tbl>
      <w:tblPr>
        <w:tblStyle w:val="42"/>
        <w:tblW w:w="86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997"/>
        <w:gridCol w:w="1545"/>
        <w:gridCol w:w="831"/>
        <w:gridCol w:w="1270"/>
        <w:gridCol w:w="955"/>
        <w:gridCol w:w="17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r>
              <w:rPr>
                <w:rFonts w:hint="eastAsia"/>
                <w:sz w:val="24"/>
                <w:szCs w:val="24"/>
                <w:lang w:val="en-US"/>
              </w:rPr>
              <w:t>姓名</w:t>
            </w:r>
          </w:p>
        </w:tc>
        <w:tc>
          <w:tcPr>
            <w:tcW w:w="997" w:type="dxa"/>
          </w:tcPr>
          <w:p>
            <w:pPr>
              <w:pStyle w:val="143"/>
              <w:spacing w:line="360" w:lineRule="auto"/>
              <w:rPr>
                <w:sz w:val="24"/>
                <w:szCs w:val="24"/>
                <w:lang w:val="en-US"/>
              </w:rPr>
            </w:pPr>
            <w:r>
              <w:rPr>
                <w:rFonts w:hint="eastAsia"/>
                <w:sz w:val="24"/>
                <w:szCs w:val="24"/>
                <w:lang w:val="en-US"/>
              </w:rPr>
              <w:t>年龄</w:t>
            </w:r>
          </w:p>
        </w:tc>
        <w:tc>
          <w:tcPr>
            <w:tcW w:w="1545" w:type="dxa"/>
          </w:tcPr>
          <w:p>
            <w:pPr>
              <w:pStyle w:val="143"/>
              <w:spacing w:line="360" w:lineRule="auto"/>
              <w:rPr>
                <w:sz w:val="24"/>
                <w:szCs w:val="24"/>
                <w:lang w:val="en-US"/>
              </w:rPr>
            </w:pPr>
            <w:r>
              <w:rPr>
                <w:rFonts w:hint="eastAsia"/>
                <w:sz w:val="24"/>
                <w:szCs w:val="24"/>
                <w:lang w:val="en-US"/>
              </w:rPr>
              <w:t>拟在本项目中担任的职务</w:t>
            </w:r>
          </w:p>
        </w:tc>
        <w:tc>
          <w:tcPr>
            <w:tcW w:w="831" w:type="dxa"/>
          </w:tcPr>
          <w:p>
            <w:pPr>
              <w:pStyle w:val="143"/>
              <w:spacing w:line="360" w:lineRule="auto"/>
              <w:rPr>
                <w:sz w:val="24"/>
                <w:szCs w:val="24"/>
                <w:lang w:val="en-US"/>
              </w:rPr>
            </w:pPr>
            <w:r>
              <w:rPr>
                <w:rFonts w:hint="eastAsia"/>
                <w:sz w:val="24"/>
                <w:szCs w:val="24"/>
                <w:lang w:val="en-US"/>
              </w:rPr>
              <w:t>职称</w:t>
            </w:r>
          </w:p>
        </w:tc>
        <w:tc>
          <w:tcPr>
            <w:tcW w:w="1270" w:type="dxa"/>
          </w:tcPr>
          <w:p>
            <w:pPr>
              <w:pStyle w:val="143"/>
              <w:spacing w:line="360" w:lineRule="auto"/>
              <w:rPr>
                <w:sz w:val="24"/>
                <w:szCs w:val="24"/>
                <w:lang w:val="en-US"/>
              </w:rPr>
            </w:pPr>
            <w:r>
              <w:rPr>
                <w:rFonts w:hint="eastAsia"/>
                <w:sz w:val="24"/>
                <w:szCs w:val="24"/>
                <w:lang w:val="en-US"/>
              </w:rPr>
              <w:t>执业资格</w:t>
            </w:r>
          </w:p>
        </w:tc>
        <w:tc>
          <w:tcPr>
            <w:tcW w:w="955" w:type="dxa"/>
          </w:tcPr>
          <w:p>
            <w:pPr>
              <w:pStyle w:val="143"/>
              <w:spacing w:line="360" w:lineRule="auto"/>
              <w:rPr>
                <w:sz w:val="24"/>
                <w:szCs w:val="24"/>
                <w:lang w:val="en-US"/>
              </w:rPr>
            </w:pPr>
            <w:r>
              <w:rPr>
                <w:rFonts w:hint="eastAsia"/>
                <w:sz w:val="24"/>
                <w:szCs w:val="24"/>
                <w:lang w:val="en-US"/>
              </w:rPr>
              <w:t>工作年限</w:t>
            </w:r>
          </w:p>
        </w:tc>
        <w:tc>
          <w:tcPr>
            <w:tcW w:w="1731" w:type="dxa"/>
          </w:tcPr>
          <w:p>
            <w:pPr>
              <w:pStyle w:val="143"/>
              <w:spacing w:line="360" w:lineRule="auto"/>
              <w:rPr>
                <w:sz w:val="24"/>
                <w:szCs w:val="24"/>
                <w:lang w:val="en-US"/>
              </w:rPr>
            </w:pPr>
            <w:r>
              <w:rPr>
                <w:rFonts w:hint="eastAsia"/>
                <w:sz w:val="24"/>
                <w:szCs w:val="24"/>
                <w:lang w:val="en-US"/>
              </w:rPr>
              <w:t>类似项目经验年限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Pr>
          <w:p>
            <w:pPr>
              <w:pStyle w:val="143"/>
              <w:spacing w:line="360" w:lineRule="auto"/>
              <w:rPr>
                <w:sz w:val="24"/>
                <w:szCs w:val="24"/>
                <w:lang w:val="en-US"/>
              </w:rPr>
            </w:pPr>
          </w:p>
        </w:tc>
        <w:tc>
          <w:tcPr>
            <w:tcW w:w="997" w:type="dxa"/>
          </w:tcPr>
          <w:p>
            <w:pPr>
              <w:pStyle w:val="143"/>
              <w:spacing w:line="360" w:lineRule="auto"/>
              <w:rPr>
                <w:sz w:val="24"/>
                <w:szCs w:val="24"/>
                <w:lang w:val="en-US"/>
              </w:rPr>
            </w:pPr>
          </w:p>
        </w:tc>
        <w:tc>
          <w:tcPr>
            <w:tcW w:w="1545" w:type="dxa"/>
          </w:tcPr>
          <w:p>
            <w:pPr>
              <w:pStyle w:val="143"/>
              <w:spacing w:line="360" w:lineRule="auto"/>
              <w:rPr>
                <w:sz w:val="24"/>
                <w:szCs w:val="24"/>
                <w:lang w:val="en-US"/>
              </w:rPr>
            </w:pPr>
          </w:p>
        </w:tc>
        <w:tc>
          <w:tcPr>
            <w:tcW w:w="831" w:type="dxa"/>
          </w:tcPr>
          <w:p>
            <w:pPr>
              <w:pStyle w:val="143"/>
              <w:spacing w:line="360" w:lineRule="auto"/>
              <w:rPr>
                <w:sz w:val="24"/>
                <w:szCs w:val="24"/>
                <w:lang w:val="en-US"/>
              </w:rPr>
            </w:pPr>
          </w:p>
        </w:tc>
        <w:tc>
          <w:tcPr>
            <w:tcW w:w="1270" w:type="dxa"/>
          </w:tcPr>
          <w:p>
            <w:pPr>
              <w:pStyle w:val="143"/>
              <w:spacing w:line="360" w:lineRule="auto"/>
              <w:rPr>
                <w:sz w:val="24"/>
                <w:szCs w:val="24"/>
                <w:lang w:val="en-US"/>
              </w:rPr>
            </w:pPr>
          </w:p>
        </w:tc>
        <w:tc>
          <w:tcPr>
            <w:tcW w:w="955" w:type="dxa"/>
          </w:tcPr>
          <w:p>
            <w:pPr>
              <w:pStyle w:val="143"/>
              <w:spacing w:line="360" w:lineRule="auto"/>
              <w:rPr>
                <w:sz w:val="24"/>
                <w:szCs w:val="24"/>
                <w:lang w:val="en-US"/>
              </w:rPr>
            </w:pPr>
          </w:p>
        </w:tc>
        <w:tc>
          <w:tcPr>
            <w:tcW w:w="1731" w:type="dxa"/>
          </w:tcPr>
          <w:p>
            <w:pPr>
              <w:pStyle w:val="143"/>
              <w:spacing w:line="360" w:lineRule="auto"/>
              <w:rPr>
                <w:sz w:val="24"/>
                <w:szCs w:val="24"/>
                <w:lang w:val="en-US"/>
              </w:rPr>
            </w:pPr>
          </w:p>
        </w:tc>
      </w:tr>
    </w:tbl>
    <w:p>
      <w:pPr>
        <w:spacing w:after="120" w:afterLines="50"/>
        <w:jc w:val="left"/>
        <w:rPr>
          <w:b/>
          <w:sz w:val="23"/>
          <w:szCs w:val="23"/>
        </w:rPr>
      </w:pPr>
      <w:r>
        <w:rPr>
          <w:rFonts w:hint="eastAsia"/>
          <w:b/>
          <w:sz w:val="23"/>
          <w:szCs w:val="23"/>
        </w:rPr>
        <w:t>注：附</w:t>
      </w:r>
      <w:r>
        <w:rPr>
          <w:rFonts w:hint="eastAsia" w:ascii="宋体" w:hAnsi="宋体"/>
          <w:b/>
          <w:sz w:val="24"/>
          <w:szCs w:val="24"/>
        </w:rPr>
        <w:t>拟</w:t>
      </w:r>
      <w:r>
        <w:rPr>
          <w:rFonts w:hint="eastAsia"/>
          <w:b/>
          <w:sz w:val="23"/>
          <w:szCs w:val="23"/>
        </w:rPr>
        <w:t>委任的其他团队成员身</w:t>
      </w:r>
      <w:r>
        <w:rPr>
          <w:rFonts w:hint="eastAsia"/>
          <w:b/>
          <w:iCs/>
          <w:sz w:val="23"/>
          <w:szCs w:val="23"/>
        </w:rPr>
        <w:t>份证、</w:t>
      </w:r>
      <w:r>
        <w:rPr>
          <w:rFonts w:hint="eastAsia"/>
          <w:b/>
          <w:sz w:val="23"/>
          <w:szCs w:val="23"/>
        </w:rPr>
        <w:t>人员证书以及社保部门出具的投标人为其缴纳的距开标前三个月内任一个月社会保险缴费证明复印件或投标人员是本单位人员承诺函，并加盖公章。</w:t>
      </w:r>
    </w:p>
    <w:p>
      <w:pPr>
        <w:spacing w:after="120" w:afterLines="50"/>
        <w:jc w:val="left"/>
        <w:rPr>
          <w:b/>
          <w:sz w:val="23"/>
          <w:szCs w:val="23"/>
        </w:rPr>
      </w:pPr>
    </w:p>
    <w:p>
      <w:pPr>
        <w:spacing w:line="380" w:lineRule="exact"/>
        <w:rPr>
          <w:rFonts w:ascii="宋体" w:hAnsi="宋体"/>
          <w:sz w:val="22"/>
          <w:szCs w:val="22"/>
        </w:rPr>
      </w:pPr>
      <w:r>
        <w:rPr>
          <w:rFonts w:hint="eastAsia" w:ascii="宋体" w:hAnsi="宋体"/>
          <w:sz w:val="22"/>
          <w:szCs w:val="22"/>
        </w:rPr>
        <w:t>投标人（公章）：</w:t>
      </w:r>
    </w:p>
    <w:p>
      <w:pPr>
        <w:spacing w:line="380" w:lineRule="exact"/>
        <w:rPr>
          <w:rFonts w:ascii="宋体" w:hAnsi="宋体"/>
          <w:sz w:val="22"/>
          <w:szCs w:val="22"/>
          <w:u w:val="single"/>
        </w:rPr>
      </w:pPr>
      <w:r>
        <w:rPr>
          <w:rFonts w:hint="eastAsia" w:ascii="宋体" w:hAnsi="宋体"/>
          <w:sz w:val="22"/>
          <w:szCs w:val="22"/>
        </w:rPr>
        <w:t>投标人代表（签字或印章）：</w:t>
      </w:r>
    </w:p>
    <w:p>
      <w:pPr>
        <w:jc w:val="center"/>
        <w:rPr>
          <w:rFonts w:asciiTheme="minorEastAsia" w:hAnsiTheme="minorEastAsia" w:eastAsiaTheme="minorEastAsia"/>
          <w:b/>
          <w:sz w:val="24"/>
          <w:szCs w:val="24"/>
        </w:rPr>
      </w:pPr>
      <w:r>
        <w:rPr>
          <w:rFonts w:hint="eastAsia" w:ascii="宋体"/>
          <w:sz w:val="22"/>
          <w:szCs w:val="22"/>
        </w:rPr>
        <w:t>日期：</w:t>
      </w:r>
    </w:p>
    <w:p>
      <w:pPr>
        <w:jc w:val="center"/>
        <w:rPr>
          <w:rFonts w:asciiTheme="minorEastAsia" w:hAnsiTheme="minorEastAsia" w:eastAsiaTheme="minorEastAsia"/>
          <w:b/>
          <w:sz w:val="24"/>
          <w:szCs w:val="24"/>
        </w:rPr>
      </w:pPr>
    </w:p>
    <w:p>
      <w:pPr>
        <w:jc w:val="center"/>
        <w:rPr>
          <w:rFonts w:asciiTheme="minorEastAsia" w:hAnsiTheme="minorEastAsia" w:eastAsiaTheme="minorEastAsia"/>
          <w:b/>
          <w:sz w:val="24"/>
          <w:szCs w:val="24"/>
        </w:rPr>
      </w:pPr>
    </w:p>
    <w:p>
      <w:pPr>
        <w:spacing w:line="380" w:lineRule="exact"/>
        <w:rPr>
          <w:rFonts w:asciiTheme="minorEastAsia" w:hAnsiTheme="minorEastAsia" w:eastAsiaTheme="minorEastAsia"/>
          <w:sz w:val="22"/>
          <w:szCs w:val="22"/>
          <w:u w:val="single"/>
        </w:rPr>
      </w:pPr>
    </w:p>
    <w:p>
      <w:pPr>
        <w:spacing w:after="120" w:afterLines="50"/>
        <w:jc w:val="left"/>
        <w:rPr>
          <w:rFonts w:asciiTheme="minorEastAsia" w:hAnsiTheme="minorEastAsia" w:eastAsiaTheme="minorEastAsia"/>
          <w:sz w:val="22"/>
          <w:szCs w:val="22"/>
          <w:u w:val="single"/>
        </w:rPr>
        <w:sectPr>
          <w:pgSz w:w="11907" w:h="16840"/>
          <w:pgMar w:top="1304" w:right="1588" w:bottom="1560" w:left="1588" w:header="720" w:footer="720" w:gutter="0"/>
          <w:cols w:space="720" w:num="1"/>
          <w:docGrid w:linePitch="285" w:charSpace="0"/>
        </w:sectPr>
      </w:pPr>
    </w:p>
    <w:p>
      <w:pPr>
        <w:spacing w:after="143" w:afterLines="50"/>
        <w:jc w:val="center"/>
        <w:rPr>
          <w:rFonts w:asciiTheme="minorEastAsia" w:hAnsiTheme="minorEastAsia" w:eastAsiaTheme="minorEastAsia"/>
          <w:b/>
          <w:sz w:val="24"/>
          <w:szCs w:val="24"/>
        </w:rPr>
      </w:pPr>
    </w:p>
    <w:p>
      <w:pPr>
        <w:spacing w:after="143" w:afterLines="50"/>
        <w:jc w:val="center"/>
        <w:rPr>
          <w:rFonts w:ascii="宋体" w:hAnsi="宋体"/>
          <w:b/>
          <w:sz w:val="24"/>
          <w:szCs w:val="24"/>
        </w:rPr>
      </w:pPr>
    </w:p>
    <w:p>
      <w:pPr>
        <w:spacing w:after="143" w:afterLines="50"/>
        <w:jc w:val="center"/>
        <w:rPr>
          <w:rFonts w:ascii="宋体"/>
          <w:b/>
          <w:sz w:val="24"/>
          <w:szCs w:val="24"/>
        </w:rPr>
      </w:pPr>
      <w:r>
        <w:rPr>
          <w:rFonts w:hint="eastAsia"/>
          <w:b/>
          <w:sz w:val="24"/>
          <w:szCs w:val="24"/>
        </w:rPr>
        <w:t>3</w:t>
      </w:r>
      <w:r>
        <w:rPr>
          <w:rFonts w:hint="eastAsia" w:ascii="宋体" w:hAnsi="宋体"/>
          <w:b/>
          <w:sz w:val="24"/>
          <w:szCs w:val="24"/>
        </w:rPr>
        <w:t>、服务方案</w:t>
      </w:r>
    </w:p>
    <w:p>
      <w:pPr>
        <w:pStyle w:val="141"/>
        <w:ind w:firstLine="0" w:firstLineChars="0"/>
      </w:pPr>
      <w:r>
        <w:rPr>
          <w:rFonts w:hint="eastAsia"/>
        </w:rPr>
        <w:t>供应商可根据第五部分“评标办法”中商务技术打分情况，结合第六部分“招标项目需求”中的要求进行具体阐述，格式自拟。</w:t>
      </w:r>
    </w:p>
    <w:p>
      <w:pPr>
        <w:spacing w:after="143" w:afterLines="50"/>
        <w:jc w:val="center"/>
        <w:rPr>
          <w:rFonts w:asciiTheme="minorEastAsia" w:hAnsiTheme="minorEastAsia" w:eastAsiaTheme="minorEastAsia"/>
          <w:b/>
          <w:sz w:val="24"/>
          <w:szCs w:val="24"/>
        </w:rPr>
      </w:pPr>
    </w:p>
    <w:p>
      <w:pPr>
        <w:spacing w:line="360" w:lineRule="auto"/>
        <w:jc w:val="left"/>
        <w:rPr>
          <w:rFonts w:asciiTheme="minorEastAsia" w:hAnsiTheme="minorEastAsia" w:eastAsiaTheme="minorEastAsia"/>
          <w:b/>
          <w:sz w:val="24"/>
          <w:szCs w:val="24"/>
        </w:rPr>
      </w:pPr>
      <w:r>
        <w:rPr>
          <w:rFonts w:asciiTheme="minorEastAsia" w:hAnsiTheme="minorEastAsia" w:eastAsiaTheme="minorEastAsia"/>
          <w:b/>
          <w:sz w:val="24"/>
          <w:szCs w:val="24"/>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（七）评分标准或采购文件需要提供的其他技术商务材料</w:t>
      </w:r>
    </w:p>
    <w:p/>
    <w:p/>
    <w:p>
      <w:r>
        <w:rPr>
          <w:rFonts w:hint="eastAsia"/>
        </w:rPr>
        <w:t>如获奖证书等资料。</w:t>
      </w:r>
    </w:p>
    <w:p/>
    <w:p/>
    <w:p>
      <w:pPr>
        <w:pStyle w:val="2"/>
        <w:spacing w:before="286" w:after="286"/>
        <w:sectPr>
          <w:pgSz w:w="11907" w:h="16840"/>
          <w:pgMar w:top="1111" w:right="1701" w:bottom="1418" w:left="1701" w:header="720" w:footer="720" w:gutter="0"/>
          <w:cols w:space="720" w:num="1"/>
          <w:docGrid w:type="lines" w:linePitch="286" w:charSpace="0"/>
        </w:sectPr>
      </w:pPr>
    </w:p>
    <w:p>
      <w:pPr>
        <w:widowControl/>
        <w:spacing w:line="360" w:lineRule="auto"/>
        <w:jc w:val="left"/>
        <w:outlineLvl w:val="1"/>
        <w:rPr>
          <w:rFonts w:cs="宋体" w:asciiTheme="minorEastAsia" w:hAnsiTheme="minorEastAsia" w:eastAsiaTheme="minorEastAsia"/>
          <w:kern w:val="0"/>
          <w:sz w:val="24"/>
        </w:rPr>
      </w:pPr>
      <w:r>
        <w:rPr>
          <w:rFonts w:hint="eastAsia" w:cs="宋体" w:asciiTheme="minorEastAsia" w:hAnsiTheme="minorEastAsia" w:eastAsiaTheme="minorEastAsia"/>
          <w:b/>
          <w:bCs/>
          <w:kern w:val="0"/>
          <w:szCs w:val="21"/>
        </w:rPr>
        <w:t>报价文件组成：</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1</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投标函；</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2</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开标一览表；</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3</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投标分项报价表；</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4</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中小企业声明函；</w:t>
      </w:r>
    </w:p>
    <w:p>
      <w:pPr>
        <w:tabs>
          <w:tab w:val="left" w:pos="1418"/>
        </w:tabs>
        <w:spacing w:line="360" w:lineRule="auto"/>
        <w:ind w:firstLine="420" w:firstLineChars="200"/>
        <w:contextualSpacing/>
        <w:rPr>
          <w:rFonts w:cs="宋体" w:asciiTheme="minorEastAsia" w:hAnsiTheme="minorEastAsia" w:eastAsiaTheme="minorEastAsia"/>
          <w:kern w:val="0"/>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5</w:t>
      </w:r>
      <w:r>
        <w:rPr>
          <w:rFonts w:hint="eastAsia" w:cs="宋体" w:asciiTheme="minorEastAsia" w:hAnsiTheme="minorEastAsia" w:eastAsiaTheme="minorEastAsia"/>
          <w:kern w:val="0"/>
          <w:szCs w:val="21"/>
        </w:rPr>
        <w:t>）监狱企业的证明文件（</w:t>
      </w:r>
      <w:r>
        <w:rPr>
          <w:rFonts w:hint="eastAsia" w:cs="宋体" w:asciiTheme="minorEastAsia" w:hAnsiTheme="minorEastAsia" w:eastAsiaTheme="minorEastAsia"/>
          <w:szCs w:val="21"/>
        </w:rPr>
        <w:t>如有需提供</w:t>
      </w:r>
      <w:r>
        <w:rPr>
          <w:rFonts w:hint="eastAsia" w:cs="宋体" w:asciiTheme="minorEastAsia" w:hAnsiTheme="minorEastAsia" w:eastAsiaTheme="minorEastAsia"/>
          <w:kern w:val="0"/>
          <w:szCs w:val="21"/>
        </w:rPr>
        <w:t>）；</w:t>
      </w:r>
    </w:p>
    <w:p>
      <w:pPr>
        <w:tabs>
          <w:tab w:val="left" w:pos="1418"/>
        </w:tabs>
        <w:spacing w:line="360" w:lineRule="auto"/>
        <w:ind w:firstLine="420" w:firstLineChars="200"/>
        <w:contextualSpacing/>
        <w:rPr>
          <w:rFonts w:asciiTheme="minorEastAsia" w:hAnsiTheme="minorEastAsia" w:eastAsiaTheme="minorEastAsia"/>
          <w:szCs w:val="21"/>
        </w:rPr>
      </w:pPr>
      <w:r>
        <w:rPr>
          <w:rFonts w:hint="eastAsia" w:cs="宋体" w:asciiTheme="minorEastAsia" w:hAnsiTheme="minorEastAsia" w:eastAsiaTheme="minorEastAsia"/>
          <w:kern w:val="0"/>
          <w:szCs w:val="21"/>
        </w:rPr>
        <w:t>（</w:t>
      </w:r>
      <w:r>
        <w:rPr>
          <w:rFonts w:hint="eastAsia" w:cs="宋体" w:eastAsiaTheme="minorEastAsia"/>
          <w:kern w:val="0"/>
          <w:szCs w:val="21"/>
        </w:rPr>
        <w:t>6</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残疾人福利单位声明函</w:t>
      </w:r>
      <w:r>
        <w:rPr>
          <w:rFonts w:hint="eastAsia" w:cs="宋体" w:asciiTheme="minorEastAsia" w:hAnsiTheme="minorEastAsia" w:eastAsiaTheme="minorEastAsia"/>
          <w:kern w:val="0"/>
          <w:szCs w:val="21"/>
        </w:rPr>
        <w:t>（</w:t>
      </w:r>
      <w:r>
        <w:rPr>
          <w:rFonts w:hint="eastAsia" w:cs="宋体" w:asciiTheme="minorEastAsia" w:hAnsiTheme="minorEastAsia" w:eastAsiaTheme="minorEastAsia"/>
          <w:szCs w:val="21"/>
        </w:rPr>
        <w:t>如有需提供</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w:t>
      </w:r>
    </w:p>
    <w:p>
      <w:pPr>
        <w:widowControl/>
        <w:spacing w:line="360" w:lineRule="auto"/>
        <w:ind w:firstLine="420" w:firstLineChars="200"/>
        <w:jc w:val="left"/>
        <w:rPr>
          <w:rFonts w:cs="宋体" w:asciiTheme="minorEastAsia" w:hAnsiTheme="minorEastAsia" w:eastAsiaTheme="minorEastAsia"/>
          <w:kern w:val="0"/>
          <w:sz w:val="24"/>
        </w:rPr>
      </w:pPr>
      <w:r>
        <w:rPr>
          <w:rFonts w:hint="eastAsia" w:cs="宋体" w:asciiTheme="minorEastAsia" w:hAnsiTheme="minorEastAsia" w:eastAsiaTheme="minorEastAsia"/>
          <w:kern w:val="0"/>
          <w:szCs w:val="21"/>
        </w:rPr>
        <w:t>（</w:t>
      </w:r>
      <w:r>
        <w:rPr>
          <w:rFonts w:hint="eastAsia" w:cs="宋体" w:eastAsiaTheme="minorEastAsia"/>
          <w:kern w:val="0"/>
          <w:szCs w:val="21"/>
        </w:rPr>
        <w:t>7</w:t>
      </w:r>
      <w:r>
        <w:rPr>
          <w:rFonts w:hint="eastAsia" w:cs="宋体" w:asciiTheme="minorEastAsia" w:hAnsiTheme="minorEastAsia" w:eastAsiaTheme="minorEastAsia"/>
          <w:kern w:val="0"/>
          <w:szCs w:val="21"/>
        </w:rPr>
        <w:t>）</w:t>
      </w:r>
      <w:r>
        <w:rPr>
          <w:rFonts w:hint="eastAsia" w:asciiTheme="minorEastAsia" w:hAnsiTheme="minorEastAsia" w:eastAsiaTheme="minorEastAsia"/>
          <w:szCs w:val="21"/>
        </w:rPr>
        <w:t>投标人认为需提交的其他文件资料。</w:t>
      </w:r>
    </w:p>
    <w:p>
      <w:pPr>
        <w:spacing w:line="380" w:lineRule="exact"/>
        <w:rPr>
          <w:rFonts w:asciiTheme="minorEastAsia" w:hAnsiTheme="minorEastAsia" w:eastAsiaTheme="minorEastAsia"/>
          <w:sz w:val="24"/>
          <w:szCs w:val="24"/>
          <w:u w:val="single"/>
        </w:rPr>
      </w:pPr>
    </w:p>
    <w:p>
      <w:pPr>
        <w:widowControl/>
        <w:jc w:val="left"/>
        <w:rPr>
          <w:rFonts w:asciiTheme="minorEastAsia" w:hAnsiTheme="minorEastAsia" w:eastAsiaTheme="minorEastAsia"/>
          <w:b/>
          <w:sz w:val="24"/>
          <w:szCs w:val="24"/>
        </w:rPr>
      </w:pPr>
      <w:r>
        <w:rPr>
          <w:rFonts w:asciiTheme="minorEastAsia" w:hAnsiTheme="minorEastAsia" w:eastAsiaTheme="minorEastAsia"/>
          <w:bCs/>
          <w:sz w:val="24"/>
          <w:szCs w:val="24"/>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（一）投标函</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u w:val="single"/>
        </w:rPr>
        <w:t>致</w:t>
      </w:r>
      <w:r>
        <w:rPr>
          <w:rFonts w:hint="eastAsia" w:asciiTheme="minorEastAsia" w:hAnsiTheme="minorEastAsia" w:eastAsiaTheme="minorEastAsia"/>
          <w:i/>
          <w:sz w:val="21"/>
          <w:szCs w:val="21"/>
          <w:u w:val="single"/>
        </w:rPr>
        <w:t>（采购人）</w:t>
      </w:r>
      <w:r>
        <w:rPr>
          <w:rFonts w:hint="eastAsia" w:asciiTheme="minorEastAsia" w:hAnsiTheme="minorEastAsia" w:eastAsiaTheme="minorEastAsia"/>
          <w:sz w:val="21"/>
          <w:szCs w:val="21"/>
        </w:rPr>
        <w:t>：</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i/>
          <w:sz w:val="21"/>
          <w:szCs w:val="21"/>
          <w:u w:val="single"/>
        </w:rPr>
        <w:t>（投标人全称）</w:t>
      </w:r>
      <w:r>
        <w:rPr>
          <w:rFonts w:hint="eastAsia" w:asciiTheme="minorEastAsia" w:hAnsiTheme="minorEastAsia" w:eastAsiaTheme="minorEastAsia"/>
          <w:sz w:val="21"/>
          <w:szCs w:val="21"/>
        </w:rPr>
        <w:t>参加贵方组织的</w:t>
      </w:r>
      <w:r>
        <w:rPr>
          <w:rFonts w:hint="eastAsia" w:asciiTheme="minorEastAsia" w:hAnsiTheme="minorEastAsia" w:eastAsiaTheme="minorEastAsia"/>
          <w:i/>
          <w:sz w:val="21"/>
          <w:szCs w:val="21"/>
          <w:u w:val="single"/>
        </w:rPr>
        <w:t>（招标编号、招标项目名称）</w:t>
      </w:r>
      <w:r>
        <w:rPr>
          <w:rFonts w:hint="eastAsia" w:asciiTheme="minorEastAsia" w:hAnsiTheme="minorEastAsia" w:eastAsiaTheme="minorEastAsia"/>
          <w:sz w:val="21"/>
          <w:szCs w:val="21"/>
        </w:rPr>
        <w:t>招投标活动，代表本公司处理招投标活动中的一切事宜，现对</w:t>
      </w:r>
      <w:r>
        <w:rPr>
          <w:rFonts w:hint="eastAsia" w:asciiTheme="minorEastAsia" w:hAnsiTheme="minorEastAsia" w:eastAsiaTheme="minorEastAsia"/>
          <w:i/>
          <w:sz w:val="21"/>
          <w:szCs w:val="21"/>
          <w:u w:val="single"/>
        </w:rPr>
        <w:t>（项目名称）</w:t>
      </w:r>
      <w:r>
        <w:rPr>
          <w:rFonts w:hint="eastAsia" w:asciiTheme="minorEastAsia" w:hAnsiTheme="minorEastAsia" w:eastAsiaTheme="minorEastAsia"/>
          <w:sz w:val="21"/>
          <w:szCs w:val="21"/>
        </w:rPr>
        <w:t>进行投标，在此：</w:t>
      </w:r>
    </w:p>
    <w:p>
      <w:pPr>
        <w:pStyle w:val="18"/>
        <w:numPr>
          <w:ilvl w:val="0"/>
          <w:numId w:val="21"/>
        </w:numPr>
        <w:tabs>
          <w:tab w:val="left" w:pos="525"/>
        </w:tabs>
        <w:rPr>
          <w:rFonts w:asciiTheme="minorEastAsia" w:hAnsiTheme="minorEastAsia" w:eastAsiaTheme="minorEastAsia"/>
          <w:sz w:val="21"/>
          <w:szCs w:val="21"/>
        </w:rPr>
      </w:pPr>
      <w:r>
        <w:rPr>
          <w:rFonts w:hint="eastAsia" w:asciiTheme="minorEastAsia" w:hAnsiTheme="minorEastAsia" w:eastAsiaTheme="minorEastAsia"/>
          <w:sz w:val="21"/>
          <w:szCs w:val="21"/>
        </w:rPr>
        <w:t>提供采购文件中“投标人须知”规定的全部投标文件。</w:t>
      </w:r>
    </w:p>
    <w:p>
      <w:pPr>
        <w:pStyle w:val="18"/>
        <w:tabs>
          <w:tab w:val="left" w:pos="525"/>
        </w:tabs>
        <w:ind w:firstLine="0"/>
        <w:rPr>
          <w:rFonts w:asciiTheme="minorEastAsia" w:hAnsiTheme="minorEastAsia" w:eastAsiaTheme="minorEastAsia"/>
          <w:sz w:val="21"/>
          <w:szCs w:val="21"/>
        </w:rPr>
      </w:pPr>
      <w:r>
        <w:rPr>
          <w:rFonts w:hint="eastAsia" w:eastAsiaTheme="minorEastAsia"/>
          <w:sz w:val="21"/>
          <w:szCs w:val="21"/>
        </w:rPr>
        <w:t>2</w:t>
      </w:r>
      <w:r>
        <w:rPr>
          <w:rFonts w:hint="eastAsia" w:asciiTheme="minorEastAsia" w:hAnsiTheme="minorEastAsia" w:eastAsiaTheme="minorEastAsia"/>
          <w:sz w:val="21"/>
          <w:szCs w:val="21"/>
        </w:rPr>
        <w:t>、据此函，签字代表宣布并承诺如下：</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投标总价为（大写）：人民币元。</w:t>
      </w:r>
    </w:p>
    <w:p>
      <w:pPr>
        <w:pStyle w:val="18"/>
        <w:ind w:firstLine="420" w:firstLineChars="200"/>
        <w:rPr>
          <w:rFonts w:asciiTheme="minorEastAsia" w:hAnsiTheme="minorEastAsia" w:eastAsiaTheme="minorEastAsia"/>
          <w:sz w:val="21"/>
          <w:szCs w:val="21"/>
        </w:rPr>
      </w:pPr>
      <w:r>
        <w:rPr>
          <w:rFonts w:hint="eastAsia" w:asciiTheme="minorEastAsia" w:hAnsiTheme="minorEastAsia" w:eastAsiaTheme="minorEastAsia"/>
          <w:sz w:val="21"/>
          <w:szCs w:val="21"/>
        </w:rPr>
        <w:t>本报价已经包含了所供货物及服务应纳的税金及采购文件规定的报价方式应包含的其它费用。本报价在投标有效期内固定不变，并在合同有效期内不受利率波动的影响。</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本投标自开标之日起</w:t>
      </w:r>
      <w:r>
        <w:rPr>
          <w:rFonts w:hint="eastAsia" w:eastAsiaTheme="minorEastAsia"/>
          <w:sz w:val="21"/>
          <w:szCs w:val="21"/>
        </w:rPr>
        <w:t>90</w:t>
      </w:r>
      <w:r>
        <w:rPr>
          <w:rFonts w:hint="eastAsia" w:asciiTheme="minorEastAsia" w:hAnsiTheme="minorEastAsia" w:eastAsiaTheme="minorEastAsia"/>
          <w:sz w:val="21"/>
          <w:szCs w:val="21"/>
        </w:rPr>
        <w:t>天内有效。</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我们已详细审查全部采购文件及有关的澄清/修改文件(若有的话)，我们完全理解并同意放弃对这方面提出任何异议的权利，保证遵守采购文件有关条款规定。</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保证遵守采购文件有关条款规定。</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保证在中标后忠实地执行与采购人所签署的合同，并承担合同规定的责任义务。保证在中标后按照采购文件的规定支付中标服务费。</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承诺应贵方要求提供任何与该项目投标有关的数据、情况和技术资料。</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我们承诺，与为采购人采购本项目进行设计、编制规范和其他文件所委托的咨询公司或其附属机构无任何直接或间接的关联。</w:t>
      </w:r>
    </w:p>
    <w:p>
      <w:pPr>
        <w:pStyle w:val="18"/>
        <w:numPr>
          <w:ilvl w:val="0"/>
          <w:numId w:val="22"/>
        </w:numPr>
        <w:rPr>
          <w:rFonts w:asciiTheme="minorEastAsia" w:hAnsiTheme="minorEastAsia" w:eastAsiaTheme="minorEastAsia"/>
          <w:sz w:val="21"/>
          <w:szCs w:val="21"/>
        </w:rPr>
      </w:pPr>
      <w:r>
        <w:rPr>
          <w:rFonts w:hint="eastAsia" w:asciiTheme="minorEastAsia" w:hAnsiTheme="minorEastAsia" w:eastAsiaTheme="minorEastAsia"/>
          <w:sz w:val="21"/>
          <w:szCs w:val="21"/>
        </w:rPr>
        <w:t>我们郑重声明：我公司符合政府采购法规定的参加采购活动应当具备的条件：具有独立承担民事责任的能力、具有良好的商业信誉和健全的财务会计制度、具有履行合同所必需的设备和专业技术能力、有依法缴纳税收和社会保障资金的良好记录、参加本次采购活动前的三年内，在经营活动中没有重大违法记录。</w:t>
      </w:r>
    </w:p>
    <w:p>
      <w:pPr>
        <w:pStyle w:val="18"/>
        <w:ind w:firstLine="0"/>
        <w:rPr>
          <w:rFonts w:asciiTheme="minorEastAsia" w:hAnsiTheme="minorEastAsia" w:eastAsiaTheme="minorEastAsia"/>
          <w:sz w:val="21"/>
          <w:szCs w:val="21"/>
        </w:rPr>
      </w:pPr>
      <w:r>
        <w:rPr>
          <w:rFonts w:hint="eastAsia" w:eastAsiaTheme="minorEastAsia"/>
          <w:sz w:val="21"/>
          <w:szCs w:val="21"/>
        </w:rPr>
        <w:t>4</w:t>
      </w:r>
      <w:r>
        <w:rPr>
          <w:rFonts w:hint="eastAsia" w:asciiTheme="minorEastAsia" w:hAnsiTheme="minorEastAsia" w:eastAsiaTheme="minorEastAsia"/>
          <w:sz w:val="21"/>
          <w:szCs w:val="21"/>
        </w:rPr>
        <w:t>、与本投标有关的一切往来通讯请寄：</w:t>
      </w: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地址：</w:t>
      </w:r>
    </w:p>
    <w:p>
      <w:pPr>
        <w:pStyle w:val="18"/>
        <w:ind w:firstLine="0"/>
        <w:rPr>
          <w:rFonts w:asciiTheme="minorEastAsia" w:hAnsiTheme="minorEastAsia" w:eastAsiaTheme="minorEastAsia"/>
          <w:sz w:val="21"/>
          <w:szCs w:val="21"/>
          <w:u w:val="single"/>
        </w:rPr>
      </w:pPr>
      <w:r>
        <w:rPr>
          <w:rFonts w:hint="eastAsia" w:asciiTheme="minorEastAsia" w:hAnsiTheme="minorEastAsia" w:eastAsiaTheme="minorEastAsia"/>
          <w:sz w:val="21"/>
          <w:szCs w:val="21"/>
        </w:rPr>
        <w:t>邮编：电话：传真：</w:t>
      </w:r>
    </w:p>
    <w:p>
      <w:pPr>
        <w:pStyle w:val="18"/>
        <w:ind w:firstLine="0"/>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投标人（公章）：投标人代表（签字或印章）：</w:t>
      </w:r>
    </w:p>
    <w:p>
      <w:pPr>
        <w:pStyle w:val="18"/>
        <w:tabs>
          <w:tab w:val="left" w:pos="4841"/>
        </w:tabs>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日期：年月日</w:t>
      </w:r>
    </w:p>
    <w:p>
      <w:pPr>
        <w:pStyle w:val="18"/>
        <w:tabs>
          <w:tab w:val="left" w:pos="4841"/>
        </w:tabs>
        <w:ind w:firstLine="0"/>
        <w:rPr>
          <w:rFonts w:asciiTheme="minorEastAsia" w:hAnsiTheme="minorEastAsia" w:eastAsiaTheme="minorEastAsia"/>
          <w:sz w:val="21"/>
          <w:szCs w:val="21"/>
        </w:rPr>
      </w:pPr>
    </w:p>
    <w:p>
      <w:pPr>
        <w:pStyle w:val="3"/>
        <w:spacing w:line="380" w:lineRule="exact"/>
        <w:jc w:val="both"/>
        <w:rPr>
          <w:rFonts w:asciiTheme="minorEastAsia" w:hAnsiTheme="minorEastAsia" w:eastAsiaTheme="minorEastAsia"/>
          <w:bCs w:val="0"/>
          <w:sz w:val="24"/>
          <w:szCs w:val="24"/>
        </w:rPr>
      </w:pPr>
    </w:p>
    <w:p>
      <w:pPr>
        <w:rPr>
          <w:rFonts w:asciiTheme="minorEastAsia" w:hAnsiTheme="minorEastAsia" w:eastAsiaTheme="minorEastAsia"/>
          <w:sz w:val="24"/>
          <w:szCs w:val="24"/>
        </w:rPr>
      </w:pPr>
    </w:p>
    <w:p>
      <w:pPr>
        <w:pStyle w:val="2"/>
        <w:spacing w:before="240" w:after="240"/>
        <w:rPr>
          <w:rFonts w:asciiTheme="minorEastAsia" w:hAnsiTheme="minorEastAsia" w:eastAsiaTheme="minorEastAsia"/>
          <w:bCs w:val="0"/>
          <w:sz w:val="24"/>
          <w:szCs w:val="24"/>
        </w:rPr>
      </w:pPr>
    </w:p>
    <w:p>
      <w:pPr>
        <w:rPr>
          <w:rFonts w:asciiTheme="minorEastAsia" w:hAnsiTheme="minorEastAsia" w:eastAsiaTheme="minorEastAsia"/>
          <w:sz w:val="24"/>
          <w:szCs w:val="24"/>
        </w:rPr>
      </w:pPr>
    </w:p>
    <w:p>
      <w:pPr>
        <w:pStyle w:val="2"/>
        <w:spacing w:before="240" w:after="240"/>
      </w:pP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（二）开标一览表</w:t>
      </w:r>
    </w:p>
    <w:p>
      <w:pPr>
        <w:spacing w:line="400" w:lineRule="exact"/>
        <w:ind w:left="525"/>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rPr>
          <w:rFonts w:asciiTheme="minorEastAsia" w:hAnsiTheme="minorEastAsia" w:eastAsiaTheme="minorEastAsia"/>
          <w:szCs w:val="21"/>
        </w:rPr>
      </w:pPr>
    </w:p>
    <w:p>
      <w:pPr>
        <w:spacing w:line="380" w:lineRule="exact"/>
        <w:rPr>
          <w:rFonts w:asciiTheme="minorEastAsia" w:hAnsiTheme="minorEastAsia" w:eastAsiaTheme="minorEastAsia"/>
          <w:szCs w:val="21"/>
          <w:u w:val="single"/>
        </w:rPr>
      </w:pPr>
      <w:r>
        <w:rPr>
          <w:rFonts w:hint="eastAsia" w:asciiTheme="minorEastAsia" w:hAnsiTheme="minorEastAsia" w:eastAsiaTheme="minorEastAsia"/>
          <w:szCs w:val="21"/>
        </w:rPr>
        <w:t xml:space="preserve">项目名称： </w:t>
      </w:r>
      <w:r>
        <w:rPr>
          <w:rFonts w:asciiTheme="minorEastAsia" w:hAnsiTheme="minorEastAsia" w:eastAsiaTheme="minorEastAsia"/>
          <w:szCs w:val="21"/>
        </w:rPr>
        <w:t xml:space="preserve">                                            </w:t>
      </w:r>
      <w:r>
        <w:rPr>
          <w:rFonts w:hint="eastAsia" w:asciiTheme="minorEastAsia" w:hAnsiTheme="minorEastAsia" w:eastAsiaTheme="minorEastAsia"/>
          <w:szCs w:val="21"/>
        </w:rPr>
        <w:t>招标编号：</w:t>
      </w:r>
    </w:p>
    <w:p>
      <w:pPr>
        <w:spacing w:line="380" w:lineRule="exact"/>
        <w:rPr>
          <w:rFonts w:asciiTheme="minorEastAsia" w:hAnsiTheme="minorEastAsia" w:eastAsiaTheme="minorEastAsia"/>
          <w:szCs w:val="21"/>
          <w:u w:val="single"/>
        </w:rPr>
      </w:pPr>
    </w:p>
    <w:tbl>
      <w:tblPr>
        <w:tblStyle w:val="42"/>
        <w:tblW w:w="9188"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1791"/>
        <w:gridCol w:w="2831"/>
        <w:gridCol w:w="2582"/>
        <w:gridCol w:w="12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jc w:val="center"/>
        </w:trPr>
        <w:tc>
          <w:tcPr>
            <w:tcW w:w="709"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i/>
                <w:sz w:val="24"/>
              </w:rPr>
            </w:pPr>
            <w:r>
              <w:rPr>
                <w:rFonts w:hint="eastAsia" w:cs="宋体" w:asciiTheme="minorEastAsia" w:hAnsiTheme="minorEastAsia" w:eastAsiaTheme="minorEastAsia"/>
                <w:sz w:val="24"/>
              </w:rPr>
              <w:t>标项</w:t>
            </w:r>
          </w:p>
        </w:tc>
        <w:tc>
          <w:tcPr>
            <w:tcW w:w="179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cs="宋体" w:asciiTheme="minorEastAsia" w:hAnsiTheme="minorEastAsia" w:eastAsiaTheme="minorEastAsia"/>
                <w:sz w:val="24"/>
              </w:rPr>
              <w:t>项目内容</w:t>
            </w:r>
          </w:p>
        </w:tc>
        <w:tc>
          <w:tcPr>
            <w:tcW w:w="2831"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w:t>
            </w:r>
            <w:r>
              <w:rPr>
                <w:rFonts w:cs="宋体" w:asciiTheme="minorEastAsia" w:hAnsiTheme="minorEastAsia" w:eastAsiaTheme="minorEastAsia"/>
                <w:sz w:val="24"/>
              </w:rPr>
              <w:t>报价（单位：元）</w:t>
            </w:r>
          </w:p>
        </w:tc>
        <w:tc>
          <w:tcPr>
            <w:tcW w:w="2582"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合同履约期限</w:t>
            </w:r>
          </w:p>
        </w:tc>
        <w:tc>
          <w:tcPr>
            <w:tcW w:w="1275" w:type="dxa"/>
            <w:tcBorders>
              <w:top w:val="single" w:color="000000" w:sz="4" w:space="0"/>
              <w:left w:val="single" w:color="000000" w:sz="4" w:space="0"/>
              <w:bottom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asciiTheme="minorEastAsia" w:hAnsiTheme="minorEastAsia" w:eastAsiaTheme="minorEastAsia"/>
                <w:sz w:val="24"/>
              </w:rPr>
              <w:t>投标声明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64" w:hRule="atLeast"/>
          <w:jc w:val="center"/>
        </w:trPr>
        <w:tc>
          <w:tcPr>
            <w:tcW w:w="709"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rPr>
            </w:pPr>
            <w:r>
              <w:rPr>
                <w:rFonts w:hint="eastAsia" w:cs="宋体" w:eastAsiaTheme="minorEastAsia"/>
                <w:sz w:val="24"/>
              </w:rPr>
              <w:t>1</w:t>
            </w:r>
          </w:p>
        </w:tc>
        <w:tc>
          <w:tcPr>
            <w:tcW w:w="179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jc w:val="center"/>
              <w:rPr>
                <w:rFonts w:cs="宋体" w:asciiTheme="minorEastAsia" w:hAnsiTheme="minorEastAsia" w:eastAsiaTheme="minorEastAsia"/>
                <w:sz w:val="24"/>
              </w:rPr>
            </w:pPr>
          </w:p>
        </w:tc>
        <w:tc>
          <w:tcPr>
            <w:tcW w:w="2831" w:type="dxa"/>
            <w:tcBorders>
              <w:top w:val="single" w:color="000000" w:sz="4" w:space="0"/>
              <w:left w:val="single" w:color="000000" w:sz="4" w:space="0"/>
              <w:bottom w:val="single" w:color="000000" w:sz="4" w:space="0"/>
              <w:right w:val="single" w:color="000000" w:sz="4" w:space="0"/>
            </w:tcBorders>
            <w:vAlign w:val="center"/>
          </w:tcPr>
          <w:p>
            <w:pPr>
              <w:snapToGrid w:val="0"/>
              <w:spacing w:line="26" w:lineRule="atLeast"/>
              <w:rPr>
                <w:rFonts w:asciiTheme="minorEastAsia" w:hAnsiTheme="minorEastAsia" w:eastAsiaTheme="minorEastAsia"/>
              </w:rPr>
            </w:pPr>
            <w:r>
              <w:rPr>
                <w:rFonts w:hint="eastAsia" w:asciiTheme="minorEastAsia" w:hAnsiTheme="minorEastAsia" w:eastAsiaTheme="minorEastAsia"/>
              </w:rPr>
              <w:t>大</w:t>
            </w:r>
            <w:r>
              <w:rPr>
                <w:rFonts w:asciiTheme="minorEastAsia" w:hAnsiTheme="minorEastAsia" w:eastAsiaTheme="minorEastAsia"/>
              </w:rPr>
              <w:t>写</w:t>
            </w:r>
            <w:r>
              <w:rPr>
                <w:rFonts w:hint="eastAsia" w:asciiTheme="minorEastAsia" w:hAnsiTheme="minorEastAsia" w:eastAsiaTheme="minorEastAsia"/>
              </w:rPr>
              <w:t>：</w:t>
            </w:r>
          </w:p>
          <w:p>
            <w:pPr>
              <w:snapToGrid w:val="0"/>
              <w:spacing w:line="26" w:lineRule="atLeast"/>
              <w:ind w:firstLine="210" w:firstLineChars="100"/>
              <w:rPr>
                <w:rFonts w:asciiTheme="minorEastAsia" w:hAnsiTheme="minorEastAsia" w:eastAsiaTheme="minorEastAsia"/>
              </w:rPr>
            </w:pPr>
          </w:p>
          <w:p>
            <w:pPr>
              <w:snapToGrid w:val="0"/>
              <w:spacing w:line="26" w:lineRule="atLeast"/>
              <w:rPr>
                <w:rFonts w:asciiTheme="minorEastAsia" w:hAnsiTheme="minorEastAsia" w:eastAsiaTheme="minorEastAsia"/>
              </w:rPr>
            </w:pPr>
            <w:r>
              <w:rPr>
                <w:rFonts w:hint="eastAsia" w:asciiTheme="minorEastAsia" w:hAnsiTheme="minorEastAsia" w:eastAsiaTheme="minorEastAsia"/>
              </w:rPr>
              <w:t>小写：¥</w:t>
            </w:r>
          </w:p>
        </w:tc>
        <w:tc>
          <w:tcPr>
            <w:tcW w:w="2582" w:type="dxa"/>
            <w:tcBorders>
              <w:top w:val="single" w:color="000000" w:sz="4" w:space="0"/>
              <w:left w:val="single" w:color="000000" w:sz="4" w:space="0"/>
              <w:right w:val="single" w:color="000000" w:sz="4" w:space="0"/>
            </w:tcBorders>
            <w:vAlign w:val="center"/>
          </w:tcPr>
          <w:p>
            <w:pPr>
              <w:snapToGrid w:val="0"/>
              <w:spacing w:line="26" w:lineRule="atLeast"/>
              <w:jc w:val="center"/>
              <w:rPr>
                <w:rFonts w:asciiTheme="minorEastAsia" w:hAnsiTheme="minorEastAsia" w:eastAsiaTheme="minorEastAsia"/>
              </w:rPr>
            </w:pPr>
          </w:p>
        </w:tc>
        <w:tc>
          <w:tcPr>
            <w:tcW w:w="1275" w:type="dxa"/>
            <w:tcBorders>
              <w:top w:val="single" w:color="000000" w:sz="4" w:space="0"/>
              <w:left w:val="single" w:color="000000" w:sz="4" w:space="0"/>
              <w:right w:val="single" w:color="000000" w:sz="4" w:space="0"/>
            </w:tcBorders>
            <w:vAlign w:val="center"/>
          </w:tcPr>
          <w:p>
            <w:pPr>
              <w:jc w:val="center"/>
              <w:rPr>
                <w:rFonts w:cs="宋体" w:asciiTheme="minorEastAsia" w:hAnsiTheme="minorEastAsia" w:eastAsiaTheme="minorEastAsia"/>
                <w:sz w:val="24"/>
              </w:rPr>
            </w:pPr>
          </w:p>
        </w:tc>
      </w:tr>
    </w:tbl>
    <w:p>
      <w:pPr>
        <w:spacing w:line="380" w:lineRule="exact"/>
        <w:rPr>
          <w:rFonts w:asciiTheme="minorEastAsia" w:hAnsiTheme="minorEastAsia" w:eastAsiaTheme="minorEastAsia"/>
          <w:szCs w:val="21"/>
          <w:u w:val="single"/>
        </w:rPr>
      </w:pP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投标人（公章）：</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pPr>
        <w:spacing w:line="380" w:lineRule="exact"/>
        <w:rPr>
          <w:rFonts w:asciiTheme="minorEastAsia" w:hAnsiTheme="minorEastAsia" w:eastAsiaTheme="minorEastAsia"/>
          <w:szCs w:val="21"/>
        </w:rPr>
      </w:pPr>
    </w:p>
    <w:p>
      <w:pPr>
        <w:rPr>
          <w:rFonts w:asciiTheme="minorEastAsia" w:hAnsiTheme="minorEastAsia" w:eastAsiaTheme="minorEastAsia"/>
        </w:rPr>
      </w:pPr>
      <w:r>
        <w:rPr>
          <w:rFonts w:hint="eastAsia" w:asciiTheme="minorEastAsia" w:hAnsiTheme="minorEastAsia" w:eastAsiaTheme="minorEastAsia"/>
          <w:szCs w:val="21"/>
        </w:rPr>
        <w:t>日期：</w:t>
      </w:r>
    </w:p>
    <w:p>
      <w:pPr>
        <w:rPr>
          <w:rFonts w:asciiTheme="minorEastAsia" w:hAnsiTheme="minorEastAsia" w:eastAsiaTheme="minorEastAsia"/>
        </w:rPr>
      </w:pPr>
    </w:p>
    <w:p>
      <w:pPr>
        <w:rPr>
          <w:rFonts w:asciiTheme="minorEastAsia" w:hAnsiTheme="minorEastAsia" w:eastAsiaTheme="minorEastAsia"/>
        </w:rPr>
      </w:pPr>
    </w:p>
    <w:p>
      <w:pPr>
        <w:rPr>
          <w:rFonts w:asciiTheme="minorEastAsia" w:hAnsiTheme="minorEastAsia" w:eastAsiaTheme="minorEastAsia"/>
        </w:rPr>
      </w:pPr>
      <w:r>
        <w:rPr>
          <w:rFonts w:asciiTheme="minorEastAsia" w:hAnsiTheme="minorEastAsia" w:eastAsiaTheme="minorEastAsia"/>
        </w:rPr>
        <w:br w:type="page"/>
      </w:r>
    </w:p>
    <w:p>
      <w:pPr>
        <w:pStyle w:val="3"/>
        <w:spacing w:line="380" w:lineRule="exact"/>
        <w:rPr>
          <w:rFonts w:asciiTheme="minorEastAsia" w:hAnsiTheme="minorEastAsia" w:eastAsiaTheme="minorEastAsia"/>
          <w:bCs w:val="0"/>
          <w:sz w:val="28"/>
          <w:szCs w:val="28"/>
        </w:rPr>
      </w:pPr>
      <w:r>
        <w:rPr>
          <w:rFonts w:hint="eastAsia" w:asciiTheme="minorEastAsia" w:hAnsiTheme="minorEastAsia" w:eastAsiaTheme="minorEastAsia"/>
          <w:bCs w:val="0"/>
          <w:sz w:val="28"/>
          <w:szCs w:val="28"/>
        </w:rPr>
        <w:t>（三）投标分项报价表</w:t>
      </w:r>
    </w:p>
    <w:p>
      <w:pPr>
        <w:ind w:firstLine="3089"/>
        <w:rPr>
          <w:rFonts w:asciiTheme="minorEastAsia" w:hAnsiTheme="minorEastAsia" w:eastAsiaTheme="minorEastAsia"/>
          <w:b/>
          <w:sz w:val="28"/>
        </w:rPr>
      </w:pPr>
    </w:p>
    <w:tbl>
      <w:tblPr>
        <w:tblStyle w:val="42"/>
        <w:tblW w:w="9569" w:type="dxa"/>
        <w:jc w:val="center"/>
        <w:tblLayout w:type="autofit"/>
        <w:tblCellMar>
          <w:top w:w="0" w:type="dxa"/>
          <w:left w:w="108" w:type="dxa"/>
          <w:bottom w:w="0" w:type="dxa"/>
          <w:right w:w="108" w:type="dxa"/>
        </w:tblCellMar>
      </w:tblPr>
      <w:tblGrid>
        <w:gridCol w:w="737"/>
        <w:gridCol w:w="4209"/>
        <w:gridCol w:w="3402"/>
        <w:gridCol w:w="1221"/>
      </w:tblGrid>
      <w:tr>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序号</w:t>
            </w:r>
          </w:p>
        </w:tc>
        <w:tc>
          <w:tcPr>
            <w:tcW w:w="42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报价项目名称</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投标报价（单位：元）</w:t>
            </w:r>
          </w:p>
        </w:tc>
        <w:tc>
          <w:tcPr>
            <w:tcW w:w="12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备注</w:t>
            </w:r>
          </w:p>
        </w:tc>
      </w:tr>
      <w:tr>
        <w:tblPrEx>
          <w:tblCellMar>
            <w:top w:w="0" w:type="dxa"/>
            <w:left w:w="108" w:type="dxa"/>
            <w:bottom w:w="0" w:type="dxa"/>
            <w:right w:w="108" w:type="dxa"/>
          </w:tblCellMar>
        </w:tblPrEx>
        <w:trPr>
          <w:trHeight w:val="617"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1</w:t>
            </w:r>
          </w:p>
        </w:tc>
        <w:tc>
          <w:tcPr>
            <w:tcW w:w="42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2</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3</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4</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5</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88"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6</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7</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p>
        </w:tc>
        <w:tc>
          <w:tcPr>
            <w:tcW w:w="1221" w:type="dxa"/>
            <w:tcBorders>
              <w:top w:val="nil"/>
              <w:left w:val="nil"/>
              <w:bottom w:val="nil"/>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8</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9</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10</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nil"/>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11</w:t>
            </w:r>
          </w:p>
        </w:tc>
        <w:tc>
          <w:tcPr>
            <w:tcW w:w="4209"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nil"/>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737" w:type="dxa"/>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eastAsiaTheme="minorEastAsia"/>
                <w:sz w:val="24"/>
                <w:szCs w:val="24"/>
              </w:rPr>
              <w:t>12</w:t>
            </w:r>
          </w:p>
        </w:tc>
        <w:tc>
          <w:tcPr>
            <w:tcW w:w="4209"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r>
        <w:tblPrEx>
          <w:tblCellMar>
            <w:top w:w="0" w:type="dxa"/>
            <w:left w:w="108" w:type="dxa"/>
            <w:bottom w:w="0" w:type="dxa"/>
            <w:right w:w="108" w:type="dxa"/>
          </w:tblCellMar>
        </w:tblPrEx>
        <w:trPr>
          <w:trHeight w:val="513" w:hRule="atLeast"/>
          <w:jc w:val="center"/>
        </w:trPr>
        <w:tc>
          <w:tcPr>
            <w:tcW w:w="4946" w:type="dxa"/>
            <w:gridSpan w:val="2"/>
            <w:tcBorders>
              <w:top w:val="single" w:color="auto" w:sz="4" w:space="0"/>
              <w:left w:val="single" w:color="auto" w:sz="8" w:space="0"/>
              <w:bottom w:val="single" w:color="auto" w:sz="4" w:space="0"/>
              <w:right w:val="single" w:color="auto" w:sz="4" w:space="0"/>
            </w:tcBorders>
            <w:shd w:val="clear" w:color="auto" w:fill="auto"/>
            <w:noWrap/>
            <w:vAlign w:val="center"/>
          </w:tcPr>
          <w:p>
            <w:pPr>
              <w:jc w:val="center"/>
              <w:rPr>
                <w:rFonts w:cs="宋体" w:asciiTheme="minorEastAsia" w:hAnsiTheme="minorEastAsia" w:eastAsiaTheme="minorEastAsia"/>
                <w:sz w:val="24"/>
                <w:szCs w:val="24"/>
              </w:rPr>
            </w:pPr>
            <w:r>
              <w:rPr>
                <w:rFonts w:hint="eastAsia" w:cs="宋体" w:asciiTheme="minorEastAsia" w:hAnsiTheme="minorEastAsia" w:eastAsiaTheme="minorEastAsia"/>
                <w:sz w:val="24"/>
                <w:szCs w:val="24"/>
              </w:rPr>
              <w:t>合计</w:t>
            </w:r>
          </w:p>
        </w:tc>
        <w:tc>
          <w:tcPr>
            <w:tcW w:w="3402"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c>
          <w:tcPr>
            <w:tcW w:w="1221" w:type="dxa"/>
            <w:tcBorders>
              <w:top w:val="single" w:color="auto" w:sz="4" w:space="0"/>
              <w:left w:val="nil"/>
              <w:bottom w:val="single" w:color="auto" w:sz="4" w:space="0"/>
              <w:right w:val="single" w:color="auto" w:sz="4" w:space="0"/>
            </w:tcBorders>
            <w:shd w:val="clear" w:color="auto" w:fill="auto"/>
            <w:vAlign w:val="center"/>
          </w:tcPr>
          <w:p>
            <w:pPr>
              <w:jc w:val="center"/>
              <w:rPr>
                <w:rFonts w:cs="宋体" w:asciiTheme="minorEastAsia" w:hAnsiTheme="minorEastAsia" w:eastAsiaTheme="minorEastAsia"/>
                <w:sz w:val="24"/>
                <w:szCs w:val="24"/>
              </w:rPr>
            </w:pPr>
          </w:p>
        </w:tc>
      </w:tr>
    </w:tbl>
    <w:p>
      <w:pPr>
        <w:pStyle w:val="18"/>
        <w:rPr>
          <w:rFonts w:asciiTheme="minorEastAsia" w:hAnsiTheme="minorEastAsia" w:eastAsiaTheme="minorEastAsia"/>
          <w:sz w:val="21"/>
          <w:szCs w:val="21"/>
        </w:rPr>
      </w:pPr>
    </w:p>
    <w:p>
      <w:pPr>
        <w:pStyle w:val="18"/>
        <w:ind w:firstLine="0"/>
        <w:rPr>
          <w:rFonts w:asciiTheme="minorEastAsia" w:hAnsiTheme="minorEastAsia" w:eastAsiaTheme="minorEastAsia"/>
          <w:sz w:val="21"/>
          <w:szCs w:val="21"/>
        </w:rPr>
      </w:pPr>
      <w:r>
        <w:rPr>
          <w:rFonts w:hint="eastAsia" w:asciiTheme="minorEastAsia" w:hAnsiTheme="minorEastAsia" w:eastAsiaTheme="minorEastAsia"/>
          <w:sz w:val="21"/>
          <w:szCs w:val="21"/>
        </w:rPr>
        <w:t>注：</w:t>
      </w:r>
      <w:r>
        <w:rPr>
          <w:rFonts w:hint="eastAsia" w:eastAsiaTheme="minorEastAsia"/>
          <w:sz w:val="21"/>
          <w:szCs w:val="21"/>
        </w:rPr>
        <w:t>1</w:t>
      </w:r>
      <w:r>
        <w:rPr>
          <w:rFonts w:hint="eastAsia" w:asciiTheme="minorEastAsia" w:hAnsiTheme="minorEastAsia" w:eastAsiaTheme="minorEastAsia"/>
          <w:sz w:val="21"/>
          <w:szCs w:val="21"/>
        </w:rPr>
        <w:t>、本表中的“合计”应与“（一）投标函”及“（二）投标一览表”中的“投标总价”一致；</w:t>
      </w:r>
    </w:p>
    <w:p>
      <w:pPr>
        <w:pStyle w:val="18"/>
        <w:ind w:firstLine="0"/>
        <w:rPr>
          <w:rFonts w:asciiTheme="minorEastAsia" w:hAnsiTheme="minorEastAsia" w:eastAsiaTheme="minorEastAsia"/>
          <w:sz w:val="21"/>
          <w:szCs w:val="21"/>
        </w:rPr>
      </w:pPr>
      <w:r>
        <w:rPr>
          <w:rFonts w:hint="eastAsia" w:eastAsiaTheme="minorEastAsia"/>
          <w:sz w:val="21"/>
          <w:szCs w:val="21"/>
        </w:rPr>
        <w:t>2</w:t>
      </w:r>
      <w:r>
        <w:rPr>
          <w:rFonts w:hint="eastAsia" w:asciiTheme="minorEastAsia" w:hAnsiTheme="minorEastAsia" w:eastAsiaTheme="minorEastAsia"/>
          <w:sz w:val="21"/>
          <w:szCs w:val="21"/>
        </w:rPr>
        <w:t>、表格可自行扩展。</w:t>
      </w:r>
    </w:p>
    <w:p>
      <w:pPr>
        <w:pStyle w:val="18"/>
        <w:ind w:left="440"/>
        <w:rPr>
          <w:rFonts w:asciiTheme="minorEastAsia" w:hAnsiTheme="minorEastAsia" w:eastAsiaTheme="minorEastAsia"/>
          <w:szCs w:val="24"/>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投标人（公章）：</w:t>
      </w:r>
    </w:p>
    <w:p>
      <w:pPr>
        <w:spacing w:line="380" w:lineRule="exact"/>
        <w:rPr>
          <w:rFonts w:asciiTheme="minorEastAsia" w:hAnsiTheme="minorEastAsia" w:eastAsiaTheme="minorEastAsia"/>
          <w:szCs w:val="21"/>
        </w:rPr>
      </w:pPr>
    </w:p>
    <w:p>
      <w:pPr>
        <w:spacing w:line="380" w:lineRule="exact"/>
        <w:rPr>
          <w:rFonts w:asciiTheme="minorEastAsia" w:hAnsiTheme="minorEastAsia" w:eastAsiaTheme="minorEastAsia"/>
          <w:szCs w:val="21"/>
        </w:rPr>
      </w:pPr>
      <w:r>
        <w:rPr>
          <w:rFonts w:hint="eastAsia" w:asciiTheme="minorEastAsia" w:hAnsiTheme="minorEastAsia" w:eastAsiaTheme="minorEastAsia"/>
          <w:szCs w:val="21"/>
        </w:rPr>
        <w:t>投标人代表（签字或印章）：</w:t>
      </w:r>
    </w:p>
    <w:p>
      <w:pPr>
        <w:spacing w:line="380" w:lineRule="exact"/>
        <w:rPr>
          <w:rFonts w:asciiTheme="minorEastAsia" w:hAnsiTheme="minorEastAsia" w:eastAsiaTheme="minorEastAsia"/>
          <w:szCs w:val="21"/>
        </w:rPr>
      </w:pPr>
    </w:p>
    <w:p>
      <w:pPr>
        <w:rPr>
          <w:rFonts w:asciiTheme="minorEastAsia" w:hAnsiTheme="minorEastAsia" w:eastAsiaTheme="minorEastAsia"/>
        </w:rPr>
      </w:pPr>
      <w:r>
        <w:rPr>
          <w:rFonts w:hint="eastAsia" w:asciiTheme="minorEastAsia" w:hAnsiTheme="minorEastAsia" w:eastAsiaTheme="minorEastAsia"/>
          <w:szCs w:val="21"/>
        </w:rPr>
        <w:t>日期：</w:t>
      </w:r>
    </w:p>
    <w:p>
      <w:pPr>
        <w:pStyle w:val="18"/>
        <w:ind w:right="-315" w:firstLine="482"/>
        <w:jc w:val="center"/>
        <w:rPr>
          <w:rFonts w:asciiTheme="minorEastAsia" w:hAnsiTheme="minorEastAsia" w:eastAsiaTheme="minorEastAsia"/>
          <w:b/>
          <w:bCs/>
        </w:rPr>
      </w:pPr>
    </w:p>
    <w:p>
      <w:pPr>
        <w:rPr>
          <w:rFonts w:asciiTheme="minorEastAsia" w:hAnsiTheme="minorEastAsia" w:eastAsiaTheme="minorEastAsia"/>
        </w:rPr>
      </w:pPr>
      <w:r>
        <w:rPr>
          <w:rFonts w:asciiTheme="minorEastAsia" w:hAnsiTheme="minorEastAsia" w:eastAsiaTheme="minorEastAsia"/>
          <w:b/>
          <w:bCs/>
        </w:rPr>
        <w:br w:type="page"/>
      </w:r>
    </w:p>
    <w:p>
      <w:pPr>
        <w:pStyle w:val="3"/>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（四）中小企业声明函</w:t>
      </w:r>
    </w:p>
    <w:p>
      <w:pPr>
        <w:rPr>
          <w:rFonts w:asciiTheme="minorEastAsia" w:hAnsiTheme="minorEastAsia" w:eastAsiaTheme="minorEastAsia"/>
        </w:rPr>
      </w:pP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本公司（联合体）郑重声明，根据《政府采购促进中小企业发展管理办法》（财库[</w:t>
      </w:r>
      <w:r>
        <w:rPr>
          <w:rFonts w:hint="eastAsia" w:eastAsiaTheme="minorEastAsia"/>
          <w:spacing w:val="6"/>
          <w:szCs w:val="21"/>
        </w:rPr>
        <w:t>2020</w:t>
      </w:r>
      <w:r>
        <w:rPr>
          <w:rFonts w:hint="eastAsia" w:asciiTheme="minorEastAsia" w:hAnsiTheme="minorEastAsia" w:eastAsiaTheme="minorEastAsia"/>
          <w:spacing w:val="6"/>
          <w:szCs w:val="21"/>
        </w:rPr>
        <w:t>]</w:t>
      </w:r>
      <w:r>
        <w:rPr>
          <w:rFonts w:hint="eastAsia" w:eastAsiaTheme="minorEastAsia"/>
          <w:spacing w:val="6"/>
          <w:szCs w:val="21"/>
        </w:rPr>
        <w:t>46</w:t>
      </w:r>
      <w:r>
        <w:rPr>
          <w:rFonts w:hint="eastAsia" w:asciiTheme="minorEastAsia" w:hAnsiTheme="minorEastAsia" w:eastAsiaTheme="minorEastAsia"/>
          <w:spacing w:val="6"/>
          <w:szCs w:val="21"/>
        </w:rPr>
        <w:t>号）的规定，本公司（联合体）参加</w:t>
      </w:r>
      <w:r>
        <w:rPr>
          <w:rFonts w:hint="eastAsia" w:asciiTheme="minorEastAsia" w:hAnsiTheme="minorEastAsia" w:eastAsiaTheme="minorEastAsia"/>
          <w:i/>
          <w:spacing w:val="6"/>
          <w:szCs w:val="21"/>
          <w:u w:val="single"/>
        </w:rPr>
        <w:t>（单位名称）</w:t>
      </w:r>
      <w:r>
        <w:rPr>
          <w:rFonts w:hint="eastAsia" w:asciiTheme="minorEastAsia" w:hAnsiTheme="minorEastAsia" w:eastAsiaTheme="minorEastAsia"/>
          <w:spacing w:val="6"/>
          <w:szCs w:val="21"/>
        </w:rPr>
        <w:t>的</w:t>
      </w:r>
      <w:r>
        <w:rPr>
          <w:rFonts w:hint="eastAsia" w:asciiTheme="minorEastAsia" w:hAnsiTheme="minorEastAsia" w:eastAsiaTheme="minorEastAsia"/>
          <w:i/>
          <w:spacing w:val="6"/>
          <w:szCs w:val="21"/>
          <w:u w:val="single"/>
        </w:rPr>
        <w:t>（项目名称）</w:t>
      </w:r>
      <w:r>
        <w:rPr>
          <w:rFonts w:hint="eastAsia" w:asciiTheme="minorEastAsia" w:hAnsiTheme="minorEastAsia" w:eastAsiaTheme="minorEastAsia"/>
          <w:spacing w:val="6"/>
          <w:szCs w:val="21"/>
        </w:rPr>
        <w:t>采购活动，工程的施工单位全部为符合政策要求的中小企业（或者：服务全部由符合政策要求的中小企业承接）。相关企业（含联合体中的中小企业、签订分包意向协议的中小企业）的具体情况如下：</w:t>
      </w:r>
    </w:p>
    <w:p>
      <w:pPr>
        <w:spacing w:line="360" w:lineRule="auto"/>
        <w:ind w:firstLine="444" w:firstLineChars="200"/>
        <w:rPr>
          <w:rFonts w:asciiTheme="minorEastAsia" w:hAnsiTheme="minorEastAsia" w:eastAsiaTheme="minorEastAsia"/>
          <w:spacing w:val="6"/>
          <w:szCs w:val="21"/>
          <w:u w:val="single"/>
        </w:rPr>
      </w:pPr>
      <w:r>
        <w:rPr>
          <w:rFonts w:hint="eastAsia" w:eastAsiaTheme="minorEastAsia"/>
          <w:spacing w:val="6"/>
          <w:szCs w:val="21"/>
        </w:rPr>
        <w:t>1</w:t>
      </w:r>
      <w:r>
        <w:rPr>
          <w:rFonts w:hint="eastAsia" w:asciiTheme="minorEastAsia" w:hAnsiTheme="minorEastAsia" w:eastAsiaTheme="minorEastAsia"/>
          <w:spacing w:val="6"/>
          <w:szCs w:val="21"/>
        </w:rPr>
        <w:t>.</w:t>
      </w:r>
      <w:r>
        <w:rPr>
          <w:rFonts w:hint="eastAsia" w:asciiTheme="minorEastAsia" w:hAnsiTheme="minorEastAsia" w:eastAsiaTheme="minorEastAsia"/>
          <w:spacing w:val="6"/>
          <w:szCs w:val="21"/>
          <w:u w:val="single"/>
        </w:rPr>
        <w:t>（标的名称）</w:t>
      </w:r>
      <w:r>
        <w:rPr>
          <w:rFonts w:hint="eastAsia" w:asciiTheme="minorEastAsia" w:hAnsiTheme="minorEastAsia" w:eastAsiaTheme="minorEastAsia"/>
          <w:spacing w:val="6"/>
          <w:szCs w:val="21"/>
        </w:rPr>
        <w:t>，属于</w:t>
      </w:r>
      <w:r>
        <w:rPr>
          <w:rFonts w:hint="eastAsia" w:asciiTheme="minorEastAsia" w:hAnsiTheme="minorEastAsia" w:eastAsiaTheme="minorEastAsia"/>
          <w:i/>
          <w:spacing w:val="6"/>
          <w:szCs w:val="21"/>
          <w:u w:val="single"/>
        </w:rPr>
        <w:t>（采购文件中明确的所属行业）行业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u w:val="single"/>
        </w:rPr>
      </w:pPr>
      <w:r>
        <w:rPr>
          <w:rFonts w:hint="eastAsia" w:eastAsiaTheme="minorEastAsia"/>
          <w:spacing w:val="6"/>
          <w:szCs w:val="21"/>
        </w:rPr>
        <w:t>2</w:t>
      </w:r>
      <w:r>
        <w:rPr>
          <w:rFonts w:hint="eastAsia" w:asciiTheme="minorEastAsia" w:hAnsiTheme="minorEastAsia" w:eastAsiaTheme="minorEastAsia"/>
          <w:spacing w:val="6"/>
          <w:szCs w:val="21"/>
        </w:rPr>
        <w:t>.</w:t>
      </w:r>
      <w:r>
        <w:rPr>
          <w:rFonts w:hint="eastAsia" w:asciiTheme="minorEastAsia" w:hAnsiTheme="minorEastAsia" w:eastAsiaTheme="minorEastAsia"/>
          <w:spacing w:val="6"/>
          <w:szCs w:val="21"/>
          <w:u w:val="single"/>
        </w:rPr>
        <w:t>（标的名称）</w:t>
      </w:r>
      <w:r>
        <w:rPr>
          <w:rFonts w:hint="eastAsia" w:asciiTheme="minorEastAsia" w:hAnsiTheme="minorEastAsia" w:eastAsiaTheme="minorEastAsia"/>
          <w:spacing w:val="6"/>
          <w:szCs w:val="21"/>
        </w:rPr>
        <w:t>，属于</w:t>
      </w:r>
      <w:r>
        <w:rPr>
          <w:rFonts w:hint="eastAsia" w:asciiTheme="minorEastAsia" w:hAnsiTheme="minorEastAsia" w:eastAsiaTheme="minorEastAsia"/>
          <w:i/>
          <w:spacing w:val="6"/>
          <w:szCs w:val="21"/>
          <w:u w:val="single"/>
        </w:rPr>
        <w:t>（采购文件中明确的所属行业）行业</w:t>
      </w:r>
      <w:r>
        <w:rPr>
          <w:rFonts w:hint="eastAsia" w:asciiTheme="minorEastAsia" w:hAnsiTheme="minorEastAsia" w:eastAsiaTheme="minorEastAsia"/>
          <w:spacing w:val="6"/>
          <w:szCs w:val="21"/>
        </w:rPr>
        <w:t>；承建（承接）企业为</w:t>
      </w:r>
      <w:r>
        <w:rPr>
          <w:rFonts w:hint="eastAsia" w:asciiTheme="minorEastAsia" w:hAnsiTheme="minorEastAsia" w:eastAsiaTheme="minorEastAsia"/>
          <w:i/>
          <w:spacing w:val="6"/>
          <w:szCs w:val="21"/>
          <w:u w:val="single"/>
        </w:rPr>
        <w:t>（企业名称）</w:t>
      </w:r>
      <w:r>
        <w:rPr>
          <w:rFonts w:hint="eastAsia" w:asciiTheme="minorEastAsia" w:hAnsiTheme="minorEastAsia" w:eastAsiaTheme="minorEastAsia"/>
          <w:spacing w:val="6"/>
          <w:szCs w:val="21"/>
        </w:rPr>
        <w:t>，从业人员人，营业收入为万元，资产总额为万元，属于</w:t>
      </w:r>
      <w:r>
        <w:rPr>
          <w:rFonts w:hint="eastAsia" w:asciiTheme="minorEastAsia" w:hAnsiTheme="minorEastAsia" w:eastAsiaTheme="minorEastAsia"/>
          <w:i/>
          <w:spacing w:val="6"/>
          <w:szCs w:val="21"/>
          <w:u w:val="single"/>
        </w:rPr>
        <w:t>（中型企业、小型企业、微型企业）</w:t>
      </w: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以上企业，不属于大企业的分支机构，不存在控股股东为大企业的情形，也不存在与大企业的负责人为同一人的情形。</w:t>
      </w:r>
    </w:p>
    <w:p>
      <w:pPr>
        <w:spacing w:line="360" w:lineRule="auto"/>
        <w:ind w:firstLine="444" w:firstLineChars="200"/>
        <w:rPr>
          <w:rFonts w:asciiTheme="minorEastAsia" w:hAnsiTheme="minorEastAsia" w:eastAsiaTheme="minorEastAsia"/>
          <w:spacing w:val="6"/>
          <w:szCs w:val="21"/>
        </w:rPr>
      </w:pPr>
      <w:r>
        <w:rPr>
          <w:rFonts w:hint="eastAsia" w:asciiTheme="minorEastAsia" w:hAnsiTheme="minorEastAsia" w:eastAsiaTheme="minorEastAsia"/>
          <w:spacing w:val="6"/>
          <w:szCs w:val="21"/>
        </w:rPr>
        <w:t>本企业对上述声明内容的真实性负责。如有虚假，将依法承担相应责任。</w:t>
      </w:r>
    </w:p>
    <w:p>
      <w:pPr>
        <w:tabs>
          <w:tab w:val="left" w:pos="4860"/>
        </w:tabs>
        <w:spacing w:line="360" w:lineRule="auto"/>
        <w:ind w:right="-58" w:firstLine="999" w:firstLineChars="450"/>
        <w:rPr>
          <w:rFonts w:asciiTheme="minorEastAsia" w:hAnsiTheme="minorEastAsia" w:eastAsiaTheme="minorEastAsia"/>
          <w:spacing w:val="6"/>
          <w:szCs w:val="21"/>
        </w:rPr>
      </w:pP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企业名称（盖章）：</w:t>
      </w:r>
    </w:p>
    <w:p>
      <w:pPr>
        <w:tabs>
          <w:tab w:val="left" w:pos="4860"/>
        </w:tabs>
        <w:spacing w:line="360" w:lineRule="auto"/>
        <w:ind w:right="-58" w:firstLine="4773" w:firstLineChars="2150"/>
        <w:rPr>
          <w:rFonts w:asciiTheme="minorEastAsia" w:hAnsiTheme="minorEastAsia" w:eastAsiaTheme="minorEastAsia"/>
          <w:spacing w:val="6"/>
          <w:szCs w:val="21"/>
        </w:rPr>
      </w:pPr>
      <w:r>
        <w:rPr>
          <w:rFonts w:hint="eastAsia" w:asciiTheme="minorEastAsia" w:hAnsiTheme="minorEastAsia" w:eastAsiaTheme="minorEastAsia"/>
          <w:spacing w:val="6"/>
          <w:szCs w:val="21"/>
        </w:rPr>
        <w:t>日期：</w:t>
      </w: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p>
    <w:p>
      <w:pPr>
        <w:spacing w:line="360" w:lineRule="auto"/>
        <w:ind w:left="2" w:leftChars="1" w:right="46"/>
        <w:rPr>
          <w:rFonts w:asciiTheme="minorEastAsia" w:hAnsiTheme="minorEastAsia" w:eastAsiaTheme="minorEastAsia"/>
          <w:spacing w:val="6"/>
          <w:szCs w:val="21"/>
        </w:rPr>
      </w:pPr>
      <w:r>
        <w:rPr>
          <w:rFonts w:hint="eastAsia" w:asciiTheme="minorEastAsia" w:hAnsiTheme="minorEastAsia" w:eastAsiaTheme="minorEastAsia"/>
          <w:spacing w:val="6"/>
          <w:szCs w:val="21"/>
        </w:rPr>
        <w:t>注：从业人员、营业收入、资产总额填报上一年度数据，无上一年度数据的新成立企业可不填报。</w:t>
      </w:r>
    </w:p>
    <w:p>
      <w:pPr>
        <w:tabs>
          <w:tab w:val="left" w:pos="4860"/>
        </w:tabs>
        <w:spacing w:line="360" w:lineRule="auto"/>
        <w:ind w:left="222" w:right="46" w:hanging="222" w:hangingChars="100"/>
        <w:rPr>
          <w:rFonts w:asciiTheme="minorEastAsia" w:hAnsiTheme="minorEastAsia" w:eastAsiaTheme="minorEastAsia"/>
          <w:spacing w:val="6"/>
          <w:szCs w:val="21"/>
        </w:rPr>
      </w:pPr>
    </w:p>
    <w:p>
      <w:pPr>
        <w:rPr>
          <w:rFonts w:asciiTheme="minorEastAsia" w:hAnsiTheme="minorEastAsia" w:eastAsiaTheme="minorEastAsia"/>
          <w:b/>
          <w:spacing w:val="6"/>
          <w:sz w:val="28"/>
          <w:szCs w:val="28"/>
        </w:rPr>
        <w:sectPr>
          <w:pgSz w:w="11907" w:h="16840"/>
          <w:pgMar w:top="1304" w:right="1588" w:bottom="1304" w:left="1588" w:header="720" w:footer="720" w:gutter="0"/>
          <w:cols w:space="720" w:num="1"/>
          <w:docGrid w:linePitch="285" w:charSpace="0"/>
        </w:sectPr>
      </w:pPr>
    </w:p>
    <w:p>
      <w:pPr>
        <w:rPr>
          <w:rFonts w:asciiTheme="minorEastAsia" w:hAnsiTheme="minorEastAsia" w:eastAsiaTheme="minorEastAsia"/>
          <w:b/>
          <w:spacing w:val="6"/>
          <w:sz w:val="28"/>
          <w:szCs w:val="28"/>
        </w:rPr>
      </w:pPr>
    </w:p>
    <w:p>
      <w:pPr>
        <w:jc w:val="center"/>
        <w:rPr>
          <w:rStyle w:val="150"/>
          <w:rFonts w:hint="default" w:asciiTheme="minorEastAsia" w:hAnsiTheme="minorEastAsia" w:eastAsiaTheme="minorEastAsia"/>
          <w:color w:val="auto"/>
          <w:sz w:val="28"/>
          <w:szCs w:val="28"/>
        </w:rPr>
      </w:pPr>
      <w:r>
        <w:rPr>
          <w:rFonts w:hint="eastAsia" w:cs="宋体" w:asciiTheme="minorEastAsia" w:hAnsiTheme="minorEastAsia" w:eastAsiaTheme="minorEastAsia"/>
          <w:b/>
          <w:kern w:val="0"/>
          <w:sz w:val="28"/>
          <w:szCs w:val="28"/>
        </w:rPr>
        <w:t>中小微行业划型标准规定</w:t>
      </w:r>
      <w:r>
        <w:rPr>
          <w:rStyle w:val="150"/>
          <w:rFonts w:hint="default" w:asciiTheme="minorEastAsia" w:hAnsiTheme="minorEastAsia" w:eastAsiaTheme="minorEastAsia"/>
          <w:color w:val="auto"/>
          <w:sz w:val="28"/>
          <w:szCs w:val="28"/>
        </w:rPr>
        <w:t>（根据工信部联企业〔</w:t>
      </w:r>
      <w:r>
        <w:rPr>
          <w:rStyle w:val="150"/>
          <w:rFonts w:hint="default" w:ascii="Times New Roman" w:hAnsi="Times New Roman" w:eastAsiaTheme="minorEastAsia"/>
          <w:color w:val="auto"/>
          <w:sz w:val="28"/>
          <w:szCs w:val="28"/>
        </w:rPr>
        <w:t>2011</w:t>
      </w:r>
      <w:r>
        <w:rPr>
          <w:rStyle w:val="150"/>
          <w:rFonts w:hint="default" w:asciiTheme="minorEastAsia" w:hAnsiTheme="minorEastAsia" w:eastAsiaTheme="minorEastAsia"/>
          <w:color w:val="auto"/>
          <w:sz w:val="28"/>
          <w:szCs w:val="28"/>
        </w:rPr>
        <w:t>〕</w:t>
      </w:r>
      <w:r>
        <w:rPr>
          <w:rStyle w:val="150"/>
          <w:rFonts w:hint="default" w:ascii="Times New Roman" w:hAnsi="Times New Roman" w:eastAsiaTheme="minorEastAsia"/>
          <w:color w:val="auto"/>
          <w:sz w:val="28"/>
          <w:szCs w:val="28"/>
        </w:rPr>
        <w:t>300</w:t>
      </w:r>
      <w:r>
        <w:rPr>
          <w:rStyle w:val="150"/>
          <w:rFonts w:hint="default" w:asciiTheme="minorEastAsia" w:hAnsiTheme="minorEastAsia" w:eastAsiaTheme="minorEastAsia"/>
          <w:color w:val="auto"/>
          <w:sz w:val="28"/>
          <w:szCs w:val="28"/>
        </w:rPr>
        <w:t>号制定）</w:t>
      </w:r>
    </w:p>
    <w:tbl>
      <w:tblPr>
        <w:tblStyle w:val="42"/>
        <w:tblW w:w="15008" w:type="dxa"/>
        <w:tblInd w:w="0" w:type="dxa"/>
        <w:tblLayout w:type="fixed"/>
        <w:tblCellMar>
          <w:top w:w="15" w:type="dxa"/>
          <w:left w:w="15" w:type="dxa"/>
          <w:bottom w:w="15" w:type="dxa"/>
          <w:right w:w="15" w:type="dxa"/>
        </w:tblCellMar>
      </w:tblPr>
      <w:tblGrid>
        <w:gridCol w:w="2153"/>
        <w:gridCol w:w="1320"/>
        <w:gridCol w:w="1560"/>
        <w:gridCol w:w="1500"/>
        <w:gridCol w:w="1320"/>
        <w:gridCol w:w="1500"/>
        <w:gridCol w:w="1406"/>
        <w:gridCol w:w="1264"/>
        <w:gridCol w:w="1470"/>
        <w:gridCol w:w="1515"/>
      </w:tblGrid>
      <w:tr>
        <w:tblPrEx>
          <w:tblCellMar>
            <w:top w:w="15" w:type="dxa"/>
            <w:left w:w="15" w:type="dxa"/>
            <w:bottom w:w="15" w:type="dxa"/>
            <w:right w:w="15" w:type="dxa"/>
          </w:tblCellMar>
        </w:tblPrEx>
        <w:trPr>
          <w:trHeight w:val="90" w:hRule="atLeast"/>
        </w:trPr>
        <w:tc>
          <w:tcPr>
            <w:tcW w:w="2153" w:type="dxa"/>
            <w:vMerge w:val="restart"/>
            <w:tcBorders>
              <w:top w:val="single" w:color="000000" w:sz="12" w:space="0"/>
              <w:left w:val="single" w:color="000000" w:sz="12" w:space="0"/>
              <w:bottom w:val="single" w:color="000000" w:sz="4" w:space="0"/>
              <w:right w:val="single" w:color="000000" w:sz="12" w:space="0"/>
            </w:tcBorders>
            <w:vAlign w:val="center"/>
          </w:tcPr>
          <w:p>
            <w:pPr>
              <w:widowControl/>
              <w:jc w:val="center"/>
              <w:textAlignment w:val="center"/>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行业</w:t>
            </w:r>
          </w:p>
        </w:tc>
        <w:tc>
          <w:tcPr>
            <w:tcW w:w="4380"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中型企业</w:t>
            </w:r>
          </w:p>
        </w:tc>
        <w:tc>
          <w:tcPr>
            <w:tcW w:w="4226"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小型企业</w:t>
            </w:r>
          </w:p>
        </w:tc>
        <w:tc>
          <w:tcPr>
            <w:tcW w:w="4249" w:type="dxa"/>
            <w:gridSpan w:val="3"/>
            <w:tcBorders>
              <w:top w:val="single" w:color="000000" w:sz="12" w:space="0"/>
              <w:left w:val="single" w:color="000000" w:sz="12" w:space="0"/>
              <w:bottom w:val="single" w:color="000000" w:sz="4" w:space="0"/>
              <w:right w:val="single" w:color="000000" w:sz="12" w:space="0"/>
            </w:tcBorders>
            <w:vAlign w:val="bottom"/>
          </w:tcPr>
          <w:p>
            <w:pPr>
              <w:widowControl/>
              <w:jc w:val="center"/>
              <w:textAlignment w:val="bottom"/>
              <w:rPr>
                <w:rFonts w:cs="宋体" w:asciiTheme="minorEastAsia" w:hAnsiTheme="minorEastAsia" w:eastAsiaTheme="minorEastAsia"/>
                <w:b/>
                <w:sz w:val="18"/>
                <w:szCs w:val="18"/>
              </w:rPr>
            </w:pPr>
            <w:r>
              <w:rPr>
                <w:rFonts w:hint="eastAsia" w:cs="宋体" w:asciiTheme="minorEastAsia" w:hAnsiTheme="minorEastAsia" w:eastAsiaTheme="minorEastAsia"/>
                <w:b/>
                <w:kern w:val="0"/>
                <w:sz w:val="18"/>
                <w:szCs w:val="18"/>
              </w:rPr>
              <w:t>微型企业</w:t>
            </w:r>
          </w:p>
        </w:tc>
      </w:tr>
      <w:tr>
        <w:tblPrEx>
          <w:tblCellMar>
            <w:top w:w="15" w:type="dxa"/>
            <w:left w:w="15" w:type="dxa"/>
            <w:bottom w:w="15" w:type="dxa"/>
            <w:right w:w="15" w:type="dxa"/>
          </w:tblCellMar>
        </w:tblPrEx>
        <w:trPr>
          <w:trHeight w:val="374" w:hRule="atLeast"/>
        </w:trPr>
        <w:tc>
          <w:tcPr>
            <w:tcW w:w="2153" w:type="dxa"/>
            <w:vMerge w:val="continue"/>
            <w:tcBorders>
              <w:top w:val="single" w:color="000000" w:sz="12" w:space="0"/>
              <w:left w:val="single" w:color="000000" w:sz="12" w:space="0"/>
              <w:bottom w:val="single" w:color="000000" w:sz="4" w:space="0"/>
              <w:right w:val="single" w:color="000000" w:sz="12" w:space="0"/>
            </w:tcBorders>
            <w:vAlign w:val="center"/>
          </w:tcPr>
          <w:p>
            <w:pPr>
              <w:jc w:val="center"/>
              <w:rPr>
                <w:rFonts w:cs="宋体" w:asciiTheme="minorEastAsia" w:hAnsiTheme="minorEastAsia" w:eastAsiaTheme="minorEastAsia"/>
                <w:b/>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（人）</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营业收入 </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（万元）</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 xml:space="preserve">资产总额 </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（万元）</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（人）</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（万元）</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（万元）</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从业人员</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（人）</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营业收入</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（万元）</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asciiTheme="minorEastAsia" w:hAnsiTheme="minorEastAsia" w:eastAsiaTheme="minorEastAsia"/>
                <w:kern w:val="0"/>
                <w:sz w:val="18"/>
                <w:szCs w:val="18"/>
              </w:rPr>
              <w:t>资产总额</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（万元）</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w:t>
            </w:r>
            <w:r>
              <w:rPr>
                <w:rFonts w:hint="eastAsia" w:cs="宋体" w:asciiTheme="minorEastAsia" w:hAnsiTheme="minorEastAsia" w:eastAsiaTheme="minorEastAsia"/>
                <w:kern w:val="0"/>
                <w:sz w:val="18"/>
                <w:szCs w:val="18"/>
              </w:rPr>
              <w:t>、农林牧渔业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w:t>
            </w:r>
            <w:r>
              <w:rPr>
                <w:rFonts w:hint="eastAsia" w:cs="宋体" w:asciiTheme="minorEastAsia" w:hAnsiTheme="minorEastAsia" w:eastAsiaTheme="minorEastAsia"/>
                <w:kern w:val="0"/>
                <w:sz w:val="18"/>
                <w:szCs w:val="18"/>
              </w:rPr>
              <w:t>、工业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w:t>
            </w:r>
            <w:r>
              <w:rPr>
                <w:rFonts w:hint="eastAsia" w:cs="宋体" w:asciiTheme="minorEastAsia" w:hAnsiTheme="minorEastAsia" w:eastAsiaTheme="minorEastAsia"/>
                <w:kern w:val="0"/>
                <w:sz w:val="18"/>
                <w:szCs w:val="18"/>
              </w:rPr>
              <w:t>、建筑业</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6000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80000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80000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6000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4</w:t>
            </w:r>
            <w:r>
              <w:rPr>
                <w:rFonts w:hint="eastAsia" w:cs="宋体" w:asciiTheme="minorEastAsia" w:hAnsiTheme="minorEastAsia" w:eastAsiaTheme="minorEastAsia"/>
                <w:kern w:val="0"/>
                <w:sz w:val="18"/>
                <w:szCs w:val="18"/>
              </w:rPr>
              <w:t>、批发业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40000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w:t>
            </w:r>
            <w:r>
              <w:rPr>
                <w:rFonts w:hint="eastAsia" w:cs="宋体" w:asciiTheme="minorEastAsia" w:hAnsiTheme="minorEastAsia" w:eastAsiaTheme="minorEastAsia"/>
                <w:kern w:val="0"/>
                <w:sz w:val="18"/>
                <w:szCs w:val="18"/>
              </w:rPr>
              <w:t>、零售业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6</w:t>
            </w:r>
            <w:r>
              <w:rPr>
                <w:rFonts w:hint="eastAsia" w:cs="宋体" w:asciiTheme="minorEastAsia" w:hAnsiTheme="minorEastAsia" w:eastAsiaTheme="minorEastAsia"/>
                <w:kern w:val="0"/>
                <w:sz w:val="18"/>
                <w:szCs w:val="18"/>
              </w:rPr>
              <w:t>、交通运输业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V</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7</w:t>
            </w:r>
            <w:r>
              <w:rPr>
                <w:rFonts w:hint="eastAsia" w:cs="宋体" w:asciiTheme="minorEastAsia" w:hAnsiTheme="minorEastAsia" w:eastAsiaTheme="minorEastAsia"/>
                <w:kern w:val="0"/>
                <w:sz w:val="18"/>
                <w:szCs w:val="18"/>
              </w:rPr>
              <w:t>、仓储业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8</w:t>
            </w:r>
            <w:r>
              <w:rPr>
                <w:rFonts w:hint="eastAsia" w:cs="宋体" w:asciiTheme="minorEastAsia" w:hAnsiTheme="minorEastAsia" w:eastAsiaTheme="minorEastAsia"/>
                <w:kern w:val="0"/>
                <w:sz w:val="18"/>
                <w:szCs w:val="18"/>
              </w:rPr>
              <w:t>、邮政业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9</w:t>
            </w:r>
            <w:r>
              <w:rPr>
                <w:rFonts w:hint="eastAsia" w:cs="宋体" w:asciiTheme="minorEastAsia" w:hAnsiTheme="minorEastAsia" w:eastAsiaTheme="minorEastAsia"/>
                <w:kern w:val="0"/>
                <w:sz w:val="18"/>
                <w:szCs w:val="18"/>
              </w:rPr>
              <w:t>、住宿业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、餐饮业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V</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11</w:t>
            </w:r>
            <w:r>
              <w:rPr>
                <w:rFonts w:hint="eastAsia" w:cs="宋体" w:asciiTheme="minorEastAsia" w:hAnsiTheme="minorEastAsia" w:eastAsiaTheme="minorEastAsia"/>
                <w:kern w:val="0"/>
                <w:sz w:val="18"/>
                <w:szCs w:val="18"/>
              </w:rPr>
              <w:t>、信息传输业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12</w:t>
            </w:r>
            <w:r>
              <w:rPr>
                <w:rFonts w:hint="eastAsia" w:cs="宋体" w:asciiTheme="minorEastAsia" w:hAnsiTheme="minorEastAsia" w:eastAsiaTheme="minorEastAsia"/>
                <w:kern w:val="0"/>
                <w:sz w:val="18"/>
                <w:szCs w:val="18"/>
              </w:rPr>
              <w:t>、软件和信息技术服务业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13</w:t>
            </w:r>
            <w:r>
              <w:rPr>
                <w:rFonts w:hint="eastAsia" w:cs="宋体" w:asciiTheme="minorEastAsia" w:hAnsiTheme="minorEastAsia" w:eastAsiaTheme="minorEastAsia"/>
                <w:kern w:val="0"/>
                <w:sz w:val="18"/>
                <w:szCs w:val="18"/>
              </w:rPr>
              <w:t>、房地产开发经营</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200000</w:t>
            </w: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10000</w:t>
            </w:r>
          </w:p>
        </w:tc>
        <w:tc>
          <w:tcPr>
            <w:tcW w:w="1320"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2000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5000</w:t>
            </w:r>
          </w:p>
        </w:tc>
        <w:tc>
          <w:tcPr>
            <w:tcW w:w="1264" w:type="dxa"/>
            <w:tcBorders>
              <w:top w:val="single" w:color="000000" w:sz="4" w:space="0"/>
              <w:left w:val="single" w:color="000000" w:sz="12"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2000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14</w:t>
            </w:r>
            <w:r>
              <w:rPr>
                <w:rFonts w:hint="eastAsia" w:cs="宋体" w:asciiTheme="minorEastAsia" w:hAnsiTheme="minorEastAsia" w:eastAsiaTheme="minorEastAsia"/>
                <w:kern w:val="0"/>
                <w:sz w:val="18"/>
                <w:szCs w:val="18"/>
              </w:rPr>
              <w:t>、物业管理</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300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56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5000</w:t>
            </w:r>
          </w:p>
        </w:tc>
        <w:tc>
          <w:tcPr>
            <w:tcW w:w="1500"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0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500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1000</w:t>
            </w:r>
          </w:p>
        </w:tc>
        <w:tc>
          <w:tcPr>
            <w:tcW w:w="1406"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470" w:type="dxa"/>
            <w:tcBorders>
              <w:top w:val="single" w:color="000000" w:sz="4" w:space="0"/>
              <w:left w:val="single" w:color="000000" w:sz="4"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Y</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500</w:t>
            </w:r>
          </w:p>
        </w:tc>
        <w:tc>
          <w:tcPr>
            <w:tcW w:w="1515" w:type="dxa"/>
            <w:tcBorders>
              <w:top w:val="single" w:color="000000" w:sz="4" w:space="0"/>
              <w:left w:val="single" w:color="000000" w:sz="4" w:space="0"/>
              <w:bottom w:val="single" w:color="000000" w:sz="4" w:space="0"/>
              <w:right w:val="single" w:color="000000" w:sz="12" w:space="0"/>
            </w:tcBorders>
            <w:vAlign w:val="bottom"/>
          </w:tcPr>
          <w:p>
            <w:pPr>
              <w:rPr>
                <w:rFonts w:cs="宋体" w:asciiTheme="minorEastAsia" w:hAnsiTheme="minorEastAsia" w:eastAsiaTheme="minorEastAsia"/>
                <w:sz w:val="18"/>
                <w:szCs w:val="18"/>
              </w:rPr>
            </w:pP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15</w:t>
            </w:r>
            <w:r>
              <w:rPr>
                <w:rFonts w:hint="eastAsia" w:cs="宋体" w:asciiTheme="minorEastAsia" w:hAnsiTheme="minorEastAsia" w:eastAsiaTheme="minorEastAsia"/>
                <w:kern w:val="0"/>
                <w:sz w:val="18"/>
                <w:szCs w:val="18"/>
              </w:rPr>
              <w:t>、租赁和商务服务业</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8000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120000</w:t>
            </w:r>
          </w:p>
        </w:tc>
        <w:tc>
          <w:tcPr>
            <w:tcW w:w="1320"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8000</w:t>
            </w:r>
          </w:p>
        </w:tc>
        <w:tc>
          <w:tcPr>
            <w:tcW w:w="1264" w:type="dxa"/>
            <w:tcBorders>
              <w:top w:val="single" w:color="000000" w:sz="4" w:space="0"/>
              <w:left w:val="single" w:color="000000" w:sz="12" w:space="0"/>
              <w:bottom w:val="single" w:color="000000" w:sz="4"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4"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4"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Z</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r>
      <w:tr>
        <w:tblPrEx>
          <w:tblCellMar>
            <w:top w:w="15" w:type="dxa"/>
            <w:left w:w="15" w:type="dxa"/>
            <w:bottom w:w="15" w:type="dxa"/>
            <w:right w:w="15" w:type="dxa"/>
          </w:tblCellMar>
        </w:tblPrEx>
        <w:trPr>
          <w:trHeight w:val="306" w:hRule="atLeast"/>
        </w:trPr>
        <w:tc>
          <w:tcPr>
            <w:tcW w:w="2153" w:type="dxa"/>
            <w:tcBorders>
              <w:top w:val="single" w:color="000000" w:sz="4" w:space="0"/>
              <w:left w:val="single" w:color="000000" w:sz="12" w:space="0"/>
              <w:bottom w:val="single" w:color="000000" w:sz="12" w:space="0"/>
              <w:right w:val="single" w:color="000000" w:sz="12"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16</w:t>
            </w:r>
            <w:r>
              <w:rPr>
                <w:rFonts w:hint="eastAsia" w:cs="宋体" w:asciiTheme="minorEastAsia" w:hAnsiTheme="minorEastAsia" w:eastAsiaTheme="minorEastAsia"/>
                <w:kern w:val="0"/>
                <w:sz w:val="18"/>
                <w:szCs w:val="18"/>
              </w:rPr>
              <w:t>、其他未列明行业</w:t>
            </w: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300</w:t>
            </w:r>
          </w:p>
        </w:tc>
        <w:tc>
          <w:tcPr>
            <w:tcW w:w="156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00"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320"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10</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100</w:t>
            </w:r>
          </w:p>
        </w:tc>
        <w:tc>
          <w:tcPr>
            <w:tcW w:w="150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406"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c>
          <w:tcPr>
            <w:tcW w:w="1264" w:type="dxa"/>
            <w:tcBorders>
              <w:top w:val="single" w:color="000000" w:sz="4" w:space="0"/>
              <w:left w:val="single" w:color="000000" w:sz="12" w:space="0"/>
              <w:bottom w:val="single" w:color="000000" w:sz="12" w:space="0"/>
              <w:right w:val="single" w:color="000000" w:sz="4" w:space="0"/>
            </w:tcBorders>
            <w:vAlign w:val="bottom"/>
          </w:tcPr>
          <w:p>
            <w:pPr>
              <w:widowControl/>
              <w:jc w:val="left"/>
              <w:textAlignment w:val="bottom"/>
              <w:rPr>
                <w:rFonts w:cs="宋体" w:asciiTheme="minorEastAsia" w:hAnsiTheme="minorEastAsia" w:eastAsiaTheme="minorEastAsia"/>
                <w:sz w:val="18"/>
                <w:szCs w:val="18"/>
              </w:rPr>
            </w:pPr>
            <w:r>
              <w:rPr>
                <w:rFonts w:hint="eastAsia" w:cs="宋体" w:eastAsiaTheme="minorEastAsia"/>
                <w:kern w:val="0"/>
                <w:sz w:val="18"/>
                <w:szCs w:val="18"/>
              </w:rPr>
              <w:t>X</w:t>
            </w:r>
            <w:r>
              <w:rPr>
                <w:rFonts w:hint="eastAsia" w:cs="宋体" w:asciiTheme="minorEastAsia" w:hAnsiTheme="minorEastAsia" w:eastAsiaTheme="minorEastAsia"/>
                <w:kern w:val="0"/>
                <w:sz w:val="18"/>
                <w:szCs w:val="18"/>
              </w:rPr>
              <w:t>＜</w:t>
            </w:r>
            <w:r>
              <w:rPr>
                <w:rFonts w:hint="eastAsia" w:cs="宋体" w:eastAsiaTheme="minorEastAsia"/>
                <w:kern w:val="0"/>
                <w:sz w:val="18"/>
                <w:szCs w:val="18"/>
              </w:rPr>
              <w:t>10</w:t>
            </w:r>
          </w:p>
        </w:tc>
        <w:tc>
          <w:tcPr>
            <w:tcW w:w="1470" w:type="dxa"/>
            <w:tcBorders>
              <w:top w:val="single" w:color="000000" w:sz="4" w:space="0"/>
              <w:left w:val="single" w:color="000000" w:sz="4" w:space="0"/>
              <w:bottom w:val="single" w:color="000000" w:sz="12" w:space="0"/>
              <w:right w:val="single" w:color="000000" w:sz="4" w:space="0"/>
            </w:tcBorders>
            <w:vAlign w:val="bottom"/>
          </w:tcPr>
          <w:p>
            <w:pPr>
              <w:rPr>
                <w:rFonts w:cs="宋体" w:asciiTheme="minorEastAsia" w:hAnsiTheme="minorEastAsia" w:eastAsiaTheme="minorEastAsia"/>
                <w:sz w:val="18"/>
                <w:szCs w:val="18"/>
              </w:rPr>
            </w:pPr>
          </w:p>
        </w:tc>
        <w:tc>
          <w:tcPr>
            <w:tcW w:w="1515" w:type="dxa"/>
            <w:tcBorders>
              <w:top w:val="single" w:color="000000" w:sz="4" w:space="0"/>
              <w:left w:val="single" w:color="000000" w:sz="4" w:space="0"/>
              <w:bottom w:val="single" w:color="000000" w:sz="12" w:space="0"/>
              <w:right w:val="single" w:color="000000" w:sz="12" w:space="0"/>
            </w:tcBorders>
            <w:vAlign w:val="bottom"/>
          </w:tcPr>
          <w:p>
            <w:pPr>
              <w:rPr>
                <w:rFonts w:cs="宋体" w:asciiTheme="minorEastAsia" w:hAnsiTheme="minorEastAsia" w:eastAsiaTheme="minorEastAsia"/>
                <w:sz w:val="18"/>
                <w:szCs w:val="18"/>
              </w:rPr>
            </w:pPr>
          </w:p>
        </w:tc>
      </w:tr>
    </w:tbl>
    <w:p>
      <w:pPr>
        <w:rPr>
          <w:rFonts w:asciiTheme="minorEastAsia" w:hAnsiTheme="minorEastAsia" w:eastAsiaTheme="minorEastAsia"/>
          <w:sz w:val="28"/>
          <w:szCs w:val="28"/>
        </w:rPr>
      </w:pPr>
      <w:r>
        <w:rPr>
          <w:rFonts w:hint="eastAsia" w:cs="宋体" w:asciiTheme="minorEastAsia" w:hAnsiTheme="minorEastAsia" w:eastAsiaTheme="minorEastAsia"/>
          <w:kern w:val="0"/>
          <w:sz w:val="18"/>
          <w:szCs w:val="18"/>
        </w:rPr>
        <w:t>说明　</w:t>
      </w:r>
      <w:r>
        <w:rPr>
          <w:rFonts w:hint="eastAsia" w:cs="宋体" w:eastAsiaTheme="minorEastAsia"/>
          <w:kern w:val="0"/>
          <w:sz w:val="18"/>
          <w:szCs w:val="18"/>
        </w:rPr>
        <w:t>1</w:t>
      </w:r>
      <w:r>
        <w:rPr>
          <w:rFonts w:hint="eastAsia" w:cs="宋体" w:asciiTheme="minorEastAsia" w:hAnsiTheme="minorEastAsia" w:eastAsiaTheme="minorEastAsia"/>
          <w:kern w:val="0"/>
          <w:sz w:val="18"/>
          <w:szCs w:val="18"/>
        </w:rPr>
        <w:t>、企业类型的划分以统计部门的统计数据为依据。</w:t>
      </w:r>
      <w:r>
        <w:rPr>
          <w:rFonts w:hint="eastAsia" w:cs="宋体" w:eastAsiaTheme="minorEastAsia"/>
          <w:kern w:val="0"/>
          <w:sz w:val="18"/>
          <w:szCs w:val="18"/>
        </w:rPr>
        <w:t>2</w:t>
      </w:r>
      <w:r>
        <w:rPr>
          <w:rFonts w:hint="eastAsia" w:cs="宋体" w:asciiTheme="minorEastAsia" w:hAnsiTheme="minorEastAsia" w:eastAsiaTheme="minorEastAsia"/>
          <w:kern w:val="0"/>
          <w:sz w:val="18"/>
          <w:szCs w:val="18"/>
        </w:rPr>
        <w:t>、个体工商户和本规定以外的行业，参照本规定进行划型。</w:t>
      </w:r>
      <w:r>
        <w:rPr>
          <w:rFonts w:hint="eastAsia" w:cs="宋体" w:eastAsiaTheme="minorEastAsia"/>
          <w:kern w:val="0"/>
          <w:sz w:val="18"/>
          <w:szCs w:val="18"/>
        </w:rPr>
        <w:t>3</w:t>
      </w:r>
      <w:r>
        <w:rPr>
          <w:rFonts w:hint="eastAsia" w:cs="宋体" w:asciiTheme="minorEastAsia" w:hAnsiTheme="minorEastAsia" w:eastAsiaTheme="minorEastAsia"/>
          <w:kern w:val="0"/>
          <w:sz w:val="18"/>
          <w:szCs w:val="18"/>
        </w:rPr>
        <w:t>、本规定的中型企业标准上限即为大型企业标准的下限。</w:t>
      </w:r>
    </w:p>
    <w:p>
      <w:pPr>
        <w:pStyle w:val="4"/>
        <w:spacing w:line="380" w:lineRule="exact"/>
        <w:rPr>
          <w:rFonts w:asciiTheme="minorEastAsia" w:hAnsiTheme="minorEastAsia" w:eastAsiaTheme="minorEastAsia"/>
          <w:sz w:val="28"/>
          <w:szCs w:val="28"/>
        </w:rPr>
        <w:sectPr>
          <w:pgSz w:w="16840" w:h="11907" w:orient="landscape"/>
          <w:pgMar w:top="1588" w:right="1304" w:bottom="1588" w:left="1304" w:header="720" w:footer="720" w:gutter="0"/>
          <w:cols w:space="720" w:num="1"/>
          <w:docGrid w:linePitch="285" w:charSpace="0"/>
        </w:sectPr>
      </w:pPr>
    </w:p>
    <w:p>
      <w:pPr>
        <w:spacing w:line="360" w:lineRule="auto"/>
        <w:ind w:firstLine="480"/>
        <w:rPr>
          <w:rFonts w:asciiTheme="minorEastAsia" w:hAnsiTheme="minorEastAsia" w:eastAsiaTheme="minorEastAsia"/>
          <w:sz w:val="24"/>
          <w:szCs w:val="24"/>
        </w:rPr>
      </w:pPr>
    </w:p>
    <w:p>
      <w:pPr>
        <w:pStyle w:val="3"/>
        <w:spacing w:line="380" w:lineRule="exact"/>
        <w:rPr>
          <w:sz w:val="24"/>
          <w:szCs w:val="24"/>
        </w:rPr>
      </w:pPr>
      <w:r>
        <w:rPr>
          <w:rFonts w:hint="eastAsia" w:asciiTheme="minorEastAsia" w:hAnsiTheme="minorEastAsia" w:eastAsiaTheme="minorEastAsia"/>
          <w:sz w:val="24"/>
          <w:szCs w:val="24"/>
        </w:rPr>
        <w:t>（五）</w:t>
      </w:r>
      <w:r>
        <w:rPr>
          <w:rFonts w:hint="eastAsia"/>
          <w:sz w:val="24"/>
          <w:szCs w:val="24"/>
        </w:rPr>
        <w:t>监狱企业声明函</w:t>
      </w:r>
    </w:p>
    <w:p>
      <w:pPr>
        <w:ind w:firstLine="3360" w:firstLineChars="1600"/>
        <w:jc w:val="left"/>
        <w:rPr>
          <w:rFonts w:ascii="宋体" w:hAnsi="宋体" w:cs="宋体"/>
          <w:szCs w:val="21"/>
        </w:rPr>
      </w:pPr>
      <w:r>
        <w:rPr>
          <w:rFonts w:hint="eastAsia" w:ascii="宋体" w:hAnsi="宋体" w:cs="宋体"/>
          <w:szCs w:val="21"/>
        </w:rPr>
        <w:t>【非监狱企业不用提供】</w:t>
      </w:r>
    </w:p>
    <w:p>
      <w:pPr>
        <w:spacing w:line="360" w:lineRule="auto"/>
        <w:ind w:firstLine="525" w:firstLineChars="250"/>
        <w:rPr>
          <w:rFonts w:ascii="宋体" w:hAnsi="宋体" w:cs="宋体"/>
          <w:szCs w:val="21"/>
        </w:rPr>
      </w:pPr>
    </w:p>
    <w:p>
      <w:pPr>
        <w:spacing w:line="360" w:lineRule="auto"/>
        <w:ind w:firstLine="525" w:firstLineChars="250"/>
        <w:rPr>
          <w:rFonts w:ascii="宋体" w:hAnsi="宋体" w:cs="宋体"/>
          <w:szCs w:val="21"/>
        </w:rPr>
      </w:pPr>
      <w:r>
        <w:rPr>
          <w:rFonts w:hint="eastAsia" w:ascii="宋体" w:hAnsi="宋体" w:cs="宋体"/>
          <w:szCs w:val="21"/>
        </w:rPr>
        <w:t>监狱企业参加政府采购活动时，本企业郑重声明，根据《关于政府采购支持监狱企业发展有关问题的通知》（财库[</w:t>
      </w:r>
      <w:r>
        <w:rPr>
          <w:rFonts w:hint="eastAsia" w:cs="宋体"/>
          <w:szCs w:val="21"/>
        </w:rPr>
        <w:t>2014</w:t>
      </w:r>
      <w:r>
        <w:rPr>
          <w:rFonts w:hint="eastAsia" w:ascii="宋体" w:hAnsi="宋体" w:cs="宋体"/>
          <w:szCs w:val="21"/>
        </w:rPr>
        <w:t>]</w:t>
      </w:r>
      <w:r>
        <w:rPr>
          <w:rFonts w:hint="eastAsia" w:cs="宋体"/>
          <w:szCs w:val="21"/>
        </w:rPr>
        <w:t>68</w:t>
      </w:r>
      <w:r>
        <w:rPr>
          <w:rFonts w:hint="eastAsia" w:ascii="宋体" w:hAnsi="宋体" w:cs="宋体"/>
          <w:szCs w:val="21"/>
        </w:rPr>
        <w:t>号）的规定，本企业为监狱企业。</w:t>
      </w:r>
    </w:p>
    <w:p>
      <w:pPr>
        <w:spacing w:line="360" w:lineRule="auto"/>
        <w:ind w:firstLine="480"/>
        <w:rPr>
          <w:rFonts w:ascii="宋体" w:hAnsi="宋体" w:cs="宋体"/>
          <w:szCs w:val="21"/>
        </w:rPr>
      </w:pPr>
      <w:r>
        <w:rPr>
          <w:rFonts w:hint="eastAsia" w:ascii="宋体" w:hAnsi="宋体" w:cs="宋体"/>
          <w:szCs w:val="21"/>
        </w:rPr>
        <w:t>根据上述标准，我企业属于监狱企业的理由为：。</w:t>
      </w:r>
    </w:p>
    <w:p>
      <w:pPr>
        <w:spacing w:line="360" w:lineRule="auto"/>
        <w:ind w:firstLine="480"/>
        <w:rPr>
          <w:rFonts w:ascii="宋体" w:hAnsi="宋体" w:cs="宋体"/>
          <w:szCs w:val="21"/>
        </w:rPr>
      </w:pPr>
      <w:r>
        <w:rPr>
          <w:rFonts w:hint="eastAsia" w:ascii="宋体" w:hAnsi="宋体" w:cs="宋体"/>
          <w:szCs w:val="21"/>
        </w:rPr>
        <w:t>本企业为参加（项目名称：）（项目编号：）采购活动提供本企业的产品。</w:t>
      </w:r>
    </w:p>
    <w:p>
      <w:pPr>
        <w:spacing w:line="360" w:lineRule="auto"/>
        <w:ind w:firstLine="480"/>
        <w:rPr>
          <w:rFonts w:ascii="宋体" w:hAnsi="宋体" w:cs="宋体"/>
          <w:szCs w:val="21"/>
        </w:rPr>
      </w:pPr>
      <w:r>
        <w:rPr>
          <w:rFonts w:hint="eastAsia" w:ascii="宋体" w:hAnsi="宋体" w:cs="宋体"/>
          <w:szCs w:val="21"/>
        </w:rPr>
        <w:t>本企业对上述声明的真实性负责。如有虚假，将依法承担相应责任。</w:t>
      </w:r>
    </w:p>
    <w:p>
      <w:pPr>
        <w:spacing w:line="360" w:lineRule="auto"/>
        <w:ind w:firstLine="480"/>
        <w:rPr>
          <w:rFonts w:ascii="宋体" w:hAnsi="宋体" w:cs="宋体"/>
          <w:szCs w:val="21"/>
        </w:rPr>
      </w:pPr>
    </w:p>
    <w:p>
      <w:pPr>
        <w:spacing w:line="360" w:lineRule="auto"/>
        <w:ind w:firstLine="480"/>
        <w:rPr>
          <w:rFonts w:ascii="宋体" w:hAnsi="宋体" w:cs="宋体"/>
          <w:szCs w:val="21"/>
        </w:rPr>
      </w:pPr>
      <w:r>
        <w:rPr>
          <w:rFonts w:hint="eastAsia" w:ascii="宋体" w:hAnsi="宋体" w:cs="宋体"/>
          <w:szCs w:val="21"/>
        </w:rPr>
        <w:t>供应商名称（盖公章）：</w:t>
      </w:r>
    </w:p>
    <w:p>
      <w:pPr>
        <w:spacing w:line="360" w:lineRule="auto"/>
        <w:ind w:firstLine="480"/>
        <w:rPr>
          <w:rFonts w:ascii="宋体" w:hAnsi="宋体" w:cs="宋体"/>
          <w:szCs w:val="21"/>
        </w:rPr>
      </w:pPr>
      <w:r>
        <w:rPr>
          <w:rFonts w:hint="eastAsia" w:ascii="宋体" w:hAnsi="宋体" w:cs="宋体"/>
          <w:szCs w:val="21"/>
        </w:rPr>
        <w:t xml:space="preserve">日期： </w:t>
      </w:r>
      <w:r>
        <w:rPr>
          <w:rFonts w:ascii="宋体" w:hAnsi="宋体" w:cs="宋体"/>
          <w:szCs w:val="21"/>
        </w:rPr>
        <w:t xml:space="preserve">  </w:t>
      </w:r>
      <w:r>
        <w:rPr>
          <w:rFonts w:hint="eastAsia" w:ascii="宋体" w:hAnsi="宋体" w:cs="宋体"/>
          <w:szCs w:val="21"/>
        </w:rPr>
        <w:t xml:space="preserve">年 </w:t>
      </w:r>
      <w:r>
        <w:rPr>
          <w:rFonts w:ascii="宋体" w:hAnsi="宋体" w:cs="宋体"/>
          <w:szCs w:val="21"/>
        </w:rPr>
        <w:t xml:space="preserve"> </w:t>
      </w:r>
      <w:r>
        <w:rPr>
          <w:rFonts w:hint="eastAsia" w:ascii="宋体" w:hAnsi="宋体" w:cs="宋体"/>
          <w:szCs w:val="21"/>
        </w:rPr>
        <w:t xml:space="preserve">月 </w:t>
      </w:r>
      <w:r>
        <w:rPr>
          <w:rFonts w:ascii="宋体" w:hAnsi="宋体" w:cs="宋体"/>
          <w:szCs w:val="21"/>
        </w:rPr>
        <w:t xml:space="preserve"> </w:t>
      </w:r>
      <w:r>
        <w:rPr>
          <w:rFonts w:hint="eastAsia" w:ascii="宋体" w:hAnsi="宋体" w:cs="宋体"/>
          <w:szCs w:val="21"/>
        </w:rPr>
        <w:t>日</w:t>
      </w:r>
    </w:p>
    <w:p>
      <w:pPr>
        <w:spacing w:line="360" w:lineRule="auto"/>
        <w:ind w:firstLine="480"/>
        <w:rPr>
          <w:rFonts w:ascii="宋体" w:hAnsi="宋体" w:cs="宋体"/>
          <w:szCs w:val="21"/>
        </w:rPr>
      </w:pPr>
    </w:p>
    <w:p>
      <w:pPr>
        <w:spacing w:line="360" w:lineRule="auto"/>
        <w:ind w:firstLine="480"/>
        <w:rPr>
          <w:rFonts w:ascii="宋体" w:hAnsi="宋体" w:cs="宋体"/>
          <w:szCs w:val="21"/>
        </w:rPr>
      </w:pPr>
    </w:p>
    <w:p>
      <w:pPr>
        <w:spacing w:line="360" w:lineRule="auto"/>
        <w:ind w:firstLine="480"/>
        <w:rPr>
          <w:rFonts w:ascii="宋体" w:hAnsi="宋体" w:cs="宋体"/>
          <w:szCs w:val="21"/>
        </w:rPr>
      </w:pPr>
      <w:r>
        <w:rPr>
          <w:rFonts w:hint="eastAsia" w:ascii="宋体" w:hAnsi="宋体" w:cs="宋体"/>
          <w:szCs w:val="21"/>
        </w:rPr>
        <w:t>供应商为监狱企业的提供此函。</w:t>
      </w:r>
    </w:p>
    <w:p>
      <w:pPr>
        <w:widowControl/>
        <w:jc w:val="left"/>
        <w:rPr>
          <w:rFonts w:ascii="宋体" w:hAnsi="宋体" w:cs="宋体"/>
          <w:szCs w:val="21"/>
        </w:rPr>
      </w:pPr>
      <w:r>
        <w:rPr>
          <w:rFonts w:ascii="宋体" w:hAnsi="宋体" w:cs="宋体"/>
          <w:szCs w:val="21"/>
        </w:rPr>
        <w:br w:type="page"/>
      </w:r>
    </w:p>
    <w:p>
      <w:pPr>
        <w:spacing w:line="360" w:lineRule="auto"/>
        <w:ind w:firstLine="480"/>
        <w:rPr>
          <w:rFonts w:ascii="宋体" w:hAnsi="宋体" w:cs="宋体"/>
          <w:szCs w:val="21"/>
        </w:rPr>
      </w:pPr>
    </w:p>
    <w:p>
      <w:pPr>
        <w:pStyle w:val="3"/>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（六）残疾人福利性单位声明函（如有需提供）</w:t>
      </w:r>
    </w:p>
    <w:p>
      <w:pPr>
        <w:ind w:firstLine="420" w:firstLineChars="200"/>
        <w:rPr>
          <w:rFonts w:asciiTheme="minorEastAsia" w:hAnsiTheme="minorEastAsia" w:eastAsiaTheme="minorEastAsia"/>
          <w:szCs w:val="21"/>
        </w:rPr>
      </w:pPr>
    </w:p>
    <w:p>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本单位郑重声明，根据《财政部民政部中国残疾人联合会关于促进残疾人就业政府采购政策的通知》（财库〔</w:t>
      </w:r>
      <w:r>
        <w:rPr>
          <w:rFonts w:hint="eastAsia" w:eastAsiaTheme="minorEastAsia"/>
          <w:szCs w:val="21"/>
        </w:rPr>
        <w:t>2017</w:t>
      </w:r>
      <w:r>
        <w:rPr>
          <w:rFonts w:hint="eastAsia" w:asciiTheme="minorEastAsia" w:hAnsiTheme="minorEastAsia" w:eastAsiaTheme="minorEastAsia"/>
          <w:szCs w:val="21"/>
        </w:rPr>
        <w:t>〕</w:t>
      </w:r>
      <w:r>
        <w:rPr>
          <w:rFonts w:hint="eastAsia" w:eastAsiaTheme="minorEastAsia"/>
          <w:szCs w:val="21"/>
        </w:rPr>
        <w:t>141</w:t>
      </w:r>
      <w:r>
        <w:rPr>
          <w:rFonts w:hint="eastAsia" w:asciiTheme="minorEastAsia" w:hAnsiTheme="minorEastAsia" w:eastAsiaTheme="minorEastAsia"/>
          <w:szCs w:val="21"/>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588" w:lineRule="exact"/>
        <w:ind w:firstLine="420" w:firstLineChars="200"/>
        <w:rPr>
          <w:rFonts w:asciiTheme="minorEastAsia" w:hAnsiTheme="minorEastAsia" w:eastAsiaTheme="minorEastAsia"/>
          <w:szCs w:val="21"/>
        </w:rPr>
      </w:pPr>
      <w:r>
        <w:rPr>
          <w:rFonts w:hint="eastAsia" w:asciiTheme="minorEastAsia" w:hAnsiTheme="minorEastAsia" w:eastAsiaTheme="minorEastAsia"/>
          <w:szCs w:val="21"/>
        </w:rPr>
        <w:t>本单位对上述声明的真实性负责。如有虚假，将依法承担相应责任。</w:t>
      </w:r>
    </w:p>
    <w:p>
      <w:pPr>
        <w:tabs>
          <w:tab w:val="left" w:pos="4860"/>
        </w:tabs>
        <w:spacing w:line="588" w:lineRule="exact"/>
        <w:ind w:right="1560" w:firstLine="420" w:firstLineChars="200"/>
        <w:jc w:val="center"/>
        <w:rPr>
          <w:rFonts w:asciiTheme="minorEastAsia" w:hAnsiTheme="minorEastAsia" w:eastAsiaTheme="minorEastAsia"/>
          <w:szCs w:val="21"/>
        </w:rPr>
      </w:pPr>
    </w:p>
    <w:p>
      <w:pPr>
        <w:tabs>
          <w:tab w:val="left" w:pos="4860"/>
        </w:tabs>
        <w:spacing w:line="588" w:lineRule="exact"/>
        <w:ind w:right="1560" w:firstLine="420" w:firstLineChars="200"/>
        <w:jc w:val="center"/>
        <w:rPr>
          <w:rFonts w:asciiTheme="minorEastAsia" w:hAnsiTheme="minorEastAsia" w:eastAsiaTheme="minorEastAsia"/>
          <w:szCs w:val="21"/>
        </w:rPr>
      </w:pPr>
      <w:r>
        <w:rPr>
          <w:rFonts w:hint="eastAsia" w:asciiTheme="minorEastAsia" w:hAnsiTheme="minorEastAsia" w:eastAsiaTheme="minorEastAsia"/>
          <w:szCs w:val="21"/>
        </w:rPr>
        <w:t>单位名称（盖章）：</w:t>
      </w:r>
    </w:p>
    <w:p>
      <w:pPr>
        <w:spacing w:line="380" w:lineRule="exact"/>
        <w:ind w:firstLine="3360" w:firstLineChars="1600"/>
        <w:rPr>
          <w:rFonts w:asciiTheme="minorEastAsia" w:hAnsiTheme="minorEastAsia" w:eastAsiaTheme="minorEastAsia"/>
          <w:szCs w:val="21"/>
        </w:rPr>
      </w:pPr>
      <w:r>
        <w:rPr>
          <w:rFonts w:hint="eastAsia" w:asciiTheme="minorEastAsia" w:hAnsiTheme="minorEastAsia" w:eastAsiaTheme="minorEastAsia"/>
          <w:szCs w:val="21"/>
        </w:rPr>
        <w:t>日期：</w:t>
      </w:r>
    </w:p>
    <w:p>
      <w:pPr>
        <w:spacing w:line="400" w:lineRule="exact"/>
        <w:ind w:firstLine="422" w:firstLineChars="200"/>
        <w:rPr>
          <w:rFonts w:asciiTheme="minorEastAsia" w:hAnsiTheme="minorEastAsia" w:eastAsiaTheme="minorEastAsia"/>
          <w:b/>
          <w:szCs w:val="21"/>
        </w:rPr>
      </w:pP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注：</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享受政府采购支持政策的残疾人福利性单位应当同时满足以下条件：</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（一）安置的残疾人占本单位在职职工人数的比例不低于</w:t>
      </w:r>
      <w:r>
        <w:rPr>
          <w:rFonts w:eastAsiaTheme="minorEastAsia"/>
          <w:b/>
          <w:szCs w:val="21"/>
        </w:rPr>
        <w:t>25</w:t>
      </w:r>
      <w:r>
        <w:rPr>
          <w:rFonts w:asciiTheme="minorEastAsia" w:hAnsiTheme="minorEastAsia" w:eastAsiaTheme="minorEastAsia"/>
          <w:b/>
          <w:szCs w:val="21"/>
        </w:rPr>
        <w:t>%</w:t>
      </w:r>
      <w:r>
        <w:rPr>
          <w:rFonts w:hint="eastAsia" w:asciiTheme="minorEastAsia" w:hAnsiTheme="minorEastAsia" w:eastAsiaTheme="minorEastAsia"/>
          <w:b/>
          <w:szCs w:val="21"/>
        </w:rPr>
        <w:t>（含</w:t>
      </w:r>
      <w:r>
        <w:rPr>
          <w:rFonts w:eastAsiaTheme="minorEastAsia"/>
          <w:b/>
          <w:szCs w:val="21"/>
        </w:rPr>
        <w:t>25</w:t>
      </w:r>
      <w:r>
        <w:rPr>
          <w:rFonts w:asciiTheme="minorEastAsia" w:hAnsiTheme="minorEastAsia" w:eastAsiaTheme="minorEastAsia"/>
          <w:b/>
          <w:szCs w:val="21"/>
        </w:rPr>
        <w:t>%</w:t>
      </w:r>
      <w:r>
        <w:rPr>
          <w:rFonts w:hint="eastAsia" w:asciiTheme="minorEastAsia" w:hAnsiTheme="minorEastAsia" w:eastAsiaTheme="minorEastAsia"/>
          <w:b/>
          <w:szCs w:val="21"/>
        </w:rPr>
        <w:t>），并且安置的残疾人人数不少于</w:t>
      </w:r>
      <w:r>
        <w:rPr>
          <w:rFonts w:eastAsiaTheme="minorEastAsia"/>
          <w:b/>
          <w:szCs w:val="21"/>
        </w:rPr>
        <w:t>10</w:t>
      </w:r>
      <w:r>
        <w:rPr>
          <w:rFonts w:hint="eastAsia" w:asciiTheme="minorEastAsia" w:hAnsiTheme="minorEastAsia" w:eastAsiaTheme="minorEastAsia"/>
          <w:b/>
          <w:szCs w:val="21"/>
        </w:rPr>
        <w:t>人（含</w:t>
      </w:r>
      <w:r>
        <w:rPr>
          <w:rFonts w:eastAsiaTheme="minorEastAsia"/>
          <w:b/>
          <w:szCs w:val="21"/>
        </w:rPr>
        <w:t>10</w:t>
      </w:r>
      <w:r>
        <w:rPr>
          <w:rFonts w:hint="eastAsia" w:asciiTheme="minorEastAsia" w:hAnsiTheme="minorEastAsia" w:eastAsiaTheme="minorEastAsia"/>
          <w:b/>
          <w:szCs w:val="21"/>
        </w:rPr>
        <w:t>人）；</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（二）依法与安置的每位残疾人签订了一年以上（含一年）的劳动合同或服务协议；</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（三）为安置的每位残疾人按月足额缴纳了基本养老保险、基本医疗保险、失业保险、工伤保险和生育保险等社会保险费；</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（四）通过银行等金融机构向安置的每位残疾人，按月支付了不低于单位所在区县适用的经省级人民政府批准的月最低工资标准的工资；</w:t>
      </w:r>
    </w:p>
    <w:p>
      <w:pPr>
        <w:spacing w:line="400" w:lineRule="exact"/>
        <w:ind w:firstLine="422" w:firstLineChars="200"/>
        <w:rPr>
          <w:rFonts w:asciiTheme="minorEastAsia" w:hAnsiTheme="minorEastAsia" w:eastAsiaTheme="minorEastAsia"/>
          <w:b/>
          <w:szCs w:val="21"/>
        </w:rPr>
      </w:pPr>
      <w:r>
        <w:rPr>
          <w:rFonts w:hint="eastAsia" w:asciiTheme="minorEastAsia" w:hAnsiTheme="minorEastAsia" w:eastAsiaTheme="minorEastAsia"/>
          <w:b/>
          <w:szCs w:val="21"/>
        </w:rPr>
        <w:t>（五）提供本单位制造的货物、承担的工程或者服务（以下简称产品），或者提供其他残疾人福利性单位制造的货物（不包括使用非残疾人福利性单位注册商标的货物）。</w:t>
      </w:r>
    </w:p>
    <w:p>
      <w:pPr>
        <w:spacing w:line="380" w:lineRule="exact"/>
        <w:rPr>
          <w:rFonts w:asciiTheme="minorEastAsia" w:hAnsiTheme="minorEastAsia" w:eastAsiaTheme="minorEastAsia"/>
          <w:szCs w:val="21"/>
        </w:rPr>
      </w:pPr>
      <w:r>
        <w:rPr>
          <w:rFonts w:hint="eastAsia" w:asciiTheme="minorEastAsia" w:hAnsiTheme="minorEastAsia" w:eastAsiaTheme="minorEastAsia"/>
          <w:b/>
          <w:szCs w:val="21"/>
        </w:rPr>
        <w:t>前款所称残疾人是指法定劳动年龄内，持有《中华人民共和国残疾人证》或者《中华人民共和国残疾军人证（</w:t>
      </w:r>
      <w:r>
        <w:rPr>
          <w:rFonts w:eastAsiaTheme="minorEastAsia"/>
          <w:b/>
          <w:szCs w:val="21"/>
        </w:rPr>
        <w:t>1</w:t>
      </w:r>
      <w:r>
        <w:rPr>
          <w:rFonts w:hint="eastAsia" w:asciiTheme="minorEastAsia" w:hAnsiTheme="minorEastAsia" w:eastAsiaTheme="minorEastAsia"/>
          <w:b/>
          <w:szCs w:val="21"/>
        </w:rPr>
        <w:t>至</w:t>
      </w:r>
      <w:r>
        <w:rPr>
          <w:rFonts w:eastAsiaTheme="minorEastAsia"/>
          <w:b/>
          <w:szCs w:val="21"/>
        </w:rPr>
        <w:t>8</w:t>
      </w:r>
      <w:r>
        <w:rPr>
          <w:rFonts w:hint="eastAsia" w:asciiTheme="minorEastAsia" w:hAnsiTheme="minorEastAsia" w:eastAsiaTheme="minorEastAsia"/>
          <w:b/>
          <w:szCs w:val="21"/>
        </w:rPr>
        <w:t>级）》的自然人，包括具有劳动条件和劳动意愿的精神残疾人。在职职工人数是指与残疾人福利性单位建立劳动关系并依法签订劳动合同或者服务协议的雇员人数。</w:t>
      </w:r>
    </w:p>
    <w:p>
      <w:pPr>
        <w:widowControl/>
        <w:jc w:val="left"/>
        <w:rPr>
          <w:rFonts w:asciiTheme="minorEastAsia" w:hAnsiTheme="minorEastAsia" w:eastAsiaTheme="minorEastAsia"/>
          <w:b/>
          <w:sz w:val="24"/>
          <w:szCs w:val="24"/>
        </w:rPr>
      </w:pPr>
    </w:p>
    <w:p>
      <w:pPr>
        <w:spacing w:line="400" w:lineRule="exact"/>
        <w:ind w:firstLine="422" w:firstLineChars="200"/>
        <w:rPr>
          <w:rFonts w:asciiTheme="minorEastAsia" w:hAnsiTheme="minorEastAsia" w:eastAsiaTheme="minorEastAsia"/>
          <w:b/>
          <w:szCs w:val="21"/>
        </w:rPr>
      </w:pPr>
    </w:p>
    <w:p>
      <w:pPr>
        <w:spacing w:line="400" w:lineRule="exact"/>
        <w:ind w:firstLine="422" w:firstLineChars="200"/>
        <w:rPr>
          <w:rFonts w:asciiTheme="minorEastAsia" w:hAnsiTheme="minorEastAsia" w:eastAsiaTheme="minorEastAsia"/>
          <w:b/>
          <w:szCs w:val="21"/>
        </w:rPr>
      </w:pPr>
    </w:p>
    <w:p>
      <w:pPr>
        <w:spacing w:line="400" w:lineRule="exact"/>
        <w:ind w:firstLine="422" w:firstLineChars="200"/>
        <w:rPr>
          <w:rFonts w:asciiTheme="minorEastAsia" w:hAnsiTheme="minorEastAsia" w:eastAsiaTheme="minorEastAsia"/>
          <w:b/>
          <w:szCs w:val="21"/>
        </w:rPr>
      </w:pPr>
    </w:p>
    <w:p>
      <w:pPr>
        <w:pStyle w:val="202"/>
        <w:ind w:firstLine="480"/>
      </w:pPr>
    </w:p>
    <w:p/>
    <w:p>
      <w:pPr>
        <w:spacing w:line="400" w:lineRule="exact"/>
        <w:ind w:firstLine="422" w:firstLineChars="200"/>
        <w:rPr>
          <w:rFonts w:asciiTheme="minorEastAsia" w:hAnsiTheme="minorEastAsia" w:eastAsiaTheme="minorEastAsia"/>
          <w:b/>
          <w:szCs w:val="21"/>
        </w:rPr>
      </w:pPr>
    </w:p>
    <w:p>
      <w:pPr>
        <w:pStyle w:val="3"/>
        <w:spacing w:line="380" w:lineRule="exact"/>
        <w:rPr>
          <w:rFonts w:asciiTheme="minorEastAsia" w:hAnsiTheme="minorEastAsia" w:eastAsiaTheme="minorEastAsia"/>
          <w:sz w:val="24"/>
          <w:szCs w:val="24"/>
        </w:rPr>
      </w:pPr>
      <w:r>
        <w:rPr>
          <w:rFonts w:hint="eastAsia" w:asciiTheme="minorEastAsia" w:hAnsiTheme="minorEastAsia" w:eastAsiaTheme="minorEastAsia"/>
          <w:sz w:val="24"/>
          <w:szCs w:val="24"/>
        </w:rPr>
        <w:t>（七）投标人认为需提交的其他文件资料</w:t>
      </w:r>
    </w:p>
    <w:p>
      <w:pPr>
        <w:pStyle w:val="3"/>
        <w:spacing w:line="380" w:lineRule="exact"/>
        <w:rPr>
          <w:rFonts w:asciiTheme="minorEastAsia" w:hAnsiTheme="minorEastAsia" w:eastAsiaTheme="minorEastAsia"/>
          <w:bCs w:val="0"/>
          <w:sz w:val="28"/>
          <w:szCs w:val="28"/>
        </w:rPr>
      </w:pPr>
    </w:p>
    <w:sectPr>
      <w:pgSz w:w="11907" w:h="16840"/>
      <w:pgMar w:top="1304" w:right="1588" w:bottom="1418" w:left="1588" w:header="720" w:footer="720"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Garamond">
    <w:panose1 w:val="02020404030301010803"/>
    <w:charset w:val="00"/>
    <w:family w:val="roman"/>
    <w:pitch w:val="default"/>
    <w:sig w:usb0="00000287" w:usb1="00000000" w:usb2="00000000" w:usb3="00000000" w:csb0="0000009F" w:csb1="DFD7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汉仪仿宋简">
    <w:altName w:val="仿宋"/>
    <w:panose1 w:val="00000000000000000000"/>
    <w:charset w:val="86"/>
    <w:family w:val="modern"/>
    <w:pitch w:val="default"/>
    <w:sig w:usb0="00000000" w:usb1="00000000" w:usb2="00000012"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E-BZ+ZJeDUb-1">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方正仿宋">
    <w:altName w:val="仿宋"/>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7"/>
      <w:jc w:val="center"/>
    </w:pPr>
    <w:r>
      <w:fldChar w:fldCharType="begin"/>
    </w:r>
    <w:r>
      <w:instrText xml:space="preserve"> PAGE   \* MERGEFORMAT </w:instrText>
    </w:r>
    <w:r>
      <w:fldChar w:fldCharType="separate"/>
    </w:r>
    <w:r>
      <w:rPr>
        <w:lang w:val="zh-CN"/>
      </w:rPr>
      <w:t>4</w:t>
    </w:r>
    <w:r>
      <w:rPr>
        <w:lang w:val="zh-CN"/>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3335842"/>
    </w:sdtPr>
    <w:sdtContent>
      <w:p>
        <w:pPr>
          <w:pStyle w:val="27"/>
          <w:jc w:val="center"/>
        </w:pPr>
        <w:r>
          <w:fldChar w:fldCharType="begin"/>
        </w:r>
        <w:r>
          <w:instrText xml:space="preserve"> PAGE   \* MERGEFORMAT </w:instrText>
        </w:r>
        <w:r>
          <w:fldChar w:fldCharType="separate"/>
        </w:r>
        <w:r>
          <w:rPr>
            <w:lang w:val="zh-CN"/>
          </w:rPr>
          <w:t>22</w:t>
        </w:r>
        <w:r>
          <w:rPr>
            <w:lang w:val="zh-CN"/>
          </w:rPr>
          <w:fldChar w:fldCharType="end"/>
        </w:r>
      </w:p>
    </w:sdtContent>
  </w:sdt>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kern w:val="2"/>
        <w:sz w:val="21"/>
        <w:szCs w:val="20"/>
      </w:rPr>
      <w:t xml:space="preserve">政府采购公开招标采购文件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both"/>
      <w:rPr>
        <w:sz w:val="21"/>
        <w:szCs w:val="21"/>
      </w:rPr>
    </w:pPr>
    <w:r>
      <w:rPr>
        <w:rFonts w:hint="eastAsia"/>
        <w:sz w:val="21"/>
        <w:szCs w:val="21"/>
      </w:rPr>
      <w:t>政府采购国内公开采购文件合同格式</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kern w:val="2"/>
        <w:sz w:val="21"/>
        <w:szCs w:val="20"/>
      </w:rPr>
      <w:t xml:space="preserve">政府采购公开招标采购文件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kern w:val="2"/>
        <w:sz w:val="21"/>
        <w:szCs w:val="20"/>
      </w:rPr>
      <w:t>政府采购公开招标采购文件  第二部分 投标资料表</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u w:val="single"/>
      </w:rPr>
    </w:pPr>
    <w:r>
      <w:rPr>
        <w:rFonts w:hint="eastAsia"/>
        <w:u w:val="single"/>
      </w:rPr>
      <w:t>政府采购公开招标采购文件投标人须知</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kern w:val="2"/>
        <w:sz w:val="21"/>
        <w:szCs w:val="20"/>
      </w:rPr>
      <w:t xml:space="preserve">政府采购公开招标采购文件  </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8"/>
      <w:jc w:val="left"/>
    </w:pPr>
    <w:r>
      <w:rPr>
        <w:rFonts w:hint="eastAsia"/>
        <w:kern w:val="2"/>
        <w:sz w:val="21"/>
        <w:szCs w:val="20"/>
      </w:rPr>
      <w:t xml:space="preserve">政府采购公开招标采购文件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2A7E2C2"/>
    <w:multiLevelType w:val="singleLevel"/>
    <w:tmpl w:val="B2A7E2C2"/>
    <w:lvl w:ilvl="0" w:tentative="0">
      <w:start w:val="1"/>
      <w:numFmt w:val="chineseCounting"/>
      <w:suff w:val="nothing"/>
      <w:lvlText w:val="%1、"/>
      <w:lvlJc w:val="left"/>
      <w:rPr>
        <w:rFonts w:hint="eastAsia"/>
      </w:rPr>
    </w:lvl>
  </w:abstractNum>
  <w:abstractNum w:abstractNumId="1">
    <w:nsid w:val="CBCC5741"/>
    <w:multiLevelType w:val="singleLevel"/>
    <w:tmpl w:val="CBCC5741"/>
    <w:lvl w:ilvl="0" w:tentative="0">
      <w:start w:val="2"/>
      <w:numFmt w:val="decimal"/>
      <w:suff w:val="nothing"/>
      <w:lvlText w:val="%1、"/>
      <w:lvlJc w:val="left"/>
    </w:lvl>
  </w:abstractNum>
  <w:abstractNum w:abstractNumId="2">
    <w:nsid w:val="D4221FB3"/>
    <w:multiLevelType w:val="singleLevel"/>
    <w:tmpl w:val="D4221FB3"/>
    <w:lvl w:ilvl="0" w:tentative="0">
      <w:start w:val="2"/>
      <w:numFmt w:val="decimal"/>
      <w:suff w:val="nothing"/>
      <w:lvlText w:val="%1、"/>
      <w:lvlJc w:val="left"/>
    </w:lvl>
  </w:abstractNum>
  <w:abstractNum w:abstractNumId="3">
    <w:nsid w:val="D99C399F"/>
    <w:multiLevelType w:val="singleLevel"/>
    <w:tmpl w:val="D99C399F"/>
    <w:lvl w:ilvl="0" w:tentative="0">
      <w:start w:val="1"/>
      <w:numFmt w:val="decimal"/>
      <w:lvlText w:val="%1."/>
      <w:lvlJc w:val="left"/>
      <w:pPr>
        <w:tabs>
          <w:tab w:val="left" w:pos="312"/>
        </w:tabs>
      </w:pPr>
    </w:lvl>
  </w:abstractNum>
  <w:abstractNum w:abstractNumId="4">
    <w:nsid w:val="04DC10C6"/>
    <w:multiLevelType w:val="multilevel"/>
    <w:tmpl w:val="04DC10C6"/>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5">
    <w:nsid w:val="1037408C"/>
    <w:multiLevelType w:val="multilevel"/>
    <w:tmpl w:val="1037408C"/>
    <w:lvl w:ilvl="0" w:tentative="0">
      <w:start w:val="1"/>
      <w:numFmt w:val="bullet"/>
      <w:lvlText w:val=""/>
      <w:lvlJc w:val="left"/>
      <w:pPr>
        <w:tabs>
          <w:tab w:val="left" w:pos="-420"/>
        </w:tabs>
        <w:ind w:left="480" w:hanging="420"/>
      </w:pPr>
      <w:rPr>
        <w:rFonts w:hint="default" w:ascii="Wingdings" w:hAnsi="Wingdings"/>
      </w:rPr>
    </w:lvl>
    <w:lvl w:ilvl="1" w:tentative="0">
      <w:start w:val="1"/>
      <w:numFmt w:val="bullet"/>
      <w:lvlText w:val=""/>
      <w:lvlJc w:val="left"/>
      <w:pPr>
        <w:tabs>
          <w:tab w:val="left" w:pos="-420"/>
        </w:tabs>
        <w:ind w:left="900" w:hanging="420"/>
      </w:pPr>
      <w:rPr>
        <w:rFonts w:hint="default" w:ascii="Wingdings" w:hAnsi="Wingdings"/>
      </w:rPr>
    </w:lvl>
    <w:lvl w:ilvl="2" w:tentative="0">
      <w:start w:val="1"/>
      <w:numFmt w:val="bullet"/>
      <w:lvlText w:val=""/>
      <w:lvlJc w:val="left"/>
      <w:pPr>
        <w:tabs>
          <w:tab w:val="left" w:pos="-420"/>
        </w:tabs>
        <w:ind w:left="1320" w:hanging="420"/>
      </w:pPr>
      <w:rPr>
        <w:rFonts w:hint="default" w:ascii="Wingdings" w:hAnsi="Wingdings"/>
      </w:rPr>
    </w:lvl>
    <w:lvl w:ilvl="3" w:tentative="0">
      <w:start w:val="1"/>
      <w:numFmt w:val="bullet"/>
      <w:lvlText w:val=""/>
      <w:lvlJc w:val="left"/>
      <w:pPr>
        <w:tabs>
          <w:tab w:val="left" w:pos="-420"/>
        </w:tabs>
        <w:ind w:left="1740" w:hanging="420"/>
      </w:pPr>
      <w:rPr>
        <w:rFonts w:hint="default" w:ascii="Wingdings" w:hAnsi="Wingdings"/>
      </w:rPr>
    </w:lvl>
    <w:lvl w:ilvl="4" w:tentative="0">
      <w:start w:val="1"/>
      <w:numFmt w:val="bullet"/>
      <w:lvlText w:val=""/>
      <w:lvlJc w:val="left"/>
      <w:pPr>
        <w:tabs>
          <w:tab w:val="left" w:pos="-420"/>
        </w:tabs>
        <w:ind w:left="2160" w:hanging="420"/>
      </w:pPr>
      <w:rPr>
        <w:rFonts w:hint="default" w:ascii="Wingdings" w:hAnsi="Wingdings"/>
      </w:rPr>
    </w:lvl>
    <w:lvl w:ilvl="5" w:tentative="0">
      <w:start w:val="1"/>
      <w:numFmt w:val="bullet"/>
      <w:lvlText w:val=""/>
      <w:lvlJc w:val="left"/>
      <w:pPr>
        <w:tabs>
          <w:tab w:val="left" w:pos="-420"/>
        </w:tabs>
        <w:ind w:left="2580" w:hanging="420"/>
      </w:pPr>
      <w:rPr>
        <w:rFonts w:hint="default" w:ascii="Wingdings" w:hAnsi="Wingdings"/>
      </w:rPr>
    </w:lvl>
    <w:lvl w:ilvl="6" w:tentative="0">
      <w:start w:val="1"/>
      <w:numFmt w:val="bullet"/>
      <w:lvlText w:val=""/>
      <w:lvlJc w:val="left"/>
      <w:pPr>
        <w:tabs>
          <w:tab w:val="left" w:pos="-420"/>
        </w:tabs>
        <w:ind w:left="3000" w:hanging="420"/>
      </w:pPr>
      <w:rPr>
        <w:rFonts w:hint="default" w:ascii="Wingdings" w:hAnsi="Wingdings"/>
      </w:rPr>
    </w:lvl>
    <w:lvl w:ilvl="7" w:tentative="0">
      <w:start w:val="1"/>
      <w:numFmt w:val="bullet"/>
      <w:lvlText w:val=""/>
      <w:lvlJc w:val="left"/>
      <w:pPr>
        <w:tabs>
          <w:tab w:val="left" w:pos="-420"/>
        </w:tabs>
        <w:ind w:left="3420" w:hanging="420"/>
      </w:pPr>
      <w:rPr>
        <w:rFonts w:hint="default" w:ascii="Wingdings" w:hAnsi="Wingdings"/>
      </w:rPr>
    </w:lvl>
    <w:lvl w:ilvl="8" w:tentative="0">
      <w:start w:val="1"/>
      <w:numFmt w:val="bullet"/>
      <w:lvlText w:val=""/>
      <w:lvlJc w:val="left"/>
      <w:pPr>
        <w:tabs>
          <w:tab w:val="left" w:pos="-420"/>
        </w:tabs>
        <w:ind w:left="3840" w:hanging="420"/>
      </w:pPr>
      <w:rPr>
        <w:rFonts w:hint="default" w:ascii="Wingdings" w:hAnsi="Wingdings"/>
      </w:rPr>
    </w:lvl>
  </w:abstractNum>
  <w:abstractNum w:abstractNumId="6">
    <w:nsid w:val="13305CFE"/>
    <w:multiLevelType w:val="multilevel"/>
    <w:tmpl w:val="13305CFE"/>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184DD848"/>
    <w:multiLevelType w:val="singleLevel"/>
    <w:tmpl w:val="184DD848"/>
    <w:lvl w:ilvl="0" w:tentative="0">
      <w:start w:val="2"/>
      <w:numFmt w:val="decimal"/>
      <w:suff w:val="nothing"/>
      <w:lvlText w:val="（%1）"/>
      <w:lvlJc w:val="left"/>
    </w:lvl>
  </w:abstractNum>
  <w:abstractNum w:abstractNumId="8">
    <w:nsid w:val="1A0F57E4"/>
    <w:multiLevelType w:val="multilevel"/>
    <w:tmpl w:val="1A0F57E4"/>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9">
    <w:nsid w:val="1B7338FF"/>
    <w:multiLevelType w:val="multilevel"/>
    <w:tmpl w:val="1B7338FF"/>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10">
    <w:nsid w:val="1C6CBE39"/>
    <w:multiLevelType w:val="singleLevel"/>
    <w:tmpl w:val="1C6CBE39"/>
    <w:lvl w:ilvl="0" w:tentative="0">
      <w:start w:val="1"/>
      <w:numFmt w:val="bullet"/>
      <w:lvlText w:val=""/>
      <w:lvlJc w:val="left"/>
      <w:pPr>
        <w:tabs>
          <w:tab w:val="left" w:pos="840"/>
        </w:tabs>
        <w:ind w:left="1260" w:hanging="420"/>
      </w:pPr>
      <w:rPr>
        <w:rFonts w:hint="default" w:ascii="Wingdings" w:hAnsi="Wingdings"/>
      </w:rPr>
    </w:lvl>
  </w:abstractNum>
  <w:abstractNum w:abstractNumId="11">
    <w:nsid w:val="2936425E"/>
    <w:multiLevelType w:val="multilevel"/>
    <w:tmpl w:val="2936425E"/>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12">
    <w:nsid w:val="38096CDF"/>
    <w:multiLevelType w:val="multilevel"/>
    <w:tmpl w:val="38096CDF"/>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13">
    <w:nsid w:val="39E53A11"/>
    <w:multiLevelType w:val="multilevel"/>
    <w:tmpl w:val="39E53A11"/>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14">
    <w:nsid w:val="3B5F78C6"/>
    <w:multiLevelType w:val="multilevel"/>
    <w:tmpl w:val="3B5F78C6"/>
    <w:lvl w:ilvl="0" w:tentative="0">
      <w:start w:val="1"/>
      <w:numFmt w:val="decimal"/>
      <w:lvlText w:val="（%1）"/>
      <w:lvlJc w:val="left"/>
      <w:pPr>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5">
    <w:nsid w:val="3CCE20AC"/>
    <w:multiLevelType w:val="singleLevel"/>
    <w:tmpl w:val="3CCE20AC"/>
    <w:lvl w:ilvl="0" w:tentative="0">
      <w:start w:val="2"/>
      <w:numFmt w:val="chineseCounting"/>
      <w:suff w:val="nothing"/>
      <w:lvlText w:val="%1、"/>
      <w:lvlJc w:val="left"/>
      <w:rPr>
        <w:rFonts w:hint="eastAsia"/>
      </w:rPr>
    </w:lvl>
  </w:abstractNum>
  <w:abstractNum w:abstractNumId="16">
    <w:nsid w:val="4A8A67AE"/>
    <w:multiLevelType w:val="multilevel"/>
    <w:tmpl w:val="4A8A67AE"/>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17">
    <w:nsid w:val="4DB25E14"/>
    <w:multiLevelType w:val="singleLevel"/>
    <w:tmpl w:val="4DB25E14"/>
    <w:lvl w:ilvl="0" w:tentative="0">
      <w:start w:val="1"/>
      <w:numFmt w:val="decimal"/>
      <w:suff w:val="nothing"/>
      <w:lvlText w:val="%1．"/>
      <w:lvlJc w:val="left"/>
      <w:pPr>
        <w:ind w:left="0" w:firstLine="400"/>
      </w:pPr>
      <w:rPr>
        <w:rFonts w:hint="default"/>
      </w:rPr>
    </w:lvl>
  </w:abstractNum>
  <w:abstractNum w:abstractNumId="18">
    <w:nsid w:val="4F937EBD"/>
    <w:multiLevelType w:val="multilevel"/>
    <w:tmpl w:val="4F937EBD"/>
    <w:lvl w:ilvl="0" w:tentative="0">
      <w:start w:val="1"/>
      <w:numFmt w:val="bullet"/>
      <w:pStyle w:val="207"/>
      <w:lvlText w:val=""/>
      <w:lvlJc w:val="left"/>
      <w:pPr>
        <w:ind w:left="840" w:hanging="420"/>
      </w:pPr>
      <w:rPr>
        <w:rFonts w:hint="default" w:ascii="Wingdings" w:hAnsi="Wingdings"/>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19">
    <w:nsid w:val="5BA46F0D"/>
    <w:multiLevelType w:val="multilevel"/>
    <w:tmpl w:val="5BA46F0D"/>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20">
    <w:nsid w:val="63697DE2"/>
    <w:multiLevelType w:val="multilevel"/>
    <w:tmpl w:val="63697DE2"/>
    <w:lvl w:ilvl="0" w:tentative="0">
      <w:start w:val="1"/>
      <w:numFmt w:val="bullet"/>
      <w:lvlText w:val=""/>
      <w:lvlJc w:val="left"/>
      <w:pPr>
        <w:tabs>
          <w:tab w:val="left" w:pos="420"/>
        </w:tabs>
        <w:ind w:left="1320" w:hanging="420"/>
      </w:pPr>
      <w:rPr>
        <w:rFonts w:hint="default" w:ascii="Wingdings" w:hAnsi="Wingdings"/>
      </w:rPr>
    </w:lvl>
    <w:lvl w:ilvl="1" w:tentative="0">
      <w:start w:val="1"/>
      <w:numFmt w:val="bullet"/>
      <w:lvlText w:val=""/>
      <w:lvlJc w:val="left"/>
      <w:pPr>
        <w:tabs>
          <w:tab w:val="left" w:pos="420"/>
        </w:tabs>
        <w:ind w:left="1740" w:hanging="420"/>
      </w:pPr>
      <w:rPr>
        <w:rFonts w:hint="default" w:ascii="Wingdings" w:hAnsi="Wingdings"/>
      </w:rPr>
    </w:lvl>
    <w:lvl w:ilvl="2" w:tentative="0">
      <w:start w:val="1"/>
      <w:numFmt w:val="bullet"/>
      <w:lvlText w:val=""/>
      <w:lvlJc w:val="left"/>
      <w:pPr>
        <w:tabs>
          <w:tab w:val="left" w:pos="420"/>
        </w:tabs>
        <w:ind w:left="2160" w:hanging="420"/>
      </w:pPr>
      <w:rPr>
        <w:rFonts w:hint="default" w:ascii="Wingdings" w:hAnsi="Wingdings"/>
      </w:rPr>
    </w:lvl>
    <w:lvl w:ilvl="3" w:tentative="0">
      <w:start w:val="1"/>
      <w:numFmt w:val="bullet"/>
      <w:lvlText w:val=""/>
      <w:lvlJc w:val="left"/>
      <w:pPr>
        <w:tabs>
          <w:tab w:val="left" w:pos="420"/>
        </w:tabs>
        <w:ind w:left="2580" w:hanging="420"/>
      </w:pPr>
      <w:rPr>
        <w:rFonts w:hint="default" w:ascii="Wingdings" w:hAnsi="Wingdings"/>
      </w:rPr>
    </w:lvl>
    <w:lvl w:ilvl="4" w:tentative="0">
      <w:start w:val="1"/>
      <w:numFmt w:val="bullet"/>
      <w:lvlText w:val=""/>
      <w:lvlJc w:val="left"/>
      <w:pPr>
        <w:tabs>
          <w:tab w:val="left" w:pos="420"/>
        </w:tabs>
        <w:ind w:left="3000" w:hanging="420"/>
      </w:pPr>
      <w:rPr>
        <w:rFonts w:hint="default" w:ascii="Wingdings" w:hAnsi="Wingdings"/>
      </w:rPr>
    </w:lvl>
    <w:lvl w:ilvl="5" w:tentative="0">
      <w:start w:val="1"/>
      <w:numFmt w:val="bullet"/>
      <w:lvlText w:val=""/>
      <w:lvlJc w:val="left"/>
      <w:pPr>
        <w:tabs>
          <w:tab w:val="left" w:pos="420"/>
        </w:tabs>
        <w:ind w:left="3420" w:hanging="420"/>
      </w:pPr>
      <w:rPr>
        <w:rFonts w:hint="default" w:ascii="Wingdings" w:hAnsi="Wingdings"/>
      </w:rPr>
    </w:lvl>
    <w:lvl w:ilvl="6" w:tentative="0">
      <w:start w:val="1"/>
      <w:numFmt w:val="bullet"/>
      <w:lvlText w:val=""/>
      <w:lvlJc w:val="left"/>
      <w:pPr>
        <w:tabs>
          <w:tab w:val="left" w:pos="420"/>
        </w:tabs>
        <w:ind w:left="3840" w:hanging="420"/>
      </w:pPr>
      <w:rPr>
        <w:rFonts w:hint="default" w:ascii="Wingdings" w:hAnsi="Wingdings"/>
      </w:rPr>
    </w:lvl>
    <w:lvl w:ilvl="7" w:tentative="0">
      <w:start w:val="1"/>
      <w:numFmt w:val="bullet"/>
      <w:lvlText w:val=""/>
      <w:lvlJc w:val="left"/>
      <w:pPr>
        <w:tabs>
          <w:tab w:val="left" w:pos="420"/>
        </w:tabs>
        <w:ind w:left="4260" w:hanging="420"/>
      </w:pPr>
      <w:rPr>
        <w:rFonts w:hint="default" w:ascii="Wingdings" w:hAnsi="Wingdings"/>
      </w:rPr>
    </w:lvl>
    <w:lvl w:ilvl="8" w:tentative="0">
      <w:start w:val="1"/>
      <w:numFmt w:val="bullet"/>
      <w:lvlText w:val=""/>
      <w:lvlJc w:val="left"/>
      <w:pPr>
        <w:tabs>
          <w:tab w:val="left" w:pos="420"/>
        </w:tabs>
        <w:ind w:left="4680" w:hanging="420"/>
      </w:pPr>
      <w:rPr>
        <w:rFonts w:hint="default" w:ascii="Wingdings" w:hAnsi="Wingdings"/>
      </w:rPr>
    </w:lvl>
  </w:abstractNum>
  <w:abstractNum w:abstractNumId="21">
    <w:nsid w:val="701E73B1"/>
    <w:multiLevelType w:val="singleLevel"/>
    <w:tmpl w:val="701E73B1"/>
    <w:lvl w:ilvl="0" w:tentative="0">
      <w:start w:val="1"/>
      <w:numFmt w:val="decimal"/>
      <w:suff w:val="nothing"/>
      <w:lvlText w:val="%1．"/>
      <w:lvlJc w:val="left"/>
      <w:pPr>
        <w:ind w:left="0" w:firstLine="400"/>
      </w:pPr>
      <w:rPr>
        <w:rFonts w:hint="default"/>
      </w:rPr>
    </w:lvl>
  </w:abstractNum>
  <w:num w:numId="1">
    <w:abstractNumId w:val="18"/>
  </w:num>
  <w:num w:numId="2">
    <w:abstractNumId w:val="15"/>
  </w:num>
  <w:num w:numId="3">
    <w:abstractNumId w:val="17"/>
  </w:num>
  <w:num w:numId="4">
    <w:abstractNumId w:val="0"/>
  </w:num>
  <w:num w:numId="5">
    <w:abstractNumId w:val="21"/>
  </w:num>
  <w:num w:numId="6">
    <w:abstractNumId w:val="3"/>
  </w:num>
  <w:num w:numId="7">
    <w:abstractNumId w:val="9"/>
  </w:num>
  <w:num w:numId="8">
    <w:abstractNumId w:val="10"/>
  </w:num>
  <w:num w:numId="9">
    <w:abstractNumId w:val="12"/>
  </w:num>
  <w:num w:numId="10">
    <w:abstractNumId w:val="20"/>
  </w:num>
  <w:num w:numId="11">
    <w:abstractNumId w:val="8"/>
  </w:num>
  <w:num w:numId="12">
    <w:abstractNumId w:val="5"/>
  </w:num>
  <w:num w:numId="13">
    <w:abstractNumId w:val="11"/>
  </w:num>
  <w:num w:numId="14">
    <w:abstractNumId w:val="16"/>
  </w:num>
  <w:num w:numId="15">
    <w:abstractNumId w:val="2"/>
  </w:num>
  <w:num w:numId="16">
    <w:abstractNumId w:val="1"/>
  </w:num>
  <w:num w:numId="17">
    <w:abstractNumId w:val="7"/>
  </w:num>
  <w:num w:numId="18">
    <w:abstractNumId w:val="4"/>
  </w:num>
  <w:num w:numId="19">
    <w:abstractNumId w:val="13"/>
  </w:num>
  <w:num w:numId="20">
    <w:abstractNumId w:val="19"/>
  </w:num>
  <w:num w:numId="21">
    <w:abstractNumId w:val="6"/>
  </w:num>
  <w:num w:numId="2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hideSpellingErrors/>
  <w:documentProtection w:enforcement="0"/>
  <w:defaultTabStop w:val="420"/>
  <w:drawingGridHorizontalSpacing w:val="105"/>
  <w:drawingGridVerticalSpacing w:val="143"/>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M1Nzc1Njc5OWVjZDFmMTVjNWFkYTY3OGM5NTMxZGYifQ=="/>
  </w:docVars>
  <w:rsids>
    <w:rsidRoot w:val="00172A27"/>
    <w:rsid w:val="000012B2"/>
    <w:rsid w:val="00001495"/>
    <w:rsid w:val="0000154C"/>
    <w:rsid w:val="000026B7"/>
    <w:rsid w:val="0000292B"/>
    <w:rsid w:val="000033D9"/>
    <w:rsid w:val="000038FC"/>
    <w:rsid w:val="000043E3"/>
    <w:rsid w:val="00004766"/>
    <w:rsid w:val="000059B7"/>
    <w:rsid w:val="00006343"/>
    <w:rsid w:val="0000638F"/>
    <w:rsid w:val="00006955"/>
    <w:rsid w:val="00007BE6"/>
    <w:rsid w:val="00007EB7"/>
    <w:rsid w:val="000104E6"/>
    <w:rsid w:val="00011323"/>
    <w:rsid w:val="0001295F"/>
    <w:rsid w:val="00014CB0"/>
    <w:rsid w:val="00014F3E"/>
    <w:rsid w:val="0001514B"/>
    <w:rsid w:val="00015180"/>
    <w:rsid w:val="0001578F"/>
    <w:rsid w:val="000162FC"/>
    <w:rsid w:val="00016B63"/>
    <w:rsid w:val="00016FB3"/>
    <w:rsid w:val="00020537"/>
    <w:rsid w:val="000206E2"/>
    <w:rsid w:val="000207EE"/>
    <w:rsid w:val="00020F9A"/>
    <w:rsid w:val="00022DBD"/>
    <w:rsid w:val="0002342D"/>
    <w:rsid w:val="0002496A"/>
    <w:rsid w:val="00024DDD"/>
    <w:rsid w:val="00025739"/>
    <w:rsid w:val="00025826"/>
    <w:rsid w:val="00026DCF"/>
    <w:rsid w:val="000270E0"/>
    <w:rsid w:val="00027697"/>
    <w:rsid w:val="00027FD3"/>
    <w:rsid w:val="000305CD"/>
    <w:rsid w:val="0003136F"/>
    <w:rsid w:val="0003280D"/>
    <w:rsid w:val="00032AB1"/>
    <w:rsid w:val="000364B5"/>
    <w:rsid w:val="00037B77"/>
    <w:rsid w:val="000435FF"/>
    <w:rsid w:val="0004521A"/>
    <w:rsid w:val="000456B2"/>
    <w:rsid w:val="00045BF5"/>
    <w:rsid w:val="00045CF7"/>
    <w:rsid w:val="0004663F"/>
    <w:rsid w:val="00047062"/>
    <w:rsid w:val="00047C31"/>
    <w:rsid w:val="000516E1"/>
    <w:rsid w:val="00051830"/>
    <w:rsid w:val="000533FA"/>
    <w:rsid w:val="00053556"/>
    <w:rsid w:val="0005540C"/>
    <w:rsid w:val="00055E8C"/>
    <w:rsid w:val="00055F2F"/>
    <w:rsid w:val="00057A4B"/>
    <w:rsid w:val="00057C77"/>
    <w:rsid w:val="00060096"/>
    <w:rsid w:val="0006061F"/>
    <w:rsid w:val="00061107"/>
    <w:rsid w:val="00062360"/>
    <w:rsid w:val="0006252F"/>
    <w:rsid w:val="00062718"/>
    <w:rsid w:val="00062DAC"/>
    <w:rsid w:val="00063818"/>
    <w:rsid w:val="00063B83"/>
    <w:rsid w:val="00066197"/>
    <w:rsid w:val="000667E6"/>
    <w:rsid w:val="00066AD8"/>
    <w:rsid w:val="00066C22"/>
    <w:rsid w:val="00067049"/>
    <w:rsid w:val="00067545"/>
    <w:rsid w:val="000678E6"/>
    <w:rsid w:val="00067BEE"/>
    <w:rsid w:val="00067EBD"/>
    <w:rsid w:val="00071A90"/>
    <w:rsid w:val="000729D5"/>
    <w:rsid w:val="00074D53"/>
    <w:rsid w:val="00074FD9"/>
    <w:rsid w:val="00075643"/>
    <w:rsid w:val="0008025B"/>
    <w:rsid w:val="00080353"/>
    <w:rsid w:val="000806C0"/>
    <w:rsid w:val="00080713"/>
    <w:rsid w:val="000811E6"/>
    <w:rsid w:val="0008191D"/>
    <w:rsid w:val="00081FC9"/>
    <w:rsid w:val="00082A4E"/>
    <w:rsid w:val="00082CDD"/>
    <w:rsid w:val="00083803"/>
    <w:rsid w:val="00083FC6"/>
    <w:rsid w:val="00084B92"/>
    <w:rsid w:val="00084EE6"/>
    <w:rsid w:val="0008656E"/>
    <w:rsid w:val="00087328"/>
    <w:rsid w:val="00087E1F"/>
    <w:rsid w:val="00090A64"/>
    <w:rsid w:val="00091070"/>
    <w:rsid w:val="00091E8C"/>
    <w:rsid w:val="00093976"/>
    <w:rsid w:val="00094113"/>
    <w:rsid w:val="00094AD7"/>
    <w:rsid w:val="00095780"/>
    <w:rsid w:val="00096B3E"/>
    <w:rsid w:val="0009789A"/>
    <w:rsid w:val="00097D71"/>
    <w:rsid w:val="000A06A0"/>
    <w:rsid w:val="000A07DC"/>
    <w:rsid w:val="000A0861"/>
    <w:rsid w:val="000A0CAD"/>
    <w:rsid w:val="000A1C2F"/>
    <w:rsid w:val="000A20A9"/>
    <w:rsid w:val="000A386A"/>
    <w:rsid w:val="000A4F52"/>
    <w:rsid w:val="000A51AC"/>
    <w:rsid w:val="000A778E"/>
    <w:rsid w:val="000B114E"/>
    <w:rsid w:val="000B20FA"/>
    <w:rsid w:val="000B2452"/>
    <w:rsid w:val="000B2CD2"/>
    <w:rsid w:val="000B37C5"/>
    <w:rsid w:val="000B380B"/>
    <w:rsid w:val="000B4340"/>
    <w:rsid w:val="000B5A7C"/>
    <w:rsid w:val="000B6CB5"/>
    <w:rsid w:val="000B7C7B"/>
    <w:rsid w:val="000B7CA9"/>
    <w:rsid w:val="000C02D0"/>
    <w:rsid w:val="000C127E"/>
    <w:rsid w:val="000C189C"/>
    <w:rsid w:val="000C213B"/>
    <w:rsid w:val="000C28ED"/>
    <w:rsid w:val="000C2AE2"/>
    <w:rsid w:val="000C52E2"/>
    <w:rsid w:val="000C5D8A"/>
    <w:rsid w:val="000C5FF4"/>
    <w:rsid w:val="000C6B2B"/>
    <w:rsid w:val="000C7390"/>
    <w:rsid w:val="000D0780"/>
    <w:rsid w:val="000D1E32"/>
    <w:rsid w:val="000D1F9B"/>
    <w:rsid w:val="000D54FF"/>
    <w:rsid w:val="000D68F1"/>
    <w:rsid w:val="000D6D10"/>
    <w:rsid w:val="000E0283"/>
    <w:rsid w:val="000E0AF6"/>
    <w:rsid w:val="000E0C2E"/>
    <w:rsid w:val="000E0D05"/>
    <w:rsid w:val="000E0D25"/>
    <w:rsid w:val="000E1023"/>
    <w:rsid w:val="000E1097"/>
    <w:rsid w:val="000E115C"/>
    <w:rsid w:val="000E1396"/>
    <w:rsid w:val="000E2402"/>
    <w:rsid w:val="000E269D"/>
    <w:rsid w:val="000E29FA"/>
    <w:rsid w:val="000E449E"/>
    <w:rsid w:val="000E5C6B"/>
    <w:rsid w:val="000E6A0A"/>
    <w:rsid w:val="000E6C56"/>
    <w:rsid w:val="000E7057"/>
    <w:rsid w:val="000F0447"/>
    <w:rsid w:val="000F0DA1"/>
    <w:rsid w:val="000F0F6F"/>
    <w:rsid w:val="000F10B5"/>
    <w:rsid w:val="000F1312"/>
    <w:rsid w:val="000F1B10"/>
    <w:rsid w:val="000F4C08"/>
    <w:rsid w:val="000F4F74"/>
    <w:rsid w:val="000F5462"/>
    <w:rsid w:val="000F5518"/>
    <w:rsid w:val="000F57BD"/>
    <w:rsid w:val="000F5E42"/>
    <w:rsid w:val="000F5E86"/>
    <w:rsid w:val="000F798A"/>
    <w:rsid w:val="0010043B"/>
    <w:rsid w:val="0010075F"/>
    <w:rsid w:val="00100AEF"/>
    <w:rsid w:val="00100B95"/>
    <w:rsid w:val="00100F5A"/>
    <w:rsid w:val="00101B47"/>
    <w:rsid w:val="00101BAD"/>
    <w:rsid w:val="00102E82"/>
    <w:rsid w:val="00103906"/>
    <w:rsid w:val="00103FA5"/>
    <w:rsid w:val="00104008"/>
    <w:rsid w:val="001046A8"/>
    <w:rsid w:val="00106ABC"/>
    <w:rsid w:val="001101A3"/>
    <w:rsid w:val="001103BB"/>
    <w:rsid w:val="00110AF2"/>
    <w:rsid w:val="0011290C"/>
    <w:rsid w:val="00113114"/>
    <w:rsid w:val="00115B8D"/>
    <w:rsid w:val="001163EC"/>
    <w:rsid w:val="00116F3B"/>
    <w:rsid w:val="00117216"/>
    <w:rsid w:val="0012010C"/>
    <w:rsid w:val="00124634"/>
    <w:rsid w:val="00124963"/>
    <w:rsid w:val="00124B80"/>
    <w:rsid w:val="001254F0"/>
    <w:rsid w:val="0012584B"/>
    <w:rsid w:val="001258B9"/>
    <w:rsid w:val="001265C7"/>
    <w:rsid w:val="001279F2"/>
    <w:rsid w:val="001316A9"/>
    <w:rsid w:val="001322B9"/>
    <w:rsid w:val="00133163"/>
    <w:rsid w:val="001331FC"/>
    <w:rsid w:val="00133D9E"/>
    <w:rsid w:val="00133E28"/>
    <w:rsid w:val="0013425B"/>
    <w:rsid w:val="001368A0"/>
    <w:rsid w:val="00137625"/>
    <w:rsid w:val="001378ED"/>
    <w:rsid w:val="00141804"/>
    <w:rsid w:val="001419F1"/>
    <w:rsid w:val="00141D2C"/>
    <w:rsid w:val="00141FDD"/>
    <w:rsid w:val="0014394C"/>
    <w:rsid w:val="00143B92"/>
    <w:rsid w:val="0014483F"/>
    <w:rsid w:val="00145BE2"/>
    <w:rsid w:val="00146872"/>
    <w:rsid w:val="001469BF"/>
    <w:rsid w:val="00147025"/>
    <w:rsid w:val="00147092"/>
    <w:rsid w:val="0014750F"/>
    <w:rsid w:val="001504E4"/>
    <w:rsid w:val="001510C0"/>
    <w:rsid w:val="0015204A"/>
    <w:rsid w:val="00153030"/>
    <w:rsid w:val="00153277"/>
    <w:rsid w:val="00154BF5"/>
    <w:rsid w:val="00157A8C"/>
    <w:rsid w:val="001604EA"/>
    <w:rsid w:val="0016172B"/>
    <w:rsid w:val="00161FA8"/>
    <w:rsid w:val="00162DD6"/>
    <w:rsid w:val="00163690"/>
    <w:rsid w:val="001654A4"/>
    <w:rsid w:val="00166232"/>
    <w:rsid w:val="0016634C"/>
    <w:rsid w:val="00166E7D"/>
    <w:rsid w:val="00170473"/>
    <w:rsid w:val="00170D8C"/>
    <w:rsid w:val="0017240D"/>
    <w:rsid w:val="00172A27"/>
    <w:rsid w:val="00173068"/>
    <w:rsid w:val="001734C2"/>
    <w:rsid w:val="001755E5"/>
    <w:rsid w:val="00175773"/>
    <w:rsid w:val="00175986"/>
    <w:rsid w:val="0017626D"/>
    <w:rsid w:val="0017650C"/>
    <w:rsid w:val="001765A8"/>
    <w:rsid w:val="00176CCC"/>
    <w:rsid w:val="001777A0"/>
    <w:rsid w:val="00177910"/>
    <w:rsid w:val="00182175"/>
    <w:rsid w:val="00183609"/>
    <w:rsid w:val="00183869"/>
    <w:rsid w:val="00184098"/>
    <w:rsid w:val="00184E49"/>
    <w:rsid w:val="00185A5F"/>
    <w:rsid w:val="001863D1"/>
    <w:rsid w:val="0018673A"/>
    <w:rsid w:val="00187887"/>
    <w:rsid w:val="00190323"/>
    <w:rsid w:val="0019037E"/>
    <w:rsid w:val="001905A5"/>
    <w:rsid w:val="00190CE6"/>
    <w:rsid w:val="00191D5E"/>
    <w:rsid w:val="00192960"/>
    <w:rsid w:val="001942D7"/>
    <w:rsid w:val="00194A4F"/>
    <w:rsid w:val="00194E39"/>
    <w:rsid w:val="001955A9"/>
    <w:rsid w:val="001974DD"/>
    <w:rsid w:val="00197899"/>
    <w:rsid w:val="00197AC1"/>
    <w:rsid w:val="00197F50"/>
    <w:rsid w:val="001A03A1"/>
    <w:rsid w:val="001A06CA"/>
    <w:rsid w:val="001A542C"/>
    <w:rsid w:val="001A555F"/>
    <w:rsid w:val="001A6BC5"/>
    <w:rsid w:val="001A7040"/>
    <w:rsid w:val="001B049D"/>
    <w:rsid w:val="001B3F78"/>
    <w:rsid w:val="001B46E4"/>
    <w:rsid w:val="001B55CF"/>
    <w:rsid w:val="001B5801"/>
    <w:rsid w:val="001B60F7"/>
    <w:rsid w:val="001B612E"/>
    <w:rsid w:val="001B7D86"/>
    <w:rsid w:val="001C0D22"/>
    <w:rsid w:val="001C1A4F"/>
    <w:rsid w:val="001C22FD"/>
    <w:rsid w:val="001C23EA"/>
    <w:rsid w:val="001C2A36"/>
    <w:rsid w:val="001C3540"/>
    <w:rsid w:val="001C4873"/>
    <w:rsid w:val="001C67DF"/>
    <w:rsid w:val="001C7961"/>
    <w:rsid w:val="001C7AC2"/>
    <w:rsid w:val="001D1258"/>
    <w:rsid w:val="001D155F"/>
    <w:rsid w:val="001D36A1"/>
    <w:rsid w:val="001D480F"/>
    <w:rsid w:val="001D4BC0"/>
    <w:rsid w:val="001D4E3E"/>
    <w:rsid w:val="001D52CE"/>
    <w:rsid w:val="001D5805"/>
    <w:rsid w:val="001D5C39"/>
    <w:rsid w:val="001D6755"/>
    <w:rsid w:val="001D6C14"/>
    <w:rsid w:val="001D73A3"/>
    <w:rsid w:val="001D7611"/>
    <w:rsid w:val="001E0C96"/>
    <w:rsid w:val="001E20F9"/>
    <w:rsid w:val="001E2AE4"/>
    <w:rsid w:val="001E315A"/>
    <w:rsid w:val="001E3FCB"/>
    <w:rsid w:val="001E58AC"/>
    <w:rsid w:val="001E79D9"/>
    <w:rsid w:val="001F1DCF"/>
    <w:rsid w:val="001F1F79"/>
    <w:rsid w:val="001F2107"/>
    <w:rsid w:val="001F284E"/>
    <w:rsid w:val="001F2AE3"/>
    <w:rsid w:val="001F311B"/>
    <w:rsid w:val="001F5EF5"/>
    <w:rsid w:val="001F74FF"/>
    <w:rsid w:val="002030EE"/>
    <w:rsid w:val="00203783"/>
    <w:rsid w:val="002039E0"/>
    <w:rsid w:val="002043F2"/>
    <w:rsid w:val="00204B2F"/>
    <w:rsid w:val="0020535A"/>
    <w:rsid w:val="00206FF9"/>
    <w:rsid w:val="0021030F"/>
    <w:rsid w:val="00211C78"/>
    <w:rsid w:val="00213338"/>
    <w:rsid w:val="00213575"/>
    <w:rsid w:val="00213C57"/>
    <w:rsid w:val="00213D92"/>
    <w:rsid w:val="002147D6"/>
    <w:rsid w:val="00214BE7"/>
    <w:rsid w:val="002154C8"/>
    <w:rsid w:val="002166F2"/>
    <w:rsid w:val="00216A4A"/>
    <w:rsid w:val="00220A5A"/>
    <w:rsid w:val="0022197F"/>
    <w:rsid w:val="00222021"/>
    <w:rsid w:val="0022233F"/>
    <w:rsid w:val="00222445"/>
    <w:rsid w:val="00222B7E"/>
    <w:rsid w:val="00222D78"/>
    <w:rsid w:val="002243C9"/>
    <w:rsid w:val="002248EC"/>
    <w:rsid w:val="00224D60"/>
    <w:rsid w:val="00224E40"/>
    <w:rsid w:val="00225102"/>
    <w:rsid w:val="0022596E"/>
    <w:rsid w:val="0022709B"/>
    <w:rsid w:val="002301D6"/>
    <w:rsid w:val="00230926"/>
    <w:rsid w:val="002309AD"/>
    <w:rsid w:val="00231355"/>
    <w:rsid w:val="002315E6"/>
    <w:rsid w:val="002340D0"/>
    <w:rsid w:val="00234C1F"/>
    <w:rsid w:val="00235564"/>
    <w:rsid w:val="002365C9"/>
    <w:rsid w:val="00236613"/>
    <w:rsid w:val="00241918"/>
    <w:rsid w:val="00241EFB"/>
    <w:rsid w:val="00241FFA"/>
    <w:rsid w:val="002429A8"/>
    <w:rsid w:val="00243860"/>
    <w:rsid w:val="002446D4"/>
    <w:rsid w:val="002452A0"/>
    <w:rsid w:val="0024622B"/>
    <w:rsid w:val="00246BE0"/>
    <w:rsid w:val="002473A8"/>
    <w:rsid w:val="00247AC1"/>
    <w:rsid w:val="00250248"/>
    <w:rsid w:val="00251456"/>
    <w:rsid w:val="0025338C"/>
    <w:rsid w:val="00253C90"/>
    <w:rsid w:val="00254A09"/>
    <w:rsid w:val="00254BD5"/>
    <w:rsid w:val="00254C5D"/>
    <w:rsid w:val="0025538F"/>
    <w:rsid w:val="002565D0"/>
    <w:rsid w:val="00257C4D"/>
    <w:rsid w:val="002602EC"/>
    <w:rsid w:val="00260ED7"/>
    <w:rsid w:val="00261512"/>
    <w:rsid w:val="00261B83"/>
    <w:rsid w:val="00262066"/>
    <w:rsid w:val="002645ED"/>
    <w:rsid w:val="002659D7"/>
    <w:rsid w:val="00265BA7"/>
    <w:rsid w:val="00266485"/>
    <w:rsid w:val="00266D88"/>
    <w:rsid w:val="00267A9A"/>
    <w:rsid w:val="002705C7"/>
    <w:rsid w:val="002731CA"/>
    <w:rsid w:val="002747F2"/>
    <w:rsid w:val="00274FD3"/>
    <w:rsid w:val="002758DB"/>
    <w:rsid w:val="00276348"/>
    <w:rsid w:val="00276789"/>
    <w:rsid w:val="002771BE"/>
    <w:rsid w:val="00277A6F"/>
    <w:rsid w:val="00280A32"/>
    <w:rsid w:val="002813D9"/>
    <w:rsid w:val="00282ACA"/>
    <w:rsid w:val="00283162"/>
    <w:rsid w:val="00283328"/>
    <w:rsid w:val="00283964"/>
    <w:rsid w:val="0028490F"/>
    <w:rsid w:val="0028552F"/>
    <w:rsid w:val="00287021"/>
    <w:rsid w:val="002871A8"/>
    <w:rsid w:val="00287ED8"/>
    <w:rsid w:val="002911DC"/>
    <w:rsid w:val="0029294B"/>
    <w:rsid w:val="00293611"/>
    <w:rsid w:val="002939BB"/>
    <w:rsid w:val="00294ED9"/>
    <w:rsid w:val="0029625B"/>
    <w:rsid w:val="00297084"/>
    <w:rsid w:val="00297EA6"/>
    <w:rsid w:val="002A0466"/>
    <w:rsid w:val="002A05CD"/>
    <w:rsid w:val="002A12BE"/>
    <w:rsid w:val="002A18C2"/>
    <w:rsid w:val="002A19ED"/>
    <w:rsid w:val="002A214D"/>
    <w:rsid w:val="002A29F0"/>
    <w:rsid w:val="002A2D23"/>
    <w:rsid w:val="002A31F5"/>
    <w:rsid w:val="002A3400"/>
    <w:rsid w:val="002A36CE"/>
    <w:rsid w:val="002A450E"/>
    <w:rsid w:val="002A4578"/>
    <w:rsid w:val="002A47C9"/>
    <w:rsid w:val="002A55B9"/>
    <w:rsid w:val="002A6321"/>
    <w:rsid w:val="002A66B4"/>
    <w:rsid w:val="002A73E0"/>
    <w:rsid w:val="002B0F0C"/>
    <w:rsid w:val="002B1C78"/>
    <w:rsid w:val="002B218C"/>
    <w:rsid w:val="002B2698"/>
    <w:rsid w:val="002B28C1"/>
    <w:rsid w:val="002B2FB6"/>
    <w:rsid w:val="002B3848"/>
    <w:rsid w:val="002B4993"/>
    <w:rsid w:val="002B4B77"/>
    <w:rsid w:val="002B4F37"/>
    <w:rsid w:val="002B5E02"/>
    <w:rsid w:val="002C0018"/>
    <w:rsid w:val="002C1206"/>
    <w:rsid w:val="002C16C5"/>
    <w:rsid w:val="002C1717"/>
    <w:rsid w:val="002C1851"/>
    <w:rsid w:val="002C518E"/>
    <w:rsid w:val="002C5A3D"/>
    <w:rsid w:val="002C5E14"/>
    <w:rsid w:val="002C6A74"/>
    <w:rsid w:val="002C739C"/>
    <w:rsid w:val="002C75D2"/>
    <w:rsid w:val="002C7668"/>
    <w:rsid w:val="002C7743"/>
    <w:rsid w:val="002D06AA"/>
    <w:rsid w:val="002D2085"/>
    <w:rsid w:val="002D2837"/>
    <w:rsid w:val="002D2DD3"/>
    <w:rsid w:val="002D3715"/>
    <w:rsid w:val="002D4C2E"/>
    <w:rsid w:val="002D6702"/>
    <w:rsid w:val="002E0449"/>
    <w:rsid w:val="002E051A"/>
    <w:rsid w:val="002E0762"/>
    <w:rsid w:val="002E0FBD"/>
    <w:rsid w:val="002E1172"/>
    <w:rsid w:val="002E1369"/>
    <w:rsid w:val="002E18E4"/>
    <w:rsid w:val="002E2392"/>
    <w:rsid w:val="002E3956"/>
    <w:rsid w:val="002E3C3A"/>
    <w:rsid w:val="002E61E8"/>
    <w:rsid w:val="002E6EFD"/>
    <w:rsid w:val="002E75EC"/>
    <w:rsid w:val="002E791C"/>
    <w:rsid w:val="002F08A4"/>
    <w:rsid w:val="002F0D78"/>
    <w:rsid w:val="002F142F"/>
    <w:rsid w:val="002F1744"/>
    <w:rsid w:val="002F2DCB"/>
    <w:rsid w:val="002F45E3"/>
    <w:rsid w:val="002F4ED2"/>
    <w:rsid w:val="002F5BBE"/>
    <w:rsid w:val="002F6B39"/>
    <w:rsid w:val="003029E0"/>
    <w:rsid w:val="00302FEE"/>
    <w:rsid w:val="00303D51"/>
    <w:rsid w:val="00304904"/>
    <w:rsid w:val="003052E5"/>
    <w:rsid w:val="00306613"/>
    <w:rsid w:val="00307048"/>
    <w:rsid w:val="00307A9E"/>
    <w:rsid w:val="00310256"/>
    <w:rsid w:val="003108FE"/>
    <w:rsid w:val="00311237"/>
    <w:rsid w:val="003113D9"/>
    <w:rsid w:val="00311A45"/>
    <w:rsid w:val="00311E68"/>
    <w:rsid w:val="00314C48"/>
    <w:rsid w:val="0031500E"/>
    <w:rsid w:val="00315C0A"/>
    <w:rsid w:val="00316296"/>
    <w:rsid w:val="00316DA2"/>
    <w:rsid w:val="00320426"/>
    <w:rsid w:val="00322736"/>
    <w:rsid w:val="0032334A"/>
    <w:rsid w:val="003259C9"/>
    <w:rsid w:val="00326D49"/>
    <w:rsid w:val="00326E5D"/>
    <w:rsid w:val="003272E5"/>
    <w:rsid w:val="003277E7"/>
    <w:rsid w:val="00331A5E"/>
    <w:rsid w:val="00333053"/>
    <w:rsid w:val="0033372B"/>
    <w:rsid w:val="003343EB"/>
    <w:rsid w:val="00334939"/>
    <w:rsid w:val="0033558D"/>
    <w:rsid w:val="00335A2F"/>
    <w:rsid w:val="0033668D"/>
    <w:rsid w:val="00337064"/>
    <w:rsid w:val="0033707D"/>
    <w:rsid w:val="00340785"/>
    <w:rsid w:val="0034277B"/>
    <w:rsid w:val="00342F88"/>
    <w:rsid w:val="0034440B"/>
    <w:rsid w:val="00345599"/>
    <w:rsid w:val="003460B4"/>
    <w:rsid w:val="00346306"/>
    <w:rsid w:val="00347004"/>
    <w:rsid w:val="003470CC"/>
    <w:rsid w:val="003501BA"/>
    <w:rsid w:val="00353D47"/>
    <w:rsid w:val="00354107"/>
    <w:rsid w:val="00354F62"/>
    <w:rsid w:val="00356065"/>
    <w:rsid w:val="00356520"/>
    <w:rsid w:val="003568EB"/>
    <w:rsid w:val="003579D7"/>
    <w:rsid w:val="00360235"/>
    <w:rsid w:val="00360EB6"/>
    <w:rsid w:val="00361975"/>
    <w:rsid w:val="003648D6"/>
    <w:rsid w:val="00365D38"/>
    <w:rsid w:val="0036695F"/>
    <w:rsid w:val="00367900"/>
    <w:rsid w:val="003679DE"/>
    <w:rsid w:val="00367C0F"/>
    <w:rsid w:val="003718D6"/>
    <w:rsid w:val="00373150"/>
    <w:rsid w:val="00374D32"/>
    <w:rsid w:val="003769F5"/>
    <w:rsid w:val="00376DE4"/>
    <w:rsid w:val="00380518"/>
    <w:rsid w:val="003810D6"/>
    <w:rsid w:val="0038191C"/>
    <w:rsid w:val="0038359E"/>
    <w:rsid w:val="0038377A"/>
    <w:rsid w:val="003837A1"/>
    <w:rsid w:val="00383D36"/>
    <w:rsid w:val="00383EC5"/>
    <w:rsid w:val="00383F37"/>
    <w:rsid w:val="00384172"/>
    <w:rsid w:val="0038441C"/>
    <w:rsid w:val="003844D5"/>
    <w:rsid w:val="0038453E"/>
    <w:rsid w:val="0038479E"/>
    <w:rsid w:val="00385556"/>
    <w:rsid w:val="0038559C"/>
    <w:rsid w:val="00385943"/>
    <w:rsid w:val="00385BD5"/>
    <w:rsid w:val="00386CCD"/>
    <w:rsid w:val="00386FA8"/>
    <w:rsid w:val="0039091B"/>
    <w:rsid w:val="00390FD8"/>
    <w:rsid w:val="00391A11"/>
    <w:rsid w:val="00392AE2"/>
    <w:rsid w:val="003936DB"/>
    <w:rsid w:val="00393C08"/>
    <w:rsid w:val="0039408A"/>
    <w:rsid w:val="00394E6D"/>
    <w:rsid w:val="003965A6"/>
    <w:rsid w:val="00397B7D"/>
    <w:rsid w:val="00397FFE"/>
    <w:rsid w:val="003A03AF"/>
    <w:rsid w:val="003A11D1"/>
    <w:rsid w:val="003A19C1"/>
    <w:rsid w:val="003A2585"/>
    <w:rsid w:val="003A2590"/>
    <w:rsid w:val="003A30CB"/>
    <w:rsid w:val="003A3754"/>
    <w:rsid w:val="003A47F3"/>
    <w:rsid w:val="003A6708"/>
    <w:rsid w:val="003A7C7B"/>
    <w:rsid w:val="003A7DD0"/>
    <w:rsid w:val="003B005C"/>
    <w:rsid w:val="003B0066"/>
    <w:rsid w:val="003B090A"/>
    <w:rsid w:val="003B119B"/>
    <w:rsid w:val="003B1560"/>
    <w:rsid w:val="003B200B"/>
    <w:rsid w:val="003B234C"/>
    <w:rsid w:val="003B2822"/>
    <w:rsid w:val="003B2B25"/>
    <w:rsid w:val="003B475D"/>
    <w:rsid w:val="003B6046"/>
    <w:rsid w:val="003B7239"/>
    <w:rsid w:val="003B735A"/>
    <w:rsid w:val="003C01C1"/>
    <w:rsid w:val="003C0571"/>
    <w:rsid w:val="003C1E32"/>
    <w:rsid w:val="003C1F03"/>
    <w:rsid w:val="003C2376"/>
    <w:rsid w:val="003C3117"/>
    <w:rsid w:val="003C35AB"/>
    <w:rsid w:val="003C3E08"/>
    <w:rsid w:val="003C44B8"/>
    <w:rsid w:val="003C59BA"/>
    <w:rsid w:val="003C6ABC"/>
    <w:rsid w:val="003C6BF5"/>
    <w:rsid w:val="003C7DB1"/>
    <w:rsid w:val="003D0405"/>
    <w:rsid w:val="003D13BC"/>
    <w:rsid w:val="003D2568"/>
    <w:rsid w:val="003D554F"/>
    <w:rsid w:val="003D7C83"/>
    <w:rsid w:val="003D7EE0"/>
    <w:rsid w:val="003E00B3"/>
    <w:rsid w:val="003E00BA"/>
    <w:rsid w:val="003E0549"/>
    <w:rsid w:val="003E0C54"/>
    <w:rsid w:val="003E122D"/>
    <w:rsid w:val="003E18DA"/>
    <w:rsid w:val="003E22FE"/>
    <w:rsid w:val="003E2CB1"/>
    <w:rsid w:val="003E3D88"/>
    <w:rsid w:val="003E4836"/>
    <w:rsid w:val="003E4DC9"/>
    <w:rsid w:val="003E5225"/>
    <w:rsid w:val="003E5457"/>
    <w:rsid w:val="003E6D60"/>
    <w:rsid w:val="003E73CA"/>
    <w:rsid w:val="003F010F"/>
    <w:rsid w:val="003F09ED"/>
    <w:rsid w:val="003F1A0C"/>
    <w:rsid w:val="003F22C8"/>
    <w:rsid w:val="003F24AA"/>
    <w:rsid w:val="003F4FC0"/>
    <w:rsid w:val="003F69A8"/>
    <w:rsid w:val="003F69BE"/>
    <w:rsid w:val="003F6E46"/>
    <w:rsid w:val="003F72BB"/>
    <w:rsid w:val="003F7435"/>
    <w:rsid w:val="0040072B"/>
    <w:rsid w:val="00400C4B"/>
    <w:rsid w:val="0040100B"/>
    <w:rsid w:val="0040178E"/>
    <w:rsid w:val="00401EA7"/>
    <w:rsid w:val="00402D31"/>
    <w:rsid w:val="0040363E"/>
    <w:rsid w:val="00403CCC"/>
    <w:rsid w:val="004049A7"/>
    <w:rsid w:val="00404CE6"/>
    <w:rsid w:val="0040506C"/>
    <w:rsid w:val="00406261"/>
    <w:rsid w:val="00406290"/>
    <w:rsid w:val="00406B53"/>
    <w:rsid w:val="004070C9"/>
    <w:rsid w:val="0040751C"/>
    <w:rsid w:val="0040768D"/>
    <w:rsid w:val="00411686"/>
    <w:rsid w:val="004123B5"/>
    <w:rsid w:val="00412E93"/>
    <w:rsid w:val="004132F6"/>
    <w:rsid w:val="00413450"/>
    <w:rsid w:val="0041593F"/>
    <w:rsid w:val="00416C5C"/>
    <w:rsid w:val="00416E56"/>
    <w:rsid w:val="00417D26"/>
    <w:rsid w:val="00417EA0"/>
    <w:rsid w:val="0042074C"/>
    <w:rsid w:val="00420B33"/>
    <w:rsid w:val="0042247B"/>
    <w:rsid w:val="00422537"/>
    <w:rsid w:val="004225FE"/>
    <w:rsid w:val="004227B7"/>
    <w:rsid w:val="00423455"/>
    <w:rsid w:val="0042377D"/>
    <w:rsid w:val="00423C85"/>
    <w:rsid w:val="004243AA"/>
    <w:rsid w:val="00424724"/>
    <w:rsid w:val="00424DE5"/>
    <w:rsid w:val="00427A37"/>
    <w:rsid w:val="004313B2"/>
    <w:rsid w:val="004315E2"/>
    <w:rsid w:val="00432704"/>
    <w:rsid w:val="004332D5"/>
    <w:rsid w:val="0043383C"/>
    <w:rsid w:val="00434B05"/>
    <w:rsid w:val="00435298"/>
    <w:rsid w:val="00435375"/>
    <w:rsid w:val="004359BB"/>
    <w:rsid w:val="00435AEC"/>
    <w:rsid w:val="00435D35"/>
    <w:rsid w:val="004370B8"/>
    <w:rsid w:val="0043715A"/>
    <w:rsid w:val="00437EFD"/>
    <w:rsid w:val="0044001F"/>
    <w:rsid w:val="0044055E"/>
    <w:rsid w:val="00440635"/>
    <w:rsid w:val="00440CF6"/>
    <w:rsid w:val="004417F1"/>
    <w:rsid w:val="00441BDC"/>
    <w:rsid w:val="0044367E"/>
    <w:rsid w:val="00445007"/>
    <w:rsid w:val="00446014"/>
    <w:rsid w:val="0044688C"/>
    <w:rsid w:val="0044693E"/>
    <w:rsid w:val="00447100"/>
    <w:rsid w:val="0045057A"/>
    <w:rsid w:val="00450E04"/>
    <w:rsid w:val="0045255B"/>
    <w:rsid w:val="00453717"/>
    <w:rsid w:val="00454CD5"/>
    <w:rsid w:val="00455231"/>
    <w:rsid w:val="004572CE"/>
    <w:rsid w:val="00460013"/>
    <w:rsid w:val="00460775"/>
    <w:rsid w:val="00460F16"/>
    <w:rsid w:val="00461860"/>
    <w:rsid w:val="00462031"/>
    <w:rsid w:val="0046225E"/>
    <w:rsid w:val="00463A1B"/>
    <w:rsid w:val="0046475C"/>
    <w:rsid w:val="00464BD7"/>
    <w:rsid w:val="004700C0"/>
    <w:rsid w:val="0047021E"/>
    <w:rsid w:val="0047123E"/>
    <w:rsid w:val="00471CCA"/>
    <w:rsid w:val="00472873"/>
    <w:rsid w:val="00472908"/>
    <w:rsid w:val="00472D35"/>
    <w:rsid w:val="0047411C"/>
    <w:rsid w:val="00474B5D"/>
    <w:rsid w:val="004751B9"/>
    <w:rsid w:val="00475537"/>
    <w:rsid w:val="00475FA8"/>
    <w:rsid w:val="00476928"/>
    <w:rsid w:val="00476AE1"/>
    <w:rsid w:val="00476BD7"/>
    <w:rsid w:val="00477F2F"/>
    <w:rsid w:val="00480F18"/>
    <w:rsid w:val="004812C8"/>
    <w:rsid w:val="00481F5B"/>
    <w:rsid w:val="00483A74"/>
    <w:rsid w:val="00484213"/>
    <w:rsid w:val="00485548"/>
    <w:rsid w:val="00487106"/>
    <w:rsid w:val="00487A5A"/>
    <w:rsid w:val="00490254"/>
    <w:rsid w:val="0049110F"/>
    <w:rsid w:val="00491B36"/>
    <w:rsid w:val="00491B52"/>
    <w:rsid w:val="00491ED6"/>
    <w:rsid w:val="00491F94"/>
    <w:rsid w:val="0049399A"/>
    <w:rsid w:val="004942E7"/>
    <w:rsid w:val="00494B98"/>
    <w:rsid w:val="004A04AC"/>
    <w:rsid w:val="004A1899"/>
    <w:rsid w:val="004A1E50"/>
    <w:rsid w:val="004A1F94"/>
    <w:rsid w:val="004A4403"/>
    <w:rsid w:val="004A4CA7"/>
    <w:rsid w:val="004A4D80"/>
    <w:rsid w:val="004A5831"/>
    <w:rsid w:val="004A5C59"/>
    <w:rsid w:val="004A6A20"/>
    <w:rsid w:val="004A7159"/>
    <w:rsid w:val="004B1826"/>
    <w:rsid w:val="004B1E38"/>
    <w:rsid w:val="004B272D"/>
    <w:rsid w:val="004B3157"/>
    <w:rsid w:val="004B38A0"/>
    <w:rsid w:val="004B3925"/>
    <w:rsid w:val="004B5670"/>
    <w:rsid w:val="004B568B"/>
    <w:rsid w:val="004B71D1"/>
    <w:rsid w:val="004B79CE"/>
    <w:rsid w:val="004B7CF3"/>
    <w:rsid w:val="004C09B8"/>
    <w:rsid w:val="004C0B5E"/>
    <w:rsid w:val="004C2765"/>
    <w:rsid w:val="004C5A5E"/>
    <w:rsid w:val="004C5FA6"/>
    <w:rsid w:val="004C7F2F"/>
    <w:rsid w:val="004D1DCF"/>
    <w:rsid w:val="004D3DD9"/>
    <w:rsid w:val="004D5044"/>
    <w:rsid w:val="004D5411"/>
    <w:rsid w:val="004D5D22"/>
    <w:rsid w:val="004D6595"/>
    <w:rsid w:val="004D6C37"/>
    <w:rsid w:val="004D6E82"/>
    <w:rsid w:val="004D702B"/>
    <w:rsid w:val="004D7372"/>
    <w:rsid w:val="004E0319"/>
    <w:rsid w:val="004E04FE"/>
    <w:rsid w:val="004E1580"/>
    <w:rsid w:val="004E1B5B"/>
    <w:rsid w:val="004E2AB2"/>
    <w:rsid w:val="004E42D1"/>
    <w:rsid w:val="004E5211"/>
    <w:rsid w:val="004E72A2"/>
    <w:rsid w:val="004E7C09"/>
    <w:rsid w:val="004E7D00"/>
    <w:rsid w:val="004F0449"/>
    <w:rsid w:val="004F25CE"/>
    <w:rsid w:val="004F2A41"/>
    <w:rsid w:val="004F2DE5"/>
    <w:rsid w:val="004F5631"/>
    <w:rsid w:val="004F68E9"/>
    <w:rsid w:val="00500CCB"/>
    <w:rsid w:val="00501FF0"/>
    <w:rsid w:val="005020D4"/>
    <w:rsid w:val="005025C0"/>
    <w:rsid w:val="0050269E"/>
    <w:rsid w:val="005028D9"/>
    <w:rsid w:val="005031F6"/>
    <w:rsid w:val="00503236"/>
    <w:rsid w:val="005045CC"/>
    <w:rsid w:val="0050588B"/>
    <w:rsid w:val="00506401"/>
    <w:rsid w:val="005070CE"/>
    <w:rsid w:val="005072B6"/>
    <w:rsid w:val="00510051"/>
    <w:rsid w:val="00511BF0"/>
    <w:rsid w:val="00512404"/>
    <w:rsid w:val="00512BF6"/>
    <w:rsid w:val="00513488"/>
    <w:rsid w:val="00514204"/>
    <w:rsid w:val="00516558"/>
    <w:rsid w:val="00516654"/>
    <w:rsid w:val="005169FA"/>
    <w:rsid w:val="00517576"/>
    <w:rsid w:val="00517C6E"/>
    <w:rsid w:val="00521209"/>
    <w:rsid w:val="0052206B"/>
    <w:rsid w:val="0052404B"/>
    <w:rsid w:val="005260F4"/>
    <w:rsid w:val="00526836"/>
    <w:rsid w:val="00527AF1"/>
    <w:rsid w:val="00530B49"/>
    <w:rsid w:val="00532143"/>
    <w:rsid w:val="00532761"/>
    <w:rsid w:val="00533AC2"/>
    <w:rsid w:val="00533D84"/>
    <w:rsid w:val="00535092"/>
    <w:rsid w:val="00542741"/>
    <w:rsid w:val="005441D8"/>
    <w:rsid w:val="0054479C"/>
    <w:rsid w:val="0055082F"/>
    <w:rsid w:val="00551363"/>
    <w:rsid w:val="00552003"/>
    <w:rsid w:val="00552206"/>
    <w:rsid w:val="0055269D"/>
    <w:rsid w:val="00552FE0"/>
    <w:rsid w:val="00553C2B"/>
    <w:rsid w:val="00554583"/>
    <w:rsid w:val="00554DBE"/>
    <w:rsid w:val="00554F7F"/>
    <w:rsid w:val="005551AE"/>
    <w:rsid w:val="00555CC9"/>
    <w:rsid w:val="00556E8C"/>
    <w:rsid w:val="00557B39"/>
    <w:rsid w:val="005602B7"/>
    <w:rsid w:val="00560819"/>
    <w:rsid w:val="00561C00"/>
    <w:rsid w:val="005625A4"/>
    <w:rsid w:val="00563660"/>
    <w:rsid w:val="00563BE9"/>
    <w:rsid w:val="00564300"/>
    <w:rsid w:val="00564D6F"/>
    <w:rsid w:val="005667E4"/>
    <w:rsid w:val="00567B97"/>
    <w:rsid w:val="00571044"/>
    <w:rsid w:val="00571539"/>
    <w:rsid w:val="00572097"/>
    <w:rsid w:val="00572312"/>
    <w:rsid w:val="00575252"/>
    <w:rsid w:val="00575265"/>
    <w:rsid w:val="00575481"/>
    <w:rsid w:val="005764C6"/>
    <w:rsid w:val="00576C7F"/>
    <w:rsid w:val="00577261"/>
    <w:rsid w:val="005779C8"/>
    <w:rsid w:val="005801A6"/>
    <w:rsid w:val="0058031B"/>
    <w:rsid w:val="00580B75"/>
    <w:rsid w:val="00580EB6"/>
    <w:rsid w:val="005810D4"/>
    <w:rsid w:val="00586E2C"/>
    <w:rsid w:val="005872FB"/>
    <w:rsid w:val="00591D2F"/>
    <w:rsid w:val="005924CD"/>
    <w:rsid w:val="0059370E"/>
    <w:rsid w:val="005937F4"/>
    <w:rsid w:val="005941EF"/>
    <w:rsid w:val="00594206"/>
    <w:rsid w:val="0059503A"/>
    <w:rsid w:val="00595871"/>
    <w:rsid w:val="00595A49"/>
    <w:rsid w:val="005976C5"/>
    <w:rsid w:val="00597FC9"/>
    <w:rsid w:val="005A16D2"/>
    <w:rsid w:val="005A31BE"/>
    <w:rsid w:val="005A3B28"/>
    <w:rsid w:val="005A4177"/>
    <w:rsid w:val="005A4984"/>
    <w:rsid w:val="005A59B2"/>
    <w:rsid w:val="005A61D6"/>
    <w:rsid w:val="005A6265"/>
    <w:rsid w:val="005A6F6F"/>
    <w:rsid w:val="005A74D3"/>
    <w:rsid w:val="005A7752"/>
    <w:rsid w:val="005A7765"/>
    <w:rsid w:val="005A7B2F"/>
    <w:rsid w:val="005A7D1A"/>
    <w:rsid w:val="005B0BF1"/>
    <w:rsid w:val="005B13B1"/>
    <w:rsid w:val="005B25AA"/>
    <w:rsid w:val="005B272D"/>
    <w:rsid w:val="005B33F2"/>
    <w:rsid w:val="005B49BF"/>
    <w:rsid w:val="005B50A9"/>
    <w:rsid w:val="005B513E"/>
    <w:rsid w:val="005B60D5"/>
    <w:rsid w:val="005B674F"/>
    <w:rsid w:val="005B677C"/>
    <w:rsid w:val="005B6B37"/>
    <w:rsid w:val="005B7158"/>
    <w:rsid w:val="005B7F15"/>
    <w:rsid w:val="005C0FCD"/>
    <w:rsid w:val="005C11DE"/>
    <w:rsid w:val="005C30B1"/>
    <w:rsid w:val="005C3209"/>
    <w:rsid w:val="005C5488"/>
    <w:rsid w:val="005C5B21"/>
    <w:rsid w:val="005C5B2A"/>
    <w:rsid w:val="005C639B"/>
    <w:rsid w:val="005C661B"/>
    <w:rsid w:val="005C66FB"/>
    <w:rsid w:val="005C7721"/>
    <w:rsid w:val="005C77E1"/>
    <w:rsid w:val="005D01B5"/>
    <w:rsid w:val="005D10B0"/>
    <w:rsid w:val="005D18F9"/>
    <w:rsid w:val="005D30AF"/>
    <w:rsid w:val="005D5AAB"/>
    <w:rsid w:val="005D62D8"/>
    <w:rsid w:val="005D66C0"/>
    <w:rsid w:val="005D6BBF"/>
    <w:rsid w:val="005D746B"/>
    <w:rsid w:val="005E1173"/>
    <w:rsid w:val="005E4372"/>
    <w:rsid w:val="005E487A"/>
    <w:rsid w:val="005E4898"/>
    <w:rsid w:val="005E4FF0"/>
    <w:rsid w:val="005E52E2"/>
    <w:rsid w:val="005E7AA9"/>
    <w:rsid w:val="005F08D0"/>
    <w:rsid w:val="005F2C2C"/>
    <w:rsid w:val="005F6BD6"/>
    <w:rsid w:val="005F7012"/>
    <w:rsid w:val="005F7914"/>
    <w:rsid w:val="00602999"/>
    <w:rsid w:val="006035CB"/>
    <w:rsid w:val="00603D9A"/>
    <w:rsid w:val="00603DE3"/>
    <w:rsid w:val="006047AE"/>
    <w:rsid w:val="00604F05"/>
    <w:rsid w:val="006073A7"/>
    <w:rsid w:val="006076BE"/>
    <w:rsid w:val="00610250"/>
    <w:rsid w:val="00610A58"/>
    <w:rsid w:val="00610A74"/>
    <w:rsid w:val="00610F87"/>
    <w:rsid w:val="00612578"/>
    <w:rsid w:val="006128C5"/>
    <w:rsid w:val="00612A2C"/>
    <w:rsid w:val="0061350B"/>
    <w:rsid w:val="006135F6"/>
    <w:rsid w:val="0061420F"/>
    <w:rsid w:val="00614E43"/>
    <w:rsid w:val="00615A8D"/>
    <w:rsid w:val="00616F0F"/>
    <w:rsid w:val="006170FF"/>
    <w:rsid w:val="00617584"/>
    <w:rsid w:val="00617D85"/>
    <w:rsid w:val="006216A3"/>
    <w:rsid w:val="00621C19"/>
    <w:rsid w:val="00623BCA"/>
    <w:rsid w:val="006242BE"/>
    <w:rsid w:val="0063084B"/>
    <w:rsid w:val="00631BDF"/>
    <w:rsid w:val="00631E7B"/>
    <w:rsid w:val="006350F3"/>
    <w:rsid w:val="006355A0"/>
    <w:rsid w:val="006357AE"/>
    <w:rsid w:val="00636792"/>
    <w:rsid w:val="006368E3"/>
    <w:rsid w:val="00637127"/>
    <w:rsid w:val="00641F89"/>
    <w:rsid w:val="006423DF"/>
    <w:rsid w:val="006429BB"/>
    <w:rsid w:val="006435A1"/>
    <w:rsid w:val="006438DF"/>
    <w:rsid w:val="00644114"/>
    <w:rsid w:val="0064493B"/>
    <w:rsid w:val="0064568D"/>
    <w:rsid w:val="0064584A"/>
    <w:rsid w:val="00647B15"/>
    <w:rsid w:val="00650182"/>
    <w:rsid w:val="00653A4A"/>
    <w:rsid w:val="00653ACF"/>
    <w:rsid w:val="00653BD3"/>
    <w:rsid w:val="00653DC2"/>
    <w:rsid w:val="00653F21"/>
    <w:rsid w:val="00654069"/>
    <w:rsid w:val="00654617"/>
    <w:rsid w:val="00654EC8"/>
    <w:rsid w:val="00655A0F"/>
    <w:rsid w:val="00656AC3"/>
    <w:rsid w:val="00657DAB"/>
    <w:rsid w:val="00662DB8"/>
    <w:rsid w:val="006632D2"/>
    <w:rsid w:val="00664317"/>
    <w:rsid w:val="00666216"/>
    <w:rsid w:val="00666B53"/>
    <w:rsid w:val="00667B43"/>
    <w:rsid w:val="00670C9C"/>
    <w:rsid w:val="00670D25"/>
    <w:rsid w:val="00671008"/>
    <w:rsid w:val="0067142E"/>
    <w:rsid w:val="00671E06"/>
    <w:rsid w:val="00672A61"/>
    <w:rsid w:val="00673299"/>
    <w:rsid w:val="0067410B"/>
    <w:rsid w:val="00675469"/>
    <w:rsid w:val="00676109"/>
    <w:rsid w:val="006769C1"/>
    <w:rsid w:val="00677710"/>
    <w:rsid w:val="00677922"/>
    <w:rsid w:val="00681C2F"/>
    <w:rsid w:val="00682023"/>
    <w:rsid w:val="006829EB"/>
    <w:rsid w:val="00682F97"/>
    <w:rsid w:val="00683AAA"/>
    <w:rsid w:val="00685FB1"/>
    <w:rsid w:val="0068697F"/>
    <w:rsid w:val="0069017C"/>
    <w:rsid w:val="00692412"/>
    <w:rsid w:val="0069296E"/>
    <w:rsid w:val="00693A99"/>
    <w:rsid w:val="00697022"/>
    <w:rsid w:val="00697FB3"/>
    <w:rsid w:val="006A0C2E"/>
    <w:rsid w:val="006A0FE2"/>
    <w:rsid w:val="006A1046"/>
    <w:rsid w:val="006A18CB"/>
    <w:rsid w:val="006A1CCF"/>
    <w:rsid w:val="006A2F23"/>
    <w:rsid w:val="006A341B"/>
    <w:rsid w:val="006A3FFF"/>
    <w:rsid w:val="006A41B6"/>
    <w:rsid w:val="006A4C46"/>
    <w:rsid w:val="006A5046"/>
    <w:rsid w:val="006A63E4"/>
    <w:rsid w:val="006A64D0"/>
    <w:rsid w:val="006A67D2"/>
    <w:rsid w:val="006A77FC"/>
    <w:rsid w:val="006B033E"/>
    <w:rsid w:val="006B07B1"/>
    <w:rsid w:val="006B0B38"/>
    <w:rsid w:val="006B1C57"/>
    <w:rsid w:val="006B2386"/>
    <w:rsid w:val="006B3911"/>
    <w:rsid w:val="006B3FFB"/>
    <w:rsid w:val="006B4345"/>
    <w:rsid w:val="006B49D1"/>
    <w:rsid w:val="006B4DB8"/>
    <w:rsid w:val="006B516E"/>
    <w:rsid w:val="006B7445"/>
    <w:rsid w:val="006C061F"/>
    <w:rsid w:val="006C0F6D"/>
    <w:rsid w:val="006C378F"/>
    <w:rsid w:val="006C3AD0"/>
    <w:rsid w:val="006C476E"/>
    <w:rsid w:val="006D0700"/>
    <w:rsid w:val="006D13DE"/>
    <w:rsid w:val="006D1D32"/>
    <w:rsid w:val="006D2919"/>
    <w:rsid w:val="006D2BD1"/>
    <w:rsid w:val="006D3724"/>
    <w:rsid w:val="006D38FD"/>
    <w:rsid w:val="006D44EE"/>
    <w:rsid w:val="006D46EC"/>
    <w:rsid w:val="006D5F4B"/>
    <w:rsid w:val="006D6E71"/>
    <w:rsid w:val="006D7118"/>
    <w:rsid w:val="006D7827"/>
    <w:rsid w:val="006E0AE7"/>
    <w:rsid w:val="006E2193"/>
    <w:rsid w:val="006E2D74"/>
    <w:rsid w:val="006E36CE"/>
    <w:rsid w:val="006E4D9E"/>
    <w:rsid w:val="006E59AF"/>
    <w:rsid w:val="006E6EF9"/>
    <w:rsid w:val="006F0430"/>
    <w:rsid w:val="006F2811"/>
    <w:rsid w:val="006F47FD"/>
    <w:rsid w:val="006F530B"/>
    <w:rsid w:val="006F60A2"/>
    <w:rsid w:val="006F6C9D"/>
    <w:rsid w:val="006F7E32"/>
    <w:rsid w:val="00700552"/>
    <w:rsid w:val="00700F66"/>
    <w:rsid w:val="00702212"/>
    <w:rsid w:val="00704755"/>
    <w:rsid w:val="00704872"/>
    <w:rsid w:val="00705B01"/>
    <w:rsid w:val="00706741"/>
    <w:rsid w:val="00706A50"/>
    <w:rsid w:val="00706DB7"/>
    <w:rsid w:val="00710941"/>
    <w:rsid w:val="00713B34"/>
    <w:rsid w:val="00713D98"/>
    <w:rsid w:val="007155D3"/>
    <w:rsid w:val="00715821"/>
    <w:rsid w:val="00716598"/>
    <w:rsid w:val="00717129"/>
    <w:rsid w:val="0071723A"/>
    <w:rsid w:val="0071741F"/>
    <w:rsid w:val="007177F8"/>
    <w:rsid w:val="00717A11"/>
    <w:rsid w:val="00720433"/>
    <w:rsid w:val="00720468"/>
    <w:rsid w:val="00721182"/>
    <w:rsid w:val="00721A15"/>
    <w:rsid w:val="00721D8E"/>
    <w:rsid w:val="007226AB"/>
    <w:rsid w:val="00726280"/>
    <w:rsid w:val="007278AC"/>
    <w:rsid w:val="00727D9B"/>
    <w:rsid w:val="0073137D"/>
    <w:rsid w:val="00731E7B"/>
    <w:rsid w:val="007329FB"/>
    <w:rsid w:val="00732D07"/>
    <w:rsid w:val="007354E2"/>
    <w:rsid w:val="00735503"/>
    <w:rsid w:val="0073556F"/>
    <w:rsid w:val="007358AE"/>
    <w:rsid w:val="00735BAA"/>
    <w:rsid w:val="0073631B"/>
    <w:rsid w:val="00736468"/>
    <w:rsid w:val="0073715E"/>
    <w:rsid w:val="00737961"/>
    <w:rsid w:val="00740176"/>
    <w:rsid w:val="007415B4"/>
    <w:rsid w:val="0074188D"/>
    <w:rsid w:val="00741B0B"/>
    <w:rsid w:val="007423E2"/>
    <w:rsid w:val="0074268E"/>
    <w:rsid w:val="00743139"/>
    <w:rsid w:val="007449B6"/>
    <w:rsid w:val="00744DF7"/>
    <w:rsid w:val="00744FF0"/>
    <w:rsid w:val="00745383"/>
    <w:rsid w:val="007454E2"/>
    <w:rsid w:val="00745EEA"/>
    <w:rsid w:val="007461B6"/>
    <w:rsid w:val="0075076F"/>
    <w:rsid w:val="00750B65"/>
    <w:rsid w:val="00750B8D"/>
    <w:rsid w:val="0075195E"/>
    <w:rsid w:val="0075233F"/>
    <w:rsid w:val="00753254"/>
    <w:rsid w:val="007535E3"/>
    <w:rsid w:val="0075410E"/>
    <w:rsid w:val="0075432E"/>
    <w:rsid w:val="00754FCF"/>
    <w:rsid w:val="00755441"/>
    <w:rsid w:val="007571D6"/>
    <w:rsid w:val="007574D6"/>
    <w:rsid w:val="00757735"/>
    <w:rsid w:val="00757A8D"/>
    <w:rsid w:val="00761375"/>
    <w:rsid w:val="00761AB1"/>
    <w:rsid w:val="00766D67"/>
    <w:rsid w:val="00767DE3"/>
    <w:rsid w:val="007702FE"/>
    <w:rsid w:val="00770B32"/>
    <w:rsid w:val="00771852"/>
    <w:rsid w:val="00772454"/>
    <w:rsid w:val="00772B6D"/>
    <w:rsid w:val="00773916"/>
    <w:rsid w:val="0077451B"/>
    <w:rsid w:val="00775330"/>
    <w:rsid w:val="007767D7"/>
    <w:rsid w:val="00776EE8"/>
    <w:rsid w:val="007803AE"/>
    <w:rsid w:val="00781DFF"/>
    <w:rsid w:val="007825B5"/>
    <w:rsid w:val="00783C9C"/>
    <w:rsid w:val="0078450E"/>
    <w:rsid w:val="00784829"/>
    <w:rsid w:val="00784E47"/>
    <w:rsid w:val="00786813"/>
    <w:rsid w:val="007870F3"/>
    <w:rsid w:val="0078742A"/>
    <w:rsid w:val="00787E69"/>
    <w:rsid w:val="007902D5"/>
    <w:rsid w:val="007909DA"/>
    <w:rsid w:val="007916FA"/>
    <w:rsid w:val="00792EFF"/>
    <w:rsid w:val="007936A5"/>
    <w:rsid w:val="00793EA6"/>
    <w:rsid w:val="007944CA"/>
    <w:rsid w:val="007946E6"/>
    <w:rsid w:val="00795CA2"/>
    <w:rsid w:val="00796AE0"/>
    <w:rsid w:val="00796DE3"/>
    <w:rsid w:val="007A1D39"/>
    <w:rsid w:val="007A2BD7"/>
    <w:rsid w:val="007A502F"/>
    <w:rsid w:val="007A64A6"/>
    <w:rsid w:val="007A6A3B"/>
    <w:rsid w:val="007A730E"/>
    <w:rsid w:val="007B00A8"/>
    <w:rsid w:val="007B0859"/>
    <w:rsid w:val="007B0CD6"/>
    <w:rsid w:val="007B0EB2"/>
    <w:rsid w:val="007B1D73"/>
    <w:rsid w:val="007B2148"/>
    <w:rsid w:val="007B2B0D"/>
    <w:rsid w:val="007B3E3D"/>
    <w:rsid w:val="007B4AA4"/>
    <w:rsid w:val="007B51F7"/>
    <w:rsid w:val="007B63F5"/>
    <w:rsid w:val="007B7F23"/>
    <w:rsid w:val="007C00CF"/>
    <w:rsid w:val="007C048F"/>
    <w:rsid w:val="007C1BAA"/>
    <w:rsid w:val="007C21F4"/>
    <w:rsid w:val="007C58D8"/>
    <w:rsid w:val="007C6FB1"/>
    <w:rsid w:val="007C742D"/>
    <w:rsid w:val="007D1469"/>
    <w:rsid w:val="007D1B95"/>
    <w:rsid w:val="007D200D"/>
    <w:rsid w:val="007D29E5"/>
    <w:rsid w:val="007D35D7"/>
    <w:rsid w:val="007D370F"/>
    <w:rsid w:val="007D5191"/>
    <w:rsid w:val="007D56AC"/>
    <w:rsid w:val="007D60E8"/>
    <w:rsid w:val="007D644C"/>
    <w:rsid w:val="007D6CC5"/>
    <w:rsid w:val="007D774C"/>
    <w:rsid w:val="007D7FA0"/>
    <w:rsid w:val="007E0C4F"/>
    <w:rsid w:val="007E12C3"/>
    <w:rsid w:val="007E2003"/>
    <w:rsid w:val="007E337C"/>
    <w:rsid w:val="007E3AF8"/>
    <w:rsid w:val="007E3C6C"/>
    <w:rsid w:val="007E3DEE"/>
    <w:rsid w:val="007E50C3"/>
    <w:rsid w:val="007E5254"/>
    <w:rsid w:val="007E666B"/>
    <w:rsid w:val="007E7112"/>
    <w:rsid w:val="007E7253"/>
    <w:rsid w:val="007E7474"/>
    <w:rsid w:val="007F08EA"/>
    <w:rsid w:val="007F1667"/>
    <w:rsid w:val="007F16C9"/>
    <w:rsid w:val="007F1818"/>
    <w:rsid w:val="007F1948"/>
    <w:rsid w:val="007F3D1C"/>
    <w:rsid w:val="008008F4"/>
    <w:rsid w:val="00800E58"/>
    <w:rsid w:val="00801FEC"/>
    <w:rsid w:val="008021DE"/>
    <w:rsid w:val="00802481"/>
    <w:rsid w:val="008026E1"/>
    <w:rsid w:val="008036EB"/>
    <w:rsid w:val="00803C4C"/>
    <w:rsid w:val="00804E4A"/>
    <w:rsid w:val="00805384"/>
    <w:rsid w:val="00806BA2"/>
    <w:rsid w:val="00807499"/>
    <w:rsid w:val="00807A46"/>
    <w:rsid w:val="008100EA"/>
    <w:rsid w:val="00810971"/>
    <w:rsid w:val="00810B14"/>
    <w:rsid w:val="0081115D"/>
    <w:rsid w:val="00811222"/>
    <w:rsid w:val="00812BDA"/>
    <w:rsid w:val="00812DCF"/>
    <w:rsid w:val="0081314D"/>
    <w:rsid w:val="0081413F"/>
    <w:rsid w:val="008142E9"/>
    <w:rsid w:val="0081501E"/>
    <w:rsid w:val="00815557"/>
    <w:rsid w:val="00815BA8"/>
    <w:rsid w:val="008167C4"/>
    <w:rsid w:val="00816FEC"/>
    <w:rsid w:val="00821F93"/>
    <w:rsid w:val="00822731"/>
    <w:rsid w:val="008234E5"/>
    <w:rsid w:val="00824C6E"/>
    <w:rsid w:val="00825DD6"/>
    <w:rsid w:val="00826667"/>
    <w:rsid w:val="00830738"/>
    <w:rsid w:val="0083163A"/>
    <w:rsid w:val="00832AC7"/>
    <w:rsid w:val="00833B7E"/>
    <w:rsid w:val="008345FD"/>
    <w:rsid w:val="00834789"/>
    <w:rsid w:val="00835AA3"/>
    <w:rsid w:val="008367C4"/>
    <w:rsid w:val="00837FF0"/>
    <w:rsid w:val="00840126"/>
    <w:rsid w:val="008401A8"/>
    <w:rsid w:val="008402FE"/>
    <w:rsid w:val="00842FAC"/>
    <w:rsid w:val="00844C0C"/>
    <w:rsid w:val="0084659B"/>
    <w:rsid w:val="0084671E"/>
    <w:rsid w:val="00847606"/>
    <w:rsid w:val="00847E5C"/>
    <w:rsid w:val="00855011"/>
    <w:rsid w:val="00856167"/>
    <w:rsid w:val="00856D32"/>
    <w:rsid w:val="00857295"/>
    <w:rsid w:val="0085760B"/>
    <w:rsid w:val="008577E5"/>
    <w:rsid w:val="00860040"/>
    <w:rsid w:val="008600D9"/>
    <w:rsid w:val="008614BF"/>
    <w:rsid w:val="008614E0"/>
    <w:rsid w:val="00863AF4"/>
    <w:rsid w:val="00863BEB"/>
    <w:rsid w:val="00864269"/>
    <w:rsid w:val="00864F2B"/>
    <w:rsid w:val="00865290"/>
    <w:rsid w:val="008652D2"/>
    <w:rsid w:val="00865E09"/>
    <w:rsid w:val="0086603B"/>
    <w:rsid w:val="008661FE"/>
    <w:rsid w:val="0086634A"/>
    <w:rsid w:val="008668D7"/>
    <w:rsid w:val="00867954"/>
    <w:rsid w:val="00870329"/>
    <w:rsid w:val="00870A83"/>
    <w:rsid w:val="00870AE7"/>
    <w:rsid w:val="00870FB6"/>
    <w:rsid w:val="00871C70"/>
    <w:rsid w:val="00872A04"/>
    <w:rsid w:val="00872BF0"/>
    <w:rsid w:val="00872C2A"/>
    <w:rsid w:val="00872E46"/>
    <w:rsid w:val="0087353F"/>
    <w:rsid w:val="008740CD"/>
    <w:rsid w:val="008753E6"/>
    <w:rsid w:val="0087640A"/>
    <w:rsid w:val="00877624"/>
    <w:rsid w:val="00877A4B"/>
    <w:rsid w:val="008801A3"/>
    <w:rsid w:val="00880280"/>
    <w:rsid w:val="0088047C"/>
    <w:rsid w:val="0088053F"/>
    <w:rsid w:val="0088086B"/>
    <w:rsid w:val="00881868"/>
    <w:rsid w:val="00882581"/>
    <w:rsid w:val="00882B19"/>
    <w:rsid w:val="008831F4"/>
    <w:rsid w:val="008835BC"/>
    <w:rsid w:val="00883687"/>
    <w:rsid w:val="00883E95"/>
    <w:rsid w:val="008841C6"/>
    <w:rsid w:val="00884C2B"/>
    <w:rsid w:val="00885E14"/>
    <w:rsid w:val="00887545"/>
    <w:rsid w:val="00887FB0"/>
    <w:rsid w:val="00890385"/>
    <w:rsid w:val="008921C5"/>
    <w:rsid w:val="00892373"/>
    <w:rsid w:val="00892744"/>
    <w:rsid w:val="008937C0"/>
    <w:rsid w:val="00894843"/>
    <w:rsid w:val="00894D9D"/>
    <w:rsid w:val="00895104"/>
    <w:rsid w:val="00895778"/>
    <w:rsid w:val="0089578D"/>
    <w:rsid w:val="00895E96"/>
    <w:rsid w:val="00897004"/>
    <w:rsid w:val="008A052C"/>
    <w:rsid w:val="008A06DB"/>
    <w:rsid w:val="008A287D"/>
    <w:rsid w:val="008A2D30"/>
    <w:rsid w:val="008A30BF"/>
    <w:rsid w:val="008A412F"/>
    <w:rsid w:val="008A480C"/>
    <w:rsid w:val="008A4911"/>
    <w:rsid w:val="008A54A8"/>
    <w:rsid w:val="008A54AC"/>
    <w:rsid w:val="008A61B6"/>
    <w:rsid w:val="008A666D"/>
    <w:rsid w:val="008A6C64"/>
    <w:rsid w:val="008A6EE7"/>
    <w:rsid w:val="008B00F6"/>
    <w:rsid w:val="008B1504"/>
    <w:rsid w:val="008B2AD7"/>
    <w:rsid w:val="008B2B28"/>
    <w:rsid w:val="008B2CBB"/>
    <w:rsid w:val="008B3990"/>
    <w:rsid w:val="008B3A98"/>
    <w:rsid w:val="008B3D7A"/>
    <w:rsid w:val="008B55EE"/>
    <w:rsid w:val="008B5E3F"/>
    <w:rsid w:val="008B7634"/>
    <w:rsid w:val="008C0FA4"/>
    <w:rsid w:val="008C2F2D"/>
    <w:rsid w:val="008C3FB3"/>
    <w:rsid w:val="008C6366"/>
    <w:rsid w:val="008C7C1F"/>
    <w:rsid w:val="008D171D"/>
    <w:rsid w:val="008D24B0"/>
    <w:rsid w:val="008D2AB8"/>
    <w:rsid w:val="008D2CD9"/>
    <w:rsid w:val="008D2F60"/>
    <w:rsid w:val="008D4450"/>
    <w:rsid w:val="008D48B0"/>
    <w:rsid w:val="008D6193"/>
    <w:rsid w:val="008D7216"/>
    <w:rsid w:val="008E075B"/>
    <w:rsid w:val="008E2E80"/>
    <w:rsid w:val="008E38E1"/>
    <w:rsid w:val="008E477D"/>
    <w:rsid w:val="008E4DCB"/>
    <w:rsid w:val="008E5AFB"/>
    <w:rsid w:val="008E678D"/>
    <w:rsid w:val="008E68EC"/>
    <w:rsid w:val="008E696D"/>
    <w:rsid w:val="008E7EE0"/>
    <w:rsid w:val="008F10AC"/>
    <w:rsid w:val="008F2338"/>
    <w:rsid w:val="008F2668"/>
    <w:rsid w:val="008F267D"/>
    <w:rsid w:val="008F346A"/>
    <w:rsid w:val="008F371C"/>
    <w:rsid w:val="008F55EE"/>
    <w:rsid w:val="008F6CFD"/>
    <w:rsid w:val="008F6EB5"/>
    <w:rsid w:val="008F7645"/>
    <w:rsid w:val="0090009C"/>
    <w:rsid w:val="0090065D"/>
    <w:rsid w:val="0090089C"/>
    <w:rsid w:val="0090115E"/>
    <w:rsid w:val="009012D1"/>
    <w:rsid w:val="00902346"/>
    <w:rsid w:val="0090295A"/>
    <w:rsid w:val="009029FC"/>
    <w:rsid w:val="00902FEF"/>
    <w:rsid w:val="00903AF3"/>
    <w:rsid w:val="009046F9"/>
    <w:rsid w:val="00905687"/>
    <w:rsid w:val="00906533"/>
    <w:rsid w:val="00907B73"/>
    <w:rsid w:val="0091040F"/>
    <w:rsid w:val="00910868"/>
    <w:rsid w:val="00910B9A"/>
    <w:rsid w:val="0091176C"/>
    <w:rsid w:val="00912B0B"/>
    <w:rsid w:val="00912C86"/>
    <w:rsid w:val="00913563"/>
    <w:rsid w:val="00914058"/>
    <w:rsid w:val="00914C40"/>
    <w:rsid w:val="00915B4B"/>
    <w:rsid w:val="00920426"/>
    <w:rsid w:val="00921012"/>
    <w:rsid w:val="00921D3F"/>
    <w:rsid w:val="00922B53"/>
    <w:rsid w:val="00923C5E"/>
    <w:rsid w:val="00923F3B"/>
    <w:rsid w:val="00923FE8"/>
    <w:rsid w:val="00924194"/>
    <w:rsid w:val="00924297"/>
    <w:rsid w:val="00926523"/>
    <w:rsid w:val="009265D0"/>
    <w:rsid w:val="009276E3"/>
    <w:rsid w:val="00927764"/>
    <w:rsid w:val="0093134D"/>
    <w:rsid w:val="00931A50"/>
    <w:rsid w:val="0093257C"/>
    <w:rsid w:val="009357BF"/>
    <w:rsid w:val="009358FF"/>
    <w:rsid w:val="00935BA2"/>
    <w:rsid w:val="00936155"/>
    <w:rsid w:val="0093659B"/>
    <w:rsid w:val="009371A3"/>
    <w:rsid w:val="009400FA"/>
    <w:rsid w:val="0094187B"/>
    <w:rsid w:val="00941DE8"/>
    <w:rsid w:val="00942217"/>
    <w:rsid w:val="0094285E"/>
    <w:rsid w:val="00942F1E"/>
    <w:rsid w:val="009437B6"/>
    <w:rsid w:val="00944088"/>
    <w:rsid w:val="00944980"/>
    <w:rsid w:val="00944EA6"/>
    <w:rsid w:val="009450FE"/>
    <w:rsid w:val="00950928"/>
    <w:rsid w:val="00950C9A"/>
    <w:rsid w:val="00951847"/>
    <w:rsid w:val="00952306"/>
    <w:rsid w:val="00953B6B"/>
    <w:rsid w:val="00953FC5"/>
    <w:rsid w:val="00957043"/>
    <w:rsid w:val="009570E7"/>
    <w:rsid w:val="009578AD"/>
    <w:rsid w:val="009608BF"/>
    <w:rsid w:val="00960C0D"/>
    <w:rsid w:val="00961521"/>
    <w:rsid w:val="00962CAB"/>
    <w:rsid w:val="00963413"/>
    <w:rsid w:val="009634A1"/>
    <w:rsid w:val="00963660"/>
    <w:rsid w:val="00963BE8"/>
    <w:rsid w:val="00964FFB"/>
    <w:rsid w:val="00965BD4"/>
    <w:rsid w:val="00965FA3"/>
    <w:rsid w:val="00965FE7"/>
    <w:rsid w:val="009662A6"/>
    <w:rsid w:val="009670AA"/>
    <w:rsid w:val="009678CF"/>
    <w:rsid w:val="00970117"/>
    <w:rsid w:val="00971CBF"/>
    <w:rsid w:val="00971ECB"/>
    <w:rsid w:val="00972AA9"/>
    <w:rsid w:val="0097386D"/>
    <w:rsid w:val="00973FCA"/>
    <w:rsid w:val="00974218"/>
    <w:rsid w:val="00977861"/>
    <w:rsid w:val="00981135"/>
    <w:rsid w:val="009811AB"/>
    <w:rsid w:val="00981F0A"/>
    <w:rsid w:val="00981FD8"/>
    <w:rsid w:val="00982893"/>
    <w:rsid w:val="0098298D"/>
    <w:rsid w:val="00982AC0"/>
    <w:rsid w:val="00983158"/>
    <w:rsid w:val="0098318C"/>
    <w:rsid w:val="009839F7"/>
    <w:rsid w:val="00984682"/>
    <w:rsid w:val="009857B5"/>
    <w:rsid w:val="0098599F"/>
    <w:rsid w:val="00985C8B"/>
    <w:rsid w:val="00986B04"/>
    <w:rsid w:val="00986BFD"/>
    <w:rsid w:val="009871A0"/>
    <w:rsid w:val="00987720"/>
    <w:rsid w:val="00990F5F"/>
    <w:rsid w:val="009917BB"/>
    <w:rsid w:val="0099183D"/>
    <w:rsid w:val="00992127"/>
    <w:rsid w:val="0099266D"/>
    <w:rsid w:val="00992958"/>
    <w:rsid w:val="00992C9A"/>
    <w:rsid w:val="0099326A"/>
    <w:rsid w:val="00993EA6"/>
    <w:rsid w:val="009947F4"/>
    <w:rsid w:val="00994C1A"/>
    <w:rsid w:val="009962FA"/>
    <w:rsid w:val="009A0433"/>
    <w:rsid w:val="009A3808"/>
    <w:rsid w:val="009A3BDA"/>
    <w:rsid w:val="009A47DD"/>
    <w:rsid w:val="009A52AB"/>
    <w:rsid w:val="009A77E3"/>
    <w:rsid w:val="009B04A3"/>
    <w:rsid w:val="009B0AAD"/>
    <w:rsid w:val="009B19E4"/>
    <w:rsid w:val="009B2A99"/>
    <w:rsid w:val="009B31E8"/>
    <w:rsid w:val="009B4126"/>
    <w:rsid w:val="009B461E"/>
    <w:rsid w:val="009B4BB3"/>
    <w:rsid w:val="009B4C5B"/>
    <w:rsid w:val="009B57D8"/>
    <w:rsid w:val="009B6C3D"/>
    <w:rsid w:val="009B6D2F"/>
    <w:rsid w:val="009C05DF"/>
    <w:rsid w:val="009C074F"/>
    <w:rsid w:val="009C3391"/>
    <w:rsid w:val="009C4A44"/>
    <w:rsid w:val="009C4A87"/>
    <w:rsid w:val="009C4E53"/>
    <w:rsid w:val="009C5432"/>
    <w:rsid w:val="009C6933"/>
    <w:rsid w:val="009C71BB"/>
    <w:rsid w:val="009C776F"/>
    <w:rsid w:val="009C7D43"/>
    <w:rsid w:val="009D050C"/>
    <w:rsid w:val="009D11FE"/>
    <w:rsid w:val="009D2284"/>
    <w:rsid w:val="009D2DB0"/>
    <w:rsid w:val="009D38DE"/>
    <w:rsid w:val="009D3978"/>
    <w:rsid w:val="009D499A"/>
    <w:rsid w:val="009D4BDC"/>
    <w:rsid w:val="009D52BE"/>
    <w:rsid w:val="009D59B6"/>
    <w:rsid w:val="009D5AE4"/>
    <w:rsid w:val="009D5DA7"/>
    <w:rsid w:val="009D747C"/>
    <w:rsid w:val="009D78BE"/>
    <w:rsid w:val="009E2C5C"/>
    <w:rsid w:val="009E45C1"/>
    <w:rsid w:val="009E5711"/>
    <w:rsid w:val="009E63E8"/>
    <w:rsid w:val="009E6CBE"/>
    <w:rsid w:val="009F04FD"/>
    <w:rsid w:val="009F0538"/>
    <w:rsid w:val="009F0A63"/>
    <w:rsid w:val="009F0C64"/>
    <w:rsid w:val="009F38D3"/>
    <w:rsid w:val="009F3E58"/>
    <w:rsid w:val="009F5096"/>
    <w:rsid w:val="009F57D9"/>
    <w:rsid w:val="009F5A10"/>
    <w:rsid w:val="009F617B"/>
    <w:rsid w:val="009F6B02"/>
    <w:rsid w:val="009F7310"/>
    <w:rsid w:val="009F7E98"/>
    <w:rsid w:val="00A0251D"/>
    <w:rsid w:val="00A03517"/>
    <w:rsid w:val="00A040B4"/>
    <w:rsid w:val="00A051E7"/>
    <w:rsid w:val="00A05616"/>
    <w:rsid w:val="00A06817"/>
    <w:rsid w:val="00A074E5"/>
    <w:rsid w:val="00A07F4B"/>
    <w:rsid w:val="00A11178"/>
    <w:rsid w:val="00A127A1"/>
    <w:rsid w:val="00A12995"/>
    <w:rsid w:val="00A12C39"/>
    <w:rsid w:val="00A14F9E"/>
    <w:rsid w:val="00A14FD6"/>
    <w:rsid w:val="00A1610D"/>
    <w:rsid w:val="00A166AF"/>
    <w:rsid w:val="00A16F6E"/>
    <w:rsid w:val="00A17E4D"/>
    <w:rsid w:val="00A200BE"/>
    <w:rsid w:val="00A2224C"/>
    <w:rsid w:val="00A22E8A"/>
    <w:rsid w:val="00A23D26"/>
    <w:rsid w:val="00A2469D"/>
    <w:rsid w:val="00A24D3C"/>
    <w:rsid w:val="00A25BC0"/>
    <w:rsid w:val="00A26242"/>
    <w:rsid w:val="00A27276"/>
    <w:rsid w:val="00A30651"/>
    <w:rsid w:val="00A32D8F"/>
    <w:rsid w:val="00A32F5F"/>
    <w:rsid w:val="00A34FDB"/>
    <w:rsid w:val="00A358E6"/>
    <w:rsid w:val="00A35D06"/>
    <w:rsid w:val="00A35EF9"/>
    <w:rsid w:val="00A37C88"/>
    <w:rsid w:val="00A42019"/>
    <w:rsid w:val="00A421C5"/>
    <w:rsid w:val="00A4279C"/>
    <w:rsid w:val="00A42A6E"/>
    <w:rsid w:val="00A439CF"/>
    <w:rsid w:val="00A471C7"/>
    <w:rsid w:val="00A50E3E"/>
    <w:rsid w:val="00A520BF"/>
    <w:rsid w:val="00A5370C"/>
    <w:rsid w:val="00A60F4D"/>
    <w:rsid w:val="00A6127D"/>
    <w:rsid w:val="00A61B7A"/>
    <w:rsid w:val="00A62E3E"/>
    <w:rsid w:val="00A63002"/>
    <w:rsid w:val="00A636C7"/>
    <w:rsid w:val="00A6449D"/>
    <w:rsid w:val="00A647C0"/>
    <w:rsid w:val="00A6761A"/>
    <w:rsid w:val="00A67FE1"/>
    <w:rsid w:val="00A7027A"/>
    <w:rsid w:val="00A70A87"/>
    <w:rsid w:val="00A71880"/>
    <w:rsid w:val="00A7216B"/>
    <w:rsid w:val="00A730EB"/>
    <w:rsid w:val="00A731CF"/>
    <w:rsid w:val="00A73768"/>
    <w:rsid w:val="00A762BD"/>
    <w:rsid w:val="00A76396"/>
    <w:rsid w:val="00A76A81"/>
    <w:rsid w:val="00A77804"/>
    <w:rsid w:val="00A801A3"/>
    <w:rsid w:val="00A81CAD"/>
    <w:rsid w:val="00A81D02"/>
    <w:rsid w:val="00A8223C"/>
    <w:rsid w:val="00A82BE0"/>
    <w:rsid w:val="00A8319A"/>
    <w:rsid w:val="00A838F7"/>
    <w:rsid w:val="00A83C23"/>
    <w:rsid w:val="00A84246"/>
    <w:rsid w:val="00A84E33"/>
    <w:rsid w:val="00A86205"/>
    <w:rsid w:val="00A8692E"/>
    <w:rsid w:val="00A873CC"/>
    <w:rsid w:val="00A90DC5"/>
    <w:rsid w:val="00A92761"/>
    <w:rsid w:val="00A93FA0"/>
    <w:rsid w:val="00A94B20"/>
    <w:rsid w:val="00A9567C"/>
    <w:rsid w:val="00A977B3"/>
    <w:rsid w:val="00AA0929"/>
    <w:rsid w:val="00AA21C8"/>
    <w:rsid w:val="00AA27B2"/>
    <w:rsid w:val="00AA2E1D"/>
    <w:rsid w:val="00AA343D"/>
    <w:rsid w:val="00AA43A8"/>
    <w:rsid w:val="00AA572E"/>
    <w:rsid w:val="00AB1564"/>
    <w:rsid w:val="00AB167D"/>
    <w:rsid w:val="00AB1F25"/>
    <w:rsid w:val="00AB2088"/>
    <w:rsid w:val="00AB334C"/>
    <w:rsid w:val="00AB3576"/>
    <w:rsid w:val="00AB4F4B"/>
    <w:rsid w:val="00AB69A3"/>
    <w:rsid w:val="00AC2297"/>
    <w:rsid w:val="00AC2361"/>
    <w:rsid w:val="00AC24DF"/>
    <w:rsid w:val="00AC3D96"/>
    <w:rsid w:val="00AC4E8A"/>
    <w:rsid w:val="00AC52ED"/>
    <w:rsid w:val="00AC595E"/>
    <w:rsid w:val="00AC71F9"/>
    <w:rsid w:val="00AD009C"/>
    <w:rsid w:val="00AD1318"/>
    <w:rsid w:val="00AD1A1E"/>
    <w:rsid w:val="00AD3036"/>
    <w:rsid w:val="00AD406C"/>
    <w:rsid w:val="00AD4278"/>
    <w:rsid w:val="00AD5589"/>
    <w:rsid w:val="00AD5D8C"/>
    <w:rsid w:val="00AD6211"/>
    <w:rsid w:val="00AD64A0"/>
    <w:rsid w:val="00AE02A5"/>
    <w:rsid w:val="00AE0D40"/>
    <w:rsid w:val="00AE1952"/>
    <w:rsid w:val="00AE2C24"/>
    <w:rsid w:val="00AE302E"/>
    <w:rsid w:val="00AE3161"/>
    <w:rsid w:val="00AE3648"/>
    <w:rsid w:val="00AE5C6D"/>
    <w:rsid w:val="00AE7238"/>
    <w:rsid w:val="00AE745E"/>
    <w:rsid w:val="00AF178F"/>
    <w:rsid w:val="00AF47F6"/>
    <w:rsid w:val="00AF4D8E"/>
    <w:rsid w:val="00AF7911"/>
    <w:rsid w:val="00B0036C"/>
    <w:rsid w:val="00B01DE1"/>
    <w:rsid w:val="00B02040"/>
    <w:rsid w:val="00B021D8"/>
    <w:rsid w:val="00B02624"/>
    <w:rsid w:val="00B03336"/>
    <w:rsid w:val="00B03CD5"/>
    <w:rsid w:val="00B06550"/>
    <w:rsid w:val="00B06FF2"/>
    <w:rsid w:val="00B07EAA"/>
    <w:rsid w:val="00B105FF"/>
    <w:rsid w:val="00B10E9C"/>
    <w:rsid w:val="00B13803"/>
    <w:rsid w:val="00B138CC"/>
    <w:rsid w:val="00B138F7"/>
    <w:rsid w:val="00B14545"/>
    <w:rsid w:val="00B15175"/>
    <w:rsid w:val="00B15A48"/>
    <w:rsid w:val="00B15B2F"/>
    <w:rsid w:val="00B15B31"/>
    <w:rsid w:val="00B15D19"/>
    <w:rsid w:val="00B1647E"/>
    <w:rsid w:val="00B20992"/>
    <w:rsid w:val="00B219E8"/>
    <w:rsid w:val="00B21B89"/>
    <w:rsid w:val="00B26463"/>
    <w:rsid w:val="00B26819"/>
    <w:rsid w:val="00B278F1"/>
    <w:rsid w:val="00B312B5"/>
    <w:rsid w:val="00B32DEA"/>
    <w:rsid w:val="00B32DEE"/>
    <w:rsid w:val="00B32FFC"/>
    <w:rsid w:val="00B331CB"/>
    <w:rsid w:val="00B344D5"/>
    <w:rsid w:val="00B34BFD"/>
    <w:rsid w:val="00B34CEB"/>
    <w:rsid w:val="00B35317"/>
    <w:rsid w:val="00B35960"/>
    <w:rsid w:val="00B35A72"/>
    <w:rsid w:val="00B36809"/>
    <w:rsid w:val="00B3681C"/>
    <w:rsid w:val="00B36D7D"/>
    <w:rsid w:val="00B400A9"/>
    <w:rsid w:val="00B40EE7"/>
    <w:rsid w:val="00B41E2F"/>
    <w:rsid w:val="00B42069"/>
    <w:rsid w:val="00B4221B"/>
    <w:rsid w:val="00B42D34"/>
    <w:rsid w:val="00B42DD3"/>
    <w:rsid w:val="00B43583"/>
    <w:rsid w:val="00B435B2"/>
    <w:rsid w:val="00B43B05"/>
    <w:rsid w:val="00B43DED"/>
    <w:rsid w:val="00B44D54"/>
    <w:rsid w:val="00B468C6"/>
    <w:rsid w:val="00B47804"/>
    <w:rsid w:val="00B47AD3"/>
    <w:rsid w:val="00B50528"/>
    <w:rsid w:val="00B505FA"/>
    <w:rsid w:val="00B50A1F"/>
    <w:rsid w:val="00B5103D"/>
    <w:rsid w:val="00B513A1"/>
    <w:rsid w:val="00B51696"/>
    <w:rsid w:val="00B51D60"/>
    <w:rsid w:val="00B5240F"/>
    <w:rsid w:val="00B535AC"/>
    <w:rsid w:val="00B53AE6"/>
    <w:rsid w:val="00B548C4"/>
    <w:rsid w:val="00B54FC8"/>
    <w:rsid w:val="00B5637F"/>
    <w:rsid w:val="00B56763"/>
    <w:rsid w:val="00B60071"/>
    <w:rsid w:val="00B60676"/>
    <w:rsid w:val="00B606EA"/>
    <w:rsid w:val="00B60780"/>
    <w:rsid w:val="00B60AD9"/>
    <w:rsid w:val="00B61727"/>
    <w:rsid w:val="00B637A5"/>
    <w:rsid w:val="00B64DBD"/>
    <w:rsid w:val="00B64F39"/>
    <w:rsid w:val="00B659EC"/>
    <w:rsid w:val="00B65A00"/>
    <w:rsid w:val="00B66092"/>
    <w:rsid w:val="00B67551"/>
    <w:rsid w:val="00B70378"/>
    <w:rsid w:val="00B71389"/>
    <w:rsid w:val="00B71534"/>
    <w:rsid w:val="00B7156B"/>
    <w:rsid w:val="00B719D6"/>
    <w:rsid w:val="00B73ED9"/>
    <w:rsid w:val="00B7626E"/>
    <w:rsid w:val="00B767B8"/>
    <w:rsid w:val="00B7794C"/>
    <w:rsid w:val="00B8026B"/>
    <w:rsid w:val="00B80602"/>
    <w:rsid w:val="00B81433"/>
    <w:rsid w:val="00B8161B"/>
    <w:rsid w:val="00B84EF9"/>
    <w:rsid w:val="00B8535E"/>
    <w:rsid w:val="00B85CBC"/>
    <w:rsid w:val="00B86347"/>
    <w:rsid w:val="00B871A7"/>
    <w:rsid w:val="00B873D9"/>
    <w:rsid w:val="00B911FF"/>
    <w:rsid w:val="00B9129C"/>
    <w:rsid w:val="00B91727"/>
    <w:rsid w:val="00B923A9"/>
    <w:rsid w:val="00B9434E"/>
    <w:rsid w:val="00B943E5"/>
    <w:rsid w:val="00B94A05"/>
    <w:rsid w:val="00B95663"/>
    <w:rsid w:val="00B95B4C"/>
    <w:rsid w:val="00B975DA"/>
    <w:rsid w:val="00BA1CFE"/>
    <w:rsid w:val="00BA2B0E"/>
    <w:rsid w:val="00BA2C2A"/>
    <w:rsid w:val="00BA2FD7"/>
    <w:rsid w:val="00BA3A5C"/>
    <w:rsid w:val="00BA45D3"/>
    <w:rsid w:val="00BA709C"/>
    <w:rsid w:val="00BA76CC"/>
    <w:rsid w:val="00BA76CD"/>
    <w:rsid w:val="00BA7DE5"/>
    <w:rsid w:val="00BB032F"/>
    <w:rsid w:val="00BB0AA2"/>
    <w:rsid w:val="00BB2218"/>
    <w:rsid w:val="00BB2274"/>
    <w:rsid w:val="00BB24F4"/>
    <w:rsid w:val="00BB2B02"/>
    <w:rsid w:val="00BB2CCF"/>
    <w:rsid w:val="00BB4536"/>
    <w:rsid w:val="00BB4A4C"/>
    <w:rsid w:val="00BB5B10"/>
    <w:rsid w:val="00BB610E"/>
    <w:rsid w:val="00BB61B1"/>
    <w:rsid w:val="00BB77B0"/>
    <w:rsid w:val="00BC0E8F"/>
    <w:rsid w:val="00BC2B8B"/>
    <w:rsid w:val="00BC32CA"/>
    <w:rsid w:val="00BC38F6"/>
    <w:rsid w:val="00BC394C"/>
    <w:rsid w:val="00BC3B25"/>
    <w:rsid w:val="00BC5396"/>
    <w:rsid w:val="00BC54E6"/>
    <w:rsid w:val="00BC5821"/>
    <w:rsid w:val="00BD1977"/>
    <w:rsid w:val="00BD1B1F"/>
    <w:rsid w:val="00BD2ED3"/>
    <w:rsid w:val="00BD30AB"/>
    <w:rsid w:val="00BD4995"/>
    <w:rsid w:val="00BD5145"/>
    <w:rsid w:val="00BD525E"/>
    <w:rsid w:val="00BD79F7"/>
    <w:rsid w:val="00BE1515"/>
    <w:rsid w:val="00BE1F3C"/>
    <w:rsid w:val="00BE219E"/>
    <w:rsid w:val="00BE2AC3"/>
    <w:rsid w:val="00BE3BF4"/>
    <w:rsid w:val="00BE3F41"/>
    <w:rsid w:val="00BE418E"/>
    <w:rsid w:val="00BE4960"/>
    <w:rsid w:val="00BE5736"/>
    <w:rsid w:val="00BE643A"/>
    <w:rsid w:val="00BE7B9F"/>
    <w:rsid w:val="00BF204C"/>
    <w:rsid w:val="00BF2F02"/>
    <w:rsid w:val="00BF4F60"/>
    <w:rsid w:val="00BF5081"/>
    <w:rsid w:val="00BF5483"/>
    <w:rsid w:val="00BF68D7"/>
    <w:rsid w:val="00BF6D22"/>
    <w:rsid w:val="00BF6D40"/>
    <w:rsid w:val="00BF7A75"/>
    <w:rsid w:val="00C024B5"/>
    <w:rsid w:val="00C033FC"/>
    <w:rsid w:val="00C036D3"/>
    <w:rsid w:val="00C03B65"/>
    <w:rsid w:val="00C06581"/>
    <w:rsid w:val="00C06BBD"/>
    <w:rsid w:val="00C07378"/>
    <w:rsid w:val="00C07E3C"/>
    <w:rsid w:val="00C11393"/>
    <w:rsid w:val="00C12880"/>
    <w:rsid w:val="00C128E7"/>
    <w:rsid w:val="00C12DDE"/>
    <w:rsid w:val="00C1384E"/>
    <w:rsid w:val="00C139EB"/>
    <w:rsid w:val="00C1454C"/>
    <w:rsid w:val="00C14EFF"/>
    <w:rsid w:val="00C15029"/>
    <w:rsid w:val="00C167AF"/>
    <w:rsid w:val="00C16813"/>
    <w:rsid w:val="00C168AA"/>
    <w:rsid w:val="00C17353"/>
    <w:rsid w:val="00C20A76"/>
    <w:rsid w:val="00C20D66"/>
    <w:rsid w:val="00C218CA"/>
    <w:rsid w:val="00C2221F"/>
    <w:rsid w:val="00C225C8"/>
    <w:rsid w:val="00C22945"/>
    <w:rsid w:val="00C239F8"/>
    <w:rsid w:val="00C244E7"/>
    <w:rsid w:val="00C25745"/>
    <w:rsid w:val="00C26FF1"/>
    <w:rsid w:val="00C27B7D"/>
    <w:rsid w:val="00C27FEC"/>
    <w:rsid w:val="00C30F85"/>
    <w:rsid w:val="00C358E4"/>
    <w:rsid w:val="00C3595D"/>
    <w:rsid w:val="00C36B98"/>
    <w:rsid w:val="00C36D60"/>
    <w:rsid w:val="00C37020"/>
    <w:rsid w:val="00C3768C"/>
    <w:rsid w:val="00C41AC4"/>
    <w:rsid w:val="00C42ECF"/>
    <w:rsid w:val="00C43824"/>
    <w:rsid w:val="00C43C10"/>
    <w:rsid w:val="00C44C80"/>
    <w:rsid w:val="00C45566"/>
    <w:rsid w:val="00C45F43"/>
    <w:rsid w:val="00C4619F"/>
    <w:rsid w:val="00C461EE"/>
    <w:rsid w:val="00C46478"/>
    <w:rsid w:val="00C502E4"/>
    <w:rsid w:val="00C5293D"/>
    <w:rsid w:val="00C52AEB"/>
    <w:rsid w:val="00C52E24"/>
    <w:rsid w:val="00C557A3"/>
    <w:rsid w:val="00C55C68"/>
    <w:rsid w:val="00C57457"/>
    <w:rsid w:val="00C57475"/>
    <w:rsid w:val="00C613C8"/>
    <w:rsid w:val="00C619A2"/>
    <w:rsid w:val="00C61CE1"/>
    <w:rsid w:val="00C62113"/>
    <w:rsid w:val="00C65085"/>
    <w:rsid w:val="00C65832"/>
    <w:rsid w:val="00C6773B"/>
    <w:rsid w:val="00C67B4A"/>
    <w:rsid w:val="00C71064"/>
    <w:rsid w:val="00C71B1A"/>
    <w:rsid w:val="00C71F2A"/>
    <w:rsid w:val="00C723B2"/>
    <w:rsid w:val="00C72E11"/>
    <w:rsid w:val="00C744F0"/>
    <w:rsid w:val="00C74B96"/>
    <w:rsid w:val="00C74E8D"/>
    <w:rsid w:val="00C751C6"/>
    <w:rsid w:val="00C758B3"/>
    <w:rsid w:val="00C76861"/>
    <w:rsid w:val="00C76A95"/>
    <w:rsid w:val="00C76F38"/>
    <w:rsid w:val="00C7736F"/>
    <w:rsid w:val="00C77ACE"/>
    <w:rsid w:val="00C77D45"/>
    <w:rsid w:val="00C80D4D"/>
    <w:rsid w:val="00C812E0"/>
    <w:rsid w:val="00C81C01"/>
    <w:rsid w:val="00C8213F"/>
    <w:rsid w:val="00C82DC7"/>
    <w:rsid w:val="00C833D1"/>
    <w:rsid w:val="00C83D87"/>
    <w:rsid w:val="00C844A0"/>
    <w:rsid w:val="00C848C1"/>
    <w:rsid w:val="00C86172"/>
    <w:rsid w:val="00C867CB"/>
    <w:rsid w:val="00C87AFD"/>
    <w:rsid w:val="00C9170C"/>
    <w:rsid w:val="00C9174A"/>
    <w:rsid w:val="00C92C3C"/>
    <w:rsid w:val="00C93CAD"/>
    <w:rsid w:val="00C944E6"/>
    <w:rsid w:val="00C94B5C"/>
    <w:rsid w:val="00C94F37"/>
    <w:rsid w:val="00C951CA"/>
    <w:rsid w:val="00C95261"/>
    <w:rsid w:val="00C95A43"/>
    <w:rsid w:val="00C95F91"/>
    <w:rsid w:val="00C96E84"/>
    <w:rsid w:val="00C971F0"/>
    <w:rsid w:val="00C977DD"/>
    <w:rsid w:val="00CA007D"/>
    <w:rsid w:val="00CA2325"/>
    <w:rsid w:val="00CA23FB"/>
    <w:rsid w:val="00CA2D1F"/>
    <w:rsid w:val="00CA31BA"/>
    <w:rsid w:val="00CA5838"/>
    <w:rsid w:val="00CA5FF3"/>
    <w:rsid w:val="00CA68CC"/>
    <w:rsid w:val="00CA720B"/>
    <w:rsid w:val="00CA79F9"/>
    <w:rsid w:val="00CA7EEE"/>
    <w:rsid w:val="00CB0967"/>
    <w:rsid w:val="00CB20EB"/>
    <w:rsid w:val="00CB27C1"/>
    <w:rsid w:val="00CB3E26"/>
    <w:rsid w:val="00CB43F4"/>
    <w:rsid w:val="00CB46EF"/>
    <w:rsid w:val="00CB5712"/>
    <w:rsid w:val="00CB7F91"/>
    <w:rsid w:val="00CC34DA"/>
    <w:rsid w:val="00CC3DCB"/>
    <w:rsid w:val="00CC53AA"/>
    <w:rsid w:val="00CC6200"/>
    <w:rsid w:val="00CC6700"/>
    <w:rsid w:val="00CC7468"/>
    <w:rsid w:val="00CC7AB7"/>
    <w:rsid w:val="00CD1370"/>
    <w:rsid w:val="00CD1B0E"/>
    <w:rsid w:val="00CD314C"/>
    <w:rsid w:val="00CD4D60"/>
    <w:rsid w:val="00CD4EB5"/>
    <w:rsid w:val="00CD4FE1"/>
    <w:rsid w:val="00CD5D83"/>
    <w:rsid w:val="00CD7094"/>
    <w:rsid w:val="00CD72EB"/>
    <w:rsid w:val="00CE0A1E"/>
    <w:rsid w:val="00CE0EC7"/>
    <w:rsid w:val="00CE15C8"/>
    <w:rsid w:val="00CE47D6"/>
    <w:rsid w:val="00CE5430"/>
    <w:rsid w:val="00CE5D4E"/>
    <w:rsid w:val="00CE624E"/>
    <w:rsid w:val="00CE651E"/>
    <w:rsid w:val="00CE6C17"/>
    <w:rsid w:val="00CE722D"/>
    <w:rsid w:val="00CE786A"/>
    <w:rsid w:val="00CE7E38"/>
    <w:rsid w:val="00CF07A8"/>
    <w:rsid w:val="00CF0ACA"/>
    <w:rsid w:val="00CF1000"/>
    <w:rsid w:val="00CF1E5B"/>
    <w:rsid w:val="00CF2359"/>
    <w:rsid w:val="00CF2A96"/>
    <w:rsid w:val="00CF4705"/>
    <w:rsid w:val="00CF4D5F"/>
    <w:rsid w:val="00CF7F90"/>
    <w:rsid w:val="00D001B9"/>
    <w:rsid w:val="00D01E56"/>
    <w:rsid w:val="00D024C8"/>
    <w:rsid w:val="00D02CE1"/>
    <w:rsid w:val="00D02D39"/>
    <w:rsid w:val="00D03F02"/>
    <w:rsid w:val="00D04E0B"/>
    <w:rsid w:val="00D050BD"/>
    <w:rsid w:val="00D05E90"/>
    <w:rsid w:val="00D068E2"/>
    <w:rsid w:val="00D07E51"/>
    <w:rsid w:val="00D10262"/>
    <w:rsid w:val="00D10E32"/>
    <w:rsid w:val="00D12193"/>
    <w:rsid w:val="00D13A3B"/>
    <w:rsid w:val="00D142FA"/>
    <w:rsid w:val="00D148D6"/>
    <w:rsid w:val="00D17228"/>
    <w:rsid w:val="00D213BD"/>
    <w:rsid w:val="00D23830"/>
    <w:rsid w:val="00D24314"/>
    <w:rsid w:val="00D24B47"/>
    <w:rsid w:val="00D30242"/>
    <w:rsid w:val="00D30DC0"/>
    <w:rsid w:val="00D310F5"/>
    <w:rsid w:val="00D318A4"/>
    <w:rsid w:val="00D32200"/>
    <w:rsid w:val="00D324A1"/>
    <w:rsid w:val="00D335F0"/>
    <w:rsid w:val="00D33F9A"/>
    <w:rsid w:val="00D34274"/>
    <w:rsid w:val="00D34A02"/>
    <w:rsid w:val="00D37439"/>
    <w:rsid w:val="00D37596"/>
    <w:rsid w:val="00D376DA"/>
    <w:rsid w:val="00D40F15"/>
    <w:rsid w:val="00D40F2A"/>
    <w:rsid w:val="00D41C41"/>
    <w:rsid w:val="00D41E43"/>
    <w:rsid w:val="00D4202E"/>
    <w:rsid w:val="00D420FA"/>
    <w:rsid w:val="00D422EA"/>
    <w:rsid w:val="00D4277C"/>
    <w:rsid w:val="00D428DB"/>
    <w:rsid w:val="00D429D6"/>
    <w:rsid w:val="00D42E43"/>
    <w:rsid w:val="00D431D6"/>
    <w:rsid w:val="00D43393"/>
    <w:rsid w:val="00D4532B"/>
    <w:rsid w:val="00D454E6"/>
    <w:rsid w:val="00D47408"/>
    <w:rsid w:val="00D52ADC"/>
    <w:rsid w:val="00D53195"/>
    <w:rsid w:val="00D564B5"/>
    <w:rsid w:val="00D56AB7"/>
    <w:rsid w:val="00D60DB3"/>
    <w:rsid w:val="00D6162C"/>
    <w:rsid w:val="00D62AE0"/>
    <w:rsid w:val="00D6444D"/>
    <w:rsid w:val="00D644D1"/>
    <w:rsid w:val="00D64995"/>
    <w:rsid w:val="00D65161"/>
    <w:rsid w:val="00D65934"/>
    <w:rsid w:val="00D65A73"/>
    <w:rsid w:val="00D67A93"/>
    <w:rsid w:val="00D67C04"/>
    <w:rsid w:val="00D7133A"/>
    <w:rsid w:val="00D71B9B"/>
    <w:rsid w:val="00D72440"/>
    <w:rsid w:val="00D72937"/>
    <w:rsid w:val="00D74761"/>
    <w:rsid w:val="00D74958"/>
    <w:rsid w:val="00D74E20"/>
    <w:rsid w:val="00D75C41"/>
    <w:rsid w:val="00D75E0D"/>
    <w:rsid w:val="00D762A7"/>
    <w:rsid w:val="00D76569"/>
    <w:rsid w:val="00D8063B"/>
    <w:rsid w:val="00D80663"/>
    <w:rsid w:val="00D828F6"/>
    <w:rsid w:val="00D838CF"/>
    <w:rsid w:val="00D855BF"/>
    <w:rsid w:val="00D85C40"/>
    <w:rsid w:val="00D8689F"/>
    <w:rsid w:val="00D87DF6"/>
    <w:rsid w:val="00D904A2"/>
    <w:rsid w:val="00D91496"/>
    <w:rsid w:val="00D91DCD"/>
    <w:rsid w:val="00D924B1"/>
    <w:rsid w:val="00D950E3"/>
    <w:rsid w:val="00D96375"/>
    <w:rsid w:val="00D964DD"/>
    <w:rsid w:val="00D964E2"/>
    <w:rsid w:val="00DA03B6"/>
    <w:rsid w:val="00DA0D8E"/>
    <w:rsid w:val="00DA10B6"/>
    <w:rsid w:val="00DA132C"/>
    <w:rsid w:val="00DA1886"/>
    <w:rsid w:val="00DA1F96"/>
    <w:rsid w:val="00DA231F"/>
    <w:rsid w:val="00DA2ADB"/>
    <w:rsid w:val="00DA2F2B"/>
    <w:rsid w:val="00DA4151"/>
    <w:rsid w:val="00DA4357"/>
    <w:rsid w:val="00DA75A0"/>
    <w:rsid w:val="00DA77A4"/>
    <w:rsid w:val="00DB0719"/>
    <w:rsid w:val="00DB0838"/>
    <w:rsid w:val="00DB0895"/>
    <w:rsid w:val="00DB0D1A"/>
    <w:rsid w:val="00DB1C95"/>
    <w:rsid w:val="00DB208A"/>
    <w:rsid w:val="00DB2698"/>
    <w:rsid w:val="00DB2D09"/>
    <w:rsid w:val="00DB2F59"/>
    <w:rsid w:val="00DB383E"/>
    <w:rsid w:val="00DB64AE"/>
    <w:rsid w:val="00DB6804"/>
    <w:rsid w:val="00DB6AED"/>
    <w:rsid w:val="00DB6E98"/>
    <w:rsid w:val="00DB7E54"/>
    <w:rsid w:val="00DB7F2F"/>
    <w:rsid w:val="00DC0743"/>
    <w:rsid w:val="00DC172C"/>
    <w:rsid w:val="00DC1A7E"/>
    <w:rsid w:val="00DC1D08"/>
    <w:rsid w:val="00DC25AE"/>
    <w:rsid w:val="00DC2AC1"/>
    <w:rsid w:val="00DC2CAC"/>
    <w:rsid w:val="00DC41A9"/>
    <w:rsid w:val="00DC457A"/>
    <w:rsid w:val="00DC5352"/>
    <w:rsid w:val="00DC6353"/>
    <w:rsid w:val="00DC691B"/>
    <w:rsid w:val="00DD0317"/>
    <w:rsid w:val="00DD0EAC"/>
    <w:rsid w:val="00DD237C"/>
    <w:rsid w:val="00DD2524"/>
    <w:rsid w:val="00DD2CF9"/>
    <w:rsid w:val="00DD2D0D"/>
    <w:rsid w:val="00DD3CD0"/>
    <w:rsid w:val="00DD4989"/>
    <w:rsid w:val="00DD5206"/>
    <w:rsid w:val="00DD53E3"/>
    <w:rsid w:val="00DD551F"/>
    <w:rsid w:val="00DD556C"/>
    <w:rsid w:val="00DD5584"/>
    <w:rsid w:val="00DD5591"/>
    <w:rsid w:val="00DD6DE2"/>
    <w:rsid w:val="00DE0B80"/>
    <w:rsid w:val="00DE1675"/>
    <w:rsid w:val="00DE192E"/>
    <w:rsid w:val="00DE1D0E"/>
    <w:rsid w:val="00DE1DAC"/>
    <w:rsid w:val="00DE30F9"/>
    <w:rsid w:val="00DE41A4"/>
    <w:rsid w:val="00DE4EB1"/>
    <w:rsid w:val="00DE4FF3"/>
    <w:rsid w:val="00DE5C22"/>
    <w:rsid w:val="00DE7048"/>
    <w:rsid w:val="00DE70FE"/>
    <w:rsid w:val="00DE7362"/>
    <w:rsid w:val="00DE7415"/>
    <w:rsid w:val="00DE7F8E"/>
    <w:rsid w:val="00DF0109"/>
    <w:rsid w:val="00DF1F9C"/>
    <w:rsid w:val="00DF35FF"/>
    <w:rsid w:val="00DF4D03"/>
    <w:rsid w:val="00DF4E35"/>
    <w:rsid w:val="00DF5517"/>
    <w:rsid w:val="00DF5D27"/>
    <w:rsid w:val="00DF6A1E"/>
    <w:rsid w:val="00DF77FA"/>
    <w:rsid w:val="00DF7A52"/>
    <w:rsid w:val="00E00ACA"/>
    <w:rsid w:val="00E00BF1"/>
    <w:rsid w:val="00E00C4C"/>
    <w:rsid w:val="00E0125B"/>
    <w:rsid w:val="00E01CF8"/>
    <w:rsid w:val="00E01FCA"/>
    <w:rsid w:val="00E02E5A"/>
    <w:rsid w:val="00E0459D"/>
    <w:rsid w:val="00E04DE9"/>
    <w:rsid w:val="00E04EC9"/>
    <w:rsid w:val="00E05442"/>
    <w:rsid w:val="00E059CD"/>
    <w:rsid w:val="00E05A3D"/>
    <w:rsid w:val="00E0681F"/>
    <w:rsid w:val="00E069B4"/>
    <w:rsid w:val="00E10790"/>
    <w:rsid w:val="00E10C29"/>
    <w:rsid w:val="00E10E31"/>
    <w:rsid w:val="00E12E17"/>
    <w:rsid w:val="00E13469"/>
    <w:rsid w:val="00E13888"/>
    <w:rsid w:val="00E1481E"/>
    <w:rsid w:val="00E14B3E"/>
    <w:rsid w:val="00E15C8C"/>
    <w:rsid w:val="00E15E8E"/>
    <w:rsid w:val="00E20575"/>
    <w:rsid w:val="00E2067F"/>
    <w:rsid w:val="00E2082A"/>
    <w:rsid w:val="00E20E7C"/>
    <w:rsid w:val="00E216C0"/>
    <w:rsid w:val="00E2182A"/>
    <w:rsid w:val="00E21C4C"/>
    <w:rsid w:val="00E220B2"/>
    <w:rsid w:val="00E22317"/>
    <w:rsid w:val="00E24272"/>
    <w:rsid w:val="00E243EE"/>
    <w:rsid w:val="00E249DE"/>
    <w:rsid w:val="00E24DFC"/>
    <w:rsid w:val="00E24F69"/>
    <w:rsid w:val="00E2534B"/>
    <w:rsid w:val="00E26215"/>
    <w:rsid w:val="00E26A9C"/>
    <w:rsid w:val="00E274BF"/>
    <w:rsid w:val="00E27901"/>
    <w:rsid w:val="00E31018"/>
    <w:rsid w:val="00E31E2B"/>
    <w:rsid w:val="00E31F51"/>
    <w:rsid w:val="00E32104"/>
    <w:rsid w:val="00E33759"/>
    <w:rsid w:val="00E343BE"/>
    <w:rsid w:val="00E35C09"/>
    <w:rsid w:val="00E36A91"/>
    <w:rsid w:val="00E3719D"/>
    <w:rsid w:val="00E37251"/>
    <w:rsid w:val="00E37833"/>
    <w:rsid w:val="00E409BC"/>
    <w:rsid w:val="00E4235C"/>
    <w:rsid w:val="00E424D9"/>
    <w:rsid w:val="00E43A28"/>
    <w:rsid w:val="00E4598C"/>
    <w:rsid w:val="00E4611C"/>
    <w:rsid w:val="00E50B54"/>
    <w:rsid w:val="00E51145"/>
    <w:rsid w:val="00E51193"/>
    <w:rsid w:val="00E5126E"/>
    <w:rsid w:val="00E51839"/>
    <w:rsid w:val="00E522BB"/>
    <w:rsid w:val="00E52C06"/>
    <w:rsid w:val="00E534BA"/>
    <w:rsid w:val="00E552DC"/>
    <w:rsid w:val="00E56A4C"/>
    <w:rsid w:val="00E57D2A"/>
    <w:rsid w:val="00E60672"/>
    <w:rsid w:val="00E60FC3"/>
    <w:rsid w:val="00E62727"/>
    <w:rsid w:val="00E62C15"/>
    <w:rsid w:val="00E63407"/>
    <w:rsid w:val="00E63C1E"/>
    <w:rsid w:val="00E65E91"/>
    <w:rsid w:val="00E7059F"/>
    <w:rsid w:val="00E70A95"/>
    <w:rsid w:val="00E71254"/>
    <w:rsid w:val="00E71765"/>
    <w:rsid w:val="00E73602"/>
    <w:rsid w:val="00E74D34"/>
    <w:rsid w:val="00E75493"/>
    <w:rsid w:val="00E75A71"/>
    <w:rsid w:val="00E80281"/>
    <w:rsid w:val="00E80A2B"/>
    <w:rsid w:val="00E80A42"/>
    <w:rsid w:val="00E8215D"/>
    <w:rsid w:val="00E835EA"/>
    <w:rsid w:val="00E854B0"/>
    <w:rsid w:val="00E859AB"/>
    <w:rsid w:val="00E86036"/>
    <w:rsid w:val="00E87E1F"/>
    <w:rsid w:val="00E91447"/>
    <w:rsid w:val="00E92073"/>
    <w:rsid w:val="00E92617"/>
    <w:rsid w:val="00E92874"/>
    <w:rsid w:val="00E940E9"/>
    <w:rsid w:val="00E94558"/>
    <w:rsid w:val="00E9480D"/>
    <w:rsid w:val="00E9532F"/>
    <w:rsid w:val="00E95582"/>
    <w:rsid w:val="00E9558A"/>
    <w:rsid w:val="00E96C84"/>
    <w:rsid w:val="00EA2152"/>
    <w:rsid w:val="00EA2221"/>
    <w:rsid w:val="00EA42F3"/>
    <w:rsid w:val="00EA5141"/>
    <w:rsid w:val="00EB020E"/>
    <w:rsid w:val="00EB18CE"/>
    <w:rsid w:val="00EB1976"/>
    <w:rsid w:val="00EB2857"/>
    <w:rsid w:val="00EB29E3"/>
    <w:rsid w:val="00EB32A4"/>
    <w:rsid w:val="00EB4176"/>
    <w:rsid w:val="00EB419F"/>
    <w:rsid w:val="00EB4824"/>
    <w:rsid w:val="00EB4F91"/>
    <w:rsid w:val="00EB5069"/>
    <w:rsid w:val="00EB52D4"/>
    <w:rsid w:val="00EB5F87"/>
    <w:rsid w:val="00EB663A"/>
    <w:rsid w:val="00EB6AB9"/>
    <w:rsid w:val="00EB744C"/>
    <w:rsid w:val="00EB7AF9"/>
    <w:rsid w:val="00EB7CD2"/>
    <w:rsid w:val="00EC0B20"/>
    <w:rsid w:val="00EC0B25"/>
    <w:rsid w:val="00EC0D7C"/>
    <w:rsid w:val="00EC0E20"/>
    <w:rsid w:val="00EC1766"/>
    <w:rsid w:val="00EC1805"/>
    <w:rsid w:val="00EC252B"/>
    <w:rsid w:val="00EC368E"/>
    <w:rsid w:val="00EC3E1F"/>
    <w:rsid w:val="00EC41E7"/>
    <w:rsid w:val="00EC44FA"/>
    <w:rsid w:val="00EC4E79"/>
    <w:rsid w:val="00ED0A48"/>
    <w:rsid w:val="00ED0E77"/>
    <w:rsid w:val="00ED17E0"/>
    <w:rsid w:val="00ED252D"/>
    <w:rsid w:val="00ED3186"/>
    <w:rsid w:val="00ED4BEA"/>
    <w:rsid w:val="00ED683F"/>
    <w:rsid w:val="00ED74B4"/>
    <w:rsid w:val="00ED7C9F"/>
    <w:rsid w:val="00EE034E"/>
    <w:rsid w:val="00EE0EAF"/>
    <w:rsid w:val="00EE19B8"/>
    <w:rsid w:val="00EE25EF"/>
    <w:rsid w:val="00EE32CD"/>
    <w:rsid w:val="00EE3462"/>
    <w:rsid w:val="00EE47A2"/>
    <w:rsid w:val="00EE5057"/>
    <w:rsid w:val="00EE5874"/>
    <w:rsid w:val="00EE6ABE"/>
    <w:rsid w:val="00EE6F0F"/>
    <w:rsid w:val="00EF0F2C"/>
    <w:rsid w:val="00EF1700"/>
    <w:rsid w:val="00EF1BBB"/>
    <w:rsid w:val="00EF2C8B"/>
    <w:rsid w:val="00EF3021"/>
    <w:rsid w:val="00EF35B8"/>
    <w:rsid w:val="00EF5580"/>
    <w:rsid w:val="00EF5D1C"/>
    <w:rsid w:val="00EF5F04"/>
    <w:rsid w:val="00EF76D6"/>
    <w:rsid w:val="00F007B4"/>
    <w:rsid w:val="00F00FE5"/>
    <w:rsid w:val="00F0153D"/>
    <w:rsid w:val="00F01F7C"/>
    <w:rsid w:val="00F03270"/>
    <w:rsid w:val="00F044C7"/>
    <w:rsid w:val="00F06A96"/>
    <w:rsid w:val="00F071C6"/>
    <w:rsid w:val="00F07650"/>
    <w:rsid w:val="00F07983"/>
    <w:rsid w:val="00F109CA"/>
    <w:rsid w:val="00F11017"/>
    <w:rsid w:val="00F1279B"/>
    <w:rsid w:val="00F12A6E"/>
    <w:rsid w:val="00F13F6D"/>
    <w:rsid w:val="00F14FE3"/>
    <w:rsid w:val="00F154AD"/>
    <w:rsid w:val="00F159B4"/>
    <w:rsid w:val="00F16532"/>
    <w:rsid w:val="00F16C45"/>
    <w:rsid w:val="00F16CCA"/>
    <w:rsid w:val="00F17003"/>
    <w:rsid w:val="00F17750"/>
    <w:rsid w:val="00F17E49"/>
    <w:rsid w:val="00F20572"/>
    <w:rsid w:val="00F20697"/>
    <w:rsid w:val="00F20A44"/>
    <w:rsid w:val="00F20CD5"/>
    <w:rsid w:val="00F21044"/>
    <w:rsid w:val="00F23F40"/>
    <w:rsid w:val="00F24508"/>
    <w:rsid w:val="00F24E2F"/>
    <w:rsid w:val="00F253CE"/>
    <w:rsid w:val="00F2543F"/>
    <w:rsid w:val="00F25CC9"/>
    <w:rsid w:val="00F26E84"/>
    <w:rsid w:val="00F2702B"/>
    <w:rsid w:val="00F30147"/>
    <w:rsid w:val="00F30349"/>
    <w:rsid w:val="00F307D4"/>
    <w:rsid w:val="00F314C3"/>
    <w:rsid w:val="00F31A11"/>
    <w:rsid w:val="00F31EAE"/>
    <w:rsid w:val="00F3367B"/>
    <w:rsid w:val="00F33700"/>
    <w:rsid w:val="00F34954"/>
    <w:rsid w:val="00F35B72"/>
    <w:rsid w:val="00F37177"/>
    <w:rsid w:val="00F3735A"/>
    <w:rsid w:val="00F377FB"/>
    <w:rsid w:val="00F37DFC"/>
    <w:rsid w:val="00F37FAE"/>
    <w:rsid w:val="00F412B2"/>
    <w:rsid w:val="00F415A6"/>
    <w:rsid w:val="00F41906"/>
    <w:rsid w:val="00F42A96"/>
    <w:rsid w:val="00F42D1E"/>
    <w:rsid w:val="00F44713"/>
    <w:rsid w:val="00F44F81"/>
    <w:rsid w:val="00F46A72"/>
    <w:rsid w:val="00F46CFE"/>
    <w:rsid w:val="00F46F5F"/>
    <w:rsid w:val="00F47943"/>
    <w:rsid w:val="00F479ED"/>
    <w:rsid w:val="00F47AC1"/>
    <w:rsid w:val="00F47B47"/>
    <w:rsid w:val="00F47B4F"/>
    <w:rsid w:val="00F504BA"/>
    <w:rsid w:val="00F51190"/>
    <w:rsid w:val="00F5179E"/>
    <w:rsid w:val="00F52C48"/>
    <w:rsid w:val="00F52CFE"/>
    <w:rsid w:val="00F53E51"/>
    <w:rsid w:val="00F54081"/>
    <w:rsid w:val="00F5485A"/>
    <w:rsid w:val="00F54E30"/>
    <w:rsid w:val="00F54EF0"/>
    <w:rsid w:val="00F55C10"/>
    <w:rsid w:val="00F55CD7"/>
    <w:rsid w:val="00F56021"/>
    <w:rsid w:val="00F560AA"/>
    <w:rsid w:val="00F5693F"/>
    <w:rsid w:val="00F5798F"/>
    <w:rsid w:val="00F60870"/>
    <w:rsid w:val="00F62001"/>
    <w:rsid w:val="00F62784"/>
    <w:rsid w:val="00F64817"/>
    <w:rsid w:val="00F655A9"/>
    <w:rsid w:val="00F65F75"/>
    <w:rsid w:val="00F66198"/>
    <w:rsid w:val="00F66256"/>
    <w:rsid w:val="00F66309"/>
    <w:rsid w:val="00F66B4A"/>
    <w:rsid w:val="00F66EB2"/>
    <w:rsid w:val="00F67AA3"/>
    <w:rsid w:val="00F7232E"/>
    <w:rsid w:val="00F74C80"/>
    <w:rsid w:val="00F754F2"/>
    <w:rsid w:val="00F75F8E"/>
    <w:rsid w:val="00F76090"/>
    <w:rsid w:val="00F80AD2"/>
    <w:rsid w:val="00F81E7C"/>
    <w:rsid w:val="00F8244F"/>
    <w:rsid w:val="00F82510"/>
    <w:rsid w:val="00F82CD7"/>
    <w:rsid w:val="00F82F64"/>
    <w:rsid w:val="00F850A4"/>
    <w:rsid w:val="00F85506"/>
    <w:rsid w:val="00F860BB"/>
    <w:rsid w:val="00F8690B"/>
    <w:rsid w:val="00F86BB4"/>
    <w:rsid w:val="00F87593"/>
    <w:rsid w:val="00F90BD8"/>
    <w:rsid w:val="00F914AE"/>
    <w:rsid w:val="00F929FA"/>
    <w:rsid w:val="00F92D6E"/>
    <w:rsid w:val="00F93D5C"/>
    <w:rsid w:val="00F94133"/>
    <w:rsid w:val="00F941C0"/>
    <w:rsid w:val="00F94885"/>
    <w:rsid w:val="00F94984"/>
    <w:rsid w:val="00F94B38"/>
    <w:rsid w:val="00F94BEB"/>
    <w:rsid w:val="00F94FDA"/>
    <w:rsid w:val="00F951E2"/>
    <w:rsid w:val="00F9711A"/>
    <w:rsid w:val="00F974D8"/>
    <w:rsid w:val="00F97B09"/>
    <w:rsid w:val="00FA0C66"/>
    <w:rsid w:val="00FA2DC6"/>
    <w:rsid w:val="00FA2E8F"/>
    <w:rsid w:val="00FA3525"/>
    <w:rsid w:val="00FA4BC4"/>
    <w:rsid w:val="00FA4CDC"/>
    <w:rsid w:val="00FA75B1"/>
    <w:rsid w:val="00FA7AFB"/>
    <w:rsid w:val="00FB0C78"/>
    <w:rsid w:val="00FB1576"/>
    <w:rsid w:val="00FB1954"/>
    <w:rsid w:val="00FB35CE"/>
    <w:rsid w:val="00FB388E"/>
    <w:rsid w:val="00FB3BFA"/>
    <w:rsid w:val="00FB7F22"/>
    <w:rsid w:val="00FC01B8"/>
    <w:rsid w:val="00FC04B2"/>
    <w:rsid w:val="00FC0510"/>
    <w:rsid w:val="00FC17AD"/>
    <w:rsid w:val="00FC1BAE"/>
    <w:rsid w:val="00FC4D04"/>
    <w:rsid w:val="00FC5394"/>
    <w:rsid w:val="00FC7A69"/>
    <w:rsid w:val="00FC7A70"/>
    <w:rsid w:val="00FD49FD"/>
    <w:rsid w:val="00FD4CE2"/>
    <w:rsid w:val="00FD73E5"/>
    <w:rsid w:val="00FD7760"/>
    <w:rsid w:val="00FD7BA8"/>
    <w:rsid w:val="00FE0AE2"/>
    <w:rsid w:val="00FE1B10"/>
    <w:rsid w:val="00FE2555"/>
    <w:rsid w:val="00FE2D53"/>
    <w:rsid w:val="00FE33AF"/>
    <w:rsid w:val="00FE445E"/>
    <w:rsid w:val="00FE47A9"/>
    <w:rsid w:val="00FE5103"/>
    <w:rsid w:val="00FE69DB"/>
    <w:rsid w:val="00FE6DF2"/>
    <w:rsid w:val="00FF04EC"/>
    <w:rsid w:val="00FF0804"/>
    <w:rsid w:val="00FF1035"/>
    <w:rsid w:val="00FF1F6D"/>
    <w:rsid w:val="00FF443A"/>
    <w:rsid w:val="00FF4A30"/>
    <w:rsid w:val="00FF4A74"/>
    <w:rsid w:val="00FF6CCB"/>
    <w:rsid w:val="00FF7F70"/>
    <w:rsid w:val="01536131"/>
    <w:rsid w:val="01853E11"/>
    <w:rsid w:val="01900496"/>
    <w:rsid w:val="01A7647D"/>
    <w:rsid w:val="025E1D3B"/>
    <w:rsid w:val="030F42DA"/>
    <w:rsid w:val="033436DE"/>
    <w:rsid w:val="033E27D2"/>
    <w:rsid w:val="03E2379C"/>
    <w:rsid w:val="04787423"/>
    <w:rsid w:val="052069CE"/>
    <w:rsid w:val="052A37DA"/>
    <w:rsid w:val="0586594B"/>
    <w:rsid w:val="05C24797"/>
    <w:rsid w:val="05C649B0"/>
    <w:rsid w:val="062C3C5C"/>
    <w:rsid w:val="065A11DA"/>
    <w:rsid w:val="065A1D10"/>
    <w:rsid w:val="066349A0"/>
    <w:rsid w:val="06970801"/>
    <w:rsid w:val="06FC1F54"/>
    <w:rsid w:val="070A611F"/>
    <w:rsid w:val="071B0789"/>
    <w:rsid w:val="077636B3"/>
    <w:rsid w:val="07A17478"/>
    <w:rsid w:val="07DC326E"/>
    <w:rsid w:val="084C66CA"/>
    <w:rsid w:val="08A07B8A"/>
    <w:rsid w:val="08A92ADB"/>
    <w:rsid w:val="08AF0E7E"/>
    <w:rsid w:val="08C04C56"/>
    <w:rsid w:val="08E910DF"/>
    <w:rsid w:val="08FC0E5C"/>
    <w:rsid w:val="091A5B3A"/>
    <w:rsid w:val="097A7FD3"/>
    <w:rsid w:val="09CF031F"/>
    <w:rsid w:val="0A051F93"/>
    <w:rsid w:val="0A860A29"/>
    <w:rsid w:val="0AEC5BDA"/>
    <w:rsid w:val="0B9C05A2"/>
    <w:rsid w:val="0BB93035"/>
    <w:rsid w:val="0BC0650F"/>
    <w:rsid w:val="0C04485B"/>
    <w:rsid w:val="0C871385"/>
    <w:rsid w:val="0CB501F9"/>
    <w:rsid w:val="0D344B32"/>
    <w:rsid w:val="0E254EBD"/>
    <w:rsid w:val="0E463D65"/>
    <w:rsid w:val="0ECA67C3"/>
    <w:rsid w:val="0F632FA9"/>
    <w:rsid w:val="0F954CF1"/>
    <w:rsid w:val="0F9C5D0F"/>
    <w:rsid w:val="0FDF3286"/>
    <w:rsid w:val="0FE4089C"/>
    <w:rsid w:val="10394448"/>
    <w:rsid w:val="10480E2B"/>
    <w:rsid w:val="10765E42"/>
    <w:rsid w:val="10814D0A"/>
    <w:rsid w:val="10DE652D"/>
    <w:rsid w:val="10F863AD"/>
    <w:rsid w:val="11401B02"/>
    <w:rsid w:val="115B693C"/>
    <w:rsid w:val="116C28F7"/>
    <w:rsid w:val="118164E9"/>
    <w:rsid w:val="1182060C"/>
    <w:rsid w:val="122E739E"/>
    <w:rsid w:val="12C8088F"/>
    <w:rsid w:val="13117147"/>
    <w:rsid w:val="1336351C"/>
    <w:rsid w:val="1358342B"/>
    <w:rsid w:val="13756CD0"/>
    <w:rsid w:val="13AA7707"/>
    <w:rsid w:val="13CC4BB0"/>
    <w:rsid w:val="14045069"/>
    <w:rsid w:val="142C19E2"/>
    <w:rsid w:val="14A27665"/>
    <w:rsid w:val="152D0F2C"/>
    <w:rsid w:val="16480768"/>
    <w:rsid w:val="165E75EA"/>
    <w:rsid w:val="166225D0"/>
    <w:rsid w:val="167952D2"/>
    <w:rsid w:val="168623A0"/>
    <w:rsid w:val="16CB00C0"/>
    <w:rsid w:val="170B7925"/>
    <w:rsid w:val="17902AF1"/>
    <w:rsid w:val="17A2306C"/>
    <w:rsid w:val="17E05DED"/>
    <w:rsid w:val="182A7068"/>
    <w:rsid w:val="18544FDE"/>
    <w:rsid w:val="18C00DA6"/>
    <w:rsid w:val="18DF3764"/>
    <w:rsid w:val="191A5CF2"/>
    <w:rsid w:val="19FD4A34"/>
    <w:rsid w:val="1A163D48"/>
    <w:rsid w:val="1A1C5121"/>
    <w:rsid w:val="1A1E49AB"/>
    <w:rsid w:val="1A3F329F"/>
    <w:rsid w:val="1A43398F"/>
    <w:rsid w:val="1A63701A"/>
    <w:rsid w:val="1ADB3611"/>
    <w:rsid w:val="1B3A5814"/>
    <w:rsid w:val="1BAC739C"/>
    <w:rsid w:val="1BB265C7"/>
    <w:rsid w:val="1BE01E4F"/>
    <w:rsid w:val="1D1207F7"/>
    <w:rsid w:val="1D352C93"/>
    <w:rsid w:val="1D8050C8"/>
    <w:rsid w:val="1E032F91"/>
    <w:rsid w:val="1E3D6448"/>
    <w:rsid w:val="1E474D4D"/>
    <w:rsid w:val="1E6F28BD"/>
    <w:rsid w:val="1E7C7E76"/>
    <w:rsid w:val="1E8E4402"/>
    <w:rsid w:val="1E965F4A"/>
    <w:rsid w:val="1EBF050A"/>
    <w:rsid w:val="1ED24B1E"/>
    <w:rsid w:val="1EFD63D2"/>
    <w:rsid w:val="1F3C344F"/>
    <w:rsid w:val="1F754021"/>
    <w:rsid w:val="1FA134B3"/>
    <w:rsid w:val="1FCA62C1"/>
    <w:rsid w:val="1FE06C8A"/>
    <w:rsid w:val="1FEB3A24"/>
    <w:rsid w:val="20360CA0"/>
    <w:rsid w:val="205C35B9"/>
    <w:rsid w:val="20841298"/>
    <w:rsid w:val="20AA51EA"/>
    <w:rsid w:val="20CB5184"/>
    <w:rsid w:val="20CB740D"/>
    <w:rsid w:val="2158133B"/>
    <w:rsid w:val="2181419D"/>
    <w:rsid w:val="21A04207"/>
    <w:rsid w:val="21D617EA"/>
    <w:rsid w:val="22F95FB5"/>
    <w:rsid w:val="230404F3"/>
    <w:rsid w:val="236D7348"/>
    <w:rsid w:val="237F64BA"/>
    <w:rsid w:val="23AD74CB"/>
    <w:rsid w:val="24482707"/>
    <w:rsid w:val="24A91F5A"/>
    <w:rsid w:val="25B04B74"/>
    <w:rsid w:val="25BE258E"/>
    <w:rsid w:val="25F4788F"/>
    <w:rsid w:val="262002D5"/>
    <w:rsid w:val="26BF49BB"/>
    <w:rsid w:val="27217E53"/>
    <w:rsid w:val="293146FB"/>
    <w:rsid w:val="29B72F85"/>
    <w:rsid w:val="2A711809"/>
    <w:rsid w:val="2AC46EA9"/>
    <w:rsid w:val="2B746B21"/>
    <w:rsid w:val="2B8465E2"/>
    <w:rsid w:val="2B957297"/>
    <w:rsid w:val="2B9A68E5"/>
    <w:rsid w:val="2BC15C98"/>
    <w:rsid w:val="2BF60B83"/>
    <w:rsid w:val="2C771DC8"/>
    <w:rsid w:val="2CDC417B"/>
    <w:rsid w:val="2CF476ED"/>
    <w:rsid w:val="2D68442B"/>
    <w:rsid w:val="2DCC2C44"/>
    <w:rsid w:val="2E036059"/>
    <w:rsid w:val="2E0421A3"/>
    <w:rsid w:val="2E26328B"/>
    <w:rsid w:val="2E644DB6"/>
    <w:rsid w:val="2E8C18A7"/>
    <w:rsid w:val="2E903C71"/>
    <w:rsid w:val="2F1E1CFF"/>
    <w:rsid w:val="30414148"/>
    <w:rsid w:val="307B4C7E"/>
    <w:rsid w:val="30A47560"/>
    <w:rsid w:val="30BC16D5"/>
    <w:rsid w:val="30E23CB1"/>
    <w:rsid w:val="31007DC4"/>
    <w:rsid w:val="3113458D"/>
    <w:rsid w:val="31271405"/>
    <w:rsid w:val="318C6A47"/>
    <w:rsid w:val="31F25EFD"/>
    <w:rsid w:val="321B1AA4"/>
    <w:rsid w:val="32516ED6"/>
    <w:rsid w:val="327619D7"/>
    <w:rsid w:val="32C17D74"/>
    <w:rsid w:val="32C879DD"/>
    <w:rsid w:val="338C0118"/>
    <w:rsid w:val="33B511BE"/>
    <w:rsid w:val="33BA67E5"/>
    <w:rsid w:val="340B3E27"/>
    <w:rsid w:val="340E1C2A"/>
    <w:rsid w:val="34B54432"/>
    <w:rsid w:val="351A548C"/>
    <w:rsid w:val="35B31657"/>
    <w:rsid w:val="35F65B88"/>
    <w:rsid w:val="360623D2"/>
    <w:rsid w:val="37763414"/>
    <w:rsid w:val="37F47F36"/>
    <w:rsid w:val="383F51F9"/>
    <w:rsid w:val="38415FDC"/>
    <w:rsid w:val="38E33069"/>
    <w:rsid w:val="39B0341A"/>
    <w:rsid w:val="39F60B37"/>
    <w:rsid w:val="3AA4384E"/>
    <w:rsid w:val="3AB904BD"/>
    <w:rsid w:val="3ADA2490"/>
    <w:rsid w:val="3B053664"/>
    <w:rsid w:val="3B14406B"/>
    <w:rsid w:val="3B1479D8"/>
    <w:rsid w:val="3B2057E1"/>
    <w:rsid w:val="3B3C77EA"/>
    <w:rsid w:val="3B7174F0"/>
    <w:rsid w:val="3BA64AD4"/>
    <w:rsid w:val="3BCE3293"/>
    <w:rsid w:val="3BD4D306"/>
    <w:rsid w:val="3BF60F9A"/>
    <w:rsid w:val="3C0E61D6"/>
    <w:rsid w:val="3C612DE0"/>
    <w:rsid w:val="3C712E37"/>
    <w:rsid w:val="3CA31E89"/>
    <w:rsid w:val="3CA83FA5"/>
    <w:rsid w:val="3CA90A97"/>
    <w:rsid w:val="3D0B467F"/>
    <w:rsid w:val="3D157604"/>
    <w:rsid w:val="3D2475B1"/>
    <w:rsid w:val="3E57693D"/>
    <w:rsid w:val="3E681366"/>
    <w:rsid w:val="3E840422"/>
    <w:rsid w:val="3E8963A6"/>
    <w:rsid w:val="3E8D0950"/>
    <w:rsid w:val="3E9D1C18"/>
    <w:rsid w:val="3EC6791D"/>
    <w:rsid w:val="3F3D74FE"/>
    <w:rsid w:val="3FFB0793"/>
    <w:rsid w:val="401C5365"/>
    <w:rsid w:val="40AB493B"/>
    <w:rsid w:val="40E44F98"/>
    <w:rsid w:val="4195588F"/>
    <w:rsid w:val="42622B53"/>
    <w:rsid w:val="4262601D"/>
    <w:rsid w:val="427F7566"/>
    <w:rsid w:val="428B4A8E"/>
    <w:rsid w:val="43854F29"/>
    <w:rsid w:val="43A5688D"/>
    <w:rsid w:val="43DF5027"/>
    <w:rsid w:val="43E44D7F"/>
    <w:rsid w:val="445A7769"/>
    <w:rsid w:val="44B8233B"/>
    <w:rsid w:val="44C15D36"/>
    <w:rsid w:val="44F80A41"/>
    <w:rsid w:val="451C7331"/>
    <w:rsid w:val="454D14B3"/>
    <w:rsid w:val="45AC750E"/>
    <w:rsid w:val="45CC14CF"/>
    <w:rsid w:val="45EC1C07"/>
    <w:rsid w:val="46192347"/>
    <w:rsid w:val="46214878"/>
    <w:rsid w:val="46587755"/>
    <w:rsid w:val="46A11D57"/>
    <w:rsid w:val="46AA5761"/>
    <w:rsid w:val="46B81F12"/>
    <w:rsid w:val="470D456D"/>
    <w:rsid w:val="476A43DB"/>
    <w:rsid w:val="47DD243F"/>
    <w:rsid w:val="481D611E"/>
    <w:rsid w:val="48313978"/>
    <w:rsid w:val="488D6D53"/>
    <w:rsid w:val="48D04F3E"/>
    <w:rsid w:val="49307A8A"/>
    <w:rsid w:val="49342620"/>
    <w:rsid w:val="4935502F"/>
    <w:rsid w:val="4A4E09BA"/>
    <w:rsid w:val="4A65428E"/>
    <w:rsid w:val="4B0435C5"/>
    <w:rsid w:val="4B3C63FD"/>
    <w:rsid w:val="4B6148D3"/>
    <w:rsid w:val="4BCF2B77"/>
    <w:rsid w:val="4BD401F9"/>
    <w:rsid w:val="4C2B5EA9"/>
    <w:rsid w:val="4C583BC9"/>
    <w:rsid w:val="4C635659"/>
    <w:rsid w:val="4CE11174"/>
    <w:rsid w:val="4CEB2607"/>
    <w:rsid w:val="4D1E52F6"/>
    <w:rsid w:val="4D6D21FE"/>
    <w:rsid w:val="4E4B5067"/>
    <w:rsid w:val="4F0C1F2F"/>
    <w:rsid w:val="4FF599A8"/>
    <w:rsid w:val="5053491D"/>
    <w:rsid w:val="50AA0F71"/>
    <w:rsid w:val="50B67110"/>
    <w:rsid w:val="513F1EBC"/>
    <w:rsid w:val="518252BD"/>
    <w:rsid w:val="51CF1056"/>
    <w:rsid w:val="51DE4FB8"/>
    <w:rsid w:val="524851D3"/>
    <w:rsid w:val="52FE180B"/>
    <w:rsid w:val="53A45354"/>
    <w:rsid w:val="53C60501"/>
    <w:rsid w:val="544E1731"/>
    <w:rsid w:val="54625F25"/>
    <w:rsid w:val="5488145E"/>
    <w:rsid w:val="5492481A"/>
    <w:rsid w:val="54A12944"/>
    <w:rsid w:val="54D06811"/>
    <w:rsid w:val="54DA63B6"/>
    <w:rsid w:val="54DD7061"/>
    <w:rsid w:val="55E44BF2"/>
    <w:rsid w:val="567E2D43"/>
    <w:rsid w:val="56A93273"/>
    <w:rsid w:val="570B5E72"/>
    <w:rsid w:val="572A3629"/>
    <w:rsid w:val="57646494"/>
    <w:rsid w:val="58025707"/>
    <w:rsid w:val="58907D59"/>
    <w:rsid w:val="58BD0A48"/>
    <w:rsid w:val="59256917"/>
    <w:rsid w:val="5956355F"/>
    <w:rsid w:val="598918A5"/>
    <w:rsid w:val="59A0095D"/>
    <w:rsid w:val="59A0270B"/>
    <w:rsid w:val="59E7033A"/>
    <w:rsid w:val="5A6E2809"/>
    <w:rsid w:val="5A8C0EE1"/>
    <w:rsid w:val="5A986C6D"/>
    <w:rsid w:val="5AA236C0"/>
    <w:rsid w:val="5AFC697C"/>
    <w:rsid w:val="5B162181"/>
    <w:rsid w:val="5B4F263B"/>
    <w:rsid w:val="5B9206F4"/>
    <w:rsid w:val="5BA6155E"/>
    <w:rsid w:val="5C983A6F"/>
    <w:rsid w:val="5CCE783E"/>
    <w:rsid w:val="5D487E35"/>
    <w:rsid w:val="5DDB4B5C"/>
    <w:rsid w:val="5DDE39A4"/>
    <w:rsid w:val="5E446B3F"/>
    <w:rsid w:val="5E993CDD"/>
    <w:rsid w:val="5EB70EB9"/>
    <w:rsid w:val="5EF3437C"/>
    <w:rsid w:val="5F1A2C61"/>
    <w:rsid w:val="5F1D47FE"/>
    <w:rsid w:val="5F5E355C"/>
    <w:rsid w:val="5F8F61EB"/>
    <w:rsid w:val="5FFA0AC5"/>
    <w:rsid w:val="5FFE63DD"/>
    <w:rsid w:val="60EF4DCF"/>
    <w:rsid w:val="612B5701"/>
    <w:rsid w:val="61344213"/>
    <w:rsid w:val="61557273"/>
    <w:rsid w:val="62450EE3"/>
    <w:rsid w:val="62A327E6"/>
    <w:rsid w:val="62DD53C8"/>
    <w:rsid w:val="62DE16E4"/>
    <w:rsid w:val="63330B77"/>
    <w:rsid w:val="633515D4"/>
    <w:rsid w:val="6383218D"/>
    <w:rsid w:val="63B45772"/>
    <w:rsid w:val="63C67212"/>
    <w:rsid w:val="63CE0D5C"/>
    <w:rsid w:val="63F320DA"/>
    <w:rsid w:val="64330BF0"/>
    <w:rsid w:val="64B27796"/>
    <w:rsid w:val="652E6D08"/>
    <w:rsid w:val="657A1A5A"/>
    <w:rsid w:val="661E0555"/>
    <w:rsid w:val="662C39C8"/>
    <w:rsid w:val="66B85327"/>
    <w:rsid w:val="66FF7EEC"/>
    <w:rsid w:val="67B17977"/>
    <w:rsid w:val="6838187A"/>
    <w:rsid w:val="68592C4A"/>
    <w:rsid w:val="690E618F"/>
    <w:rsid w:val="69223AF7"/>
    <w:rsid w:val="69E0307E"/>
    <w:rsid w:val="69E46BE7"/>
    <w:rsid w:val="6AAE1ABB"/>
    <w:rsid w:val="6BAD2E95"/>
    <w:rsid w:val="6BFB7C75"/>
    <w:rsid w:val="6C654B39"/>
    <w:rsid w:val="6C984965"/>
    <w:rsid w:val="6CCE0EE6"/>
    <w:rsid w:val="6CE05812"/>
    <w:rsid w:val="6D281DC5"/>
    <w:rsid w:val="6D3EA671"/>
    <w:rsid w:val="6D6D6950"/>
    <w:rsid w:val="6D9C0456"/>
    <w:rsid w:val="6E601B49"/>
    <w:rsid w:val="6EDC17E7"/>
    <w:rsid w:val="6F4A3AEC"/>
    <w:rsid w:val="6F7A1830"/>
    <w:rsid w:val="6FEE9BA8"/>
    <w:rsid w:val="6FF1047F"/>
    <w:rsid w:val="7091578D"/>
    <w:rsid w:val="70A37E16"/>
    <w:rsid w:val="70A87EA7"/>
    <w:rsid w:val="70AE105E"/>
    <w:rsid w:val="71442635"/>
    <w:rsid w:val="716825B1"/>
    <w:rsid w:val="71840EB8"/>
    <w:rsid w:val="71876954"/>
    <w:rsid w:val="71C24333"/>
    <w:rsid w:val="72175B12"/>
    <w:rsid w:val="72234BA6"/>
    <w:rsid w:val="72632561"/>
    <w:rsid w:val="727F0C70"/>
    <w:rsid w:val="729F57FE"/>
    <w:rsid w:val="734C6462"/>
    <w:rsid w:val="735071F1"/>
    <w:rsid w:val="737D2B53"/>
    <w:rsid w:val="73DE059E"/>
    <w:rsid w:val="73F4EDEB"/>
    <w:rsid w:val="73F74329"/>
    <w:rsid w:val="742324F5"/>
    <w:rsid w:val="745A609E"/>
    <w:rsid w:val="74610B2E"/>
    <w:rsid w:val="748A466E"/>
    <w:rsid w:val="74B75AAD"/>
    <w:rsid w:val="74CF0021"/>
    <w:rsid w:val="750C3FCB"/>
    <w:rsid w:val="76BC3479"/>
    <w:rsid w:val="76F4407F"/>
    <w:rsid w:val="77056A4E"/>
    <w:rsid w:val="77066657"/>
    <w:rsid w:val="78173C9D"/>
    <w:rsid w:val="78853310"/>
    <w:rsid w:val="788D60F9"/>
    <w:rsid w:val="78E306A6"/>
    <w:rsid w:val="791A25CF"/>
    <w:rsid w:val="793364C5"/>
    <w:rsid w:val="79786CE8"/>
    <w:rsid w:val="797C7502"/>
    <w:rsid w:val="79AD259B"/>
    <w:rsid w:val="79DA711C"/>
    <w:rsid w:val="7A191F3D"/>
    <w:rsid w:val="7A350F6E"/>
    <w:rsid w:val="7A474BA3"/>
    <w:rsid w:val="7A745551"/>
    <w:rsid w:val="7A790758"/>
    <w:rsid w:val="7A7FD6C9"/>
    <w:rsid w:val="7B205002"/>
    <w:rsid w:val="7B3526A6"/>
    <w:rsid w:val="7B7F4072"/>
    <w:rsid w:val="7B9364A9"/>
    <w:rsid w:val="7B96065C"/>
    <w:rsid w:val="7C583FE9"/>
    <w:rsid w:val="7CAE5D88"/>
    <w:rsid w:val="7D605B8A"/>
    <w:rsid w:val="7D66310E"/>
    <w:rsid w:val="7DDB6CA8"/>
    <w:rsid w:val="7DED3812"/>
    <w:rsid w:val="7DEF10A3"/>
    <w:rsid w:val="7DFF44C2"/>
    <w:rsid w:val="7F051CD1"/>
    <w:rsid w:val="7F964630"/>
    <w:rsid w:val="7FD20A19"/>
    <w:rsid w:val="7FE5F6F7"/>
    <w:rsid w:val="7FF61511"/>
    <w:rsid w:val="9FB062D9"/>
    <w:rsid w:val="B7EFB93A"/>
    <w:rsid w:val="C3FD94A8"/>
    <w:rsid w:val="DF7F80FE"/>
    <w:rsid w:val="EEFA21F9"/>
    <w:rsid w:val="EF5F66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nhideWhenUsed="0" w:uiPriority="35" w:semiHidden="0" w:name="caption"/>
    <w:lsdException w:qFormat="1" w:uiPriority="99" w:semiHidden="0"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iPriority="99" w:semiHidden="0"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99" w:semiHidden="0" w:name="Date"/>
    <w:lsdException w:qFormat="1" w:uiPriority="99" w:semiHidden="0" w:name="Body Text First Indent"/>
    <w:lsdException w:qFormat="1" w:uiPriority="99" w:semiHidden="0"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99" w:semiHidden="0" w:name="Plain Text"/>
    <w:lsdException w:uiPriority="99" w:name="E-mail Signature"/>
    <w:lsdException w:qFormat="1" w:unhideWhenUsed="0" w:uiPriority="0" w:semiHidden="0" w:name="Normal (Web)"/>
    <w:lsdException w:uiPriority="99" w:name="HTML Acronym"/>
    <w:lsdException w:uiPriority="99"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iPriority="99" w:name="HTML Preformatted"/>
    <w:lsdException w:qFormat="1" w:unhideWhenUsed="0" w:uiPriority="0" w:semiHidden="0" w:name="HTML Sample"/>
    <w:lsdException w:qFormat="1" w:unhideWhenUsed="0" w:uiPriority="99" w:semiHidden="0" w:name="HTML Typewriter"/>
    <w:lsdException w:qFormat="1" w:unhideWhenUsed="0" w:uiPriority="0" w:semiHidden="0" w:name="HTML Variable"/>
    <w:lsdException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60"/>
    <w:qFormat/>
    <w:uiPriority w:val="9"/>
    <w:pPr>
      <w:keepNext/>
      <w:keepLines/>
      <w:spacing w:beforeLines="100" w:afterLines="100" w:line="400" w:lineRule="exact"/>
      <w:jc w:val="center"/>
      <w:outlineLvl w:val="0"/>
    </w:pPr>
    <w:rPr>
      <w:b/>
      <w:bCs/>
      <w:kern w:val="44"/>
      <w:sz w:val="44"/>
      <w:szCs w:val="44"/>
    </w:rPr>
  </w:style>
  <w:style w:type="paragraph" w:styleId="3">
    <w:name w:val="heading 2"/>
    <w:basedOn w:val="1"/>
    <w:next w:val="1"/>
    <w:link w:val="61"/>
    <w:qFormat/>
    <w:uiPriority w:val="9"/>
    <w:pPr>
      <w:keepNext/>
      <w:jc w:val="center"/>
      <w:outlineLvl w:val="1"/>
    </w:pPr>
    <w:rPr>
      <w:rFonts w:ascii="Cambria" w:hAnsi="Cambria"/>
      <w:b/>
      <w:bCs/>
      <w:sz w:val="30"/>
      <w:szCs w:val="32"/>
    </w:rPr>
  </w:style>
  <w:style w:type="paragraph" w:styleId="4">
    <w:name w:val="heading 3"/>
    <w:basedOn w:val="1"/>
    <w:next w:val="1"/>
    <w:link w:val="62"/>
    <w:qFormat/>
    <w:uiPriority w:val="9"/>
    <w:pPr>
      <w:keepNext/>
      <w:tabs>
        <w:tab w:val="left" w:pos="720"/>
      </w:tabs>
      <w:spacing w:line="240" w:lineRule="atLeast"/>
      <w:ind w:left="720" w:hanging="720"/>
      <w:jc w:val="center"/>
      <w:outlineLvl w:val="2"/>
    </w:pPr>
    <w:rPr>
      <w:b/>
      <w:bCs/>
      <w:kern w:val="0"/>
      <w:sz w:val="32"/>
      <w:szCs w:val="32"/>
    </w:rPr>
  </w:style>
  <w:style w:type="paragraph" w:styleId="5">
    <w:name w:val="heading 4"/>
    <w:basedOn w:val="1"/>
    <w:next w:val="1"/>
    <w:link w:val="63"/>
    <w:qFormat/>
    <w:uiPriority w:val="9"/>
    <w:pPr>
      <w:keepNext/>
      <w:keepLines/>
      <w:spacing w:before="280" w:after="290" w:line="374" w:lineRule="auto"/>
      <w:outlineLvl w:val="3"/>
    </w:pPr>
    <w:rPr>
      <w:rFonts w:ascii="Cambria" w:hAnsi="Cambria"/>
      <w:b/>
      <w:bCs/>
      <w:kern w:val="0"/>
      <w:sz w:val="28"/>
      <w:szCs w:val="28"/>
    </w:rPr>
  </w:style>
  <w:style w:type="paragraph" w:styleId="6">
    <w:name w:val="heading 5"/>
    <w:basedOn w:val="1"/>
    <w:next w:val="1"/>
    <w:link w:val="64"/>
    <w:unhideWhenUsed/>
    <w:qFormat/>
    <w:uiPriority w:val="9"/>
    <w:pPr>
      <w:keepNext/>
      <w:keepLines/>
      <w:spacing w:line="372" w:lineRule="auto"/>
      <w:ind w:left="1008" w:hanging="1008"/>
      <w:outlineLvl w:val="4"/>
    </w:pPr>
    <w:rPr>
      <w:rFonts w:asciiTheme="minorHAnsi" w:hAnsiTheme="minorHAnsi" w:eastAsiaTheme="minorEastAsia" w:cstheme="minorBidi"/>
      <w:b/>
      <w:sz w:val="28"/>
      <w:szCs w:val="22"/>
    </w:rPr>
  </w:style>
  <w:style w:type="paragraph" w:styleId="7">
    <w:name w:val="heading 6"/>
    <w:basedOn w:val="1"/>
    <w:next w:val="1"/>
    <w:link w:val="65"/>
    <w:unhideWhenUsed/>
    <w:qFormat/>
    <w:uiPriority w:val="9"/>
    <w:pPr>
      <w:keepNext/>
      <w:keepLines/>
      <w:spacing w:line="317" w:lineRule="auto"/>
      <w:ind w:left="1151" w:hanging="1151"/>
      <w:outlineLvl w:val="5"/>
    </w:pPr>
    <w:rPr>
      <w:rFonts w:ascii="Arial" w:hAnsi="Arial" w:eastAsia="黑体" w:cstheme="minorBidi"/>
      <w:b/>
      <w:sz w:val="24"/>
      <w:szCs w:val="22"/>
    </w:rPr>
  </w:style>
  <w:style w:type="paragraph" w:styleId="8">
    <w:name w:val="heading 7"/>
    <w:basedOn w:val="1"/>
    <w:next w:val="1"/>
    <w:link w:val="66"/>
    <w:unhideWhenUsed/>
    <w:qFormat/>
    <w:uiPriority w:val="9"/>
    <w:pPr>
      <w:keepNext/>
      <w:keepLines/>
      <w:spacing w:line="317" w:lineRule="auto"/>
      <w:ind w:left="1296" w:hanging="1296"/>
      <w:outlineLvl w:val="6"/>
    </w:pPr>
    <w:rPr>
      <w:rFonts w:asciiTheme="minorHAnsi" w:hAnsiTheme="minorHAnsi" w:eastAsiaTheme="minorEastAsia" w:cstheme="minorBidi"/>
      <w:b/>
      <w:sz w:val="24"/>
      <w:szCs w:val="22"/>
    </w:rPr>
  </w:style>
  <w:style w:type="paragraph" w:styleId="9">
    <w:name w:val="heading 8"/>
    <w:basedOn w:val="1"/>
    <w:next w:val="1"/>
    <w:link w:val="67"/>
    <w:unhideWhenUsed/>
    <w:qFormat/>
    <w:uiPriority w:val="9"/>
    <w:pPr>
      <w:keepNext/>
      <w:keepLines/>
      <w:spacing w:line="317" w:lineRule="auto"/>
      <w:ind w:left="1440" w:hanging="1440"/>
      <w:outlineLvl w:val="7"/>
    </w:pPr>
    <w:rPr>
      <w:rFonts w:ascii="Arial" w:hAnsi="Arial" w:eastAsia="黑体" w:cstheme="minorBidi"/>
      <w:sz w:val="24"/>
      <w:szCs w:val="22"/>
    </w:rPr>
  </w:style>
  <w:style w:type="paragraph" w:styleId="10">
    <w:name w:val="heading 9"/>
    <w:basedOn w:val="1"/>
    <w:next w:val="1"/>
    <w:link w:val="68"/>
    <w:unhideWhenUsed/>
    <w:qFormat/>
    <w:uiPriority w:val="9"/>
    <w:pPr>
      <w:keepNext/>
      <w:keepLines/>
      <w:spacing w:line="317" w:lineRule="auto"/>
      <w:ind w:left="1583" w:hanging="1583"/>
      <w:outlineLvl w:val="8"/>
    </w:pPr>
    <w:rPr>
      <w:rFonts w:ascii="Arial" w:hAnsi="Arial" w:eastAsia="黑体" w:cstheme="minorBidi"/>
      <w:szCs w:val="22"/>
    </w:rPr>
  </w:style>
  <w:style w:type="character" w:default="1" w:styleId="44">
    <w:name w:val="Default Paragraph Font"/>
    <w:semiHidden/>
    <w:unhideWhenUsed/>
    <w:uiPriority w:val="1"/>
  </w:style>
  <w:style w:type="table" w:default="1" w:styleId="42">
    <w:name w:val="Normal Table"/>
    <w:semiHidden/>
    <w:unhideWhenUsed/>
    <w:uiPriority w:val="99"/>
    <w:tblPr>
      <w:tblCellMar>
        <w:top w:w="0" w:type="dxa"/>
        <w:left w:w="108" w:type="dxa"/>
        <w:bottom w:w="0" w:type="dxa"/>
        <w:right w:w="108" w:type="dxa"/>
      </w:tblCellMar>
    </w:tblPr>
  </w:style>
  <w:style w:type="paragraph" w:styleId="11">
    <w:name w:val="toc 7"/>
    <w:basedOn w:val="1"/>
    <w:next w:val="1"/>
    <w:unhideWhenUsed/>
    <w:qFormat/>
    <w:uiPriority w:val="39"/>
    <w:pPr>
      <w:widowControl/>
      <w:ind w:left="2520" w:leftChars="1200"/>
    </w:pPr>
    <w:rPr>
      <w:rFonts w:ascii="Calibri" w:hAnsi="Calibri"/>
      <w:szCs w:val="24"/>
    </w:rPr>
  </w:style>
  <w:style w:type="paragraph" w:styleId="12">
    <w:name w:val="Normal Indent"/>
    <w:basedOn w:val="1"/>
    <w:link w:val="69"/>
    <w:qFormat/>
    <w:uiPriority w:val="0"/>
    <w:pPr>
      <w:widowControl/>
      <w:adjustRightInd w:val="0"/>
      <w:snapToGrid w:val="0"/>
      <w:spacing w:line="480" w:lineRule="exact"/>
      <w:ind w:firstLine="567"/>
    </w:pPr>
    <w:rPr>
      <w:rFonts w:ascii="宋体"/>
      <w:snapToGrid w:val="0"/>
      <w:color w:val="000000"/>
      <w:kern w:val="28"/>
      <w:sz w:val="28"/>
    </w:rPr>
  </w:style>
  <w:style w:type="paragraph" w:styleId="13">
    <w:name w:val="caption"/>
    <w:basedOn w:val="1"/>
    <w:next w:val="1"/>
    <w:link w:val="215"/>
    <w:qFormat/>
    <w:uiPriority w:val="35"/>
    <w:pPr>
      <w:spacing w:before="152" w:after="160"/>
    </w:pPr>
    <w:rPr>
      <w:rFonts w:ascii="Arial" w:hAnsi="Arial" w:eastAsia="黑体"/>
    </w:rPr>
  </w:style>
  <w:style w:type="paragraph" w:styleId="14">
    <w:name w:val="Document Map"/>
    <w:basedOn w:val="1"/>
    <w:link w:val="70"/>
    <w:qFormat/>
    <w:uiPriority w:val="0"/>
    <w:pPr>
      <w:shd w:val="clear" w:color="auto" w:fill="000080"/>
    </w:pPr>
    <w:rPr>
      <w:kern w:val="0"/>
      <w:sz w:val="2"/>
    </w:rPr>
  </w:style>
  <w:style w:type="paragraph" w:styleId="15">
    <w:name w:val="toa heading"/>
    <w:basedOn w:val="1"/>
    <w:next w:val="1"/>
    <w:unhideWhenUsed/>
    <w:qFormat/>
    <w:uiPriority w:val="99"/>
    <w:pPr>
      <w:spacing w:before="120"/>
    </w:pPr>
    <w:rPr>
      <w:rFonts w:ascii="Arial" w:hAnsi="Arial" w:cs="Arial"/>
      <w:sz w:val="24"/>
      <w:szCs w:val="24"/>
    </w:rPr>
  </w:style>
  <w:style w:type="paragraph" w:styleId="16">
    <w:name w:val="annotation text"/>
    <w:basedOn w:val="1"/>
    <w:link w:val="71"/>
    <w:qFormat/>
    <w:uiPriority w:val="99"/>
    <w:pPr>
      <w:jc w:val="left"/>
    </w:pPr>
  </w:style>
  <w:style w:type="paragraph" w:styleId="17">
    <w:name w:val="Body Text"/>
    <w:basedOn w:val="1"/>
    <w:next w:val="1"/>
    <w:link w:val="72"/>
    <w:qFormat/>
    <w:uiPriority w:val="99"/>
    <w:rPr>
      <w:kern w:val="0"/>
      <w:sz w:val="20"/>
    </w:rPr>
  </w:style>
  <w:style w:type="paragraph" w:styleId="18">
    <w:name w:val="Body Text Indent"/>
    <w:basedOn w:val="1"/>
    <w:next w:val="1"/>
    <w:link w:val="73"/>
    <w:qFormat/>
    <w:uiPriority w:val="99"/>
    <w:pPr>
      <w:spacing w:line="380" w:lineRule="exact"/>
      <w:ind w:firstLine="480"/>
    </w:pPr>
    <w:rPr>
      <w:kern w:val="0"/>
      <w:sz w:val="20"/>
    </w:rPr>
  </w:style>
  <w:style w:type="paragraph" w:styleId="19">
    <w:name w:val="Block Text"/>
    <w:basedOn w:val="1"/>
    <w:qFormat/>
    <w:uiPriority w:val="0"/>
    <w:pPr>
      <w:adjustRightInd w:val="0"/>
      <w:snapToGrid w:val="0"/>
      <w:spacing w:line="360" w:lineRule="auto"/>
      <w:ind w:left="567" w:leftChars="270" w:right="-315" w:rightChars="-150" w:firstLine="480" w:firstLineChars="200"/>
    </w:pPr>
    <w:rPr>
      <w:rFonts w:ascii="宋体"/>
      <w:sz w:val="24"/>
      <w:szCs w:val="24"/>
    </w:rPr>
  </w:style>
  <w:style w:type="paragraph" w:styleId="20">
    <w:name w:val="toc 5"/>
    <w:basedOn w:val="1"/>
    <w:next w:val="1"/>
    <w:unhideWhenUsed/>
    <w:qFormat/>
    <w:uiPriority w:val="39"/>
    <w:pPr>
      <w:widowControl/>
      <w:ind w:left="1680" w:leftChars="800"/>
    </w:pPr>
    <w:rPr>
      <w:rFonts w:ascii="Calibri" w:hAnsi="Calibri"/>
      <w:szCs w:val="24"/>
    </w:rPr>
  </w:style>
  <w:style w:type="paragraph" w:styleId="21">
    <w:name w:val="toc 3"/>
    <w:basedOn w:val="1"/>
    <w:next w:val="1"/>
    <w:qFormat/>
    <w:uiPriority w:val="39"/>
    <w:pPr>
      <w:ind w:left="840" w:leftChars="400"/>
    </w:pPr>
  </w:style>
  <w:style w:type="paragraph" w:styleId="22">
    <w:name w:val="Plain Text"/>
    <w:basedOn w:val="1"/>
    <w:link w:val="74"/>
    <w:qFormat/>
    <w:uiPriority w:val="99"/>
    <w:rPr>
      <w:rFonts w:ascii="宋体" w:hAnsi="Courier New"/>
      <w:kern w:val="0"/>
      <w:szCs w:val="21"/>
    </w:rPr>
  </w:style>
  <w:style w:type="paragraph" w:styleId="23">
    <w:name w:val="toc 8"/>
    <w:basedOn w:val="1"/>
    <w:next w:val="1"/>
    <w:unhideWhenUsed/>
    <w:qFormat/>
    <w:uiPriority w:val="39"/>
    <w:pPr>
      <w:widowControl/>
      <w:ind w:left="2940" w:leftChars="1400"/>
    </w:pPr>
    <w:rPr>
      <w:rFonts w:ascii="Calibri" w:hAnsi="Calibri"/>
      <w:szCs w:val="24"/>
    </w:rPr>
  </w:style>
  <w:style w:type="paragraph" w:styleId="24">
    <w:name w:val="Date"/>
    <w:basedOn w:val="1"/>
    <w:next w:val="1"/>
    <w:link w:val="75"/>
    <w:qFormat/>
    <w:uiPriority w:val="99"/>
    <w:rPr>
      <w:sz w:val="28"/>
    </w:rPr>
  </w:style>
  <w:style w:type="paragraph" w:styleId="25">
    <w:name w:val="Body Text Indent 2"/>
    <w:basedOn w:val="1"/>
    <w:link w:val="76"/>
    <w:qFormat/>
    <w:uiPriority w:val="0"/>
    <w:pPr>
      <w:tabs>
        <w:tab w:val="left" w:pos="240"/>
        <w:tab w:val="left" w:pos="480"/>
      </w:tabs>
      <w:ind w:left="630" w:leftChars="300"/>
    </w:pPr>
    <w:rPr>
      <w:kern w:val="0"/>
      <w:sz w:val="20"/>
    </w:rPr>
  </w:style>
  <w:style w:type="paragraph" w:styleId="26">
    <w:name w:val="Balloon Text"/>
    <w:basedOn w:val="1"/>
    <w:link w:val="77"/>
    <w:qFormat/>
    <w:uiPriority w:val="99"/>
    <w:rPr>
      <w:sz w:val="18"/>
      <w:szCs w:val="18"/>
    </w:rPr>
  </w:style>
  <w:style w:type="paragraph" w:styleId="27">
    <w:name w:val="footer"/>
    <w:basedOn w:val="1"/>
    <w:link w:val="78"/>
    <w:qFormat/>
    <w:uiPriority w:val="99"/>
    <w:pPr>
      <w:tabs>
        <w:tab w:val="center" w:pos="4153"/>
        <w:tab w:val="right" w:pos="8306"/>
      </w:tabs>
      <w:snapToGrid w:val="0"/>
      <w:jc w:val="left"/>
    </w:pPr>
    <w:rPr>
      <w:kern w:val="0"/>
      <w:sz w:val="18"/>
      <w:szCs w:val="18"/>
    </w:rPr>
  </w:style>
  <w:style w:type="paragraph" w:styleId="28">
    <w:name w:val="header"/>
    <w:basedOn w:val="1"/>
    <w:link w:val="79"/>
    <w:qFormat/>
    <w:uiPriority w:val="99"/>
    <w:pPr>
      <w:pBdr>
        <w:bottom w:val="single" w:color="auto" w:sz="6" w:space="1"/>
      </w:pBdr>
      <w:tabs>
        <w:tab w:val="center" w:pos="4153"/>
        <w:tab w:val="right" w:pos="8306"/>
      </w:tabs>
      <w:snapToGrid w:val="0"/>
      <w:jc w:val="center"/>
    </w:pPr>
    <w:rPr>
      <w:kern w:val="0"/>
      <w:sz w:val="18"/>
      <w:szCs w:val="18"/>
    </w:rPr>
  </w:style>
  <w:style w:type="paragraph" w:styleId="29">
    <w:name w:val="toc 1"/>
    <w:basedOn w:val="1"/>
    <w:next w:val="1"/>
    <w:qFormat/>
    <w:uiPriority w:val="39"/>
    <w:rPr>
      <w:sz w:val="24"/>
    </w:rPr>
  </w:style>
  <w:style w:type="paragraph" w:styleId="30">
    <w:name w:val="toc 4"/>
    <w:basedOn w:val="1"/>
    <w:next w:val="1"/>
    <w:unhideWhenUsed/>
    <w:qFormat/>
    <w:uiPriority w:val="39"/>
    <w:pPr>
      <w:widowControl/>
      <w:ind w:left="1260" w:leftChars="600"/>
    </w:pPr>
    <w:rPr>
      <w:rFonts w:ascii="Calibri" w:hAnsi="Calibri"/>
      <w:szCs w:val="24"/>
    </w:rPr>
  </w:style>
  <w:style w:type="paragraph" w:styleId="31">
    <w:name w:val="toc 6"/>
    <w:basedOn w:val="1"/>
    <w:next w:val="1"/>
    <w:unhideWhenUsed/>
    <w:qFormat/>
    <w:uiPriority w:val="39"/>
    <w:pPr>
      <w:widowControl/>
      <w:ind w:left="2100" w:leftChars="1000"/>
    </w:pPr>
    <w:rPr>
      <w:rFonts w:ascii="Calibri" w:hAnsi="Calibri"/>
      <w:szCs w:val="24"/>
    </w:rPr>
  </w:style>
  <w:style w:type="paragraph" w:styleId="32">
    <w:name w:val="Body Text Indent 3"/>
    <w:basedOn w:val="1"/>
    <w:link w:val="80"/>
    <w:qFormat/>
    <w:uiPriority w:val="0"/>
    <w:pPr>
      <w:spacing w:after="120"/>
      <w:ind w:left="420" w:leftChars="200"/>
    </w:pPr>
    <w:rPr>
      <w:sz w:val="16"/>
      <w:szCs w:val="16"/>
    </w:rPr>
  </w:style>
  <w:style w:type="paragraph" w:styleId="33">
    <w:name w:val="table of figures"/>
    <w:basedOn w:val="1"/>
    <w:next w:val="1"/>
    <w:unhideWhenUsed/>
    <w:qFormat/>
    <w:uiPriority w:val="99"/>
    <w:pPr>
      <w:spacing w:line="360" w:lineRule="auto"/>
      <w:ind w:left="200" w:leftChars="200" w:hanging="200" w:hangingChars="200"/>
    </w:pPr>
    <w:rPr>
      <w:rFonts w:eastAsia="仿宋"/>
      <w:sz w:val="28"/>
      <w:szCs w:val="22"/>
    </w:rPr>
  </w:style>
  <w:style w:type="paragraph" w:styleId="34">
    <w:name w:val="toc 2"/>
    <w:basedOn w:val="1"/>
    <w:next w:val="1"/>
    <w:qFormat/>
    <w:uiPriority w:val="39"/>
    <w:pPr>
      <w:ind w:left="420" w:leftChars="200"/>
    </w:pPr>
  </w:style>
  <w:style w:type="paragraph" w:styleId="35">
    <w:name w:val="toc 9"/>
    <w:basedOn w:val="1"/>
    <w:next w:val="1"/>
    <w:unhideWhenUsed/>
    <w:qFormat/>
    <w:uiPriority w:val="39"/>
    <w:pPr>
      <w:widowControl/>
      <w:ind w:left="3360" w:leftChars="1600"/>
    </w:pPr>
    <w:rPr>
      <w:rFonts w:ascii="Calibri" w:hAnsi="Calibri"/>
      <w:szCs w:val="24"/>
    </w:rPr>
  </w:style>
  <w:style w:type="paragraph" w:styleId="36">
    <w:name w:val="Body Text 2"/>
    <w:basedOn w:val="1"/>
    <w:link w:val="81"/>
    <w:qFormat/>
    <w:uiPriority w:val="0"/>
    <w:pPr>
      <w:spacing w:after="120" w:line="480" w:lineRule="auto"/>
    </w:pPr>
    <w:rPr>
      <w:kern w:val="0"/>
      <w:sz w:val="20"/>
    </w:rPr>
  </w:style>
  <w:style w:type="paragraph" w:styleId="37">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szCs w:val="24"/>
    </w:rPr>
  </w:style>
  <w:style w:type="paragraph" w:styleId="38">
    <w:name w:val="Title"/>
    <w:basedOn w:val="1"/>
    <w:next w:val="1"/>
    <w:link w:val="216"/>
    <w:qFormat/>
    <w:uiPriority w:val="10"/>
    <w:pPr>
      <w:widowControl/>
      <w:spacing w:line="360" w:lineRule="auto"/>
      <w:ind w:firstLine="480" w:firstLineChars="200"/>
      <w:outlineLvl w:val="6"/>
    </w:pPr>
    <w:rPr>
      <w:b/>
      <w:bCs/>
      <w:sz w:val="28"/>
      <w:szCs w:val="32"/>
    </w:rPr>
  </w:style>
  <w:style w:type="paragraph" w:styleId="39">
    <w:name w:val="annotation subject"/>
    <w:basedOn w:val="16"/>
    <w:next w:val="16"/>
    <w:link w:val="82"/>
    <w:qFormat/>
    <w:uiPriority w:val="99"/>
    <w:rPr>
      <w:b/>
      <w:bCs/>
    </w:rPr>
  </w:style>
  <w:style w:type="paragraph" w:styleId="40">
    <w:name w:val="Body Text First Indent"/>
    <w:basedOn w:val="17"/>
    <w:link w:val="83"/>
    <w:unhideWhenUsed/>
    <w:qFormat/>
    <w:uiPriority w:val="99"/>
    <w:pPr>
      <w:spacing w:after="120"/>
      <w:ind w:firstLine="420" w:firstLineChars="100"/>
    </w:pPr>
    <w:rPr>
      <w:kern w:val="2"/>
      <w:sz w:val="21"/>
    </w:rPr>
  </w:style>
  <w:style w:type="paragraph" w:styleId="41">
    <w:name w:val="Body Text First Indent 2"/>
    <w:basedOn w:val="18"/>
    <w:next w:val="1"/>
    <w:link w:val="84"/>
    <w:unhideWhenUsed/>
    <w:qFormat/>
    <w:uiPriority w:val="99"/>
    <w:pPr>
      <w:spacing w:after="120" w:line="240" w:lineRule="auto"/>
      <w:ind w:left="420" w:leftChars="200" w:firstLine="420" w:firstLineChars="200"/>
    </w:pPr>
    <w:rPr>
      <w:kern w:val="2"/>
      <w:sz w:val="21"/>
    </w:rPr>
  </w:style>
  <w:style w:type="table" w:styleId="43">
    <w:name w:val="Table Grid"/>
    <w:basedOn w:val="42"/>
    <w:qFormat/>
    <w:uiPriority w:val="59"/>
    <w:rPr>
      <w:rFonts w:asciiTheme="minorHAnsi" w:hAnsiTheme="minorHAnsi" w:eastAsiaTheme="minorEastAsia" w:cstheme="minorBidi"/>
      <w:kern w:val="2"/>
      <w:sz w:val="21"/>
      <w:szCs w:val="22"/>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45">
    <w:name w:val="Strong"/>
    <w:qFormat/>
    <w:uiPriority w:val="22"/>
    <w:rPr>
      <w:b/>
      <w:bCs/>
    </w:rPr>
  </w:style>
  <w:style w:type="character" w:styleId="46">
    <w:name w:val="page number"/>
    <w:qFormat/>
    <w:uiPriority w:val="0"/>
    <w:rPr>
      <w:rFonts w:cs="Times New Roman"/>
    </w:rPr>
  </w:style>
  <w:style w:type="character" w:styleId="47">
    <w:name w:val="FollowedHyperlink"/>
    <w:qFormat/>
    <w:uiPriority w:val="99"/>
    <w:rPr>
      <w:rFonts w:cs="Times New Roman"/>
      <w:color w:val="800080"/>
      <w:u w:val="single"/>
    </w:rPr>
  </w:style>
  <w:style w:type="character" w:styleId="48">
    <w:name w:val="Emphasis"/>
    <w:qFormat/>
    <w:uiPriority w:val="0"/>
  </w:style>
  <w:style w:type="character" w:styleId="49">
    <w:name w:val="HTML Definition"/>
    <w:qFormat/>
    <w:uiPriority w:val="0"/>
  </w:style>
  <w:style w:type="character" w:styleId="50">
    <w:name w:val="HTML Typewriter"/>
    <w:qFormat/>
    <w:uiPriority w:val="99"/>
    <w:rPr>
      <w:rFonts w:ascii="Courier New" w:hAnsi="Courier New" w:cs="Courier New"/>
      <w:sz w:val="20"/>
      <w:szCs w:val="20"/>
    </w:rPr>
  </w:style>
  <w:style w:type="character" w:styleId="51">
    <w:name w:val="HTML Variable"/>
    <w:qFormat/>
    <w:uiPriority w:val="0"/>
  </w:style>
  <w:style w:type="character" w:styleId="52">
    <w:name w:val="Hyperlink"/>
    <w:qFormat/>
    <w:uiPriority w:val="99"/>
    <w:rPr>
      <w:rFonts w:cs="Times New Roman"/>
      <w:color w:val="0000FF"/>
      <w:u w:val="single"/>
    </w:rPr>
  </w:style>
  <w:style w:type="character" w:styleId="53">
    <w:name w:val="HTML Code"/>
    <w:qFormat/>
    <w:uiPriority w:val="0"/>
    <w:rPr>
      <w:rFonts w:hint="default" w:ascii="Arial" w:hAnsi="Arial" w:eastAsia="Arial" w:cs="Arial"/>
      <w:sz w:val="20"/>
    </w:rPr>
  </w:style>
  <w:style w:type="character" w:styleId="54">
    <w:name w:val="annotation reference"/>
    <w:basedOn w:val="44"/>
    <w:qFormat/>
    <w:uiPriority w:val="99"/>
    <w:rPr>
      <w:sz w:val="21"/>
      <w:szCs w:val="21"/>
    </w:rPr>
  </w:style>
  <w:style w:type="character" w:styleId="55">
    <w:name w:val="HTML Cite"/>
    <w:qFormat/>
    <w:uiPriority w:val="0"/>
  </w:style>
  <w:style w:type="character" w:styleId="56">
    <w:name w:val="HTML Keyboard"/>
    <w:qFormat/>
    <w:uiPriority w:val="0"/>
    <w:rPr>
      <w:rFonts w:hint="default" w:ascii="Arial" w:hAnsi="Arial" w:eastAsia="Arial" w:cs="Arial"/>
      <w:sz w:val="20"/>
    </w:rPr>
  </w:style>
  <w:style w:type="character" w:styleId="57">
    <w:name w:val="HTML Sample"/>
    <w:qFormat/>
    <w:uiPriority w:val="0"/>
    <w:rPr>
      <w:rFonts w:hint="eastAsia" w:ascii="Arial" w:hAnsi="Arial" w:eastAsia="Arial" w:cs="Arial"/>
    </w:rPr>
  </w:style>
  <w:style w:type="paragraph" w:customStyle="1" w:styleId="5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59">
    <w:name w:val="列表段落1"/>
    <w:basedOn w:val="1"/>
    <w:qFormat/>
    <w:uiPriority w:val="34"/>
    <w:pPr>
      <w:ind w:firstLine="420" w:firstLineChars="200"/>
    </w:pPr>
  </w:style>
  <w:style w:type="character" w:customStyle="1" w:styleId="60">
    <w:name w:val="标题 1 字符1"/>
    <w:link w:val="2"/>
    <w:qFormat/>
    <w:uiPriority w:val="9"/>
    <w:rPr>
      <w:rFonts w:cs="Times New Roman"/>
      <w:b/>
      <w:bCs/>
      <w:kern w:val="44"/>
      <w:sz w:val="44"/>
      <w:szCs w:val="44"/>
    </w:rPr>
  </w:style>
  <w:style w:type="character" w:customStyle="1" w:styleId="61">
    <w:name w:val="标题 2 字符2"/>
    <w:link w:val="3"/>
    <w:qFormat/>
    <w:uiPriority w:val="9"/>
    <w:rPr>
      <w:rFonts w:ascii="Cambria" w:hAnsi="Cambria"/>
      <w:b/>
      <w:bCs/>
      <w:kern w:val="2"/>
      <w:sz w:val="30"/>
      <w:szCs w:val="32"/>
    </w:rPr>
  </w:style>
  <w:style w:type="character" w:customStyle="1" w:styleId="62">
    <w:name w:val="标题 3 字符2"/>
    <w:link w:val="4"/>
    <w:qFormat/>
    <w:uiPriority w:val="9"/>
    <w:rPr>
      <w:rFonts w:cs="Times New Roman"/>
      <w:b/>
      <w:bCs/>
      <w:sz w:val="32"/>
      <w:szCs w:val="32"/>
    </w:rPr>
  </w:style>
  <w:style w:type="character" w:customStyle="1" w:styleId="63">
    <w:name w:val="标题 4 字符2"/>
    <w:link w:val="5"/>
    <w:qFormat/>
    <w:uiPriority w:val="9"/>
    <w:rPr>
      <w:rFonts w:ascii="Cambria" w:hAnsi="Cambria" w:eastAsia="宋体" w:cs="Times New Roman"/>
      <w:b/>
      <w:bCs/>
      <w:sz w:val="28"/>
      <w:szCs w:val="28"/>
    </w:rPr>
  </w:style>
  <w:style w:type="character" w:customStyle="1" w:styleId="64">
    <w:name w:val="标题 5 字符2"/>
    <w:basedOn w:val="44"/>
    <w:link w:val="6"/>
    <w:qFormat/>
    <w:uiPriority w:val="9"/>
    <w:rPr>
      <w:rFonts w:asciiTheme="minorHAnsi" w:hAnsiTheme="minorHAnsi" w:eastAsiaTheme="minorEastAsia" w:cstheme="minorBidi"/>
      <w:b/>
      <w:kern w:val="2"/>
      <w:sz w:val="28"/>
      <w:szCs w:val="22"/>
    </w:rPr>
  </w:style>
  <w:style w:type="character" w:customStyle="1" w:styleId="65">
    <w:name w:val="标题 6 字符2"/>
    <w:basedOn w:val="44"/>
    <w:link w:val="7"/>
    <w:qFormat/>
    <w:uiPriority w:val="9"/>
    <w:rPr>
      <w:rFonts w:ascii="Arial" w:hAnsi="Arial" w:eastAsia="黑体" w:cstheme="minorBidi"/>
      <w:b/>
      <w:kern w:val="2"/>
      <w:sz w:val="24"/>
      <w:szCs w:val="22"/>
    </w:rPr>
  </w:style>
  <w:style w:type="character" w:customStyle="1" w:styleId="66">
    <w:name w:val="标题 7 字符1"/>
    <w:basedOn w:val="44"/>
    <w:link w:val="8"/>
    <w:qFormat/>
    <w:uiPriority w:val="9"/>
    <w:rPr>
      <w:rFonts w:asciiTheme="minorHAnsi" w:hAnsiTheme="minorHAnsi" w:eastAsiaTheme="minorEastAsia" w:cstheme="minorBidi"/>
      <w:b/>
      <w:kern w:val="2"/>
      <w:sz w:val="24"/>
      <w:szCs w:val="22"/>
    </w:rPr>
  </w:style>
  <w:style w:type="character" w:customStyle="1" w:styleId="67">
    <w:name w:val="标题 8 字符1"/>
    <w:basedOn w:val="44"/>
    <w:link w:val="9"/>
    <w:qFormat/>
    <w:uiPriority w:val="9"/>
    <w:rPr>
      <w:rFonts w:ascii="Arial" w:hAnsi="Arial" w:eastAsia="黑体" w:cstheme="minorBidi"/>
      <w:kern w:val="2"/>
      <w:sz w:val="24"/>
      <w:szCs w:val="22"/>
    </w:rPr>
  </w:style>
  <w:style w:type="character" w:customStyle="1" w:styleId="68">
    <w:name w:val="标题 9 字符1"/>
    <w:basedOn w:val="44"/>
    <w:link w:val="10"/>
    <w:qFormat/>
    <w:uiPriority w:val="9"/>
    <w:rPr>
      <w:rFonts w:ascii="Arial" w:hAnsi="Arial" w:eastAsia="黑体" w:cstheme="minorBidi"/>
      <w:kern w:val="2"/>
      <w:sz w:val="21"/>
      <w:szCs w:val="22"/>
    </w:rPr>
  </w:style>
  <w:style w:type="character" w:customStyle="1" w:styleId="69">
    <w:name w:val="正文缩进 字符"/>
    <w:link w:val="12"/>
    <w:qFormat/>
    <w:uiPriority w:val="0"/>
    <w:rPr>
      <w:rFonts w:ascii="宋体" w:eastAsia="宋体"/>
      <w:snapToGrid w:val="0"/>
      <w:color w:val="000000"/>
      <w:kern w:val="28"/>
      <w:sz w:val="28"/>
      <w:lang w:val="en-US" w:eastAsia="zh-CN" w:bidi="ar-SA"/>
    </w:rPr>
  </w:style>
  <w:style w:type="character" w:customStyle="1" w:styleId="70">
    <w:name w:val="文档结构图 字符1"/>
    <w:link w:val="14"/>
    <w:qFormat/>
    <w:uiPriority w:val="0"/>
    <w:rPr>
      <w:rFonts w:cs="Times New Roman"/>
      <w:sz w:val="2"/>
    </w:rPr>
  </w:style>
  <w:style w:type="character" w:customStyle="1" w:styleId="71">
    <w:name w:val="批注文字 字符1"/>
    <w:basedOn w:val="44"/>
    <w:link w:val="16"/>
    <w:qFormat/>
    <w:uiPriority w:val="99"/>
    <w:rPr>
      <w:rFonts w:ascii="Times New Roman" w:hAnsi="Times New Roman" w:eastAsia="宋体" w:cs="Times New Roman"/>
      <w:kern w:val="2"/>
      <w:sz w:val="21"/>
    </w:rPr>
  </w:style>
  <w:style w:type="character" w:customStyle="1" w:styleId="72">
    <w:name w:val="正文文本 字符1"/>
    <w:link w:val="17"/>
    <w:qFormat/>
    <w:uiPriority w:val="0"/>
    <w:rPr>
      <w:rFonts w:cs="Times New Roman"/>
      <w:sz w:val="20"/>
      <w:szCs w:val="20"/>
    </w:rPr>
  </w:style>
  <w:style w:type="character" w:customStyle="1" w:styleId="73">
    <w:name w:val="正文文本缩进 字符1"/>
    <w:link w:val="18"/>
    <w:qFormat/>
    <w:uiPriority w:val="99"/>
    <w:rPr>
      <w:rFonts w:cs="Times New Roman"/>
      <w:sz w:val="20"/>
      <w:szCs w:val="20"/>
    </w:rPr>
  </w:style>
  <w:style w:type="character" w:customStyle="1" w:styleId="74">
    <w:name w:val="纯文本 字符1"/>
    <w:link w:val="22"/>
    <w:qFormat/>
    <w:uiPriority w:val="99"/>
    <w:rPr>
      <w:rFonts w:ascii="宋体" w:hAnsi="Courier New" w:cs="Courier New"/>
      <w:sz w:val="21"/>
      <w:szCs w:val="21"/>
    </w:rPr>
  </w:style>
  <w:style w:type="character" w:customStyle="1" w:styleId="75">
    <w:name w:val="日期 字符1"/>
    <w:link w:val="24"/>
    <w:qFormat/>
    <w:uiPriority w:val="99"/>
    <w:rPr>
      <w:rFonts w:cs="Times New Roman"/>
      <w:kern w:val="2"/>
      <w:sz w:val="28"/>
    </w:rPr>
  </w:style>
  <w:style w:type="character" w:customStyle="1" w:styleId="76">
    <w:name w:val="正文文本缩进 2 字符"/>
    <w:link w:val="25"/>
    <w:qFormat/>
    <w:uiPriority w:val="0"/>
    <w:rPr>
      <w:rFonts w:cs="Times New Roman"/>
      <w:sz w:val="20"/>
      <w:szCs w:val="20"/>
    </w:rPr>
  </w:style>
  <w:style w:type="character" w:customStyle="1" w:styleId="77">
    <w:name w:val="批注框文本 字符1"/>
    <w:basedOn w:val="44"/>
    <w:link w:val="26"/>
    <w:qFormat/>
    <w:uiPriority w:val="99"/>
    <w:rPr>
      <w:rFonts w:ascii="Times New Roman" w:hAnsi="Times New Roman" w:eastAsia="宋体" w:cs="Times New Roman"/>
      <w:kern w:val="2"/>
      <w:sz w:val="18"/>
      <w:szCs w:val="18"/>
    </w:rPr>
  </w:style>
  <w:style w:type="character" w:customStyle="1" w:styleId="78">
    <w:name w:val="页脚 字符1"/>
    <w:link w:val="27"/>
    <w:qFormat/>
    <w:uiPriority w:val="99"/>
    <w:rPr>
      <w:rFonts w:cs="Times New Roman"/>
      <w:sz w:val="18"/>
      <w:szCs w:val="18"/>
    </w:rPr>
  </w:style>
  <w:style w:type="character" w:customStyle="1" w:styleId="79">
    <w:name w:val="页眉 字符1"/>
    <w:link w:val="28"/>
    <w:qFormat/>
    <w:uiPriority w:val="99"/>
    <w:rPr>
      <w:rFonts w:cs="Times New Roman"/>
      <w:sz w:val="18"/>
      <w:szCs w:val="18"/>
    </w:rPr>
  </w:style>
  <w:style w:type="character" w:customStyle="1" w:styleId="80">
    <w:name w:val="正文文本缩进 3 字符"/>
    <w:link w:val="32"/>
    <w:qFormat/>
    <w:uiPriority w:val="0"/>
    <w:rPr>
      <w:rFonts w:cs="Times New Roman"/>
      <w:kern w:val="2"/>
      <w:sz w:val="16"/>
      <w:szCs w:val="16"/>
    </w:rPr>
  </w:style>
  <w:style w:type="character" w:customStyle="1" w:styleId="81">
    <w:name w:val="正文文本 2 字符"/>
    <w:link w:val="36"/>
    <w:qFormat/>
    <w:uiPriority w:val="0"/>
    <w:rPr>
      <w:rFonts w:cs="Times New Roman"/>
      <w:sz w:val="20"/>
      <w:szCs w:val="20"/>
    </w:rPr>
  </w:style>
  <w:style w:type="character" w:customStyle="1" w:styleId="82">
    <w:name w:val="批注主题 字符1"/>
    <w:basedOn w:val="71"/>
    <w:link w:val="39"/>
    <w:qFormat/>
    <w:uiPriority w:val="99"/>
    <w:rPr>
      <w:rFonts w:ascii="Times New Roman" w:hAnsi="Times New Roman" w:eastAsia="宋体" w:cs="Times New Roman"/>
      <w:b/>
      <w:bCs/>
      <w:kern w:val="2"/>
      <w:sz w:val="21"/>
    </w:rPr>
  </w:style>
  <w:style w:type="character" w:customStyle="1" w:styleId="83">
    <w:name w:val="正文文本首行缩进 字符"/>
    <w:link w:val="40"/>
    <w:qFormat/>
    <w:uiPriority w:val="99"/>
    <w:rPr>
      <w:rFonts w:cs="Times New Roman"/>
      <w:kern w:val="2"/>
      <w:sz w:val="21"/>
      <w:szCs w:val="20"/>
    </w:rPr>
  </w:style>
  <w:style w:type="character" w:customStyle="1" w:styleId="84">
    <w:name w:val="正文文本首行缩进 2 字符"/>
    <w:basedOn w:val="73"/>
    <w:link w:val="41"/>
    <w:semiHidden/>
    <w:qFormat/>
    <w:uiPriority w:val="99"/>
    <w:rPr>
      <w:rFonts w:cs="Times New Roman"/>
      <w:kern w:val="2"/>
      <w:sz w:val="21"/>
      <w:szCs w:val="20"/>
    </w:rPr>
  </w:style>
  <w:style w:type="character" w:customStyle="1" w:styleId="85">
    <w:name w:val="普通文字 Char Char2"/>
    <w:qFormat/>
    <w:locked/>
    <w:uiPriority w:val="0"/>
    <w:rPr>
      <w:rFonts w:ascii="宋体" w:hAnsi="Courier New" w:eastAsia="宋体" w:cs="Times New Roman"/>
      <w:kern w:val="2"/>
      <w:sz w:val="21"/>
      <w:lang w:val="en-US" w:eastAsia="zh-CN" w:bidi="ar-SA"/>
    </w:rPr>
  </w:style>
  <w:style w:type="character" w:customStyle="1" w:styleId="86">
    <w:name w:val="_正文段落 Char"/>
    <w:link w:val="87"/>
    <w:qFormat/>
    <w:uiPriority w:val="0"/>
    <w:rPr>
      <w:rFonts w:ascii="仿宋_GB2312" w:eastAsia="仿宋_GB2312"/>
      <w:sz w:val="28"/>
      <w:szCs w:val="24"/>
    </w:rPr>
  </w:style>
  <w:style w:type="paragraph" w:customStyle="1" w:styleId="87">
    <w:name w:val="_正文段落"/>
    <w:basedOn w:val="1"/>
    <w:link w:val="86"/>
    <w:qFormat/>
    <w:uiPriority w:val="0"/>
    <w:pPr>
      <w:spacing w:line="360" w:lineRule="auto"/>
      <w:ind w:firstLine="200" w:firstLineChars="200"/>
    </w:pPr>
    <w:rPr>
      <w:rFonts w:ascii="仿宋_GB2312" w:eastAsia="仿宋_GB2312"/>
      <w:kern w:val="0"/>
      <w:sz w:val="28"/>
      <w:szCs w:val="24"/>
    </w:rPr>
  </w:style>
  <w:style w:type="character" w:customStyle="1" w:styleId="88">
    <w:name w:val="内容"/>
    <w:qFormat/>
    <w:uiPriority w:val="0"/>
    <w:rPr>
      <w:rFonts w:ascii="华文细黑" w:eastAsia="华文细黑"/>
      <w:color w:val="75787B"/>
      <w:sz w:val="20"/>
      <w:u w:val="none"/>
    </w:rPr>
  </w:style>
  <w:style w:type="character" w:customStyle="1" w:styleId="89">
    <w:name w:val="纯文本 Char1"/>
    <w:qFormat/>
    <w:uiPriority w:val="99"/>
    <w:rPr>
      <w:rFonts w:ascii="宋体" w:hAnsi="Courier New" w:eastAsia="宋体"/>
      <w:kern w:val="2"/>
      <w:sz w:val="21"/>
      <w:lang w:val="en-US" w:eastAsia="zh-CN" w:bidi="ar-SA"/>
    </w:rPr>
  </w:style>
  <w:style w:type="character" w:customStyle="1" w:styleId="90">
    <w:name w:val="ca-31"/>
    <w:qFormat/>
    <w:uiPriority w:val="0"/>
    <w:rPr>
      <w:rFonts w:hint="eastAsia" w:ascii="宋体" w:hAnsi="宋体" w:eastAsia="宋体"/>
      <w:sz w:val="21"/>
      <w:szCs w:val="21"/>
    </w:rPr>
  </w:style>
  <w:style w:type="character" w:customStyle="1" w:styleId="91">
    <w:name w:val="正文2 Char Char"/>
    <w:link w:val="92"/>
    <w:qFormat/>
    <w:uiPriority w:val="0"/>
    <w:rPr>
      <w:rFonts w:eastAsia="宋体"/>
      <w:kern w:val="2"/>
      <w:sz w:val="24"/>
      <w:lang w:val="en-US" w:eastAsia="zh-CN" w:bidi="ar-SA"/>
    </w:rPr>
  </w:style>
  <w:style w:type="paragraph" w:customStyle="1" w:styleId="92">
    <w:name w:val="正文2"/>
    <w:basedOn w:val="1"/>
    <w:link w:val="91"/>
    <w:qFormat/>
    <w:uiPriority w:val="0"/>
    <w:pPr>
      <w:spacing w:before="156" w:line="360" w:lineRule="auto"/>
      <w:ind w:firstLine="510" w:firstLineChars="200"/>
    </w:pPr>
    <w:rPr>
      <w:sz w:val="24"/>
    </w:rPr>
  </w:style>
  <w:style w:type="character" w:customStyle="1" w:styleId="93">
    <w:name w:val="ca-51"/>
    <w:qFormat/>
    <w:uiPriority w:val="0"/>
    <w:rPr>
      <w:rFonts w:hint="eastAsia" w:ascii="宋体" w:hAnsi="宋体" w:eastAsia="宋体"/>
      <w:color w:val="FF0000"/>
      <w:sz w:val="21"/>
      <w:szCs w:val="21"/>
    </w:rPr>
  </w:style>
  <w:style w:type="paragraph" w:customStyle="1" w:styleId="94">
    <w:name w:val="纸短情长，再祈珍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
    <w:name w:val="主题:"/>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6">
    <w:name w:val="分手多日，近况如何？"/>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7">
    <w:name w:val="Char1"/>
    <w:basedOn w:val="14"/>
    <w:qFormat/>
    <w:uiPriority w:val="0"/>
    <w:pPr>
      <w:adjustRightInd w:val="0"/>
      <w:spacing w:line="436" w:lineRule="exact"/>
      <w:ind w:left="357"/>
      <w:jc w:val="left"/>
      <w:outlineLvl w:val="3"/>
    </w:pPr>
  </w:style>
  <w:style w:type="paragraph" w:customStyle="1" w:styleId="98">
    <w:name w:val="创建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
    <w:name w:val="机密、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0">
    <w:name w:val="xl28"/>
    <w:basedOn w:val="1"/>
    <w:qFormat/>
    <w:uiPriority w:val="0"/>
    <w:pPr>
      <w:widowControl/>
      <w:pBdr>
        <w:bottom w:val="single" w:color="auto" w:sz="4" w:space="0"/>
      </w:pBdr>
      <w:spacing w:before="100" w:beforeAutospacing="1" w:after="100" w:afterAutospacing="1"/>
      <w:jc w:val="left"/>
    </w:pPr>
    <w:rPr>
      <w:rFonts w:ascii="宋体" w:hAnsi="宋体"/>
      <w:kern w:val="0"/>
      <w:sz w:val="24"/>
      <w:szCs w:val="24"/>
    </w:rPr>
  </w:style>
  <w:style w:type="paragraph" w:customStyle="1" w:styleId="101">
    <w:name w:val="奉读大示，心折殊深。"/>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2">
    <w:name w:val="文件名和路径"/>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3">
    <w:name w:val="匆此先复，余容后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4">
    <w:name w:val="叩请金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
    <w:name w:val="参考:"/>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6">
    <w:name w:val="Char Char Char Char Char Char"/>
    <w:basedOn w:val="1"/>
    <w:qFormat/>
    <w:uiPriority w:val="0"/>
    <w:pPr>
      <w:ind w:firstLine="200" w:firstLineChars="200"/>
    </w:pPr>
    <w:rPr>
      <w:rFonts w:ascii="Tahoma" w:hAnsi="Tahoma"/>
      <w:sz w:val="24"/>
    </w:rPr>
  </w:style>
  <w:style w:type="paragraph" w:customStyle="1" w:styleId="107">
    <w:name w:val="自动更正"/>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
    <w:name w:val="无间隔1"/>
    <w:link w:val="225"/>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109">
    <w:name w:val="音问久疏，唯愿一切康适。"/>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0">
    <w:name w:val="Char2 Char Char"/>
    <w:basedOn w:val="1"/>
    <w:qFormat/>
    <w:uiPriority w:val="0"/>
    <w:rPr>
      <w:rFonts w:ascii="Tahoma" w:hAnsi="Tahoma"/>
      <w:sz w:val="24"/>
    </w:rPr>
  </w:style>
  <w:style w:type="paragraph" w:customStyle="1" w:styleId="111">
    <w:name w:val="惠书敬悉，迟复为歉。"/>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2">
    <w:name w:val="- 页码 -"/>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3">
    <w:name w:val="近来寒暑不常，希自珍慰。"/>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4">
    <w:name w:val="Char Char Char"/>
    <w:basedOn w:val="1"/>
    <w:qFormat/>
    <w:uiPriority w:val="0"/>
    <w:rPr>
      <w:rFonts w:ascii="Tahoma" w:hAnsi="Tahoma"/>
      <w:sz w:val="24"/>
    </w:rPr>
  </w:style>
  <w:style w:type="paragraph" w:customStyle="1" w:styleId="115">
    <w:name w:val="知尊恙复发，心甚念之。"/>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6">
    <w:name w:val="奉恳之事，乞速复为荷。"/>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7">
    <w:name w:val="请勿折叠！"/>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
    <w:name w:val="上次保存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9">
    <w:name w:val="作者、页码、日期"/>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
    <w:name w:val="答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1">
    <w:name w:val="TOC 标题1"/>
    <w:basedOn w:val="2"/>
    <w:next w:val="1"/>
    <w:qFormat/>
    <w:uiPriority w:val="39"/>
    <w:pPr>
      <w:widowControl/>
      <w:spacing w:beforeLines="0" w:line="276" w:lineRule="auto"/>
      <w:jc w:val="left"/>
      <w:outlineLvl w:val="9"/>
    </w:pPr>
    <w:rPr>
      <w:rFonts w:ascii="Cambria" w:hAnsi="Cambria"/>
      <w:bCs w:val="0"/>
      <w:color w:val="365F91"/>
      <w:kern w:val="0"/>
      <w:sz w:val="28"/>
      <w:szCs w:val="28"/>
    </w:rPr>
  </w:style>
  <w:style w:type="paragraph" w:customStyle="1" w:styleId="122">
    <w:name w:val="先生/女士："/>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
    <w:name w:val="文件名"/>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4">
    <w:name w:val="reader-word-laye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25">
    <w:name w:val="关于:"/>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6">
    <w:name w:val="敬启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7">
    <w:name w:val="第 X 页 共 Y 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8">
    <w:name w:val="上次打印时间"/>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9">
    <w:name w:val="Char"/>
    <w:basedOn w:val="1"/>
    <w:qFormat/>
    <w:uiPriority w:val="0"/>
    <w:pPr>
      <w:widowControl/>
      <w:spacing w:line="400" w:lineRule="exact"/>
      <w:jc w:val="center"/>
    </w:pPr>
    <w:rPr>
      <w:rFonts w:ascii="Verdana" w:hAnsi="Verdana"/>
      <w:kern w:val="0"/>
      <w:lang w:eastAsia="en-US"/>
    </w:rPr>
  </w:style>
  <w:style w:type="paragraph" w:customStyle="1" w:styleId="130">
    <w:name w:val="Char2"/>
    <w:basedOn w:val="1"/>
    <w:qFormat/>
    <w:uiPriority w:val="0"/>
    <w:pPr>
      <w:tabs>
        <w:tab w:val="left" w:pos="720"/>
      </w:tabs>
      <w:ind w:left="720" w:hanging="360"/>
    </w:pPr>
    <w:rPr>
      <w:sz w:val="24"/>
      <w:szCs w:val="24"/>
    </w:rPr>
  </w:style>
  <w:style w:type="paragraph" w:customStyle="1" w:styleId="131">
    <w:name w:val="作者"/>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2">
    <w:name w:val="前上一函，谅达雅鉴，迄今未闻复音。"/>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3">
    <w:name w:val="临书仓促，不尽欲言。"/>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4">
    <w:name w:val="久不通函，至以为念。"/>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5">
    <w:name w:val="Char11"/>
    <w:basedOn w:val="14"/>
    <w:qFormat/>
    <w:uiPriority w:val="0"/>
    <w:pPr>
      <w:adjustRightInd w:val="0"/>
      <w:spacing w:line="436" w:lineRule="exact"/>
      <w:ind w:left="357"/>
      <w:jc w:val="left"/>
      <w:outlineLvl w:val="3"/>
    </w:pPr>
    <w:rPr>
      <w:rFonts w:ascii="Tahoma" w:hAnsi="Tahoma"/>
      <w:b/>
      <w:sz w:val="24"/>
      <w:szCs w:val="24"/>
    </w:rPr>
  </w:style>
  <w:style w:type="paragraph" w:customStyle="1" w:styleId="136">
    <w:name w:val="尊意如何，请即示知。"/>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7">
    <w:name w:val="亲启"/>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
    <w:name w:val="顺颂商祺！"/>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9">
    <w:name w:val="Char Char2"/>
    <w:basedOn w:val="1"/>
    <w:qFormat/>
    <w:uiPriority w:val="0"/>
    <w:rPr>
      <w:rFonts w:ascii="宋体" w:hAnsi="宋体"/>
      <w:b/>
      <w:sz w:val="28"/>
      <w:szCs w:val="28"/>
    </w:rPr>
  </w:style>
  <w:style w:type="paragraph" w:customStyle="1" w:styleId="140">
    <w:name w:val="表"/>
    <w:basedOn w:val="1"/>
    <w:qFormat/>
    <w:uiPriority w:val="0"/>
    <w:pPr>
      <w:spacing w:line="360" w:lineRule="auto"/>
    </w:pPr>
    <w:rPr>
      <w:rFonts w:cs="Garamond"/>
      <w:b/>
      <w:bCs/>
      <w:color w:val="FF0000"/>
    </w:rPr>
  </w:style>
  <w:style w:type="paragraph" w:customStyle="1" w:styleId="141">
    <w:name w:val="主体"/>
    <w:basedOn w:val="1"/>
    <w:link w:val="142"/>
    <w:qFormat/>
    <w:uiPriority w:val="99"/>
    <w:pPr>
      <w:spacing w:line="360" w:lineRule="auto"/>
      <w:ind w:firstLine="480" w:firstLineChars="200"/>
    </w:pPr>
    <w:rPr>
      <w:rFonts w:ascii="宋体" w:hAnsi="宋体"/>
      <w:kern w:val="58"/>
      <w:sz w:val="24"/>
      <w:szCs w:val="24"/>
    </w:rPr>
  </w:style>
  <w:style w:type="character" w:customStyle="1" w:styleId="142">
    <w:name w:val="主体 Char Char"/>
    <w:link w:val="141"/>
    <w:qFormat/>
    <w:uiPriority w:val="99"/>
    <w:rPr>
      <w:rFonts w:ascii="宋体" w:hAnsi="宋体"/>
      <w:kern w:val="58"/>
      <w:sz w:val="24"/>
      <w:szCs w:val="24"/>
    </w:rPr>
  </w:style>
  <w:style w:type="paragraph" w:customStyle="1" w:styleId="143">
    <w:name w:val="表格文字"/>
    <w:basedOn w:val="1"/>
    <w:link w:val="144"/>
    <w:qFormat/>
    <w:uiPriority w:val="0"/>
    <w:pPr>
      <w:jc w:val="left"/>
    </w:pPr>
    <w:rPr>
      <w:rFonts w:ascii="宋体" w:hAnsi="宋体"/>
      <w:bCs/>
      <w:spacing w:val="-4"/>
      <w:kern w:val="0"/>
      <w:sz w:val="32"/>
      <w:szCs w:val="32"/>
      <w:lang w:val="zh-CN"/>
    </w:rPr>
  </w:style>
  <w:style w:type="character" w:customStyle="1" w:styleId="144">
    <w:name w:val="表格文字 Char Char"/>
    <w:link w:val="143"/>
    <w:qFormat/>
    <w:uiPriority w:val="99"/>
    <w:rPr>
      <w:rFonts w:ascii="宋体" w:hAnsi="宋体"/>
      <w:bCs/>
      <w:spacing w:val="-4"/>
      <w:sz w:val="32"/>
      <w:szCs w:val="32"/>
      <w:lang w:val="zh-CN"/>
    </w:rPr>
  </w:style>
  <w:style w:type="paragraph" w:customStyle="1" w:styleId="145">
    <w:name w:val="表格文字2"/>
    <w:basedOn w:val="143"/>
    <w:qFormat/>
    <w:uiPriority w:val="99"/>
    <w:pPr>
      <w:jc w:val="both"/>
    </w:pPr>
  </w:style>
  <w:style w:type="character" w:customStyle="1" w:styleId="146">
    <w:name w:val="标准正文 Char"/>
    <w:qFormat/>
    <w:uiPriority w:val="0"/>
    <w:rPr>
      <w:kern w:val="2"/>
      <w:sz w:val="24"/>
      <w:szCs w:val="24"/>
    </w:rPr>
  </w:style>
  <w:style w:type="paragraph" w:customStyle="1" w:styleId="147">
    <w:name w:val="标题2"/>
    <w:basedOn w:val="1"/>
    <w:link w:val="148"/>
    <w:qFormat/>
    <w:uiPriority w:val="0"/>
    <w:pPr>
      <w:keepNext/>
      <w:widowControl/>
      <w:tabs>
        <w:tab w:val="left" w:pos="450"/>
      </w:tabs>
      <w:autoSpaceDE w:val="0"/>
      <w:autoSpaceDN w:val="0"/>
      <w:adjustRightInd w:val="0"/>
      <w:spacing w:before="120" w:after="120"/>
      <w:jc w:val="left"/>
      <w:textAlignment w:val="center"/>
    </w:pPr>
    <w:rPr>
      <w:rFonts w:ascii="宋体"/>
      <w:b/>
      <w:kern w:val="0"/>
      <w:sz w:val="24"/>
    </w:rPr>
  </w:style>
  <w:style w:type="character" w:customStyle="1" w:styleId="148">
    <w:name w:val="标题2 Char Char"/>
    <w:link w:val="147"/>
    <w:qFormat/>
    <w:uiPriority w:val="0"/>
    <w:rPr>
      <w:rFonts w:ascii="宋体"/>
      <w:b/>
      <w:sz w:val="24"/>
    </w:rPr>
  </w:style>
  <w:style w:type="paragraph" w:customStyle="1" w:styleId="149">
    <w:name w:val="修订1"/>
    <w:hidden/>
    <w:unhideWhenUsed/>
    <w:qFormat/>
    <w:uiPriority w:val="99"/>
    <w:rPr>
      <w:rFonts w:ascii="Times New Roman" w:hAnsi="Times New Roman" w:eastAsia="宋体" w:cs="Times New Roman"/>
      <w:kern w:val="2"/>
      <w:sz w:val="21"/>
      <w:lang w:val="en-US" w:eastAsia="zh-CN" w:bidi="ar-SA"/>
    </w:rPr>
  </w:style>
  <w:style w:type="character" w:customStyle="1" w:styleId="150">
    <w:name w:val="font01"/>
    <w:basedOn w:val="44"/>
    <w:qFormat/>
    <w:uiPriority w:val="0"/>
    <w:rPr>
      <w:rFonts w:hint="eastAsia" w:ascii="宋体" w:hAnsi="宋体" w:eastAsia="宋体" w:cs="宋体"/>
      <w:b/>
      <w:color w:val="333333"/>
      <w:sz w:val="24"/>
      <w:szCs w:val="24"/>
      <w:u w:val="none"/>
    </w:rPr>
  </w:style>
  <w:style w:type="paragraph" w:customStyle="1" w:styleId="151">
    <w:name w:val="普通(网站)1"/>
    <w:basedOn w:val="1"/>
    <w:qFormat/>
    <w:uiPriority w:val="0"/>
    <w:pPr>
      <w:widowControl/>
      <w:spacing w:before="100" w:beforeAutospacing="1" w:after="100" w:afterAutospacing="1"/>
      <w:jc w:val="left"/>
    </w:pPr>
    <w:rPr>
      <w:rFonts w:ascii="宋体" w:hAnsi="宋体"/>
      <w:kern w:val="0"/>
      <w:sz w:val="24"/>
    </w:rPr>
  </w:style>
  <w:style w:type="paragraph" w:customStyle="1" w:styleId="152">
    <w:name w:val="修订2"/>
    <w:hidden/>
    <w:unhideWhenUsed/>
    <w:qFormat/>
    <w:uiPriority w:val="99"/>
    <w:rPr>
      <w:rFonts w:ascii="Times New Roman" w:hAnsi="Times New Roman" w:eastAsia="宋体" w:cs="Times New Roman"/>
      <w:kern w:val="2"/>
      <w:sz w:val="21"/>
      <w:lang w:val="en-US" w:eastAsia="zh-CN" w:bidi="ar-SA"/>
    </w:rPr>
  </w:style>
  <w:style w:type="paragraph" w:customStyle="1" w:styleId="153">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paragraph" w:customStyle="1" w:styleId="154">
    <w:name w:val="Body text|2"/>
    <w:basedOn w:val="1"/>
    <w:qFormat/>
    <w:uiPriority w:val="0"/>
    <w:pPr>
      <w:spacing w:line="430" w:lineRule="auto"/>
      <w:jc w:val="left"/>
    </w:pPr>
    <w:rPr>
      <w:rFonts w:ascii="MingLiU" w:hAnsi="MingLiU" w:eastAsia="MingLiU" w:cs="MingLiU"/>
      <w:color w:val="000000"/>
      <w:kern w:val="0"/>
      <w:sz w:val="22"/>
      <w:szCs w:val="22"/>
      <w:lang w:val="zh-TW" w:eastAsia="zh-TW" w:bidi="zh-TW"/>
    </w:rPr>
  </w:style>
  <w:style w:type="paragraph" w:customStyle="1" w:styleId="155">
    <w:name w:val="Other|1"/>
    <w:basedOn w:val="1"/>
    <w:qFormat/>
    <w:uiPriority w:val="0"/>
    <w:pPr>
      <w:spacing w:line="430" w:lineRule="auto"/>
      <w:jc w:val="left"/>
    </w:pPr>
    <w:rPr>
      <w:rFonts w:ascii="MingLiU" w:hAnsi="MingLiU" w:eastAsia="MingLiU" w:cs="MingLiU"/>
      <w:color w:val="000000"/>
      <w:kern w:val="0"/>
      <w:sz w:val="22"/>
      <w:szCs w:val="22"/>
      <w:lang w:val="zh-TW" w:eastAsia="zh-TW" w:bidi="zh-TW"/>
    </w:rPr>
  </w:style>
  <w:style w:type="paragraph" w:customStyle="1" w:styleId="156">
    <w:name w:val="修订3"/>
    <w:hidden/>
    <w:semiHidden/>
    <w:qFormat/>
    <w:uiPriority w:val="99"/>
    <w:rPr>
      <w:rFonts w:ascii="Times New Roman" w:hAnsi="Times New Roman" w:eastAsia="宋体" w:cs="Times New Roman"/>
      <w:kern w:val="2"/>
      <w:sz w:val="21"/>
      <w:lang w:val="en-US" w:eastAsia="zh-CN" w:bidi="ar-SA"/>
    </w:rPr>
  </w:style>
  <w:style w:type="character" w:customStyle="1" w:styleId="157">
    <w:name w:val="纯文本 字符"/>
    <w:qFormat/>
    <w:uiPriority w:val="99"/>
    <w:rPr>
      <w:rFonts w:ascii="宋体" w:hAnsi="Courier New"/>
      <w:kern w:val="2"/>
      <w:sz w:val="24"/>
      <w:szCs w:val="24"/>
    </w:rPr>
  </w:style>
  <w:style w:type="character" w:customStyle="1" w:styleId="158">
    <w:name w:val="标题 1 字符"/>
    <w:qFormat/>
    <w:uiPriority w:val="0"/>
    <w:rPr>
      <w:szCs w:val="24"/>
    </w:rPr>
  </w:style>
  <w:style w:type="character" w:customStyle="1" w:styleId="159">
    <w:name w:val="标题 2 字符"/>
    <w:qFormat/>
    <w:uiPriority w:val="0"/>
    <w:rPr>
      <w:szCs w:val="24"/>
    </w:rPr>
  </w:style>
  <w:style w:type="character" w:customStyle="1" w:styleId="160">
    <w:name w:val="标题 3 字符"/>
    <w:qFormat/>
    <w:uiPriority w:val="9"/>
    <w:rPr>
      <w:b/>
      <w:bCs/>
      <w:kern w:val="2"/>
      <w:sz w:val="32"/>
      <w:szCs w:val="32"/>
    </w:rPr>
  </w:style>
  <w:style w:type="character" w:customStyle="1" w:styleId="161">
    <w:name w:val="标题 4 字符"/>
    <w:qFormat/>
    <w:uiPriority w:val="9"/>
    <w:rPr>
      <w:rFonts w:ascii="Arial" w:hAnsi="Arial" w:eastAsia="黑体"/>
      <w:b/>
      <w:kern w:val="2"/>
      <w:sz w:val="28"/>
    </w:rPr>
  </w:style>
  <w:style w:type="character" w:customStyle="1" w:styleId="162">
    <w:name w:val="标题 5 字符"/>
    <w:qFormat/>
    <w:uiPriority w:val="9"/>
    <w:rPr>
      <w:b/>
      <w:kern w:val="2"/>
      <w:sz w:val="28"/>
    </w:rPr>
  </w:style>
  <w:style w:type="paragraph" w:customStyle="1" w:styleId="163">
    <w:name w:val="MY正文"/>
    <w:basedOn w:val="1"/>
    <w:qFormat/>
    <w:uiPriority w:val="0"/>
    <w:pPr>
      <w:spacing w:line="360" w:lineRule="auto"/>
      <w:ind w:firstLine="200" w:firstLineChars="200"/>
    </w:pPr>
    <w:rPr>
      <w:sz w:val="24"/>
    </w:rPr>
  </w:style>
  <w:style w:type="character" w:customStyle="1" w:styleId="164">
    <w:name w:val="标题 6 字符"/>
    <w:qFormat/>
    <w:uiPriority w:val="9"/>
    <w:rPr>
      <w:rFonts w:ascii="Cambria" w:hAnsi="Cambria"/>
      <w:b/>
      <w:bCs/>
      <w:kern w:val="2"/>
      <w:sz w:val="24"/>
      <w:szCs w:val="24"/>
    </w:rPr>
  </w:style>
  <w:style w:type="character" w:customStyle="1" w:styleId="165">
    <w:name w:val="标题 7 字符"/>
    <w:qFormat/>
    <w:uiPriority w:val="9"/>
    <w:rPr>
      <w:b/>
      <w:bCs/>
      <w:kern w:val="2"/>
      <w:sz w:val="24"/>
      <w:szCs w:val="24"/>
    </w:rPr>
  </w:style>
  <w:style w:type="character" w:customStyle="1" w:styleId="166">
    <w:name w:val="标题 8 字符"/>
    <w:qFormat/>
    <w:uiPriority w:val="9"/>
    <w:rPr>
      <w:b/>
      <w:color w:val="000000"/>
      <w:sz w:val="24"/>
      <w:szCs w:val="28"/>
    </w:rPr>
  </w:style>
  <w:style w:type="character" w:customStyle="1" w:styleId="167">
    <w:name w:val="标题 9 字符"/>
    <w:qFormat/>
    <w:uiPriority w:val="9"/>
    <w:rPr>
      <w:rFonts w:ascii="Arial" w:hAnsi="Arial" w:eastAsia="黑体"/>
      <w:kern w:val="2"/>
      <w:sz w:val="21"/>
      <w:szCs w:val="24"/>
    </w:rPr>
  </w:style>
  <w:style w:type="character" w:customStyle="1" w:styleId="168">
    <w:name w:val="文档结构图 字符"/>
    <w:qFormat/>
    <w:uiPriority w:val="99"/>
    <w:rPr>
      <w:rFonts w:ascii="宋体"/>
      <w:kern w:val="2"/>
      <w:sz w:val="18"/>
      <w:szCs w:val="18"/>
    </w:rPr>
  </w:style>
  <w:style w:type="character" w:customStyle="1" w:styleId="169">
    <w:name w:val="批注文字 字符"/>
    <w:qFormat/>
    <w:uiPriority w:val="0"/>
    <w:rPr>
      <w:kern w:val="2"/>
      <w:sz w:val="21"/>
    </w:rPr>
  </w:style>
  <w:style w:type="character" w:customStyle="1" w:styleId="170">
    <w:name w:val="正文文本 字符"/>
    <w:qFormat/>
    <w:uiPriority w:val="99"/>
    <w:rPr>
      <w:i/>
      <w:kern w:val="2"/>
      <w:sz w:val="18"/>
    </w:rPr>
  </w:style>
  <w:style w:type="character" w:customStyle="1" w:styleId="171">
    <w:name w:val="正文文本缩进 字符"/>
    <w:qFormat/>
    <w:uiPriority w:val="99"/>
    <w:rPr>
      <w:kern w:val="2"/>
      <w:sz w:val="21"/>
    </w:rPr>
  </w:style>
  <w:style w:type="character" w:customStyle="1" w:styleId="172">
    <w:name w:val="日期 字符"/>
    <w:qFormat/>
    <w:uiPriority w:val="99"/>
    <w:rPr>
      <w:kern w:val="2"/>
      <w:sz w:val="21"/>
    </w:rPr>
  </w:style>
  <w:style w:type="character" w:customStyle="1" w:styleId="173">
    <w:name w:val="批注框文本 字符"/>
    <w:qFormat/>
    <w:uiPriority w:val="99"/>
    <w:rPr>
      <w:kern w:val="2"/>
      <w:sz w:val="18"/>
      <w:szCs w:val="18"/>
    </w:rPr>
  </w:style>
  <w:style w:type="character" w:customStyle="1" w:styleId="174">
    <w:name w:val="页脚 字符"/>
    <w:qFormat/>
    <w:uiPriority w:val="99"/>
    <w:rPr>
      <w:kern w:val="2"/>
      <w:sz w:val="18"/>
    </w:rPr>
  </w:style>
  <w:style w:type="character" w:customStyle="1" w:styleId="175">
    <w:name w:val="页眉 字符"/>
    <w:qFormat/>
    <w:uiPriority w:val="99"/>
    <w:rPr>
      <w:kern w:val="2"/>
      <w:sz w:val="18"/>
    </w:rPr>
  </w:style>
  <w:style w:type="character" w:customStyle="1" w:styleId="176">
    <w:name w:val="批注主题 字符"/>
    <w:qFormat/>
    <w:uiPriority w:val="0"/>
    <w:rPr>
      <w:b/>
      <w:bCs/>
      <w:kern w:val="2"/>
      <w:sz w:val="21"/>
    </w:rPr>
  </w:style>
  <w:style w:type="character" w:customStyle="1" w:styleId="177">
    <w:name w:val="gpa"/>
    <w:qFormat/>
    <w:uiPriority w:val="0"/>
    <w:rPr>
      <w:rFonts w:ascii="Arial" w:hAnsi="Arial" w:cs="Arial"/>
      <w:sz w:val="15"/>
      <w:szCs w:val="15"/>
    </w:rPr>
  </w:style>
  <w:style w:type="character" w:customStyle="1" w:styleId="178">
    <w:name w:val="num"/>
    <w:qFormat/>
    <w:uiPriority w:val="0"/>
    <w:rPr>
      <w:b/>
      <w:color w:val="FF7800"/>
    </w:rPr>
  </w:style>
  <w:style w:type="character" w:customStyle="1" w:styleId="179">
    <w:name w:val="displayarti"/>
    <w:qFormat/>
    <w:uiPriority w:val="0"/>
    <w:rPr>
      <w:color w:val="FFFFFF"/>
      <w:shd w:val="clear" w:color="auto" w:fill="A00000"/>
    </w:rPr>
  </w:style>
  <w:style w:type="character" w:customStyle="1" w:styleId="180">
    <w:name w:val="release-day"/>
    <w:qFormat/>
    <w:uiPriority w:val="0"/>
    <w:rPr>
      <w:bdr w:val="single" w:color="BDEBB0" w:sz="6" w:space="0"/>
      <w:shd w:val="clear" w:color="auto" w:fill="F5FFF1"/>
    </w:rPr>
  </w:style>
  <w:style w:type="character" w:customStyle="1" w:styleId="181">
    <w:name w:val="selected"/>
    <w:qFormat/>
    <w:uiPriority w:val="0"/>
    <w:rPr>
      <w:shd w:val="clear" w:color="auto" w:fill="B00006"/>
    </w:rPr>
  </w:style>
  <w:style w:type="character" w:customStyle="1" w:styleId="182">
    <w:name w:val="answer-title10"/>
    <w:qFormat/>
    <w:uiPriority w:val="0"/>
  </w:style>
  <w:style w:type="paragraph" w:customStyle="1" w:styleId="183">
    <w:name w:val="Char3"/>
    <w:basedOn w:val="1"/>
    <w:qFormat/>
    <w:uiPriority w:val="0"/>
    <w:rPr>
      <w:rFonts w:ascii="Tahoma" w:hAnsi="Tahoma"/>
      <w:sz w:val="24"/>
    </w:rPr>
  </w:style>
  <w:style w:type="paragraph" w:customStyle="1" w:styleId="184">
    <w:name w:val="Char Char Char Char1 Char Char Char Char"/>
    <w:basedOn w:val="1"/>
    <w:qFormat/>
    <w:uiPriority w:val="0"/>
    <w:pPr>
      <w:widowControl/>
      <w:spacing w:after="160" w:line="240" w:lineRule="exact"/>
      <w:jc w:val="left"/>
    </w:pPr>
  </w:style>
  <w:style w:type="paragraph" w:customStyle="1" w:styleId="185">
    <w:name w:val="Char Char Char Char"/>
    <w:basedOn w:val="1"/>
    <w:qFormat/>
    <w:uiPriority w:val="0"/>
    <w:rPr>
      <w:rFonts w:ascii="仿宋_GB2312" w:eastAsia="仿宋_GB2312"/>
      <w:b/>
      <w:sz w:val="32"/>
      <w:szCs w:val="32"/>
    </w:rPr>
  </w:style>
  <w:style w:type="paragraph" w:customStyle="1" w:styleId="186">
    <w:name w:val="样式 表格正文 + 两端对齐"/>
    <w:basedOn w:val="1"/>
    <w:qFormat/>
    <w:uiPriority w:val="0"/>
    <w:pPr>
      <w:spacing w:line="300" w:lineRule="auto"/>
    </w:pPr>
    <w:rPr>
      <w:sz w:val="24"/>
    </w:rPr>
  </w:style>
  <w:style w:type="paragraph" w:customStyle="1" w:styleId="187">
    <w:name w:val="此正文"/>
    <w:basedOn w:val="1"/>
    <w:qFormat/>
    <w:uiPriority w:val="0"/>
    <w:pPr>
      <w:spacing w:line="360" w:lineRule="auto"/>
      <w:ind w:firstLine="200" w:firstLineChars="200"/>
    </w:pPr>
    <w:rPr>
      <w:sz w:val="24"/>
      <w:szCs w:val="24"/>
    </w:rPr>
  </w:style>
  <w:style w:type="paragraph" w:customStyle="1" w:styleId="188">
    <w:name w:val="默认段落字体 Para Char Char Char Char"/>
    <w:basedOn w:val="1"/>
    <w:qFormat/>
    <w:uiPriority w:val="0"/>
    <w:pPr>
      <w:adjustRightInd w:val="0"/>
      <w:spacing w:line="360" w:lineRule="auto"/>
    </w:pPr>
    <w:rPr>
      <w:kern w:val="0"/>
      <w:sz w:val="24"/>
    </w:rPr>
  </w:style>
  <w:style w:type="paragraph" w:customStyle="1" w:styleId="189">
    <w:name w:val="Char Char Char Char Char Char Char"/>
    <w:basedOn w:val="1"/>
    <w:qFormat/>
    <w:uiPriority w:val="0"/>
    <w:pPr>
      <w:widowControl/>
      <w:spacing w:after="160" w:line="240" w:lineRule="exact"/>
      <w:jc w:val="left"/>
    </w:pPr>
    <w:rPr>
      <w:rFonts w:ascii="宋体" w:hAnsi="宋体"/>
      <w:b/>
      <w:sz w:val="24"/>
    </w:rPr>
  </w:style>
  <w:style w:type="character" w:customStyle="1" w:styleId="190">
    <w:name w:val="font31"/>
    <w:qFormat/>
    <w:uiPriority w:val="0"/>
    <w:rPr>
      <w:rFonts w:hint="eastAsia" w:ascii="微软雅黑" w:hAnsi="微软雅黑" w:eastAsia="微软雅黑" w:cs="微软雅黑"/>
      <w:color w:val="000000"/>
      <w:sz w:val="22"/>
      <w:szCs w:val="22"/>
      <w:u w:val="none"/>
    </w:rPr>
  </w:style>
  <w:style w:type="character" w:customStyle="1" w:styleId="191">
    <w:name w:val="彩色列表 - 着色 1 字符"/>
    <w:link w:val="192"/>
    <w:qFormat/>
    <w:uiPriority w:val="0"/>
    <w:rPr>
      <w:sz w:val="21"/>
      <w:szCs w:val="22"/>
    </w:rPr>
  </w:style>
  <w:style w:type="paragraph" w:customStyle="1" w:styleId="192">
    <w:name w:val="彩色列表 - 着色 11"/>
    <w:basedOn w:val="1"/>
    <w:link w:val="191"/>
    <w:qFormat/>
    <w:uiPriority w:val="0"/>
    <w:pPr>
      <w:widowControl/>
      <w:ind w:firstLine="420" w:firstLineChars="200"/>
      <w:jc w:val="left"/>
    </w:pPr>
    <w:rPr>
      <w:kern w:val="0"/>
      <w:szCs w:val="22"/>
    </w:rPr>
  </w:style>
  <w:style w:type="character" w:customStyle="1" w:styleId="193">
    <w:name w:val="font41"/>
    <w:qFormat/>
    <w:uiPriority w:val="0"/>
    <w:rPr>
      <w:rFonts w:hint="eastAsia" w:ascii="微软雅黑" w:hAnsi="微软雅黑" w:eastAsia="微软雅黑" w:cs="微软雅黑"/>
      <w:color w:val="000000"/>
      <w:sz w:val="20"/>
      <w:szCs w:val="20"/>
      <w:u w:val="none"/>
    </w:rPr>
  </w:style>
  <w:style w:type="character" w:customStyle="1" w:styleId="194">
    <w:name w:val="ant-form-item-children5"/>
    <w:qFormat/>
    <w:uiPriority w:val="0"/>
  </w:style>
  <w:style w:type="character" w:customStyle="1" w:styleId="195">
    <w:name w:val="font21"/>
    <w:qFormat/>
    <w:uiPriority w:val="0"/>
    <w:rPr>
      <w:rFonts w:hint="eastAsia" w:ascii="微软雅黑" w:hAnsi="微软雅黑" w:eastAsia="微软雅黑" w:cs="微软雅黑"/>
      <w:color w:val="000000"/>
      <w:sz w:val="20"/>
      <w:szCs w:val="20"/>
      <w:u w:val="none"/>
    </w:rPr>
  </w:style>
  <w:style w:type="character" w:customStyle="1" w:styleId="196">
    <w:name w:val="font11"/>
    <w:qFormat/>
    <w:uiPriority w:val="0"/>
    <w:rPr>
      <w:rFonts w:hint="eastAsia" w:ascii="微软雅黑" w:hAnsi="微软雅黑" w:eastAsia="微软雅黑" w:cs="微软雅黑"/>
      <w:color w:val="000000"/>
      <w:sz w:val="20"/>
      <w:szCs w:val="20"/>
      <w:u w:val="none"/>
    </w:rPr>
  </w:style>
  <w:style w:type="character" w:customStyle="1" w:styleId="197">
    <w:name w:val="my正文 Char"/>
    <w:link w:val="198"/>
    <w:qFormat/>
    <w:locked/>
    <w:uiPriority w:val="0"/>
    <w:rPr>
      <w:sz w:val="24"/>
      <w:szCs w:val="24"/>
      <w:lang w:val="zh-CN"/>
    </w:rPr>
  </w:style>
  <w:style w:type="paragraph" w:customStyle="1" w:styleId="198">
    <w:name w:val="my正文"/>
    <w:basedOn w:val="1"/>
    <w:link w:val="197"/>
    <w:qFormat/>
    <w:uiPriority w:val="0"/>
    <w:pPr>
      <w:adjustRightInd w:val="0"/>
      <w:snapToGrid w:val="0"/>
      <w:spacing w:line="360" w:lineRule="auto"/>
      <w:ind w:firstLine="480" w:firstLineChars="200"/>
    </w:pPr>
    <w:rPr>
      <w:kern w:val="0"/>
      <w:sz w:val="24"/>
      <w:szCs w:val="24"/>
      <w:lang w:val="zh-CN"/>
    </w:rPr>
  </w:style>
  <w:style w:type="character" w:customStyle="1" w:styleId="199">
    <w:name w:val="列出段落 Char"/>
    <w:link w:val="200"/>
    <w:qFormat/>
    <w:uiPriority w:val="34"/>
    <w:rPr>
      <w:rFonts w:ascii="Arial" w:hAnsi="Arial"/>
      <w:sz w:val="21"/>
    </w:rPr>
  </w:style>
  <w:style w:type="paragraph" w:customStyle="1" w:styleId="200">
    <w:name w:val="列出段落1"/>
    <w:basedOn w:val="1"/>
    <w:link w:val="199"/>
    <w:qFormat/>
    <w:uiPriority w:val="34"/>
    <w:pPr>
      <w:adjustRightInd w:val="0"/>
      <w:spacing w:before="60" w:after="60" w:line="300" w:lineRule="auto"/>
      <w:ind w:firstLine="420" w:firstLineChars="200"/>
      <w:jc w:val="left"/>
      <w:textAlignment w:val="baseline"/>
    </w:pPr>
    <w:rPr>
      <w:rFonts w:ascii="Arial" w:hAnsi="Arial"/>
      <w:kern w:val="0"/>
    </w:rPr>
  </w:style>
  <w:style w:type="character" w:customStyle="1" w:styleId="201">
    <w:name w:val="0-正文 Char"/>
    <w:link w:val="202"/>
    <w:qFormat/>
    <w:uiPriority w:val="0"/>
    <w:rPr>
      <w:rFonts w:ascii="汉仪仿宋简" w:hAnsi="仿宋"/>
      <w:sz w:val="24"/>
      <w:szCs w:val="28"/>
    </w:rPr>
  </w:style>
  <w:style w:type="paragraph" w:customStyle="1" w:styleId="202">
    <w:name w:val="0-正文"/>
    <w:basedOn w:val="1"/>
    <w:link w:val="201"/>
    <w:qFormat/>
    <w:uiPriority w:val="0"/>
    <w:pPr>
      <w:spacing w:line="360" w:lineRule="auto"/>
      <w:ind w:firstLine="420" w:firstLineChars="200"/>
    </w:pPr>
    <w:rPr>
      <w:rFonts w:ascii="汉仪仿宋简" w:hAnsi="仿宋"/>
      <w:kern w:val="0"/>
      <w:sz w:val="24"/>
      <w:szCs w:val="28"/>
    </w:rPr>
  </w:style>
  <w:style w:type="character" w:customStyle="1" w:styleId="203">
    <w:name w:val="apple-converted-space"/>
    <w:qFormat/>
    <w:uiPriority w:val="0"/>
  </w:style>
  <w:style w:type="paragraph" w:customStyle="1" w:styleId="204">
    <w:name w:val="Char Char Char Char1"/>
    <w:basedOn w:val="1"/>
    <w:qFormat/>
    <w:uiPriority w:val="0"/>
    <w:rPr>
      <w:rFonts w:ascii="仿宋_GB2312" w:eastAsia="仿宋_GB2312"/>
      <w:b/>
      <w:sz w:val="32"/>
      <w:szCs w:val="32"/>
    </w:rPr>
  </w:style>
  <w:style w:type="paragraph" w:customStyle="1" w:styleId="205">
    <w:name w:val="样式 宋体 小四 段前: 7.8 磅 段后: 7.8 磅 行距: 1.5 倍行距"/>
    <w:basedOn w:val="1"/>
    <w:qFormat/>
    <w:uiPriority w:val="0"/>
    <w:pPr>
      <w:widowControl/>
      <w:spacing w:line="360" w:lineRule="auto"/>
      <w:ind w:firstLine="480" w:firstLineChars="200"/>
      <w:jc w:val="left"/>
    </w:pPr>
    <w:rPr>
      <w:rFonts w:ascii="宋体" w:hAnsi="宋体" w:cs="宋体"/>
      <w:kern w:val="0"/>
      <w:sz w:val="24"/>
    </w:rPr>
  </w:style>
  <w:style w:type="paragraph" w:customStyle="1" w:styleId="206">
    <w:name w:val="缩进正文"/>
    <w:basedOn w:val="1"/>
    <w:qFormat/>
    <w:uiPriority w:val="0"/>
    <w:pPr>
      <w:spacing w:line="360" w:lineRule="auto"/>
      <w:ind w:firstLine="359" w:firstLineChars="171"/>
    </w:pPr>
    <w:rPr>
      <w:rFonts w:ascii="宋体" w:hAnsi="宋体"/>
      <w:szCs w:val="21"/>
    </w:rPr>
  </w:style>
  <w:style w:type="paragraph" w:customStyle="1" w:styleId="207">
    <w:name w:val="3"/>
    <w:basedOn w:val="163"/>
    <w:qFormat/>
    <w:uiPriority w:val="0"/>
    <w:pPr>
      <w:numPr>
        <w:ilvl w:val="0"/>
        <w:numId w:val="1"/>
      </w:numPr>
      <w:ind w:firstLine="480"/>
    </w:pPr>
  </w:style>
  <w:style w:type="paragraph" w:customStyle="1" w:styleId="208">
    <w:name w:val="题注1"/>
    <w:basedOn w:val="1"/>
    <w:next w:val="1"/>
    <w:unhideWhenUsed/>
    <w:qFormat/>
    <w:uiPriority w:val="0"/>
    <w:pPr>
      <w:spacing w:before="152" w:after="160"/>
    </w:pPr>
    <w:rPr>
      <w:rFonts w:hint="eastAsia" w:ascii="Arial" w:hAnsi="Arial" w:eastAsia="黑体"/>
      <w:sz w:val="20"/>
      <w:szCs w:val="24"/>
    </w:rPr>
  </w:style>
  <w:style w:type="paragraph" w:customStyle="1" w:styleId="209">
    <w:name w:val="mh-lin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10">
    <w:name w:val="样式 样式 宋体 小四 段前: 7.8 磅 段后: 7.8 磅 行距: 1.5 倍行距 + 小二 首行缩进:  2 字符"/>
    <w:basedOn w:val="1"/>
    <w:qFormat/>
    <w:uiPriority w:val="0"/>
    <w:pPr>
      <w:widowControl/>
      <w:spacing w:line="360" w:lineRule="auto"/>
      <w:ind w:firstLine="480" w:firstLineChars="200"/>
      <w:jc w:val="left"/>
    </w:pPr>
    <w:rPr>
      <w:rFonts w:ascii="宋体" w:hAnsi="宋体" w:cs="宋体"/>
      <w:kern w:val="0"/>
      <w:sz w:val="24"/>
    </w:rPr>
  </w:style>
  <w:style w:type="paragraph" w:customStyle="1" w:styleId="211">
    <w:name w:val="Char Char Char Char1 Char Char Char Char1"/>
    <w:basedOn w:val="1"/>
    <w:qFormat/>
    <w:uiPriority w:val="0"/>
    <w:pPr>
      <w:widowControl/>
      <w:spacing w:after="160" w:line="240" w:lineRule="exact"/>
      <w:jc w:val="left"/>
    </w:pPr>
  </w:style>
  <w:style w:type="paragraph" w:customStyle="1" w:styleId="212">
    <w:name w:val="修订4"/>
    <w:unhideWhenUsed/>
    <w:qFormat/>
    <w:uiPriority w:val="99"/>
    <w:rPr>
      <w:rFonts w:ascii="Times New Roman" w:hAnsi="Times New Roman" w:eastAsia="宋体" w:cs="Times New Roman"/>
      <w:kern w:val="2"/>
      <w:sz w:val="21"/>
      <w:lang w:val="en-US" w:eastAsia="zh-CN" w:bidi="ar-SA"/>
    </w:rPr>
  </w:style>
  <w:style w:type="paragraph" w:customStyle="1" w:styleId="213">
    <w:name w:val="正文1"/>
    <w:qFormat/>
    <w:uiPriority w:val="0"/>
    <w:pPr>
      <w:jc w:val="both"/>
    </w:pPr>
    <w:rPr>
      <w:rFonts w:ascii="等线" w:hAnsi="等线" w:eastAsia="宋体" w:cs="宋体"/>
      <w:kern w:val="2"/>
      <w:sz w:val="21"/>
      <w:szCs w:val="21"/>
      <w:lang w:val="en-US" w:eastAsia="zh-CN" w:bidi="ar-SA"/>
    </w:rPr>
  </w:style>
  <w:style w:type="paragraph" w:customStyle="1" w:styleId="214">
    <w:name w:val="_Style 10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215">
    <w:name w:val="题注 字符1"/>
    <w:link w:val="13"/>
    <w:qFormat/>
    <w:uiPriority w:val="35"/>
    <w:rPr>
      <w:rFonts w:ascii="Arial" w:hAnsi="Arial" w:eastAsia="黑体"/>
      <w:kern w:val="2"/>
      <w:sz w:val="21"/>
    </w:rPr>
  </w:style>
  <w:style w:type="character" w:customStyle="1" w:styleId="216">
    <w:name w:val="标题 字符"/>
    <w:basedOn w:val="44"/>
    <w:link w:val="38"/>
    <w:qFormat/>
    <w:uiPriority w:val="10"/>
    <w:rPr>
      <w:b/>
      <w:bCs/>
      <w:kern w:val="2"/>
      <w:sz w:val="28"/>
      <w:szCs w:val="32"/>
    </w:rPr>
  </w:style>
  <w:style w:type="paragraph" w:customStyle="1" w:styleId="217">
    <w:name w:val="缩进_正文"/>
    <w:basedOn w:val="1"/>
    <w:link w:val="218"/>
    <w:qFormat/>
    <w:uiPriority w:val="0"/>
    <w:pPr>
      <w:adjustRightInd w:val="0"/>
      <w:snapToGrid w:val="0"/>
      <w:spacing w:line="360" w:lineRule="auto"/>
      <w:ind w:firstLine="560" w:firstLineChars="200"/>
    </w:pPr>
    <w:rPr>
      <w:rFonts w:eastAsia="仿宋"/>
      <w:sz w:val="28"/>
      <w:szCs w:val="22"/>
    </w:rPr>
  </w:style>
  <w:style w:type="character" w:customStyle="1" w:styleId="218">
    <w:name w:val="缩进_正文 Char"/>
    <w:basedOn w:val="44"/>
    <w:link w:val="217"/>
    <w:qFormat/>
    <w:uiPriority w:val="0"/>
    <w:rPr>
      <w:rFonts w:eastAsia="仿宋"/>
      <w:kern w:val="2"/>
      <w:sz w:val="28"/>
      <w:szCs w:val="22"/>
    </w:rPr>
  </w:style>
  <w:style w:type="paragraph" w:customStyle="1" w:styleId="219">
    <w:name w:val="bg_zw"/>
    <w:basedOn w:val="1"/>
    <w:next w:val="1"/>
    <w:link w:val="220"/>
    <w:qFormat/>
    <w:uiPriority w:val="0"/>
    <w:pPr>
      <w:spacing w:line="360" w:lineRule="auto"/>
      <w:ind w:firstLine="200" w:firstLineChars="200"/>
    </w:pPr>
    <w:rPr>
      <w:rFonts w:ascii="宋体" w:hAnsi="Courier New" w:eastAsia="仿宋_GB2312"/>
      <w:sz w:val="28"/>
    </w:rPr>
  </w:style>
  <w:style w:type="character" w:customStyle="1" w:styleId="220">
    <w:name w:val="bg_zw Char"/>
    <w:link w:val="219"/>
    <w:qFormat/>
    <w:locked/>
    <w:uiPriority w:val="0"/>
    <w:rPr>
      <w:rFonts w:ascii="宋体" w:hAnsi="Courier New" w:eastAsia="仿宋_GB2312"/>
      <w:kern w:val="2"/>
      <w:sz w:val="28"/>
    </w:rPr>
  </w:style>
  <w:style w:type="paragraph" w:customStyle="1" w:styleId="221">
    <w:name w:val="Table Paragraph"/>
    <w:basedOn w:val="1"/>
    <w:qFormat/>
    <w:uiPriority w:val="1"/>
    <w:pPr>
      <w:widowControl/>
      <w:jc w:val="center"/>
    </w:pPr>
    <w:rPr>
      <w:rFonts w:ascii="宋体" w:hAnsi="宋体" w:cs="宋体"/>
      <w:color w:val="000000"/>
      <w:kern w:val="0"/>
      <w:szCs w:val="21"/>
    </w:rPr>
  </w:style>
  <w:style w:type="character" w:customStyle="1" w:styleId="222">
    <w:name w:val="占位符文本1"/>
    <w:basedOn w:val="44"/>
    <w:semiHidden/>
    <w:qFormat/>
    <w:uiPriority w:val="99"/>
    <w:rPr>
      <w:color w:val="808080"/>
    </w:rPr>
  </w:style>
  <w:style w:type="paragraph" w:customStyle="1" w:styleId="223">
    <w:name w:val="我的正文1"/>
    <w:basedOn w:val="1"/>
    <w:link w:val="224"/>
    <w:qFormat/>
    <w:uiPriority w:val="0"/>
    <w:pPr>
      <w:widowControl/>
      <w:spacing w:line="360" w:lineRule="auto"/>
      <w:ind w:firstLine="560" w:firstLineChars="200"/>
    </w:pPr>
    <w:rPr>
      <w:rFonts w:eastAsia="仿宋"/>
      <w:sz w:val="28"/>
      <w:szCs w:val="22"/>
    </w:rPr>
  </w:style>
  <w:style w:type="character" w:customStyle="1" w:styleId="224">
    <w:name w:val="我的正文1 字符"/>
    <w:basedOn w:val="44"/>
    <w:link w:val="223"/>
    <w:qFormat/>
    <w:uiPriority w:val="0"/>
    <w:rPr>
      <w:rFonts w:eastAsia="仿宋"/>
      <w:kern w:val="2"/>
      <w:sz w:val="28"/>
      <w:szCs w:val="22"/>
    </w:rPr>
  </w:style>
  <w:style w:type="character" w:customStyle="1" w:styleId="225">
    <w:name w:val="无间隔 Char"/>
    <w:link w:val="108"/>
    <w:qFormat/>
    <w:uiPriority w:val="1"/>
    <w:rPr>
      <w:kern w:val="2"/>
      <w:sz w:val="21"/>
    </w:rPr>
  </w:style>
  <w:style w:type="paragraph" w:customStyle="1" w:styleId="226">
    <w:name w:val="表格"/>
    <w:basedOn w:val="1"/>
    <w:link w:val="227"/>
    <w:qFormat/>
    <w:uiPriority w:val="0"/>
    <w:pPr>
      <w:widowControl/>
      <w:snapToGrid w:val="0"/>
      <w:jc w:val="center"/>
    </w:pPr>
    <w:rPr>
      <w:rFonts w:eastAsia="仿宋"/>
      <w:sz w:val="24"/>
      <w:szCs w:val="21"/>
    </w:rPr>
  </w:style>
  <w:style w:type="character" w:customStyle="1" w:styleId="227">
    <w:name w:val="表格 字符"/>
    <w:basedOn w:val="44"/>
    <w:link w:val="226"/>
    <w:qFormat/>
    <w:uiPriority w:val="0"/>
    <w:rPr>
      <w:rFonts w:eastAsia="仿宋"/>
      <w:kern w:val="2"/>
      <w:sz w:val="24"/>
      <w:szCs w:val="21"/>
    </w:rPr>
  </w:style>
  <w:style w:type="paragraph" w:customStyle="1" w:styleId="228">
    <w:name w:val="TOC 标题2"/>
    <w:basedOn w:val="2"/>
    <w:next w:val="1"/>
    <w:unhideWhenUsed/>
    <w:qFormat/>
    <w:uiPriority w:val="39"/>
    <w:pPr>
      <w:widowControl/>
      <w:adjustRightInd w:val="0"/>
      <w:snapToGrid w:val="0"/>
      <w:spacing w:beforeLines="50" w:afterLines="0" w:line="259" w:lineRule="auto"/>
      <w:jc w:val="left"/>
      <w:outlineLvl w:val="9"/>
    </w:pPr>
    <w:rPr>
      <w:rFonts w:ascii="Calibri Light" w:hAnsi="Calibri Light"/>
      <w:b w:val="0"/>
      <w:bCs w:val="0"/>
      <w:color w:val="2E75B5"/>
      <w:kern w:val="0"/>
      <w:sz w:val="32"/>
      <w:szCs w:val="32"/>
    </w:rPr>
  </w:style>
  <w:style w:type="paragraph" w:customStyle="1" w:styleId="229">
    <w:name w:val="标题6"/>
    <w:basedOn w:val="7"/>
    <w:link w:val="230"/>
    <w:qFormat/>
    <w:uiPriority w:val="0"/>
    <w:pPr>
      <w:keepNext w:val="0"/>
      <w:keepLines w:val="0"/>
      <w:widowControl/>
      <w:adjustRightInd w:val="0"/>
      <w:spacing w:line="240" w:lineRule="auto"/>
      <w:ind w:left="0" w:firstLine="0"/>
    </w:pPr>
    <w:rPr>
      <w:rFonts w:ascii="Times New Roman" w:hAnsi="Times New Roman" w:eastAsia="仿宋" w:cs="Times New Roman"/>
      <w:color w:val="000000"/>
      <w:sz w:val="21"/>
      <w:szCs w:val="21"/>
    </w:rPr>
  </w:style>
  <w:style w:type="character" w:customStyle="1" w:styleId="230">
    <w:name w:val="标题6 字符"/>
    <w:basedOn w:val="44"/>
    <w:link w:val="229"/>
    <w:qFormat/>
    <w:uiPriority w:val="0"/>
    <w:rPr>
      <w:rFonts w:eastAsia="仿宋"/>
      <w:b/>
      <w:color w:val="000000"/>
      <w:kern w:val="2"/>
      <w:sz w:val="21"/>
      <w:szCs w:val="21"/>
    </w:rPr>
  </w:style>
  <w:style w:type="paragraph" w:customStyle="1" w:styleId="231">
    <w:name w:val="2级"/>
    <w:basedOn w:val="1"/>
    <w:link w:val="232"/>
    <w:qFormat/>
    <w:uiPriority w:val="0"/>
    <w:pPr>
      <w:widowControl/>
      <w:spacing w:line="360" w:lineRule="auto"/>
      <w:ind w:firstLine="480" w:firstLineChars="200"/>
    </w:pPr>
    <w:rPr>
      <w:sz w:val="28"/>
      <w:szCs w:val="24"/>
    </w:rPr>
  </w:style>
  <w:style w:type="character" w:customStyle="1" w:styleId="232">
    <w:name w:val="2级 Char"/>
    <w:basedOn w:val="44"/>
    <w:link w:val="231"/>
    <w:qFormat/>
    <w:locked/>
    <w:uiPriority w:val="0"/>
    <w:rPr>
      <w:kern w:val="2"/>
      <w:sz w:val="28"/>
      <w:szCs w:val="24"/>
    </w:rPr>
  </w:style>
  <w:style w:type="paragraph" w:customStyle="1" w:styleId="233">
    <w:name w:val="3级新"/>
    <w:basedOn w:val="1"/>
    <w:link w:val="234"/>
    <w:qFormat/>
    <w:uiPriority w:val="0"/>
    <w:pPr>
      <w:widowControl/>
      <w:spacing w:line="360" w:lineRule="auto"/>
      <w:ind w:firstLine="480" w:firstLineChars="200"/>
    </w:pPr>
    <w:rPr>
      <w:sz w:val="28"/>
      <w:szCs w:val="24"/>
    </w:rPr>
  </w:style>
  <w:style w:type="character" w:customStyle="1" w:styleId="234">
    <w:name w:val="3级新 Char"/>
    <w:link w:val="233"/>
    <w:qFormat/>
    <w:uiPriority w:val="0"/>
    <w:rPr>
      <w:kern w:val="2"/>
      <w:sz w:val="28"/>
      <w:szCs w:val="24"/>
    </w:rPr>
  </w:style>
  <w:style w:type="paragraph" w:customStyle="1" w:styleId="235">
    <w:name w:val="4级"/>
    <w:basedOn w:val="1"/>
    <w:qFormat/>
    <w:uiPriority w:val="0"/>
    <w:pPr>
      <w:widowControl/>
      <w:spacing w:line="360" w:lineRule="auto"/>
      <w:ind w:firstLine="480" w:firstLineChars="200"/>
    </w:pPr>
    <w:rPr>
      <w:sz w:val="28"/>
      <w:szCs w:val="24"/>
    </w:rPr>
  </w:style>
  <w:style w:type="paragraph" w:customStyle="1" w:styleId="236">
    <w:name w:val="5级"/>
    <w:basedOn w:val="1"/>
    <w:qFormat/>
    <w:uiPriority w:val="0"/>
    <w:pPr>
      <w:widowControl/>
      <w:spacing w:line="360" w:lineRule="auto"/>
      <w:ind w:firstLine="480" w:firstLineChars="200"/>
    </w:pPr>
    <w:rPr>
      <w:sz w:val="28"/>
      <w:szCs w:val="24"/>
    </w:rPr>
  </w:style>
  <w:style w:type="character" w:customStyle="1" w:styleId="237">
    <w:name w:val="*正文 Char Char"/>
    <w:link w:val="238"/>
    <w:qFormat/>
    <w:uiPriority w:val="0"/>
    <w:rPr>
      <w:rFonts w:ascii="宋体" w:hAnsi="宋体"/>
      <w:szCs w:val="24"/>
    </w:rPr>
  </w:style>
  <w:style w:type="paragraph" w:customStyle="1" w:styleId="238">
    <w:name w:val="*正文"/>
    <w:basedOn w:val="12"/>
    <w:link w:val="237"/>
    <w:qFormat/>
    <w:uiPriority w:val="0"/>
    <w:pPr>
      <w:spacing w:line="360" w:lineRule="auto"/>
      <w:ind w:firstLine="480" w:firstLineChars="200"/>
    </w:pPr>
    <w:rPr>
      <w:rFonts w:hAnsi="宋体"/>
      <w:kern w:val="0"/>
      <w:sz w:val="20"/>
      <w:szCs w:val="24"/>
    </w:rPr>
  </w:style>
  <w:style w:type="character" w:customStyle="1" w:styleId="239">
    <w:name w:val="my正文 Char Char"/>
    <w:qFormat/>
    <w:uiPriority w:val="0"/>
    <w:rPr>
      <w:rFonts w:ascii="Times New Roman" w:hAnsi="Times New Roman" w:eastAsia="宋体" w:cs="Times New Roman"/>
      <w:kern w:val="0"/>
      <w:sz w:val="28"/>
      <w:szCs w:val="24"/>
    </w:rPr>
  </w:style>
  <w:style w:type="character" w:customStyle="1" w:styleId="240">
    <w:name w:val="未处理的提及1"/>
    <w:basedOn w:val="44"/>
    <w:unhideWhenUsed/>
    <w:qFormat/>
    <w:uiPriority w:val="99"/>
    <w:rPr>
      <w:color w:val="605E5C"/>
      <w:shd w:val="clear" w:color="auto" w:fill="E1DFDD"/>
    </w:rPr>
  </w:style>
  <w:style w:type="character" w:customStyle="1" w:styleId="241">
    <w:name w:val="doc_title"/>
    <w:basedOn w:val="44"/>
    <w:qFormat/>
    <w:uiPriority w:val="0"/>
  </w:style>
  <w:style w:type="character" w:customStyle="1" w:styleId="242">
    <w:name w:val="s"/>
    <w:basedOn w:val="44"/>
    <w:qFormat/>
    <w:uiPriority w:val="0"/>
  </w:style>
  <w:style w:type="paragraph" w:customStyle="1" w:styleId="243">
    <w:name w:val="00正文"/>
    <w:basedOn w:val="1"/>
    <w:qFormat/>
    <w:uiPriority w:val="0"/>
    <w:pPr>
      <w:widowControl/>
      <w:spacing w:beforeLines="50" w:line="360" w:lineRule="auto"/>
      <w:ind w:firstLine="480" w:firstLineChars="200"/>
    </w:pPr>
    <w:rPr>
      <w:rFonts w:ascii="Calibri" w:hAnsi="Calibri"/>
      <w:sz w:val="28"/>
      <w:szCs w:val="24"/>
    </w:rPr>
  </w:style>
  <w:style w:type="paragraph" w:customStyle="1" w:styleId="244">
    <w:name w:val="正文缩进2"/>
    <w:basedOn w:val="1"/>
    <w:qFormat/>
    <w:uiPriority w:val="99"/>
    <w:pPr>
      <w:widowControl/>
      <w:spacing w:line="360" w:lineRule="auto"/>
      <w:ind w:firstLine="540"/>
    </w:pPr>
    <w:rPr>
      <w:rFonts w:ascii="仿宋_GB2312" w:eastAsia="仿宋_GB2312"/>
      <w:kern w:val="0"/>
      <w:sz w:val="28"/>
      <w:szCs w:val="24"/>
      <w:lang w:val="zh-CN"/>
    </w:rPr>
  </w:style>
  <w:style w:type="character" w:customStyle="1" w:styleId="245">
    <w:name w:val="方案正文 Char"/>
    <w:link w:val="246"/>
    <w:qFormat/>
    <w:locked/>
    <w:uiPriority w:val="0"/>
    <w:rPr>
      <w:rFonts w:ascii="Calibri" w:hAnsi="Calibri" w:cs="Calibri"/>
      <w:sz w:val="24"/>
    </w:rPr>
  </w:style>
  <w:style w:type="paragraph" w:customStyle="1" w:styleId="246">
    <w:name w:val="方案正文"/>
    <w:basedOn w:val="1"/>
    <w:link w:val="245"/>
    <w:qFormat/>
    <w:uiPriority w:val="0"/>
    <w:pPr>
      <w:widowControl/>
      <w:adjustRightInd w:val="0"/>
      <w:snapToGrid w:val="0"/>
      <w:spacing w:line="360" w:lineRule="auto"/>
      <w:ind w:firstLine="480" w:firstLineChars="200"/>
      <w:jc w:val="left"/>
    </w:pPr>
    <w:rPr>
      <w:rFonts w:ascii="Calibri" w:hAnsi="Calibri" w:cs="Calibri"/>
      <w:kern w:val="0"/>
      <w:sz w:val="24"/>
    </w:rPr>
  </w:style>
  <w:style w:type="character" w:customStyle="1" w:styleId="247">
    <w:name w:val="标题 3 Char1"/>
    <w:basedOn w:val="44"/>
    <w:semiHidden/>
    <w:qFormat/>
    <w:locked/>
    <w:uiPriority w:val="0"/>
    <w:rPr>
      <w:rFonts w:ascii="宋体"/>
      <w:b/>
      <w:bCs/>
      <w:sz w:val="32"/>
      <w:szCs w:val="32"/>
    </w:rPr>
  </w:style>
  <w:style w:type="character" w:customStyle="1" w:styleId="248">
    <w:name w:val="标题 4 Char1"/>
    <w:basedOn w:val="44"/>
    <w:semiHidden/>
    <w:qFormat/>
    <w:locked/>
    <w:uiPriority w:val="0"/>
    <w:rPr>
      <w:rFonts w:ascii="Calibri Light" w:hAnsi="Calibri Light" w:cs="Times New Roman"/>
      <w:b/>
      <w:bCs/>
      <w:sz w:val="28"/>
      <w:szCs w:val="28"/>
    </w:rPr>
  </w:style>
  <w:style w:type="character" w:customStyle="1" w:styleId="249">
    <w:name w:val="标题 5 Char1"/>
    <w:basedOn w:val="44"/>
    <w:semiHidden/>
    <w:qFormat/>
    <w:locked/>
    <w:uiPriority w:val="0"/>
    <w:rPr>
      <w:rFonts w:ascii="宋体" w:eastAsia="宋体"/>
      <w:b/>
      <w:bCs/>
      <w:sz w:val="28"/>
      <w:szCs w:val="28"/>
    </w:rPr>
  </w:style>
  <w:style w:type="character" w:customStyle="1" w:styleId="250">
    <w:name w:val="标准段落正文 Char1"/>
    <w:link w:val="251"/>
    <w:qFormat/>
    <w:locked/>
    <w:uiPriority w:val="0"/>
    <w:rPr>
      <w:rFonts w:ascii="Arial Unicode MS" w:hAnsi="Arial Unicode MS" w:eastAsia="Arial Unicode MS" w:cs="Arial"/>
      <w:sz w:val="24"/>
      <w:szCs w:val="24"/>
    </w:rPr>
  </w:style>
  <w:style w:type="paragraph" w:customStyle="1" w:styleId="251">
    <w:name w:val="标准段落正文"/>
    <w:basedOn w:val="1"/>
    <w:link w:val="250"/>
    <w:qFormat/>
    <w:uiPriority w:val="0"/>
    <w:pPr>
      <w:widowControl/>
      <w:spacing w:beforeLines="50" w:afterLines="50" w:line="360" w:lineRule="auto"/>
      <w:ind w:firstLine="480" w:firstLineChars="200"/>
      <w:jc w:val="left"/>
    </w:pPr>
    <w:rPr>
      <w:rFonts w:ascii="Arial Unicode MS" w:hAnsi="Arial Unicode MS" w:eastAsia="Arial Unicode MS" w:cs="Arial"/>
      <w:kern w:val="0"/>
      <w:sz w:val="24"/>
      <w:szCs w:val="24"/>
    </w:rPr>
  </w:style>
  <w:style w:type="paragraph" w:customStyle="1" w:styleId="252">
    <w:name w:val="1图标样式"/>
    <w:qFormat/>
    <w:uiPriority w:val="0"/>
    <w:pPr>
      <w:jc w:val="center"/>
    </w:pPr>
    <w:rPr>
      <w:rFonts w:ascii="Times New Roman" w:hAnsi="Times New Roman" w:eastAsia="宋体" w:cs="宋体"/>
      <w:sz w:val="18"/>
      <w:szCs w:val="18"/>
      <w:lang w:val="en-US" w:eastAsia="en-US" w:bidi="ar-SA"/>
    </w:rPr>
  </w:style>
  <w:style w:type="paragraph" w:customStyle="1" w:styleId="253">
    <w:name w:val="_Style 9"/>
    <w:basedOn w:val="1"/>
    <w:qFormat/>
    <w:uiPriority w:val="34"/>
    <w:pPr>
      <w:widowControl/>
      <w:spacing w:line="360" w:lineRule="auto"/>
      <w:ind w:firstLine="420" w:firstLineChars="200"/>
    </w:pPr>
    <w:rPr>
      <w:rFonts w:ascii="Calibri" w:hAnsi="Calibri" w:cs="黑体"/>
      <w:sz w:val="28"/>
      <w:szCs w:val="28"/>
    </w:rPr>
  </w:style>
  <w:style w:type="paragraph" w:customStyle="1" w:styleId="254">
    <w:name w:val="我的题目1"/>
    <w:basedOn w:val="223"/>
    <w:next w:val="223"/>
    <w:link w:val="255"/>
    <w:qFormat/>
    <w:uiPriority w:val="0"/>
    <w:pPr>
      <w:adjustRightInd w:val="0"/>
      <w:snapToGrid w:val="0"/>
      <w:spacing w:line="240" w:lineRule="auto"/>
      <w:ind w:firstLine="480"/>
      <w:jc w:val="center"/>
    </w:pPr>
    <w:rPr>
      <w:rFonts w:eastAsia="宋体"/>
      <w:b/>
      <w:sz w:val="40"/>
      <w:szCs w:val="24"/>
    </w:rPr>
  </w:style>
  <w:style w:type="character" w:customStyle="1" w:styleId="255">
    <w:name w:val="我的题目1 字符"/>
    <w:basedOn w:val="224"/>
    <w:link w:val="254"/>
    <w:qFormat/>
    <w:uiPriority w:val="0"/>
    <w:rPr>
      <w:rFonts w:eastAsia="仿宋"/>
      <w:b/>
      <w:kern w:val="2"/>
      <w:sz w:val="40"/>
      <w:szCs w:val="24"/>
    </w:rPr>
  </w:style>
  <w:style w:type="paragraph" w:customStyle="1" w:styleId="256">
    <w:name w:val="居中要素1"/>
    <w:basedOn w:val="223"/>
    <w:next w:val="223"/>
    <w:link w:val="257"/>
    <w:qFormat/>
    <w:uiPriority w:val="0"/>
    <w:pPr>
      <w:adjustRightInd w:val="0"/>
      <w:snapToGrid w:val="0"/>
      <w:ind w:firstLine="0" w:firstLineChars="0"/>
      <w:jc w:val="center"/>
    </w:pPr>
    <w:rPr>
      <w:rFonts w:eastAsia="宋体"/>
      <w:b/>
      <w:szCs w:val="24"/>
    </w:rPr>
  </w:style>
  <w:style w:type="character" w:customStyle="1" w:styleId="257">
    <w:name w:val="居中要素1 字符"/>
    <w:basedOn w:val="224"/>
    <w:link w:val="256"/>
    <w:qFormat/>
    <w:uiPriority w:val="0"/>
    <w:rPr>
      <w:rFonts w:eastAsia="仿宋"/>
      <w:b/>
      <w:kern w:val="2"/>
      <w:sz w:val="28"/>
      <w:szCs w:val="24"/>
    </w:rPr>
  </w:style>
  <w:style w:type="paragraph" w:customStyle="1" w:styleId="258">
    <w:name w:val="msonormal"/>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259">
    <w:name w:val="font5"/>
    <w:basedOn w:val="1"/>
    <w:qFormat/>
    <w:uiPriority w:val="0"/>
    <w:pPr>
      <w:widowControl/>
      <w:spacing w:before="100" w:beforeAutospacing="1" w:after="100" w:afterAutospacing="1"/>
      <w:jc w:val="left"/>
    </w:pPr>
    <w:rPr>
      <w:rFonts w:ascii="等线" w:hAnsi="等线" w:eastAsia="等线" w:cs="宋体"/>
      <w:kern w:val="0"/>
      <w:sz w:val="18"/>
      <w:szCs w:val="18"/>
    </w:rPr>
  </w:style>
  <w:style w:type="paragraph" w:customStyle="1" w:styleId="260">
    <w:name w:val="font6"/>
    <w:basedOn w:val="1"/>
    <w:qFormat/>
    <w:uiPriority w:val="0"/>
    <w:pPr>
      <w:widowControl/>
      <w:spacing w:before="100" w:beforeAutospacing="1" w:after="100" w:afterAutospacing="1"/>
      <w:jc w:val="left"/>
    </w:pPr>
    <w:rPr>
      <w:color w:val="000000"/>
      <w:kern w:val="0"/>
      <w:szCs w:val="21"/>
    </w:rPr>
  </w:style>
  <w:style w:type="paragraph" w:customStyle="1" w:styleId="261">
    <w:name w:val="font7"/>
    <w:basedOn w:val="1"/>
    <w:qFormat/>
    <w:uiPriority w:val="0"/>
    <w:pPr>
      <w:widowControl/>
      <w:spacing w:before="100" w:beforeAutospacing="1" w:after="100" w:afterAutospacing="1"/>
      <w:jc w:val="left"/>
    </w:pPr>
    <w:rPr>
      <w:rFonts w:ascii="宋体" w:hAnsi="宋体" w:cs="宋体"/>
      <w:color w:val="000000"/>
      <w:kern w:val="0"/>
      <w:szCs w:val="21"/>
    </w:rPr>
  </w:style>
  <w:style w:type="paragraph" w:customStyle="1" w:styleId="26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63">
    <w:name w:val="xl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6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6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4"/>
    </w:rPr>
  </w:style>
  <w:style w:type="paragraph" w:customStyle="1" w:styleId="266">
    <w:name w:val="xl7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267">
    <w:name w:val="xl73"/>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rFonts w:ascii="宋体" w:hAnsi="宋体" w:cs="宋体"/>
      <w:b/>
      <w:bCs/>
      <w:color w:val="000000"/>
      <w:kern w:val="0"/>
      <w:szCs w:val="21"/>
    </w:rPr>
  </w:style>
  <w:style w:type="paragraph" w:customStyle="1" w:styleId="268">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69">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70">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71">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2">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3">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4">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color w:val="000000"/>
      <w:kern w:val="0"/>
      <w:szCs w:val="21"/>
    </w:rPr>
  </w:style>
  <w:style w:type="paragraph" w:customStyle="1" w:styleId="275">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color w:val="000000"/>
      <w:kern w:val="0"/>
      <w:szCs w:val="21"/>
    </w:rPr>
  </w:style>
  <w:style w:type="paragraph" w:customStyle="1" w:styleId="276">
    <w:name w:val="xl82"/>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b/>
      <w:bCs/>
      <w:color w:val="000000"/>
      <w:kern w:val="0"/>
      <w:szCs w:val="21"/>
    </w:rPr>
  </w:style>
  <w:style w:type="paragraph" w:customStyle="1" w:styleId="277">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rFonts w:ascii="宋体" w:hAnsi="宋体" w:cs="宋体"/>
      <w:b/>
      <w:bCs/>
      <w:color w:val="000000"/>
      <w:kern w:val="0"/>
      <w:szCs w:val="21"/>
    </w:rPr>
  </w:style>
  <w:style w:type="paragraph" w:customStyle="1" w:styleId="278">
    <w:name w:val="xl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79">
    <w:name w:val="xl85"/>
    <w:basedOn w:val="1"/>
    <w:qFormat/>
    <w:uiPriority w:val="0"/>
    <w:pPr>
      <w:widowControl/>
      <w:spacing w:before="100" w:beforeAutospacing="1" w:after="100" w:afterAutospacing="1"/>
      <w:jc w:val="left"/>
    </w:pPr>
    <w:rPr>
      <w:rFonts w:ascii="宋体" w:hAnsi="宋体" w:cs="宋体"/>
      <w:kern w:val="0"/>
      <w:sz w:val="28"/>
      <w:szCs w:val="24"/>
    </w:rPr>
  </w:style>
  <w:style w:type="paragraph" w:customStyle="1" w:styleId="280">
    <w:name w:val="xl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81">
    <w:name w:val="xl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000000"/>
      <w:kern w:val="0"/>
      <w:szCs w:val="21"/>
    </w:rPr>
  </w:style>
  <w:style w:type="paragraph" w:customStyle="1" w:styleId="282">
    <w:name w:val="xl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83">
    <w:name w:val="xl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84">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85">
    <w:name w:val="xl9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86">
    <w:name w:val="xl92"/>
    <w:basedOn w:val="1"/>
    <w:qFormat/>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87">
    <w:name w:val="xl9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000000"/>
      <w:kern w:val="0"/>
      <w:szCs w:val="21"/>
    </w:rPr>
  </w:style>
  <w:style w:type="paragraph" w:customStyle="1" w:styleId="288">
    <w:name w:val="xl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8"/>
      <w:szCs w:val="24"/>
    </w:rPr>
  </w:style>
  <w:style w:type="paragraph" w:customStyle="1" w:styleId="289">
    <w:name w:val="xl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b/>
      <w:bCs/>
      <w:color w:val="000000"/>
      <w:kern w:val="0"/>
      <w:szCs w:val="21"/>
    </w:rPr>
  </w:style>
  <w:style w:type="paragraph" w:customStyle="1" w:styleId="290">
    <w:name w:val="xl9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color w:val="000000"/>
      <w:kern w:val="0"/>
      <w:szCs w:val="21"/>
    </w:rPr>
  </w:style>
  <w:style w:type="paragraph" w:customStyle="1" w:styleId="291">
    <w:name w:val="xl97"/>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b/>
      <w:bCs/>
      <w:kern w:val="0"/>
      <w:szCs w:val="21"/>
    </w:rPr>
  </w:style>
  <w:style w:type="paragraph" w:customStyle="1" w:styleId="292">
    <w:name w:val="xl9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textAlignment w:val="center"/>
    </w:pPr>
    <w:rPr>
      <w:b/>
      <w:bCs/>
      <w:kern w:val="0"/>
      <w:szCs w:val="21"/>
    </w:rPr>
  </w:style>
  <w:style w:type="paragraph" w:customStyle="1" w:styleId="293">
    <w:name w:val="xl99"/>
    <w:basedOn w:val="1"/>
    <w:qFormat/>
    <w:uiPriority w:val="0"/>
    <w:pPr>
      <w:widowControl/>
      <w:pBdr>
        <w:top w:val="single" w:color="auto" w:sz="4" w:space="0"/>
        <w:left w:val="single" w:color="auto" w:sz="4" w:space="0"/>
        <w:bottom w:val="single" w:color="auto" w:sz="4" w:space="0"/>
        <w:right w:val="single" w:color="auto" w:sz="4" w:space="0"/>
      </w:pBdr>
      <w:shd w:val="clear" w:color="000000" w:fill="F4B084"/>
      <w:spacing w:before="100" w:beforeAutospacing="1" w:after="100" w:afterAutospacing="1"/>
      <w:jc w:val="center"/>
      <w:textAlignment w:val="center"/>
    </w:pPr>
    <w:rPr>
      <w:b/>
      <w:bCs/>
      <w:color w:val="000000"/>
      <w:kern w:val="0"/>
      <w:szCs w:val="21"/>
    </w:rPr>
  </w:style>
  <w:style w:type="paragraph" w:customStyle="1" w:styleId="294">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000000"/>
      <w:kern w:val="0"/>
      <w:szCs w:val="21"/>
    </w:rPr>
  </w:style>
  <w:style w:type="paragraph" w:customStyle="1" w:styleId="295">
    <w:name w:val="我的正文"/>
    <w:basedOn w:val="59"/>
    <w:link w:val="296"/>
    <w:qFormat/>
    <w:uiPriority w:val="0"/>
    <w:pPr>
      <w:widowControl/>
      <w:adjustRightInd w:val="0"/>
      <w:snapToGrid w:val="0"/>
      <w:spacing w:line="360" w:lineRule="auto"/>
      <w:ind w:firstLine="200"/>
    </w:pPr>
    <w:rPr>
      <w:sz w:val="28"/>
      <w:szCs w:val="24"/>
    </w:rPr>
  </w:style>
  <w:style w:type="character" w:customStyle="1" w:styleId="296">
    <w:name w:val="我的正文 字符"/>
    <w:link w:val="295"/>
    <w:qFormat/>
    <w:locked/>
    <w:uiPriority w:val="0"/>
    <w:rPr>
      <w:kern w:val="2"/>
      <w:sz w:val="28"/>
      <w:szCs w:val="24"/>
    </w:rPr>
  </w:style>
  <w:style w:type="character" w:customStyle="1" w:styleId="297">
    <w:name w:val="标题 6 Char1"/>
    <w:basedOn w:val="44"/>
    <w:semiHidden/>
    <w:qFormat/>
    <w:locked/>
    <w:uiPriority w:val="0"/>
    <w:rPr>
      <w:rFonts w:ascii="Calibri Light" w:hAnsi="Calibri Light" w:eastAsia="宋体" w:cs="Times New Roman"/>
      <w:b/>
      <w:bCs/>
      <w:sz w:val="24"/>
      <w:szCs w:val="24"/>
    </w:rPr>
  </w:style>
  <w:style w:type="character" w:customStyle="1" w:styleId="298">
    <w:name w:val="我的正文 Char"/>
    <w:qFormat/>
    <w:locked/>
    <w:uiPriority w:val="0"/>
    <w:rPr>
      <w:rFonts w:ascii="宋体" w:hAnsi="宋体" w:eastAsia="宋体" w:cs="宋体"/>
      <w:color w:val="000000"/>
      <w:sz w:val="24"/>
    </w:rPr>
  </w:style>
  <w:style w:type="character" w:customStyle="1" w:styleId="299">
    <w:name w:val="标题 7 Char1"/>
    <w:basedOn w:val="44"/>
    <w:semiHidden/>
    <w:qFormat/>
    <w:locked/>
    <w:uiPriority w:val="0"/>
    <w:rPr>
      <w:rFonts w:ascii="宋体" w:eastAsia="宋体"/>
      <w:b/>
      <w:bCs/>
      <w:sz w:val="24"/>
      <w:szCs w:val="24"/>
    </w:rPr>
  </w:style>
  <w:style w:type="paragraph" w:customStyle="1" w:styleId="300">
    <w:name w:val="图表"/>
    <w:basedOn w:val="33"/>
    <w:link w:val="301"/>
    <w:qFormat/>
    <w:uiPriority w:val="0"/>
    <w:pPr>
      <w:widowControl/>
      <w:spacing w:afterLines="50"/>
      <w:ind w:left="0" w:leftChars="0" w:firstLine="0" w:firstLineChars="0"/>
      <w:jc w:val="center"/>
    </w:pPr>
    <w:rPr>
      <w:rFonts w:eastAsia="黑体"/>
      <w:szCs w:val="24"/>
    </w:rPr>
  </w:style>
  <w:style w:type="character" w:customStyle="1" w:styleId="301">
    <w:name w:val="图表 Char"/>
    <w:basedOn w:val="44"/>
    <w:link w:val="300"/>
    <w:qFormat/>
    <w:uiPriority w:val="0"/>
    <w:rPr>
      <w:rFonts w:eastAsia="黑体"/>
      <w:kern w:val="2"/>
      <w:sz w:val="28"/>
      <w:szCs w:val="24"/>
    </w:rPr>
  </w:style>
  <w:style w:type="character" w:customStyle="1" w:styleId="302">
    <w:name w:val="正文缩进1 Char"/>
    <w:link w:val="303"/>
    <w:qFormat/>
    <w:locked/>
    <w:uiPriority w:val="0"/>
    <w:rPr>
      <w:sz w:val="24"/>
    </w:rPr>
  </w:style>
  <w:style w:type="paragraph" w:customStyle="1" w:styleId="303">
    <w:name w:val="正文缩进1"/>
    <w:basedOn w:val="1"/>
    <w:link w:val="302"/>
    <w:qFormat/>
    <w:uiPriority w:val="0"/>
    <w:pPr>
      <w:widowControl/>
      <w:autoSpaceDE w:val="0"/>
      <w:autoSpaceDN w:val="0"/>
      <w:adjustRightInd w:val="0"/>
      <w:spacing w:line="360" w:lineRule="auto"/>
      <w:ind w:firstLine="480" w:firstLineChars="200"/>
    </w:pPr>
    <w:rPr>
      <w:kern w:val="0"/>
      <w:sz w:val="24"/>
    </w:rPr>
  </w:style>
  <w:style w:type="character" w:customStyle="1" w:styleId="304">
    <w:name w:val="标题 2 字符1"/>
    <w:basedOn w:val="44"/>
    <w:semiHidden/>
    <w:qFormat/>
    <w:locked/>
    <w:uiPriority w:val="9"/>
    <w:rPr>
      <w:rFonts w:ascii="Times New Roman" w:hAnsi="Times New Roman" w:eastAsia="黑体" w:cs="Times New Roman"/>
      <w:sz w:val="32"/>
      <w:szCs w:val="32"/>
    </w:rPr>
  </w:style>
  <w:style w:type="character" w:customStyle="1" w:styleId="305">
    <w:name w:val="标题 3 字符1"/>
    <w:basedOn w:val="44"/>
    <w:semiHidden/>
    <w:qFormat/>
    <w:locked/>
    <w:uiPriority w:val="9"/>
    <w:rPr>
      <w:rFonts w:ascii="黑体" w:hAnsi="黑体" w:eastAsia="黑体" w:cs="宋体"/>
      <w:sz w:val="30"/>
      <w:szCs w:val="32"/>
    </w:rPr>
  </w:style>
  <w:style w:type="character" w:customStyle="1" w:styleId="306">
    <w:name w:val="标题 4 字符1"/>
    <w:basedOn w:val="44"/>
    <w:semiHidden/>
    <w:qFormat/>
    <w:locked/>
    <w:uiPriority w:val="9"/>
    <w:rPr>
      <w:rFonts w:ascii="Times New Roman" w:hAnsi="Times New Roman" w:eastAsia="黑体" w:cs="Times New Roman"/>
      <w:color w:val="000000"/>
      <w:sz w:val="30"/>
    </w:rPr>
  </w:style>
  <w:style w:type="character" w:customStyle="1" w:styleId="307">
    <w:name w:val="标题 5 字符1"/>
    <w:basedOn w:val="44"/>
    <w:semiHidden/>
    <w:qFormat/>
    <w:locked/>
    <w:uiPriority w:val="9"/>
    <w:rPr>
      <w:rFonts w:ascii="Times New Roman" w:hAnsi="Times New Roman" w:eastAsia="宋体" w:cs="Times New Roman"/>
      <w:color w:val="000000"/>
      <w:w w:val="99"/>
      <w:sz w:val="28"/>
      <w:szCs w:val="24"/>
    </w:rPr>
  </w:style>
  <w:style w:type="character" w:customStyle="1" w:styleId="308">
    <w:name w:val="标题 6 字符1"/>
    <w:basedOn w:val="44"/>
    <w:semiHidden/>
    <w:qFormat/>
    <w:locked/>
    <w:uiPriority w:val="9"/>
    <w:rPr>
      <w:rFonts w:ascii="Times New Roman" w:hAnsi="Times New Roman" w:eastAsia="仿宋" w:cs="Times New Roman"/>
      <w:color w:val="000000"/>
      <w:sz w:val="28"/>
      <w:szCs w:val="24"/>
    </w:rPr>
  </w:style>
  <w:style w:type="character" w:customStyle="1" w:styleId="309">
    <w:name w:val="列出段落 Char1"/>
    <w:basedOn w:val="44"/>
    <w:qFormat/>
    <w:locked/>
    <w:uiPriority w:val="34"/>
    <w:rPr>
      <w:rFonts w:ascii="Times New Roman" w:hAnsi="Times New Roman"/>
      <w:sz w:val="28"/>
    </w:rPr>
  </w:style>
  <w:style w:type="paragraph" w:customStyle="1" w:styleId="310">
    <w:name w:val="样式 正文（宋体四号） + 小二 居中 首行缩进:  4 字符"/>
    <w:basedOn w:val="1"/>
    <w:qFormat/>
    <w:uiPriority w:val="0"/>
    <w:pPr>
      <w:widowControl/>
      <w:spacing w:line="540" w:lineRule="exact"/>
      <w:ind w:firstLine="480" w:firstLineChars="200"/>
      <w:jc w:val="center"/>
    </w:pPr>
    <w:rPr>
      <w:rFonts w:cs="宋体"/>
      <w:sz w:val="36"/>
    </w:rPr>
  </w:style>
  <w:style w:type="character" w:customStyle="1" w:styleId="311">
    <w:name w:val="fontstyle11"/>
    <w:qFormat/>
    <w:uiPriority w:val="0"/>
    <w:rPr>
      <w:rFonts w:hint="default" w:ascii="E-BZ+ZJeDUb-1" w:hAnsi="E-BZ+ZJeDUb-1"/>
      <w:color w:val="000000"/>
      <w:sz w:val="22"/>
      <w:szCs w:val="22"/>
    </w:rPr>
  </w:style>
  <w:style w:type="paragraph" w:customStyle="1" w:styleId="312">
    <w:name w:val="font8"/>
    <w:basedOn w:val="1"/>
    <w:qFormat/>
    <w:uiPriority w:val="0"/>
    <w:pPr>
      <w:widowControl/>
      <w:spacing w:before="100" w:beforeAutospacing="1" w:after="100" w:afterAutospacing="1"/>
      <w:jc w:val="left"/>
    </w:pPr>
    <w:rPr>
      <w:kern w:val="0"/>
      <w:sz w:val="20"/>
    </w:rPr>
  </w:style>
  <w:style w:type="paragraph" w:customStyle="1" w:styleId="313">
    <w:name w:val="font9"/>
    <w:basedOn w:val="1"/>
    <w:qFormat/>
    <w:uiPriority w:val="0"/>
    <w:pPr>
      <w:widowControl/>
      <w:spacing w:before="100" w:beforeAutospacing="1" w:after="100" w:afterAutospacing="1"/>
      <w:jc w:val="left"/>
    </w:pPr>
    <w:rPr>
      <w:rFonts w:ascii="仿宋" w:hAnsi="仿宋" w:cs="宋体"/>
      <w:b/>
      <w:bCs/>
      <w:color w:val="000000"/>
      <w:kern w:val="0"/>
      <w:sz w:val="20"/>
    </w:rPr>
  </w:style>
  <w:style w:type="paragraph" w:customStyle="1" w:styleId="314">
    <w:name w:val="font10"/>
    <w:basedOn w:val="1"/>
    <w:qFormat/>
    <w:uiPriority w:val="0"/>
    <w:pPr>
      <w:widowControl/>
      <w:spacing w:before="100" w:beforeAutospacing="1" w:after="100" w:afterAutospacing="1"/>
      <w:jc w:val="left"/>
    </w:pPr>
    <w:rPr>
      <w:rFonts w:ascii="仿宋" w:hAnsi="仿宋" w:cs="宋体"/>
      <w:b/>
      <w:bCs/>
      <w:kern w:val="0"/>
      <w:sz w:val="20"/>
    </w:rPr>
  </w:style>
  <w:style w:type="paragraph" w:customStyle="1" w:styleId="315">
    <w:name w:val="font12"/>
    <w:basedOn w:val="1"/>
    <w:qFormat/>
    <w:uiPriority w:val="0"/>
    <w:pPr>
      <w:widowControl/>
      <w:spacing w:before="100" w:beforeAutospacing="1" w:after="100" w:afterAutospacing="1"/>
      <w:jc w:val="left"/>
    </w:pPr>
    <w:rPr>
      <w:rFonts w:ascii="仿宋" w:hAnsi="仿宋" w:cs="宋体"/>
      <w:color w:val="000000"/>
      <w:kern w:val="0"/>
      <w:sz w:val="20"/>
    </w:rPr>
  </w:style>
  <w:style w:type="paragraph" w:customStyle="1" w:styleId="316">
    <w:name w:val="font13"/>
    <w:basedOn w:val="1"/>
    <w:qFormat/>
    <w:uiPriority w:val="0"/>
    <w:pPr>
      <w:widowControl/>
      <w:spacing w:before="100" w:beforeAutospacing="1" w:after="100" w:afterAutospacing="1"/>
      <w:jc w:val="left"/>
    </w:pPr>
    <w:rPr>
      <w:rFonts w:ascii="仿宋" w:hAnsi="仿宋" w:cs="宋体"/>
      <w:color w:val="FF0000"/>
      <w:kern w:val="0"/>
      <w:sz w:val="20"/>
    </w:rPr>
  </w:style>
  <w:style w:type="paragraph" w:customStyle="1" w:styleId="317">
    <w:name w:val="xl66"/>
    <w:basedOn w:val="1"/>
    <w:qFormat/>
    <w:uiPriority w:val="0"/>
    <w:pPr>
      <w:widowControl/>
      <w:shd w:val="clear" w:color="000000" w:fill="92D050"/>
      <w:spacing w:before="100" w:beforeAutospacing="1" w:after="100" w:afterAutospacing="1"/>
      <w:jc w:val="left"/>
    </w:pPr>
    <w:rPr>
      <w:rFonts w:ascii="宋体" w:hAnsi="宋体" w:cs="宋体"/>
      <w:kern w:val="0"/>
      <w:sz w:val="28"/>
      <w:szCs w:val="24"/>
    </w:rPr>
  </w:style>
  <w:style w:type="paragraph" w:customStyle="1" w:styleId="318">
    <w:name w:val="xl71"/>
    <w:basedOn w:val="1"/>
    <w:qFormat/>
    <w:uiPriority w:val="0"/>
    <w:pPr>
      <w:widowControl/>
      <w:pBdr>
        <w:top w:val="single" w:color="auto" w:sz="4" w:space="0"/>
        <w:left w:val="single" w:color="auto" w:sz="4" w:space="0"/>
        <w:bottom w:val="single" w:color="auto" w:sz="4" w:space="0"/>
        <w:right w:val="single" w:color="auto" w:sz="4" w:space="0"/>
      </w:pBdr>
      <w:shd w:val="clear" w:color="000000" w:fill="EDEDED"/>
      <w:spacing w:before="100" w:beforeAutospacing="1" w:after="100" w:afterAutospacing="1"/>
      <w:jc w:val="center"/>
    </w:pPr>
    <w:rPr>
      <w:b/>
      <w:bCs/>
      <w:kern w:val="0"/>
      <w:sz w:val="20"/>
    </w:rPr>
  </w:style>
  <w:style w:type="paragraph" w:customStyle="1" w:styleId="319">
    <w:name w:val="font14"/>
    <w:basedOn w:val="1"/>
    <w:qFormat/>
    <w:uiPriority w:val="0"/>
    <w:pPr>
      <w:widowControl/>
      <w:spacing w:before="100" w:beforeAutospacing="1" w:after="100" w:afterAutospacing="1"/>
      <w:jc w:val="left"/>
    </w:pPr>
    <w:rPr>
      <w:rFonts w:ascii="仿宋" w:hAnsi="仿宋" w:cs="宋体"/>
      <w:color w:val="000000"/>
      <w:kern w:val="0"/>
      <w:szCs w:val="21"/>
    </w:rPr>
  </w:style>
  <w:style w:type="paragraph" w:customStyle="1" w:styleId="320">
    <w:name w:val="font15"/>
    <w:basedOn w:val="1"/>
    <w:qFormat/>
    <w:uiPriority w:val="0"/>
    <w:pPr>
      <w:widowControl/>
      <w:spacing w:before="100" w:beforeAutospacing="1" w:after="100" w:afterAutospacing="1"/>
      <w:jc w:val="left"/>
    </w:pPr>
    <w:rPr>
      <w:rFonts w:ascii="仿宋" w:hAnsi="仿宋" w:cs="宋体"/>
      <w:b/>
      <w:bCs/>
      <w:color w:val="000000"/>
      <w:kern w:val="0"/>
      <w:szCs w:val="21"/>
    </w:rPr>
  </w:style>
  <w:style w:type="paragraph" w:customStyle="1" w:styleId="321">
    <w:name w:val="xl101"/>
    <w:basedOn w:val="1"/>
    <w:qFormat/>
    <w:uiPriority w:val="0"/>
    <w:pPr>
      <w:widowControl/>
      <w:pBdr>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22">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b/>
      <w:bCs/>
      <w:kern w:val="0"/>
      <w:sz w:val="28"/>
      <w:szCs w:val="24"/>
    </w:rPr>
  </w:style>
  <w:style w:type="paragraph" w:customStyle="1" w:styleId="323">
    <w:name w:val="xl1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8"/>
      <w:szCs w:val="24"/>
    </w:rPr>
  </w:style>
  <w:style w:type="paragraph" w:customStyle="1" w:styleId="324">
    <w:name w:val="xl1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8"/>
      <w:szCs w:val="24"/>
    </w:rPr>
  </w:style>
  <w:style w:type="paragraph" w:customStyle="1" w:styleId="325">
    <w:name w:val="xl10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326">
    <w:name w:val="xl106"/>
    <w:basedOn w:val="1"/>
    <w:qFormat/>
    <w:uiPriority w:val="0"/>
    <w:pPr>
      <w:widowControl/>
      <w:pBdr>
        <w:left w:val="single" w:color="auto" w:sz="4" w:space="0"/>
        <w:right w:val="single" w:color="auto" w:sz="4" w:space="0"/>
      </w:pBdr>
      <w:spacing w:before="100" w:beforeAutospacing="1" w:after="100" w:afterAutospacing="1"/>
      <w:jc w:val="center"/>
    </w:pPr>
    <w:rPr>
      <w:kern w:val="0"/>
      <w:sz w:val="28"/>
      <w:szCs w:val="24"/>
    </w:rPr>
  </w:style>
  <w:style w:type="paragraph" w:customStyle="1" w:styleId="327">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28">
    <w:name w:val="xl108"/>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仿宋" w:hAnsi="仿宋" w:cs="宋体"/>
      <w:kern w:val="0"/>
      <w:sz w:val="28"/>
      <w:szCs w:val="24"/>
    </w:rPr>
  </w:style>
  <w:style w:type="paragraph" w:customStyle="1" w:styleId="329">
    <w:name w:val="font16"/>
    <w:basedOn w:val="1"/>
    <w:qFormat/>
    <w:uiPriority w:val="0"/>
    <w:pPr>
      <w:widowControl/>
      <w:spacing w:before="100" w:beforeAutospacing="1" w:after="100" w:afterAutospacing="1"/>
      <w:jc w:val="left"/>
    </w:pPr>
    <w:rPr>
      <w:rFonts w:ascii="仿宋" w:hAnsi="仿宋" w:cs="宋体"/>
      <w:b/>
      <w:bCs/>
      <w:color w:val="000000"/>
      <w:kern w:val="0"/>
      <w:szCs w:val="21"/>
    </w:rPr>
  </w:style>
  <w:style w:type="paragraph" w:customStyle="1" w:styleId="330">
    <w:name w:val="xl1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8"/>
      <w:szCs w:val="24"/>
    </w:rPr>
  </w:style>
  <w:style w:type="paragraph" w:customStyle="1" w:styleId="331">
    <w:name w:val="xl1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32">
    <w:name w:val="xl111"/>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33">
    <w:name w:val="xl11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34">
    <w:name w:val="xl11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35">
    <w:name w:val="xl1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36">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37">
    <w:name w:val="xl11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38">
    <w:name w:val="xl117"/>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39">
    <w:name w:val="xl118"/>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40">
    <w:name w:val="xl119"/>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Cs w:val="21"/>
    </w:rPr>
  </w:style>
  <w:style w:type="paragraph" w:customStyle="1" w:styleId="342">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43">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8"/>
      <w:szCs w:val="24"/>
    </w:rPr>
  </w:style>
  <w:style w:type="paragraph" w:customStyle="1" w:styleId="344">
    <w:name w:val="xl123"/>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45">
    <w:name w:val="xl12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4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47">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48">
    <w:name w:val="xl127"/>
    <w:basedOn w:val="1"/>
    <w:qFormat/>
    <w:uiPriority w:val="0"/>
    <w:pPr>
      <w:widowControl/>
      <w:spacing w:before="100" w:beforeAutospacing="1" w:after="100" w:afterAutospacing="1"/>
      <w:jc w:val="center"/>
    </w:pPr>
    <w:rPr>
      <w:kern w:val="0"/>
      <w:sz w:val="28"/>
      <w:szCs w:val="24"/>
    </w:rPr>
  </w:style>
  <w:style w:type="paragraph" w:customStyle="1" w:styleId="349">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50">
    <w:name w:val="xl129"/>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b/>
      <w:bCs/>
      <w:kern w:val="0"/>
      <w:sz w:val="28"/>
      <w:szCs w:val="24"/>
    </w:rPr>
  </w:style>
  <w:style w:type="paragraph" w:customStyle="1" w:styleId="351">
    <w:name w:val="xl130"/>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52">
    <w:name w:val="xl13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53">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54">
    <w:name w:val="xl13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55">
    <w:name w:val="xl134"/>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color w:val="000000"/>
      <w:kern w:val="0"/>
      <w:sz w:val="28"/>
      <w:szCs w:val="24"/>
    </w:rPr>
  </w:style>
  <w:style w:type="paragraph" w:customStyle="1" w:styleId="356">
    <w:name w:val="xl13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color w:val="000000"/>
      <w:kern w:val="0"/>
      <w:sz w:val="28"/>
      <w:szCs w:val="24"/>
    </w:rPr>
  </w:style>
  <w:style w:type="paragraph" w:customStyle="1" w:styleId="357">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Cs w:val="21"/>
    </w:rPr>
  </w:style>
  <w:style w:type="paragraph" w:customStyle="1" w:styleId="358">
    <w:name w:val="xl137"/>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59">
    <w:name w:val="xl138"/>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color w:val="000000"/>
      <w:kern w:val="0"/>
      <w:sz w:val="28"/>
      <w:szCs w:val="24"/>
    </w:rPr>
  </w:style>
  <w:style w:type="paragraph" w:customStyle="1" w:styleId="360">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62">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63">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64">
    <w:name w:val="xl143"/>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b/>
      <w:bCs/>
      <w:kern w:val="0"/>
      <w:sz w:val="28"/>
      <w:szCs w:val="24"/>
    </w:rPr>
  </w:style>
  <w:style w:type="paragraph" w:customStyle="1" w:styleId="365">
    <w:name w:val="xl144"/>
    <w:basedOn w:val="1"/>
    <w:qFormat/>
    <w:uiPriority w:val="0"/>
    <w:pPr>
      <w:widowControl/>
      <w:pBdr>
        <w:top w:val="single" w:color="auto" w:sz="4" w:space="0"/>
        <w:left w:val="single" w:color="auto" w:sz="4" w:space="0"/>
        <w:bottom w:val="single" w:color="auto" w:sz="4" w:space="0"/>
        <w:right w:val="single" w:color="auto" w:sz="4" w:space="0"/>
      </w:pBdr>
      <w:shd w:val="clear" w:color="000000" w:fill="FFC000"/>
      <w:spacing w:before="100" w:beforeAutospacing="1" w:after="100" w:afterAutospacing="1"/>
      <w:jc w:val="center"/>
    </w:pPr>
    <w:rPr>
      <w:b/>
      <w:bCs/>
      <w:kern w:val="0"/>
      <w:sz w:val="28"/>
      <w:szCs w:val="24"/>
    </w:rPr>
  </w:style>
  <w:style w:type="paragraph" w:customStyle="1" w:styleId="366">
    <w:name w:val="xl14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67">
    <w:name w:val="xl14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68">
    <w:name w:val="xl14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color w:val="000000"/>
      <w:kern w:val="0"/>
      <w:sz w:val="28"/>
      <w:szCs w:val="24"/>
    </w:rPr>
  </w:style>
  <w:style w:type="paragraph" w:customStyle="1" w:styleId="369">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8"/>
      <w:szCs w:val="24"/>
    </w:rPr>
  </w:style>
  <w:style w:type="paragraph" w:customStyle="1" w:styleId="370">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4"/>
    </w:rPr>
  </w:style>
  <w:style w:type="paragraph" w:customStyle="1" w:styleId="371">
    <w:name w:val="xl15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color w:val="000000"/>
      <w:kern w:val="0"/>
      <w:sz w:val="28"/>
      <w:szCs w:val="24"/>
    </w:rPr>
  </w:style>
  <w:style w:type="paragraph" w:customStyle="1" w:styleId="372">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Cs w:val="21"/>
    </w:rPr>
  </w:style>
  <w:style w:type="paragraph" w:customStyle="1" w:styleId="373">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Cs w:val="21"/>
    </w:rPr>
  </w:style>
  <w:style w:type="paragraph" w:customStyle="1" w:styleId="374">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color w:val="000000"/>
      <w:kern w:val="0"/>
      <w:sz w:val="28"/>
      <w:szCs w:val="24"/>
    </w:rPr>
  </w:style>
  <w:style w:type="paragraph" w:customStyle="1" w:styleId="375">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4"/>
    </w:rPr>
  </w:style>
  <w:style w:type="paragraph" w:customStyle="1" w:styleId="376">
    <w:name w:val="xl155"/>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color w:val="000000"/>
      <w:kern w:val="0"/>
      <w:sz w:val="28"/>
      <w:szCs w:val="24"/>
    </w:rPr>
  </w:style>
  <w:style w:type="paragraph" w:customStyle="1" w:styleId="377">
    <w:name w:val="xl156"/>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78">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79">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80">
    <w:name w:val="xl159"/>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81">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82">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83">
    <w:name w:val="xl162"/>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kern w:val="0"/>
      <w:sz w:val="28"/>
      <w:szCs w:val="24"/>
    </w:rPr>
  </w:style>
  <w:style w:type="paragraph" w:customStyle="1" w:styleId="384">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Cs w:val="21"/>
    </w:rPr>
  </w:style>
  <w:style w:type="paragraph" w:customStyle="1" w:styleId="385">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86">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87">
    <w:name w:val="xl166"/>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88">
    <w:name w:val="xl167"/>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b/>
      <w:bCs/>
      <w:kern w:val="0"/>
      <w:sz w:val="28"/>
      <w:szCs w:val="24"/>
    </w:rPr>
  </w:style>
  <w:style w:type="paragraph" w:customStyle="1" w:styleId="389">
    <w:name w:val="xl168"/>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kern w:val="0"/>
      <w:sz w:val="28"/>
      <w:szCs w:val="24"/>
    </w:rPr>
  </w:style>
  <w:style w:type="paragraph" w:customStyle="1" w:styleId="390">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kern w:val="0"/>
      <w:sz w:val="28"/>
      <w:szCs w:val="24"/>
    </w:rPr>
  </w:style>
  <w:style w:type="paragraph" w:customStyle="1" w:styleId="391">
    <w:name w:val="xl17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392">
    <w:name w:val="xl171"/>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仿宋" w:hAnsi="仿宋" w:cs="宋体"/>
      <w:b/>
      <w:bCs/>
      <w:kern w:val="0"/>
      <w:sz w:val="28"/>
      <w:szCs w:val="24"/>
    </w:rPr>
  </w:style>
  <w:style w:type="paragraph" w:customStyle="1" w:styleId="393">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color w:val="000000"/>
      <w:kern w:val="0"/>
      <w:sz w:val="28"/>
      <w:szCs w:val="24"/>
    </w:rPr>
  </w:style>
  <w:style w:type="paragraph" w:customStyle="1" w:styleId="394">
    <w:name w:val="xl173"/>
    <w:basedOn w:val="1"/>
    <w:qFormat/>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pPr>
    <w:rPr>
      <w:rFonts w:ascii="仿宋" w:hAnsi="仿宋" w:cs="宋体"/>
      <w:b/>
      <w:bCs/>
      <w:color w:val="000000"/>
      <w:kern w:val="0"/>
      <w:sz w:val="28"/>
      <w:szCs w:val="24"/>
    </w:rPr>
  </w:style>
  <w:style w:type="paragraph" w:customStyle="1" w:styleId="39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color w:val="000000"/>
      <w:kern w:val="0"/>
      <w:sz w:val="28"/>
      <w:szCs w:val="24"/>
    </w:rPr>
  </w:style>
  <w:style w:type="paragraph" w:customStyle="1" w:styleId="396">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color w:val="000000"/>
      <w:kern w:val="0"/>
      <w:sz w:val="28"/>
      <w:szCs w:val="24"/>
    </w:rPr>
  </w:style>
  <w:style w:type="paragraph" w:customStyle="1" w:styleId="397">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398">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28"/>
      <w:szCs w:val="24"/>
    </w:rPr>
  </w:style>
  <w:style w:type="paragraph" w:customStyle="1" w:styleId="399">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color w:val="000000"/>
      <w:kern w:val="0"/>
      <w:sz w:val="28"/>
      <w:szCs w:val="24"/>
    </w:rPr>
  </w:style>
  <w:style w:type="paragraph" w:customStyle="1" w:styleId="400">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color w:val="000000"/>
      <w:kern w:val="0"/>
      <w:sz w:val="28"/>
      <w:szCs w:val="24"/>
    </w:rPr>
  </w:style>
  <w:style w:type="paragraph" w:customStyle="1" w:styleId="401">
    <w:name w:val="xl180"/>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cs="宋体"/>
      <w:b/>
      <w:bCs/>
      <w:color w:val="000000"/>
      <w:kern w:val="0"/>
      <w:sz w:val="28"/>
      <w:szCs w:val="24"/>
    </w:rPr>
  </w:style>
  <w:style w:type="paragraph" w:customStyle="1" w:styleId="402">
    <w:name w:val="xl181"/>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仿宋" w:hAnsi="仿宋" w:cs="宋体"/>
      <w:b/>
      <w:bCs/>
      <w:kern w:val="0"/>
      <w:sz w:val="28"/>
      <w:szCs w:val="24"/>
    </w:rPr>
  </w:style>
  <w:style w:type="paragraph" w:customStyle="1" w:styleId="403">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8"/>
      <w:szCs w:val="24"/>
    </w:rPr>
  </w:style>
  <w:style w:type="paragraph" w:customStyle="1" w:styleId="404">
    <w:name w:val="列项——（一级）"/>
    <w:qFormat/>
    <w:uiPriority w:val="0"/>
    <w:pPr>
      <w:widowControl w:val="0"/>
      <w:spacing w:line="360" w:lineRule="auto"/>
      <w:ind w:left="840" w:firstLine="200" w:firstLineChars="200"/>
      <w:jc w:val="both"/>
    </w:pPr>
    <w:rPr>
      <w:rFonts w:ascii="宋体" w:hAnsi="Times New Roman" w:eastAsia="宋体" w:cs="Times New Roman"/>
      <w:sz w:val="21"/>
      <w:lang w:val="en-US" w:eastAsia="zh-CN" w:bidi="ar-SA"/>
    </w:rPr>
  </w:style>
  <w:style w:type="paragraph" w:customStyle="1" w:styleId="405">
    <w:name w:val="列项●（二级）"/>
    <w:qFormat/>
    <w:uiPriority w:val="0"/>
    <w:pPr>
      <w:tabs>
        <w:tab w:val="left" w:pos="760"/>
        <w:tab w:val="left" w:pos="840"/>
      </w:tabs>
      <w:spacing w:line="360" w:lineRule="auto"/>
      <w:ind w:left="1264" w:firstLine="200" w:firstLineChars="200"/>
      <w:jc w:val="both"/>
    </w:pPr>
    <w:rPr>
      <w:rFonts w:ascii="宋体" w:hAnsi="Times New Roman" w:eastAsia="宋体" w:cs="Times New Roman"/>
      <w:sz w:val="21"/>
      <w:lang w:val="en-US" w:eastAsia="zh-CN" w:bidi="ar-SA"/>
    </w:rPr>
  </w:style>
  <w:style w:type="paragraph" w:customStyle="1" w:styleId="406">
    <w:name w:val="列项◆（三级）"/>
    <w:basedOn w:val="1"/>
    <w:qFormat/>
    <w:uiPriority w:val="0"/>
    <w:pPr>
      <w:widowControl/>
      <w:tabs>
        <w:tab w:val="left" w:pos="1678"/>
      </w:tabs>
      <w:spacing w:line="300" w:lineRule="auto"/>
      <w:ind w:left="1678" w:firstLine="480" w:firstLineChars="200"/>
      <w:jc w:val="left"/>
    </w:pPr>
    <w:rPr>
      <w:rFonts w:ascii="Arial"/>
      <w:bCs/>
      <w:kern w:val="44"/>
      <w:sz w:val="22"/>
      <w:szCs w:val="21"/>
    </w:rPr>
  </w:style>
  <w:style w:type="paragraph" w:customStyle="1" w:styleId="407">
    <w:name w:val="xl64"/>
    <w:basedOn w:val="1"/>
    <w:qFormat/>
    <w:uiPriority w:val="0"/>
    <w:pPr>
      <w:widowControl/>
      <w:shd w:val="clear" w:color="000000" w:fill="FFC000"/>
      <w:spacing w:before="100" w:beforeAutospacing="1" w:after="100" w:afterAutospacing="1"/>
      <w:jc w:val="left"/>
    </w:pPr>
    <w:rPr>
      <w:rFonts w:ascii="宋体" w:hAnsi="宋体" w:cs="宋体"/>
      <w:kern w:val="0"/>
      <w:sz w:val="28"/>
      <w:szCs w:val="24"/>
    </w:rPr>
  </w:style>
  <w:style w:type="paragraph" w:customStyle="1" w:styleId="408">
    <w:name w:val="xl65"/>
    <w:basedOn w:val="1"/>
    <w:qFormat/>
    <w:uiPriority w:val="0"/>
    <w:pPr>
      <w:widowControl/>
      <w:shd w:val="clear" w:color="000000" w:fill="FFFF00"/>
      <w:spacing w:before="100" w:beforeAutospacing="1" w:after="100" w:afterAutospacing="1"/>
      <w:jc w:val="left"/>
    </w:pPr>
    <w:rPr>
      <w:rFonts w:ascii="宋体" w:hAnsi="宋体" w:cs="宋体"/>
      <w:kern w:val="0"/>
      <w:sz w:val="28"/>
      <w:szCs w:val="24"/>
    </w:rPr>
  </w:style>
  <w:style w:type="character" w:customStyle="1" w:styleId="409">
    <w:name w:val="未处理的提及2"/>
    <w:basedOn w:val="44"/>
    <w:unhideWhenUsed/>
    <w:qFormat/>
    <w:uiPriority w:val="99"/>
    <w:rPr>
      <w:color w:val="605E5C"/>
      <w:shd w:val="clear" w:color="auto" w:fill="E1DFDD"/>
    </w:rPr>
  </w:style>
  <w:style w:type="paragraph" w:customStyle="1" w:styleId="410">
    <w:name w:val="列表段落11"/>
    <w:basedOn w:val="1"/>
    <w:qFormat/>
    <w:uiPriority w:val="34"/>
    <w:pPr>
      <w:widowControl/>
      <w:spacing w:line="360" w:lineRule="auto"/>
      <w:ind w:firstLine="420" w:firstLineChars="200"/>
    </w:pPr>
    <w:rPr>
      <w:sz w:val="28"/>
      <w:szCs w:val="24"/>
    </w:rPr>
  </w:style>
  <w:style w:type="character" w:customStyle="1" w:styleId="411">
    <w:name w:val="未处理的提及3"/>
    <w:basedOn w:val="44"/>
    <w:unhideWhenUsed/>
    <w:qFormat/>
    <w:uiPriority w:val="99"/>
    <w:rPr>
      <w:color w:val="605E5C"/>
      <w:shd w:val="clear" w:color="auto" w:fill="E1DFDD"/>
    </w:rPr>
  </w:style>
  <w:style w:type="character" w:customStyle="1" w:styleId="412">
    <w:name w:val="0正文 Char"/>
    <w:link w:val="413"/>
    <w:qFormat/>
    <w:uiPriority w:val="0"/>
    <w:rPr>
      <w:color w:val="333333"/>
      <w:sz w:val="24"/>
      <w:szCs w:val="21"/>
    </w:rPr>
  </w:style>
  <w:style w:type="paragraph" w:customStyle="1" w:styleId="413">
    <w:name w:val="0正文"/>
    <w:basedOn w:val="1"/>
    <w:link w:val="412"/>
    <w:qFormat/>
    <w:uiPriority w:val="0"/>
    <w:pPr>
      <w:widowControl/>
      <w:adjustRightInd w:val="0"/>
      <w:spacing w:line="360" w:lineRule="auto"/>
      <w:ind w:firstLine="480" w:firstLineChars="200"/>
      <w:textAlignment w:val="baseline"/>
    </w:pPr>
    <w:rPr>
      <w:color w:val="333333"/>
      <w:kern w:val="0"/>
      <w:sz w:val="24"/>
      <w:szCs w:val="21"/>
    </w:rPr>
  </w:style>
  <w:style w:type="paragraph" w:customStyle="1" w:styleId="414">
    <w:name w:val="华为标题4"/>
    <w:basedOn w:val="1"/>
    <w:next w:val="1"/>
    <w:qFormat/>
    <w:uiPriority w:val="0"/>
    <w:pPr>
      <w:keepNext/>
      <w:keepLines/>
      <w:widowControl/>
      <w:spacing w:line="360" w:lineRule="auto"/>
      <w:ind w:left="1260"/>
      <w:outlineLvl w:val="3"/>
    </w:pPr>
    <w:rPr>
      <w:b/>
      <w:sz w:val="28"/>
      <w:szCs w:val="32"/>
    </w:rPr>
  </w:style>
  <w:style w:type="paragraph" w:customStyle="1" w:styleId="415">
    <w:name w:val="华为标题5"/>
    <w:basedOn w:val="1"/>
    <w:next w:val="1"/>
    <w:qFormat/>
    <w:uiPriority w:val="0"/>
    <w:pPr>
      <w:keepNext/>
      <w:keepLines/>
      <w:widowControl/>
      <w:spacing w:line="360" w:lineRule="auto"/>
      <w:ind w:left="1680"/>
      <w:outlineLvl w:val="4"/>
    </w:pPr>
    <w:rPr>
      <w:b/>
      <w:sz w:val="28"/>
      <w:szCs w:val="32"/>
    </w:rPr>
  </w:style>
  <w:style w:type="paragraph" w:customStyle="1" w:styleId="416">
    <w:name w:val="华为标题3"/>
    <w:basedOn w:val="1"/>
    <w:next w:val="1"/>
    <w:qFormat/>
    <w:uiPriority w:val="0"/>
    <w:pPr>
      <w:keepNext/>
      <w:keepLines/>
      <w:widowControl/>
      <w:spacing w:line="360" w:lineRule="auto"/>
      <w:outlineLvl w:val="2"/>
    </w:pPr>
    <w:rPr>
      <w:b/>
      <w:sz w:val="28"/>
      <w:szCs w:val="32"/>
    </w:rPr>
  </w:style>
  <w:style w:type="character" w:customStyle="1" w:styleId="417">
    <w:name w:val="标题正文 Char"/>
    <w:link w:val="418"/>
    <w:qFormat/>
    <w:uiPriority w:val="0"/>
    <w:rPr>
      <w:rFonts w:eastAsia="方正仿宋"/>
      <w:sz w:val="32"/>
      <w:szCs w:val="30"/>
    </w:rPr>
  </w:style>
  <w:style w:type="paragraph" w:customStyle="1" w:styleId="418">
    <w:name w:val="标题正文"/>
    <w:basedOn w:val="1"/>
    <w:link w:val="417"/>
    <w:qFormat/>
    <w:uiPriority w:val="0"/>
    <w:pPr>
      <w:ind w:firstLine="480" w:firstLineChars="200"/>
    </w:pPr>
    <w:rPr>
      <w:rFonts w:eastAsia="方正仿宋"/>
      <w:kern w:val="0"/>
      <w:sz w:val="32"/>
      <w:szCs w:val="30"/>
    </w:rPr>
  </w:style>
  <w:style w:type="paragraph" w:customStyle="1" w:styleId="419">
    <w:name w:val="绿盟科技--标题 3"/>
    <w:basedOn w:val="4"/>
    <w:next w:val="1"/>
    <w:qFormat/>
    <w:uiPriority w:val="0"/>
    <w:pPr>
      <w:keepLines/>
      <w:tabs>
        <w:tab w:val="left" w:pos="907"/>
        <w:tab w:val="left" w:pos="960"/>
        <w:tab w:val="clear" w:pos="720"/>
      </w:tabs>
      <w:adjustRightInd w:val="0"/>
      <w:snapToGrid w:val="0"/>
      <w:spacing w:before="120" w:after="260" w:line="415" w:lineRule="auto"/>
      <w:ind w:left="360" w:hanging="360"/>
      <w:jc w:val="left"/>
    </w:pPr>
    <w:rPr>
      <w:rFonts w:ascii="Arial" w:hAnsi="Arial" w:eastAsia="黑体"/>
      <w:sz w:val="28"/>
      <w:szCs w:val="30"/>
    </w:rPr>
  </w:style>
  <w:style w:type="paragraph" w:customStyle="1" w:styleId="420">
    <w:name w:val="绿盟科技--标题 4"/>
    <w:basedOn w:val="5"/>
    <w:next w:val="1"/>
    <w:qFormat/>
    <w:uiPriority w:val="0"/>
    <w:pPr>
      <w:tabs>
        <w:tab w:val="left" w:pos="907"/>
        <w:tab w:val="left" w:pos="1021"/>
      </w:tabs>
      <w:adjustRightInd w:val="0"/>
      <w:snapToGrid w:val="0"/>
      <w:spacing w:after="280" w:line="376" w:lineRule="auto"/>
      <w:ind w:left="1680" w:hanging="420"/>
      <w:jc w:val="left"/>
    </w:pPr>
    <w:rPr>
      <w:rFonts w:ascii="Arial" w:hAnsi="Arial" w:eastAsia="黑体"/>
      <w:b w:val="0"/>
    </w:rPr>
  </w:style>
  <w:style w:type="paragraph" w:customStyle="1" w:styleId="421">
    <w:name w:val="绿盟科技--标题 5（有编号）"/>
    <w:basedOn w:val="1"/>
    <w:qFormat/>
    <w:uiPriority w:val="0"/>
    <w:pPr>
      <w:keepNext/>
      <w:keepLines/>
      <w:tabs>
        <w:tab w:val="left" w:pos="907"/>
        <w:tab w:val="left" w:pos="1134"/>
      </w:tabs>
      <w:spacing w:before="280" w:after="156" w:line="377" w:lineRule="auto"/>
      <w:ind w:left="2100"/>
      <w:jc w:val="left"/>
      <w:outlineLvl w:val="4"/>
    </w:pPr>
    <w:rPr>
      <w:rFonts w:ascii="Arial" w:hAnsi="Arial" w:eastAsia="黑体"/>
      <w:b/>
      <w:kern w:val="0"/>
      <w:sz w:val="28"/>
      <w:szCs w:val="28"/>
    </w:rPr>
  </w:style>
  <w:style w:type="paragraph" w:customStyle="1" w:styleId="422">
    <w:name w:val="绿盟科技--标题 6（有编号）"/>
    <w:basedOn w:val="1"/>
    <w:qFormat/>
    <w:uiPriority w:val="0"/>
    <w:pPr>
      <w:keepNext/>
      <w:keepLines/>
      <w:tabs>
        <w:tab w:val="left" w:pos="907"/>
        <w:tab w:val="left" w:pos="1247"/>
      </w:tabs>
      <w:spacing w:before="240" w:after="64" w:line="319" w:lineRule="auto"/>
      <w:jc w:val="left"/>
      <w:outlineLvl w:val="5"/>
    </w:pPr>
    <w:rPr>
      <w:rFonts w:ascii="Arial" w:hAnsi="Arial" w:eastAsia="黑体"/>
      <w:b/>
      <w:kern w:val="0"/>
      <w:szCs w:val="24"/>
    </w:rPr>
  </w:style>
  <w:style w:type="paragraph" w:customStyle="1" w:styleId="423">
    <w:name w:val="*Abie正文"/>
    <w:basedOn w:val="1"/>
    <w:qFormat/>
    <w:uiPriority w:val="0"/>
    <w:pPr>
      <w:widowControl/>
      <w:spacing w:before="156" w:after="156" w:line="360" w:lineRule="auto"/>
      <w:ind w:firstLine="482"/>
      <w:contextualSpacing/>
      <w:jc w:val="left"/>
    </w:pPr>
    <w:rPr>
      <w:rFonts w:ascii="宋体"/>
      <w:kern w:val="0"/>
      <w:sz w:val="28"/>
      <w:szCs w:val="24"/>
      <w:lang w:bidi="en-US"/>
    </w:rPr>
  </w:style>
  <w:style w:type="paragraph" w:customStyle="1" w:styleId="424">
    <w:name w:val="报告正文"/>
    <w:basedOn w:val="1"/>
    <w:next w:val="1"/>
    <w:link w:val="425"/>
    <w:qFormat/>
    <w:uiPriority w:val="0"/>
    <w:pPr>
      <w:widowControl/>
      <w:spacing w:line="360" w:lineRule="auto"/>
      <w:ind w:firstLine="480" w:firstLineChars="200"/>
      <w:jc w:val="left"/>
    </w:pPr>
    <w:rPr>
      <w:rFonts w:ascii="仿宋_GB2312" w:hAnsi="Courier New" w:eastAsia="仿宋_GB2312" w:cs="仿宋_GB2312"/>
      <w:sz w:val="28"/>
    </w:rPr>
  </w:style>
  <w:style w:type="character" w:customStyle="1" w:styleId="425">
    <w:name w:val="报告正文 Char"/>
    <w:basedOn w:val="44"/>
    <w:link w:val="424"/>
    <w:qFormat/>
    <w:uiPriority w:val="0"/>
    <w:rPr>
      <w:rFonts w:ascii="仿宋_GB2312" w:hAnsi="Courier New" w:eastAsia="仿宋_GB2312" w:cs="仿宋_GB2312"/>
      <w:kern w:val="2"/>
      <w:sz w:val="28"/>
    </w:rPr>
  </w:style>
  <w:style w:type="character" w:customStyle="1" w:styleId="426">
    <w:name w:val="font141"/>
    <w:qFormat/>
    <w:uiPriority w:val="0"/>
    <w:rPr>
      <w:rFonts w:hint="eastAsia" w:ascii="宋体" w:hAnsi="宋体" w:eastAsia="宋体" w:cs="宋体"/>
      <w:color w:val="000000"/>
      <w:sz w:val="20"/>
      <w:szCs w:val="20"/>
      <w:u w:val="none"/>
    </w:rPr>
  </w:style>
  <w:style w:type="character" w:customStyle="1" w:styleId="427">
    <w:name w:val="font71"/>
    <w:qFormat/>
    <w:uiPriority w:val="0"/>
    <w:rPr>
      <w:rFonts w:hint="eastAsia" w:ascii="宋体" w:hAnsi="宋体" w:eastAsia="宋体" w:cs="宋体"/>
      <w:color w:val="000000"/>
      <w:sz w:val="20"/>
      <w:szCs w:val="20"/>
      <w:u w:val="none"/>
    </w:rPr>
  </w:style>
  <w:style w:type="character" w:customStyle="1" w:styleId="428">
    <w:name w:val="font81"/>
    <w:qFormat/>
    <w:uiPriority w:val="0"/>
    <w:rPr>
      <w:rFonts w:hint="eastAsia" w:ascii="宋体" w:hAnsi="宋体" w:eastAsia="宋体" w:cs="宋体"/>
      <w:b/>
      <w:color w:val="000000"/>
      <w:sz w:val="20"/>
      <w:szCs w:val="20"/>
      <w:u w:val="none"/>
    </w:rPr>
  </w:style>
  <w:style w:type="character" w:customStyle="1" w:styleId="429">
    <w:name w:val="font51"/>
    <w:qFormat/>
    <w:uiPriority w:val="0"/>
    <w:rPr>
      <w:rFonts w:hint="eastAsia" w:ascii="宋体" w:hAnsi="宋体" w:eastAsia="宋体" w:cs="宋体"/>
      <w:color w:val="FF0000"/>
      <w:sz w:val="20"/>
      <w:szCs w:val="20"/>
      <w:u w:val="none"/>
    </w:rPr>
  </w:style>
  <w:style w:type="character" w:customStyle="1" w:styleId="430">
    <w:name w:val="font161"/>
    <w:qFormat/>
    <w:uiPriority w:val="0"/>
    <w:rPr>
      <w:rFonts w:hint="eastAsia" w:ascii="宋体" w:hAnsi="宋体" w:eastAsia="宋体" w:cs="宋体"/>
      <w:color w:val="000000"/>
      <w:sz w:val="20"/>
      <w:szCs w:val="20"/>
      <w:u w:val="none"/>
    </w:rPr>
  </w:style>
  <w:style w:type="character" w:customStyle="1" w:styleId="431">
    <w:name w:val="不明显参考1"/>
    <w:basedOn w:val="44"/>
    <w:qFormat/>
    <w:uiPriority w:val="31"/>
    <w:rPr>
      <w:smallCaps/>
      <w:color w:val="595959"/>
    </w:rPr>
  </w:style>
  <w:style w:type="paragraph" w:customStyle="1" w:styleId="432">
    <w:name w:val="无间隔11"/>
    <w:qFormat/>
    <w:uiPriority w:val="99"/>
    <w:pPr>
      <w:widowControl w:val="0"/>
      <w:jc w:val="both"/>
    </w:pPr>
    <w:rPr>
      <w:rFonts w:ascii="Times New Roman" w:hAnsi="Times New Roman" w:eastAsia="宋体" w:cs="Times New Roman"/>
      <w:szCs w:val="24"/>
      <w:lang w:val="en-US" w:eastAsia="zh-CN" w:bidi="ar-SA"/>
    </w:rPr>
  </w:style>
  <w:style w:type="paragraph" w:customStyle="1" w:styleId="433">
    <w:name w:val="H 6"/>
    <w:basedOn w:val="7"/>
    <w:qFormat/>
    <w:uiPriority w:val="0"/>
    <w:pPr>
      <w:spacing w:before="240" w:afterLines="50" w:line="320" w:lineRule="auto"/>
      <w:ind w:left="1275" w:hanging="425" w:firstLineChars="200"/>
    </w:pPr>
    <w:rPr>
      <w:rFonts w:ascii="Cambria" w:hAnsi="Cambria" w:eastAsia="宋体" w:cs="Times New Roman"/>
      <w:bCs/>
      <w:kern w:val="0"/>
      <w:sz w:val="21"/>
      <w:szCs w:val="21"/>
    </w:rPr>
  </w:style>
  <w:style w:type="paragraph" w:customStyle="1" w:styleId="434">
    <w:name w:val="序号（1）"/>
    <w:basedOn w:val="59"/>
    <w:link w:val="435"/>
    <w:qFormat/>
    <w:uiPriority w:val="0"/>
    <w:pPr>
      <w:widowControl/>
      <w:spacing w:line="360" w:lineRule="auto"/>
      <w:ind w:firstLine="480"/>
    </w:pPr>
    <w:rPr>
      <w:sz w:val="28"/>
      <w:szCs w:val="24"/>
    </w:rPr>
  </w:style>
  <w:style w:type="character" w:customStyle="1" w:styleId="435">
    <w:name w:val="序号（1） 字符"/>
    <w:link w:val="434"/>
    <w:qFormat/>
    <w:uiPriority w:val="0"/>
    <w:rPr>
      <w:kern w:val="2"/>
      <w:sz w:val="28"/>
      <w:szCs w:val="24"/>
    </w:rPr>
  </w:style>
  <w:style w:type="paragraph" w:customStyle="1" w:styleId="436">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character" w:customStyle="1" w:styleId="437">
    <w:name w:val="题注 字符"/>
    <w:qFormat/>
    <w:locked/>
    <w:uiPriority w:val="99"/>
    <w:rPr>
      <w:rFonts w:ascii="黑体" w:hAnsi="黑体" w:eastAsia="黑体" w:cs="Times New Roman"/>
      <w:sz w:val="24"/>
    </w:rPr>
  </w:style>
  <w:style w:type="paragraph" w:customStyle="1" w:styleId="438">
    <w:name w:val="图表标题"/>
    <w:basedOn w:val="1"/>
    <w:next w:val="424"/>
    <w:qFormat/>
    <w:uiPriority w:val="0"/>
    <w:pPr>
      <w:jc w:val="center"/>
    </w:pPr>
    <w:rPr>
      <w:rFonts w:ascii="黑体" w:hAnsi="黑体" w:eastAsia="黑体"/>
      <w:szCs w:val="24"/>
    </w:rPr>
  </w:style>
  <w:style w:type="paragraph" w:customStyle="1" w:styleId="439">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color w:val="FF0000"/>
      <w:kern w:val="0"/>
      <w:sz w:val="28"/>
      <w:szCs w:val="24"/>
    </w:rPr>
  </w:style>
  <w:style w:type="paragraph" w:customStyle="1" w:styleId="440">
    <w:name w:val="xl184"/>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b/>
      <w:bCs/>
      <w:color w:val="FF0000"/>
      <w:kern w:val="0"/>
      <w:sz w:val="28"/>
      <w:szCs w:val="24"/>
    </w:rPr>
  </w:style>
  <w:style w:type="paragraph" w:customStyle="1" w:styleId="441">
    <w:name w:val="xl185"/>
    <w:basedOn w:val="1"/>
    <w:qFormat/>
    <w:uiPriority w:val="0"/>
    <w:pPr>
      <w:widowControl/>
      <w:pBdr>
        <w:top w:val="single" w:color="auto" w:sz="4" w:space="0"/>
        <w:left w:val="single" w:color="auto" w:sz="4" w:space="0"/>
        <w:bottom w:val="single" w:color="auto" w:sz="4" w:space="0"/>
        <w:right w:val="single" w:color="auto" w:sz="4" w:space="0"/>
      </w:pBdr>
      <w:shd w:val="clear" w:color="000000" w:fill="92D050"/>
      <w:spacing w:before="100" w:beforeAutospacing="1" w:after="100" w:afterAutospacing="1"/>
      <w:jc w:val="center"/>
    </w:pPr>
    <w:rPr>
      <w:b/>
      <w:bCs/>
      <w:kern w:val="0"/>
      <w:sz w:val="28"/>
      <w:szCs w:val="24"/>
    </w:rPr>
  </w:style>
  <w:style w:type="paragraph" w:customStyle="1" w:styleId="442">
    <w:name w:val="xl187"/>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b/>
      <w:bCs/>
      <w:kern w:val="0"/>
      <w:sz w:val="28"/>
      <w:szCs w:val="24"/>
    </w:rPr>
  </w:style>
  <w:style w:type="paragraph" w:customStyle="1" w:styleId="443">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00"/>
      <w:kern w:val="0"/>
      <w:sz w:val="28"/>
      <w:szCs w:val="24"/>
    </w:rPr>
  </w:style>
  <w:style w:type="paragraph" w:customStyle="1" w:styleId="444">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8"/>
      <w:szCs w:val="24"/>
    </w:rPr>
  </w:style>
  <w:style w:type="paragraph" w:customStyle="1" w:styleId="445">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 w:hAnsi="仿宋" w:cs="宋体"/>
      <w:b/>
      <w:bCs/>
      <w:color w:val="FF0000"/>
      <w:kern w:val="0"/>
      <w:sz w:val="28"/>
      <w:szCs w:val="24"/>
    </w:rPr>
  </w:style>
  <w:style w:type="paragraph" w:customStyle="1" w:styleId="446">
    <w:name w:val="xl1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color w:val="FF0000"/>
      <w:kern w:val="0"/>
      <w:sz w:val="28"/>
      <w:szCs w:val="24"/>
    </w:rPr>
  </w:style>
  <w:style w:type="paragraph" w:customStyle="1" w:styleId="447">
    <w:name w:val="xl186"/>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b/>
      <w:bCs/>
      <w:color w:val="FF0000"/>
      <w:kern w:val="0"/>
      <w:sz w:val="28"/>
      <w:szCs w:val="24"/>
    </w:rPr>
  </w:style>
  <w:style w:type="paragraph" w:customStyle="1" w:styleId="448">
    <w:name w:val="xl19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 w:hAnsi="仿宋" w:cs="宋体"/>
      <w:kern w:val="0"/>
      <w:sz w:val="28"/>
      <w:szCs w:val="24"/>
    </w:rPr>
  </w:style>
  <w:style w:type="paragraph" w:customStyle="1" w:styleId="449">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8"/>
      <w:szCs w:val="24"/>
    </w:rPr>
  </w:style>
  <w:style w:type="paragraph" w:customStyle="1" w:styleId="450">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8"/>
      <w:szCs w:val="24"/>
    </w:rPr>
  </w:style>
  <w:style w:type="character" w:customStyle="1" w:styleId="451">
    <w:name w:val="未处理的提及4"/>
    <w:basedOn w:val="44"/>
    <w:unhideWhenUsed/>
    <w:qFormat/>
    <w:uiPriority w:val="99"/>
    <w:rPr>
      <w:color w:val="605E5C"/>
      <w:shd w:val="clear" w:color="auto" w:fill="E1DFDD"/>
    </w:rPr>
  </w:style>
  <w:style w:type="paragraph" w:customStyle="1" w:styleId="452">
    <w:name w:val="表格小4字"/>
    <w:basedOn w:val="1"/>
    <w:next w:val="1"/>
    <w:qFormat/>
    <w:uiPriority w:val="0"/>
    <w:pPr>
      <w:adjustRightInd w:val="0"/>
      <w:snapToGrid w:val="0"/>
      <w:spacing w:line="264" w:lineRule="auto"/>
      <w:jc w:val="center"/>
    </w:pPr>
    <w:rPr>
      <w:szCs w:val="21"/>
    </w:rPr>
  </w:style>
  <w:style w:type="paragraph" w:customStyle="1" w:styleId="453">
    <w:name w:val="图注"/>
    <w:basedOn w:val="1"/>
    <w:qFormat/>
    <w:uiPriority w:val="0"/>
    <w:pPr>
      <w:jc w:val="center"/>
    </w:pPr>
    <w:rPr>
      <w:sz w:val="28"/>
      <w:szCs w:val="24"/>
    </w:rPr>
  </w:style>
  <w:style w:type="paragraph" w:customStyle="1" w:styleId="454">
    <w:name w:val="表格内容"/>
    <w:basedOn w:val="1"/>
    <w:link w:val="455"/>
    <w:qFormat/>
    <w:uiPriority w:val="0"/>
    <w:pPr>
      <w:widowControl/>
      <w:adjustRightInd w:val="0"/>
      <w:snapToGrid w:val="0"/>
    </w:pPr>
    <w:rPr>
      <w:szCs w:val="21"/>
    </w:rPr>
  </w:style>
  <w:style w:type="character" w:customStyle="1" w:styleId="455">
    <w:name w:val="表格内容 字符"/>
    <w:basedOn w:val="44"/>
    <w:link w:val="454"/>
    <w:qFormat/>
    <w:uiPriority w:val="0"/>
    <w:rPr>
      <w:kern w:val="2"/>
      <w:sz w:val="21"/>
      <w:szCs w:val="21"/>
    </w:rPr>
  </w:style>
  <w:style w:type="paragraph" w:customStyle="1" w:styleId="456">
    <w:name w:val="封面1"/>
    <w:basedOn w:val="1"/>
    <w:qFormat/>
    <w:uiPriority w:val="0"/>
    <w:pPr>
      <w:spacing w:line="360" w:lineRule="auto"/>
      <w:jc w:val="center"/>
    </w:pPr>
    <w:rPr>
      <w:rFonts w:ascii="华文中宋" w:hAnsi="华文中宋" w:eastAsia="华文中宋" w:cs="宋体"/>
      <w:b/>
      <w:sz w:val="44"/>
      <w:szCs w:val="24"/>
    </w:rPr>
  </w:style>
  <w:style w:type="character" w:customStyle="1" w:styleId="457">
    <w:name w:val="未处理的提及5"/>
    <w:basedOn w:val="44"/>
    <w:unhideWhenUsed/>
    <w:qFormat/>
    <w:uiPriority w:val="99"/>
    <w:rPr>
      <w:color w:val="605E5C"/>
      <w:shd w:val="clear" w:color="auto" w:fill="E1DFDD"/>
    </w:rPr>
  </w:style>
  <w:style w:type="paragraph" w:customStyle="1" w:styleId="458">
    <w:name w:val="符号"/>
    <w:basedOn w:val="59"/>
    <w:link w:val="459"/>
    <w:qFormat/>
    <w:uiPriority w:val="0"/>
    <w:pPr>
      <w:widowControl/>
      <w:spacing w:line="360" w:lineRule="auto"/>
      <w:ind w:firstLine="480"/>
    </w:pPr>
    <w:rPr>
      <w:sz w:val="28"/>
      <w:szCs w:val="24"/>
    </w:rPr>
  </w:style>
  <w:style w:type="character" w:customStyle="1" w:styleId="459">
    <w:name w:val="符号 字符"/>
    <w:basedOn w:val="199"/>
    <w:link w:val="458"/>
    <w:qFormat/>
    <w:uiPriority w:val="0"/>
    <w:rPr>
      <w:rFonts w:ascii="Arial" w:hAnsi="Arial"/>
      <w:kern w:val="2"/>
      <w:sz w:val="28"/>
      <w:szCs w:val="24"/>
    </w:rPr>
  </w:style>
  <w:style w:type="paragraph" w:customStyle="1" w:styleId="460">
    <w:name w:val="元"/>
    <w:basedOn w:val="108"/>
    <w:link w:val="461"/>
    <w:qFormat/>
    <w:uiPriority w:val="0"/>
    <w:pPr>
      <w:adjustRightInd w:val="0"/>
      <w:snapToGrid w:val="0"/>
      <w:spacing w:line="360" w:lineRule="auto"/>
      <w:jc w:val="right"/>
    </w:pPr>
    <w:rPr>
      <w:rFonts w:eastAsia="仿宋"/>
      <w:b/>
      <w:bCs/>
      <w:sz w:val="22"/>
      <w:szCs w:val="21"/>
    </w:rPr>
  </w:style>
  <w:style w:type="character" w:customStyle="1" w:styleId="461">
    <w:name w:val="元 字符"/>
    <w:basedOn w:val="225"/>
    <w:link w:val="460"/>
    <w:qFormat/>
    <w:uiPriority w:val="0"/>
    <w:rPr>
      <w:rFonts w:eastAsia="仿宋"/>
      <w:b/>
      <w:bCs/>
      <w:kern w:val="2"/>
      <w:sz w:val="22"/>
      <w:szCs w:val="21"/>
    </w:rPr>
  </w:style>
  <w:style w:type="character" w:customStyle="1" w:styleId="462">
    <w:name w:val="2级标题 Char"/>
    <w:link w:val="463"/>
    <w:qFormat/>
    <w:uiPriority w:val="0"/>
    <w:rPr>
      <w:rFonts w:ascii="Cambria" w:hAnsi="Cambria"/>
      <w:b/>
      <w:bCs/>
      <w:sz w:val="32"/>
      <w:szCs w:val="32"/>
    </w:rPr>
  </w:style>
  <w:style w:type="paragraph" w:customStyle="1" w:styleId="463">
    <w:name w:val="2级标题"/>
    <w:basedOn w:val="3"/>
    <w:link w:val="462"/>
    <w:qFormat/>
    <w:uiPriority w:val="0"/>
    <w:pPr>
      <w:keepLines/>
      <w:tabs>
        <w:tab w:val="left" w:pos="567"/>
      </w:tabs>
      <w:spacing w:before="260" w:after="260" w:line="416" w:lineRule="auto"/>
      <w:ind w:left="567" w:right="280" w:rightChars="100" w:hanging="567"/>
      <w:jc w:val="both"/>
    </w:pPr>
    <w:rPr>
      <w:kern w:val="0"/>
      <w:sz w:val="32"/>
    </w:rPr>
  </w:style>
  <w:style w:type="table" w:customStyle="1" w:styleId="464">
    <w:name w:val="网格型1"/>
    <w:basedOn w:val="42"/>
    <w:qFormat/>
    <w:uiPriority w:val="99"/>
    <w:pPr>
      <w:widowControl w:val="0"/>
      <w:spacing w:beforeLines="50" w:afterLines="50"/>
      <w:jc w:val="both"/>
    </w:pPr>
    <w:rPr>
      <w:rFonts w:ascii="Arial" w:hAnsi="Arial" w:eastAsia="Times New Roman" w:cs="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465">
    <w:name w:val="正文空2格  1."/>
    <w:basedOn w:val="1"/>
    <w:qFormat/>
    <w:uiPriority w:val="0"/>
    <w:pPr>
      <w:adjustRightInd w:val="0"/>
      <w:spacing w:line="360" w:lineRule="auto"/>
      <w:ind w:firstLine="480" w:firstLineChars="200"/>
      <w:textAlignment w:val="baseline"/>
    </w:pPr>
    <w:rPr>
      <w:rFonts w:ascii="宋体" w:eastAsia="仿宋" w:cs="宋体"/>
      <w:kern w:val="0"/>
      <w:sz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5.xml"/><Relationship Id="rId8" Type="http://schemas.openxmlformats.org/officeDocument/2006/relationships/footer" Target="footer2.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theme" Target="theme/theme1.xml"/><Relationship Id="rId15" Type="http://schemas.openxmlformats.org/officeDocument/2006/relationships/header" Target="header10.xml"/><Relationship Id="rId14" Type="http://schemas.openxmlformats.org/officeDocument/2006/relationships/header" Target="header9.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footer" Target="footer3.xml"/><Relationship Id="rId10" Type="http://schemas.openxmlformats.org/officeDocument/2006/relationships/header" Target="header6.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宁波市国际招标有限公司</Company>
  <Pages>102</Pages>
  <Words>53389</Words>
  <Characters>57013</Characters>
  <Lines>434</Lines>
  <Paragraphs>122</Paragraphs>
  <TotalTime>114</TotalTime>
  <ScaleCrop>false</ScaleCrop>
  <LinksUpToDate>false</LinksUpToDate>
  <CharactersWithSpaces>57941</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2022-09-13T21:42:00Z</dcterms:created>
  <dc:creator>vivian</dc:creator>
  <cp:lastModifiedBy>王胖子3.0</cp:lastModifiedBy>
  <cp:lastPrinted>2022-09-09T17:02:00Z</cp:lastPrinted>
  <dcterms:modified xsi:type="dcterms:W3CDTF">2022-10-13T02:54:24Z</dcterms:modified>
  <dc:title>政 府 采 购 招 标 项 目</dc:title>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EA6EFBEE7F664D79AF8BA5560A6D723B</vt:lpwstr>
  </property>
</Properties>
</file>