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both"/>
        <w:rPr>
          <w:rFonts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w:t>
      </w:r>
    </w:p>
    <w:p>
      <w:pPr>
        <w:spacing w:line="360" w:lineRule="auto"/>
        <w:jc w:val="center"/>
        <w:rPr>
          <w:rFonts w:hint="eastAsia" w:ascii="仿宋_GB2312" w:hAnsi="仿宋" w:eastAsia="仿宋_GB2312" w:cs="仿宋_GB2312"/>
          <w:color w:val="auto"/>
          <w:sz w:val="48"/>
          <w:szCs w:val="48"/>
          <w:highlight w:val="none"/>
          <w:lang w:eastAsia="zh-CN"/>
        </w:rPr>
      </w:pPr>
      <w:r>
        <w:rPr>
          <w:rFonts w:hint="eastAsia" w:ascii="仿宋_GB2312" w:hAnsi="仿宋" w:eastAsia="仿宋_GB2312" w:cs="仿宋_GB2312"/>
          <w:color w:val="auto"/>
          <w:sz w:val="48"/>
          <w:szCs w:val="48"/>
          <w:highlight w:val="none"/>
          <w:lang w:eastAsia="zh-CN"/>
        </w:rPr>
        <w:t>“龙门秘境”数字景区集成创新示范区</w:t>
      </w:r>
    </w:p>
    <w:p>
      <w:pPr>
        <w:spacing w:line="360" w:lineRule="auto"/>
        <w:jc w:val="center"/>
        <w:rPr>
          <w:rFonts w:hint="eastAsia" w:ascii="仿宋_GB2312" w:hAnsi="仿宋" w:eastAsia="仿宋_GB2312" w:cs="仿宋_GB2312"/>
          <w:color w:val="auto"/>
          <w:sz w:val="48"/>
          <w:szCs w:val="48"/>
          <w:highlight w:val="none"/>
          <w:lang w:eastAsia="zh-CN"/>
        </w:rPr>
      </w:pPr>
      <w:r>
        <w:rPr>
          <w:rFonts w:hint="eastAsia" w:ascii="仿宋_GB2312" w:hAnsi="仿宋" w:eastAsia="仿宋_GB2312" w:cs="仿宋_GB2312"/>
          <w:color w:val="auto"/>
          <w:sz w:val="48"/>
          <w:szCs w:val="48"/>
          <w:highlight w:val="none"/>
          <w:lang w:eastAsia="zh-CN"/>
        </w:rPr>
        <w:t>建设项目</w:t>
      </w:r>
    </w:p>
    <w:p>
      <w:pPr>
        <w:spacing w:line="360" w:lineRule="auto"/>
        <w:jc w:val="center"/>
        <w:rPr>
          <w:rFonts w:ascii="仿宋_GB2312" w:hAnsi="仿宋" w:eastAsia="仿宋_GB2312" w:cs="仿宋_GB2312"/>
          <w:b/>
          <w:color w:val="auto"/>
          <w:sz w:val="72"/>
          <w:szCs w:val="72"/>
          <w:highlight w:val="none"/>
        </w:rPr>
      </w:pPr>
      <w:r>
        <w:rPr>
          <w:rFonts w:hint="eastAsia" w:ascii="仿宋_GB2312" w:hAnsi="仿宋" w:eastAsia="仿宋_GB2312" w:cs="仿宋_GB2312"/>
          <w:b/>
          <w:color w:val="auto"/>
          <w:sz w:val="72"/>
          <w:szCs w:val="72"/>
          <w:highlight w:val="none"/>
        </w:rPr>
        <w:t>招标文件</w:t>
      </w:r>
    </w:p>
    <w:p>
      <w:pPr>
        <w:spacing w:line="360" w:lineRule="auto"/>
        <w:jc w:val="center"/>
        <w:rPr>
          <w:rFonts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（电子招投标）</w:t>
      </w:r>
    </w:p>
    <w:p>
      <w:pPr>
        <w:adjustRightInd w:val="0"/>
        <w:spacing w:line="360" w:lineRule="auto"/>
        <w:jc w:val="center"/>
        <w:rPr>
          <w:rFonts w:ascii="仿宋_GB2312" w:hAnsi="仿宋" w:eastAsia="仿宋_GB2312" w:cs="仿宋_GB2312"/>
          <w:b/>
          <w:color w:val="auto"/>
          <w:sz w:val="24"/>
          <w:szCs w:val="24"/>
          <w:highlight w:val="none"/>
        </w:rPr>
      </w:pPr>
    </w:p>
    <w:p>
      <w:pPr>
        <w:adjustRightInd w:val="0"/>
        <w:snapToGrid w:val="0"/>
        <w:spacing w:line="360" w:lineRule="auto"/>
        <w:jc w:val="center"/>
        <w:rPr>
          <w:rFonts w:hint="default" w:ascii="仿宋_GB2312" w:hAnsi="仿宋" w:eastAsia="仿宋_GB2312" w:cs="仿宋_GB2312"/>
          <w:color w:val="auto"/>
          <w:sz w:val="30"/>
          <w:szCs w:val="30"/>
          <w:highlight w:val="none"/>
          <w:lang w:val="en-US" w:eastAsia="zh-CN"/>
        </w:rPr>
      </w:pPr>
      <w:r>
        <w:rPr>
          <w:rFonts w:hint="eastAsia" w:ascii="仿宋_GB2312" w:hAnsi="仿宋" w:eastAsia="仿宋_GB2312" w:cs="仿宋_GB2312"/>
          <w:color w:val="auto"/>
          <w:sz w:val="30"/>
          <w:szCs w:val="30"/>
          <w:highlight w:val="none"/>
        </w:rPr>
        <w:t>编号:</w:t>
      </w:r>
      <w:r>
        <w:rPr>
          <w:rFonts w:hint="eastAsia" w:ascii="仿宋_GB2312" w:hAnsi="仿宋" w:eastAsia="仿宋_GB2312" w:cs="仿宋_GB2312"/>
          <w:color w:val="auto"/>
          <w:sz w:val="30"/>
          <w:szCs w:val="30"/>
          <w:highlight w:val="none"/>
          <w:lang w:val="en-US" w:eastAsia="zh-CN"/>
        </w:rPr>
        <w:t xml:space="preserve"> LA[2021]2534号</w:t>
      </w:r>
    </w:p>
    <w:p>
      <w:pPr>
        <w:spacing w:line="360" w:lineRule="auto"/>
        <w:rPr>
          <w:rFonts w:ascii="仿宋_GB2312" w:hAnsi="仿宋" w:eastAsia="仿宋_GB2312" w:cs="仿宋_GB2312"/>
          <w:color w:val="auto"/>
          <w:sz w:val="28"/>
          <w:szCs w:val="20"/>
          <w:highlight w:val="none"/>
        </w:rPr>
      </w:pPr>
    </w:p>
    <w:p>
      <w:pPr>
        <w:adjustRightInd w:val="0"/>
        <w:spacing w:line="360" w:lineRule="auto"/>
        <w:jc w:val="center"/>
        <w:rPr>
          <w:rFonts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w:t>
      </w:r>
    </w:p>
    <w:p>
      <w:pPr>
        <w:adjustRightInd w:val="0"/>
        <w:spacing w:line="360" w:lineRule="auto"/>
        <w:jc w:val="center"/>
        <w:rPr>
          <w:rFonts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w:t>
      </w:r>
    </w:p>
    <w:p>
      <w:pPr>
        <w:adjustRightInd w:val="0"/>
        <w:spacing w:line="360" w:lineRule="auto"/>
        <w:jc w:val="center"/>
        <w:rPr>
          <w:rFonts w:ascii="仿宋_GB2312" w:hAnsi="仿宋" w:eastAsia="仿宋_GB2312" w:cs="仿宋_GB2312"/>
          <w:color w:val="auto"/>
          <w:sz w:val="24"/>
          <w:szCs w:val="24"/>
          <w:highlight w:val="none"/>
        </w:rPr>
      </w:pPr>
    </w:p>
    <w:p>
      <w:pPr>
        <w:adjustRightInd w:val="0"/>
        <w:spacing w:line="360" w:lineRule="auto"/>
        <w:jc w:val="center"/>
        <w:rPr>
          <w:rFonts w:ascii="仿宋_GB2312" w:hAnsi="仿宋" w:eastAsia="仿宋_GB2312" w:cs="仿宋_GB2312"/>
          <w:color w:val="auto"/>
          <w:sz w:val="24"/>
          <w:szCs w:val="24"/>
          <w:highlight w:val="none"/>
        </w:rPr>
      </w:pPr>
    </w:p>
    <w:p>
      <w:pPr>
        <w:adjustRightInd w:val="0"/>
        <w:spacing w:line="360" w:lineRule="auto"/>
        <w:jc w:val="center"/>
        <w:rPr>
          <w:rFonts w:ascii="仿宋_GB2312" w:hAnsi="仿宋" w:eastAsia="仿宋_GB2312" w:cs="仿宋_GB2312"/>
          <w:color w:val="auto"/>
          <w:sz w:val="24"/>
          <w:szCs w:val="24"/>
          <w:highlight w:val="none"/>
        </w:rPr>
      </w:pPr>
    </w:p>
    <w:p>
      <w:pPr>
        <w:adjustRightInd w:val="0"/>
        <w:spacing w:line="360" w:lineRule="auto"/>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24"/>
          <w:szCs w:val="24"/>
          <w:highlight w:val="none"/>
        </w:rPr>
        <w:t xml:space="preserve">                                      </w:t>
      </w:r>
    </w:p>
    <w:p>
      <w:pPr>
        <w:adjustRightInd w:val="0"/>
        <w:snapToGrid w:val="0"/>
        <w:spacing w:line="360" w:lineRule="auto"/>
        <w:ind w:firstLine="1600" w:firstLineChars="500"/>
        <w:jc w:val="both"/>
        <w:rPr>
          <w:rFonts w:hint="default" w:ascii="仿宋_GB2312" w:hAnsi="仿宋" w:eastAsia="仿宋_GB2312" w:cs="仿宋_GB2312"/>
          <w:bCs/>
          <w:color w:val="auto"/>
          <w:sz w:val="32"/>
          <w:szCs w:val="32"/>
          <w:highlight w:val="none"/>
          <w:lang w:val="en-US" w:eastAsia="zh-CN"/>
        </w:rPr>
      </w:pPr>
      <w:r>
        <w:rPr>
          <w:rFonts w:hint="eastAsia" w:ascii="仿宋_GB2312" w:hAnsi="仿宋" w:eastAsia="仿宋_GB2312" w:cs="仿宋_GB2312"/>
          <w:bCs/>
          <w:color w:val="auto"/>
          <w:sz w:val="32"/>
          <w:szCs w:val="32"/>
          <w:highlight w:val="none"/>
          <w:lang w:eastAsia="zh-CN"/>
        </w:rPr>
        <w:t>采购单位：</w:t>
      </w:r>
      <w:r>
        <w:rPr>
          <w:rFonts w:hint="eastAsia" w:ascii="仿宋_GB2312" w:hAnsi="仿宋" w:eastAsia="仿宋_GB2312" w:cs="仿宋_GB2312"/>
          <w:bCs/>
          <w:color w:val="auto"/>
          <w:sz w:val="32"/>
          <w:szCs w:val="32"/>
          <w:highlight w:val="none"/>
          <w:lang w:val="en-US" w:eastAsia="zh-CN"/>
        </w:rPr>
        <w:t xml:space="preserve">杭州市临安区高虹镇人民政府 </w:t>
      </w:r>
    </w:p>
    <w:p>
      <w:pPr>
        <w:adjustRightInd w:val="0"/>
        <w:snapToGrid w:val="0"/>
        <w:spacing w:line="360" w:lineRule="auto"/>
        <w:jc w:val="center"/>
        <w:rPr>
          <w:rFonts w:hint="default" w:ascii="仿宋_GB2312" w:hAnsi="仿宋" w:eastAsia="仿宋_GB2312" w:cs="仿宋_GB2312"/>
          <w:bCs/>
          <w:color w:val="auto"/>
          <w:sz w:val="32"/>
          <w:szCs w:val="32"/>
          <w:highlight w:val="none"/>
          <w:lang w:val="en-US" w:eastAsia="zh-CN"/>
        </w:rPr>
      </w:pPr>
      <w:r>
        <w:rPr>
          <w:rFonts w:hint="eastAsia" w:ascii="仿宋_GB2312" w:hAnsi="仿宋" w:eastAsia="仿宋_GB2312" w:cs="仿宋_GB2312"/>
          <w:bCs/>
          <w:color w:val="auto"/>
          <w:sz w:val="32"/>
          <w:szCs w:val="32"/>
          <w:highlight w:val="none"/>
          <w:lang w:val="en-US" w:eastAsia="zh-CN"/>
        </w:rPr>
        <w:t xml:space="preserve"> </w:t>
      </w:r>
      <w:r>
        <w:rPr>
          <w:rFonts w:hint="eastAsia" w:ascii="仿宋_GB2312" w:hAnsi="仿宋" w:eastAsia="仿宋_GB2312" w:cs="仿宋_GB2312"/>
          <w:bCs/>
          <w:color w:val="auto"/>
          <w:sz w:val="32"/>
          <w:szCs w:val="32"/>
          <w:highlight w:val="none"/>
          <w:lang w:eastAsia="zh-CN"/>
        </w:rPr>
        <w:t>采购机构：</w:t>
      </w:r>
      <w:r>
        <w:rPr>
          <w:rFonts w:hint="eastAsia" w:ascii="仿宋_GB2312" w:hAnsi="仿宋" w:eastAsia="仿宋_GB2312" w:cs="仿宋_GB2312"/>
          <w:bCs/>
          <w:color w:val="auto"/>
          <w:sz w:val="32"/>
          <w:szCs w:val="32"/>
          <w:highlight w:val="none"/>
          <w:lang w:val="en-US" w:eastAsia="zh-CN"/>
        </w:rPr>
        <w:t>杭州建设工程造价咨询有限公司</w:t>
      </w:r>
    </w:p>
    <w:p>
      <w:pPr>
        <w:adjustRightInd w:val="0"/>
        <w:snapToGrid w:val="0"/>
        <w:spacing w:line="360" w:lineRule="auto"/>
        <w:jc w:val="center"/>
        <w:rPr>
          <w:rFonts w:hint="eastAsia" w:ascii="仿宋_GB2312" w:hAnsi="仿宋" w:eastAsia="仿宋_GB2312" w:cs="仿宋_GB2312"/>
          <w:bCs/>
          <w:color w:val="auto"/>
          <w:sz w:val="32"/>
          <w:szCs w:val="32"/>
          <w:highlight w:val="none"/>
          <w:lang w:eastAsia="zh-CN"/>
        </w:rPr>
      </w:pPr>
      <w:r>
        <w:rPr>
          <w:rFonts w:hint="eastAsia" w:ascii="仿宋_GB2312" w:hAnsi="仿宋" w:eastAsia="仿宋_GB2312" w:cs="仿宋_GB2312"/>
          <w:bCs/>
          <w:color w:val="auto"/>
          <w:sz w:val="32"/>
          <w:szCs w:val="32"/>
          <w:highlight w:val="none"/>
          <w:lang w:eastAsia="zh-CN"/>
        </w:rPr>
        <w:t>备案单位：杭州市临安区政府采购办公室</w:t>
      </w:r>
    </w:p>
    <w:p>
      <w:pPr>
        <w:adjustRightInd w:val="0"/>
        <w:snapToGrid w:val="0"/>
        <w:spacing w:line="360" w:lineRule="auto"/>
        <w:jc w:val="center"/>
        <w:rPr>
          <w:rFonts w:ascii="仿宋_GB2312" w:hAnsi="仿宋" w:eastAsia="仿宋_GB2312" w:cs="仿宋_GB2312"/>
          <w:bCs/>
          <w:color w:val="auto"/>
          <w:sz w:val="32"/>
          <w:szCs w:val="32"/>
          <w:highlight w:val="none"/>
        </w:rPr>
      </w:pPr>
      <w:r>
        <w:rPr>
          <w:rFonts w:hint="eastAsia" w:ascii="仿宋_GB2312" w:hAnsi="仿宋" w:eastAsia="仿宋_GB2312" w:cs="仿宋_GB2312"/>
          <w:bCs/>
          <w:color w:val="auto"/>
          <w:sz w:val="32"/>
          <w:szCs w:val="32"/>
          <w:highlight w:val="none"/>
        </w:rPr>
        <w:t>二</w:t>
      </w:r>
      <w:r>
        <w:rPr>
          <w:rFonts w:hint="eastAsia" w:ascii="宋体" w:hAnsi="宋体" w:eastAsia="宋体" w:cs="宋体"/>
          <w:bCs/>
          <w:color w:val="auto"/>
          <w:sz w:val="32"/>
          <w:szCs w:val="32"/>
          <w:highlight w:val="none"/>
        </w:rPr>
        <w:t>〇</w:t>
      </w:r>
      <w:r>
        <w:rPr>
          <w:rFonts w:hint="eastAsia" w:ascii="仿宋_GB2312" w:hAnsi="仿宋" w:eastAsia="仿宋_GB2312" w:cs="仿宋_GB2312"/>
          <w:bCs/>
          <w:color w:val="auto"/>
          <w:sz w:val="32"/>
          <w:szCs w:val="32"/>
          <w:highlight w:val="none"/>
        </w:rPr>
        <w:t>二</w:t>
      </w:r>
      <w:r>
        <w:rPr>
          <w:rFonts w:hint="eastAsia" w:ascii="仿宋_GB2312" w:hAnsi="仿宋" w:eastAsia="仿宋_GB2312" w:cs="仿宋_GB2312"/>
          <w:bCs/>
          <w:color w:val="auto"/>
          <w:sz w:val="32"/>
          <w:szCs w:val="32"/>
          <w:highlight w:val="none"/>
          <w:lang w:eastAsia="zh-CN"/>
        </w:rPr>
        <w:t>二</w:t>
      </w:r>
      <w:r>
        <w:rPr>
          <w:rFonts w:hint="eastAsia" w:ascii="仿宋_GB2312" w:hAnsi="仿宋" w:eastAsia="仿宋_GB2312" w:cs="仿宋_GB2312"/>
          <w:bCs/>
          <w:color w:val="auto"/>
          <w:sz w:val="32"/>
          <w:szCs w:val="32"/>
          <w:highlight w:val="none"/>
        </w:rPr>
        <w:t>年</w:t>
      </w:r>
      <w:r>
        <w:rPr>
          <w:rFonts w:hint="eastAsia" w:ascii="仿宋_GB2312" w:hAnsi="仿宋" w:eastAsia="仿宋_GB2312" w:cs="仿宋_GB2312"/>
          <w:bCs/>
          <w:color w:val="auto"/>
          <w:sz w:val="32"/>
          <w:szCs w:val="32"/>
          <w:highlight w:val="none"/>
          <w:lang w:eastAsia="zh-CN"/>
        </w:rPr>
        <w:t>一</w:t>
      </w:r>
      <w:r>
        <w:rPr>
          <w:rFonts w:hint="eastAsia" w:ascii="仿宋_GB2312" w:hAnsi="仿宋" w:eastAsia="仿宋_GB2312" w:cs="仿宋_GB2312"/>
          <w:bCs/>
          <w:color w:val="auto"/>
          <w:sz w:val="32"/>
          <w:szCs w:val="32"/>
          <w:highlight w:val="none"/>
        </w:rPr>
        <w:t>月</w:t>
      </w:r>
    </w:p>
    <w:p>
      <w:pPr>
        <w:adjustRightInd w:val="0"/>
        <w:spacing w:line="360" w:lineRule="auto"/>
        <w:jc w:val="center"/>
        <w:rPr>
          <w:rFonts w:ascii="仿宋_GB2312" w:hAnsi="仿宋" w:eastAsia="仿宋_GB2312" w:cs="仿宋_GB2312"/>
          <w:b/>
          <w:color w:val="auto"/>
          <w:sz w:val="48"/>
          <w:szCs w:val="48"/>
          <w:highlight w:val="none"/>
        </w:rPr>
      </w:pPr>
      <w:r>
        <w:rPr>
          <w:rFonts w:hint="eastAsia" w:ascii="仿宋_GB2312" w:hAnsi="仿宋" w:eastAsia="仿宋_GB2312" w:cs="仿宋_GB2312"/>
          <w:color w:val="auto"/>
          <w:sz w:val="24"/>
          <w:szCs w:val="24"/>
          <w:highlight w:val="none"/>
        </w:rPr>
        <w:br w:type="page"/>
      </w:r>
      <w:bookmarkStart w:id="0" w:name="_Hlt67893495"/>
      <w:bookmarkEnd w:id="0"/>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48"/>
          <w:szCs w:val="48"/>
          <w:highlight w:val="none"/>
        </w:rPr>
        <w:t>目  录</w:t>
      </w:r>
    </w:p>
    <w:p>
      <w:pPr>
        <w:adjustRightInd w:val="0"/>
        <w:spacing w:line="360" w:lineRule="auto"/>
        <w:rPr>
          <w:rFonts w:ascii="仿宋_GB2312" w:hAnsi="仿宋" w:eastAsia="仿宋_GB2312" w:cs="仿宋_GB2312"/>
          <w:color w:val="auto"/>
          <w:sz w:val="32"/>
          <w:szCs w:val="32"/>
          <w:highlight w:val="none"/>
        </w:rPr>
      </w:pPr>
    </w:p>
    <w:p>
      <w:pPr>
        <w:adjustRightInd w:val="0"/>
        <w:spacing w:line="360" w:lineRule="auto"/>
        <w:rPr>
          <w:rFonts w:ascii="仿宋_GB2312" w:hAnsi="仿宋" w:eastAsia="仿宋_GB2312" w:cs="仿宋_GB2312"/>
          <w:color w:val="auto"/>
          <w:sz w:val="32"/>
          <w:szCs w:val="32"/>
          <w:highlight w:val="none"/>
        </w:rPr>
      </w:pPr>
    </w:p>
    <w:p>
      <w:pPr>
        <w:adjustRightInd w:val="0"/>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第一部分      招标公告</w:t>
      </w:r>
    </w:p>
    <w:p>
      <w:pPr>
        <w:adjustRightInd w:val="0"/>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第二部分      投标人须知</w:t>
      </w:r>
    </w:p>
    <w:p>
      <w:pPr>
        <w:adjustRightInd w:val="0"/>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第三部分      采购需求</w:t>
      </w:r>
    </w:p>
    <w:p>
      <w:pPr>
        <w:adjustRightInd w:val="0"/>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第四部分      评标方法及评分标准</w:t>
      </w:r>
    </w:p>
    <w:p>
      <w:pPr>
        <w:adjustRightInd w:val="0"/>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第五部分      拟签订的合同文本</w:t>
      </w:r>
    </w:p>
    <w:p>
      <w:pPr>
        <w:adjustRightInd w:val="0"/>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第六部分      应提交的有关格式范例</w:t>
      </w:r>
    </w:p>
    <w:p>
      <w:pPr>
        <w:adjustRightInd w:val="0"/>
        <w:spacing w:line="360" w:lineRule="auto"/>
        <w:ind w:firstLine="549" w:firstLineChars="229"/>
        <w:rPr>
          <w:rFonts w:ascii="仿宋_GB2312" w:hAnsi="仿宋" w:eastAsia="仿宋_GB2312" w:cs="仿宋_GB2312"/>
          <w:color w:val="auto"/>
          <w:sz w:val="24"/>
          <w:szCs w:val="24"/>
          <w:highlight w:val="none"/>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color w:val="auto"/>
          <w:sz w:val="24"/>
          <w:szCs w:val="24"/>
          <w:highlight w:val="none"/>
        </w:rPr>
      </w:pPr>
    </w:p>
    <w:p>
      <w:pPr>
        <w:adjustRightInd w:val="0"/>
        <w:spacing w:line="360" w:lineRule="auto"/>
        <w:ind w:firstLine="549" w:firstLineChars="229"/>
        <w:rPr>
          <w:rFonts w:ascii="仿宋_GB2312" w:hAnsi="仿宋" w:eastAsia="仿宋_GB2312" w:cs="仿宋_GB2312"/>
          <w:color w:val="auto"/>
          <w:sz w:val="24"/>
          <w:szCs w:val="24"/>
          <w:highlight w:val="none"/>
        </w:rPr>
      </w:pPr>
    </w:p>
    <w:p>
      <w:pPr>
        <w:adjustRightInd w:val="0"/>
        <w:spacing w:line="360" w:lineRule="auto"/>
        <w:ind w:firstLine="549" w:firstLineChars="229"/>
        <w:rPr>
          <w:rFonts w:ascii="仿宋_GB2312" w:hAnsi="仿宋" w:eastAsia="仿宋_GB2312" w:cs="仿宋_GB2312"/>
          <w:color w:val="auto"/>
          <w:sz w:val="24"/>
          <w:szCs w:val="24"/>
          <w:highlight w:val="none"/>
        </w:rPr>
      </w:pPr>
    </w:p>
    <w:p>
      <w:pPr>
        <w:adjustRightInd w:val="0"/>
        <w:spacing w:line="360" w:lineRule="auto"/>
        <w:ind w:firstLine="549" w:firstLineChars="229"/>
        <w:rPr>
          <w:rFonts w:ascii="仿宋_GB2312" w:hAnsi="仿宋" w:eastAsia="仿宋_GB2312" w:cs="仿宋_GB2312"/>
          <w:color w:val="auto"/>
          <w:sz w:val="24"/>
          <w:szCs w:val="24"/>
          <w:highlight w:val="none"/>
        </w:rPr>
      </w:pPr>
    </w:p>
    <w:p>
      <w:pPr>
        <w:adjustRightInd w:val="0"/>
        <w:spacing w:line="360" w:lineRule="auto"/>
        <w:ind w:firstLine="549" w:firstLineChars="229"/>
        <w:rPr>
          <w:rFonts w:ascii="仿宋_GB2312" w:hAnsi="仿宋" w:eastAsia="仿宋_GB2312" w:cs="仿宋_GB2312"/>
          <w:color w:val="auto"/>
          <w:sz w:val="24"/>
          <w:szCs w:val="24"/>
          <w:highlight w:val="none"/>
        </w:rPr>
      </w:pPr>
    </w:p>
    <w:p>
      <w:pPr>
        <w:adjustRightInd w:val="0"/>
        <w:spacing w:line="360" w:lineRule="auto"/>
        <w:ind w:firstLine="549" w:firstLineChars="229"/>
        <w:rPr>
          <w:rFonts w:ascii="仿宋_GB2312" w:hAnsi="仿宋" w:eastAsia="仿宋_GB2312" w:cs="仿宋_GB2312"/>
          <w:color w:val="auto"/>
          <w:sz w:val="24"/>
          <w:szCs w:val="24"/>
          <w:highlight w:val="none"/>
        </w:rPr>
      </w:pPr>
    </w:p>
    <w:p>
      <w:pPr>
        <w:adjustRightInd w:val="0"/>
        <w:spacing w:line="360" w:lineRule="auto"/>
        <w:ind w:firstLine="549" w:firstLineChars="229"/>
        <w:rPr>
          <w:rFonts w:ascii="仿宋_GB2312" w:hAnsi="仿宋" w:eastAsia="仿宋_GB2312" w:cs="仿宋_GB2312"/>
          <w:color w:val="auto"/>
          <w:sz w:val="24"/>
          <w:szCs w:val="24"/>
          <w:highlight w:val="none"/>
        </w:rPr>
      </w:pPr>
    </w:p>
    <w:p>
      <w:pPr>
        <w:adjustRightInd w:val="0"/>
        <w:spacing w:line="360" w:lineRule="auto"/>
        <w:ind w:firstLine="549" w:firstLineChars="229"/>
        <w:rPr>
          <w:rFonts w:ascii="仿宋_GB2312" w:hAnsi="仿宋" w:eastAsia="仿宋_GB2312" w:cs="仿宋_GB2312"/>
          <w:color w:val="auto"/>
          <w:sz w:val="24"/>
          <w:szCs w:val="24"/>
          <w:highlight w:val="none"/>
        </w:rPr>
      </w:pPr>
    </w:p>
    <w:p>
      <w:pPr>
        <w:adjustRightInd w:val="0"/>
        <w:spacing w:line="360" w:lineRule="auto"/>
        <w:ind w:firstLine="549" w:firstLineChars="229"/>
        <w:rPr>
          <w:rFonts w:ascii="仿宋_GB2312" w:hAnsi="仿宋" w:eastAsia="仿宋_GB2312" w:cs="仿宋_GB2312"/>
          <w:color w:val="auto"/>
          <w:sz w:val="24"/>
          <w:szCs w:val="24"/>
          <w:highlight w:val="none"/>
        </w:rPr>
      </w:pPr>
    </w:p>
    <w:p>
      <w:pPr>
        <w:adjustRightInd w:val="0"/>
        <w:spacing w:line="360" w:lineRule="auto"/>
        <w:ind w:firstLine="549" w:firstLineChars="229"/>
        <w:rPr>
          <w:rFonts w:ascii="仿宋_GB2312" w:hAnsi="仿宋" w:eastAsia="仿宋_GB2312" w:cs="仿宋_GB2312"/>
          <w:color w:val="auto"/>
          <w:sz w:val="24"/>
          <w:szCs w:val="24"/>
          <w:highlight w:val="none"/>
        </w:rPr>
      </w:pPr>
    </w:p>
    <w:p>
      <w:pPr>
        <w:adjustRightInd w:val="0"/>
        <w:spacing w:line="360" w:lineRule="auto"/>
        <w:ind w:firstLine="549" w:firstLineChars="229"/>
        <w:rPr>
          <w:rFonts w:ascii="仿宋_GB2312" w:hAnsi="仿宋" w:eastAsia="仿宋_GB2312" w:cs="仿宋_GB2312"/>
          <w:color w:val="auto"/>
          <w:sz w:val="24"/>
          <w:szCs w:val="24"/>
          <w:highlight w:val="none"/>
        </w:rPr>
      </w:pPr>
    </w:p>
    <w:p>
      <w:pPr>
        <w:adjustRightInd w:val="0"/>
        <w:spacing w:line="360" w:lineRule="auto"/>
        <w:ind w:firstLine="549" w:firstLineChars="229"/>
        <w:rPr>
          <w:rFonts w:ascii="仿宋_GB2312" w:hAnsi="仿宋" w:eastAsia="仿宋_GB2312" w:cs="仿宋_GB2312"/>
          <w:color w:val="auto"/>
          <w:sz w:val="24"/>
          <w:szCs w:val="24"/>
          <w:highlight w:val="none"/>
        </w:rPr>
      </w:pPr>
    </w:p>
    <w:bookmarkEnd w:id="2"/>
    <w:p>
      <w:pPr>
        <w:adjustRightInd w:val="0"/>
        <w:spacing w:line="360" w:lineRule="auto"/>
        <w:ind w:firstLine="549" w:firstLineChars="229"/>
        <w:rPr>
          <w:rFonts w:ascii="仿宋_GB2312" w:hAnsi="仿宋" w:eastAsia="仿宋_GB2312" w:cs="仿宋_GB2312"/>
          <w:color w:val="auto"/>
          <w:sz w:val="24"/>
          <w:szCs w:val="24"/>
          <w:highlight w:val="none"/>
        </w:rPr>
      </w:pPr>
    </w:p>
    <w:p>
      <w:pPr>
        <w:spacing w:line="360" w:lineRule="auto"/>
        <w:jc w:val="center"/>
        <w:outlineLvl w:val="0"/>
        <w:rPr>
          <w:rFonts w:ascii="仿宋_GB2312" w:hAnsi="仿宋" w:eastAsia="仿宋_GB2312" w:cs="仿宋_GB2312"/>
          <w:b/>
          <w:color w:val="auto"/>
          <w:sz w:val="36"/>
          <w:szCs w:val="20"/>
          <w:highlight w:val="none"/>
        </w:rPr>
      </w:pPr>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color w:val="auto"/>
          <w:sz w:val="36"/>
          <w:szCs w:val="20"/>
          <w:highlight w:val="none"/>
        </w:rPr>
      </w:pPr>
    </w:p>
    <w:p>
      <w:pPr>
        <w:spacing w:line="360" w:lineRule="auto"/>
        <w:jc w:val="center"/>
        <w:outlineLvl w:val="0"/>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eastAsia="zh-CN"/>
        </w:rPr>
        <w:t>“龙门秘境”数字景区集成创新示范区建设项目</w:t>
      </w:r>
      <w:r>
        <w:rPr>
          <w:rFonts w:hint="eastAsia" w:ascii="仿宋_GB2312" w:hAnsi="仿宋" w:eastAsia="仿宋_GB2312" w:cs="Times New Roman"/>
          <w:color w:val="auto"/>
          <w:sz w:val="24"/>
          <w:szCs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Fonts w:hint="eastAsia" w:ascii="仿宋_GB2312" w:hAnsi="仿宋" w:eastAsia="仿宋_GB2312" w:cs="Times New Roman"/>
          <w:color w:val="auto"/>
          <w:sz w:val="24"/>
          <w:szCs w:val="24"/>
          <w:highlight w:val="none"/>
        </w:rPr>
        <w:t>https://www.zcygov.cn/）获取（下载）招标文件，并于202</w:t>
      </w:r>
      <w:r>
        <w:rPr>
          <w:rFonts w:hint="eastAsia" w:ascii="仿宋_GB2312" w:hAnsi="仿宋" w:eastAsia="仿宋_GB2312" w:cs="Times New Roman"/>
          <w:color w:val="auto"/>
          <w:sz w:val="24"/>
          <w:szCs w:val="24"/>
          <w:highlight w:val="none"/>
          <w:lang w:val="en-US" w:eastAsia="zh-CN"/>
        </w:rPr>
        <w:t>2</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rPr>
        <w:fldChar w:fldCharType="end"/>
      </w:r>
      <w:r>
        <w:rPr>
          <w:rFonts w:hint="eastAsia" w:ascii="仿宋_GB2312" w:hAnsi="仿宋" w:eastAsia="仿宋_GB2312" w:cs="Times New Roman"/>
          <w:color w:val="auto"/>
          <w:sz w:val="24"/>
          <w:szCs w:val="24"/>
          <w:highlight w:val="none"/>
          <w:lang w:val="en-US" w:eastAsia="zh-CN"/>
        </w:rPr>
        <w:t>2</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lang w:val="en-US" w:eastAsia="zh-CN"/>
        </w:rPr>
        <w:t>16</w:t>
      </w:r>
      <w:r>
        <w:rPr>
          <w:rFonts w:hint="eastAsia" w:ascii="仿宋_GB2312" w:hAnsi="仿宋" w:eastAsia="仿宋_GB2312" w:cs="Times New Roman"/>
          <w:color w:val="auto"/>
          <w:sz w:val="24"/>
          <w:szCs w:val="24"/>
          <w:highlight w:val="none"/>
        </w:rPr>
        <w:t>日</w:t>
      </w:r>
      <w:r>
        <w:rPr>
          <w:rFonts w:hint="eastAsia" w:ascii="仿宋_GB2312" w:hAnsi="仿宋" w:eastAsia="仿宋_GB2312" w:cs="Times New Roman"/>
          <w:color w:val="auto"/>
          <w:sz w:val="24"/>
          <w:szCs w:val="24"/>
          <w:highlight w:val="none"/>
          <w:lang w:val="en-US" w:eastAsia="zh-CN"/>
        </w:rPr>
        <w:t xml:space="preserve">14 </w:t>
      </w:r>
      <w:r>
        <w:rPr>
          <w:rFonts w:hint="eastAsia" w:ascii="仿宋_GB2312" w:hAnsi="仿宋" w:eastAsia="仿宋_GB2312" w:cs="Times New Roman"/>
          <w:color w:val="auto"/>
          <w:sz w:val="24"/>
          <w:szCs w:val="24"/>
          <w:highlight w:val="none"/>
        </w:rPr>
        <w:t>点</w:t>
      </w:r>
      <w:r>
        <w:rPr>
          <w:rFonts w:hint="eastAsia" w:ascii="仿宋_GB2312" w:hAnsi="仿宋" w:eastAsia="仿宋_GB2312" w:cs="Times New Roman"/>
          <w:color w:val="auto"/>
          <w:sz w:val="24"/>
          <w:szCs w:val="24"/>
          <w:highlight w:val="none"/>
          <w:lang w:val="en-US" w:eastAsia="zh-CN"/>
        </w:rPr>
        <w:t>00</w:t>
      </w:r>
      <w:r>
        <w:rPr>
          <w:rFonts w:hint="eastAsia" w:ascii="仿宋_GB2312" w:hAnsi="仿宋" w:eastAsia="仿宋_GB2312" w:cs="Times New Roman"/>
          <w:color w:val="auto"/>
          <w:sz w:val="24"/>
          <w:szCs w:val="24"/>
          <w:highlight w:val="none"/>
        </w:rPr>
        <w:t xml:space="preserve">分00秒（北京时间）前递交（上传）投标文件。 </w:t>
      </w:r>
    </w:p>
    <w:p>
      <w:pPr>
        <w:adjustRightInd w:val="0"/>
        <w:spacing w:line="360" w:lineRule="auto"/>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 xml:space="preserve">一、项目基本情况                                            </w:t>
      </w:r>
    </w:p>
    <w:p>
      <w:pPr>
        <w:adjustRightInd w:val="0"/>
        <w:spacing w:line="360" w:lineRule="auto"/>
        <w:rPr>
          <w:rFonts w:hint="default"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color w:val="auto"/>
          <w:sz w:val="24"/>
          <w:szCs w:val="24"/>
          <w:highlight w:val="none"/>
        </w:rPr>
        <w:t xml:space="preserve">    </w:t>
      </w:r>
      <w:r>
        <w:rPr>
          <w:rFonts w:hint="eastAsia" w:ascii="仿宋_GB2312" w:hAnsi="仿宋" w:eastAsia="仿宋_GB2312" w:cs="Times New Roman"/>
          <w:b/>
          <w:color w:val="auto"/>
          <w:sz w:val="24"/>
          <w:szCs w:val="24"/>
          <w:highlight w:val="none"/>
        </w:rPr>
        <w:t>项目编号：</w:t>
      </w:r>
      <w:r>
        <w:rPr>
          <w:rFonts w:hint="eastAsia" w:ascii="仿宋_GB2312" w:hAnsi="仿宋" w:eastAsia="仿宋_GB2312" w:cs="Times New Roman"/>
          <w:b/>
          <w:color w:val="auto"/>
          <w:sz w:val="24"/>
          <w:szCs w:val="24"/>
          <w:highlight w:val="none"/>
          <w:lang w:val="en-US" w:eastAsia="zh-CN"/>
        </w:rPr>
        <w:t xml:space="preserve"> LA[2021]2534号</w:t>
      </w:r>
    </w:p>
    <w:p>
      <w:pPr>
        <w:adjustRightInd w:val="0"/>
        <w:spacing w:line="360" w:lineRule="auto"/>
        <w:rPr>
          <w:rFonts w:hint="eastAsia" w:ascii="仿宋_GB2312" w:hAnsi="仿宋" w:eastAsia="仿宋_GB2312" w:cs="Times New Roman"/>
          <w:b w:val="0"/>
          <w:bCs/>
          <w:color w:val="auto"/>
          <w:sz w:val="24"/>
          <w:szCs w:val="24"/>
          <w:highlight w:val="none"/>
          <w:lang w:eastAsia="zh-CN"/>
        </w:rPr>
      </w:pPr>
      <w:r>
        <w:rPr>
          <w:rFonts w:hint="eastAsia" w:ascii="仿宋_GB2312" w:hAnsi="仿宋" w:eastAsia="仿宋_GB2312" w:cs="Times New Roman"/>
          <w:color w:val="auto"/>
          <w:sz w:val="24"/>
          <w:szCs w:val="24"/>
          <w:highlight w:val="none"/>
        </w:rPr>
        <w:t xml:space="preserve">   </w:t>
      </w:r>
      <w:r>
        <w:rPr>
          <w:rFonts w:hint="eastAsia" w:ascii="仿宋_GB2312" w:hAnsi="仿宋" w:eastAsia="仿宋_GB2312" w:cs="Times New Roman"/>
          <w:b/>
          <w:color w:val="auto"/>
          <w:sz w:val="24"/>
          <w:szCs w:val="24"/>
          <w:highlight w:val="none"/>
        </w:rPr>
        <w:t xml:space="preserve"> 项目名称：</w:t>
      </w:r>
      <w:r>
        <w:rPr>
          <w:rFonts w:hint="eastAsia" w:ascii="仿宋_GB2312" w:hAnsi="仿宋" w:eastAsia="仿宋_GB2312" w:cs="Times New Roman"/>
          <w:b w:val="0"/>
          <w:bCs/>
          <w:color w:val="auto"/>
          <w:sz w:val="24"/>
          <w:szCs w:val="24"/>
          <w:highlight w:val="none"/>
          <w:lang w:eastAsia="zh-CN"/>
        </w:rPr>
        <w:t>“龙门秘境”数字景区集成创新示范区建设项目</w:t>
      </w:r>
    </w:p>
    <w:p>
      <w:pPr>
        <w:adjustRightInd w:val="0"/>
        <w:spacing w:line="360" w:lineRule="auto"/>
        <w:ind w:firstLine="482" w:firstLineChars="200"/>
        <w:rPr>
          <w:rFonts w:hint="default" w:ascii="仿宋_GB2312" w:hAnsi="仿宋" w:eastAsia="仿宋_GB2312" w:cs="仿宋_GB2312"/>
          <w:color w:val="auto"/>
          <w:sz w:val="24"/>
          <w:szCs w:val="24"/>
          <w:highlight w:val="none"/>
          <w:lang w:val="en-US" w:eastAsia="zh-CN"/>
        </w:rPr>
      </w:pPr>
      <w:r>
        <w:rPr>
          <w:rFonts w:hint="eastAsia" w:ascii="仿宋_GB2312" w:hAnsi="仿宋" w:eastAsia="仿宋_GB2312" w:cs="Times New Roman"/>
          <w:b/>
          <w:color w:val="auto"/>
          <w:sz w:val="24"/>
          <w:szCs w:val="24"/>
          <w:highlight w:val="none"/>
        </w:rPr>
        <w:t>预算金额（元）</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en-US" w:eastAsia="zh-CN"/>
        </w:rPr>
        <w:t>4800000</w:t>
      </w:r>
    </w:p>
    <w:p>
      <w:pPr>
        <w:adjustRightInd w:val="0"/>
        <w:spacing w:line="360" w:lineRule="auto"/>
        <w:ind w:firstLine="482" w:firstLineChars="200"/>
        <w:rPr>
          <w:rFonts w:hint="default"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b/>
          <w:color w:val="auto"/>
          <w:sz w:val="24"/>
          <w:szCs w:val="24"/>
          <w:highlight w:val="none"/>
        </w:rPr>
        <w:t>最高限价（元）：</w:t>
      </w:r>
      <w:r>
        <w:rPr>
          <w:rFonts w:hint="eastAsia" w:ascii="仿宋_GB2312" w:hAnsi="仿宋" w:eastAsia="仿宋_GB2312" w:cs="Times New Roman"/>
          <w:b/>
          <w:color w:val="auto"/>
          <w:sz w:val="24"/>
          <w:szCs w:val="24"/>
          <w:highlight w:val="none"/>
          <w:lang w:val="en-US" w:eastAsia="zh-CN"/>
        </w:rPr>
        <w:t>4512000</w:t>
      </w:r>
    </w:p>
    <w:p>
      <w:pPr>
        <w:spacing w:line="360" w:lineRule="auto"/>
        <w:ind w:firstLine="482" w:firstLineChars="200"/>
        <w:rPr>
          <w:rFonts w:hint="eastAsia" w:ascii="仿宋_GB2312" w:hAnsi="仿宋" w:eastAsia="仿宋_GB2312" w:cs="Times New Roman"/>
          <w:b/>
          <w:color w:val="auto"/>
          <w:sz w:val="24"/>
          <w:szCs w:val="24"/>
          <w:highlight w:val="none"/>
          <w:lang w:val="en-US" w:eastAsia="zh-CN"/>
        </w:rPr>
      </w:pPr>
      <w:r>
        <w:rPr>
          <w:rFonts w:hint="eastAsia" w:ascii="仿宋_GB2312" w:hAnsi="仿宋" w:eastAsia="仿宋_GB2312" w:cs="Times New Roman"/>
          <w:b/>
          <w:color w:val="auto"/>
          <w:sz w:val="24"/>
          <w:szCs w:val="24"/>
          <w:highlight w:val="none"/>
        </w:rPr>
        <w:t>采购需求：</w:t>
      </w:r>
      <w:r>
        <w:rPr>
          <w:rFonts w:hint="eastAsia" w:ascii="仿宋_GB2312" w:hAnsi="仿宋" w:eastAsia="仿宋_GB2312" w:cs="Times New Roman"/>
          <w:b/>
          <w:color w:val="auto"/>
          <w:sz w:val="24"/>
          <w:szCs w:val="24"/>
          <w:highlight w:val="none"/>
          <w:lang w:val="en-US" w:eastAsia="zh-CN"/>
        </w:rPr>
        <w:t>详见第三部分采购需求</w:t>
      </w:r>
    </w:p>
    <w:p>
      <w:pPr>
        <w:spacing w:line="360" w:lineRule="auto"/>
        <w:ind w:firstLine="482" w:firstLineChars="20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备注：无</w:t>
      </w:r>
      <w:r>
        <w:rPr>
          <w:rFonts w:hint="eastAsia" w:ascii="仿宋_GB2312" w:hAnsi="Times New Roman" w:eastAsia="仿宋_GB2312" w:cs="Times New Roman"/>
          <w:color w:val="auto"/>
          <w:sz w:val="24"/>
          <w:szCs w:val="24"/>
          <w:highlight w:val="none"/>
        </w:rPr>
        <w:t xml:space="preserve"> </w:t>
      </w:r>
    </w:p>
    <w:p>
      <w:pPr>
        <w:adjustRightInd w:val="0"/>
        <w:spacing w:line="360" w:lineRule="auto"/>
        <w:rPr>
          <w:rFonts w:hint="eastAsia" w:ascii="仿宋_GB2312" w:hAnsi="Times New Roman" w:eastAsia="仿宋_GB2312" w:cs="Times New Roman"/>
          <w:b w:val="0"/>
          <w:bCs/>
          <w:color w:val="auto"/>
          <w:sz w:val="24"/>
          <w:szCs w:val="24"/>
          <w:highlight w:val="none"/>
          <w:lang w:val="en-US" w:eastAsia="zh-CN"/>
        </w:rPr>
      </w:pPr>
      <w:r>
        <w:rPr>
          <w:rFonts w:ascii="仿宋_GB2312" w:hAnsi="仿宋" w:eastAsia="仿宋_GB2312" w:cs="Times New Roman"/>
          <w:color w:val="auto"/>
          <w:sz w:val="24"/>
          <w:szCs w:val="24"/>
          <w:highlight w:val="none"/>
        </w:rPr>
        <w:t xml:space="preserve">    </w:t>
      </w:r>
      <w:r>
        <w:rPr>
          <w:rFonts w:hint="eastAsia" w:ascii="仿宋_GB2312" w:hAnsi="仿宋" w:eastAsia="仿宋_GB2312" w:cs="Times New Roman"/>
          <w:b/>
          <w:color w:val="auto"/>
          <w:sz w:val="24"/>
          <w:szCs w:val="24"/>
          <w:highlight w:val="none"/>
        </w:rPr>
        <w:t>合同履约期限：</w:t>
      </w:r>
      <w:r>
        <w:rPr>
          <w:rFonts w:hint="eastAsia" w:ascii="仿宋_GB2312" w:hAnsi="仿宋" w:eastAsia="仿宋_GB2312" w:cs="Times New Roman"/>
          <w:b/>
          <w:color w:val="auto"/>
          <w:sz w:val="24"/>
          <w:szCs w:val="24"/>
          <w:highlight w:val="none"/>
          <w:lang w:eastAsia="zh-CN"/>
        </w:rPr>
        <w:t>三个月</w:t>
      </w:r>
    </w:p>
    <w:p>
      <w:pPr>
        <w:adjustRightInd w:val="0"/>
        <w:spacing w:line="360" w:lineRule="auto"/>
        <w:ind w:firstLine="480"/>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本项目（否）接受联合体投标。</w:t>
      </w:r>
    </w:p>
    <w:p>
      <w:pPr>
        <w:adjustRightInd w:val="0"/>
        <w:spacing w:line="360" w:lineRule="auto"/>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二、申请人的资格要求：</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1.满足《中华人民共和国政府采购法》第二十二条规定；</w:t>
      </w:r>
    </w:p>
    <w:p>
      <w:pPr>
        <w:adjustRightInd w:val="0"/>
        <w:spacing w:line="360" w:lineRule="auto"/>
        <w:ind w:firstLine="480" w:firstLineChars="200"/>
        <w:rPr>
          <w:rFonts w:hint="eastAsia" w:ascii="仿宋_GB2312" w:hAnsi="仿宋" w:eastAsia="仿宋_GB2312" w:cs="Times New Roman"/>
          <w:b/>
          <w:bCs/>
          <w:color w:val="auto"/>
          <w:sz w:val="24"/>
          <w:szCs w:val="24"/>
          <w:highlight w:val="none"/>
          <w:u w:val="single"/>
          <w:lang w:eastAsia="zh-CN"/>
        </w:rPr>
      </w:pPr>
      <w:r>
        <w:rPr>
          <w:rFonts w:hint="eastAsia" w:ascii="仿宋_GB2312" w:hAnsi="仿宋" w:eastAsia="仿宋_GB2312" w:cs="Times New Roman"/>
          <w:color w:val="auto"/>
          <w:sz w:val="24"/>
          <w:szCs w:val="24"/>
          <w:highlight w:val="none"/>
        </w:rPr>
        <w:t>2.落实政府采购政策需满足的资格要求：</w:t>
      </w:r>
      <w:r>
        <w:rPr>
          <w:rFonts w:hint="eastAsia" w:ascii="仿宋_GB2312" w:hAnsi="仿宋" w:eastAsia="仿宋_GB2312" w:cs="Times New Roman"/>
          <w:b w:val="0"/>
          <w:bCs w:val="0"/>
          <w:color w:val="auto"/>
          <w:sz w:val="24"/>
          <w:szCs w:val="24"/>
          <w:highlight w:val="none"/>
          <w:u w:val="none"/>
          <w:lang w:val="en-US" w:eastAsia="zh-CN"/>
        </w:rPr>
        <w:t>无</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3.本项目的特定资格要求：无 。</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_GB2312"/>
          <w:color w:val="auto"/>
          <w:sz w:val="24"/>
          <w:szCs w:val="24"/>
          <w:highlight w:val="none"/>
        </w:rPr>
        <w:t>以联合体形式投标的，提供联合体协议；本项目不接受联合体投标或者投标人不以联合体形式投标的，则不需要提供。</w:t>
      </w:r>
    </w:p>
    <w:p>
      <w:pPr>
        <w:adjustRightInd w:val="0"/>
        <w:spacing w:line="360" w:lineRule="auto"/>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 xml:space="preserve">三、获取招标文件 </w:t>
      </w:r>
    </w:p>
    <w:p>
      <w:pPr>
        <w:adjustRightInd w:val="0"/>
        <w:spacing w:line="360" w:lineRule="auto"/>
        <w:ind w:firstLine="482"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b/>
          <w:color w:val="auto"/>
          <w:sz w:val="24"/>
          <w:szCs w:val="24"/>
          <w:highlight w:val="none"/>
        </w:rPr>
        <w:t>时间：</w:t>
      </w:r>
      <w:r>
        <w:rPr>
          <w:rFonts w:hint="eastAsia" w:ascii="仿宋_GB2312" w:hAnsi="仿宋" w:eastAsia="仿宋_GB2312" w:cs="Times New Roman"/>
          <w:color w:val="auto"/>
          <w:sz w:val="24"/>
          <w:szCs w:val="24"/>
          <w:highlight w:val="none"/>
        </w:rPr>
        <w:t>/至202</w:t>
      </w:r>
      <w:r>
        <w:rPr>
          <w:rFonts w:hint="eastAsia" w:ascii="仿宋_GB2312" w:hAnsi="仿宋" w:eastAsia="仿宋_GB2312" w:cs="Times New Roman"/>
          <w:color w:val="auto"/>
          <w:sz w:val="24"/>
          <w:szCs w:val="24"/>
          <w:highlight w:val="none"/>
          <w:lang w:val="en-US" w:eastAsia="zh-CN"/>
        </w:rPr>
        <w:t>2</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lang w:val="en-US" w:eastAsia="zh-CN"/>
        </w:rPr>
        <w:t>2</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lang w:val="en-US" w:eastAsia="zh-CN"/>
        </w:rPr>
        <w:t>16</w:t>
      </w:r>
      <w:r>
        <w:rPr>
          <w:rFonts w:hint="eastAsia" w:ascii="仿宋_GB2312" w:hAnsi="仿宋" w:eastAsia="仿宋_GB2312" w:cs="Times New Roman"/>
          <w:color w:val="auto"/>
          <w:sz w:val="24"/>
          <w:szCs w:val="24"/>
          <w:highlight w:val="none"/>
        </w:rPr>
        <w:t>日 ，每天上午00:00至12:00 ，下午12:00至23:59（北京时间，线上获取法定节假日均可，线下获取文件法定节假日除外）</w:t>
      </w:r>
    </w:p>
    <w:p>
      <w:pPr>
        <w:adjustRightInd w:val="0"/>
        <w:spacing w:line="360" w:lineRule="auto"/>
        <w:ind w:firstLine="482"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b/>
          <w:color w:val="auto"/>
          <w:sz w:val="24"/>
          <w:szCs w:val="24"/>
          <w:highlight w:val="none"/>
        </w:rPr>
        <w:t>地点（网址）：</w:t>
      </w:r>
      <w:r>
        <w:rPr>
          <w:rFonts w:hint="eastAsia" w:ascii="仿宋_GB2312" w:hAnsi="仿宋" w:eastAsia="仿宋_GB2312" w:cs="Times New Roman"/>
          <w:b w:val="0"/>
          <w:bCs/>
          <w:color w:val="auto"/>
          <w:sz w:val="24"/>
          <w:szCs w:val="24"/>
          <w:highlight w:val="none"/>
          <w:lang w:eastAsia="zh-CN"/>
        </w:rPr>
        <w:t>浙江政府采购网</w:t>
      </w:r>
      <w:r>
        <w:rPr>
          <w:rFonts w:hint="eastAsia" w:ascii="仿宋_GB2312" w:hAnsi="仿宋" w:eastAsia="仿宋_GB2312" w:cs="Times New Roman"/>
          <w:b w:val="0"/>
          <w:bCs/>
          <w:color w:val="auto"/>
          <w:sz w:val="24"/>
          <w:szCs w:val="24"/>
          <w:highlight w:val="none"/>
        </w:rPr>
        <w:t>（</w:t>
      </w:r>
      <w:r>
        <w:rPr>
          <w:rFonts w:hint="eastAsia" w:ascii="仿宋_GB2312" w:hAnsi="仿宋" w:eastAsia="仿宋_GB2312" w:cs="Times New Roman"/>
          <w:color w:val="auto"/>
          <w:sz w:val="24"/>
          <w:szCs w:val="24"/>
          <w:highlight w:val="none"/>
        </w:rPr>
        <w:t xml:space="preserve">https://zfcg.czt.zj.gov.cn/）  </w:t>
      </w:r>
    </w:p>
    <w:p>
      <w:pPr>
        <w:adjustRightInd w:val="0"/>
        <w:spacing w:line="360" w:lineRule="auto"/>
        <w:ind w:firstLine="482"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b/>
          <w:color w:val="auto"/>
          <w:sz w:val="24"/>
          <w:szCs w:val="24"/>
          <w:highlight w:val="none"/>
        </w:rPr>
        <w:t>方式：</w:t>
      </w:r>
      <w:r>
        <w:rPr>
          <w:rFonts w:hint="eastAsia" w:ascii="仿宋_GB2312" w:hAnsi="仿宋" w:eastAsia="仿宋_GB2312" w:cs="Times New Roman"/>
          <w:color w:val="auto"/>
          <w:sz w:val="24"/>
          <w:szCs w:val="24"/>
          <w:highlight w:val="none"/>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adjustRightInd w:val="0"/>
        <w:spacing w:line="360" w:lineRule="auto"/>
        <w:ind w:firstLine="482"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b/>
          <w:color w:val="auto"/>
          <w:sz w:val="24"/>
          <w:szCs w:val="24"/>
          <w:highlight w:val="none"/>
        </w:rPr>
        <w:t>售价（元）：</w:t>
      </w:r>
      <w:r>
        <w:rPr>
          <w:rFonts w:hint="eastAsia" w:ascii="仿宋_GB2312" w:hAnsi="仿宋" w:eastAsia="仿宋_GB2312" w:cs="Times New Roman"/>
          <w:color w:val="auto"/>
          <w:sz w:val="24"/>
          <w:szCs w:val="24"/>
          <w:highlight w:val="none"/>
        </w:rPr>
        <w:t xml:space="preserve">0 </w:t>
      </w:r>
    </w:p>
    <w:p>
      <w:pPr>
        <w:adjustRightInd w:val="0"/>
        <w:spacing w:line="360" w:lineRule="auto"/>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四、提交投标文件截止时间、开标时间和地点</w:t>
      </w:r>
    </w:p>
    <w:p>
      <w:pPr>
        <w:adjustRightInd w:val="0"/>
        <w:spacing w:line="360" w:lineRule="auto"/>
        <w:ind w:firstLine="482"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b/>
          <w:color w:val="auto"/>
          <w:sz w:val="24"/>
          <w:szCs w:val="24"/>
          <w:highlight w:val="none"/>
        </w:rPr>
        <w:t>提交投标文件截止时间：</w:t>
      </w:r>
      <w:r>
        <w:rPr>
          <w:rFonts w:hint="eastAsia" w:ascii="仿宋_GB2312" w:hAnsi="仿宋" w:eastAsia="仿宋_GB2312" w:cs="Times New Roman"/>
          <w:color w:val="auto"/>
          <w:sz w:val="24"/>
          <w:szCs w:val="24"/>
          <w:highlight w:val="none"/>
          <w:u w:val="single"/>
        </w:rPr>
        <w:t>202</w:t>
      </w:r>
      <w:r>
        <w:rPr>
          <w:rFonts w:hint="eastAsia" w:ascii="仿宋_GB2312" w:hAnsi="仿宋" w:eastAsia="仿宋_GB2312" w:cs="Times New Roman"/>
          <w:color w:val="auto"/>
          <w:sz w:val="24"/>
          <w:szCs w:val="24"/>
          <w:highlight w:val="none"/>
          <w:u w:val="single"/>
          <w:lang w:val="en-US" w:eastAsia="zh-CN"/>
        </w:rPr>
        <w:t>2</w:t>
      </w:r>
      <w:r>
        <w:rPr>
          <w:rFonts w:hint="eastAsia" w:ascii="仿宋_GB2312" w:hAnsi="仿宋" w:eastAsia="仿宋_GB2312" w:cs="Times New Roman"/>
          <w:color w:val="auto"/>
          <w:sz w:val="24"/>
          <w:szCs w:val="24"/>
          <w:highlight w:val="none"/>
          <w:u w:val="single"/>
        </w:rPr>
        <w:t>年</w:t>
      </w:r>
      <w:r>
        <w:rPr>
          <w:rFonts w:hint="eastAsia" w:ascii="仿宋_GB2312" w:hAnsi="仿宋" w:eastAsia="仿宋_GB2312" w:cs="Times New Roman"/>
          <w:color w:val="auto"/>
          <w:sz w:val="24"/>
          <w:szCs w:val="24"/>
          <w:highlight w:val="none"/>
          <w:u w:val="single"/>
          <w:lang w:val="en-US" w:eastAsia="zh-CN"/>
        </w:rPr>
        <w:t>2</w:t>
      </w:r>
      <w:r>
        <w:rPr>
          <w:rFonts w:hint="eastAsia" w:ascii="仿宋_GB2312" w:hAnsi="仿宋" w:eastAsia="仿宋_GB2312" w:cs="Times New Roman"/>
          <w:color w:val="auto"/>
          <w:sz w:val="24"/>
          <w:szCs w:val="24"/>
          <w:highlight w:val="none"/>
          <w:u w:val="single"/>
        </w:rPr>
        <w:t>月</w:t>
      </w:r>
      <w:r>
        <w:rPr>
          <w:rFonts w:hint="eastAsia" w:ascii="仿宋_GB2312" w:hAnsi="仿宋" w:eastAsia="仿宋_GB2312" w:cs="Times New Roman"/>
          <w:color w:val="auto"/>
          <w:sz w:val="24"/>
          <w:szCs w:val="24"/>
          <w:highlight w:val="none"/>
          <w:u w:val="single"/>
          <w:lang w:val="en-US" w:eastAsia="zh-CN"/>
        </w:rPr>
        <w:t>16</w:t>
      </w:r>
      <w:r>
        <w:rPr>
          <w:rFonts w:hint="eastAsia" w:ascii="仿宋_GB2312" w:hAnsi="仿宋" w:eastAsia="仿宋_GB2312" w:cs="Times New Roman"/>
          <w:color w:val="auto"/>
          <w:sz w:val="24"/>
          <w:szCs w:val="24"/>
          <w:highlight w:val="none"/>
          <w:u w:val="single"/>
        </w:rPr>
        <w:t>日</w:t>
      </w:r>
      <w:r>
        <w:rPr>
          <w:rFonts w:hint="eastAsia" w:ascii="仿宋_GB2312" w:hAnsi="仿宋" w:eastAsia="仿宋_GB2312" w:cs="Times New Roman"/>
          <w:color w:val="auto"/>
          <w:sz w:val="24"/>
          <w:szCs w:val="24"/>
          <w:highlight w:val="none"/>
          <w:u w:val="single"/>
          <w:lang w:val="en-US" w:eastAsia="zh-CN"/>
        </w:rPr>
        <w:t>14</w:t>
      </w:r>
      <w:r>
        <w:rPr>
          <w:rFonts w:hint="eastAsia" w:ascii="仿宋_GB2312" w:hAnsi="仿宋" w:eastAsia="仿宋_GB2312" w:cs="Times New Roman"/>
          <w:color w:val="auto"/>
          <w:sz w:val="24"/>
          <w:szCs w:val="24"/>
          <w:highlight w:val="none"/>
          <w:u w:val="single"/>
        </w:rPr>
        <w:t>点</w:t>
      </w:r>
      <w:r>
        <w:rPr>
          <w:rFonts w:hint="eastAsia" w:ascii="仿宋_GB2312" w:hAnsi="仿宋" w:eastAsia="仿宋_GB2312" w:cs="Times New Roman"/>
          <w:color w:val="auto"/>
          <w:sz w:val="24"/>
          <w:szCs w:val="24"/>
          <w:highlight w:val="none"/>
          <w:u w:val="single"/>
          <w:lang w:val="en-US" w:eastAsia="zh-CN"/>
        </w:rPr>
        <w:t>00</w:t>
      </w:r>
      <w:r>
        <w:rPr>
          <w:rFonts w:hint="eastAsia" w:ascii="仿宋_GB2312" w:hAnsi="仿宋" w:eastAsia="仿宋_GB2312" w:cs="Times New Roman"/>
          <w:color w:val="auto"/>
          <w:sz w:val="24"/>
          <w:szCs w:val="24"/>
          <w:highlight w:val="none"/>
          <w:u w:val="single"/>
        </w:rPr>
        <w:t>分00秒</w:t>
      </w:r>
      <w:r>
        <w:rPr>
          <w:rFonts w:hint="eastAsia" w:ascii="仿宋_GB2312" w:hAnsi="仿宋" w:eastAsia="仿宋_GB2312" w:cs="Times New Roman"/>
          <w:color w:val="auto"/>
          <w:sz w:val="24"/>
          <w:szCs w:val="24"/>
          <w:highlight w:val="none"/>
        </w:rPr>
        <w:t>（北京时间）</w:t>
      </w:r>
    </w:p>
    <w:p>
      <w:pPr>
        <w:adjustRightInd w:val="0"/>
        <w:spacing w:line="360" w:lineRule="auto"/>
        <w:ind w:firstLine="482" w:firstLineChars="200"/>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投标地点（网址）：</w:t>
      </w:r>
      <w:r>
        <w:rPr>
          <w:rFonts w:hint="eastAsia" w:ascii="仿宋_GB2312" w:hAnsi="仿宋" w:eastAsia="仿宋_GB2312" w:cs="Times New Roman"/>
          <w:color w:val="auto"/>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b/>
          <w:color w:val="auto"/>
          <w:sz w:val="24"/>
          <w:szCs w:val="24"/>
          <w:highlight w:val="none"/>
        </w:rPr>
        <w:t>开标时间：</w:t>
      </w:r>
      <w:r>
        <w:rPr>
          <w:rFonts w:hint="eastAsia" w:ascii="仿宋_GB2312" w:hAnsi="仿宋" w:eastAsia="仿宋_GB2312" w:cs="Times New Roman"/>
          <w:color w:val="auto"/>
          <w:sz w:val="24"/>
          <w:szCs w:val="24"/>
          <w:highlight w:val="none"/>
          <w:u w:val="single"/>
        </w:rPr>
        <w:t>202</w:t>
      </w:r>
      <w:r>
        <w:rPr>
          <w:rFonts w:hint="eastAsia" w:ascii="仿宋_GB2312" w:hAnsi="仿宋" w:eastAsia="仿宋_GB2312" w:cs="Times New Roman"/>
          <w:color w:val="auto"/>
          <w:sz w:val="24"/>
          <w:szCs w:val="24"/>
          <w:highlight w:val="none"/>
          <w:u w:val="single"/>
          <w:lang w:val="en-US" w:eastAsia="zh-CN"/>
        </w:rPr>
        <w:t>2</w:t>
      </w:r>
      <w:r>
        <w:rPr>
          <w:rFonts w:hint="eastAsia" w:ascii="仿宋_GB2312" w:hAnsi="仿宋" w:eastAsia="仿宋_GB2312" w:cs="Times New Roman"/>
          <w:color w:val="auto"/>
          <w:sz w:val="24"/>
          <w:szCs w:val="24"/>
          <w:highlight w:val="none"/>
          <w:u w:val="single"/>
        </w:rPr>
        <w:t>年</w:t>
      </w:r>
      <w:r>
        <w:rPr>
          <w:rFonts w:hint="eastAsia" w:ascii="仿宋_GB2312" w:hAnsi="仿宋" w:eastAsia="仿宋_GB2312" w:cs="Times New Roman"/>
          <w:color w:val="auto"/>
          <w:sz w:val="24"/>
          <w:szCs w:val="24"/>
          <w:highlight w:val="none"/>
          <w:u w:val="single"/>
          <w:lang w:val="en-US" w:eastAsia="zh-CN"/>
        </w:rPr>
        <w:t>2</w:t>
      </w:r>
      <w:r>
        <w:rPr>
          <w:rFonts w:hint="eastAsia" w:ascii="仿宋_GB2312" w:hAnsi="仿宋" w:eastAsia="仿宋_GB2312" w:cs="Times New Roman"/>
          <w:color w:val="auto"/>
          <w:sz w:val="24"/>
          <w:szCs w:val="24"/>
          <w:highlight w:val="none"/>
          <w:u w:val="single"/>
        </w:rPr>
        <w:t>月</w:t>
      </w:r>
      <w:r>
        <w:rPr>
          <w:rFonts w:hint="eastAsia" w:ascii="仿宋_GB2312" w:hAnsi="仿宋" w:eastAsia="仿宋_GB2312" w:cs="Times New Roman"/>
          <w:color w:val="auto"/>
          <w:sz w:val="24"/>
          <w:szCs w:val="24"/>
          <w:highlight w:val="none"/>
          <w:u w:val="single"/>
          <w:lang w:val="en-US" w:eastAsia="zh-CN"/>
        </w:rPr>
        <w:t>16</w:t>
      </w:r>
      <w:r>
        <w:rPr>
          <w:rFonts w:hint="eastAsia" w:ascii="仿宋_GB2312" w:hAnsi="仿宋" w:eastAsia="仿宋_GB2312" w:cs="Times New Roman"/>
          <w:color w:val="auto"/>
          <w:sz w:val="24"/>
          <w:szCs w:val="24"/>
          <w:highlight w:val="none"/>
          <w:u w:val="single"/>
        </w:rPr>
        <w:t>日</w:t>
      </w:r>
      <w:r>
        <w:rPr>
          <w:rFonts w:hint="eastAsia" w:ascii="仿宋_GB2312" w:hAnsi="仿宋" w:eastAsia="仿宋_GB2312" w:cs="Times New Roman"/>
          <w:color w:val="auto"/>
          <w:sz w:val="24"/>
          <w:szCs w:val="24"/>
          <w:highlight w:val="none"/>
          <w:u w:val="single"/>
          <w:lang w:val="en-US" w:eastAsia="zh-CN"/>
        </w:rPr>
        <w:t>14</w:t>
      </w:r>
      <w:r>
        <w:rPr>
          <w:rFonts w:hint="eastAsia" w:ascii="仿宋_GB2312" w:hAnsi="仿宋" w:eastAsia="仿宋_GB2312" w:cs="Times New Roman"/>
          <w:color w:val="auto"/>
          <w:sz w:val="24"/>
          <w:szCs w:val="24"/>
          <w:highlight w:val="none"/>
          <w:u w:val="single"/>
        </w:rPr>
        <w:t>点</w:t>
      </w:r>
      <w:r>
        <w:rPr>
          <w:rFonts w:hint="eastAsia" w:ascii="仿宋_GB2312" w:hAnsi="仿宋" w:eastAsia="仿宋_GB2312" w:cs="Times New Roman"/>
          <w:color w:val="auto"/>
          <w:sz w:val="24"/>
          <w:szCs w:val="24"/>
          <w:highlight w:val="none"/>
          <w:u w:val="single"/>
          <w:lang w:val="en-US" w:eastAsia="zh-CN"/>
        </w:rPr>
        <w:t>00</w:t>
      </w:r>
      <w:r>
        <w:rPr>
          <w:rFonts w:hint="eastAsia" w:ascii="仿宋_GB2312" w:hAnsi="仿宋" w:eastAsia="仿宋_GB2312" w:cs="Times New Roman"/>
          <w:color w:val="auto"/>
          <w:sz w:val="24"/>
          <w:szCs w:val="24"/>
          <w:highlight w:val="none"/>
          <w:u w:val="single"/>
        </w:rPr>
        <w:t>分00秒</w:t>
      </w:r>
    </w:p>
    <w:p>
      <w:pPr>
        <w:adjustRightInd w:val="0"/>
        <w:spacing w:line="360" w:lineRule="auto"/>
        <w:ind w:firstLine="482" w:firstLineChars="200"/>
        <w:rPr>
          <w:rFonts w:hint="eastAsia"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开标地点（网址）：政采云平台（https://www.zcygov.cn/）</w:t>
      </w:r>
    </w:p>
    <w:p>
      <w:pPr>
        <w:adjustRightInd w:val="0"/>
        <w:spacing w:line="360" w:lineRule="auto"/>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 xml:space="preserve">五、公告期限 </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自本公告发布之日起5个工作日。</w:t>
      </w:r>
    </w:p>
    <w:p>
      <w:pPr>
        <w:adjustRightInd w:val="0"/>
        <w:spacing w:line="360" w:lineRule="auto"/>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六、其他补充事宜</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2.其他事项： 2.1落实政府采购政策：包括保护环境、节约能源、促进中小企业发展等。详见招标文件的第二部分总则。为支持和促进中小企业发展，杭州市财政局出台了政府采购信用融资政策，供应商可凭中标合同申请贷款，利率一般为不高于基准利率上浮10%。具体可登录http://220.191.208.230/login.do办理业务。 2.2电子招投标的说明：2.2.1采购人、采购机构将依托政采云平台完成本项目的电子交易活动，平台不接受未按上述方式获取招标文件的供应商进行投标活动； 2.2.2对未按上述方式获取招标文件的供应商对该文件提出的质疑，采购人或采购代理机构将不予处理；2.2.3不提供招标文件纸质版；2.2.4电子招投标：本项目以数据电文形式，依托“政府采购云平台（www.zcygov.cn）”进行招投标活动，不接受纸质投标文件；2.2.5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2.2.6招标文件的获取：使用账号登录或者使用CA登录政采云平台；进入“项目采购”应用，在获取采购文件菜单中选择项目，获取招标文件；2.2.7投标文件的制作：在“政采云电子交易客户端”中完成“填写基本信息”、“导入投标文件”、“标书关联”、“标书检查”、“电子签名”、“生成电子标书”等操作；2.2.8投标文件的传输递交：投标人在投标截止时间前将加密的投标文件上传至政府采购云平台；2.2.9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2.2.10具体操作指南：详见政采云平台“服务中心-帮助文档-项目采购-操作流程-电子招投标-政府采购项目电子交易管理操作指南-供应商”</w:t>
      </w:r>
      <w:r>
        <w:rPr>
          <w:rFonts w:hint="eastAsia" w:ascii="仿宋_GB2312" w:hAnsi="仿宋" w:eastAsia="仿宋_GB2312" w:cs="仿宋_GB2312"/>
          <w:color w:val="auto"/>
          <w:sz w:val="24"/>
          <w:szCs w:val="24"/>
          <w:highlight w:val="none"/>
        </w:rPr>
        <w:t>。</w:t>
      </w:r>
    </w:p>
    <w:p>
      <w:pPr>
        <w:adjustRightInd w:val="0"/>
        <w:spacing w:line="360" w:lineRule="auto"/>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七、对本次采购提出询问、质疑、投诉，请按以下方式联系</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1.采购人信息</w:t>
      </w:r>
    </w:p>
    <w:p>
      <w:pPr>
        <w:adjustRightInd w:val="0"/>
        <w:spacing w:line="360" w:lineRule="auto"/>
        <w:rPr>
          <w:rFonts w:hint="default"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rPr>
        <w:t xml:space="preserve">    名    称：</w:t>
      </w:r>
      <w:r>
        <w:rPr>
          <w:rFonts w:hint="eastAsia" w:ascii="仿宋_GB2312" w:hAnsi="仿宋" w:eastAsia="仿宋_GB2312" w:cs="Times New Roman"/>
          <w:color w:val="auto"/>
          <w:sz w:val="24"/>
          <w:szCs w:val="24"/>
          <w:highlight w:val="none"/>
          <w:lang w:val="en-US" w:eastAsia="zh-CN"/>
        </w:rPr>
        <w:t>杭州市临安区高虹镇人民政府</w:t>
      </w:r>
    </w:p>
    <w:p>
      <w:pPr>
        <w:adjustRightInd w:val="0"/>
        <w:spacing w:line="360" w:lineRule="auto"/>
        <w:rPr>
          <w:rFonts w:hint="default"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rPr>
        <w:t xml:space="preserve">    地    址：临安区高虹镇德胜街108号</w:t>
      </w:r>
    </w:p>
    <w:p>
      <w:pPr>
        <w:adjustRightInd w:val="0"/>
        <w:spacing w:line="360" w:lineRule="auto"/>
        <w:ind w:firstLine="480"/>
        <w:rPr>
          <w:rFonts w:ascii="仿宋" w:hAnsi="仿宋" w:eastAsia="仿宋" w:cs="仿宋"/>
          <w:color w:val="auto"/>
          <w:sz w:val="24"/>
          <w:highlight w:val="none"/>
        </w:rPr>
      </w:pPr>
      <w:r>
        <w:rPr>
          <w:rFonts w:ascii="仿宋_GB2312" w:hAnsi="仿宋" w:eastAsia="仿宋_GB2312" w:cs="Times New Roman"/>
          <w:color w:val="auto"/>
          <w:sz w:val="24"/>
          <w:szCs w:val="24"/>
          <w:highlight w:val="none"/>
        </w:rPr>
        <w:t>传    真：</w:t>
      </w:r>
      <w:r>
        <w:rPr>
          <w:rFonts w:hint="eastAsia" w:ascii="仿宋_GB2312" w:hAnsi="仿宋" w:eastAsia="仿宋_GB2312" w:cs="Times New Roman"/>
          <w:color w:val="auto"/>
          <w:sz w:val="24"/>
          <w:szCs w:val="24"/>
          <w:highlight w:val="none"/>
          <w:lang w:val="en-US" w:eastAsia="zh-CN"/>
        </w:rPr>
        <w:t>/</w:t>
      </w:r>
      <w:r>
        <w:rPr>
          <w:rFonts w:hint="eastAsia" w:ascii="仿宋" w:hAnsi="仿宋" w:eastAsia="仿宋" w:cs="仿宋"/>
          <w:color w:val="auto"/>
          <w:sz w:val="24"/>
          <w:highlight w:val="none"/>
        </w:rPr>
        <w:t xml:space="preserve"> </w:t>
      </w:r>
    </w:p>
    <w:p>
      <w:pPr>
        <w:adjustRightInd w:val="0"/>
        <w:spacing w:line="360" w:lineRule="auto"/>
        <w:ind w:firstLine="480"/>
        <w:rPr>
          <w:rFonts w:hint="default" w:ascii="仿宋_GB2312" w:hAnsi="仿宋" w:eastAsia="仿宋_GB2312" w:cs="Times New Roman"/>
          <w:color w:val="auto"/>
          <w:sz w:val="24"/>
          <w:szCs w:val="24"/>
          <w:highlight w:val="none"/>
          <w:lang w:val="en-US" w:eastAsia="zh-CN"/>
        </w:rPr>
      </w:pPr>
      <w:r>
        <w:rPr>
          <w:rFonts w:ascii="仿宋_GB2312" w:hAnsi="仿宋" w:eastAsia="仿宋_GB2312" w:cs="Times New Roman"/>
          <w:color w:val="auto"/>
          <w:sz w:val="24"/>
          <w:szCs w:val="24"/>
          <w:highlight w:val="none"/>
        </w:rPr>
        <w:t>项目联系人（询问）：</w:t>
      </w:r>
      <w:r>
        <w:rPr>
          <w:rFonts w:hint="eastAsia" w:ascii="仿宋_GB2312" w:hAnsi="仿宋" w:eastAsia="仿宋_GB2312" w:cs="Times New Roman"/>
          <w:color w:val="auto"/>
          <w:sz w:val="24"/>
          <w:szCs w:val="24"/>
          <w:highlight w:val="none"/>
          <w:lang w:eastAsia="zh-CN"/>
        </w:rPr>
        <w:t>宫浩</w:t>
      </w:r>
      <w:r>
        <w:rPr>
          <w:rFonts w:hint="eastAsia" w:ascii="仿宋_GB2312" w:hAnsi="仿宋" w:eastAsia="仿宋_GB2312" w:cs="Times New Roman"/>
          <w:color w:val="auto"/>
          <w:sz w:val="24"/>
          <w:szCs w:val="24"/>
          <w:highlight w:val="none"/>
          <w:lang w:val="en-US" w:eastAsia="zh-CN"/>
        </w:rPr>
        <w:t xml:space="preserve"> </w:t>
      </w:r>
    </w:p>
    <w:p>
      <w:pPr>
        <w:adjustRightInd w:val="0"/>
        <w:spacing w:line="360" w:lineRule="auto"/>
        <w:rPr>
          <w:rFonts w:ascii="仿宋_GB2312" w:hAnsi="仿宋" w:eastAsia="仿宋_GB2312" w:cs="Times New Roman"/>
          <w:color w:val="auto"/>
          <w:sz w:val="24"/>
          <w:szCs w:val="24"/>
          <w:highlight w:val="none"/>
        </w:rPr>
      </w:pPr>
      <w:r>
        <w:rPr>
          <w:rFonts w:ascii="仿宋_GB2312" w:hAnsi="仿宋" w:eastAsia="仿宋_GB2312" w:cs="Times New Roman"/>
          <w:color w:val="auto"/>
          <w:sz w:val="24"/>
          <w:szCs w:val="24"/>
          <w:highlight w:val="none"/>
        </w:rPr>
        <w:t xml:space="preserve">    项目联系方式（询问）：</w:t>
      </w:r>
      <w:r>
        <w:rPr>
          <w:rFonts w:hint="eastAsia" w:ascii="仿宋_GB2312" w:hAnsi="仿宋" w:eastAsia="仿宋_GB2312" w:cs="Times New Roman"/>
          <w:color w:val="auto"/>
          <w:sz w:val="24"/>
          <w:szCs w:val="24"/>
          <w:highlight w:val="none"/>
          <w:lang w:val="en-US" w:eastAsia="zh-CN"/>
        </w:rPr>
        <w:t xml:space="preserve">0571-63777007 </w:t>
      </w:r>
      <w:r>
        <w:rPr>
          <w:rFonts w:hint="eastAsia" w:ascii="仿宋" w:hAnsi="仿宋" w:eastAsia="仿宋" w:cs="仿宋"/>
          <w:color w:val="auto"/>
          <w:sz w:val="24"/>
          <w:highlight w:val="none"/>
        </w:rPr>
        <w:t xml:space="preserve"> </w:t>
      </w:r>
    </w:p>
    <w:p>
      <w:pPr>
        <w:adjustRightInd w:val="0"/>
        <w:spacing w:line="360" w:lineRule="auto"/>
        <w:ind w:firstLine="480"/>
        <w:rPr>
          <w:rFonts w:hint="eastAsia" w:ascii="仿宋_GB2312" w:hAnsi="仿宋" w:eastAsia="仿宋_GB2312" w:cs="Times New Roman"/>
          <w:color w:val="auto"/>
          <w:sz w:val="24"/>
          <w:szCs w:val="24"/>
          <w:highlight w:val="none"/>
          <w:lang w:eastAsia="zh-CN"/>
        </w:rPr>
      </w:pPr>
      <w:r>
        <w:rPr>
          <w:rFonts w:ascii="仿宋_GB2312" w:hAnsi="仿宋" w:eastAsia="仿宋_GB2312" w:cs="Times New Roman"/>
          <w:color w:val="auto"/>
          <w:sz w:val="24"/>
          <w:szCs w:val="24"/>
          <w:highlight w:val="none"/>
        </w:rPr>
        <w:t>质疑联系人：</w:t>
      </w:r>
      <w:r>
        <w:rPr>
          <w:rFonts w:hint="eastAsia" w:ascii="仿宋_GB2312" w:hAnsi="仿宋" w:eastAsia="仿宋_GB2312" w:cs="Times New Roman"/>
          <w:color w:val="auto"/>
          <w:sz w:val="24"/>
          <w:szCs w:val="24"/>
          <w:highlight w:val="none"/>
        </w:rPr>
        <w:t>梅先生</w:t>
      </w:r>
      <w:r>
        <w:rPr>
          <w:rFonts w:hint="eastAsia" w:ascii="仿宋_GB2312" w:hAnsi="仿宋" w:eastAsia="仿宋_GB2312" w:cs="Times New Roman"/>
          <w:color w:val="auto"/>
          <w:sz w:val="24"/>
          <w:szCs w:val="24"/>
          <w:highlight w:val="none"/>
          <w:lang w:val="en-US" w:eastAsia="zh-CN"/>
        </w:rPr>
        <w:t xml:space="preserve"> </w:t>
      </w:r>
    </w:p>
    <w:p>
      <w:pPr>
        <w:adjustRightInd w:val="0"/>
        <w:spacing w:line="360" w:lineRule="auto"/>
        <w:ind w:firstLine="480"/>
        <w:rPr>
          <w:rFonts w:hint="eastAsia" w:ascii="仿宋_GB2312" w:hAnsi="仿宋" w:eastAsia="仿宋_GB2312" w:cs="Times New Roman"/>
          <w:color w:val="auto"/>
          <w:sz w:val="24"/>
          <w:szCs w:val="24"/>
          <w:highlight w:val="none"/>
          <w:lang w:val="en-US" w:eastAsia="zh-CN"/>
        </w:rPr>
      </w:pPr>
      <w:r>
        <w:rPr>
          <w:rFonts w:ascii="仿宋_GB2312" w:hAnsi="仿宋" w:eastAsia="仿宋_GB2312" w:cs="Times New Roman"/>
          <w:color w:val="auto"/>
          <w:sz w:val="24"/>
          <w:szCs w:val="24"/>
          <w:highlight w:val="none"/>
        </w:rPr>
        <w:t>质疑联系方式：</w:t>
      </w:r>
      <w:r>
        <w:rPr>
          <w:rFonts w:hint="eastAsia" w:ascii="仿宋_GB2312" w:hAnsi="仿宋" w:eastAsia="仿宋_GB2312" w:cs="Times New Roman"/>
          <w:color w:val="auto"/>
          <w:sz w:val="24"/>
          <w:szCs w:val="24"/>
          <w:highlight w:val="none"/>
        </w:rPr>
        <w:t>0571-63777007</w:t>
      </w:r>
      <w:r>
        <w:rPr>
          <w:rFonts w:hint="eastAsia" w:ascii="仿宋_GB2312" w:hAnsi="仿宋" w:eastAsia="仿宋_GB2312" w:cs="Times New Roman"/>
          <w:color w:val="auto"/>
          <w:sz w:val="24"/>
          <w:szCs w:val="24"/>
          <w:highlight w:val="none"/>
          <w:lang w:val="en-US" w:eastAsia="zh-CN"/>
        </w:rPr>
        <w:t xml:space="preserve"> </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2.采购代理机构信息            </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名    称：</w:t>
      </w:r>
      <w:r>
        <w:rPr>
          <w:rFonts w:hint="eastAsia" w:ascii="仿宋_GB2312" w:hAnsi="仿宋" w:eastAsia="仿宋_GB2312" w:cs="Times New Roman"/>
          <w:color w:val="auto"/>
          <w:sz w:val="24"/>
          <w:szCs w:val="24"/>
          <w:highlight w:val="none"/>
          <w:lang w:eastAsia="zh-CN"/>
        </w:rPr>
        <w:t>杭州建设工程造价咨询有限公司</w:t>
      </w:r>
      <w:r>
        <w:rPr>
          <w:rFonts w:hint="eastAsia" w:ascii="仿宋_GB2312" w:hAnsi="仿宋" w:eastAsia="仿宋_GB2312" w:cs="Times New Roman"/>
          <w:color w:val="auto"/>
          <w:sz w:val="24"/>
          <w:szCs w:val="24"/>
          <w:highlight w:val="none"/>
        </w:rPr>
        <w:t xml:space="preserve">            </w:t>
      </w:r>
    </w:p>
    <w:p>
      <w:pPr>
        <w:adjustRightInd w:val="0"/>
        <w:spacing w:line="360" w:lineRule="auto"/>
        <w:rPr>
          <w:rFonts w:hint="default"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rPr>
        <w:t xml:space="preserve">    地    址：</w:t>
      </w:r>
      <w:r>
        <w:rPr>
          <w:rFonts w:hint="eastAsia" w:ascii="仿宋_GB2312" w:hAnsi="仿宋" w:eastAsia="仿宋_GB2312" w:cs="Times New Roman"/>
          <w:color w:val="auto"/>
          <w:sz w:val="24"/>
          <w:szCs w:val="24"/>
          <w:highlight w:val="none"/>
          <w:lang w:val="en-US" w:eastAsia="zh-CN"/>
        </w:rPr>
        <w:t xml:space="preserve">杭州市临安区锦北街道马溪路667号1号楼2楼 </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传    真：</w:t>
      </w:r>
      <w:r>
        <w:rPr>
          <w:rFonts w:hint="eastAsia" w:ascii="仿宋_GB2312" w:hAnsi="仿宋" w:eastAsia="仿宋_GB2312" w:cs="Times New Roman"/>
          <w:color w:val="auto"/>
          <w:sz w:val="24"/>
          <w:szCs w:val="24"/>
          <w:highlight w:val="none"/>
          <w:lang w:val="en-US" w:eastAsia="zh-CN"/>
        </w:rPr>
        <w:t>0571-63806616</w:t>
      </w:r>
      <w:r>
        <w:rPr>
          <w:rFonts w:hint="eastAsia" w:ascii="仿宋_GB2312" w:hAnsi="仿宋" w:eastAsia="仿宋_GB2312" w:cs="Times New Roman"/>
          <w:color w:val="auto"/>
          <w:sz w:val="24"/>
          <w:szCs w:val="24"/>
          <w:highlight w:val="none"/>
        </w:rPr>
        <w:t xml:space="preserve">          </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项目联系人（询问）：</w:t>
      </w:r>
      <w:r>
        <w:rPr>
          <w:rFonts w:hint="eastAsia" w:ascii="仿宋_GB2312" w:hAnsi="仿宋" w:eastAsia="仿宋_GB2312" w:cs="Times New Roman"/>
          <w:color w:val="auto"/>
          <w:sz w:val="24"/>
          <w:szCs w:val="24"/>
          <w:highlight w:val="none"/>
          <w:lang w:val="en-US" w:eastAsia="zh-CN"/>
        </w:rPr>
        <w:t>马丽</w:t>
      </w:r>
      <w:r>
        <w:rPr>
          <w:rFonts w:hint="eastAsia" w:ascii="仿宋_GB2312" w:hAnsi="仿宋" w:eastAsia="仿宋_GB2312" w:cs="Times New Roman"/>
          <w:color w:val="auto"/>
          <w:sz w:val="24"/>
          <w:szCs w:val="24"/>
          <w:highlight w:val="none"/>
        </w:rPr>
        <w:t xml:space="preserve">      </w:t>
      </w:r>
    </w:p>
    <w:p>
      <w:pPr>
        <w:adjustRightInd w:val="0"/>
        <w:spacing w:line="360" w:lineRule="auto"/>
        <w:rPr>
          <w:rFonts w:hint="default" w:ascii="仿宋_GB2312" w:hAnsi="仿宋" w:eastAsia="仿宋_GB2312" w:cs="Times New Roman"/>
          <w:color w:val="auto"/>
          <w:sz w:val="24"/>
          <w:szCs w:val="24"/>
          <w:highlight w:val="none"/>
          <w:lang w:val="en-US"/>
        </w:rPr>
      </w:pPr>
      <w:r>
        <w:rPr>
          <w:rFonts w:hint="eastAsia" w:ascii="仿宋_GB2312" w:hAnsi="仿宋" w:eastAsia="仿宋_GB2312" w:cs="Times New Roman"/>
          <w:color w:val="auto"/>
          <w:sz w:val="24"/>
          <w:szCs w:val="24"/>
          <w:highlight w:val="none"/>
        </w:rPr>
        <w:t xml:space="preserve">    项目联系方式（询问）：</w:t>
      </w:r>
      <w:r>
        <w:rPr>
          <w:rFonts w:hint="eastAsia" w:ascii="仿宋_GB2312" w:hAnsi="仿宋" w:eastAsia="仿宋_GB2312" w:cs="Times New Roman"/>
          <w:color w:val="auto"/>
          <w:sz w:val="24"/>
          <w:szCs w:val="24"/>
          <w:highlight w:val="none"/>
          <w:lang w:val="en-US" w:eastAsia="zh-CN"/>
        </w:rPr>
        <w:t>0571-61091202</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质疑联系人：</w:t>
      </w:r>
      <w:r>
        <w:rPr>
          <w:rFonts w:hint="eastAsia" w:ascii="仿宋_GB2312" w:hAnsi="仿宋" w:eastAsia="仿宋_GB2312" w:cs="Times New Roman"/>
          <w:color w:val="auto"/>
          <w:sz w:val="24"/>
          <w:szCs w:val="24"/>
          <w:highlight w:val="none"/>
          <w:lang w:val="en-US" w:eastAsia="zh-CN"/>
        </w:rPr>
        <w:t xml:space="preserve">陈浩伟   </w:t>
      </w:r>
      <w:r>
        <w:rPr>
          <w:rFonts w:hint="eastAsia" w:ascii="仿宋_GB2312" w:hAnsi="仿宋" w:eastAsia="仿宋_GB2312" w:cs="Times New Roman"/>
          <w:color w:val="auto"/>
          <w:sz w:val="24"/>
          <w:szCs w:val="24"/>
          <w:highlight w:val="none"/>
        </w:rPr>
        <w:t xml:space="preserve">             </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质疑联系方式：0571-63806616　　　　     </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3.同级政府采购监督管理部门            </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名    称：杭州市临安区财政局政府采购监督管理科 </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地    址：</w:t>
      </w:r>
      <w:r>
        <w:rPr>
          <w:rFonts w:hint="eastAsia" w:ascii="仿宋_GB2312" w:hAnsi="仿宋" w:eastAsia="仿宋_GB2312"/>
          <w:color w:val="auto"/>
          <w:sz w:val="24"/>
          <w:highlight w:val="none"/>
        </w:rPr>
        <w:t>浙江</w:t>
      </w:r>
      <w:r>
        <w:rPr>
          <w:rFonts w:hint="eastAsia" w:ascii="仿宋_GB2312" w:hAnsi="仿宋" w:eastAsia="仿宋_GB2312"/>
          <w:color w:val="auto"/>
          <w:sz w:val="24"/>
          <w:highlight w:val="none"/>
          <w:lang w:eastAsia="zh-CN"/>
        </w:rPr>
        <w:t>省杭州市临安区锦北街道科技大道</w:t>
      </w:r>
      <w:r>
        <w:rPr>
          <w:rFonts w:hint="eastAsia" w:ascii="仿宋_GB2312" w:hAnsi="仿宋" w:eastAsia="仿宋_GB2312"/>
          <w:color w:val="auto"/>
          <w:sz w:val="24"/>
          <w:highlight w:val="none"/>
          <w:lang w:val="en-US" w:eastAsia="zh-CN"/>
        </w:rPr>
        <w:t>4398号4号楼11楼</w:t>
      </w:r>
      <w:r>
        <w:rPr>
          <w:rFonts w:hint="eastAsia" w:ascii="仿宋_GB2312" w:hAnsi="仿宋" w:eastAsia="仿宋_GB2312" w:cs="Times New Roman"/>
          <w:color w:val="auto"/>
          <w:sz w:val="24"/>
          <w:szCs w:val="24"/>
          <w:highlight w:val="none"/>
        </w:rPr>
        <w:t xml:space="preserve"> </w:t>
      </w:r>
    </w:p>
    <w:p>
      <w:pPr>
        <w:adjustRightInd w:val="0"/>
        <w:spacing w:line="360" w:lineRule="auto"/>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传    真：0571-63722886 </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联系人 ：喻伟建 </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    监督投诉电话：0571-61073953           </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color w:val="auto"/>
          <w:sz w:val="24"/>
          <w:szCs w:val="24"/>
          <w:highlight w:val="none"/>
        </w:rPr>
      </w:pPr>
    </w:p>
    <w:p>
      <w:pPr>
        <w:adjustRightInd w:val="0"/>
        <w:spacing w:line="360" w:lineRule="auto"/>
        <w:ind w:firstLine="200"/>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 xml:space="preserve">                    </w:t>
      </w:r>
    </w:p>
    <w:p>
      <w:pPr>
        <w:adjustRightInd w:val="0"/>
        <w:spacing w:line="360" w:lineRule="auto"/>
        <w:ind w:firstLine="200"/>
        <w:jc w:val="center"/>
        <w:rPr>
          <w:rFonts w:ascii="仿宋_GB2312" w:hAnsi="仿宋" w:eastAsia="仿宋_GB2312" w:cs="仿宋_GB2312"/>
          <w:snapToGrid w:val="0"/>
          <w:color w:val="auto"/>
          <w:sz w:val="24"/>
          <w:szCs w:val="24"/>
          <w:highlight w:val="none"/>
        </w:rPr>
      </w:pPr>
      <w:r>
        <w:rPr>
          <w:rFonts w:hint="eastAsia" w:ascii="仿宋_GB2312" w:hAnsi="仿宋" w:eastAsia="仿宋_GB2312" w:cs="仿宋_GB2312"/>
          <w:color w:val="auto"/>
          <w:sz w:val="24"/>
          <w:szCs w:val="24"/>
          <w:highlight w:val="none"/>
        </w:rPr>
        <w:t xml:space="preserve">                     </w:t>
      </w:r>
    </w:p>
    <w:p>
      <w:pPr>
        <w:spacing w:line="360" w:lineRule="auto"/>
        <w:jc w:val="center"/>
        <w:outlineLvl w:val="0"/>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br w:type="page"/>
      </w:r>
      <w:r>
        <w:rPr>
          <w:rFonts w:hint="eastAsia" w:ascii="仿宋_GB2312" w:hAnsi="仿宋" w:eastAsia="仿宋_GB2312" w:cs="仿宋_GB2312"/>
          <w:b/>
          <w:color w:val="auto"/>
          <w:sz w:val="36"/>
          <w:szCs w:val="20"/>
          <w:highlight w:val="none"/>
        </w:rPr>
        <w:t>第二部分</w:t>
      </w:r>
      <w:bookmarkEnd w:id="7"/>
      <w:r>
        <w:rPr>
          <w:rFonts w:hint="eastAsia" w:ascii="仿宋_GB2312" w:hAnsi="仿宋" w:eastAsia="仿宋_GB2312" w:cs="仿宋_GB2312"/>
          <w:b/>
          <w:color w:val="auto"/>
          <w:sz w:val="36"/>
          <w:szCs w:val="20"/>
          <w:highlight w:val="none"/>
        </w:rPr>
        <w:t xml:space="preserve"> 投标人须知</w:t>
      </w:r>
      <w:bookmarkEnd w:id="8"/>
    </w:p>
    <w:p>
      <w:pPr>
        <w:adjustRightInd w:val="0"/>
        <w:snapToGrid w:val="0"/>
        <w:spacing w:line="360" w:lineRule="auto"/>
        <w:jc w:val="center"/>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color w:val="auto"/>
                <w:sz w:val="24"/>
                <w:szCs w:val="24"/>
                <w:highlight w:val="none"/>
              </w:rPr>
            </w:pPr>
          </w:p>
          <w:p>
            <w:pPr>
              <w:adjustRightInd w:val="0"/>
              <w:snapToGrid w:val="0"/>
              <w:spacing w:line="360" w:lineRule="auto"/>
              <w:jc w:val="center"/>
              <w:rPr>
                <w:rFonts w:ascii="仿宋_GB2312" w:hAnsi="仿宋" w:eastAsia="仿宋_GB2312" w:cs="仿宋_GB2312"/>
                <w:color w:val="auto"/>
                <w:sz w:val="24"/>
                <w:szCs w:val="24"/>
                <w:highlight w:val="none"/>
              </w:rPr>
            </w:pPr>
          </w:p>
          <w:p>
            <w:pPr>
              <w:adjustRightInd w:val="0"/>
              <w:snapToGrid w:val="0"/>
              <w:spacing w:line="360" w:lineRule="auto"/>
              <w:jc w:val="center"/>
              <w:rPr>
                <w:rFonts w:ascii="仿宋_GB2312" w:hAnsi="仿宋" w:eastAsia="仿宋_GB2312" w:cs="仿宋_GB2312"/>
                <w:color w:val="auto"/>
                <w:sz w:val="24"/>
                <w:szCs w:val="24"/>
                <w:highlight w:val="none"/>
              </w:rPr>
            </w:pPr>
          </w:p>
          <w:p>
            <w:pPr>
              <w:adjustRightInd w:val="0"/>
              <w:snapToGrid w:val="0"/>
              <w:spacing w:line="360" w:lineRule="auto"/>
              <w:jc w:val="center"/>
              <w:rPr>
                <w:rFonts w:ascii="仿宋_GB2312" w:hAnsi="仿宋" w:eastAsia="仿宋_GB2312" w:cs="仿宋_GB2312"/>
                <w:color w:val="auto"/>
                <w:sz w:val="24"/>
                <w:szCs w:val="24"/>
                <w:highlight w:val="none"/>
              </w:rPr>
            </w:pPr>
          </w:p>
          <w:p>
            <w:pPr>
              <w:adjustRightInd w:val="0"/>
              <w:snapToGrid w:val="0"/>
              <w:spacing w:line="360" w:lineRule="auto"/>
              <w:jc w:val="center"/>
              <w:rPr>
                <w:rFonts w:ascii="仿宋_GB2312" w:hAnsi="仿宋" w:eastAsia="仿宋_GB2312" w:cs="仿宋_GB2312"/>
                <w:color w:val="auto"/>
                <w:sz w:val="24"/>
                <w:szCs w:val="24"/>
                <w:highlight w:val="none"/>
              </w:rPr>
            </w:pPr>
          </w:p>
          <w:p>
            <w:pPr>
              <w:adjustRightInd w:val="0"/>
              <w:snapToGrid w:val="0"/>
              <w:spacing w:line="360" w:lineRule="auto"/>
              <w:jc w:val="center"/>
              <w:rPr>
                <w:rFonts w:ascii="仿宋_GB2312" w:hAnsi="仿宋" w:eastAsia="仿宋_GB2312" w:cs="仿宋_GB2312"/>
                <w:color w:val="auto"/>
                <w:sz w:val="24"/>
                <w:szCs w:val="24"/>
                <w:highlight w:val="none"/>
              </w:rPr>
            </w:pPr>
          </w:p>
          <w:p>
            <w:pPr>
              <w:adjustRightInd w:val="0"/>
              <w:snapToGrid w:val="0"/>
              <w:spacing w:line="360" w:lineRule="auto"/>
              <w:jc w:val="center"/>
              <w:rPr>
                <w:rFonts w:ascii="仿宋_GB2312" w:hAnsi="仿宋" w:eastAsia="仿宋_GB2312" w:cs="仿宋_GB2312"/>
                <w:color w:val="auto"/>
                <w:sz w:val="24"/>
                <w:szCs w:val="24"/>
                <w:highlight w:val="none"/>
              </w:rPr>
            </w:pPr>
          </w:p>
          <w:p>
            <w:pPr>
              <w:adjustRightInd w:val="0"/>
              <w:snapToGri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left"/>
              <w:rPr>
                <w:rFonts w:ascii="仿宋_GB2312" w:hAnsi="仿宋" w:eastAsia="仿宋_GB2312" w:cs="仿宋_GB2312"/>
                <w:color w:val="auto"/>
                <w:kern w:val="0"/>
                <w:sz w:val="24"/>
                <w:szCs w:val="24"/>
                <w:highlight w:val="none"/>
                <w:lang w:val="zh-CN"/>
              </w:rPr>
            </w:pPr>
            <w:r>
              <w:rPr>
                <w:rFonts w:hint="eastAsia" w:ascii="仿宋_GB2312" w:hAnsi="仿宋" w:eastAsia="仿宋_GB2312" w:cs="Times New Roman"/>
                <w:color w:val="auto"/>
                <w:kern w:val="0"/>
                <w:sz w:val="24"/>
                <w:szCs w:val="24"/>
                <w:highlight w:val="none"/>
                <w:lang w:val="zh-CN"/>
              </w:rPr>
              <w:t>有关本项目建设所需的费用均计入报价。</w:t>
            </w:r>
            <w:r>
              <w:rPr>
                <w:rFonts w:hint="eastAsia" w:ascii="仿宋_GB2312" w:hAnsi="仿宋" w:eastAsia="仿宋_GB2312" w:cs="Times New Roman"/>
                <w:color w:val="auto"/>
                <w:sz w:val="24"/>
                <w:szCs w:val="24"/>
                <w:highlight w:val="none"/>
              </w:rPr>
              <w:t>《投标（开标）一览表》是报价的唯一载体</w:t>
            </w:r>
            <w:r>
              <w:rPr>
                <w:rFonts w:hint="eastAsia" w:ascii="仿宋_GB2312" w:hAnsi="仿宋" w:eastAsia="仿宋_GB2312" w:cs="仿宋_GB2312"/>
                <w:color w:val="auto"/>
                <w:kern w:val="0"/>
                <w:sz w:val="24"/>
                <w:szCs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szCs w:val="24"/>
                <w:highlight w:val="none"/>
                <w:lang w:val="zh-CN"/>
              </w:rPr>
              <w:t>。</w:t>
            </w:r>
          </w:p>
          <w:p>
            <w:pPr>
              <w:adjustRightInd w:val="0"/>
              <w:snapToGrid w:val="0"/>
              <w:spacing w:line="360" w:lineRule="auto"/>
              <w:jc w:val="left"/>
              <w:rPr>
                <w:rFonts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投标报价出现下列情形的，投标无效：</w:t>
            </w:r>
          </w:p>
          <w:p>
            <w:pPr>
              <w:adjustRightInd w:val="0"/>
              <w:snapToGrid w:val="0"/>
              <w:spacing w:line="360" w:lineRule="auto"/>
              <w:jc w:val="left"/>
              <w:rPr>
                <w:rFonts w:ascii="仿宋_GB2312" w:hAnsi="仿宋" w:eastAsia="仿宋_GB2312" w:cs="仿宋_GB2312"/>
                <w:b/>
                <w:color w:val="auto"/>
                <w:kern w:val="0"/>
                <w:sz w:val="24"/>
                <w:szCs w:val="24"/>
                <w:highlight w:val="none"/>
                <w:lang w:val="zh-CN"/>
              </w:rPr>
            </w:pPr>
            <w:r>
              <w:rPr>
                <w:rFonts w:hint="eastAsia" w:ascii="仿宋_GB2312" w:hAnsi="仿宋" w:eastAsia="仿宋_GB2312" w:cs="Times New Roman"/>
                <w:b/>
                <w:color w:val="auto"/>
                <w:sz w:val="24"/>
                <w:szCs w:val="24"/>
                <w:highlight w:val="none"/>
              </w:rPr>
              <w:t>▲</w:t>
            </w:r>
            <w:r>
              <w:rPr>
                <w:rFonts w:hint="eastAsia" w:ascii="仿宋_GB2312" w:hAnsi="仿宋" w:eastAsia="仿宋_GB2312" w:cs="仿宋_GB2312"/>
                <w:b/>
                <w:color w:val="auto"/>
                <w:kern w:val="0"/>
                <w:sz w:val="24"/>
                <w:szCs w:val="24"/>
                <w:highlight w:val="none"/>
                <w:lang w:val="zh-CN"/>
              </w:rPr>
              <w:t>投标文件出现不是唯一的、有选择性投标报价的；</w:t>
            </w:r>
          </w:p>
          <w:p>
            <w:pPr>
              <w:adjustRightInd w:val="0"/>
              <w:snapToGrid w:val="0"/>
              <w:spacing w:line="360" w:lineRule="auto"/>
              <w:jc w:val="left"/>
              <w:rPr>
                <w:rFonts w:ascii="仿宋_GB2312" w:hAnsi="仿宋" w:eastAsia="仿宋_GB2312" w:cs="仿宋_GB2312"/>
                <w:color w:val="auto"/>
                <w:kern w:val="0"/>
                <w:sz w:val="24"/>
                <w:szCs w:val="24"/>
                <w:highlight w:val="none"/>
                <w:lang w:val="zh-CN"/>
              </w:rPr>
            </w:pPr>
            <w:r>
              <w:rPr>
                <w:rFonts w:hint="eastAsia" w:ascii="仿宋_GB2312" w:hAnsi="仿宋" w:eastAsia="仿宋_GB2312" w:cs="Times New Roman"/>
                <w:b/>
                <w:color w:val="auto"/>
                <w:sz w:val="24"/>
                <w:szCs w:val="24"/>
                <w:highlight w:val="none"/>
              </w:rPr>
              <w:t>▲</w:t>
            </w:r>
            <w:r>
              <w:rPr>
                <w:rFonts w:hint="eastAsia" w:ascii="仿宋_GB2312" w:hAnsi="仿宋" w:eastAsia="仿宋_GB2312" w:cs="仿宋_GB2312"/>
                <w:b/>
                <w:color w:val="auto"/>
                <w:sz w:val="24"/>
                <w:szCs w:val="24"/>
                <w:highlight w:val="none"/>
              </w:rPr>
              <w:t>投标报价高于本项目采购预算或者最高限价的;</w:t>
            </w:r>
          </w:p>
          <w:p>
            <w:pPr>
              <w:adjustRightInd w:val="0"/>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Times New Roman"/>
                <w:b/>
                <w:color w:val="auto"/>
                <w:sz w:val="24"/>
                <w:szCs w:val="24"/>
                <w:highlight w:val="none"/>
              </w:rPr>
              <w:t>▲</w:t>
            </w:r>
            <w:r>
              <w:rPr>
                <w:rFonts w:hint="eastAsia" w:ascii="仿宋_GB2312" w:hAnsi="仿宋" w:eastAsia="仿宋_GB2312" w:cs="Arial"/>
                <w:b/>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_GB2312"/>
                <w:b/>
                <w:color w:val="auto"/>
                <w:sz w:val="24"/>
                <w:szCs w:val="21"/>
                <w:highlight w:val="none"/>
              </w:rPr>
              <w:t>;</w:t>
            </w:r>
          </w:p>
          <w:p>
            <w:pPr>
              <w:adjustRightInd w:val="0"/>
              <w:spacing w:line="360" w:lineRule="auto"/>
              <w:rPr>
                <w:rFonts w:ascii="仿宋_GB2312" w:hAnsi="仿宋" w:eastAsia="仿宋_GB2312" w:cs="仿宋_GB2312"/>
                <w:color w:val="auto"/>
                <w:sz w:val="24"/>
                <w:szCs w:val="21"/>
                <w:highlight w:val="none"/>
              </w:rPr>
            </w:pPr>
            <w:r>
              <w:rPr>
                <w:rFonts w:hint="eastAsia" w:ascii="仿宋_GB2312" w:hAnsi="仿宋" w:eastAsia="仿宋_GB2312" w:cs="Times New Roman"/>
                <w:b/>
                <w:color w:val="auto"/>
                <w:sz w:val="24"/>
                <w:szCs w:val="24"/>
                <w:highlight w:val="none"/>
              </w:rPr>
              <w:t>▲《投标（开标）一览表》填写不完整或字迹不能辨认或有漏项的；</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Arial"/>
                <w:b/>
                <w:color w:val="auto"/>
                <w:kern w:val="0"/>
                <w:sz w:val="24"/>
                <w:szCs w:val="24"/>
                <w:highlight w:val="none"/>
              </w:rPr>
              <w:t>▲投标人对根据修正原则修正后的报价不确认的</w:t>
            </w:r>
            <w:r>
              <w:rPr>
                <w:rFonts w:hint="eastAsia" w:ascii="仿宋_GB2312" w:hAnsi="仿宋" w:eastAsia="仿宋_GB2312" w:cs="Times New Roman"/>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（1）采购人不同意分包</w:t>
            </w:r>
          </w:p>
          <w:p>
            <w:pPr>
              <w:adjustRightInd w:val="0"/>
              <w:spacing w:line="360" w:lineRule="auto"/>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color w:val="auto"/>
                <w:sz w:val="24"/>
                <w:szCs w:val="24"/>
                <w:highlight w:val="none"/>
              </w:rPr>
            </w:pPr>
          </w:p>
          <w:p>
            <w:pPr>
              <w:adjustRightInd w:val="0"/>
              <w:snapToGrid w:val="0"/>
              <w:spacing w:line="360" w:lineRule="auto"/>
              <w:jc w:val="center"/>
              <w:rPr>
                <w:rFonts w:ascii="仿宋_GB2312" w:hAnsi="仿宋" w:eastAsia="仿宋_GB2312" w:cs="仿宋_GB2312"/>
                <w:color w:val="auto"/>
                <w:sz w:val="24"/>
                <w:szCs w:val="24"/>
                <w:highlight w:val="none"/>
              </w:rPr>
            </w:pPr>
          </w:p>
          <w:p>
            <w:pPr>
              <w:adjustRightInd w:val="0"/>
              <w:snapToGri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（1）资格证明文件：见招标文件第二部分</w:t>
            </w:r>
            <w:r>
              <w:rPr>
                <w:rFonts w:hint="eastAsia" w:ascii="仿宋_GB2312" w:hAnsi="仿宋" w:eastAsia="仿宋_GB2312" w:cs="仿宋_GB2312"/>
                <w:color w:val="auto"/>
                <w:sz w:val="24"/>
                <w:szCs w:val="24"/>
                <w:highlight w:val="none"/>
              </w:rPr>
              <w:t>11.1。</w:t>
            </w:r>
          </w:p>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w:t>
            </w:r>
            <w:r>
              <w:rPr>
                <w:rFonts w:hint="eastAsia" w:ascii="仿宋_GB2312" w:hAnsi="仿宋" w:eastAsia="仿宋_GB2312" w:cs="仿宋_GB2312"/>
                <w:b/>
                <w:color w:val="auto"/>
                <w:sz w:val="24"/>
                <w:szCs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color w:val="auto"/>
                <w:sz w:val="24"/>
                <w:szCs w:val="24"/>
                <w:highlight w:val="none"/>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color w:val="auto"/>
                <w:sz w:val="24"/>
                <w:szCs w:val="24"/>
                <w:highlight w:val="none"/>
              </w:rPr>
            </w:pPr>
          </w:p>
          <w:p>
            <w:pPr>
              <w:adjustRightInd w:val="0"/>
              <w:snapToGri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Arial"/>
                <w:snapToGrid w:val="0"/>
                <w:color w:val="auto"/>
                <w:sz w:val="24"/>
                <w:szCs w:val="20"/>
                <w:highlight w:val="none"/>
              </w:rPr>
            </w:pPr>
            <w:r>
              <w:rPr>
                <w:rFonts w:hint="eastAsia" w:ascii="仿宋_GB2312" w:hAnsi="仿宋" w:eastAsia="仿宋_GB2312" w:cs="Times New Roman"/>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cs="Times New Roman"/>
                <w:b/>
                <w:color w:val="auto"/>
                <w:sz w:val="24"/>
                <w:szCs w:val="24"/>
                <w:highlight w:val="none"/>
                <w:lang w:eastAsia="zh-CN"/>
              </w:rPr>
            </w:pPr>
            <w:r>
              <w:rPr>
                <w:rFonts w:hint="eastAsia" w:ascii="仿宋" w:hAnsi="仿宋" w:eastAsia="仿宋"/>
                <w:snapToGrid w:val="0"/>
                <w:color w:val="auto"/>
                <w:kern w:val="28"/>
                <w:sz w:val="24"/>
                <w:highlight w:val="none"/>
                <w:lang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7"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color w:val="auto"/>
                <w:sz w:val="24"/>
                <w:szCs w:val="24"/>
                <w:highlight w:val="none"/>
              </w:rPr>
            </w:pPr>
            <w:r>
              <w:rPr>
                <w:rFonts w:hint="eastAsia" w:ascii="仿宋_GB2312" w:hAnsi="仿宋" w:eastAsia="仿宋_GB2312" w:cs="仿宋_GB2312"/>
                <w:b/>
                <w:color w:val="auto"/>
                <w:sz w:val="24"/>
                <w:szCs w:val="24"/>
                <w:highlight w:val="none"/>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tabs>
                <w:tab w:val="left" w:pos="0"/>
              </w:tabs>
              <w:kinsoku/>
              <w:wordWrap/>
              <w:overflowPunct/>
              <w:topLinePunct w:val="0"/>
              <w:bidi w:val="0"/>
              <w:spacing w:line="480" w:lineRule="atLeast"/>
              <w:textAlignment w:val="auto"/>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系统演示：由投标人自行准备相关演示环境，软件模型成功展现本次项目要求的功能，演示视频须制作成U盘</w:t>
            </w:r>
            <w:r>
              <w:rPr>
                <w:rFonts w:hint="eastAsia" w:ascii="仿宋_GB2312" w:hAnsi="仿宋_GB2312" w:eastAsia="仿宋_GB2312" w:cs="仿宋_GB2312"/>
                <w:b/>
                <w:bCs/>
                <w:color w:val="auto"/>
                <w:sz w:val="24"/>
                <w:szCs w:val="24"/>
                <w:highlight w:val="none"/>
                <w:lang w:val="zh-CN" w:eastAsia="zh-CN"/>
              </w:rPr>
              <w:t>（</w:t>
            </w:r>
            <w:r>
              <w:rPr>
                <w:rFonts w:hint="eastAsia" w:ascii="仿宋_GB2312" w:hAnsi="仿宋_GB2312" w:eastAsia="仿宋_GB2312" w:cs="仿宋_GB2312"/>
                <w:b/>
                <w:bCs/>
                <w:color w:val="auto"/>
                <w:sz w:val="24"/>
                <w:szCs w:val="24"/>
                <w:highlight w:val="none"/>
                <w:lang w:val="en-US" w:eastAsia="zh-CN"/>
              </w:rPr>
              <w:t>每家单位演示时间不超过20分钟</w:t>
            </w:r>
            <w:r>
              <w:rPr>
                <w:rFonts w:hint="eastAsia" w:ascii="仿宋_GB2312" w:hAnsi="仿宋_GB2312" w:eastAsia="仿宋_GB2312" w:cs="仿宋_GB2312"/>
                <w:b/>
                <w:bCs/>
                <w:color w:val="auto"/>
                <w:sz w:val="24"/>
                <w:szCs w:val="24"/>
                <w:highlight w:val="none"/>
                <w:lang w:val="zh-CN" w:eastAsia="zh-CN"/>
              </w:rPr>
              <w:t>）</w:t>
            </w:r>
            <w:r>
              <w:rPr>
                <w:rFonts w:hint="eastAsia" w:ascii="仿宋_GB2312" w:hAnsi="仿宋_GB2312" w:eastAsia="仿宋_GB2312" w:cs="仿宋_GB2312"/>
                <w:color w:val="auto"/>
                <w:sz w:val="24"/>
                <w:szCs w:val="24"/>
                <w:highlight w:val="none"/>
                <w:lang w:val="zh-CN" w:eastAsia="zh-CN"/>
              </w:rPr>
              <w:t>，在投标截止前</w:t>
            </w:r>
            <w:r>
              <w:rPr>
                <w:rFonts w:hint="eastAsia" w:ascii="仿宋_GB2312" w:hAnsi="仿宋_GB2312" w:eastAsia="仿宋_GB2312" w:cs="仿宋_GB2312"/>
                <w:color w:val="auto"/>
                <w:sz w:val="24"/>
                <w:szCs w:val="24"/>
                <w:highlight w:val="none"/>
                <w:lang w:val="en-US" w:eastAsia="zh-CN"/>
              </w:rPr>
              <w:t>2022</w:t>
            </w:r>
            <w:r>
              <w:rPr>
                <w:rFonts w:hint="eastAsia" w:ascii="仿宋_GB2312" w:hAnsi="仿宋_GB2312" w:eastAsia="仿宋_GB2312" w:cs="仿宋_GB2312"/>
                <w:color w:val="auto"/>
                <w:sz w:val="24"/>
                <w:szCs w:val="24"/>
                <w:highlight w:val="none"/>
                <w:lang w:val="zh-CN" w:eastAsia="zh-CN"/>
              </w:rPr>
              <w:t>年</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zh-CN" w:eastAsia="zh-CN"/>
              </w:rPr>
              <w:t>月</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lang w:val="zh-CN" w:eastAsia="zh-CN"/>
              </w:rPr>
              <w:t>日</w:t>
            </w:r>
            <w:r>
              <w:rPr>
                <w:rFonts w:hint="eastAsia" w:ascii="仿宋_GB2312" w:hAnsi="仿宋_GB2312" w:eastAsia="仿宋_GB2312" w:cs="仿宋_GB2312"/>
                <w:color w:val="auto"/>
                <w:sz w:val="24"/>
                <w:szCs w:val="24"/>
                <w:highlight w:val="none"/>
                <w:lang w:val="en-US" w:eastAsia="zh-CN"/>
              </w:rPr>
              <w:t>14点00分前</w:t>
            </w:r>
            <w:r>
              <w:rPr>
                <w:rFonts w:hint="eastAsia" w:ascii="仿宋_GB2312" w:hAnsi="仿宋_GB2312" w:eastAsia="仿宋_GB2312" w:cs="仿宋_GB2312"/>
                <w:color w:val="auto"/>
                <w:sz w:val="24"/>
                <w:szCs w:val="24"/>
                <w:highlight w:val="none"/>
                <w:lang w:val="zh-CN" w:eastAsia="zh-CN"/>
              </w:rPr>
              <w:t>提交至</w:t>
            </w:r>
            <w:r>
              <w:rPr>
                <w:rFonts w:hint="eastAsia" w:ascii="仿宋_GB2312" w:hAnsi="仿宋_GB2312" w:eastAsia="仿宋_GB2312" w:cs="仿宋_GB2312"/>
                <w:color w:val="auto"/>
                <w:sz w:val="24"/>
                <w:szCs w:val="24"/>
                <w:highlight w:val="none"/>
                <w:lang w:val="en-US" w:eastAsia="zh-CN"/>
              </w:rPr>
              <w:t>临安区马溪路667号1号楼2楼开标室</w:t>
            </w:r>
            <w:r>
              <w:rPr>
                <w:rFonts w:hint="eastAsia" w:ascii="仿宋_GB2312" w:hAnsi="仿宋_GB2312" w:eastAsia="仿宋_GB2312" w:cs="仿宋_GB2312"/>
                <w:color w:val="auto"/>
                <w:sz w:val="24"/>
                <w:szCs w:val="24"/>
                <w:highlight w:val="none"/>
                <w:lang w:val="zh-CN" w:eastAsia="zh-CN"/>
              </w:rPr>
              <w:t>，逾期拒收（演示均以真实系统或者DEMO形式演示，PPT、Word演示或未提供演示不得分）。</w:t>
            </w:r>
          </w:p>
          <w:p>
            <w:pPr>
              <w:adjustRightInd w:val="0"/>
              <w:spacing w:line="360" w:lineRule="auto"/>
              <w:rPr>
                <w:rFonts w:ascii="仿宋_GB2312" w:hAnsi="仿宋" w:eastAsia="仿宋_GB2312" w:cs="仿宋_GB2312"/>
                <w:b/>
                <w:color w:val="auto"/>
                <w:kern w:val="0"/>
                <w:sz w:val="24"/>
                <w:szCs w:val="20"/>
                <w:highlight w:val="none"/>
                <w:lang w:val="zh-CN"/>
              </w:rPr>
            </w:pPr>
            <w:r>
              <w:rPr>
                <w:rFonts w:hint="eastAsia" w:ascii="仿宋_GB2312" w:hAnsi="仿宋_GB2312" w:eastAsia="仿宋_GB2312" w:cs="仿宋_GB2312"/>
                <w:b/>
                <w:bCs/>
                <w:color w:val="auto"/>
                <w:sz w:val="24"/>
                <w:szCs w:val="24"/>
                <w:highlight w:val="none"/>
                <w:lang w:val="zh-CN" w:eastAsia="zh-CN"/>
              </w:rPr>
              <w:t>注：演示视频需密封送达，评标阶段拆封演示，因响应方自身原因导致无法演示或者演示效果不理想的，责任自负。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项目属性</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hint="eastAsia" w:ascii="仿宋_GB2312" w:hAnsi="仿宋" w:eastAsia="仿宋_GB2312" w:cs="Times New Roman"/>
                <w:color w:val="auto"/>
                <w:sz w:val="24"/>
                <w:szCs w:val="24"/>
                <w:highlight w:val="none"/>
                <w:lang w:eastAsia="zh-CN"/>
              </w:rPr>
            </w:pPr>
            <w:r>
              <w:rPr>
                <w:rFonts w:hint="eastAsia" w:ascii="仿宋_GB2312" w:hAnsi="仿宋" w:eastAsia="仿宋_GB2312" w:cs="Times New Roman"/>
                <w:color w:val="auto"/>
                <w:sz w:val="24"/>
                <w:szCs w:val="24"/>
                <w:highlight w:val="none"/>
                <w:lang w:eastAsia="zh-CN"/>
              </w:rPr>
              <w:t>服务</w:t>
            </w:r>
            <w:r>
              <w:rPr>
                <w:rFonts w:hint="eastAsia" w:ascii="仿宋_GB2312" w:hAnsi="仿宋" w:eastAsia="仿宋_GB2312" w:cs="Times New Roman"/>
                <w:color w:val="auto"/>
                <w:sz w:val="24"/>
                <w:szCs w:val="24"/>
                <w:highlight w:val="none"/>
              </w:rPr>
              <w:t>类</w:t>
            </w:r>
            <w:r>
              <w:rPr>
                <w:rFonts w:hint="eastAsia" w:ascii="仿宋_GB2312" w:hAnsi="仿宋" w:eastAsia="仿宋_GB2312"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8"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采购标的：</w:t>
            </w:r>
            <w:r>
              <w:rPr>
                <w:rFonts w:hint="eastAsia" w:ascii="仿宋_GB2312" w:hAnsi="仿宋" w:eastAsia="仿宋_GB2312" w:cs="Times New Roman"/>
                <w:color w:val="auto"/>
                <w:sz w:val="24"/>
                <w:szCs w:val="24"/>
                <w:highlight w:val="none"/>
                <w:u w:val="single"/>
                <w:lang w:val="en-US" w:eastAsia="zh-CN"/>
              </w:rPr>
              <w:t>“龙门秘境”数字景区集成创新示范区建设</w:t>
            </w:r>
            <w:r>
              <w:rPr>
                <w:rFonts w:hint="eastAsia" w:ascii="仿宋_GB2312" w:hAnsi="仿宋" w:eastAsia="仿宋_GB2312" w:cs="Times New Roman"/>
                <w:color w:val="auto"/>
                <w:sz w:val="24"/>
                <w:szCs w:val="24"/>
                <w:highlight w:val="none"/>
              </w:rPr>
              <w:t>，所属行业：</w:t>
            </w:r>
            <w:r>
              <w:rPr>
                <w:rFonts w:hint="eastAsia" w:ascii="仿宋_GB2312" w:hAnsi="仿宋" w:eastAsia="仿宋_GB2312" w:cs="Times New Roman"/>
                <w:b/>
                <w:bCs/>
                <w:color w:val="auto"/>
                <w:sz w:val="24"/>
                <w:szCs w:val="24"/>
                <w:highlight w:val="none"/>
                <w:u w:val="single"/>
                <w:lang w:val="en-US" w:eastAsia="zh-CN"/>
              </w:rPr>
              <w:t>基础软件开发服务</w:t>
            </w:r>
            <w:r>
              <w:rPr>
                <w:rFonts w:hint="eastAsia" w:ascii="仿宋_GB2312" w:hAnsi="仿宋" w:eastAsia="仿宋_GB2312"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是否适宜中小企业情况</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根据《政府采购促进中小企业发展管理办法》财库〔</w:t>
            </w:r>
            <w:r>
              <w:rPr>
                <w:rFonts w:ascii="仿宋_GB2312" w:hAnsi="仿宋" w:eastAsia="仿宋_GB2312" w:cs="Times New Roman"/>
                <w:color w:val="auto"/>
                <w:sz w:val="24"/>
                <w:szCs w:val="24"/>
                <w:highlight w:val="none"/>
              </w:rPr>
              <w:t>2020〕46号</w:t>
            </w:r>
            <w:r>
              <w:rPr>
                <w:rFonts w:hint="eastAsia" w:ascii="仿宋_GB2312" w:hAnsi="仿宋" w:eastAsia="仿宋_GB2312" w:cs="Times New Roman"/>
                <w:color w:val="auto"/>
                <w:sz w:val="24"/>
                <w:szCs w:val="24"/>
                <w:highlight w:val="none"/>
              </w:rPr>
              <w:t>文件的规定，</w:t>
            </w:r>
            <w:r>
              <w:rPr>
                <w:rFonts w:hint="eastAsia" w:ascii="仿宋_GB2312" w:hAnsi="仿宋" w:eastAsia="仿宋_GB2312"/>
                <w:color w:val="auto"/>
                <w:sz w:val="24"/>
                <w:highlight w:val="none"/>
              </w:rPr>
              <w:t>本项目适宜由中小企业提供，专门面向中小企业采购。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p>
            <w:pPr>
              <w:adjustRightInd w:val="0"/>
              <w:snapToGri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color w:val="auto"/>
                <w:sz w:val="24"/>
                <w:szCs w:val="24"/>
                <w:highlight w:val="none"/>
              </w:rPr>
            </w:pPr>
            <w:r>
              <w:rPr>
                <w:rFonts w:hint="eastAsia" w:ascii="仿宋_GB2312" w:hAnsi="仿宋_GB2312" w:eastAsia="仿宋_GB2312" w:cs="仿宋_GB2312"/>
                <w:snapToGrid w:val="0"/>
                <w:color w:val="auto"/>
                <w:kern w:val="2"/>
                <w:sz w:val="24"/>
                <w:szCs w:val="21"/>
                <w:highlight w:val="none"/>
                <w:lang w:val="en-US" w:eastAsia="zh-CN" w:bidi="ar-SA"/>
              </w:rPr>
              <w:t>凡已在浙江政府采购网网上注册入库，并取得临安区政府采购合同的中小企业供应商，均可申请政府采购信用融资，联系方式见附表（政府采购融资畅通工程金融机构联系信息表）。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default" w:ascii="仿宋_GB2312" w:hAnsi="仿宋" w:eastAsia="仿宋_GB2312" w:cs="仿宋_GB2312"/>
                <w:color w:val="auto"/>
                <w:sz w:val="24"/>
                <w:szCs w:val="24"/>
                <w:highlight w:val="none"/>
                <w:lang w:val="en-US" w:eastAsia="zh-CN"/>
              </w:rPr>
            </w:pPr>
            <w:r>
              <w:rPr>
                <w:rFonts w:hint="eastAsia" w:ascii="仿宋_GB2312" w:hAnsi="仿宋" w:eastAsia="仿宋_GB2312" w:cs="仿宋_GB2312"/>
                <w:color w:val="auto"/>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default" w:ascii="仿宋_GB2312" w:hAnsi="仿宋" w:eastAsia="仿宋_GB2312" w:cs="仿宋_GB2312"/>
                <w:b/>
                <w:color w:val="auto"/>
                <w:sz w:val="24"/>
                <w:szCs w:val="24"/>
                <w:highlight w:val="none"/>
                <w:lang w:val="en-US" w:eastAsia="zh-CN"/>
              </w:rPr>
            </w:pPr>
            <w:r>
              <w:rPr>
                <w:rFonts w:hint="eastAsia" w:ascii="仿宋_GB2312" w:hAnsi="仿宋" w:eastAsia="仿宋_GB2312" w:cs="仿宋_GB2312"/>
                <w:b/>
                <w:color w:val="auto"/>
                <w:sz w:val="24"/>
                <w:szCs w:val="24"/>
                <w:highlight w:val="none"/>
                <w:lang w:val="en-US" w:eastAsia="zh-CN"/>
              </w:rPr>
              <w:t>现场确认声明书</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_GB2312" w:eastAsia="仿宋_GB2312" w:cs="仿宋_GB2312"/>
                <w:snapToGrid w:val="0"/>
                <w:color w:val="auto"/>
                <w:kern w:val="2"/>
                <w:sz w:val="24"/>
                <w:szCs w:val="21"/>
                <w:highlight w:val="none"/>
                <w:lang w:val="en-US" w:eastAsia="zh-CN" w:bidi="ar-SA"/>
              </w:rPr>
            </w:pPr>
            <w:r>
              <w:rPr>
                <w:rFonts w:hint="eastAsia" w:ascii="仿宋_GB2312" w:hAnsi="仿宋_GB2312" w:eastAsia="仿宋_GB2312" w:cs="仿宋_GB2312"/>
                <w:b/>
                <w:bCs/>
                <w:snapToGrid w:val="0"/>
                <w:color w:val="auto"/>
                <w:kern w:val="2"/>
                <w:sz w:val="24"/>
                <w:szCs w:val="21"/>
                <w:highlight w:val="none"/>
                <w:lang w:val="en-US" w:eastAsia="zh-CN" w:bidi="ar-SA"/>
              </w:rPr>
              <w:t>开标记录开启后，投标供应商将填写完整且经授权代表签署的《政府采购活动现场确认声明书》原件扫描件发送至邮箱：</w:t>
            </w:r>
            <w:r>
              <w:rPr>
                <w:rFonts w:hint="eastAsia" w:ascii="仿宋_GB2312" w:hAnsi="仿宋_GB2312" w:eastAsia="仿宋_GB2312" w:cs="仿宋_GB2312"/>
                <w:b/>
                <w:bCs/>
                <w:snapToGrid w:val="0"/>
                <w:color w:val="auto"/>
                <w:kern w:val="2"/>
                <w:sz w:val="24"/>
                <w:szCs w:val="21"/>
                <w:highlight w:val="none"/>
                <w:lang w:val="en-US" w:eastAsia="zh-CN" w:bidi="ar-SA"/>
              </w:rPr>
              <w:fldChar w:fldCharType="begin"/>
            </w:r>
            <w:r>
              <w:rPr>
                <w:rFonts w:hint="eastAsia" w:ascii="仿宋_GB2312" w:hAnsi="仿宋_GB2312" w:eastAsia="仿宋_GB2312" w:cs="仿宋_GB2312"/>
                <w:b/>
                <w:bCs/>
                <w:snapToGrid w:val="0"/>
                <w:color w:val="auto"/>
                <w:kern w:val="2"/>
                <w:sz w:val="24"/>
                <w:szCs w:val="21"/>
                <w:highlight w:val="none"/>
                <w:lang w:val="en-US" w:eastAsia="zh-CN" w:bidi="ar-SA"/>
              </w:rPr>
              <w:instrText xml:space="preserve"> HYPERLINK "mailto:zyb2000@163.com" </w:instrText>
            </w:r>
            <w:r>
              <w:rPr>
                <w:rFonts w:hint="eastAsia" w:ascii="仿宋_GB2312" w:hAnsi="仿宋_GB2312" w:eastAsia="仿宋_GB2312" w:cs="仿宋_GB2312"/>
                <w:b/>
                <w:bCs/>
                <w:snapToGrid w:val="0"/>
                <w:color w:val="auto"/>
                <w:kern w:val="2"/>
                <w:sz w:val="24"/>
                <w:szCs w:val="21"/>
                <w:highlight w:val="none"/>
                <w:lang w:val="en-US" w:eastAsia="zh-CN" w:bidi="ar-SA"/>
              </w:rPr>
              <w:fldChar w:fldCharType="separate"/>
            </w:r>
            <w:r>
              <w:rPr>
                <w:rFonts w:hint="eastAsia" w:ascii="仿宋_GB2312" w:hAnsi="仿宋_GB2312" w:eastAsia="仿宋_GB2312" w:cs="仿宋_GB2312"/>
                <w:b/>
                <w:bCs/>
                <w:snapToGrid w:val="0"/>
                <w:color w:val="auto"/>
                <w:kern w:val="2"/>
                <w:sz w:val="24"/>
                <w:szCs w:val="21"/>
                <w:highlight w:val="none"/>
                <w:lang w:val="en-US" w:eastAsia="zh-CN" w:bidi="ar-SA"/>
              </w:rPr>
              <w:t>617044846@qq.</w:t>
            </w:r>
            <w:r>
              <w:rPr>
                <w:rFonts w:hint="eastAsia" w:ascii="仿宋_GB2312" w:hAnsi="仿宋_GB2312" w:eastAsia="仿宋_GB2312" w:cs="仿宋_GB2312"/>
                <w:b/>
                <w:bCs/>
                <w:snapToGrid w:val="0"/>
                <w:color w:val="auto"/>
                <w:kern w:val="2"/>
                <w:sz w:val="24"/>
                <w:szCs w:val="21"/>
                <w:highlight w:val="none"/>
                <w:lang w:val="en-US" w:eastAsia="zh-CN" w:bidi="ar-SA"/>
              </w:rPr>
              <w:fldChar w:fldCharType="end"/>
            </w:r>
            <w:r>
              <w:rPr>
                <w:rFonts w:hint="eastAsia" w:ascii="仿宋_GB2312" w:hAnsi="仿宋_GB2312" w:eastAsia="仿宋_GB2312" w:cs="仿宋_GB2312"/>
                <w:b/>
                <w:bCs/>
                <w:snapToGrid w:val="0"/>
                <w:color w:val="auto"/>
                <w:kern w:val="2"/>
                <w:sz w:val="24"/>
                <w:szCs w:val="21"/>
                <w:highlight w:val="none"/>
                <w:lang w:val="en-US" w:eastAsia="zh-CN" w:bidi="ar-SA"/>
              </w:rPr>
              <w:t>com（格式见附件2）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default" w:ascii="仿宋_GB2312" w:hAnsi="仿宋" w:eastAsia="仿宋_GB2312" w:cs="仿宋_GB2312"/>
                <w:color w:val="auto"/>
                <w:sz w:val="24"/>
                <w:szCs w:val="24"/>
                <w:highlight w:val="none"/>
                <w:lang w:val="en-US" w:eastAsia="zh-CN"/>
              </w:rPr>
            </w:pPr>
            <w:r>
              <w:rPr>
                <w:rFonts w:hint="eastAsia" w:ascii="仿宋_GB2312" w:hAnsi="仿宋" w:eastAsia="仿宋_GB2312" w:cs="仿宋_GB2312"/>
                <w:color w:val="auto"/>
                <w:sz w:val="24"/>
                <w:szCs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color w:val="auto"/>
                <w:sz w:val="24"/>
                <w:szCs w:val="24"/>
                <w:highlight w:val="none"/>
                <w:lang w:val="en-US" w:eastAsia="zh-CN"/>
              </w:rPr>
            </w:pPr>
            <w:r>
              <w:rPr>
                <w:rFonts w:hint="eastAsia" w:ascii="仿宋_GB2312" w:hAnsi="仿宋" w:eastAsia="仿宋_GB2312" w:cs="仿宋_GB2312"/>
                <w:b/>
                <w:color w:val="auto"/>
                <w:sz w:val="24"/>
                <w:szCs w:val="24"/>
                <w:highlight w:val="none"/>
                <w:lang w:val="en-US" w:eastAsia="zh-CN"/>
              </w:rPr>
              <w:t>代理费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_GB2312" w:eastAsia="仿宋_GB2312" w:cs="仿宋_GB2312"/>
                <w:snapToGrid w:val="0"/>
                <w:color w:val="auto"/>
                <w:kern w:val="2"/>
                <w:sz w:val="24"/>
                <w:szCs w:val="21"/>
                <w:highlight w:val="none"/>
                <w:lang w:val="en-US" w:eastAsia="zh-CN" w:bidi="ar-SA"/>
              </w:rPr>
            </w:pPr>
            <w:r>
              <w:rPr>
                <w:rFonts w:hint="eastAsia" w:ascii="仿宋_GB2312" w:hAnsi="仿宋_GB2312" w:eastAsia="仿宋_GB2312" w:cs="仿宋_GB2312"/>
                <w:b/>
                <w:bCs/>
                <w:snapToGrid w:val="0"/>
                <w:color w:val="auto"/>
                <w:sz w:val="24"/>
                <w:szCs w:val="21"/>
                <w:highlight w:val="none"/>
              </w:rPr>
              <w:t xml:space="preserve">采购代理服务费按发改价格〔2011〕534号文件、国家发改委计价格〔2002〕1980号文件规定收费标准的80%（最低 </w:t>
            </w:r>
            <w:r>
              <w:rPr>
                <w:rFonts w:hint="eastAsia" w:ascii="仿宋_GB2312" w:hAnsi="仿宋_GB2312" w:eastAsia="仿宋_GB2312" w:cs="仿宋_GB2312"/>
                <w:b/>
                <w:bCs/>
                <w:snapToGrid w:val="0"/>
                <w:color w:val="auto"/>
                <w:sz w:val="24"/>
                <w:szCs w:val="21"/>
                <w:highlight w:val="none"/>
                <w:lang w:val="en-US" w:eastAsia="zh-CN"/>
              </w:rPr>
              <w:t>3000</w:t>
            </w:r>
            <w:r>
              <w:rPr>
                <w:rFonts w:hint="eastAsia" w:ascii="仿宋_GB2312" w:hAnsi="仿宋_GB2312" w:eastAsia="仿宋_GB2312" w:cs="仿宋_GB2312"/>
                <w:b/>
                <w:bCs/>
                <w:snapToGrid w:val="0"/>
                <w:color w:val="auto"/>
                <w:sz w:val="24"/>
                <w:szCs w:val="21"/>
                <w:highlight w:val="none"/>
              </w:rPr>
              <w:t>元）由中标人支付，专家评审费另行支付费用在发出中标通知书之前结清。</w:t>
            </w:r>
          </w:p>
        </w:tc>
      </w:tr>
    </w:tbl>
    <w:p>
      <w:pPr>
        <w:adjustRightInd w:val="0"/>
        <w:snapToGrid w:val="0"/>
        <w:spacing w:line="360" w:lineRule="auto"/>
        <w:jc w:val="center"/>
        <w:rPr>
          <w:rFonts w:ascii="仿宋_GB2312" w:hAnsi="仿宋" w:eastAsia="仿宋_GB2312" w:cs="仿宋_GB2312"/>
          <w:b/>
          <w:color w:val="auto"/>
          <w:sz w:val="32"/>
          <w:szCs w:val="20"/>
          <w:highlight w:val="none"/>
        </w:rPr>
      </w:pPr>
    </w:p>
    <w:p>
      <w:pPr>
        <w:pStyle w:val="17"/>
        <w:ind w:left="0" w:leftChars="0" w:firstLine="0" w:firstLineChars="0"/>
        <w:rPr>
          <w:rFonts w:hint="eastAsia" w:ascii="仿宋_GB2312" w:hAnsi="仿宋" w:eastAsia="仿宋_GB2312" w:cs="仿宋_GB2312"/>
          <w:b/>
          <w:color w:val="auto"/>
          <w:sz w:val="32"/>
          <w:szCs w:val="20"/>
          <w:highlight w:val="none"/>
        </w:rPr>
      </w:pPr>
    </w:p>
    <w:p>
      <w:pPr>
        <w:rPr>
          <w:rFonts w:hint="eastAsia"/>
          <w:color w:val="auto"/>
          <w:highlight w:val="none"/>
        </w:rPr>
      </w:pPr>
    </w:p>
    <w:p>
      <w:pPr>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adjustRightInd w:val="0"/>
        <w:snapToGrid w:val="0"/>
        <w:spacing w:line="360" w:lineRule="auto"/>
        <w:jc w:val="left"/>
        <w:outlineLvl w:val="1"/>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1. 适用范围</w:t>
      </w:r>
    </w:p>
    <w:p>
      <w:pPr>
        <w:adjustRightInd w:val="0"/>
        <w:snapToGrid w:val="0"/>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2.定义</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2.1 “采购人”系指招标公告中载明的本项目的采购人。</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2.2 “采购机构”系指招标公告中载明的本项目的采购机构。</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2.4 “负责人”系指法人企业的法定负责人，或其他组织为法律、行政法规规定代表单位行使职权的主要负责人，或自然人本人。</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2.5“电子签名”系指数据电文中以电子形式所含、所附用于识别签名人身份并表明签名人认可其中内容的数据。</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2.6“电子交易平台”是指本项目政府采购活动所依托的政府采购云平台（https://www.zcygov.cn/）。</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2.7 “▲” 系指实质性要求条款，“★”系产品采购项目中单一产品或核心产品。</w:t>
      </w:r>
    </w:p>
    <w:p>
      <w:pPr>
        <w:adjustRightInd w:val="0"/>
        <w:spacing w:line="360" w:lineRule="auto"/>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3.</w:t>
      </w:r>
      <w:r>
        <w:rPr>
          <w:rFonts w:hint="eastAsia" w:ascii="仿宋_GB2312" w:hAnsi="仿宋" w:eastAsia="仿宋_GB2312" w:cs="Times New Roman"/>
          <w:color w:val="auto"/>
          <w:szCs w:val="24"/>
          <w:highlight w:val="none"/>
        </w:rPr>
        <w:t xml:space="preserve"> </w:t>
      </w:r>
      <w:r>
        <w:rPr>
          <w:rFonts w:hint="eastAsia" w:ascii="仿宋_GB2312" w:hAnsi="仿宋" w:eastAsia="仿宋_GB2312" w:cs="Times New Roman"/>
          <w:b/>
          <w:color w:val="auto"/>
          <w:sz w:val="24"/>
          <w:szCs w:val="24"/>
          <w:highlight w:val="none"/>
        </w:rPr>
        <w:t>采购项目需要落实的政府采购政策</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3.2 节能环保要求</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pacing w:line="360" w:lineRule="auto"/>
        <w:ind w:firstLine="480" w:firstLineChars="200"/>
        <w:rPr>
          <w:rFonts w:ascii="仿宋_GB2312" w:hAnsi="仿宋" w:eastAsia="仿宋_GB2312" w:cs="Times New Roman"/>
          <w:b/>
          <w:color w:val="auto"/>
          <w:sz w:val="24"/>
          <w:szCs w:val="24"/>
          <w:highlight w:val="none"/>
        </w:rPr>
      </w:pPr>
      <w:r>
        <w:rPr>
          <w:rFonts w:hint="eastAsia" w:ascii="仿宋_GB2312" w:hAnsi="仿宋" w:eastAsia="仿宋_GB2312" w:cs="Times New Roman"/>
          <w:color w:val="auto"/>
          <w:sz w:val="24"/>
          <w:szCs w:val="24"/>
          <w:highlight w:val="none"/>
        </w:rPr>
        <w:t>3.2.2▲</w:t>
      </w:r>
      <w:r>
        <w:rPr>
          <w:rFonts w:hint="eastAsia" w:ascii="仿宋_GB2312" w:hAnsi="仿宋" w:eastAsia="仿宋_GB2312" w:cs="Times New Roman"/>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采购人拟采购的产品属于政府强制采购的节能产品品目清单范围的，投标人未按招标文件要求提供国家确定的认证机构出具的、处于有效期之内的节能产品认证证书，投标无效。</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Times New Roman"/>
          <w:color w:val="auto"/>
          <w:sz w:val="24"/>
          <w:szCs w:val="24"/>
          <w:highlight w:val="none"/>
        </w:rPr>
        <w:t>3.3</w:t>
      </w:r>
      <w:r>
        <w:rPr>
          <w:rFonts w:hint="eastAsia" w:ascii="仿宋_GB2312" w:hAnsi="仿宋" w:eastAsia="仿宋_GB2312" w:cs="Times New Roman"/>
          <w:bCs/>
          <w:color w:val="auto"/>
          <w:sz w:val="24"/>
          <w:szCs w:val="24"/>
          <w:highlight w:val="none"/>
        </w:rPr>
        <w:t>支持中小企业发展</w:t>
      </w:r>
      <w:r>
        <w:rPr>
          <w:rFonts w:hint="eastAsia" w:ascii="仿宋_GB2312" w:hAnsi="仿宋" w:eastAsia="仿宋_GB2312" w:cs="Times New Roman"/>
          <w:color w:val="auto"/>
          <w:sz w:val="24"/>
          <w:szCs w:val="24"/>
          <w:highlight w:val="none"/>
        </w:rPr>
        <w:t>。</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Times New Roman"/>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Times New Roman"/>
          <w:color w:val="auto"/>
          <w:sz w:val="24"/>
          <w:szCs w:val="24"/>
          <w:highlight w:val="none"/>
        </w:rPr>
        <w:t>符合中小企业划分标准的个体工商户，在政府采购活动中视同中小企业。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highlight w:val="none"/>
        </w:rPr>
      </w:pPr>
      <w:r>
        <w:rPr>
          <w:rFonts w:ascii="仿宋_GB2312" w:hAnsi="Times New Roman" w:eastAsia="仿宋_GB2312" w:cs="Times New Roman"/>
          <w:bCs/>
          <w:color w:val="auto"/>
          <w:sz w:val="24"/>
          <w:szCs w:val="24"/>
          <w:highlight w:val="none"/>
        </w:rPr>
        <w:t>3.3.2</w:t>
      </w:r>
      <w:r>
        <w:rPr>
          <w:rFonts w:hint="eastAsia" w:ascii="仿宋_GB2312" w:hAnsi="宋体" w:eastAsia="仿宋_GB2312" w:cs="宋体"/>
          <w:color w:val="auto"/>
          <w:kern w:val="0"/>
          <w:sz w:val="24"/>
          <w:szCs w:val="24"/>
          <w:highlight w:val="none"/>
        </w:rPr>
        <w:t>在政府采购活动中，投标人提供的货物、工程或者服务符合下列情形的，享受中小企业扶持政策：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r>
        <w:rPr>
          <w:rFonts w:ascii="仿宋_GB2312" w:hAnsi="宋体" w:eastAsia="仿宋_GB2312" w:cs="宋体"/>
          <w:color w:val="auto"/>
          <w:kern w:val="0"/>
          <w:sz w:val="24"/>
          <w:szCs w:val="24"/>
          <w:highlight w:val="none"/>
        </w:rPr>
        <w:t>1）在货物采购项目中，货物由中小企业制造，即货物由中小企业生产且使用该中小企业商号或者注册商标；</w:t>
      </w:r>
    </w:p>
    <w:p>
      <w:pPr>
        <w:widowControl/>
        <w:adjustRightInd w:val="0"/>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r>
        <w:rPr>
          <w:rFonts w:ascii="仿宋_GB2312" w:hAnsi="宋体" w:eastAsia="仿宋_GB2312" w:cs="宋体"/>
          <w:color w:val="auto"/>
          <w:kern w:val="0"/>
          <w:sz w:val="24"/>
          <w:szCs w:val="24"/>
          <w:highlight w:val="none"/>
        </w:rPr>
        <w:t>2）在工程采购项目中，工程由中小企业承建，即工程施工单位为中小企业；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r>
        <w:rPr>
          <w:rFonts w:ascii="仿宋_GB2312" w:hAnsi="宋体" w:eastAsia="仿宋_GB2312" w:cs="宋体"/>
          <w:color w:val="auto"/>
          <w:kern w:val="0"/>
          <w:sz w:val="24"/>
          <w:szCs w:val="24"/>
          <w:highlight w:val="none"/>
        </w:rPr>
        <w:t>3）在服务采购项目中，服务由中小企业承接，即提供服务的人员为中小企业依照《中华人民共和国劳动合同法》订立劳动合同的从业人员。</w:t>
      </w:r>
    </w:p>
    <w:p>
      <w:pPr>
        <w:widowControl/>
        <w:adjustRightInd w:val="0"/>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在货物采购项目中，投标人提供的货物既有中小企业制造货物，也有大型企业制造货物的，不享受中小企业扶持政策。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以联合体形式参加政府采购活动，联合体各方均为中小企业的，联合体视同中小企业。其中，联合体各方均为小微企业的，联合体视同小微企业。</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Times New Roman"/>
          <w:color w:val="auto"/>
          <w:sz w:val="24"/>
          <w:szCs w:val="24"/>
          <w:highlight w:val="none"/>
        </w:rPr>
        <w:t>3.3.3</w:t>
      </w:r>
      <w:r>
        <w:rPr>
          <w:rFonts w:hint="eastAsia" w:ascii="仿宋_GB2312" w:hAnsi="仿宋" w:eastAsia="仿宋_GB2312" w:cs="Times New Roman"/>
          <w:color w:val="auto"/>
          <w:sz w:val="24"/>
          <w:szCs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Times New Roman"/>
          <w:color w:val="auto"/>
          <w:sz w:val="24"/>
          <w:szCs w:val="24"/>
          <w:highlight w:val="none"/>
        </w:rPr>
        <w:t>10%的扣除，用扣除后的价格参与评审。</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Times New Roman"/>
          <w:color w:val="auto"/>
          <w:sz w:val="24"/>
          <w:szCs w:val="24"/>
          <w:highlight w:val="none"/>
        </w:rPr>
        <w:t>3.3.4接受大中型企业与小微企业组成联合体或者允许大中型企业向一家或者多家小微企业分包的</w:t>
      </w:r>
      <w:r>
        <w:rPr>
          <w:rFonts w:hint="eastAsia" w:ascii="仿宋_GB2312" w:hAnsi="仿宋" w:eastAsia="仿宋_GB2312" w:cs="Times New Roman"/>
          <w:color w:val="auto"/>
          <w:sz w:val="24"/>
          <w:szCs w:val="24"/>
          <w:highlight w:val="none"/>
        </w:rPr>
        <w:t>政府</w:t>
      </w:r>
      <w:r>
        <w:rPr>
          <w:rFonts w:ascii="仿宋_GB2312" w:hAnsi="仿宋" w:eastAsia="仿宋_GB2312" w:cs="Times New Roman"/>
          <w:color w:val="auto"/>
          <w:sz w:val="24"/>
          <w:szCs w:val="24"/>
          <w:highlight w:val="none"/>
        </w:rPr>
        <w:t>采购</w:t>
      </w:r>
      <w:r>
        <w:rPr>
          <w:rFonts w:hint="eastAsia" w:ascii="仿宋_GB2312" w:hAnsi="仿宋" w:eastAsia="仿宋_GB2312" w:cs="Times New Roman"/>
          <w:color w:val="auto"/>
          <w:sz w:val="24"/>
          <w:szCs w:val="24"/>
          <w:highlight w:val="none"/>
        </w:rPr>
        <w:t>货物或服务</w:t>
      </w:r>
      <w:r>
        <w:rPr>
          <w:rFonts w:ascii="仿宋_GB2312" w:hAnsi="仿宋" w:eastAsia="仿宋_GB2312" w:cs="Times New Roman"/>
          <w:color w:val="auto"/>
          <w:sz w:val="24"/>
          <w:szCs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Times New Roman"/>
          <w:color w:val="auto"/>
          <w:sz w:val="24"/>
          <w:szCs w:val="24"/>
          <w:highlight w:val="none"/>
        </w:rPr>
        <w:t>3.3.5</w:t>
      </w:r>
      <w:r>
        <w:rPr>
          <w:rFonts w:hint="eastAsia" w:ascii="仿宋_GB2312" w:hAnsi="仿宋" w:eastAsia="仿宋_GB2312" w:cs="Times New Roman"/>
          <w:color w:val="auto"/>
          <w:sz w:val="24"/>
          <w:szCs w:val="24"/>
          <w:highlight w:val="none"/>
        </w:rPr>
        <w:t>符合《关于促进残疾人就业政府采购政策的通知》（财库〔</w:t>
      </w:r>
      <w:r>
        <w:rPr>
          <w:rFonts w:ascii="仿宋_GB2312" w:hAnsi="仿宋" w:eastAsia="仿宋_GB2312" w:cs="Times New Roman"/>
          <w:color w:val="auto"/>
          <w:sz w:val="24"/>
          <w:szCs w:val="24"/>
          <w:highlight w:val="none"/>
        </w:rPr>
        <w:t>2017〕141号）规定的条件并提供《残疾人福利性单位声明函》（附件1）的残疾人福利性单位视同小型、微型企业；</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Times New Roman"/>
          <w:color w:val="auto"/>
          <w:sz w:val="24"/>
          <w:szCs w:val="24"/>
          <w:highlight w:val="none"/>
        </w:rPr>
        <w:t>3.3.6</w:t>
      </w:r>
      <w:r>
        <w:rPr>
          <w:rFonts w:hint="eastAsia" w:ascii="仿宋_GB2312" w:hAnsi="仿宋" w:eastAsia="仿宋_GB2312" w:cs="Times New Roman"/>
          <w:color w:val="auto"/>
          <w:sz w:val="24"/>
          <w:szCs w:val="24"/>
          <w:highlight w:val="none"/>
        </w:rPr>
        <w:t>符合《关于政府采购支持监狱企业发展有关问题的通知》（财库</w:t>
      </w:r>
      <w:r>
        <w:rPr>
          <w:rFonts w:ascii="仿宋_GB2312" w:hAnsi="仿宋" w:eastAsia="仿宋_GB2312" w:cs="Times New Roman"/>
          <w:color w:val="auto"/>
          <w:sz w:val="24"/>
          <w:szCs w:val="24"/>
          <w:highlight w:val="none"/>
        </w:rPr>
        <w:t>[2014]68号）规定的监狱企业并提供由省级以上监狱管理局、戒毒管理局（含新疆生产建设兵团）出具的属于监狱企业证明文件的，视同为小型、微型企业。</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Times New Roman"/>
          <w:color w:val="auto"/>
          <w:sz w:val="24"/>
          <w:szCs w:val="24"/>
          <w:highlight w:val="none"/>
        </w:rPr>
        <w:t>3.3.7</w:t>
      </w:r>
      <w:r>
        <w:rPr>
          <w:rFonts w:hint="eastAsia" w:ascii="仿宋_GB2312" w:hAnsi="仿宋" w:eastAsia="仿宋_GB2312" w:cs="Times New Roman"/>
          <w:color w:val="auto"/>
          <w:sz w:val="24"/>
          <w:szCs w:val="24"/>
          <w:highlight w:val="none"/>
        </w:rPr>
        <w:t>可享受</w:t>
      </w:r>
      <w:r>
        <w:rPr>
          <w:rFonts w:hint="eastAsia" w:ascii="仿宋_GB2312" w:hAnsi="宋体" w:eastAsia="仿宋_GB2312" w:cs="宋体"/>
          <w:color w:val="auto"/>
          <w:kern w:val="0"/>
          <w:sz w:val="24"/>
          <w:szCs w:val="24"/>
          <w:highlight w:val="none"/>
        </w:rPr>
        <w:t>中小企业扶持政策</w:t>
      </w:r>
      <w:r>
        <w:rPr>
          <w:rFonts w:hint="eastAsia" w:ascii="仿宋_GB2312" w:hAnsi="仿宋" w:eastAsia="仿宋_GB2312" w:cs="Times New Roman"/>
          <w:color w:val="auto"/>
          <w:sz w:val="24"/>
          <w:szCs w:val="24"/>
          <w:highlight w:val="none"/>
        </w:rPr>
        <w:t>的投标人应按照招标文件格式要求提供《中小企业声明函》。</w:t>
      </w:r>
    </w:p>
    <w:p>
      <w:pPr>
        <w:adjustRightIn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Times New Roman"/>
          <w:color w:val="auto"/>
          <w:sz w:val="24"/>
          <w:szCs w:val="24"/>
          <w:highlight w:val="none"/>
        </w:rPr>
        <w:t>3.3.8</w:t>
      </w:r>
      <w:r>
        <w:rPr>
          <w:rFonts w:hint="eastAsia" w:ascii="仿宋_GB2312" w:hAnsi="仿宋" w:eastAsia="仿宋_GB2312" w:cs="Times New Roman"/>
          <w:color w:val="auto"/>
          <w:sz w:val="24"/>
          <w:szCs w:val="24"/>
          <w:highlight w:val="none"/>
        </w:rPr>
        <w:t>中小企业</w:t>
      </w:r>
      <w:r>
        <w:rPr>
          <w:rFonts w:ascii="仿宋_GB2312" w:hAnsi="仿宋" w:eastAsia="仿宋_GB2312" w:cs="Times New Roman"/>
          <w:color w:val="auto"/>
          <w:sz w:val="24"/>
          <w:szCs w:val="24"/>
          <w:highlight w:val="none"/>
        </w:rPr>
        <w:t>享受扶持政策获得政府采购合同的，小微企业不得将合同分包给大中型企业，中型企业不得将合同分包给大型企业</w:t>
      </w:r>
      <w:r>
        <w:rPr>
          <w:rFonts w:hint="eastAsia" w:ascii="仿宋_GB2312" w:hAnsi="仿宋" w:eastAsia="仿宋_GB2312" w:cs="Times New Roman"/>
          <w:color w:val="auto"/>
          <w:sz w:val="24"/>
          <w:szCs w:val="24"/>
          <w:highlight w:val="none"/>
        </w:rPr>
        <w:t>。</w:t>
      </w:r>
    </w:p>
    <w:p>
      <w:pPr>
        <w:adjustRightInd w:val="0"/>
        <w:spacing w:line="360" w:lineRule="auto"/>
        <w:ind w:firstLine="480" w:firstLineChars="200"/>
        <w:rPr>
          <w:rFonts w:ascii="仿宋_GB2312" w:hAnsi="仿宋" w:eastAsia="仿宋_GB2312" w:cs="Times New Roman"/>
          <w:b/>
          <w:color w:val="auto"/>
          <w:sz w:val="24"/>
          <w:szCs w:val="24"/>
          <w:highlight w:val="none"/>
        </w:rPr>
      </w:pPr>
      <w:r>
        <w:rPr>
          <w:rFonts w:hint="eastAsia" w:ascii="仿宋_GB2312" w:hAnsi="仿宋" w:eastAsia="仿宋_GB2312" w:cs="Times New Roman"/>
          <w:color w:val="auto"/>
          <w:sz w:val="24"/>
          <w:szCs w:val="24"/>
          <w:highlight w:val="none"/>
        </w:rPr>
        <w:t>3.4</w:t>
      </w:r>
      <w:r>
        <w:rPr>
          <w:rFonts w:hint="eastAsia" w:ascii="仿宋_GB2312" w:hAnsi="仿宋_GB2312" w:eastAsia="仿宋_GB2312" w:cs="仿宋_GB2312"/>
          <w:snapToGrid w:val="0"/>
          <w:color w:val="auto"/>
          <w:kern w:val="2"/>
          <w:sz w:val="24"/>
          <w:szCs w:val="21"/>
          <w:highlight w:val="none"/>
          <w:lang w:val="en-US" w:eastAsia="zh-CN" w:bidi="ar-SA"/>
        </w:rPr>
        <w:t>凡已在浙江政府采购网网上注册入库，并取得临安区政府采购合同的中小企业供应商，均可申请政府采购信用融资，联系方式见附表（政府采购融资畅通工程金融机构联系信息表）。</w:t>
      </w:r>
      <w:r>
        <w:rPr>
          <w:rFonts w:hint="eastAsia" w:ascii="仿宋_GB2312" w:hAnsi="仿宋" w:eastAsia="仿宋_GB2312" w:cs="Times New Roman"/>
          <w:color w:val="auto"/>
          <w:sz w:val="24"/>
          <w:szCs w:val="24"/>
          <w:highlight w:val="none"/>
        </w:rPr>
        <w:cr/>
      </w:r>
      <w:r>
        <w:rPr>
          <w:rFonts w:hint="eastAsia" w:ascii="仿宋_GB2312" w:hAnsi="仿宋" w:eastAsia="仿宋_GB2312" w:cs="Times New Roman"/>
          <w:b/>
          <w:color w:val="auto"/>
          <w:sz w:val="24"/>
          <w:szCs w:val="24"/>
          <w:highlight w:val="none"/>
        </w:rPr>
        <w:t>4. 询问、质疑、投诉</w:t>
      </w:r>
    </w:p>
    <w:p>
      <w:pPr>
        <w:autoSpaceDE w:val="0"/>
        <w:autoSpaceDN w:val="0"/>
        <w:adjustRightInd w:val="0"/>
        <w:spacing w:line="360" w:lineRule="auto"/>
        <w:ind w:firstLine="480" w:firstLineChars="200"/>
        <w:jc w:val="left"/>
        <w:rPr>
          <w:rFonts w:ascii="仿宋_GB2312" w:hAnsi="仿宋" w:eastAsia="仿宋_GB2312" w:cs="微软雅黑"/>
          <w:color w:val="auto"/>
          <w:kern w:val="0"/>
          <w:sz w:val="24"/>
          <w:szCs w:val="24"/>
          <w:highlight w:val="none"/>
          <w:lang w:val="zh-CN"/>
        </w:rPr>
      </w:pPr>
      <w:r>
        <w:rPr>
          <w:rFonts w:hint="eastAsia" w:ascii="仿宋_GB2312" w:hAnsi="仿宋" w:eastAsia="仿宋_GB2312" w:cs="微软雅黑"/>
          <w:color w:val="auto"/>
          <w:kern w:val="0"/>
          <w:sz w:val="24"/>
          <w:szCs w:val="24"/>
          <w:highlight w:val="none"/>
          <w:lang w:val="zh-CN"/>
        </w:rPr>
        <w:t>4.1供应商询问</w:t>
      </w:r>
    </w:p>
    <w:p>
      <w:pPr>
        <w:adjustRightInd w:val="0"/>
        <w:spacing w:line="360" w:lineRule="auto"/>
        <w:ind w:firstLine="480" w:firstLineChars="200"/>
        <w:rPr>
          <w:rFonts w:ascii="仿宋_GB2312" w:hAnsi="仿宋" w:eastAsia="仿宋_GB2312" w:cs="Arial"/>
          <w:snapToGrid w:val="0"/>
          <w:color w:val="auto"/>
          <w:sz w:val="24"/>
          <w:szCs w:val="21"/>
          <w:highlight w:val="none"/>
        </w:rPr>
      </w:pPr>
      <w:r>
        <w:rPr>
          <w:rFonts w:hint="eastAsia" w:ascii="仿宋_GB2312" w:hAnsi="仿宋" w:eastAsia="仿宋_GB2312" w:cs="Arial"/>
          <w:snapToGrid w:val="0"/>
          <w:color w:val="auto"/>
          <w:sz w:val="24"/>
          <w:szCs w:val="21"/>
          <w:highlight w:val="none"/>
        </w:rPr>
        <w:t>根据采购人与采购机构签订的</w:t>
      </w:r>
      <w:r>
        <w:rPr>
          <w:rFonts w:hint="eastAsia" w:ascii="仿宋_GB2312" w:hAnsi="仿宋" w:eastAsia="仿宋_GB2312" w:cs="Arial"/>
          <w:snapToGrid w:val="0"/>
          <w:color w:val="auto"/>
          <w:sz w:val="24"/>
          <w:szCs w:val="21"/>
          <w:highlight w:val="none"/>
          <w:lang w:val="en-US" w:eastAsia="zh-CN"/>
        </w:rPr>
        <w:t>委托协议</w:t>
      </w:r>
      <w:r>
        <w:rPr>
          <w:rFonts w:hint="eastAsia" w:ascii="仿宋_GB2312" w:hAnsi="仿宋" w:eastAsia="仿宋_GB2312" w:cs="Arial"/>
          <w:snapToGrid w:val="0"/>
          <w:color w:val="auto"/>
          <w:sz w:val="24"/>
          <w:szCs w:val="21"/>
          <w:highlight w:val="none"/>
        </w:rPr>
        <w:t>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adjustRightInd w:val="0"/>
        <w:spacing w:line="360" w:lineRule="auto"/>
        <w:ind w:firstLine="480" w:firstLineChars="200"/>
        <w:jc w:val="left"/>
        <w:rPr>
          <w:rFonts w:ascii="仿宋_GB2312" w:hAnsi="仿宋" w:eastAsia="仿宋_GB2312" w:cs="微软雅黑"/>
          <w:color w:val="auto"/>
          <w:kern w:val="0"/>
          <w:sz w:val="24"/>
          <w:szCs w:val="24"/>
          <w:highlight w:val="none"/>
          <w:lang w:val="zh-CN"/>
        </w:rPr>
      </w:pPr>
      <w:r>
        <w:rPr>
          <w:rFonts w:hint="eastAsia" w:ascii="仿宋_GB2312" w:hAnsi="仿宋" w:eastAsia="仿宋_GB2312" w:cs="微软雅黑"/>
          <w:color w:val="auto"/>
          <w:kern w:val="0"/>
          <w:sz w:val="24"/>
          <w:szCs w:val="24"/>
          <w:highlight w:val="none"/>
          <w:lang w:val="zh-CN"/>
        </w:rPr>
        <w:t>4.2供应商质疑</w:t>
      </w:r>
    </w:p>
    <w:p>
      <w:pPr>
        <w:adjustRightInd w:val="0"/>
        <w:spacing w:line="360" w:lineRule="auto"/>
        <w:ind w:firstLine="480" w:firstLineChars="200"/>
        <w:rPr>
          <w:rFonts w:ascii="仿宋_GB2312" w:hAnsi="仿宋" w:eastAsia="仿宋_GB2312" w:cs="Arial"/>
          <w:snapToGrid w:val="0"/>
          <w:color w:val="auto"/>
          <w:sz w:val="24"/>
          <w:szCs w:val="21"/>
          <w:highlight w:val="none"/>
        </w:rPr>
      </w:pPr>
      <w:r>
        <w:rPr>
          <w:rFonts w:hint="eastAsia" w:ascii="仿宋_GB2312" w:hAnsi="仿宋" w:eastAsia="仿宋_GB2312" w:cs="微软雅黑"/>
          <w:snapToGrid w:val="0"/>
          <w:color w:val="auto"/>
          <w:kern w:val="0"/>
          <w:sz w:val="24"/>
          <w:szCs w:val="21"/>
          <w:highlight w:val="none"/>
          <w:lang w:val="zh-CN"/>
        </w:rPr>
        <w:t>4.2</w:t>
      </w:r>
      <w:r>
        <w:rPr>
          <w:rFonts w:hint="eastAsia" w:ascii="仿宋_GB2312" w:hAnsi="仿宋" w:eastAsia="仿宋_GB2312" w:cs="Arial"/>
          <w:snapToGrid w:val="0"/>
          <w:color w:val="auto"/>
          <w:sz w:val="24"/>
          <w:szCs w:val="21"/>
          <w:highlight w:val="none"/>
        </w:rPr>
        <w:t>.1提出质疑的供应商应当是参与所质疑项目采购活动的供应商。潜在供应商已依法获取其可质疑的采购文件的，可以对该文件提出质疑。</w:t>
      </w:r>
    </w:p>
    <w:p>
      <w:pPr>
        <w:adjustRightInd w:val="0"/>
        <w:spacing w:line="360" w:lineRule="auto"/>
        <w:ind w:firstLine="480" w:firstLineChars="200"/>
        <w:rPr>
          <w:rFonts w:ascii="仿宋_GB2312" w:hAnsi="仿宋" w:eastAsia="仿宋_GB2312" w:cs="Arial"/>
          <w:snapToGrid w:val="0"/>
          <w:color w:val="auto"/>
          <w:sz w:val="24"/>
          <w:szCs w:val="21"/>
          <w:highlight w:val="none"/>
        </w:rPr>
      </w:pPr>
      <w:r>
        <w:rPr>
          <w:rFonts w:hint="eastAsia" w:ascii="仿宋_GB2312" w:hAnsi="仿宋" w:eastAsia="仿宋_GB2312" w:cs="微软雅黑"/>
          <w:snapToGrid w:val="0"/>
          <w:color w:val="auto"/>
          <w:kern w:val="0"/>
          <w:sz w:val="24"/>
          <w:szCs w:val="21"/>
          <w:highlight w:val="none"/>
          <w:lang w:val="zh-CN"/>
        </w:rPr>
        <w:t>4.2</w:t>
      </w:r>
      <w:r>
        <w:rPr>
          <w:rFonts w:hint="eastAsia" w:ascii="仿宋_GB2312" w:hAnsi="仿宋" w:eastAsia="仿宋_GB2312" w:cs="Arial"/>
          <w:snapToGrid w:val="0"/>
          <w:color w:val="auto"/>
          <w:sz w:val="24"/>
          <w:szCs w:val="21"/>
          <w:highlight w:val="none"/>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widowControl/>
        <w:adjustRightInd w:val="0"/>
        <w:snapToGrid w:val="0"/>
        <w:spacing w:line="360" w:lineRule="auto"/>
        <w:ind w:firstLine="434" w:firstLineChars="181"/>
        <w:rPr>
          <w:rFonts w:ascii="仿宋_GB2312" w:hAnsi="仿宋" w:eastAsia="仿宋_GB2312"/>
          <w:color w:val="auto"/>
          <w:sz w:val="24"/>
          <w:highlight w:val="none"/>
        </w:rPr>
      </w:pPr>
      <w:r>
        <w:rPr>
          <w:rFonts w:hint="eastAsia" w:ascii="仿宋_GB2312" w:hAnsi="仿宋" w:eastAsia="仿宋_GB2312"/>
          <w:color w:val="auto"/>
          <w:sz w:val="24"/>
          <w:highlight w:val="none"/>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w:t>
      </w:r>
      <w:r>
        <w:rPr>
          <w:rFonts w:hint="eastAsia" w:ascii="仿宋_GB2312" w:hAnsi="仿宋" w:eastAsia="仿宋_GB2312"/>
          <w:color w:val="auto"/>
          <w:sz w:val="24"/>
          <w:highlight w:val="none"/>
          <w:lang w:eastAsia="zh-CN"/>
        </w:rPr>
        <w:t>委托协议</w:t>
      </w:r>
      <w:r>
        <w:rPr>
          <w:rFonts w:hint="eastAsia" w:ascii="仿宋_GB2312" w:hAnsi="仿宋" w:eastAsia="仿宋_GB2312"/>
          <w:color w:val="auto"/>
          <w:sz w:val="24"/>
          <w:highlight w:val="none"/>
        </w:rPr>
        <w:t>的规定：对采购文件中特定资格条件、采购需求、评分办法提出的质疑，原则上由采购人负责答复；对采购文件中其他内容提出的质疑，原则上由采购机构负责答复。</w:t>
      </w:r>
    </w:p>
    <w:p>
      <w:pPr>
        <w:adjustRightInd w:val="0"/>
        <w:spacing w:line="360" w:lineRule="auto"/>
        <w:ind w:firstLine="480" w:firstLineChars="200"/>
        <w:rPr>
          <w:rFonts w:ascii="仿宋_GB2312" w:hAnsi="仿宋" w:eastAsia="仿宋_GB2312" w:cs="Arial"/>
          <w:snapToGrid w:val="0"/>
          <w:color w:val="auto"/>
          <w:sz w:val="24"/>
          <w:szCs w:val="21"/>
          <w:highlight w:val="none"/>
        </w:rPr>
      </w:pPr>
      <w:r>
        <w:rPr>
          <w:rFonts w:hint="eastAsia" w:ascii="仿宋_GB2312" w:hAnsi="仿宋" w:eastAsia="仿宋_GB2312" w:cs="Arial"/>
          <w:snapToGrid w:val="0"/>
          <w:color w:val="auto"/>
          <w:sz w:val="24"/>
          <w:szCs w:val="21"/>
          <w:highlight w:val="none"/>
        </w:rPr>
        <w:t>4.2.2.2对采购过程提出质疑的，质疑期限为各采购程序环节结束之日起计算。对同一采购程序环节的质疑，供应商须一次性提出。根据采购人与采购机构签订的</w:t>
      </w:r>
      <w:r>
        <w:rPr>
          <w:rFonts w:hint="eastAsia" w:ascii="仿宋_GB2312" w:hAnsi="仿宋" w:eastAsia="仿宋_GB2312" w:cs="Arial"/>
          <w:snapToGrid w:val="0"/>
          <w:color w:val="auto"/>
          <w:sz w:val="24"/>
          <w:szCs w:val="21"/>
          <w:highlight w:val="none"/>
          <w:lang w:eastAsia="zh-CN"/>
        </w:rPr>
        <w:t>委托协议</w:t>
      </w:r>
      <w:r>
        <w:rPr>
          <w:rFonts w:hint="eastAsia" w:ascii="仿宋_GB2312" w:hAnsi="仿宋" w:eastAsia="仿宋_GB2312" w:cs="Arial"/>
          <w:snapToGrid w:val="0"/>
          <w:color w:val="auto"/>
          <w:sz w:val="24"/>
          <w:szCs w:val="21"/>
          <w:highlight w:val="none"/>
        </w:rPr>
        <w:t>的规定：对采购过程中有关现场考察或开标前答疑会事项提出的质疑，原则上由采购人负责答复；对采购过程中其它事项提出的质疑，原则上由采购机构负责答复。</w:t>
      </w:r>
    </w:p>
    <w:p>
      <w:pPr>
        <w:adjustRightInd w:val="0"/>
        <w:spacing w:line="360" w:lineRule="auto"/>
        <w:ind w:firstLine="480" w:firstLineChars="200"/>
        <w:rPr>
          <w:rFonts w:ascii="仿宋_GB2312" w:hAnsi="仿宋" w:eastAsia="仿宋_GB2312" w:cs="Arial"/>
          <w:snapToGrid w:val="0"/>
          <w:color w:val="auto"/>
          <w:sz w:val="24"/>
          <w:szCs w:val="21"/>
          <w:highlight w:val="none"/>
        </w:rPr>
      </w:pPr>
      <w:r>
        <w:rPr>
          <w:rFonts w:hint="eastAsia" w:ascii="仿宋_GB2312" w:hAnsi="仿宋" w:eastAsia="仿宋_GB2312" w:cs="Arial"/>
          <w:snapToGrid w:val="0"/>
          <w:color w:val="auto"/>
          <w:sz w:val="24"/>
          <w:szCs w:val="21"/>
          <w:highlight w:val="none"/>
        </w:rPr>
        <w:t>4.2.2.3对采购结果提出质疑的，质疑期限自采购结果公告期限届满之日起计算。对采购结果提出质疑的，采购机构负责答复。</w:t>
      </w:r>
    </w:p>
    <w:p>
      <w:pPr>
        <w:adjustRightInd w:val="0"/>
        <w:snapToGrid w:val="0"/>
        <w:spacing w:line="360" w:lineRule="auto"/>
        <w:ind w:firstLine="480" w:firstLineChars="200"/>
        <w:contextualSpacing/>
        <w:rPr>
          <w:rFonts w:ascii="仿宋_GB2312" w:hAnsi="仿宋" w:eastAsia="仿宋_GB2312" w:cs="Arial"/>
          <w:snapToGrid w:val="0"/>
          <w:color w:val="auto"/>
          <w:sz w:val="24"/>
          <w:szCs w:val="21"/>
          <w:highlight w:val="none"/>
        </w:rPr>
      </w:pPr>
      <w:r>
        <w:rPr>
          <w:rFonts w:hint="eastAsia" w:ascii="仿宋_GB2312" w:hAnsi="仿宋" w:eastAsia="仿宋_GB2312" w:cs="微软雅黑"/>
          <w:snapToGrid w:val="0"/>
          <w:color w:val="auto"/>
          <w:kern w:val="0"/>
          <w:sz w:val="24"/>
          <w:szCs w:val="21"/>
          <w:highlight w:val="none"/>
          <w:lang w:val="zh-CN"/>
        </w:rPr>
        <w:t>4.2.3</w:t>
      </w:r>
      <w:r>
        <w:rPr>
          <w:rFonts w:hint="eastAsia" w:ascii="仿宋_GB2312" w:hAnsi="仿宋" w:eastAsia="仿宋_GB2312" w:cs="Arial"/>
          <w:snapToGrid w:val="0"/>
          <w:color w:val="auto"/>
          <w:sz w:val="24"/>
          <w:szCs w:val="21"/>
          <w:highlight w:val="none"/>
        </w:rPr>
        <w:t>供应商提出质疑应当提交质疑函和必要的证明材料。质疑函应当包括下列内容：</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color w:val="auto"/>
          <w:sz w:val="24"/>
          <w:szCs w:val="21"/>
          <w:highlight w:val="none"/>
        </w:rPr>
      </w:pPr>
      <w:r>
        <w:rPr>
          <w:rFonts w:hint="eastAsia" w:ascii="仿宋_GB2312" w:hAnsi="仿宋" w:eastAsia="仿宋_GB2312" w:cs="Arial"/>
          <w:snapToGrid w:val="0"/>
          <w:color w:val="auto"/>
          <w:sz w:val="24"/>
          <w:szCs w:val="21"/>
          <w:highlight w:val="none"/>
        </w:rPr>
        <w:t>　　</w:t>
      </w:r>
      <w:r>
        <w:rPr>
          <w:rFonts w:hint="eastAsia" w:ascii="仿宋_GB2312" w:hAnsi="仿宋" w:eastAsia="仿宋_GB2312" w:cs="微软雅黑"/>
          <w:color w:val="auto"/>
          <w:kern w:val="0"/>
          <w:sz w:val="24"/>
          <w:szCs w:val="24"/>
          <w:highlight w:val="none"/>
          <w:lang w:val="zh-CN"/>
        </w:rPr>
        <w:t>4.2.3.1</w:t>
      </w:r>
      <w:r>
        <w:rPr>
          <w:rFonts w:hint="eastAsia" w:ascii="仿宋_GB2312" w:hAnsi="仿宋" w:eastAsia="仿宋_GB2312" w:cs="Arial"/>
          <w:snapToGrid w:val="0"/>
          <w:color w:val="auto"/>
          <w:sz w:val="24"/>
          <w:szCs w:val="21"/>
          <w:highlight w:val="none"/>
        </w:rPr>
        <w:t>供应商的姓名或者名称、地址、邮编、联系人及联系电话；</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color w:val="auto"/>
          <w:sz w:val="24"/>
          <w:szCs w:val="21"/>
          <w:highlight w:val="none"/>
        </w:rPr>
      </w:pPr>
      <w:r>
        <w:rPr>
          <w:rFonts w:hint="eastAsia" w:ascii="仿宋_GB2312" w:hAnsi="仿宋" w:eastAsia="仿宋_GB2312" w:cs="Arial"/>
          <w:snapToGrid w:val="0"/>
          <w:color w:val="auto"/>
          <w:sz w:val="24"/>
          <w:szCs w:val="21"/>
          <w:highlight w:val="none"/>
        </w:rPr>
        <w:t>　　</w:t>
      </w:r>
      <w:r>
        <w:rPr>
          <w:rFonts w:hint="eastAsia" w:ascii="仿宋_GB2312" w:hAnsi="仿宋" w:eastAsia="仿宋_GB2312" w:cs="微软雅黑"/>
          <w:color w:val="auto"/>
          <w:kern w:val="0"/>
          <w:sz w:val="24"/>
          <w:szCs w:val="24"/>
          <w:highlight w:val="none"/>
          <w:lang w:val="zh-CN"/>
        </w:rPr>
        <w:t>4.2.3.2</w:t>
      </w:r>
      <w:r>
        <w:rPr>
          <w:rFonts w:hint="eastAsia" w:ascii="仿宋_GB2312" w:hAnsi="仿宋" w:eastAsia="仿宋_GB2312" w:cs="Arial"/>
          <w:snapToGrid w:val="0"/>
          <w:color w:val="auto"/>
          <w:sz w:val="24"/>
          <w:szCs w:val="21"/>
          <w:highlight w:val="none"/>
        </w:rPr>
        <w:t>质疑项目的名称、编号；</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color w:val="auto"/>
          <w:sz w:val="24"/>
          <w:szCs w:val="21"/>
          <w:highlight w:val="none"/>
        </w:rPr>
      </w:pPr>
      <w:r>
        <w:rPr>
          <w:rFonts w:hint="eastAsia" w:ascii="仿宋_GB2312" w:hAnsi="仿宋" w:eastAsia="仿宋_GB2312" w:cs="Arial"/>
          <w:snapToGrid w:val="0"/>
          <w:color w:val="auto"/>
          <w:sz w:val="24"/>
          <w:szCs w:val="21"/>
          <w:highlight w:val="none"/>
        </w:rPr>
        <w:t>　　</w:t>
      </w:r>
      <w:r>
        <w:rPr>
          <w:rFonts w:hint="eastAsia" w:ascii="仿宋_GB2312" w:hAnsi="仿宋" w:eastAsia="仿宋_GB2312" w:cs="微软雅黑"/>
          <w:color w:val="auto"/>
          <w:kern w:val="0"/>
          <w:sz w:val="24"/>
          <w:szCs w:val="24"/>
          <w:highlight w:val="none"/>
          <w:lang w:val="zh-CN"/>
        </w:rPr>
        <w:t>4.2.3.3</w:t>
      </w:r>
      <w:r>
        <w:rPr>
          <w:rFonts w:hint="eastAsia" w:ascii="仿宋_GB2312" w:hAnsi="仿宋" w:eastAsia="仿宋_GB2312" w:cs="Arial"/>
          <w:snapToGrid w:val="0"/>
          <w:color w:val="auto"/>
          <w:sz w:val="24"/>
          <w:szCs w:val="21"/>
          <w:highlight w:val="none"/>
        </w:rPr>
        <w:t>具体、明确的质疑事项和与质疑事项相关的请求；</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color w:val="auto"/>
          <w:sz w:val="24"/>
          <w:szCs w:val="21"/>
          <w:highlight w:val="none"/>
        </w:rPr>
      </w:pPr>
      <w:r>
        <w:rPr>
          <w:rFonts w:hint="eastAsia" w:ascii="仿宋_GB2312" w:hAnsi="仿宋" w:eastAsia="仿宋_GB2312" w:cs="Arial"/>
          <w:snapToGrid w:val="0"/>
          <w:color w:val="auto"/>
          <w:sz w:val="24"/>
          <w:szCs w:val="21"/>
          <w:highlight w:val="none"/>
        </w:rPr>
        <w:t>　　</w:t>
      </w:r>
      <w:r>
        <w:rPr>
          <w:rFonts w:hint="eastAsia" w:ascii="仿宋_GB2312" w:hAnsi="仿宋" w:eastAsia="仿宋_GB2312" w:cs="微软雅黑"/>
          <w:color w:val="auto"/>
          <w:kern w:val="0"/>
          <w:sz w:val="24"/>
          <w:szCs w:val="24"/>
          <w:highlight w:val="none"/>
          <w:lang w:val="zh-CN"/>
        </w:rPr>
        <w:t>4.2.3.4</w:t>
      </w:r>
      <w:r>
        <w:rPr>
          <w:rFonts w:hint="eastAsia" w:ascii="仿宋_GB2312" w:hAnsi="仿宋" w:eastAsia="仿宋_GB2312" w:cs="Arial"/>
          <w:snapToGrid w:val="0"/>
          <w:color w:val="auto"/>
          <w:sz w:val="24"/>
          <w:szCs w:val="21"/>
          <w:highlight w:val="none"/>
        </w:rPr>
        <w:t>事实依据；</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color w:val="auto"/>
          <w:sz w:val="24"/>
          <w:szCs w:val="21"/>
          <w:highlight w:val="none"/>
        </w:rPr>
      </w:pPr>
      <w:r>
        <w:rPr>
          <w:rFonts w:hint="eastAsia" w:ascii="仿宋_GB2312" w:hAnsi="仿宋" w:eastAsia="仿宋_GB2312" w:cs="Arial"/>
          <w:snapToGrid w:val="0"/>
          <w:color w:val="auto"/>
          <w:sz w:val="24"/>
          <w:szCs w:val="21"/>
          <w:highlight w:val="none"/>
        </w:rPr>
        <w:t>　　</w:t>
      </w:r>
      <w:r>
        <w:rPr>
          <w:rFonts w:hint="eastAsia" w:ascii="仿宋_GB2312" w:hAnsi="仿宋" w:eastAsia="仿宋_GB2312" w:cs="微软雅黑"/>
          <w:color w:val="auto"/>
          <w:kern w:val="0"/>
          <w:sz w:val="24"/>
          <w:szCs w:val="24"/>
          <w:highlight w:val="none"/>
          <w:lang w:val="zh-CN"/>
        </w:rPr>
        <w:t>4.2.3.5</w:t>
      </w:r>
      <w:r>
        <w:rPr>
          <w:rFonts w:hint="eastAsia" w:ascii="仿宋_GB2312" w:hAnsi="仿宋" w:eastAsia="仿宋_GB2312" w:cs="Arial"/>
          <w:snapToGrid w:val="0"/>
          <w:color w:val="auto"/>
          <w:sz w:val="24"/>
          <w:szCs w:val="21"/>
          <w:highlight w:val="none"/>
        </w:rPr>
        <w:t>必要的法律依据；</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Arial"/>
          <w:snapToGrid w:val="0"/>
          <w:color w:val="auto"/>
          <w:sz w:val="24"/>
          <w:szCs w:val="21"/>
          <w:highlight w:val="none"/>
        </w:rPr>
      </w:pPr>
      <w:r>
        <w:rPr>
          <w:rFonts w:hint="eastAsia" w:ascii="仿宋_GB2312" w:hAnsi="仿宋" w:eastAsia="仿宋_GB2312" w:cs="微软雅黑"/>
          <w:color w:val="auto"/>
          <w:kern w:val="0"/>
          <w:sz w:val="24"/>
          <w:szCs w:val="24"/>
          <w:highlight w:val="none"/>
          <w:lang w:val="zh-CN"/>
        </w:rPr>
        <w:t>4.2.3.6</w:t>
      </w:r>
      <w:r>
        <w:rPr>
          <w:rFonts w:hint="eastAsia" w:ascii="仿宋_GB2312" w:hAnsi="仿宋" w:eastAsia="仿宋_GB2312" w:cs="Arial"/>
          <w:snapToGrid w:val="0"/>
          <w:color w:val="auto"/>
          <w:sz w:val="24"/>
          <w:szCs w:val="21"/>
          <w:highlight w:val="none"/>
        </w:rPr>
        <w:t>提出质疑的日期。</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质疑函范本及制作说明详见附件</w:t>
      </w:r>
      <w:r>
        <w:rPr>
          <w:rFonts w:hint="eastAsia" w:ascii="仿宋_GB2312" w:hAnsi="仿宋" w:eastAsia="仿宋_GB2312" w:cs="宋体"/>
          <w:color w:val="auto"/>
          <w:kern w:val="0"/>
          <w:sz w:val="24"/>
          <w:szCs w:val="24"/>
          <w:highlight w:val="none"/>
          <w:lang w:val="en-US" w:eastAsia="zh-CN"/>
        </w:rPr>
        <w:t>4</w:t>
      </w:r>
      <w:r>
        <w:rPr>
          <w:rFonts w:hint="eastAsia" w:ascii="仿宋_GB2312" w:hAnsi="仿宋" w:eastAsia="仿宋_GB2312" w:cs="宋体"/>
          <w:color w:val="auto"/>
          <w:kern w:val="0"/>
          <w:sz w:val="24"/>
          <w:szCs w:val="24"/>
          <w:highlight w:val="none"/>
        </w:rPr>
        <w:t>。</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color w:val="auto"/>
          <w:kern w:val="0"/>
          <w:sz w:val="24"/>
          <w:szCs w:val="24"/>
          <w:highlight w:val="none"/>
        </w:rPr>
      </w:pPr>
      <w:r>
        <w:rPr>
          <w:rFonts w:hint="eastAsia" w:ascii="仿宋_GB2312" w:hAnsi="仿宋" w:eastAsia="仿宋_GB2312" w:cs="微软雅黑"/>
          <w:color w:val="auto"/>
          <w:kern w:val="0"/>
          <w:sz w:val="24"/>
          <w:szCs w:val="24"/>
          <w:highlight w:val="none"/>
          <w:lang w:val="zh-CN"/>
        </w:rPr>
        <w:t>4.2</w:t>
      </w:r>
      <w:r>
        <w:rPr>
          <w:rFonts w:hint="eastAsia" w:ascii="仿宋_GB2312" w:hAnsi="仿宋" w:eastAsia="仿宋_GB2312" w:cs="宋体"/>
          <w:color w:val="auto"/>
          <w:kern w:val="0"/>
          <w:sz w:val="24"/>
          <w:szCs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color w:val="auto"/>
          <w:kern w:val="0"/>
          <w:sz w:val="24"/>
          <w:szCs w:val="24"/>
          <w:highlight w:val="none"/>
        </w:rPr>
      </w:pPr>
      <w:r>
        <w:rPr>
          <w:rFonts w:hint="eastAsia" w:ascii="仿宋_GB2312" w:hAnsi="仿宋" w:eastAsia="仿宋_GB2312" w:cs="微软雅黑"/>
          <w:color w:val="auto"/>
          <w:kern w:val="0"/>
          <w:sz w:val="24"/>
          <w:szCs w:val="24"/>
          <w:highlight w:val="none"/>
          <w:lang w:val="zh-CN"/>
        </w:rPr>
        <w:t>4.2</w:t>
      </w:r>
      <w:r>
        <w:rPr>
          <w:rFonts w:hint="eastAsia" w:ascii="仿宋_GB2312" w:hAnsi="仿宋" w:eastAsia="仿宋_GB2312" w:cs="宋体"/>
          <w:color w:val="auto"/>
          <w:kern w:val="0"/>
          <w:sz w:val="24"/>
          <w:szCs w:val="24"/>
          <w:highlight w:val="none"/>
        </w:rPr>
        <w:t>.5询问或者质疑事项可能影响采购结果的，采购人应当暂停签订合同，已经签订合同的，应当中止履行合同。</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微软雅黑"/>
          <w:color w:val="auto"/>
          <w:kern w:val="0"/>
          <w:sz w:val="24"/>
          <w:szCs w:val="24"/>
          <w:highlight w:val="none"/>
          <w:lang w:val="zh-CN"/>
        </w:rPr>
      </w:pPr>
      <w:r>
        <w:rPr>
          <w:rFonts w:hint="eastAsia" w:ascii="仿宋_GB2312" w:hAnsi="仿宋" w:eastAsia="仿宋_GB2312" w:cs="微软雅黑"/>
          <w:color w:val="auto"/>
          <w:kern w:val="0"/>
          <w:sz w:val="24"/>
          <w:szCs w:val="24"/>
          <w:highlight w:val="none"/>
          <w:lang w:val="zh-CN"/>
        </w:rPr>
        <w:t>4.3供应商投诉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4.3.1质疑供应商对采购人、采购机构的答复不满意或者采购人、采购机构未在规定的时间内作出答复的，可以在答复期满后十五个工作日内向同级政府采购监督管理部门提出投诉。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4.3.</w:t>
      </w:r>
      <w:r>
        <w:rPr>
          <w:rFonts w:hint="eastAsia" w:ascii="仿宋_GB2312" w:hAnsi="仿宋" w:eastAsia="仿宋_GB2312" w:cs="微软雅黑"/>
          <w:color w:val="auto"/>
          <w:kern w:val="0"/>
          <w:sz w:val="24"/>
          <w:szCs w:val="24"/>
          <w:highlight w:val="none"/>
          <w:lang w:val="zh-CN"/>
        </w:rPr>
        <w:t>2</w:t>
      </w:r>
      <w:r>
        <w:rPr>
          <w:rFonts w:hint="eastAsia" w:ascii="仿宋_GB2312" w:hAnsi="仿宋" w:eastAsia="仿宋_GB2312" w:cs="宋体"/>
          <w:color w:val="auto"/>
          <w:kern w:val="0"/>
          <w:sz w:val="24"/>
          <w:szCs w:val="24"/>
          <w:highlight w:val="none"/>
        </w:rPr>
        <w:t>供应商投诉的事项不得超出已质疑事项的范围，基于质疑答复内容提出的投诉事项除外。</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4.3.3供应商投诉应当有明确的请求和必要的证明材料。</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4.3.4 以联合体形式参加政府采购活动的，其投诉应当由组成联合体的所有供应商共同提出。</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投诉书范本及制作说明详见附件</w:t>
      </w:r>
      <w:r>
        <w:rPr>
          <w:rFonts w:hint="eastAsia" w:ascii="仿宋_GB2312" w:hAnsi="仿宋" w:eastAsia="仿宋_GB2312" w:cs="宋体"/>
          <w:color w:val="auto"/>
          <w:kern w:val="0"/>
          <w:sz w:val="24"/>
          <w:szCs w:val="24"/>
          <w:highlight w:val="none"/>
          <w:lang w:val="en-US" w:eastAsia="zh-CN"/>
        </w:rPr>
        <w:t>5</w:t>
      </w:r>
      <w:r>
        <w:rPr>
          <w:rFonts w:hint="eastAsia" w:ascii="仿宋_GB2312" w:hAnsi="仿宋" w:eastAsia="仿宋_GB2312" w:cs="宋体"/>
          <w:color w:val="auto"/>
          <w:kern w:val="0"/>
          <w:sz w:val="24"/>
          <w:szCs w:val="24"/>
          <w:highlight w:val="none"/>
        </w:rPr>
        <w:t>。</w:t>
      </w:r>
    </w:p>
    <w:p>
      <w:pPr>
        <w:adjustRightInd w:val="0"/>
        <w:snapToGrid w:val="0"/>
        <w:spacing w:after="120" w:line="360" w:lineRule="auto"/>
        <w:ind w:firstLine="360" w:firstLineChars="200"/>
        <w:rPr>
          <w:rFonts w:ascii="仿宋_GB2312" w:hAnsi="仿宋" w:eastAsia="仿宋_GB2312" w:cs="仿宋_GB2312"/>
          <w:color w:val="auto"/>
          <w:sz w:val="18"/>
          <w:szCs w:val="18"/>
          <w:highlight w:val="none"/>
        </w:rPr>
      </w:pPr>
    </w:p>
    <w:p>
      <w:pPr>
        <w:spacing w:line="360" w:lineRule="auto"/>
        <w:jc w:val="center"/>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二、招标文件的构成、澄清、修改</w:t>
      </w:r>
    </w:p>
    <w:p>
      <w:pPr>
        <w:adjustRightInd w:val="0"/>
        <w:spacing w:line="360" w:lineRule="auto"/>
        <w:rPr>
          <w:rFonts w:ascii="仿宋_GB2312" w:hAnsi="仿宋" w:eastAsia="仿宋_GB2312" w:cs="仿宋_GB2312"/>
          <w:b/>
          <w:snapToGrid w:val="0"/>
          <w:color w:val="auto"/>
          <w:sz w:val="24"/>
          <w:szCs w:val="24"/>
          <w:highlight w:val="none"/>
        </w:rPr>
      </w:pPr>
      <w:r>
        <w:rPr>
          <w:rFonts w:hint="eastAsia" w:ascii="仿宋_GB2312" w:hAnsi="仿宋" w:eastAsia="仿宋_GB2312" w:cs="仿宋_GB2312"/>
          <w:b/>
          <w:snapToGrid w:val="0"/>
          <w:color w:val="auto"/>
          <w:sz w:val="24"/>
          <w:szCs w:val="24"/>
          <w:highlight w:val="none"/>
        </w:rPr>
        <w:t>5．招标文件的构成</w:t>
      </w:r>
    </w:p>
    <w:p>
      <w:pPr>
        <w:adjustRightInd w:val="0"/>
        <w:spacing w:line="360" w:lineRule="auto"/>
        <w:ind w:firstLine="480" w:firstLineChars="200"/>
        <w:rPr>
          <w:rFonts w:ascii="仿宋_GB2312" w:hAnsi="仿宋" w:eastAsia="仿宋_GB2312" w:cs="仿宋_GB2312"/>
          <w:snapToGrid w:val="0"/>
          <w:color w:val="auto"/>
          <w:sz w:val="24"/>
          <w:szCs w:val="24"/>
          <w:highlight w:val="none"/>
        </w:rPr>
      </w:pPr>
      <w:r>
        <w:rPr>
          <w:rFonts w:hint="eastAsia" w:ascii="仿宋_GB2312" w:hAnsi="仿宋" w:eastAsia="仿宋_GB2312" w:cs="仿宋_GB2312"/>
          <w:snapToGrid w:val="0"/>
          <w:color w:val="auto"/>
          <w:sz w:val="24"/>
          <w:szCs w:val="24"/>
          <w:highlight w:val="none"/>
        </w:rPr>
        <w:t>5.1 招标文件包括下列文件及附件</w:t>
      </w:r>
    </w:p>
    <w:p>
      <w:pPr>
        <w:numPr>
          <w:ilvl w:val="0"/>
          <w:numId w:val="5"/>
        </w:numPr>
        <w:adjustRightInd w:val="0"/>
        <w:spacing w:line="360" w:lineRule="auto"/>
        <w:ind w:left="839" w:firstLine="480" w:firstLineChars="200"/>
        <w:rPr>
          <w:rFonts w:ascii="仿宋_GB2312" w:hAnsi="仿宋" w:eastAsia="仿宋_GB2312" w:cs="仿宋_GB2312"/>
          <w:snapToGrid w:val="0"/>
          <w:color w:val="auto"/>
          <w:sz w:val="24"/>
          <w:szCs w:val="24"/>
          <w:highlight w:val="none"/>
        </w:rPr>
      </w:pPr>
      <w:r>
        <w:rPr>
          <w:rFonts w:hint="eastAsia" w:ascii="仿宋_GB2312" w:hAnsi="仿宋" w:eastAsia="仿宋_GB2312" w:cs="仿宋_GB2312"/>
          <w:snapToGrid w:val="0"/>
          <w:color w:val="auto"/>
          <w:sz w:val="24"/>
          <w:szCs w:val="24"/>
          <w:highlight w:val="none"/>
        </w:rPr>
        <w:t>第一部分 招标公告</w:t>
      </w:r>
    </w:p>
    <w:p>
      <w:pPr>
        <w:numPr>
          <w:ilvl w:val="0"/>
          <w:numId w:val="5"/>
        </w:numPr>
        <w:adjustRightInd w:val="0"/>
        <w:spacing w:line="360" w:lineRule="auto"/>
        <w:ind w:left="839" w:firstLine="480" w:firstLineChars="200"/>
        <w:rPr>
          <w:rFonts w:ascii="仿宋_GB2312" w:hAnsi="仿宋" w:eastAsia="仿宋_GB2312" w:cs="仿宋_GB2312"/>
          <w:snapToGrid w:val="0"/>
          <w:color w:val="auto"/>
          <w:sz w:val="24"/>
          <w:szCs w:val="24"/>
          <w:highlight w:val="none"/>
        </w:rPr>
      </w:pPr>
      <w:r>
        <w:rPr>
          <w:rFonts w:hint="eastAsia" w:ascii="仿宋_GB2312" w:hAnsi="仿宋" w:eastAsia="仿宋_GB2312" w:cs="仿宋_GB2312"/>
          <w:snapToGrid w:val="0"/>
          <w:color w:val="auto"/>
          <w:sz w:val="24"/>
          <w:szCs w:val="24"/>
          <w:highlight w:val="none"/>
        </w:rPr>
        <w:t>第二部分 投标人须知</w:t>
      </w:r>
    </w:p>
    <w:p>
      <w:pPr>
        <w:numPr>
          <w:ilvl w:val="0"/>
          <w:numId w:val="5"/>
        </w:numPr>
        <w:adjustRightInd w:val="0"/>
        <w:spacing w:line="360" w:lineRule="auto"/>
        <w:ind w:left="839" w:firstLine="480" w:firstLineChars="200"/>
        <w:rPr>
          <w:rFonts w:ascii="仿宋_GB2312" w:hAnsi="仿宋" w:eastAsia="仿宋_GB2312" w:cs="仿宋_GB2312"/>
          <w:snapToGrid w:val="0"/>
          <w:color w:val="auto"/>
          <w:sz w:val="24"/>
          <w:szCs w:val="24"/>
          <w:highlight w:val="none"/>
        </w:rPr>
      </w:pPr>
      <w:r>
        <w:rPr>
          <w:rFonts w:hint="eastAsia" w:ascii="仿宋_GB2312" w:hAnsi="仿宋" w:eastAsia="仿宋_GB2312" w:cs="仿宋_GB2312"/>
          <w:snapToGrid w:val="0"/>
          <w:color w:val="auto"/>
          <w:sz w:val="24"/>
          <w:szCs w:val="24"/>
          <w:highlight w:val="none"/>
        </w:rPr>
        <w:t>第三部分 采购需求</w:t>
      </w:r>
    </w:p>
    <w:p>
      <w:pPr>
        <w:numPr>
          <w:ilvl w:val="0"/>
          <w:numId w:val="5"/>
        </w:numPr>
        <w:adjustRightInd w:val="0"/>
        <w:spacing w:line="360" w:lineRule="auto"/>
        <w:ind w:left="839" w:firstLine="480" w:firstLineChars="200"/>
        <w:rPr>
          <w:rFonts w:ascii="仿宋_GB2312" w:hAnsi="仿宋" w:eastAsia="仿宋_GB2312" w:cs="仿宋_GB2312"/>
          <w:snapToGrid w:val="0"/>
          <w:color w:val="auto"/>
          <w:sz w:val="24"/>
          <w:szCs w:val="24"/>
          <w:highlight w:val="none"/>
        </w:rPr>
      </w:pPr>
      <w:r>
        <w:rPr>
          <w:rFonts w:hint="eastAsia" w:ascii="仿宋_GB2312" w:hAnsi="仿宋" w:eastAsia="仿宋_GB2312" w:cs="仿宋_GB2312"/>
          <w:snapToGrid w:val="0"/>
          <w:color w:val="auto"/>
          <w:sz w:val="24"/>
          <w:szCs w:val="24"/>
          <w:highlight w:val="none"/>
        </w:rPr>
        <w:t>第四部分 评标方法及评分标准</w:t>
      </w:r>
    </w:p>
    <w:p>
      <w:pPr>
        <w:numPr>
          <w:ilvl w:val="0"/>
          <w:numId w:val="5"/>
        </w:numPr>
        <w:adjustRightInd w:val="0"/>
        <w:spacing w:line="360" w:lineRule="auto"/>
        <w:ind w:left="839" w:firstLine="480" w:firstLineChars="200"/>
        <w:rPr>
          <w:rFonts w:ascii="仿宋_GB2312" w:hAnsi="仿宋" w:eastAsia="仿宋_GB2312" w:cs="仿宋_GB2312"/>
          <w:snapToGrid w:val="0"/>
          <w:color w:val="auto"/>
          <w:sz w:val="24"/>
          <w:szCs w:val="24"/>
          <w:highlight w:val="none"/>
        </w:rPr>
      </w:pPr>
      <w:r>
        <w:rPr>
          <w:rFonts w:hint="eastAsia" w:ascii="仿宋_GB2312" w:hAnsi="仿宋" w:eastAsia="仿宋_GB2312" w:cs="仿宋_GB2312"/>
          <w:snapToGrid w:val="0"/>
          <w:color w:val="auto"/>
          <w:sz w:val="24"/>
          <w:szCs w:val="24"/>
          <w:highlight w:val="none"/>
        </w:rPr>
        <w:t>第五部分 拟签订的合同文本</w:t>
      </w:r>
    </w:p>
    <w:p>
      <w:pPr>
        <w:numPr>
          <w:ilvl w:val="0"/>
          <w:numId w:val="5"/>
        </w:numPr>
        <w:adjustRightInd w:val="0"/>
        <w:spacing w:line="360" w:lineRule="auto"/>
        <w:ind w:left="839" w:firstLine="480" w:firstLineChars="200"/>
        <w:rPr>
          <w:rFonts w:ascii="仿宋_GB2312" w:hAnsi="仿宋" w:eastAsia="仿宋_GB2312" w:cs="仿宋_GB2312"/>
          <w:snapToGrid w:val="0"/>
          <w:color w:val="auto"/>
          <w:sz w:val="24"/>
          <w:szCs w:val="24"/>
          <w:highlight w:val="none"/>
        </w:rPr>
      </w:pPr>
      <w:r>
        <w:rPr>
          <w:rFonts w:hint="eastAsia" w:ascii="仿宋_GB2312" w:hAnsi="仿宋" w:eastAsia="仿宋_GB2312" w:cs="仿宋_GB2312"/>
          <w:snapToGrid w:val="0"/>
          <w:color w:val="auto"/>
          <w:sz w:val="24"/>
          <w:szCs w:val="24"/>
          <w:highlight w:val="none"/>
        </w:rPr>
        <w:t>第六部分 应提交的有关格式范例</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5.2与本项目有关的</w:t>
      </w:r>
      <w:r>
        <w:rPr>
          <w:rFonts w:hint="eastAsia" w:ascii="仿宋_GB2312" w:hAnsi="仿宋" w:eastAsia="仿宋_GB2312" w:cs="Times New Roman"/>
          <w:bCs/>
          <w:color w:val="auto"/>
          <w:sz w:val="24"/>
          <w:szCs w:val="24"/>
          <w:highlight w:val="none"/>
        </w:rPr>
        <w:t>澄清或者修改的内容为招标文件的组成部分</w:t>
      </w:r>
      <w:r>
        <w:rPr>
          <w:rFonts w:hint="eastAsia" w:ascii="仿宋_GB2312" w:hAnsi="仿宋" w:eastAsia="仿宋_GB2312" w:cs="仿宋_GB2312"/>
          <w:color w:val="auto"/>
          <w:sz w:val="24"/>
          <w:szCs w:val="24"/>
          <w:highlight w:val="none"/>
        </w:rPr>
        <w:t>。</w:t>
      </w:r>
    </w:p>
    <w:p>
      <w:pPr>
        <w:adjustRightInd w:val="0"/>
        <w:spacing w:line="360" w:lineRule="auto"/>
        <w:rPr>
          <w:rFonts w:ascii="仿宋_GB2312" w:hAnsi="仿宋" w:eastAsia="仿宋_GB2312" w:cs="仿宋_GB2312"/>
          <w:b/>
          <w:snapToGrid w:val="0"/>
          <w:color w:val="auto"/>
          <w:sz w:val="24"/>
          <w:szCs w:val="24"/>
          <w:highlight w:val="none"/>
        </w:rPr>
      </w:pPr>
      <w:r>
        <w:rPr>
          <w:rFonts w:hint="eastAsia" w:ascii="仿宋_GB2312" w:hAnsi="仿宋" w:eastAsia="仿宋_GB2312" w:cs="仿宋_GB2312"/>
          <w:b/>
          <w:snapToGrid w:val="0"/>
          <w:color w:val="auto"/>
          <w:sz w:val="24"/>
          <w:szCs w:val="24"/>
          <w:highlight w:val="none"/>
        </w:rPr>
        <w:t>6. 招标文件的澄清、修改</w:t>
      </w:r>
    </w:p>
    <w:p>
      <w:pPr>
        <w:adjustRightInd w:val="0"/>
        <w:snapToGri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6.1已获取招标文件的潜在投标人，若有问题需要澄清，应于投标截止时间前，以书面形式向采购机构提出。</w:t>
      </w:r>
    </w:p>
    <w:p>
      <w:pPr>
        <w:adjustRightInd w:val="0"/>
        <w:snapToGrid w:val="0"/>
        <w:spacing w:after="120"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adjustRightInd w:val="0"/>
        <w:spacing w:line="360" w:lineRule="auto"/>
        <w:ind w:firstLine="482" w:firstLineChars="200"/>
        <w:rPr>
          <w:rFonts w:ascii="仿宋_GB2312" w:hAnsi="仿宋" w:eastAsia="仿宋_GB2312" w:cs="仿宋_GB2312"/>
          <w:b/>
          <w:color w:val="auto"/>
          <w:sz w:val="24"/>
          <w:szCs w:val="21"/>
          <w:highlight w:val="none"/>
        </w:rPr>
      </w:pPr>
      <w:r>
        <w:rPr>
          <w:rFonts w:hint="eastAsia" w:ascii="仿宋_GB2312" w:hAnsi="仿宋" w:eastAsia="仿宋_GB2312" w:cs="Times New Roman"/>
          <w:b/>
          <w:color w:val="auto"/>
          <w:sz w:val="24"/>
          <w:szCs w:val="24"/>
          <w:highlight w:val="none"/>
        </w:rPr>
        <w:t>▲</w:t>
      </w:r>
      <w:r>
        <w:rPr>
          <w:rFonts w:hint="eastAsia" w:ascii="仿宋_GB2312" w:hAnsi="仿宋" w:eastAsia="仿宋_GB2312" w:cs="仿宋_GB2312"/>
          <w:b/>
          <w:color w:val="auto"/>
          <w:sz w:val="24"/>
          <w:szCs w:val="21"/>
          <w:highlight w:val="none"/>
        </w:rPr>
        <w:t>投标文件未按招标文件的澄清、修改的内容编制，又不符合实质性要求的，投标无效。</w:t>
      </w:r>
    </w:p>
    <w:p>
      <w:pPr>
        <w:autoSpaceDE w:val="0"/>
        <w:autoSpaceDN w:val="0"/>
        <w:adjustRightInd w:val="0"/>
        <w:spacing w:line="360" w:lineRule="auto"/>
        <w:rPr>
          <w:rFonts w:ascii="仿宋_GB2312" w:hAnsi="仿宋" w:eastAsia="仿宋_GB2312" w:cs="仿宋_GB2312"/>
          <w:snapToGrid w:val="0"/>
          <w:color w:val="auto"/>
          <w:sz w:val="18"/>
          <w:szCs w:val="18"/>
          <w:highlight w:val="none"/>
        </w:rPr>
      </w:pPr>
      <w:r>
        <w:rPr>
          <w:rFonts w:hint="eastAsia" w:ascii="仿宋_GB2312" w:hAnsi="仿宋" w:eastAsia="仿宋_GB2312" w:cs="仿宋_GB2312"/>
          <w:snapToGrid w:val="0"/>
          <w:color w:val="auto"/>
          <w:sz w:val="24"/>
          <w:szCs w:val="24"/>
          <w:highlight w:val="none"/>
        </w:rPr>
        <w:t xml:space="preserve">    </w:t>
      </w:r>
    </w:p>
    <w:p>
      <w:pPr>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adjustRightInd w:val="0"/>
        <w:spacing w:line="360" w:lineRule="auto"/>
        <w:rPr>
          <w:rFonts w:ascii="仿宋_GB2312" w:hAnsi="仿宋" w:eastAsia="仿宋_GB2312" w:cs="仿宋_GB2312"/>
          <w:b/>
          <w:snapToGrid w:val="0"/>
          <w:color w:val="auto"/>
          <w:sz w:val="24"/>
          <w:szCs w:val="24"/>
          <w:highlight w:val="none"/>
        </w:rPr>
      </w:pPr>
      <w:r>
        <w:rPr>
          <w:rFonts w:hint="eastAsia" w:ascii="仿宋_GB2312" w:hAnsi="仿宋" w:eastAsia="仿宋_GB2312" w:cs="仿宋_GB2312"/>
          <w:b/>
          <w:snapToGrid w:val="0"/>
          <w:color w:val="auto"/>
          <w:sz w:val="24"/>
          <w:szCs w:val="24"/>
          <w:highlight w:val="none"/>
        </w:rPr>
        <w:t>7. 招标文件的获取</w:t>
      </w:r>
    </w:p>
    <w:p>
      <w:pPr>
        <w:adjustRightInd w:val="0"/>
        <w:spacing w:line="360" w:lineRule="auto"/>
        <w:ind w:firstLine="480" w:firstLineChars="200"/>
        <w:rPr>
          <w:rFonts w:ascii="仿宋_GB2312" w:hAnsi="仿宋" w:eastAsia="仿宋_GB2312" w:cs="仿宋_GB2312"/>
          <w:snapToGrid w:val="0"/>
          <w:color w:val="auto"/>
          <w:kern w:val="28"/>
          <w:sz w:val="24"/>
          <w:szCs w:val="24"/>
          <w:highlight w:val="none"/>
        </w:rPr>
      </w:pPr>
      <w:r>
        <w:rPr>
          <w:rFonts w:hint="eastAsia" w:ascii="仿宋_GB2312" w:hAnsi="仿宋" w:eastAsia="仿宋_GB2312" w:cs="仿宋_GB2312"/>
          <w:snapToGrid w:val="0"/>
          <w:color w:val="auto"/>
          <w:kern w:val="28"/>
          <w:sz w:val="24"/>
          <w:szCs w:val="24"/>
          <w:highlight w:val="none"/>
        </w:rPr>
        <w:t>详见招标公告中获取招标文件的时间期限、地点、方式及招标文件售价。</w:t>
      </w:r>
    </w:p>
    <w:p>
      <w:pPr>
        <w:adjustRightInd w:val="0"/>
        <w:spacing w:line="360" w:lineRule="auto"/>
        <w:rPr>
          <w:rFonts w:ascii="仿宋_GB2312" w:hAnsi="仿宋" w:eastAsia="仿宋_GB2312" w:cs="仿宋_GB2312"/>
          <w:b/>
          <w:snapToGrid w:val="0"/>
          <w:color w:val="auto"/>
          <w:sz w:val="24"/>
          <w:szCs w:val="24"/>
          <w:highlight w:val="none"/>
        </w:rPr>
      </w:pPr>
      <w:r>
        <w:rPr>
          <w:rFonts w:hint="eastAsia" w:ascii="仿宋_GB2312" w:hAnsi="仿宋" w:eastAsia="仿宋_GB2312" w:cs="仿宋_GB2312"/>
          <w:b/>
          <w:snapToGrid w:val="0"/>
          <w:color w:val="auto"/>
          <w:sz w:val="24"/>
          <w:szCs w:val="24"/>
          <w:highlight w:val="none"/>
        </w:rPr>
        <w:t>8.开标前答疑会或现场考察</w:t>
      </w:r>
    </w:p>
    <w:p>
      <w:pPr>
        <w:adjustRightInd w:val="0"/>
        <w:spacing w:line="360" w:lineRule="auto"/>
        <w:ind w:firstLine="480" w:firstLineChars="200"/>
        <w:rPr>
          <w:rFonts w:ascii="仿宋_GB2312" w:hAnsi="仿宋" w:eastAsia="仿宋_GB2312" w:cs="Arial"/>
          <w:snapToGrid w:val="0"/>
          <w:color w:val="auto"/>
          <w:sz w:val="24"/>
          <w:szCs w:val="24"/>
          <w:highlight w:val="none"/>
        </w:rPr>
      </w:pPr>
      <w:r>
        <w:rPr>
          <w:rFonts w:hint="eastAsia" w:ascii="仿宋_GB2312" w:hAnsi="仿宋" w:eastAsia="仿宋_GB2312" w:cs="Arial"/>
          <w:snapToGrid w:val="0"/>
          <w:color w:val="auto"/>
          <w:sz w:val="24"/>
          <w:szCs w:val="24"/>
          <w:highlight w:val="none"/>
        </w:rPr>
        <w:t>采购人组织潜在投标人现场考察或者召开开标前答疑会的，潜在投标人按前附表的规定参加现场考察或者开标前答疑会。</w:t>
      </w:r>
    </w:p>
    <w:p>
      <w:pPr>
        <w:adjustRightInd w:val="0"/>
        <w:spacing w:line="360" w:lineRule="auto"/>
        <w:rPr>
          <w:rFonts w:hint="eastAsia" w:ascii="仿宋_GB2312" w:hAnsi="仿宋_GB2312" w:eastAsia="仿宋_GB2312" w:cs="仿宋_GB2312"/>
          <w:b/>
          <w:snapToGrid w:val="0"/>
          <w:color w:val="auto"/>
          <w:szCs w:val="24"/>
          <w:highlight w:val="none"/>
        </w:rPr>
      </w:pPr>
      <w:r>
        <w:rPr>
          <w:rFonts w:hint="eastAsia" w:ascii="仿宋_GB2312" w:hAnsi="仿宋" w:eastAsia="仿宋_GB2312" w:cs="Arial"/>
          <w:b/>
          <w:snapToGrid w:val="0"/>
          <w:color w:val="auto"/>
          <w:kern w:val="28"/>
          <w:sz w:val="24"/>
          <w:szCs w:val="24"/>
          <w:highlight w:val="none"/>
        </w:rPr>
        <w:t>9.</w:t>
      </w:r>
      <w:r>
        <w:rPr>
          <w:rFonts w:hint="eastAsia" w:ascii="仿宋_GB2312" w:hAnsi="仿宋_GB2312" w:eastAsia="仿宋_GB2312" w:cs="仿宋_GB2312"/>
          <w:b/>
          <w:snapToGrid w:val="0"/>
          <w:color w:val="auto"/>
          <w:kern w:val="28"/>
          <w:sz w:val="24"/>
          <w:szCs w:val="24"/>
          <w:highlight w:val="none"/>
        </w:rPr>
        <w:t>投标保证金</w:t>
      </w:r>
    </w:p>
    <w:p>
      <w:pPr>
        <w:widowControl/>
        <w:adjustRightInd w:val="0"/>
        <w:snapToGrid w:val="0"/>
        <w:spacing w:line="360" w:lineRule="auto"/>
        <w:ind w:firstLine="470" w:firstLineChars="196"/>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本项目不需要交纳投标保证金。</w:t>
      </w:r>
    </w:p>
    <w:p>
      <w:pPr>
        <w:adjustRightInd w:val="0"/>
        <w:spacing w:line="360" w:lineRule="auto"/>
        <w:rPr>
          <w:rFonts w:hint="eastAsia" w:ascii="仿宋_GB2312" w:hAnsi="仿宋_GB2312" w:eastAsia="仿宋_GB2312" w:cs="仿宋_GB2312"/>
          <w:b/>
          <w:snapToGrid w:val="0"/>
          <w:color w:val="auto"/>
          <w:sz w:val="24"/>
          <w:szCs w:val="24"/>
          <w:highlight w:val="none"/>
        </w:rPr>
      </w:pPr>
      <w:r>
        <w:rPr>
          <w:rFonts w:hint="eastAsia" w:ascii="仿宋_GB2312" w:hAnsi="仿宋_GB2312" w:eastAsia="仿宋_GB2312" w:cs="仿宋_GB2312"/>
          <w:b/>
          <w:snapToGrid w:val="0"/>
          <w:color w:val="auto"/>
          <w:sz w:val="24"/>
          <w:szCs w:val="24"/>
          <w:highlight w:val="none"/>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投标文件及投标人与采购有关的来往通知、函件和文件均应使用中文。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color w:val="auto"/>
          <w:sz w:val="24"/>
          <w:szCs w:val="24"/>
          <w:highlight w:val="none"/>
        </w:rPr>
      </w:pPr>
      <w:r>
        <w:rPr>
          <w:rFonts w:hint="eastAsia" w:ascii="仿宋_GB2312" w:hAnsi="仿宋_GB2312" w:eastAsia="仿宋_GB2312" w:cs="仿宋_GB2312"/>
          <w:b/>
          <w:snapToGrid w:val="0"/>
          <w:color w:val="auto"/>
          <w:sz w:val="24"/>
          <w:szCs w:val="24"/>
          <w:highlight w:val="none"/>
        </w:rPr>
        <w:t>11. 投标文件的组成</w:t>
      </w:r>
    </w:p>
    <w:p>
      <w:pPr>
        <w:adjustRightInd w:val="0"/>
        <w:snapToGrid w:val="0"/>
        <w:spacing w:line="360" w:lineRule="auto"/>
        <w:ind w:firstLine="480" w:firstLineChars="200"/>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kern w:val="0"/>
          <w:sz w:val="24"/>
          <w:szCs w:val="24"/>
          <w:highlight w:val="none"/>
        </w:rPr>
        <w:t>投标文件应当包括以下主要内容：</w:t>
      </w:r>
      <w:r>
        <w:rPr>
          <w:rFonts w:hint="eastAsia" w:ascii="仿宋_GB2312" w:hAnsi="仿宋_GB2312" w:eastAsia="仿宋_GB2312" w:cs="仿宋_GB2312"/>
          <w:b/>
          <w:snapToGrid w:val="0"/>
          <w:color w:val="auto"/>
          <w:sz w:val="24"/>
          <w:szCs w:val="24"/>
          <w:highlight w:val="none"/>
        </w:rPr>
        <w:t>资格文件、报价文件、商务技术文件</w:t>
      </w:r>
      <w:r>
        <w:rPr>
          <w:rFonts w:hint="eastAsia" w:ascii="仿宋_GB2312" w:hAnsi="仿宋_GB2312" w:eastAsia="仿宋_GB2312" w:cs="仿宋_GB2312"/>
          <w:snapToGrid w:val="0"/>
          <w:color w:val="auto"/>
          <w:sz w:val="24"/>
          <w:szCs w:val="24"/>
          <w:highlight w:val="none"/>
        </w:rPr>
        <w:t>。投标文件应当对招标文件提出的要求和条件作出明确响应。</w:t>
      </w:r>
    </w:p>
    <w:p>
      <w:pPr>
        <w:adjustRightInd w:val="0"/>
        <w:snapToGrid w:val="0"/>
        <w:spacing w:line="360" w:lineRule="auto"/>
        <w:ind w:firstLine="480" w:firstLineChars="200"/>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sz w:val="24"/>
          <w:szCs w:val="24"/>
          <w:highlight w:val="none"/>
        </w:rPr>
        <w:t>11.1</w:t>
      </w:r>
      <w:r>
        <w:rPr>
          <w:rFonts w:hint="eastAsia" w:ascii="仿宋_GB2312" w:hAnsi="仿宋_GB2312" w:eastAsia="仿宋_GB2312" w:cs="仿宋_GB2312"/>
          <w:b/>
          <w:color w:val="auto"/>
          <w:sz w:val="24"/>
          <w:szCs w:val="24"/>
          <w:highlight w:val="none"/>
        </w:rPr>
        <w:t>资格文件</w:t>
      </w:r>
      <w:r>
        <w:rPr>
          <w:rFonts w:hint="eastAsia" w:ascii="仿宋_GB2312" w:hAnsi="仿宋_GB2312" w:eastAsia="仿宋_GB2312" w:cs="仿宋_GB2312"/>
          <w:color w:val="auto"/>
          <w:sz w:val="24"/>
          <w:szCs w:val="24"/>
          <w:highlight w:val="none"/>
        </w:rPr>
        <w:t>应包括以下内容（均需使用电子签名）：</w:t>
      </w:r>
      <w:r>
        <w:rPr>
          <w:rFonts w:hint="eastAsia" w:ascii="仿宋_GB2312" w:hAnsi="仿宋_GB2312" w:eastAsia="仿宋_GB2312" w:cs="仿宋_GB2312"/>
          <w:color w:val="auto"/>
          <w:kern w:val="0"/>
          <w:sz w:val="24"/>
          <w:szCs w:val="24"/>
          <w:highlight w:val="none"/>
        </w:rPr>
        <w:t>证明其符合《中华人民共和国政府采购法》规定的供应商基本条件和采购项目对供应商的特定条件</w:t>
      </w:r>
      <w:r>
        <w:rPr>
          <w:rFonts w:hint="eastAsia" w:ascii="仿宋_GB2312" w:hAnsi="仿宋_GB2312" w:eastAsia="仿宋_GB2312" w:cs="仿宋_GB2312"/>
          <w:color w:val="auto"/>
          <w:sz w:val="24"/>
          <w:szCs w:val="24"/>
          <w:highlight w:val="none"/>
        </w:rPr>
        <w:t>（如果项目要求）</w:t>
      </w:r>
      <w:r>
        <w:rPr>
          <w:rFonts w:hint="eastAsia" w:ascii="仿宋_GB2312" w:hAnsi="仿宋_GB2312" w:eastAsia="仿宋_GB2312" w:cs="仿宋_GB2312"/>
          <w:color w:val="auto"/>
          <w:kern w:val="0"/>
          <w:sz w:val="24"/>
          <w:szCs w:val="24"/>
          <w:highlight w:val="none"/>
        </w:rPr>
        <w:t>的有关资格证明文件。</w:t>
      </w:r>
      <w:r>
        <w:rPr>
          <w:rFonts w:hint="eastAsia" w:ascii="仿宋_GB2312" w:hAnsi="仿宋_GB2312" w:eastAsia="仿宋_GB2312" w:cs="仿宋_GB2312"/>
          <w:b/>
          <w:color w:val="auto"/>
          <w:kern w:val="0"/>
          <w:sz w:val="24"/>
          <w:szCs w:val="24"/>
          <w:highlight w:val="none"/>
        </w:rPr>
        <w:t>（以联合体形式进行政府采购的，参加联合体的供应商均应当提供）</w:t>
      </w:r>
    </w:p>
    <w:p>
      <w:pPr>
        <w:pStyle w:val="32"/>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11.1.1</w:t>
      </w:r>
      <w:r>
        <w:rPr>
          <w:rFonts w:hint="eastAsia" w:ascii="仿宋_GB2312" w:hAnsi="仿宋_GB2312" w:eastAsia="仿宋_GB2312" w:cs="仿宋_GB2312"/>
          <w:snapToGrid w:val="0"/>
          <w:color w:val="auto"/>
          <w:sz w:val="24"/>
          <w:szCs w:val="21"/>
          <w:highlight w:val="none"/>
        </w:rPr>
        <w:t>营业执照(或事业法人登记证或其他工商等登记证明材料)复印件（投标人为自然人的，提供</w:t>
      </w:r>
      <w:r>
        <w:rPr>
          <w:rFonts w:hint="eastAsia" w:ascii="仿宋_GB2312" w:hAnsi="仿宋_GB2312" w:eastAsia="仿宋_GB2312" w:cs="仿宋_GB2312"/>
          <w:snapToGrid w:val="0"/>
          <w:color w:val="auto"/>
          <w:kern w:val="0"/>
          <w:sz w:val="24"/>
          <w:szCs w:val="21"/>
          <w:highlight w:val="none"/>
        </w:rPr>
        <w:t>自然人的身份证明</w:t>
      </w:r>
      <w:r>
        <w:rPr>
          <w:rFonts w:hint="eastAsia" w:ascii="仿宋_GB2312" w:hAnsi="仿宋_GB2312" w:eastAsia="仿宋_GB2312" w:cs="仿宋_GB2312"/>
          <w:snapToGrid w:val="0"/>
          <w:color w:val="auto"/>
          <w:sz w:val="24"/>
          <w:szCs w:val="21"/>
          <w:highlight w:val="none"/>
        </w:rPr>
        <w:t>）复印件；</w:t>
      </w:r>
    </w:p>
    <w:p>
      <w:pPr>
        <w:pStyle w:val="32"/>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11.1.2</w:t>
      </w:r>
      <w:r>
        <w:rPr>
          <w:rFonts w:hint="eastAsia" w:ascii="仿宋_GB2312" w:hAnsi="仿宋_GB2312" w:eastAsia="仿宋_GB2312" w:cs="仿宋_GB2312"/>
          <w:color w:val="auto"/>
          <w:sz w:val="24"/>
          <w:highlight w:val="none"/>
          <w:lang w:eastAsia="zh-CN"/>
        </w:rPr>
        <w:t>法人</w:t>
      </w:r>
      <w:r>
        <w:rPr>
          <w:rFonts w:hint="eastAsia" w:ascii="仿宋_GB2312" w:hAnsi="仿宋_GB2312" w:eastAsia="仿宋_GB2312" w:cs="仿宋_GB2312"/>
          <w:color w:val="auto"/>
          <w:sz w:val="24"/>
          <w:highlight w:val="none"/>
        </w:rPr>
        <w:t>授权书（如法定代表人直接参加投标并对相应文件签字的，只需提供其身份证复印件正反面；如以联合体形式参加政府采购活动的，按招标文件有关格式范例提供联合体投标授权书）；▲</w:t>
      </w:r>
      <w:r>
        <w:rPr>
          <w:rFonts w:hint="eastAsia" w:ascii="仿宋_GB2312" w:hAnsi="仿宋_GB2312" w:eastAsia="仿宋_GB2312" w:cs="仿宋_GB2312"/>
          <w:b/>
          <w:color w:val="auto"/>
          <w:sz w:val="24"/>
          <w:highlight w:val="none"/>
        </w:rPr>
        <w:t>投标文件中法人授权书所载内容与本项目内容有异的，投标无效</w:t>
      </w:r>
      <w:r>
        <w:rPr>
          <w:rFonts w:hint="eastAsia" w:ascii="仿宋_GB2312" w:hAnsi="仿宋_GB2312" w:eastAsia="仿宋_GB2312" w:cs="仿宋_GB2312"/>
          <w:b/>
          <w:color w:val="auto"/>
          <w:sz w:val="24"/>
          <w:highlight w:val="none"/>
          <w:lang w:eastAsia="zh-CN"/>
        </w:rPr>
        <w:t>；</w:t>
      </w:r>
    </w:p>
    <w:p>
      <w:pPr>
        <w:pStyle w:val="32"/>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11.1.3法定代表人及其授权代表的身份证（复印件）</w:t>
      </w:r>
      <w:r>
        <w:rPr>
          <w:rFonts w:hint="eastAsia" w:ascii="仿宋_GB2312" w:hAnsi="仿宋_GB2312" w:eastAsia="仿宋_GB2312" w:cs="仿宋_GB2312"/>
          <w:color w:val="auto"/>
          <w:sz w:val="24"/>
          <w:highlight w:val="none"/>
          <w:lang w:eastAsia="zh-CN"/>
        </w:rPr>
        <w:t>；</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11.1.4</w:t>
      </w:r>
      <w:r>
        <w:rPr>
          <w:rFonts w:hint="eastAsia" w:ascii="仿宋_GB2312" w:hAnsi="仿宋" w:eastAsia="仿宋_GB2312" w:cs="仿宋_GB2312"/>
          <w:color w:val="auto"/>
          <w:sz w:val="24"/>
          <w:highlight w:val="none"/>
        </w:rPr>
        <w:t>符合参与政府采购活动的资格条件并且没有税收缴纳、社会保障等方面的失信记录的承诺函；</w:t>
      </w:r>
    </w:p>
    <w:p>
      <w:pPr>
        <w:pStyle w:val="32"/>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11.1.5具有履行合同所必需的设备和专业技术能力的承诺函；</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11.1.6参加政府采购活动前三年内，在经营活动中没有重大违法记录的声明；</w:t>
      </w:r>
    </w:p>
    <w:p>
      <w:pPr>
        <w:snapToGrid w:val="0"/>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11.1.7</w:t>
      </w:r>
      <w:r>
        <w:rPr>
          <w:rFonts w:hint="eastAsia" w:ascii="仿宋_GB2312" w:hAnsi="仿宋_GB2312" w:eastAsia="仿宋_GB2312" w:cs="仿宋_GB2312"/>
          <w:color w:val="auto"/>
          <w:sz w:val="24"/>
          <w:szCs w:val="20"/>
          <w:highlight w:val="none"/>
        </w:rPr>
        <w:t>具有良好商业信誉的声明；</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11.1.8</w:t>
      </w:r>
      <w:r>
        <w:rPr>
          <w:rFonts w:hint="eastAsia" w:ascii="仿宋_GB2312" w:hAnsi="仿宋_GB2312" w:eastAsia="仿宋_GB2312" w:cs="仿宋_GB2312"/>
          <w:color w:val="auto"/>
          <w:sz w:val="24"/>
          <w:highlight w:val="none"/>
        </w:rPr>
        <w:t>符合特定资格条件（如果项目要求）的有关证明材料（复印件）；</w:t>
      </w:r>
    </w:p>
    <w:p>
      <w:pPr>
        <w:adjustRightInd w:val="0"/>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rPr>
        <w:t>以联合体形式投标的，提供联合体协议；本项目不接受联合体投标或者投标人不以联合体形式投标的，则不需要提供</w:t>
      </w:r>
      <w:r>
        <w:rPr>
          <w:rFonts w:hint="eastAsia" w:ascii="仿宋_GB2312" w:hAnsi="仿宋_GB2312" w:eastAsia="仿宋_GB2312" w:cs="仿宋_GB2312"/>
          <w:color w:val="auto"/>
          <w:sz w:val="24"/>
          <w:highlight w:val="none"/>
          <w:lang w:eastAsia="zh-CN"/>
        </w:rPr>
        <w:t>；</w:t>
      </w:r>
    </w:p>
    <w:p>
      <w:pPr>
        <w:adjustRightInd w:val="0"/>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color w:val="auto"/>
          <w:sz w:val="24"/>
          <w:highlight w:val="none"/>
          <w:lang w:val="en-US" w:eastAsia="zh-CN"/>
        </w:rPr>
        <w:t>10中小企业声明函</w:t>
      </w:r>
      <w:r>
        <w:rPr>
          <w:rFonts w:hint="eastAsia" w:ascii="仿宋_GB2312" w:hAnsi="仿宋_GB2312" w:eastAsia="仿宋_GB2312" w:cs="仿宋_GB2312"/>
          <w:color w:val="auto"/>
          <w:sz w:val="24"/>
          <w:szCs w:val="24"/>
          <w:highlight w:val="none"/>
          <w:lang w:eastAsia="zh-CN"/>
        </w:rPr>
        <w:t>。</w:t>
      </w:r>
    </w:p>
    <w:p>
      <w:pPr>
        <w:adjustRightInd w:val="0"/>
        <w:spacing w:line="360" w:lineRule="auto"/>
        <w:ind w:firstLine="480" w:firstLineChars="200"/>
        <w:rPr>
          <w:rFonts w:hint="eastAsia" w:ascii="仿宋_GB2312" w:hAnsi="仿宋_GB2312" w:eastAsia="仿宋_GB2312" w:cs="仿宋_GB2312"/>
          <w:color w:val="auto"/>
          <w:sz w:val="24"/>
          <w:szCs w:val="24"/>
          <w:highlight w:val="none"/>
          <w:u w:val="single"/>
          <w:lang w:val="zh-CN"/>
        </w:rPr>
      </w:pPr>
      <w:r>
        <w:rPr>
          <w:rFonts w:hint="eastAsia" w:ascii="仿宋_GB2312" w:hAnsi="仿宋_GB2312" w:eastAsia="仿宋_GB2312" w:cs="仿宋_GB2312"/>
          <w:color w:val="auto"/>
          <w:kern w:val="0"/>
          <w:sz w:val="24"/>
          <w:szCs w:val="24"/>
          <w:highlight w:val="none"/>
          <w:lang w:val="zh-CN"/>
        </w:rPr>
        <w:t xml:space="preserve">11.2 </w:t>
      </w:r>
      <w:r>
        <w:rPr>
          <w:rFonts w:hint="eastAsia" w:ascii="仿宋_GB2312" w:hAnsi="仿宋_GB2312" w:eastAsia="仿宋_GB2312" w:cs="仿宋_GB2312"/>
          <w:color w:val="auto"/>
          <w:sz w:val="24"/>
          <w:szCs w:val="24"/>
          <w:highlight w:val="none"/>
        </w:rPr>
        <w:t>投标人的</w:t>
      </w:r>
      <w:r>
        <w:rPr>
          <w:rFonts w:hint="eastAsia" w:ascii="仿宋_GB2312" w:hAnsi="仿宋_GB2312" w:eastAsia="仿宋_GB2312" w:cs="仿宋_GB2312"/>
          <w:b/>
          <w:color w:val="auto"/>
          <w:sz w:val="24"/>
          <w:szCs w:val="24"/>
          <w:highlight w:val="none"/>
        </w:rPr>
        <w:t>报价文件</w:t>
      </w:r>
      <w:r>
        <w:rPr>
          <w:rFonts w:hint="eastAsia" w:ascii="仿宋_GB2312" w:hAnsi="仿宋_GB2312" w:eastAsia="仿宋_GB2312" w:cs="仿宋_GB2312"/>
          <w:color w:val="auto"/>
          <w:sz w:val="24"/>
          <w:szCs w:val="24"/>
          <w:highlight w:val="none"/>
        </w:rPr>
        <w:t>应包括以下内容（均需使用电子签名）：</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11.2.1</w:t>
      </w:r>
      <w:r>
        <w:rPr>
          <w:rFonts w:hint="eastAsia" w:ascii="仿宋_GB2312" w:hAnsi="仿宋_GB2312" w:eastAsia="仿宋_GB2312" w:cs="仿宋_GB2312"/>
          <w:color w:val="auto"/>
          <w:kern w:val="0"/>
          <w:sz w:val="24"/>
          <w:szCs w:val="24"/>
          <w:highlight w:val="none"/>
        </w:rPr>
        <w:t>投标响应函</w:t>
      </w:r>
      <w:r>
        <w:rPr>
          <w:rFonts w:hint="eastAsia" w:ascii="仿宋_GB2312" w:hAnsi="仿宋_GB2312" w:eastAsia="仿宋_GB2312" w:cs="仿宋_GB2312"/>
          <w:color w:val="auto"/>
          <w:sz w:val="24"/>
          <w:szCs w:val="24"/>
          <w:highlight w:val="none"/>
        </w:rPr>
        <w:t>；</w:t>
      </w:r>
    </w:p>
    <w:p>
      <w:pPr>
        <w:adjustRightInd w:val="0"/>
        <w:snapToGrid w:val="0"/>
        <w:spacing w:line="360" w:lineRule="auto"/>
        <w:ind w:firstLine="480" w:firstLineChars="200"/>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rPr>
        <w:t>11.2.2投标(开标)一览表</w:t>
      </w:r>
      <w:r>
        <w:rPr>
          <w:rFonts w:hint="eastAsia" w:ascii="仿宋_GB2312" w:hAnsi="仿宋_GB2312" w:eastAsia="仿宋_GB2312" w:cs="仿宋_GB2312"/>
          <w:snapToGrid w:val="0"/>
          <w:color w:val="auto"/>
          <w:sz w:val="24"/>
          <w:szCs w:val="24"/>
          <w:highlight w:val="none"/>
          <w:lang w:eastAsia="zh-CN"/>
        </w:rPr>
        <w:t>。</w:t>
      </w:r>
    </w:p>
    <w:p>
      <w:pPr>
        <w:adjustRightInd w:val="0"/>
        <w:spacing w:line="360" w:lineRule="auto"/>
        <w:ind w:firstLine="480" w:firstLineChars="200"/>
        <w:rPr>
          <w:rFonts w:hint="eastAsia" w:ascii="仿宋_GB2312" w:hAnsi="仿宋_GB2312" w:eastAsia="仿宋_GB2312" w:cs="仿宋_GB2312"/>
          <w:snapToGrid w:val="0"/>
          <w:color w:val="auto"/>
          <w:sz w:val="24"/>
          <w:szCs w:val="24"/>
          <w:highlight w:val="none"/>
          <w:lang w:val="zh-CN"/>
        </w:rPr>
      </w:pPr>
      <w:r>
        <w:rPr>
          <w:rFonts w:hint="eastAsia" w:ascii="仿宋_GB2312" w:hAnsi="仿宋_GB2312" w:eastAsia="仿宋_GB2312" w:cs="仿宋_GB2312"/>
          <w:snapToGrid w:val="0"/>
          <w:color w:val="auto"/>
          <w:kern w:val="0"/>
          <w:sz w:val="24"/>
          <w:szCs w:val="24"/>
          <w:highlight w:val="none"/>
          <w:lang w:val="zh-CN"/>
        </w:rPr>
        <w:t>11.3  投标人的</w:t>
      </w:r>
      <w:r>
        <w:rPr>
          <w:rFonts w:hint="eastAsia" w:ascii="仿宋_GB2312" w:hAnsi="仿宋_GB2312" w:eastAsia="仿宋_GB2312" w:cs="仿宋_GB2312"/>
          <w:b/>
          <w:snapToGrid w:val="0"/>
          <w:color w:val="auto"/>
          <w:sz w:val="24"/>
          <w:szCs w:val="24"/>
          <w:highlight w:val="none"/>
        </w:rPr>
        <w:t>商务技术</w:t>
      </w:r>
      <w:r>
        <w:rPr>
          <w:rFonts w:hint="eastAsia" w:ascii="仿宋_GB2312" w:hAnsi="仿宋_GB2312" w:eastAsia="仿宋_GB2312" w:cs="仿宋_GB2312"/>
          <w:b/>
          <w:snapToGrid w:val="0"/>
          <w:color w:val="auto"/>
          <w:kern w:val="0"/>
          <w:sz w:val="24"/>
          <w:szCs w:val="24"/>
          <w:highlight w:val="none"/>
          <w:lang w:val="zh-CN"/>
        </w:rPr>
        <w:t>文件应</w:t>
      </w:r>
      <w:r>
        <w:rPr>
          <w:rFonts w:hint="eastAsia" w:ascii="仿宋_GB2312" w:hAnsi="仿宋_GB2312" w:eastAsia="仿宋_GB2312" w:cs="仿宋_GB2312"/>
          <w:snapToGrid w:val="0"/>
          <w:color w:val="auto"/>
          <w:kern w:val="0"/>
          <w:sz w:val="24"/>
          <w:szCs w:val="24"/>
          <w:highlight w:val="none"/>
          <w:lang w:val="zh-CN"/>
        </w:rPr>
        <w:t>包括以下内容</w:t>
      </w:r>
      <w:r>
        <w:rPr>
          <w:rFonts w:hint="eastAsia" w:ascii="仿宋_GB2312" w:hAnsi="仿宋_GB2312" w:eastAsia="仿宋_GB2312" w:cs="仿宋_GB2312"/>
          <w:snapToGrid w:val="0"/>
          <w:color w:val="auto"/>
          <w:sz w:val="24"/>
          <w:szCs w:val="24"/>
          <w:highlight w:val="none"/>
        </w:rPr>
        <w:t>（均需使用电子签名）</w:t>
      </w:r>
      <w:r>
        <w:rPr>
          <w:rFonts w:hint="eastAsia" w:ascii="仿宋_GB2312" w:hAnsi="仿宋_GB2312" w:eastAsia="仿宋_GB2312" w:cs="仿宋_GB2312"/>
          <w:snapToGrid w:val="0"/>
          <w:color w:val="auto"/>
          <w:kern w:val="0"/>
          <w:sz w:val="24"/>
          <w:szCs w:val="24"/>
          <w:highlight w:val="none"/>
          <w:lang w:val="zh-CN"/>
        </w:rPr>
        <w:t>：</w:t>
      </w:r>
      <w:r>
        <w:rPr>
          <w:rFonts w:hint="eastAsia" w:ascii="仿宋_GB2312" w:hAnsi="仿宋_GB2312" w:eastAsia="仿宋_GB2312" w:cs="仿宋_GB2312"/>
          <w:snapToGrid w:val="0"/>
          <w:color w:val="auto"/>
          <w:sz w:val="24"/>
          <w:szCs w:val="24"/>
          <w:highlight w:val="none"/>
          <w:lang w:val="zh-CN"/>
        </w:rPr>
        <w:t xml:space="preserve"> </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11.3.</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资信文件：</w:t>
      </w:r>
      <w:r>
        <w:rPr>
          <w:rFonts w:hint="eastAsia" w:ascii="仿宋_GB2312" w:hAnsi="仿宋_GB2312" w:eastAsia="仿宋_GB2312" w:cs="仿宋_GB2312"/>
          <w:color w:val="auto"/>
          <w:kern w:val="0"/>
          <w:sz w:val="24"/>
          <w:szCs w:val="20"/>
          <w:highlight w:val="none"/>
        </w:rPr>
        <w:t>见投标须知前附表所述；</w:t>
      </w:r>
    </w:p>
    <w:p>
      <w:pPr>
        <w:pStyle w:val="237"/>
        <w:snapToGrid w:val="0"/>
        <w:spacing w:before="0"/>
        <w:ind w:firstLine="480"/>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highlight w:val="none"/>
          <w:lang w:val="zh-CN"/>
        </w:rPr>
        <w:t>11.3.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kern w:val="0"/>
          <w:highlight w:val="none"/>
        </w:rPr>
        <w:t>投标人的主要业绩证明材料即</w:t>
      </w:r>
      <w:r>
        <w:rPr>
          <w:rFonts w:hint="eastAsia" w:ascii="仿宋_GB2312" w:hAnsi="仿宋_GB2312" w:eastAsia="仿宋_GB2312" w:cs="仿宋_GB2312"/>
          <w:color w:val="auto"/>
          <w:highlight w:val="none"/>
          <w:lang w:val="zh-CN"/>
        </w:rPr>
        <w:t>合同</w:t>
      </w:r>
      <w:r>
        <w:rPr>
          <w:rFonts w:hint="eastAsia" w:ascii="仿宋_GB2312" w:hAnsi="仿宋_GB2312" w:eastAsia="仿宋_GB2312" w:cs="仿宋_GB2312"/>
          <w:color w:val="auto"/>
          <w:highlight w:val="none"/>
        </w:rPr>
        <w:t>和用户验收报告</w:t>
      </w:r>
      <w:r>
        <w:rPr>
          <w:rFonts w:hint="eastAsia" w:ascii="仿宋_GB2312" w:hAnsi="仿宋_GB2312" w:eastAsia="仿宋_GB2312" w:cs="仿宋_GB2312"/>
          <w:color w:val="auto"/>
          <w:highlight w:val="none"/>
          <w:lang w:eastAsia="zh-CN"/>
        </w:rPr>
        <w:t>（如需要）</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color w:val="auto"/>
          <w:highlight w:val="none"/>
        </w:rPr>
        <w:t>联合体投标的，联合体各方</w:t>
      </w:r>
      <w:r>
        <w:rPr>
          <w:rFonts w:hint="eastAsia" w:ascii="仿宋_GB2312" w:hAnsi="仿宋_GB2312" w:eastAsia="仿宋_GB2312" w:cs="仿宋_GB2312"/>
          <w:color w:val="auto"/>
          <w:kern w:val="0"/>
          <w:highlight w:val="none"/>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color w:val="auto"/>
          <w:kern w:val="0"/>
          <w:highlight w:val="none"/>
        </w:rPr>
        <w:t>；</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11.3.</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kern w:val="0"/>
          <w:sz w:val="24"/>
          <w:highlight w:val="none"/>
          <w:lang w:val="zh-CN"/>
        </w:rPr>
        <w:t>投标人认为需要的其他商务文件或说明；</w:t>
      </w:r>
      <w:r>
        <w:rPr>
          <w:rFonts w:hint="eastAsia" w:ascii="仿宋_GB2312" w:hAnsi="仿宋_GB2312" w:eastAsia="仿宋_GB2312" w:cs="仿宋_GB2312"/>
          <w:color w:val="auto"/>
          <w:sz w:val="24"/>
          <w:highlight w:val="none"/>
        </w:rPr>
        <w:t xml:space="preserve"> </w:t>
      </w:r>
    </w:p>
    <w:p>
      <w:pPr>
        <w:pStyle w:val="32"/>
        <w:snapToGrid w:val="0"/>
        <w:spacing w:line="360" w:lineRule="auto"/>
        <w:ind w:firstLine="480" w:firstLineChars="200"/>
        <w:rPr>
          <w:rFonts w:hint="eastAsia" w:ascii="仿宋_GB2312" w:hAnsi="仿宋_GB2312" w:eastAsia="仿宋_GB2312" w:cs="仿宋_GB2312"/>
          <w:b/>
          <w:color w:val="auto"/>
          <w:kern w:val="0"/>
          <w:sz w:val="24"/>
          <w:szCs w:val="24"/>
          <w:highlight w:val="none"/>
          <w:lang w:val="zh-CN"/>
        </w:rPr>
      </w:pPr>
      <w:r>
        <w:rPr>
          <w:rFonts w:hint="eastAsia" w:ascii="仿宋_GB2312" w:hAnsi="仿宋_GB2312" w:eastAsia="仿宋_GB2312" w:cs="仿宋_GB2312"/>
          <w:color w:val="auto"/>
          <w:sz w:val="24"/>
          <w:highlight w:val="none"/>
          <w:lang w:val="zh-CN"/>
        </w:rPr>
        <w:t>11.3.</w:t>
      </w:r>
      <w:r>
        <w:rPr>
          <w:rFonts w:hint="eastAsia" w:ascii="仿宋_GB2312" w:hAnsi="仿宋_GB2312" w:eastAsia="仿宋_GB2312" w:cs="仿宋_GB2312"/>
          <w:color w:val="auto"/>
          <w:sz w:val="24"/>
          <w:highlight w:val="none"/>
          <w:lang w:val="en-US" w:eastAsia="zh-CN"/>
        </w:rPr>
        <w:t>4</w:t>
      </w:r>
      <w:r>
        <w:rPr>
          <w:rFonts w:hint="eastAsia" w:ascii="仿宋_GB2312" w:hAnsi="仿宋" w:eastAsia="仿宋_GB2312" w:cs="仿宋_GB2312"/>
          <w:color w:val="auto"/>
          <w:sz w:val="24"/>
          <w:highlight w:val="none"/>
          <w:lang w:val="zh-CN"/>
        </w:rPr>
        <w:t>投标人应提供针对项目的完整技术解决方案</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color w:val="auto"/>
          <w:sz w:val="24"/>
          <w:szCs w:val="24"/>
          <w:highlight w:val="none"/>
        </w:rPr>
        <w:t>投标人根据项目采购需求、评分标准等提出合理的技术</w:t>
      </w:r>
      <w:r>
        <w:rPr>
          <w:rFonts w:hint="eastAsia" w:ascii="仿宋_GB2312" w:hAnsi="仿宋_GB2312" w:eastAsia="仿宋_GB2312" w:cs="仿宋_GB2312"/>
          <w:b/>
          <w:color w:val="auto"/>
          <w:sz w:val="24"/>
          <w:szCs w:val="24"/>
          <w:highlight w:val="none"/>
          <w:lang w:eastAsia="zh-CN"/>
        </w:rPr>
        <w:t>解决</w:t>
      </w:r>
      <w:r>
        <w:rPr>
          <w:rFonts w:hint="eastAsia" w:ascii="仿宋_GB2312" w:hAnsi="仿宋_GB2312" w:eastAsia="仿宋_GB2312" w:cs="仿宋_GB2312"/>
          <w:b/>
          <w:color w:val="auto"/>
          <w:sz w:val="24"/>
          <w:szCs w:val="24"/>
          <w:highlight w:val="none"/>
        </w:rPr>
        <w:t>方案</w:t>
      </w:r>
      <w:r>
        <w:rPr>
          <w:rFonts w:hint="eastAsia" w:ascii="仿宋_GB2312" w:hAnsi="仿宋_GB2312" w:eastAsia="仿宋_GB2312" w:cs="仿宋_GB2312"/>
          <w:b/>
          <w:color w:val="auto"/>
          <w:kern w:val="0"/>
          <w:sz w:val="24"/>
          <w:szCs w:val="24"/>
          <w:highlight w:val="none"/>
          <w:lang w:val="zh-CN"/>
        </w:rPr>
        <w:t>；</w:t>
      </w:r>
    </w:p>
    <w:p>
      <w:pPr>
        <w:snapToGrid w:val="0"/>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针对本项目的完整技术解决方案和实施方案；详细阐述项目方案的实现思路及关键技术；符合本项目对当前和未来发展的要求；以及对功能设计和实施计划的建议；</w:t>
      </w:r>
    </w:p>
    <w:p>
      <w:pPr>
        <w:pStyle w:val="32"/>
        <w:snapToGrid w:val="0"/>
        <w:spacing w:line="360" w:lineRule="auto"/>
        <w:ind w:firstLine="482"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_GB2312"/>
          <w:b/>
          <w:color w:val="auto"/>
          <w:kern w:val="0"/>
          <w:sz w:val="24"/>
          <w:highlight w:val="none"/>
          <w:lang w:val="zh-CN"/>
        </w:rPr>
        <w:t>任何含糊不清的</w:t>
      </w:r>
      <w:r>
        <w:rPr>
          <w:rFonts w:hint="eastAsia" w:ascii="仿宋_GB2312" w:hAnsi="仿宋" w:eastAsia="仿宋_GB2312" w:cs="仿宋_GB2312"/>
          <w:b/>
          <w:color w:val="auto"/>
          <w:sz w:val="24"/>
          <w:highlight w:val="none"/>
        </w:rPr>
        <w:t>表述导致</w:t>
      </w:r>
      <w:r>
        <w:rPr>
          <w:rFonts w:hint="eastAsia" w:ascii="仿宋_GB2312" w:hAnsi="仿宋" w:eastAsia="仿宋_GB2312" w:cs="仿宋_GB2312"/>
          <w:b/>
          <w:color w:val="auto"/>
          <w:kern w:val="0"/>
          <w:sz w:val="24"/>
          <w:highlight w:val="none"/>
          <w:lang w:val="zh-CN"/>
        </w:rPr>
        <w:t>评标委员会技术扣分直至认定为投标无效都将是投标人的责任</w:t>
      </w:r>
      <w:r>
        <w:rPr>
          <w:rFonts w:hint="eastAsia" w:ascii="仿宋_GB2312" w:hAnsi="仿宋" w:eastAsia="仿宋_GB2312" w:cs="仿宋_GB2312"/>
          <w:color w:val="auto"/>
          <w:sz w:val="24"/>
          <w:highlight w:val="none"/>
        </w:rPr>
        <w:t>。</w:t>
      </w:r>
    </w:p>
    <w:p>
      <w:pPr>
        <w:pStyle w:val="32"/>
        <w:snapToGrid w:val="0"/>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本项目如需采购政府强制采购的节能产品的或</w:t>
      </w:r>
      <w:r>
        <w:rPr>
          <w:rFonts w:hint="eastAsia" w:ascii="仿宋_GB2312" w:hAnsi="仿宋" w:eastAsia="仿宋_GB2312"/>
          <w:color w:val="auto"/>
          <w:sz w:val="24"/>
          <w:highlight w:val="none"/>
        </w:rPr>
        <w:t>投标人提供的产品是环境标志产品，</w:t>
      </w:r>
      <w:r>
        <w:rPr>
          <w:rFonts w:hint="eastAsia" w:ascii="仿宋_GB2312" w:hAnsi="仿宋" w:eastAsia="仿宋_GB2312" w:cs="仿宋_GB2312"/>
          <w:color w:val="auto"/>
          <w:sz w:val="24"/>
          <w:highlight w:val="none"/>
        </w:rPr>
        <w:t>投标人</w:t>
      </w:r>
      <w:r>
        <w:rPr>
          <w:rFonts w:hint="eastAsia" w:ascii="仿宋_GB2312" w:hAnsi="仿宋" w:eastAsia="仿宋_GB2312" w:cs="仿宋_GB2312"/>
          <w:color w:val="auto"/>
          <w:sz w:val="24"/>
          <w:highlight w:val="none"/>
          <w:lang w:eastAsia="zh-CN"/>
        </w:rPr>
        <w:t>需</w:t>
      </w:r>
      <w:r>
        <w:rPr>
          <w:rFonts w:hint="eastAsia" w:ascii="仿宋_GB2312" w:hAnsi="仿宋" w:eastAsia="仿宋_GB2312" w:cs="仿宋_GB2312"/>
          <w:color w:val="auto"/>
          <w:sz w:val="24"/>
          <w:highlight w:val="none"/>
        </w:rPr>
        <w:t>提供节能产品、环境标志产品认证证书复印件；</w:t>
      </w:r>
    </w:p>
    <w:p>
      <w:pPr>
        <w:adjustRightInd w:val="0"/>
        <w:snapToGrid w:val="0"/>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_GB2312" w:eastAsia="仿宋_GB2312" w:cs="仿宋_GB2312"/>
          <w:color w:val="auto"/>
          <w:sz w:val="24"/>
          <w:highlight w:val="none"/>
          <w:lang w:val="zh-CN"/>
        </w:rPr>
        <w:t>11.3.</w:t>
      </w:r>
      <w:r>
        <w:rPr>
          <w:rFonts w:hint="eastAsia" w:ascii="仿宋_GB2312" w:hAnsi="仿宋_GB2312" w:eastAsia="仿宋_GB2312" w:cs="仿宋_GB2312"/>
          <w:color w:val="auto"/>
          <w:sz w:val="24"/>
          <w:highlight w:val="none"/>
          <w:lang w:val="en-US" w:eastAsia="zh-CN"/>
        </w:rPr>
        <w:t>5</w:t>
      </w:r>
      <w:r>
        <w:rPr>
          <w:rFonts w:hint="eastAsia" w:ascii="仿宋_GB2312" w:hAnsi="仿宋" w:eastAsia="仿宋_GB2312" w:cs="仿宋_GB2312"/>
          <w:color w:val="auto"/>
          <w:sz w:val="24"/>
          <w:highlight w:val="none"/>
        </w:rPr>
        <w:t>投标人在投标文件技术偏离说明表中，</w:t>
      </w:r>
      <w:r>
        <w:rPr>
          <w:rFonts w:hint="eastAsia" w:ascii="仿宋_GB2312" w:hAnsi="仿宋" w:eastAsia="仿宋_GB2312" w:cs="仿宋_GB2312"/>
          <w:color w:val="auto"/>
          <w:kern w:val="0"/>
          <w:sz w:val="24"/>
          <w:highlight w:val="none"/>
          <w:lang w:val="zh-CN"/>
        </w:rPr>
        <w:t>应对</w:t>
      </w:r>
      <w:r>
        <w:rPr>
          <w:rFonts w:hint="eastAsia" w:ascii="仿宋_GB2312" w:hAnsi="仿宋" w:eastAsia="仿宋_GB2312" w:cs="仿宋_GB2312"/>
          <w:color w:val="auto"/>
          <w:sz w:val="24"/>
          <w:highlight w:val="none"/>
        </w:rPr>
        <w:t>采购需求</w:t>
      </w:r>
      <w:r>
        <w:rPr>
          <w:rFonts w:hint="eastAsia" w:ascii="仿宋_GB2312" w:hAnsi="仿宋" w:eastAsia="仿宋_GB2312" w:cs="仿宋_GB2312"/>
          <w:color w:val="auto"/>
          <w:kern w:val="0"/>
          <w:sz w:val="24"/>
          <w:highlight w:val="none"/>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sz w:val="24"/>
          <w:highlight w:val="none"/>
          <w:lang w:val="zh-CN"/>
        </w:rPr>
        <w:t>11.3</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kern w:val="0"/>
          <w:sz w:val="24"/>
          <w:szCs w:val="24"/>
          <w:highlight w:val="none"/>
          <w:lang w:val="zh-CN"/>
        </w:rPr>
        <w:t>组织实施方案</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color w:val="auto"/>
          <w:sz w:val="24"/>
          <w:szCs w:val="24"/>
          <w:highlight w:val="none"/>
        </w:rPr>
        <w:t>投标人根据项目采购需求、评分标准等提出组织实施方案</w:t>
      </w:r>
      <w:r>
        <w:rPr>
          <w:rFonts w:hint="eastAsia" w:ascii="仿宋_GB2312" w:hAnsi="仿宋_GB2312" w:eastAsia="仿宋_GB2312" w:cs="仿宋_GB2312"/>
          <w:b/>
          <w:color w:val="auto"/>
          <w:kern w:val="0"/>
          <w:sz w:val="24"/>
          <w:szCs w:val="24"/>
          <w:highlight w:val="none"/>
          <w:lang w:val="zh-CN"/>
        </w:rPr>
        <w:t>；</w:t>
      </w:r>
    </w:p>
    <w:p>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sz w:val="24"/>
          <w:highlight w:val="none"/>
          <w:lang w:val="zh-CN"/>
        </w:rPr>
        <w:t>11.3.</w:t>
      </w:r>
      <w:r>
        <w:rPr>
          <w:rFonts w:hint="eastAsia" w:ascii="仿宋_GB2312" w:hAnsi="仿宋_GB2312" w:eastAsia="仿宋_GB2312" w:cs="仿宋_GB2312"/>
          <w:color w:val="auto"/>
          <w:sz w:val="24"/>
          <w:highlight w:val="none"/>
          <w:lang w:val="en-US" w:eastAsia="zh-CN"/>
        </w:rPr>
        <w:t>7</w:t>
      </w:r>
      <w:r>
        <w:rPr>
          <w:rFonts w:hint="eastAsia" w:ascii="仿宋_GB2312" w:hAnsi="仿宋" w:eastAsia="仿宋_GB2312" w:cs="仿宋_GB2312"/>
          <w:color w:val="auto"/>
          <w:kern w:val="0"/>
          <w:sz w:val="24"/>
          <w:highlight w:val="none"/>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tabs>
          <w:tab w:val="left" w:pos="0"/>
          <w:tab w:val="left" w:pos="840"/>
        </w:tabs>
        <w:autoSpaceDE w:val="0"/>
        <w:autoSpaceDN w:val="0"/>
        <w:spacing w:line="360" w:lineRule="auto"/>
        <w:ind w:firstLine="360" w:firstLineChars="15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zh-CN"/>
        </w:rPr>
        <w:t>11.3.</w:t>
      </w:r>
      <w:r>
        <w:rPr>
          <w:rFonts w:hint="eastAsia" w:ascii="仿宋_GB2312" w:hAnsi="仿宋_GB2312" w:eastAsia="仿宋_GB2312" w:cs="仿宋_GB2312"/>
          <w:color w:val="auto"/>
          <w:sz w:val="24"/>
          <w:highlight w:val="none"/>
          <w:lang w:val="en-US" w:eastAsia="zh-CN"/>
        </w:rPr>
        <w:t>8人员投入计划：人员数量配置（重要岗位须人员详细资料，并附上有关证明材料）等；</w:t>
      </w:r>
    </w:p>
    <w:p>
      <w:pPr>
        <w:tabs>
          <w:tab w:val="left" w:pos="0"/>
          <w:tab w:val="left" w:pos="840"/>
        </w:tabs>
        <w:autoSpaceDE w:val="0"/>
        <w:autoSpaceDN w:val="0"/>
        <w:spacing w:line="360" w:lineRule="auto"/>
        <w:ind w:firstLine="360" w:firstLineChars="15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en-US" w:eastAsia="zh-CN"/>
        </w:rPr>
        <w:t>11.3.9</w:t>
      </w:r>
      <w:r>
        <w:rPr>
          <w:rFonts w:hint="eastAsia" w:ascii="仿宋_GB2312" w:hAnsi="仿宋_GB2312" w:eastAsia="仿宋_GB2312" w:cs="仿宋_GB2312"/>
          <w:color w:val="auto"/>
          <w:sz w:val="24"/>
          <w:highlight w:val="none"/>
          <w:lang w:val="zh-CN"/>
        </w:rPr>
        <w:t>优惠条件及特殊承诺；</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color w:val="auto"/>
          <w:kern w:val="0"/>
          <w:sz w:val="24"/>
          <w:highlight w:val="none"/>
          <w:lang w:val="en-US" w:eastAsia="zh-CN"/>
        </w:rPr>
      </w:pPr>
      <w:r>
        <w:rPr>
          <w:rFonts w:hint="eastAsia" w:ascii="仿宋_GB2312" w:hAnsi="仿宋_GB2312" w:eastAsia="仿宋_GB2312" w:cs="仿宋_GB2312"/>
          <w:color w:val="auto"/>
          <w:sz w:val="24"/>
          <w:highlight w:val="none"/>
          <w:lang w:val="zh-CN"/>
        </w:rPr>
        <w:t>11.3.</w:t>
      </w:r>
      <w:r>
        <w:rPr>
          <w:rFonts w:hint="eastAsia" w:ascii="仿宋_GB2312" w:hAnsi="仿宋_GB2312" w:eastAsia="仿宋_GB2312" w:cs="仿宋_GB2312"/>
          <w:color w:val="auto"/>
          <w:sz w:val="24"/>
          <w:highlight w:val="none"/>
          <w:lang w:val="en-US" w:eastAsia="zh-CN"/>
        </w:rPr>
        <w:t>10</w:t>
      </w:r>
      <w:r>
        <w:rPr>
          <w:rFonts w:hint="eastAsia" w:ascii="仿宋_GB2312" w:hAnsi="仿宋" w:eastAsia="仿宋_GB2312" w:cs="仿宋_GB2312"/>
          <w:color w:val="auto"/>
          <w:kern w:val="0"/>
          <w:sz w:val="24"/>
          <w:highlight w:val="none"/>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11.3.</w:t>
      </w:r>
      <w:r>
        <w:rPr>
          <w:rFonts w:hint="eastAsia" w:ascii="仿宋_GB2312" w:hAnsi="仿宋" w:eastAsia="仿宋_GB2312" w:cs="仿宋_GB2312"/>
          <w:color w:val="auto"/>
          <w:kern w:val="0"/>
          <w:sz w:val="24"/>
          <w:highlight w:val="none"/>
          <w:lang w:val="en-US" w:eastAsia="zh-CN"/>
        </w:rPr>
        <w:t>11</w:t>
      </w:r>
      <w:r>
        <w:rPr>
          <w:rFonts w:hint="eastAsia" w:ascii="仿宋_GB2312" w:hAnsi="仿宋" w:eastAsia="仿宋_GB2312" w:cs="仿宋_GB2312"/>
          <w:color w:val="auto"/>
          <w:kern w:val="0"/>
          <w:sz w:val="24"/>
          <w:highlight w:val="none"/>
          <w:lang w:val="zh-CN"/>
        </w:rPr>
        <w:t>培训计划；（如果有）</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11.3.</w:t>
      </w:r>
      <w:r>
        <w:rPr>
          <w:rFonts w:hint="eastAsia" w:ascii="仿宋_GB2312" w:hAnsi="仿宋" w:eastAsia="仿宋_GB2312" w:cs="仿宋_GB2312"/>
          <w:color w:val="auto"/>
          <w:kern w:val="0"/>
          <w:sz w:val="24"/>
          <w:highlight w:val="none"/>
          <w:lang w:val="en-US" w:eastAsia="zh-CN"/>
        </w:rPr>
        <w:t>12</w:t>
      </w:r>
      <w:r>
        <w:rPr>
          <w:rFonts w:hint="eastAsia" w:ascii="仿宋_GB2312" w:hAnsi="仿宋" w:eastAsia="仿宋_GB2312" w:cs="仿宋_GB2312"/>
          <w:color w:val="auto"/>
          <w:kern w:val="0"/>
          <w:sz w:val="24"/>
          <w:highlight w:val="none"/>
          <w:lang w:val="zh-CN"/>
        </w:rPr>
        <w:t>投标人认为需要的其他技术文件或说明；</w:t>
      </w:r>
    </w:p>
    <w:p>
      <w:pPr>
        <w:tabs>
          <w:tab w:val="left" w:pos="0"/>
        </w:tabs>
        <w:autoSpaceDE w:val="0"/>
        <w:autoSpaceDN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kern w:val="0"/>
          <w:sz w:val="24"/>
          <w:highlight w:val="none"/>
          <w:lang w:val="zh-CN"/>
        </w:rPr>
        <w:t>关于对招标文件商务、合同中有关条款的拒绝声明（如果有）；</w:t>
      </w:r>
    </w:p>
    <w:p>
      <w:pPr>
        <w:tabs>
          <w:tab w:val="left" w:pos="0"/>
        </w:tabs>
        <w:autoSpaceDE w:val="0"/>
        <w:autoSpaceDN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11.3.1</w:t>
      </w:r>
      <w:r>
        <w:rPr>
          <w:rFonts w:hint="eastAsia" w:ascii="仿宋_GB2312" w:hAnsi="仿宋" w:eastAsia="仿宋_GB2312" w:cs="仿宋_GB2312"/>
          <w:color w:val="auto"/>
          <w:kern w:val="0"/>
          <w:sz w:val="24"/>
          <w:highlight w:val="none"/>
          <w:lang w:val="en-US" w:eastAsia="zh-CN"/>
        </w:rPr>
        <w:t>4</w:t>
      </w:r>
      <w:r>
        <w:rPr>
          <w:rFonts w:hint="eastAsia" w:ascii="仿宋_GB2312" w:hAnsi="仿宋" w:eastAsia="仿宋_GB2312" w:cs="仿宋_GB2312"/>
          <w:color w:val="auto"/>
          <w:kern w:val="0"/>
          <w:sz w:val="24"/>
          <w:highlight w:val="none"/>
          <w:lang w:val="zh-CN"/>
        </w:rPr>
        <w:t>廉政承诺书。</w:t>
      </w:r>
    </w:p>
    <w:p>
      <w:pPr>
        <w:adjustRightIn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▲投标文件组成漏项，内容不全或内容字迹模糊辨认不清的，投标无效；</w:t>
      </w:r>
    </w:p>
    <w:p>
      <w:pPr>
        <w:adjustRightIn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▲投标文件含有采购人不能接受的附加条件的，投标无效；</w:t>
      </w:r>
    </w:p>
    <w:p>
      <w:pPr>
        <w:adjustRightInd w:val="0"/>
        <w:spacing w:line="360" w:lineRule="auto"/>
        <w:ind w:firstLine="482" w:firstLineChars="200"/>
        <w:rPr>
          <w:rFonts w:hint="eastAsia" w:ascii="仿宋_GB2312" w:hAnsi="仿宋_GB2312" w:eastAsia="仿宋_GB2312" w:cs="仿宋_GB2312"/>
          <w:b/>
          <w:color w:val="auto"/>
          <w:sz w:val="24"/>
          <w:szCs w:val="21"/>
          <w:highlight w:val="none"/>
        </w:rPr>
      </w:pPr>
      <w:r>
        <w:rPr>
          <w:rFonts w:hint="eastAsia" w:ascii="仿宋_GB2312" w:hAnsi="仿宋_GB2312" w:eastAsia="仿宋_GB2312" w:cs="仿宋_GB2312"/>
          <w:b/>
          <w:color w:val="auto"/>
          <w:sz w:val="24"/>
          <w:szCs w:val="24"/>
          <w:highlight w:val="none"/>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12</w:t>
      </w:r>
      <w:r>
        <w:rPr>
          <w:rFonts w:hint="eastAsia" w:ascii="仿宋_GB2312" w:hAnsi="仿宋_GB2312" w:eastAsia="仿宋_GB2312" w:cs="仿宋_GB2312"/>
          <w:b/>
          <w:color w:val="auto"/>
          <w:kern w:val="0"/>
          <w:sz w:val="24"/>
          <w:szCs w:val="24"/>
          <w:highlight w:val="none"/>
          <w:lang w:val="zh-CN"/>
        </w:rPr>
        <w:t xml:space="preserve">. </w:t>
      </w:r>
      <w:r>
        <w:rPr>
          <w:rFonts w:hint="eastAsia" w:ascii="仿宋_GB2312" w:hAnsi="仿宋_GB2312" w:eastAsia="仿宋_GB2312" w:cs="仿宋_GB2312"/>
          <w:b/>
          <w:color w:val="auto"/>
          <w:sz w:val="24"/>
          <w:szCs w:val="24"/>
          <w:highlight w:val="none"/>
        </w:rPr>
        <w:t>投标文件的编制</w:t>
      </w:r>
    </w:p>
    <w:p>
      <w:pPr>
        <w:adjustRightInd w:val="0"/>
        <w:spacing w:line="360" w:lineRule="auto"/>
        <w:ind w:firstLine="480" w:firstLineChars="200"/>
        <w:rPr>
          <w:rFonts w:ascii="仿宋_GB2312" w:hAnsi="仿宋" w:eastAsia="仿宋_GB2312" w:cs="仿宋_GB2312"/>
          <w:b/>
          <w:color w:val="auto"/>
          <w:sz w:val="24"/>
          <w:szCs w:val="24"/>
          <w:highlight w:val="none"/>
        </w:rPr>
      </w:pPr>
      <w:r>
        <w:rPr>
          <w:rFonts w:hint="eastAsia" w:ascii="仿宋_GB2312" w:hAnsi="仿宋_GB2312" w:eastAsia="仿宋_GB2312" w:cs="仿宋_GB2312"/>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_GB2312" w:eastAsia="仿宋_GB2312" w:cs="仿宋_GB2312"/>
          <w:b/>
          <w:color w:val="auto"/>
          <w:sz w:val="24"/>
          <w:szCs w:val="24"/>
          <w:highlight w:val="none"/>
        </w:rPr>
        <w:t>▲</w:t>
      </w:r>
      <w:r>
        <w:rPr>
          <w:rFonts w:hint="eastAsia" w:ascii="仿宋_GB2312" w:hAnsi="仿宋" w:eastAsia="仿宋_GB2312" w:cs="仿宋_GB2312"/>
          <w:b/>
          <w:color w:val="auto"/>
          <w:sz w:val="24"/>
          <w:szCs w:val="24"/>
          <w:highlight w:val="none"/>
        </w:rPr>
        <w:t>投标文件未按规定的格式编制的，投标无效；</w:t>
      </w:r>
    </w:p>
    <w:p>
      <w:pPr>
        <w:adjustRightInd w:val="0"/>
        <w:spacing w:line="360" w:lineRule="auto"/>
        <w:ind w:firstLine="480" w:firstLineChars="20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adjustRightInd w:val="0"/>
        <w:spacing w:line="360" w:lineRule="auto"/>
        <w:ind w:firstLine="480" w:firstLineChars="20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13.投标文件的签署、盖章</w:t>
      </w:r>
    </w:p>
    <w:p>
      <w:pPr>
        <w:adjustRightInd w:val="0"/>
        <w:snapToGrid w:val="0"/>
        <w:spacing w:after="120"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szCs w:val="24"/>
          <w:highlight w:val="none"/>
        </w:rPr>
        <w:t>13.1投标文件按照招标文件第六部分格式要</w:t>
      </w:r>
      <w:r>
        <w:rPr>
          <w:rFonts w:hint="eastAsia" w:ascii="仿宋_GB2312" w:hAnsi="仿宋" w:eastAsia="仿宋_GB2312" w:cs="仿宋_GB2312"/>
          <w:color w:val="auto"/>
          <w:sz w:val="24"/>
          <w:highlight w:val="none"/>
        </w:rPr>
        <w:t>求进行签署、盖章。</w:t>
      </w:r>
      <w:r>
        <w:rPr>
          <w:rFonts w:hint="eastAsia" w:ascii="仿宋" w:hAnsi="仿宋" w:eastAsia="仿宋" w:cs="仿宋"/>
          <w:b/>
          <w:color w:val="auto"/>
          <w:sz w:val="24"/>
          <w:highlight w:val="none"/>
        </w:rPr>
        <w:t>▲</w:t>
      </w:r>
      <w:r>
        <w:rPr>
          <w:rFonts w:hint="eastAsia" w:ascii="仿宋_GB2312" w:hAnsi="仿宋" w:eastAsia="仿宋_GB2312" w:cs="仿宋_GB2312"/>
          <w:b/>
          <w:color w:val="auto"/>
          <w:sz w:val="24"/>
          <w:highlight w:val="none"/>
        </w:rPr>
        <w:t>投标人的投标文件未按照招标文件要求签署、盖章的，其投标无效</w:t>
      </w:r>
      <w:r>
        <w:rPr>
          <w:rFonts w:hint="eastAsia" w:ascii="仿宋_GB2312" w:hAnsi="仿宋" w:eastAsia="仿宋_GB2312" w:cs="仿宋_GB2312"/>
          <w:color w:val="auto"/>
          <w:sz w:val="24"/>
          <w:szCs w:val="24"/>
          <w:highlight w:val="none"/>
        </w:rPr>
        <w:t>。</w:t>
      </w:r>
    </w:p>
    <w:p>
      <w:pPr>
        <w:adjustRightInd w:val="0"/>
        <w:snapToGri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highlight w:val="none"/>
        </w:rPr>
        <w:t>13.2为确保网上操作合法、有效和安全，投标人应当在投标截止时间前完成在“政府采购云平台”的身份认证，确保在电子投标过程中能够对相关数据电文进行加密和使用电子签名。</w:t>
      </w:r>
    </w:p>
    <w:p>
      <w:pPr>
        <w:adjustRightInd w:val="0"/>
        <w:spacing w:after="120"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14. 投标文件的提交、补充、修改、撤回</w:t>
      </w:r>
    </w:p>
    <w:p>
      <w:pPr>
        <w:adjustRightInd w:val="0"/>
        <w:spacing w:before="156"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adjustRightIn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14.3采购机构可以视情况延长投标文件提交的截止时间。在上述情况下，采购机构与投标人以前在投标截止期方面的全部权利、责任和义务，将适用于延长至新的投标截止期。</w:t>
      </w:r>
    </w:p>
    <w:p>
      <w:pPr>
        <w:adjustRightInd w:val="0"/>
        <w:spacing w:line="360" w:lineRule="auto"/>
        <w:rPr>
          <w:rFonts w:ascii="仿宋_GB2312" w:hAnsi="仿宋" w:eastAsia="仿宋_GB2312" w:cs="仿宋_GB2312"/>
          <w:b/>
          <w:snapToGrid w:val="0"/>
          <w:color w:val="auto"/>
          <w:sz w:val="24"/>
          <w:szCs w:val="24"/>
          <w:highlight w:val="none"/>
        </w:rPr>
      </w:pPr>
      <w:r>
        <w:rPr>
          <w:rFonts w:hint="eastAsia" w:ascii="仿宋_GB2312" w:hAnsi="仿宋" w:eastAsia="仿宋_GB2312" w:cs="仿宋_GB2312"/>
          <w:b/>
          <w:snapToGrid w:val="0"/>
          <w:color w:val="auto"/>
          <w:sz w:val="24"/>
          <w:szCs w:val="24"/>
          <w:highlight w:val="none"/>
        </w:rPr>
        <w:t>15.备份投标文件</w:t>
      </w:r>
    </w:p>
    <w:p>
      <w:pPr>
        <w:adjustRightInd w:val="0"/>
        <w:spacing w:line="360" w:lineRule="auto"/>
        <w:ind w:firstLine="360" w:firstLineChars="150"/>
        <w:rPr>
          <w:rFonts w:hint="default" w:ascii="仿宋_GB2312" w:hAnsi="仿宋" w:eastAsia="仿宋_GB2312" w:cs="仿宋_GB2312"/>
          <w:b/>
          <w:snapToGrid w:val="0"/>
          <w:color w:val="auto"/>
          <w:sz w:val="24"/>
          <w:szCs w:val="24"/>
          <w:highlight w:val="none"/>
          <w:lang w:val="en-US" w:eastAsia="zh-CN"/>
        </w:rPr>
      </w:pPr>
      <w:r>
        <w:rPr>
          <w:rFonts w:hint="eastAsia" w:ascii="仿宋_GB2312" w:hAnsi="仿宋" w:eastAsia="仿宋_GB2312" w:cs="仿宋_GB2312"/>
          <w:snapToGrid w:val="0"/>
          <w:color w:val="auto"/>
          <w:sz w:val="24"/>
          <w:szCs w:val="24"/>
          <w:highlight w:val="none"/>
        </w:rPr>
        <w:t xml:space="preserve"> </w:t>
      </w:r>
      <w:r>
        <w:rPr>
          <w:rFonts w:hint="eastAsia" w:ascii="仿宋_GB2312" w:hAnsi="仿宋" w:eastAsia="仿宋_GB2312" w:cs="仿宋_GB2312"/>
          <w:snapToGrid w:val="0"/>
          <w:color w:val="auto"/>
          <w:sz w:val="24"/>
          <w:szCs w:val="24"/>
          <w:highlight w:val="none"/>
          <w:lang w:val="en-US" w:eastAsia="zh-CN"/>
        </w:rPr>
        <w:t>本项目不采用</w:t>
      </w:r>
    </w:p>
    <w:p>
      <w:pPr>
        <w:adjustRightInd w:val="0"/>
        <w:spacing w:after="120"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16.投标文件的无效处理</w:t>
      </w:r>
    </w:p>
    <w:p>
      <w:pPr>
        <w:adjustRightInd w:val="0"/>
        <w:spacing w:after="120" w:line="360" w:lineRule="auto"/>
        <w:ind w:firstLine="480" w:firstLineChars="200"/>
        <w:rPr>
          <w:rFonts w:ascii="仿宋_GB2312" w:hAnsi="仿宋" w:eastAsia="仿宋_GB2312" w:cs="仿宋_GB2312"/>
          <w:snapToGrid w:val="0"/>
          <w:color w:val="auto"/>
          <w:sz w:val="24"/>
          <w:szCs w:val="24"/>
          <w:highlight w:val="none"/>
        </w:rPr>
      </w:pPr>
      <w:r>
        <w:rPr>
          <w:rFonts w:hint="eastAsia" w:ascii="仿宋_GB2312" w:hAnsi="仿宋" w:eastAsia="仿宋_GB2312" w:cs="仿宋_GB2312"/>
          <w:snapToGrid w:val="0"/>
          <w:color w:val="auto"/>
          <w:sz w:val="24"/>
          <w:szCs w:val="24"/>
          <w:highlight w:val="none"/>
        </w:rPr>
        <w:t>有招标文件第四部分第</w:t>
      </w:r>
      <w:r>
        <w:rPr>
          <w:rFonts w:ascii="仿宋_GB2312" w:hAnsi="仿宋" w:eastAsia="仿宋_GB2312" w:cs="仿宋_GB2312"/>
          <w:snapToGrid w:val="0"/>
          <w:color w:val="auto"/>
          <w:sz w:val="24"/>
          <w:szCs w:val="24"/>
          <w:highlight w:val="none"/>
        </w:rPr>
        <w:t>13项规定的情形之一的，投标无效</w:t>
      </w:r>
      <w:r>
        <w:rPr>
          <w:rFonts w:hint="eastAsia" w:ascii="仿宋_GB2312" w:hAnsi="仿宋" w:eastAsia="仿宋_GB2312" w:cs="仿宋_GB2312"/>
          <w:snapToGrid w:val="0"/>
          <w:color w:val="auto"/>
          <w:sz w:val="24"/>
          <w:szCs w:val="24"/>
          <w:highlight w:val="none"/>
        </w:rPr>
        <w:t>。</w:t>
      </w:r>
    </w:p>
    <w:p>
      <w:pPr>
        <w:adjustRightInd w:val="0"/>
        <w:spacing w:after="120"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17.投标有效期</w:t>
      </w:r>
    </w:p>
    <w:p>
      <w:pPr>
        <w:adjustRightInd w:val="0"/>
        <w:spacing w:line="360" w:lineRule="auto"/>
        <w:ind w:firstLine="480" w:firstLineChars="200"/>
        <w:rPr>
          <w:rFonts w:ascii="仿宋_GB2312" w:hAnsi="仿宋" w:eastAsia="仿宋_GB2312" w:cs="仿宋_GB2312"/>
          <w:b/>
          <w:color w:val="auto"/>
          <w:sz w:val="24"/>
          <w:szCs w:val="21"/>
          <w:highlight w:val="none"/>
        </w:rPr>
      </w:pPr>
      <w:r>
        <w:rPr>
          <w:rFonts w:hint="eastAsia"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adjustRightIn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17.2投标文件合格投递后，自投标截止日期起，在投标有效期内有效。</w:t>
      </w:r>
    </w:p>
    <w:p>
      <w:pPr>
        <w:adjustRightIn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color w:val="auto"/>
          <w:sz w:val="32"/>
          <w:highlight w:val="none"/>
        </w:rPr>
      </w:pPr>
    </w:p>
    <w:p>
      <w:pPr>
        <w:adjustRightInd w:val="0"/>
        <w:spacing w:after="120" w:line="360" w:lineRule="auto"/>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autoSpaceDE w:val="0"/>
        <w:autoSpaceDN w:val="0"/>
        <w:adjustRightInd w:val="0"/>
        <w:spacing w:line="360" w:lineRule="auto"/>
        <w:contextualSpacing/>
        <w:rPr>
          <w:rFonts w:ascii="仿宋_GB2312" w:hAnsi="仿宋" w:eastAsia="仿宋_GB2312" w:cs="Times New Roman"/>
          <w:color w:val="auto"/>
          <w:kern w:val="0"/>
          <w:sz w:val="24"/>
          <w:szCs w:val="20"/>
          <w:highlight w:val="none"/>
        </w:rPr>
      </w:pPr>
      <w:r>
        <w:rPr>
          <w:rFonts w:hint="eastAsia" w:ascii="仿宋_GB2312" w:hAnsi="仿宋" w:eastAsia="仿宋_GB2312" w:cs="仿宋_GB2312"/>
          <w:b/>
          <w:color w:val="auto"/>
          <w:kern w:val="0"/>
          <w:sz w:val="24"/>
          <w:szCs w:val="24"/>
          <w:highlight w:val="none"/>
        </w:rPr>
        <w:t>18.开标</w:t>
      </w:r>
      <w:r>
        <w:rPr>
          <w:rFonts w:hint="eastAsia" w:ascii="仿宋_GB2312" w:hAnsi="仿宋" w:eastAsia="仿宋_GB2312" w:cs="Times New Roman"/>
          <w:color w:val="auto"/>
          <w:kern w:val="0"/>
          <w:sz w:val="24"/>
          <w:szCs w:val="20"/>
          <w:highlight w:val="none"/>
        </w:rPr>
        <w:t xml:space="preserve"> </w:t>
      </w:r>
    </w:p>
    <w:p>
      <w:pPr>
        <w:autoSpaceDE w:val="0"/>
        <w:autoSpaceDN w:val="0"/>
        <w:adjustRightInd w:val="0"/>
        <w:spacing w:line="360" w:lineRule="auto"/>
        <w:ind w:firstLine="480" w:firstLineChars="200"/>
        <w:contextualSpacing/>
        <w:rPr>
          <w:rFonts w:ascii="仿宋_GB2312" w:hAnsi="仿宋" w:eastAsia="仿宋_GB2312" w:cs="仿宋_GB2312"/>
          <w:color w:val="auto"/>
          <w:kern w:val="0"/>
          <w:sz w:val="24"/>
          <w:szCs w:val="20"/>
          <w:highlight w:val="none"/>
        </w:rPr>
      </w:pPr>
      <w:r>
        <w:rPr>
          <w:rFonts w:hint="eastAsia" w:ascii="仿宋_GB2312" w:hAnsi="仿宋" w:eastAsia="仿宋_GB2312" w:cs="仿宋_GB2312"/>
          <w:color w:val="auto"/>
          <w:kern w:val="0"/>
          <w:sz w:val="24"/>
          <w:szCs w:val="20"/>
          <w:highlight w:val="none"/>
        </w:rPr>
        <w:t>18.1采购机构按照招标文件规定的时间通过电子交易平台组织开标，所有投标人均应当准时在线参加。投标人不足3家的，不得开标。</w:t>
      </w:r>
    </w:p>
    <w:p>
      <w:pPr>
        <w:autoSpaceDE w:val="0"/>
        <w:autoSpaceDN w:val="0"/>
        <w:adjustRightInd w:val="0"/>
        <w:spacing w:line="360" w:lineRule="auto"/>
        <w:ind w:firstLine="240" w:firstLineChars="100"/>
        <w:contextualSpacing/>
        <w:rPr>
          <w:rFonts w:ascii="仿宋_GB2312" w:hAnsi="仿宋" w:eastAsia="仿宋_GB2312" w:cs="仿宋_GB2312"/>
          <w:color w:val="auto"/>
          <w:kern w:val="0"/>
          <w:sz w:val="24"/>
          <w:szCs w:val="20"/>
          <w:highlight w:val="none"/>
        </w:rPr>
      </w:pPr>
      <w:r>
        <w:rPr>
          <w:rFonts w:hint="eastAsia" w:ascii="仿宋_GB2312" w:hAnsi="仿宋" w:eastAsia="仿宋_GB2312" w:cs="仿宋_GB2312"/>
          <w:color w:val="auto"/>
          <w:kern w:val="0"/>
          <w:sz w:val="24"/>
          <w:szCs w:val="20"/>
          <w:highlight w:val="none"/>
        </w:rPr>
        <w:t>　18.2开标时，电子交易平台按开标时间自动提取所有投标文件。采购机构依托电子交易平台发起开始解密指令，投标人按照平台提示和招标文件的规定在半小时内完成在线解密。</w:t>
      </w:r>
    </w:p>
    <w:p>
      <w:pPr>
        <w:pStyle w:val="529"/>
        <w:spacing w:before="0" w:line="360" w:lineRule="auto"/>
        <w:ind w:left="0" w:leftChars="0" w:firstLine="480" w:firstLineChars="200"/>
        <w:contextualSpacing/>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　18.3项目允许提供备份文件时，仅因政采云平台或CA原因无法读取或电子开评标无法正常进行，采购代理将按顺序启用备份文件完成开标。投标人因自身原因（不会使用、使用不当等）未按时完成解密的，投标无效，不启用备份文件。投标文件已按时解密的，备份投标文件自动失效。</w:t>
      </w:r>
    </w:p>
    <w:p>
      <w:pPr>
        <w:pStyle w:val="529"/>
        <w:spacing w:before="0" w:line="360" w:lineRule="auto"/>
        <w:ind w:left="0" w:leftChars="0" w:firstLine="480" w:firstLineChars="2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sz w:val="24"/>
          <w:szCs w:val="22"/>
          <w:highlight w:val="none"/>
          <w:lang w:val="en-US" w:eastAsia="zh-CN"/>
        </w:rPr>
        <w:t>18.4开标记录开启后，请将附件2《政府采购活动现场确认声明书》填写完整发送至邮箱：617044846@qq.com。</w:t>
      </w:r>
    </w:p>
    <w:p>
      <w:pPr>
        <w:widowControl/>
        <w:adjustRightInd w:val="0"/>
        <w:spacing w:before="100" w:beforeAutospacing="1" w:after="240" w:line="360" w:lineRule="auto"/>
        <w:jc w:val="left"/>
        <w:rPr>
          <w:rFonts w:hint="eastAsia" w:ascii="仿宋_GB2312" w:hAnsi="仿宋_GB2312" w:eastAsia="仿宋_GB2312" w:cs="仿宋_GB2312"/>
          <w:b/>
          <w:color w:val="auto"/>
          <w:sz w:val="24"/>
          <w:szCs w:val="20"/>
          <w:highlight w:val="none"/>
        </w:rPr>
      </w:pPr>
      <w:r>
        <w:rPr>
          <w:rFonts w:hint="eastAsia" w:ascii="仿宋_GB2312" w:hAnsi="仿宋_GB2312" w:eastAsia="仿宋_GB2312" w:cs="仿宋_GB2312"/>
          <w:b/>
          <w:color w:val="auto"/>
          <w:sz w:val="24"/>
          <w:szCs w:val="20"/>
          <w:highlight w:val="none"/>
        </w:rPr>
        <w:t>19、资格审查</w:t>
      </w:r>
    </w:p>
    <w:p>
      <w:pPr>
        <w:adjustRightInd w:val="0"/>
        <w:spacing w:after="120" w:line="360" w:lineRule="auto"/>
        <w:ind w:firstLine="480" w:firstLineChars="200"/>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19.1开标后，采购人或采购机构将依法对投标人的资格进行审查。</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Arial"/>
          <w:color w:val="auto"/>
          <w:kern w:val="0"/>
          <w:sz w:val="24"/>
          <w:szCs w:val="24"/>
          <w:highlight w:val="none"/>
        </w:rPr>
        <w:t>19.2</w:t>
      </w:r>
      <w:r>
        <w:rPr>
          <w:rFonts w:hint="eastAsia" w:ascii="仿宋_GB2312" w:hAnsi="仿宋" w:eastAsia="仿宋_GB2312" w:cs="仿宋_GB2312"/>
          <w:color w:val="auto"/>
          <w:sz w:val="24"/>
          <w:szCs w:val="24"/>
          <w:highlight w:val="none"/>
        </w:rPr>
        <w:t>采购人或采购机构依据法律法规和招标文件的规定，对投标人的基本资格条件、特定资格条件进行审查。</w:t>
      </w:r>
    </w:p>
    <w:p>
      <w:pPr>
        <w:adjustRightIn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Arial"/>
          <w:color w:val="auto"/>
          <w:kern w:val="0"/>
          <w:sz w:val="24"/>
          <w:szCs w:val="24"/>
          <w:highlight w:val="none"/>
        </w:rPr>
        <w:t>19.3投标人未按照招标文件要求提供与</w:t>
      </w:r>
      <w:r>
        <w:rPr>
          <w:rFonts w:hint="eastAsia" w:ascii="仿宋_GB2312" w:hAnsi="仿宋" w:eastAsia="仿宋_GB2312" w:cs="仿宋_GB2312"/>
          <w:color w:val="auto"/>
          <w:sz w:val="24"/>
          <w:highlight w:val="none"/>
        </w:rPr>
        <w:t>基本资格条件、特定资格条件相应的</w:t>
      </w:r>
      <w:r>
        <w:rPr>
          <w:rFonts w:hint="eastAsia" w:ascii="仿宋_GB2312" w:hAnsi="仿宋" w:eastAsia="仿宋_GB2312" w:cs="Arial"/>
          <w:color w:val="auto"/>
          <w:kern w:val="0"/>
          <w:sz w:val="24"/>
          <w:szCs w:val="24"/>
          <w:highlight w:val="none"/>
        </w:rPr>
        <w:t>有效资格证明材料的，视为</w:t>
      </w:r>
      <w:r>
        <w:rPr>
          <w:rFonts w:hint="eastAsia" w:ascii="仿宋_GB2312" w:hAnsi="仿宋" w:eastAsia="仿宋_GB2312" w:cs="仿宋_GB2312"/>
          <w:color w:val="auto"/>
          <w:sz w:val="24"/>
          <w:highlight w:val="none"/>
        </w:rPr>
        <w:t>投标人不具备招标文件中规定的资格要求，其投标无效。</w:t>
      </w:r>
    </w:p>
    <w:p>
      <w:pPr>
        <w:adjustRightIn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Arial"/>
          <w:color w:val="auto"/>
          <w:kern w:val="0"/>
          <w:sz w:val="24"/>
          <w:szCs w:val="24"/>
          <w:highlight w:val="none"/>
        </w:rPr>
        <w:t>19.</w:t>
      </w:r>
      <w:r>
        <w:rPr>
          <w:rFonts w:hint="eastAsia" w:ascii="仿宋_GB2312" w:hAnsi="仿宋" w:eastAsia="仿宋_GB2312" w:cs="仿宋_GB2312"/>
          <w:color w:val="auto"/>
          <w:sz w:val="24"/>
          <w:highlight w:val="none"/>
        </w:rPr>
        <w:t>4对未通过资格审查的投标人，采购人或采购机构告知其未通过的原因。</w:t>
      </w:r>
    </w:p>
    <w:p>
      <w:pPr>
        <w:adjustRightIn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Arial"/>
          <w:color w:val="auto"/>
          <w:kern w:val="0"/>
          <w:sz w:val="24"/>
          <w:szCs w:val="24"/>
          <w:highlight w:val="none"/>
        </w:rPr>
        <w:t>19.</w:t>
      </w:r>
      <w:r>
        <w:rPr>
          <w:rFonts w:hint="eastAsia" w:ascii="仿宋_GB2312" w:hAnsi="仿宋" w:eastAsia="仿宋_GB2312" w:cs="仿宋_GB2312"/>
          <w:color w:val="auto"/>
          <w:sz w:val="24"/>
          <w:highlight w:val="none"/>
        </w:rPr>
        <w:t>5合格投标人不足3家的，不再评标。</w:t>
      </w:r>
    </w:p>
    <w:p>
      <w:pPr>
        <w:adjustRightInd w:val="0"/>
        <w:spacing w:after="120"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20、信用信息查询</w:t>
      </w:r>
    </w:p>
    <w:p>
      <w:pPr>
        <w:adjustRightInd w:val="0"/>
        <w:spacing w:after="120" w:line="360" w:lineRule="auto"/>
        <w:ind w:firstLine="495"/>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Arial"/>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sz w:val="24"/>
          <w:highlight w:val="none"/>
        </w:rPr>
        <w:t>。</w:t>
      </w:r>
    </w:p>
    <w:p>
      <w:pPr>
        <w:adjustRightInd w:val="0"/>
        <w:spacing w:after="120" w:line="360" w:lineRule="auto"/>
        <w:rPr>
          <w:rFonts w:ascii="仿宋_GB2312" w:hAnsi="仿宋" w:eastAsia="仿宋_GB2312" w:cs="Arial"/>
          <w:color w:val="auto"/>
          <w:kern w:val="0"/>
          <w:sz w:val="24"/>
          <w:szCs w:val="24"/>
          <w:highlight w:val="none"/>
        </w:rPr>
      </w:pPr>
    </w:p>
    <w:p>
      <w:pPr>
        <w:adjustRightInd w:val="0"/>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adjustRightInd w:val="0"/>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21.</w:t>
      </w:r>
      <w:r>
        <w:rPr>
          <w:rFonts w:hint="eastAsia" w:ascii="仿宋_GB2312" w:hAnsi="仿宋" w:eastAsia="仿宋_GB2312" w:cs="Times New Roman"/>
          <w:color w:val="auto"/>
          <w:szCs w:val="24"/>
          <w:highlight w:val="none"/>
        </w:rPr>
        <w:t xml:space="preserve"> </w:t>
      </w:r>
      <w:r>
        <w:rPr>
          <w:rFonts w:hint="eastAsia" w:ascii="仿宋_GB2312" w:hAnsi="仿宋" w:eastAsia="仿宋_GB2312" w:cs="仿宋_GB2312"/>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szCs w:val="24"/>
          <w:highlight w:val="none"/>
        </w:rPr>
        <w:t>详见招标文件第四部分“评标方法及评分标准”</w:t>
      </w:r>
    </w:p>
    <w:p>
      <w:pPr>
        <w:adjustRightInd w:val="0"/>
        <w:spacing w:line="360" w:lineRule="auto"/>
        <w:rPr>
          <w:rFonts w:ascii="仿宋_GB2312" w:hAnsi="仿宋" w:eastAsia="仿宋_GB2312" w:cs="仿宋_GB2312"/>
          <w:b/>
          <w:color w:val="auto"/>
          <w:sz w:val="24"/>
          <w:szCs w:val="24"/>
          <w:highlight w:val="none"/>
        </w:rPr>
      </w:pPr>
    </w:p>
    <w:p>
      <w:pPr>
        <w:adjustRightInd w:val="0"/>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 标</w:t>
      </w:r>
    </w:p>
    <w:p>
      <w:pPr>
        <w:adjustRightInd w:val="0"/>
        <w:spacing w:after="120"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22. 确定中标供应商</w:t>
      </w:r>
    </w:p>
    <w:p>
      <w:pPr>
        <w:adjustRightInd w:val="0"/>
        <w:snapToGrid w:val="0"/>
        <w:spacing w:after="120" w:line="360" w:lineRule="auto"/>
        <w:ind w:firstLine="480" w:firstLineChars="200"/>
        <w:rPr>
          <w:rFonts w:ascii="仿宋_GB2312" w:hAnsi="仿宋" w:eastAsia="仿宋_GB2312" w:cs="仿宋_GB2312"/>
          <w:b/>
          <w:color w:val="auto"/>
          <w:sz w:val="24"/>
          <w:szCs w:val="24"/>
          <w:highlight w:val="none"/>
        </w:rPr>
      </w:pPr>
      <w:r>
        <w:rPr>
          <w:rFonts w:hint="eastAsia" w:ascii="仿宋_GB2312" w:hAnsi="仿宋" w:eastAsia="仿宋_GB2312" w:cs="仿宋_GB2312"/>
          <w:color w:val="auto"/>
          <w:sz w:val="24"/>
          <w:szCs w:val="24"/>
          <w:highlight w:val="none"/>
        </w:rPr>
        <w:t>采购人将自收到评审报告之日起5个工作日内通过电子交易平台在评审报告推荐的中标候选人中按顺序确定中标供应商。</w:t>
      </w:r>
    </w:p>
    <w:p>
      <w:pPr>
        <w:adjustRightInd w:val="0"/>
        <w:snapToGrid w:val="0"/>
        <w:spacing w:after="120"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23. 中标通知与中标结果公告</w:t>
      </w:r>
    </w:p>
    <w:p>
      <w:pPr>
        <w:widowControl/>
        <w:shd w:val="clear" w:color="auto" w:fill="FFFFFF"/>
        <w:adjustRightInd w:val="0"/>
        <w:spacing w:line="360" w:lineRule="auto"/>
        <w:ind w:firstLine="480"/>
        <w:jc w:val="left"/>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adjustRightInd w:val="0"/>
        <w:spacing w:line="360" w:lineRule="auto"/>
        <w:ind w:firstLine="480"/>
        <w:jc w:val="left"/>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adjustRightInd w:val="0"/>
        <w:spacing w:line="360" w:lineRule="auto"/>
        <w:ind w:firstLine="480"/>
        <w:jc w:val="left"/>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23.3公告期限为1个工作日。</w:t>
      </w:r>
    </w:p>
    <w:p>
      <w:pPr>
        <w:adjustRightInd w:val="0"/>
        <w:snapToGrid w:val="0"/>
        <w:spacing w:line="360" w:lineRule="auto"/>
        <w:ind w:left="120" w:leftChars="57" w:firstLine="482" w:firstLineChars="150"/>
        <w:jc w:val="center"/>
        <w:rPr>
          <w:rFonts w:ascii="仿宋_GB2312" w:hAnsi="仿宋" w:eastAsia="仿宋_GB2312" w:cs="仿宋_GB2312"/>
          <w:b/>
          <w:color w:val="auto"/>
          <w:sz w:val="32"/>
          <w:szCs w:val="24"/>
          <w:highlight w:val="none"/>
        </w:rPr>
      </w:pPr>
    </w:p>
    <w:p>
      <w:pPr>
        <w:adjustRightInd w:val="0"/>
        <w:snapToGrid w:val="0"/>
        <w:spacing w:line="360" w:lineRule="auto"/>
        <w:ind w:left="120" w:leftChars="57" w:firstLine="482" w:firstLineChars="150"/>
        <w:jc w:val="center"/>
        <w:rPr>
          <w:rFonts w:ascii="仿宋_GB2312" w:hAnsi="仿宋" w:eastAsia="仿宋_GB2312" w:cs="仿宋_GB2312"/>
          <w:b/>
          <w:color w:val="auto"/>
          <w:sz w:val="32"/>
          <w:szCs w:val="24"/>
          <w:highlight w:val="none"/>
        </w:rPr>
      </w:pPr>
      <w:r>
        <w:rPr>
          <w:rFonts w:hint="eastAsia" w:ascii="仿宋_GB2312" w:hAnsi="仿宋" w:eastAsia="仿宋_GB2312" w:cs="仿宋_GB2312"/>
          <w:b/>
          <w:color w:val="auto"/>
          <w:sz w:val="32"/>
          <w:szCs w:val="24"/>
          <w:highlight w:val="none"/>
        </w:rPr>
        <w:t>七、合同</w:t>
      </w:r>
    </w:p>
    <w:p>
      <w:pPr>
        <w:adjustRightInd w:val="0"/>
        <w:spacing w:after="120"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 xml:space="preserve">24. </w:t>
      </w:r>
      <w:r>
        <w:rPr>
          <w:rFonts w:hint="eastAsia" w:ascii="仿宋_GB2312" w:hAnsi="仿宋" w:eastAsia="仿宋_GB2312" w:cs="仿宋_GB2312"/>
          <w:color w:val="auto"/>
          <w:sz w:val="24"/>
          <w:szCs w:val="24"/>
          <w:highlight w:val="none"/>
        </w:rPr>
        <w:t>合同主要条款详见第五部分拟签订的合同文本。</w:t>
      </w:r>
    </w:p>
    <w:p>
      <w:pPr>
        <w:adjustRightInd w:val="0"/>
        <w:spacing w:after="120"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25. </w:t>
      </w:r>
      <w:r>
        <w:rPr>
          <w:rFonts w:hint="eastAsia" w:ascii="仿宋_GB2312" w:hAnsi="仿宋" w:eastAsia="仿宋_GB2312" w:cs="仿宋_GB2312"/>
          <w:b/>
          <w:color w:val="auto"/>
          <w:sz w:val="24"/>
          <w:szCs w:val="24"/>
          <w:highlight w:val="none"/>
        </w:rPr>
        <w:t>合同的签订</w:t>
      </w:r>
    </w:p>
    <w:p>
      <w:pPr>
        <w:widowControl/>
        <w:shd w:val="clear" w:color="auto" w:fill="FFFFFF"/>
        <w:adjustRightInd w:val="0"/>
        <w:spacing w:line="360" w:lineRule="auto"/>
        <w:ind w:firstLine="480"/>
        <w:jc w:val="left"/>
        <w:rPr>
          <w:rFonts w:ascii="仿宋_GB2312" w:hAnsi="仿宋" w:eastAsia="仿宋_GB2312" w:cs="Arial"/>
          <w:color w:val="auto"/>
          <w:kern w:val="0"/>
          <w:sz w:val="24"/>
          <w:szCs w:val="24"/>
          <w:highlight w:val="none"/>
        </w:rPr>
      </w:pPr>
      <w:r>
        <w:rPr>
          <w:rFonts w:hint="eastAsia" w:ascii="仿宋_GB2312" w:hAnsi="仿宋" w:eastAsia="仿宋_GB2312" w:cs="仿宋_GB2312"/>
          <w:color w:val="auto"/>
          <w:sz w:val="24"/>
          <w:szCs w:val="24"/>
          <w:highlight w:val="none"/>
        </w:rPr>
        <w:t>25.1</w:t>
      </w:r>
      <w:r>
        <w:rPr>
          <w:rFonts w:hint="eastAsia" w:ascii="仿宋_GB2312" w:hAnsi="仿宋" w:eastAsia="仿宋_GB2312" w:cs="Arial"/>
          <w:color w:val="auto"/>
          <w:kern w:val="0"/>
          <w:sz w:val="24"/>
          <w:szCs w:val="24"/>
          <w:highlight w:val="none"/>
        </w:rPr>
        <w:t xml:space="preserve"> 采购人与中标人应当通过电子交易平台在中标通知书发出之日起三十日内，按照招标文件确定的事项签订政府采购合同，并在规定时间内依法发布合同公告。</w:t>
      </w:r>
    </w:p>
    <w:p>
      <w:pPr>
        <w:adjustRightInd w:val="0"/>
        <w:snapToGrid w:val="0"/>
        <w:spacing w:after="120" w:line="360" w:lineRule="auto"/>
        <w:ind w:firstLine="480" w:firstLineChars="200"/>
        <w:rPr>
          <w:rFonts w:ascii="仿宋_GB2312" w:hAnsi="仿宋" w:eastAsia="仿宋_GB2312"/>
          <w:color w:val="auto"/>
          <w:kern w:val="0"/>
          <w:sz w:val="24"/>
          <w:highlight w:val="none"/>
        </w:rPr>
      </w:pPr>
      <w:r>
        <w:rPr>
          <w:rFonts w:hint="eastAsia" w:ascii="仿宋_GB2312" w:hAnsi="仿宋" w:eastAsia="仿宋_GB2312" w:cs="仿宋_GB2312"/>
          <w:color w:val="auto"/>
          <w:kern w:val="0"/>
          <w:sz w:val="24"/>
          <w:highlight w:val="none"/>
          <w:lang w:val="zh-CN"/>
        </w:rPr>
        <w:t>25.2</w:t>
      </w:r>
      <w:r>
        <w:rPr>
          <w:rFonts w:hint="eastAsia" w:ascii="仿宋_GB2312" w:hAnsi="仿宋" w:eastAsia="仿宋_GB2312"/>
          <w:color w:val="auto"/>
          <w:kern w:val="0"/>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25.3如签订合同并生效后，供应商无故拒绝或延期，除按照合同条款处理外，列入不良行为记录一次，并给予通报。</w:t>
      </w:r>
    </w:p>
    <w:p>
      <w:pPr>
        <w:adjustRightInd w:val="0"/>
        <w:snapToGri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25.5采购合同由采购人与中标供应商根据</w:t>
      </w:r>
      <w:r>
        <w:rPr>
          <w:rFonts w:hint="eastAsia" w:ascii="仿宋_GB2312" w:hAnsi="仿宋" w:eastAsia="仿宋_GB2312" w:cs="仿宋_GB2312"/>
          <w:color w:val="auto"/>
          <w:sz w:val="24"/>
          <w:highlight w:val="none"/>
        </w:rPr>
        <w:t>招标文件、投标文件等内容通过政府采购电子交易平台在线签订，自动备案。</w:t>
      </w:r>
    </w:p>
    <w:p>
      <w:pPr>
        <w:adjustRightInd w:val="0"/>
        <w:spacing w:after="120"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26. </w:t>
      </w:r>
      <w:r>
        <w:rPr>
          <w:rFonts w:hint="eastAsia" w:ascii="仿宋_GB2312" w:hAnsi="仿宋" w:eastAsia="仿宋_GB2312" w:cs="仿宋_GB2312"/>
          <w:b/>
          <w:color w:val="auto"/>
          <w:sz w:val="24"/>
          <w:szCs w:val="24"/>
          <w:highlight w:val="none"/>
        </w:rPr>
        <w:t>履约保证金</w:t>
      </w:r>
    </w:p>
    <w:p>
      <w:pPr>
        <w:tabs>
          <w:tab w:val="left" w:pos="0"/>
        </w:tabs>
        <w:adjustRightInd w:val="0"/>
        <w:spacing w:line="360" w:lineRule="auto"/>
        <w:ind w:firstLine="480"/>
        <w:rPr>
          <w:rFonts w:ascii="仿宋_GB2312" w:hAnsi="仿宋" w:eastAsia="仿宋_GB2312" w:cs="Times New Roman"/>
          <w:color w:val="auto"/>
          <w:sz w:val="24"/>
          <w:szCs w:val="24"/>
          <w:highlight w:val="none"/>
        </w:rPr>
      </w:pPr>
      <w:r>
        <w:rPr>
          <w:rFonts w:hint="eastAsia" w:ascii="仿宋_GB2312" w:hAnsi="仿宋" w:eastAsia="仿宋_GB2312" w:cs="Helvetica"/>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s="Times New Roman"/>
          <w:color w:val="auto"/>
          <w:sz w:val="24"/>
          <w:szCs w:val="24"/>
          <w:highlight w:val="none"/>
        </w:rPr>
        <w:t>。履约保证金的数额不得超过政府采购合同金额的5%。</w:t>
      </w:r>
      <w:r>
        <w:rPr>
          <w:rFonts w:hint="eastAsia" w:ascii="仿宋_GB2312" w:hAnsi="仿宋" w:eastAsia="仿宋_GB2312" w:cs="Times New Roman"/>
          <w:b/>
          <w:color w:val="auto"/>
          <w:sz w:val="24"/>
          <w:szCs w:val="24"/>
          <w:highlight w:val="none"/>
        </w:rPr>
        <w:t>采购人不得拒收履约保函。</w:t>
      </w:r>
    </w:p>
    <w:p>
      <w:pPr>
        <w:tabs>
          <w:tab w:val="left" w:pos="0"/>
        </w:tabs>
        <w:adjustRightInd w:val="0"/>
        <w:spacing w:line="360" w:lineRule="auto"/>
        <w:ind w:firstLine="480"/>
        <w:rPr>
          <w:rFonts w:ascii="仿宋_GB2312" w:hAnsi="仿宋" w:eastAsia="仿宋_GB2312" w:cs="Times New Roman"/>
          <w:color w:val="auto"/>
          <w:sz w:val="24"/>
          <w:szCs w:val="24"/>
          <w:highlight w:val="none"/>
        </w:rPr>
      </w:pPr>
    </w:p>
    <w:p>
      <w:pPr>
        <w:adjustRightInd w:val="0"/>
        <w:snapToGrid w:val="0"/>
        <w:spacing w:line="360" w:lineRule="auto"/>
        <w:ind w:firstLine="3357" w:firstLineChars="1045"/>
        <w:rPr>
          <w:rFonts w:ascii="仿宋_GB2312" w:hAnsi="仿宋" w:eastAsia="仿宋_GB2312" w:cs="Times New Roman"/>
          <w:b/>
          <w:color w:val="auto"/>
          <w:sz w:val="24"/>
          <w:szCs w:val="24"/>
          <w:highlight w:val="none"/>
        </w:rPr>
      </w:pPr>
      <w:r>
        <w:rPr>
          <w:rFonts w:hint="eastAsia" w:ascii="仿宋_GB2312" w:hAnsi="仿宋" w:eastAsia="仿宋_GB2312" w:cs="仿宋_GB2312"/>
          <w:b/>
          <w:color w:val="auto"/>
          <w:sz w:val="32"/>
          <w:szCs w:val="24"/>
          <w:highlight w:val="none"/>
        </w:rPr>
        <w:t>八、电子交易活动的中止</w:t>
      </w:r>
    </w:p>
    <w:p>
      <w:pPr>
        <w:adjustRightInd w:val="0"/>
        <w:snapToGrid w:val="0"/>
        <w:spacing w:after="120" w:line="360" w:lineRule="auto"/>
        <w:rPr>
          <w:rFonts w:ascii="仿宋_GB2312" w:hAnsi="仿宋" w:eastAsia="仿宋_GB2312" w:cs="仿宋_GB2312"/>
          <w:color w:val="auto"/>
          <w:sz w:val="24"/>
          <w:highlight w:val="none"/>
        </w:rPr>
      </w:pPr>
      <w:r>
        <w:rPr>
          <w:rFonts w:hint="eastAsia" w:ascii="仿宋_GB2312" w:hAnsi="仿宋" w:eastAsia="仿宋_GB2312" w:cs="仿宋_GB2312"/>
          <w:b/>
          <w:color w:val="auto"/>
          <w:sz w:val="24"/>
          <w:szCs w:val="24"/>
          <w:highlight w:val="none"/>
        </w:rPr>
        <w:t>27. 电子交易活动的中止。</w:t>
      </w:r>
      <w:r>
        <w:rPr>
          <w:rFonts w:hint="eastAsia" w:ascii="仿宋_GB2312" w:hAnsi="仿宋" w:eastAsia="仿宋_GB2312" w:cs="仿宋_GB2312"/>
          <w:color w:val="auto"/>
          <w:sz w:val="24"/>
          <w:highlight w:val="none"/>
        </w:rPr>
        <w:t>采购过程中出现以下情形，导致电子交易平台无法正常运行，或者无法保证电子交易的公平、公正和安全时，采购机构可中止电子交易活动：</w:t>
      </w:r>
    </w:p>
    <w:p>
      <w:pPr>
        <w:adjustRightInd w:val="0"/>
        <w:snapToGri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27.1电子交易平台发生故障而无法登录访问的； </w:t>
      </w:r>
    </w:p>
    <w:p>
      <w:pPr>
        <w:adjustRightInd w:val="0"/>
        <w:snapToGri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27.2电子交易平台应用或数据库出现错误，不能进行正常操作的；</w:t>
      </w:r>
    </w:p>
    <w:p>
      <w:pPr>
        <w:adjustRightInd w:val="0"/>
        <w:snapToGri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27.3电子交易平台发现严重安全漏洞，有潜在泄密危险的；</w:t>
      </w:r>
    </w:p>
    <w:p>
      <w:pPr>
        <w:adjustRightInd w:val="0"/>
        <w:snapToGri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27.4病毒发作导致不能进行正常操作的； </w:t>
      </w:r>
    </w:p>
    <w:p>
      <w:pPr>
        <w:adjustRightInd w:val="0"/>
        <w:snapToGrid w:val="0"/>
        <w:spacing w:after="12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27.5其他无法保证电子交易的公平、公正和安全的情况。</w:t>
      </w:r>
    </w:p>
    <w:p>
      <w:pPr>
        <w:adjustRightInd w:val="0"/>
        <w:snapToGrid w:val="0"/>
        <w:spacing w:after="120"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r>
        <w:rPr>
          <w:rFonts w:hint="eastAsia" w:ascii="仿宋_GB2312" w:hAnsi="仿宋" w:eastAsia="仿宋_GB2312" w:cs="仿宋_GB2312"/>
          <w:b/>
          <w:color w:val="auto"/>
          <w:sz w:val="24"/>
          <w:highlight w:val="none"/>
        </w:rPr>
        <w:t>28.</w:t>
      </w:r>
      <w:r>
        <w:rPr>
          <w:rFonts w:hint="eastAsia" w:ascii="仿宋_GB2312" w:hAnsi="仿宋" w:eastAsia="仿宋_GB2312" w:cs="仿宋_GB2312"/>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val="0"/>
        <w:spacing w:line="360" w:lineRule="auto"/>
        <w:ind w:firstLine="480"/>
        <w:rPr>
          <w:rFonts w:ascii="仿宋_GB2312" w:hAnsi="仿宋" w:eastAsia="仿宋_GB2312" w:cs="Times New Roman"/>
          <w:color w:val="auto"/>
          <w:sz w:val="24"/>
          <w:szCs w:val="24"/>
          <w:highlight w:val="none"/>
        </w:rPr>
      </w:pPr>
    </w:p>
    <w:p>
      <w:pPr>
        <w:adjustRightInd w:val="0"/>
        <w:snapToGrid w:val="0"/>
        <w:spacing w:line="360" w:lineRule="auto"/>
        <w:ind w:left="120" w:leftChars="57" w:firstLine="482" w:firstLineChars="150"/>
        <w:jc w:val="center"/>
        <w:rPr>
          <w:rFonts w:ascii="仿宋_GB2312" w:hAnsi="仿宋" w:eastAsia="仿宋_GB2312" w:cs="仿宋_GB2312"/>
          <w:b/>
          <w:color w:val="auto"/>
          <w:sz w:val="32"/>
          <w:szCs w:val="24"/>
          <w:highlight w:val="none"/>
        </w:rPr>
      </w:pPr>
      <w:r>
        <w:rPr>
          <w:rFonts w:hint="eastAsia" w:ascii="仿宋_GB2312" w:hAnsi="仿宋" w:eastAsia="仿宋_GB2312" w:cs="仿宋_GB2312"/>
          <w:b/>
          <w:color w:val="auto"/>
          <w:sz w:val="32"/>
          <w:szCs w:val="24"/>
          <w:highlight w:val="none"/>
        </w:rPr>
        <w:t>九、验收</w:t>
      </w:r>
    </w:p>
    <w:p>
      <w:pPr>
        <w:adjustRightInd w:val="0"/>
        <w:spacing w:after="120"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29.验收</w:t>
      </w:r>
    </w:p>
    <w:p>
      <w:pPr>
        <w:tabs>
          <w:tab w:val="left" w:pos="0"/>
        </w:tabs>
        <w:adjustRightInd w:val="0"/>
        <w:spacing w:line="360" w:lineRule="auto"/>
        <w:ind w:firstLine="480"/>
        <w:rPr>
          <w:rFonts w:ascii="仿宋_GB2312" w:hAnsi="仿宋" w:eastAsia="仿宋_GB2312" w:cs="Helvetica"/>
          <w:color w:val="auto"/>
          <w:kern w:val="0"/>
          <w:sz w:val="24"/>
          <w:szCs w:val="24"/>
          <w:highlight w:val="none"/>
        </w:rPr>
      </w:pPr>
      <w:r>
        <w:rPr>
          <w:rFonts w:hint="eastAsia" w:ascii="仿宋_GB2312" w:hAnsi="仿宋" w:eastAsia="仿宋_GB2312" w:cs="Helvetica"/>
          <w:color w:val="auto"/>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color w:val="auto"/>
          <w:kern w:val="0"/>
          <w:sz w:val="24"/>
          <w:szCs w:val="24"/>
          <w:highlight w:val="none"/>
        </w:rPr>
      </w:pPr>
      <w:r>
        <w:rPr>
          <w:rFonts w:hint="eastAsia" w:ascii="仿宋_GB2312" w:hAnsi="仿宋" w:eastAsia="仿宋_GB2312" w:cs="Helvetica"/>
          <w:color w:val="auto"/>
          <w:kern w:val="0"/>
          <w:sz w:val="24"/>
          <w:szCs w:val="24"/>
          <w:highlight w:val="none"/>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color w:val="auto"/>
          <w:kern w:val="0"/>
          <w:sz w:val="24"/>
          <w:szCs w:val="24"/>
          <w:highlight w:val="none"/>
        </w:rPr>
      </w:pPr>
      <w:r>
        <w:rPr>
          <w:rFonts w:hint="eastAsia" w:ascii="仿宋_GB2312" w:hAnsi="仿宋" w:eastAsia="仿宋_GB2312" w:cs="Helvetica"/>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color w:val="auto"/>
          <w:sz w:val="18"/>
          <w:szCs w:val="18"/>
          <w:highlight w:val="none"/>
        </w:rPr>
      </w:pPr>
      <w:r>
        <w:rPr>
          <w:rFonts w:hint="eastAsia" w:ascii="仿宋_GB2312" w:hAnsi="仿宋" w:eastAsia="仿宋_GB2312" w:cs="Helvetica"/>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9"/>
    </w:p>
    <w:p>
      <w:pPr>
        <w:spacing w:line="360" w:lineRule="auto"/>
        <w:jc w:val="center"/>
        <w:rPr>
          <w:rFonts w:ascii="仿宋_GB2312" w:hAnsi="仿宋" w:eastAsia="仿宋_GB2312" w:cs="仿宋_GB2312"/>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0" w:name="_Hlt74730295"/>
      <w:bookmarkEnd w:id="10"/>
      <w:bookmarkStart w:id="11" w:name="_Hlt68072998"/>
      <w:bookmarkEnd w:id="11"/>
      <w:bookmarkStart w:id="12" w:name="_Hlt75236011"/>
      <w:bookmarkEnd w:id="12"/>
      <w:bookmarkStart w:id="13" w:name="_Toc164416483"/>
      <w:bookmarkEnd w:id="13"/>
      <w:bookmarkStart w:id="14" w:name="_Hlt68072990"/>
      <w:bookmarkEnd w:id="14"/>
      <w:bookmarkStart w:id="15" w:name="_Hlt68403820"/>
      <w:bookmarkEnd w:id="15"/>
      <w:bookmarkStart w:id="16" w:name="_Hlt75236290"/>
      <w:bookmarkEnd w:id="16"/>
      <w:bookmarkStart w:id="17" w:name="_Hlt68073093"/>
      <w:bookmarkEnd w:id="17"/>
      <w:bookmarkStart w:id="18" w:name="_Hlt68057669"/>
      <w:bookmarkEnd w:id="18"/>
      <w:bookmarkStart w:id="19" w:name="_Hlt74714665"/>
      <w:bookmarkEnd w:id="19"/>
      <w:bookmarkStart w:id="20" w:name="_Hlt75236101"/>
      <w:bookmarkEnd w:id="20"/>
      <w:bookmarkStart w:id="21" w:name="第三部分"/>
      <w:bookmarkEnd w:id="21"/>
      <w:bookmarkStart w:id="22" w:name="_Hlt74729768"/>
      <w:bookmarkEnd w:id="22"/>
      <w:bookmarkStart w:id="23" w:name="_Hlt74707468"/>
      <w:bookmarkEnd w:id="23"/>
    </w:p>
    <w:p>
      <w:pPr>
        <w:adjustRightInd w:val="0"/>
        <w:spacing w:line="360" w:lineRule="auto"/>
        <w:jc w:val="center"/>
        <w:outlineLvl w:val="0"/>
        <w:rPr>
          <w:rFonts w:hint="eastAsia" w:ascii="仿宋_GB2312" w:hAnsi="仿宋" w:eastAsia="仿宋_GB2312" w:cs="仿宋_GB2312"/>
          <w:b/>
          <w:color w:val="auto"/>
          <w:sz w:val="36"/>
          <w:szCs w:val="36"/>
          <w:highlight w:val="none"/>
        </w:rPr>
      </w:pPr>
      <w:bookmarkStart w:id="24" w:name="第四部分"/>
      <w:r>
        <w:rPr>
          <w:rFonts w:hint="eastAsia" w:ascii="仿宋_GB2312" w:hAnsi="仿宋" w:eastAsia="仿宋_GB2312" w:cs="仿宋_GB2312"/>
          <w:b/>
          <w:color w:val="auto"/>
          <w:sz w:val="36"/>
          <w:szCs w:val="36"/>
          <w:highlight w:val="none"/>
        </w:rPr>
        <w:t>第三部分   采购需求</w:t>
      </w:r>
    </w:p>
    <w:p>
      <w:pPr>
        <w:pStyle w:val="3"/>
        <w:numPr>
          <w:ilvl w:val="0"/>
          <w:numId w:val="0"/>
        </w:numPr>
        <w:bidi w:val="0"/>
        <w:ind w:leftChars="0"/>
        <w:rPr>
          <w:rFonts w:hint="eastAsia" w:ascii="仿宋" w:hAnsi="仿宋" w:eastAsia="仿宋" w:cs="仿宋"/>
          <w:sz w:val="22"/>
          <w:szCs w:val="22"/>
          <w:lang w:eastAsia="zh-Hans"/>
        </w:rPr>
      </w:pPr>
      <w:r>
        <w:rPr>
          <w:rFonts w:hint="default"/>
          <w:lang w:eastAsia="zh-Hans"/>
        </w:rPr>
        <w:t xml:space="preserve">1 </w:t>
      </w:r>
      <w:r>
        <w:rPr>
          <w:rFonts w:hint="eastAsia"/>
          <w:lang w:val="en-US" w:eastAsia="zh-Hans"/>
        </w:rPr>
        <w:t>项目背景</w:t>
      </w:r>
    </w:p>
    <w:p>
      <w:pPr>
        <w:spacing w:line="360" w:lineRule="auto"/>
        <w:ind w:firstLine="480"/>
        <w:rPr>
          <w:rFonts w:hint="eastAsia" w:ascii="仿宋" w:hAnsi="仿宋" w:eastAsia="仿宋" w:cs="仿宋"/>
          <w:sz w:val="22"/>
          <w:szCs w:val="22"/>
        </w:rPr>
      </w:pPr>
      <w:r>
        <w:rPr>
          <w:rFonts w:hint="eastAsia" w:ascii="仿宋" w:hAnsi="仿宋" w:eastAsia="仿宋" w:cs="仿宋"/>
          <w:sz w:val="22"/>
          <w:szCs w:val="22"/>
        </w:rPr>
        <w:t>党的十八大以来，以习近平同志为核心的党中央高度重视网络安全和信息化工作，作出一系列战略决策，统筹推进网信事业快速发展。农村信息基础设施加快建设，线上线下融合的现代农业加快推进，农村信息服务体系加快完善，同时也存在顶层设计缺失、资源统筹不足、基础设施薄弱、区域差异明显等问题，亟需进一步发掘信息化在乡村振兴中的巨大潜力，促进农业全面升级、农村全面进步、农民全面发展。</w:t>
      </w:r>
    </w:p>
    <w:p>
      <w:pPr>
        <w:spacing w:line="360" w:lineRule="auto"/>
        <w:ind w:firstLine="480"/>
        <w:rPr>
          <w:rFonts w:hint="eastAsia" w:ascii="仿宋" w:hAnsi="仿宋" w:eastAsia="仿宋" w:cs="仿宋"/>
          <w:sz w:val="22"/>
          <w:szCs w:val="22"/>
        </w:rPr>
      </w:pPr>
      <w:r>
        <w:rPr>
          <w:rFonts w:hint="eastAsia" w:ascii="仿宋" w:hAnsi="仿宋" w:eastAsia="仿宋" w:cs="仿宋"/>
          <w:sz w:val="22"/>
          <w:szCs w:val="22"/>
        </w:rPr>
        <w:t xml:space="preserve">立足新时代国情农情，要将数字乡村作为数字中国建设的重要方面，加快信息化发展，整体带动和提升农业农村现代化发展。进一步解放和发展数字化生产力，注重构建以知识更新、技术创新、数据驱动为一体的乡村经济发展政策体系，注重建立层级更高、结构更优、可持续性更好的乡村现代化经济体系，注重建立灵敏高效的现代乡村社会治理体系，开启城乡融合发展和现代化建设新局面。 </w:t>
      </w:r>
    </w:p>
    <w:p>
      <w:pPr>
        <w:spacing w:line="360" w:lineRule="auto"/>
        <w:ind w:firstLine="480"/>
        <w:rPr>
          <w:rFonts w:hint="eastAsia" w:ascii="仿宋" w:hAnsi="仿宋" w:eastAsia="仿宋" w:cs="仿宋"/>
          <w:sz w:val="22"/>
          <w:szCs w:val="22"/>
        </w:rPr>
      </w:pPr>
      <w:r>
        <w:rPr>
          <w:rFonts w:hint="eastAsia" w:ascii="仿宋" w:hAnsi="仿宋" w:eastAsia="仿宋" w:cs="仿宋"/>
          <w:sz w:val="22"/>
          <w:szCs w:val="22"/>
        </w:rPr>
        <w:t>政府管理者，一方面需要面对资源保护，另一方面需要面对旅游业态的经营管理和城市规划管理。对乡村旅游及农业的建设，需要从投融资、规划、建设、运营、管理、安全、保护、民生、商业、品牌等目的地建设的多个管理角度来衡量、评估及实施。</w:t>
      </w:r>
    </w:p>
    <w:p>
      <w:pPr>
        <w:spacing w:line="360" w:lineRule="auto"/>
        <w:ind w:firstLine="480"/>
        <w:rPr>
          <w:rFonts w:hint="eastAsia" w:ascii="仿宋" w:hAnsi="仿宋" w:eastAsia="仿宋" w:cs="仿宋"/>
          <w:sz w:val="21"/>
          <w:szCs w:val="21"/>
          <w:lang w:eastAsia="zh-Hans"/>
        </w:rPr>
      </w:pPr>
      <w:r>
        <w:rPr>
          <w:rFonts w:hint="eastAsia" w:ascii="仿宋" w:hAnsi="仿宋" w:eastAsia="仿宋" w:cs="仿宋"/>
          <w:sz w:val="22"/>
          <w:szCs w:val="22"/>
        </w:rPr>
        <w:t>该项目对高虹镇镇的各类数据进行资源整合、审批管理、统一管理，并对各类数据进行资源目录分类管理、数据共享、资源服务，避免数据的重复建设，有效节省此部分财力、人力成本支出，具有很大经济效益。</w:t>
      </w:r>
    </w:p>
    <w:p>
      <w:pPr>
        <w:pStyle w:val="3"/>
        <w:numPr>
          <w:ilvl w:val="0"/>
          <w:numId w:val="0"/>
        </w:numPr>
        <w:bidi w:val="0"/>
        <w:ind w:leftChars="0"/>
        <w:rPr>
          <w:rFonts w:hint="eastAsia" w:ascii="仿宋" w:hAnsi="仿宋" w:eastAsia="仿宋" w:cs="仿宋"/>
          <w:sz w:val="21"/>
          <w:szCs w:val="21"/>
          <w:lang w:val="en-US" w:eastAsia="zh-Hans"/>
        </w:rPr>
      </w:pPr>
      <w:r>
        <w:rPr>
          <w:rFonts w:hint="eastAsia"/>
          <w:lang w:eastAsia="zh-Hans"/>
        </w:rPr>
        <w:t xml:space="preserve">2 </w:t>
      </w:r>
      <w:r>
        <w:rPr>
          <w:rFonts w:hint="eastAsia"/>
          <w:lang w:val="en-US" w:eastAsia="zh-Hans"/>
        </w:rPr>
        <w:t>建设必要性</w:t>
      </w:r>
    </w:p>
    <w:p>
      <w:pPr>
        <w:spacing w:line="360" w:lineRule="auto"/>
        <w:ind w:firstLine="480"/>
        <w:rPr>
          <w:rFonts w:hint="eastAsia" w:ascii="仿宋" w:hAnsi="仿宋" w:eastAsia="仿宋" w:cs="仿宋"/>
          <w:sz w:val="22"/>
          <w:szCs w:val="22"/>
        </w:rPr>
      </w:pPr>
      <w:r>
        <w:rPr>
          <w:rFonts w:hint="eastAsia" w:ascii="仿宋" w:hAnsi="仿宋" w:eastAsia="仿宋" w:cs="仿宋"/>
          <w:sz w:val="22"/>
          <w:szCs w:val="22"/>
        </w:rPr>
        <w:t>数字乡村项目是“互联网+”乡村的重要内容，是转变乡村发展方式的重要手段，加快发展以旅游、文化、产业、休闲农业等为主要内容的数字乡村建设，对于构建全域旅游示范村、创新农产品流通方式、构建现代文旅、农旅、园旅结合的生产经营管理体系、促进经营增收、实现全面建成数字乡村具有重要意义。</w:t>
      </w:r>
    </w:p>
    <w:p>
      <w:pPr>
        <w:spacing w:line="360" w:lineRule="auto"/>
        <w:ind w:firstLine="480"/>
        <w:rPr>
          <w:rFonts w:hint="eastAsia" w:ascii="仿宋" w:hAnsi="仿宋" w:eastAsia="仿宋" w:cs="仿宋"/>
          <w:sz w:val="22"/>
          <w:szCs w:val="22"/>
        </w:rPr>
      </w:pPr>
      <w:r>
        <w:rPr>
          <w:rFonts w:hint="eastAsia" w:ascii="仿宋" w:hAnsi="仿宋" w:eastAsia="仿宋" w:cs="仿宋"/>
          <w:sz w:val="22"/>
          <w:szCs w:val="22"/>
        </w:rPr>
        <w:t>1.为乡镇乡村树立建设数字乡村的样板工程。</w:t>
      </w:r>
    </w:p>
    <w:p>
      <w:pPr>
        <w:spacing w:line="360" w:lineRule="auto"/>
        <w:ind w:firstLine="480"/>
        <w:rPr>
          <w:rFonts w:hint="eastAsia" w:ascii="仿宋" w:hAnsi="仿宋" w:eastAsia="仿宋" w:cs="仿宋"/>
          <w:sz w:val="22"/>
          <w:szCs w:val="22"/>
        </w:rPr>
      </w:pPr>
      <w:r>
        <w:rPr>
          <w:rFonts w:hint="eastAsia" w:ascii="仿宋" w:hAnsi="仿宋" w:eastAsia="仿宋" w:cs="仿宋"/>
          <w:sz w:val="22"/>
          <w:szCs w:val="22"/>
        </w:rPr>
        <w:t>2.为乡镇政府差别化发展，良性化竞争提供平台参考服务。</w:t>
      </w:r>
    </w:p>
    <w:p>
      <w:pPr>
        <w:spacing w:line="360" w:lineRule="auto"/>
        <w:ind w:firstLine="480"/>
        <w:rPr>
          <w:rFonts w:hint="eastAsia" w:ascii="仿宋" w:hAnsi="仿宋" w:eastAsia="仿宋" w:cs="仿宋"/>
          <w:sz w:val="22"/>
          <w:szCs w:val="22"/>
        </w:rPr>
      </w:pPr>
      <w:r>
        <w:rPr>
          <w:rFonts w:hint="eastAsia" w:ascii="仿宋" w:hAnsi="仿宋" w:eastAsia="仿宋" w:cs="仿宋"/>
          <w:sz w:val="22"/>
          <w:szCs w:val="22"/>
        </w:rPr>
        <w:t>3.为乡镇政府提供信息精确传播，及时送达，交流互动服务。</w:t>
      </w:r>
    </w:p>
    <w:p>
      <w:pPr>
        <w:spacing w:line="360" w:lineRule="auto"/>
        <w:ind w:firstLine="480"/>
        <w:rPr>
          <w:rFonts w:hint="eastAsia" w:ascii="仿宋" w:hAnsi="仿宋" w:eastAsia="仿宋" w:cs="仿宋"/>
          <w:sz w:val="22"/>
          <w:szCs w:val="22"/>
        </w:rPr>
      </w:pPr>
      <w:r>
        <w:rPr>
          <w:rFonts w:hint="eastAsia" w:ascii="仿宋" w:hAnsi="仿宋" w:eastAsia="仿宋" w:cs="仿宋"/>
          <w:sz w:val="22"/>
          <w:szCs w:val="22"/>
        </w:rPr>
        <w:t>4.为乡镇政府提供乡镇生态系统一体化，数字化建设服务。推动农村数字化改革，网格化管理，商旅化发展。</w:t>
      </w:r>
    </w:p>
    <w:p>
      <w:pPr>
        <w:spacing w:line="360" w:lineRule="auto"/>
        <w:ind w:firstLine="480"/>
        <w:rPr>
          <w:rFonts w:hint="eastAsia" w:ascii="仿宋" w:hAnsi="仿宋" w:eastAsia="仿宋" w:cs="仿宋"/>
          <w:sz w:val="22"/>
          <w:szCs w:val="22"/>
        </w:rPr>
      </w:pPr>
      <w:r>
        <w:rPr>
          <w:rFonts w:hint="eastAsia" w:ascii="仿宋" w:hAnsi="仿宋" w:eastAsia="仿宋" w:cs="仿宋"/>
          <w:sz w:val="22"/>
          <w:szCs w:val="22"/>
        </w:rPr>
        <w:t>5.为乡镇政府提供对外展示窗口服务。将每个乡镇精心策划包装，将其推广到城市人们视野最前线。</w:t>
      </w:r>
    </w:p>
    <w:p>
      <w:pPr>
        <w:spacing w:line="360" w:lineRule="auto"/>
        <w:ind w:firstLine="480"/>
        <w:rPr>
          <w:rFonts w:hint="eastAsia" w:ascii="仿宋" w:hAnsi="仿宋" w:eastAsia="仿宋" w:cs="仿宋"/>
          <w:sz w:val="22"/>
          <w:szCs w:val="22"/>
        </w:rPr>
      </w:pPr>
      <w:r>
        <w:rPr>
          <w:rFonts w:hint="eastAsia" w:ascii="仿宋" w:hAnsi="仿宋" w:eastAsia="仿宋" w:cs="仿宋"/>
          <w:sz w:val="22"/>
          <w:szCs w:val="22"/>
        </w:rPr>
        <w:t>6.为乡镇政府深挖自身资源进行市场化推动服务。帮助其策划乡镇特色，挖掘资源市场潜力，将乡镇的文化活动，旅游景点，商业体验街，农业经济，特色产业，农村金融、农村土地众筹、回乡创业等全部推送到全国联网进行市场化运作。</w:t>
      </w:r>
    </w:p>
    <w:p>
      <w:pPr>
        <w:spacing w:line="360" w:lineRule="auto"/>
        <w:ind w:firstLine="480"/>
        <w:rPr>
          <w:rFonts w:hint="eastAsia" w:ascii="仿宋" w:hAnsi="仿宋" w:eastAsia="仿宋" w:cs="仿宋"/>
          <w:sz w:val="22"/>
          <w:szCs w:val="22"/>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sz w:val="22"/>
          <w:szCs w:val="22"/>
        </w:rPr>
        <w:t>7.作为乡镇政府的补充，在县乡村三级建设基层服务中心，深入农村开展工作，实现线下与线上良好对接，全面落实民生服务，做好农产品、休闲农业及风土民俗等的商品化转换</w:t>
      </w:r>
      <w:r>
        <w:rPr>
          <w:rFonts w:hint="eastAsia" w:ascii="仿宋" w:hAnsi="仿宋" w:eastAsia="仿宋" w:cs="仿宋"/>
          <w:sz w:val="22"/>
          <w:szCs w:val="22"/>
          <w:lang w:val="en-US" w:eastAsia="zh-CN"/>
        </w:rPr>
        <w:t>.</w:t>
      </w:r>
    </w:p>
    <w:p>
      <w:pPr>
        <w:pStyle w:val="3"/>
        <w:numPr>
          <w:ilvl w:val="0"/>
          <w:numId w:val="0"/>
        </w:numPr>
        <w:bidi w:val="0"/>
        <w:ind w:leftChars="0"/>
        <w:rPr>
          <w:rFonts w:hint="eastAsia" w:ascii="仿宋" w:hAnsi="仿宋" w:eastAsia="仿宋" w:cs="仿宋"/>
          <w:sz w:val="21"/>
          <w:szCs w:val="21"/>
          <w:lang w:val="en-US" w:eastAsia="zh-Hans"/>
        </w:rPr>
      </w:pPr>
      <w:r>
        <w:rPr>
          <w:rFonts w:hint="eastAsia"/>
          <w:lang w:eastAsia="zh-Hans"/>
        </w:rPr>
        <w:t xml:space="preserve">3 </w:t>
      </w:r>
      <w:r>
        <w:rPr>
          <w:rFonts w:hint="eastAsia"/>
          <w:lang w:val="en-US" w:eastAsia="zh-Hans"/>
        </w:rPr>
        <w:t>建设依据</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2019年5月，中共中央办公厅、国务院办公厅印发了《数字乡村发展战略纲要》，并发出通知，要求各地区各部门结合实际认真贯彻落实。</w:t>
      </w:r>
    </w:p>
    <w:p>
      <w:pPr>
        <w:spacing w:line="360" w:lineRule="auto"/>
        <w:ind w:firstLine="482"/>
        <w:rPr>
          <w:rFonts w:hint="eastAsia" w:ascii="仿宋" w:hAnsi="仿宋" w:eastAsia="仿宋" w:cs="仿宋"/>
          <w:sz w:val="21"/>
          <w:szCs w:val="21"/>
        </w:rPr>
      </w:pPr>
      <w:r>
        <w:rPr>
          <w:rFonts w:hint="eastAsia" w:ascii="仿宋" w:hAnsi="仿宋" w:eastAsia="仿宋" w:cs="仿宋"/>
          <w:b/>
          <w:bCs/>
          <w:sz w:val="21"/>
          <w:szCs w:val="21"/>
        </w:rPr>
        <w:t>数字乡村发展战略纲要》中规定：</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 xml:space="preserve">数字乡村是伴随网络化、信息化和数字化在农业农村经济社会发展中的应用，以及农民现代信息技能的提高而内生的农业农村现代化发展和转型进程，既是乡村振兴的战略方向，也是建设数字中国的重要内容。为贯彻落实《中共中央、国务院关于实施乡村振兴战略的意见》、《乡村振兴战略规划（2018－2022年）》和《国家信息化发展战略纲要》，特制定本纲要。 </w:t>
      </w:r>
    </w:p>
    <w:p>
      <w:pPr>
        <w:spacing w:line="360" w:lineRule="auto"/>
        <w:ind w:firstLine="482"/>
        <w:rPr>
          <w:rFonts w:hint="eastAsia" w:ascii="仿宋" w:hAnsi="仿宋" w:eastAsia="仿宋" w:cs="仿宋"/>
          <w:sz w:val="21"/>
          <w:szCs w:val="21"/>
        </w:rPr>
      </w:pPr>
      <w:r>
        <w:rPr>
          <w:rFonts w:hint="eastAsia" w:ascii="仿宋" w:hAnsi="仿宋" w:eastAsia="仿宋" w:cs="仿宋"/>
          <w:b/>
          <w:bCs/>
          <w:sz w:val="21"/>
          <w:szCs w:val="21"/>
        </w:rPr>
        <w:t>《浙江省数字乡村建设实施方案》中要求：</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完善乡村数字化基础设施和数据资源体系，加快实现农业生产管理、农产品营销、农村资源环境监管、乡村治理和公共服务的信息化、智慧化，全力促进乡村产业数字化和数字产业化发展，提升农业生产经营、行业监管服务、农民生活便捷化水平，助推农业农村现代化发展，推动浙江数字乡村建设和乡村振兴走在全国前列。</w:t>
      </w:r>
    </w:p>
    <w:p>
      <w:pPr>
        <w:rPr>
          <w:rFonts w:hint="eastAsia" w:ascii="仿宋" w:hAnsi="仿宋" w:eastAsia="仿宋" w:cs="仿宋"/>
          <w:sz w:val="21"/>
          <w:szCs w:val="21"/>
          <w:lang w:eastAsia="zh-Hans"/>
        </w:rPr>
      </w:pPr>
    </w:p>
    <w:p>
      <w:pPr>
        <w:pStyle w:val="3"/>
        <w:numPr>
          <w:ilvl w:val="0"/>
          <w:numId w:val="0"/>
        </w:numPr>
        <w:bidi w:val="0"/>
        <w:ind w:leftChars="0"/>
        <w:rPr>
          <w:rFonts w:hint="eastAsia"/>
          <w:lang w:val="en-US" w:eastAsia="zh-Hans"/>
        </w:rPr>
      </w:pPr>
      <w:r>
        <w:rPr>
          <w:rFonts w:hint="eastAsia"/>
          <w:lang w:eastAsia="zh-Hans"/>
        </w:rPr>
        <w:t xml:space="preserve">4 </w:t>
      </w:r>
      <w:r>
        <w:rPr>
          <w:rFonts w:hint="eastAsia"/>
          <w:lang w:val="en-US" w:eastAsia="zh-Hans"/>
        </w:rPr>
        <w:t>建设目标</w:t>
      </w:r>
    </w:p>
    <w:p>
      <w:pPr>
        <w:rPr>
          <w:rFonts w:hint="eastAsia" w:ascii="仿宋" w:hAnsi="仿宋" w:eastAsia="仿宋" w:cs="仿宋"/>
          <w:sz w:val="21"/>
          <w:szCs w:val="21"/>
          <w:lang w:val="en-US" w:eastAsia="zh-Hans"/>
        </w:rPr>
      </w:pP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通过龙门秘境数字景区信息化建设项目推动高虹镇旅游业务管理、农业资源整合资源保护、以及决策支持的信息化、办公智能化等，有助于提升高虹镇政府管理者的管理效率、增强乡村竞争实力、提高资源配置效率、促进旅游、农业等产业持续发展。</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（1）通过信息化技术优化业务流程，提升管理效率</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借助本次龙门秘境数字景区信息化建设项目，引入先进适用的管理思想、管理理念，对现有不合理的、效率低的流程及环节进行改进和优化，设计乡村经营管理流程，梳理经营管理的信息化流程，建设经营管理信息系统。由于信息系统对流程有固化和强制执行的特点，在流程控制方面有严格和紧密的逻辑关系相互制约，从而形成一个规范体系，使标准体系在各村的日常经营管理业务中得到有效的贯彻执行。如停车系统、视频监控系统、智慧小程序等。</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（2）通过信息化提升乡村整体形象，增强旅游、农业等各个行业竞争力</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通过提升高虹镇的信息化整体水平，增强产业竞争力，从而提升高虹镇整体品牌形象。旅游资源和农产品具有生产与消费同时性等特点。在市场中，流动是旅游者，而旅游者在旅游途中所依据的只有信息，通过多角度、全方位的展示乡村各个产业资源特点，可以提升乡村形象，增强乡村竞争力，激发旅游者的旅游欲望和购物热情。</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（3）通过信息化增强旅游应急管理，促进各村旅游持续发展</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旅游资源尤其是自然资源、文化资源、景观资源等具有一定的脆弱性，极易受到宏观和微观环境中的各种自然因素、经济因素的影响而发生波动，有效的获取信息以辅助科学决策就显得特别重要。通过建立旅游指挥调度中心，从全局的角度加强旅游产业监测管理，当出现某种非正常状态时及时采取措施进行控制，从而提高应对危机的处理能力，避免或降低意外灾害对旅游资源的破坏，促进旅游产业的可持续发展。</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（4）通过信息化改善乡村服务能力，改进互动体验</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高虹镇旅游业发达，人作为旅游的主体，是乡村旅游建设的核心，一切都需围绕“以人为本”的核心思想。如何提高游客的旅游体验感、丰富旅游活动的参与度、提升游客满意度是衡量旅游互动体验及游客服务的主要指标。分别从游客的“吃、住、行、游、购、娱”入手，采集、生产、整理出与游客切身相关的旅游数据，形成数据报告，并利用微信公众号、现有网站等平台全方位立体化一站式服务游客。如通过对景区内及周边停车场空余车位的实时数据管理，为游客提供实时的停车引导服务。</w:t>
      </w:r>
    </w:p>
    <w:p>
      <w:pPr>
        <w:pStyle w:val="3"/>
        <w:numPr>
          <w:ilvl w:val="0"/>
          <w:numId w:val="0"/>
        </w:numPr>
        <w:bidi w:val="0"/>
        <w:ind w:leftChars="0"/>
        <w:rPr>
          <w:rFonts w:hint="eastAsia" w:ascii="仿宋" w:hAnsi="仿宋" w:eastAsia="仿宋" w:cs="仿宋"/>
          <w:sz w:val="21"/>
          <w:szCs w:val="21"/>
          <w:lang w:val="en-US" w:eastAsia="zh-Hans"/>
        </w:rPr>
      </w:pPr>
      <w:r>
        <w:rPr>
          <w:rFonts w:hint="eastAsia"/>
          <w:lang w:eastAsia="zh-Hans"/>
        </w:rPr>
        <w:t xml:space="preserve">5 </w:t>
      </w:r>
      <w:r>
        <w:rPr>
          <w:rFonts w:hint="eastAsia"/>
          <w:lang w:val="en-US" w:eastAsia="zh-Hans"/>
        </w:rPr>
        <w:t>建设内容</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本次项目主要围绕着高虹镇数字乡村建设中核心产业智慧景区建设为打造重点，主要包含</w:t>
      </w:r>
      <w:r>
        <w:rPr>
          <w:rFonts w:hint="eastAsia" w:ascii="仿宋" w:hAnsi="仿宋" w:eastAsia="仿宋" w:cs="仿宋"/>
          <w:sz w:val="21"/>
          <w:szCs w:val="21"/>
          <w:lang w:val="en-US" w:eastAsia="zh-Hans"/>
        </w:rPr>
        <w:t>数字景区软件系统平台及其基础配套设施</w:t>
      </w:r>
      <w:r>
        <w:rPr>
          <w:rFonts w:hint="eastAsia" w:ascii="仿宋" w:hAnsi="仿宋" w:eastAsia="仿宋" w:cs="仿宋"/>
          <w:sz w:val="21"/>
          <w:szCs w:val="21"/>
        </w:rPr>
        <w:t>，包括</w:t>
      </w:r>
      <w:r>
        <w:rPr>
          <w:rFonts w:hint="eastAsia" w:ascii="仿宋" w:hAnsi="仿宋" w:eastAsia="仿宋" w:cs="仿宋"/>
          <w:sz w:val="21"/>
          <w:szCs w:val="21"/>
          <w:lang w:val="en-US" w:eastAsia="zh-Hans"/>
        </w:rPr>
        <w:t>公共广播</w:t>
      </w:r>
      <w:r>
        <w:rPr>
          <w:rFonts w:hint="default" w:ascii="仿宋" w:hAnsi="仿宋" w:eastAsia="仿宋" w:cs="仿宋"/>
          <w:sz w:val="21"/>
          <w:szCs w:val="21"/>
          <w:lang w:eastAsia="zh-Hans"/>
        </w:rPr>
        <w:t>、</w:t>
      </w:r>
      <w:r>
        <w:rPr>
          <w:rFonts w:hint="eastAsia" w:ascii="仿宋" w:hAnsi="仿宋" w:eastAsia="仿宋" w:cs="仿宋"/>
          <w:sz w:val="21"/>
          <w:szCs w:val="21"/>
        </w:rPr>
        <w:t>视频监控、</w:t>
      </w:r>
      <w:r>
        <w:rPr>
          <w:rFonts w:hint="eastAsia" w:ascii="仿宋" w:hAnsi="仿宋" w:eastAsia="仿宋" w:cs="仿宋"/>
          <w:sz w:val="21"/>
          <w:szCs w:val="21"/>
          <w:lang w:val="en-US" w:eastAsia="zh-Hans"/>
        </w:rPr>
        <w:t>电子围栏</w:t>
      </w:r>
      <w:r>
        <w:rPr>
          <w:rFonts w:hint="default" w:ascii="仿宋" w:hAnsi="仿宋" w:eastAsia="仿宋" w:cs="仿宋"/>
          <w:sz w:val="21"/>
          <w:szCs w:val="21"/>
          <w:lang w:eastAsia="zh-Hans"/>
        </w:rPr>
        <w:t>、</w:t>
      </w:r>
      <w:r>
        <w:rPr>
          <w:rFonts w:hint="eastAsia" w:ascii="仿宋" w:hAnsi="仿宋" w:eastAsia="仿宋" w:cs="仿宋"/>
          <w:sz w:val="21"/>
          <w:szCs w:val="21"/>
          <w:lang w:val="en-US" w:eastAsia="zh-Hans"/>
        </w:rPr>
        <w:t>森林防火</w:t>
      </w:r>
      <w:r>
        <w:rPr>
          <w:rFonts w:hint="default" w:ascii="仿宋" w:hAnsi="仿宋" w:eastAsia="仿宋" w:cs="仿宋"/>
          <w:sz w:val="21"/>
          <w:szCs w:val="21"/>
          <w:lang w:eastAsia="zh-Hans"/>
        </w:rPr>
        <w:t>、</w:t>
      </w:r>
      <w:r>
        <w:rPr>
          <w:rFonts w:hint="eastAsia" w:ascii="仿宋" w:hAnsi="仿宋" w:eastAsia="仿宋" w:cs="仿宋"/>
          <w:sz w:val="21"/>
          <w:szCs w:val="21"/>
          <w:lang w:val="en-US" w:eastAsia="zh-Hans"/>
        </w:rPr>
        <w:t>停车系统</w:t>
      </w:r>
      <w:r>
        <w:rPr>
          <w:rFonts w:hint="default" w:ascii="仿宋" w:hAnsi="仿宋" w:eastAsia="仿宋" w:cs="仿宋"/>
          <w:sz w:val="21"/>
          <w:szCs w:val="21"/>
          <w:lang w:eastAsia="zh-Hans"/>
        </w:rPr>
        <w:t>、</w:t>
      </w:r>
      <w:r>
        <w:rPr>
          <w:rFonts w:hint="eastAsia" w:ascii="仿宋" w:hAnsi="仿宋" w:eastAsia="仿宋" w:cs="仿宋"/>
          <w:sz w:val="21"/>
          <w:szCs w:val="21"/>
          <w:lang w:val="en-US" w:eastAsia="zh-Hans"/>
        </w:rPr>
        <w:t>人脸布控和监控中心</w:t>
      </w:r>
      <w:r>
        <w:rPr>
          <w:rFonts w:hint="eastAsia" w:ascii="仿宋" w:hAnsi="仿宋" w:eastAsia="仿宋" w:cs="仿宋"/>
          <w:sz w:val="21"/>
          <w:szCs w:val="21"/>
        </w:rPr>
        <w:t>等。</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3"/>
        <w:bidi w:val="0"/>
        <w:rPr>
          <w:rFonts w:hint="eastAsia"/>
          <w:lang w:eastAsia="zh-CN"/>
        </w:rPr>
      </w:pPr>
      <w:r>
        <w:rPr>
          <w:rFonts w:hint="eastAsia"/>
          <w:lang w:val="en-US" w:eastAsia="zh-CN"/>
        </w:rPr>
        <w:t>6 采购</w:t>
      </w:r>
      <w:r>
        <w:rPr>
          <w:rFonts w:hint="eastAsia"/>
          <w:lang w:val="en-US" w:eastAsia="zh-Hans"/>
        </w:rPr>
        <w:t>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972"/>
        <w:gridCol w:w="2871"/>
        <w:gridCol w:w="1357"/>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序号</w:t>
            </w:r>
          </w:p>
        </w:tc>
        <w:tc>
          <w:tcPr>
            <w:tcW w:w="1972" w:type="dxa"/>
          </w:tcPr>
          <w:p>
            <w:pPr>
              <w:pStyle w:val="32"/>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名称</w:t>
            </w:r>
          </w:p>
        </w:tc>
        <w:tc>
          <w:tcPr>
            <w:tcW w:w="2871" w:type="dxa"/>
          </w:tcPr>
          <w:p>
            <w:pPr>
              <w:pStyle w:val="32"/>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技术参数</w:t>
            </w:r>
          </w:p>
        </w:tc>
        <w:tc>
          <w:tcPr>
            <w:tcW w:w="1357" w:type="dxa"/>
          </w:tcPr>
          <w:p>
            <w:pPr>
              <w:pStyle w:val="32"/>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p>
        </w:tc>
        <w:tc>
          <w:tcPr>
            <w:tcW w:w="1259" w:type="dxa"/>
          </w:tcPr>
          <w:p>
            <w:pPr>
              <w:pStyle w:val="32"/>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72" w:type="dxa"/>
            <w:vAlign w:val="center"/>
          </w:tcPr>
          <w:p>
            <w:pPr>
              <w:widowControl/>
              <w:spacing w:line="240" w:lineRule="auto"/>
              <w:jc w:val="left"/>
              <w:rPr>
                <w:rFonts w:hint="eastAsia" w:ascii="仿宋" w:hAnsi="仿宋" w:eastAsia="仿宋" w:cs="仿宋"/>
                <w:b w:val="0"/>
                <w:bCs w:val="0"/>
                <w:sz w:val="24"/>
                <w:szCs w:val="24"/>
                <w:vertAlign w:val="baseline"/>
                <w:lang w:eastAsia="zh-CN"/>
              </w:rPr>
            </w:pPr>
            <w:r>
              <w:rPr>
                <w:rFonts w:hint="eastAsia" w:ascii="仿宋_GB2312" w:hAnsi="宋体" w:eastAsia="仿宋_GB2312" w:cs="宋体"/>
                <w:b w:val="0"/>
                <w:bCs w:val="0"/>
                <w:kern w:val="0"/>
                <w:szCs w:val="24"/>
              </w:rPr>
              <w:t>公共广播系统</w:t>
            </w:r>
          </w:p>
        </w:tc>
        <w:tc>
          <w:tcPr>
            <w:tcW w:w="2871"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1357"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1批</w:t>
            </w:r>
          </w:p>
        </w:tc>
        <w:tc>
          <w:tcPr>
            <w:tcW w:w="1259"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972" w:type="dxa"/>
            <w:vAlign w:val="center"/>
          </w:tcPr>
          <w:p>
            <w:pPr>
              <w:widowControl/>
              <w:spacing w:line="240" w:lineRule="auto"/>
              <w:jc w:val="left"/>
              <w:rPr>
                <w:rFonts w:hint="eastAsia" w:ascii="仿宋" w:hAnsi="仿宋" w:eastAsia="仿宋" w:cs="仿宋"/>
                <w:b w:val="0"/>
                <w:bCs w:val="0"/>
                <w:sz w:val="24"/>
                <w:szCs w:val="24"/>
                <w:vertAlign w:val="baseline"/>
                <w:lang w:eastAsia="zh-CN"/>
              </w:rPr>
            </w:pPr>
            <w:r>
              <w:rPr>
                <w:rFonts w:hint="eastAsia" w:ascii="仿宋_GB2312" w:hAnsi="宋体" w:eastAsia="仿宋_GB2312" w:cs="宋体"/>
                <w:b w:val="0"/>
                <w:bCs w:val="0"/>
                <w:kern w:val="0"/>
                <w:szCs w:val="24"/>
              </w:rPr>
              <w:t>视频监控系统</w:t>
            </w:r>
          </w:p>
        </w:tc>
        <w:tc>
          <w:tcPr>
            <w:tcW w:w="287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1357"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1批</w:t>
            </w:r>
          </w:p>
        </w:tc>
        <w:tc>
          <w:tcPr>
            <w:tcW w:w="1259"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972" w:type="dxa"/>
            <w:vAlign w:val="center"/>
          </w:tcPr>
          <w:p>
            <w:pPr>
              <w:widowControl/>
              <w:spacing w:line="240" w:lineRule="auto"/>
              <w:jc w:val="left"/>
              <w:rPr>
                <w:rFonts w:hint="eastAsia" w:ascii="仿宋" w:hAnsi="仿宋" w:eastAsia="仿宋" w:cs="仿宋"/>
                <w:b w:val="0"/>
                <w:bCs w:val="0"/>
                <w:sz w:val="24"/>
                <w:szCs w:val="24"/>
                <w:vertAlign w:val="baseline"/>
                <w:lang w:eastAsia="zh-CN"/>
              </w:rPr>
            </w:pPr>
            <w:r>
              <w:rPr>
                <w:rFonts w:hint="eastAsia" w:ascii="仿宋_GB2312" w:hAnsi="宋体" w:eastAsia="仿宋_GB2312" w:cs="宋体"/>
                <w:b w:val="0"/>
                <w:bCs w:val="0"/>
                <w:kern w:val="0"/>
                <w:szCs w:val="24"/>
              </w:rPr>
              <w:t>电子围栏系统</w:t>
            </w:r>
          </w:p>
        </w:tc>
        <w:tc>
          <w:tcPr>
            <w:tcW w:w="287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1357"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1批</w:t>
            </w:r>
          </w:p>
        </w:tc>
        <w:tc>
          <w:tcPr>
            <w:tcW w:w="1259"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972" w:type="dxa"/>
            <w:vAlign w:val="center"/>
          </w:tcPr>
          <w:p>
            <w:pPr>
              <w:widowControl/>
              <w:spacing w:line="240" w:lineRule="auto"/>
              <w:jc w:val="left"/>
              <w:rPr>
                <w:rFonts w:hint="eastAsia" w:ascii="仿宋" w:hAnsi="仿宋" w:eastAsia="仿宋" w:cs="仿宋"/>
                <w:b w:val="0"/>
                <w:bCs w:val="0"/>
                <w:sz w:val="24"/>
                <w:szCs w:val="24"/>
                <w:vertAlign w:val="baseline"/>
                <w:lang w:eastAsia="zh-CN"/>
              </w:rPr>
            </w:pPr>
            <w:r>
              <w:rPr>
                <w:rFonts w:hint="eastAsia" w:ascii="仿宋_GB2312" w:hAnsi="宋体" w:eastAsia="仿宋_GB2312" w:cs="宋体"/>
                <w:b w:val="0"/>
                <w:bCs w:val="0"/>
                <w:kern w:val="0"/>
                <w:szCs w:val="24"/>
              </w:rPr>
              <w:t>森林防火</w:t>
            </w:r>
          </w:p>
        </w:tc>
        <w:tc>
          <w:tcPr>
            <w:tcW w:w="287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1357"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1批</w:t>
            </w:r>
          </w:p>
        </w:tc>
        <w:tc>
          <w:tcPr>
            <w:tcW w:w="1259"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972" w:type="dxa"/>
            <w:vAlign w:val="center"/>
          </w:tcPr>
          <w:p>
            <w:pPr>
              <w:widowControl/>
              <w:spacing w:line="240" w:lineRule="auto"/>
              <w:jc w:val="left"/>
              <w:rPr>
                <w:rFonts w:hint="eastAsia" w:ascii="仿宋" w:hAnsi="仿宋" w:eastAsia="仿宋" w:cs="仿宋"/>
                <w:b w:val="0"/>
                <w:bCs w:val="0"/>
                <w:sz w:val="24"/>
                <w:szCs w:val="24"/>
                <w:vertAlign w:val="baseline"/>
                <w:lang w:eastAsia="zh-CN"/>
              </w:rPr>
            </w:pPr>
            <w:r>
              <w:rPr>
                <w:rFonts w:hint="eastAsia" w:ascii="仿宋_GB2312" w:hAnsi="宋体" w:eastAsia="仿宋_GB2312" w:cs="宋体"/>
                <w:b w:val="0"/>
                <w:bCs w:val="0"/>
                <w:kern w:val="0"/>
                <w:szCs w:val="24"/>
              </w:rPr>
              <w:t>停车系统</w:t>
            </w:r>
          </w:p>
        </w:tc>
        <w:tc>
          <w:tcPr>
            <w:tcW w:w="287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1357"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1批</w:t>
            </w:r>
          </w:p>
        </w:tc>
        <w:tc>
          <w:tcPr>
            <w:tcW w:w="1259"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972" w:type="dxa"/>
            <w:vAlign w:val="center"/>
          </w:tcPr>
          <w:p>
            <w:pPr>
              <w:widowControl/>
              <w:spacing w:line="240" w:lineRule="auto"/>
              <w:jc w:val="left"/>
              <w:rPr>
                <w:rFonts w:hint="eastAsia" w:ascii="仿宋" w:hAnsi="仿宋" w:eastAsia="仿宋" w:cs="仿宋"/>
                <w:b w:val="0"/>
                <w:bCs w:val="0"/>
                <w:sz w:val="24"/>
                <w:szCs w:val="24"/>
                <w:vertAlign w:val="baseline"/>
                <w:lang w:eastAsia="zh-CN"/>
              </w:rPr>
            </w:pPr>
            <w:r>
              <w:rPr>
                <w:rFonts w:hint="eastAsia" w:ascii="仿宋_GB2312" w:hAnsi="宋体" w:eastAsia="仿宋_GB2312" w:cs="宋体"/>
                <w:b w:val="0"/>
                <w:bCs w:val="0"/>
                <w:kern w:val="0"/>
                <w:szCs w:val="24"/>
              </w:rPr>
              <w:t>人脸布控系统</w:t>
            </w:r>
          </w:p>
        </w:tc>
        <w:tc>
          <w:tcPr>
            <w:tcW w:w="287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1357"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1批</w:t>
            </w:r>
          </w:p>
        </w:tc>
        <w:tc>
          <w:tcPr>
            <w:tcW w:w="1259"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972" w:type="dxa"/>
            <w:vAlign w:val="center"/>
          </w:tcPr>
          <w:p>
            <w:pPr>
              <w:widowControl/>
              <w:spacing w:line="240" w:lineRule="auto"/>
              <w:jc w:val="left"/>
              <w:rPr>
                <w:rFonts w:hint="eastAsia" w:ascii="仿宋" w:hAnsi="仿宋" w:eastAsia="仿宋" w:cs="仿宋"/>
                <w:b w:val="0"/>
                <w:bCs w:val="0"/>
                <w:sz w:val="24"/>
                <w:szCs w:val="24"/>
                <w:vertAlign w:val="baseline"/>
                <w:lang w:eastAsia="zh-CN"/>
              </w:rPr>
            </w:pPr>
            <w:r>
              <w:rPr>
                <w:rFonts w:hint="eastAsia" w:ascii="仿宋_GB2312" w:hAnsi="宋体" w:eastAsia="仿宋_GB2312" w:cs="宋体"/>
                <w:b w:val="0"/>
                <w:bCs w:val="0"/>
                <w:kern w:val="0"/>
                <w:szCs w:val="24"/>
              </w:rPr>
              <w:t>综合安防平台</w:t>
            </w:r>
          </w:p>
        </w:tc>
        <w:tc>
          <w:tcPr>
            <w:tcW w:w="287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1357"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1批</w:t>
            </w:r>
          </w:p>
        </w:tc>
        <w:tc>
          <w:tcPr>
            <w:tcW w:w="1259"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972" w:type="dxa"/>
            <w:vAlign w:val="center"/>
          </w:tcPr>
          <w:p>
            <w:pPr>
              <w:widowControl/>
              <w:spacing w:line="240" w:lineRule="auto"/>
              <w:jc w:val="left"/>
              <w:rPr>
                <w:rFonts w:hint="eastAsia" w:ascii="仿宋" w:hAnsi="仿宋" w:eastAsia="仿宋" w:cs="仿宋"/>
                <w:b w:val="0"/>
                <w:bCs w:val="0"/>
                <w:sz w:val="24"/>
                <w:szCs w:val="24"/>
                <w:vertAlign w:val="baseline"/>
                <w:lang w:eastAsia="zh-CN"/>
              </w:rPr>
            </w:pPr>
            <w:r>
              <w:rPr>
                <w:rFonts w:hint="eastAsia" w:ascii="仿宋_GB2312" w:hAnsi="宋体" w:eastAsia="仿宋_GB2312" w:cs="宋体"/>
                <w:b w:val="0"/>
                <w:bCs w:val="0"/>
                <w:kern w:val="0"/>
                <w:szCs w:val="24"/>
              </w:rPr>
              <w:t>分控中心</w:t>
            </w:r>
          </w:p>
        </w:tc>
        <w:tc>
          <w:tcPr>
            <w:tcW w:w="287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1357"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1批</w:t>
            </w:r>
          </w:p>
        </w:tc>
        <w:tc>
          <w:tcPr>
            <w:tcW w:w="1259"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972" w:type="dxa"/>
            <w:vAlign w:val="center"/>
          </w:tcPr>
          <w:p>
            <w:pPr>
              <w:widowControl/>
              <w:spacing w:line="240" w:lineRule="auto"/>
              <w:jc w:val="left"/>
              <w:rPr>
                <w:rFonts w:hint="eastAsia" w:ascii="仿宋" w:hAnsi="仿宋" w:eastAsia="仿宋" w:cs="仿宋"/>
                <w:b w:val="0"/>
                <w:bCs w:val="0"/>
                <w:sz w:val="24"/>
                <w:szCs w:val="24"/>
                <w:vertAlign w:val="baseline"/>
                <w:lang w:eastAsia="zh-CN"/>
              </w:rPr>
            </w:pPr>
            <w:r>
              <w:rPr>
                <w:rFonts w:hint="eastAsia" w:ascii="仿宋_GB2312" w:hAnsi="宋体" w:eastAsia="仿宋_GB2312" w:cs="宋体"/>
                <w:b w:val="0"/>
                <w:bCs w:val="0"/>
                <w:kern w:val="0"/>
                <w:szCs w:val="24"/>
              </w:rPr>
              <w:t>光纤链路</w:t>
            </w:r>
          </w:p>
        </w:tc>
        <w:tc>
          <w:tcPr>
            <w:tcW w:w="2871"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根据施工要求分配，确保设备正常运行。</w:t>
            </w:r>
          </w:p>
        </w:tc>
        <w:tc>
          <w:tcPr>
            <w:tcW w:w="1357"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2年</w:t>
            </w:r>
          </w:p>
        </w:tc>
        <w:tc>
          <w:tcPr>
            <w:tcW w:w="1259"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972" w:type="dxa"/>
            <w:vAlign w:val="center"/>
          </w:tcPr>
          <w:p>
            <w:pPr>
              <w:widowControl/>
              <w:spacing w:line="240" w:lineRule="auto"/>
              <w:jc w:val="left"/>
              <w:rPr>
                <w:rFonts w:hint="eastAsia" w:ascii="仿宋" w:hAnsi="仿宋" w:eastAsia="仿宋" w:cs="仿宋"/>
                <w:b w:val="0"/>
                <w:bCs w:val="0"/>
                <w:sz w:val="24"/>
                <w:szCs w:val="24"/>
                <w:vertAlign w:val="baseline"/>
                <w:lang w:eastAsia="zh-CN"/>
              </w:rPr>
            </w:pPr>
            <w:r>
              <w:rPr>
                <w:rFonts w:hint="eastAsia" w:ascii="仿宋_GB2312" w:hAnsi="宋体" w:eastAsia="仿宋_GB2312" w:cs="宋体"/>
                <w:b w:val="0"/>
                <w:bCs w:val="0"/>
                <w:kern w:val="0"/>
                <w:szCs w:val="24"/>
              </w:rPr>
              <w:t>施工费</w:t>
            </w:r>
          </w:p>
        </w:tc>
        <w:tc>
          <w:tcPr>
            <w:tcW w:w="2871"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以上所有系统设备综合布线、设备安装调试。</w:t>
            </w:r>
          </w:p>
        </w:tc>
        <w:tc>
          <w:tcPr>
            <w:tcW w:w="1357"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w:t>
            </w:r>
          </w:p>
        </w:tc>
        <w:tc>
          <w:tcPr>
            <w:tcW w:w="1259"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pStyle w:val="32"/>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972" w:type="dxa"/>
            <w:vAlign w:val="center"/>
          </w:tcPr>
          <w:p>
            <w:pPr>
              <w:widowControl/>
              <w:spacing w:line="240" w:lineRule="auto"/>
              <w:jc w:val="left"/>
              <w:rPr>
                <w:rFonts w:hint="eastAsia" w:ascii="仿宋" w:hAnsi="仿宋" w:eastAsia="仿宋" w:cs="仿宋"/>
                <w:b w:val="0"/>
                <w:bCs w:val="0"/>
                <w:sz w:val="24"/>
                <w:szCs w:val="24"/>
                <w:vertAlign w:val="baseline"/>
                <w:lang w:eastAsia="zh-CN"/>
              </w:rPr>
            </w:pPr>
            <w:r>
              <w:rPr>
                <w:rFonts w:hint="eastAsia" w:ascii="仿宋_GB2312" w:hAnsi="宋体" w:eastAsia="仿宋_GB2312" w:cs="宋体"/>
                <w:b w:val="0"/>
                <w:bCs w:val="0"/>
                <w:kern w:val="0"/>
                <w:szCs w:val="24"/>
              </w:rPr>
              <w:t>运维</w:t>
            </w:r>
          </w:p>
        </w:tc>
        <w:tc>
          <w:tcPr>
            <w:tcW w:w="2871"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以上所有系统设备的日常故障维修维护。</w:t>
            </w:r>
          </w:p>
        </w:tc>
        <w:tc>
          <w:tcPr>
            <w:tcW w:w="1357" w:type="dxa"/>
            <w:vAlign w:val="top"/>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3年</w:t>
            </w:r>
          </w:p>
        </w:tc>
        <w:tc>
          <w:tcPr>
            <w:tcW w:w="1259" w:type="dxa"/>
          </w:tcPr>
          <w:p>
            <w:pPr>
              <w:rPr>
                <w:rFonts w:hint="eastAsia" w:ascii="仿宋" w:hAnsi="仿宋" w:eastAsia="仿宋" w:cs="仿宋"/>
                <w:sz w:val="24"/>
                <w:szCs w:val="24"/>
                <w:vertAlign w:val="baseline"/>
                <w:lang w:val="en-US" w:eastAsia="zh-CN"/>
              </w:rPr>
            </w:pPr>
          </w:p>
        </w:tc>
      </w:tr>
    </w:tbl>
    <w:p/>
    <w:p>
      <w:pPr>
        <w:pStyle w:val="2"/>
      </w:pPr>
    </w:p>
    <w:p/>
    <w:p>
      <w:pPr>
        <w:pStyle w:val="2"/>
      </w:pPr>
    </w:p>
    <w:p/>
    <w:p>
      <w:pPr>
        <w:pStyle w:val="2"/>
      </w:pPr>
    </w:p>
    <w:p/>
    <w:p>
      <w:pPr>
        <w:pStyle w:val="2"/>
      </w:pPr>
    </w:p>
    <w:p/>
    <w:p>
      <w:pPr>
        <w:pStyle w:val="2"/>
      </w:pPr>
    </w:p>
    <w:p/>
    <w:p>
      <w:pPr>
        <w:pStyle w:val="2"/>
      </w:pPr>
    </w:p>
    <w:p/>
    <w:p>
      <w:pPr>
        <w:pStyle w:val="2"/>
      </w:pPr>
    </w:p>
    <w:p/>
    <w:p>
      <w:pPr>
        <w:pStyle w:val="2"/>
        <w:rPr>
          <w:rFonts w:hint="default" w:eastAsiaTheme="minorEastAsia"/>
          <w:lang w:val="en-US" w:eastAsia="zh-CN"/>
        </w:rPr>
      </w:pPr>
      <w:r>
        <w:rPr>
          <w:rFonts w:hint="eastAsia"/>
          <w:lang w:val="en-US" w:eastAsia="zh-CN"/>
        </w:rPr>
        <w:t>附件清单：</w:t>
      </w:r>
    </w:p>
    <w:p>
      <w:pPr>
        <w:pStyle w:val="3"/>
        <w:bidi w:val="0"/>
        <w:rPr>
          <w:rFonts w:hint="eastAsia"/>
          <w:lang w:eastAsia="zh-CN"/>
        </w:rPr>
      </w:pPr>
      <w:r>
        <w:rPr>
          <w:rFonts w:hint="eastAsia"/>
          <w:lang w:val="en-US" w:eastAsia="zh-CN"/>
        </w:rPr>
        <w:t>1、</w:t>
      </w:r>
      <w:r>
        <w:rPr>
          <w:rFonts w:hint="eastAsia"/>
        </w:rPr>
        <w:t>公共广播系统</w:t>
      </w:r>
    </w:p>
    <w:tbl>
      <w:tblPr>
        <w:tblStyle w:val="62"/>
        <w:tblW w:w="54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615"/>
        <w:gridCol w:w="5591"/>
        <w:gridCol w:w="105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shd w:val="clear" w:color="auto" w:fill="auto"/>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rPr>
              <w:t>序号</w:t>
            </w:r>
          </w:p>
        </w:tc>
        <w:tc>
          <w:tcPr>
            <w:tcW w:w="802" w:type="pct"/>
            <w:shd w:val="clear" w:color="auto" w:fill="auto"/>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lang w:val="en-US" w:eastAsia="zh-CN"/>
              </w:rPr>
              <w:t>设备</w:t>
            </w:r>
            <w:r>
              <w:rPr>
                <w:rFonts w:hint="eastAsia" w:ascii="仿宋_GB2312" w:hAnsi="宋体" w:eastAsia="仿宋_GB2312" w:cs="宋体"/>
                <w:b/>
                <w:bCs/>
                <w:color w:val="0D0D0D"/>
                <w:kern w:val="0"/>
                <w:szCs w:val="24"/>
              </w:rPr>
              <w:t>名称</w:t>
            </w:r>
          </w:p>
        </w:tc>
        <w:tc>
          <w:tcPr>
            <w:tcW w:w="2776" w:type="pct"/>
            <w:shd w:val="clear" w:color="000000" w:fill="FFFFFF"/>
            <w:noWrap w:val="0"/>
            <w:vAlign w:val="center"/>
          </w:tcPr>
          <w:p>
            <w:pPr>
              <w:widowControl/>
              <w:spacing w:line="240" w:lineRule="auto"/>
              <w:jc w:val="center"/>
              <w:rPr>
                <w:rFonts w:hint="eastAsia" w:ascii="仿宋_GB2312" w:hAnsi="宋体" w:eastAsia="仿宋_GB2312" w:cs="宋体"/>
                <w:b/>
                <w:bCs/>
                <w:kern w:val="0"/>
                <w:szCs w:val="24"/>
              </w:rPr>
            </w:pPr>
            <w:r>
              <w:rPr>
                <w:rFonts w:hint="eastAsia" w:ascii="仿宋_GB2312" w:hAnsi="宋体" w:eastAsia="仿宋_GB2312" w:cs="宋体"/>
                <w:b/>
                <w:bCs/>
                <w:kern w:val="0"/>
                <w:szCs w:val="24"/>
                <w:lang w:val="en-US" w:eastAsia="zh-CN"/>
              </w:rPr>
              <w:t>技术</w:t>
            </w:r>
            <w:r>
              <w:rPr>
                <w:rFonts w:hint="eastAsia" w:ascii="仿宋_GB2312" w:hAnsi="宋体" w:eastAsia="仿宋_GB2312" w:cs="宋体"/>
                <w:b/>
                <w:bCs/>
                <w:kern w:val="0"/>
                <w:szCs w:val="24"/>
              </w:rPr>
              <w:t>参数</w:t>
            </w:r>
          </w:p>
        </w:tc>
        <w:tc>
          <w:tcPr>
            <w:tcW w:w="522" w:type="pct"/>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rPr>
              <w:t>单位</w:t>
            </w:r>
          </w:p>
        </w:tc>
        <w:tc>
          <w:tcPr>
            <w:tcW w:w="522" w:type="pct"/>
            <w:noWrap w:val="0"/>
            <w:vAlign w:val="center"/>
          </w:tcPr>
          <w:p>
            <w:pPr>
              <w:widowControl/>
              <w:spacing w:line="240" w:lineRule="auto"/>
              <w:jc w:val="center"/>
              <w:rPr>
                <w:rFonts w:hint="eastAsia" w:ascii="仿宋_GB2312" w:hAnsi="宋体" w:eastAsia="仿宋_GB2312" w:cs="宋体"/>
                <w:b/>
                <w:bCs/>
                <w:color w:val="0D0D0D"/>
                <w:kern w:val="0"/>
                <w:szCs w:val="24"/>
                <w:lang w:eastAsia="zh-CN"/>
              </w:rPr>
            </w:pPr>
            <w:r>
              <w:rPr>
                <w:rFonts w:hint="eastAsia" w:ascii="仿宋_GB2312" w:hAnsi="宋体" w:eastAsia="仿宋_GB2312" w:cs="宋体"/>
                <w:b/>
                <w:bCs/>
                <w:color w:val="0D0D0D"/>
                <w:kern w:val="0"/>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802"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网络化主机</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★1.采用工业级工控机机箱设计，≥17英寸四线制工业级液晶屏，支持触摸屏控制，自带可抽拉隐藏式键盘、鼠标。</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2.配置不低于：因特尔酷睿I5处理器，4G内存，128G固态硬盘。</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3.配置接口不少于：1×VGA输出，1×DVI输出，6×USB接口，1×3.5mm音频输入接口，1×3.5mm音频输出接口，1×话筒接口。</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★4.具有一键触发全区告警和手动分区告警功能，告警时可通过本机EMC话筒进行寻呼，面板提供醒目的“一键报警”红色按钮。（提供生产厂商原版彩页和产品实物图）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5.具有话筒插口，配备通话手柄，用于广播喊话。</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6.提供CCC证书复印件。</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套</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2</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远程控制软件</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 系统采用B/S架构，跨平台应用，方便维护、升级；</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2.应支持在同一平台下注册与管理广播终端和对讲终端，终端音量可自定义批次调节。当发生紧急事件时，对讲设备也能播放应急广播。</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3.应支持地图视图、场景视图、视频视图等；（提供软件界面截图）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 应涵盖传统广播系统功能：包含定时打铃任务，业务讲话广播、背景音乐、电台转播和消防报警广播等；可进行分区管理、广播权限等设置；</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 应支持节目资源库，维护系统所需各种音频文件，供终端播放；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6.应支持系统概览，可快速了解系统内终端在线情况、系统资源占用情况、各种类型任务状态等，对系统运行一目了然；</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7.应支持离线广播，可将要播放的媒体文件提前推送到终端保存，终端按照预设置的播放策略进行播放。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8.应报告查询功能：可查看系统各种状态、应用日志、系统日志等报告，及时、准确了解系统状态。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9应支持后台录音：系统支持广播、对讲、监听内容录制在服务器硬盘中，录音文件支持多种方式查询，查询出的录音文件支持导出功能。（提供软件界面截图）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10.应具有优先级设定功能，单个终端可自由设定接收广播、接收对讲、接收监听的优先级，灵活匹配各种应用场所的应用需求；（提供软件配置界面截图）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11.应支持将要播放的媒体文件提前推送到终端保存，终端按照预设置的播放策略进行播放；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12.应支持用户管理：可添加删除用户帐户,并设定其角色，每个角色权限范围可自定义，包括功能权限和操作终端权限。</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13.应支持主服务器和备用服务器热切换，支持系统崩溃自动恢复；</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14.应支持多级服务器管理：支持搭建多级服务器架构，根据用户地域管理部署；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15.应支持集群服务器：支持集群分布式服务器，实现终端大规模扩容；(须提供功能配置界面截图)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16.要求可提供SDK和API接口：提供SDK二次开发包与其它系统平台集成整合。第三方软件可直接控制对讲和广播，并接收终端当前状态；与监控系统配合，可由监控系统控制通话开关， 或通话时自动切换监控画面；</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17.系统应支持融合通信，后台录音录制在服务器硬盘中，并能进行导出，可直接将目标录音文件存储到指定目录；</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18.应支持查看系统内的会话状态、报警状态、应用日志、系统日志等报告，及时、准确了解系统状态； （提供软件界面截图）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19.应支持在对讲系统网页客户端，调入外部监控视频，当发现有异常情况，可直接对视频对应的广播区域喊话。</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20.需提供国家版权局颁发的“IP网络广播系统”、“消防应急广播系统软件”著作登记权证书（须提供复印件）。</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21.系统软件包支持操作系统linux，Windows10/Server 2003/Server 2008/Server 2012。</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3</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多功能CD播放机</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标准（2U）机柜式设计，黑色喷砂面板，高档大气。</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微电脑控制，轻触式按键操作，荧光高亮度数码显示</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采用进口数码机芯，系统+ESS解码方案，超强纠错功能，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兼容DVD、CD、MP3、VCD、HDCD等播放多种格式光碟。</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可播放U盘里各种音乐格式文件，</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受智能主机控制播放，多种播放模式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1路音频信号左右声道（L/R）输出，视频输出（G/Y、 B/U、 COAX、 复合视频，同轴输出、S-端子）</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可通过面板按键或红外遥控器控制操控。</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4</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数字调谐器</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1.专业级高保真立体声数码石英锁相环收音系统，接收频率精确稳定。</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2.调频、调幅两波段，分别可存储电台达100个</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3.电台频率自动搜索存储功能，且有断电记忆功能永不丢失</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4.高亮度动态VFD荧光显示，全功能微电脑控制，轻触式按键操作。</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5</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定时器</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1）4.3寸TFT真彩屏显示，图形化界面，全触屏操作，电容屏，安卓手机操作体验</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2）配有PC端编程软件，可以通过USB线跟PC接链接</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3）可以接2只4.3寸远程触屏呼叫控制台，遥控台界面远程跟跟主机同步显示，同步操作（数控的才有用）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4）RS485总线，串口COM二种通信协议，方便与外围其他系统对接</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5）自带8G内存容量，可以增加到16G、32G内存，标配8G</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6）歌曲名中文显示，触屏点击播放，一键点击播放，电源管理</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7）具有监控功能，可监控本地设备和远程设备是否在线</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8）可以插U盘播放，U盘插即可以播放，对U盘内歌曲名称，歌曲放置路径没有要求，可以点击上下曲播放</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9）支持电脑编程，主机手动编程</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10）含有4套程序，每套程序可编程120个定时点</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11）带FM调频功能，全频段自动搜台，手动搜台，自动保存，手动快捷保存，多种模式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12）消防功能，短路或DC12~24V信号输入，自动报警，消防短路输出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13）1路本地话筒输入，2路线路输入，4路音频输出，2路远程话筒信号输出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14）话筒语音默音等级可设，话筒分区电源触发开启可以设置</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15）带监听功能，监听音量可调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16）具有Fats文件系统，在不使用任何软件情况下可以使用记事本编程</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17）具有远程升级功能，可以使用TF升级固件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18）最大可以支持999首歌曲、32G内存，可查看内存里面前200首歌曲歌曲名，按页显示，一页可以显示6首，方便直观</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19）带8路分区，6路电源</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20）机器内置了使用帮助，不会操作点击使用帮助即可详细指导，内置广播工程施工指南</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21）可以设置分区、电源提前打开时间</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22）带RS485总线，可以外控CD机，调谐器，分区器，收音机等数控设备</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6</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音频采集器</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1.机架式设计（1U）、防蚀铝拉丝面板、采用硬件音频编码。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2.4路独立网络解码芯片，可同时解码四路数字音频。</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3.4路模拟音频输入(端子插座)，4路同时编码、高品质的数字音频传输。</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4.4路输入通道可通过网络远程进行音量调节、每路音量可单独调节、可将每路通道输入的音频作为音源分别传输到任意指定的终端进行还原。</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5.内置4路报警输入、4路报警输出用于联动触发，可输出报警无电压信号到第三方设备实现联机自动控制、适应于与外部设备联动的场合。</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6.超低的网络声音传输延时、广播延时低于30ms。</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7.标准RJ45网络接口、有以太网口的地方即可接入、支持跨网段和跨路由。</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电源、功耗 AC120V-240V，≤20W</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网络通讯协议 TCP/IP、UDP、ARP、ICMP、IGMP</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网络芯片速率 10/100Mbps</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音频编码 MP3/PCM/ADPCM</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音频采样、位率 22.05-48kHz，16bit</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信噪比、 频响 ≥90dB，20Hz-16KHz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接口 4个RJ45网口、4路线路输入、4路线路输出、4路报警输入、4路报警输出 </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工作温度、湿度 -10℃～50℃，≤90%RH（无结露）</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对</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FF"/>
                <w:kern w:val="0"/>
                <w:szCs w:val="24"/>
              </w:rPr>
            </w:pPr>
            <w:r>
              <w:rPr>
                <w:rFonts w:hint="eastAsia" w:ascii="仿宋_GB2312" w:hAnsi="宋体" w:eastAsia="仿宋_GB2312" w:cs="宋体"/>
                <w:color w:val="0000FF"/>
                <w:kern w:val="0"/>
                <w:szCs w:val="24"/>
              </w:rPr>
              <w:t>7</w:t>
            </w:r>
          </w:p>
        </w:tc>
        <w:tc>
          <w:tcPr>
            <w:tcW w:w="802" w:type="pct"/>
            <w:noWrap w:val="0"/>
            <w:vAlign w:val="center"/>
          </w:tcPr>
          <w:p>
            <w:pPr>
              <w:widowControl/>
              <w:spacing w:line="240" w:lineRule="auto"/>
              <w:jc w:val="center"/>
              <w:rPr>
                <w:rFonts w:hint="eastAsia" w:ascii="仿宋_GB2312" w:hAnsi="宋体" w:eastAsia="仿宋_GB2312" w:cs="宋体"/>
                <w:color w:val="auto"/>
                <w:kern w:val="0"/>
                <w:szCs w:val="24"/>
              </w:rPr>
            </w:pPr>
            <w:r>
              <w:rPr>
                <w:rFonts w:hint="eastAsia" w:ascii="仿宋_GB2312" w:hAnsi="宋体" w:eastAsia="仿宋_GB2312" w:cs="宋体"/>
                <w:color w:val="auto"/>
                <w:kern w:val="0"/>
                <w:szCs w:val="24"/>
              </w:rPr>
              <w:t>监听音箱</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1.一体化壁挂式设计，整合网络音频解码,数字功放及音箱;</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2.采用高速工业级双核(ARM+DSP)芯片，启动时间≤1秒；</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3.内置高保真扬声器和2×10W立体声D类功率放大器；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4.内置回路检测功能，可远程监听扬声器工作状态，轻松维护；</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5.服务软件远程调节输出音量，并可在本地用旋钮调节线路输入音量；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6.标准RJ45网络接口，有以太网口的地方即可接入，支持跨网段和跨路由。</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7.可选配：定压备份模块（产品型号后缀：-CP)：</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7.1.实现接入100V定压广播线路作为备用，符合教委高考须有备用系统要求；</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7.2 当网络异常时,自动从“数字网络广播”切换到“模拟定压广播”；</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  可选配：无线收发模块（产品型号后缀：-WM）及2.4G无线点播话筒（NCS-3073)：</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8.1无线收发模块与2.4G无线点播话筒实现开机自动配对，工作频率：ISM频道2400-2483MHz；</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8.2通过无线点播话筒内置咪头或外置头戴式麦克风，可实现本地扩声；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8.3利用无线点播话筒的3.5寸立体声接口，将手机播放的音频扩声；</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8.4通过无线点播话筒，可向其他终端广播喊话，可呼叫主控室实现双向对讲；</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8.5无线点播话筒自带2寸OLED显示屏，中英文显示点播目录及当前任务信息，通过控制按键，点播服务器节目库任意内容，可控制播放/暂停，快进/快退，A-B复读，操作灵活简单；</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9.6音量大小可在话筒上调节；</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9.7标准microUSB接口充电(兼容手机充电器),待机约36小时,通话约8小时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注： NAS-8507A-10W型支持驱动NAC-301C室内音箱(功率10W)</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电源, 功耗    DC24V, ≤23W</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网络通讯协议  TCP、UDP、ARP、ICMP、IGMP</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音频编码      MP2/MP3/PCM/ADPCM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音频采样, 位率 8kHz～48kHz, 16位, 8kbps-320kbps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信噪比, 频响   ≥90dB, 200Hz-18KHz</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网络声音延迟   广播延迟≤30ms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内置功放功率   2x10W</w:t>
            </w:r>
          </w:p>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工作温度、湿度  -10℃～50℃,10%-90%RH（无结露）</w:t>
            </w:r>
          </w:p>
        </w:tc>
        <w:tc>
          <w:tcPr>
            <w:tcW w:w="522" w:type="pct"/>
            <w:noWrap/>
            <w:vAlign w:val="center"/>
          </w:tcPr>
          <w:p>
            <w:pPr>
              <w:widowControl/>
              <w:spacing w:line="240" w:lineRule="auto"/>
              <w:jc w:val="center"/>
              <w:rPr>
                <w:rFonts w:hint="eastAsia" w:ascii="仿宋_GB2312" w:hAnsi="宋体" w:eastAsia="仿宋_GB2312" w:cs="宋体"/>
                <w:color w:val="auto"/>
                <w:kern w:val="0"/>
                <w:szCs w:val="24"/>
              </w:rPr>
            </w:pPr>
            <w:r>
              <w:rPr>
                <w:rFonts w:hint="eastAsia" w:ascii="仿宋_GB2312" w:hAnsi="宋体" w:eastAsia="仿宋_GB2312" w:cs="宋体"/>
                <w:color w:val="auto"/>
                <w:kern w:val="0"/>
                <w:szCs w:val="24"/>
              </w:rPr>
              <w:t>台</w:t>
            </w:r>
          </w:p>
        </w:tc>
        <w:tc>
          <w:tcPr>
            <w:tcW w:w="522" w:type="pct"/>
            <w:noWrap/>
            <w:vAlign w:val="center"/>
          </w:tcPr>
          <w:p>
            <w:pPr>
              <w:widowControl/>
              <w:spacing w:line="240" w:lineRule="auto"/>
              <w:jc w:val="center"/>
              <w:rPr>
                <w:rFonts w:hint="eastAsia" w:ascii="仿宋_GB2312" w:hAnsi="宋体" w:eastAsia="仿宋_GB2312" w:cs="宋体"/>
                <w:color w:val="auto"/>
                <w:kern w:val="0"/>
                <w:szCs w:val="24"/>
              </w:rPr>
            </w:pPr>
            <w:r>
              <w:rPr>
                <w:rFonts w:hint="eastAsia" w:ascii="仿宋_GB2312" w:hAnsi="宋体" w:eastAsia="仿宋_GB2312" w:cs="宋体"/>
                <w:color w:val="auto"/>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8</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网络化寻呼话筒</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1.采用专业控制台设计，坚固耐用。</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2.显示屏不低于7寸，分辨率不低于800*480。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3.内置不低于3W扬声器，配置话筒咪头，可免提通话、接收广播和监听</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4.应支持对全区、分区、个别终端进行广播喊话，支持三方通话。（需提供权威机构出具的产品功能检验报告证明此功能）。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5.应具有红色紧急按键，支持一键广播到预设分区。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6.支持触摸背景界面自由更换。</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7.支持U盘或读卡器接入，点播音频文件并通过网络广播到前端设备。</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8.应支持来/去电显示功能。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9.内置Flash存储，可以存储音频、配置信息及备份，支持远程修改和升级。</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10.信噪比、频响：&gt;90dB、20Hz-16Khz。</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11.应支持远程修改和升级 。</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12.配备接口应不少于：1个RJ45网络接口、1个电源开关、1个USB接口、1个存储卡接口、1路报警输入、1路报警输出、1路线路输入、1路线路输出、1路麦克输入，1路耳机输出。（提供产品实物图、接口明细图）</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9</w:t>
            </w:r>
          </w:p>
        </w:tc>
        <w:tc>
          <w:tcPr>
            <w:tcW w:w="802"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消防联动器</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1.32路报警输入接口(支持2种方式触发:开关量和24V输入)， 从消防中心接入信号；</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2.8路报警输出接口(常开触点，DC24V/1A)，可外接警灯，显示报警状态；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3.系统中可使用任意多个IP网络报警接口，以增加输入口数目。</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4.自动发送报警信息到服务器，服务器执行相应报警播放任务。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5.标准RJ45接口，有以太网口地方即可接入，支持跨网段和路由。</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 功耗   AC 220V, ≤15W</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接口1个RJ45网口, 32路报警输入,8路报警输出</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工作温度、湿度  -10℃～70℃,≤90%RH</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10</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电源时序器</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1.设有电子锁，可手动控制十路电源依次开启。</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2.可当传统电源时序器使用。</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3.设有十路交流电源输出。</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电源、功耗 AC220V 50Hz，≤50W</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单路容量 3KVA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整机容量 5KVA</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信噪比, 频响 ≥85dB, 50Hz-18KHz</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接口 10路电源输出接口</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工作温度、湿度 -10℃～50℃,  ≤90%RH</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11</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机柜</w:t>
            </w:r>
          </w:p>
        </w:tc>
        <w:tc>
          <w:tcPr>
            <w:tcW w:w="27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前后门带锁，前门玻璃材质，机柜顶有散热装置，尺寸：600*600*1400</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12</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网络化功放100W</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1.1U交换机外形设计，使设备更网络家族化。</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2.简约人性化工程设计，前面板显示状态信号，开关及音量旋钮后置，减少非专业化的操作，降低维护故障。</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3.内置高效率数字功放，定压100V输出，效率高达90%以上。</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4.带前置信号输入功能(1路话筒输入、2路辅助线路输入、1路网络音频)， 各音频通道均有独立的音量调节。同时线路输入支持平衡输入，有效减少系统连接时的接入噪声，提高系统的信燥比。</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5.内置大容量存储器，支持远程更新定时任务和报警触发任务。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6.支持离线广播。当网络中断时、可自动开启本地播放。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7.具有1路报警输入、1路报警输出，联动周边设备。</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8.国际通用的宽电压供电设计，电源电压适应能力强。</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9.内置完备的保护电路，支持过载、过热保护等多种保护功能，支持电源及线路防雷击及浪涌保护。</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9.标准RJ45接口，有以太网口地方即可接入，支持跨网段和跨路由。</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额定输出功率：130W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功耗：＜160W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电源：100V-240V～50Hz/60Hz（支持共模4K，差模2K雷击浪涌保护）</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功率输出：定压100V（支持共模2KV雷击浪涌保护）</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输入灵敏度&amp;输入阻抗：AUX1: 500mV/10KΩ（平衡）   AUX2: 500mV/10KΩ（非平衡）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MIC: 100mV/600Ω（非平衡）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频率响应：60Hz-16KHz</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总谐波失真：≤0.5% at 1KHz  1/2输出功率</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信噪比（S/N）：AUX1:≥84dB    AUX2:≥84dB   MIC:≥80dB</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散热：由前往后强制风冷，散热器温度55度时启动内置风扇</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保护：过流、短路、过热保护、交流保险丝</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网络通讯协议：TCP/IP、UDP、ARP、ICMP、IGMP协议</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网络芯片速率：10/100Mbps</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音频编码：MP3/PCM/ADPCM/G711.a/G711.u/G729</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音频采样、位率：8kHz-44.1kHz、16bit、8kbps-320kbps</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工作温度、湿度：-10℃～+50℃，≤90%RH(无结霜)</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13</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网络化功放250W</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1.1U交换机外形设计，使设备更网络家族化。</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2.简约人性化工程设计，前面板显示状态信号，开关及音量旋钮后置，减少非专业化的操作，降低维护故障。</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3.内置高效率数字功放，定压100V输出，效率高达90%以上。</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4.带前置信号输入功能(1路话筒输入、2路辅助线路输入、1路网络音频)， 各音频通道均有独立的音量调节。同时线路输入支持平衡输入，有效减少系统连接时的接入噪声，提高系统的信燥比。</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5.内置大容量存储器，支持远程更新定时任务和报警触发任务。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6.支持离线广播。当网络中断时、可自动开启本地播放。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7.具有1路报警输入、1路报警输出，联动周边设备。</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8.国际通用的宽电压供电设计，电源电压适应能力强。</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9.内置完备的保护电路，支持过载、过热保护等多种保护功能，支持电源及线路防雷击及浪涌保护。</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9.标准RJ45接口，有以太网口地方即可接入，支持跨网段和跨路由。</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额定输出功率：260W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功耗：＜310W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电源：100V-240V～50Hz/60Hz（支持共模4K，差模2K雷击浪涌保护）</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功率输出：定压100V（支持共模2KV雷击浪涌保护）</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输入灵敏度&amp;输入阻抗：AUX1: 500mV/10KΩ（平衡）   AUX2: 500mV/10KΩ（非平衡）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MIC: 100mV/600Ω（非平衡）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频率响应：60Hz-16KHz</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总谐波失真：≤0.5% at 1KHz  1/2输出功率</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信噪比（S/N）：AUX1:≥84dB    AUX2:≥84dB   MIC:≥80dB</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散热：由前往后强制风冷，散热器温度55度时启动内置风扇</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保护：过流、短路、过热保护、交流保险丝</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网络通讯协议：TCP/IP、UDP、ARP、ICMP、IGMP协议</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网络芯片速率：10/100Mbps</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音频编码：MP3/PCM/ADPCM/G711.a/G711.u/G729</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音频采样、位率：8kHz-44.1kHz、16bit、8kbps-320kbps</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工作温度、湿度：-10℃～+50℃，≤90%RH(无结霜)</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14</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室外防水音柱</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采用5寸PP防水盆全频喇叭；铝合金壳体、铝合金网罩及喇叭安装板；防水防腐设计，防水等级可达IPX6；语音和音乐播放都有逼真的放声效果，音质清澈动听；广泛应用于学校操场、车站及广场等。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额定功率 40W</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最大功率 60W</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输入电压 100V</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灵敏度   93dB ± 1dB</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频率响应 88-13.5KHZ</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15</w:t>
            </w:r>
          </w:p>
        </w:tc>
        <w:tc>
          <w:tcPr>
            <w:tcW w:w="802"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8口千兆交换机</w:t>
            </w:r>
          </w:p>
        </w:tc>
        <w:tc>
          <w:tcPr>
            <w:tcW w:w="27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8口千兆</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16</w:t>
            </w:r>
          </w:p>
        </w:tc>
        <w:tc>
          <w:tcPr>
            <w:tcW w:w="80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网线</w:t>
            </w:r>
          </w:p>
        </w:tc>
        <w:tc>
          <w:tcPr>
            <w:tcW w:w="27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CAT-5e</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m</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17</w:t>
            </w:r>
          </w:p>
        </w:tc>
        <w:tc>
          <w:tcPr>
            <w:tcW w:w="80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电源线</w:t>
            </w:r>
          </w:p>
        </w:tc>
        <w:tc>
          <w:tcPr>
            <w:tcW w:w="27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RVV3*1.5</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m</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18</w:t>
            </w:r>
          </w:p>
        </w:tc>
        <w:tc>
          <w:tcPr>
            <w:tcW w:w="80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音箱线</w:t>
            </w:r>
          </w:p>
        </w:tc>
        <w:tc>
          <w:tcPr>
            <w:tcW w:w="27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RVSP2*1.5</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m</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19</w:t>
            </w:r>
          </w:p>
        </w:tc>
        <w:tc>
          <w:tcPr>
            <w:tcW w:w="80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辅材</w:t>
            </w:r>
          </w:p>
        </w:tc>
        <w:tc>
          <w:tcPr>
            <w:tcW w:w="27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管路预埋</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项</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7" w:type="pct"/>
            <w:noWrap/>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20</w:t>
            </w:r>
          </w:p>
        </w:tc>
        <w:tc>
          <w:tcPr>
            <w:tcW w:w="80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无人机</w:t>
            </w:r>
          </w:p>
        </w:tc>
        <w:tc>
          <w:tcPr>
            <w:tcW w:w="2776"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最大飞行时间：26-30分钟</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项</w:t>
            </w:r>
          </w:p>
        </w:tc>
        <w:tc>
          <w:tcPr>
            <w:tcW w:w="52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bl>
    <w:p/>
    <w:p>
      <w:pPr>
        <w:pStyle w:val="3"/>
        <w:numPr>
          <w:ilvl w:val="0"/>
          <w:numId w:val="9"/>
        </w:numPr>
        <w:bidi w:val="0"/>
        <w:rPr>
          <w:rFonts w:hint="eastAsia"/>
        </w:rPr>
      </w:pPr>
      <w:r>
        <w:rPr>
          <w:rFonts w:hint="eastAsia"/>
        </w:rPr>
        <w:t>视频监控系统</w:t>
      </w:r>
    </w:p>
    <w:tbl>
      <w:tblPr>
        <w:tblStyle w:val="62"/>
        <w:tblW w:w="54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967"/>
        <w:gridCol w:w="5309"/>
        <w:gridCol w:w="99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shd w:val="clear" w:color="auto" w:fill="auto"/>
            <w:noWrap w:val="0"/>
            <w:vAlign w:val="center"/>
          </w:tcPr>
          <w:p>
            <w:pPr>
              <w:widowControl/>
              <w:spacing w:line="240" w:lineRule="auto"/>
              <w:jc w:val="center"/>
              <w:rPr>
                <w:rFonts w:hint="eastAsia" w:ascii="仿宋_GB2312" w:hAnsi="宋体" w:eastAsia="仿宋_GB2312" w:cs="宋体"/>
                <w:b/>
                <w:bCs/>
                <w:kern w:val="0"/>
                <w:szCs w:val="24"/>
              </w:rPr>
            </w:pPr>
            <w:r>
              <w:rPr>
                <w:rFonts w:hint="eastAsia" w:ascii="仿宋_GB2312" w:hAnsi="宋体" w:eastAsia="仿宋_GB2312" w:cs="宋体"/>
                <w:b/>
                <w:bCs/>
                <w:kern w:val="0"/>
                <w:szCs w:val="24"/>
              </w:rPr>
              <w:t>序号</w:t>
            </w:r>
          </w:p>
        </w:tc>
        <w:tc>
          <w:tcPr>
            <w:tcW w:w="977" w:type="pct"/>
            <w:shd w:val="clear" w:color="auto" w:fill="auto"/>
            <w:noWrap w:val="0"/>
            <w:vAlign w:val="center"/>
          </w:tcPr>
          <w:p>
            <w:pPr>
              <w:widowControl/>
              <w:spacing w:line="240" w:lineRule="auto"/>
              <w:jc w:val="center"/>
              <w:rPr>
                <w:rFonts w:hint="eastAsia" w:ascii="仿宋_GB2312" w:hAnsi="宋体" w:eastAsia="仿宋_GB2312" w:cs="宋体"/>
                <w:b/>
                <w:bCs/>
                <w:kern w:val="0"/>
                <w:szCs w:val="24"/>
              </w:rPr>
            </w:pPr>
            <w:r>
              <w:rPr>
                <w:rFonts w:hint="eastAsia" w:ascii="仿宋_GB2312" w:hAnsi="宋体" w:eastAsia="仿宋_GB2312" w:cs="宋体"/>
                <w:b/>
                <w:bCs/>
                <w:kern w:val="0"/>
                <w:szCs w:val="24"/>
                <w:lang w:val="en-US" w:eastAsia="zh-CN"/>
              </w:rPr>
              <w:t>设备</w:t>
            </w:r>
            <w:r>
              <w:rPr>
                <w:rFonts w:hint="eastAsia" w:ascii="仿宋_GB2312" w:hAnsi="宋体" w:eastAsia="仿宋_GB2312" w:cs="宋体"/>
                <w:b/>
                <w:bCs/>
                <w:kern w:val="0"/>
                <w:szCs w:val="24"/>
              </w:rPr>
              <w:t>名称</w:t>
            </w:r>
          </w:p>
        </w:tc>
        <w:tc>
          <w:tcPr>
            <w:tcW w:w="2637" w:type="pct"/>
            <w:shd w:val="clear" w:color="000000" w:fill="FFFFFF"/>
            <w:noWrap w:val="0"/>
            <w:vAlign w:val="center"/>
          </w:tcPr>
          <w:p>
            <w:pPr>
              <w:widowControl/>
              <w:spacing w:line="240" w:lineRule="auto"/>
              <w:jc w:val="center"/>
              <w:rPr>
                <w:rFonts w:hint="eastAsia" w:ascii="仿宋_GB2312" w:hAnsi="宋体" w:eastAsia="仿宋_GB2312" w:cs="宋体"/>
                <w:b/>
                <w:bCs/>
                <w:kern w:val="0"/>
                <w:szCs w:val="24"/>
              </w:rPr>
            </w:pPr>
            <w:r>
              <w:rPr>
                <w:rFonts w:hint="eastAsia" w:ascii="仿宋_GB2312" w:hAnsi="宋体" w:eastAsia="仿宋_GB2312" w:cs="宋体"/>
                <w:b/>
                <w:bCs/>
                <w:kern w:val="0"/>
                <w:szCs w:val="24"/>
                <w:lang w:val="en-US" w:eastAsia="zh-CN"/>
              </w:rPr>
              <w:t>技术</w:t>
            </w:r>
            <w:r>
              <w:rPr>
                <w:rFonts w:hint="eastAsia" w:ascii="仿宋_GB2312" w:hAnsi="宋体" w:eastAsia="仿宋_GB2312" w:cs="宋体"/>
                <w:b/>
                <w:bCs/>
                <w:kern w:val="0"/>
                <w:szCs w:val="24"/>
              </w:rPr>
              <w:t>参数</w:t>
            </w:r>
          </w:p>
        </w:tc>
        <w:tc>
          <w:tcPr>
            <w:tcW w:w="495" w:type="pct"/>
            <w:noWrap w:val="0"/>
            <w:vAlign w:val="center"/>
          </w:tcPr>
          <w:p>
            <w:pPr>
              <w:widowControl/>
              <w:spacing w:line="240" w:lineRule="auto"/>
              <w:jc w:val="center"/>
              <w:rPr>
                <w:rFonts w:hint="eastAsia" w:ascii="仿宋_GB2312" w:hAnsi="宋体" w:eastAsia="仿宋_GB2312" w:cs="宋体"/>
                <w:b/>
                <w:bCs/>
                <w:kern w:val="0"/>
                <w:szCs w:val="24"/>
              </w:rPr>
            </w:pPr>
            <w:r>
              <w:rPr>
                <w:rFonts w:hint="eastAsia" w:ascii="仿宋_GB2312" w:hAnsi="宋体" w:eastAsia="仿宋_GB2312" w:cs="宋体"/>
                <w:b/>
                <w:bCs/>
                <w:kern w:val="0"/>
                <w:szCs w:val="24"/>
              </w:rPr>
              <w:t>单位</w:t>
            </w:r>
          </w:p>
        </w:tc>
        <w:tc>
          <w:tcPr>
            <w:tcW w:w="540" w:type="pct"/>
            <w:noWrap w:val="0"/>
            <w:vAlign w:val="center"/>
          </w:tcPr>
          <w:p>
            <w:pPr>
              <w:widowControl/>
              <w:spacing w:line="240" w:lineRule="auto"/>
              <w:jc w:val="center"/>
              <w:rPr>
                <w:rFonts w:hint="eastAsia" w:ascii="仿宋_GB2312" w:hAnsi="宋体" w:eastAsia="仿宋_GB2312" w:cs="宋体"/>
                <w:b/>
                <w:bCs/>
                <w:kern w:val="0"/>
                <w:szCs w:val="24"/>
                <w:lang w:eastAsia="zh-CN"/>
              </w:rPr>
            </w:pPr>
            <w:r>
              <w:rPr>
                <w:rFonts w:hint="eastAsia" w:ascii="仿宋_GB2312" w:hAnsi="宋体" w:eastAsia="仿宋_GB2312" w:cs="宋体"/>
                <w:b/>
                <w:bCs/>
                <w:kern w:val="0"/>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固定筒型网络摄像机</w:t>
            </w:r>
          </w:p>
        </w:tc>
        <w:tc>
          <w:tcPr>
            <w:tcW w:w="263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400万 1/3" CMOS红外筒型网络摄像机</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支持Smart侦测：10项事件检测，1项异常检测</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最低照度彩色不大于0.005 lx，黑白不大于0.0005 lx。（提供相关部门检测报告）</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补光灯类型: 红外灯</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补光距离: 最远可达30 m</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红外波长范围: 850 nm</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最大图像尺寸: 2560 × 1440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网络存储: 支持NAS（NFS，SMB/CIFS均支持）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音频: 1个内置麦克风</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启动和工作温湿度: -30 ℃~60 ℃，湿度小于95%（无凝结）</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供电方式: DC：12 V ± 25%，支持防反接保护</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电流及功耗: DC：12 V，0.41 A，最大功耗：5 W</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电源接口类型: Ø5.5 mm圆口</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需支持IP67防尘防水。（此项参数提供相关部门检测报告）</w:t>
            </w:r>
          </w:p>
        </w:tc>
        <w:tc>
          <w:tcPr>
            <w:tcW w:w="495"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台</w:t>
            </w:r>
          </w:p>
        </w:tc>
        <w:tc>
          <w:tcPr>
            <w:tcW w:w="540" w:type="pct"/>
            <w:noWrap w:val="0"/>
            <w:vAlign w:val="center"/>
          </w:tcPr>
          <w:p>
            <w:pPr>
              <w:widowControl/>
              <w:spacing w:line="240" w:lineRule="auto"/>
              <w:jc w:val="center"/>
              <w:rPr>
                <w:rFonts w:hint="eastAsia" w:ascii="仿宋_GB2312" w:hAnsi="宋体" w:eastAsia="仿宋_GB2312" w:cs="宋体"/>
                <w:kern w:val="0"/>
                <w:szCs w:val="24"/>
                <w:lang w:eastAsia="zh-CN"/>
              </w:rPr>
            </w:pPr>
            <w:r>
              <w:rPr>
                <w:rFonts w:hint="eastAsia" w:ascii="仿宋_GB2312" w:hAnsi="宋体" w:eastAsia="仿宋_GB2312" w:cs="宋体"/>
                <w:kern w:val="0"/>
                <w:szCs w:val="24"/>
              </w:rPr>
              <w:t>17</w:t>
            </w:r>
            <w:r>
              <w:rPr>
                <w:rFonts w:hint="eastAsia" w:ascii="仿宋_GB2312" w:hAnsi="宋体" w:eastAsia="仿宋_GB2312" w:cs="宋体"/>
                <w:kern w:val="0"/>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枪机支架</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配套</w:t>
            </w:r>
          </w:p>
        </w:tc>
        <w:tc>
          <w:tcPr>
            <w:tcW w:w="495"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个</w:t>
            </w:r>
          </w:p>
        </w:tc>
        <w:tc>
          <w:tcPr>
            <w:tcW w:w="540" w:type="pct"/>
            <w:noWrap w:val="0"/>
            <w:vAlign w:val="center"/>
          </w:tcPr>
          <w:p>
            <w:pPr>
              <w:widowControl/>
              <w:spacing w:line="240" w:lineRule="auto"/>
              <w:jc w:val="center"/>
              <w:rPr>
                <w:rFonts w:hint="eastAsia" w:ascii="仿宋_GB2312" w:hAnsi="宋体" w:eastAsia="仿宋_GB2312" w:cs="宋体"/>
                <w:kern w:val="0"/>
                <w:szCs w:val="24"/>
                <w:lang w:eastAsia="zh-CN"/>
              </w:rPr>
            </w:pPr>
            <w:r>
              <w:rPr>
                <w:rFonts w:hint="eastAsia" w:ascii="仿宋_GB2312" w:hAnsi="宋体" w:eastAsia="仿宋_GB2312" w:cs="宋体"/>
                <w:kern w:val="0"/>
                <w:szCs w:val="24"/>
              </w:rPr>
              <w:t>17</w:t>
            </w:r>
            <w:r>
              <w:rPr>
                <w:rFonts w:hint="eastAsia" w:ascii="仿宋_GB2312" w:hAnsi="宋体" w:eastAsia="仿宋_GB2312" w:cs="宋体"/>
                <w:kern w:val="0"/>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室外摄像机立杆或借杆</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定制立杆或抱杆横臂，根据景观设计要求深化，包括各种安装附件以及混凝土基础，含接地。横臂0.6m-3m</w:t>
            </w:r>
          </w:p>
        </w:tc>
        <w:tc>
          <w:tcPr>
            <w:tcW w:w="495"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只</w:t>
            </w:r>
          </w:p>
        </w:tc>
        <w:tc>
          <w:tcPr>
            <w:tcW w:w="540" w:type="pct"/>
            <w:noWrap w:val="0"/>
            <w:vAlign w:val="center"/>
          </w:tcPr>
          <w:p>
            <w:pPr>
              <w:widowControl/>
              <w:spacing w:line="240" w:lineRule="auto"/>
              <w:jc w:val="center"/>
              <w:rPr>
                <w:rFonts w:hint="eastAsia" w:ascii="仿宋_GB2312" w:hAnsi="宋体" w:eastAsia="仿宋_GB2312" w:cs="宋体"/>
                <w:kern w:val="0"/>
                <w:szCs w:val="24"/>
                <w:lang w:eastAsia="zh-CN"/>
              </w:rPr>
            </w:pPr>
            <w:r>
              <w:rPr>
                <w:rFonts w:hint="eastAsia" w:ascii="仿宋_GB2312" w:hAnsi="宋体" w:eastAsia="仿宋_GB2312" w:cs="宋体"/>
                <w:kern w:val="0"/>
                <w:szCs w:val="24"/>
              </w:rPr>
              <w:t>17</w:t>
            </w:r>
            <w:r>
              <w:rPr>
                <w:rFonts w:hint="eastAsia" w:ascii="仿宋_GB2312" w:hAnsi="宋体" w:eastAsia="仿宋_GB2312" w:cs="宋体"/>
                <w:kern w:val="0"/>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摄像机电源</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DC12V 2A</w:t>
            </w:r>
          </w:p>
        </w:tc>
        <w:tc>
          <w:tcPr>
            <w:tcW w:w="495"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只</w:t>
            </w:r>
          </w:p>
        </w:tc>
        <w:tc>
          <w:tcPr>
            <w:tcW w:w="540" w:type="pct"/>
            <w:noWrap w:val="0"/>
            <w:vAlign w:val="center"/>
          </w:tcPr>
          <w:p>
            <w:pPr>
              <w:widowControl/>
              <w:spacing w:line="240" w:lineRule="auto"/>
              <w:jc w:val="center"/>
              <w:rPr>
                <w:rFonts w:hint="eastAsia" w:ascii="仿宋_GB2312" w:hAnsi="宋体" w:eastAsia="仿宋_GB2312" w:cs="宋体"/>
                <w:kern w:val="0"/>
                <w:szCs w:val="24"/>
                <w:lang w:val="en-US" w:eastAsia="zh-CN"/>
              </w:rPr>
            </w:pPr>
            <w:r>
              <w:rPr>
                <w:rFonts w:hint="eastAsia" w:ascii="仿宋_GB2312" w:hAnsi="宋体" w:eastAsia="仿宋_GB2312" w:cs="宋体"/>
                <w:kern w:val="0"/>
                <w:szCs w:val="24"/>
              </w:rPr>
              <w:t>17</w:t>
            </w:r>
            <w:r>
              <w:rPr>
                <w:rFonts w:hint="eastAsia" w:ascii="仿宋_GB2312" w:hAnsi="宋体" w:eastAsia="仿宋_GB2312" w:cs="宋体"/>
                <w:kern w:val="0"/>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5</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监控美化箱</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材质选用不锈钢材质，防水、防潮、隔热；包括各种安装附件以及混凝土基础，含防雷接地。暂定尺寸（W*H*D）：600*800*400mm　　尺寸按箱体内安装的实际产品规格及理线槽、开关电源、断路器等设备的进行深化；防护等级≥IP66；</w:t>
            </w:r>
          </w:p>
        </w:tc>
        <w:tc>
          <w:tcPr>
            <w:tcW w:w="495"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只</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6</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违停抓拍球机</w:t>
            </w:r>
          </w:p>
        </w:tc>
        <w:tc>
          <w:tcPr>
            <w:tcW w:w="263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摄像机靶面尺寸不小于1/1.8英寸，内置GPU芯片，摄像机内置镜头，支持不小于32倍光学变倍，镜头最大焦距不小于192mm，视频输出支持2592×1520@30fps，2048×1536@30fps，分辨力不小于1600线，红外距离不小于550米。</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支持最低照度可达彩色0.0002Lux，黑白0.0001Lux。</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支持300个预置位，可按照所设置的预置位完成不小于8条巡航路径，每条巡航路径可设置不小于32个预置点。支持预置位视频冻结功能；支持优先控制功能。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支持采用H.264、MJPEG、H.265视频编码标准；支持smart265功能。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支持7路报警输入接口，2路报警输出接口，支持1路音频输入和输出接口。有2个SD卡槽，最大支持512GB的SD卡。（此项参数提供相关部门检测报告）</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支持违法停车抓拍功能，且白天和晚上违法停车捕获率、捕获有效率均大于99%。</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★设备进行违法停车检测时，镜头倍率为1倍，白天有效检测距离最大为150米，其他倍率下，白天有效检测距离最大为450米</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★当监视画面中有雾时，设备可通过客户端触发报警，并上传叠加雾浓度等级的图片。（以提供权威机构检测报告或演示视频为准）</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具备较好的电源适应性，电压在AC24V±47%或DC24V±47%范围内变化时，设备可正常工作</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具备较好的环境适应性，工作温度范围可达-45℃到70℃</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7</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壁装支架</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铝合金；白色；最大承重9.0kg；壁装；</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eastAsia" w:ascii="仿宋_GB2312" w:hAnsi="宋体" w:eastAsia="仿宋_GB2312" w:cs="宋体"/>
                <w:color w:val="000000"/>
                <w:kern w:val="0"/>
                <w:szCs w:val="24"/>
                <w:lang w:eastAsia="zh-CN"/>
              </w:rPr>
            </w:pPr>
            <w:r>
              <w:rPr>
                <w:rFonts w:hint="eastAsia" w:ascii="仿宋_GB2312" w:hAnsi="宋体" w:eastAsia="仿宋_GB2312" w:cs="宋体"/>
                <w:color w:val="000000"/>
                <w:kern w:val="0"/>
                <w:szCs w:val="24"/>
                <w:lang w:val="en-US" w:eastAsia="zh-CN"/>
              </w:rPr>
              <w:t>8</w:t>
            </w:r>
          </w:p>
        </w:tc>
        <w:tc>
          <w:tcPr>
            <w:tcW w:w="977" w:type="pct"/>
            <w:noWrap w:val="0"/>
            <w:vAlign w:val="center"/>
          </w:tcPr>
          <w:p>
            <w:pPr>
              <w:widowControl/>
              <w:spacing w:line="240" w:lineRule="auto"/>
              <w:jc w:val="left"/>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事件检测球机</w:t>
            </w:r>
          </w:p>
        </w:tc>
        <w:tc>
          <w:tcPr>
            <w:tcW w:w="263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400万像素星光级8寸红外城管球机</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设备可对非法摆摊、店外经营、占道经营、乱堆物料、非机动车乱停放、户外广告、打包垃圾、违规撑伞、垃圾箱满溢、暴露垃圾、沿街晾晒进行检测。（此项参数提供相关部门检测报告）</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进行违法停车检测时，镜头倍率为1倍，白天有效检测距离最大为150米，其他倍率下，白天有效检测距离最大为300米；设备违停取证图片类型支持远景、中景、近景、特写、自定义五种类型，抓拍时间间隔（1-1800S）可设（此项参数提供相关部门检测报告）</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★设备支持违章取证图片单张或者多张合成上传，合成图片的数量可设置</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支持车辆违停功能，违停有效检测距离300米</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图像传感器: 1/1.8＂ progressive scan CMOS</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最低照度: 彩色：0.0005Lux @ (F1.2，AGC ON)；黑白：0.0001Lux @ (F1.2，AGC ON)；0 Lux with IR</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红外照射距离: 250m</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分辨率及帧率: 主码流 : 50Hz:50fps ( 2560 × 1440); 60Hz:60fps ( 2560 × 1440)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视频压缩: H.265/H.264/MJPEG</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焦距: 6-192mm，32倍光学变倍</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Smart图像增强: 120dB超宽动态、光学透雾、强光抑制、电子防抖、Smart IR</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水平及垂直范围: 水平360°；垂直-20°-90°（自动翻转）</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水平速度: 水平键控速度：0.1°-210°/s,速度可设;水平预置点速度：280°/s</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垂直速度: 垂直键控速度：0.1°-150°/s,速度可设;垂直预置点速度：250°/s</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电源接口: AC24V±25%</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网络接口: RJ45网口，自适应10M/100M网络数据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RS485控制接口</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SD卡接口: 内置Micro SD卡插槽，支持Micro SD(即TF卡)/Micro SDHC/Micro SDXC卡（最大支持256G）</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防护等级: IP67</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只</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eastAsia" w:ascii="仿宋_GB2312" w:hAnsi="宋体" w:eastAsia="仿宋_GB2312" w:cs="宋体"/>
                <w:color w:val="000000"/>
                <w:kern w:val="0"/>
                <w:szCs w:val="24"/>
                <w:lang w:eastAsia="zh-CN"/>
              </w:rPr>
            </w:pPr>
            <w:r>
              <w:rPr>
                <w:rFonts w:hint="eastAsia" w:ascii="仿宋_GB2312" w:hAnsi="宋体" w:eastAsia="仿宋_GB2312" w:cs="宋体"/>
                <w:color w:val="000000"/>
                <w:kern w:val="0"/>
                <w:szCs w:val="24"/>
                <w:lang w:val="en-US" w:eastAsia="zh-CN"/>
              </w:rPr>
              <w:t>9</w:t>
            </w:r>
          </w:p>
        </w:tc>
        <w:tc>
          <w:tcPr>
            <w:tcW w:w="977" w:type="pct"/>
            <w:noWrap w:val="0"/>
            <w:vAlign w:val="center"/>
          </w:tcPr>
          <w:p>
            <w:pPr>
              <w:widowControl/>
              <w:spacing w:line="240" w:lineRule="auto"/>
              <w:jc w:val="left"/>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 xml:space="preserve">智能巡查应用 </w:t>
            </w:r>
          </w:p>
        </w:tc>
        <w:tc>
          <w:tcPr>
            <w:tcW w:w="263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城管智能巡查应用提供对城管智能巡查的任务进行研判分析、数据统计、趋势分析以及提供运行报告等业务功能。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一、预警研判：支持报警的城管违建事件进行查看审核，包括违规类型、报警位置、关联商铺、持续时间、处置意见等内容</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二、数据统计：支持按照违规类型、违规时间、视频点位、违规区域等多维度、多条件统计违规事件信息</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三、违规检索：支持对历史违规事件按照点位、时间、类型、审核状态、事件等级等条件进行数据检索</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四、趋势分析：支持对首次报警点位、高发点位的趋势分析，展示点位的首次违规事件、类型；展示高发点位的违规类型，趋势分布等内容</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五、运行报告：支持统计智能分析系统运行周期内的分析运行情况，报警分布情况、高发类型情况等内容</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中心分析需配合城管智能分析服务器DS-IH2002-A1U/ZF使用；前端分析可配合城管球、城管超脑、违停球等前端智能设备使用。</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只</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color w:val="000000"/>
                <w:kern w:val="0"/>
                <w:szCs w:val="24"/>
                <w:lang w:val="en-US" w:eastAsia="zh-CN"/>
              </w:rPr>
            </w:pPr>
            <w:r>
              <w:rPr>
                <w:rFonts w:hint="eastAsia" w:ascii="仿宋_GB2312" w:hAnsi="宋体" w:eastAsia="仿宋_GB2312" w:cs="宋体"/>
                <w:color w:val="000000"/>
                <w:kern w:val="0"/>
                <w:szCs w:val="24"/>
                <w:lang w:val="en-US" w:eastAsia="zh-CN"/>
              </w:rPr>
              <w:t>10</w:t>
            </w:r>
          </w:p>
        </w:tc>
        <w:tc>
          <w:tcPr>
            <w:tcW w:w="977" w:type="pct"/>
            <w:noWrap w:val="0"/>
            <w:vAlign w:val="center"/>
          </w:tcPr>
          <w:p>
            <w:pPr>
              <w:widowControl/>
              <w:spacing w:line="240" w:lineRule="auto"/>
              <w:jc w:val="left"/>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人员密度检测</w:t>
            </w:r>
          </w:p>
        </w:tc>
        <w:tc>
          <w:tcPr>
            <w:tcW w:w="263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800万 1/1.8” CMOS AI智能客流统计筒型网络摄像机</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由变焦筒机与高性能GPU模块组成，内嵌深度学习算法</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支持2种智能资源模式切换：客流量统计，人员密度检测</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★支持设置3个人员密度等级，当人员数量或区域占空比达到设定阈值时，可触发报警。</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支持人员密度检测功能，可设置最多8个多边形人员密度检测区域，并支持在OSD上叠加每个区域的人数/等级/占空比信息。（此项参数提供相关部门检测报告）</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具有低温低气压适应性，可在不高于-45℃和气压50kPa环境下正常工作。（此项参数提供相关部门检测报告）</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客流量统计: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深度学习算法结合智能跟踪算法，分析行人的行为轨迹，精确计算出客流人数及行走方向</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对计数区域分块处理，分别对进入和离开的人计数，为监控区域的人流量分析提供了数据支持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人员密度检测:</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支持人员密度统计功能，输出当前区域实时人数概况及拥堵等级</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支持联动报警，当人员密度达到设定拥堵等级时可联动产生报警警示</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设备内置高效白光阵列灯，低功耗，保证夜间正常监控</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最低照度: 彩色：0.009 Lux @（F1.2，AGC ON）  ; 黑白：0.0009 Lux @（F1.2，AGC ON）</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焦距&amp;视场角: 2.8~12 mm @F1.38，水平视场角：103.9°~40°，垂直视场角：54.5°~22.6°，对角视场角：127.2°~46°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白光距离: 最远可达40 m</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最大图像尺寸: 3840 × 2160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视频压缩标准: 主码流：H.265 /H.264</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网络存储: 支持Micro SD(即TF卡)/Micro SDHC/Micro SDXC卡（最大256 GB），断网本地存储及断网续传，NAS（NFS，SMB/CIFS均支持），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1个RS-485</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视频输出: 1 Vp-p Composite Output（75 Ω/CVBS）</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复位: 支持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 1个RJ45 10 M/100 M/1000 M自适应以太网口</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电源输出: DC12 V，200 mA，仅供拾音器供电使用</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电流及功耗: AC：24 V，1.72 A，最大功耗：30 W</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电源接口类型: 3芯接口</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防护: IP66</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只</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11</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900万卡口抓拍单元</w:t>
            </w:r>
          </w:p>
        </w:tc>
        <w:tc>
          <w:tcPr>
            <w:tcW w:w="263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车辆人脸900W，GMOS高清抓拍单元</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包含高清一体化嵌入式摄像机、高清镜头、室外防护罩、相机内置网络信号防雷器、电源适配器等</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图像传感器：采用1英寸GMOS，设备应采用深度学习芯片，支持主码流同时输出不少于30路4096×2160、2Mbps的25帧/s图像以提供客户端浏览</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最大图像尺寸：≥4096×2160像素；支持抓图叠加OSD黑边，最大分辨率可达：4096×4296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视频帧率：在1～25fps可调，支持在25%丢包率的网络环境下，正常显示监控画面，视频压缩支持H.265、H.264、M-JPEG</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支持机动车、二轮车（摩托车、自行车、电动二轮车）、三轮车和行人分类检测</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支持车前窗挂坠、年检标识、抽烟、驾驶员人脸识别、驾驶室人脸抠图、遮阳板识别等检测功能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外壳防护等级应不低于IP66</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支持车辆捕获抓拍功能，在天气晴朗无雾，号牌无遮挡、无污损，白天环境光照度不低于200lx，晚上辅助光照度不高于30lx的条件下测试，白天和晚上的捕获率均≥99%</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支持车牌识别功能，在天气晴朗无雾，号牌无遮挡、无污损，白天环境光照度不低于200lx，晚上辅助光照度不高于30lx的条件下测试，白天和晚上的识别准确率均≥99%</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支持异常车牌检测功能，可对故意遮挡及污损车牌进行判断和识别</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在天气晴朗无雾，号牌无遮挡、无污损，白天环境光照度不低于200lx，晚上辅助光照度不高于30lx的条件下测试，白天识别准确率≥99%，晚上识别准确率≥97%</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★支持车辆子品牌识别功能，通过车头可识别7100种，通过车尾可识别3800种，全天识别准确率不低于99%，支持不少于14种车身颜色识别，包括黑、白、灰、红、绿、蓝、黄、粉、紫、棕、青、金、橙、银灰。</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★支持检出两眼瞳距13像素点以上的人脸图片，宽动态能力≥120dB。</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★支持检测并跟踪指定区域内160个目标（机动车、非机动车及行人），支持车标识别功能，数据库中包含410种车标信息，白天和晚上的识别率均不低于99%。</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12</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镜头</w:t>
            </w:r>
          </w:p>
        </w:tc>
        <w:tc>
          <w:tcPr>
            <w:tcW w:w="263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高清1.1英寸F1.4 50mm定焦镜头（手动光圈）</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13</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补光灯</w:t>
            </w:r>
          </w:p>
        </w:tc>
        <w:tc>
          <w:tcPr>
            <w:tcW w:w="263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采用24颗原装进口高亮度LED芯片，寿命长，稳定性好，发光效率高</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LED频闪支持PWM跟随触发，具有频率及占空比保护功能，发光角度10°；气体爆闪具有防误触发功能，提高产品寿命。可覆盖1个车道</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采用步进电机功能，实现红外滤片的切换</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气体光源回电时间小于67ms，支持超速连拍，</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气体补光控制具有峰值抑制功能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支持LED灯频闪、白光气体爆闪，红外气体爆闪</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支持相机误触发保护功能，触发信号输入异常时自动保护、且自动恢复</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结构采用IP65设计，增加透气孔，保持内外压强均衡，可靠防水、防尘</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14</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支架</w:t>
            </w:r>
          </w:p>
        </w:tc>
        <w:tc>
          <w:tcPr>
            <w:tcW w:w="263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压铸铝材质，支持支架安装方式，支持中、重型云台及各类防护罩，支持承重20kg。</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15</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立杆+预埋件+抱杆机箱</w:t>
            </w:r>
          </w:p>
        </w:tc>
        <w:tc>
          <w:tcPr>
            <w:tcW w:w="263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Style w:val="799"/>
                <w:rFonts w:hint="eastAsia" w:ascii="仿宋" w:hAnsi="仿宋" w:eastAsia="仿宋" w:cs="仿宋"/>
                <w:sz w:val="21"/>
                <w:szCs w:val="21"/>
                <w:lang w:val="en-US" w:eastAsia="zh-CN" w:bidi="ar"/>
              </w:rPr>
              <w:t>电子警察系统设备立杆：</w:t>
            </w:r>
            <w:r>
              <w:rPr>
                <w:rStyle w:val="168"/>
                <w:rFonts w:hint="eastAsia" w:ascii="仿宋" w:hAnsi="仿宋" w:eastAsia="仿宋" w:cs="仿宋"/>
                <w:sz w:val="21"/>
                <w:szCs w:val="21"/>
                <w:lang w:val="en-US" w:eastAsia="zh-CN" w:bidi="ar"/>
              </w:rPr>
              <w:t>φ</w:t>
            </w:r>
            <w:r>
              <w:rPr>
                <w:rStyle w:val="799"/>
                <w:rFonts w:hint="eastAsia" w:ascii="仿宋" w:hAnsi="仿宋" w:eastAsia="仿宋" w:cs="仿宋"/>
                <w:sz w:val="21"/>
                <w:szCs w:val="21"/>
                <w:lang w:val="en-US" w:eastAsia="zh-CN" w:bidi="ar"/>
              </w:rPr>
              <w:t>260-220*8高6.3米，悬臂长6米，包括土方挖填运、C25砼基础、预埋件、基础接地棒制安及其它材料制安，杆件热涂锌后表面喷塑</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套</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16</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云存储节点</w:t>
            </w:r>
          </w:p>
        </w:tc>
        <w:tc>
          <w:tcPr>
            <w:tcW w:w="263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U机架式24盘位/64位多核处理器/16GB缓存/支持SATA/SAS硬盘/6个千兆网口/冗余电源/支持网络RAID，可接入2T/3T/4T/6T/8T/10TSATA磁盘，支持磁盘交错启动和漫游，并支持在线热插拔，可接入硬盘≥24块，支持SATA和SAS混插，并支持≥12级扩展柜级联扩展，支持FCSAN、IPSAN、NAS存储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最少1台存储节点即可构建云存储系统；支持2~16台存储节点组成的全对称架构部署模式，系统由管理节点和/或存储节点组成，且系统可扩容，增加管理或存储节点。在多节点系统中，任何一个存储节点出现故障，应不影响数据的正常存取，支持控制流与数据流分离，数据的存储或读取由存储节点并行读写。</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具备节点间容错功能，容忍N-1（N为设备总台数）台存储节点设备同时故障后，只要有1台以上存储节点设备正常，即可保证录像可写入，写入录像依然具备磁盘间容错能力。</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套云存储系统可对外提供多种类型数据混合存储，同时支持分布式流式存储，分布式对象存储、分布式文件存储、分布式块存储。支持云存储系统一键部署，一键部署微视云、标准云环境，一键部署包含组建集群、创建域、自动创建资源池等。（此项参数提供相关部门检测报告）</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支持按照设备可用容量实现负载均衡，各存储节点上存储的数据量在稳定状态下保持均衡，差距小于5%；支持按照接入任务数实现自动负载均衡，支持前端设备自动分配到存储节点。各节点间读写任务数差距±1。</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17</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硬盘</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4000G；7200RPM；256M；SATA</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块</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18</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电源防雷器</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耐受最大放电电流40KA</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只</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19</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网络防雷器</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耐受最大放电电流10KA</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只</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20</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自动重合闸</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自动保护，高压欠压自动关闭，电源自恢复</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只</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21</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光纤收发器</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1光1电</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对</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22</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交换机</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8口交换机</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23</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光纤熔纤</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含尾纤</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芯</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24</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光纤</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4芯单模户外光缆</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m</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25</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网线</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室外防水网线</w:t>
            </w:r>
          </w:p>
        </w:tc>
        <w:tc>
          <w:tcPr>
            <w:tcW w:w="495"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m</w:t>
            </w:r>
          </w:p>
        </w:tc>
        <w:tc>
          <w:tcPr>
            <w:tcW w:w="540"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26</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电源线</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YJV 3*2.5</w:t>
            </w:r>
          </w:p>
        </w:tc>
        <w:tc>
          <w:tcPr>
            <w:tcW w:w="495" w:type="pct"/>
            <w:noWrap w:val="0"/>
            <w:vAlign w:val="center"/>
          </w:tcPr>
          <w:p>
            <w:pPr>
              <w:widowControl/>
              <w:spacing w:line="240" w:lineRule="auto"/>
              <w:jc w:val="center"/>
              <w:rPr>
                <w:rFonts w:hint="eastAsia" w:ascii="仿宋_GB2312" w:hAnsi="宋体" w:eastAsia="仿宋_GB2312" w:cs="宋体"/>
                <w:color w:val="0D0D0D"/>
                <w:kern w:val="0"/>
                <w:szCs w:val="24"/>
              </w:rPr>
            </w:pPr>
            <w:r>
              <w:rPr>
                <w:rFonts w:hint="eastAsia" w:ascii="仿宋_GB2312" w:hAnsi="宋体" w:eastAsia="仿宋_GB2312" w:cs="宋体"/>
                <w:color w:val="0D0D0D"/>
                <w:kern w:val="0"/>
                <w:szCs w:val="24"/>
              </w:rPr>
              <w:t>m</w:t>
            </w:r>
          </w:p>
        </w:tc>
        <w:tc>
          <w:tcPr>
            <w:tcW w:w="540" w:type="pct"/>
            <w:noWrap w:val="0"/>
            <w:vAlign w:val="center"/>
          </w:tcPr>
          <w:p>
            <w:pPr>
              <w:widowControl/>
              <w:spacing w:line="240" w:lineRule="auto"/>
              <w:jc w:val="center"/>
              <w:rPr>
                <w:rFonts w:hint="eastAsia" w:ascii="仿宋_GB2312" w:hAnsi="宋体" w:eastAsia="仿宋_GB2312" w:cs="宋体"/>
                <w:color w:val="0D0D0D"/>
                <w:kern w:val="0"/>
                <w:szCs w:val="24"/>
              </w:rPr>
            </w:pPr>
            <w:r>
              <w:rPr>
                <w:rFonts w:hint="eastAsia" w:ascii="仿宋_GB2312" w:hAnsi="宋体" w:eastAsia="仿宋_GB2312" w:cs="宋体"/>
                <w:color w:val="0D0D0D"/>
                <w:kern w:val="0"/>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27</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管道</w:t>
            </w:r>
          </w:p>
        </w:tc>
        <w:tc>
          <w:tcPr>
            <w:tcW w:w="263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PE50管</w:t>
            </w:r>
          </w:p>
        </w:tc>
        <w:tc>
          <w:tcPr>
            <w:tcW w:w="495" w:type="pct"/>
            <w:noWrap w:val="0"/>
            <w:vAlign w:val="center"/>
          </w:tcPr>
          <w:p>
            <w:pPr>
              <w:widowControl/>
              <w:spacing w:line="240" w:lineRule="auto"/>
              <w:jc w:val="center"/>
              <w:rPr>
                <w:rFonts w:hint="eastAsia" w:ascii="仿宋_GB2312" w:hAnsi="宋体" w:eastAsia="仿宋_GB2312" w:cs="宋体"/>
                <w:color w:val="0D0D0D"/>
                <w:kern w:val="0"/>
                <w:szCs w:val="24"/>
              </w:rPr>
            </w:pPr>
            <w:r>
              <w:rPr>
                <w:rFonts w:hint="eastAsia" w:ascii="仿宋_GB2312" w:hAnsi="宋体" w:eastAsia="仿宋_GB2312" w:cs="宋体"/>
                <w:color w:val="0D0D0D"/>
                <w:kern w:val="0"/>
                <w:szCs w:val="24"/>
              </w:rPr>
              <w:t>m</w:t>
            </w:r>
          </w:p>
        </w:tc>
        <w:tc>
          <w:tcPr>
            <w:tcW w:w="540" w:type="pct"/>
            <w:noWrap w:val="0"/>
            <w:vAlign w:val="center"/>
          </w:tcPr>
          <w:p>
            <w:pPr>
              <w:widowControl/>
              <w:spacing w:line="240" w:lineRule="auto"/>
              <w:jc w:val="center"/>
              <w:rPr>
                <w:rFonts w:hint="eastAsia" w:ascii="仿宋_GB2312" w:hAnsi="宋体" w:eastAsia="仿宋_GB2312" w:cs="宋体"/>
                <w:color w:val="0D0D0D"/>
                <w:kern w:val="0"/>
                <w:szCs w:val="24"/>
              </w:rPr>
            </w:pPr>
            <w:r>
              <w:rPr>
                <w:rFonts w:hint="eastAsia" w:ascii="仿宋_GB2312" w:hAnsi="宋体" w:eastAsia="仿宋_GB2312" w:cs="宋体"/>
                <w:color w:val="0D0D0D"/>
                <w:kern w:val="0"/>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28</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土方开挖</w:t>
            </w:r>
          </w:p>
        </w:tc>
        <w:tc>
          <w:tcPr>
            <w:tcW w:w="4873" w:type="dxa"/>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lang w:val="en-US" w:eastAsia="zh-CN"/>
              </w:rPr>
              <w:t>施工中涉及到的土方开挖</w:t>
            </w:r>
          </w:p>
        </w:tc>
        <w:tc>
          <w:tcPr>
            <w:tcW w:w="495" w:type="pct"/>
            <w:noWrap w:val="0"/>
            <w:vAlign w:val="center"/>
          </w:tcPr>
          <w:p>
            <w:pPr>
              <w:widowControl/>
              <w:spacing w:line="240" w:lineRule="auto"/>
              <w:jc w:val="center"/>
              <w:rPr>
                <w:rFonts w:hint="eastAsia" w:ascii="仿宋_GB2312" w:hAnsi="宋体" w:eastAsia="仿宋_GB2312" w:cs="宋体"/>
                <w:color w:val="0D0D0D"/>
                <w:kern w:val="0"/>
                <w:szCs w:val="24"/>
              </w:rPr>
            </w:pPr>
            <w:r>
              <w:rPr>
                <w:rFonts w:hint="eastAsia" w:ascii="仿宋_GB2312" w:hAnsi="宋体" w:eastAsia="仿宋_GB2312" w:cs="宋体"/>
                <w:color w:val="0D0D0D"/>
                <w:kern w:val="0"/>
                <w:szCs w:val="24"/>
              </w:rPr>
              <w:t>立方米</w:t>
            </w:r>
          </w:p>
        </w:tc>
        <w:tc>
          <w:tcPr>
            <w:tcW w:w="540" w:type="pct"/>
            <w:noWrap w:val="0"/>
            <w:vAlign w:val="center"/>
          </w:tcPr>
          <w:p>
            <w:pPr>
              <w:widowControl/>
              <w:spacing w:line="240" w:lineRule="auto"/>
              <w:jc w:val="center"/>
              <w:rPr>
                <w:rFonts w:hint="eastAsia" w:ascii="仿宋_GB2312" w:hAnsi="宋体" w:eastAsia="仿宋_GB2312" w:cs="宋体"/>
                <w:color w:val="0D0D0D"/>
                <w:kern w:val="0"/>
                <w:szCs w:val="24"/>
              </w:rPr>
            </w:pPr>
            <w:r>
              <w:rPr>
                <w:rFonts w:hint="eastAsia" w:ascii="仿宋_GB2312" w:hAnsi="宋体" w:eastAsia="仿宋_GB2312" w:cs="宋体"/>
                <w:color w:val="0D0D0D"/>
                <w:kern w:val="0"/>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8" w:type="pct"/>
            <w:noWrap w:val="0"/>
            <w:vAlign w:val="center"/>
          </w:tcPr>
          <w:p>
            <w:pPr>
              <w:widowControl/>
              <w:spacing w:line="240" w:lineRule="auto"/>
              <w:jc w:val="center"/>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29</w:t>
            </w:r>
          </w:p>
        </w:tc>
        <w:tc>
          <w:tcPr>
            <w:tcW w:w="97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土方回填</w:t>
            </w:r>
          </w:p>
        </w:tc>
        <w:tc>
          <w:tcPr>
            <w:tcW w:w="4873" w:type="dxa"/>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lang w:val="en-US" w:eastAsia="zh-CN"/>
              </w:rPr>
              <w:t>施工中涉及到的土方回填</w:t>
            </w:r>
          </w:p>
        </w:tc>
        <w:tc>
          <w:tcPr>
            <w:tcW w:w="495" w:type="pct"/>
            <w:noWrap w:val="0"/>
            <w:vAlign w:val="center"/>
          </w:tcPr>
          <w:p>
            <w:pPr>
              <w:widowControl/>
              <w:spacing w:line="240" w:lineRule="auto"/>
              <w:jc w:val="center"/>
              <w:rPr>
                <w:rFonts w:hint="eastAsia" w:ascii="仿宋_GB2312" w:hAnsi="宋体" w:eastAsia="仿宋_GB2312" w:cs="宋体"/>
                <w:color w:val="0D0D0D"/>
                <w:kern w:val="0"/>
                <w:szCs w:val="24"/>
              </w:rPr>
            </w:pPr>
            <w:r>
              <w:rPr>
                <w:rFonts w:hint="eastAsia" w:ascii="仿宋_GB2312" w:hAnsi="宋体" w:eastAsia="仿宋_GB2312" w:cs="宋体"/>
                <w:color w:val="0D0D0D"/>
                <w:kern w:val="0"/>
                <w:szCs w:val="24"/>
              </w:rPr>
              <w:t>立方米</w:t>
            </w:r>
          </w:p>
        </w:tc>
        <w:tc>
          <w:tcPr>
            <w:tcW w:w="540" w:type="pct"/>
            <w:noWrap w:val="0"/>
            <w:vAlign w:val="center"/>
          </w:tcPr>
          <w:p>
            <w:pPr>
              <w:widowControl/>
              <w:spacing w:line="240" w:lineRule="auto"/>
              <w:jc w:val="center"/>
              <w:rPr>
                <w:rFonts w:hint="eastAsia" w:ascii="仿宋_GB2312" w:hAnsi="宋体" w:eastAsia="仿宋_GB2312" w:cs="宋体"/>
                <w:color w:val="0D0D0D"/>
                <w:kern w:val="0"/>
                <w:szCs w:val="24"/>
              </w:rPr>
            </w:pPr>
            <w:r>
              <w:rPr>
                <w:rFonts w:hint="eastAsia" w:ascii="仿宋_GB2312" w:hAnsi="宋体" w:eastAsia="仿宋_GB2312" w:cs="宋体"/>
                <w:color w:val="0D0D0D"/>
                <w:kern w:val="0"/>
                <w:szCs w:val="24"/>
              </w:rPr>
              <w:t>2000</w:t>
            </w:r>
          </w:p>
        </w:tc>
      </w:tr>
    </w:tbl>
    <w:p>
      <w:pPr>
        <w:pStyle w:val="2"/>
        <w:rPr>
          <w:rFonts w:hint="eastAsia"/>
          <w:lang w:val="en-US" w:eastAsia="zh-CN"/>
        </w:rPr>
      </w:pPr>
    </w:p>
    <w:p>
      <w:pPr>
        <w:pStyle w:val="3"/>
        <w:numPr>
          <w:ilvl w:val="0"/>
          <w:numId w:val="9"/>
        </w:numPr>
        <w:bidi w:val="0"/>
        <w:rPr>
          <w:rFonts w:hint="eastAsia"/>
        </w:rPr>
      </w:pPr>
      <w:r>
        <w:rPr>
          <w:rFonts w:hint="eastAsia"/>
        </w:rPr>
        <w:t>电子围栏系统</w:t>
      </w:r>
    </w:p>
    <w:tbl>
      <w:tblPr>
        <w:tblStyle w:val="62"/>
        <w:tblW w:w="54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64"/>
        <w:gridCol w:w="5310"/>
        <w:gridCol w:w="99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shd w:val="clear" w:color="auto" w:fill="auto"/>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rPr>
              <w:t>序号</w:t>
            </w:r>
          </w:p>
        </w:tc>
        <w:tc>
          <w:tcPr>
            <w:tcW w:w="976" w:type="pct"/>
            <w:shd w:val="clear" w:color="auto" w:fill="auto"/>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lang w:val="en-US" w:eastAsia="zh-CN"/>
              </w:rPr>
              <w:t>设备</w:t>
            </w:r>
            <w:r>
              <w:rPr>
                <w:rFonts w:hint="eastAsia" w:ascii="仿宋_GB2312" w:hAnsi="宋体" w:eastAsia="仿宋_GB2312" w:cs="宋体"/>
                <w:b/>
                <w:bCs/>
                <w:color w:val="0D0D0D"/>
                <w:kern w:val="0"/>
                <w:szCs w:val="24"/>
              </w:rPr>
              <w:t>名称</w:t>
            </w:r>
          </w:p>
        </w:tc>
        <w:tc>
          <w:tcPr>
            <w:tcW w:w="2638" w:type="pct"/>
            <w:shd w:val="clear" w:color="000000" w:fill="FFFFFF"/>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lang w:val="en-US" w:eastAsia="zh-CN"/>
              </w:rPr>
              <w:t>技术</w:t>
            </w:r>
            <w:r>
              <w:rPr>
                <w:rFonts w:hint="eastAsia" w:ascii="仿宋_GB2312" w:hAnsi="宋体" w:eastAsia="仿宋_GB2312" w:cs="宋体"/>
                <w:b/>
                <w:bCs/>
                <w:color w:val="0D0D0D"/>
                <w:kern w:val="0"/>
                <w:szCs w:val="24"/>
              </w:rPr>
              <w:t>参数</w:t>
            </w:r>
          </w:p>
        </w:tc>
        <w:tc>
          <w:tcPr>
            <w:tcW w:w="494" w:type="pct"/>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lang w:val="en-US" w:eastAsia="zh-CN"/>
              </w:rPr>
              <w:t>单</w:t>
            </w:r>
            <w:r>
              <w:rPr>
                <w:rFonts w:hint="eastAsia" w:ascii="仿宋_GB2312" w:hAnsi="宋体" w:eastAsia="仿宋_GB2312" w:cs="宋体"/>
                <w:b/>
                <w:bCs/>
                <w:color w:val="0D0D0D"/>
                <w:kern w:val="0"/>
                <w:szCs w:val="24"/>
              </w:rPr>
              <w:t>位</w:t>
            </w:r>
          </w:p>
        </w:tc>
        <w:tc>
          <w:tcPr>
            <w:tcW w:w="540" w:type="pct"/>
            <w:noWrap w:val="0"/>
            <w:vAlign w:val="center"/>
          </w:tcPr>
          <w:p>
            <w:pPr>
              <w:widowControl/>
              <w:spacing w:line="240" w:lineRule="auto"/>
              <w:jc w:val="center"/>
              <w:rPr>
                <w:rFonts w:hint="eastAsia" w:ascii="仿宋_GB2312" w:hAnsi="宋体" w:eastAsia="仿宋_GB2312" w:cs="宋体"/>
                <w:b/>
                <w:bCs/>
                <w:color w:val="0D0D0D"/>
                <w:kern w:val="0"/>
                <w:szCs w:val="24"/>
                <w:lang w:eastAsia="zh-CN"/>
              </w:rPr>
            </w:pPr>
            <w:r>
              <w:rPr>
                <w:rFonts w:hint="eastAsia" w:ascii="仿宋_GB2312" w:hAnsi="宋体" w:eastAsia="仿宋_GB2312" w:cs="宋体"/>
                <w:b/>
                <w:bCs/>
                <w:color w:val="0D0D0D"/>
                <w:kern w:val="0"/>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26" w:type="pct"/>
            <w:gridSpan w:val="2"/>
            <w:noWrap/>
            <w:vAlign w:val="center"/>
          </w:tcPr>
          <w:p>
            <w:pPr>
              <w:widowControl/>
              <w:spacing w:line="240" w:lineRule="auto"/>
              <w:jc w:val="left"/>
              <w:rPr>
                <w:rFonts w:hint="eastAsia" w:ascii="仿宋_GB2312" w:hAnsi="宋体" w:eastAsia="仿宋_GB2312" w:cs="宋体"/>
                <w:b/>
                <w:bCs/>
                <w:kern w:val="0"/>
                <w:szCs w:val="24"/>
              </w:rPr>
            </w:pPr>
            <w:r>
              <w:rPr>
                <w:rFonts w:hint="eastAsia" w:ascii="仿宋_GB2312" w:hAnsi="宋体" w:eastAsia="仿宋_GB2312" w:cs="宋体"/>
                <w:b/>
                <w:bCs/>
                <w:kern w:val="0"/>
                <w:szCs w:val="24"/>
              </w:rPr>
              <w:t>前端设备</w:t>
            </w:r>
          </w:p>
        </w:tc>
        <w:tc>
          <w:tcPr>
            <w:tcW w:w="2638" w:type="pct"/>
            <w:noWrap/>
            <w:vAlign w:val="center"/>
          </w:tcPr>
          <w:p>
            <w:pPr>
              <w:widowControl/>
              <w:spacing w:line="240" w:lineRule="auto"/>
              <w:jc w:val="left"/>
              <w:rPr>
                <w:rFonts w:hint="eastAsia" w:ascii="仿宋_GB2312" w:hAnsi="宋体" w:eastAsia="仿宋_GB2312" w:cs="宋体"/>
                <w:b/>
                <w:bCs/>
                <w:kern w:val="0"/>
                <w:szCs w:val="24"/>
              </w:rPr>
            </w:pPr>
            <w:r>
              <w:rPr>
                <w:rFonts w:hint="eastAsia" w:ascii="仿宋_GB2312" w:hAnsi="宋体" w:eastAsia="仿宋_GB2312" w:cs="宋体"/>
                <w:b/>
                <w:bCs/>
                <w:kern w:val="0"/>
                <w:szCs w:val="24"/>
              </w:rPr>
              <w:t>　</w:t>
            </w:r>
          </w:p>
        </w:tc>
        <w:tc>
          <w:tcPr>
            <w:tcW w:w="494" w:type="pct"/>
            <w:noWrap/>
            <w:vAlign w:val="center"/>
          </w:tcPr>
          <w:p>
            <w:pPr>
              <w:widowControl/>
              <w:spacing w:line="240" w:lineRule="auto"/>
              <w:jc w:val="center"/>
              <w:rPr>
                <w:rFonts w:hint="eastAsia" w:ascii="仿宋_GB2312" w:hAnsi="宋体" w:eastAsia="仿宋_GB2312" w:cs="宋体"/>
                <w:b/>
                <w:bCs/>
                <w:kern w:val="0"/>
                <w:szCs w:val="24"/>
              </w:rPr>
            </w:pPr>
            <w:r>
              <w:rPr>
                <w:rFonts w:hint="eastAsia" w:ascii="仿宋_GB2312" w:hAnsi="宋体" w:eastAsia="仿宋_GB2312" w:cs="宋体"/>
                <w:b/>
                <w:bCs/>
                <w:kern w:val="0"/>
                <w:szCs w:val="24"/>
              </w:rPr>
              <w:t>　</w:t>
            </w:r>
          </w:p>
        </w:tc>
        <w:tc>
          <w:tcPr>
            <w:tcW w:w="540" w:type="pct"/>
            <w:noWrap/>
            <w:vAlign w:val="center"/>
          </w:tcPr>
          <w:p>
            <w:pPr>
              <w:widowControl/>
              <w:spacing w:line="240" w:lineRule="auto"/>
              <w:jc w:val="left"/>
              <w:rPr>
                <w:rFonts w:hint="eastAsia" w:ascii="仿宋_GB2312" w:hAnsi="宋体" w:eastAsia="仿宋_GB2312" w:cs="宋体"/>
                <w:b/>
                <w:bCs/>
                <w:kern w:val="0"/>
                <w:szCs w:val="24"/>
              </w:rPr>
            </w:pPr>
            <w:r>
              <w:rPr>
                <w:rFonts w:hint="eastAsia" w:ascii="仿宋_GB2312" w:hAnsi="宋体" w:eastAsia="仿宋_GB2312" w:cs="宋体"/>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shd w:val="clear" w:color="auto" w:fill="auto"/>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c>
          <w:tcPr>
            <w:tcW w:w="976" w:type="pct"/>
            <w:shd w:val="clear" w:color="auto" w:fill="auto"/>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双防区四线制脉冲电子围栏主机</w:t>
            </w:r>
          </w:p>
        </w:tc>
        <w:tc>
          <w:tcPr>
            <w:tcW w:w="2638" w:type="pct"/>
            <w:shd w:val="clear" w:color="auto" w:fill="auto"/>
            <w:noWrap w:val="0"/>
            <w:vAlign w:val="center"/>
          </w:tcPr>
          <w:p>
            <w:pPr>
              <w:widowControl/>
              <w:spacing w:line="240" w:lineRule="auto"/>
              <w:jc w:val="left"/>
              <w:rPr>
                <w:rFonts w:hint="eastAsia" w:ascii="仿宋_GB2312" w:hAnsi="宋体" w:eastAsia="仿宋_GB2312" w:cs="宋体"/>
                <w:kern w:val="0"/>
                <w:szCs w:val="24"/>
                <w:lang w:eastAsia="zh-CN"/>
              </w:rPr>
            </w:pPr>
            <w:r>
              <w:rPr>
                <w:rFonts w:hint="eastAsia" w:ascii="仿宋_GB2312" w:hAnsi="宋体" w:eastAsia="仿宋_GB2312" w:cs="宋体"/>
                <w:kern w:val="0"/>
                <w:szCs w:val="24"/>
              </w:rPr>
              <w:t>高压模式脉冲峰值：5000—10000v</w:t>
            </w:r>
          </w:p>
          <w:p>
            <w:pPr>
              <w:widowControl/>
              <w:spacing w:line="240" w:lineRule="auto"/>
              <w:jc w:val="left"/>
              <w:rPr>
                <w:rFonts w:hint="eastAsia" w:ascii="仿宋_GB2312" w:hAnsi="宋体" w:eastAsia="仿宋_GB2312" w:cs="宋体"/>
                <w:kern w:val="0"/>
                <w:szCs w:val="24"/>
                <w:lang w:eastAsia="zh-CN"/>
              </w:rPr>
            </w:pPr>
            <w:r>
              <w:rPr>
                <w:rFonts w:hint="eastAsia" w:ascii="仿宋_GB2312" w:hAnsi="宋体" w:eastAsia="仿宋_GB2312" w:cs="宋体"/>
                <w:kern w:val="0"/>
                <w:szCs w:val="24"/>
              </w:rPr>
              <w:t>低压模式脉冲峰值：500—1000v</w:t>
            </w:r>
          </w:p>
          <w:p>
            <w:pPr>
              <w:widowControl/>
              <w:spacing w:line="240" w:lineRule="auto"/>
              <w:jc w:val="left"/>
              <w:rPr>
                <w:rFonts w:hint="eastAsia" w:ascii="仿宋_GB2312" w:hAnsi="宋体" w:eastAsia="仿宋_GB2312" w:cs="宋体"/>
                <w:kern w:val="0"/>
                <w:szCs w:val="24"/>
                <w:lang w:eastAsia="zh-CN"/>
              </w:rPr>
            </w:pPr>
            <w:r>
              <w:rPr>
                <w:rFonts w:hint="eastAsia" w:ascii="仿宋_GB2312" w:hAnsi="宋体" w:eastAsia="仿宋_GB2312" w:cs="宋体"/>
                <w:kern w:val="0"/>
                <w:szCs w:val="24"/>
              </w:rPr>
              <w:t>脉冲周期：1s—1.5s</w:t>
            </w:r>
          </w:p>
          <w:p>
            <w:pPr>
              <w:widowControl/>
              <w:spacing w:line="240" w:lineRule="auto"/>
              <w:jc w:val="left"/>
              <w:rPr>
                <w:rFonts w:hint="eastAsia" w:ascii="仿宋_GB2312" w:hAnsi="宋体" w:eastAsia="仿宋_GB2312" w:cs="宋体"/>
                <w:kern w:val="0"/>
                <w:szCs w:val="24"/>
                <w:lang w:eastAsia="zh-CN"/>
              </w:rPr>
            </w:pPr>
            <w:r>
              <w:rPr>
                <w:rFonts w:hint="eastAsia" w:ascii="仿宋_GB2312" w:hAnsi="宋体" w:eastAsia="仿宋_GB2312" w:cs="宋体"/>
                <w:kern w:val="0"/>
                <w:szCs w:val="24"/>
              </w:rPr>
              <w:t>脉冲持续时间：≤0.1s</w:t>
            </w:r>
          </w:p>
          <w:p>
            <w:pPr>
              <w:widowControl/>
              <w:spacing w:line="240" w:lineRule="auto"/>
              <w:jc w:val="left"/>
              <w:rPr>
                <w:rFonts w:hint="eastAsia" w:ascii="仿宋_GB2312" w:hAnsi="宋体" w:eastAsia="仿宋_GB2312" w:cs="宋体"/>
                <w:kern w:val="0"/>
                <w:szCs w:val="24"/>
                <w:lang w:eastAsia="zh-CN"/>
              </w:rPr>
            </w:pPr>
            <w:r>
              <w:rPr>
                <w:rFonts w:hint="eastAsia" w:ascii="仿宋_GB2312" w:hAnsi="宋体" w:eastAsia="仿宋_GB2312" w:cs="宋体"/>
                <w:kern w:val="0"/>
                <w:szCs w:val="24"/>
              </w:rPr>
              <w:t>供电电源：AC220V,±15%,50Hz AC24V, ±15%,≥30W</w:t>
            </w:r>
          </w:p>
          <w:p>
            <w:pPr>
              <w:widowControl/>
              <w:spacing w:line="240" w:lineRule="auto"/>
              <w:jc w:val="left"/>
              <w:rPr>
                <w:rFonts w:hint="eastAsia" w:ascii="仿宋_GB2312" w:hAnsi="宋体" w:eastAsia="仿宋_GB2312" w:cs="宋体"/>
                <w:kern w:val="0"/>
                <w:szCs w:val="24"/>
                <w:lang w:eastAsia="zh-CN"/>
              </w:rPr>
            </w:pPr>
            <w:r>
              <w:rPr>
                <w:rFonts w:hint="eastAsia" w:ascii="仿宋_GB2312" w:hAnsi="宋体" w:eastAsia="仿宋_GB2312" w:cs="宋体"/>
                <w:kern w:val="0"/>
                <w:szCs w:val="24"/>
              </w:rPr>
              <w:t>蓄电池备用电源：DC12V，≥7AH</w:t>
            </w:r>
          </w:p>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防护等级：IP44（配套防雨箱）</w:t>
            </w:r>
          </w:p>
        </w:tc>
        <w:tc>
          <w:tcPr>
            <w:tcW w:w="494" w:type="pct"/>
            <w:shd w:val="clear" w:color="auto" w:fill="auto"/>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40" w:type="pct"/>
            <w:shd w:val="clear" w:color="000000" w:fill="FFFFFF"/>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防雨箱</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SUS201不锈钢材质，600*400*180mm、壁厚0.6mm，三角锁、无安装孔、无导轨、无防拆开关</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避雷器</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化学防雷；防静电；易于维护；保护无线通讯信号不受脉冲高压干扰。</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铝制4线终端杆</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长820mm，外径33mm，铝合金材质表面本色阳极氧化</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根</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5</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复合型绝缘子（黑）</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黑色工程塑料，耐腐蚀、抗氧化，配套M4*10自攻螺丝</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6</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万向底座(承立杆)</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铝压铸、多角度调节，螺丝孔间距40mm，安装不分左右</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7</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铝制4线承力杆</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长820mm，外径28mm，铝合金材质表面本色阳极氧化</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根</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8</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承力杆绝缘子（新）</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黑色工程塑料，耐腐蚀、抗氧化，配套M4*10自攻螺丝</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9</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承力杆帽子</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黑色PVC橡胶材质、有弹性，耐腐蚀、抗氧化</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10</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万向底座(承立杆)</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铝压铸、多角度调节，螺丝孔间距40mm，安装不分左右</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11</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4线常规PV过线杆</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长820mm，直径10mm，玻璃纤维材质，灰色</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根</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12</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基础型PV杆绝缘子</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黑色工程塑料，耐腐蚀、抗氧化，配套M4*10自攻螺丝</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13</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万向底座（PV杆）</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铝压铸、多角度调节，螺丝孔间距40mm</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14</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线线连接器</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铝合金材质，固定防区末端的合金线。</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15</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常规警示牌（新）</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黄色，双面为夜光显示，尺寸100*200mm，平均按10米左右安装一块。</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块</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16</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20#多股合金线400米/盘</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Calibri" w:eastAsia="仿宋_GB2312" w:cs="Calibri"/>
                <w:kern w:val="0"/>
                <w:szCs w:val="24"/>
              </w:rPr>
              <w:t>Φ</w:t>
            </w:r>
            <w:r>
              <w:rPr>
                <w:rFonts w:hint="eastAsia" w:ascii="仿宋_GB2312" w:hAnsi="宋体" w:eastAsia="仿宋_GB2312" w:cs="宋体"/>
                <w:kern w:val="0"/>
                <w:szCs w:val="24"/>
              </w:rPr>
              <w:t>2.0mm电子围栏专业合金线，抗氧化，耐腐蚀，耐高压，每百米电阻小于2.5欧姆。</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米</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17</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高压绝缘导线</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脉冲电子围栏专业高压绝缘导线，黑色，绝缘层耐受30KV电压</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米</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18</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警灯（室外）</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DC12V 1W，室外安装，报警时发出声光报警信号威慑入侵者</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19</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双防区警灯支架（通用）</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用于安装两个室外警灯</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20</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电源</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DC12V 1A</w:t>
            </w:r>
          </w:p>
        </w:tc>
        <w:tc>
          <w:tcPr>
            <w:tcW w:w="49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26" w:type="pct"/>
            <w:gridSpan w:val="2"/>
            <w:noWrap/>
            <w:vAlign w:val="center"/>
          </w:tcPr>
          <w:p>
            <w:pPr>
              <w:widowControl/>
              <w:spacing w:line="240" w:lineRule="auto"/>
              <w:jc w:val="left"/>
              <w:rPr>
                <w:rFonts w:hint="eastAsia" w:ascii="仿宋_GB2312" w:hAnsi="宋体" w:eastAsia="仿宋_GB2312" w:cs="宋体"/>
                <w:b/>
                <w:bCs/>
                <w:kern w:val="0"/>
                <w:szCs w:val="24"/>
              </w:rPr>
            </w:pPr>
            <w:r>
              <w:rPr>
                <w:rFonts w:hint="eastAsia" w:ascii="仿宋_GB2312" w:hAnsi="宋体" w:eastAsia="仿宋_GB2312" w:cs="宋体"/>
                <w:b/>
                <w:bCs/>
                <w:kern w:val="0"/>
                <w:szCs w:val="24"/>
              </w:rPr>
              <w:t>控制中心</w:t>
            </w:r>
          </w:p>
        </w:tc>
        <w:tc>
          <w:tcPr>
            <w:tcW w:w="2638" w:type="pct"/>
            <w:noWrap/>
            <w:vAlign w:val="center"/>
          </w:tcPr>
          <w:p>
            <w:pPr>
              <w:widowControl/>
              <w:spacing w:line="240" w:lineRule="auto"/>
              <w:jc w:val="left"/>
              <w:rPr>
                <w:rFonts w:hint="eastAsia" w:ascii="仿宋_GB2312" w:hAnsi="宋体" w:eastAsia="仿宋_GB2312" w:cs="宋体"/>
                <w:b/>
                <w:bCs/>
                <w:kern w:val="0"/>
                <w:szCs w:val="24"/>
              </w:rPr>
            </w:pPr>
            <w:r>
              <w:rPr>
                <w:rFonts w:hint="eastAsia" w:ascii="仿宋_GB2312" w:hAnsi="宋体" w:eastAsia="仿宋_GB2312" w:cs="宋体"/>
                <w:b/>
                <w:bCs/>
                <w:kern w:val="0"/>
                <w:szCs w:val="24"/>
              </w:rPr>
              <w:t>　</w:t>
            </w:r>
          </w:p>
        </w:tc>
        <w:tc>
          <w:tcPr>
            <w:tcW w:w="494" w:type="pct"/>
            <w:noWrap/>
            <w:vAlign w:val="center"/>
          </w:tcPr>
          <w:p>
            <w:pPr>
              <w:widowControl/>
              <w:spacing w:line="240" w:lineRule="auto"/>
              <w:jc w:val="center"/>
              <w:rPr>
                <w:rFonts w:hint="eastAsia" w:ascii="仿宋_GB2312" w:hAnsi="宋体" w:eastAsia="仿宋_GB2312" w:cs="宋体"/>
                <w:b/>
                <w:bCs/>
                <w:kern w:val="0"/>
                <w:szCs w:val="24"/>
              </w:rPr>
            </w:pPr>
            <w:r>
              <w:rPr>
                <w:rFonts w:hint="eastAsia" w:ascii="仿宋_GB2312" w:hAnsi="宋体" w:eastAsia="仿宋_GB2312" w:cs="宋体"/>
                <w:b/>
                <w:bCs/>
                <w:kern w:val="0"/>
                <w:szCs w:val="24"/>
              </w:rPr>
              <w:t>　</w:t>
            </w:r>
          </w:p>
        </w:tc>
        <w:tc>
          <w:tcPr>
            <w:tcW w:w="540" w:type="pct"/>
            <w:noWrap/>
            <w:vAlign w:val="center"/>
          </w:tcPr>
          <w:p>
            <w:pPr>
              <w:widowControl/>
              <w:spacing w:line="240" w:lineRule="auto"/>
              <w:jc w:val="left"/>
              <w:rPr>
                <w:rFonts w:hint="eastAsia" w:ascii="仿宋_GB2312" w:hAnsi="宋体" w:eastAsia="仿宋_GB2312" w:cs="宋体"/>
                <w:b/>
                <w:bCs/>
                <w:kern w:val="0"/>
                <w:szCs w:val="24"/>
              </w:rPr>
            </w:pPr>
            <w:r>
              <w:rPr>
                <w:rFonts w:hint="eastAsia" w:ascii="仿宋_GB2312" w:hAnsi="宋体" w:eastAsia="仿宋_GB2312" w:cs="宋体"/>
                <w:b/>
                <w:bCs/>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21</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智能控制终端</w:t>
            </w:r>
          </w:p>
        </w:tc>
        <w:tc>
          <w:tcPr>
            <w:tcW w:w="2638" w:type="pct"/>
            <w:noWrap w:val="0"/>
            <w:vAlign w:val="center"/>
          </w:tcPr>
          <w:p>
            <w:pPr>
              <w:widowControl/>
              <w:spacing w:line="240" w:lineRule="auto"/>
              <w:jc w:val="left"/>
              <w:rPr>
                <w:rFonts w:hint="eastAsia" w:ascii="仿宋_GB2312" w:hAnsi="宋体" w:eastAsia="仿宋_GB2312" w:cs="宋体"/>
                <w:kern w:val="0"/>
                <w:szCs w:val="24"/>
                <w:lang w:eastAsia="zh-CN"/>
              </w:rPr>
            </w:pPr>
            <w:r>
              <w:rPr>
                <w:rFonts w:hint="eastAsia" w:ascii="仿宋_GB2312" w:hAnsi="宋体" w:eastAsia="仿宋_GB2312" w:cs="宋体"/>
                <w:kern w:val="0"/>
                <w:szCs w:val="24"/>
              </w:rPr>
              <w:t>4.3英尺TFT彩屏显示；</w:t>
            </w:r>
          </w:p>
          <w:p>
            <w:pPr>
              <w:widowControl/>
              <w:spacing w:line="240" w:lineRule="auto"/>
              <w:jc w:val="left"/>
              <w:rPr>
                <w:rFonts w:hint="eastAsia" w:ascii="仿宋_GB2312" w:hAnsi="宋体" w:eastAsia="仿宋_GB2312" w:cs="宋体"/>
                <w:kern w:val="0"/>
                <w:szCs w:val="24"/>
                <w:lang w:eastAsia="zh-CN"/>
              </w:rPr>
            </w:pPr>
            <w:r>
              <w:rPr>
                <w:rFonts w:hint="eastAsia" w:ascii="仿宋_GB2312" w:hAnsi="宋体" w:eastAsia="仿宋_GB2312" w:cs="宋体"/>
                <w:kern w:val="0"/>
                <w:szCs w:val="24"/>
              </w:rPr>
              <w:t>可以通过RS485总线或TCP/IP远程操作防区布防与撤防；</w:t>
            </w:r>
          </w:p>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可以查看防区电压，通讯状态与围栏状态，可以单或多个防区查看；带有TCP/IP接口。供电电源：AC24V ±20% 或 DC12V ±20%。</w:t>
            </w:r>
          </w:p>
        </w:tc>
        <w:tc>
          <w:tcPr>
            <w:tcW w:w="494"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22</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电子地图（LED模拟板已安装电子地图联动模块）</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灯带，内置AM003-16电子地图联动模块，标准定制尺寸1</w:t>
            </w:r>
            <w:r>
              <w:rPr>
                <w:rFonts w:hint="eastAsia" w:ascii="仿宋_GB2312" w:hAnsi="宋体" w:cs="宋体"/>
                <w:kern w:val="0"/>
                <w:szCs w:val="24"/>
              </w:rPr>
              <w:t>㎡</w:t>
            </w:r>
            <w:r>
              <w:rPr>
                <w:rFonts w:hint="eastAsia" w:ascii="仿宋_GB2312" w:hAnsi="宋体" w:eastAsia="仿宋_GB2312" w:cs="宋体"/>
                <w:kern w:val="0"/>
                <w:szCs w:val="24"/>
              </w:rPr>
              <w:t>，其他尺寸请购时说明，配广拓自有产品使用。</w:t>
            </w:r>
          </w:p>
        </w:tc>
        <w:tc>
          <w:tcPr>
            <w:tcW w:w="494"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块</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23</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报警综合管理软件</w:t>
            </w:r>
          </w:p>
        </w:tc>
        <w:tc>
          <w:tcPr>
            <w:tcW w:w="2638" w:type="pct"/>
            <w:noWrap w:val="0"/>
            <w:vAlign w:val="center"/>
          </w:tcPr>
          <w:p>
            <w:pPr>
              <w:widowControl/>
              <w:spacing w:line="240" w:lineRule="auto"/>
              <w:jc w:val="left"/>
              <w:rPr>
                <w:rFonts w:hint="eastAsia" w:ascii="仿宋_GB2312" w:hAnsi="宋体" w:eastAsia="仿宋_GB2312" w:cs="宋体"/>
                <w:kern w:val="0"/>
                <w:szCs w:val="24"/>
                <w:lang w:val="en-US" w:eastAsia="zh-CN"/>
              </w:rPr>
            </w:pPr>
            <w:r>
              <w:rPr>
                <w:rFonts w:hint="eastAsia" w:ascii="仿宋_GB2312" w:hAnsi="宋体" w:eastAsia="仿宋_GB2312" w:cs="宋体"/>
                <w:kern w:val="0"/>
                <w:szCs w:val="24"/>
              </w:rPr>
              <w:t>　</w:t>
            </w:r>
            <w:r>
              <w:rPr>
                <w:rFonts w:hint="eastAsia" w:ascii="仿宋_GB2312" w:hAnsi="宋体" w:eastAsia="仿宋_GB2312" w:cs="宋体"/>
                <w:kern w:val="0"/>
                <w:szCs w:val="24"/>
                <w:lang w:val="en-US" w:eastAsia="zh-CN"/>
              </w:rPr>
              <w:t>配套</w:t>
            </w:r>
          </w:p>
        </w:tc>
        <w:tc>
          <w:tcPr>
            <w:tcW w:w="494"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套</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24</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警灯（室内）</w:t>
            </w:r>
          </w:p>
        </w:tc>
        <w:tc>
          <w:tcPr>
            <w:tcW w:w="263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DC12V 1W，室内安装，报警时发出声光报警信号</w:t>
            </w:r>
          </w:p>
        </w:tc>
        <w:tc>
          <w:tcPr>
            <w:tcW w:w="494"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25</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电源</w:t>
            </w:r>
          </w:p>
        </w:tc>
        <w:tc>
          <w:tcPr>
            <w:tcW w:w="2638" w:type="pct"/>
            <w:noWrap/>
            <w:vAlign w:val="center"/>
          </w:tcPr>
          <w:p>
            <w:pPr>
              <w:widowControl/>
              <w:spacing w:line="240" w:lineRule="auto"/>
              <w:jc w:val="left"/>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按照现场施工要求提供</w:t>
            </w:r>
          </w:p>
        </w:tc>
        <w:tc>
          <w:tcPr>
            <w:tcW w:w="494"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26</w:t>
            </w:r>
          </w:p>
        </w:tc>
        <w:tc>
          <w:tcPr>
            <w:tcW w:w="976"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辅材</w:t>
            </w:r>
          </w:p>
        </w:tc>
        <w:tc>
          <w:tcPr>
            <w:tcW w:w="2638" w:type="pct"/>
            <w:noWrap/>
            <w:vAlign w:val="center"/>
          </w:tcPr>
          <w:p>
            <w:pPr>
              <w:widowControl/>
              <w:spacing w:line="240" w:lineRule="auto"/>
              <w:jc w:val="left"/>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设计安装的相关材料</w:t>
            </w:r>
          </w:p>
        </w:tc>
        <w:tc>
          <w:tcPr>
            <w:tcW w:w="494"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秕</w:t>
            </w:r>
          </w:p>
        </w:tc>
        <w:tc>
          <w:tcPr>
            <w:tcW w:w="540"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bl>
    <w:p>
      <w:pPr>
        <w:numPr>
          <w:ilvl w:val="0"/>
          <w:numId w:val="0"/>
        </w:numPr>
        <w:ind w:leftChars="0"/>
        <w:rPr>
          <w:rFonts w:hint="default"/>
          <w:lang w:val="en-US" w:eastAsia="zh-CN"/>
        </w:rPr>
      </w:pPr>
    </w:p>
    <w:p>
      <w:pPr>
        <w:pStyle w:val="3"/>
        <w:numPr>
          <w:ilvl w:val="0"/>
          <w:numId w:val="9"/>
        </w:numPr>
        <w:bidi w:val="0"/>
        <w:ind w:left="0" w:leftChars="0" w:firstLine="0" w:firstLineChars="0"/>
        <w:rPr>
          <w:rFonts w:hint="eastAsia"/>
        </w:rPr>
      </w:pPr>
      <w:r>
        <w:rPr>
          <w:rFonts w:hint="eastAsia"/>
        </w:rPr>
        <w:t>森林防火</w:t>
      </w:r>
    </w:p>
    <w:tbl>
      <w:tblPr>
        <w:tblStyle w:val="62"/>
        <w:tblW w:w="54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949"/>
        <w:gridCol w:w="5342"/>
        <w:gridCol w:w="97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shd w:val="clear" w:color="auto" w:fill="auto"/>
            <w:noWrap w:val="0"/>
            <w:vAlign w:val="center"/>
          </w:tcPr>
          <w:p>
            <w:pPr>
              <w:widowControl/>
              <w:spacing w:line="240" w:lineRule="auto"/>
              <w:jc w:val="center"/>
              <w:rPr>
                <w:rFonts w:hint="eastAsia" w:ascii="仿宋_GB2312" w:hAnsi="宋体" w:eastAsia="仿宋_GB2312" w:cs="宋体"/>
                <w:b/>
                <w:bCs/>
                <w:kern w:val="0"/>
                <w:szCs w:val="24"/>
              </w:rPr>
            </w:pPr>
            <w:r>
              <w:rPr>
                <w:rFonts w:hint="eastAsia" w:ascii="仿宋_GB2312" w:hAnsi="宋体" w:eastAsia="仿宋_GB2312" w:cs="宋体"/>
                <w:b/>
                <w:bCs/>
                <w:kern w:val="0"/>
                <w:szCs w:val="24"/>
              </w:rPr>
              <w:t>序号</w:t>
            </w:r>
          </w:p>
        </w:tc>
        <w:tc>
          <w:tcPr>
            <w:tcW w:w="970" w:type="pct"/>
            <w:shd w:val="clear" w:color="auto" w:fill="auto"/>
            <w:noWrap w:val="0"/>
            <w:vAlign w:val="center"/>
          </w:tcPr>
          <w:p>
            <w:pPr>
              <w:widowControl/>
              <w:spacing w:line="240" w:lineRule="auto"/>
              <w:jc w:val="center"/>
              <w:rPr>
                <w:rFonts w:hint="eastAsia" w:ascii="仿宋_GB2312" w:hAnsi="宋体" w:eastAsia="仿宋_GB2312" w:cs="宋体"/>
                <w:b/>
                <w:bCs/>
                <w:kern w:val="0"/>
                <w:szCs w:val="24"/>
              </w:rPr>
            </w:pPr>
            <w:r>
              <w:rPr>
                <w:rFonts w:hint="eastAsia" w:ascii="仿宋_GB2312" w:hAnsi="宋体" w:eastAsia="仿宋_GB2312" w:cs="宋体"/>
                <w:b/>
                <w:bCs/>
                <w:kern w:val="0"/>
                <w:szCs w:val="24"/>
                <w:lang w:val="en-US" w:eastAsia="zh-CN"/>
              </w:rPr>
              <w:t>设备</w:t>
            </w:r>
            <w:r>
              <w:rPr>
                <w:rFonts w:hint="eastAsia" w:ascii="仿宋_GB2312" w:hAnsi="宋体" w:eastAsia="仿宋_GB2312" w:cs="宋体"/>
                <w:b/>
                <w:bCs/>
                <w:kern w:val="0"/>
                <w:szCs w:val="24"/>
              </w:rPr>
              <w:t>名称</w:t>
            </w:r>
          </w:p>
        </w:tc>
        <w:tc>
          <w:tcPr>
            <w:tcW w:w="2658" w:type="pct"/>
            <w:shd w:val="clear" w:color="000000" w:fill="FFFFFF"/>
            <w:noWrap w:val="0"/>
            <w:vAlign w:val="center"/>
          </w:tcPr>
          <w:p>
            <w:pPr>
              <w:widowControl/>
              <w:spacing w:line="240" w:lineRule="auto"/>
              <w:jc w:val="center"/>
              <w:rPr>
                <w:rFonts w:hint="eastAsia" w:ascii="仿宋_GB2312" w:hAnsi="宋体" w:eastAsia="仿宋_GB2312" w:cs="宋体"/>
                <w:b/>
                <w:bCs/>
                <w:kern w:val="0"/>
                <w:szCs w:val="24"/>
              </w:rPr>
            </w:pPr>
            <w:r>
              <w:rPr>
                <w:rFonts w:hint="eastAsia" w:ascii="仿宋_GB2312" w:hAnsi="宋体" w:eastAsia="仿宋_GB2312" w:cs="宋体"/>
                <w:b/>
                <w:bCs/>
                <w:kern w:val="0"/>
                <w:szCs w:val="24"/>
                <w:lang w:val="en-US" w:eastAsia="zh-CN"/>
              </w:rPr>
              <w:t>技术</w:t>
            </w:r>
            <w:r>
              <w:rPr>
                <w:rFonts w:hint="eastAsia" w:ascii="仿宋_GB2312" w:hAnsi="宋体" w:eastAsia="仿宋_GB2312" w:cs="宋体"/>
                <w:b/>
                <w:bCs/>
                <w:kern w:val="0"/>
                <w:szCs w:val="24"/>
              </w:rPr>
              <w:t>参数</w:t>
            </w:r>
          </w:p>
        </w:tc>
        <w:tc>
          <w:tcPr>
            <w:tcW w:w="487" w:type="pct"/>
            <w:noWrap w:val="0"/>
            <w:vAlign w:val="center"/>
          </w:tcPr>
          <w:p>
            <w:pPr>
              <w:widowControl/>
              <w:spacing w:line="240" w:lineRule="auto"/>
              <w:jc w:val="center"/>
              <w:rPr>
                <w:rFonts w:hint="eastAsia" w:ascii="仿宋_GB2312" w:hAnsi="宋体" w:eastAsia="仿宋_GB2312" w:cs="宋体"/>
                <w:b/>
                <w:bCs/>
                <w:kern w:val="0"/>
                <w:szCs w:val="24"/>
              </w:rPr>
            </w:pPr>
            <w:r>
              <w:rPr>
                <w:rFonts w:hint="eastAsia" w:ascii="仿宋_GB2312" w:hAnsi="宋体" w:eastAsia="仿宋_GB2312" w:cs="宋体"/>
                <w:b/>
                <w:bCs/>
                <w:kern w:val="0"/>
                <w:szCs w:val="24"/>
              </w:rPr>
              <w:t>单位</w:t>
            </w:r>
          </w:p>
        </w:tc>
        <w:tc>
          <w:tcPr>
            <w:tcW w:w="526" w:type="pct"/>
            <w:noWrap w:val="0"/>
            <w:vAlign w:val="center"/>
          </w:tcPr>
          <w:p>
            <w:pPr>
              <w:widowControl/>
              <w:spacing w:line="240" w:lineRule="auto"/>
              <w:jc w:val="center"/>
              <w:rPr>
                <w:rFonts w:hint="eastAsia" w:ascii="仿宋_GB2312" w:hAnsi="宋体" w:eastAsia="仿宋_GB2312" w:cs="宋体"/>
                <w:b/>
                <w:bCs/>
                <w:kern w:val="0"/>
                <w:szCs w:val="24"/>
                <w:lang w:eastAsia="zh-CN"/>
              </w:rPr>
            </w:pPr>
            <w:r>
              <w:rPr>
                <w:rFonts w:hint="eastAsia" w:ascii="仿宋_GB2312" w:hAnsi="宋体" w:eastAsia="仿宋_GB2312" w:cs="宋体"/>
                <w:b/>
                <w:bCs/>
                <w:kern w:val="0"/>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热成像双光谱低功耗云台</w:t>
            </w:r>
          </w:p>
        </w:tc>
        <w:tc>
          <w:tcPr>
            <w:tcW w:w="2658" w:type="pct"/>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热成像双光谱网络中载摄像机，焦距（镜头）：25mm，视场角：24.6°x19.8°，人员最远报警距离（以1.8米*0.5米为准）:250m，车辆最远报警距离（以4米*1.4米为准）:750m，船只最远报警距离（以10米*5米为准）:750m，火点最远探测距离（以2米*2米为准）:1500m，烟雾最远探测距离（以5米*5米为准）:4km，可见光镜头：6-240 mm，支持800米激光补光，水平方向360°连续旋转，垂直方向-90°～40°，电源：AC 24 V&amp;amp; DC 36 V&amp;amp; DC 48 V，功率：工作功耗≤70 W，最大功耗≤130 W，工作温度和湿度：-40℃-65℃，湿度小于90%，防护等级：IP66。</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★当可见光视频图像调整焦距，至可探测距离样机1000m处移动物体（1.7m×0.5m）并进行巡航操作时，样机巡航1周所用时间应≤2min；</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设备对监控区域超温报警漏报率应≤1‰，在48h内，设备对监控区域超温报警误报次数应≤1次 。（此项参数提供相关部门检测报告）</w:t>
            </w:r>
          </w:p>
          <w:p>
            <w:pPr>
              <w:keepNext w:val="0"/>
              <w:keepLines w:val="0"/>
              <w:widowControl/>
              <w:suppressLineNumbers w:val="0"/>
              <w:jc w:val="left"/>
              <w:textAlignment w:val="top"/>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设备内置GPU芯片；最小可分辨温差（MRTD）≤ 200mK；噪声等效温差(NETD)在8mk及以下。（此项参数提供相关部门检测报告）</w:t>
            </w:r>
          </w:p>
        </w:tc>
        <w:tc>
          <w:tcPr>
            <w:tcW w:w="487"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台</w:t>
            </w:r>
          </w:p>
        </w:tc>
        <w:tc>
          <w:tcPr>
            <w:tcW w:w="52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水位标尺</w:t>
            </w:r>
          </w:p>
        </w:tc>
        <w:tc>
          <w:tcPr>
            <w:tcW w:w="2658" w:type="pct"/>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双面不锈钢1米水尺</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颜色:白底黑字+黄底黑字（双面）</w:t>
            </w:r>
          </w:p>
          <w:p>
            <w:pPr>
              <w:keepNext w:val="0"/>
              <w:keepLines w:val="0"/>
              <w:widowControl/>
              <w:suppressLineNumbers w:val="0"/>
              <w:jc w:val="left"/>
              <w:textAlignment w:val="top"/>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材质:SUS 304</w:t>
            </w:r>
          </w:p>
        </w:tc>
        <w:tc>
          <w:tcPr>
            <w:tcW w:w="487"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台</w:t>
            </w:r>
          </w:p>
        </w:tc>
        <w:tc>
          <w:tcPr>
            <w:tcW w:w="526" w:type="pct"/>
            <w:noWrap w:val="0"/>
            <w:vAlign w:val="center"/>
          </w:tcPr>
          <w:p>
            <w:pPr>
              <w:widowControl/>
              <w:spacing w:line="240" w:lineRule="auto"/>
              <w:jc w:val="center"/>
              <w:rPr>
                <w:rFonts w:hint="eastAsia" w:ascii="仿宋_GB2312" w:hAnsi="宋体" w:eastAsia="仿宋_GB2312" w:cs="宋体"/>
                <w:kern w:val="0"/>
                <w:szCs w:val="24"/>
                <w:lang w:eastAsia="zh-CN"/>
              </w:rPr>
            </w:pPr>
            <w:r>
              <w:rPr>
                <w:rFonts w:hint="eastAsia" w:ascii="仿宋_GB2312" w:hAnsi="宋体" w:eastAsia="仿宋_GB2312" w:cs="宋体"/>
                <w:kern w:val="0"/>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标尺监控摄像机</w:t>
            </w:r>
          </w:p>
        </w:tc>
        <w:tc>
          <w:tcPr>
            <w:tcW w:w="2658" w:type="pct"/>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400万8寸黑光水位识别球，传感器类型: 1/1.8＂progressive scan CMOS，双sensor架构；最低照度: 彩色：0.0004 Lux @（F1.6，AGC ON），黑白：0.0001 Lux @（F1.6，AGC ON），0 Lux with IR ，宽动态: 数字宽动态，焦距: 5.9~206.5 mm </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内置水尺读取智能算法，自动读取标准水位尺，获得水位数据；水尺测量距离≤100 m，测量落差0~40 m，分辨力1 cm，检测精度±2 cm</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利用球形摄像机自动转动巡航的特性，支持矮桩式水尺自动水位识别，支持最多20个场景</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实时水位雨量数据上报符合《SL 651-2014 水文监测数据通信规约》的要求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实时水位雨量数据可直接叠加在视频画面上，查看更直观</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混合补光红外，照射距离250 m</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主码流帧率分辨率: 50 Hz：25 fps（2560 × 1440）; 60 Hz：30 fps（2560 × 1440）</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视频压缩标准: H.265，H.264，MJPEG；RJ45网口，自适应10 M/100 M网络数据</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光纤接口: 采用FC接口，内置光纤模块（100 M网络数据、波长TX1310/RX1550 nm、单纤单模、20 km传输距离） </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可对距离样机100米处水尺目标（长1m，宽8cm）进行识别，对识别并录像后的文件进行查看，水尺刻度数字目标应不小于25像素x25像素（此项参数提供相关部门检测报告）</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★在水面平稳，无波浪情况下，对距离摄像机12m处水尺水位进行测试，水位值检测误差不大于1cm；</w:t>
            </w:r>
          </w:p>
          <w:p>
            <w:pPr>
              <w:keepNext w:val="0"/>
              <w:keepLines w:val="0"/>
              <w:widowControl/>
              <w:suppressLineNumbers w:val="0"/>
              <w:jc w:val="left"/>
              <w:textAlignment w:val="top"/>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可通过IE或客户端显示摄像机读取的水尺水位高度信息，水位高度显示精度可为0.001m，可将水位信息上传至设定的服务器，上传时间间隔可设置（此项参数提供相关部门检测报告）</w:t>
            </w:r>
          </w:p>
        </w:tc>
        <w:tc>
          <w:tcPr>
            <w:tcW w:w="487"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台</w:t>
            </w:r>
          </w:p>
        </w:tc>
        <w:tc>
          <w:tcPr>
            <w:tcW w:w="526" w:type="pct"/>
            <w:noWrap w:val="0"/>
            <w:vAlign w:val="center"/>
          </w:tcPr>
          <w:p>
            <w:pPr>
              <w:widowControl/>
              <w:spacing w:line="240" w:lineRule="auto"/>
              <w:jc w:val="center"/>
              <w:rPr>
                <w:rFonts w:hint="eastAsia" w:ascii="仿宋_GB2312" w:hAnsi="宋体" w:eastAsia="仿宋_GB2312" w:cs="宋体"/>
                <w:kern w:val="0"/>
                <w:szCs w:val="24"/>
                <w:lang w:eastAsia="zh-CN"/>
              </w:rPr>
            </w:pPr>
            <w:r>
              <w:rPr>
                <w:rFonts w:hint="eastAsia" w:ascii="仿宋_GB2312" w:hAnsi="宋体" w:eastAsia="仿宋_GB2312" w:cs="宋体"/>
                <w:kern w:val="0"/>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4</w:t>
            </w:r>
          </w:p>
        </w:tc>
        <w:tc>
          <w:tcPr>
            <w:tcW w:w="970" w:type="pct"/>
            <w:noWrap w:val="0"/>
            <w:vAlign w:val="center"/>
          </w:tcPr>
          <w:p>
            <w:pPr>
              <w:widowControl/>
              <w:spacing w:line="240" w:lineRule="auto"/>
              <w:jc w:val="left"/>
              <w:rPr>
                <w:rFonts w:hint="eastAsia" w:ascii="仿宋_GB2312" w:hAnsi="宋体" w:eastAsia="仿宋_GB2312" w:cs="宋体"/>
                <w:color w:val="000000"/>
                <w:kern w:val="0"/>
                <w:szCs w:val="24"/>
              </w:rPr>
            </w:pPr>
            <w:r>
              <w:rPr>
                <w:rFonts w:hint="eastAsia" w:ascii="仿宋_GB2312" w:hAnsi="宋体" w:eastAsia="仿宋_GB2312" w:cs="宋体"/>
                <w:color w:val="000000"/>
                <w:kern w:val="0"/>
                <w:szCs w:val="24"/>
              </w:rPr>
              <w:t>水质监测传感器</w:t>
            </w:r>
          </w:p>
        </w:tc>
        <w:tc>
          <w:tcPr>
            <w:tcW w:w="2658" w:type="pct"/>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水质监测传感器</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PH量程及精度 0～14PH    ±0.1PH</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溶解氧量程及精度 0～20mg/L    ±0.3mg/L</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温度范围 0-80℃</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温度补偿 自动补偿</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响应时间 ≤30秒</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传输协议 Modbus RTU</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输出信号 RS485信号输出</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波特率  9600（默认），可自定义，但不建议</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校准  命令方式（软件校准）</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工作电压 12V</w:t>
            </w:r>
          </w:p>
          <w:p>
            <w:pPr>
              <w:keepNext w:val="0"/>
              <w:keepLines w:val="0"/>
              <w:widowControl/>
              <w:suppressLineNumbers w:val="0"/>
              <w:jc w:val="left"/>
              <w:textAlignment w:val="top"/>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电缆长度 标配3米</w:t>
            </w:r>
          </w:p>
        </w:tc>
        <w:tc>
          <w:tcPr>
            <w:tcW w:w="487"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台</w:t>
            </w:r>
          </w:p>
        </w:tc>
        <w:tc>
          <w:tcPr>
            <w:tcW w:w="526" w:type="pct"/>
            <w:noWrap w:val="0"/>
            <w:vAlign w:val="center"/>
          </w:tcPr>
          <w:p>
            <w:pPr>
              <w:widowControl/>
              <w:spacing w:line="240" w:lineRule="auto"/>
              <w:jc w:val="center"/>
              <w:rPr>
                <w:rFonts w:hint="eastAsia" w:ascii="仿宋_GB2312" w:hAnsi="宋体" w:eastAsia="仿宋_GB2312" w:cs="宋体"/>
                <w:kern w:val="0"/>
                <w:szCs w:val="24"/>
                <w:lang w:eastAsia="zh-CN"/>
              </w:rPr>
            </w:pPr>
            <w:r>
              <w:rPr>
                <w:rFonts w:hint="eastAsia" w:ascii="仿宋_GB2312" w:hAnsi="宋体" w:eastAsia="仿宋_GB2312" w:cs="宋体"/>
                <w:kern w:val="0"/>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监控立杆+预埋件+机箱</w:t>
            </w:r>
          </w:p>
        </w:tc>
        <w:tc>
          <w:tcPr>
            <w:tcW w:w="2658" w:type="pct"/>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监控立杆：高4.5米挑0.5米；抱杆机箱：箱体尺寸为深200mm*宽300mm*高400mm</w:t>
            </w:r>
          </w:p>
        </w:tc>
        <w:tc>
          <w:tcPr>
            <w:tcW w:w="487"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套</w:t>
            </w:r>
          </w:p>
        </w:tc>
        <w:tc>
          <w:tcPr>
            <w:tcW w:w="526" w:type="pct"/>
            <w:noWrap w:val="0"/>
            <w:vAlign w:val="center"/>
          </w:tcPr>
          <w:p>
            <w:pPr>
              <w:widowControl/>
              <w:spacing w:line="240" w:lineRule="auto"/>
              <w:jc w:val="center"/>
              <w:rPr>
                <w:rFonts w:hint="eastAsia" w:ascii="仿宋_GB2312" w:hAnsi="宋体" w:eastAsia="仿宋_GB2312" w:cs="宋体"/>
                <w:kern w:val="0"/>
                <w:szCs w:val="24"/>
                <w:lang w:eastAsia="zh-CN"/>
              </w:rPr>
            </w:pPr>
            <w:r>
              <w:rPr>
                <w:rFonts w:hint="eastAsia" w:ascii="仿宋_GB2312" w:hAnsi="宋体" w:eastAsia="仿宋_GB2312" w:cs="宋体"/>
                <w:kern w:val="0"/>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5</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NB-IOT 感烟火灾探测报警器</w:t>
            </w:r>
          </w:p>
        </w:tc>
        <w:tc>
          <w:tcPr>
            <w:tcW w:w="2658" w:type="pct"/>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独立式光电感烟火灾探测报警器（NB-IoT）</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产品认证：CCCF强制认证</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通讯模块：NB-Iot通讯</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工作原理：光电式</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工作电压：DC3.0V（锂电池）</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工作电流：静态电流≤13μA，报警电流≤150mA</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报警方式：声光报警</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报警音量：≥85dB@3m（A计权）</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报警分类：火灾报警、低压报警、故障报警、防拆报警</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其他功能：自检按键，手动/自动复位，本地/远程消音、信号查询</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保护面积：30~60平方米，符合国标《GB 50116-2013》</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电池寿命：3年（根据实际使用情况而定）</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使用环境：温度：-10℃～55℃， 相对湿度：≤95% （无凝露）</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安装方式：螺钉固定/背胶固定</w:t>
            </w:r>
          </w:p>
          <w:p>
            <w:pPr>
              <w:keepNext w:val="0"/>
              <w:keepLines w:val="0"/>
              <w:widowControl/>
              <w:suppressLineNumbers w:val="0"/>
              <w:jc w:val="left"/>
              <w:textAlignment w:val="top"/>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执行标准：GB20517-2006</w:t>
            </w:r>
          </w:p>
        </w:tc>
        <w:tc>
          <w:tcPr>
            <w:tcW w:w="487"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6</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自动重合闸</w:t>
            </w:r>
          </w:p>
        </w:tc>
        <w:tc>
          <w:tcPr>
            <w:tcW w:w="265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自动保护，高压欠压自动关闭，电源自恢复</w:t>
            </w:r>
          </w:p>
        </w:tc>
        <w:tc>
          <w:tcPr>
            <w:tcW w:w="487"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只</w:t>
            </w:r>
          </w:p>
        </w:tc>
        <w:tc>
          <w:tcPr>
            <w:tcW w:w="52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7</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交换机</w:t>
            </w:r>
          </w:p>
        </w:tc>
        <w:tc>
          <w:tcPr>
            <w:tcW w:w="265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8口交换机</w:t>
            </w:r>
          </w:p>
        </w:tc>
        <w:tc>
          <w:tcPr>
            <w:tcW w:w="487"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2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8</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光纤熔纤</w:t>
            </w:r>
          </w:p>
        </w:tc>
        <w:tc>
          <w:tcPr>
            <w:tcW w:w="265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含尾纤</w:t>
            </w:r>
          </w:p>
        </w:tc>
        <w:tc>
          <w:tcPr>
            <w:tcW w:w="487"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芯</w:t>
            </w:r>
          </w:p>
        </w:tc>
        <w:tc>
          <w:tcPr>
            <w:tcW w:w="52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9</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网线</w:t>
            </w:r>
          </w:p>
        </w:tc>
        <w:tc>
          <w:tcPr>
            <w:tcW w:w="265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室外防水网线</w:t>
            </w:r>
          </w:p>
        </w:tc>
        <w:tc>
          <w:tcPr>
            <w:tcW w:w="487"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m</w:t>
            </w:r>
          </w:p>
        </w:tc>
        <w:tc>
          <w:tcPr>
            <w:tcW w:w="52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10</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电源线</w:t>
            </w:r>
          </w:p>
        </w:tc>
        <w:tc>
          <w:tcPr>
            <w:tcW w:w="265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YJV 3*2.5</w:t>
            </w:r>
          </w:p>
        </w:tc>
        <w:tc>
          <w:tcPr>
            <w:tcW w:w="487"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m</w:t>
            </w:r>
          </w:p>
        </w:tc>
        <w:tc>
          <w:tcPr>
            <w:tcW w:w="52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11</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管道</w:t>
            </w:r>
          </w:p>
        </w:tc>
        <w:tc>
          <w:tcPr>
            <w:tcW w:w="2658"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PE50管</w:t>
            </w:r>
          </w:p>
        </w:tc>
        <w:tc>
          <w:tcPr>
            <w:tcW w:w="487"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m</w:t>
            </w:r>
          </w:p>
        </w:tc>
        <w:tc>
          <w:tcPr>
            <w:tcW w:w="52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12</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土方开挖</w:t>
            </w:r>
          </w:p>
        </w:tc>
        <w:tc>
          <w:tcPr>
            <w:tcW w:w="2658" w:type="pct"/>
            <w:noWrap w:val="0"/>
            <w:vAlign w:val="center"/>
          </w:tcPr>
          <w:p>
            <w:pPr>
              <w:widowControl/>
              <w:spacing w:line="240" w:lineRule="auto"/>
              <w:jc w:val="left"/>
              <w:rPr>
                <w:rFonts w:hint="default" w:ascii="仿宋_GB2312" w:hAnsi="宋体" w:eastAsia="仿宋_GB2312" w:cs="宋体"/>
                <w:kern w:val="0"/>
                <w:szCs w:val="24"/>
                <w:lang w:val="en-US" w:eastAsia="zh-CN"/>
              </w:rPr>
            </w:pPr>
            <w:r>
              <w:rPr>
                <w:rFonts w:hint="eastAsia" w:ascii="仿宋_GB2312" w:hAnsi="宋体" w:eastAsia="仿宋_GB2312" w:cs="宋体"/>
                <w:kern w:val="0"/>
                <w:szCs w:val="24"/>
                <w:lang w:val="en-US" w:eastAsia="zh-CN"/>
              </w:rPr>
              <w:t>施工中涉及到的土方开挖</w:t>
            </w:r>
          </w:p>
        </w:tc>
        <w:tc>
          <w:tcPr>
            <w:tcW w:w="487"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立方米</w:t>
            </w:r>
          </w:p>
        </w:tc>
        <w:tc>
          <w:tcPr>
            <w:tcW w:w="52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5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13</w:t>
            </w:r>
          </w:p>
        </w:tc>
        <w:tc>
          <w:tcPr>
            <w:tcW w:w="97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土方回填</w:t>
            </w:r>
          </w:p>
        </w:tc>
        <w:tc>
          <w:tcPr>
            <w:tcW w:w="2658" w:type="pct"/>
            <w:noWrap w:val="0"/>
            <w:vAlign w:val="center"/>
          </w:tcPr>
          <w:p>
            <w:pPr>
              <w:widowControl/>
              <w:spacing w:line="240" w:lineRule="auto"/>
              <w:jc w:val="left"/>
              <w:rPr>
                <w:rFonts w:hint="default" w:ascii="仿宋_GB2312" w:hAnsi="宋体" w:eastAsia="仿宋_GB2312" w:cs="宋体"/>
                <w:kern w:val="0"/>
                <w:szCs w:val="24"/>
                <w:lang w:val="en-US"/>
              </w:rPr>
            </w:pPr>
            <w:r>
              <w:rPr>
                <w:rFonts w:hint="eastAsia" w:ascii="仿宋_GB2312" w:hAnsi="宋体" w:eastAsia="仿宋_GB2312" w:cs="宋体"/>
                <w:kern w:val="0"/>
                <w:szCs w:val="24"/>
                <w:lang w:val="en-US" w:eastAsia="zh-CN"/>
              </w:rPr>
              <w:t>施工中涉及到的土方回填</w:t>
            </w:r>
          </w:p>
        </w:tc>
        <w:tc>
          <w:tcPr>
            <w:tcW w:w="487"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立方米</w:t>
            </w:r>
          </w:p>
        </w:tc>
        <w:tc>
          <w:tcPr>
            <w:tcW w:w="526"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30</w:t>
            </w:r>
          </w:p>
        </w:tc>
      </w:tr>
    </w:tbl>
    <w:p>
      <w:pPr>
        <w:numPr>
          <w:ilvl w:val="0"/>
          <w:numId w:val="0"/>
        </w:numPr>
        <w:ind w:leftChars="0"/>
        <w:rPr>
          <w:rFonts w:hint="default"/>
          <w:lang w:val="en-US" w:eastAsia="zh-CN"/>
        </w:rPr>
      </w:pPr>
    </w:p>
    <w:p>
      <w:pPr>
        <w:pStyle w:val="3"/>
        <w:numPr>
          <w:ilvl w:val="0"/>
          <w:numId w:val="9"/>
        </w:numPr>
        <w:bidi w:val="0"/>
        <w:ind w:left="0" w:leftChars="0" w:firstLine="0" w:firstLineChars="0"/>
        <w:rPr>
          <w:rFonts w:hint="eastAsia"/>
        </w:rPr>
      </w:pPr>
      <w:r>
        <w:rPr>
          <w:rFonts w:hint="eastAsia"/>
        </w:rPr>
        <w:t>停车系统</w:t>
      </w:r>
    </w:p>
    <w:tbl>
      <w:tblPr>
        <w:tblStyle w:val="62"/>
        <w:tblW w:w="54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932"/>
        <w:gridCol w:w="5354"/>
        <w:gridCol w:w="979"/>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67" w:type="pct"/>
            <w:shd w:val="clear" w:color="auto" w:fill="auto"/>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rPr>
              <w:t>序号</w:t>
            </w:r>
          </w:p>
        </w:tc>
        <w:tc>
          <w:tcPr>
            <w:tcW w:w="963" w:type="pct"/>
            <w:shd w:val="clear" w:color="auto" w:fill="auto"/>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lang w:val="en-US" w:eastAsia="zh-CN"/>
              </w:rPr>
              <w:t>设备</w:t>
            </w:r>
            <w:r>
              <w:rPr>
                <w:rFonts w:hint="eastAsia" w:ascii="仿宋_GB2312" w:hAnsi="宋体" w:eastAsia="仿宋_GB2312" w:cs="宋体"/>
                <w:b/>
                <w:bCs/>
                <w:color w:val="0D0D0D"/>
                <w:kern w:val="0"/>
                <w:szCs w:val="24"/>
              </w:rPr>
              <w:t>名称</w:t>
            </w:r>
          </w:p>
        </w:tc>
        <w:tc>
          <w:tcPr>
            <w:tcW w:w="2668" w:type="pct"/>
            <w:shd w:val="clear" w:color="000000" w:fill="FFFFFF"/>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lang w:val="en-US" w:eastAsia="zh-CN"/>
              </w:rPr>
              <w:t>技术</w:t>
            </w:r>
            <w:r>
              <w:rPr>
                <w:rFonts w:hint="eastAsia" w:ascii="仿宋_GB2312" w:hAnsi="宋体" w:eastAsia="仿宋_GB2312" w:cs="宋体"/>
                <w:b/>
                <w:bCs/>
                <w:color w:val="0D0D0D"/>
                <w:kern w:val="0"/>
                <w:szCs w:val="24"/>
              </w:rPr>
              <w:t>参数</w:t>
            </w:r>
          </w:p>
        </w:tc>
        <w:tc>
          <w:tcPr>
            <w:tcW w:w="488" w:type="pct"/>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rPr>
              <w:t>单位</w:t>
            </w:r>
          </w:p>
        </w:tc>
        <w:tc>
          <w:tcPr>
            <w:tcW w:w="512" w:type="pct"/>
            <w:noWrap w:val="0"/>
            <w:vAlign w:val="center"/>
          </w:tcPr>
          <w:p>
            <w:pPr>
              <w:widowControl/>
              <w:spacing w:line="240" w:lineRule="auto"/>
              <w:jc w:val="center"/>
              <w:rPr>
                <w:rFonts w:hint="eastAsia" w:ascii="仿宋_GB2312" w:hAnsi="宋体" w:eastAsia="仿宋_GB2312" w:cs="宋体"/>
                <w:b/>
                <w:bCs/>
                <w:color w:val="0D0D0D"/>
                <w:kern w:val="0"/>
                <w:szCs w:val="24"/>
                <w:lang w:eastAsia="zh-CN"/>
              </w:rPr>
            </w:pPr>
            <w:r>
              <w:rPr>
                <w:rFonts w:hint="eastAsia" w:ascii="仿宋_GB2312" w:hAnsi="宋体" w:eastAsia="仿宋_GB2312" w:cs="宋体"/>
                <w:b/>
                <w:bCs/>
                <w:color w:val="0D0D0D"/>
                <w:kern w:val="0"/>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67" w:type="pct"/>
            <w:shd w:val="clear" w:color="000000" w:fill="FFFFFF"/>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c>
          <w:tcPr>
            <w:tcW w:w="963" w:type="pct"/>
            <w:shd w:val="clear" w:color="000000" w:fill="FFFFFF"/>
            <w:noWrap w:val="0"/>
            <w:vAlign w:val="center"/>
          </w:tcPr>
          <w:p>
            <w:pPr>
              <w:widowControl/>
              <w:spacing w:line="240" w:lineRule="auto"/>
              <w:jc w:val="left"/>
              <w:rPr>
                <w:rFonts w:hint="eastAsia" w:ascii="仿宋" w:hAnsi="仿宋" w:eastAsia="仿宋" w:cs="仿宋"/>
                <w:kern w:val="0"/>
                <w:sz w:val="21"/>
                <w:szCs w:val="21"/>
              </w:rPr>
            </w:pPr>
            <w:r>
              <w:rPr>
                <w:rFonts w:hint="eastAsia" w:ascii="仿宋" w:hAnsi="仿宋" w:eastAsia="仿宋" w:cs="仿宋"/>
                <w:kern w:val="0"/>
                <w:sz w:val="21"/>
                <w:szCs w:val="21"/>
              </w:rPr>
              <w:t>一体化道闸</w:t>
            </w:r>
          </w:p>
        </w:tc>
        <w:tc>
          <w:tcPr>
            <w:tcW w:w="2668" w:type="pct"/>
            <w:shd w:val="clear" w:color="auto" w:fill="auto"/>
            <w:noWrap w:val="0"/>
            <w:vAlign w:val="center"/>
          </w:tcPr>
          <w:p>
            <w:pPr>
              <w:keepNext w:val="0"/>
              <w:keepLines w:val="0"/>
              <w:widowControl/>
              <w:suppressLineNumbers w:val="0"/>
              <w:jc w:val="left"/>
              <w:textAlignment w:val="center"/>
              <w:rPr>
                <w:rStyle w:val="703"/>
                <w:rFonts w:hint="eastAsia" w:ascii="仿宋" w:hAnsi="仿宋" w:eastAsia="仿宋" w:cs="仿宋"/>
                <w:sz w:val="21"/>
                <w:szCs w:val="21"/>
                <w:lang w:val="en-US" w:eastAsia="zh-CN" w:bidi="ar"/>
              </w:rPr>
            </w:pPr>
            <w:r>
              <w:rPr>
                <w:rStyle w:val="703"/>
                <w:rFonts w:hint="eastAsia" w:ascii="仿宋" w:hAnsi="仿宋" w:eastAsia="仿宋" w:cs="仿宋"/>
                <w:sz w:val="21"/>
                <w:szCs w:val="21"/>
                <w:lang w:val="en-US" w:eastAsia="zh-CN" w:bidi="ar"/>
              </w:rPr>
              <w:t>1、智能一体化道闸，设备高度集成由抓拍机、显示屏、语音对讲模块、语音播报模块、LED补光灯、雷达等组成；</w:t>
            </w:r>
          </w:p>
          <w:p>
            <w:pPr>
              <w:keepNext w:val="0"/>
              <w:keepLines w:val="0"/>
              <w:widowControl/>
              <w:suppressLineNumbers w:val="0"/>
              <w:jc w:val="left"/>
              <w:textAlignment w:val="center"/>
              <w:rPr>
                <w:rStyle w:val="703"/>
                <w:rFonts w:hint="eastAsia" w:ascii="仿宋" w:hAnsi="仿宋" w:eastAsia="仿宋" w:cs="仿宋"/>
                <w:sz w:val="21"/>
                <w:szCs w:val="21"/>
                <w:lang w:val="en-US" w:eastAsia="zh-CN" w:bidi="ar"/>
              </w:rPr>
            </w:pPr>
            <w:r>
              <w:rPr>
                <w:rStyle w:val="703"/>
                <w:rFonts w:hint="eastAsia" w:ascii="仿宋" w:hAnsi="仿宋" w:eastAsia="仿宋" w:cs="仿宋"/>
                <w:sz w:val="21"/>
                <w:szCs w:val="21"/>
                <w:lang w:val="en-US" w:eastAsia="zh-CN" w:bidi="ar"/>
              </w:rPr>
              <w:t>2、最低照度不大于0.002lx（F=1.5，AGC ON，彩色模式），能基本分辨被摄目标的轮廓特征和色彩。0.0002lx（F=1.5，AGC ON，黑白模式），能基本分辨被摄目标的轮廓特征；</w:t>
            </w:r>
          </w:p>
          <w:p>
            <w:pPr>
              <w:keepNext w:val="0"/>
              <w:keepLines w:val="0"/>
              <w:widowControl/>
              <w:suppressLineNumbers w:val="0"/>
              <w:jc w:val="left"/>
              <w:textAlignment w:val="center"/>
              <w:rPr>
                <w:rStyle w:val="703"/>
                <w:rFonts w:hint="eastAsia" w:ascii="仿宋" w:hAnsi="仿宋" w:eastAsia="仿宋" w:cs="仿宋"/>
                <w:sz w:val="21"/>
                <w:szCs w:val="21"/>
                <w:lang w:val="en-US" w:eastAsia="zh-CN" w:bidi="ar"/>
              </w:rPr>
            </w:pPr>
            <w:r>
              <w:rPr>
                <w:rStyle w:val="703"/>
                <w:rFonts w:hint="eastAsia" w:ascii="仿宋" w:hAnsi="仿宋" w:eastAsia="仿宋" w:cs="仿宋"/>
                <w:sz w:val="21"/>
                <w:szCs w:val="21"/>
                <w:lang w:val="en-US" w:eastAsia="zh-CN" w:bidi="ar"/>
              </w:rPr>
              <w:t>3、最大支持2688×1520（不含字符叠加），帧率在（1～25）fps可调；</w:t>
            </w:r>
          </w:p>
          <w:p>
            <w:pPr>
              <w:keepNext w:val="0"/>
              <w:keepLines w:val="0"/>
              <w:widowControl/>
              <w:suppressLineNumbers w:val="0"/>
              <w:jc w:val="left"/>
              <w:textAlignment w:val="center"/>
              <w:rPr>
                <w:rStyle w:val="703"/>
                <w:rFonts w:hint="eastAsia" w:ascii="仿宋" w:hAnsi="仿宋" w:eastAsia="仿宋" w:cs="仿宋"/>
                <w:sz w:val="21"/>
                <w:szCs w:val="21"/>
                <w:lang w:val="en-US" w:eastAsia="zh-CN" w:bidi="ar"/>
              </w:rPr>
            </w:pPr>
            <w:r>
              <w:rPr>
                <w:rStyle w:val="703"/>
                <w:rFonts w:hint="eastAsia" w:ascii="仿宋" w:hAnsi="仿宋" w:eastAsia="仿宋" w:cs="仿宋"/>
                <w:sz w:val="21"/>
                <w:szCs w:val="21"/>
                <w:lang w:val="en-US" w:eastAsia="zh-CN" w:bidi="ar"/>
              </w:rPr>
              <w:t>4、★支持本地存储黑名单，数据可达100000条。支持对污损以及遮挡面积不超过1/3的车牌进行检测和识别；</w:t>
            </w:r>
          </w:p>
          <w:p>
            <w:pPr>
              <w:keepNext w:val="0"/>
              <w:keepLines w:val="0"/>
              <w:widowControl/>
              <w:suppressLineNumbers w:val="0"/>
              <w:jc w:val="left"/>
              <w:textAlignment w:val="center"/>
              <w:rPr>
                <w:rStyle w:val="703"/>
                <w:rFonts w:hint="eastAsia" w:ascii="仿宋" w:hAnsi="仿宋" w:eastAsia="仿宋" w:cs="仿宋"/>
                <w:sz w:val="21"/>
                <w:szCs w:val="21"/>
                <w:lang w:val="en-US" w:eastAsia="zh-CN" w:bidi="ar"/>
              </w:rPr>
            </w:pPr>
            <w:r>
              <w:rPr>
                <w:rStyle w:val="703"/>
                <w:rFonts w:hint="eastAsia" w:ascii="仿宋" w:hAnsi="仿宋" w:eastAsia="仿宋" w:cs="仿宋"/>
                <w:sz w:val="21"/>
                <w:szCs w:val="21"/>
                <w:lang w:val="en-US" w:eastAsia="zh-CN" w:bidi="ar"/>
              </w:rPr>
              <w:t>5、支持识别机动车车牌号结构化属性信息。支持识别大（小）型汽车、使领馆汽车、警用汽车、教练汽车、军车的车牌号。支持识别倾斜角度0°～30°的车牌号。支持识别相机法线与行车方向角度小于65°以内的车牌号。支持识别车牌宽度范围为70像素～300像素的车牌号。支持识别新能源汽车车牌。支持识别机动车类型结构化属性信息。机动车类型包括轿车、客车、面包车、大货车、小货车、中型车、SUV/MPV、皮卡车。支持识别机动车品牌、子品牌结构化属性信息。支持识别机动车车身颜色结构化属性信息。机动车车身颜色共11种，包括红色、黄色（含橙色、金色）、绿色、青色、蓝色、紫色、粉色、棕色、白色、灰色（含银色）、黑色；</w:t>
            </w:r>
          </w:p>
          <w:p>
            <w:pPr>
              <w:keepNext w:val="0"/>
              <w:keepLines w:val="0"/>
              <w:widowControl/>
              <w:suppressLineNumbers w:val="0"/>
              <w:jc w:val="left"/>
              <w:textAlignment w:val="center"/>
              <w:rPr>
                <w:rStyle w:val="703"/>
                <w:rFonts w:hint="eastAsia" w:ascii="仿宋" w:hAnsi="仿宋" w:eastAsia="仿宋" w:cs="仿宋"/>
                <w:sz w:val="21"/>
                <w:szCs w:val="21"/>
                <w:lang w:val="en-US" w:eastAsia="zh-CN" w:bidi="ar"/>
              </w:rPr>
            </w:pPr>
            <w:r>
              <w:rPr>
                <w:rStyle w:val="703"/>
                <w:rFonts w:hint="eastAsia" w:ascii="仿宋" w:hAnsi="仿宋" w:eastAsia="仿宋" w:cs="仿宋"/>
                <w:sz w:val="21"/>
                <w:szCs w:val="21"/>
                <w:lang w:val="en-US" w:eastAsia="zh-CN" w:bidi="ar"/>
              </w:rPr>
              <w:t>6、在天气晴朗无雾条件下进行测试，日间环境光照度不低于200lx，夜间辅助光照度不高于30lx。日间机动车捕获率≥99.9%；夜间机动车捕获率≥99.9%。日间样本数：1082辆，捕获数：1082辆，捕获率：100%；夜间样本数：1021辆，捕获数：1021辆，捕获率：100%；</w:t>
            </w:r>
          </w:p>
          <w:p>
            <w:pPr>
              <w:keepNext w:val="0"/>
              <w:keepLines w:val="0"/>
              <w:widowControl/>
              <w:suppressLineNumbers w:val="0"/>
              <w:jc w:val="left"/>
              <w:textAlignment w:val="center"/>
              <w:rPr>
                <w:rStyle w:val="703"/>
                <w:rFonts w:hint="eastAsia" w:ascii="仿宋" w:hAnsi="仿宋" w:eastAsia="仿宋" w:cs="仿宋"/>
                <w:sz w:val="21"/>
                <w:szCs w:val="21"/>
                <w:lang w:val="en-US" w:eastAsia="zh-CN" w:bidi="ar"/>
              </w:rPr>
            </w:pPr>
            <w:r>
              <w:rPr>
                <w:rStyle w:val="703"/>
                <w:rFonts w:hint="eastAsia" w:ascii="仿宋" w:hAnsi="仿宋" w:eastAsia="仿宋" w:cs="仿宋"/>
                <w:sz w:val="21"/>
                <w:szCs w:val="21"/>
                <w:lang w:val="en-US" w:eastAsia="zh-CN" w:bidi="ar"/>
              </w:rPr>
              <w:t>7、支持对打印车牌、单独车牌照片和单独车牌等虚假车牌进行过滤；</w:t>
            </w:r>
          </w:p>
          <w:p>
            <w:pPr>
              <w:keepNext w:val="0"/>
              <w:keepLines w:val="0"/>
              <w:widowControl/>
              <w:suppressLineNumbers w:val="0"/>
              <w:jc w:val="left"/>
              <w:textAlignment w:val="center"/>
              <w:rPr>
                <w:rStyle w:val="703"/>
                <w:rFonts w:hint="eastAsia" w:ascii="仿宋" w:hAnsi="仿宋" w:eastAsia="仿宋" w:cs="仿宋"/>
                <w:sz w:val="21"/>
                <w:szCs w:val="21"/>
                <w:lang w:val="en-US" w:eastAsia="zh-CN" w:bidi="ar"/>
              </w:rPr>
            </w:pPr>
            <w:r>
              <w:rPr>
                <w:rStyle w:val="703"/>
                <w:rFonts w:hint="eastAsia" w:ascii="仿宋" w:hAnsi="仿宋" w:eastAsia="仿宋" w:cs="仿宋"/>
                <w:sz w:val="21"/>
                <w:szCs w:val="21"/>
                <w:lang w:val="en-US" w:eastAsia="zh-CN" w:bidi="ar"/>
              </w:rPr>
              <w:t>8、★支持大车锁闸功能，当视频判断为大货车过车时道闸不落杆，支持连续过车模式，连续过车时道闸不落杆，断网下事件记录数最大为100000条，用户数最大为15000条；</w:t>
            </w:r>
          </w:p>
          <w:p>
            <w:pPr>
              <w:keepNext w:val="0"/>
              <w:keepLines w:val="0"/>
              <w:widowControl/>
              <w:suppressLineNumbers w:val="0"/>
              <w:jc w:val="left"/>
              <w:textAlignment w:val="center"/>
              <w:rPr>
                <w:rStyle w:val="703"/>
                <w:rFonts w:hint="eastAsia" w:ascii="仿宋" w:hAnsi="仿宋" w:eastAsia="仿宋" w:cs="仿宋"/>
                <w:sz w:val="21"/>
                <w:szCs w:val="21"/>
                <w:lang w:val="en-US" w:eastAsia="zh-CN" w:bidi="ar"/>
              </w:rPr>
            </w:pPr>
            <w:r>
              <w:rPr>
                <w:rStyle w:val="703"/>
                <w:rFonts w:hint="eastAsia" w:ascii="仿宋" w:hAnsi="仿宋" w:eastAsia="仿宋" w:cs="仿宋"/>
                <w:sz w:val="21"/>
                <w:szCs w:val="21"/>
                <w:lang w:val="en-US" w:eastAsia="zh-CN" w:bidi="ar"/>
              </w:rPr>
              <w:t>9、采用不小于21英寸显示屏，可支持过车信息显示、自定义无牌车扫码进出、支持二维码显示、支持图片视频广告播放；</w:t>
            </w:r>
          </w:p>
          <w:p>
            <w:pPr>
              <w:keepNext w:val="0"/>
              <w:keepLines w:val="0"/>
              <w:widowControl/>
              <w:suppressLineNumbers w:val="0"/>
              <w:jc w:val="left"/>
              <w:textAlignment w:val="center"/>
              <w:rPr>
                <w:rStyle w:val="703"/>
                <w:rFonts w:hint="eastAsia" w:ascii="仿宋" w:hAnsi="仿宋" w:eastAsia="仿宋" w:cs="仿宋"/>
                <w:sz w:val="21"/>
                <w:szCs w:val="21"/>
                <w:lang w:val="en-US" w:eastAsia="zh-CN" w:bidi="ar"/>
              </w:rPr>
            </w:pPr>
            <w:r>
              <w:rPr>
                <w:rStyle w:val="703"/>
                <w:rFonts w:hint="eastAsia" w:ascii="仿宋" w:hAnsi="仿宋" w:eastAsia="仿宋" w:cs="仿宋"/>
                <w:sz w:val="21"/>
                <w:szCs w:val="21"/>
                <w:lang w:val="en-US" w:eastAsia="zh-CN" w:bidi="ar"/>
              </w:rPr>
              <w:t>10、可以实现快速起杆、慢速落杆；</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11、道闸上电后，会自动寻找开关到位位置。通过开关到位信号进行到位判定；</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12、设备具有遇阻反弹功能，当闸杆下落时，遇到物体阻挡将立即开闸；</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13防护等级不低于IP54。</w:t>
            </w:r>
          </w:p>
        </w:tc>
        <w:tc>
          <w:tcPr>
            <w:tcW w:w="488" w:type="pct"/>
            <w:shd w:val="clear" w:color="000000" w:fill="FFFFFF"/>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1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67" w:type="pct"/>
            <w:shd w:val="clear" w:color="000000" w:fill="FFFFFF"/>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w:t>
            </w:r>
          </w:p>
        </w:tc>
        <w:tc>
          <w:tcPr>
            <w:tcW w:w="963" w:type="pct"/>
            <w:shd w:val="clear" w:color="000000" w:fill="FFFFFF"/>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防砸雷达</w:t>
            </w:r>
          </w:p>
        </w:tc>
        <w:tc>
          <w:tcPr>
            <w:tcW w:w="2668" w:type="pct"/>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防砸雷达：采用79GHz MMIC技术，分辨率更高，检测更稳定；</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雷达检测距离可调，检测宽度可调，操作方便，通用性强；</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无需学习背景，适应更多复杂现场环境；</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采用先进的信号处理技术，可稳定检测到行人和车辆，有效防止“砸车、砸人”事故的发生。</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采用LED灯指示雷达工作状态，状态更直观。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自动记录雷达的配置参数，断电重启后可恢复至之前的工作状态；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环境适应性强，检测性能不受电磁干扰、光照、灰尘、雨雪等外界环境影响。</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具备检测车和人功能，支持单人过滤。</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按需选配，雷达支架-STJ1-6-SK-DJ，366000020</w:t>
            </w:r>
          </w:p>
        </w:tc>
        <w:tc>
          <w:tcPr>
            <w:tcW w:w="488" w:type="pct"/>
            <w:shd w:val="clear" w:color="000000" w:fill="FFFFFF"/>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个</w:t>
            </w:r>
          </w:p>
        </w:tc>
        <w:tc>
          <w:tcPr>
            <w:tcW w:w="512"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67" w:type="pct"/>
            <w:shd w:val="clear" w:color="000000" w:fill="FFFFFF"/>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w:t>
            </w:r>
          </w:p>
        </w:tc>
        <w:tc>
          <w:tcPr>
            <w:tcW w:w="963" w:type="pct"/>
            <w:shd w:val="clear" w:color="000000" w:fill="FFFFFF"/>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出入口控制终端</w:t>
            </w:r>
          </w:p>
        </w:tc>
        <w:tc>
          <w:tcPr>
            <w:tcW w:w="2668" w:type="pct"/>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出入口嵌入式控制终端</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处理器：高性能linux处理器</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标配2T硬盘；</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其他接口：1个1000Mbps自适应网口,8个100M网口（P1~P8为交换机，G1为独立网口，支持双网隔离）、1个RS485、4个USB；2个开关量输入，1个继电器开关量输出、1个VGA输出接口，1路内置预留ESATA接口、1个HDMI输出接口；</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存储功能：支持对车辆出入记录的本地存储：≥1500万辆通行车辆信息 和 400万辆的过车通行图片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平台功能：支持标准SDK对接协议，支持物联协议（云协议）对接；</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本地管理：支持VGA、HDMI显示控制，配合鼠标键盘即可使用，无需额外配置电脑</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远程管理：支持网页访问，简单易用；支持多用户、多权限控制，支持嵌入式加密认证机制，确保网络上安全使用；</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车辆群组控制：支持对固定车划分不同群组，分配不同出入权限、收费规则等。</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丰富的出入权限配置：支持自定义车辆类型配置出入权限，支持按照时间计划配置出入权限。支持对无牌车、新能源车、车牌颜色、特定字符车、自定义车辆类型单独配置出入权限。</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灵活的收费配置：支持按次、停车时长、时间段、分时段、及多种混合配置收费规则，支持对群组车辆、自定义车辆类型配置不同的收费规则，支持自定义节假日免费。</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完善的数据查询统计：记录完整的出入数据，能够灵活筛选统计数据，满足对停车场数据分析需求</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安全备份机制：多设备级联，支持主从备份机制，全力保障数据安全。</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视频录像：支持录像存储，支持录像计划，支持关联录像回放下载，保存完整数据链，节省录像服务器。</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工作电压:主机12VDC，外接220VAC电源适配器；</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功耗:平均25w，最高50w；</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工作环境温度:-30 ℃～70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工作环境湿度:10%~90%@40℃，无凝结；</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功能特性：含出入口管理软件，无风扇设计，集成交换机、视频HDMI及VGA接口</w:t>
            </w:r>
          </w:p>
        </w:tc>
        <w:tc>
          <w:tcPr>
            <w:tcW w:w="488" w:type="pct"/>
            <w:shd w:val="clear" w:color="000000" w:fill="FFFFFF"/>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12" w:type="pct"/>
            <w:shd w:val="clear" w:color="000000" w:fill="FFFFFF"/>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67" w:type="pct"/>
            <w:shd w:val="clear" w:color="000000" w:fill="FFFFFF"/>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w:t>
            </w:r>
          </w:p>
        </w:tc>
        <w:tc>
          <w:tcPr>
            <w:tcW w:w="963" w:type="pct"/>
            <w:shd w:val="clear" w:color="auto" w:fill="auto"/>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交换机8口</w:t>
            </w:r>
          </w:p>
        </w:tc>
        <w:tc>
          <w:tcPr>
            <w:tcW w:w="2668" w:type="pct"/>
            <w:shd w:val="clear" w:color="auto" w:fill="auto"/>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8口工业级千兆交换机</w:t>
            </w:r>
          </w:p>
        </w:tc>
        <w:tc>
          <w:tcPr>
            <w:tcW w:w="488" w:type="pct"/>
            <w:shd w:val="clear" w:color="auto" w:fill="auto"/>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台</w:t>
            </w:r>
          </w:p>
        </w:tc>
        <w:tc>
          <w:tcPr>
            <w:tcW w:w="512" w:type="pct"/>
            <w:shd w:val="clear" w:color="000000" w:fill="FFFFFF"/>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67" w:type="pct"/>
            <w:shd w:val="clear" w:color="000000" w:fill="FFFFFF"/>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5</w:t>
            </w:r>
          </w:p>
        </w:tc>
        <w:tc>
          <w:tcPr>
            <w:tcW w:w="963" w:type="pct"/>
            <w:shd w:val="clear" w:color="auto" w:fill="auto"/>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云服务器</w:t>
            </w:r>
          </w:p>
        </w:tc>
        <w:tc>
          <w:tcPr>
            <w:tcW w:w="2668" w:type="pct"/>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"包含以下功能内容：</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（1）停车场基础配置与管理</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（2）营收统计、出入车记录查询、收费记录查询、停车效率分析等功能</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（3）支持扫码支付、无感支付</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（4）月卡车、白名单、黑名单、访客车等管理</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（5）电子发票服务</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（6）优惠券服务</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（7）支持微信、支付宝支付"</w:t>
            </w:r>
          </w:p>
        </w:tc>
        <w:tc>
          <w:tcPr>
            <w:tcW w:w="488" w:type="pct"/>
            <w:shd w:val="clear" w:color="auto" w:fill="auto"/>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套</w:t>
            </w:r>
          </w:p>
        </w:tc>
        <w:tc>
          <w:tcPr>
            <w:tcW w:w="512" w:type="pct"/>
            <w:shd w:val="clear" w:color="000000" w:fill="FFFFFF"/>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67" w:type="pct"/>
            <w:shd w:val="clear" w:color="000000" w:fill="FFFFFF"/>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6</w:t>
            </w:r>
          </w:p>
        </w:tc>
        <w:tc>
          <w:tcPr>
            <w:tcW w:w="963" w:type="pct"/>
            <w:shd w:val="clear" w:color="auto" w:fill="auto"/>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辅材</w:t>
            </w:r>
          </w:p>
        </w:tc>
        <w:tc>
          <w:tcPr>
            <w:tcW w:w="2668" w:type="pct"/>
            <w:shd w:val="clear" w:color="auto" w:fill="auto"/>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电源线、光纤，综合管路</w:t>
            </w:r>
          </w:p>
        </w:tc>
        <w:tc>
          <w:tcPr>
            <w:tcW w:w="488" w:type="pct"/>
            <w:shd w:val="clear" w:color="auto" w:fill="auto"/>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套</w:t>
            </w:r>
          </w:p>
        </w:tc>
        <w:tc>
          <w:tcPr>
            <w:tcW w:w="512" w:type="pct"/>
            <w:shd w:val="clear" w:color="000000" w:fill="FFFFFF"/>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w:t>
            </w:r>
          </w:p>
        </w:tc>
      </w:tr>
    </w:tbl>
    <w:p>
      <w:pPr>
        <w:numPr>
          <w:ilvl w:val="0"/>
          <w:numId w:val="0"/>
        </w:numPr>
        <w:ind w:leftChars="0"/>
        <w:rPr>
          <w:rFonts w:hint="default"/>
          <w:lang w:val="en-US" w:eastAsia="zh-CN"/>
        </w:rPr>
      </w:pPr>
    </w:p>
    <w:p>
      <w:pPr>
        <w:pStyle w:val="3"/>
        <w:numPr>
          <w:ilvl w:val="0"/>
          <w:numId w:val="9"/>
        </w:numPr>
        <w:bidi w:val="0"/>
        <w:ind w:left="0" w:leftChars="0" w:firstLine="0" w:firstLineChars="0"/>
        <w:rPr>
          <w:rFonts w:hint="eastAsia"/>
        </w:rPr>
      </w:pPr>
      <w:r>
        <w:rPr>
          <w:rFonts w:hint="eastAsia"/>
        </w:rPr>
        <w:t>人脸布控系统</w:t>
      </w:r>
    </w:p>
    <w:tbl>
      <w:tblPr>
        <w:tblStyle w:val="62"/>
        <w:tblW w:w="54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906"/>
        <w:gridCol w:w="5352"/>
        <w:gridCol w:w="101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3" w:type="pct"/>
            <w:shd w:val="clear" w:color="auto" w:fill="auto"/>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rPr>
              <w:t>序号</w:t>
            </w:r>
          </w:p>
        </w:tc>
        <w:tc>
          <w:tcPr>
            <w:tcW w:w="950" w:type="pct"/>
            <w:shd w:val="clear" w:color="auto" w:fill="auto"/>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lang w:val="en-US" w:eastAsia="zh-CN"/>
              </w:rPr>
              <w:t>设备</w:t>
            </w:r>
            <w:r>
              <w:rPr>
                <w:rFonts w:hint="eastAsia" w:ascii="仿宋_GB2312" w:hAnsi="宋体" w:eastAsia="仿宋_GB2312" w:cs="宋体"/>
                <w:b/>
                <w:bCs/>
                <w:color w:val="0D0D0D"/>
                <w:kern w:val="0"/>
                <w:szCs w:val="24"/>
              </w:rPr>
              <w:t>名称</w:t>
            </w:r>
          </w:p>
        </w:tc>
        <w:tc>
          <w:tcPr>
            <w:tcW w:w="2667" w:type="pct"/>
            <w:shd w:val="clear" w:color="000000" w:fill="FFFFFF"/>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lang w:val="en-US" w:eastAsia="zh-CN"/>
              </w:rPr>
              <w:t>技术</w:t>
            </w:r>
            <w:r>
              <w:rPr>
                <w:rFonts w:hint="eastAsia" w:ascii="仿宋_GB2312" w:hAnsi="宋体" w:eastAsia="仿宋_GB2312" w:cs="宋体"/>
                <w:b/>
                <w:bCs/>
                <w:color w:val="0D0D0D"/>
                <w:kern w:val="0"/>
                <w:szCs w:val="24"/>
              </w:rPr>
              <w:t>参数</w:t>
            </w:r>
          </w:p>
        </w:tc>
        <w:tc>
          <w:tcPr>
            <w:tcW w:w="504" w:type="pct"/>
            <w:noWrap w:val="0"/>
            <w:vAlign w:val="center"/>
          </w:tcPr>
          <w:p>
            <w:pPr>
              <w:widowControl/>
              <w:spacing w:line="240" w:lineRule="auto"/>
              <w:jc w:val="center"/>
              <w:rPr>
                <w:rFonts w:hint="eastAsia" w:ascii="仿宋_GB2312" w:hAnsi="宋体" w:eastAsia="仿宋_GB2312" w:cs="宋体"/>
                <w:b/>
                <w:bCs/>
                <w:color w:val="0D0D0D"/>
                <w:kern w:val="0"/>
                <w:szCs w:val="24"/>
              </w:rPr>
            </w:pPr>
            <w:r>
              <w:rPr>
                <w:rFonts w:hint="eastAsia" w:ascii="仿宋_GB2312" w:hAnsi="宋体" w:eastAsia="仿宋_GB2312" w:cs="宋体"/>
                <w:b/>
                <w:bCs/>
                <w:color w:val="0D0D0D"/>
                <w:kern w:val="0"/>
                <w:szCs w:val="24"/>
              </w:rPr>
              <w:t>单位</w:t>
            </w:r>
          </w:p>
        </w:tc>
        <w:tc>
          <w:tcPr>
            <w:tcW w:w="504" w:type="pct"/>
            <w:noWrap w:val="0"/>
            <w:vAlign w:val="center"/>
          </w:tcPr>
          <w:p>
            <w:pPr>
              <w:widowControl/>
              <w:spacing w:line="240" w:lineRule="auto"/>
              <w:jc w:val="center"/>
              <w:rPr>
                <w:rFonts w:hint="eastAsia" w:ascii="仿宋_GB2312" w:hAnsi="宋体" w:eastAsia="仿宋_GB2312" w:cs="宋体"/>
                <w:b/>
                <w:bCs/>
                <w:color w:val="0D0D0D"/>
                <w:kern w:val="0"/>
                <w:szCs w:val="24"/>
                <w:lang w:eastAsia="zh-CN"/>
              </w:rPr>
            </w:pPr>
            <w:r>
              <w:rPr>
                <w:rFonts w:hint="eastAsia" w:ascii="仿宋_GB2312" w:hAnsi="宋体" w:eastAsia="仿宋_GB2312" w:cs="宋体"/>
                <w:b/>
                <w:bCs/>
                <w:color w:val="0D0D0D"/>
                <w:kern w:val="0"/>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3"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c>
          <w:tcPr>
            <w:tcW w:w="95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智能球型摄像机</w:t>
            </w:r>
          </w:p>
        </w:tc>
        <w:tc>
          <w:tcPr>
            <w:tcW w:w="266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400万8寸26倍臻全彩双眸球，内置GPU芯片，摄像机靶面尺寸不小于1/1.8英寸，摄像机内置镜头，支持不小于26倍光学变倍，镜头最大焦距不小于134mm。</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支持双摄双模：默认单路拼接模式；可选配双路输出模式；支持全景、细节3D关联跟踪</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具备人脸、人体抓拍并关联输出功能，支持指哪抓哪、多场景轮巡抓拍、远距离卡口抓拍模式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支持人脸人体车辆同时抓拍，人脸人体关联输出，并实现对人脸、人体、车辆结构化属性特征信息提取</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网络接口: RJ45网口，自适应10 M/100 M网络数据</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SD卡扩展: 支持MicroSD(即TF卡)/MicroSDHC/MicroSDXC卡，最大支持256 GB</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红外照射距离: 250 m</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电流及功耗: AC24 V，最大功耗：42 W（其中加热最大功耗：8 W，红外灯最大功耗：12 W）</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工作温湿度: -40 ℃~70 ℃；湿度小于95%</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★在单路及双路模式下，设备水平视场角均不小于90°（提供相关部门检测报告为准）</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设备具有倍率切换功能，双镜头从最小倍率至最大倍率或最大倍率至最小倍率的变倍过程中视频图像不间断（此项参数提供相关部门检测报告</w:t>
            </w:r>
            <w:bookmarkStart w:id="567" w:name="_GoBack"/>
            <w:bookmarkEnd w:id="567"/>
            <w:r>
              <w:rPr>
                <w:rFonts w:hint="eastAsia" w:ascii="仿宋" w:hAnsi="仿宋" w:eastAsia="仿宋" w:cs="仿宋"/>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双路模式下，两路画面可实现画中画显示，其中悬浮画面可手动拖动，并可切换悬浮画面对应的通道，双路模式下，可对两路画面进行自动或手动标定，标定后两路画面的中心点保持一致</w:t>
            </w:r>
          </w:p>
        </w:tc>
        <w:tc>
          <w:tcPr>
            <w:tcW w:w="504"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台</w:t>
            </w:r>
          </w:p>
        </w:tc>
        <w:tc>
          <w:tcPr>
            <w:tcW w:w="50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3"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2</w:t>
            </w:r>
          </w:p>
        </w:tc>
        <w:tc>
          <w:tcPr>
            <w:tcW w:w="95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存储服务器</w:t>
            </w:r>
          </w:p>
        </w:tc>
        <w:tc>
          <w:tcPr>
            <w:tcW w:w="2667"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硬件规格：2U标准机架式，2个HDMI，2个VGA,HDMI+VGA组内同源，8盘位，可满配12T硬盘，支持硬盘热插拔 ，2个千兆网口，2个USB2.0接口、1个USB3.0接口</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1个eSATA接口，支持RAID0、1、5、6、10，支持全局热备盘，报警IO：选配16进8出</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软件性能：输入带宽：不开启RAID为320Mbps，开启RAID为200Mbps，32路H.264、H.265混合接入，最大支持16×1080P解码，32个人脸名单库，总库容10万张，路人档案10万份 ，抓拍库1000万张人脸图片，支持陌生人报警，支持人员频次统计，支持人脸签到和考勤，支持人脸1V1比对，支持以脸搜脸、按姓名检索、按属性检索</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支持16路视频流人脸识别和32路图片流人脸识别，支持4路实时视频结构化功能，支持32路非实时视频结构化功能；视频结构化分析功能包括人体视频结构化分析、车辆结构化分析、人和车视频结构化分析。</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★以脸搜脸首位命中率不低于95%,以脸搜脸前10位命中率不低于99%；单颗引擎人脸建模速度不低于每秒38张/秒</w:t>
            </w:r>
          </w:p>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人脸正对相机，无人脸遮挡等干扰情况，非监视名单误报率≤0.01%；人脸识别准确率≥99%；监视名单漏报率不超过≤0.1%；支持对单场景内中35张人脸进行检测并抓拍；支持检出的人脸图片瞳距≥15像素；支持抓拍的人脸区域像素应≥50像素×50像素；（此项参数提供相关部门检测报告）</w:t>
            </w:r>
          </w:p>
        </w:tc>
        <w:tc>
          <w:tcPr>
            <w:tcW w:w="504"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台</w:t>
            </w:r>
          </w:p>
        </w:tc>
        <w:tc>
          <w:tcPr>
            <w:tcW w:w="50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3"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3</w:t>
            </w:r>
          </w:p>
        </w:tc>
        <w:tc>
          <w:tcPr>
            <w:tcW w:w="95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硬盘</w:t>
            </w:r>
          </w:p>
        </w:tc>
        <w:tc>
          <w:tcPr>
            <w:tcW w:w="266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HDD,ST4000NM000A,4TB,7200,3.5寸,SATA3,ST</w:t>
            </w:r>
          </w:p>
        </w:tc>
        <w:tc>
          <w:tcPr>
            <w:tcW w:w="504" w:type="pct"/>
            <w:noWrap w:val="0"/>
            <w:vAlign w:val="center"/>
          </w:tcPr>
          <w:p>
            <w:pPr>
              <w:widowControl/>
              <w:spacing w:line="240" w:lineRule="auto"/>
              <w:jc w:val="center"/>
              <w:rPr>
                <w:rFonts w:hint="eastAsia" w:ascii="仿宋_GB2312" w:hAnsi="微软雅黑" w:eastAsia="仿宋_GB2312" w:cs="宋体"/>
                <w:kern w:val="0"/>
                <w:szCs w:val="24"/>
              </w:rPr>
            </w:pPr>
            <w:r>
              <w:rPr>
                <w:rFonts w:hint="eastAsia" w:ascii="仿宋_GB2312" w:hAnsi="微软雅黑" w:eastAsia="仿宋_GB2312" w:cs="宋体"/>
                <w:kern w:val="0"/>
                <w:szCs w:val="24"/>
              </w:rPr>
              <w:t>块</w:t>
            </w:r>
          </w:p>
        </w:tc>
        <w:tc>
          <w:tcPr>
            <w:tcW w:w="50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3" w:type="pct"/>
            <w:noWrap w:val="0"/>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4</w:t>
            </w:r>
          </w:p>
        </w:tc>
        <w:tc>
          <w:tcPr>
            <w:tcW w:w="950"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辅材</w:t>
            </w:r>
          </w:p>
        </w:tc>
        <w:tc>
          <w:tcPr>
            <w:tcW w:w="2667" w:type="pct"/>
            <w:noWrap w:val="0"/>
            <w:vAlign w:val="center"/>
          </w:tcPr>
          <w:p>
            <w:pPr>
              <w:widowControl/>
              <w:spacing w:line="240" w:lineRule="auto"/>
              <w:jc w:val="left"/>
              <w:rPr>
                <w:rFonts w:hint="eastAsia" w:ascii="仿宋_GB2312" w:hAnsi="宋体" w:eastAsia="仿宋_GB2312" w:cs="宋体"/>
                <w:kern w:val="0"/>
                <w:szCs w:val="24"/>
              </w:rPr>
            </w:pPr>
            <w:r>
              <w:rPr>
                <w:rFonts w:hint="eastAsia" w:ascii="仿宋_GB2312" w:hAnsi="宋体" w:eastAsia="仿宋_GB2312" w:cs="宋体"/>
                <w:kern w:val="0"/>
                <w:szCs w:val="24"/>
              </w:rPr>
              <w:t>综合管路、网线、电源</w:t>
            </w:r>
          </w:p>
        </w:tc>
        <w:tc>
          <w:tcPr>
            <w:tcW w:w="50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套</w:t>
            </w:r>
          </w:p>
        </w:tc>
        <w:tc>
          <w:tcPr>
            <w:tcW w:w="504" w:type="pct"/>
            <w:noWrap/>
            <w:vAlign w:val="center"/>
          </w:tcPr>
          <w:p>
            <w:pPr>
              <w:widowControl/>
              <w:spacing w:line="240" w:lineRule="auto"/>
              <w:jc w:val="center"/>
              <w:rPr>
                <w:rFonts w:hint="eastAsia" w:ascii="仿宋_GB2312" w:hAnsi="宋体" w:eastAsia="仿宋_GB2312" w:cs="宋体"/>
                <w:kern w:val="0"/>
                <w:szCs w:val="24"/>
              </w:rPr>
            </w:pPr>
            <w:r>
              <w:rPr>
                <w:rFonts w:hint="eastAsia" w:ascii="仿宋_GB2312" w:hAnsi="宋体" w:eastAsia="仿宋_GB2312" w:cs="宋体"/>
                <w:kern w:val="0"/>
                <w:szCs w:val="24"/>
              </w:rPr>
              <w:t>15</w:t>
            </w:r>
          </w:p>
        </w:tc>
      </w:tr>
    </w:tbl>
    <w:p>
      <w:pPr>
        <w:numPr>
          <w:ilvl w:val="0"/>
          <w:numId w:val="0"/>
        </w:numPr>
        <w:ind w:leftChars="0"/>
        <w:rPr>
          <w:rFonts w:hint="default"/>
          <w:lang w:val="en-US" w:eastAsia="zh-CN"/>
        </w:rPr>
      </w:pPr>
    </w:p>
    <w:p>
      <w:pPr>
        <w:pStyle w:val="3"/>
        <w:numPr>
          <w:ilvl w:val="0"/>
          <w:numId w:val="9"/>
        </w:numPr>
        <w:bidi w:val="0"/>
        <w:ind w:left="0" w:leftChars="0" w:firstLine="0" w:firstLineChars="0"/>
        <w:rPr>
          <w:rFonts w:hint="eastAsia"/>
        </w:rPr>
      </w:pPr>
      <w:r>
        <w:rPr>
          <w:rFonts w:hint="eastAsia"/>
        </w:rPr>
        <w:t>综合安防平台</w:t>
      </w:r>
    </w:p>
    <w:tbl>
      <w:tblPr>
        <w:tblStyle w:val="62"/>
        <w:tblW w:w="9371"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00"/>
        <w:gridCol w:w="752"/>
        <w:gridCol w:w="658"/>
        <w:gridCol w:w="871"/>
        <w:gridCol w:w="1057"/>
        <w:gridCol w:w="3733"/>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序号</w:t>
            </w:r>
          </w:p>
        </w:tc>
        <w:tc>
          <w:tcPr>
            <w:tcW w:w="752"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平台模块</w:t>
            </w:r>
          </w:p>
        </w:tc>
        <w:tc>
          <w:tcPr>
            <w:tcW w:w="658"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一级功能</w:t>
            </w: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二级功能</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三级功能</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功能描述</w:t>
            </w:r>
          </w:p>
        </w:tc>
        <w:tc>
          <w:tcPr>
            <w:tcW w:w="900" w:type="dxa"/>
            <w:noWrap w:val="0"/>
            <w:vAlign w:val="center"/>
          </w:tcPr>
          <w:p>
            <w:pPr>
              <w:keepNext w:val="0"/>
              <w:keepLines w:val="0"/>
              <w:widowControl/>
              <w:suppressLineNumbers w:val="0"/>
              <w:jc w:val="both"/>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单位</w:t>
            </w:r>
          </w:p>
        </w:tc>
        <w:tc>
          <w:tcPr>
            <w:tcW w:w="900" w:type="dxa"/>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2281" w:type="dxa"/>
            <w:gridSpan w:val="3"/>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地图</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2.5D地图</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核心区4平方公里2.5D地图制作</w:t>
            </w:r>
          </w:p>
        </w:tc>
        <w:tc>
          <w:tcPr>
            <w:tcW w:w="900" w:type="dxa"/>
            <w:vMerge w:val="restart"/>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项</w:t>
            </w:r>
          </w:p>
        </w:tc>
        <w:tc>
          <w:tcPr>
            <w:tcW w:w="900" w:type="dxa"/>
            <w:vMerge w:val="restart"/>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w:t>
            </w:r>
          </w:p>
        </w:tc>
        <w:tc>
          <w:tcPr>
            <w:tcW w:w="1410" w:type="dxa"/>
            <w:gridSpan w:val="2"/>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基础平台</w:t>
            </w: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用户管理</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部门管理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对部门进行增删改查。</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账户/通讯录管理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维护用户基础信息（姓名、手机号码、岗位、所属部门、账户等），赋予角色后可登录系统使用对应权限。支持多部门、多角色绑定</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系统管理</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菜单管理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配置菜单名称、菜单图标、排序、结构关系等。</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角色权限管理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创建角色以及配置对应权限，对角色进行增删改查，对不同角色进行数据查看权限配置、表单操作权限配置、页面权限配置</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单点登录</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支持通过钉钉等平台扫码登录系统</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安全审计</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接口日志、系统日志</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帮助中心</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帮助中心内容管理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系统操作说明、支持PC端、移动端适配查看</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w:t>
            </w:r>
          </w:p>
        </w:tc>
        <w:tc>
          <w:tcPr>
            <w:tcW w:w="1410" w:type="dxa"/>
            <w:gridSpan w:val="2"/>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感知平台</w:t>
            </w: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IOT</w:t>
            </w:r>
          </w:p>
        </w:tc>
        <w:tc>
          <w:tcPr>
            <w:tcW w:w="1057"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物联网设备接入</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可接入各种类型和协议的设备，采集海量设备数据，可以通过调用API，下发数据给设备，实现远程控制海量设备。</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消息通信RabbitMQ数据接收，应用间的通信由消息系统来确保消息的可靠传递</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物联网设备管理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对设备进行定义：物模型定义、实时数据采集及监测、历史数据记录等。该项属基础能力集成在代码中。</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12</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物联数据校验、清洗、过滤,物联数据定期清理、备份，更详细数据管理功能</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13</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设备设施管理</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设备类型管理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依据项目需求创建、维护设备类型、设备编码等必要信息。支持无模版化Excel导入、全字段精细大搜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14</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设备管理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依据设备类型维护每一个设备信息。支持无模版化Excel导入、全字段精细大搜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15</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设施类型管理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依据项目需求创建、维护设施类型、设施编码、所绑设备类型、平面空间类型等信息。支持无模版化Excel导入、全字段精细大搜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16</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设施管理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依据设施类型维护每一个设施信息并在地图上进行打点标注、绑定设备、关联附近设备。支持无模版化Excel导入、全字段精细大搜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17</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分组类型管理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依据项目需求创建、维护设备类型。支持无模版化Excel导入、全字段精细大搜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18</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分组管理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配置设备分组所用组名，统一调用。支持无模版化Excel导入、全字段精细大搜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19</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设备运行策略管理</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设备策略基础信息配置</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配置设备运行策略的基础信息、全字段精细大搜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20</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设备动作配置</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配置设备策略要执行的动作以及要执行动作的具体设备、全字段精细大搜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21</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时间策略配置</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配置设备执行动作的定时执行策略、全字段精细大搜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22</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GIS</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地图纠偏</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通过纠偏算法调整地图点位（解决点位数据采集标准不一致的情况）。</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23</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地图标绘</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将设施设备在地图上进行打点标注、调整、导入。</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24</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地图展示</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支持缩放、拖动地图并在地图上呈现各个点位详情。</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25</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地图管理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维护地图基本信息（名称、层级、显示范围等）、全字段精细大搜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26</w:t>
            </w:r>
          </w:p>
        </w:tc>
        <w:tc>
          <w:tcPr>
            <w:tcW w:w="752"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应用平台</w:t>
            </w:r>
          </w:p>
        </w:tc>
        <w:tc>
          <w:tcPr>
            <w:tcW w:w="658"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智能监控板块</w:t>
            </w: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前端管理</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监控运行状态跟踪</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跟踪视频设备运行情况，展示视频内容，展示故障设备信息。</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27</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视频中心</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基于视频分组多屏查看视频，支持视频回放。</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28</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系统对接</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监控平台对接</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监控平台接口对接。</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29</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视频识别</w:t>
            </w: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人脸识别</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人脸抓拍</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展示摄像头抓拍的人脸照片。</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30</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照片寻人</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通过上传的人脸图片进行分析比对，查询人物出现过的位置信息。</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31</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人脸识别算法对接</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对接设备或设备平台的人脸识别算法，其需要具备人脸属性识别、人脸搜索等能力</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32</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车牌识别</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车辆抓拍</w:t>
            </w:r>
          </w:p>
        </w:tc>
        <w:tc>
          <w:tcPr>
            <w:tcW w:w="3733" w:type="dxa"/>
            <w:noWrap w:val="0"/>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展示摄像头抓拍的车辆照片。</w:t>
            </w:r>
          </w:p>
        </w:tc>
        <w:tc>
          <w:tcPr>
            <w:tcW w:w="900" w:type="dxa"/>
            <w:vMerge w:val="continue"/>
            <w:noWrap w:val="0"/>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33</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车辆属性分析</w:t>
            </w:r>
          </w:p>
        </w:tc>
        <w:tc>
          <w:tcPr>
            <w:tcW w:w="3733" w:type="dxa"/>
            <w:noWrap w:val="0"/>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分析车辆的属性包括：车牌号、车型、颜色等。</w:t>
            </w:r>
          </w:p>
        </w:tc>
        <w:tc>
          <w:tcPr>
            <w:tcW w:w="900" w:type="dxa"/>
            <w:vMerge w:val="continue"/>
            <w:noWrap w:val="0"/>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34</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车流量统计</w:t>
            </w:r>
          </w:p>
        </w:tc>
        <w:tc>
          <w:tcPr>
            <w:tcW w:w="3733" w:type="dxa"/>
            <w:noWrap w:val="0"/>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通过抓拍到的车辆信息统计车流量。</w:t>
            </w:r>
          </w:p>
        </w:tc>
        <w:tc>
          <w:tcPr>
            <w:tcW w:w="900" w:type="dxa"/>
            <w:vMerge w:val="continue"/>
            <w:noWrap w:val="0"/>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35</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智能广播板块</w:t>
            </w: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后端配置</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音频文件管理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创建和管理用于广播播放的固定音乐文件</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36</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前端管理</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广播设备运行状态跟踪</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跟踪广播设备运行情况，展示故障设备信息，全字段精细大搜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37</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广播操作</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选择音乐曲目播放；通过指挥中心麦克风触发喊话，通过广播系统播放。</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38</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系统对接</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广播设备/平台对接</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广播设备和平台对接。</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39</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智能停车板块</w:t>
            </w: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前端管理</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停车场运行状态跟踪</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跟踪停车场车位占用情况</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40</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调取就近监控</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调取停车场周边监控内容</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41</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系统对接</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停车场平台对接</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停车场系统或停车位设备平台对接</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42</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系统对接</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地感设备平台对接</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泊位地感设备平台对接</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43</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数据记录</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停车数据记录</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记录车辆出入场数据、车牌数据、停车时长数据，用以分析停车场整体情况</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44</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巡更巡检板块</w:t>
            </w: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后端配置</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班组设置</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配置安保班组/安保人员，关联安保设备</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45</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巡更路线</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配置安保巡逻路线，更科学更严格的安保管理</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46</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计划管理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设置巡检计划</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47</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前端管理</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实时状态跟踪</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查看跟踪保安/设备当前所处位置，设备情况</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48</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历史轨迹查询</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查看保安在某一时间段内的活动轨迹</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49</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系统对接</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巡更设备或平台对接</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对接巡更设备或平台</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50</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常态事件处置</w:t>
            </w: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机动车违停</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机动车违停告警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当识别到机动车违停行为时，即自动发起警报，并在地图上可视化展示报警点位。</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51</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对接机动车违停告警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对接机动车违停监测设备或系统，接收告警信号</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52</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非机动车违停</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非机动车违停告警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当识别到非机动车违停行为时，即自动发起警报，并在地图上可视化展示报警点位。</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53</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对接非机动车违停告警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对接非机动车违停监测设备或系统，接收告警信号</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54</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出店</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出店告警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当识别到出店情况时，自动发起告警，并在地图上可视化展示报警点位。</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55</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对接出店告警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对接出店监测设备或系统，接收告警信号</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56</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游商</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游商告警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当识别到游商情况时，自动发起告警，并在地图上可视化展示报警点位。</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57</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对接游商告警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对接游商监测设备或系统，接收告警信号</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58</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垃圾堆积</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垃圾堆积告警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当识别到垃圾堆积情况时，自动发起告警，并在地图上可视化展示报警点位。</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59</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对接垃圾堆积告警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对接垃圾堆积监测设备或系统，接收告警信号</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60</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违规广告</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违规广告告警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当识别到违规广告情况时，自动发起告警，并在地图上可视化展示报警点位。</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61</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对接违规广告告警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对接违规广告监测设备或系统，接收告警信号</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62</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人员聚集</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人员聚集告警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当识别到人员聚集情况时，自动发起告警，并在地图上可视化展示报警点位。</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对接人员聚集告警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对接人员聚集监测设备或系统，接收告警信号</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64</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越界告警</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越界告警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当识别到越界行为时，即自动发起警报，并在地图上可视化展示报警点位。</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65</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对接越界监测</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对接越界监测设备或系统，接收告警信号</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66</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占道告警</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占道告警</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当识别到占道情况时，自动发起告警，并在地图上可视化展示报警点位。</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67</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对接占道监测</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对接占道监测设备或系统，接收告警信号</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68</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事件查询</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事件查询</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可查看全部的告警事件，可查看各处理状态的告警事件详情，可查看事件附近点位的实时监控。</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69</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事件分配</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事件自动分配</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根据后台配置的事件发生点位关联的安保组，事件会自动派发到相应的安保组的事件池。</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70</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事件审批</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审批人员提交上的事件处置结果</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对提交上的事件处置结果进行审核，包含通过、退回、转交等操作。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71</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事件处置-移动端</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常态事件领取和处置客户端</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事件池，便捷领取、处理和提交事件；监控点位列表，可查看监控点位的实时监控；通讯录，方便沟通其他事件处置人员。</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72</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应急处置</w:t>
            </w: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应急处置</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应急处置</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对发生的事件进行评估，填写处理过程、处理结果。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73</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附近设施</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调取告警点附近设施</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发生一个告警时，根据告警点，可以查询附近范围内的监控、广播、安保人员</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74</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事件查询</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事件查询</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查看各处理状态下的应急事件详情</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75</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应急预案查询</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查询应急预案</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查询各项应急预案，便于按流程做出合适的调度、安排。</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76</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查询应急通讯录</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查询应急通讯录，便于指挥调度。</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77</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查询应急资源</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查询各项应急资源，便于做出合适的调度、安排。</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78</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事件转工单</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事件转工单</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当需要其他人去处理该事件，或是需要其他人去处理该事件中的某些事项时，可以指派任务，以工单形式下发给执行人</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79</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应急管理</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应急预案管理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维护应急预案内容、对应负责的部门、适用的告警类型。维护后前台即可查阅。支持无模版化Excel导入、全字段精细大搜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80</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应急资源管理</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维护应急资源的类型（用途）、名称、位置等信息。维护后前台即可查阅。支持无模版化Excel导入、全字段精细大搜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81</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智能推送</w:t>
            </w: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界面提示</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界面弹窗提示</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界面弹窗提示</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82</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广播通知</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联动广播提醒</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发生告警时，根据后台配置的联动策略自动触发指定的广播进行提醒</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83</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短信通知</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短信通知</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配置短信发送规则，用于发送事件消息给相关责任人，保证系统运行时效性；依据项目需求管理常用短信通知模板，设定系统短信发放逻辑。支持无模版化Excel导入、全字段精细大搜</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84</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用户分群</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用户分群</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设置不同的推广用户分组</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85</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定时任务推送</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定时任务推送</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定时任务设置和推送</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86</w:t>
            </w:r>
          </w:p>
        </w:tc>
        <w:tc>
          <w:tcPr>
            <w:tcW w:w="752"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分析展示</w:t>
            </w:r>
          </w:p>
        </w:tc>
        <w:tc>
          <w:tcPr>
            <w:tcW w:w="658"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可视化展示</w:t>
            </w: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可视化大屏图表</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可视化大屏呈现</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以可视化大屏端呈现各类图表</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87</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PC端图表</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pc端呈现</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以常规pc端网页形式呈现各类图表，可以自定义查询周期查询数据，并导出报表。</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88</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智能分析</w:t>
            </w: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数据记录与分析</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事件数据统计与分析</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记录和统计各类应急告警事件的发生数据、处置数据、处置成效数据，用以分析告警情况。</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89</w:t>
            </w:r>
          </w:p>
        </w:tc>
        <w:tc>
          <w:tcPr>
            <w:tcW w:w="752"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658" w:type="dxa"/>
            <w:vMerge w:val="continue"/>
            <w:noWrap w:val="0"/>
            <w:vAlign w:val="center"/>
          </w:tcPr>
          <w:p>
            <w:pPr>
              <w:jc w:val="center"/>
              <w:rPr>
                <w:rFonts w:hint="eastAsia" w:ascii="仿宋" w:hAnsi="仿宋" w:eastAsia="仿宋" w:cs="仿宋"/>
                <w:b w:val="0"/>
                <w:bCs/>
                <w:i w:val="0"/>
                <w:color w:val="000000"/>
                <w:sz w:val="21"/>
                <w:szCs w:val="21"/>
                <w:u w:val="none"/>
              </w:rPr>
            </w:pP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告警事件统计</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告警事件统计</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统计分析总体告警次数、各告警类型发生次数及占比、告警事件处置率、事件流转率、事件处置成效统计、告警事件趋势、告警事件等级统计。进行可视化图表呈现。</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90</w:t>
            </w:r>
          </w:p>
        </w:tc>
        <w:tc>
          <w:tcPr>
            <w:tcW w:w="1410" w:type="dxa"/>
            <w:gridSpan w:val="2"/>
            <w:vMerge w:val="restart"/>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外部接口</w:t>
            </w:r>
          </w:p>
        </w:tc>
        <w:tc>
          <w:tcPr>
            <w:tcW w:w="871"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数字驾驶仓数据接口</w:t>
            </w:r>
          </w:p>
        </w:tc>
        <w:tc>
          <w:tcPr>
            <w:tcW w:w="1057"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监控、人流量、客流量、报警信号</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可查看监控点位的实时监控、查看告警事件的实时状态及事件详情、查看景区的实时人流量/客流量、可查看告警事件统计及客流量统计。　</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91</w:t>
            </w:r>
          </w:p>
        </w:tc>
        <w:tc>
          <w:tcPr>
            <w:tcW w:w="1410" w:type="dxa"/>
            <w:gridSpan w:val="2"/>
            <w:vMerge w:val="continue"/>
            <w:noWrap w:val="0"/>
            <w:vAlign w:val="center"/>
          </w:tcPr>
          <w:p>
            <w:pPr>
              <w:jc w:val="center"/>
              <w:rPr>
                <w:rFonts w:hint="eastAsia" w:ascii="仿宋" w:hAnsi="仿宋" w:eastAsia="仿宋" w:cs="仿宋"/>
                <w:b w:val="0"/>
                <w:bCs/>
                <w:i w:val="0"/>
                <w:color w:val="000000"/>
                <w:sz w:val="21"/>
                <w:szCs w:val="21"/>
                <w:u w:val="none"/>
              </w:rPr>
            </w:pPr>
          </w:p>
        </w:tc>
        <w:tc>
          <w:tcPr>
            <w:tcW w:w="1928" w:type="dxa"/>
            <w:gridSpan w:val="2"/>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浙农码对接</w:t>
            </w:r>
          </w:p>
        </w:tc>
        <w:tc>
          <w:tcPr>
            <w:tcW w:w="3733"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智能设施设备运行情况和报警信息上传浙农码平台</w:t>
            </w: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90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500" w:type="dxa"/>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92</w:t>
            </w:r>
          </w:p>
        </w:tc>
        <w:tc>
          <w:tcPr>
            <w:tcW w:w="7071" w:type="dxa"/>
            <w:gridSpan w:val="5"/>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等保（2级）</w:t>
            </w:r>
          </w:p>
        </w:tc>
        <w:tc>
          <w:tcPr>
            <w:tcW w:w="900" w:type="dxa"/>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项</w:t>
            </w:r>
          </w:p>
        </w:tc>
        <w:tc>
          <w:tcPr>
            <w:tcW w:w="900" w:type="dxa"/>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w:t>
            </w:r>
          </w:p>
        </w:tc>
      </w:tr>
    </w:tbl>
    <w:p>
      <w:pPr>
        <w:rPr>
          <w:rFonts w:hint="default"/>
          <w:lang w:val="en-US" w:eastAsia="zh-CN"/>
        </w:rPr>
      </w:pPr>
    </w:p>
    <w:p>
      <w:pPr>
        <w:pStyle w:val="3"/>
        <w:numPr>
          <w:ilvl w:val="0"/>
          <w:numId w:val="9"/>
        </w:numPr>
        <w:bidi w:val="0"/>
        <w:ind w:left="0" w:leftChars="0" w:firstLine="0" w:firstLineChars="0"/>
        <w:rPr>
          <w:rFonts w:hint="eastAsia"/>
        </w:rPr>
      </w:pPr>
      <w:r>
        <w:rPr>
          <w:rFonts w:hint="eastAsia"/>
        </w:rPr>
        <w:t>分控中心</w:t>
      </w:r>
    </w:p>
    <w:tbl>
      <w:tblPr>
        <w:tblStyle w:val="62"/>
        <w:tblW w:w="54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07"/>
        <w:gridCol w:w="5780"/>
        <w:gridCol w:w="1013"/>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shd w:val="clear" w:color="auto" w:fill="auto"/>
            <w:noWrap w:val="0"/>
            <w:vAlign w:val="center"/>
          </w:tcPr>
          <w:p>
            <w:pPr>
              <w:widowControl/>
              <w:spacing w:line="240" w:lineRule="auto"/>
              <w:jc w:val="center"/>
              <w:rPr>
                <w:rFonts w:hint="eastAsia" w:ascii="仿宋" w:hAnsi="仿宋" w:eastAsia="仿宋" w:cs="仿宋"/>
                <w:b/>
                <w:bCs/>
                <w:color w:val="0D0D0D"/>
                <w:kern w:val="0"/>
                <w:sz w:val="21"/>
                <w:szCs w:val="21"/>
              </w:rPr>
            </w:pPr>
            <w:r>
              <w:rPr>
                <w:rFonts w:hint="eastAsia" w:ascii="仿宋" w:hAnsi="仿宋" w:eastAsia="仿宋" w:cs="仿宋"/>
                <w:b/>
                <w:bCs/>
                <w:color w:val="0D0D0D"/>
                <w:kern w:val="0"/>
                <w:sz w:val="21"/>
                <w:szCs w:val="21"/>
              </w:rPr>
              <w:t>序号</w:t>
            </w:r>
          </w:p>
        </w:tc>
        <w:tc>
          <w:tcPr>
            <w:tcW w:w="750" w:type="pct"/>
            <w:shd w:val="clear" w:color="auto" w:fill="auto"/>
            <w:noWrap w:val="0"/>
            <w:vAlign w:val="center"/>
          </w:tcPr>
          <w:p>
            <w:pPr>
              <w:widowControl/>
              <w:spacing w:line="240" w:lineRule="auto"/>
              <w:jc w:val="center"/>
              <w:rPr>
                <w:rFonts w:hint="eastAsia" w:ascii="仿宋" w:hAnsi="仿宋" w:eastAsia="仿宋" w:cs="仿宋"/>
                <w:b/>
                <w:bCs/>
                <w:color w:val="0D0D0D"/>
                <w:kern w:val="0"/>
                <w:sz w:val="21"/>
                <w:szCs w:val="21"/>
              </w:rPr>
            </w:pPr>
            <w:r>
              <w:rPr>
                <w:rFonts w:hint="eastAsia" w:ascii="仿宋" w:hAnsi="仿宋" w:eastAsia="仿宋" w:cs="仿宋"/>
                <w:b/>
                <w:bCs/>
                <w:color w:val="0D0D0D"/>
                <w:kern w:val="0"/>
                <w:sz w:val="21"/>
                <w:szCs w:val="21"/>
                <w:lang w:val="en-US" w:eastAsia="zh-CN"/>
              </w:rPr>
              <w:t>设备</w:t>
            </w:r>
            <w:r>
              <w:rPr>
                <w:rFonts w:hint="eastAsia" w:ascii="仿宋" w:hAnsi="仿宋" w:eastAsia="仿宋" w:cs="仿宋"/>
                <w:b/>
                <w:bCs/>
                <w:color w:val="0D0D0D"/>
                <w:kern w:val="0"/>
                <w:sz w:val="21"/>
                <w:szCs w:val="21"/>
              </w:rPr>
              <w:t>名称</w:t>
            </w:r>
          </w:p>
        </w:tc>
        <w:tc>
          <w:tcPr>
            <w:tcW w:w="2877" w:type="pct"/>
            <w:shd w:val="clear" w:color="000000" w:fill="FFFFFF"/>
            <w:noWrap w:val="0"/>
            <w:vAlign w:val="center"/>
          </w:tcPr>
          <w:p>
            <w:pPr>
              <w:widowControl/>
              <w:spacing w:line="240" w:lineRule="auto"/>
              <w:jc w:val="center"/>
              <w:rPr>
                <w:rFonts w:hint="eastAsia" w:ascii="仿宋" w:hAnsi="仿宋" w:eastAsia="仿宋" w:cs="仿宋"/>
                <w:b/>
                <w:bCs/>
                <w:color w:val="0D0D0D"/>
                <w:kern w:val="0"/>
                <w:sz w:val="21"/>
                <w:szCs w:val="21"/>
              </w:rPr>
            </w:pPr>
            <w:r>
              <w:rPr>
                <w:rFonts w:hint="eastAsia" w:ascii="仿宋" w:hAnsi="仿宋" w:eastAsia="仿宋" w:cs="仿宋"/>
                <w:b/>
                <w:bCs/>
                <w:color w:val="0D0D0D"/>
                <w:kern w:val="0"/>
                <w:sz w:val="21"/>
                <w:szCs w:val="21"/>
                <w:lang w:val="en-US" w:eastAsia="zh-CN"/>
              </w:rPr>
              <w:t>技术</w:t>
            </w:r>
            <w:r>
              <w:rPr>
                <w:rFonts w:hint="eastAsia" w:ascii="仿宋" w:hAnsi="仿宋" w:eastAsia="仿宋" w:cs="仿宋"/>
                <w:b/>
                <w:bCs/>
                <w:color w:val="0D0D0D"/>
                <w:kern w:val="0"/>
                <w:sz w:val="21"/>
                <w:szCs w:val="21"/>
              </w:rPr>
              <w:t>参数</w:t>
            </w:r>
          </w:p>
        </w:tc>
        <w:tc>
          <w:tcPr>
            <w:tcW w:w="504" w:type="pct"/>
            <w:noWrap w:val="0"/>
            <w:vAlign w:val="center"/>
          </w:tcPr>
          <w:p>
            <w:pPr>
              <w:widowControl/>
              <w:spacing w:line="240" w:lineRule="auto"/>
              <w:jc w:val="center"/>
              <w:rPr>
                <w:rFonts w:hint="eastAsia" w:ascii="仿宋" w:hAnsi="仿宋" w:eastAsia="仿宋" w:cs="仿宋"/>
                <w:b/>
                <w:bCs/>
                <w:color w:val="0D0D0D"/>
                <w:kern w:val="0"/>
                <w:sz w:val="21"/>
                <w:szCs w:val="21"/>
              </w:rPr>
            </w:pPr>
            <w:r>
              <w:rPr>
                <w:rFonts w:hint="eastAsia" w:ascii="仿宋" w:hAnsi="仿宋" w:eastAsia="仿宋" w:cs="仿宋"/>
                <w:b/>
                <w:bCs/>
                <w:color w:val="0D0D0D"/>
                <w:kern w:val="0"/>
                <w:sz w:val="21"/>
                <w:szCs w:val="21"/>
              </w:rPr>
              <w:t>单位</w:t>
            </w:r>
          </w:p>
        </w:tc>
        <w:tc>
          <w:tcPr>
            <w:tcW w:w="501" w:type="pct"/>
            <w:noWrap w:val="0"/>
            <w:vAlign w:val="center"/>
          </w:tcPr>
          <w:p>
            <w:pPr>
              <w:widowControl/>
              <w:spacing w:line="240" w:lineRule="auto"/>
              <w:jc w:val="center"/>
              <w:rPr>
                <w:rFonts w:hint="eastAsia" w:ascii="仿宋" w:hAnsi="仿宋" w:eastAsia="仿宋" w:cs="仿宋"/>
                <w:b/>
                <w:bCs/>
                <w:color w:val="0D0D0D"/>
                <w:kern w:val="0"/>
                <w:sz w:val="21"/>
                <w:szCs w:val="21"/>
                <w:lang w:eastAsia="zh-CN"/>
              </w:rPr>
            </w:pPr>
            <w:r>
              <w:rPr>
                <w:rFonts w:hint="eastAsia" w:ascii="仿宋" w:hAnsi="仿宋" w:eastAsia="仿宋" w:cs="仿宋"/>
                <w:b/>
                <w:bCs/>
                <w:color w:val="0D0D0D"/>
                <w:kern w:val="0"/>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750"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网络存储设备</w:t>
            </w:r>
          </w:p>
        </w:tc>
        <w:tc>
          <w:tcPr>
            <w:tcW w:w="2877" w:type="pct"/>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U机架式48盘位/64位多核处理器/16GB缓存/支持SATA//6个千兆网口/冗余电源/支持网络RAID，可接入2T/3T/4T/6T/8T/10TSATA磁盘，支持磁盘交错启动和漫游，并支持在线热插拔，可接入硬盘≥48块，支持SATA和SAS混插，并支持≥12级扩展柜级联扩展，支持FCSAN、IPSAN、NAS存储功能。</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最少1台存储节点即可构建云存储系统；支持2~16台存储节点组成的全对称架构部署模式，系统由管理节点和/或存储节点组成，且系统可扩容，增加管理或存储节点。在多节点系统中，任何一个存储节点出现故障，应不影响数据的正常存取，支持控制流与数据流分离，数据的存储或读取由存储节点并行读写。</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具备节点间容错功能，容忍N-1（N为设备总台数）台存储节点设备同时故障后，只要有1台以上存储节点设备正常，即可保证录像可写入，写入录像依然具备磁盘间容错能力。</w:t>
            </w:r>
          </w:p>
          <w:p>
            <w:pPr>
              <w:keepNext w:val="0"/>
              <w:keepLines w:val="0"/>
              <w:widowControl/>
              <w:suppressLineNumbers w:val="0"/>
              <w:jc w:val="left"/>
              <w:textAlignment w:val="top"/>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一套云存储系统可对外提供多种类型数据混合存储，同时支持分布式流式存储，分布式对象存储、分布式文件存储、分布式块存储。支持云存储系统一键部署，一键部署微视云、标准云环境，一键部署包含组建集群、创建域、自动创建资源池等。（此项参数提供相关部门检测报告）</w:t>
            </w:r>
          </w:p>
        </w:tc>
        <w:tc>
          <w:tcPr>
            <w:tcW w:w="504" w:type="pct"/>
            <w:noWrap/>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台</w:t>
            </w:r>
          </w:p>
        </w:tc>
        <w:tc>
          <w:tcPr>
            <w:tcW w:w="501" w:type="pct"/>
            <w:noWrap/>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750"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4T硬盘</w:t>
            </w:r>
          </w:p>
        </w:tc>
        <w:tc>
          <w:tcPr>
            <w:tcW w:w="2877" w:type="pct"/>
            <w:noWrap w:val="0"/>
            <w:vAlign w:val="center"/>
          </w:tcPr>
          <w:p>
            <w:pPr>
              <w:widowControl/>
              <w:spacing w:line="240" w:lineRule="auto"/>
              <w:jc w:val="left"/>
              <w:rPr>
                <w:rFonts w:hint="eastAsia" w:ascii="仿宋" w:hAnsi="仿宋" w:eastAsia="仿宋" w:cs="仿宋"/>
                <w:kern w:val="0"/>
                <w:sz w:val="21"/>
                <w:szCs w:val="21"/>
              </w:rPr>
            </w:pPr>
            <w:r>
              <w:rPr>
                <w:rFonts w:hint="eastAsia" w:ascii="仿宋" w:hAnsi="仿宋" w:eastAsia="仿宋" w:cs="仿宋"/>
                <w:kern w:val="0"/>
                <w:sz w:val="21"/>
                <w:szCs w:val="21"/>
              </w:rPr>
              <w:t>HDD,ST4000NM000A,4TB,7200,3.5寸,SATA3,ST</w:t>
            </w:r>
          </w:p>
        </w:tc>
        <w:tc>
          <w:tcPr>
            <w:tcW w:w="504" w:type="pct"/>
            <w:noWrap/>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块</w:t>
            </w:r>
          </w:p>
        </w:tc>
        <w:tc>
          <w:tcPr>
            <w:tcW w:w="501" w:type="pct"/>
            <w:noWrap/>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w:t>
            </w:r>
          </w:p>
        </w:tc>
        <w:tc>
          <w:tcPr>
            <w:tcW w:w="750"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24口千兆交换机</w:t>
            </w:r>
          </w:p>
        </w:tc>
        <w:tc>
          <w:tcPr>
            <w:tcW w:w="2877" w:type="pct"/>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1.千兆电口≥24个，10G SFP光口≥4个；</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 Console口≥1个，Manage口≥1个，提供交换机面板端口截图证明；</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3.交换容量≥432Gbps/4.32Tbps，包转发率≥156Mpps/168Mpps；</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4.支持胖瘦一体化，支持智能交换机和普通交换机两种工作模式，可以根据不同的组网需要，随时灵活的进行切换</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5.支持基于交换机单端口、聚合口的ACL策略；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支持基于源目IP地址、MAC地址的ACL策略；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支持基于协议（例如：OSPF、UDP、ARP），同时支持自定义协议号的ACL策略；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支持基于时间的ACL策略；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支持基于802.1p、IP及服务等级、DSCP的优先级设置；</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6.支持交换机端口设置为信任端口或非信任端口，非信任端口也可设置白名单响应DHCP报文</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7.支持通过控制器平台一键替换“按钮”即可完成故障设备替换；</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8.★支持M-LAG技术，跨设备链路聚合（非堆叠技术实现），要求配对的设备有独立的控制平面；</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9.支持通过APP进行远程管理，并且可以修改交换机网络配置，提供APP软件功能配置截图证明；</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10.支持通过在控制器平台的Web页面对交换机进行可视化管理查看，包括交换机的端口状态及配置、vlan信息，提供功能截图证明；</w:t>
            </w:r>
          </w:p>
          <w:p>
            <w:pPr>
              <w:keepNext w:val="0"/>
              <w:keepLines w:val="0"/>
              <w:widowControl/>
              <w:suppressLineNumbers w:val="0"/>
              <w:jc w:val="left"/>
              <w:textAlignment w:val="top"/>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 xml:space="preserve"> 11.★为满足网络安全建设需求，交换机需满足《信息安全技术 交换机安全技术要求 GA/T 684-2007》,符合安全交换机标准，提供与之对应的权威机构出具的检测报告。 </w:t>
            </w:r>
          </w:p>
        </w:tc>
        <w:tc>
          <w:tcPr>
            <w:tcW w:w="504"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台</w:t>
            </w:r>
          </w:p>
        </w:tc>
        <w:tc>
          <w:tcPr>
            <w:tcW w:w="501"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w:t>
            </w:r>
          </w:p>
        </w:tc>
        <w:tc>
          <w:tcPr>
            <w:tcW w:w="750"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48口万兆核心交换机</w:t>
            </w:r>
          </w:p>
        </w:tc>
        <w:tc>
          <w:tcPr>
            <w:tcW w:w="2877" w:type="pct"/>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1.10G万兆光口≥48个，40G 万兆QSFP光口≥6个；</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 Console口≥1个，Manage口≥1个，USB端口≥1个，为了提高设备可靠性，支持模块化可插拔双电源，风扇模块≥5个；以上设备配件均需满配；</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3.交换容量≥2.56Tbps/40.96Tbps，包转发率≥1260Mpps/1620Mpps；</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4.支持胖瘦一体化，支持智能交换机和普通交换机两种工作模式，可以根据不同的组网需要，随时灵活的进行切换；</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5.支持基于交换机单端口、聚合口的ACL策略；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支持基于源目IP地址、MAC地址的ACL策略；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支持基于协议（例如：OSPF、UDP、ARP），同时支持自定义协议号的ACL策略；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支持基于时间的ACL策略；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支持基于802.1p、IP及服务等级、DSCP的优先级设置；</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以上功能需提供平台功能配置截图证明；</w:t>
            </w:r>
          </w:p>
          <w:p>
            <w:pPr>
              <w:keepNext w:val="0"/>
              <w:keepLines w:val="0"/>
              <w:widowControl/>
              <w:numPr>
                <w:ilvl w:val="0"/>
                <w:numId w:val="10"/>
              </w:numPr>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★支持在交换机上创建东西向安全策略，实现全网安全风险拦截；</w:t>
            </w:r>
          </w:p>
          <w:p>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7.支持通过控制器平台一键替换“按钮”即可完成故障设备替换；</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8.★支持M-LAG技术，跨设备链路聚合（非堆叠技术实现），要求配对的设备有独立的控制平面；</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9.支持通过APP进行远程管理，并且可以修改交换机网络配置，提供APP软件功能配置截图证明；</w:t>
            </w:r>
          </w:p>
          <w:p>
            <w:pPr>
              <w:keepNext w:val="0"/>
              <w:keepLines w:val="0"/>
              <w:widowControl/>
              <w:suppressLineNumbers w:val="0"/>
              <w:jc w:val="left"/>
              <w:textAlignment w:val="top"/>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10.支持通过在控制器平台的Web页面对交换机进行可视化管理查看，包括交换机的端口状态及配置、vlan信息，提供功能截图证明；</w:t>
            </w:r>
          </w:p>
        </w:tc>
        <w:tc>
          <w:tcPr>
            <w:tcW w:w="504"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台</w:t>
            </w:r>
          </w:p>
        </w:tc>
        <w:tc>
          <w:tcPr>
            <w:tcW w:w="501"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w:t>
            </w:r>
          </w:p>
        </w:tc>
        <w:tc>
          <w:tcPr>
            <w:tcW w:w="750"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24口万兆汇聚交换机</w:t>
            </w:r>
          </w:p>
        </w:tc>
        <w:tc>
          <w:tcPr>
            <w:tcW w:w="2877" w:type="pct"/>
            <w:noWrap w:val="0"/>
            <w:vAlign w:val="top"/>
          </w:tcPr>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1.10G万兆光口≥24个，40G 万兆QSFP光口≥2个；</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 Console口≥1个，Manage口≥1个，支持双交流电源模块1+1冗余（热插拔）；</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3.交换容量≥2.56Tbps/23.04Tbps，包转发率≥720Mpps/1260Mpps；</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4.支持胖瘦一体化，支持智能交换机和普通交换机两种工作模式，可以根据不同的组网需要，随时灵活的进行切换</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5.支持基于交换机单端口、聚合口的ACL策略；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支持基于源目IP地址、MAC地址的ACL策略；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支持基于协议（例如：OSPF、UDP、ARP），同时支持自定义协议号的ACL策略；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支持基于时间的ACL策略；</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支持基于802.1p、IP及服务等级、DSCP的优先级设置；</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以上功能需提供平台功能配置截图证明；</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6.支持交换机端口设置为信任端口或非信任端口，非信任端口也可设置白名单响应DHCP报文</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7.支持通过控制器平台一键替换“按钮”即可完成故障设备替换；</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8.★支持M-LAG技术，跨设备链路聚合（非堆叠技术实现），要求配对的设备有独立的控制平面；</w:t>
            </w:r>
          </w:p>
          <w:p>
            <w:pPr>
              <w:keepNext w:val="0"/>
              <w:keepLines w:val="0"/>
              <w:widowControl/>
              <w:suppressLineNumbers w:val="0"/>
              <w:jc w:val="left"/>
              <w:textAlignment w:val="top"/>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9.支持通过APP进行远程管理，并且可以修改交换机网络配置，提供APP软件功能配置截图证明；</w:t>
            </w:r>
          </w:p>
          <w:p>
            <w:pPr>
              <w:keepNext w:val="0"/>
              <w:keepLines w:val="0"/>
              <w:widowControl/>
              <w:suppressLineNumbers w:val="0"/>
              <w:jc w:val="left"/>
              <w:textAlignment w:val="top"/>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 xml:space="preserve">10.支持通过在控制器平台的Web页面对交换机进行可视化管理查看，包括交换机的端口状态及配置、vlan信息，提供功能截图证明； </w:t>
            </w:r>
          </w:p>
        </w:tc>
        <w:tc>
          <w:tcPr>
            <w:tcW w:w="504"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台</w:t>
            </w:r>
          </w:p>
        </w:tc>
        <w:tc>
          <w:tcPr>
            <w:tcW w:w="501"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w:t>
            </w:r>
          </w:p>
        </w:tc>
        <w:tc>
          <w:tcPr>
            <w:tcW w:w="750"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防火墙</w:t>
            </w:r>
          </w:p>
        </w:tc>
        <w:tc>
          <w:tcPr>
            <w:tcW w:w="2877" w:type="pct"/>
            <w:noWrap w:val="0"/>
            <w:vAlign w:val="top"/>
          </w:tcPr>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标准1U硬件平台，单交流电源，500G硬盘；含10*GE电口，2*combo口，无接口扩展槽； </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网络吞吐性能4Gbps，最大并发连接数大于150万，每秒新建HTTP连接数大于4万。SSL VPN并发用户数400。</w:t>
            </w:r>
          </w:p>
          <w:p>
            <w:pPr>
              <w:pStyle w:val="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具有透明、路由、混合、旁路、虚拟线工作模式；支持端口镜像功能，支持入流量、出流量和双向流量等维度镜像。以上参数提供web配置界面截图</w:t>
            </w:r>
          </w:p>
          <w:p>
            <w:pPr>
              <w:pStyle w:val="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支持IPv4/v6双栈协议的源地址转换、目的地址转换、双向NAT、NAT44、NAT66、NAT46、NAT64等地址转换</w:t>
            </w:r>
          </w:p>
          <w:p>
            <w:pPr>
              <w:pStyle w:val="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★支持链路负载均衡和服务器负载均衡，并支持会话保持和链路健康检查。</w:t>
            </w:r>
          </w:p>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支持标准IPsec VPN和快速IPsecVPN，标准IPsecVPN认证方式包括但不限于国密认证、数字证书和预共享密钥；同品牌设备快速IPsecVPN对接时加密算法等参数无需配置，自动生成，仅需配置保护子网、共享密钥、IP地址</w:t>
            </w:r>
          </w:p>
          <w:p>
            <w:pPr>
              <w:keepNext w:val="0"/>
              <w:keepLines w:val="0"/>
              <w:widowControl/>
              <w:suppressLineNumbers w:val="0"/>
              <w:jc w:val="left"/>
              <w:textAlignment w:val="top"/>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kern w:val="0"/>
                <w:sz w:val="21"/>
                <w:szCs w:val="21"/>
                <w:highlight w:val="none"/>
              </w:rPr>
              <w:t>支持基于多元组的访问控制；并提供智能策略分析功能，支持策略命中分析、隐藏策略分析、冗余策略分析、冲突策略分析、可合并策略分析、过期策略发现、空策略发现、策略宽松度分析，并在web页面显示分析结果。以上参数提供web配置界面截图</w:t>
            </w:r>
          </w:p>
        </w:tc>
        <w:tc>
          <w:tcPr>
            <w:tcW w:w="504"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台</w:t>
            </w:r>
          </w:p>
        </w:tc>
        <w:tc>
          <w:tcPr>
            <w:tcW w:w="501"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7</w:t>
            </w:r>
          </w:p>
        </w:tc>
        <w:tc>
          <w:tcPr>
            <w:tcW w:w="750"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数据库审计</w:t>
            </w:r>
          </w:p>
        </w:tc>
        <w:tc>
          <w:tcPr>
            <w:tcW w:w="2877" w:type="pct"/>
            <w:noWrap w:val="0"/>
            <w:vAlign w:val="center"/>
          </w:tcPr>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硬件类型：工控机</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硬件尺寸：标准1U</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CPU规格：2核</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内存容量：8GB</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硬盘容量：2TB*1</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硬盘接口：企业级SATA</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网口：1管理口+1HA口+4审计口（4个千兆电）</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网口类型：1000M电口*6</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电源配置：单电源总网络吞吐量：500Mbps</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双向审计最大数据库流量：50Mbps</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峰值事务处理能力TPS：3000条/秒</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日志数量存储：10亿条</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功能描述：全功能开放</w:t>
            </w:r>
          </w:p>
          <w:p>
            <w:pPr>
              <w:widowControl/>
              <w:snapToGrid w:val="0"/>
              <w:spacing w:before="62" w:beforeLines="20" w:after="62" w:afterLines="20"/>
              <w:contextualSpacing/>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支持Oracle（包括21C版本）、PostgreSQL、SQL Server、DB2、Informix、Sybase、MySQL、MariaDB、Sybase IQ、Vertica、Tidb、PolarDB、PolarDB-X等主流数据库的审计（提供功能截图）；</w:t>
            </w:r>
          </w:p>
          <w:p>
            <w:pPr>
              <w:pStyle w:val="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支持MongoDB、Hbase、Hive、impala、Elastic Search、HDFS、Cassandra、greenplum、LibrA、graphbase、cache、Redis、HANA、ArangoDB、Neo4j、OrientDB等非关系型数据库的审计（提供功能截图）；</w:t>
            </w:r>
          </w:p>
          <w:p>
            <w:pPr>
              <w:widowControl/>
              <w:snapToGrid w:val="0"/>
              <w:spacing w:before="62" w:beforeLines="20" w:after="62" w:afterLines="20"/>
              <w:contextualSpacing/>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rPr>
              <w:t>审计信息能够记录执行时长，影响行数、执行结果描述与返回结果集；</w:t>
            </w:r>
          </w:p>
          <w:p>
            <w:pPr>
              <w:widowControl/>
              <w:spacing w:line="24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★产品具有内置规则，规则类型有sql注入、账号安全、数据泄露和违规操作等，并可依据规则进行邮件告警；</w:t>
            </w:r>
          </w:p>
        </w:tc>
        <w:tc>
          <w:tcPr>
            <w:tcW w:w="504"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台</w:t>
            </w:r>
          </w:p>
        </w:tc>
        <w:tc>
          <w:tcPr>
            <w:tcW w:w="501"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8</w:t>
            </w:r>
          </w:p>
        </w:tc>
        <w:tc>
          <w:tcPr>
            <w:tcW w:w="750"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日志审计</w:t>
            </w:r>
          </w:p>
        </w:tc>
        <w:tc>
          <w:tcPr>
            <w:tcW w:w="2877" w:type="pct"/>
            <w:noWrap w:val="0"/>
            <w:vAlign w:val="center"/>
          </w:tcPr>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标配：</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标准1U硬件，1个console口</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网口类别：6个千兆工作管理口(1管理口+1HA口+4审计口)</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硬盘：2T*1</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内存：8G</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单电源</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日志处理能力200EPS。</w:t>
            </w:r>
          </w:p>
          <w:p>
            <w:pPr>
              <w:pStyle w:val="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资产授权数量：25</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采用解决方案包上传对产品进行功能扩展，无需要代码开发（提供</w:t>
            </w:r>
            <w:r>
              <w:rPr>
                <w:rFonts w:hint="eastAsia" w:ascii="仿宋" w:hAnsi="仿宋" w:eastAsia="仿宋" w:cs="仿宋"/>
                <w:kern w:val="0"/>
                <w:sz w:val="21"/>
                <w:szCs w:val="21"/>
                <w:highlight w:val="none"/>
                <w:lang w:eastAsia="zh-CN"/>
              </w:rPr>
              <w:t>功能</w:t>
            </w:r>
            <w:r>
              <w:rPr>
                <w:rFonts w:hint="eastAsia" w:ascii="仿宋" w:hAnsi="仿宋" w:eastAsia="仿宋" w:cs="仿宋"/>
                <w:kern w:val="0"/>
                <w:sz w:val="21"/>
                <w:szCs w:val="21"/>
                <w:highlight w:val="none"/>
              </w:rPr>
              <w:t>截图）；</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支持kafka日志接收转发、大数据安全域同步、APT沙箱报告转发等大数据联调功能，Kafka收发支持SSL加密。（提供</w:t>
            </w:r>
            <w:r>
              <w:rPr>
                <w:rFonts w:hint="eastAsia" w:ascii="仿宋" w:hAnsi="仿宋" w:eastAsia="仿宋" w:cs="仿宋"/>
                <w:kern w:val="0"/>
                <w:sz w:val="21"/>
                <w:szCs w:val="21"/>
                <w:highlight w:val="none"/>
                <w:lang w:eastAsia="zh-CN"/>
              </w:rPr>
              <w:t>功能</w:t>
            </w:r>
            <w:r>
              <w:rPr>
                <w:rFonts w:hint="eastAsia" w:ascii="仿宋" w:hAnsi="仿宋" w:eastAsia="仿宋" w:cs="仿宋"/>
                <w:kern w:val="0"/>
                <w:sz w:val="21"/>
                <w:szCs w:val="21"/>
                <w:highlight w:val="none"/>
              </w:rPr>
              <w:t>截图）；</w:t>
            </w:r>
          </w:p>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支持手动或按周期自动备份系统配置，可随时对系统资产等配置进行还原操作，且自动备份周期与备份包个数可配；支持系统配置备份自动备份至远程服务器（提供</w:t>
            </w:r>
            <w:r>
              <w:rPr>
                <w:rFonts w:hint="eastAsia" w:ascii="仿宋" w:hAnsi="仿宋" w:eastAsia="仿宋" w:cs="仿宋"/>
                <w:kern w:val="0"/>
                <w:sz w:val="21"/>
                <w:szCs w:val="21"/>
                <w:highlight w:val="none"/>
                <w:lang w:eastAsia="zh-CN"/>
              </w:rPr>
              <w:t>功能</w:t>
            </w:r>
            <w:r>
              <w:rPr>
                <w:rFonts w:hint="eastAsia" w:ascii="仿宋" w:hAnsi="仿宋" w:eastAsia="仿宋" w:cs="仿宋"/>
                <w:kern w:val="0"/>
                <w:sz w:val="21"/>
                <w:szCs w:val="21"/>
                <w:highlight w:val="none"/>
              </w:rPr>
              <w:t>截图）。</w:t>
            </w:r>
          </w:p>
          <w:p>
            <w:pPr>
              <w:widowControl/>
              <w:spacing w:line="24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支持通过界面自定义字段方式实现与第三方平台的数据共享，快速满足第三方平台个性化分析和对接需求</w:t>
            </w:r>
          </w:p>
        </w:tc>
        <w:tc>
          <w:tcPr>
            <w:tcW w:w="504"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台</w:t>
            </w:r>
          </w:p>
        </w:tc>
        <w:tc>
          <w:tcPr>
            <w:tcW w:w="501"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9</w:t>
            </w:r>
          </w:p>
        </w:tc>
        <w:tc>
          <w:tcPr>
            <w:tcW w:w="750"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EDR</w:t>
            </w:r>
          </w:p>
        </w:tc>
        <w:tc>
          <w:tcPr>
            <w:tcW w:w="2877" w:type="pct"/>
            <w:noWrap w:val="0"/>
            <w:vAlign w:val="center"/>
          </w:tcPr>
          <w:p>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一个中心及六个服务器端，适用于各类型服务器防护</w:t>
            </w:r>
          </w:p>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Windows server 2003、Windows server 2008、Windows server 2012、Windows server 2016、Win xp 、Win 7、Win 8、Win 10、Centos 5.0 +、Redhat 5.0 + 、Suse11 +、Ubuntu 14 +。</w:t>
            </w:r>
          </w:p>
          <w:p>
            <w:pPr>
              <w:pStyle w:val="2"/>
              <w:rPr>
                <w:rFonts w:hint="eastAsia" w:ascii="仿宋" w:hAnsi="仿宋" w:eastAsia="仿宋" w:cs="仿宋"/>
                <w:sz w:val="21"/>
                <w:szCs w:val="21"/>
                <w:highlight w:val="none"/>
              </w:rPr>
            </w:pPr>
            <w:r>
              <w:rPr>
                <w:rFonts w:hint="eastAsia" w:ascii="仿宋" w:hAnsi="仿宋" w:eastAsia="仿宋" w:cs="仿宋"/>
                <w:sz w:val="21"/>
                <w:szCs w:val="21"/>
                <w:highlight w:val="none"/>
              </w:rPr>
              <w:t>通过公安部检测获得网络版防病毒产品（一级品）销售许可证书</w:t>
            </w:r>
          </w:p>
          <w:p>
            <w:pPr>
              <w:outlineLvl w:val="1"/>
              <w:rPr>
                <w:rFonts w:hint="eastAsia" w:ascii="仿宋" w:hAnsi="仿宋" w:eastAsia="仿宋" w:cs="仿宋"/>
                <w:b/>
                <w:bCs/>
                <w:sz w:val="21"/>
                <w:szCs w:val="21"/>
                <w:highlight w:val="none"/>
              </w:rPr>
            </w:pPr>
            <w:r>
              <w:rPr>
                <w:rFonts w:hint="eastAsia" w:ascii="仿宋" w:hAnsi="仿宋" w:eastAsia="仿宋" w:cs="仿宋"/>
                <w:sz w:val="21"/>
                <w:szCs w:val="21"/>
                <w:highlight w:val="none"/>
              </w:rPr>
              <w:t>支持对CPU、内存、磁盘读写、网络上下行流量达到配置阈值时告警。支持对CPU、内存达到一定阈值时客户端进行熔断。（提供相关功能截图证明）</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支持对本机的扩展行为（信息收集、权限提升）进行监测，防止提权行为和信息泄露（提供相关功能截图证明）</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识别渗透过程中的隧道代理（端口映射、端口转发、内网代理），可阻断隧道代理搭建行为（提供相关功能截图证明）</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对失陷后主机远控持久化行为进行检测（反弹shell、远程控制），可阻断远控（提供相关功能截图证明）</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对内网的恶意攻击行为进行识别（漏洞利用、横向移动），可阻断恶意探测行为（提供相关功能截图证明）</w:t>
            </w:r>
          </w:p>
          <w:p>
            <w:pPr>
              <w:widowControl/>
              <w:spacing w:line="240" w:lineRule="auto"/>
              <w:jc w:val="left"/>
              <w:rPr>
                <w:rFonts w:hint="eastAsia" w:ascii="仿宋" w:hAnsi="仿宋" w:eastAsia="仿宋" w:cs="仿宋"/>
                <w:kern w:val="0"/>
                <w:sz w:val="21"/>
                <w:szCs w:val="21"/>
                <w:highlight w:val="none"/>
              </w:rPr>
            </w:pPr>
            <w:r>
              <w:rPr>
                <w:rFonts w:hint="eastAsia" w:ascii="仿宋" w:hAnsi="仿宋" w:eastAsia="仿宋" w:cs="仿宋"/>
                <w:sz w:val="21"/>
                <w:szCs w:val="21"/>
                <w:highlight w:val="none"/>
              </w:rPr>
              <w:t>可对渗透的收尾阶段的数据清除行为进行识别和阻断（提供相关功能截图证明）</w:t>
            </w:r>
          </w:p>
        </w:tc>
        <w:tc>
          <w:tcPr>
            <w:tcW w:w="504"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套</w:t>
            </w:r>
          </w:p>
        </w:tc>
        <w:tc>
          <w:tcPr>
            <w:tcW w:w="501"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750"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智能物联综合管理平台</w:t>
            </w:r>
          </w:p>
        </w:tc>
        <w:tc>
          <w:tcPr>
            <w:tcW w:w="2877" w:type="pct"/>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慧景区管理平台面向景区管委会信息中心管理人员，景区保卫处安保人员，景区领导等用户，通过接入视频监控、入侵报警、一卡通、停车场等系统的设备，获取边缘节点数据，实现安防信息化集成与联动。智慧景区管理平台基于设备、服务、基础信息库、内外部组件等实现应用集成，建立集景区监控、人车管控、客流分析、车流分析、游客属性分析、营运地图、停车场余位、景区拥堵发布、景区营运数据看板等业务应用为一体的综合管理平台。通过将多种应用功能模块集中整合在平台中，从多个维度对景区安保、运营等工作进行管理。 基础模块-视频告警：支持通用视频及告警应用，支持视频监控、录像回放、电视墙、图片监控、告警处置等；具备对外开放能力。</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运营分析-客流数据：展示全部景区、景点或某个区域的客流量、客流排行、同环比分析。支持通过日、周、月、季、年、节假日的维度展示。</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运营分析-有客户画像分析：支持展示全部景区、景点或某个区域游客的男女比例和性别比例，展示不同时间段性别比例的趋势。</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运营分析-车流分析：支持展示全部景区、景点或某个景区车流统计，停车场数据统计，车辆来源地分析。</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运营分析-地图分析：接入营运地图，实现客流、车流、停车场地图可视化展现。</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运营分析-数据看板：支持景区历史客流、车流、营运地图看板数据展现。</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人员管控-人脸考勤：支持通用场景下的多规则、多时段的人脸签到考勤；支持按预设的规则进行考勤数据查询及按照行为类型进行筛选导出。</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人员管控-刷脸进出：支持各出入场景的人脸识别及管控，支持开放式或非开放式通道，并进行监控、按规则通行、同行人查询及记录检索；支持视频接力配置，针对出入口人脸告警进行视频接力查看（告警追踪）；支持简单的请假管理或从第三方系统获取请假信息。 安全性高：平台外无权限端点到流媒体取流的防范，预览、回放URL基于令牌验证体系，并结合权限验证服务。支持公网\局域网隔离部署。用户密码安全传输。事件消息支持加密（需要配置数字证书）。</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系统稳定：各类应用业务子系统支持集群部署，无单点故障。平台的数据同步机制可确保出现连接不通情况也不会丢失数据，且具备自动修复能力。可自动化收集版本，提供安装工具并支持修复模式，部分组件支持第三方热备方案。</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兼容性好：设备接入支持兼容SDK、国标、Ehome、Onvif、PSIA等协议；支持各类前后端智能设备或数据中心产品。支持基于国标（GB/T 28181-2011）和省标（DB33/T 629-2011）协议的平台级联。支持标准RTSP协议。支持SNMP协议的网管采集。</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易于维护：自动化、可视化安装部署；支持数据备份；支持发现并添加在线设备；支持通过域名管理设备，设备IP地址变化不影响业务应用；支持批量升级编码设备软件版本。检测加密狗或License更新，支持立即生效。</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支持多类编解码格式：支持Smart264、H.265、SVAC编码的视频预览、回放。支持4K预览、回放、上传、下载。可支持Smart264、H.265编码与4K分辨率视频的解码上墙（注：需设备支持）。</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同步录像计划：支持将存储设备(DVR和NVR)的本地录像计划导入到平台中，无需在平台重复配置录像计划。支持按组织批量配置，支持单点/多点的配置：支持选在单点/多点的配置方式。支持告警联动的批量配置。</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HG7163/64G DDR4/1.2T 10K SAS×2（RAID 1）/SAS_HBA/1GbE×2/550W(1+1)/3Y</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2U单路标准机架式服务器</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CPU：1颗 x86架构HYGON处理器，核数≥16核，频率≥2.4GHz</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内存:64G DDR4，16根内存插槽，最大支持扩展至2TB内存</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硬盘：2块1.2T 10K 2.5寸SAS硬盘</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阵列卡：SAS_HBA卡, 支持RAID 0/1/10</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PCIE扩展：最大可支持6个PCIe扩展插槽</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网口：2个千兆电口</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其他接口：1个千兆RJ-45管理接口，4个USB 3.0接口，2个位于机箱后部，2个位于机箱前部</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1个VGA口，位于机箱后部</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电源：标配550W（1+1）白金冗余电源 </w:t>
            </w:r>
          </w:p>
          <w:p>
            <w:pPr>
              <w:keepNext w:val="0"/>
              <w:keepLines w:val="0"/>
              <w:widowControl/>
              <w:suppressLineNumbers w:val="0"/>
              <w:jc w:val="left"/>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支持200-240V 50/60Hz AC/HVDC</w:t>
            </w:r>
          </w:p>
          <w:p>
            <w:pPr>
              <w:keepNext w:val="0"/>
              <w:keepLines w:val="0"/>
              <w:widowControl/>
              <w:suppressLineNumbers w:val="0"/>
              <w:jc w:val="left"/>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操作系统：HIK os</w:t>
            </w:r>
          </w:p>
        </w:tc>
        <w:tc>
          <w:tcPr>
            <w:tcW w:w="504" w:type="pct"/>
            <w:noWrap/>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台</w:t>
            </w:r>
          </w:p>
        </w:tc>
        <w:tc>
          <w:tcPr>
            <w:tcW w:w="501" w:type="pct"/>
            <w:noWrap/>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11</w:t>
            </w:r>
          </w:p>
        </w:tc>
        <w:tc>
          <w:tcPr>
            <w:tcW w:w="750" w:type="pct"/>
            <w:noWrap w:val="0"/>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景区管理平台服务器</w:t>
            </w:r>
          </w:p>
        </w:tc>
        <w:tc>
          <w:tcPr>
            <w:tcW w:w="2877" w:type="pct"/>
            <w:noWrap w:val="0"/>
            <w:vAlign w:val="center"/>
          </w:tcPr>
          <w:p>
            <w:pPr>
              <w:widowControl/>
              <w:spacing w:line="240" w:lineRule="auto"/>
              <w:jc w:val="left"/>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HG7163/64G DDR4/600GB 10K SAS×2(RAID_1)/RAID_2G/1GbE×4/550W(1+1)/2U/3Y</w:t>
            </w:r>
          </w:p>
          <w:p>
            <w:pPr>
              <w:widowControl/>
              <w:spacing w:line="24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2U单路标准机架式服务器，1颗 x86架构HYGON处理器，核数≥16核，频率≥2.4GHz，64G DDR4，16根内存插槽，2块600G 10K 2.5英寸SAS盘，4个千兆电口，1个千兆RJ-45管理接口，4个USB 3.0接口，1个VGA口。</w:t>
            </w:r>
          </w:p>
        </w:tc>
        <w:tc>
          <w:tcPr>
            <w:tcW w:w="504"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台</w:t>
            </w:r>
          </w:p>
        </w:tc>
        <w:tc>
          <w:tcPr>
            <w:tcW w:w="501" w:type="pct"/>
            <w:noWrap/>
            <w:vAlign w:val="center"/>
          </w:tcPr>
          <w:p>
            <w:pPr>
              <w:widowControl/>
              <w:spacing w:line="240" w:lineRule="auto"/>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750"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光模块</w:t>
            </w:r>
          </w:p>
        </w:tc>
        <w:tc>
          <w:tcPr>
            <w:tcW w:w="2877" w:type="pct"/>
            <w:noWrap w:val="0"/>
            <w:vAlign w:val="center"/>
          </w:tcPr>
          <w:p>
            <w:pPr>
              <w:widowControl/>
              <w:spacing w:line="240" w:lineRule="auto"/>
              <w:jc w:val="left"/>
              <w:rPr>
                <w:rFonts w:hint="eastAsia" w:ascii="仿宋" w:hAnsi="仿宋" w:eastAsia="仿宋" w:cs="仿宋"/>
                <w:kern w:val="0"/>
                <w:sz w:val="21"/>
                <w:szCs w:val="21"/>
              </w:rPr>
            </w:pPr>
            <w:r>
              <w:rPr>
                <w:rFonts w:hint="eastAsia" w:ascii="仿宋" w:hAnsi="仿宋" w:eastAsia="仿宋" w:cs="仿宋"/>
                <w:color w:val="000000"/>
                <w:kern w:val="0"/>
                <w:sz w:val="21"/>
                <w:szCs w:val="21"/>
                <w:lang w:bidi="ar"/>
              </w:rPr>
              <w:t>万兆SFP单模（10Km，1310nm，LC，DDM）</w:t>
            </w:r>
          </w:p>
        </w:tc>
        <w:tc>
          <w:tcPr>
            <w:tcW w:w="504" w:type="pct"/>
            <w:noWrap/>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个</w:t>
            </w:r>
          </w:p>
        </w:tc>
        <w:tc>
          <w:tcPr>
            <w:tcW w:w="501" w:type="pct"/>
            <w:noWrap/>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6"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750" w:type="pct"/>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辅材</w:t>
            </w:r>
          </w:p>
        </w:tc>
        <w:tc>
          <w:tcPr>
            <w:tcW w:w="2877" w:type="pct"/>
            <w:noWrap w:val="0"/>
            <w:vAlign w:val="center"/>
          </w:tcPr>
          <w:p>
            <w:pPr>
              <w:widowControl/>
              <w:spacing w:line="240" w:lineRule="auto"/>
              <w:jc w:val="left"/>
              <w:rPr>
                <w:rFonts w:hint="eastAsia" w:ascii="仿宋" w:hAnsi="仿宋" w:eastAsia="仿宋" w:cs="仿宋"/>
                <w:kern w:val="0"/>
                <w:sz w:val="21"/>
                <w:szCs w:val="21"/>
              </w:rPr>
            </w:pPr>
            <w:r>
              <w:rPr>
                <w:rFonts w:hint="eastAsia" w:ascii="仿宋" w:hAnsi="仿宋" w:eastAsia="仿宋" w:cs="仿宋"/>
                <w:kern w:val="0"/>
                <w:sz w:val="21"/>
                <w:szCs w:val="21"/>
              </w:rPr>
              <w:t>定制</w:t>
            </w:r>
          </w:p>
        </w:tc>
        <w:tc>
          <w:tcPr>
            <w:tcW w:w="504" w:type="pct"/>
            <w:noWrap/>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批</w:t>
            </w:r>
          </w:p>
        </w:tc>
        <w:tc>
          <w:tcPr>
            <w:tcW w:w="501" w:type="pct"/>
            <w:noWrap/>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bl>
    <w:p>
      <w:pPr>
        <w:numPr>
          <w:ilvl w:val="0"/>
          <w:numId w:val="0"/>
        </w:numPr>
        <w:ind w:leftChars="0"/>
        <w:rPr>
          <w:rFonts w:hint="default"/>
          <w:lang w:val="en-US" w:eastAsia="zh-CN"/>
        </w:rPr>
      </w:pPr>
    </w:p>
    <w:p>
      <w:pPr>
        <w:rPr>
          <w:rFonts w:hint="default"/>
          <w:lang w:val="en-US" w:eastAsia="zh-CN"/>
        </w:rPr>
      </w:pPr>
    </w:p>
    <w:p>
      <w:pPr>
        <w:rPr>
          <w:rFonts w:hint="eastAsia" w:ascii="仿宋_GB2312" w:hAnsi="仿宋" w:eastAsia="仿宋_GB2312" w:cs="仿宋_GB2312"/>
          <w:b/>
          <w:color w:val="auto"/>
          <w:sz w:val="36"/>
          <w:szCs w:val="36"/>
          <w:highlight w:val="none"/>
        </w:rPr>
      </w:pPr>
    </w:p>
    <w:p>
      <w:pPr>
        <w:pStyle w:val="17"/>
      </w:pPr>
    </w:p>
    <w:p>
      <w:pP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widowControl/>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 xml:space="preserve">第四部分   </w:t>
      </w:r>
      <w:bookmarkStart w:id="25" w:name="_Toc184314424"/>
      <w:bookmarkEnd w:id="25"/>
      <w:bookmarkStart w:id="26" w:name="_Toc184308055"/>
      <w:bookmarkEnd w:id="26"/>
      <w:bookmarkStart w:id="27" w:name="_Toc184308036"/>
      <w:bookmarkEnd w:id="27"/>
      <w:bookmarkStart w:id="28" w:name="_Toc184313290"/>
      <w:bookmarkEnd w:id="28"/>
      <w:bookmarkStart w:id="29" w:name="_Toc184314427"/>
      <w:bookmarkEnd w:id="29"/>
      <w:bookmarkStart w:id="30" w:name="_Toc184310327"/>
      <w:bookmarkEnd w:id="30"/>
      <w:bookmarkStart w:id="31" w:name="_Toc184312088"/>
      <w:bookmarkEnd w:id="31"/>
      <w:bookmarkStart w:id="32" w:name="_Toc184308076"/>
      <w:bookmarkEnd w:id="32"/>
      <w:bookmarkStart w:id="33" w:name="_Toc184312136"/>
      <w:bookmarkEnd w:id="33"/>
      <w:bookmarkStart w:id="34" w:name="_Toc184310339"/>
      <w:bookmarkEnd w:id="34"/>
      <w:bookmarkStart w:id="35" w:name="_Toc184313293"/>
      <w:bookmarkEnd w:id="35"/>
      <w:bookmarkStart w:id="36" w:name="_Toc184310299"/>
      <w:bookmarkEnd w:id="36"/>
      <w:bookmarkStart w:id="37" w:name="_Toc184313305"/>
      <w:bookmarkEnd w:id="37"/>
      <w:bookmarkStart w:id="38" w:name="_Toc184312114"/>
      <w:bookmarkEnd w:id="38"/>
      <w:bookmarkStart w:id="39" w:name="_Toc184312131"/>
      <w:bookmarkEnd w:id="39"/>
      <w:bookmarkStart w:id="40" w:name="_Toc184308098"/>
      <w:bookmarkEnd w:id="40"/>
      <w:bookmarkStart w:id="41" w:name="_Toc184313306"/>
      <w:bookmarkEnd w:id="41"/>
      <w:bookmarkStart w:id="42" w:name="_Toc184308037"/>
      <w:bookmarkEnd w:id="42"/>
      <w:bookmarkStart w:id="43" w:name="_Toc184313307"/>
      <w:bookmarkEnd w:id="43"/>
      <w:bookmarkStart w:id="44" w:name="_Toc184312089"/>
      <w:bookmarkEnd w:id="44"/>
      <w:bookmarkStart w:id="45" w:name="_Toc184310301"/>
      <w:bookmarkEnd w:id="45"/>
      <w:bookmarkStart w:id="46" w:name="_Toc184314465"/>
      <w:bookmarkEnd w:id="46"/>
      <w:bookmarkStart w:id="47" w:name="_Toc184310316"/>
      <w:bookmarkEnd w:id="47"/>
      <w:bookmarkStart w:id="48" w:name="_Toc184312082"/>
      <w:bookmarkEnd w:id="48"/>
      <w:bookmarkStart w:id="49" w:name="_Toc184308049"/>
      <w:bookmarkEnd w:id="49"/>
      <w:bookmarkStart w:id="50" w:name="_Toc184314415"/>
      <w:bookmarkEnd w:id="50"/>
      <w:bookmarkStart w:id="51" w:name="_Toc184312135"/>
      <w:bookmarkEnd w:id="51"/>
      <w:bookmarkStart w:id="52" w:name="_Toc184308056"/>
      <w:bookmarkEnd w:id="52"/>
      <w:bookmarkStart w:id="53" w:name="_Toc184308046"/>
      <w:bookmarkEnd w:id="53"/>
      <w:bookmarkStart w:id="54" w:name="_Toc184308083"/>
      <w:bookmarkEnd w:id="54"/>
      <w:bookmarkStart w:id="55" w:name="_Toc184312074"/>
      <w:bookmarkEnd w:id="55"/>
      <w:bookmarkStart w:id="56" w:name="_Toc184308092"/>
      <w:bookmarkEnd w:id="56"/>
      <w:bookmarkStart w:id="57" w:name="_Toc184312071"/>
      <w:bookmarkEnd w:id="57"/>
      <w:bookmarkStart w:id="58" w:name="_Toc184310286"/>
      <w:bookmarkEnd w:id="58"/>
      <w:bookmarkStart w:id="59" w:name="_Toc184312108"/>
      <w:bookmarkEnd w:id="59"/>
      <w:bookmarkStart w:id="60" w:name="_Toc184313280"/>
      <w:bookmarkEnd w:id="60"/>
      <w:bookmarkStart w:id="61" w:name="_Toc184310303"/>
      <w:bookmarkEnd w:id="61"/>
      <w:bookmarkStart w:id="62" w:name="_Toc184314445"/>
      <w:bookmarkEnd w:id="62"/>
      <w:bookmarkStart w:id="63" w:name="_Toc184312117"/>
      <w:bookmarkEnd w:id="63"/>
      <w:bookmarkStart w:id="64" w:name="_Toc184310344"/>
      <w:bookmarkEnd w:id="64"/>
      <w:bookmarkStart w:id="65" w:name="_Toc184314478"/>
      <w:bookmarkEnd w:id="65"/>
      <w:bookmarkStart w:id="66" w:name="_Toc184313285"/>
      <w:bookmarkEnd w:id="66"/>
      <w:bookmarkStart w:id="67" w:name="_Toc184314450"/>
      <w:bookmarkEnd w:id="67"/>
      <w:bookmarkStart w:id="68" w:name="_Toc184313276"/>
      <w:bookmarkEnd w:id="68"/>
      <w:bookmarkStart w:id="69" w:name="_Toc184308081"/>
      <w:bookmarkEnd w:id="69"/>
      <w:bookmarkStart w:id="70" w:name="_Toc184312125"/>
      <w:bookmarkEnd w:id="70"/>
      <w:bookmarkStart w:id="71" w:name="_Toc184308053"/>
      <w:bookmarkEnd w:id="71"/>
      <w:bookmarkStart w:id="72" w:name="_Toc184312123"/>
      <w:bookmarkEnd w:id="72"/>
      <w:bookmarkStart w:id="73" w:name="_Toc184308105"/>
      <w:bookmarkEnd w:id="73"/>
      <w:bookmarkStart w:id="74" w:name="_Toc184314451"/>
      <w:bookmarkEnd w:id="74"/>
      <w:bookmarkStart w:id="75" w:name="_Toc184314434"/>
      <w:bookmarkEnd w:id="75"/>
      <w:bookmarkStart w:id="76" w:name="_Toc184308078"/>
      <w:bookmarkEnd w:id="76"/>
      <w:bookmarkStart w:id="77" w:name="_Toc184314440"/>
      <w:bookmarkEnd w:id="77"/>
      <w:bookmarkStart w:id="78" w:name="_Toc184308045"/>
      <w:bookmarkEnd w:id="78"/>
      <w:bookmarkStart w:id="79" w:name="_Toc184308087"/>
      <w:bookmarkEnd w:id="79"/>
      <w:bookmarkStart w:id="80" w:name="_Toc184312085"/>
      <w:bookmarkEnd w:id="80"/>
      <w:bookmarkStart w:id="81" w:name="_Toc184312075"/>
      <w:bookmarkEnd w:id="81"/>
      <w:bookmarkStart w:id="82" w:name="_Toc184310294"/>
      <w:bookmarkEnd w:id="82"/>
      <w:bookmarkStart w:id="83" w:name="_Toc184312106"/>
      <w:bookmarkEnd w:id="83"/>
      <w:bookmarkStart w:id="84" w:name="_Toc184314463"/>
      <w:bookmarkEnd w:id="84"/>
      <w:bookmarkStart w:id="85" w:name="_Toc184308058"/>
      <w:bookmarkEnd w:id="85"/>
      <w:bookmarkStart w:id="86" w:name="_Toc184308067"/>
      <w:bookmarkEnd w:id="86"/>
      <w:bookmarkStart w:id="87" w:name="_Toc184313287"/>
      <w:bookmarkEnd w:id="87"/>
      <w:bookmarkStart w:id="88" w:name="_Toc184308097"/>
      <w:bookmarkEnd w:id="88"/>
      <w:bookmarkStart w:id="89" w:name="_Toc184314411"/>
      <w:bookmarkEnd w:id="89"/>
      <w:bookmarkStart w:id="90" w:name="_Toc184308075"/>
      <w:bookmarkEnd w:id="90"/>
      <w:bookmarkStart w:id="91" w:name="_Toc184312127"/>
      <w:bookmarkEnd w:id="91"/>
      <w:bookmarkStart w:id="92" w:name="_Toc184310325"/>
      <w:bookmarkEnd w:id="92"/>
      <w:bookmarkStart w:id="93" w:name="_Toc184314460"/>
      <w:bookmarkEnd w:id="93"/>
      <w:bookmarkStart w:id="94" w:name="_Toc184313273"/>
      <w:bookmarkEnd w:id="94"/>
      <w:bookmarkStart w:id="95" w:name="_Toc184310311"/>
      <w:bookmarkEnd w:id="95"/>
      <w:bookmarkStart w:id="96" w:name="_Toc184314426"/>
      <w:bookmarkEnd w:id="96"/>
      <w:bookmarkStart w:id="97" w:name="_Toc184310284"/>
      <w:bookmarkEnd w:id="97"/>
      <w:bookmarkStart w:id="98" w:name="_Toc184312090"/>
      <w:bookmarkEnd w:id="98"/>
      <w:bookmarkStart w:id="99" w:name="_Toc184314442"/>
      <w:bookmarkEnd w:id="99"/>
      <w:bookmarkStart w:id="100" w:name="_Toc184310333"/>
      <w:bookmarkEnd w:id="100"/>
      <w:bookmarkStart w:id="101" w:name="_Toc184308101"/>
      <w:bookmarkEnd w:id="101"/>
      <w:bookmarkStart w:id="102" w:name="_Toc184312084"/>
      <w:bookmarkEnd w:id="102"/>
      <w:bookmarkStart w:id="103" w:name="_Toc184308064"/>
      <w:bookmarkEnd w:id="103"/>
      <w:bookmarkStart w:id="104" w:name="_Toc184310323"/>
      <w:bookmarkEnd w:id="104"/>
      <w:bookmarkStart w:id="105" w:name="_Toc184310277"/>
      <w:bookmarkEnd w:id="105"/>
      <w:bookmarkStart w:id="106" w:name="_Toc184310334"/>
      <w:bookmarkEnd w:id="106"/>
      <w:bookmarkStart w:id="107" w:name="_Toc184310292"/>
      <w:bookmarkEnd w:id="107"/>
      <w:bookmarkStart w:id="108" w:name="_Toc184310295"/>
      <w:bookmarkEnd w:id="108"/>
      <w:bookmarkStart w:id="109" w:name="_Toc184314439"/>
      <w:bookmarkEnd w:id="109"/>
      <w:bookmarkStart w:id="110" w:name="_Toc184314410"/>
      <w:bookmarkEnd w:id="110"/>
      <w:bookmarkStart w:id="111" w:name="_Toc184308065"/>
      <w:bookmarkEnd w:id="111"/>
      <w:bookmarkStart w:id="112" w:name="_Toc184314471"/>
      <w:bookmarkEnd w:id="112"/>
      <w:bookmarkStart w:id="113" w:name="_Toc184312098"/>
      <w:bookmarkEnd w:id="113"/>
      <w:bookmarkStart w:id="114" w:name="_Toc184313272"/>
      <w:bookmarkEnd w:id="114"/>
      <w:bookmarkStart w:id="115" w:name="_Toc184312080"/>
      <w:bookmarkEnd w:id="115"/>
      <w:bookmarkStart w:id="116" w:name="_Toc184312138"/>
      <w:bookmarkEnd w:id="116"/>
      <w:bookmarkStart w:id="117" w:name="_Toc184313288"/>
      <w:bookmarkEnd w:id="117"/>
      <w:bookmarkStart w:id="118" w:name="_Toc184312118"/>
      <w:bookmarkEnd w:id="118"/>
      <w:bookmarkStart w:id="119" w:name="_Toc184313269"/>
      <w:bookmarkEnd w:id="119"/>
      <w:bookmarkStart w:id="120" w:name="_Toc184308079"/>
      <w:bookmarkEnd w:id="120"/>
      <w:bookmarkStart w:id="121" w:name="_Toc184310272"/>
      <w:bookmarkEnd w:id="121"/>
      <w:bookmarkStart w:id="122" w:name="_Toc184313265"/>
      <w:bookmarkEnd w:id="122"/>
      <w:bookmarkStart w:id="123" w:name="_Toc184308069"/>
      <w:bookmarkEnd w:id="123"/>
      <w:bookmarkStart w:id="124" w:name="_Toc184313292"/>
      <w:bookmarkEnd w:id="124"/>
      <w:bookmarkStart w:id="125" w:name="_Toc184312091"/>
      <w:bookmarkEnd w:id="125"/>
      <w:bookmarkStart w:id="126" w:name="_Toc184312103"/>
      <w:bookmarkEnd w:id="126"/>
      <w:bookmarkStart w:id="127" w:name="_Toc184308047"/>
      <w:bookmarkEnd w:id="127"/>
      <w:bookmarkStart w:id="128" w:name="_Toc184313297"/>
      <w:bookmarkEnd w:id="128"/>
      <w:bookmarkStart w:id="129" w:name="_Toc184308041"/>
      <w:bookmarkEnd w:id="129"/>
      <w:bookmarkStart w:id="130" w:name="_Toc184312068"/>
      <w:bookmarkEnd w:id="130"/>
      <w:bookmarkStart w:id="131" w:name="_Toc184313301"/>
      <w:bookmarkEnd w:id="131"/>
      <w:bookmarkStart w:id="132" w:name="_Toc184312076"/>
      <w:bookmarkEnd w:id="132"/>
      <w:bookmarkStart w:id="133" w:name="_Toc184313284"/>
      <w:bookmarkEnd w:id="133"/>
      <w:bookmarkStart w:id="134" w:name="_Toc184312126"/>
      <w:bookmarkEnd w:id="134"/>
      <w:bookmarkStart w:id="135" w:name="_Toc184313300"/>
      <w:bookmarkEnd w:id="135"/>
      <w:bookmarkStart w:id="136" w:name="_Toc184313268"/>
      <w:bookmarkEnd w:id="136"/>
      <w:bookmarkStart w:id="137" w:name="_Toc184310290"/>
      <w:bookmarkEnd w:id="137"/>
      <w:bookmarkStart w:id="138" w:name="_Toc184308051"/>
      <w:bookmarkEnd w:id="138"/>
      <w:bookmarkStart w:id="139" w:name="_Toc184312100"/>
      <w:bookmarkEnd w:id="139"/>
      <w:bookmarkStart w:id="140" w:name="_Toc184313266"/>
      <w:bookmarkEnd w:id="140"/>
      <w:bookmarkStart w:id="141" w:name="_Toc184308074"/>
      <w:bookmarkEnd w:id="141"/>
      <w:bookmarkStart w:id="142" w:name="_Toc184310342"/>
      <w:bookmarkEnd w:id="142"/>
      <w:bookmarkStart w:id="143" w:name="_Toc184308071"/>
      <w:bookmarkEnd w:id="143"/>
      <w:bookmarkStart w:id="144" w:name="_Toc184312095"/>
      <w:bookmarkEnd w:id="144"/>
      <w:bookmarkStart w:id="145" w:name="_Toc184310306"/>
      <w:bookmarkEnd w:id="145"/>
      <w:bookmarkStart w:id="146" w:name="_Toc184312119"/>
      <w:bookmarkEnd w:id="146"/>
      <w:bookmarkStart w:id="147" w:name="_Toc184314452"/>
      <w:bookmarkEnd w:id="147"/>
      <w:bookmarkStart w:id="148" w:name="_Toc184310329"/>
      <w:bookmarkEnd w:id="148"/>
      <w:bookmarkStart w:id="149" w:name="_Toc184314430"/>
      <w:bookmarkEnd w:id="149"/>
      <w:bookmarkStart w:id="150" w:name="_Toc184313246"/>
      <w:bookmarkEnd w:id="150"/>
      <w:bookmarkStart w:id="151" w:name="_Toc184312070"/>
      <w:bookmarkEnd w:id="151"/>
      <w:bookmarkStart w:id="152" w:name="_Toc184308070"/>
      <w:bookmarkEnd w:id="152"/>
      <w:bookmarkStart w:id="153" w:name="_Toc184310331"/>
      <w:bookmarkEnd w:id="153"/>
      <w:bookmarkStart w:id="154" w:name="_Toc184310278"/>
      <w:bookmarkEnd w:id="154"/>
      <w:bookmarkStart w:id="155" w:name="_Toc184310341"/>
      <w:bookmarkEnd w:id="155"/>
      <w:bookmarkStart w:id="156" w:name="_Toc184310302"/>
      <w:bookmarkEnd w:id="156"/>
      <w:bookmarkStart w:id="157" w:name="_Toc184308042"/>
      <w:bookmarkEnd w:id="157"/>
      <w:bookmarkStart w:id="158" w:name="_Toc184308085"/>
      <w:bookmarkEnd w:id="158"/>
      <w:bookmarkStart w:id="159" w:name="_Toc184310288"/>
      <w:bookmarkEnd w:id="159"/>
      <w:bookmarkStart w:id="160" w:name="_Toc184312079"/>
      <w:bookmarkEnd w:id="160"/>
      <w:bookmarkStart w:id="161" w:name="_Toc184314428"/>
      <w:bookmarkEnd w:id="161"/>
      <w:bookmarkStart w:id="162" w:name="_Toc184310298"/>
      <w:bookmarkEnd w:id="162"/>
      <w:bookmarkStart w:id="163" w:name="_Toc184312139"/>
      <w:bookmarkEnd w:id="163"/>
      <w:bookmarkStart w:id="164" w:name="_Toc184314425"/>
      <w:bookmarkEnd w:id="164"/>
      <w:bookmarkStart w:id="165" w:name="_Toc184310304"/>
      <w:bookmarkEnd w:id="165"/>
      <w:bookmarkStart w:id="166" w:name="_Toc184310321"/>
      <w:bookmarkEnd w:id="166"/>
      <w:bookmarkStart w:id="167" w:name="_Toc184312110"/>
      <w:bookmarkEnd w:id="167"/>
      <w:bookmarkStart w:id="168" w:name="_Toc184313245"/>
      <w:bookmarkEnd w:id="168"/>
      <w:bookmarkStart w:id="169" w:name="_Toc184308080"/>
      <w:bookmarkEnd w:id="169"/>
      <w:bookmarkStart w:id="170" w:name="_Toc184308089"/>
      <w:bookmarkEnd w:id="170"/>
      <w:bookmarkStart w:id="171" w:name="_Toc184312109"/>
      <w:bookmarkEnd w:id="171"/>
      <w:bookmarkStart w:id="172" w:name="_Toc184308050"/>
      <w:bookmarkEnd w:id="172"/>
      <w:bookmarkStart w:id="173" w:name="_Toc184310336"/>
      <w:bookmarkEnd w:id="173"/>
      <w:bookmarkStart w:id="174" w:name="_Toc184313281"/>
      <w:bookmarkEnd w:id="174"/>
      <w:bookmarkStart w:id="175" w:name="_Toc184308077"/>
      <w:bookmarkEnd w:id="175"/>
      <w:bookmarkStart w:id="176" w:name="_Toc184313278"/>
      <w:bookmarkEnd w:id="176"/>
      <w:bookmarkStart w:id="177" w:name="_Toc184308073"/>
      <w:bookmarkEnd w:id="177"/>
      <w:bookmarkStart w:id="178" w:name="_Toc184312111"/>
      <w:bookmarkEnd w:id="178"/>
      <w:bookmarkStart w:id="179" w:name="_Toc184314477"/>
      <w:bookmarkEnd w:id="179"/>
      <w:bookmarkStart w:id="180" w:name="_Toc184310273"/>
      <w:bookmarkEnd w:id="180"/>
      <w:bookmarkStart w:id="181" w:name="_Toc184313252"/>
      <w:bookmarkEnd w:id="181"/>
      <w:bookmarkStart w:id="182" w:name="_Toc184313256"/>
      <w:bookmarkEnd w:id="182"/>
      <w:bookmarkStart w:id="183" w:name="_Toc184314457"/>
      <w:bookmarkEnd w:id="183"/>
      <w:bookmarkStart w:id="184" w:name="_Toc184310326"/>
      <w:bookmarkEnd w:id="184"/>
      <w:bookmarkStart w:id="185" w:name="_Toc184308104"/>
      <w:bookmarkEnd w:id="185"/>
      <w:bookmarkStart w:id="186" w:name="_Toc184308094"/>
      <w:bookmarkEnd w:id="186"/>
      <w:bookmarkStart w:id="187" w:name="_Toc184313271"/>
      <w:bookmarkEnd w:id="187"/>
      <w:bookmarkStart w:id="188" w:name="_Toc184310310"/>
      <w:bookmarkEnd w:id="188"/>
      <w:bookmarkStart w:id="189" w:name="_Toc184308088"/>
      <w:bookmarkEnd w:id="189"/>
      <w:bookmarkStart w:id="190" w:name="_Toc184312097"/>
      <w:bookmarkEnd w:id="190"/>
      <w:bookmarkStart w:id="191" w:name="_Toc184313302"/>
      <w:bookmarkEnd w:id="191"/>
      <w:bookmarkStart w:id="192" w:name="_Toc184314448"/>
      <w:bookmarkEnd w:id="192"/>
      <w:bookmarkStart w:id="193" w:name="_Toc184308068"/>
      <w:bookmarkEnd w:id="193"/>
      <w:bookmarkStart w:id="194" w:name="_Toc184313250"/>
      <w:bookmarkEnd w:id="194"/>
      <w:bookmarkStart w:id="195" w:name="_Toc184312077"/>
      <w:bookmarkEnd w:id="195"/>
      <w:bookmarkStart w:id="196" w:name="_Toc184310275"/>
      <w:bookmarkEnd w:id="196"/>
      <w:bookmarkStart w:id="197" w:name="_Toc184314436"/>
      <w:bookmarkEnd w:id="197"/>
      <w:bookmarkStart w:id="198" w:name="_Toc184314413"/>
      <w:bookmarkEnd w:id="198"/>
      <w:bookmarkStart w:id="199" w:name="_Toc184313279"/>
      <w:bookmarkEnd w:id="199"/>
      <w:bookmarkStart w:id="200" w:name="_Toc184308082"/>
      <w:bookmarkEnd w:id="200"/>
      <w:bookmarkStart w:id="201" w:name="_Toc184308091"/>
      <w:bookmarkEnd w:id="201"/>
      <w:bookmarkStart w:id="202" w:name="_Toc184313267"/>
      <w:bookmarkEnd w:id="202"/>
      <w:bookmarkStart w:id="203" w:name="_Toc184312113"/>
      <w:bookmarkEnd w:id="203"/>
      <w:bookmarkStart w:id="204" w:name="_Toc184310293"/>
      <w:bookmarkEnd w:id="204"/>
      <w:bookmarkStart w:id="205" w:name="_Toc184312093"/>
      <w:bookmarkEnd w:id="205"/>
      <w:bookmarkStart w:id="206" w:name="_Toc184314454"/>
      <w:bookmarkEnd w:id="206"/>
      <w:bookmarkStart w:id="207" w:name="_Toc184308038"/>
      <w:bookmarkEnd w:id="207"/>
      <w:bookmarkStart w:id="208" w:name="_Toc184310309"/>
      <w:bookmarkEnd w:id="208"/>
      <w:bookmarkStart w:id="209" w:name="_Toc184308093"/>
      <w:bookmarkEnd w:id="209"/>
      <w:bookmarkStart w:id="210" w:name="_Toc184308095"/>
      <w:bookmarkEnd w:id="210"/>
      <w:bookmarkStart w:id="211" w:name="_Toc184310274"/>
      <w:bookmarkEnd w:id="211"/>
      <w:bookmarkStart w:id="212" w:name="_Toc184310330"/>
      <w:bookmarkEnd w:id="212"/>
      <w:bookmarkStart w:id="213" w:name="_Toc184310340"/>
      <w:bookmarkEnd w:id="213"/>
      <w:bookmarkStart w:id="214" w:name="_Toc184314482"/>
      <w:bookmarkEnd w:id="214"/>
      <w:bookmarkStart w:id="215" w:name="_Toc184312128"/>
      <w:bookmarkEnd w:id="215"/>
      <w:bookmarkStart w:id="216" w:name="_Toc184308107"/>
      <w:bookmarkEnd w:id="216"/>
      <w:bookmarkStart w:id="217" w:name="_Toc184313309"/>
      <w:bookmarkEnd w:id="217"/>
      <w:bookmarkStart w:id="218" w:name="_Toc184314466"/>
      <w:bookmarkEnd w:id="218"/>
      <w:bookmarkStart w:id="219" w:name="_Toc184314421"/>
      <w:bookmarkEnd w:id="219"/>
      <w:bookmarkStart w:id="220" w:name="_Toc184314446"/>
      <w:bookmarkEnd w:id="220"/>
      <w:bookmarkStart w:id="221" w:name="_Toc184314419"/>
      <w:bookmarkEnd w:id="221"/>
      <w:bookmarkStart w:id="222" w:name="_Toc184314479"/>
      <w:bookmarkEnd w:id="222"/>
      <w:bookmarkStart w:id="223" w:name="_Toc184314449"/>
      <w:bookmarkEnd w:id="223"/>
      <w:bookmarkStart w:id="224" w:name="_Toc184313242"/>
      <w:bookmarkEnd w:id="224"/>
      <w:bookmarkStart w:id="225" w:name="_Toc184308072"/>
      <w:bookmarkEnd w:id="225"/>
      <w:bookmarkStart w:id="226" w:name="_Toc184313254"/>
      <w:bookmarkEnd w:id="226"/>
      <w:bookmarkStart w:id="227" w:name="_Toc184313244"/>
      <w:bookmarkEnd w:id="227"/>
      <w:bookmarkStart w:id="228" w:name="_Toc184310319"/>
      <w:bookmarkEnd w:id="228"/>
      <w:bookmarkStart w:id="229" w:name="_Toc184312073"/>
      <w:bookmarkEnd w:id="229"/>
      <w:bookmarkStart w:id="230" w:name="_Toc184308090"/>
      <w:bookmarkEnd w:id="230"/>
      <w:bookmarkStart w:id="231" w:name="_Toc184313258"/>
      <w:bookmarkEnd w:id="231"/>
      <w:bookmarkStart w:id="232" w:name="_Toc184314462"/>
      <w:bookmarkEnd w:id="232"/>
      <w:bookmarkStart w:id="233" w:name="_Toc184308063"/>
      <w:bookmarkEnd w:id="233"/>
      <w:bookmarkStart w:id="234" w:name="_Toc184312107"/>
      <w:bookmarkEnd w:id="234"/>
      <w:bookmarkStart w:id="235" w:name="_Toc184310285"/>
      <w:bookmarkEnd w:id="235"/>
      <w:bookmarkStart w:id="236" w:name="_Toc184308106"/>
      <w:bookmarkEnd w:id="236"/>
      <w:bookmarkStart w:id="237" w:name="_Toc184310280"/>
      <w:bookmarkEnd w:id="237"/>
      <w:bookmarkStart w:id="238" w:name="_Toc184312137"/>
      <w:bookmarkEnd w:id="238"/>
      <w:bookmarkStart w:id="239" w:name="_Toc184312099"/>
      <w:bookmarkEnd w:id="239"/>
      <w:bookmarkStart w:id="240" w:name="_Toc184314423"/>
      <w:bookmarkEnd w:id="240"/>
      <w:bookmarkStart w:id="241" w:name="_Toc184313239"/>
      <w:bookmarkEnd w:id="241"/>
      <w:bookmarkStart w:id="242" w:name="_Toc184313263"/>
      <w:bookmarkEnd w:id="242"/>
      <w:bookmarkStart w:id="243" w:name="_Toc184310335"/>
      <w:bookmarkEnd w:id="243"/>
      <w:bookmarkStart w:id="244" w:name="_Toc184314447"/>
      <w:bookmarkEnd w:id="244"/>
      <w:bookmarkStart w:id="245" w:name="_Toc184314467"/>
      <w:bookmarkEnd w:id="245"/>
      <w:bookmarkStart w:id="246" w:name="_Toc184313270"/>
      <w:bookmarkEnd w:id="246"/>
      <w:bookmarkStart w:id="247" w:name="_Toc184308039"/>
      <w:bookmarkEnd w:id="247"/>
      <w:bookmarkStart w:id="248" w:name="_Toc184308054"/>
      <w:bookmarkEnd w:id="248"/>
      <w:bookmarkStart w:id="249" w:name="_Toc184308044"/>
      <w:bookmarkEnd w:id="249"/>
      <w:bookmarkStart w:id="250" w:name="_Toc184310279"/>
      <w:bookmarkEnd w:id="250"/>
      <w:bookmarkStart w:id="251" w:name="_Toc184310291"/>
      <w:bookmarkEnd w:id="251"/>
      <w:bookmarkStart w:id="252" w:name="_Toc184310324"/>
      <w:bookmarkEnd w:id="252"/>
      <w:bookmarkStart w:id="253" w:name="_Toc184310332"/>
      <w:bookmarkEnd w:id="253"/>
      <w:bookmarkStart w:id="254" w:name="_Toc184308103"/>
      <w:bookmarkEnd w:id="254"/>
      <w:bookmarkStart w:id="255" w:name="_Toc184312105"/>
      <w:bookmarkEnd w:id="255"/>
      <w:bookmarkStart w:id="256" w:name="_Toc184314416"/>
      <w:bookmarkEnd w:id="256"/>
      <w:bookmarkStart w:id="257" w:name="_Toc184312086"/>
      <w:bookmarkEnd w:id="257"/>
      <w:bookmarkStart w:id="258" w:name="_Toc184313248"/>
      <w:bookmarkEnd w:id="258"/>
      <w:bookmarkStart w:id="259" w:name="_Toc184310276"/>
      <w:bookmarkEnd w:id="259"/>
      <w:bookmarkStart w:id="260" w:name="_Toc184310338"/>
      <w:bookmarkEnd w:id="260"/>
      <w:bookmarkStart w:id="261" w:name="_Toc184314481"/>
      <w:bookmarkEnd w:id="261"/>
      <w:bookmarkStart w:id="262" w:name="_Toc184314458"/>
      <w:bookmarkEnd w:id="262"/>
      <w:bookmarkStart w:id="263" w:name="_Toc184312122"/>
      <w:bookmarkEnd w:id="263"/>
      <w:bookmarkStart w:id="264" w:name="_Toc184310318"/>
      <w:bookmarkEnd w:id="264"/>
      <w:bookmarkStart w:id="265" w:name="_Toc184308100"/>
      <w:bookmarkEnd w:id="265"/>
      <w:bookmarkStart w:id="266" w:name="_Toc184310289"/>
      <w:bookmarkEnd w:id="266"/>
      <w:bookmarkStart w:id="267" w:name="_Toc184314420"/>
      <w:bookmarkEnd w:id="267"/>
      <w:bookmarkStart w:id="268" w:name="_Toc184310315"/>
      <w:bookmarkEnd w:id="268"/>
      <w:bookmarkStart w:id="269" w:name="_Toc184314437"/>
      <w:bookmarkEnd w:id="269"/>
      <w:bookmarkStart w:id="270" w:name="_Toc184308102"/>
      <w:bookmarkEnd w:id="270"/>
      <w:bookmarkStart w:id="271" w:name="_Toc184314412"/>
      <w:bookmarkEnd w:id="271"/>
      <w:bookmarkStart w:id="272" w:name="_Toc184312067"/>
      <w:bookmarkEnd w:id="272"/>
      <w:bookmarkStart w:id="273" w:name="_Toc184310297"/>
      <w:bookmarkEnd w:id="273"/>
      <w:bookmarkStart w:id="274" w:name="_Toc184310337"/>
      <w:bookmarkEnd w:id="274"/>
      <w:bookmarkStart w:id="275" w:name="_Toc184314459"/>
      <w:bookmarkEnd w:id="275"/>
      <w:bookmarkStart w:id="276" w:name="_Toc184308086"/>
      <w:bookmarkEnd w:id="276"/>
      <w:bookmarkStart w:id="277" w:name="_Toc184310282"/>
      <w:bookmarkEnd w:id="277"/>
      <w:bookmarkStart w:id="278" w:name="_Toc184313241"/>
      <w:bookmarkEnd w:id="278"/>
      <w:bookmarkStart w:id="279" w:name="_Toc184310328"/>
      <w:bookmarkEnd w:id="279"/>
      <w:bookmarkStart w:id="280" w:name="_Toc184310322"/>
      <w:bookmarkEnd w:id="280"/>
      <w:bookmarkStart w:id="281" w:name="_Toc184314414"/>
      <w:bookmarkEnd w:id="281"/>
      <w:bookmarkStart w:id="282" w:name="_Toc184312078"/>
      <w:bookmarkEnd w:id="282"/>
      <w:bookmarkStart w:id="283" w:name="_Toc184313247"/>
      <w:bookmarkEnd w:id="283"/>
      <w:bookmarkStart w:id="284" w:name="_Toc184313275"/>
      <w:bookmarkEnd w:id="284"/>
      <w:bookmarkStart w:id="285" w:name="_Toc184313240"/>
      <w:bookmarkEnd w:id="285"/>
      <w:bookmarkStart w:id="286" w:name="_Toc184313304"/>
      <w:bookmarkEnd w:id="286"/>
      <w:bookmarkStart w:id="287" w:name="_Toc184312134"/>
      <w:bookmarkEnd w:id="287"/>
      <w:bookmarkStart w:id="288" w:name="_Toc184310300"/>
      <w:bookmarkEnd w:id="288"/>
      <w:bookmarkStart w:id="289" w:name="_Toc184310307"/>
      <w:bookmarkEnd w:id="289"/>
      <w:bookmarkStart w:id="290" w:name="_Toc184312112"/>
      <w:bookmarkEnd w:id="290"/>
      <w:bookmarkStart w:id="291" w:name="_Toc184312094"/>
      <w:bookmarkEnd w:id="291"/>
      <w:bookmarkStart w:id="292" w:name="_Toc184308057"/>
      <w:bookmarkEnd w:id="292"/>
      <w:bookmarkStart w:id="293" w:name="_Toc184313257"/>
      <w:bookmarkEnd w:id="293"/>
      <w:bookmarkStart w:id="294" w:name="_Toc184312101"/>
      <w:bookmarkEnd w:id="294"/>
      <w:bookmarkStart w:id="295" w:name="_Toc184312121"/>
      <w:bookmarkEnd w:id="295"/>
      <w:bookmarkStart w:id="296" w:name="_Toc184313291"/>
      <w:bookmarkEnd w:id="296"/>
      <w:bookmarkStart w:id="297" w:name="_Toc184314441"/>
      <w:bookmarkEnd w:id="297"/>
      <w:bookmarkStart w:id="298" w:name="_Toc184313249"/>
      <w:bookmarkEnd w:id="298"/>
      <w:bookmarkStart w:id="299" w:name="_Toc184313310"/>
      <w:bookmarkEnd w:id="299"/>
      <w:bookmarkStart w:id="300" w:name="_Toc184314476"/>
      <w:bookmarkEnd w:id="300"/>
      <w:bookmarkStart w:id="301" w:name="_Toc184313283"/>
      <w:bookmarkEnd w:id="301"/>
      <w:bookmarkStart w:id="302" w:name="_Toc184313260"/>
      <w:bookmarkEnd w:id="302"/>
      <w:bookmarkStart w:id="303" w:name="_Toc184313243"/>
      <w:bookmarkEnd w:id="303"/>
      <w:bookmarkStart w:id="304" w:name="_Toc184313253"/>
      <w:bookmarkEnd w:id="304"/>
      <w:bookmarkStart w:id="305" w:name="_Toc184310281"/>
      <w:bookmarkEnd w:id="305"/>
      <w:bookmarkStart w:id="306" w:name="_Toc184310314"/>
      <w:bookmarkEnd w:id="306"/>
      <w:bookmarkStart w:id="307" w:name="_Toc184314470"/>
      <w:bookmarkEnd w:id="307"/>
      <w:bookmarkStart w:id="308" w:name="_Toc184314456"/>
      <w:bookmarkEnd w:id="308"/>
      <w:bookmarkStart w:id="309" w:name="_Toc184314433"/>
      <w:bookmarkEnd w:id="309"/>
      <w:bookmarkStart w:id="310" w:name="_Toc184312092"/>
      <w:bookmarkEnd w:id="310"/>
      <w:bookmarkStart w:id="311" w:name="_Toc184310320"/>
      <w:bookmarkEnd w:id="311"/>
      <w:bookmarkStart w:id="312" w:name="_Toc184314432"/>
      <w:bookmarkEnd w:id="312"/>
      <w:bookmarkStart w:id="313" w:name="_Toc184313298"/>
      <w:bookmarkEnd w:id="313"/>
      <w:bookmarkStart w:id="314" w:name="_Toc184313262"/>
      <w:bookmarkEnd w:id="314"/>
      <w:bookmarkStart w:id="315" w:name="_Toc184312115"/>
      <w:bookmarkEnd w:id="315"/>
      <w:bookmarkStart w:id="316" w:name="_Toc184308096"/>
      <w:bookmarkEnd w:id="316"/>
      <w:bookmarkStart w:id="317" w:name="_Toc184314431"/>
      <w:bookmarkEnd w:id="317"/>
      <w:bookmarkStart w:id="318" w:name="_Toc184308052"/>
      <w:bookmarkEnd w:id="318"/>
      <w:bookmarkStart w:id="319" w:name="_Toc184308059"/>
      <w:bookmarkEnd w:id="319"/>
      <w:bookmarkStart w:id="320" w:name="_Toc184310283"/>
      <w:bookmarkEnd w:id="320"/>
      <w:bookmarkStart w:id="321" w:name="_Toc184312120"/>
      <w:bookmarkEnd w:id="321"/>
      <w:bookmarkStart w:id="322" w:name="_Toc184310308"/>
      <w:bookmarkEnd w:id="322"/>
      <w:bookmarkStart w:id="323" w:name="_Toc184312130"/>
      <w:bookmarkEnd w:id="323"/>
      <w:bookmarkStart w:id="324" w:name="_Toc184310343"/>
      <w:bookmarkEnd w:id="324"/>
      <w:bookmarkStart w:id="325" w:name="_Toc184313299"/>
      <w:bookmarkEnd w:id="325"/>
      <w:bookmarkStart w:id="326" w:name="_Toc184313255"/>
      <w:bookmarkEnd w:id="326"/>
      <w:bookmarkStart w:id="327" w:name="_Toc184312096"/>
      <w:bookmarkEnd w:id="327"/>
      <w:bookmarkStart w:id="328" w:name="_Toc184313286"/>
      <w:bookmarkEnd w:id="328"/>
      <w:bookmarkStart w:id="329" w:name="_Toc184308084"/>
      <w:bookmarkEnd w:id="329"/>
      <w:bookmarkStart w:id="330" w:name="_Toc184308060"/>
      <w:bookmarkEnd w:id="330"/>
      <w:bookmarkStart w:id="331" w:name="_Toc184310313"/>
      <w:bookmarkEnd w:id="331"/>
      <w:bookmarkStart w:id="332" w:name="_Toc184313282"/>
      <w:bookmarkEnd w:id="332"/>
      <w:bookmarkStart w:id="333" w:name="_Toc184310317"/>
      <w:bookmarkEnd w:id="333"/>
      <w:bookmarkStart w:id="334" w:name="_Toc184312083"/>
      <w:bookmarkEnd w:id="334"/>
      <w:bookmarkStart w:id="335" w:name="_Toc184312072"/>
      <w:bookmarkEnd w:id="335"/>
      <w:bookmarkStart w:id="336" w:name="_Toc184308062"/>
      <w:bookmarkEnd w:id="336"/>
      <w:bookmarkStart w:id="337" w:name="_Toc184314473"/>
      <w:bookmarkEnd w:id="337"/>
      <w:bookmarkStart w:id="338" w:name="_Toc184313261"/>
      <w:bookmarkEnd w:id="338"/>
      <w:bookmarkStart w:id="339" w:name="_Toc184312124"/>
      <w:bookmarkEnd w:id="339"/>
      <w:bookmarkStart w:id="340" w:name="_Toc184312129"/>
      <w:bookmarkEnd w:id="340"/>
      <w:bookmarkStart w:id="341" w:name="_Toc184310287"/>
      <w:bookmarkEnd w:id="341"/>
      <w:bookmarkStart w:id="342" w:name="_Toc184312069"/>
      <w:bookmarkEnd w:id="342"/>
      <w:bookmarkStart w:id="343" w:name="_Toc184312087"/>
      <w:bookmarkEnd w:id="343"/>
      <w:bookmarkStart w:id="344" w:name="_Toc184314453"/>
      <w:bookmarkEnd w:id="344"/>
      <w:bookmarkStart w:id="345" w:name="_Toc184314461"/>
      <w:bookmarkEnd w:id="345"/>
      <w:bookmarkStart w:id="346" w:name="_Toc184313295"/>
      <w:bookmarkEnd w:id="346"/>
      <w:bookmarkStart w:id="347" w:name="_Toc184314435"/>
      <w:bookmarkEnd w:id="347"/>
      <w:bookmarkStart w:id="348" w:name="_Toc184308048"/>
      <w:bookmarkEnd w:id="348"/>
      <w:bookmarkStart w:id="349" w:name="_Toc184314464"/>
      <w:bookmarkEnd w:id="349"/>
      <w:bookmarkStart w:id="350" w:name="_Toc184313259"/>
      <w:bookmarkEnd w:id="350"/>
      <w:bookmarkStart w:id="351" w:name="_Toc184314418"/>
      <w:bookmarkEnd w:id="351"/>
      <w:bookmarkStart w:id="352" w:name="_Toc184308066"/>
      <w:bookmarkEnd w:id="352"/>
      <w:bookmarkStart w:id="353" w:name="_Toc184314469"/>
      <w:bookmarkEnd w:id="353"/>
      <w:bookmarkStart w:id="354" w:name="_Toc184314444"/>
      <w:bookmarkEnd w:id="354"/>
      <w:bookmarkStart w:id="355" w:name="_Toc184313251"/>
      <w:bookmarkEnd w:id="355"/>
      <w:bookmarkStart w:id="356" w:name="_Toc184313289"/>
      <w:bookmarkEnd w:id="356"/>
      <w:bookmarkStart w:id="357" w:name="_Toc184314438"/>
      <w:bookmarkEnd w:id="357"/>
      <w:bookmarkStart w:id="358" w:name="_Toc184308040"/>
      <w:bookmarkEnd w:id="358"/>
      <w:bookmarkStart w:id="359" w:name="_Toc184308108"/>
      <w:bookmarkEnd w:id="359"/>
      <w:bookmarkStart w:id="360" w:name="_Toc184310296"/>
      <w:bookmarkEnd w:id="360"/>
      <w:bookmarkStart w:id="361" w:name="_Toc184314472"/>
      <w:bookmarkEnd w:id="361"/>
      <w:bookmarkStart w:id="362" w:name="_Toc184308043"/>
      <w:bookmarkEnd w:id="362"/>
      <w:bookmarkStart w:id="363" w:name="_Toc184314468"/>
      <w:bookmarkEnd w:id="363"/>
      <w:bookmarkStart w:id="364" w:name="_Toc184308099"/>
      <w:bookmarkEnd w:id="364"/>
      <w:bookmarkStart w:id="365" w:name="_Toc184314480"/>
      <w:bookmarkEnd w:id="365"/>
      <w:bookmarkStart w:id="366" w:name="_Toc184313238"/>
      <w:bookmarkEnd w:id="366"/>
      <w:bookmarkStart w:id="367" w:name="_Toc184313308"/>
      <w:bookmarkEnd w:id="367"/>
      <w:bookmarkStart w:id="368" w:name="_Toc184310305"/>
      <w:bookmarkEnd w:id="368"/>
      <w:bookmarkStart w:id="369" w:name="_Toc184314455"/>
      <w:bookmarkEnd w:id="369"/>
      <w:bookmarkStart w:id="370" w:name="_Toc184312133"/>
      <w:bookmarkEnd w:id="370"/>
      <w:bookmarkStart w:id="371" w:name="_Toc184313294"/>
      <w:bookmarkEnd w:id="371"/>
      <w:bookmarkStart w:id="372" w:name="_Toc184312081"/>
      <w:bookmarkEnd w:id="372"/>
      <w:bookmarkStart w:id="373" w:name="_Toc184313303"/>
      <w:bookmarkEnd w:id="373"/>
      <w:bookmarkStart w:id="374" w:name="_Toc184313274"/>
      <w:bookmarkEnd w:id="374"/>
      <w:bookmarkStart w:id="375" w:name="_Toc184312104"/>
      <w:bookmarkEnd w:id="375"/>
      <w:bookmarkStart w:id="376" w:name="_Toc184310312"/>
      <w:bookmarkEnd w:id="376"/>
      <w:bookmarkStart w:id="377" w:name="_Toc184312132"/>
      <w:bookmarkEnd w:id="377"/>
      <w:bookmarkStart w:id="378" w:name="_Toc184312116"/>
      <w:bookmarkEnd w:id="378"/>
      <w:bookmarkStart w:id="379" w:name="_Toc184314422"/>
      <w:bookmarkEnd w:id="379"/>
      <w:bookmarkStart w:id="380" w:name="_Toc184312102"/>
      <w:bookmarkEnd w:id="380"/>
      <w:bookmarkStart w:id="381" w:name="_Toc184314417"/>
      <w:bookmarkEnd w:id="381"/>
      <w:bookmarkStart w:id="382" w:name="_Toc184314474"/>
      <w:bookmarkEnd w:id="382"/>
      <w:bookmarkStart w:id="383" w:name="_Toc184313277"/>
      <w:bookmarkEnd w:id="383"/>
      <w:bookmarkStart w:id="384" w:name="_Toc184308061"/>
      <w:bookmarkEnd w:id="384"/>
      <w:bookmarkStart w:id="385" w:name="_Toc184313296"/>
      <w:bookmarkEnd w:id="385"/>
      <w:bookmarkStart w:id="386" w:name="_Toc184314475"/>
      <w:bookmarkEnd w:id="386"/>
      <w:bookmarkStart w:id="387" w:name="_Toc184314429"/>
      <w:bookmarkEnd w:id="387"/>
      <w:bookmarkStart w:id="388" w:name="_Toc184313264"/>
      <w:bookmarkEnd w:id="388"/>
      <w:bookmarkStart w:id="389" w:name="_Toc184314443"/>
      <w:bookmarkEnd w:id="389"/>
      <w:r>
        <w:rPr>
          <w:rFonts w:hint="eastAsia" w:ascii="仿宋_GB2312" w:hAnsi="仿宋" w:eastAsia="仿宋_GB2312" w:cs="仿宋_GB2312"/>
          <w:b/>
          <w:color w:val="auto"/>
          <w:sz w:val="36"/>
          <w:szCs w:val="36"/>
          <w:highlight w:val="none"/>
        </w:rPr>
        <w:t>评标方法及评分标准</w:t>
      </w:r>
    </w:p>
    <w:p>
      <w:pPr>
        <w:adjustRightInd w:val="0"/>
        <w:snapToGrid w:val="0"/>
        <w:spacing w:line="360" w:lineRule="auto"/>
        <w:ind w:firstLine="3052" w:firstLineChars="950"/>
        <w:rPr>
          <w:rFonts w:ascii="仿宋_GB2312" w:hAnsi="仿宋" w:eastAsia="仿宋_GB2312" w:cs="Times New Roman"/>
          <w:b/>
          <w:color w:val="auto"/>
          <w:sz w:val="28"/>
          <w:szCs w:val="28"/>
          <w:highlight w:val="none"/>
        </w:rPr>
      </w:pPr>
      <w:r>
        <w:rPr>
          <w:rFonts w:hint="eastAsia" w:ascii="仿宋_GB2312" w:hAnsi="仿宋" w:eastAsia="仿宋_GB2312" w:cs="仿宋_GB2312"/>
          <w:b/>
          <w:color w:val="auto"/>
          <w:sz w:val="32"/>
          <w:szCs w:val="24"/>
          <w:highlight w:val="none"/>
        </w:rPr>
        <w:t>一、评标方法</w:t>
      </w:r>
    </w:p>
    <w:p>
      <w:pPr>
        <w:spacing w:line="360" w:lineRule="auto"/>
        <w:rPr>
          <w:rFonts w:ascii="仿宋_GB2312" w:hAnsi="仿宋" w:eastAsia="仿宋_GB2312" w:cs="Arial"/>
          <w:color w:val="auto"/>
          <w:kern w:val="0"/>
          <w:sz w:val="24"/>
          <w:szCs w:val="24"/>
          <w:highlight w:val="none"/>
        </w:rPr>
      </w:pPr>
      <w:r>
        <w:rPr>
          <w:rFonts w:hint="eastAsia" w:ascii="仿宋_GB2312" w:hAnsi="仿宋" w:eastAsia="仿宋_GB2312" w:cs="Arial"/>
          <w:b/>
          <w:color w:val="auto"/>
          <w:kern w:val="0"/>
          <w:sz w:val="24"/>
          <w:szCs w:val="24"/>
          <w:highlight w:val="none"/>
        </w:rPr>
        <w:t>1.综合评分法。</w:t>
      </w:r>
      <w:r>
        <w:rPr>
          <w:rFonts w:hint="eastAsia" w:ascii="仿宋_GB2312" w:hAnsi="仿宋" w:eastAsia="仿宋_GB2312" w:cs="Arial"/>
          <w:color w:val="auto"/>
          <w:kern w:val="0"/>
          <w:sz w:val="24"/>
          <w:szCs w:val="24"/>
          <w:highlight w:val="none"/>
        </w:rPr>
        <w:t>综合评分法，是指投标文件满足招标文件全部实质性要求，且按照评审因素的量化指标评审得分最高的投标人为中标候选人的评标方法。</w:t>
      </w:r>
    </w:p>
    <w:p>
      <w:pPr>
        <w:spacing w:line="360" w:lineRule="auto"/>
        <w:rPr>
          <w:rFonts w:ascii="仿宋_GB2312" w:hAnsi="仿宋" w:eastAsia="仿宋_GB2312" w:cs="Arial"/>
          <w:color w:val="auto"/>
          <w:kern w:val="0"/>
          <w:sz w:val="24"/>
          <w:szCs w:val="24"/>
          <w:highlight w:val="none"/>
        </w:rPr>
      </w:pPr>
    </w:p>
    <w:p>
      <w:pPr>
        <w:adjustRightInd w:val="0"/>
        <w:snapToGrid w:val="0"/>
        <w:spacing w:line="360" w:lineRule="auto"/>
        <w:ind w:left="120" w:leftChars="57" w:firstLine="422" w:firstLineChars="150"/>
        <w:jc w:val="center"/>
        <w:rPr>
          <w:rFonts w:ascii="仿宋_GB2312" w:hAnsi="仿宋" w:eastAsia="仿宋_GB2312" w:cs="仿宋_GB2312"/>
          <w:b/>
          <w:color w:val="auto"/>
          <w:sz w:val="32"/>
          <w:szCs w:val="24"/>
          <w:highlight w:val="none"/>
        </w:rPr>
      </w:pPr>
      <w:r>
        <w:rPr>
          <w:rFonts w:hint="eastAsia" w:ascii="仿宋_GB2312" w:hAnsi="仿宋" w:eastAsia="仿宋_GB2312" w:cs="Times New Roman"/>
          <w:b/>
          <w:color w:val="auto"/>
          <w:sz w:val="28"/>
          <w:szCs w:val="28"/>
          <w:highlight w:val="none"/>
        </w:rPr>
        <w:t xml:space="preserve">   </w:t>
      </w:r>
      <w:r>
        <w:rPr>
          <w:rFonts w:hint="eastAsia" w:ascii="仿宋_GB2312" w:hAnsi="仿宋" w:eastAsia="仿宋_GB2312" w:cs="仿宋_GB2312"/>
          <w:b/>
          <w:color w:val="auto"/>
          <w:sz w:val="32"/>
          <w:szCs w:val="24"/>
          <w:highlight w:val="none"/>
        </w:rPr>
        <w:t>二、评标委员会的组成</w:t>
      </w:r>
    </w:p>
    <w:p>
      <w:pPr>
        <w:adjustRightInd w:val="0"/>
        <w:snapToGrid w:val="0"/>
        <w:spacing w:line="360" w:lineRule="auto"/>
        <w:rPr>
          <w:rFonts w:ascii="仿宋_GB2312" w:hAnsi="仿宋" w:eastAsia="仿宋_GB2312" w:cs="Arial"/>
          <w:color w:val="auto"/>
          <w:kern w:val="0"/>
          <w:sz w:val="24"/>
          <w:szCs w:val="24"/>
          <w:highlight w:val="none"/>
        </w:rPr>
      </w:pPr>
      <w:r>
        <w:rPr>
          <w:rFonts w:hint="eastAsia" w:ascii="仿宋_GB2312" w:hAnsi="仿宋" w:eastAsia="仿宋_GB2312" w:cs="Arial"/>
          <w:b/>
          <w:color w:val="auto"/>
          <w:kern w:val="0"/>
          <w:sz w:val="24"/>
          <w:szCs w:val="24"/>
          <w:highlight w:val="none"/>
        </w:rPr>
        <w:t>2.评标委员会的组成。</w:t>
      </w:r>
      <w:r>
        <w:rPr>
          <w:rFonts w:hint="eastAsia" w:ascii="仿宋_GB2312" w:hAnsi="仿宋" w:eastAsia="仿宋_GB2312" w:cs="Arial"/>
          <w:color w:val="auto"/>
          <w:kern w:val="0"/>
          <w:sz w:val="24"/>
          <w:szCs w:val="24"/>
          <w:highlight w:val="none"/>
        </w:rPr>
        <w:t>评标委员会由采购人代表和评审专家组成，成员人数为5人以上单数，其中评审专家不少于成员总数的三分之二。</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3.评</w:t>
      </w:r>
      <w:r>
        <w:rPr>
          <w:rFonts w:hint="eastAsia" w:ascii="仿宋_GB2312" w:hAnsi="仿宋" w:eastAsia="仿宋_GB2312" w:cs="Arial"/>
          <w:b/>
          <w:color w:val="auto"/>
          <w:kern w:val="0"/>
          <w:sz w:val="24"/>
          <w:szCs w:val="24"/>
          <w:highlight w:val="none"/>
        </w:rPr>
        <w:t>标委员会的组成人员的回避。</w:t>
      </w:r>
      <w:r>
        <w:rPr>
          <w:rFonts w:hint="eastAsia" w:ascii="仿宋_GB2312" w:hAnsi="仿宋" w:eastAsia="仿宋_GB2312" w:cs="Arial"/>
          <w:color w:val="auto"/>
          <w:kern w:val="0"/>
          <w:sz w:val="24"/>
          <w:highlight w:val="none"/>
        </w:rPr>
        <w:t>在政府采购活动中，评标委员会的组成人员与供应商有下列利害关系之一的，应当回避：</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3.1参加采购活动前3年内与供应商存在劳动关系；</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3.2参加采购活动前3年内担任供应商的董事、监事；</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3.3参加采购活动前3年内是供应商的控股股东或者实际控制人；</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3.4与供应商的法定代表人或者负责人有夫妻、直系血亲、三代以内旁系血亲或者近姻亲关系；</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3.5与供应商有其他可能影响政府采购活动公平、公正进行的关系。</w:t>
      </w:r>
    </w:p>
    <w:p>
      <w:pPr>
        <w:adjustRightInd w:val="0"/>
        <w:snapToGrid w:val="0"/>
        <w:spacing w:line="360" w:lineRule="auto"/>
        <w:ind w:left="120" w:leftChars="57" w:firstLine="482" w:firstLineChars="150"/>
        <w:jc w:val="center"/>
        <w:rPr>
          <w:rFonts w:ascii="仿宋_GB2312" w:hAnsi="仿宋" w:eastAsia="仿宋_GB2312" w:cs="Times New Roman"/>
          <w:b/>
          <w:color w:val="auto"/>
          <w:sz w:val="32"/>
          <w:szCs w:val="32"/>
          <w:highlight w:val="none"/>
        </w:rPr>
      </w:pPr>
    </w:p>
    <w:p>
      <w:pPr>
        <w:adjustRightInd w:val="0"/>
        <w:snapToGrid w:val="0"/>
        <w:spacing w:line="360" w:lineRule="auto"/>
        <w:ind w:left="120" w:leftChars="57" w:firstLine="482" w:firstLineChars="150"/>
        <w:jc w:val="center"/>
        <w:rPr>
          <w:rFonts w:ascii="仿宋_GB2312" w:hAnsi="仿宋" w:eastAsia="仿宋_GB2312" w:cs="Times New Roman"/>
          <w:b/>
          <w:color w:val="auto"/>
          <w:sz w:val="32"/>
          <w:szCs w:val="32"/>
          <w:highlight w:val="none"/>
        </w:rPr>
      </w:pPr>
      <w:r>
        <w:rPr>
          <w:rFonts w:hint="eastAsia" w:ascii="仿宋_GB2312" w:hAnsi="仿宋" w:eastAsia="仿宋_GB2312" w:cs="Times New Roman"/>
          <w:b/>
          <w:color w:val="auto"/>
          <w:sz w:val="32"/>
          <w:szCs w:val="32"/>
          <w:highlight w:val="none"/>
        </w:rPr>
        <w:t>　</w:t>
      </w:r>
      <w:r>
        <w:rPr>
          <w:rFonts w:hint="eastAsia" w:ascii="仿宋_GB2312" w:hAnsi="仿宋" w:eastAsia="仿宋_GB2312" w:cs="仿宋_GB2312"/>
          <w:b/>
          <w:color w:val="auto"/>
          <w:sz w:val="32"/>
          <w:szCs w:val="24"/>
          <w:highlight w:val="none"/>
        </w:rPr>
        <w:t>　三、评标委员会的职责</w:t>
      </w:r>
    </w:p>
    <w:p>
      <w:pPr>
        <w:adjustRightInd w:val="0"/>
        <w:spacing w:line="360" w:lineRule="auto"/>
        <w:rPr>
          <w:rFonts w:ascii="仿宋_GB2312" w:hAnsi="仿宋" w:eastAsia="仿宋_GB2312" w:cs="Arial"/>
          <w:b/>
          <w:color w:val="auto"/>
          <w:kern w:val="0"/>
          <w:sz w:val="24"/>
          <w:szCs w:val="24"/>
          <w:highlight w:val="none"/>
        </w:rPr>
      </w:pPr>
      <w:r>
        <w:rPr>
          <w:rFonts w:hint="eastAsia" w:ascii="仿宋_GB2312" w:hAnsi="仿宋" w:eastAsia="仿宋_GB2312" w:cs="Arial"/>
          <w:b/>
          <w:color w:val="auto"/>
          <w:kern w:val="0"/>
          <w:sz w:val="24"/>
          <w:szCs w:val="24"/>
          <w:highlight w:val="none"/>
        </w:rPr>
        <w:t>4.评标委员会负责具体评标事务，并独立履行下列职责：</w:t>
      </w:r>
    </w:p>
    <w:p>
      <w:pPr>
        <w:adjustRightInd w:val="0"/>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4.1审查、评价投标文件是否符合招标文件的商务、技术等实质性要求；</w:t>
      </w:r>
    </w:p>
    <w:p>
      <w:pPr>
        <w:adjustRightInd w:val="0"/>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4.2要求投标人对投标文件有关事项作出澄清或者说明；</w:t>
      </w:r>
    </w:p>
    <w:p>
      <w:pPr>
        <w:adjustRightInd w:val="0"/>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4.3对投标文件进行比较和评价；</w:t>
      </w:r>
    </w:p>
    <w:p>
      <w:pPr>
        <w:adjustRightInd w:val="0"/>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4.4确定中标候选人名单，以及根据采购人委托直接确定中标人；</w:t>
      </w:r>
    </w:p>
    <w:p>
      <w:pPr>
        <w:adjustRightInd w:val="0"/>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4.5向采购人、采购机构或者有关部门报告评标中发现的违法行为；</w:t>
      </w:r>
    </w:p>
    <w:p>
      <w:pPr>
        <w:adjustRightInd w:val="0"/>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4.6法律、法规、规章、招标文件等规定的其它事项。</w:t>
      </w:r>
    </w:p>
    <w:p>
      <w:pPr>
        <w:adjustRightInd w:val="0"/>
        <w:spacing w:line="360" w:lineRule="auto"/>
        <w:rPr>
          <w:rFonts w:ascii="仿宋_GB2312" w:hAnsi="仿宋" w:eastAsia="仿宋_GB2312" w:cs="Arial"/>
          <w:b/>
          <w:color w:val="auto"/>
          <w:kern w:val="0"/>
          <w:sz w:val="24"/>
          <w:szCs w:val="24"/>
          <w:highlight w:val="none"/>
        </w:rPr>
      </w:pPr>
      <w:r>
        <w:rPr>
          <w:rFonts w:hint="eastAsia" w:ascii="仿宋_GB2312" w:hAnsi="仿宋" w:eastAsia="仿宋_GB2312" w:cs="Arial"/>
          <w:b/>
          <w:color w:val="auto"/>
          <w:kern w:val="0"/>
          <w:sz w:val="24"/>
          <w:szCs w:val="24"/>
          <w:highlight w:val="none"/>
        </w:rPr>
        <w:t>5.评标委员会及其成员不得有下列行为：</w:t>
      </w:r>
    </w:p>
    <w:p>
      <w:pPr>
        <w:adjustRightInd w:val="0"/>
        <w:spacing w:line="360" w:lineRule="auto"/>
        <w:ind w:firstLine="240" w:firstLineChars="1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5.1确定参与评标至评标结束前私自接触投标人；</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5.2接受投标人提出的与投标文件不一致的澄清或者说明，《政府采购货物和服务招标投标管理办法》（财政部令第87号）第五十一条规定的情形除外；</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5.3违反评标纪律发表倾向性意见或者征询采购人的倾向性意见；</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5.4对需要专业判断的主观评审因素协商评分；</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5.5在评标过程中擅离职守，影响评标程序正常进行的；</w:t>
      </w:r>
    </w:p>
    <w:p>
      <w:pPr>
        <w:adjustRightInd w:val="0"/>
        <w:spacing w:line="360" w:lineRule="auto"/>
        <w:ind w:firstLine="240" w:firstLineChars="1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5.6记录、复制或者带走任何评标资料；</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5.7其他不遵守评标纪律的行为。</w:t>
      </w:r>
    </w:p>
    <w:p>
      <w:pPr>
        <w:adjustRightIn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　　评标委员会成员有5.1-5.</w:t>
      </w:r>
      <w:r>
        <w:rPr>
          <w:rFonts w:hint="eastAsia" w:ascii="仿宋_GB2312" w:hAnsi="仿宋" w:eastAsia="仿宋_GB2312" w:cs="Arial"/>
          <w:color w:val="auto"/>
          <w:kern w:val="0"/>
          <w:sz w:val="24"/>
          <w:highlight w:val="none"/>
          <w:lang w:val="en-US" w:eastAsia="zh-CN"/>
        </w:rPr>
        <w:t>7</w:t>
      </w:r>
      <w:r>
        <w:rPr>
          <w:rFonts w:hint="eastAsia" w:ascii="仿宋_GB2312" w:hAnsi="仿宋" w:eastAsia="仿宋_GB2312" w:cs="Arial"/>
          <w:color w:val="auto"/>
          <w:kern w:val="0"/>
          <w:sz w:val="24"/>
          <w:highlight w:val="none"/>
        </w:rPr>
        <w:t>行为之一的，其评审意见无效，并不得获取评审劳务报酬和报销异地评审差旅费。</w:t>
      </w:r>
    </w:p>
    <w:p>
      <w:pPr>
        <w:adjustRightInd w:val="0"/>
        <w:spacing w:line="360" w:lineRule="auto"/>
        <w:rPr>
          <w:rFonts w:ascii="仿宋_GB2312" w:hAnsi="仿宋" w:eastAsia="仿宋_GB2312" w:cs="Arial"/>
          <w:color w:val="auto"/>
          <w:kern w:val="0"/>
          <w:sz w:val="24"/>
          <w:highlight w:val="none"/>
        </w:rPr>
      </w:pPr>
    </w:p>
    <w:p>
      <w:pPr>
        <w:adjustRightInd w:val="0"/>
        <w:snapToGrid w:val="0"/>
        <w:spacing w:line="360" w:lineRule="auto"/>
        <w:ind w:left="120" w:leftChars="57" w:firstLine="482" w:firstLineChars="150"/>
        <w:jc w:val="center"/>
        <w:rPr>
          <w:rFonts w:ascii="仿宋_GB2312" w:hAnsi="仿宋" w:eastAsia="仿宋_GB2312" w:cs="仿宋_GB2312"/>
          <w:b/>
          <w:color w:val="auto"/>
          <w:sz w:val="32"/>
          <w:szCs w:val="24"/>
          <w:highlight w:val="none"/>
        </w:rPr>
      </w:pPr>
      <w:r>
        <w:rPr>
          <w:rFonts w:hint="eastAsia" w:ascii="仿宋_GB2312" w:hAnsi="仿宋" w:eastAsia="仿宋_GB2312" w:cs="仿宋_GB2312"/>
          <w:b/>
          <w:color w:val="auto"/>
          <w:sz w:val="32"/>
          <w:szCs w:val="24"/>
          <w:highlight w:val="none"/>
        </w:rPr>
        <w:t>四、评审程序</w:t>
      </w:r>
    </w:p>
    <w:p>
      <w:pPr>
        <w:adjustRightInd w:val="0"/>
        <w:spacing w:line="360" w:lineRule="auto"/>
        <w:rPr>
          <w:rFonts w:ascii="仿宋_GB2312" w:hAnsi="仿宋" w:eastAsia="仿宋_GB2312" w:cs="Arial"/>
          <w:color w:val="auto"/>
          <w:kern w:val="0"/>
          <w:sz w:val="24"/>
          <w:szCs w:val="24"/>
          <w:highlight w:val="none"/>
        </w:rPr>
      </w:pPr>
      <w:r>
        <w:rPr>
          <w:rFonts w:hint="eastAsia" w:ascii="仿宋_GB2312" w:hAnsi="仿宋" w:eastAsia="仿宋_GB2312" w:cs="Arial"/>
          <w:b/>
          <w:color w:val="auto"/>
          <w:kern w:val="0"/>
          <w:sz w:val="24"/>
          <w:szCs w:val="24"/>
          <w:highlight w:val="none"/>
        </w:rPr>
        <w:t xml:space="preserve">6.符合性审查。 </w:t>
      </w:r>
      <w:r>
        <w:rPr>
          <w:rFonts w:hint="eastAsia" w:ascii="仿宋_GB2312" w:hAnsi="仿宋" w:eastAsia="仿宋_GB2312" w:cs="Arial"/>
          <w:color w:val="auto"/>
          <w:kern w:val="0"/>
          <w:sz w:val="24"/>
          <w:szCs w:val="24"/>
          <w:highlight w:val="none"/>
        </w:rPr>
        <w:t>评标委员会应当对符合资格的投标人的投标文件进行符合性审查，以确定其是否满足招标文件的实质性要求。符合投标无效情形的，投标无效。</w:t>
      </w:r>
    </w:p>
    <w:p>
      <w:pPr>
        <w:adjustRightInd w:val="0"/>
        <w:spacing w:line="360" w:lineRule="auto"/>
        <w:rPr>
          <w:rFonts w:hint="eastAsia" w:ascii="仿宋_GB2312" w:hAnsi="仿宋" w:eastAsia="仿宋_GB2312" w:cs="Arial"/>
          <w:b/>
          <w:color w:val="auto"/>
          <w:kern w:val="0"/>
          <w:sz w:val="24"/>
          <w:szCs w:val="24"/>
          <w:highlight w:val="none"/>
        </w:rPr>
      </w:pPr>
      <w:r>
        <w:rPr>
          <w:rFonts w:hint="eastAsia" w:ascii="仿宋_GB2312" w:hAnsi="仿宋" w:eastAsia="仿宋_GB2312" w:cs="Arial"/>
          <w:b/>
          <w:color w:val="auto"/>
          <w:kern w:val="0"/>
          <w:sz w:val="24"/>
          <w:szCs w:val="24"/>
          <w:highlight w:val="none"/>
        </w:rPr>
        <w:t>7.投标人澄清、说明或者补正。</w:t>
      </w:r>
    </w:p>
    <w:p>
      <w:pPr>
        <w:adjustRightInd w:val="0"/>
        <w:spacing w:line="360" w:lineRule="auto"/>
        <w:rPr>
          <w:rFonts w:hint="eastAsia" w:ascii="仿宋_GB2312" w:hAnsi="仿宋" w:eastAsia="仿宋_GB2312" w:cs="Arial"/>
          <w:color w:val="auto"/>
          <w:kern w:val="0"/>
          <w:sz w:val="24"/>
          <w:szCs w:val="24"/>
          <w:highlight w:val="none"/>
        </w:rPr>
      </w:pPr>
      <w:r>
        <w:rPr>
          <w:rFonts w:hint="eastAsia" w:ascii="仿宋_GB2312" w:hAnsi="仿宋" w:eastAsia="仿宋_GB2312" w:cs="Arial"/>
          <w:b/>
          <w:color w:val="auto"/>
          <w:kern w:val="0"/>
          <w:sz w:val="24"/>
          <w:szCs w:val="24"/>
          <w:highlight w:val="none"/>
          <w:lang w:val="en-US" w:eastAsia="zh-CN"/>
        </w:rPr>
        <w:t>7.1</w:t>
      </w:r>
      <w:r>
        <w:rPr>
          <w:rFonts w:hint="eastAsia" w:ascii="仿宋_GB2312" w:hAnsi="仿宋" w:eastAsia="仿宋_GB2312" w:cs="Arial"/>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rPr>
          <w:rFonts w:hint="default" w:ascii="仿宋_GB2312" w:hAnsi="仿宋" w:eastAsia="仿宋_GB2312" w:cs="Arial"/>
          <w:b/>
          <w:bCs/>
          <w:color w:val="auto"/>
          <w:kern w:val="0"/>
          <w:sz w:val="24"/>
          <w:szCs w:val="24"/>
          <w:highlight w:val="none"/>
          <w:lang w:val="en-US" w:eastAsia="zh-CN"/>
        </w:rPr>
      </w:pPr>
      <w:r>
        <w:rPr>
          <w:rFonts w:hint="eastAsia" w:ascii="仿宋_GB2312" w:hAnsi="仿宋" w:eastAsia="仿宋_GB2312" w:cs="Arial"/>
          <w:b/>
          <w:bCs/>
          <w:color w:val="auto"/>
          <w:kern w:val="0"/>
          <w:sz w:val="24"/>
          <w:szCs w:val="24"/>
          <w:highlight w:val="none"/>
          <w:lang w:val="en-US" w:eastAsia="zh-CN"/>
        </w:rPr>
        <w:t>7.2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rPr>
          <w:rFonts w:ascii="仿宋_GB2312" w:hAnsi="仿宋" w:eastAsia="仿宋_GB2312" w:cs="Arial"/>
          <w:color w:val="auto"/>
          <w:kern w:val="0"/>
          <w:sz w:val="24"/>
          <w:szCs w:val="24"/>
          <w:highlight w:val="none"/>
        </w:rPr>
      </w:pPr>
      <w:r>
        <w:rPr>
          <w:rFonts w:hint="eastAsia" w:ascii="仿宋_GB2312" w:hAnsi="仿宋" w:eastAsia="仿宋_GB2312" w:cs="Arial"/>
          <w:b/>
          <w:color w:val="auto"/>
          <w:kern w:val="0"/>
          <w:sz w:val="24"/>
          <w:szCs w:val="24"/>
          <w:highlight w:val="none"/>
        </w:rPr>
        <w:t>8. 比较与评价。</w:t>
      </w:r>
      <w:r>
        <w:rPr>
          <w:rFonts w:hint="eastAsia" w:ascii="仿宋_GB2312" w:hAnsi="仿宋" w:eastAsia="仿宋_GB2312" w:cs="Arial"/>
          <w:color w:val="auto"/>
          <w:kern w:val="0"/>
          <w:sz w:val="24"/>
          <w:szCs w:val="24"/>
          <w:highlight w:val="none"/>
        </w:rPr>
        <w:t>评标委员会应当按照评标标准，对符合性审查合格的投标文件进行商务和技术评估，综合比较与评价。</w:t>
      </w:r>
    </w:p>
    <w:p>
      <w:pPr>
        <w:adjustRightInd w:val="0"/>
        <w:spacing w:line="360" w:lineRule="auto"/>
        <w:rPr>
          <w:rFonts w:ascii="仿宋_GB2312" w:hAnsi="仿宋" w:eastAsia="仿宋_GB2312" w:cs="Arial"/>
          <w:color w:val="auto"/>
          <w:kern w:val="0"/>
          <w:sz w:val="24"/>
          <w:szCs w:val="24"/>
          <w:highlight w:val="none"/>
        </w:rPr>
      </w:pPr>
      <w:r>
        <w:rPr>
          <w:rFonts w:hint="eastAsia" w:ascii="仿宋_GB2312" w:hAnsi="仿宋" w:eastAsia="仿宋_GB2312" w:cs="Arial"/>
          <w:b/>
          <w:color w:val="auto"/>
          <w:kern w:val="0"/>
          <w:sz w:val="24"/>
          <w:szCs w:val="24"/>
          <w:highlight w:val="none"/>
        </w:rPr>
        <w:t>9. 汇总（商务技术得分情况）。</w:t>
      </w:r>
      <w:r>
        <w:rPr>
          <w:rFonts w:hint="eastAsia" w:ascii="仿宋_GB2312" w:hAnsi="仿宋" w:eastAsia="仿宋_GB2312" w:cs="Arial"/>
          <w:color w:val="auto"/>
          <w:kern w:val="0"/>
          <w:sz w:val="24"/>
          <w:szCs w:val="24"/>
          <w:highlight w:val="none"/>
        </w:rPr>
        <w:t>评标委员会各成员应当独立对每个投标人的商务和技术文件进行评价，并汇总商务技术得分情况。</w:t>
      </w:r>
    </w:p>
    <w:p>
      <w:pPr>
        <w:adjustRightInd w:val="0"/>
        <w:spacing w:line="360" w:lineRule="auto"/>
        <w:rPr>
          <w:rFonts w:ascii="仿宋_GB2312" w:hAnsi="仿宋" w:eastAsia="仿宋_GB2312" w:cs="Arial"/>
          <w:color w:val="auto"/>
          <w:kern w:val="0"/>
          <w:sz w:val="24"/>
          <w:szCs w:val="24"/>
          <w:highlight w:val="none"/>
        </w:rPr>
      </w:pPr>
      <w:r>
        <w:rPr>
          <w:rFonts w:hint="eastAsia" w:ascii="仿宋_GB2312" w:hAnsi="仿宋" w:eastAsia="仿宋_GB2312" w:cs="Arial"/>
          <w:b/>
          <w:color w:val="auto"/>
          <w:kern w:val="0"/>
          <w:sz w:val="24"/>
          <w:szCs w:val="24"/>
          <w:highlight w:val="none"/>
        </w:rPr>
        <w:t>10. 报价审核。</w:t>
      </w:r>
      <w:r>
        <w:rPr>
          <w:rFonts w:hint="eastAsia" w:ascii="仿宋_GB2312" w:hAnsi="仿宋" w:eastAsia="仿宋_GB2312" w:cs="Arial"/>
          <w:color w:val="auto"/>
          <w:kern w:val="0"/>
          <w:sz w:val="24"/>
          <w:szCs w:val="24"/>
          <w:highlight w:val="none"/>
        </w:rPr>
        <w:t>对经商务和技术评审符合采购需求的投标人的报价的合理性、准确性等进行审查核实。</w:t>
      </w:r>
    </w:p>
    <w:p>
      <w:pPr>
        <w:adjustRightInd w:val="0"/>
        <w:spacing w:line="360" w:lineRule="auto"/>
        <w:ind w:firstLine="480" w:firstLineChars="200"/>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10.1评标委员会认为投标人的报价明显低于其他通过符合性审查投标人的报价，有可能影响产品质量或者不能诚信履约的，应当要求其在合理的时间内提供书面说明，必要时提交相关证明材料。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_GB2312" w:hAnsi="仿宋" w:eastAsia="仿宋_GB2312" w:cs="Arial"/>
          <w:b/>
          <w:bCs/>
          <w:color w:val="auto"/>
          <w:kern w:val="0"/>
          <w:sz w:val="24"/>
          <w:szCs w:val="24"/>
          <w:highlight w:val="none"/>
          <w:lang w:val="en-US" w:eastAsia="zh-CN"/>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ind w:firstLine="480" w:firstLineChars="200"/>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10.2根据财政部发布的《政府采购促进中小企业发展管理办法》规定，</w:t>
      </w:r>
      <w:r>
        <w:rPr>
          <w:rFonts w:ascii="仿宋_GB2312" w:hAnsi="仿宋" w:eastAsia="仿宋_GB2312" w:cs="Arial"/>
          <w:color w:val="auto"/>
          <w:kern w:val="0"/>
          <w:sz w:val="24"/>
          <w:szCs w:val="24"/>
          <w:highlight w:val="none"/>
        </w:rPr>
        <w:t>对于经主管预算单位统筹后未预留份额专门面向中小企业采购的采购项目，以及预留份额项目中的非预留部分采购包，</w:t>
      </w:r>
      <w:r>
        <w:rPr>
          <w:rFonts w:hint="eastAsia" w:ascii="仿宋_GB2312" w:hAnsi="仿宋" w:eastAsia="仿宋_GB2312" w:cs="Arial"/>
          <w:color w:val="auto"/>
          <w:kern w:val="0"/>
          <w:sz w:val="24"/>
          <w:szCs w:val="24"/>
          <w:highlight w:val="none"/>
        </w:rPr>
        <w:t>对小微企业报价给予一定的扣除，用扣除后的价格参与评审。</w:t>
      </w:r>
    </w:p>
    <w:p>
      <w:pPr>
        <w:adjustRightInd w:val="0"/>
        <w:spacing w:line="360" w:lineRule="auto"/>
        <w:ind w:firstLine="480" w:firstLineChars="200"/>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10.3投标价格的修正原则。投标文件报价出现前后不一致的，按照下列规定修正：</w:t>
      </w:r>
    </w:p>
    <w:p>
      <w:pPr>
        <w:adjustRightInd w:val="0"/>
        <w:spacing w:line="360" w:lineRule="auto"/>
        <w:ind w:firstLine="480" w:firstLineChars="200"/>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10.3.1投标文件中开标一览表(报价表)内容与投标文件中相应内容不一致的，以开标一览表(报价表)为准;</w:t>
      </w:r>
    </w:p>
    <w:p>
      <w:pPr>
        <w:adjustRightInd w:val="0"/>
        <w:spacing w:line="360" w:lineRule="auto"/>
        <w:ind w:firstLine="480" w:firstLineChars="200"/>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10.3.2大写金额和小写金额不一致的，以大写金额为准;</w:t>
      </w:r>
    </w:p>
    <w:p>
      <w:pPr>
        <w:adjustRightInd w:val="0"/>
        <w:spacing w:line="360" w:lineRule="auto"/>
        <w:ind w:firstLine="480" w:firstLineChars="200"/>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10.3.3单价金额小数点或者百分比有明显错位的，以开标一览表的总价为准，并修改单价;</w:t>
      </w:r>
    </w:p>
    <w:p>
      <w:pPr>
        <w:adjustRightInd w:val="0"/>
        <w:spacing w:line="360" w:lineRule="auto"/>
        <w:ind w:firstLine="480" w:firstLineChars="200"/>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10.3.4总价金额与按单价汇总金额不一致的，以单价金额计算结果为准。</w:t>
      </w:r>
    </w:p>
    <w:p>
      <w:pPr>
        <w:adjustRightInd w:val="0"/>
        <w:spacing w:line="360" w:lineRule="auto"/>
        <w:ind w:firstLine="480" w:firstLineChars="200"/>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adjustRightInd w:val="0"/>
        <w:spacing w:line="360" w:lineRule="auto"/>
        <w:ind w:firstLine="480" w:firstLineChars="200"/>
        <w:rPr>
          <w:rFonts w:ascii="仿宋_GB2312" w:hAnsi="仿宋" w:eastAsia="仿宋_GB2312" w:cs="仿宋_GB2312"/>
          <w:b/>
          <w:bCs/>
          <w:color w:val="auto"/>
          <w:sz w:val="24"/>
          <w:szCs w:val="24"/>
          <w:highlight w:val="none"/>
        </w:rPr>
      </w:pPr>
      <w:r>
        <w:rPr>
          <w:rFonts w:hint="eastAsia" w:ascii="仿宋_GB2312" w:hAnsi="仿宋" w:eastAsia="仿宋_GB2312" w:cs="仿宋_GB2312"/>
          <w:bCs/>
          <w:color w:val="auto"/>
          <w:sz w:val="24"/>
          <w:szCs w:val="24"/>
          <w:highlight w:val="none"/>
        </w:rPr>
        <w:t>▲</w:t>
      </w:r>
      <w:r>
        <w:rPr>
          <w:rFonts w:hint="eastAsia" w:ascii="仿宋_GB2312" w:hAnsi="仿宋" w:eastAsia="仿宋_GB2312" w:cs="仿宋_GB2312"/>
          <w:b/>
          <w:bCs/>
          <w:color w:val="auto"/>
          <w:sz w:val="24"/>
          <w:szCs w:val="24"/>
          <w:highlight w:val="none"/>
        </w:rPr>
        <w:t>投标人对根据修正原则修正后的报价不确认的，投标无效。</w:t>
      </w:r>
    </w:p>
    <w:p>
      <w:pPr>
        <w:adjustRightInd w:val="0"/>
        <w:spacing w:line="360" w:lineRule="auto"/>
        <w:rPr>
          <w:rFonts w:ascii="仿宋_GB2312" w:hAnsi="仿宋" w:eastAsia="仿宋_GB2312" w:cs="Arial"/>
          <w:color w:val="auto"/>
          <w:kern w:val="0"/>
          <w:sz w:val="24"/>
          <w:szCs w:val="24"/>
          <w:highlight w:val="none"/>
        </w:rPr>
      </w:pPr>
      <w:r>
        <w:rPr>
          <w:rFonts w:hint="eastAsia" w:ascii="仿宋_GB2312" w:hAnsi="仿宋" w:eastAsia="仿宋_GB2312" w:cs="Arial"/>
          <w:b/>
          <w:color w:val="auto"/>
          <w:kern w:val="0"/>
          <w:sz w:val="24"/>
          <w:szCs w:val="24"/>
          <w:highlight w:val="none"/>
        </w:rPr>
        <w:t>11.汇总得分。</w:t>
      </w:r>
      <w:r>
        <w:rPr>
          <w:rFonts w:hint="eastAsia" w:ascii="仿宋_GB2312" w:hAnsi="仿宋" w:eastAsia="仿宋_GB2312" w:cs="Arial"/>
          <w:color w:val="auto"/>
          <w:kern w:val="0"/>
          <w:sz w:val="24"/>
          <w:szCs w:val="24"/>
          <w:highlight w:val="none"/>
        </w:rPr>
        <w:t>评标委员会各成员应当独立对每个投标人的投标文件进行评价，并汇总每个投标人的得分。</w:t>
      </w:r>
    </w:p>
    <w:p>
      <w:pPr>
        <w:adjustRightInd w:val="0"/>
        <w:spacing w:line="360" w:lineRule="auto"/>
        <w:rPr>
          <w:rFonts w:ascii="仿宋_GB2312" w:hAnsi="仿宋" w:eastAsia="仿宋_GB2312" w:cs="Arial"/>
          <w:b/>
          <w:color w:val="auto"/>
          <w:kern w:val="0"/>
          <w:sz w:val="24"/>
          <w:szCs w:val="24"/>
          <w:highlight w:val="none"/>
        </w:rPr>
      </w:pPr>
      <w:r>
        <w:rPr>
          <w:rFonts w:hint="eastAsia" w:ascii="仿宋_GB2312" w:hAnsi="仿宋" w:eastAsia="仿宋_GB2312" w:cs="Arial"/>
          <w:b/>
          <w:color w:val="auto"/>
          <w:kern w:val="0"/>
          <w:sz w:val="24"/>
          <w:szCs w:val="24"/>
          <w:highlight w:val="none"/>
        </w:rPr>
        <w:t>12.顺序排列与中标候选推荐。</w:t>
      </w:r>
    </w:p>
    <w:p>
      <w:pPr>
        <w:adjustRightInd w:val="0"/>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12.1评标结果按评审后得分由高到低顺序排列。得分相同的，按投标报价由低到高顺序排列。得分且投标报价相同的并列。得分最高的投标人为排名第一的中标候选人。</w:t>
      </w:r>
    </w:p>
    <w:p>
      <w:pPr>
        <w:adjustRightInd w:val="0"/>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after="120" w:line="360" w:lineRule="auto"/>
        <w:rPr>
          <w:rFonts w:ascii="仿宋_GB2312" w:hAnsi="仿宋" w:eastAsia="仿宋_GB2312" w:cs="仿宋_GB2312"/>
          <w:b/>
          <w:color w:val="auto"/>
          <w:sz w:val="24"/>
          <w:szCs w:val="21"/>
          <w:highlight w:val="none"/>
        </w:rPr>
      </w:pPr>
      <w:r>
        <w:rPr>
          <w:rFonts w:hint="eastAsia" w:ascii="仿宋_GB2312" w:hAnsi="仿宋" w:eastAsia="仿宋_GB2312" w:cs="仿宋_GB2312"/>
          <w:b/>
          <w:color w:val="auto"/>
          <w:sz w:val="24"/>
          <w:szCs w:val="21"/>
          <w:highlight w:val="none"/>
        </w:rPr>
        <w:t>13.投标无效。有下列情况之一的，投标无效：</w:t>
      </w:r>
    </w:p>
    <w:p>
      <w:pPr>
        <w:adjustRightInd w:val="0"/>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13.1单位负责人为同一人或者存在直接控股、管理关系的不同供应商参加同一合同项下的政府采购活动的（均无效）；</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1"/>
          <w:highlight w:val="none"/>
        </w:rPr>
        <w:t>13.2为采购项目提供整体设计、规范编制或者项目管理、监理、检测等服务的供应商再参加该采购项</w:t>
      </w:r>
      <w:r>
        <w:rPr>
          <w:rFonts w:hint="eastAsia" w:ascii="仿宋_GB2312" w:hAnsi="仿宋" w:eastAsia="仿宋_GB2312" w:cs="仿宋_GB2312"/>
          <w:color w:val="auto"/>
          <w:sz w:val="24"/>
          <w:szCs w:val="24"/>
          <w:highlight w:val="none"/>
        </w:rPr>
        <w:t xml:space="preserve">目的其他采购活动的； </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13.3</w:t>
      </w:r>
      <w:r>
        <w:rPr>
          <w:rFonts w:hint="eastAsia" w:ascii="仿宋_GB2312" w:hAnsi="仿宋" w:eastAsia="仿宋_GB2312" w:cs="仿宋_GB2312"/>
          <w:color w:val="auto"/>
          <w:sz w:val="24"/>
          <w:szCs w:val="24"/>
          <w:highlight w:val="none"/>
        </w:rPr>
        <w:t>投标人不具备招标文件中规定的资格要求的（投标人未提供有效的资格证明文件的，视为投标人不具备招标文件中规定的资格要求）；</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13.4</w:t>
      </w:r>
      <w:r>
        <w:rPr>
          <w:rFonts w:hint="eastAsia" w:ascii="仿宋_GB2312" w:hAnsi="仿宋" w:eastAsia="仿宋_GB2312" w:cs="仿宋_GB2312"/>
          <w:color w:val="auto"/>
          <w:sz w:val="24"/>
          <w:szCs w:val="24"/>
          <w:highlight w:val="none"/>
        </w:rPr>
        <w:t>如以联合体形式参加政府采购活动的，联合体协议不符合招标文件规定的联合体协议要求的；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13.5</w:t>
      </w:r>
      <w:r>
        <w:rPr>
          <w:rFonts w:hint="eastAsia" w:ascii="仿宋_GB2312" w:hAnsi="仿宋" w:eastAsia="仿宋_GB2312" w:cs="仿宋_GB2312"/>
          <w:color w:val="auto"/>
          <w:sz w:val="24"/>
          <w:szCs w:val="24"/>
          <w:highlight w:val="none"/>
        </w:rPr>
        <w:t>投标文件未按规定的格式编制的；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13.6</w:t>
      </w:r>
      <w:r>
        <w:rPr>
          <w:rFonts w:hint="eastAsia" w:ascii="仿宋_GB2312" w:hAnsi="仿宋" w:eastAsia="仿宋_GB2312" w:cs="仿宋_GB2312"/>
          <w:color w:val="auto"/>
          <w:sz w:val="24"/>
          <w:szCs w:val="24"/>
          <w:highlight w:val="none"/>
        </w:rPr>
        <w:t>投标文件未按招标文件的澄清、修改的内容编制，又不符合实质性要求的；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13.7</w:t>
      </w:r>
      <w:r>
        <w:rPr>
          <w:rFonts w:hint="eastAsia" w:ascii="仿宋_GB2312" w:hAnsi="仿宋" w:eastAsia="仿宋_GB2312" w:cs="仿宋_GB2312"/>
          <w:color w:val="auto"/>
          <w:sz w:val="24"/>
          <w:szCs w:val="24"/>
          <w:highlight w:val="none"/>
        </w:rPr>
        <w:t>投标文件组成漏项，内容不全或内容字迹模糊辨认不清的；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13.8</w:t>
      </w:r>
      <w:r>
        <w:rPr>
          <w:rFonts w:hint="eastAsia" w:ascii="仿宋_GB2312" w:hAnsi="仿宋" w:eastAsia="仿宋_GB2312" w:cs="仿宋_GB2312"/>
          <w:color w:val="auto"/>
          <w:sz w:val="24"/>
          <w:szCs w:val="24"/>
          <w:highlight w:val="none"/>
        </w:rPr>
        <w:t>投标文件中法人授权书所载内容与本项目内容有异的；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13.9</w:t>
      </w:r>
      <w:r>
        <w:rPr>
          <w:rFonts w:hint="eastAsia" w:ascii="仿宋_GB2312" w:hAnsi="仿宋" w:eastAsia="仿宋_GB2312" w:cs="仿宋_GB2312"/>
          <w:color w:val="auto"/>
          <w:sz w:val="24"/>
          <w:szCs w:val="24"/>
          <w:highlight w:val="none"/>
        </w:rPr>
        <w:t>投标文件未按照招标文件要求签署、盖章的；</w:t>
      </w:r>
    </w:p>
    <w:p>
      <w:pPr>
        <w:adjustRightInd w:val="0"/>
        <w:spacing w:line="360" w:lineRule="auto"/>
        <w:ind w:firstLine="480" w:firstLineChars="200"/>
        <w:rPr>
          <w:rFonts w:ascii="仿宋_GB2312" w:hAnsi="仿宋" w:eastAsia="仿宋_GB2312" w:cs="Times New Roman"/>
          <w:b/>
          <w:color w:val="auto"/>
          <w:sz w:val="24"/>
          <w:szCs w:val="24"/>
          <w:highlight w:val="none"/>
        </w:rPr>
      </w:pPr>
      <w:r>
        <w:rPr>
          <w:rFonts w:hint="eastAsia" w:ascii="仿宋_GB2312" w:hAnsi="仿宋" w:eastAsia="仿宋_GB2312" w:cs="Times New Roman"/>
          <w:color w:val="auto"/>
          <w:sz w:val="24"/>
          <w:szCs w:val="24"/>
          <w:highlight w:val="none"/>
        </w:rPr>
        <w:t>13.10</w:t>
      </w:r>
      <w:r>
        <w:rPr>
          <w:rFonts w:hint="eastAsia" w:ascii="仿宋_GB2312" w:hAnsi="仿宋" w:eastAsia="仿宋_GB2312" w:cs="仿宋_GB2312"/>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13.11</w:t>
      </w:r>
      <w:r>
        <w:rPr>
          <w:rFonts w:hint="eastAsia" w:ascii="仿宋_GB2312" w:hAnsi="仿宋" w:eastAsia="仿宋_GB2312" w:cs="仿宋_GB2312"/>
          <w:color w:val="auto"/>
          <w:sz w:val="24"/>
          <w:szCs w:val="24"/>
          <w:highlight w:val="none"/>
        </w:rPr>
        <w:t>投标文件含有采购人不能接受的附加条件的；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13.12</w:t>
      </w:r>
      <w:r>
        <w:rPr>
          <w:rFonts w:hint="eastAsia" w:ascii="仿宋_GB2312" w:hAnsi="仿宋" w:eastAsia="仿宋_GB2312" w:cs="仿宋_GB2312"/>
          <w:color w:val="auto"/>
          <w:sz w:val="24"/>
          <w:szCs w:val="24"/>
          <w:highlight w:val="none"/>
        </w:rPr>
        <w:t>投标文件中承诺的投标有效期少于招标文件中载明的投标有效期的；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13.13</w:t>
      </w:r>
      <w:r>
        <w:rPr>
          <w:rFonts w:hint="eastAsia" w:ascii="仿宋_GB2312" w:hAnsi="仿宋" w:eastAsia="仿宋_GB2312" w:cs="仿宋_GB2312"/>
          <w:color w:val="auto"/>
          <w:sz w:val="24"/>
          <w:szCs w:val="24"/>
          <w:highlight w:val="none"/>
        </w:rPr>
        <w:t>投标人所投内容不符合采购需求中实质性要求的；</w:t>
      </w:r>
    </w:p>
    <w:p>
      <w:pPr>
        <w:adjustRightInd w:val="0"/>
        <w:snapToGrid w:val="0"/>
        <w:spacing w:line="360" w:lineRule="auto"/>
        <w:jc w:val="left"/>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 xml:space="preserve">    </w:t>
      </w:r>
      <w:r>
        <w:rPr>
          <w:rFonts w:hint="eastAsia" w:ascii="仿宋_GB2312" w:hAnsi="仿宋" w:eastAsia="仿宋_GB2312" w:cs="Times New Roman"/>
          <w:color w:val="auto"/>
          <w:sz w:val="24"/>
          <w:szCs w:val="24"/>
          <w:highlight w:val="none"/>
        </w:rPr>
        <w:t>13.14</w:t>
      </w:r>
      <w:r>
        <w:rPr>
          <w:rFonts w:hint="eastAsia" w:ascii="仿宋_GB2312" w:hAnsi="仿宋" w:eastAsia="仿宋_GB2312" w:cs="仿宋_GB2312"/>
          <w:color w:val="auto"/>
          <w:sz w:val="24"/>
          <w:szCs w:val="24"/>
          <w:highlight w:val="none"/>
        </w:rPr>
        <w:t>投标文件出现不是唯一的、有选择性投标报价的;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13.15</w:t>
      </w:r>
      <w:r>
        <w:rPr>
          <w:rFonts w:hint="eastAsia" w:ascii="仿宋_GB2312" w:hAnsi="仿宋" w:eastAsia="仿宋_GB2312" w:cs="仿宋_GB2312"/>
          <w:color w:val="auto"/>
          <w:sz w:val="24"/>
          <w:szCs w:val="24"/>
          <w:highlight w:val="none"/>
        </w:rPr>
        <w:t>投标报价高于本项目采购预算或者最高限价的;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13.16</w:t>
      </w:r>
      <w:r>
        <w:rPr>
          <w:rFonts w:hint="eastAsia" w:ascii="仿宋_GB2312" w:hAnsi="仿宋" w:eastAsia="仿宋_GB2312" w:cs="仿宋_GB2312"/>
          <w:color w:val="auto"/>
          <w:sz w:val="24"/>
          <w:szCs w:val="24"/>
          <w:highlight w:val="none"/>
        </w:rPr>
        <w:t>报价明显低于其他通过符合性审查投标人的报价，有可能影响产品质量或者不能诚信履约的，未能按要求提供书面说明或者提交相关证明材料，不能证明其报价合理性的;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13.17</w:t>
      </w:r>
      <w:r>
        <w:rPr>
          <w:rFonts w:hint="eastAsia" w:ascii="仿宋_GB2312" w:hAnsi="仿宋" w:eastAsia="仿宋_GB2312" w:cs="仿宋_GB2312"/>
          <w:color w:val="auto"/>
          <w:sz w:val="24"/>
          <w:szCs w:val="24"/>
          <w:highlight w:val="none"/>
        </w:rPr>
        <w:t>《投标（开标）一览表》填写不完整或字迹不能辨认或有漏项的；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13.18</w:t>
      </w:r>
      <w:r>
        <w:rPr>
          <w:rFonts w:hint="eastAsia" w:ascii="仿宋_GB2312" w:hAnsi="仿宋" w:eastAsia="仿宋_GB2312" w:cs="仿宋_GB2312"/>
          <w:color w:val="auto"/>
          <w:sz w:val="24"/>
          <w:szCs w:val="24"/>
          <w:highlight w:val="none"/>
        </w:rPr>
        <w:t>投标人对根据修正原则修正后的报价不确认的；</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13.19</w:t>
      </w:r>
      <w:r>
        <w:rPr>
          <w:rFonts w:hint="eastAsia" w:ascii="仿宋_GB2312" w:hAnsi="仿宋" w:eastAsia="仿宋_GB2312" w:cs="仿宋_GB2312"/>
          <w:color w:val="auto"/>
          <w:sz w:val="24"/>
          <w:szCs w:val="24"/>
          <w:highlight w:val="none"/>
        </w:rPr>
        <w:t>投标人提供虚假材料投标的（包括但不限于以下情节）；</w:t>
      </w:r>
    </w:p>
    <w:p>
      <w:pPr>
        <w:adjustRightInd w:val="0"/>
        <w:spacing w:line="360" w:lineRule="auto"/>
        <w:ind w:firstLine="720" w:firstLineChars="300"/>
        <w:rPr>
          <w:rFonts w:hint="eastAsia" w:ascii="仿宋_GB2312" w:hAnsi="仿宋" w:eastAsia="仿宋_GB2312" w:cs="仿宋_GB2312"/>
          <w:color w:val="auto"/>
          <w:sz w:val="24"/>
          <w:szCs w:val="24"/>
          <w:highlight w:val="none"/>
          <w:lang w:eastAsia="zh-CN"/>
        </w:rPr>
      </w:pPr>
      <w:r>
        <w:rPr>
          <w:rFonts w:hint="eastAsia" w:ascii="仿宋_GB2312" w:hAnsi="仿宋" w:eastAsia="仿宋_GB2312" w:cs="Times New Roman"/>
          <w:color w:val="auto"/>
          <w:sz w:val="24"/>
          <w:szCs w:val="24"/>
          <w:highlight w:val="none"/>
        </w:rPr>
        <w:t>13.19.1</w:t>
      </w:r>
      <w:r>
        <w:rPr>
          <w:rFonts w:hint="eastAsia" w:ascii="仿宋_GB2312" w:hAnsi="仿宋" w:eastAsia="仿宋_GB2312" w:cs="仿宋_GB2312"/>
          <w:color w:val="auto"/>
          <w:sz w:val="24"/>
          <w:szCs w:val="24"/>
          <w:highlight w:val="none"/>
        </w:rPr>
        <w:t>使用伪造、变造的许可证件；</w:t>
      </w:r>
    </w:p>
    <w:p>
      <w:pPr>
        <w:adjustRightInd w:val="0"/>
        <w:spacing w:line="360" w:lineRule="auto"/>
        <w:ind w:firstLine="720" w:firstLineChars="300"/>
        <w:rPr>
          <w:rFonts w:hint="eastAsia" w:ascii="仿宋_GB2312" w:hAnsi="仿宋" w:eastAsia="仿宋_GB2312" w:cs="仿宋_GB2312"/>
          <w:color w:val="auto"/>
          <w:sz w:val="24"/>
          <w:szCs w:val="24"/>
          <w:highlight w:val="none"/>
          <w:lang w:eastAsia="zh-CN"/>
        </w:rPr>
      </w:pPr>
      <w:r>
        <w:rPr>
          <w:rFonts w:hint="eastAsia" w:ascii="宋体" w:hAnsi="宋体" w:eastAsia="宋体" w:cs="宋体"/>
          <w:color w:val="auto"/>
          <w:sz w:val="24"/>
          <w:szCs w:val="24"/>
          <w:highlight w:val="none"/>
        </w:rPr>
        <w:t>  </w:t>
      </w:r>
      <w:r>
        <w:rPr>
          <w:rFonts w:hint="eastAsia" w:ascii="仿宋_GB2312" w:hAnsi="仿宋" w:eastAsia="仿宋_GB2312" w:cs="仿宋_GB2312"/>
          <w:color w:val="auto"/>
          <w:sz w:val="24"/>
          <w:szCs w:val="24"/>
          <w:highlight w:val="none"/>
        </w:rPr>
        <w:t xml:space="preserve"> </w:t>
      </w:r>
      <w:r>
        <w:rPr>
          <w:rFonts w:hint="eastAsia" w:ascii="仿宋_GB2312" w:hAnsi="仿宋" w:eastAsia="仿宋_GB2312" w:cs="Times New Roman"/>
          <w:color w:val="auto"/>
          <w:sz w:val="24"/>
          <w:szCs w:val="24"/>
          <w:highlight w:val="none"/>
        </w:rPr>
        <w:t xml:space="preserve"> 13.19.2</w:t>
      </w:r>
      <w:r>
        <w:rPr>
          <w:rFonts w:hint="eastAsia" w:ascii="仿宋_GB2312" w:hAnsi="仿宋" w:eastAsia="仿宋_GB2312" w:cs="仿宋_GB2312"/>
          <w:color w:val="auto"/>
          <w:sz w:val="24"/>
          <w:szCs w:val="24"/>
          <w:highlight w:val="none"/>
        </w:rPr>
        <w:t>提供虚假的财务状况或者业绩；</w:t>
      </w:r>
    </w:p>
    <w:p>
      <w:pPr>
        <w:adjustRightInd w:val="0"/>
        <w:spacing w:line="360" w:lineRule="auto"/>
        <w:ind w:firstLine="720" w:firstLineChars="300"/>
        <w:rPr>
          <w:rFonts w:hint="eastAsia" w:ascii="仿宋_GB2312" w:hAnsi="仿宋" w:eastAsia="仿宋_GB2312" w:cs="仿宋_GB2312"/>
          <w:color w:val="auto"/>
          <w:sz w:val="24"/>
          <w:szCs w:val="24"/>
          <w:highlight w:val="none"/>
          <w:lang w:eastAsia="zh-CN"/>
        </w:rPr>
      </w:pPr>
      <w:r>
        <w:rPr>
          <w:rFonts w:hint="eastAsia" w:ascii="宋体" w:hAnsi="宋体" w:eastAsia="宋体" w:cs="宋体"/>
          <w:color w:val="auto"/>
          <w:sz w:val="24"/>
          <w:szCs w:val="24"/>
          <w:highlight w:val="none"/>
        </w:rPr>
        <w:t>  </w:t>
      </w:r>
      <w:r>
        <w:rPr>
          <w:rFonts w:hint="eastAsia" w:ascii="仿宋_GB2312" w:hAnsi="仿宋" w:eastAsia="仿宋_GB2312" w:cs="仿宋_GB2312"/>
          <w:color w:val="auto"/>
          <w:sz w:val="24"/>
          <w:szCs w:val="24"/>
          <w:highlight w:val="none"/>
        </w:rPr>
        <w:t xml:space="preserve"> </w:t>
      </w:r>
      <w:r>
        <w:rPr>
          <w:rFonts w:hint="eastAsia" w:ascii="仿宋_GB2312" w:hAnsi="仿宋" w:eastAsia="仿宋_GB2312" w:cs="Times New Roman"/>
          <w:color w:val="auto"/>
          <w:sz w:val="24"/>
          <w:szCs w:val="24"/>
          <w:highlight w:val="none"/>
        </w:rPr>
        <w:t xml:space="preserve"> 13.19.3</w:t>
      </w:r>
      <w:r>
        <w:rPr>
          <w:rFonts w:hint="eastAsia" w:ascii="仿宋_GB2312" w:hAnsi="仿宋" w:eastAsia="仿宋_GB2312" w:cs="仿宋_GB2312"/>
          <w:color w:val="auto"/>
          <w:sz w:val="24"/>
          <w:szCs w:val="24"/>
          <w:highlight w:val="none"/>
        </w:rPr>
        <w:t>提供虚假的项目负责人或者主要技术人员简历、劳动关系证明；</w:t>
      </w:r>
    </w:p>
    <w:p>
      <w:pPr>
        <w:adjustRightInd w:val="0"/>
        <w:spacing w:line="360" w:lineRule="auto"/>
        <w:ind w:firstLine="720" w:firstLineChars="300"/>
        <w:rPr>
          <w:rFonts w:hint="eastAsia" w:ascii="仿宋_GB2312" w:hAnsi="仿宋" w:eastAsia="仿宋_GB2312" w:cs="仿宋_GB2312"/>
          <w:color w:val="auto"/>
          <w:sz w:val="24"/>
          <w:szCs w:val="24"/>
          <w:highlight w:val="none"/>
          <w:lang w:eastAsia="zh-CN"/>
        </w:rPr>
      </w:pPr>
      <w:r>
        <w:rPr>
          <w:rFonts w:hint="eastAsia" w:ascii="宋体" w:hAnsi="宋体" w:eastAsia="宋体" w:cs="宋体"/>
          <w:color w:val="auto"/>
          <w:sz w:val="24"/>
          <w:szCs w:val="24"/>
          <w:highlight w:val="none"/>
        </w:rPr>
        <w:t>  </w:t>
      </w:r>
      <w:r>
        <w:rPr>
          <w:rFonts w:hint="eastAsia" w:ascii="仿宋_GB2312" w:hAnsi="仿宋" w:eastAsia="仿宋_GB2312" w:cs="仿宋_GB2312"/>
          <w:color w:val="auto"/>
          <w:sz w:val="24"/>
          <w:szCs w:val="24"/>
          <w:highlight w:val="none"/>
        </w:rPr>
        <w:t xml:space="preserve"> </w:t>
      </w:r>
      <w:r>
        <w:rPr>
          <w:rFonts w:hint="eastAsia" w:ascii="仿宋_GB2312" w:hAnsi="仿宋" w:eastAsia="仿宋_GB2312" w:cs="Times New Roman"/>
          <w:color w:val="auto"/>
          <w:sz w:val="24"/>
          <w:szCs w:val="24"/>
          <w:highlight w:val="none"/>
        </w:rPr>
        <w:t xml:space="preserve"> 13.19.4</w:t>
      </w:r>
      <w:r>
        <w:rPr>
          <w:rFonts w:hint="eastAsia" w:ascii="仿宋_GB2312" w:hAnsi="仿宋" w:eastAsia="仿宋_GB2312" w:cs="仿宋_GB2312"/>
          <w:color w:val="auto"/>
          <w:sz w:val="24"/>
          <w:szCs w:val="24"/>
          <w:highlight w:val="none"/>
        </w:rPr>
        <w:t>提供虚假的信用状况；</w:t>
      </w:r>
    </w:p>
    <w:p>
      <w:pPr>
        <w:adjustRightInd w:val="0"/>
        <w:spacing w:line="360" w:lineRule="auto"/>
        <w:ind w:firstLine="720" w:firstLineChars="300"/>
        <w:rPr>
          <w:rFonts w:hint="eastAsia" w:ascii="仿宋_GB2312" w:hAnsi="仿宋" w:eastAsia="仿宋_GB2312" w:cs="仿宋_GB2312"/>
          <w:color w:val="auto"/>
          <w:sz w:val="24"/>
          <w:szCs w:val="24"/>
          <w:highlight w:val="none"/>
          <w:lang w:eastAsia="zh-CN"/>
        </w:rPr>
      </w:pPr>
      <w:r>
        <w:rPr>
          <w:rFonts w:hint="eastAsia" w:ascii="宋体" w:hAnsi="宋体" w:eastAsia="宋体" w:cs="宋体"/>
          <w:color w:val="auto"/>
          <w:sz w:val="24"/>
          <w:szCs w:val="24"/>
          <w:highlight w:val="none"/>
        </w:rPr>
        <w:t> </w:t>
      </w:r>
      <w:r>
        <w:rPr>
          <w:rFonts w:hint="eastAsia" w:ascii="仿宋_GB2312" w:hAnsi="仿宋" w:eastAsia="仿宋_GB2312" w:cs="仿宋_GB2312"/>
          <w:color w:val="auto"/>
          <w:sz w:val="24"/>
          <w:szCs w:val="24"/>
          <w:highlight w:val="none"/>
        </w:rPr>
        <w:t xml:space="preserve">   </w:t>
      </w:r>
      <w:r>
        <w:rPr>
          <w:rFonts w:hint="eastAsia" w:ascii="仿宋_GB2312" w:hAnsi="仿宋" w:eastAsia="仿宋_GB2312" w:cs="Times New Roman"/>
          <w:color w:val="auto"/>
          <w:sz w:val="24"/>
          <w:szCs w:val="24"/>
          <w:highlight w:val="none"/>
        </w:rPr>
        <w:t xml:space="preserve"> 13.19.5</w:t>
      </w:r>
      <w:r>
        <w:rPr>
          <w:rFonts w:hint="eastAsia" w:ascii="仿宋_GB2312" w:hAnsi="仿宋" w:eastAsia="仿宋_GB2312" w:cs="仿宋_GB2312"/>
          <w:color w:val="auto"/>
          <w:sz w:val="24"/>
          <w:szCs w:val="24"/>
          <w:highlight w:val="none"/>
        </w:rPr>
        <w:t>其他弄虚作假的行为。</w:t>
      </w:r>
    </w:p>
    <w:p>
      <w:pPr>
        <w:adjustRightInd w:val="0"/>
        <w:spacing w:line="360" w:lineRule="auto"/>
        <w:ind w:firstLine="720" w:firstLineChars="3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 xml:space="preserve">    13.20</w:t>
      </w:r>
      <w:r>
        <w:rPr>
          <w:rFonts w:hint="eastAsia" w:ascii="仿宋_GB2312" w:hAnsi="仿宋" w:eastAsia="仿宋_GB2312" w:cs="仿宋_GB2312"/>
          <w:color w:val="auto"/>
          <w:sz w:val="24"/>
          <w:szCs w:val="24"/>
          <w:highlight w:val="none"/>
        </w:rPr>
        <w:t>投标人有恶意串通、妨碍其他投标人的竞争行为、损害采购人或者其他投标人的合法权益情形的；有下列情形之一的，属于或视为恶意串通，其投标无效：</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13.20.1</w:t>
      </w:r>
      <w:r>
        <w:rPr>
          <w:rFonts w:hint="eastAsia" w:ascii="仿宋_GB2312" w:hAnsi="仿宋" w:eastAsia="仿宋_GB2312" w:cs="仿宋_GB2312"/>
          <w:color w:val="auto"/>
          <w:sz w:val="24"/>
          <w:szCs w:val="24"/>
          <w:highlight w:val="none"/>
        </w:rPr>
        <w:t>供应商直接或者间接从采购人或者采购机构处获得其他供应商的相关情况并修改其投标文件或者响应文件；</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13.20.2</w:t>
      </w:r>
      <w:r>
        <w:rPr>
          <w:rFonts w:hint="eastAsia" w:ascii="仿宋_GB2312" w:hAnsi="仿宋" w:eastAsia="仿宋_GB2312" w:cs="仿宋_GB2312"/>
          <w:color w:val="auto"/>
          <w:sz w:val="24"/>
          <w:szCs w:val="24"/>
          <w:highlight w:val="none"/>
        </w:rPr>
        <w:t>供应商按照采购人或者采购机构的授意撤换、修改投标文件或者响应文件；</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13.20.3</w:t>
      </w:r>
      <w:r>
        <w:rPr>
          <w:rFonts w:hint="eastAsia" w:ascii="仿宋_GB2312" w:hAnsi="仿宋" w:eastAsia="仿宋_GB2312" w:cs="仿宋_GB2312"/>
          <w:color w:val="auto"/>
          <w:sz w:val="24"/>
          <w:szCs w:val="24"/>
          <w:highlight w:val="none"/>
        </w:rPr>
        <w:t>供应商之间协商报价、技术方案等投标文件或者响应文件的实质性内容；</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13.20.4</w:t>
      </w:r>
      <w:r>
        <w:rPr>
          <w:rFonts w:hint="eastAsia" w:ascii="仿宋_GB2312" w:hAnsi="仿宋" w:eastAsia="仿宋_GB2312" w:cs="仿宋_GB2312"/>
          <w:color w:val="auto"/>
          <w:sz w:val="24"/>
          <w:szCs w:val="24"/>
          <w:highlight w:val="none"/>
        </w:rPr>
        <w:t>属于同一集团、协会、商会等组织成员的供应商按照该组织要求协同参加政府采购活动；</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13.20.5</w:t>
      </w:r>
      <w:r>
        <w:rPr>
          <w:rFonts w:hint="eastAsia" w:ascii="仿宋_GB2312" w:hAnsi="仿宋" w:eastAsia="仿宋_GB2312" w:cs="仿宋_GB2312"/>
          <w:color w:val="auto"/>
          <w:sz w:val="24"/>
          <w:szCs w:val="24"/>
          <w:highlight w:val="none"/>
        </w:rPr>
        <w:t>供应商之间事先约定由某一特定供应商中标、成交；</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13.20.6</w:t>
      </w:r>
      <w:r>
        <w:rPr>
          <w:rFonts w:hint="eastAsia" w:ascii="仿宋_GB2312" w:hAnsi="仿宋" w:eastAsia="仿宋_GB2312" w:cs="仿宋_GB2312"/>
          <w:color w:val="auto"/>
          <w:sz w:val="24"/>
          <w:szCs w:val="24"/>
          <w:highlight w:val="none"/>
        </w:rPr>
        <w:t>供应商之间商定部分供应商放弃参加政府采购活动或者放弃中标、成交；</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13.20.7</w:t>
      </w:r>
      <w:r>
        <w:rPr>
          <w:rFonts w:hint="eastAsia" w:ascii="仿宋_GB2312" w:hAnsi="仿宋" w:eastAsia="仿宋_GB2312" w:cs="仿宋_GB2312"/>
          <w:color w:val="auto"/>
          <w:sz w:val="24"/>
          <w:szCs w:val="24"/>
          <w:highlight w:val="none"/>
        </w:rPr>
        <w:t>供应商与采购人或者采购机构之间、供应商相互之间，为谋求特定供应商中标、成交或者排斥其他供应商的其他串通行为。</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13.20.8</w:t>
      </w:r>
      <w:r>
        <w:rPr>
          <w:rFonts w:hint="eastAsia" w:ascii="仿宋_GB2312" w:hAnsi="仿宋" w:eastAsia="仿宋_GB2312" w:cs="仿宋_GB2312"/>
          <w:color w:val="auto"/>
          <w:sz w:val="24"/>
          <w:szCs w:val="24"/>
          <w:highlight w:val="none"/>
        </w:rPr>
        <w:t>不同投标人的投标文件由同一单位或者个人编制；</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13.20.9</w:t>
      </w:r>
      <w:r>
        <w:rPr>
          <w:rFonts w:hint="eastAsia" w:ascii="仿宋_GB2312" w:hAnsi="仿宋" w:eastAsia="仿宋_GB2312" w:cs="仿宋_GB2312"/>
          <w:color w:val="auto"/>
          <w:sz w:val="24"/>
          <w:szCs w:val="24"/>
          <w:highlight w:val="none"/>
        </w:rPr>
        <w:t>不同投标人委托同一单位或者个人办理投标事宜；</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13.20.10</w:t>
      </w:r>
      <w:r>
        <w:rPr>
          <w:rFonts w:hint="eastAsia" w:ascii="仿宋_GB2312" w:hAnsi="仿宋" w:eastAsia="仿宋_GB2312" w:cs="仿宋_GB2312"/>
          <w:color w:val="auto"/>
          <w:sz w:val="24"/>
          <w:szCs w:val="24"/>
          <w:highlight w:val="none"/>
        </w:rPr>
        <w:t>不同投标人的投标文件载明的项目管理成员或者联系人员为同一人；</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13.20.11</w:t>
      </w:r>
      <w:r>
        <w:rPr>
          <w:rFonts w:hint="eastAsia" w:ascii="仿宋_GB2312" w:hAnsi="仿宋" w:eastAsia="仿宋_GB2312" w:cs="仿宋_GB2312"/>
          <w:color w:val="auto"/>
          <w:sz w:val="24"/>
          <w:szCs w:val="24"/>
          <w:highlight w:val="none"/>
        </w:rPr>
        <w:t>不同投标人的投标文件异常一致或者投标报价呈规律性差异；</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13.20.12</w:t>
      </w:r>
      <w:r>
        <w:rPr>
          <w:rFonts w:hint="eastAsia" w:ascii="仿宋_GB2312" w:hAnsi="仿宋" w:eastAsia="仿宋_GB2312" w:cs="仿宋_GB2312"/>
          <w:color w:val="auto"/>
          <w:sz w:val="24"/>
          <w:szCs w:val="24"/>
          <w:highlight w:val="none"/>
        </w:rPr>
        <w:t>不同投标人的投标文件相互混装；</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13.21</w:t>
      </w:r>
      <w:r>
        <w:rPr>
          <w:rFonts w:hint="eastAsia" w:ascii="仿宋_GB2312" w:hAnsi="仿宋" w:eastAsia="仿宋_GB2312" w:cs="仿宋_GB2312"/>
          <w:color w:val="auto"/>
          <w:sz w:val="24"/>
          <w:szCs w:val="24"/>
          <w:highlight w:val="none"/>
        </w:rPr>
        <w:t>投标人仅提交备份投标文件，没有在电子交易平台传输递交投标文件的，投标无效；</w:t>
      </w:r>
    </w:p>
    <w:p>
      <w:pPr>
        <w:adjustRightIn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Times New Roman"/>
          <w:color w:val="auto"/>
          <w:sz w:val="24"/>
          <w:szCs w:val="24"/>
          <w:highlight w:val="none"/>
        </w:rPr>
        <w:t>13.22</w:t>
      </w:r>
      <w:r>
        <w:rPr>
          <w:rFonts w:hint="eastAsia" w:ascii="仿宋_GB2312" w:hAnsi="仿宋" w:eastAsia="仿宋_GB2312" w:cs="仿宋_GB2312"/>
          <w:color w:val="auto"/>
          <w:sz w:val="24"/>
          <w:szCs w:val="24"/>
          <w:highlight w:val="none"/>
        </w:rPr>
        <w:t>法律、法规、规章（适用本市的）及省级以上规范性文件（适用本市的）规定的其他无效情形。</w:t>
      </w:r>
    </w:p>
    <w:p>
      <w:pPr>
        <w:adjustRightInd w:val="0"/>
        <w:spacing w:line="360" w:lineRule="auto"/>
        <w:ind w:firstLine="240" w:firstLineChars="100"/>
        <w:rPr>
          <w:rFonts w:ascii="仿宋_GB2312" w:hAnsi="仿宋" w:eastAsia="仿宋_GB2312" w:cs="仿宋_GB2312"/>
          <w:color w:val="auto"/>
          <w:sz w:val="24"/>
          <w:szCs w:val="21"/>
          <w:highlight w:val="none"/>
        </w:rPr>
      </w:pPr>
    </w:p>
    <w:p>
      <w:pPr>
        <w:adjustRightInd w:val="0"/>
        <w:snapToGrid w:val="0"/>
        <w:spacing w:line="360" w:lineRule="auto"/>
        <w:ind w:left="120" w:leftChars="57" w:firstLine="482" w:firstLineChars="150"/>
        <w:jc w:val="center"/>
        <w:rPr>
          <w:rFonts w:ascii="仿宋_GB2312" w:hAnsi="仿宋" w:eastAsia="仿宋_GB2312" w:cs="仿宋_GB2312"/>
          <w:b/>
          <w:color w:val="auto"/>
          <w:sz w:val="32"/>
          <w:szCs w:val="24"/>
          <w:highlight w:val="none"/>
        </w:rPr>
      </w:pPr>
      <w:r>
        <w:rPr>
          <w:rFonts w:hint="eastAsia" w:ascii="仿宋_GB2312" w:hAnsi="仿宋" w:eastAsia="仿宋_GB2312" w:cs="仿宋_GB2312"/>
          <w:b/>
          <w:color w:val="auto"/>
          <w:sz w:val="32"/>
          <w:szCs w:val="24"/>
          <w:highlight w:val="none"/>
        </w:rPr>
        <w:t xml:space="preserve">五、评标报告。 </w:t>
      </w:r>
    </w:p>
    <w:p>
      <w:pPr>
        <w:adjustRightInd w:val="0"/>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b/>
          <w:color w:val="auto"/>
          <w:sz w:val="24"/>
          <w:szCs w:val="24"/>
          <w:highlight w:val="none"/>
        </w:rPr>
        <w:t>14. 评标报告与推荐中标候选人。</w:t>
      </w:r>
      <w:r>
        <w:rPr>
          <w:rFonts w:hint="eastAsia" w:ascii="仿宋_GB2312" w:hAnsi="仿宋" w:eastAsia="仿宋_GB2312" w:cs="仿宋_GB2312"/>
          <w:color w:val="auto"/>
          <w:sz w:val="24"/>
          <w:szCs w:val="24"/>
          <w:highlight w:val="none"/>
        </w:rPr>
        <w:t>评标委员会根据原始评标记录和评标结果编写评标报告，并通过电子交易平台向采购人、采购机构提交。</w:t>
      </w:r>
    </w:p>
    <w:p>
      <w:pPr>
        <w:widowControl/>
        <w:spacing w:before="100" w:beforeAutospacing="1" w:after="100" w:afterAutospacing="1" w:line="360" w:lineRule="auto"/>
        <w:jc w:val="left"/>
        <w:rPr>
          <w:rFonts w:ascii="仿宋_GB2312" w:hAnsi="仿宋" w:eastAsia="仿宋_GB2312" w:cs="仿宋_GB2312"/>
          <w:color w:val="auto"/>
          <w:sz w:val="24"/>
          <w:szCs w:val="24"/>
          <w:highlight w:val="none"/>
        </w:rPr>
      </w:pPr>
      <w:r>
        <w:rPr>
          <w:rFonts w:hint="eastAsia" w:ascii="仿宋_GB2312" w:hAnsi="仿宋" w:eastAsia="仿宋_GB2312" w:cs="仿宋_GB2312"/>
          <w:b/>
          <w:color w:val="auto"/>
          <w:sz w:val="24"/>
          <w:szCs w:val="24"/>
          <w:highlight w:val="none"/>
        </w:rPr>
        <w:t>15. 评标争议事项处理。</w:t>
      </w:r>
      <w:r>
        <w:rPr>
          <w:rFonts w:hint="eastAsia" w:ascii="仿宋_GB2312" w:hAnsi="仿宋" w:eastAsia="仿宋_GB2312" w:cs="仿宋_GB2312"/>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left"/>
        <w:rPr>
          <w:rFonts w:ascii="仿宋_GB2312" w:hAnsi="ˎ̥" w:eastAsia="仿宋_GB2312" w:cs="宋体"/>
          <w:color w:val="auto"/>
          <w:kern w:val="0"/>
          <w:sz w:val="24"/>
          <w:szCs w:val="24"/>
          <w:highlight w:val="none"/>
        </w:rPr>
      </w:pPr>
      <w:r>
        <w:rPr>
          <w:rFonts w:hint="eastAsia" w:ascii="仿宋_GB2312" w:hAnsi="仿宋" w:eastAsia="仿宋_GB2312" w:cs="仿宋_GB2312"/>
          <w:color w:val="auto"/>
          <w:sz w:val="24"/>
          <w:szCs w:val="24"/>
          <w:highlight w:val="none"/>
        </w:rPr>
        <w:t xml:space="preserve">                    </w:t>
      </w:r>
    </w:p>
    <w:p>
      <w:pPr>
        <w:widowControl/>
        <w:spacing w:before="100" w:beforeAutospacing="1" w:after="100" w:afterAutospacing="1" w:line="360" w:lineRule="auto"/>
        <w:jc w:val="center"/>
        <w:rPr>
          <w:rFonts w:ascii="仿宋_GB2312" w:hAnsi="仿宋" w:eastAsia="仿宋_GB2312" w:cs="仿宋_GB2312"/>
          <w:b/>
          <w:color w:val="auto"/>
          <w:sz w:val="32"/>
          <w:szCs w:val="24"/>
          <w:highlight w:val="none"/>
        </w:rPr>
      </w:pPr>
      <w:r>
        <w:rPr>
          <w:rFonts w:hint="eastAsia" w:ascii="仿宋_GB2312" w:hAnsi="仿宋" w:eastAsia="仿宋_GB2312" w:cs="仿宋_GB2312"/>
          <w:b/>
          <w:color w:val="auto"/>
          <w:sz w:val="32"/>
          <w:szCs w:val="24"/>
          <w:highlight w:val="none"/>
        </w:rPr>
        <w:t>六、 废标</w:t>
      </w:r>
    </w:p>
    <w:p>
      <w:pPr>
        <w:adjustRightInd w:val="0"/>
        <w:snapToGrid w:val="0"/>
        <w:spacing w:after="120"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b/>
          <w:color w:val="auto"/>
          <w:sz w:val="24"/>
          <w:szCs w:val="24"/>
          <w:highlight w:val="none"/>
        </w:rPr>
        <w:t>16.废标。</w:t>
      </w:r>
      <w:r>
        <w:rPr>
          <w:rFonts w:hint="eastAsia" w:ascii="仿宋_GB2312" w:hAnsi="仿宋" w:eastAsia="仿宋_GB2312" w:cs="仿宋_GB2312"/>
          <w:color w:val="auto"/>
          <w:sz w:val="24"/>
          <w:szCs w:val="24"/>
          <w:highlight w:val="none"/>
        </w:rPr>
        <w:t>根据《中华人民共和国政府采购法》第三十六条之规定，在采购中，出现下列情形之一的，应予废标：</w:t>
      </w:r>
    </w:p>
    <w:p>
      <w:pPr>
        <w:adjustRightInd w:val="0"/>
        <w:snapToGri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16.1符合专业条件的供应商或者对招标文件作实质响应的供应商不足3家的；</w:t>
      </w:r>
    </w:p>
    <w:p>
      <w:pPr>
        <w:adjustRightInd w:val="0"/>
        <w:snapToGri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16.2出现影响采购公正的违法、违规行为的；</w:t>
      </w:r>
    </w:p>
    <w:p>
      <w:pPr>
        <w:adjustRightInd w:val="0"/>
        <w:snapToGri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16.3投标人的报价均超过了采购预算，采购人不能支付的；</w:t>
      </w:r>
    </w:p>
    <w:p>
      <w:pPr>
        <w:adjustRightInd w:val="0"/>
        <w:snapToGri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16.4因重大变故，采购任务取消的。</w:t>
      </w:r>
    </w:p>
    <w:p>
      <w:pPr>
        <w:adjustRightInd w:val="0"/>
        <w:snapToGrid w:val="0"/>
        <w:spacing w:after="120" w:line="360" w:lineRule="auto"/>
        <w:ind w:left="420" w:left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废标后，采购机构应当将废标理由通知所有投标人。</w:t>
      </w:r>
    </w:p>
    <w:p>
      <w:pPr>
        <w:adjustRightInd w:val="0"/>
        <w:snapToGrid w:val="0"/>
        <w:spacing w:after="120" w:line="360" w:lineRule="auto"/>
        <w:ind w:left="420" w:leftChars="200"/>
        <w:rPr>
          <w:rFonts w:ascii="仿宋_GB2312" w:hAnsi="仿宋" w:eastAsia="仿宋_GB2312" w:cs="仿宋_GB2312"/>
          <w:color w:val="auto"/>
          <w:szCs w:val="24"/>
          <w:highlight w:val="none"/>
        </w:rPr>
      </w:pPr>
    </w:p>
    <w:p>
      <w:pPr>
        <w:adjustRightInd w:val="0"/>
        <w:snapToGrid w:val="0"/>
        <w:spacing w:line="360" w:lineRule="auto"/>
        <w:ind w:left="120" w:leftChars="57" w:firstLine="482" w:firstLineChars="150"/>
        <w:jc w:val="center"/>
        <w:rPr>
          <w:rFonts w:ascii="仿宋_GB2312" w:hAnsi="仿宋" w:eastAsia="仿宋_GB2312" w:cs="仿宋_GB2312"/>
          <w:b/>
          <w:color w:val="auto"/>
          <w:sz w:val="32"/>
          <w:szCs w:val="24"/>
          <w:highlight w:val="none"/>
        </w:rPr>
      </w:pPr>
      <w:r>
        <w:rPr>
          <w:rFonts w:hint="eastAsia" w:ascii="仿宋_GB2312" w:hAnsi="仿宋" w:eastAsia="仿宋_GB2312" w:cs="仿宋_GB2312"/>
          <w:b/>
          <w:color w:val="auto"/>
          <w:sz w:val="32"/>
          <w:szCs w:val="24"/>
          <w:highlight w:val="none"/>
        </w:rPr>
        <w:t>七、 重新组织采购</w:t>
      </w:r>
    </w:p>
    <w:p>
      <w:pPr>
        <w:adjustRightInd w:val="0"/>
        <w:snapToGrid w:val="0"/>
        <w:spacing w:after="120"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b/>
          <w:color w:val="auto"/>
          <w:sz w:val="24"/>
          <w:szCs w:val="24"/>
          <w:highlight w:val="none"/>
        </w:rPr>
        <w:t>17.修改招标文件，重新组织采购活动。</w:t>
      </w:r>
      <w:r>
        <w:rPr>
          <w:rFonts w:hint="eastAsia" w:ascii="仿宋_GB2312" w:hAnsi="仿宋" w:eastAsia="仿宋_GB2312" w:cs="仿宋_GB2312"/>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after="120" w:line="360" w:lineRule="auto"/>
        <w:rPr>
          <w:rFonts w:ascii="仿宋_GB2312" w:hAnsi="仿宋" w:eastAsia="仿宋_GB2312" w:cs="仿宋_GB2312"/>
          <w:color w:val="auto"/>
          <w:sz w:val="24"/>
          <w:szCs w:val="24"/>
          <w:highlight w:val="none"/>
        </w:rPr>
      </w:pPr>
      <w:r>
        <w:rPr>
          <w:rFonts w:hint="eastAsia" w:ascii="仿宋_GB2312" w:hAnsi="Helvetica" w:eastAsia="仿宋_GB2312" w:cs="Helvetica"/>
          <w:b/>
          <w:color w:val="auto"/>
          <w:kern w:val="0"/>
          <w:sz w:val="24"/>
          <w:szCs w:val="24"/>
          <w:highlight w:val="none"/>
        </w:rPr>
        <w:t>18.重新开展采购。</w:t>
      </w:r>
      <w:r>
        <w:rPr>
          <w:rFonts w:hint="eastAsia" w:ascii="仿宋_GB2312" w:hAnsi="仿宋" w:eastAsia="仿宋_GB2312" w:cs="仿宋_GB2312"/>
          <w:color w:val="auto"/>
          <w:sz w:val="24"/>
          <w:szCs w:val="24"/>
          <w:highlight w:val="none"/>
        </w:rPr>
        <w:t>有政府采购法第七十一条、第七十二条规定的违法行为之一，影响或者可能影响中标、成交结果的，依照下列规定处理：</w:t>
      </w:r>
    </w:p>
    <w:p>
      <w:pPr>
        <w:adjustRightInd w:val="0"/>
        <w:snapToGri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18.1未确定中标或者中标人的，终止本次政府采购活动，重新开展政府采购活动。</w:t>
      </w:r>
    </w:p>
    <w:p>
      <w:pPr>
        <w:adjustRightInd w:val="0"/>
        <w:snapToGri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18.2已确定中标或者中标人但尚未签订政府采购合同的，中标或者成交结果无效，从合格的中标或者成交候选人中另行确定中标或者中标人；没有合格的中标或者成交候选人的，重新开展政府采购活动。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18.3政府采购合同已签订但尚未履行的，撤销合同，从合格的中标或者成交候选人中另行确定中标或者中标人；没有合格的中标或者成交候选人的，重新开展政府采购活动。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18.4政府采购合同已经履行，给采购人、供应商造成损失的，由责任人承担赔偿责任。</w:t>
      </w:r>
    </w:p>
    <w:p>
      <w:pPr>
        <w:adjustRightInd w:val="0"/>
        <w:snapToGrid w:val="0"/>
        <w:spacing w:after="120"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18.5政府采购当事人有其他违反政府采购法或者本条例规定的行为，经改正后仍然影响或者可能影响中标、成交结果或者依法被认定为中标、成交无效的，依照18.1-18.4规定处理。</w:t>
      </w:r>
    </w:p>
    <w:p>
      <w:pPr>
        <w:adjustRightInd w:val="0"/>
        <w:snapToGrid w:val="0"/>
        <w:spacing w:after="120" w:line="360" w:lineRule="auto"/>
        <w:ind w:left="420" w:leftChars="200"/>
        <w:rPr>
          <w:rFonts w:ascii="仿宋_GB2312" w:hAnsi="仿宋" w:eastAsia="仿宋_GB2312" w:cs="仿宋_GB2312"/>
          <w:color w:val="auto"/>
          <w:szCs w:val="24"/>
          <w:highlight w:val="none"/>
        </w:rPr>
      </w:pPr>
    </w:p>
    <w:p>
      <w:pPr>
        <w:adjustRightInd w:val="0"/>
        <w:snapToGrid w:val="0"/>
        <w:spacing w:after="120" w:line="360" w:lineRule="auto"/>
        <w:ind w:left="420" w:leftChars="200"/>
        <w:rPr>
          <w:rFonts w:ascii="仿宋_GB2312" w:hAnsi="仿宋" w:eastAsia="仿宋_GB2312" w:cs="仿宋_GB2312"/>
          <w:color w:val="auto"/>
          <w:szCs w:val="24"/>
          <w:highlight w:val="none"/>
        </w:rPr>
      </w:pPr>
    </w:p>
    <w:p>
      <w:pPr>
        <w:adjustRightInd w:val="0"/>
        <w:snapToGrid w:val="0"/>
        <w:spacing w:line="360" w:lineRule="auto"/>
        <w:ind w:left="120" w:leftChars="57" w:firstLine="482" w:firstLineChars="150"/>
        <w:jc w:val="center"/>
        <w:rPr>
          <w:rFonts w:ascii="仿宋_GB2312" w:hAnsi="仿宋" w:eastAsia="仿宋_GB2312" w:cs="仿宋_GB2312"/>
          <w:b/>
          <w:color w:val="auto"/>
          <w:sz w:val="32"/>
          <w:szCs w:val="24"/>
          <w:highlight w:val="none"/>
        </w:rPr>
      </w:pPr>
      <w:r>
        <w:rPr>
          <w:rFonts w:hint="eastAsia" w:ascii="仿宋_GB2312" w:hAnsi="仿宋" w:eastAsia="仿宋_GB2312" w:cs="仿宋_GB2312"/>
          <w:b/>
          <w:color w:val="auto"/>
          <w:sz w:val="32"/>
          <w:szCs w:val="24"/>
          <w:highlight w:val="none"/>
        </w:rPr>
        <w:t>八、评审过程的保密与录像</w:t>
      </w:r>
    </w:p>
    <w:p>
      <w:pPr>
        <w:widowControl/>
        <w:adjustRightInd w:val="0"/>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b/>
          <w:color w:val="auto"/>
          <w:sz w:val="24"/>
          <w:szCs w:val="24"/>
          <w:highlight w:val="none"/>
        </w:rPr>
        <w:t>19.保密。</w:t>
      </w:r>
      <w:r>
        <w:rPr>
          <w:rFonts w:hint="eastAsia" w:ascii="仿宋_GB2312" w:hAnsi="仿宋" w:eastAsia="仿宋_GB2312" w:cs="仿宋_GB2312"/>
          <w:color w:val="auto"/>
          <w:sz w:val="24"/>
          <w:szCs w:val="24"/>
          <w:highlight w:val="none"/>
        </w:rPr>
        <w:t>评审活动在严格保密的情况下进行。评审过程中凡是与采购响应文件评审和比较、中标中标人推荐等评审有关的情况，以及涉及国家秘密和商业秘密等信息，评审委员会成员、采购人和采购机构工作人员、相关监督人员等与评审有关的人员应当予以保密。</w:t>
      </w:r>
    </w:p>
    <w:p>
      <w:pPr>
        <w:widowControl/>
        <w:adjustRightInd w:val="0"/>
        <w:spacing w:line="360" w:lineRule="auto"/>
        <w:rPr>
          <w:rFonts w:ascii="仿宋_GB2312" w:hAnsi="仿宋" w:eastAsia="仿宋_GB2312" w:cs="仿宋_GB2312"/>
          <w:b/>
          <w:color w:val="auto"/>
          <w:sz w:val="32"/>
          <w:szCs w:val="24"/>
          <w:highlight w:val="none"/>
        </w:rPr>
      </w:pPr>
      <w:r>
        <w:rPr>
          <w:rFonts w:hint="eastAsia" w:ascii="仿宋_GB2312" w:hAnsi="仿宋" w:eastAsia="仿宋_GB2312" w:cs="仿宋_GB2312"/>
          <w:b/>
          <w:color w:val="auto"/>
          <w:sz w:val="24"/>
          <w:szCs w:val="24"/>
          <w:highlight w:val="none"/>
        </w:rPr>
        <w:t>20.录音录像。</w:t>
      </w:r>
      <w:r>
        <w:rPr>
          <w:rFonts w:hint="eastAsia" w:ascii="仿宋_GB2312" w:hAnsi="仿宋" w:eastAsia="仿宋_GB2312" w:cs="仿宋_GB2312"/>
          <w:color w:val="auto"/>
          <w:sz w:val="24"/>
          <w:szCs w:val="24"/>
          <w:highlight w:val="none"/>
        </w:rPr>
        <w:t>采购机构对评审工作现场进行全过程录音录像，录音录像资料作为采购项目文件随其他文件一并存档。</w:t>
      </w:r>
    </w:p>
    <w:p>
      <w:pPr>
        <w:adjustRightInd w:val="0"/>
        <w:snapToGrid w:val="0"/>
        <w:spacing w:line="360" w:lineRule="auto"/>
        <w:ind w:left="120" w:leftChars="57" w:firstLine="482" w:firstLineChars="150"/>
        <w:jc w:val="center"/>
        <w:rPr>
          <w:rFonts w:ascii="仿宋_GB2312" w:hAnsi="仿宋" w:eastAsia="仿宋_GB2312" w:cs="仿宋_GB2312"/>
          <w:b/>
          <w:color w:val="auto"/>
          <w:sz w:val="32"/>
          <w:szCs w:val="24"/>
          <w:highlight w:val="none"/>
        </w:rPr>
      </w:pPr>
      <w:r>
        <w:rPr>
          <w:rFonts w:hint="eastAsia" w:ascii="仿宋_GB2312" w:hAnsi="仿宋" w:eastAsia="仿宋_GB2312" w:cs="仿宋_GB2312"/>
          <w:b/>
          <w:color w:val="auto"/>
          <w:sz w:val="32"/>
          <w:szCs w:val="24"/>
          <w:highlight w:val="none"/>
        </w:rPr>
        <w:t>九、具体评标标准</w:t>
      </w:r>
    </w:p>
    <w:p>
      <w:pPr>
        <w:autoSpaceDE w:val="0"/>
        <w:autoSpaceDN w:val="0"/>
        <w:adjustRightInd w:val="0"/>
        <w:spacing w:line="460" w:lineRule="exact"/>
        <w:ind w:firstLine="482" w:firstLineChars="200"/>
        <w:rPr>
          <w:rFonts w:ascii="仿宋_GB2312" w:hAnsi="宋体" w:eastAsia="仿宋_GB2312" w:cs="Times New Roman"/>
          <w:color w:val="auto"/>
          <w:sz w:val="24"/>
          <w:szCs w:val="24"/>
          <w:highlight w:val="none"/>
        </w:rPr>
      </w:pPr>
      <w:r>
        <w:rPr>
          <w:rFonts w:hint="eastAsia" w:ascii="仿宋_GB2312" w:hAnsi="宋体" w:eastAsia="仿宋_GB2312" w:cs="Times New Roman"/>
          <w:b/>
          <w:color w:val="auto"/>
          <w:sz w:val="24"/>
          <w:szCs w:val="24"/>
          <w:highlight w:val="none"/>
        </w:rPr>
        <w:t>一、本项目采用综合评分法</w:t>
      </w:r>
      <w:r>
        <w:rPr>
          <w:rFonts w:hint="eastAsia" w:ascii="仿宋_GB2312" w:hAnsi="宋体" w:eastAsia="仿宋_GB2312" w:cs="Times New Roman"/>
          <w:color w:val="auto"/>
          <w:sz w:val="24"/>
          <w:szCs w:val="24"/>
          <w:highlight w:val="none"/>
        </w:rPr>
        <w:t>，评标委员会将对各投标人的投标报价、</w:t>
      </w:r>
      <w:r>
        <w:rPr>
          <w:rFonts w:hint="eastAsia" w:ascii="仿宋_GB2312" w:hAnsi="宋体" w:eastAsia="仿宋_GB2312" w:cs="Times New Roman"/>
          <w:bCs/>
          <w:color w:val="auto"/>
          <w:sz w:val="24"/>
          <w:szCs w:val="24"/>
          <w:highlight w:val="none"/>
        </w:rPr>
        <w:t>技术和服务方案</w:t>
      </w:r>
      <w:r>
        <w:rPr>
          <w:rFonts w:hint="eastAsia" w:ascii="仿宋_GB2312" w:hAnsi="宋体" w:eastAsia="仿宋_GB2312" w:cs="Times New Roman"/>
          <w:color w:val="auto"/>
          <w:sz w:val="24"/>
          <w:szCs w:val="24"/>
          <w:highlight w:val="none"/>
        </w:rPr>
        <w:t>、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_GB2312" w:hAnsi="仿宋" w:eastAsia="仿宋_GB2312" w:cs="仿宋_GB2312"/>
          <w:color w:val="auto"/>
          <w:sz w:val="24"/>
          <w:szCs w:val="21"/>
          <w:highlight w:val="none"/>
        </w:rPr>
        <w:t>得分且投标报价相同的并列</w:t>
      </w:r>
      <w:r>
        <w:rPr>
          <w:rFonts w:hint="eastAsia" w:ascii="仿宋_GB2312" w:hAnsi="宋体" w:eastAsia="仿宋_GB2312" w:cs="Times New Roman"/>
          <w:color w:val="auto"/>
          <w:sz w:val="24"/>
          <w:szCs w:val="24"/>
          <w:highlight w:val="none"/>
        </w:rPr>
        <w:t xml:space="preserve">，并形成评标意见。 </w:t>
      </w:r>
    </w:p>
    <w:p>
      <w:pPr>
        <w:adjustRightInd w:val="0"/>
        <w:spacing w:line="460" w:lineRule="exact"/>
        <w:ind w:left="105" w:leftChars="50" w:firstLine="427" w:firstLineChars="178"/>
        <w:rPr>
          <w:rFonts w:ascii="仿宋_GB2312" w:hAnsi="宋体" w:eastAsia="仿宋_GB2312" w:cs="Times New Roman"/>
          <w:b/>
          <w:color w:val="auto"/>
          <w:sz w:val="24"/>
          <w:szCs w:val="24"/>
          <w:highlight w:val="none"/>
        </w:rPr>
      </w:pPr>
      <w:r>
        <w:rPr>
          <w:rFonts w:hint="eastAsia" w:ascii="仿宋_GB2312" w:hAnsi="宋体" w:eastAsia="仿宋_GB2312" w:cs="Times New Roman"/>
          <w:color w:val="auto"/>
          <w:sz w:val="24"/>
          <w:szCs w:val="24"/>
          <w:highlight w:val="none"/>
        </w:rPr>
        <w:t>各投标人的综合得分为：投标价格得分+</w:t>
      </w:r>
      <w:r>
        <w:rPr>
          <w:rFonts w:hint="eastAsia" w:ascii="仿宋_GB2312" w:hAnsi="宋体" w:eastAsia="仿宋_GB2312" w:cs="Times New Roman"/>
          <w:bCs/>
          <w:color w:val="auto"/>
          <w:sz w:val="24"/>
          <w:szCs w:val="24"/>
          <w:highlight w:val="none"/>
        </w:rPr>
        <w:t>技术和服务方案</w:t>
      </w:r>
      <w:r>
        <w:rPr>
          <w:rFonts w:hint="eastAsia" w:ascii="仿宋_GB2312" w:hAnsi="宋体" w:eastAsia="仿宋_GB2312" w:cs="Times New Roman"/>
          <w:color w:val="auto"/>
          <w:sz w:val="24"/>
          <w:szCs w:val="24"/>
          <w:highlight w:val="none"/>
        </w:rPr>
        <w:t>得分+投标人的资质和业绩情况得分之和，</w:t>
      </w:r>
      <w:r>
        <w:rPr>
          <w:rFonts w:hint="eastAsia" w:ascii="仿宋_GB2312" w:hAnsi="宋体" w:eastAsia="仿宋_GB2312" w:cs="Times New Roman"/>
          <w:b/>
          <w:color w:val="auto"/>
          <w:sz w:val="24"/>
          <w:szCs w:val="24"/>
          <w:highlight w:val="none"/>
        </w:rPr>
        <w:t>总和为</w:t>
      </w:r>
      <w:r>
        <w:rPr>
          <w:rFonts w:hint="eastAsia" w:ascii="仿宋_GB2312" w:hAnsi="宋体" w:eastAsia="仿宋_GB2312" w:cs="Times New Roman"/>
          <w:b/>
          <w:color w:val="auto"/>
          <w:sz w:val="24"/>
          <w:szCs w:val="24"/>
          <w:highlight w:val="none"/>
          <w:u w:val="single"/>
        </w:rPr>
        <w:t>100</w:t>
      </w:r>
      <w:r>
        <w:rPr>
          <w:rFonts w:hint="eastAsia" w:ascii="仿宋_GB2312" w:hAnsi="宋体" w:eastAsia="仿宋_GB2312" w:cs="Times New Roman"/>
          <w:b/>
          <w:color w:val="auto"/>
          <w:sz w:val="24"/>
          <w:szCs w:val="24"/>
          <w:highlight w:val="none"/>
        </w:rPr>
        <w:t>分</w:t>
      </w:r>
      <w:r>
        <w:rPr>
          <w:rFonts w:hint="eastAsia" w:ascii="仿宋_GB2312" w:hAnsi="宋体" w:eastAsia="仿宋_GB2312" w:cs="Times New Roman"/>
          <w:color w:val="auto"/>
          <w:sz w:val="24"/>
          <w:szCs w:val="24"/>
          <w:highlight w:val="none"/>
        </w:rPr>
        <w:t>，其中：</w:t>
      </w:r>
      <w:r>
        <w:rPr>
          <w:rFonts w:hint="eastAsia" w:ascii="仿宋_GB2312" w:hAnsi="仿宋" w:eastAsia="仿宋_GB2312" w:cs="Times New Roman"/>
          <w:b/>
          <w:color w:val="auto"/>
          <w:sz w:val="24"/>
          <w:szCs w:val="24"/>
          <w:highlight w:val="none"/>
        </w:rPr>
        <w:t>投标价格得分</w:t>
      </w:r>
      <w:r>
        <w:rPr>
          <w:rFonts w:hint="eastAsia" w:ascii="仿宋_GB2312" w:hAnsi="仿宋" w:eastAsia="仿宋_GB2312" w:cs="Times New Roman"/>
          <w:b/>
          <w:color w:val="auto"/>
          <w:sz w:val="24"/>
          <w:szCs w:val="24"/>
          <w:highlight w:val="none"/>
          <w:u w:val="single"/>
          <w:lang w:val="en-US" w:eastAsia="zh-CN"/>
        </w:rPr>
        <w:t>20</w:t>
      </w:r>
      <w:r>
        <w:rPr>
          <w:rFonts w:hint="eastAsia" w:ascii="仿宋_GB2312" w:hAnsi="仿宋" w:eastAsia="仿宋_GB2312" w:cs="Times New Roman"/>
          <w:b/>
          <w:color w:val="auto"/>
          <w:sz w:val="24"/>
          <w:szCs w:val="24"/>
          <w:highlight w:val="none"/>
        </w:rPr>
        <w:t>分，</w:t>
      </w:r>
      <w:r>
        <w:rPr>
          <w:rFonts w:hint="eastAsia" w:ascii="仿宋_GB2312" w:hAnsi="仿宋" w:eastAsia="仿宋_GB2312" w:cs="Times New Roman"/>
          <w:b/>
          <w:color w:val="auto"/>
          <w:sz w:val="24"/>
          <w:szCs w:val="24"/>
          <w:highlight w:val="none"/>
          <w:lang w:val="en-US" w:eastAsia="zh-CN"/>
        </w:rPr>
        <w:t>资信业绩、</w:t>
      </w:r>
      <w:r>
        <w:rPr>
          <w:rFonts w:hint="eastAsia" w:ascii="仿宋_GB2312" w:hAnsi="仿宋" w:eastAsia="仿宋_GB2312" w:cs="Times New Roman"/>
          <w:b/>
          <w:bCs/>
          <w:color w:val="auto"/>
          <w:sz w:val="24"/>
          <w:szCs w:val="24"/>
          <w:highlight w:val="none"/>
        </w:rPr>
        <w:t>技术和服务方案得分</w:t>
      </w:r>
      <w:r>
        <w:rPr>
          <w:rFonts w:hint="eastAsia" w:ascii="仿宋_GB2312" w:hAnsi="仿宋" w:eastAsia="仿宋_GB2312" w:cs="Times New Roman"/>
          <w:b/>
          <w:color w:val="auto"/>
          <w:sz w:val="24"/>
          <w:szCs w:val="24"/>
          <w:highlight w:val="none"/>
          <w:u w:val="single"/>
          <w:lang w:val="en-US" w:eastAsia="zh-CN"/>
        </w:rPr>
        <w:t>80</w:t>
      </w:r>
      <w:r>
        <w:rPr>
          <w:rFonts w:hint="eastAsia" w:ascii="仿宋_GB2312" w:hAnsi="仿宋" w:eastAsia="仿宋_GB2312" w:cs="Times New Roman"/>
          <w:b/>
          <w:color w:val="auto"/>
          <w:sz w:val="24"/>
          <w:szCs w:val="24"/>
          <w:highlight w:val="none"/>
        </w:rPr>
        <w:t>分</w:t>
      </w:r>
      <w:r>
        <w:rPr>
          <w:rFonts w:hint="eastAsia" w:ascii="仿宋_GB2312" w:hAnsi="宋体" w:eastAsia="仿宋_GB2312" w:cs="Times New Roman"/>
          <w:b/>
          <w:color w:val="auto"/>
          <w:sz w:val="24"/>
          <w:szCs w:val="24"/>
          <w:highlight w:val="none"/>
        </w:rPr>
        <w:t>。</w:t>
      </w:r>
    </w:p>
    <w:p>
      <w:pPr>
        <w:tabs>
          <w:tab w:val="left" w:pos="0"/>
        </w:tabs>
        <w:adjustRightInd w:val="0"/>
        <w:spacing w:line="460" w:lineRule="exact"/>
        <w:ind w:firstLine="542" w:firstLineChars="225"/>
        <w:rPr>
          <w:rFonts w:ascii="仿宋_GB2312" w:hAnsi="宋体" w:eastAsia="仿宋_GB2312" w:cs="Times New Roman"/>
          <w:color w:val="auto"/>
          <w:sz w:val="24"/>
          <w:szCs w:val="24"/>
          <w:highlight w:val="none"/>
        </w:rPr>
      </w:pPr>
      <w:r>
        <w:rPr>
          <w:rFonts w:hint="eastAsia" w:ascii="仿宋_GB2312" w:hAnsi="宋体" w:eastAsia="仿宋_GB2312" w:cs="Times New Roman"/>
          <w:b/>
          <w:color w:val="auto"/>
          <w:sz w:val="24"/>
          <w:szCs w:val="24"/>
          <w:highlight w:val="none"/>
        </w:rPr>
        <w:t>各投标人的技术和服务方案、投标人的资质和业绩情况得分为：评标委员会各成员评分的算术平均值。各投标人的投标价格得分按投标价格评分</w:t>
      </w:r>
      <w:r>
        <w:rPr>
          <w:rFonts w:hint="eastAsia" w:ascii="仿宋_GB2312" w:hAnsi="宋体" w:eastAsia="仿宋_GB2312" w:cs="宋体"/>
          <w:b/>
          <w:color w:val="auto"/>
          <w:kern w:val="0"/>
          <w:sz w:val="24"/>
          <w:szCs w:val="24"/>
          <w:highlight w:val="none"/>
        </w:rPr>
        <w:t>公式由采购机构计算，</w:t>
      </w:r>
      <w:r>
        <w:rPr>
          <w:rFonts w:hint="eastAsia" w:ascii="仿宋_GB2312" w:hAnsi="宋体" w:eastAsia="仿宋_GB2312" w:cs="Times New Roman"/>
          <w:b/>
          <w:color w:val="auto"/>
          <w:sz w:val="24"/>
          <w:szCs w:val="24"/>
          <w:highlight w:val="none"/>
        </w:rPr>
        <w:t>评标委员会审核。</w:t>
      </w:r>
      <w:r>
        <w:rPr>
          <w:rFonts w:hint="eastAsia" w:ascii="仿宋_GB2312" w:hAnsi="宋体" w:eastAsia="仿宋_GB2312" w:cs="Times New Roman"/>
          <w:color w:val="auto"/>
          <w:sz w:val="24"/>
          <w:szCs w:val="24"/>
          <w:highlight w:val="none"/>
        </w:rPr>
        <w:t>根据上述评标原则，分值安排如下：</w:t>
      </w:r>
    </w:p>
    <w:p>
      <w:pPr>
        <w:adjustRightInd w:val="0"/>
        <w:spacing w:line="460" w:lineRule="exact"/>
        <w:ind w:firstLine="482" w:firstLineChars="200"/>
        <w:rPr>
          <w:rFonts w:ascii="仿宋_GB2312" w:hAnsi="宋体" w:eastAsia="仿宋_GB2312" w:cs="Times New Roman"/>
          <w:b/>
          <w:color w:val="auto"/>
          <w:sz w:val="24"/>
          <w:szCs w:val="24"/>
          <w:highlight w:val="none"/>
        </w:rPr>
      </w:pPr>
      <w:r>
        <w:rPr>
          <w:rFonts w:hint="eastAsia" w:ascii="仿宋_GB2312" w:hAnsi="宋体" w:eastAsia="仿宋_GB2312" w:cs="Times New Roman"/>
          <w:b/>
          <w:color w:val="auto"/>
          <w:sz w:val="24"/>
          <w:szCs w:val="24"/>
          <w:highlight w:val="none"/>
        </w:rPr>
        <w:t>A、投标价格（A=</w:t>
      </w:r>
      <w:r>
        <w:rPr>
          <w:rFonts w:hint="eastAsia"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lang w:val="en-US" w:eastAsia="zh-CN"/>
        </w:rPr>
        <w:t>20</w:t>
      </w:r>
      <w:r>
        <w:rPr>
          <w:rFonts w:hint="eastAsia" w:ascii="仿宋_GB2312" w:hAnsi="宋体" w:eastAsia="仿宋_GB2312" w:cs="Times New Roman"/>
          <w:b/>
          <w:color w:val="auto"/>
          <w:sz w:val="24"/>
          <w:szCs w:val="24"/>
          <w:highlight w:val="none"/>
        </w:rPr>
        <w:t>分）：</w:t>
      </w:r>
    </w:p>
    <w:p>
      <w:pPr>
        <w:adjustRightInd w:val="0"/>
        <w:spacing w:line="360" w:lineRule="auto"/>
        <w:ind w:firstLine="482" w:firstLineChars="200"/>
        <w:rPr>
          <w:rFonts w:ascii="仿宋_GB2312" w:hAnsi="仿宋" w:eastAsia="仿宋_GB2312" w:cs="仿宋_GB2312"/>
          <w:color w:val="auto"/>
          <w:sz w:val="24"/>
          <w:szCs w:val="24"/>
          <w:highlight w:val="none"/>
        </w:rPr>
      </w:pPr>
      <w:r>
        <w:rPr>
          <w:rFonts w:hint="eastAsia" w:ascii="仿宋_GB2312" w:hAnsi="宋体" w:eastAsia="仿宋_GB2312" w:cs="仿宋_GB2312"/>
          <w:b/>
          <w:bCs/>
          <w:color w:val="auto"/>
          <w:sz w:val="24"/>
          <w:szCs w:val="24"/>
          <w:highlight w:val="none"/>
          <w:lang w:val="zh-CN"/>
        </w:rPr>
        <w:t>报价的合理性：</w:t>
      </w:r>
      <w:r>
        <w:rPr>
          <w:rFonts w:hint="eastAsia" w:ascii="仿宋_GB2312" w:hAnsi="宋体" w:eastAsia="仿宋_GB2312" w:cs="Times New Roman"/>
          <w:color w:val="auto"/>
          <w:sz w:val="24"/>
          <w:szCs w:val="24"/>
          <w:highlight w:val="none"/>
        </w:rPr>
        <w:t>评标委员会认为投标人的</w:t>
      </w:r>
      <w:r>
        <w:rPr>
          <w:rFonts w:hint="eastAsia" w:ascii="仿宋_GB2312" w:hAnsi="仿宋" w:eastAsia="仿宋_GB2312" w:cs="仿宋_GB2312"/>
          <w:color w:val="auto"/>
          <w:sz w:val="24"/>
          <w:szCs w:val="24"/>
          <w:highlight w:val="none"/>
        </w:rPr>
        <w:t>报价明显低于其他通过符合性审查投标人的报价，有可能影响产品质量或者不能诚信履约的，应当要求提供其在合理的时间内书面提供书面说明，必要时提交相关证明材料；投标人不能证明其报价合理性的，评标委员会应当将其作为无效投标处理;</w:t>
      </w:r>
    </w:p>
    <w:p>
      <w:pPr>
        <w:adjustRightInd w:val="0"/>
        <w:spacing w:line="460" w:lineRule="exact"/>
        <w:ind w:firstLine="480" w:firstLineChars="200"/>
        <w:rPr>
          <w:rFonts w:ascii="仿宋_GB2312" w:hAnsi="宋体" w:eastAsia="仿宋_GB2312" w:cs="Times New Roman"/>
          <w:color w:val="auto"/>
          <w:sz w:val="24"/>
          <w:szCs w:val="24"/>
          <w:highlight w:val="none"/>
        </w:rPr>
      </w:pPr>
      <w:r>
        <w:rPr>
          <w:rFonts w:hint="eastAsia" w:ascii="仿宋_GB2312" w:hAnsi="宋体" w:eastAsia="仿宋_GB2312" w:cs="仿宋_GB2312"/>
          <w:color w:val="auto"/>
          <w:sz w:val="24"/>
          <w:szCs w:val="24"/>
          <w:highlight w:val="none"/>
          <w:lang w:val="zh-CN"/>
        </w:rPr>
        <w:t>报价分计算方法：根据各投标人的有效投标报价，以满足招标文件要求且有效投标价格的最低的投标报价为评标基准价，其价格分为</w:t>
      </w:r>
      <w:r>
        <w:rPr>
          <w:rFonts w:hint="eastAsia" w:ascii="仿宋_GB2312" w:hAnsi="宋体" w:eastAsia="仿宋_GB2312" w:cs="仿宋_GB2312"/>
          <w:color w:val="auto"/>
          <w:sz w:val="24"/>
          <w:szCs w:val="24"/>
          <w:highlight w:val="none"/>
          <w:u w:val="single"/>
          <w:lang w:val="en-US" w:eastAsia="zh-CN"/>
        </w:rPr>
        <w:t>20</w:t>
      </w:r>
      <w:r>
        <w:rPr>
          <w:rFonts w:hint="eastAsia" w:ascii="仿宋_GB2312" w:hAnsi="宋体" w:eastAsia="仿宋_GB2312" w:cs="仿宋_GB2312"/>
          <w:color w:val="auto"/>
          <w:sz w:val="24"/>
          <w:szCs w:val="24"/>
          <w:highlight w:val="none"/>
          <w:u w:val="single"/>
          <w:lang w:val="zh-CN"/>
        </w:rPr>
        <w:t xml:space="preserve"> </w:t>
      </w:r>
      <w:r>
        <w:rPr>
          <w:rFonts w:hint="eastAsia" w:ascii="仿宋_GB2312" w:hAnsi="宋体" w:eastAsia="仿宋_GB2312" w:cs="仿宋_GB2312"/>
          <w:color w:val="auto"/>
          <w:sz w:val="24"/>
          <w:szCs w:val="24"/>
          <w:highlight w:val="none"/>
          <w:lang w:val="zh-CN"/>
        </w:rPr>
        <w:t>分。其他投标人的价格分统一按照下列公式计算：投标报价得分＝(评标基准价/有效投标报价)</w:t>
      </w:r>
      <w:r>
        <w:rPr>
          <w:rFonts w:hint="eastAsia" w:ascii="仿宋_GB2312" w:hAnsi="宋体" w:eastAsia="仿宋_GB2312" w:cs="Times New Roman"/>
          <w:color w:val="auto"/>
          <w:sz w:val="24"/>
          <w:szCs w:val="24"/>
          <w:highlight w:val="none"/>
        </w:rPr>
        <w:t>×</w:t>
      </w:r>
      <w:r>
        <w:rPr>
          <w:rFonts w:hint="eastAsia" w:ascii="仿宋_GB2312" w:hAnsi="宋体" w:eastAsia="仿宋_GB2312" w:cs="仿宋_GB2312"/>
          <w:color w:val="auto"/>
          <w:sz w:val="24"/>
          <w:szCs w:val="24"/>
          <w:highlight w:val="none"/>
          <w:lang w:val="zh-CN"/>
        </w:rPr>
        <w:t>价格权值</w:t>
      </w:r>
      <w:r>
        <w:rPr>
          <w:rFonts w:hint="eastAsia" w:ascii="仿宋_GB2312" w:hAnsi="宋体" w:eastAsia="仿宋_GB2312" w:cs="Times New Roman"/>
          <w:color w:val="auto"/>
          <w:sz w:val="24"/>
          <w:szCs w:val="24"/>
          <w:highlight w:val="none"/>
        </w:rPr>
        <w:t>×</w:t>
      </w:r>
      <w:r>
        <w:rPr>
          <w:rFonts w:hint="eastAsia" w:ascii="仿宋_GB2312" w:hAnsi="宋体" w:eastAsia="仿宋_GB2312" w:cs="仿宋_GB2312"/>
          <w:color w:val="auto"/>
          <w:sz w:val="24"/>
          <w:szCs w:val="24"/>
          <w:highlight w:val="none"/>
          <w:lang w:val="zh-CN"/>
        </w:rPr>
        <w:t>100。</w:t>
      </w:r>
    </w:p>
    <w:p>
      <w:pPr>
        <w:numPr>
          <w:ilvl w:val="0"/>
          <w:numId w:val="11"/>
        </w:numPr>
        <w:adjustRightInd w:val="0"/>
        <w:spacing w:line="460" w:lineRule="exact"/>
        <w:ind w:firstLine="482" w:firstLineChars="200"/>
        <w:rPr>
          <w:rFonts w:hint="eastAsia" w:ascii="仿宋_GB2312" w:hAnsi="宋体" w:eastAsia="仿宋_GB2312" w:cs="Times New Roman"/>
          <w:b/>
          <w:color w:val="auto"/>
          <w:sz w:val="24"/>
          <w:szCs w:val="24"/>
          <w:highlight w:val="none"/>
        </w:rPr>
      </w:pPr>
      <w:r>
        <w:rPr>
          <w:rFonts w:hint="eastAsia" w:ascii="仿宋_GB2312" w:hAnsi="宋体" w:eastAsia="仿宋_GB2312" w:cs="Times New Roman"/>
          <w:b/>
          <w:color w:val="auto"/>
          <w:sz w:val="24"/>
          <w:szCs w:val="24"/>
          <w:highlight w:val="none"/>
          <w:lang w:val="en-US" w:eastAsia="zh-CN"/>
        </w:rPr>
        <w:t>资信业绩、</w:t>
      </w:r>
      <w:r>
        <w:rPr>
          <w:rFonts w:hint="eastAsia" w:ascii="仿宋_GB2312" w:hAnsi="宋体" w:eastAsia="仿宋_GB2312" w:cs="Times New Roman"/>
          <w:b/>
          <w:color w:val="auto"/>
          <w:sz w:val="24"/>
          <w:szCs w:val="24"/>
          <w:highlight w:val="none"/>
        </w:rPr>
        <w:t>技术和服务方案（B=</w:t>
      </w:r>
      <w:r>
        <w:rPr>
          <w:rFonts w:hint="eastAsia" w:ascii="仿宋_GB2312" w:hAnsi="宋体" w:eastAsia="仿宋_GB2312" w:cs="Times New Roman"/>
          <w:b/>
          <w:color w:val="auto"/>
          <w:sz w:val="24"/>
          <w:szCs w:val="24"/>
          <w:highlight w:val="none"/>
          <w:lang w:val="en-US" w:eastAsia="zh-CN"/>
        </w:rPr>
        <w:t>80</w:t>
      </w:r>
      <w:r>
        <w:rPr>
          <w:rFonts w:hint="eastAsia" w:ascii="仿宋_GB2312" w:hAnsi="宋体" w:eastAsia="仿宋_GB2312" w:cs="Times New Roman"/>
          <w:b/>
          <w:color w:val="auto"/>
          <w:sz w:val="24"/>
          <w:szCs w:val="24"/>
          <w:highlight w:val="none"/>
        </w:rPr>
        <w:t xml:space="preserve">分）： </w:t>
      </w:r>
    </w:p>
    <w:tbl>
      <w:tblPr>
        <w:tblStyle w:val="62"/>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95"/>
        <w:gridCol w:w="6894"/>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4" w:type="dxa"/>
            <w:vAlign w:val="center"/>
          </w:tcPr>
          <w:p>
            <w:pPr>
              <w:widowControl/>
              <w:spacing w:line="40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395" w:type="dxa"/>
            <w:vAlign w:val="center"/>
          </w:tcPr>
          <w:p>
            <w:pPr>
              <w:widowControl/>
              <w:spacing w:line="40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评分项目</w:t>
            </w:r>
          </w:p>
        </w:tc>
        <w:tc>
          <w:tcPr>
            <w:tcW w:w="6894" w:type="dxa"/>
            <w:vAlign w:val="center"/>
          </w:tcPr>
          <w:p>
            <w:pPr>
              <w:widowControl/>
              <w:spacing w:line="400" w:lineRule="exact"/>
              <w:jc w:val="center"/>
              <w:rPr>
                <w:rFonts w:ascii="仿宋" w:hAnsi="仿宋" w:eastAsia="仿宋" w:cs="仿宋"/>
                <w:color w:val="000000"/>
                <w:sz w:val="24"/>
              </w:rPr>
            </w:pPr>
            <w:r>
              <w:rPr>
                <w:rFonts w:hint="eastAsia" w:ascii="仿宋" w:hAnsi="仿宋" w:eastAsia="仿宋" w:cs="仿宋"/>
                <w:b/>
                <w:bCs/>
                <w:color w:val="000000"/>
                <w:kern w:val="0"/>
                <w:sz w:val="24"/>
              </w:rPr>
              <w:t>评分内容</w:t>
            </w:r>
          </w:p>
        </w:tc>
        <w:tc>
          <w:tcPr>
            <w:tcW w:w="1173" w:type="dxa"/>
            <w:vAlign w:val="center"/>
          </w:tcPr>
          <w:p>
            <w:pPr>
              <w:widowControl/>
              <w:spacing w:line="40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restart"/>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1395" w:type="dxa"/>
            <w:vMerge w:val="restart"/>
            <w:vAlign w:val="center"/>
          </w:tcPr>
          <w:p>
            <w:pPr>
              <w:adjustRightInd w:val="0"/>
              <w:snapToGrid w:val="0"/>
              <w:spacing w:line="400" w:lineRule="exact"/>
              <w:jc w:val="center"/>
              <w:rPr>
                <w:rFonts w:ascii="仿宋" w:hAnsi="仿宋" w:eastAsia="仿宋" w:cs="仿宋"/>
                <w:color w:val="000000"/>
                <w:kern w:val="0"/>
                <w:sz w:val="24"/>
              </w:rPr>
            </w:pPr>
            <w:r>
              <w:rPr>
                <w:rFonts w:hint="eastAsia" w:ascii="仿宋" w:hAnsi="仿宋" w:eastAsia="仿宋" w:cs="仿宋"/>
                <w:color w:val="000000"/>
                <w:sz w:val="24"/>
              </w:rPr>
              <w:t>投标产品的性能与需求的吻合程度</w:t>
            </w:r>
          </w:p>
        </w:tc>
        <w:tc>
          <w:tcPr>
            <w:tcW w:w="6894" w:type="dxa"/>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1.投标产品的基本功能、技术指标与需求的吻合程度和偏差情况（包括所投标产品的品牌、规格型号、详细配置、主要技术参数、随机软件等），是否体现一定先进性、可靠性、成熟性、易维护性、可扩展性等，其配置和性能是否能满足本项目运行的需求，技术指标负偏离每一项扣减2分，扣完为止（13分）；（参数要求提供检测报告或其他证明文件的，不提供视一项负偏离）。</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continue"/>
            <w:vAlign w:val="center"/>
          </w:tcPr>
          <w:p>
            <w:pPr>
              <w:spacing w:line="400" w:lineRule="exact"/>
              <w:jc w:val="center"/>
              <w:rPr>
                <w:rFonts w:ascii="仿宋" w:hAnsi="仿宋" w:eastAsia="仿宋" w:cs="仿宋"/>
                <w:color w:val="000000"/>
                <w:sz w:val="24"/>
              </w:rPr>
            </w:pPr>
          </w:p>
        </w:tc>
        <w:tc>
          <w:tcPr>
            <w:tcW w:w="1395" w:type="dxa"/>
            <w:vMerge w:val="continue"/>
            <w:vAlign w:val="center"/>
          </w:tcPr>
          <w:p>
            <w:pPr>
              <w:adjustRightInd w:val="0"/>
              <w:snapToGrid w:val="0"/>
              <w:spacing w:line="400" w:lineRule="exact"/>
              <w:jc w:val="center"/>
              <w:rPr>
                <w:rFonts w:ascii="仿宋" w:hAnsi="仿宋" w:eastAsia="仿宋" w:cs="仿宋"/>
                <w:color w:val="000000"/>
                <w:sz w:val="24"/>
              </w:rPr>
            </w:pPr>
          </w:p>
        </w:tc>
        <w:tc>
          <w:tcPr>
            <w:tcW w:w="6894" w:type="dxa"/>
            <w:vAlign w:val="center"/>
          </w:tcPr>
          <w:p>
            <w:pPr>
              <w:pStyle w:val="610"/>
              <w:widowControl/>
              <w:tabs>
                <w:tab w:val="left" w:pos="822"/>
              </w:tabs>
              <w:snapToGrid w:val="0"/>
              <w:spacing w:line="400" w:lineRule="exact"/>
              <w:ind w:firstLine="0" w:firstLineChars="0"/>
              <w:rPr>
                <w:rFonts w:ascii="仿宋" w:hAnsi="仿宋" w:eastAsia="仿宋" w:cs="仿宋"/>
                <w:color w:val="000000"/>
                <w:sz w:val="24"/>
              </w:rPr>
            </w:pPr>
            <w:r>
              <w:rPr>
                <w:rFonts w:hint="eastAsia" w:ascii="仿宋" w:hAnsi="仿宋" w:eastAsia="仿宋" w:cs="仿宋"/>
                <w:color w:val="000000"/>
                <w:sz w:val="24"/>
              </w:rPr>
              <w:t>综合安防平台软件方案的优势情况，包括方案的科学性、可靠性、成熟性、合理性等 情况打分，投标人对该项目的综合安防平台软件部分①基础平台、②常态事件处置平台、③智能推送平台、④常态事件驾驶舱，每一项内容1分，不满足不得分，最高得4分。</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Align w:val="center"/>
          </w:tcPr>
          <w:p>
            <w:pPr>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p>
        </w:tc>
        <w:tc>
          <w:tcPr>
            <w:tcW w:w="1395" w:type="dxa"/>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综合安防平台系统演示</w:t>
            </w:r>
          </w:p>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kern w:val="0"/>
                <w:sz w:val="24"/>
              </w:rPr>
              <w:t>（15分）</w:t>
            </w:r>
          </w:p>
        </w:tc>
        <w:tc>
          <w:tcPr>
            <w:tcW w:w="6894" w:type="dxa"/>
            <w:vAlign w:val="center"/>
          </w:tcPr>
          <w:p>
            <w:pPr>
              <w:widowControl/>
              <w:spacing w:line="400" w:lineRule="exact"/>
              <w:rPr>
                <w:rFonts w:ascii="仿宋" w:hAnsi="仿宋" w:eastAsia="仿宋" w:cs="仿宋"/>
                <w:color w:val="000000"/>
                <w:sz w:val="24"/>
              </w:rPr>
            </w:pPr>
            <w:r>
              <w:rPr>
                <w:rFonts w:hint="eastAsia" w:ascii="仿宋" w:hAnsi="仿宋" w:eastAsia="仿宋" w:cs="仿宋"/>
                <w:color w:val="000000"/>
                <w:sz w:val="24"/>
              </w:rPr>
              <w:t>投标人按以下要求录制功能演示录像，演示总时长不超过20分钟。演示需要为真实的线上环境，PPT演示或者Axure等产品原型图软件演示不得分，评委根据以下设备演示内容情况进行打分：</w:t>
            </w:r>
          </w:p>
          <w:p>
            <w:pPr>
              <w:widowControl/>
              <w:spacing w:line="400" w:lineRule="exact"/>
              <w:rPr>
                <w:rFonts w:ascii="仿宋" w:hAnsi="仿宋" w:eastAsia="仿宋" w:cs="仿宋"/>
                <w:color w:val="000000"/>
                <w:sz w:val="24"/>
              </w:rPr>
            </w:pPr>
            <w:r>
              <w:rPr>
                <w:rFonts w:hint="eastAsia" w:ascii="仿宋" w:hAnsi="仿宋" w:eastAsia="仿宋" w:cs="仿宋"/>
                <w:color w:val="000000"/>
                <w:sz w:val="24"/>
              </w:rPr>
              <w:t>（可采用多媒体视频等形式，制作成文件后拷入U盘，于投标截止时间前寄至（送至）代理机构处）</w:t>
            </w:r>
          </w:p>
          <w:p>
            <w:pPr>
              <w:widowControl/>
              <w:jc w:val="left"/>
              <w:rPr>
                <w:rFonts w:ascii="仿宋" w:hAnsi="仿宋" w:eastAsia="仿宋" w:cs="仿宋"/>
                <w:color w:val="000000"/>
                <w:sz w:val="24"/>
              </w:rPr>
            </w:pPr>
            <w:r>
              <w:rPr>
                <w:rFonts w:hint="eastAsia" w:ascii="仿宋" w:hAnsi="仿宋" w:eastAsia="仿宋" w:cs="仿宋"/>
                <w:color w:val="000000"/>
                <w:sz w:val="24"/>
              </w:rPr>
              <w:t>一、基础平台演示如下功能（7分）：</w:t>
            </w:r>
          </w:p>
          <w:p>
            <w:pPr>
              <w:numPr>
                <w:ilvl w:val="0"/>
                <w:numId w:val="12"/>
              </w:numPr>
              <w:rPr>
                <w:rFonts w:ascii="仿宋" w:hAnsi="仿宋" w:eastAsia="仿宋" w:cs="仿宋"/>
                <w:color w:val="000000"/>
                <w:sz w:val="24"/>
              </w:rPr>
            </w:pPr>
            <w:r>
              <w:rPr>
                <w:rFonts w:hint="eastAsia" w:ascii="仿宋" w:hAnsi="仿宋" w:eastAsia="仿宋" w:cs="仿宋"/>
                <w:color w:val="000000"/>
                <w:sz w:val="24"/>
              </w:rPr>
              <w:t>自定义表单（2分）</w:t>
            </w:r>
          </w:p>
          <w:p>
            <w:pPr>
              <w:numPr>
                <w:ilvl w:val="0"/>
                <w:numId w:val="13"/>
              </w:numPr>
              <w:ind w:firstLine="480" w:firstLineChars="200"/>
              <w:rPr>
                <w:rFonts w:ascii="仿宋" w:hAnsi="仿宋" w:eastAsia="仿宋" w:cs="仿宋"/>
                <w:color w:val="000000"/>
                <w:sz w:val="24"/>
              </w:rPr>
            </w:pPr>
            <w:r>
              <w:rPr>
                <w:rFonts w:hint="eastAsia" w:ascii="仿宋" w:hAnsi="仿宋" w:eastAsia="仿宋" w:cs="仿宋"/>
                <w:color w:val="000000"/>
                <w:sz w:val="24"/>
              </w:rPr>
              <w:t>自定义表单配置【文本、选择框、时间、文件、富文本】，每一项0.</w:t>
            </w:r>
            <w:r>
              <w:rPr>
                <w:rFonts w:ascii="仿宋" w:hAnsi="仿宋" w:eastAsia="仿宋" w:cs="仿宋"/>
                <w:color w:val="000000"/>
                <w:sz w:val="24"/>
              </w:rPr>
              <w:t>2</w:t>
            </w:r>
            <w:r>
              <w:rPr>
                <w:rFonts w:hint="eastAsia" w:ascii="仿宋" w:hAnsi="仿宋" w:eastAsia="仿宋" w:cs="仿宋"/>
                <w:color w:val="000000"/>
                <w:sz w:val="24"/>
              </w:rPr>
              <w:t>分，全部满足得</w:t>
            </w:r>
            <w:r>
              <w:rPr>
                <w:rFonts w:ascii="仿宋" w:hAnsi="仿宋" w:eastAsia="仿宋" w:cs="仿宋"/>
                <w:color w:val="000000"/>
                <w:sz w:val="24"/>
              </w:rPr>
              <w:t>1</w:t>
            </w:r>
            <w:r>
              <w:rPr>
                <w:rFonts w:hint="eastAsia" w:ascii="仿宋" w:hAnsi="仿宋" w:eastAsia="仿宋" w:cs="仿宋"/>
                <w:color w:val="000000"/>
                <w:sz w:val="24"/>
              </w:rPr>
              <w:t>分，任意一项未满足不得分</w:t>
            </w:r>
          </w:p>
          <w:p>
            <w:pPr>
              <w:numPr>
                <w:ilvl w:val="0"/>
                <w:numId w:val="13"/>
              </w:numPr>
              <w:ind w:firstLine="480" w:firstLineChars="200"/>
              <w:rPr>
                <w:rFonts w:ascii="仿宋" w:hAnsi="仿宋" w:eastAsia="仿宋" w:cs="仿宋"/>
                <w:color w:val="000000"/>
                <w:sz w:val="24"/>
              </w:rPr>
            </w:pPr>
            <w:r>
              <w:rPr>
                <w:rFonts w:hint="eastAsia" w:ascii="仿宋" w:hAnsi="仿宋" w:eastAsia="仿宋" w:cs="仿宋"/>
                <w:color w:val="000000"/>
                <w:sz w:val="24"/>
              </w:rPr>
              <w:t>提供2种字段布局方式，且支持自由切换，1分</w:t>
            </w:r>
          </w:p>
          <w:p>
            <w:pPr>
              <w:numPr>
                <w:ilvl w:val="0"/>
                <w:numId w:val="12"/>
              </w:numPr>
              <w:rPr>
                <w:rFonts w:ascii="仿宋" w:hAnsi="仿宋" w:eastAsia="仿宋" w:cs="仿宋"/>
                <w:color w:val="000000"/>
                <w:sz w:val="24"/>
              </w:rPr>
            </w:pPr>
            <w:r>
              <w:rPr>
                <w:rFonts w:hint="eastAsia" w:ascii="仿宋" w:hAnsi="仿宋" w:eastAsia="仿宋" w:cs="仿宋"/>
                <w:color w:val="000000"/>
                <w:sz w:val="24"/>
              </w:rPr>
              <w:t>Excel导入功能（2分）</w:t>
            </w:r>
          </w:p>
          <w:p>
            <w:pPr>
              <w:pStyle w:val="2"/>
              <w:ind w:firstLine="480" w:firstLineChars="200"/>
              <w:rPr>
                <w:rFonts w:ascii="仿宋" w:hAnsi="仿宋" w:eastAsia="仿宋" w:cs="仿宋"/>
                <w:color w:val="000000"/>
                <w:sz w:val="24"/>
              </w:rPr>
            </w:pPr>
            <w:r>
              <w:rPr>
                <w:rFonts w:hint="eastAsia" w:ascii="仿宋" w:hAnsi="仿宋" w:eastAsia="仿宋" w:cs="仿宋"/>
                <w:color w:val="000000"/>
                <w:sz w:val="24"/>
              </w:rPr>
              <w:t>需要同时支持以下3种导入方式：</w:t>
            </w:r>
          </w:p>
          <w:p>
            <w:pPr>
              <w:numPr>
                <w:ilvl w:val="0"/>
                <w:numId w:val="14"/>
              </w:numPr>
              <w:ind w:firstLine="480" w:firstLineChars="200"/>
              <w:rPr>
                <w:rFonts w:ascii="仿宋" w:hAnsi="仿宋" w:eastAsia="仿宋" w:cs="仿宋"/>
                <w:color w:val="000000"/>
                <w:sz w:val="24"/>
              </w:rPr>
            </w:pPr>
            <w:r>
              <w:rPr>
                <w:rFonts w:hint="eastAsia" w:ascii="仿宋" w:hAnsi="仿宋" w:eastAsia="仿宋" w:cs="仿宋"/>
                <w:color w:val="000000"/>
                <w:sz w:val="24"/>
              </w:rPr>
              <w:t>支持以增量方式导入Excel数据</w:t>
            </w:r>
            <w:r>
              <w:rPr>
                <w:rFonts w:ascii="仿宋" w:hAnsi="仿宋" w:eastAsia="仿宋" w:cs="仿宋"/>
                <w:color w:val="000000"/>
                <w:sz w:val="24"/>
              </w:rPr>
              <w:t xml:space="preserve"> </w:t>
            </w:r>
          </w:p>
          <w:p>
            <w:pPr>
              <w:numPr>
                <w:ilvl w:val="0"/>
                <w:numId w:val="14"/>
              </w:numPr>
              <w:ind w:firstLine="480" w:firstLineChars="200"/>
              <w:rPr>
                <w:rFonts w:ascii="仿宋" w:hAnsi="仿宋" w:eastAsia="仿宋" w:cs="仿宋"/>
                <w:color w:val="000000"/>
                <w:sz w:val="24"/>
              </w:rPr>
            </w:pPr>
            <w:r>
              <w:rPr>
                <w:rFonts w:hint="eastAsia" w:ascii="仿宋" w:hAnsi="仿宋" w:eastAsia="仿宋" w:cs="仿宋"/>
                <w:color w:val="000000"/>
                <w:sz w:val="24"/>
              </w:rPr>
              <w:t>支持以更新方式导入Excel数据</w:t>
            </w:r>
          </w:p>
          <w:p>
            <w:pPr>
              <w:numPr>
                <w:ilvl w:val="0"/>
                <w:numId w:val="14"/>
              </w:numPr>
              <w:ind w:firstLine="480" w:firstLineChars="200"/>
              <w:rPr>
                <w:rFonts w:ascii="仿宋" w:hAnsi="仿宋" w:eastAsia="仿宋" w:cs="仿宋"/>
                <w:color w:val="000000"/>
                <w:sz w:val="24"/>
              </w:rPr>
            </w:pPr>
            <w:r>
              <w:rPr>
                <w:rFonts w:hint="eastAsia" w:ascii="仿宋" w:hAnsi="仿宋" w:eastAsia="仿宋" w:cs="仿宋"/>
                <w:color w:val="000000"/>
                <w:sz w:val="24"/>
              </w:rPr>
              <w:t>支持更新且增量方式导入Excel数据</w:t>
            </w:r>
          </w:p>
          <w:p>
            <w:pPr>
              <w:rPr>
                <w:rFonts w:ascii="仿宋" w:hAnsi="仿宋" w:eastAsia="仿宋" w:cs="仿宋"/>
                <w:color w:val="000000"/>
                <w:sz w:val="24"/>
              </w:rPr>
            </w:pPr>
            <w:r>
              <w:rPr>
                <w:rFonts w:hint="eastAsia" w:ascii="仿宋" w:hAnsi="仿宋" w:eastAsia="仿宋" w:cs="仿宋"/>
                <w:color w:val="000000"/>
                <w:sz w:val="24"/>
              </w:rPr>
              <w:t>全部满足得</w:t>
            </w:r>
            <w:r>
              <w:rPr>
                <w:rFonts w:ascii="仿宋" w:hAnsi="仿宋" w:eastAsia="仿宋" w:cs="仿宋"/>
                <w:color w:val="000000"/>
                <w:sz w:val="24"/>
              </w:rPr>
              <w:t>2</w:t>
            </w:r>
            <w:r>
              <w:rPr>
                <w:rFonts w:hint="eastAsia" w:ascii="仿宋" w:hAnsi="仿宋" w:eastAsia="仿宋" w:cs="仿宋"/>
                <w:color w:val="000000"/>
                <w:sz w:val="24"/>
              </w:rPr>
              <w:t>分，任意一项不满足不得分</w:t>
            </w:r>
          </w:p>
          <w:p>
            <w:pPr>
              <w:pStyle w:val="2"/>
              <w:numPr>
                <w:ilvl w:val="0"/>
                <w:numId w:val="15"/>
              </w:numPr>
              <w:rPr>
                <w:rFonts w:ascii="仿宋" w:hAnsi="仿宋" w:eastAsia="仿宋" w:cs="仿宋"/>
                <w:color w:val="000000"/>
                <w:sz w:val="24"/>
              </w:rPr>
            </w:pPr>
            <w:r>
              <w:rPr>
                <w:rFonts w:hint="eastAsia" w:ascii="仿宋" w:hAnsi="仿宋" w:eastAsia="仿宋" w:cs="仿宋"/>
                <w:color w:val="000000"/>
                <w:sz w:val="24"/>
              </w:rPr>
              <w:t>字段联动配置（1分）</w:t>
            </w:r>
          </w:p>
          <w:p>
            <w:pPr>
              <w:numPr>
                <w:ilvl w:val="0"/>
                <w:numId w:val="16"/>
              </w:numPr>
              <w:ind w:firstLine="480" w:firstLineChars="200"/>
              <w:rPr>
                <w:rFonts w:ascii="仿宋" w:hAnsi="仿宋" w:eastAsia="仿宋" w:cs="仿宋"/>
                <w:color w:val="000000"/>
                <w:sz w:val="24"/>
              </w:rPr>
            </w:pPr>
            <w:r>
              <w:rPr>
                <w:rFonts w:hint="eastAsia" w:ascii="仿宋" w:hAnsi="仿宋" w:eastAsia="仿宋" w:cs="仿宋"/>
                <w:color w:val="000000"/>
                <w:sz w:val="24"/>
              </w:rPr>
              <w:t>支持自定义配置字段联动条件，针对同一个表单支持配置多个联动条件，</w:t>
            </w:r>
            <w:r>
              <w:rPr>
                <w:rFonts w:ascii="仿宋" w:hAnsi="仿宋" w:eastAsia="仿宋" w:cs="仿宋"/>
                <w:color w:val="000000"/>
                <w:sz w:val="24"/>
              </w:rPr>
              <w:t>0.5</w:t>
            </w:r>
            <w:r>
              <w:rPr>
                <w:rFonts w:hint="eastAsia" w:ascii="仿宋" w:hAnsi="仿宋" w:eastAsia="仿宋" w:cs="仿宋"/>
                <w:color w:val="000000"/>
                <w:sz w:val="24"/>
              </w:rPr>
              <w:t>分</w:t>
            </w:r>
          </w:p>
          <w:p>
            <w:pPr>
              <w:numPr>
                <w:ilvl w:val="0"/>
                <w:numId w:val="16"/>
              </w:numPr>
              <w:ind w:firstLine="480" w:firstLineChars="200"/>
              <w:rPr>
                <w:rFonts w:ascii="仿宋" w:hAnsi="仿宋" w:eastAsia="仿宋" w:cs="仿宋"/>
                <w:color w:val="000000"/>
                <w:sz w:val="24"/>
              </w:rPr>
            </w:pPr>
            <w:r>
              <w:rPr>
                <w:rFonts w:hint="eastAsia" w:ascii="仿宋" w:hAnsi="仿宋" w:eastAsia="仿宋" w:cs="仿宋"/>
                <w:color w:val="000000"/>
                <w:sz w:val="24"/>
              </w:rPr>
              <w:t>每一个联动条件中需提供组合规则，多个组合规则需提供“或”与“且”的匹配选择关联字段，</w:t>
            </w:r>
            <w:r>
              <w:rPr>
                <w:rFonts w:ascii="仿宋" w:hAnsi="仿宋" w:eastAsia="仿宋" w:cs="仿宋"/>
                <w:color w:val="000000"/>
                <w:sz w:val="24"/>
              </w:rPr>
              <w:t>0.5</w:t>
            </w:r>
            <w:r>
              <w:rPr>
                <w:rFonts w:hint="eastAsia" w:ascii="仿宋" w:hAnsi="仿宋" w:eastAsia="仿宋" w:cs="仿宋"/>
                <w:color w:val="000000"/>
                <w:sz w:val="24"/>
              </w:rPr>
              <w:t>分</w:t>
            </w:r>
          </w:p>
          <w:p>
            <w:pPr>
              <w:rPr>
                <w:rFonts w:ascii="仿宋" w:hAnsi="仿宋" w:eastAsia="仿宋" w:cs="仿宋"/>
                <w:color w:val="000000"/>
                <w:sz w:val="24"/>
              </w:rPr>
            </w:pPr>
            <w:r>
              <w:rPr>
                <w:rFonts w:hint="eastAsia" w:ascii="仿宋" w:hAnsi="仿宋" w:eastAsia="仿宋" w:cs="仿宋"/>
                <w:color w:val="000000"/>
                <w:sz w:val="24"/>
              </w:rPr>
              <w:t>注：每点0.5分，最高1分，有一项未满足不得分。</w:t>
            </w:r>
          </w:p>
          <w:p>
            <w:pPr>
              <w:pStyle w:val="2"/>
              <w:rPr>
                <w:rFonts w:ascii="仿宋" w:hAnsi="仿宋" w:eastAsia="仿宋" w:cs="仿宋"/>
                <w:color w:val="000000"/>
                <w:sz w:val="24"/>
              </w:rPr>
            </w:pPr>
            <w:r>
              <w:rPr>
                <w:rFonts w:hint="eastAsia" w:ascii="仿宋" w:hAnsi="仿宋" w:eastAsia="仿宋" w:cs="仿宋"/>
                <w:color w:val="000000"/>
                <w:sz w:val="24"/>
              </w:rPr>
              <w:t>4.关联字段 （1分）</w:t>
            </w:r>
          </w:p>
          <w:p>
            <w:pPr>
              <w:numPr>
                <w:ilvl w:val="0"/>
                <w:numId w:val="17"/>
              </w:numPr>
              <w:ind w:left="-210" w:firstLine="420"/>
              <w:rPr>
                <w:rFonts w:ascii="仿宋" w:hAnsi="仿宋" w:eastAsia="仿宋" w:cs="仿宋"/>
                <w:color w:val="000000"/>
                <w:sz w:val="24"/>
              </w:rPr>
            </w:pPr>
            <w:r>
              <w:rPr>
                <w:rFonts w:hint="eastAsia" w:ascii="仿宋" w:hAnsi="仿宋" w:eastAsia="仿宋" w:cs="仿宋"/>
                <w:color w:val="000000"/>
                <w:sz w:val="24"/>
              </w:rPr>
              <w:t>关联字段配置：支持配置任意自定义表单关联其他表单字段，</w:t>
            </w:r>
            <w:r>
              <w:rPr>
                <w:rFonts w:ascii="仿宋" w:hAnsi="仿宋" w:eastAsia="仿宋" w:cs="仿宋"/>
                <w:color w:val="000000"/>
                <w:sz w:val="24"/>
              </w:rPr>
              <w:t>0.5</w:t>
            </w:r>
            <w:r>
              <w:rPr>
                <w:rFonts w:hint="eastAsia" w:ascii="仿宋" w:hAnsi="仿宋" w:eastAsia="仿宋" w:cs="仿宋"/>
                <w:color w:val="000000"/>
                <w:sz w:val="24"/>
              </w:rPr>
              <w:t>分</w:t>
            </w:r>
          </w:p>
          <w:p>
            <w:pPr>
              <w:numPr>
                <w:ilvl w:val="0"/>
                <w:numId w:val="17"/>
              </w:numPr>
              <w:ind w:left="-210" w:firstLine="420"/>
              <w:rPr>
                <w:rFonts w:ascii="仿宋" w:hAnsi="仿宋" w:eastAsia="仿宋" w:cs="仿宋"/>
                <w:color w:val="000000"/>
                <w:sz w:val="24"/>
              </w:rPr>
            </w:pPr>
            <w:r>
              <w:rPr>
                <w:rFonts w:hint="eastAsia" w:ascii="仿宋" w:hAnsi="仿宋" w:eastAsia="仿宋" w:cs="仿宋"/>
                <w:color w:val="000000"/>
                <w:sz w:val="24"/>
              </w:rPr>
              <w:t>支持配置被关联的自定义表单提供快速查看关联数据的入口，</w:t>
            </w:r>
            <w:r>
              <w:rPr>
                <w:rFonts w:ascii="仿宋" w:hAnsi="仿宋" w:eastAsia="仿宋" w:cs="仿宋"/>
                <w:color w:val="000000"/>
                <w:sz w:val="24"/>
              </w:rPr>
              <w:t>0.5</w:t>
            </w:r>
            <w:r>
              <w:rPr>
                <w:rFonts w:hint="eastAsia" w:ascii="仿宋" w:hAnsi="仿宋" w:eastAsia="仿宋" w:cs="仿宋"/>
                <w:color w:val="000000"/>
                <w:sz w:val="24"/>
              </w:rPr>
              <w:t>分</w:t>
            </w:r>
          </w:p>
          <w:p>
            <w:pPr>
              <w:rPr>
                <w:rFonts w:ascii="仿宋" w:hAnsi="仿宋" w:eastAsia="仿宋" w:cs="仿宋"/>
                <w:color w:val="000000"/>
                <w:sz w:val="24"/>
              </w:rPr>
            </w:pPr>
            <w:r>
              <w:rPr>
                <w:rFonts w:hint="eastAsia" w:ascii="仿宋" w:hAnsi="仿宋" w:eastAsia="仿宋" w:cs="仿宋"/>
                <w:color w:val="000000"/>
                <w:sz w:val="24"/>
              </w:rPr>
              <w:t>注：每点0.5分，最高1分，有一项未满足不得分。</w:t>
            </w:r>
          </w:p>
          <w:p>
            <w:pPr>
              <w:pStyle w:val="2"/>
              <w:rPr>
                <w:rFonts w:ascii="仿宋" w:hAnsi="仿宋" w:eastAsia="仿宋" w:cs="仿宋"/>
                <w:color w:val="000000"/>
                <w:sz w:val="24"/>
              </w:rPr>
            </w:pPr>
            <w:r>
              <w:rPr>
                <w:rFonts w:hint="eastAsia" w:ascii="仿宋" w:hAnsi="仿宋" w:eastAsia="仿宋" w:cs="仿宋"/>
                <w:color w:val="000000"/>
                <w:sz w:val="24"/>
              </w:rPr>
              <w:t>5.数据检索（1分）</w:t>
            </w:r>
          </w:p>
          <w:p>
            <w:pPr>
              <w:widowControl/>
              <w:numPr>
                <w:ilvl w:val="0"/>
                <w:numId w:val="18"/>
              </w:numPr>
              <w:ind w:firstLine="480" w:firstLineChars="200"/>
              <w:jc w:val="left"/>
              <w:rPr>
                <w:rFonts w:ascii="仿宋" w:hAnsi="仿宋" w:eastAsia="仿宋" w:cs="仿宋"/>
                <w:color w:val="000000"/>
                <w:sz w:val="24"/>
              </w:rPr>
            </w:pPr>
            <w:r>
              <w:rPr>
                <w:rFonts w:hint="eastAsia" w:ascii="仿宋" w:hAnsi="仿宋" w:eastAsia="仿宋" w:cs="仿宋"/>
                <w:color w:val="000000"/>
                <w:sz w:val="24"/>
              </w:rPr>
              <w:t>数据检索入口：菜单表单快速全局搜索进入，</w:t>
            </w:r>
            <w:r>
              <w:rPr>
                <w:rFonts w:ascii="仿宋" w:hAnsi="仿宋" w:eastAsia="仿宋" w:cs="仿宋"/>
                <w:color w:val="000000"/>
                <w:sz w:val="24"/>
              </w:rPr>
              <w:t>0.5</w:t>
            </w:r>
            <w:r>
              <w:rPr>
                <w:rFonts w:hint="eastAsia" w:ascii="仿宋" w:hAnsi="仿宋" w:eastAsia="仿宋" w:cs="仿宋"/>
                <w:color w:val="000000"/>
                <w:sz w:val="24"/>
              </w:rPr>
              <w:t>分</w:t>
            </w:r>
          </w:p>
          <w:p>
            <w:pPr>
              <w:widowControl/>
              <w:numPr>
                <w:ilvl w:val="0"/>
                <w:numId w:val="18"/>
              </w:numPr>
              <w:ind w:firstLine="480" w:firstLineChars="200"/>
              <w:jc w:val="left"/>
              <w:rPr>
                <w:rFonts w:ascii="仿宋" w:hAnsi="仿宋" w:eastAsia="仿宋" w:cs="仿宋"/>
                <w:color w:val="000000"/>
                <w:sz w:val="24"/>
              </w:rPr>
            </w:pPr>
            <w:r>
              <w:rPr>
                <w:rFonts w:hint="eastAsia" w:ascii="仿宋" w:hAnsi="仿宋" w:eastAsia="仿宋" w:cs="仿宋"/>
                <w:color w:val="000000"/>
                <w:sz w:val="24"/>
              </w:rPr>
              <w:t>提供字段检索功能：每个字段检索方式至少提供两种以上数据匹配配置（如精确匹配、模糊匹配、不等于等），</w:t>
            </w:r>
            <w:r>
              <w:rPr>
                <w:rFonts w:ascii="仿宋" w:hAnsi="仿宋" w:eastAsia="仿宋" w:cs="仿宋"/>
                <w:color w:val="000000"/>
                <w:sz w:val="24"/>
              </w:rPr>
              <w:t>0.5</w:t>
            </w:r>
            <w:r>
              <w:rPr>
                <w:rFonts w:hint="eastAsia" w:ascii="仿宋" w:hAnsi="仿宋" w:eastAsia="仿宋" w:cs="仿宋"/>
                <w:color w:val="000000"/>
                <w:sz w:val="24"/>
              </w:rPr>
              <w:t>分</w:t>
            </w:r>
          </w:p>
          <w:p>
            <w:pPr>
              <w:rPr>
                <w:rFonts w:ascii="仿宋" w:hAnsi="仿宋" w:eastAsia="仿宋" w:cs="仿宋"/>
                <w:color w:val="000000"/>
                <w:sz w:val="24"/>
              </w:rPr>
            </w:pPr>
            <w:r>
              <w:rPr>
                <w:rFonts w:hint="eastAsia" w:ascii="仿宋" w:hAnsi="仿宋" w:eastAsia="仿宋" w:cs="仿宋"/>
                <w:color w:val="000000"/>
                <w:sz w:val="24"/>
              </w:rPr>
              <w:t>注：每点0.5分，最高1分，有一项未满足不得分。</w:t>
            </w: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r>
              <w:rPr>
                <w:rFonts w:hint="eastAsia" w:ascii="仿宋" w:hAnsi="仿宋" w:eastAsia="仿宋" w:cs="仿宋"/>
                <w:color w:val="000000"/>
                <w:sz w:val="24"/>
              </w:rPr>
              <w:t>二、常态事件处置平台演示如下功能（8分）：</w:t>
            </w:r>
          </w:p>
          <w:p>
            <w:pPr>
              <w:numPr>
                <w:ilvl w:val="0"/>
                <w:numId w:val="19"/>
              </w:numPr>
              <w:rPr>
                <w:rFonts w:ascii="仿宋" w:hAnsi="仿宋" w:eastAsia="仿宋" w:cs="仿宋"/>
                <w:color w:val="000000"/>
                <w:sz w:val="24"/>
              </w:rPr>
            </w:pPr>
            <w:r>
              <w:rPr>
                <w:rFonts w:hint="eastAsia" w:ascii="仿宋" w:hAnsi="仿宋" w:eastAsia="仿宋" w:cs="仿宋"/>
                <w:color w:val="000000"/>
                <w:sz w:val="24"/>
              </w:rPr>
              <w:t>应急广播（1分）：</w:t>
            </w:r>
          </w:p>
          <w:p>
            <w:pPr>
              <w:numPr>
                <w:ilvl w:val="0"/>
                <w:numId w:val="20"/>
              </w:numPr>
              <w:ind w:firstLine="480" w:firstLineChars="200"/>
              <w:rPr>
                <w:rFonts w:ascii="仿宋" w:hAnsi="仿宋" w:eastAsia="仿宋" w:cs="仿宋"/>
                <w:color w:val="000000"/>
                <w:sz w:val="24"/>
              </w:rPr>
            </w:pPr>
            <w:r>
              <w:rPr>
                <w:rFonts w:hint="eastAsia" w:ascii="仿宋" w:hAnsi="仿宋" w:eastAsia="仿宋" w:cs="仿宋"/>
                <w:color w:val="000000"/>
                <w:sz w:val="24"/>
              </w:rPr>
              <w:t>支持添加应急广播设置，绑定监控点位和事件类型，0.5分</w:t>
            </w:r>
          </w:p>
          <w:p>
            <w:pPr>
              <w:numPr>
                <w:ilvl w:val="0"/>
                <w:numId w:val="20"/>
              </w:numPr>
              <w:ind w:firstLine="480" w:firstLineChars="200"/>
              <w:rPr>
                <w:rFonts w:ascii="仿宋" w:hAnsi="仿宋" w:eastAsia="仿宋" w:cs="仿宋"/>
                <w:color w:val="000000"/>
                <w:sz w:val="24"/>
              </w:rPr>
            </w:pPr>
            <w:r>
              <w:rPr>
                <w:rFonts w:hint="eastAsia" w:ascii="仿宋" w:hAnsi="仿宋" w:eastAsia="仿宋" w:cs="仿宋"/>
                <w:color w:val="000000"/>
                <w:sz w:val="24"/>
              </w:rPr>
              <w:t>支持自动广播配置、支持人工广播配置，0.5分</w:t>
            </w:r>
          </w:p>
          <w:p>
            <w:pPr>
              <w:rPr>
                <w:rFonts w:ascii="仿宋" w:hAnsi="仿宋" w:eastAsia="仿宋" w:cs="仿宋"/>
                <w:color w:val="000000"/>
                <w:sz w:val="24"/>
              </w:rPr>
            </w:pPr>
            <w:r>
              <w:rPr>
                <w:rFonts w:hint="eastAsia" w:ascii="仿宋" w:hAnsi="仿宋" w:eastAsia="仿宋" w:cs="仿宋"/>
                <w:color w:val="000000"/>
                <w:sz w:val="24"/>
              </w:rPr>
              <w:t>注：每点0.5分，最高1分，有一项未满足不得分。</w:t>
            </w:r>
          </w:p>
          <w:p>
            <w:pPr>
              <w:numPr>
                <w:ilvl w:val="0"/>
                <w:numId w:val="21"/>
              </w:numPr>
              <w:rPr>
                <w:rFonts w:ascii="仿宋" w:hAnsi="仿宋" w:eastAsia="仿宋" w:cs="仿宋"/>
                <w:color w:val="000000"/>
                <w:sz w:val="24"/>
              </w:rPr>
            </w:pPr>
            <w:r>
              <w:rPr>
                <w:rFonts w:hint="eastAsia" w:ascii="仿宋" w:hAnsi="仿宋" w:eastAsia="仿宋" w:cs="仿宋"/>
                <w:color w:val="000000"/>
                <w:sz w:val="24"/>
              </w:rPr>
              <w:t>网格管理（0.5分）：支持网格绑定监控点位和事件类型，0.5分</w:t>
            </w:r>
          </w:p>
          <w:p>
            <w:pPr>
              <w:numPr>
                <w:ilvl w:val="0"/>
                <w:numId w:val="21"/>
              </w:numPr>
              <w:rPr>
                <w:rFonts w:ascii="仿宋" w:hAnsi="仿宋" w:eastAsia="仿宋" w:cs="仿宋"/>
                <w:color w:val="000000"/>
                <w:sz w:val="24"/>
              </w:rPr>
            </w:pPr>
            <w:r>
              <w:rPr>
                <w:rFonts w:hint="eastAsia" w:ascii="仿宋" w:hAnsi="仿宋" w:eastAsia="仿宋" w:cs="仿宋"/>
                <w:color w:val="000000"/>
                <w:sz w:val="24"/>
              </w:rPr>
              <w:t>事件管理（0.5分）：支持派发、审批、执法移交、忽略事件，0.5分</w:t>
            </w:r>
          </w:p>
          <w:p>
            <w:pPr>
              <w:numPr>
                <w:ilvl w:val="0"/>
                <w:numId w:val="21"/>
              </w:numPr>
              <w:rPr>
                <w:rFonts w:ascii="仿宋" w:hAnsi="仿宋" w:eastAsia="仿宋" w:cs="仿宋"/>
                <w:color w:val="000000"/>
                <w:sz w:val="24"/>
              </w:rPr>
            </w:pPr>
            <w:r>
              <w:rPr>
                <w:rFonts w:hint="eastAsia" w:ascii="仿宋" w:hAnsi="仿宋" w:eastAsia="仿宋" w:cs="仿宋"/>
                <w:color w:val="000000"/>
                <w:sz w:val="24"/>
              </w:rPr>
              <w:t>商铺管理（0.5分）：支持商铺绑定监控点位和事件类型。0.5分</w:t>
            </w:r>
          </w:p>
          <w:p>
            <w:pPr>
              <w:numPr>
                <w:ilvl w:val="0"/>
                <w:numId w:val="21"/>
              </w:numPr>
              <w:rPr>
                <w:rFonts w:ascii="仿宋" w:hAnsi="仿宋" w:eastAsia="仿宋" w:cs="仿宋"/>
                <w:color w:val="000000"/>
                <w:sz w:val="24"/>
              </w:rPr>
            </w:pPr>
            <w:r>
              <w:rPr>
                <w:rFonts w:hint="eastAsia" w:ascii="仿宋" w:hAnsi="仿宋" w:eastAsia="仿宋" w:cs="仿宋"/>
                <w:color w:val="000000"/>
                <w:sz w:val="24"/>
              </w:rPr>
              <w:t>数据统计（1.5分）：</w:t>
            </w:r>
          </w:p>
          <w:p>
            <w:pPr>
              <w:numPr>
                <w:ilvl w:val="0"/>
                <w:numId w:val="22"/>
              </w:numPr>
              <w:ind w:firstLine="480" w:firstLineChars="200"/>
              <w:rPr>
                <w:rFonts w:ascii="仿宋" w:hAnsi="仿宋" w:eastAsia="仿宋" w:cs="仿宋"/>
                <w:color w:val="000000"/>
                <w:sz w:val="24"/>
              </w:rPr>
            </w:pPr>
            <w:r>
              <w:rPr>
                <w:rFonts w:hint="eastAsia" w:ascii="仿宋" w:hAnsi="仿宋" w:eastAsia="仿宋" w:cs="仿宋"/>
                <w:color w:val="000000"/>
                <w:sz w:val="24"/>
              </w:rPr>
              <w:t>支持按违规类型统计违规事件；</w:t>
            </w:r>
          </w:p>
          <w:p>
            <w:pPr>
              <w:numPr>
                <w:ilvl w:val="0"/>
                <w:numId w:val="22"/>
              </w:numPr>
              <w:ind w:firstLine="480" w:firstLineChars="200"/>
              <w:rPr>
                <w:rFonts w:ascii="仿宋" w:hAnsi="仿宋" w:eastAsia="仿宋" w:cs="仿宋"/>
                <w:color w:val="000000"/>
                <w:sz w:val="24"/>
              </w:rPr>
            </w:pPr>
            <w:r>
              <w:rPr>
                <w:rFonts w:hint="eastAsia" w:ascii="仿宋" w:hAnsi="仿宋" w:eastAsia="仿宋" w:cs="仿宋"/>
                <w:color w:val="000000"/>
                <w:sz w:val="24"/>
              </w:rPr>
              <w:t>支持按监控点位统计违规事件；</w:t>
            </w:r>
          </w:p>
          <w:p>
            <w:pPr>
              <w:numPr>
                <w:ilvl w:val="0"/>
                <w:numId w:val="22"/>
              </w:numPr>
              <w:ind w:firstLine="480" w:firstLineChars="200"/>
              <w:rPr>
                <w:rFonts w:ascii="仿宋" w:hAnsi="仿宋" w:eastAsia="仿宋" w:cs="仿宋"/>
                <w:color w:val="000000"/>
                <w:sz w:val="24"/>
              </w:rPr>
            </w:pPr>
            <w:r>
              <w:rPr>
                <w:rFonts w:hint="eastAsia" w:ascii="仿宋" w:hAnsi="仿宋" w:eastAsia="仿宋" w:cs="仿宋"/>
                <w:color w:val="000000"/>
                <w:sz w:val="24"/>
              </w:rPr>
              <w:t>支持按告警时间统计违规事件。</w:t>
            </w:r>
          </w:p>
          <w:p>
            <w:pPr>
              <w:rPr>
                <w:rFonts w:ascii="仿宋" w:hAnsi="仿宋" w:eastAsia="仿宋" w:cs="仿宋"/>
                <w:color w:val="000000"/>
                <w:sz w:val="24"/>
              </w:rPr>
            </w:pPr>
            <w:r>
              <w:rPr>
                <w:rFonts w:hint="eastAsia" w:ascii="仿宋" w:hAnsi="仿宋" w:eastAsia="仿宋" w:cs="仿宋"/>
                <w:color w:val="000000"/>
                <w:sz w:val="24"/>
              </w:rPr>
              <w:t>每项0.5分，最高1.5分，有一项未满足不得分。</w:t>
            </w:r>
          </w:p>
          <w:p>
            <w:pPr>
              <w:numPr>
                <w:ilvl w:val="0"/>
                <w:numId w:val="23"/>
              </w:numPr>
              <w:rPr>
                <w:rFonts w:ascii="仿宋" w:hAnsi="仿宋" w:eastAsia="仿宋" w:cs="仿宋"/>
                <w:color w:val="000000"/>
                <w:sz w:val="24"/>
              </w:rPr>
            </w:pPr>
            <w:r>
              <w:rPr>
                <w:rFonts w:hint="eastAsia" w:ascii="仿宋" w:hAnsi="仿宋" w:eastAsia="仿宋" w:cs="仿宋"/>
                <w:color w:val="000000"/>
                <w:sz w:val="24"/>
              </w:rPr>
              <w:t>数据驾驶舱（2分）：</w:t>
            </w:r>
          </w:p>
          <w:p>
            <w:pPr>
              <w:numPr>
                <w:ilvl w:val="0"/>
                <w:numId w:val="24"/>
              </w:numPr>
              <w:ind w:firstLine="480" w:firstLineChars="200"/>
              <w:rPr>
                <w:rFonts w:ascii="仿宋" w:hAnsi="仿宋" w:eastAsia="仿宋" w:cs="仿宋"/>
                <w:color w:val="000000"/>
                <w:sz w:val="24"/>
              </w:rPr>
            </w:pPr>
            <w:r>
              <w:rPr>
                <w:rFonts w:hint="eastAsia" w:ascii="仿宋" w:hAnsi="仿宋" w:eastAsia="仿宋" w:cs="仿宋"/>
                <w:color w:val="000000"/>
                <w:sz w:val="24"/>
              </w:rPr>
              <w:t>监控点位地图，支持查看监控点位实时监控，1分</w:t>
            </w:r>
          </w:p>
          <w:p>
            <w:pPr>
              <w:numPr>
                <w:ilvl w:val="0"/>
                <w:numId w:val="24"/>
              </w:numPr>
              <w:ind w:firstLine="480" w:firstLineChars="200"/>
              <w:rPr>
                <w:rFonts w:ascii="仿宋" w:hAnsi="仿宋" w:eastAsia="仿宋" w:cs="仿宋"/>
                <w:color w:val="000000"/>
                <w:sz w:val="24"/>
              </w:rPr>
            </w:pPr>
            <w:r>
              <w:rPr>
                <w:rFonts w:hint="eastAsia" w:ascii="仿宋" w:hAnsi="仿宋" w:eastAsia="仿宋" w:cs="仿宋"/>
                <w:color w:val="000000"/>
                <w:sz w:val="24"/>
              </w:rPr>
              <w:t>实时事件处置区，支持查看事件详情，1分</w:t>
            </w:r>
          </w:p>
          <w:p>
            <w:pPr>
              <w:rPr>
                <w:rFonts w:ascii="仿宋" w:hAnsi="仿宋" w:eastAsia="仿宋" w:cs="仿宋"/>
                <w:color w:val="000000"/>
                <w:sz w:val="24"/>
              </w:rPr>
            </w:pPr>
            <w:r>
              <w:rPr>
                <w:rFonts w:hint="eastAsia" w:ascii="仿宋" w:hAnsi="仿宋" w:eastAsia="仿宋" w:cs="仿宋"/>
                <w:color w:val="000000"/>
                <w:sz w:val="24"/>
              </w:rPr>
              <w:t>每项1分，最高2分，有一项未满足不得分。</w:t>
            </w:r>
          </w:p>
          <w:p>
            <w:pPr>
              <w:rPr>
                <w:rFonts w:ascii="仿宋" w:hAnsi="仿宋" w:eastAsia="仿宋" w:cs="仿宋"/>
                <w:color w:val="000000"/>
                <w:sz w:val="24"/>
              </w:rPr>
            </w:pPr>
            <w:r>
              <w:rPr>
                <w:rFonts w:hint="eastAsia" w:ascii="仿宋" w:hAnsi="仿宋" w:eastAsia="仿宋" w:cs="仿宋"/>
                <w:color w:val="000000"/>
                <w:sz w:val="24"/>
              </w:rPr>
              <w:t>8、移动执法端（2分）</w:t>
            </w:r>
          </w:p>
          <w:p>
            <w:pPr>
              <w:pStyle w:val="610"/>
              <w:widowControl/>
              <w:tabs>
                <w:tab w:val="left" w:pos="822"/>
              </w:tabs>
              <w:snapToGrid w:val="0"/>
              <w:spacing w:line="400" w:lineRule="exact"/>
              <w:ind w:firstLine="0" w:firstLineChars="0"/>
              <w:rPr>
                <w:rFonts w:ascii="仿宋" w:hAnsi="仿宋" w:eastAsia="仿宋" w:cs="仿宋"/>
                <w:color w:val="000000"/>
                <w:sz w:val="24"/>
              </w:rPr>
            </w:pPr>
            <w:r>
              <w:rPr>
                <w:rFonts w:hint="eastAsia" w:ascii="仿宋" w:hAnsi="仿宋" w:eastAsia="仿宋" w:cs="仿宋"/>
                <w:color w:val="000000"/>
                <w:sz w:val="24"/>
              </w:rPr>
              <w:t>支持网格人员和执法人员领取、处理事件，每支持一种人员得1分，最高得2分。</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Align w:val="center"/>
          </w:tcPr>
          <w:p>
            <w:pPr>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p>
        </w:tc>
        <w:tc>
          <w:tcPr>
            <w:tcW w:w="1395"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核心产品功能参数的实现情况</w:t>
            </w:r>
          </w:p>
        </w:tc>
        <w:tc>
          <w:tcPr>
            <w:tcW w:w="6894" w:type="dxa"/>
            <w:vAlign w:val="center"/>
          </w:tcPr>
          <w:p>
            <w:pPr>
              <w:numPr>
                <w:ilvl w:val="0"/>
                <w:numId w:val="25"/>
              </w:numPr>
              <w:spacing w:line="460" w:lineRule="exact"/>
              <w:rPr>
                <w:rFonts w:ascii="仿宋" w:hAnsi="仿宋" w:eastAsia="仿宋" w:cs="仿宋"/>
                <w:color w:val="000000"/>
                <w:sz w:val="24"/>
              </w:rPr>
            </w:pPr>
            <w:r>
              <w:rPr>
                <w:rFonts w:hint="eastAsia" w:ascii="仿宋" w:hAnsi="仿宋" w:eastAsia="仿宋" w:cs="仿宋"/>
                <w:color w:val="000000"/>
                <w:sz w:val="24"/>
              </w:rPr>
              <w:t>违停抓拍球机：设备进行违法停车检测时，镜头倍率为1倍，白天有效检测距离最大为150米，其他倍率下，白天有效检测距离最大为450米。</w:t>
            </w:r>
          </w:p>
          <w:p>
            <w:pPr>
              <w:spacing w:line="460" w:lineRule="exact"/>
              <w:rPr>
                <w:rFonts w:ascii="仿宋" w:hAnsi="仿宋" w:eastAsia="仿宋" w:cs="仿宋"/>
                <w:color w:val="000000"/>
                <w:sz w:val="24"/>
              </w:rPr>
            </w:pPr>
            <w:r>
              <w:rPr>
                <w:rFonts w:hint="eastAsia" w:ascii="仿宋" w:hAnsi="仿宋" w:eastAsia="仿宋" w:cs="仿宋"/>
                <w:color w:val="000000"/>
                <w:sz w:val="24"/>
              </w:rPr>
              <w:t>2、人员密度检测：支持设置3个人员密度等级，当人员数量或区域占空比达到设定阈值时，可触发报警。</w:t>
            </w:r>
          </w:p>
          <w:p>
            <w:pPr>
              <w:pStyle w:val="2"/>
              <w:rPr>
                <w:rFonts w:ascii="仿宋" w:hAnsi="仿宋" w:eastAsia="仿宋" w:cs="仿宋"/>
                <w:color w:val="000000"/>
                <w:sz w:val="24"/>
              </w:rPr>
            </w:pPr>
            <w:r>
              <w:rPr>
                <w:rFonts w:hint="eastAsia" w:ascii="仿宋" w:hAnsi="仿宋" w:eastAsia="仿宋" w:cs="仿宋"/>
                <w:color w:val="000000"/>
                <w:sz w:val="24"/>
              </w:rPr>
              <w:t>3、云存储节点：支持按照设备可用容量实现负载均衡，各存储节点上存储的数据量在稳定状态下保持均衡，差距小于5%；支持按照接入任务数实现自动负载均衡，支持前端设备自动分配到存储节点。各节点间读写任务数差距±1。</w:t>
            </w:r>
          </w:p>
          <w:p>
            <w:pPr>
              <w:rPr>
                <w:rFonts w:ascii="仿宋" w:hAnsi="仿宋" w:eastAsia="仿宋" w:cs="仿宋"/>
                <w:color w:val="000000"/>
                <w:sz w:val="24"/>
              </w:rPr>
            </w:pPr>
            <w:r>
              <w:rPr>
                <w:rFonts w:hint="eastAsia" w:ascii="仿宋" w:hAnsi="仿宋" w:eastAsia="仿宋" w:cs="仿宋"/>
                <w:color w:val="000000"/>
                <w:sz w:val="24"/>
              </w:rPr>
              <w:t>4、热成像双光谱低功耗云台：当可见光视频图像调整焦距，至可探测距离样机1000m处移动物体（1.7m×0.5m）并进行巡航操作时，样机巡航1周所用时间应≤2min；</w:t>
            </w:r>
          </w:p>
          <w:p>
            <w:pPr>
              <w:spacing w:line="400" w:lineRule="exact"/>
              <w:rPr>
                <w:rFonts w:ascii="仿宋" w:hAnsi="仿宋" w:eastAsia="仿宋" w:cs="仿宋"/>
                <w:color w:val="000000"/>
                <w:sz w:val="24"/>
              </w:rPr>
            </w:pPr>
            <w:r>
              <w:rPr>
                <w:rFonts w:hint="eastAsia" w:ascii="仿宋" w:hAnsi="仿宋" w:eastAsia="仿宋" w:cs="仿宋"/>
                <w:color w:val="000000"/>
                <w:sz w:val="24"/>
              </w:rPr>
              <w:t>5、一体化道闸：支持本地存储黑名单，数据可达100000条。支持对污损以及遮挡面积不超过1/3的车牌进行检测和识别。</w:t>
            </w:r>
          </w:p>
          <w:p>
            <w:pPr>
              <w:pStyle w:val="2"/>
              <w:rPr>
                <w:rFonts w:ascii="仿宋" w:hAnsi="仿宋" w:eastAsia="仿宋" w:cs="仿宋"/>
                <w:color w:val="000000"/>
                <w:sz w:val="24"/>
              </w:rPr>
            </w:pPr>
            <w:r>
              <w:rPr>
                <w:rFonts w:hint="eastAsia" w:ascii="仿宋" w:hAnsi="仿宋" w:eastAsia="仿宋" w:cs="仿宋"/>
                <w:color w:val="000000"/>
                <w:sz w:val="24"/>
              </w:rPr>
              <w:t>6、存储服务器：以脸搜脸首位命中率不低于95%,以脸搜脸前10位命中率不低于99%；单颗引擎人脸建模速度不低于每秒38张/秒；</w:t>
            </w:r>
          </w:p>
          <w:p>
            <w:pPr>
              <w:rPr>
                <w:rFonts w:ascii="仿宋" w:hAnsi="仿宋" w:eastAsia="仿宋" w:cs="仿宋"/>
                <w:color w:val="000000"/>
                <w:sz w:val="24"/>
              </w:rPr>
            </w:pPr>
            <w:r>
              <w:rPr>
                <w:rFonts w:hint="eastAsia" w:ascii="仿宋" w:hAnsi="仿宋" w:eastAsia="仿宋" w:cs="仿宋"/>
                <w:color w:val="000000"/>
                <w:sz w:val="24"/>
              </w:rPr>
              <w:t>7、48口万兆核心交换机：支持M-LAG技术，跨设备链路聚合（非堆叠技术实现），要求配对的设备有独立的控制平面；</w:t>
            </w:r>
          </w:p>
          <w:p>
            <w:pPr>
              <w:pStyle w:val="2"/>
              <w:rPr>
                <w:rFonts w:ascii="仿宋" w:hAnsi="仿宋" w:eastAsia="仿宋" w:cs="仿宋"/>
                <w:color w:val="000000"/>
                <w:sz w:val="24"/>
              </w:rPr>
            </w:pPr>
            <w:r>
              <w:rPr>
                <w:rFonts w:hint="eastAsia" w:ascii="仿宋" w:hAnsi="仿宋" w:eastAsia="仿宋" w:cs="仿宋"/>
                <w:color w:val="000000"/>
                <w:sz w:val="24"/>
              </w:rPr>
              <w:t>8、防火墙：支持链路负载均衡和服务器负载均衡，并支持会话保持和链路健康检查；</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每个性能参数满足采购要求，并按采购需求规定提供相关证明材料，1个得0.5分，最高</w:t>
            </w:r>
            <w:r>
              <w:rPr>
                <w:rFonts w:ascii="仿宋" w:hAnsi="仿宋" w:eastAsia="仿宋" w:cs="仿宋"/>
                <w:color w:val="000000"/>
                <w:sz w:val="24"/>
              </w:rPr>
              <w:t>4</w:t>
            </w:r>
            <w:r>
              <w:rPr>
                <w:rFonts w:hint="eastAsia" w:ascii="仿宋" w:hAnsi="仿宋" w:eastAsia="仿宋" w:cs="仿宋"/>
                <w:color w:val="000000"/>
                <w:sz w:val="24"/>
              </w:rPr>
              <w:t>分，未提供相关证明材料不得分。</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w:t>
            </w:r>
            <w:r>
              <w:rPr>
                <w:rFonts w:ascii="仿宋" w:hAnsi="仿宋" w:eastAsia="仿宋" w:cs="仿宋"/>
                <w:color w:val="000000"/>
                <w:sz w:val="24"/>
              </w:rPr>
              <w:t>4</w:t>
            </w:r>
            <w:r>
              <w:rPr>
                <w:rFonts w:hint="eastAsia" w:ascii="仿宋" w:hAnsi="仿宋" w:eastAsia="仿宋" w:cs="仿宋"/>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4</w:t>
            </w:r>
          </w:p>
        </w:tc>
        <w:tc>
          <w:tcPr>
            <w:tcW w:w="1395" w:type="dxa"/>
            <w:vAlign w:val="center"/>
          </w:tcPr>
          <w:p>
            <w:pPr>
              <w:pStyle w:val="610"/>
              <w:tabs>
                <w:tab w:val="left" w:pos="2940"/>
              </w:tabs>
              <w:spacing w:line="400" w:lineRule="exact"/>
              <w:ind w:firstLine="0" w:firstLineChars="0"/>
              <w:rPr>
                <w:rFonts w:ascii="仿宋" w:hAnsi="仿宋" w:eastAsia="仿宋" w:cs="仿宋"/>
                <w:color w:val="auto"/>
                <w:sz w:val="24"/>
              </w:rPr>
            </w:pPr>
            <w:r>
              <w:rPr>
                <w:rFonts w:hint="eastAsia" w:ascii="仿宋" w:hAnsi="仿宋" w:eastAsia="仿宋" w:cs="仿宋"/>
                <w:color w:val="auto"/>
                <w:sz w:val="24"/>
              </w:rPr>
              <w:t>产品先进性，安全稳定性保证</w:t>
            </w:r>
          </w:p>
        </w:tc>
        <w:tc>
          <w:tcPr>
            <w:tcW w:w="6894" w:type="dxa"/>
            <w:vAlign w:val="center"/>
          </w:tcPr>
          <w:p>
            <w:pPr>
              <w:pStyle w:val="2"/>
              <w:rPr>
                <w:rFonts w:ascii="仿宋" w:hAnsi="仿宋" w:eastAsia="仿宋" w:cs="仿宋"/>
                <w:color w:val="auto"/>
                <w:sz w:val="24"/>
              </w:rPr>
            </w:pPr>
            <w:r>
              <w:rPr>
                <w:rFonts w:hint="eastAsia" w:ascii="仿宋" w:hAnsi="仿宋" w:eastAsia="仿宋" w:cs="仿宋"/>
                <w:color w:val="auto"/>
                <w:sz w:val="24"/>
              </w:rPr>
              <w:t>1、本次所投厂商标尺监控摄像机支持在水面平稳，无波浪情况下，对距离摄像机12m处水尺水位进行测试，水位值检测误差不大于1cm，提供相关部门检测报告</w:t>
            </w:r>
            <w:r>
              <w:rPr>
                <w:rFonts w:hint="eastAsia" w:ascii="仿宋" w:hAnsi="仿宋" w:eastAsia="仿宋" w:cs="仿宋"/>
                <w:color w:val="auto"/>
                <w:sz w:val="24"/>
                <w:lang w:eastAsia="zh-CN"/>
              </w:rPr>
              <w:t>的</w:t>
            </w:r>
            <w:r>
              <w:rPr>
                <w:rFonts w:hint="eastAsia" w:ascii="仿宋" w:hAnsi="仿宋" w:eastAsia="仿宋" w:cs="仿宋"/>
                <w:color w:val="auto"/>
                <w:sz w:val="24"/>
              </w:rPr>
              <w:t>得1分，不提供不得分。（0-1分）</w:t>
            </w:r>
          </w:p>
          <w:p>
            <w:pPr>
              <w:widowControl/>
              <w:spacing w:line="400" w:lineRule="exact"/>
              <w:jc w:val="left"/>
              <w:textAlignment w:val="center"/>
              <w:rPr>
                <w:rFonts w:ascii="仿宋" w:hAnsi="仿宋" w:eastAsia="仿宋" w:cs="仿宋"/>
                <w:color w:val="auto"/>
                <w:sz w:val="24"/>
              </w:rPr>
            </w:pPr>
            <w:r>
              <w:rPr>
                <w:rFonts w:hint="eastAsia" w:ascii="仿宋" w:hAnsi="仿宋" w:eastAsia="仿宋" w:cs="仿宋"/>
                <w:color w:val="auto"/>
                <w:sz w:val="24"/>
              </w:rPr>
              <w:t>2、本次所投厂商一体化道闸支持大车锁闸功能，当视频判断为大货车过车时道闸不落杆，支持连续过车模式，连续过车时道闸不落杆，断网下事件记录数最大为100000条，用户数最大为15000条；提供相关部门检测报告</w:t>
            </w:r>
            <w:r>
              <w:rPr>
                <w:rFonts w:hint="eastAsia" w:ascii="仿宋" w:hAnsi="仿宋" w:eastAsia="仿宋" w:cs="仿宋"/>
                <w:color w:val="auto"/>
                <w:sz w:val="24"/>
                <w:lang w:eastAsia="zh-CN"/>
              </w:rPr>
              <w:t>的</w:t>
            </w:r>
            <w:r>
              <w:rPr>
                <w:rFonts w:hint="eastAsia" w:ascii="仿宋" w:hAnsi="仿宋" w:eastAsia="仿宋" w:cs="仿宋"/>
                <w:color w:val="auto"/>
                <w:sz w:val="24"/>
              </w:rPr>
              <w:t>得1分，不提供不得分。（0-1分）</w:t>
            </w:r>
          </w:p>
          <w:p>
            <w:pPr>
              <w:pStyle w:val="2"/>
              <w:rPr>
                <w:rFonts w:ascii="仿宋" w:hAnsi="仿宋" w:eastAsia="仿宋" w:cs="仿宋"/>
                <w:color w:val="auto"/>
                <w:sz w:val="24"/>
              </w:rPr>
            </w:pPr>
            <w:r>
              <w:rPr>
                <w:rFonts w:hint="eastAsia" w:ascii="仿宋" w:hAnsi="仿宋" w:eastAsia="仿宋" w:cs="仿宋"/>
                <w:color w:val="auto"/>
                <w:sz w:val="24"/>
              </w:rPr>
              <w:t>3、本次所投厂商24口万兆汇聚交换机支持M-LAG技术，跨设备链路聚合（非堆叠技术实现），要求配对的设备有独立的控制平面，提供检测报告复印件并加盖厂商公章得1分，不提供不得分。（0-1分）</w:t>
            </w:r>
          </w:p>
          <w:p>
            <w:pPr>
              <w:rPr>
                <w:rFonts w:ascii="仿宋" w:hAnsi="仿宋" w:eastAsia="仿宋" w:cs="仿宋"/>
                <w:color w:val="auto"/>
                <w:sz w:val="24"/>
              </w:rPr>
            </w:pPr>
            <w:r>
              <w:rPr>
                <w:rFonts w:hint="eastAsia" w:ascii="仿宋" w:hAnsi="仿宋" w:eastAsia="仿宋" w:cs="仿宋"/>
                <w:color w:val="auto"/>
                <w:sz w:val="24"/>
              </w:rPr>
              <w:t>4、本次所投厂商数据库审计产品具有内置规则，规则类型有sql注入、账号安全、数据泄露和违规操作等，并可依据规则进行邮件告警，提供检测报告复印件并加盖厂商公章得1分，不提供不得分。（0-1分）</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4" w:type="dxa"/>
            <w:vAlign w:val="center"/>
          </w:tcPr>
          <w:p>
            <w:pPr>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1395"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组织实施方案</w:t>
            </w:r>
          </w:p>
        </w:tc>
        <w:tc>
          <w:tcPr>
            <w:tcW w:w="6894" w:type="dxa"/>
            <w:vAlign w:val="center"/>
          </w:tcPr>
          <w:p>
            <w:pPr>
              <w:pStyle w:val="2"/>
              <w:rPr>
                <w:rFonts w:ascii="仿宋" w:hAnsi="仿宋" w:eastAsia="仿宋" w:cs="仿宋"/>
                <w:color w:val="000000"/>
                <w:sz w:val="24"/>
              </w:rPr>
            </w:pPr>
            <w:r>
              <w:rPr>
                <w:rFonts w:hint="eastAsia" w:ascii="仿宋" w:hAnsi="仿宋" w:eastAsia="仿宋" w:cs="仿宋"/>
                <w:color w:val="000000"/>
                <w:sz w:val="24"/>
              </w:rPr>
              <w:t>项目施工方案科学合理、规范可操作性；项目管理分工明确、项目组织结构科学合理；有详细的风险分析以及有效的应对措施；项目实施周期安排科学、紧凑、合理，最高得</w:t>
            </w:r>
            <w:r>
              <w:rPr>
                <w:rFonts w:ascii="仿宋" w:hAnsi="仿宋" w:eastAsia="仿宋" w:cs="仿宋"/>
                <w:color w:val="000000"/>
                <w:sz w:val="24"/>
              </w:rPr>
              <w:t>4</w:t>
            </w:r>
            <w:r>
              <w:rPr>
                <w:rFonts w:hint="eastAsia" w:ascii="仿宋" w:hAnsi="仿宋" w:eastAsia="仿宋" w:cs="仿宋"/>
                <w:color w:val="000000"/>
                <w:sz w:val="24"/>
              </w:rPr>
              <w:t>分。</w:t>
            </w:r>
          </w:p>
          <w:p>
            <w:pPr>
              <w:rPr>
                <w:rFonts w:hint="eastAsia" w:ascii="仿宋" w:hAnsi="仿宋" w:eastAsia="仿宋" w:cs="仿宋"/>
                <w:color w:val="000000"/>
                <w:sz w:val="24"/>
              </w:rPr>
            </w:pPr>
            <w:r>
              <w:rPr>
                <w:rFonts w:hint="eastAsia" w:ascii="仿宋" w:hAnsi="仿宋" w:eastAsia="仿宋" w:cs="仿宋"/>
                <w:color w:val="000000"/>
                <w:sz w:val="24"/>
              </w:rPr>
              <w:t>根据磋商响应方提供的培训计划、地点、组织、人员配备、软硬件资料等内容的完整性、科学合理性进行综合评价。</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14" w:type="dxa"/>
            <w:vMerge w:val="restart"/>
            <w:vAlign w:val="center"/>
          </w:tcPr>
          <w:p>
            <w:pPr>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c>
          <w:tcPr>
            <w:tcW w:w="1395" w:type="dxa"/>
            <w:vMerge w:val="restart"/>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highlight w:val="none"/>
              </w:rPr>
              <w:t>人员配置</w:t>
            </w:r>
          </w:p>
        </w:tc>
        <w:tc>
          <w:tcPr>
            <w:tcW w:w="6894" w:type="dxa"/>
            <w:vAlign w:val="center"/>
          </w:tcPr>
          <w:p>
            <w:pPr>
              <w:numPr>
                <w:ilvl w:val="0"/>
                <w:numId w:val="26"/>
              </w:numPr>
              <w:adjustRightInd w:val="0"/>
              <w:snapToGrid w:val="0"/>
              <w:spacing w:line="400" w:lineRule="exact"/>
              <w:jc w:val="left"/>
              <w:rPr>
                <w:rFonts w:ascii="仿宋" w:hAnsi="仿宋" w:eastAsia="仿宋" w:cs="仿宋"/>
                <w:color w:val="000000"/>
                <w:sz w:val="24"/>
              </w:rPr>
            </w:pPr>
            <w:r>
              <w:rPr>
                <w:rFonts w:hint="eastAsia" w:ascii="仿宋" w:hAnsi="仿宋" w:eastAsia="仿宋" w:cs="仿宋"/>
                <w:color w:val="000000"/>
                <w:sz w:val="24"/>
              </w:rPr>
              <w:t>本项目负责人（项目经理）具有2年及以上类似项目管理经验的得1分，否则不得分；项目经理具有信息系统项目管理师（高级）资格证书的1分，没有不得分；具有P</w:t>
            </w:r>
            <w:r>
              <w:rPr>
                <w:rFonts w:ascii="仿宋" w:hAnsi="仿宋" w:eastAsia="仿宋" w:cs="仿宋"/>
                <w:color w:val="000000"/>
                <w:sz w:val="24"/>
              </w:rPr>
              <w:t>MP</w:t>
            </w:r>
            <w:r>
              <w:rPr>
                <w:rFonts w:hint="eastAsia" w:ascii="仿宋" w:hAnsi="仿宋" w:eastAsia="仿宋" w:cs="仿宋"/>
                <w:color w:val="000000"/>
                <w:sz w:val="24"/>
              </w:rPr>
              <w:t>证书得1分，没有不得分。本项最高得3分；须提供人员相关证书及近三个月社保缴纳证明扫描件。</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4" w:type="dxa"/>
            <w:vMerge w:val="continue"/>
            <w:vAlign w:val="center"/>
          </w:tcPr>
          <w:p>
            <w:pPr>
              <w:spacing w:line="400" w:lineRule="exact"/>
              <w:jc w:val="center"/>
              <w:rPr>
                <w:rFonts w:ascii="仿宋" w:hAnsi="仿宋" w:eastAsia="仿宋" w:cs="仿宋"/>
                <w:color w:val="000000"/>
                <w:sz w:val="24"/>
              </w:rPr>
            </w:pPr>
          </w:p>
        </w:tc>
        <w:tc>
          <w:tcPr>
            <w:tcW w:w="1395" w:type="dxa"/>
            <w:vMerge w:val="continue"/>
            <w:vAlign w:val="center"/>
          </w:tcPr>
          <w:p>
            <w:pPr>
              <w:spacing w:line="400" w:lineRule="exact"/>
              <w:jc w:val="center"/>
              <w:rPr>
                <w:rFonts w:ascii="仿宋" w:hAnsi="仿宋" w:eastAsia="仿宋" w:cs="仿宋"/>
                <w:color w:val="000000"/>
                <w:sz w:val="24"/>
              </w:rPr>
            </w:pPr>
          </w:p>
        </w:tc>
        <w:tc>
          <w:tcPr>
            <w:tcW w:w="6894" w:type="dxa"/>
            <w:vAlign w:val="center"/>
          </w:tcPr>
          <w:p>
            <w:pPr>
              <w:adjustRightInd w:val="0"/>
              <w:snapToGrid w:val="0"/>
              <w:spacing w:line="400" w:lineRule="exact"/>
              <w:jc w:val="left"/>
              <w:rPr>
                <w:rFonts w:ascii="仿宋" w:hAnsi="仿宋" w:eastAsia="仿宋" w:cs="仿宋"/>
                <w:color w:val="000000"/>
                <w:sz w:val="24"/>
              </w:rPr>
            </w:pPr>
            <w:r>
              <w:rPr>
                <w:rFonts w:hint="eastAsia" w:ascii="仿宋" w:hAnsi="仿宋" w:eastAsia="仿宋" w:cs="仿宋"/>
                <w:color w:val="000000"/>
                <w:sz w:val="24"/>
              </w:rPr>
              <w:t>2. 项目小组成员具有高级工程师职称或PMP证书，每个得1分，最多得</w:t>
            </w:r>
            <w:r>
              <w:rPr>
                <w:rFonts w:ascii="仿宋" w:hAnsi="仿宋" w:eastAsia="仿宋" w:cs="仿宋"/>
                <w:color w:val="000000"/>
                <w:sz w:val="24"/>
              </w:rPr>
              <w:t>3</w:t>
            </w:r>
            <w:r>
              <w:rPr>
                <w:rFonts w:hint="eastAsia" w:ascii="仿宋" w:hAnsi="仿宋" w:eastAsia="仿宋" w:cs="仿宋"/>
                <w:color w:val="000000"/>
                <w:sz w:val="24"/>
              </w:rPr>
              <w:t>分。须提供人员相关证书及近三个月社保缴纳证明扫描件。</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4" w:type="dxa"/>
            <w:vMerge w:val="restart"/>
            <w:vAlign w:val="center"/>
          </w:tcPr>
          <w:p>
            <w:pPr>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1395" w:type="dxa"/>
            <w:vMerge w:val="restart"/>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售后服务</w:t>
            </w:r>
          </w:p>
        </w:tc>
        <w:tc>
          <w:tcPr>
            <w:tcW w:w="6894" w:type="dxa"/>
            <w:vAlign w:val="center"/>
          </w:tcPr>
          <w:p>
            <w:pPr>
              <w:pStyle w:val="431"/>
              <w:spacing w:line="400" w:lineRule="exact"/>
              <w:ind w:firstLine="0" w:firstLineChars="0"/>
              <w:rPr>
                <w:rFonts w:ascii="仿宋" w:hAnsi="仿宋" w:eastAsia="仿宋" w:cs="仿宋"/>
                <w:color w:val="000000"/>
                <w:sz w:val="24"/>
                <w:szCs w:val="24"/>
              </w:rPr>
            </w:pPr>
            <w:r>
              <w:rPr>
                <w:rFonts w:hint="eastAsia" w:ascii="仿宋" w:hAnsi="仿宋" w:eastAsia="仿宋" w:cs="仿宋"/>
                <w:color w:val="000000"/>
                <w:sz w:val="24"/>
                <w:szCs w:val="24"/>
              </w:rPr>
              <w:t>投标人响应方整体的售后服务方案完善具体的得2分，售后服务方案不够具体详尽的得1分，方案不合理或无方案不得分；服务方案中能够提供专业的维修团队的得2分，提供维修团队的得1分，没有提供维修团队的不得分（4分）</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4" w:type="dxa"/>
            <w:vMerge w:val="continue"/>
            <w:vAlign w:val="center"/>
          </w:tcPr>
          <w:p>
            <w:pPr>
              <w:spacing w:line="400" w:lineRule="exact"/>
              <w:jc w:val="center"/>
              <w:rPr>
                <w:rFonts w:ascii="仿宋" w:hAnsi="仿宋" w:eastAsia="仿宋" w:cs="仿宋"/>
                <w:color w:val="000000"/>
                <w:sz w:val="24"/>
              </w:rPr>
            </w:pPr>
          </w:p>
        </w:tc>
        <w:tc>
          <w:tcPr>
            <w:tcW w:w="1395" w:type="dxa"/>
            <w:vMerge w:val="continue"/>
            <w:vAlign w:val="center"/>
          </w:tcPr>
          <w:p>
            <w:pPr>
              <w:spacing w:line="400" w:lineRule="exact"/>
              <w:jc w:val="center"/>
              <w:rPr>
                <w:rFonts w:ascii="仿宋" w:hAnsi="仿宋" w:eastAsia="仿宋" w:cs="仿宋"/>
                <w:color w:val="000000"/>
                <w:sz w:val="24"/>
              </w:rPr>
            </w:pPr>
          </w:p>
        </w:tc>
        <w:tc>
          <w:tcPr>
            <w:tcW w:w="6894" w:type="dxa"/>
            <w:vAlign w:val="center"/>
          </w:tcPr>
          <w:p>
            <w:pPr>
              <w:pStyle w:val="431"/>
              <w:spacing w:line="400" w:lineRule="exact"/>
              <w:ind w:firstLine="0" w:firstLineChars="0"/>
              <w:rPr>
                <w:rFonts w:ascii="仿宋" w:hAnsi="仿宋" w:eastAsia="仿宋" w:cs="仿宋"/>
                <w:color w:val="000000"/>
                <w:sz w:val="24"/>
                <w:szCs w:val="24"/>
              </w:rPr>
            </w:pPr>
            <w:r>
              <w:rPr>
                <w:rFonts w:hint="eastAsia" w:ascii="仿宋" w:hAnsi="仿宋" w:eastAsia="仿宋" w:cs="仿宋"/>
                <w:color w:val="000000"/>
                <w:sz w:val="24"/>
                <w:szCs w:val="24"/>
              </w:rPr>
              <w:t>投标响应方具有较强的行业信息系统服务能力，并配有较强的专业技术队伍，提供7x24小时故障申告热线电话服务，对故障在1小时内响应、4小时以内到现场、8小时以内解决问题并保证正常使用。提供相应内容承诺的得2分，否则不得分（2分）</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4" w:type="dxa"/>
            <w:vAlign w:val="center"/>
          </w:tcPr>
          <w:p>
            <w:pPr>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1395" w:type="dxa"/>
            <w:vAlign w:val="center"/>
          </w:tcPr>
          <w:p>
            <w:pPr>
              <w:widowControl/>
              <w:spacing w:line="400" w:lineRule="exact"/>
              <w:jc w:val="center"/>
              <w:rPr>
                <w:rFonts w:ascii="仿宋" w:hAnsi="仿宋" w:eastAsia="仿宋" w:cs="仿宋"/>
                <w:color w:val="000000"/>
                <w:sz w:val="24"/>
              </w:rPr>
            </w:pPr>
            <w:r>
              <w:rPr>
                <w:rFonts w:hint="eastAsia" w:ascii="仿宋" w:hAnsi="仿宋" w:eastAsia="仿宋" w:cs="仿宋"/>
                <w:color w:val="000000"/>
                <w:sz w:val="24"/>
              </w:rPr>
              <w:t>培训方案</w:t>
            </w:r>
          </w:p>
        </w:tc>
        <w:tc>
          <w:tcPr>
            <w:tcW w:w="6894" w:type="dxa"/>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根据响应方的培训方案情况进行打分，由技术人员或工程师担任讲师的得2分，否则不得分；培训内容涵盖产品</w:t>
            </w:r>
            <w:r>
              <w:rPr>
                <w:rFonts w:ascii="仿宋" w:hAnsi="仿宋" w:eastAsia="仿宋" w:cs="仿宋"/>
                <w:color w:val="000000"/>
                <w:sz w:val="24"/>
              </w:rPr>
              <w:t>的功能、操作使用、注意事项、日常维护保养事项</w:t>
            </w:r>
            <w:r>
              <w:rPr>
                <w:rFonts w:hint="eastAsia" w:ascii="仿宋" w:hAnsi="仿宋" w:eastAsia="仿宋" w:cs="仿宋"/>
                <w:color w:val="000000"/>
                <w:sz w:val="24"/>
              </w:rPr>
              <w:t>的得2分。共4分（4分）</w:t>
            </w:r>
          </w:p>
        </w:tc>
        <w:tc>
          <w:tcPr>
            <w:tcW w:w="1173"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4" w:type="dxa"/>
            <w:vMerge w:val="restart"/>
            <w:vAlign w:val="center"/>
          </w:tcPr>
          <w:p>
            <w:pPr>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1395" w:type="dxa"/>
            <w:vMerge w:val="restart"/>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政策功能</w:t>
            </w:r>
          </w:p>
        </w:tc>
        <w:tc>
          <w:tcPr>
            <w:tcW w:w="6894" w:type="dxa"/>
            <w:vAlign w:val="center"/>
          </w:tcPr>
          <w:p>
            <w:pPr>
              <w:pStyle w:val="431"/>
              <w:spacing w:line="40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投标产品属于品目清单范围且提供国家确定的认证机构出具的处于有效期之内的节能产品认证证书（扫描件加盖公章）的得1分。</w:t>
            </w:r>
          </w:p>
          <w:p>
            <w:pPr>
              <w:pStyle w:val="431"/>
              <w:spacing w:line="40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投标产品属于品目清单范围且提供国家确定的认证机构出具的处于有效期之内的环境标志产品认证证书（扫描件加盖公章）的得1分。</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14" w:type="dxa"/>
            <w:vMerge w:val="continue"/>
            <w:vAlign w:val="center"/>
          </w:tcPr>
          <w:p>
            <w:pPr>
              <w:spacing w:line="400" w:lineRule="exact"/>
              <w:jc w:val="center"/>
              <w:rPr>
                <w:rFonts w:ascii="仿宋" w:hAnsi="仿宋" w:eastAsia="仿宋" w:cs="仿宋"/>
                <w:color w:val="000000"/>
                <w:sz w:val="24"/>
              </w:rPr>
            </w:pPr>
          </w:p>
        </w:tc>
        <w:tc>
          <w:tcPr>
            <w:tcW w:w="1395" w:type="dxa"/>
            <w:vMerge w:val="continue"/>
            <w:vAlign w:val="center"/>
          </w:tcPr>
          <w:p>
            <w:pPr>
              <w:spacing w:line="400" w:lineRule="exact"/>
              <w:jc w:val="center"/>
              <w:rPr>
                <w:rFonts w:ascii="仿宋" w:hAnsi="仿宋" w:eastAsia="仿宋" w:cs="仿宋"/>
                <w:color w:val="auto"/>
                <w:sz w:val="24"/>
              </w:rPr>
            </w:pPr>
          </w:p>
        </w:tc>
        <w:tc>
          <w:tcPr>
            <w:tcW w:w="6894" w:type="dxa"/>
            <w:vAlign w:val="center"/>
          </w:tcPr>
          <w:p>
            <w:pPr>
              <w:pStyle w:val="431"/>
              <w:spacing w:line="40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所投产品厂商应具有良好的节能环保意识，贯彻落实国家相关政策，能在其产品或服务的生命周期中，以可持续发展为原则落实资源配置，节能资源。所投设备厂商具有绿色供应链五星评价证书的得1分，需提供证书复印件并加盖公章。（0-1分）</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14" w:type="dxa"/>
            <w:vMerge w:val="restart"/>
            <w:vAlign w:val="center"/>
          </w:tcPr>
          <w:p>
            <w:pPr>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1395" w:type="dxa"/>
            <w:vMerge w:val="restart"/>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综合实力</w:t>
            </w:r>
          </w:p>
        </w:tc>
        <w:tc>
          <w:tcPr>
            <w:tcW w:w="6894" w:type="dxa"/>
            <w:vAlign w:val="center"/>
          </w:tcPr>
          <w:p>
            <w:pPr>
              <w:pStyle w:val="431"/>
              <w:spacing w:line="400" w:lineRule="exact"/>
              <w:ind w:firstLine="0" w:firstLineChars="0"/>
              <w:rPr>
                <w:rFonts w:ascii="仿宋" w:hAnsi="仿宋" w:eastAsia="仿宋" w:cs="仿宋"/>
                <w:color w:val="000000"/>
                <w:sz w:val="24"/>
                <w:szCs w:val="24"/>
              </w:rPr>
            </w:pPr>
            <w:r>
              <w:rPr>
                <w:rFonts w:hint="eastAsia" w:ascii="仿宋" w:hAnsi="仿宋" w:eastAsia="仿宋" w:cs="仿宋"/>
                <w:color w:val="000000"/>
                <w:sz w:val="24"/>
                <w:szCs w:val="24"/>
              </w:rPr>
              <w:t>投标人具有ISO9001质量管理体系认证，ISO14001环境管理体系认证证书， ISO20000信息技术服务管理体系认证，每提供一份得1分;</w:t>
            </w:r>
          </w:p>
          <w:p>
            <w:pPr>
              <w:pStyle w:val="431"/>
              <w:spacing w:line="400" w:lineRule="exact"/>
              <w:ind w:firstLine="0" w:firstLineChars="0"/>
              <w:rPr>
                <w:rFonts w:ascii="仿宋" w:hAnsi="仿宋" w:eastAsia="仿宋" w:cs="仿宋"/>
                <w:color w:val="000000"/>
                <w:sz w:val="24"/>
                <w:szCs w:val="24"/>
              </w:rPr>
            </w:pPr>
            <w:r>
              <w:rPr>
                <w:rFonts w:hint="eastAsia" w:ascii="仿宋" w:hAnsi="仿宋" w:eastAsia="仿宋" w:cs="仿宋"/>
                <w:color w:val="000000"/>
                <w:sz w:val="24"/>
                <w:szCs w:val="24"/>
              </w:rPr>
              <w:t>投标人具有ISO27001信息安全管理体系认证，ITSS信息技术服务运行维护认证，每提供一份得</w:t>
            </w:r>
            <w:r>
              <w:rPr>
                <w:rFonts w:ascii="仿宋" w:hAnsi="仿宋" w:eastAsia="仿宋" w:cs="仿宋"/>
                <w:color w:val="000000"/>
                <w:sz w:val="24"/>
                <w:szCs w:val="24"/>
              </w:rPr>
              <w:t>2</w:t>
            </w:r>
            <w:r>
              <w:rPr>
                <w:rFonts w:hint="eastAsia" w:ascii="仿宋" w:hAnsi="仿宋" w:eastAsia="仿宋" w:cs="仿宋"/>
                <w:color w:val="000000"/>
                <w:sz w:val="24"/>
                <w:szCs w:val="24"/>
              </w:rPr>
              <w:t>分。（0-</w:t>
            </w:r>
            <w:r>
              <w:rPr>
                <w:rFonts w:ascii="仿宋" w:hAnsi="仿宋" w:eastAsia="仿宋" w:cs="仿宋"/>
                <w:color w:val="000000"/>
                <w:sz w:val="24"/>
                <w:szCs w:val="24"/>
              </w:rPr>
              <w:t>7分</w:t>
            </w:r>
            <w:r>
              <w:rPr>
                <w:rFonts w:hint="eastAsia" w:ascii="仿宋" w:hAnsi="仿宋" w:eastAsia="仿宋" w:cs="仿宋"/>
                <w:color w:val="000000"/>
                <w:sz w:val="24"/>
                <w:szCs w:val="24"/>
              </w:rPr>
              <w:t>）</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w:t>
            </w:r>
            <w:r>
              <w:rPr>
                <w:rFonts w:ascii="仿宋" w:hAnsi="仿宋" w:eastAsia="仿宋" w:cs="仿宋"/>
                <w:color w:val="000000"/>
                <w:sz w:val="24"/>
              </w:rPr>
              <w:t>7</w:t>
            </w:r>
            <w:r>
              <w:rPr>
                <w:rFonts w:hint="eastAsia" w:ascii="仿宋" w:hAnsi="仿宋" w:eastAsia="仿宋" w:cs="仿宋"/>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14" w:type="dxa"/>
            <w:vMerge w:val="continue"/>
            <w:vAlign w:val="center"/>
          </w:tcPr>
          <w:p>
            <w:pPr>
              <w:spacing w:line="400" w:lineRule="exact"/>
              <w:jc w:val="center"/>
              <w:rPr>
                <w:rFonts w:ascii="仿宋" w:hAnsi="仿宋" w:eastAsia="仿宋" w:cs="仿宋"/>
                <w:color w:val="000000"/>
                <w:sz w:val="24"/>
              </w:rPr>
            </w:pPr>
          </w:p>
        </w:tc>
        <w:tc>
          <w:tcPr>
            <w:tcW w:w="1395" w:type="dxa"/>
            <w:vMerge w:val="continue"/>
            <w:vAlign w:val="center"/>
          </w:tcPr>
          <w:p>
            <w:pPr>
              <w:spacing w:line="400" w:lineRule="exact"/>
              <w:rPr>
                <w:rFonts w:ascii="仿宋" w:hAnsi="仿宋" w:eastAsia="仿宋" w:cs="仿宋"/>
                <w:color w:val="000000"/>
                <w:sz w:val="24"/>
              </w:rPr>
            </w:pPr>
          </w:p>
        </w:tc>
        <w:tc>
          <w:tcPr>
            <w:tcW w:w="6894" w:type="dxa"/>
            <w:vAlign w:val="center"/>
          </w:tcPr>
          <w:p>
            <w:pPr>
              <w:pStyle w:val="431"/>
              <w:spacing w:line="400" w:lineRule="exact"/>
              <w:ind w:firstLine="0" w:firstLineChars="0"/>
              <w:rPr>
                <w:rFonts w:ascii="仿宋" w:hAnsi="仿宋" w:eastAsia="仿宋" w:cs="仿宋"/>
                <w:color w:val="000000"/>
                <w:sz w:val="24"/>
                <w:szCs w:val="24"/>
              </w:rPr>
            </w:pPr>
            <w:r>
              <w:rPr>
                <w:rFonts w:hint="eastAsia" w:ascii="仿宋" w:hAnsi="仿宋" w:eastAsia="仿宋" w:cs="仿宋"/>
                <w:color w:val="000000"/>
                <w:sz w:val="24"/>
                <w:szCs w:val="24"/>
              </w:rPr>
              <w:t>为保证系统安全性，保证相关单位具有专业的信息安全研发和较强的事件分析能力，所投的产品厂家获得中国信息安全测评中心颁发的国家信息安全漏洞库（CNNVD)技术支撑单位等级证书的，一级得2分，二级得1分，三级得0.5分。提供相关证明复印件并加盖产品厂商公章，不提供不得分。（0-2分）</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14" w:type="dxa"/>
            <w:vMerge w:val="continue"/>
            <w:vAlign w:val="center"/>
          </w:tcPr>
          <w:p>
            <w:pPr>
              <w:spacing w:line="400" w:lineRule="exact"/>
              <w:jc w:val="center"/>
              <w:rPr>
                <w:rFonts w:ascii="仿宋" w:hAnsi="仿宋" w:eastAsia="仿宋" w:cs="仿宋"/>
                <w:color w:val="000000"/>
                <w:sz w:val="24"/>
              </w:rPr>
            </w:pPr>
          </w:p>
        </w:tc>
        <w:tc>
          <w:tcPr>
            <w:tcW w:w="1395" w:type="dxa"/>
            <w:vMerge w:val="continue"/>
            <w:vAlign w:val="center"/>
          </w:tcPr>
          <w:p>
            <w:pPr>
              <w:spacing w:line="400" w:lineRule="exact"/>
              <w:rPr>
                <w:rFonts w:ascii="仿宋" w:hAnsi="仿宋" w:eastAsia="仿宋" w:cs="仿宋"/>
                <w:color w:val="000000"/>
                <w:sz w:val="24"/>
              </w:rPr>
            </w:pPr>
          </w:p>
        </w:tc>
        <w:tc>
          <w:tcPr>
            <w:tcW w:w="6894" w:type="dxa"/>
            <w:vAlign w:val="center"/>
          </w:tcPr>
          <w:p>
            <w:pPr>
              <w:pStyle w:val="431"/>
              <w:spacing w:line="400" w:lineRule="exact"/>
              <w:ind w:firstLine="0" w:firstLineChars="0"/>
              <w:rPr>
                <w:rFonts w:ascii="仿宋" w:hAnsi="仿宋" w:eastAsia="仿宋" w:cs="仿宋"/>
                <w:color w:val="000000"/>
                <w:sz w:val="24"/>
                <w:szCs w:val="24"/>
              </w:rPr>
            </w:pPr>
            <w:r>
              <w:rPr>
                <w:rFonts w:hint="eastAsia" w:ascii="仿宋" w:hAnsi="仿宋" w:eastAsia="仿宋" w:cs="仿宋"/>
                <w:color w:val="000000"/>
                <w:sz w:val="24"/>
                <w:szCs w:val="24"/>
              </w:rPr>
              <w:t>所投产品厂商应具备成熟的过程管理能力、时间/成本/质量控制能力，产品及平台开发体系认证达到CMMI5得2分，达到CMMI4得1分，达到CMMI3以下得0.5分，提供相关证明复印件加盖原厂公章；不提供不得分。（0-2分）</w:t>
            </w:r>
          </w:p>
        </w:tc>
        <w:tc>
          <w:tcPr>
            <w:tcW w:w="1173"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14" w:type="dxa"/>
            <w:vAlign w:val="center"/>
          </w:tcPr>
          <w:p>
            <w:pPr>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1395"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类似业绩</w:t>
            </w:r>
          </w:p>
        </w:tc>
        <w:tc>
          <w:tcPr>
            <w:tcW w:w="6894" w:type="dxa"/>
            <w:vAlign w:val="center"/>
          </w:tcPr>
          <w:p>
            <w:pPr>
              <w:widowControl/>
              <w:spacing w:line="400" w:lineRule="exact"/>
              <w:rPr>
                <w:rFonts w:ascii="仿宋" w:hAnsi="仿宋" w:eastAsia="仿宋" w:cs="仿宋"/>
                <w:color w:val="000000"/>
                <w:sz w:val="24"/>
              </w:rPr>
            </w:pPr>
            <w:r>
              <w:rPr>
                <w:rFonts w:hint="eastAsia" w:ascii="仿宋" w:hAnsi="仿宋" w:eastAsia="仿宋" w:cs="仿宋"/>
                <w:color w:val="000000"/>
                <w:sz w:val="24"/>
              </w:rPr>
              <w:t>投标人自2018年1月1日以来承担类似项目业绩情况，单个业绩得</w:t>
            </w:r>
            <w:r>
              <w:rPr>
                <w:rFonts w:ascii="仿宋" w:hAnsi="仿宋" w:eastAsia="仿宋" w:cs="仿宋"/>
                <w:color w:val="000000"/>
                <w:sz w:val="24"/>
              </w:rPr>
              <w:t>2</w:t>
            </w:r>
            <w:r>
              <w:rPr>
                <w:rFonts w:hint="eastAsia" w:ascii="仿宋" w:hAnsi="仿宋" w:eastAsia="仿宋" w:cs="仿宋"/>
                <w:color w:val="000000"/>
                <w:sz w:val="24"/>
              </w:rPr>
              <w:t>分，最高得</w:t>
            </w:r>
            <w:r>
              <w:rPr>
                <w:rFonts w:ascii="仿宋" w:hAnsi="仿宋" w:eastAsia="仿宋" w:cs="仿宋"/>
                <w:color w:val="000000"/>
                <w:sz w:val="24"/>
              </w:rPr>
              <w:t>6</w:t>
            </w:r>
            <w:r>
              <w:rPr>
                <w:rFonts w:hint="eastAsia" w:ascii="仿宋" w:hAnsi="仿宋" w:eastAsia="仿宋" w:cs="仿宋"/>
                <w:color w:val="000000"/>
                <w:sz w:val="24"/>
              </w:rPr>
              <w:t>分。</w:t>
            </w:r>
          </w:p>
          <w:p>
            <w:pPr>
              <w:spacing w:line="400" w:lineRule="exact"/>
              <w:rPr>
                <w:rFonts w:ascii="仿宋" w:hAnsi="仿宋" w:eastAsia="仿宋" w:cs="仿宋"/>
                <w:color w:val="000000"/>
                <w:sz w:val="24"/>
              </w:rPr>
            </w:pPr>
            <w:r>
              <w:rPr>
                <w:rFonts w:hint="eastAsia" w:ascii="仿宋" w:hAnsi="仿宋" w:eastAsia="仿宋" w:cs="仿宋"/>
                <w:color w:val="000000"/>
                <w:sz w:val="24"/>
              </w:rPr>
              <w:t>提供合同扫描件，时间以合同签订时间为准，未提供不得分。</w:t>
            </w:r>
          </w:p>
          <w:p>
            <w:pPr>
              <w:spacing w:line="400" w:lineRule="exact"/>
              <w:rPr>
                <w:rFonts w:ascii="仿宋" w:hAnsi="仿宋" w:eastAsia="仿宋" w:cs="仿宋"/>
                <w:color w:val="000000"/>
                <w:sz w:val="24"/>
              </w:rPr>
            </w:pPr>
            <w:r>
              <w:rPr>
                <w:rFonts w:hint="eastAsia" w:ascii="仿宋" w:hAnsi="仿宋" w:eastAsia="仿宋" w:cs="仿宋"/>
                <w:color w:val="000000"/>
                <w:sz w:val="24"/>
              </w:rPr>
              <w:t>【采购机构在项目评审直至合同签订、履约期间，有权要求投标人出具投标文件中的合同，予以确认其的真实性和有效性，如出现与事实不符等情况，将根据有关规定以“涉嫌提供虚假材料谋取中标（成交）”予以处理】</w:t>
            </w:r>
          </w:p>
        </w:tc>
        <w:tc>
          <w:tcPr>
            <w:tcW w:w="1173" w:type="dxa"/>
            <w:vAlign w:val="center"/>
          </w:tcPr>
          <w:p>
            <w:pPr>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0-</w:t>
            </w:r>
            <w:r>
              <w:rPr>
                <w:rFonts w:ascii="仿宋" w:hAnsi="仿宋" w:eastAsia="仿宋" w:cs="仿宋"/>
                <w:color w:val="000000"/>
                <w:kern w:val="0"/>
                <w:sz w:val="24"/>
              </w:rPr>
              <w:t>6</w:t>
            </w:r>
            <w:r>
              <w:rPr>
                <w:rFonts w:hint="eastAsia" w:ascii="仿宋" w:hAnsi="仿宋" w:eastAsia="仿宋" w:cs="仿宋"/>
                <w:color w:val="000000"/>
                <w:kern w:val="0"/>
                <w:sz w:val="24"/>
              </w:rPr>
              <w:t>分</w:t>
            </w:r>
          </w:p>
        </w:tc>
      </w:tr>
    </w:tbl>
    <w:p>
      <w:pPr>
        <w:pStyle w:val="32"/>
        <w:rPr>
          <w:rFonts w:hint="eastAsia"/>
        </w:rPr>
      </w:pPr>
    </w:p>
    <w:p>
      <w:pPr>
        <w:pStyle w:val="32"/>
        <w:keepNext w:val="0"/>
        <w:keepLines w:val="0"/>
        <w:pageBreakBefore w:val="0"/>
        <w:widowControl w:val="0"/>
        <w:kinsoku/>
        <w:wordWrap/>
        <w:overflowPunct/>
        <w:topLinePunct w:val="0"/>
        <w:bidi w:val="0"/>
        <w:spacing w:line="460" w:lineRule="exact"/>
        <w:ind w:firstLine="472" w:firstLineChars="196"/>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综合得分=A+B</w:t>
      </w:r>
      <w:r>
        <w:rPr>
          <w:rFonts w:hint="eastAsia" w:ascii="仿宋_GB2312" w:hAnsi="仿宋" w:eastAsia="仿宋_GB2312" w:cs="仿宋_GB2312"/>
          <w:b/>
          <w:color w:val="auto"/>
          <w:sz w:val="24"/>
          <w:szCs w:val="24"/>
          <w:highlight w:val="none"/>
        </w:rPr>
        <w:t>，精确到小数点后二位。</w:t>
      </w:r>
    </w:p>
    <w:p>
      <w:pPr>
        <w:adjustRightInd w:val="0"/>
        <w:spacing w:line="360" w:lineRule="auto"/>
        <w:outlineLvl w:val="0"/>
        <w:rPr>
          <w:rFonts w:hint="eastAsia" w:ascii="仿宋_GB2312" w:hAnsi="仿宋" w:eastAsia="仿宋_GB2312" w:cs="仿宋_GB2312"/>
          <w:b/>
          <w:color w:val="auto"/>
          <w:sz w:val="36"/>
          <w:szCs w:val="36"/>
          <w:highlight w:val="none"/>
        </w:rPr>
      </w:pPr>
    </w:p>
    <w:p>
      <w:pPr>
        <w:pStyle w:val="60"/>
        <w:rPr>
          <w:rFonts w:hint="eastAsia"/>
          <w:color w:val="auto"/>
          <w:highlight w:val="none"/>
        </w:rPr>
      </w:pPr>
    </w:p>
    <w:p>
      <w:pPr>
        <w:pStyle w:val="60"/>
        <w:rPr>
          <w:rFonts w:hint="eastAsia"/>
          <w:color w:val="auto"/>
          <w:highlight w:val="none"/>
        </w:rPr>
      </w:pPr>
    </w:p>
    <w:p>
      <w:pPr>
        <w:adjustRightInd w:val="0"/>
        <w:spacing w:line="360" w:lineRule="auto"/>
        <w:ind w:left="720" w:leftChars="343" w:firstLine="1446" w:firstLineChars="4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 拟签订的合同文本</w:t>
      </w:r>
      <w:bookmarkEnd w:id="24"/>
    </w:p>
    <w:p>
      <w:pPr>
        <w:spacing w:line="360" w:lineRule="auto"/>
        <w:rPr>
          <w:rFonts w:ascii="仿宋_GB2312" w:hAnsi="楷体" w:eastAsia="仿宋_GB2312"/>
          <w:color w:val="auto"/>
          <w:sz w:val="24"/>
          <w:highlight w:val="none"/>
          <w:u w:val="single"/>
        </w:rPr>
      </w:pPr>
      <w:bookmarkStart w:id="390" w:name="第五部分"/>
      <w:bookmarkStart w:id="391" w:name="_Toc86217003"/>
      <w:r>
        <w:rPr>
          <w:rFonts w:hint="eastAsia" w:ascii="仿宋_GB2312" w:hAnsi="楷体" w:eastAsia="仿宋_GB2312"/>
          <w:color w:val="auto"/>
          <w:sz w:val="24"/>
          <w:highlight w:val="none"/>
        </w:rPr>
        <w:t>合同编号：</w:t>
      </w:r>
      <w:r>
        <w:rPr>
          <w:rFonts w:hint="eastAsia" w:ascii="仿宋_GB2312" w:hAnsi="楷体" w:eastAsia="仿宋_GB2312"/>
          <w:color w:val="auto"/>
          <w:sz w:val="24"/>
          <w:highlight w:val="none"/>
          <w:u w:val="single"/>
        </w:rPr>
        <w:t xml:space="preserve">           </w:t>
      </w:r>
    </w:p>
    <w:p>
      <w:pPr>
        <w:spacing w:line="360" w:lineRule="auto"/>
        <w:rPr>
          <w:rFonts w:ascii="仿宋_GB2312" w:hAnsi="楷体" w:eastAsia="仿宋_GB2312"/>
          <w:color w:val="auto"/>
          <w:sz w:val="24"/>
          <w:highlight w:val="none"/>
          <w:u w:val="single"/>
        </w:rPr>
      </w:pPr>
    </w:p>
    <w:p>
      <w:pPr>
        <w:pStyle w:val="335"/>
        <w:ind w:leftChars="0" w:firstLine="2465" w:firstLineChars="682"/>
        <w:jc w:val="left"/>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政府采购合同书</w:t>
      </w:r>
    </w:p>
    <w:p>
      <w:pPr>
        <w:pStyle w:val="335"/>
        <w:rPr>
          <w:rFonts w:ascii="仿宋_GB2312" w:hAnsi="楷体" w:eastAsia="仿宋_GB2312"/>
          <w:color w:val="auto"/>
          <w:szCs w:val="24"/>
          <w:highlight w:val="none"/>
        </w:rPr>
      </w:pPr>
    </w:p>
    <w:p>
      <w:pPr>
        <w:pStyle w:val="335"/>
        <w:rPr>
          <w:rFonts w:ascii="仿宋_GB2312" w:hAnsi="楷体" w:eastAsia="仿宋_GB2312"/>
          <w:color w:val="auto"/>
          <w:szCs w:val="24"/>
          <w:highlight w:val="none"/>
        </w:rPr>
      </w:pPr>
    </w:p>
    <w:p>
      <w:pPr>
        <w:spacing w:before="120" w:line="360" w:lineRule="auto"/>
        <w:rPr>
          <w:rFonts w:ascii="仿宋_GB2312" w:hAnsi="楷体" w:eastAsia="仿宋_GB2312"/>
          <w:color w:val="auto"/>
          <w:sz w:val="24"/>
          <w:highlight w:val="none"/>
        </w:rPr>
      </w:pPr>
    </w:p>
    <w:p>
      <w:pPr>
        <w:spacing w:before="120" w:line="360" w:lineRule="auto"/>
        <w:ind w:left="96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项目名称：</w:t>
      </w:r>
      <w:r>
        <w:rPr>
          <w:rFonts w:hint="eastAsia" w:ascii="仿宋_GB2312" w:hAnsi="楷体" w:eastAsia="仿宋_GB2312"/>
          <w:color w:val="auto"/>
          <w:sz w:val="24"/>
          <w:highlight w:val="none"/>
          <w:u w:val="single"/>
        </w:rPr>
        <w:t xml:space="preserve">                                   </w:t>
      </w:r>
    </w:p>
    <w:p>
      <w:pPr>
        <w:pStyle w:val="651"/>
        <w:spacing w:before="120"/>
        <w:ind w:firstLine="360"/>
        <w:rPr>
          <w:rFonts w:hAnsi="楷体"/>
          <w:color w:val="auto"/>
          <w:szCs w:val="24"/>
          <w:highlight w:val="none"/>
        </w:rPr>
      </w:pPr>
    </w:p>
    <w:p>
      <w:pPr>
        <w:spacing w:line="360" w:lineRule="auto"/>
        <w:rPr>
          <w:rFonts w:ascii="仿宋_GB2312" w:eastAsia="仿宋_GB2312"/>
          <w:color w:val="auto"/>
          <w:sz w:val="24"/>
          <w:highlight w:val="none"/>
        </w:rPr>
      </w:pPr>
    </w:p>
    <w:p>
      <w:pPr>
        <w:spacing w:before="120" w:line="360" w:lineRule="auto"/>
        <w:ind w:left="96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甲方：</w:t>
      </w:r>
      <w:r>
        <w:rPr>
          <w:rFonts w:hint="eastAsia" w:ascii="仿宋_GB2312" w:hAnsi="楷体" w:eastAsia="仿宋_GB2312"/>
          <w:color w:val="auto"/>
          <w:sz w:val="24"/>
          <w:highlight w:val="none"/>
          <w:u w:val="single"/>
        </w:rPr>
        <w:t xml:space="preserve">                                       </w:t>
      </w:r>
    </w:p>
    <w:p>
      <w:pPr>
        <w:spacing w:before="120" w:line="360" w:lineRule="auto"/>
        <w:rPr>
          <w:rFonts w:ascii="仿宋_GB2312" w:hAnsi="楷体" w:eastAsia="仿宋_GB2312"/>
          <w:color w:val="auto"/>
          <w:sz w:val="24"/>
          <w:highlight w:val="none"/>
        </w:rPr>
      </w:pPr>
    </w:p>
    <w:p>
      <w:pPr>
        <w:spacing w:before="120" w:line="360" w:lineRule="auto"/>
        <w:ind w:left="96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乙方：</w:t>
      </w:r>
      <w:r>
        <w:rPr>
          <w:rFonts w:hint="eastAsia" w:ascii="仿宋_GB2312" w:hAnsi="楷体" w:eastAsia="仿宋_GB2312"/>
          <w:color w:val="auto"/>
          <w:sz w:val="24"/>
          <w:highlight w:val="none"/>
          <w:u w:val="single"/>
        </w:rPr>
        <w:t xml:space="preserve">                                       </w:t>
      </w:r>
    </w:p>
    <w:p>
      <w:pPr>
        <w:spacing w:before="120" w:line="360" w:lineRule="auto"/>
        <w:rPr>
          <w:rFonts w:ascii="仿宋_GB2312" w:hAnsi="楷体" w:eastAsia="仿宋_GB2312"/>
          <w:color w:val="auto"/>
          <w:sz w:val="24"/>
          <w:highlight w:val="none"/>
        </w:rPr>
      </w:pPr>
    </w:p>
    <w:p>
      <w:pPr>
        <w:spacing w:before="120" w:line="360" w:lineRule="auto"/>
        <w:ind w:firstLine="960" w:firstLineChars="4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签订地：</w:t>
      </w:r>
      <w:r>
        <w:rPr>
          <w:rFonts w:hint="eastAsia" w:ascii="仿宋_GB2312" w:hAnsi="楷体" w:eastAsia="仿宋_GB2312"/>
          <w:color w:val="auto"/>
          <w:sz w:val="24"/>
          <w:highlight w:val="none"/>
          <w:u w:val="single"/>
        </w:rPr>
        <w:t xml:space="preserve">                                     </w:t>
      </w:r>
    </w:p>
    <w:p>
      <w:pPr>
        <w:spacing w:before="120" w:line="360" w:lineRule="auto"/>
        <w:rPr>
          <w:rFonts w:ascii="仿宋_GB2312" w:hAnsi="楷体" w:eastAsia="仿宋_GB2312"/>
          <w:color w:val="auto"/>
          <w:sz w:val="24"/>
          <w:highlight w:val="none"/>
        </w:rPr>
      </w:pPr>
    </w:p>
    <w:p>
      <w:pPr>
        <w:spacing w:before="120" w:line="360" w:lineRule="auto"/>
        <w:ind w:firstLine="960" w:firstLineChars="4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pPr>
        <w:widowControl/>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br w:type="page"/>
      </w:r>
    </w:p>
    <w:p>
      <w:pPr>
        <w:spacing w:line="360" w:lineRule="auto"/>
        <w:ind w:firstLine="562" w:firstLineChars="200"/>
        <w:jc w:val="center"/>
        <w:rPr>
          <w:rFonts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楷体" w:eastAsia="仿宋_GB2312"/>
          <w:color w:val="auto"/>
          <w:sz w:val="24"/>
          <w:highlight w:val="none"/>
          <w:u w:val="single"/>
        </w:rPr>
        <w:t xml:space="preserve">   （采购人名称）   </w:t>
      </w:r>
      <w:r>
        <w:rPr>
          <w:rFonts w:hint="eastAsia" w:ascii="仿宋_GB2312" w:hAnsi="楷体" w:eastAsia="仿宋_GB2312"/>
          <w:color w:val="auto"/>
          <w:sz w:val="24"/>
          <w:highlight w:val="none"/>
        </w:rPr>
        <w:t>以</w:t>
      </w:r>
      <w:r>
        <w:rPr>
          <w:rFonts w:hint="eastAsia" w:ascii="仿宋_GB2312" w:hAnsi="楷体" w:eastAsia="仿宋_GB2312"/>
          <w:color w:val="auto"/>
          <w:sz w:val="24"/>
          <w:highlight w:val="none"/>
          <w:u w:val="single"/>
        </w:rPr>
        <w:t xml:space="preserve">   （政府采购方式）  </w:t>
      </w:r>
      <w:r>
        <w:rPr>
          <w:rFonts w:hint="eastAsia" w:ascii="仿宋_GB2312" w:hAnsi="楷体" w:eastAsia="仿宋_GB2312"/>
          <w:color w:val="auto"/>
          <w:sz w:val="24"/>
          <w:highlight w:val="none"/>
        </w:rPr>
        <w:t>对</w:t>
      </w:r>
      <w:r>
        <w:rPr>
          <w:rFonts w:hint="eastAsia" w:ascii="仿宋_GB2312" w:hAnsi="楷体" w:eastAsia="仿宋_GB2312"/>
          <w:color w:val="auto"/>
          <w:sz w:val="24"/>
          <w:highlight w:val="none"/>
          <w:u w:val="single"/>
        </w:rPr>
        <w:t xml:space="preserve">   （同前页项目名称）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（中标供应商名称）</w:t>
      </w:r>
      <w:r>
        <w:rPr>
          <w:rFonts w:hint="eastAsia" w:ascii="仿宋_GB2312" w:hAnsi="楷体" w:eastAsia="仿宋_GB2312"/>
          <w:color w:val="auto"/>
          <w:sz w:val="24"/>
          <w:highlight w:val="none"/>
        </w:rPr>
        <w:t>为该项目中标供应商。现于中标通知书发出之日起三十日内，按照采购文件确定的事项签订本合同。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（采购人名称）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（中标供应商名称）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pPr>
        <w:spacing w:line="360" w:lineRule="auto"/>
        <w:ind w:firstLine="482" w:firstLineChars="200"/>
        <w:outlineLvl w:val="0"/>
        <w:rPr>
          <w:rFonts w:ascii="仿宋_GB2312" w:hAnsi="楷体" w:eastAsia="仿宋_GB2312"/>
          <w:b/>
          <w:color w:val="auto"/>
          <w:sz w:val="24"/>
          <w:highlight w:val="none"/>
        </w:rPr>
      </w:pPr>
      <w:bookmarkStart w:id="392" w:name="_Toc3029"/>
      <w:bookmarkStart w:id="393" w:name="_Toc24059"/>
      <w:bookmarkStart w:id="394" w:name="_Toc2232"/>
      <w:r>
        <w:rPr>
          <w:rFonts w:hint="eastAsia" w:ascii="仿宋_GB2312" w:hAnsi="楷体" w:eastAsia="仿宋_GB2312"/>
          <w:b/>
          <w:color w:val="auto"/>
          <w:sz w:val="24"/>
          <w:highlight w:val="none"/>
        </w:rPr>
        <w:t>1.1 合同组成部分</w:t>
      </w:r>
      <w:bookmarkEnd w:id="392"/>
      <w:bookmarkEnd w:id="393"/>
      <w:bookmarkEnd w:id="394"/>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1.1.3 投标文件（含澄清或者说明文件）；</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pPr>
        <w:spacing w:line="360" w:lineRule="auto"/>
        <w:ind w:firstLine="482" w:firstLineChars="200"/>
        <w:outlineLvl w:val="0"/>
        <w:rPr>
          <w:rFonts w:ascii="仿宋_GB2312" w:hAnsi="楷体" w:eastAsia="仿宋_GB2312"/>
          <w:b/>
          <w:color w:val="auto"/>
          <w:sz w:val="24"/>
          <w:highlight w:val="none"/>
        </w:rPr>
      </w:pPr>
      <w:bookmarkStart w:id="395" w:name="_Toc24300"/>
      <w:bookmarkStart w:id="396" w:name="_Toc21295"/>
      <w:bookmarkStart w:id="397" w:name="_Toc27126"/>
      <w:r>
        <w:rPr>
          <w:rFonts w:hint="eastAsia" w:ascii="仿宋_GB2312" w:hAnsi="楷体" w:eastAsia="仿宋_GB2312"/>
          <w:b/>
          <w:color w:val="auto"/>
          <w:sz w:val="24"/>
          <w:highlight w:val="none"/>
        </w:rPr>
        <w:t>1.2 标的物</w:t>
      </w:r>
      <w:bookmarkEnd w:id="395"/>
      <w:bookmarkEnd w:id="396"/>
      <w:bookmarkEnd w:id="397"/>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1.2.1 标的物名称：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1.2.2 标的物数量：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1.2.3 标的物质量：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398" w:name="_Toc21551"/>
      <w:bookmarkStart w:id="399" w:name="_Toc23292"/>
      <w:bookmarkStart w:id="400" w:name="_Toc21631"/>
      <w:r>
        <w:rPr>
          <w:rFonts w:hint="eastAsia" w:ascii="仿宋_GB2312" w:hAnsi="楷体" w:eastAsia="仿宋_GB2312"/>
          <w:b/>
          <w:color w:val="auto"/>
          <w:sz w:val="24"/>
          <w:highlight w:val="none"/>
        </w:rPr>
        <w:t>1.3 价款</w:t>
      </w:r>
      <w:bookmarkEnd w:id="398"/>
      <w:bookmarkEnd w:id="399"/>
      <w:bookmarkEnd w:id="400"/>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w:t>
      </w:r>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7"/>
              <w:spacing w:line="360" w:lineRule="auto"/>
              <w:ind w:firstLine="480"/>
              <w:jc w:val="center"/>
              <w:rPr>
                <w:rFonts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序号</w:t>
            </w:r>
          </w:p>
        </w:tc>
        <w:tc>
          <w:tcPr>
            <w:tcW w:w="3402" w:type="dxa"/>
            <w:vAlign w:val="center"/>
          </w:tcPr>
          <w:p>
            <w:pPr>
              <w:pStyle w:val="287"/>
              <w:spacing w:line="360" w:lineRule="auto"/>
              <w:ind w:firstLine="480"/>
              <w:jc w:val="center"/>
              <w:rPr>
                <w:rFonts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分项名称</w:t>
            </w:r>
          </w:p>
        </w:tc>
        <w:tc>
          <w:tcPr>
            <w:tcW w:w="2552" w:type="dxa"/>
            <w:vAlign w:val="center"/>
          </w:tcPr>
          <w:p>
            <w:pPr>
              <w:pStyle w:val="287"/>
              <w:spacing w:line="360" w:lineRule="auto"/>
              <w:ind w:firstLine="480"/>
              <w:jc w:val="center"/>
              <w:rPr>
                <w:rFonts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7"/>
              <w:spacing w:line="360" w:lineRule="auto"/>
              <w:ind w:firstLine="480"/>
              <w:jc w:val="center"/>
              <w:rPr>
                <w:rFonts w:ascii="仿宋_GB2312" w:hAnsi="楷体" w:eastAsia="仿宋_GB2312"/>
                <w:color w:val="auto"/>
                <w:sz w:val="24"/>
                <w:szCs w:val="24"/>
                <w:highlight w:val="none"/>
              </w:rPr>
            </w:pPr>
          </w:p>
        </w:tc>
        <w:tc>
          <w:tcPr>
            <w:tcW w:w="3402" w:type="dxa"/>
            <w:vAlign w:val="center"/>
          </w:tcPr>
          <w:p>
            <w:pPr>
              <w:pStyle w:val="287"/>
              <w:spacing w:line="360" w:lineRule="auto"/>
              <w:ind w:firstLine="480"/>
              <w:jc w:val="center"/>
              <w:rPr>
                <w:rFonts w:ascii="仿宋_GB2312" w:hAnsi="楷体" w:eastAsia="仿宋_GB2312"/>
                <w:color w:val="auto"/>
                <w:sz w:val="24"/>
                <w:szCs w:val="24"/>
                <w:highlight w:val="none"/>
              </w:rPr>
            </w:pPr>
          </w:p>
        </w:tc>
        <w:tc>
          <w:tcPr>
            <w:tcW w:w="2552" w:type="dxa"/>
            <w:vAlign w:val="center"/>
          </w:tcPr>
          <w:p>
            <w:pPr>
              <w:pStyle w:val="287"/>
              <w:spacing w:line="360" w:lineRule="auto"/>
              <w:ind w:firstLine="480"/>
              <w:jc w:val="center"/>
              <w:rPr>
                <w:rFonts w:ascii="仿宋_GB2312" w:hAnsi="楷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7"/>
              <w:spacing w:line="360" w:lineRule="auto"/>
              <w:ind w:firstLine="480"/>
              <w:jc w:val="center"/>
              <w:rPr>
                <w:rFonts w:ascii="仿宋_GB2312" w:hAnsi="楷体" w:eastAsia="仿宋_GB2312"/>
                <w:color w:val="auto"/>
                <w:sz w:val="24"/>
                <w:szCs w:val="24"/>
                <w:highlight w:val="none"/>
              </w:rPr>
            </w:pPr>
          </w:p>
        </w:tc>
        <w:tc>
          <w:tcPr>
            <w:tcW w:w="3402" w:type="dxa"/>
            <w:vAlign w:val="center"/>
          </w:tcPr>
          <w:p>
            <w:pPr>
              <w:pStyle w:val="287"/>
              <w:spacing w:line="360" w:lineRule="auto"/>
              <w:ind w:firstLine="480"/>
              <w:jc w:val="center"/>
              <w:rPr>
                <w:rFonts w:ascii="仿宋_GB2312" w:hAnsi="楷体" w:eastAsia="仿宋_GB2312"/>
                <w:color w:val="auto"/>
                <w:sz w:val="24"/>
                <w:szCs w:val="24"/>
                <w:highlight w:val="none"/>
              </w:rPr>
            </w:pPr>
          </w:p>
        </w:tc>
        <w:tc>
          <w:tcPr>
            <w:tcW w:w="2552" w:type="dxa"/>
            <w:vAlign w:val="center"/>
          </w:tcPr>
          <w:p>
            <w:pPr>
              <w:pStyle w:val="287"/>
              <w:spacing w:line="360" w:lineRule="auto"/>
              <w:ind w:firstLine="480"/>
              <w:jc w:val="center"/>
              <w:rPr>
                <w:rFonts w:ascii="仿宋_GB2312" w:hAnsi="楷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7"/>
              <w:spacing w:line="360" w:lineRule="auto"/>
              <w:ind w:firstLine="480"/>
              <w:jc w:val="center"/>
              <w:rPr>
                <w:rFonts w:ascii="仿宋_GB2312" w:hAnsi="楷体" w:eastAsia="仿宋_GB2312"/>
                <w:color w:val="auto"/>
                <w:sz w:val="24"/>
                <w:szCs w:val="24"/>
                <w:highlight w:val="none"/>
              </w:rPr>
            </w:pPr>
          </w:p>
        </w:tc>
        <w:tc>
          <w:tcPr>
            <w:tcW w:w="3402" w:type="dxa"/>
            <w:vAlign w:val="center"/>
          </w:tcPr>
          <w:p>
            <w:pPr>
              <w:pStyle w:val="287"/>
              <w:spacing w:line="360" w:lineRule="auto"/>
              <w:ind w:firstLine="480"/>
              <w:jc w:val="center"/>
              <w:rPr>
                <w:rFonts w:ascii="仿宋_GB2312" w:hAnsi="楷体" w:eastAsia="仿宋_GB2312"/>
                <w:color w:val="auto"/>
                <w:sz w:val="24"/>
                <w:szCs w:val="24"/>
                <w:highlight w:val="none"/>
              </w:rPr>
            </w:pPr>
          </w:p>
        </w:tc>
        <w:tc>
          <w:tcPr>
            <w:tcW w:w="2552" w:type="dxa"/>
            <w:vAlign w:val="center"/>
          </w:tcPr>
          <w:p>
            <w:pPr>
              <w:pStyle w:val="287"/>
              <w:spacing w:line="360" w:lineRule="auto"/>
              <w:ind w:firstLine="480"/>
              <w:jc w:val="center"/>
              <w:rPr>
                <w:rFonts w:ascii="仿宋_GB2312" w:hAnsi="楷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7"/>
              <w:spacing w:line="360" w:lineRule="auto"/>
              <w:ind w:firstLine="480"/>
              <w:jc w:val="center"/>
              <w:rPr>
                <w:rFonts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总价</w:t>
            </w:r>
          </w:p>
        </w:tc>
        <w:tc>
          <w:tcPr>
            <w:tcW w:w="2552" w:type="dxa"/>
            <w:vAlign w:val="center"/>
          </w:tcPr>
          <w:p>
            <w:pPr>
              <w:pStyle w:val="287"/>
              <w:spacing w:line="360" w:lineRule="auto"/>
              <w:ind w:firstLine="480"/>
              <w:jc w:val="center"/>
              <w:rPr>
                <w:rFonts w:ascii="仿宋_GB2312" w:hAnsi="楷体" w:eastAsia="仿宋_GB2312"/>
                <w:color w:val="auto"/>
                <w:sz w:val="24"/>
                <w:szCs w:val="24"/>
                <w:highlight w:val="none"/>
              </w:rPr>
            </w:pPr>
          </w:p>
        </w:tc>
      </w:tr>
    </w:tbl>
    <w:p>
      <w:pPr>
        <w:spacing w:line="360" w:lineRule="auto"/>
        <w:ind w:firstLine="482" w:firstLineChars="200"/>
        <w:outlineLvl w:val="0"/>
        <w:rPr>
          <w:rFonts w:ascii="仿宋_GB2312" w:hAnsi="楷体" w:eastAsia="仿宋_GB2312"/>
          <w:b/>
          <w:color w:val="auto"/>
          <w:sz w:val="24"/>
          <w:highlight w:val="none"/>
        </w:rPr>
      </w:pPr>
      <w:bookmarkStart w:id="401" w:name="_Toc1814"/>
      <w:bookmarkStart w:id="402" w:name="_Toc10340"/>
      <w:bookmarkStart w:id="403" w:name="_Toc22618"/>
      <w:r>
        <w:rPr>
          <w:rFonts w:hint="eastAsia" w:ascii="仿宋_GB2312" w:hAnsi="楷体" w:eastAsia="仿宋_GB2312"/>
          <w:b/>
          <w:color w:val="auto"/>
          <w:sz w:val="24"/>
          <w:highlight w:val="none"/>
        </w:rPr>
        <w:t>1.4 付款方式和发票开具方式</w:t>
      </w:r>
      <w:bookmarkEnd w:id="401"/>
      <w:bookmarkEnd w:id="402"/>
      <w:bookmarkEnd w:id="403"/>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（分期付款/一次性付款）                     </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u w:val="single"/>
        </w:rPr>
        <w:t>1.4.3甲方拒绝或迟延支付中小企业款项，乙方可向有关部门投诉   。</w:t>
      </w:r>
    </w:p>
    <w:p>
      <w:pPr>
        <w:spacing w:line="360" w:lineRule="auto"/>
        <w:ind w:firstLine="482" w:firstLineChars="200"/>
        <w:outlineLvl w:val="0"/>
        <w:rPr>
          <w:rFonts w:ascii="仿宋_GB2312" w:hAnsi="楷体" w:eastAsia="仿宋_GB2312"/>
          <w:b/>
          <w:color w:val="auto"/>
          <w:sz w:val="24"/>
          <w:highlight w:val="none"/>
        </w:rPr>
      </w:pPr>
      <w:bookmarkStart w:id="404" w:name="_Toc19304"/>
      <w:bookmarkStart w:id="405" w:name="_Toc2846"/>
      <w:bookmarkStart w:id="406" w:name="_Toc32071"/>
      <w:r>
        <w:rPr>
          <w:rFonts w:hint="eastAsia" w:ascii="仿宋_GB2312" w:hAnsi="楷体" w:eastAsia="仿宋_GB2312"/>
          <w:b/>
          <w:color w:val="auto"/>
          <w:sz w:val="24"/>
          <w:highlight w:val="none"/>
        </w:rPr>
        <w:t>1.5 标的物交付期限、地点和方式</w:t>
      </w:r>
      <w:bookmarkEnd w:id="404"/>
      <w:bookmarkEnd w:id="405"/>
      <w:bookmarkEnd w:id="406"/>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407" w:name="_Toc19554"/>
      <w:bookmarkStart w:id="408" w:name="_Toc27250"/>
      <w:bookmarkStart w:id="409" w:name="_Toc21423"/>
      <w:r>
        <w:rPr>
          <w:rFonts w:hint="eastAsia" w:ascii="仿宋_GB2312" w:hAnsi="楷体" w:eastAsia="仿宋_GB2312"/>
          <w:b/>
          <w:color w:val="auto"/>
          <w:sz w:val="24"/>
          <w:highlight w:val="none"/>
        </w:rPr>
        <w:t>1.6 违约责任</w:t>
      </w:r>
      <w:bookmarkEnd w:id="407"/>
      <w:bookmarkEnd w:id="408"/>
      <w:bookmarkEnd w:id="409"/>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color w:val="auto"/>
          <w:sz w:val="24"/>
          <w:highlight w:val="none"/>
        </w:rPr>
      </w:pPr>
      <w:bookmarkStart w:id="410" w:name="_Toc15583"/>
      <w:bookmarkStart w:id="411" w:name="_Toc28375"/>
      <w:bookmarkStart w:id="412" w:name="_Toc16021"/>
      <w:r>
        <w:rPr>
          <w:rFonts w:hint="eastAsia" w:ascii="仿宋_GB2312" w:hAnsi="楷体" w:eastAsia="仿宋_GB2312"/>
          <w:b/>
          <w:color w:val="auto"/>
          <w:sz w:val="24"/>
          <w:highlight w:val="none"/>
        </w:rPr>
        <w:t>1.7 合同争议的解决</w:t>
      </w:r>
      <w:bookmarkEnd w:id="410"/>
      <w:bookmarkEnd w:id="411"/>
      <w:bookmarkEnd w:id="412"/>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仲裁委员会依申请仲裁时其现行有效的仲裁规则裁决；</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_GB2312" w:hAnsi="楷体" w:eastAsia="仿宋_GB2312"/>
          <w:color w:val="auto"/>
          <w:sz w:val="24"/>
          <w:highlight w:val="none"/>
        </w:rPr>
        <w:t>人民法院起诉。</w:t>
      </w:r>
    </w:p>
    <w:p>
      <w:pPr>
        <w:spacing w:line="360" w:lineRule="auto"/>
        <w:ind w:firstLine="482" w:firstLineChars="200"/>
        <w:outlineLvl w:val="0"/>
        <w:rPr>
          <w:rFonts w:ascii="仿宋_GB2312" w:hAnsi="楷体" w:eastAsia="仿宋_GB2312"/>
          <w:b/>
          <w:color w:val="auto"/>
          <w:sz w:val="24"/>
          <w:highlight w:val="none"/>
        </w:rPr>
      </w:pPr>
      <w:bookmarkStart w:id="413" w:name="_Toc11173"/>
      <w:bookmarkStart w:id="414" w:name="_Toc15322"/>
      <w:bookmarkStart w:id="415" w:name="_Toc7245"/>
      <w:r>
        <w:rPr>
          <w:rFonts w:hint="eastAsia" w:ascii="仿宋_GB2312" w:hAnsi="楷体" w:eastAsia="仿宋_GB2312"/>
          <w:b/>
          <w:color w:val="auto"/>
          <w:sz w:val="24"/>
          <w:highlight w:val="none"/>
        </w:rPr>
        <w:t>1.8 合同生效</w:t>
      </w:r>
      <w:bookmarkEnd w:id="413"/>
      <w:bookmarkEnd w:id="414"/>
      <w:bookmarkEnd w:id="415"/>
    </w:p>
    <w:p>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本合同自双方当事人盖章或者签字时生效。</w:t>
      </w:r>
    </w:p>
    <w:p>
      <w:pPr>
        <w:autoSpaceDE w:val="0"/>
        <w:autoSpaceDN w:val="0"/>
        <w:spacing w:line="360" w:lineRule="auto"/>
        <w:rPr>
          <w:rFonts w:ascii="仿宋_GB2312" w:hAnsi="楷体" w:eastAsia="仿宋_GB2312"/>
          <w:color w:val="auto"/>
          <w:sz w:val="24"/>
          <w:highlight w:val="none"/>
          <w:lang w:val="zh-CN"/>
        </w:rPr>
      </w:pP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b/>
          <w:color w:val="auto"/>
          <w:sz w:val="24"/>
          <w:highlight w:val="none"/>
          <w:lang w:val="zh-CN"/>
        </w:rPr>
        <w:t>甲方</w:t>
      </w:r>
      <w:r>
        <w:rPr>
          <w:rFonts w:hint="eastAsia" w:ascii="仿宋_GB2312" w:hAnsi="楷体" w:eastAsia="仿宋_GB2312"/>
          <w:color w:val="auto"/>
          <w:sz w:val="24"/>
          <w:highlight w:val="none"/>
          <w:lang w:val="zh-CN"/>
        </w:rPr>
        <w:t xml:space="preserve">：                             </w:t>
      </w:r>
      <w:r>
        <w:rPr>
          <w:rFonts w:hint="eastAsia" w:ascii="仿宋_GB2312" w:hAnsi="楷体" w:eastAsia="仿宋_GB2312"/>
          <w:b/>
          <w:color w:val="auto"/>
          <w:sz w:val="24"/>
          <w:highlight w:val="none"/>
          <w:lang w:val="zh-CN"/>
        </w:rPr>
        <w:t xml:space="preserve">      乙方</w:t>
      </w:r>
      <w:r>
        <w:rPr>
          <w:rFonts w:hint="eastAsia" w:ascii="仿宋_GB2312" w:hAnsi="楷体" w:eastAsia="仿宋_GB2312"/>
          <w:color w:val="auto"/>
          <w:sz w:val="24"/>
          <w:highlight w:val="none"/>
          <w:lang w:val="zh-CN"/>
        </w:rPr>
        <w:t>：</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pPr>
        <w:autoSpaceDE w:val="0"/>
        <w:autoSpaceDN w:val="0"/>
        <w:spacing w:line="360" w:lineRule="auto"/>
        <w:rPr>
          <w:rFonts w:ascii="仿宋_GB2312" w:hAnsi="楷体" w:eastAsia="仿宋_GB2312"/>
          <w:color w:val="auto"/>
          <w:sz w:val="24"/>
          <w:highlight w:val="none"/>
          <w:lang w:val="zh-CN"/>
        </w:rPr>
      </w:pP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                        或授权代表（签字）: </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pPr>
        <w:autoSpaceDE w:val="0"/>
        <w:autoSpaceDN w:val="0"/>
        <w:spacing w:line="360" w:lineRule="auto"/>
        <w:rPr>
          <w:rFonts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pPr>
        <w:autoSpaceDE w:val="0"/>
        <w:autoSpaceDN w:val="0"/>
        <w:spacing w:line="360" w:lineRule="auto"/>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pPr>
        <w:autoSpaceDE w:val="0"/>
        <w:autoSpaceDN w:val="0"/>
        <w:spacing w:line="360" w:lineRule="auto"/>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pPr>
        <w:autoSpaceDE w:val="0"/>
        <w:autoSpaceDN w:val="0"/>
        <w:spacing w:line="360" w:lineRule="auto"/>
        <w:rPr>
          <w:rFonts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pPr>
        <w:widowControl/>
        <w:jc w:val="left"/>
        <w:rPr>
          <w:rFonts w:ascii="仿宋_GB2312" w:hAnsi="楷体" w:eastAsia="仿宋_GB2312"/>
          <w:b/>
          <w:color w:val="auto"/>
          <w:sz w:val="24"/>
          <w:highlight w:val="none"/>
        </w:rPr>
      </w:pPr>
      <w:bookmarkStart w:id="416" w:name="_Toc331685783"/>
      <w:r>
        <w:rPr>
          <w:rFonts w:hint="eastAsia" w:ascii="仿宋_GB2312" w:hAnsi="楷体" w:eastAsia="仿宋_GB2312"/>
          <w:b/>
          <w:color w:val="auto"/>
          <w:highlight w:val="none"/>
        </w:rPr>
        <w:br w:type="page"/>
      </w:r>
    </w:p>
    <w:p>
      <w:pPr>
        <w:pStyle w:val="335"/>
        <w:ind w:firstLine="562"/>
        <w:jc w:val="center"/>
        <w:rPr>
          <w:rFonts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第二部分 合同一般条款</w:t>
      </w:r>
      <w:bookmarkEnd w:id="416"/>
    </w:p>
    <w:p>
      <w:pPr>
        <w:spacing w:line="360" w:lineRule="auto"/>
        <w:ind w:firstLine="482" w:firstLineChars="200"/>
        <w:outlineLvl w:val="0"/>
        <w:rPr>
          <w:rFonts w:ascii="仿宋_GB2312" w:hAnsi="楷体" w:eastAsia="仿宋_GB2312"/>
          <w:b/>
          <w:color w:val="auto"/>
          <w:sz w:val="24"/>
          <w:highlight w:val="none"/>
        </w:rPr>
      </w:pPr>
      <w:bookmarkStart w:id="417" w:name="_Toc28763"/>
      <w:bookmarkStart w:id="418" w:name="_Ref467379109"/>
      <w:bookmarkStart w:id="419" w:name="_Ref467379101"/>
      <w:bookmarkStart w:id="420" w:name="_Toc487900349"/>
      <w:bookmarkStart w:id="421" w:name="_Ref467378404"/>
      <w:bookmarkStart w:id="422" w:name="_Toc16917"/>
      <w:bookmarkStart w:id="423" w:name="_Toc279701240"/>
      <w:bookmarkStart w:id="424" w:name="_Ref467379205"/>
      <w:bookmarkStart w:id="425" w:name="_Toc19614"/>
      <w:bookmarkStart w:id="426" w:name="_Toc259093669"/>
      <w:bookmarkStart w:id="427" w:name="_Ref467378499"/>
      <w:bookmarkStart w:id="428" w:name="_Ref467379214"/>
      <w:bookmarkStart w:id="429" w:name="_Ref467379094"/>
      <w:bookmarkStart w:id="430" w:name="_Ref467379195"/>
      <w:bookmarkStart w:id="431" w:name="_Ref467378463"/>
      <w:bookmarkStart w:id="432" w:name="_Ref467379225"/>
      <w:r>
        <w:rPr>
          <w:rFonts w:hint="eastAsia" w:ascii="仿宋_GB2312" w:hAnsi="楷体" w:eastAsia="仿宋_GB2312"/>
          <w:b/>
          <w:color w:val="auto"/>
          <w:sz w:val="24"/>
          <w:highlight w:val="none"/>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“合同价”系指根据合同约定，中标供应商在完全履行合同义务后，采购人应支付给中标供应商的价格。</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color w:val="auto"/>
          <w:sz w:val="24"/>
          <w:highlight w:val="none"/>
        </w:rPr>
      </w:pPr>
      <w:bookmarkStart w:id="433" w:name="_Ref467378840"/>
      <w:r>
        <w:rPr>
          <w:rFonts w:hint="eastAsia" w:ascii="仿宋_GB2312" w:hAnsi="楷体" w:eastAsia="仿宋_GB2312"/>
          <w:color w:val="auto"/>
          <w:sz w:val="24"/>
          <w:highlight w:val="none"/>
        </w:rPr>
        <w:t>2.1.4 “甲方”系指与中标供应商签署合同的采购人</w:t>
      </w:r>
      <w:bookmarkEnd w:id="433"/>
      <w:r>
        <w:rPr>
          <w:rFonts w:hint="eastAsia" w:ascii="仿宋_GB2312" w:hAnsi="楷体" w:eastAsia="仿宋_GB2312"/>
          <w:color w:val="auto"/>
          <w:sz w:val="24"/>
          <w:highlight w:val="none"/>
        </w:rPr>
        <w:t>；采购人委托采购机构代表其与乙方签订合同的，采购人的授权委托书作为合同附件。</w:t>
      </w:r>
    </w:p>
    <w:p>
      <w:pPr>
        <w:spacing w:line="360" w:lineRule="auto"/>
        <w:ind w:firstLine="480" w:firstLineChars="200"/>
        <w:rPr>
          <w:rFonts w:ascii="仿宋_GB2312" w:hAnsi="楷体" w:eastAsia="仿宋_GB2312"/>
          <w:color w:val="auto"/>
          <w:sz w:val="24"/>
          <w:highlight w:val="none"/>
        </w:rPr>
      </w:pPr>
      <w:bookmarkStart w:id="434" w:name="_Ref467379400"/>
      <w:r>
        <w:rPr>
          <w:rFonts w:hint="eastAsia" w:ascii="仿宋_GB2312" w:hAnsi="楷体" w:eastAsia="仿宋_GB2312"/>
          <w:color w:val="auto"/>
          <w:sz w:val="24"/>
          <w:highlight w:val="none"/>
        </w:rPr>
        <w:t>2.1.5 “乙方”系指根据合同约定交付标的物的中标供应商</w:t>
      </w:r>
      <w:bookmarkEnd w:id="434"/>
      <w:r>
        <w:rPr>
          <w:rFonts w:hint="eastAsia" w:ascii="仿宋_GB2312" w:hAnsi="楷体" w:eastAsia="仿宋_GB2312"/>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color w:val="auto"/>
          <w:sz w:val="24"/>
          <w:highlight w:val="none"/>
        </w:rPr>
      </w:pPr>
      <w:bookmarkStart w:id="435" w:name="_Ref467379436"/>
      <w:r>
        <w:rPr>
          <w:rFonts w:hint="eastAsia" w:ascii="仿宋_GB2312" w:hAnsi="楷体" w:eastAsia="仿宋_GB2312"/>
          <w:color w:val="auto"/>
          <w:sz w:val="24"/>
          <w:highlight w:val="none"/>
        </w:rPr>
        <w:t>2.1.6 “现场”系指合同约定标的物将要运至或者实施或者安装的地点。</w:t>
      </w:r>
      <w:bookmarkEnd w:id="435"/>
    </w:p>
    <w:p>
      <w:pPr>
        <w:spacing w:line="360" w:lineRule="auto"/>
        <w:ind w:firstLine="482" w:firstLineChars="200"/>
        <w:outlineLvl w:val="0"/>
        <w:rPr>
          <w:rFonts w:ascii="仿宋_GB2312" w:hAnsi="楷体" w:eastAsia="仿宋_GB2312"/>
          <w:b/>
          <w:color w:val="auto"/>
          <w:sz w:val="24"/>
          <w:highlight w:val="none"/>
        </w:rPr>
      </w:pPr>
      <w:bookmarkStart w:id="436" w:name="_Toc259093670"/>
      <w:bookmarkStart w:id="437" w:name="_Toc13336"/>
      <w:bookmarkStart w:id="438" w:name="_Toc279701241"/>
      <w:bookmarkStart w:id="439" w:name="_Toc487900350"/>
      <w:bookmarkStart w:id="440" w:name="_Toc32504"/>
      <w:bookmarkStart w:id="441" w:name="_Toc27635"/>
      <w:r>
        <w:rPr>
          <w:rFonts w:hint="eastAsia" w:ascii="仿宋_GB2312" w:hAnsi="楷体" w:eastAsia="仿宋_GB2312"/>
          <w:b/>
          <w:color w:val="auto"/>
          <w:sz w:val="24"/>
          <w:highlight w:val="none"/>
        </w:rPr>
        <w:t>2.2 技术规范</w:t>
      </w:r>
      <w:bookmarkEnd w:id="436"/>
      <w:bookmarkEnd w:id="437"/>
      <w:bookmarkEnd w:id="438"/>
      <w:bookmarkEnd w:id="439"/>
      <w:bookmarkEnd w:id="440"/>
      <w:bookmarkEnd w:id="441"/>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color w:val="auto"/>
          <w:sz w:val="24"/>
          <w:highlight w:val="none"/>
        </w:rPr>
      </w:pPr>
      <w:bookmarkStart w:id="442" w:name="_Toc487900351"/>
      <w:bookmarkStart w:id="443" w:name="_Toc27853"/>
      <w:bookmarkStart w:id="444" w:name="_Toc279701242"/>
      <w:bookmarkStart w:id="445" w:name="_Toc259093671"/>
      <w:bookmarkStart w:id="446" w:name="_Toc9829"/>
      <w:bookmarkStart w:id="447" w:name="_Toc31634"/>
      <w:r>
        <w:rPr>
          <w:rFonts w:hint="eastAsia" w:ascii="仿宋_GB2312" w:hAnsi="楷体" w:eastAsia="仿宋_GB2312"/>
          <w:b/>
          <w:color w:val="auto"/>
          <w:sz w:val="24"/>
          <w:highlight w:val="none"/>
        </w:rPr>
        <w:t>2.3 知识产权</w:t>
      </w:r>
      <w:bookmarkEnd w:id="442"/>
      <w:bookmarkEnd w:id="443"/>
      <w:bookmarkEnd w:id="444"/>
      <w:bookmarkEnd w:id="445"/>
      <w:bookmarkEnd w:id="446"/>
      <w:bookmarkEnd w:id="447"/>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448" w:name="_Toc29149"/>
      <w:bookmarkStart w:id="449" w:name="_Toc4194"/>
      <w:bookmarkStart w:id="450" w:name="_Toc11932"/>
      <w:r>
        <w:rPr>
          <w:rFonts w:hint="eastAsia" w:ascii="仿宋_GB2312" w:hAnsi="楷体" w:eastAsia="仿宋_GB2312"/>
          <w:b/>
          <w:color w:val="auto"/>
          <w:sz w:val="24"/>
          <w:highlight w:val="none"/>
        </w:rPr>
        <w:t>2.4 包装和装运</w:t>
      </w:r>
      <w:bookmarkEnd w:id="448"/>
      <w:bookmarkEnd w:id="449"/>
      <w:bookmarkEnd w:id="450"/>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451" w:name="_Toc259093674"/>
      <w:bookmarkStart w:id="452" w:name="_Ref467379527"/>
      <w:bookmarkStart w:id="453" w:name="_Ref467379536"/>
      <w:bookmarkStart w:id="454" w:name="_Ref467378541"/>
      <w:bookmarkStart w:id="455" w:name="_Toc279701245"/>
      <w:bookmarkStart w:id="456" w:name="_Toc487900354"/>
      <w:bookmarkStart w:id="457" w:name="_Ref467378591"/>
      <w:bookmarkStart w:id="458" w:name="_Ref467379542"/>
      <w:bookmarkStart w:id="459" w:name="_Toc30272"/>
      <w:bookmarkStart w:id="460" w:name="_Toc19074"/>
      <w:bookmarkStart w:id="461" w:name="_Toc26182"/>
      <w:r>
        <w:rPr>
          <w:rFonts w:hint="eastAsia" w:ascii="仿宋_GB2312" w:hAnsi="楷体" w:eastAsia="仿宋_GB2312"/>
          <w:b/>
          <w:color w:val="auto"/>
          <w:sz w:val="24"/>
          <w:highlight w:val="none"/>
        </w:rPr>
        <w:t>2.</w:t>
      </w:r>
      <w:bookmarkEnd w:id="451"/>
      <w:bookmarkEnd w:id="452"/>
      <w:bookmarkEnd w:id="453"/>
      <w:bookmarkEnd w:id="454"/>
      <w:bookmarkEnd w:id="455"/>
      <w:bookmarkEnd w:id="456"/>
      <w:bookmarkEnd w:id="457"/>
      <w:bookmarkEnd w:id="458"/>
      <w:r>
        <w:rPr>
          <w:rFonts w:hint="eastAsia" w:ascii="仿宋_GB2312" w:hAnsi="楷体" w:eastAsia="仿宋_GB2312"/>
          <w:b/>
          <w:color w:val="auto"/>
          <w:sz w:val="24"/>
          <w:highlight w:val="none"/>
        </w:rPr>
        <w:t>5 履约检查和问题反馈</w:t>
      </w:r>
      <w:bookmarkEnd w:id="459"/>
      <w:bookmarkEnd w:id="460"/>
      <w:bookmarkEnd w:id="461"/>
    </w:p>
    <w:p>
      <w:pPr>
        <w:spacing w:line="360" w:lineRule="auto"/>
        <w:ind w:firstLine="480" w:firstLineChars="200"/>
        <w:rPr>
          <w:rFonts w:ascii="仿宋_GB2312" w:hAnsi="楷体" w:eastAsia="仿宋_GB2312"/>
          <w:color w:val="auto"/>
          <w:sz w:val="24"/>
          <w:highlight w:val="none"/>
        </w:rPr>
      </w:pPr>
      <w:bookmarkStart w:id="462" w:name="_Ref467379657"/>
      <w:r>
        <w:rPr>
          <w:rFonts w:hint="eastAsia" w:ascii="仿宋_GB2312" w:hAnsi="楷体" w:eastAsia="仿宋_GB2312"/>
          <w:color w:val="auto"/>
          <w:sz w:val="24"/>
          <w:highlight w:val="none"/>
        </w:rPr>
        <w:t>2.5.1</w:t>
      </w:r>
      <w:bookmarkEnd w:id="462"/>
      <w:bookmarkStart w:id="463" w:name="_Toc186431854"/>
      <w:bookmarkStart w:id="464" w:name="_Toc487900357"/>
      <w:bookmarkStart w:id="465" w:name="_Toc259093676"/>
      <w:bookmarkStart w:id="466" w:name="_Ref467379793"/>
      <w:bookmarkStart w:id="467" w:name="_Ref467379807"/>
      <w:bookmarkStart w:id="468" w:name="_Toc27970124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463"/>
      <w:bookmarkStart w:id="469" w:name="_Toc186431855"/>
      <w:r>
        <w:rPr>
          <w:rFonts w:hint="eastAsia" w:ascii="仿宋_GB2312" w:hAnsi="楷体" w:eastAsia="仿宋_GB2312"/>
          <w:color w:val="auto"/>
          <w:sz w:val="24"/>
          <w:highlight w:val="none"/>
        </w:rPr>
        <w:t>。</w:t>
      </w:r>
      <w:bookmarkEnd w:id="469"/>
    </w:p>
    <w:p>
      <w:pPr>
        <w:spacing w:line="360" w:lineRule="auto"/>
        <w:ind w:firstLine="482" w:firstLineChars="200"/>
        <w:outlineLvl w:val="0"/>
        <w:rPr>
          <w:rFonts w:ascii="仿宋_GB2312" w:hAnsi="楷体" w:eastAsia="仿宋_GB2312"/>
          <w:b/>
          <w:color w:val="auto"/>
          <w:sz w:val="24"/>
          <w:highlight w:val="none"/>
        </w:rPr>
      </w:pPr>
      <w:bookmarkStart w:id="470" w:name="_Toc28451"/>
      <w:bookmarkStart w:id="471" w:name="_Toc7836"/>
      <w:bookmarkStart w:id="472" w:name="_Toc19219"/>
      <w:r>
        <w:rPr>
          <w:rFonts w:hint="eastAsia" w:ascii="仿宋_GB2312" w:hAnsi="楷体" w:eastAsia="仿宋_GB2312"/>
          <w:b/>
          <w:color w:val="auto"/>
          <w:sz w:val="24"/>
          <w:highlight w:val="none"/>
        </w:rPr>
        <w:t>2.6 结算方式和付款条件</w:t>
      </w:r>
      <w:bookmarkEnd w:id="464"/>
      <w:bookmarkEnd w:id="465"/>
      <w:bookmarkEnd w:id="466"/>
      <w:bookmarkEnd w:id="467"/>
      <w:bookmarkEnd w:id="468"/>
      <w:bookmarkEnd w:id="470"/>
      <w:bookmarkEnd w:id="471"/>
      <w:bookmarkEnd w:id="472"/>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473" w:name="_Ref467379863"/>
      <w:bookmarkStart w:id="474" w:name="_Ref467379923"/>
      <w:bookmarkStart w:id="475" w:name="_Ref467379852"/>
      <w:bookmarkStart w:id="476" w:name="_Toc487900358"/>
      <w:bookmarkStart w:id="477" w:name="_Toc279701248"/>
      <w:bookmarkStart w:id="478" w:name="_Toc259093677"/>
      <w:bookmarkStart w:id="479" w:name="_Toc774"/>
      <w:bookmarkStart w:id="480" w:name="_Toc3225"/>
      <w:bookmarkStart w:id="481" w:name="_Toc16110"/>
      <w:r>
        <w:rPr>
          <w:rFonts w:hint="eastAsia" w:ascii="仿宋_GB2312" w:hAnsi="楷体" w:eastAsia="仿宋_GB2312"/>
          <w:b/>
          <w:color w:val="auto"/>
          <w:sz w:val="24"/>
          <w:highlight w:val="none"/>
        </w:rPr>
        <w:t>2.7 技术资料</w:t>
      </w:r>
      <w:bookmarkEnd w:id="473"/>
      <w:bookmarkEnd w:id="474"/>
      <w:bookmarkEnd w:id="475"/>
      <w:bookmarkEnd w:id="476"/>
      <w:bookmarkEnd w:id="477"/>
      <w:bookmarkEnd w:id="478"/>
      <w:r>
        <w:rPr>
          <w:rFonts w:hint="eastAsia" w:ascii="仿宋_GB2312" w:hAnsi="楷体" w:eastAsia="仿宋_GB2312"/>
          <w:b/>
          <w:color w:val="auto"/>
          <w:sz w:val="24"/>
          <w:highlight w:val="none"/>
        </w:rPr>
        <w:t>和保密义务</w:t>
      </w:r>
      <w:bookmarkEnd w:id="479"/>
      <w:bookmarkEnd w:id="480"/>
      <w:bookmarkEnd w:id="481"/>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color w:val="auto"/>
          <w:sz w:val="24"/>
          <w:highlight w:val="none"/>
        </w:rPr>
      </w:pPr>
      <w:bookmarkStart w:id="482" w:name="_Toc7860"/>
      <w:r>
        <w:rPr>
          <w:rFonts w:hint="eastAsia" w:ascii="仿宋_GB2312" w:hAnsi="楷体" w:eastAsia="仿宋_GB2312"/>
          <w:b/>
          <w:color w:val="auto"/>
          <w:sz w:val="24"/>
          <w:highlight w:val="none"/>
        </w:rPr>
        <w:t>2.8 质量保证</w:t>
      </w:r>
      <w:bookmarkEnd w:id="482"/>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color w:val="auto"/>
          <w:sz w:val="24"/>
          <w:highlight w:val="none"/>
        </w:rPr>
      </w:pPr>
      <w:bookmarkStart w:id="483" w:name="_Toc17244"/>
      <w:bookmarkStart w:id="484" w:name="_Toc259093681"/>
      <w:bookmarkStart w:id="485" w:name="_Toc487900362"/>
      <w:bookmarkStart w:id="486" w:name="_Toc279701252"/>
      <w:r>
        <w:rPr>
          <w:rFonts w:hint="eastAsia" w:ascii="仿宋_GB2312" w:hAnsi="楷体" w:eastAsia="仿宋_GB2312"/>
          <w:b/>
          <w:color w:val="auto"/>
          <w:sz w:val="24"/>
          <w:highlight w:val="none"/>
        </w:rPr>
        <w:t>2.9 标的物的风险负担</w:t>
      </w:r>
      <w:bookmarkEnd w:id="483"/>
    </w:p>
    <w:p>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487" w:name="_Toc14055"/>
      <w:r>
        <w:rPr>
          <w:rFonts w:hint="eastAsia" w:ascii="仿宋_GB2312" w:hAnsi="楷体" w:eastAsia="仿宋_GB2312"/>
          <w:b/>
          <w:color w:val="auto"/>
          <w:sz w:val="24"/>
          <w:highlight w:val="none"/>
        </w:rPr>
        <w:t>2.10 延迟交货</w:t>
      </w:r>
      <w:bookmarkEnd w:id="484"/>
      <w:bookmarkEnd w:id="485"/>
      <w:bookmarkEnd w:id="486"/>
      <w:bookmarkEnd w:id="487"/>
      <w:r>
        <w:rPr>
          <w:rFonts w:hint="eastAsia" w:ascii="仿宋_GB2312" w:hAnsi="楷体" w:eastAsia="仿宋_GB2312"/>
          <w:b/>
          <w:color w:val="auto"/>
          <w:sz w:val="24"/>
          <w:highlight w:val="none"/>
        </w:rPr>
        <w:t>/交付</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color w:val="auto"/>
          <w:sz w:val="24"/>
          <w:highlight w:val="none"/>
        </w:rPr>
      </w:pPr>
      <w:bookmarkStart w:id="488" w:name="_Toc7502"/>
      <w:bookmarkStart w:id="489" w:name="_Ref467378121"/>
      <w:bookmarkStart w:id="490" w:name="_Toc279701254"/>
      <w:bookmarkStart w:id="491" w:name="_Toc259093683"/>
      <w:bookmarkStart w:id="492" w:name="_Toc487900364"/>
      <w:r>
        <w:rPr>
          <w:rFonts w:hint="eastAsia" w:ascii="仿宋_GB2312" w:hAnsi="楷体" w:eastAsia="仿宋_GB2312"/>
          <w:b/>
          <w:color w:val="auto"/>
          <w:sz w:val="24"/>
          <w:highlight w:val="none"/>
        </w:rPr>
        <w:t>2.11 合同变更</w:t>
      </w:r>
      <w:bookmarkEnd w:id="488"/>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487900369"/>
      <w:bookmarkStart w:id="495" w:name="_Toc279701259"/>
    </w:p>
    <w:p>
      <w:pPr>
        <w:spacing w:line="360" w:lineRule="auto"/>
        <w:ind w:firstLine="482" w:firstLineChars="200"/>
        <w:outlineLvl w:val="0"/>
        <w:rPr>
          <w:rFonts w:ascii="仿宋_GB2312" w:hAnsi="楷体" w:eastAsia="仿宋_GB2312"/>
          <w:b/>
          <w:color w:val="auto"/>
          <w:sz w:val="24"/>
          <w:highlight w:val="none"/>
        </w:rPr>
      </w:pPr>
      <w:bookmarkStart w:id="496" w:name="_Toc10366"/>
      <w:bookmarkStart w:id="497" w:name="_Toc15237"/>
      <w:bookmarkStart w:id="498" w:name="_Toc22955"/>
      <w:r>
        <w:rPr>
          <w:rFonts w:hint="eastAsia" w:ascii="仿宋_GB2312" w:hAnsi="楷体" w:eastAsia="仿宋_GB2312"/>
          <w:b/>
          <w:color w:val="auto"/>
          <w:sz w:val="24"/>
          <w:highlight w:val="none"/>
        </w:rPr>
        <w:t>2.12 合同转让</w:t>
      </w:r>
      <w:bookmarkEnd w:id="493"/>
      <w:bookmarkEnd w:id="494"/>
      <w:bookmarkEnd w:id="495"/>
      <w:r>
        <w:rPr>
          <w:rFonts w:hint="eastAsia" w:ascii="仿宋_GB2312" w:hAnsi="楷体" w:eastAsia="仿宋_GB2312"/>
          <w:b/>
          <w:color w:val="auto"/>
          <w:sz w:val="24"/>
          <w:highlight w:val="none"/>
        </w:rPr>
        <w:t>和分包</w:t>
      </w:r>
      <w:bookmarkEnd w:id="496"/>
      <w:bookmarkEnd w:id="497"/>
      <w:bookmarkEnd w:id="498"/>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color w:val="auto"/>
          <w:sz w:val="24"/>
          <w:highlight w:val="none"/>
        </w:rPr>
      </w:pPr>
      <w:bookmarkStart w:id="499" w:name="_Toc16508"/>
      <w:bookmarkStart w:id="500" w:name="_Toc14066"/>
      <w:bookmarkStart w:id="501" w:name="_Toc13566"/>
      <w:r>
        <w:rPr>
          <w:rFonts w:hint="eastAsia" w:ascii="仿宋_GB2312" w:hAnsi="楷体" w:eastAsia="仿宋_GB2312"/>
          <w:b/>
          <w:color w:val="auto"/>
          <w:sz w:val="24"/>
          <w:highlight w:val="none"/>
        </w:rPr>
        <w:t>2.13 不可抗力</w:t>
      </w:r>
      <w:bookmarkEnd w:id="499"/>
      <w:bookmarkEnd w:id="500"/>
      <w:bookmarkEnd w:id="501"/>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pPr>
        <w:spacing w:line="360" w:lineRule="auto"/>
        <w:ind w:firstLine="482" w:firstLineChars="200"/>
        <w:outlineLvl w:val="0"/>
        <w:rPr>
          <w:rFonts w:ascii="仿宋_GB2312" w:hAnsi="楷体" w:eastAsia="仿宋_GB2312"/>
          <w:b/>
          <w:color w:val="auto"/>
          <w:sz w:val="24"/>
          <w:highlight w:val="none"/>
        </w:rPr>
      </w:pPr>
      <w:bookmarkStart w:id="502" w:name="_Toc487900365"/>
      <w:bookmarkStart w:id="503" w:name="_Toc279701255"/>
      <w:bookmarkStart w:id="504" w:name="_Toc30676"/>
      <w:bookmarkStart w:id="505" w:name="_Toc259093684"/>
      <w:bookmarkStart w:id="506" w:name="_Toc689"/>
      <w:bookmarkStart w:id="507" w:name="_Toc6969"/>
      <w:r>
        <w:rPr>
          <w:rFonts w:hint="eastAsia" w:ascii="仿宋_GB2312" w:hAnsi="楷体" w:eastAsia="仿宋_GB2312"/>
          <w:b/>
          <w:color w:val="auto"/>
          <w:sz w:val="24"/>
          <w:highlight w:val="none"/>
        </w:rPr>
        <w:t>2.14 税费</w:t>
      </w:r>
      <w:bookmarkEnd w:id="502"/>
      <w:bookmarkEnd w:id="503"/>
      <w:bookmarkEnd w:id="504"/>
      <w:bookmarkEnd w:id="505"/>
      <w:bookmarkEnd w:id="506"/>
      <w:bookmarkEnd w:id="507"/>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pPr>
        <w:spacing w:line="360" w:lineRule="auto"/>
        <w:ind w:firstLine="482" w:firstLineChars="200"/>
        <w:outlineLvl w:val="0"/>
        <w:rPr>
          <w:rFonts w:ascii="仿宋_GB2312" w:hAnsi="楷体" w:eastAsia="仿宋_GB2312"/>
          <w:b/>
          <w:color w:val="auto"/>
          <w:sz w:val="24"/>
          <w:highlight w:val="none"/>
        </w:rPr>
      </w:pPr>
      <w:bookmarkStart w:id="508" w:name="_Toc487900368"/>
      <w:bookmarkStart w:id="509" w:name="_Toc16959"/>
      <w:bookmarkStart w:id="510" w:name="_Toc7102"/>
      <w:bookmarkStart w:id="511" w:name="_Toc279701258"/>
      <w:bookmarkStart w:id="512" w:name="_Toc8298"/>
      <w:bookmarkStart w:id="513" w:name="_Toc259093687"/>
      <w:r>
        <w:rPr>
          <w:rFonts w:hint="eastAsia" w:ascii="仿宋_GB2312" w:hAnsi="楷体" w:eastAsia="仿宋_GB2312"/>
          <w:b/>
          <w:color w:val="auto"/>
          <w:sz w:val="24"/>
          <w:highlight w:val="none"/>
        </w:rPr>
        <w:t>2.15 乙方破产</w:t>
      </w:r>
      <w:bookmarkEnd w:id="508"/>
      <w:bookmarkEnd w:id="509"/>
      <w:bookmarkEnd w:id="510"/>
      <w:bookmarkEnd w:id="511"/>
      <w:bookmarkEnd w:id="512"/>
      <w:bookmarkEnd w:id="513"/>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color w:val="auto"/>
          <w:sz w:val="24"/>
          <w:highlight w:val="none"/>
        </w:rPr>
      </w:pPr>
      <w:bookmarkStart w:id="514" w:name="_Toc29333"/>
      <w:bookmarkStart w:id="515" w:name="_Toc6134"/>
      <w:bookmarkStart w:id="516" w:name="_Toc15387"/>
      <w:r>
        <w:rPr>
          <w:rFonts w:hint="eastAsia" w:ascii="仿宋_GB2312" w:hAnsi="楷体" w:eastAsia="仿宋_GB2312"/>
          <w:b/>
          <w:color w:val="auto"/>
          <w:sz w:val="24"/>
          <w:highlight w:val="none"/>
        </w:rPr>
        <w:t>2.16 合同中止、终止</w:t>
      </w:r>
      <w:bookmarkEnd w:id="514"/>
      <w:bookmarkEnd w:id="515"/>
      <w:bookmarkEnd w:id="516"/>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2.16.3因甲方原因导致变更、中止或终止合同的，甲方应对乙方受到的损失予以赔偿或者补偿。</w:t>
      </w:r>
    </w:p>
    <w:p>
      <w:pPr>
        <w:spacing w:line="360" w:lineRule="auto"/>
        <w:ind w:firstLine="482" w:firstLineChars="200"/>
        <w:outlineLvl w:val="0"/>
        <w:rPr>
          <w:rFonts w:ascii="仿宋_GB2312" w:hAnsi="楷体" w:eastAsia="仿宋_GB2312"/>
          <w:b/>
          <w:color w:val="auto"/>
          <w:sz w:val="24"/>
          <w:highlight w:val="none"/>
        </w:rPr>
      </w:pPr>
      <w:bookmarkStart w:id="517" w:name="_Toc6596"/>
      <w:bookmarkStart w:id="518" w:name="_Toc14563"/>
      <w:bookmarkStart w:id="519" w:name="_Toc1125"/>
      <w:r>
        <w:rPr>
          <w:rFonts w:hint="eastAsia" w:ascii="仿宋_GB2312" w:hAnsi="楷体" w:eastAsia="仿宋_GB2312"/>
          <w:b/>
          <w:color w:val="auto"/>
          <w:sz w:val="24"/>
          <w:highlight w:val="none"/>
        </w:rPr>
        <w:t>2.17 检验和验收</w:t>
      </w:r>
      <w:bookmarkEnd w:id="517"/>
      <w:bookmarkEnd w:id="518"/>
      <w:bookmarkEnd w:id="519"/>
    </w:p>
    <w:p>
      <w:pPr>
        <w:tabs>
          <w:tab w:val="left" w:pos="360"/>
          <w:tab w:val="left" w:pos="540"/>
          <w:tab w:val="left" w:pos="1080"/>
        </w:tabs>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bookmarkEnd w:id="489"/>
      <w:bookmarkEnd w:id="490"/>
      <w:bookmarkEnd w:id="491"/>
      <w:bookmarkEnd w:id="492"/>
    </w:p>
    <w:p>
      <w:pPr>
        <w:spacing w:line="360" w:lineRule="auto"/>
        <w:ind w:firstLine="482" w:firstLineChars="200"/>
        <w:outlineLvl w:val="0"/>
        <w:rPr>
          <w:rFonts w:ascii="仿宋_GB2312" w:hAnsi="楷体" w:eastAsia="仿宋_GB2312"/>
          <w:b/>
          <w:color w:val="auto"/>
          <w:sz w:val="24"/>
          <w:highlight w:val="none"/>
        </w:rPr>
      </w:pPr>
      <w:bookmarkStart w:id="520" w:name="_Toc279701261"/>
      <w:bookmarkStart w:id="521" w:name="_Toc487900371"/>
      <w:bookmarkStart w:id="522" w:name="_Toc259093690"/>
      <w:bookmarkStart w:id="523" w:name="_Toc19604"/>
      <w:bookmarkStart w:id="524" w:name="_Toc25182"/>
      <w:bookmarkStart w:id="525" w:name="_Toc11284"/>
      <w:r>
        <w:rPr>
          <w:rFonts w:hint="eastAsia" w:ascii="仿宋_GB2312" w:hAnsi="楷体" w:eastAsia="仿宋_GB2312"/>
          <w:b/>
          <w:color w:val="auto"/>
          <w:sz w:val="24"/>
          <w:highlight w:val="none"/>
        </w:rPr>
        <w:t>2.18 通知</w:t>
      </w:r>
      <w:bookmarkEnd w:id="520"/>
      <w:bookmarkEnd w:id="521"/>
      <w:bookmarkEnd w:id="522"/>
      <w:r>
        <w:rPr>
          <w:rFonts w:hint="eastAsia" w:ascii="仿宋_GB2312" w:hAnsi="楷体" w:eastAsia="仿宋_GB2312"/>
          <w:b/>
          <w:color w:val="auto"/>
          <w:sz w:val="24"/>
          <w:highlight w:val="none"/>
        </w:rPr>
        <w:t>和送达</w:t>
      </w:r>
      <w:bookmarkEnd w:id="523"/>
      <w:bookmarkEnd w:id="524"/>
      <w:bookmarkEnd w:id="525"/>
    </w:p>
    <w:p>
      <w:pPr>
        <w:spacing w:line="360" w:lineRule="auto"/>
        <w:ind w:firstLine="480" w:firstLineChars="200"/>
        <w:rPr>
          <w:rFonts w:ascii="仿宋_GB2312" w:hAnsi="楷体" w:eastAsia="仿宋_GB2312"/>
          <w:color w:val="auto"/>
          <w:sz w:val="24"/>
          <w:highlight w:val="none"/>
        </w:rPr>
      </w:pPr>
      <w:bookmarkStart w:id="526" w:name="_Toc6698"/>
      <w:bookmarkStart w:id="527" w:name="_Toc3135"/>
      <w:bookmarkStart w:id="528" w:name="_Toc259093691"/>
      <w:bookmarkStart w:id="529" w:name="_Toc487900372"/>
      <w:bookmarkStart w:id="530" w:name="_Toc27970126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个工作日内书面通知对方当事人，在对方当事人收到有关变更通知之前，变更前的约定送达方式或者地址仍视为有效。</w:t>
      </w:r>
      <w:bookmarkEnd w:id="526"/>
      <w:bookmarkEnd w:id="527"/>
    </w:p>
    <w:p>
      <w:pPr>
        <w:spacing w:line="360" w:lineRule="auto"/>
        <w:ind w:firstLine="480" w:firstLineChars="200"/>
        <w:rPr>
          <w:rFonts w:ascii="仿宋_GB2312" w:hAnsi="楷体" w:eastAsia="仿宋_GB2312"/>
          <w:color w:val="auto"/>
          <w:sz w:val="24"/>
          <w:highlight w:val="none"/>
        </w:rPr>
      </w:pPr>
      <w:bookmarkStart w:id="531" w:name="_Toc23128"/>
      <w:bookmarkStart w:id="532"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360" w:lineRule="auto"/>
        <w:ind w:firstLine="482" w:firstLineChars="200"/>
        <w:outlineLvl w:val="0"/>
        <w:rPr>
          <w:rFonts w:ascii="仿宋_GB2312" w:hAnsi="楷体" w:eastAsia="仿宋_GB2312"/>
          <w:b/>
          <w:color w:val="auto"/>
          <w:sz w:val="24"/>
          <w:highlight w:val="none"/>
        </w:rPr>
      </w:pPr>
      <w:bookmarkStart w:id="533" w:name="_Toc30599"/>
      <w:bookmarkStart w:id="534" w:name="_Toc4355"/>
      <w:bookmarkStart w:id="535" w:name="_Toc18540"/>
      <w:r>
        <w:rPr>
          <w:rFonts w:hint="eastAsia" w:ascii="仿宋_GB2312" w:hAnsi="楷体" w:eastAsia="仿宋_GB2312"/>
          <w:b/>
          <w:color w:val="auto"/>
          <w:sz w:val="24"/>
          <w:highlight w:val="none"/>
        </w:rPr>
        <w:t>2.19 计量单位</w:t>
      </w:r>
      <w:bookmarkEnd w:id="528"/>
      <w:bookmarkEnd w:id="529"/>
      <w:bookmarkEnd w:id="530"/>
      <w:bookmarkEnd w:id="533"/>
      <w:bookmarkEnd w:id="534"/>
      <w:bookmarkEnd w:id="535"/>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pPr>
        <w:spacing w:line="360" w:lineRule="auto"/>
        <w:ind w:firstLine="482" w:firstLineChars="200"/>
        <w:outlineLvl w:val="0"/>
        <w:rPr>
          <w:rFonts w:ascii="仿宋_GB2312" w:hAnsi="楷体" w:eastAsia="仿宋_GB2312"/>
          <w:b/>
          <w:color w:val="auto"/>
          <w:sz w:val="24"/>
          <w:highlight w:val="none"/>
        </w:rPr>
      </w:pPr>
      <w:bookmarkStart w:id="536" w:name="_Toc487900373"/>
      <w:bookmarkStart w:id="537" w:name="_Toc10330"/>
      <w:bookmarkStart w:id="538" w:name="_Toc279701263"/>
      <w:bookmarkStart w:id="539" w:name="_Toc259093692"/>
      <w:bookmarkStart w:id="540" w:name="_Toc12773"/>
      <w:bookmarkStart w:id="541" w:name="_Toc18567"/>
      <w:r>
        <w:rPr>
          <w:rFonts w:hint="eastAsia" w:ascii="仿宋_GB2312" w:hAnsi="楷体" w:eastAsia="仿宋_GB2312"/>
          <w:b/>
          <w:color w:val="auto"/>
          <w:sz w:val="24"/>
          <w:highlight w:val="none"/>
        </w:rPr>
        <w:t>2.20 合同使用的文字和适用的法律</w:t>
      </w:r>
      <w:bookmarkEnd w:id="536"/>
      <w:bookmarkEnd w:id="537"/>
      <w:bookmarkEnd w:id="538"/>
      <w:bookmarkEnd w:id="539"/>
      <w:bookmarkEnd w:id="540"/>
      <w:bookmarkEnd w:id="541"/>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pPr>
        <w:spacing w:line="360" w:lineRule="auto"/>
        <w:ind w:firstLine="482" w:firstLineChars="200"/>
        <w:outlineLvl w:val="0"/>
        <w:rPr>
          <w:rFonts w:ascii="仿宋_GB2312" w:hAnsi="楷体" w:eastAsia="仿宋_GB2312"/>
          <w:b/>
          <w:color w:val="auto"/>
          <w:sz w:val="24"/>
          <w:highlight w:val="none"/>
        </w:rPr>
      </w:pPr>
      <w:bookmarkStart w:id="542" w:name="_Toc259093693"/>
      <w:bookmarkStart w:id="543" w:name="_Toc279701264"/>
      <w:bookmarkStart w:id="544" w:name="_Toc3148"/>
      <w:bookmarkStart w:id="545" w:name="_Toc12004"/>
      <w:bookmarkStart w:id="546" w:name="_Toc16673"/>
      <w:bookmarkStart w:id="547" w:name="_Toc487900374"/>
      <w:r>
        <w:rPr>
          <w:rFonts w:hint="eastAsia" w:ascii="仿宋_GB2312" w:hAnsi="楷体" w:eastAsia="仿宋_GB2312"/>
          <w:b/>
          <w:color w:val="auto"/>
          <w:sz w:val="24"/>
          <w:highlight w:val="none"/>
        </w:rPr>
        <w:t>2.21 履约保证金</w:t>
      </w:r>
      <w:bookmarkEnd w:id="542"/>
      <w:bookmarkEnd w:id="543"/>
      <w:bookmarkEnd w:id="544"/>
      <w:bookmarkEnd w:id="545"/>
      <w:bookmarkEnd w:id="546"/>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2.21.1 采购文件要求乙方提交履约保证金的，乙方</w:t>
      </w:r>
      <w:r>
        <w:rPr>
          <w:rFonts w:hint="eastAsia" w:ascii="仿宋_GB2312" w:hAnsi="仿宋" w:eastAsia="仿宋_GB2312"/>
          <w:color w:val="auto"/>
          <w:kern w:val="0"/>
          <w:sz w:val="24"/>
          <w:highlight w:val="none"/>
          <w:lang w:val="zh-CN"/>
        </w:rPr>
        <w:t>应在合同签订后3个工作日内</w:t>
      </w:r>
      <w:r>
        <w:rPr>
          <w:rFonts w:hint="eastAsia" w:ascii="仿宋_GB2312" w:hAnsi="楷体" w:eastAsia="仿宋_GB2312"/>
          <w:color w:val="auto"/>
          <w:sz w:val="24"/>
          <w:highlight w:val="none"/>
        </w:rPr>
        <w:t>，以支票、汇票、本票或者金融机构、担保机构出具的保函等非现金形式，提交合同价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%（不超过10%）的履约保证金；</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2.21.2  履约保证金在</w:t>
      </w:r>
      <w:r>
        <w:rPr>
          <w:rFonts w:hint="eastAsia" w:ascii="仿宋_GB2312" w:hAnsi="楷体" w:eastAsia="仿宋_GB2312"/>
          <w:color w:val="auto"/>
          <w:sz w:val="24"/>
          <w:highlight w:val="none"/>
          <w:u w:val="single"/>
        </w:rPr>
        <w:t>合同有效期</w:t>
      </w:r>
      <w:r>
        <w:rPr>
          <w:rFonts w:hint="eastAsia" w:ascii="仿宋_GB2312" w:hAnsi="楷体" w:eastAsia="仿宋_GB2312"/>
          <w:color w:val="auto"/>
          <w:sz w:val="24"/>
          <w:highlight w:val="none"/>
        </w:rPr>
        <w:t>内或者标的物质量保证期内不予退还或者应完全有效，前述约定期间届满或者标的物质量保证期届满之日起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个工作日内，甲方应将履约保证金退还乙方；</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bookmarkEnd w:id="547"/>
    </w:p>
    <w:p>
      <w:pPr>
        <w:spacing w:line="360" w:lineRule="auto"/>
        <w:ind w:firstLine="482" w:firstLineChars="200"/>
        <w:outlineLvl w:val="0"/>
        <w:rPr>
          <w:rFonts w:ascii="仿宋_GB2312" w:hAnsi="楷体" w:eastAsia="仿宋_GB2312"/>
          <w:b/>
          <w:color w:val="auto"/>
          <w:sz w:val="24"/>
          <w:highlight w:val="none"/>
        </w:rPr>
      </w:pPr>
      <w:bookmarkStart w:id="548" w:name="_Toc14001"/>
      <w:bookmarkStart w:id="549" w:name="_Toc6885"/>
      <w:bookmarkStart w:id="550" w:name="_Toc19890"/>
      <w:r>
        <w:rPr>
          <w:rFonts w:hint="eastAsia" w:ascii="仿宋_GB2312" w:hAnsi="楷体" w:eastAsia="仿宋_GB2312"/>
          <w:b/>
          <w:color w:val="auto"/>
          <w:sz w:val="24"/>
          <w:highlight w:val="none"/>
        </w:rPr>
        <w:t>2.22 合同份数</w:t>
      </w:r>
      <w:bookmarkEnd w:id="548"/>
      <w:bookmarkEnd w:id="549"/>
      <w:bookmarkEnd w:id="550"/>
    </w:p>
    <w:p>
      <w:pPr>
        <w:spacing w:line="360" w:lineRule="auto"/>
        <w:ind w:firstLine="480" w:firstLineChars="200"/>
        <w:rPr>
          <w:rFonts w:ascii="仿宋_GB2312" w:hAnsi="楷体" w:eastAsia="仿宋_GB2312"/>
          <w:color w:val="auto"/>
          <w:sz w:val="24"/>
          <w:highlight w:val="none"/>
        </w:rPr>
      </w:pPr>
      <w:r>
        <w:rPr>
          <w:rFonts w:hint="eastAsia" w:ascii="仿宋_GB2312" w:hAnsi="宋体" w:eastAsia="仿宋_GB2312"/>
          <w:color w:val="auto"/>
          <w:sz w:val="24"/>
          <w:highlight w:val="none"/>
        </w:rPr>
        <w:t>本合同一式</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pPr>
        <w:pStyle w:val="335"/>
        <w:jc w:val="center"/>
        <w:rPr>
          <w:rFonts w:ascii="仿宋_GB2312" w:hAnsi="楷体" w:eastAsia="仿宋_GB2312"/>
          <w:b/>
          <w:color w:val="auto"/>
          <w:szCs w:val="24"/>
          <w:highlight w:val="none"/>
        </w:rPr>
      </w:pPr>
      <w:r>
        <w:rPr>
          <w:rFonts w:hint="eastAsia" w:ascii="仿宋_GB2312" w:hAnsi="楷体" w:eastAsia="仿宋_GB2312"/>
          <w:color w:val="auto"/>
          <w:szCs w:val="24"/>
          <w:highlight w:val="none"/>
        </w:rPr>
        <w:br w:type="page"/>
      </w:r>
      <w:bookmarkStart w:id="551" w:name="_Toc331685784"/>
      <w:r>
        <w:rPr>
          <w:rFonts w:hint="eastAsia" w:ascii="仿宋_GB2312" w:hAnsi="楷体" w:eastAsia="仿宋_GB2312"/>
          <w:b/>
          <w:color w:val="auto"/>
          <w:szCs w:val="24"/>
          <w:highlight w:val="none"/>
        </w:rPr>
        <w:t xml:space="preserve">第三部分  </w:t>
      </w:r>
      <w:r>
        <w:rPr>
          <w:rFonts w:hint="eastAsia" w:ascii="仿宋_GB2312" w:hAnsi="仿宋" w:eastAsia="仿宋_GB2312"/>
          <w:b/>
          <w:color w:val="auto"/>
          <w:highlight w:val="none"/>
        </w:rPr>
        <w:t>※</w:t>
      </w:r>
      <w:r>
        <w:rPr>
          <w:rFonts w:hint="eastAsia" w:ascii="仿宋_GB2312" w:hAnsi="楷体" w:eastAsia="仿宋_GB2312"/>
          <w:b/>
          <w:color w:val="auto"/>
          <w:szCs w:val="24"/>
          <w:highlight w:val="none"/>
        </w:rPr>
        <w:t>合同专用条款</w:t>
      </w:r>
      <w:bookmarkEnd w:id="551"/>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65"/>
        <w:gridCol w:w="8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4" w:type="pct"/>
            <w:tcBorders>
              <w:left w:val="single" w:color="auto" w:sz="4" w:space="0"/>
            </w:tcBorders>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4525" w:type="pct"/>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4" w:type="pct"/>
            <w:tcBorders>
              <w:left w:val="single" w:color="auto" w:sz="4" w:space="0"/>
            </w:tcBorders>
            <w:vAlign w:val="center"/>
          </w:tcPr>
          <w:p>
            <w:pPr>
              <w:spacing w:line="360" w:lineRule="auto"/>
              <w:rPr>
                <w:rFonts w:ascii="仿宋_GB2312" w:hAnsi="楷体" w:eastAsia="仿宋_GB2312"/>
                <w:color w:val="auto"/>
                <w:sz w:val="24"/>
                <w:highlight w:val="none"/>
              </w:rPr>
            </w:pPr>
          </w:p>
        </w:tc>
        <w:tc>
          <w:tcPr>
            <w:tcW w:w="4525" w:type="pct"/>
            <w:vAlign w:val="center"/>
          </w:tcPr>
          <w:p>
            <w:pPr>
              <w:spacing w:line="360" w:lineRule="auto"/>
              <w:rPr>
                <w:rFonts w:ascii="仿宋_GB2312" w:hAnsi="楷体" w:eastAsia="仿宋_GB2312"/>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color w:val="auto"/>
                <w:sz w:val="24"/>
                <w:highlight w:val="none"/>
              </w:rPr>
            </w:pPr>
          </w:p>
        </w:tc>
        <w:tc>
          <w:tcPr>
            <w:tcW w:w="4525" w:type="pct"/>
            <w:vAlign w:val="center"/>
          </w:tcPr>
          <w:p>
            <w:pPr>
              <w:spacing w:line="360" w:lineRule="auto"/>
              <w:rPr>
                <w:rFonts w:ascii="仿宋_GB2312" w:hAnsi="楷体" w:eastAsia="仿宋_GB2312"/>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color w:val="auto"/>
                <w:sz w:val="24"/>
                <w:highlight w:val="none"/>
              </w:rPr>
            </w:pPr>
          </w:p>
        </w:tc>
        <w:tc>
          <w:tcPr>
            <w:tcW w:w="4525" w:type="pct"/>
            <w:vAlign w:val="center"/>
          </w:tcPr>
          <w:p>
            <w:pPr>
              <w:spacing w:line="360" w:lineRule="auto"/>
              <w:rPr>
                <w:rFonts w:ascii="仿宋_GB2312" w:hAnsi="楷体" w:eastAsia="仿宋_GB2312"/>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color w:val="auto"/>
                <w:sz w:val="24"/>
                <w:highlight w:val="none"/>
              </w:rPr>
            </w:pPr>
          </w:p>
        </w:tc>
        <w:tc>
          <w:tcPr>
            <w:tcW w:w="4525" w:type="pct"/>
            <w:vAlign w:val="center"/>
          </w:tcPr>
          <w:p>
            <w:pPr>
              <w:spacing w:line="360" w:lineRule="auto"/>
              <w:rPr>
                <w:rFonts w:ascii="仿宋_GB2312" w:hAnsi="楷体" w:eastAsia="仿宋_GB2312"/>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color w:val="auto"/>
                <w:sz w:val="24"/>
                <w:highlight w:val="none"/>
              </w:rPr>
            </w:pPr>
          </w:p>
        </w:tc>
        <w:tc>
          <w:tcPr>
            <w:tcW w:w="4525" w:type="pct"/>
            <w:vAlign w:val="center"/>
          </w:tcPr>
          <w:p>
            <w:pPr>
              <w:spacing w:line="360" w:lineRule="auto"/>
              <w:rPr>
                <w:rFonts w:ascii="仿宋_GB2312" w:hAnsi="楷体" w:eastAsia="仿宋_GB2312"/>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color w:val="auto"/>
                <w:sz w:val="24"/>
                <w:highlight w:val="none"/>
              </w:rPr>
            </w:pPr>
          </w:p>
        </w:tc>
        <w:tc>
          <w:tcPr>
            <w:tcW w:w="4525" w:type="pct"/>
            <w:vAlign w:val="center"/>
          </w:tcPr>
          <w:p>
            <w:pPr>
              <w:spacing w:line="360" w:lineRule="auto"/>
              <w:rPr>
                <w:rFonts w:ascii="仿宋_GB2312" w:hAnsi="楷体" w:eastAsia="仿宋_GB2312"/>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color w:val="auto"/>
                <w:sz w:val="24"/>
                <w:highlight w:val="none"/>
              </w:rPr>
            </w:pPr>
          </w:p>
        </w:tc>
        <w:tc>
          <w:tcPr>
            <w:tcW w:w="4525" w:type="pct"/>
            <w:vAlign w:val="center"/>
          </w:tcPr>
          <w:p>
            <w:pPr>
              <w:spacing w:line="360" w:lineRule="auto"/>
              <w:rPr>
                <w:rFonts w:ascii="仿宋_GB2312" w:hAnsi="楷体" w:eastAsia="仿宋_GB2312"/>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color w:val="auto"/>
                <w:sz w:val="24"/>
                <w:highlight w:val="none"/>
              </w:rPr>
            </w:pPr>
          </w:p>
        </w:tc>
        <w:tc>
          <w:tcPr>
            <w:tcW w:w="4525" w:type="pct"/>
            <w:vAlign w:val="center"/>
          </w:tcPr>
          <w:p>
            <w:pPr>
              <w:spacing w:line="360" w:lineRule="auto"/>
              <w:rPr>
                <w:rFonts w:ascii="仿宋_GB2312" w:hAnsi="楷体" w:eastAsia="仿宋_GB2312"/>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color w:val="auto"/>
                <w:sz w:val="24"/>
                <w:highlight w:val="none"/>
              </w:rPr>
            </w:pPr>
          </w:p>
        </w:tc>
        <w:tc>
          <w:tcPr>
            <w:tcW w:w="4525" w:type="pct"/>
            <w:vAlign w:val="center"/>
          </w:tcPr>
          <w:p>
            <w:pPr>
              <w:spacing w:line="360" w:lineRule="auto"/>
              <w:rPr>
                <w:rFonts w:ascii="仿宋_GB2312" w:hAnsi="楷体" w:eastAsia="仿宋_GB2312"/>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color w:val="auto"/>
                <w:sz w:val="24"/>
                <w:highlight w:val="none"/>
              </w:rPr>
            </w:pPr>
          </w:p>
        </w:tc>
        <w:tc>
          <w:tcPr>
            <w:tcW w:w="4525" w:type="pct"/>
            <w:vAlign w:val="center"/>
          </w:tcPr>
          <w:p>
            <w:pPr>
              <w:spacing w:line="360" w:lineRule="auto"/>
              <w:rPr>
                <w:rFonts w:ascii="仿宋_GB2312" w:hAnsi="楷体" w:eastAsia="仿宋_GB2312"/>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color w:val="auto"/>
                <w:sz w:val="24"/>
                <w:highlight w:val="none"/>
              </w:rPr>
            </w:pPr>
          </w:p>
        </w:tc>
      </w:tr>
    </w:tbl>
    <w:p>
      <w:pPr>
        <w:widowControl/>
        <w:jc w:val="left"/>
        <w:rPr>
          <w:rFonts w:ascii="仿宋_GB2312" w:hAnsi="仿宋_GB2312" w:eastAsia="仿宋_GB2312" w:cs="仿宋_GB2312"/>
          <w:b/>
          <w:color w:val="auto"/>
          <w:sz w:val="24"/>
          <w:highlight w:val="none"/>
        </w:rPr>
      </w:pPr>
    </w:p>
    <w:p>
      <w:pPr>
        <w:widowControl/>
        <w:jc w:val="left"/>
        <w:rPr>
          <w:rFonts w:ascii="仿宋_GB2312" w:hAnsi="仿宋_GB2312" w:eastAsia="仿宋_GB2312" w:cs="仿宋_GB2312"/>
          <w:b/>
          <w:color w:val="auto"/>
          <w:sz w:val="24"/>
          <w:highlight w:val="none"/>
        </w:rPr>
      </w:pPr>
    </w:p>
    <w:p>
      <w:pPr>
        <w:widowControl/>
        <w:jc w:val="left"/>
        <w:rPr>
          <w:rFonts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br w:type="page"/>
      </w:r>
    </w:p>
    <w:p>
      <w:pPr>
        <w:widowControl/>
        <w:ind w:firstLine="1446" w:firstLineChars="400"/>
        <w:jc w:val="center"/>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t>第六部分</w:t>
      </w:r>
      <w:bookmarkEnd w:id="390"/>
      <w:r>
        <w:rPr>
          <w:rFonts w:hint="eastAsia" w:ascii="仿宋_GB2312" w:hAnsi="仿宋" w:eastAsia="仿宋_GB2312" w:cs="仿宋_GB2312"/>
          <w:b/>
          <w:color w:val="auto"/>
          <w:sz w:val="36"/>
          <w:szCs w:val="20"/>
          <w:highlight w:val="none"/>
        </w:rPr>
        <w:t xml:space="preserve"> </w:t>
      </w:r>
      <w:bookmarkEnd w:id="391"/>
      <w:r>
        <w:rPr>
          <w:rFonts w:hint="eastAsia" w:ascii="仿宋_GB2312" w:hAnsi="仿宋" w:eastAsia="仿宋_GB2312" w:cs="仿宋_GB2312"/>
          <w:b/>
          <w:color w:val="auto"/>
          <w:sz w:val="36"/>
          <w:szCs w:val="20"/>
          <w:highlight w:val="none"/>
        </w:rPr>
        <w:t>应提交的有关格式范例</w:t>
      </w:r>
    </w:p>
    <w:p>
      <w:pPr>
        <w:adjustRightInd w:val="0"/>
        <w:spacing w:line="360" w:lineRule="auto"/>
        <w:ind w:firstLine="480" w:firstLineChars="200"/>
        <w:outlineLvl w:val="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投标人按照以下格式编制投标文件。</w:t>
      </w:r>
    </w:p>
    <w:p>
      <w:pPr>
        <w:adjustRightInd w:val="0"/>
        <w:spacing w:line="360" w:lineRule="auto"/>
        <w:jc w:val="center"/>
        <w:outlineLvl w:val="0"/>
        <w:rPr>
          <w:rFonts w:ascii="仿宋_GB2312" w:hAnsi="仿宋" w:eastAsia="仿宋_GB2312" w:cs="仿宋_GB2312"/>
          <w:color w:val="auto"/>
          <w:sz w:val="36"/>
          <w:szCs w:val="36"/>
          <w:highlight w:val="none"/>
          <w:lang w:val="zh-CN"/>
        </w:rPr>
      </w:pPr>
    </w:p>
    <w:p>
      <w:pPr>
        <w:adjustRightInd w:val="0"/>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color w:val="auto"/>
          <w:sz w:val="36"/>
          <w:szCs w:val="36"/>
          <w:highlight w:val="none"/>
          <w:lang w:val="zh-CN"/>
        </w:rPr>
        <w:t xml:space="preserve"> </w:t>
      </w:r>
      <w:r>
        <w:rPr>
          <w:rFonts w:hint="eastAsia" w:ascii="仿宋_GB2312" w:hAnsi="仿宋" w:eastAsia="仿宋_GB2312" w:cs="仿宋_GB2312"/>
          <w:b/>
          <w:color w:val="auto"/>
          <w:kern w:val="0"/>
          <w:sz w:val="36"/>
          <w:szCs w:val="36"/>
          <w:highlight w:val="none"/>
        </w:rPr>
        <w:t>资格文件部分</w:t>
      </w:r>
    </w:p>
    <w:p>
      <w:pPr>
        <w:adjustRightInd w:val="0"/>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adjustRightInd w:val="0"/>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r>
        <w:rPr>
          <w:rFonts w:hint="eastAsia" w:ascii="仿宋_GB2312" w:hAnsi="仿宋" w:eastAsia="仿宋_GB2312" w:cs="Times New Roman"/>
          <w:color w:val="auto"/>
          <w:sz w:val="24"/>
          <w:szCs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szCs w:val="24"/>
          <w:highlight w:val="none"/>
        </w:rPr>
        <w:t>自然人的身份证明</w:t>
      </w:r>
      <w:r>
        <w:rPr>
          <w:rFonts w:hint="eastAsia" w:ascii="仿宋_GB2312" w:hAnsi="仿宋" w:eastAsia="仿宋_GB2312" w:cs="Times New Roman"/>
          <w:color w:val="auto"/>
          <w:sz w:val="24"/>
          <w:szCs w:val="24"/>
          <w:highlight w:val="none"/>
        </w:rPr>
        <w:t>）</w:t>
      </w:r>
      <w:r>
        <w:rPr>
          <w:rFonts w:hint="eastAsia" w:ascii="仿宋_GB2312" w:hAnsi="仿宋" w:eastAsia="仿宋_GB2312" w:cs="仿宋_GB2312"/>
          <w:color w:val="auto"/>
          <w:kern w:val="0"/>
          <w:sz w:val="24"/>
          <w:szCs w:val="24"/>
          <w:highlight w:val="none"/>
        </w:rPr>
        <w:t>…………………………………………………（页码）</w:t>
      </w:r>
    </w:p>
    <w:p>
      <w:pPr>
        <w:snapToGrid w:val="0"/>
        <w:spacing w:line="360" w:lineRule="auto"/>
        <w:rPr>
          <w:rFonts w:ascii="仿宋_GB2312" w:hAnsi="仿宋" w:eastAsia="仿宋_GB2312"/>
          <w:color w:val="auto"/>
          <w:sz w:val="24"/>
          <w:highlight w:val="none"/>
        </w:rPr>
      </w:pPr>
      <w:r>
        <w:rPr>
          <w:rFonts w:hint="eastAsia" w:ascii="仿宋_GB2312" w:hAnsi="仿宋" w:eastAsia="仿宋_GB2312" w:cs="仿宋_GB2312"/>
          <w:color w:val="auto"/>
          <w:kern w:val="0"/>
          <w:sz w:val="24"/>
          <w:highlight w:val="none"/>
        </w:rPr>
        <w:t>（2）授权书 …</w:t>
      </w:r>
      <w:r>
        <w:rPr>
          <w:rFonts w:hint="eastAsia" w:ascii="仿宋_GB2312" w:hAnsi="仿宋" w:eastAsia="仿宋_GB2312"/>
          <w:color w:val="auto"/>
          <w:sz w:val="24"/>
          <w:highlight w:val="none"/>
        </w:rPr>
        <w:t>…………………………………………………………………………（页码）</w:t>
      </w:r>
    </w:p>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（3）法定代表人及其授权代表的身份证（复印件）………………………………（页码）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（4）符合参与政府采购活动的资格条件并且没有税收缴纳、社会保障等方面的失信记录的承诺函</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（5）具有履行合同所必需的设备和专业技术能力的承诺函………………………（页码）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（6）参加政府采购活动前三年内，在经营活动中没有重大违法记录的声明</w:t>
      </w:r>
      <w:r>
        <w:rPr>
          <w:rFonts w:hint="eastAsia" w:ascii="仿宋_GB2312" w:hAnsi="仿宋" w:eastAsia="仿宋_GB2312" w:cs="仿宋_GB2312"/>
          <w:color w:val="auto"/>
          <w:kern w:val="0"/>
          <w:sz w:val="24"/>
          <w:highlight w:val="none"/>
        </w:rPr>
        <w:t xml:space="preserve"> …（页码）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（7）具有良好商业信誉特别声明</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（8）符合特定资格条件（如果项目要求）的有关证明材料（复印件）…………（页码）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en-US" w:eastAsia="zh-CN"/>
        </w:rPr>
        <w:t>9</w:t>
      </w:r>
      <w:r>
        <w:rPr>
          <w:rFonts w:hint="eastAsia" w:ascii="仿宋_GB2312" w:hAnsi="仿宋" w:eastAsia="仿宋_GB2312" w:cs="仿宋_GB2312"/>
          <w:color w:val="auto"/>
          <w:kern w:val="0"/>
          <w:sz w:val="24"/>
          <w:highlight w:val="none"/>
        </w:rPr>
        <w:t>）以联合体形式投标的，提供联合体协议；本项目不接受联合体投标或者投标人不以联合体形式投标的，则不需要提供…………………………………………………（页码）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en-US" w:eastAsia="zh-CN"/>
        </w:rPr>
        <w:t>10</w:t>
      </w:r>
      <w:r>
        <w:rPr>
          <w:rFonts w:hint="eastAsia" w:ascii="仿宋_GB2312" w:hAnsi="仿宋" w:eastAsia="仿宋_GB2312" w:cs="仿宋_GB2312"/>
          <w:color w:val="auto"/>
          <w:kern w:val="0"/>
          <w:sz w:val="24"/>
          <w:highlight w:val="none"/>
        </w:rPr>
        <w:t>）中小企业声明函…………………………………………………………………（页码）</w:t>
      </w:r>
    </w:p>
    <w:p>
      <w:pPr>
        <w:adjustRightInd w:val="0"/>
        <w:snapToGrid w:val="0"/>
        <w:spacing w:line="360" w:lineRule="auto"/>
        <w:rPr>
          <w:rFonts w:ascii="仿宋_GB2312" w:hAnsi="仿宋" w:eastAsia="仿宋_GB2312" w:cs="仿宋_GB2312"/>
          <w:color w:val="auto"/>
          <w:kern w:val="0"/>
          <w:sz w:val="24"/>
          <w:szCs w:val="24"/>
          <w:highlight w:val="none"/>
        </w:rPr>
      </w:pPr>
    </w:p>
    <w:p>
      <w:pPr>
        <w:adjustRightInd w:val="0"/>
        <w:spacing w:line="360" w:lineRule="auto"/>
        <w:rPr>
          <w:rFonts w:ascii="仿宋_GB2312" w:hAnsi="仿宋" w:eastAsia="仿宋_GB2312" w:cs="Times New Roman"/>
          <w:color w:val="auto"/>
          <w:sz w:val="24"/>
          <w:szCs w:val="24"/>
          <w:highlight w:val="none"/>
        </w:rPr>
      </w:pPr>
    </w:p>
    <w:p>
      <w:pPr>
        <w:adjustRightInd w:val="0"/>
        <w:snapToGrid w:val="0"/>
        <w:spacing w:line="360" w:lineRule="auto"/>
        <w:rPr>
          <w:rFonts w:ascii="仿宋_GB2312" w:hAnsi="仿宋" w:eastAsia="仿宋_GB2312" w:cs="仿宋_GB2312"/>
          <w:b/>
          <w:color w:val="auto"/>
          <w:kern w:val="0"/>
          <w:sz w:val="32"/>
          <w:szCs w:val="32"/>
          <w:highlight w:val="none"/>
          <w:lang w:val="zh-CN"/>
        </w:rPr>
      </w:pPr>
    </w:p>
    <w:p>
      <w:pPr>
        <w:pStyle w:val="60"/>
        <w:rPr>
          <w:rFonts w:ascii="仿宋_GB2312" w:hAnsi="仿宋" w:eastAsia="仿宋_GB2312" w:cs="仿宋_GB2312"/>
          <w:b/>
          <w:color w:val="auto"/>
          <w:kern w:val="0"/>
          <w:sz w:val="32"/>
          <w:szCs w:val="32"/>
          <w:highlight w:val="none"/>
          <w:lang w:val="zh-CN"/>
        </w:rPr>
      </w:pPr>
    </w:p>
    <w:p>
      <w:pPr>
        <w:pStyle w:val="60"/>
        <w:rPr>
          <w:rFonts w:ascii="仿宋_GB2312" w:hAnsi="仿宋" w:eastAsia="仿宋_GB2312" w:cs="仿宋_GB2312"/>
          <w:b/>
          <w:color w:val="auto"/>
          <w:kern w:val="0"/>
          <w:sz w:val="32"/>
          <w:szCs w:val="32"/>
          <w:highlight w:val="none"/>
          <w:lang w:val="zh-CN"/>
        </w:rPr>
      </w:pPr>
    </w:p>
    <w:p>
      <w:pPr>
        <w:pStyle w:val="60"/>
        <w:rPr>
          <w:rFonts w:ascii="仿宋_GB2312" w:hAnsi="仿宋" w:eastAsia="仿宋_GB2312" w:cs="仿宋_GB2312"/>
          <w:b/>
          <w:color w:val="auto"/>
          <w:kern w:val="0"/>
          <w:sz w:val="32"/>
          <w:szCs w:val="32"/>
          <w:highlight w:val="none"/>
          <w:lang w:val="zh-CN"/>
        </w:rPr>
      </w:pPr>
    </w:p>
    <w:p>
      <w:pPr>
        <w:pStyle w:val="60"/>
        <w:rPr>
          <w:rFonts w:ascii="仿宋_GB2312" w:hAnsi="仿宋" w:eastAsia="仿宋_GB2312" w:cs="仿宋_GB2312"/>
          <w:b/>
          <w:color w:val="auto"/>
          <w:kern w:val="0"/>
          <w:sz w:val="32"/>
          <w:szCs w:val="32"/>
          <w:highlight w:val="none"/>
          <w:lang w:val="zh-CN"/>
        </w:rPr>
      </w:pPr>
    </w:p>
    <w:p>
      <w:pPr>
        <w:adjustRightInd w:val="0"/>
        <w:snapToGrid w:val="0"/>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营业执照或事业法人登记证证明材料（复印件）</w:t>
      </w:r>
    </w:p>
    <w:p>
      <w:pPr>
        <w:adjustRightInd w:val="0"/>
        <w:spacing w:line="360" w:lineRule="auto"/>
        <w:jc w:val="center"/>
        <w:rPr>
          <w:rFonts w:ascii="仿宋_GB2312" w:hAnsi="仿宋" w:eastAsia="仿宋_GB2312" w:cs="仿宋_GB2312"/>
          <w:b/>
          <w:color w:val="auto"/>
          <w:sz w:val="30"/>
          <w:szCs w:val="30"/>
          <w:highlight w:val="none"/>
        </w:rPr>
      </w:pPr>
    </w:p>
    <w:p>
      <w:pPr>
        <w:adjustRightInd w:val="0"/>
        <w:snapToGrid w:val="0"/>
        <w:spacing w:line="360" w:lineRule="auto"/>
        <w:ind w:firstLine="576"/>
        <w:jc w:val="center"/>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投标人名称(电子签名)：                              </w:t>
      </w:r>
    </w:p>
    <w:p>
      <w:pPr>
        <w:adjustRightInd w:val="0"/>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   日</w:t>
      </w:r>
    </w:p>
    <w:p>
      <w:pPr>
        <w:spacing w:line="360" w:lineRule="auto"/>
        <w:jc w:val="center"/>
        <w:rPr>
          <w:rFonts w:ascii="仿宋_GB2312" w:hAnsi="仿宋" w:eastAsia="仿宋_GB2312" w:cs="仿宋_GB2312"/>
          <w:b/>
          <w:color w:val="auto"/>
          <w:sz w:val="30"/>
          <w:szCs w:val="30"/>
          <w:highlight w:val="none"/>
        </w:rPr>
      </w:pPr>
    </w:p>
    <w:p>
      <w:pPr>
        <w:pStyle w:val="83"/>
        <w:rPr>
          <w:rFonts w:ascii="仿宋_GB2312" w:hAnsi="仿宋" w:eastAsia="仿宋_GB2312" w:cs="仿宋_GB2312"/>
          <w:b/>
          <w:color w:val="auto"/>
          <w:sz w:val="30"/>
          <w:szCs w:val="30"/>
          <w:highlight w:val="none"/>
        </w:rPr>
      </w:pPr>
    </w:p>
    <w:p>
      <w:pPr>
        <w:pStyle w:val="83"/>
        <w:rPr>
          <w:rFonts w:ascii="仿宋_GB2312" w:hAnsi="仿宋" w:eastAsia="仿宋_GB2312" w:cs="仿宋_GB2312"/>
          <w:b/>
          <w:color w:val="auto"/>
          <w:sz w:val="30"/>
          <w:szCs w:val="30"/>
          <w:highlight w:val="none"/>
        </w:rPr>
      </w:pPr>
    </w:p>
    <w:p>
      <w:pPr>
        <w:pStyle w:val="83"/>
        <w:rPr>
          <w:rFonts w:ascii="仿宋_GB2312" w:hAnsi="仿宋" w:eastAsia="仿宋_GB2312" w:cs="仿宋_GB2312"/>
          <w:b/>
          <w:color w:val="auto"/>
          <w:sz w:val="30"/>
          <w:szCs w:val="30"/>
          <w:highlight w:val="none"/>
        </w:rPr>
      </w:pPr>
    </w:p>
    <w:p>
      <w:pPr>
        <w:snapToGrid w:val="0"/>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二、法人授权书</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XXX（采购人名称）、</w:t>
      </w:r>
      <w:r>
        <w:rPr>
          <w:rFonts w:hint="eastAsia" w:ascii="仿宋_GB2312" w:hAnsi="仿宋" w:eastAsia="仿宋_GB2312" w:cs="仿宋_GB2312"/>
          <w:color w:val="auto"/>
          <w:sz w:val="24"/>
          <w:highlight w:val="none"/>
          <w:lang w:eastAsia="zh-CN"/>
        </w:rPr>
        <w:t>杭州建设工程造价咨询有限公司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兹委派我公司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先生/女士(其在本公司的职务是：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)，代表我公司全权处理</w:t>
      </w:r>
      <w:r>
        <w:rPr>
          <w:rFonts w:hint="eastAsia" w:ascii="仿宋_GB2312" w:hAnsi="仿宋_GB2312" w:eastAsia="仿宋_GB2312" w:cs="仿宋_GB2312"/>
          <w:color w:val="auto"/>
          <w:sz w:val="24"/>
          <w:szCs w:val="24"/>
          <w:highlight w:val="none"/>
          <w:lang w:eastAsia="zh-CN"/>
        </w:rPr>
        <w:t>项目名称：</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本授权书有效期：自   年 月  日起至  年  月  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特此告知。</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en-US" w:eastAsia="zh-CN"/>
        </w:rPr>
        <w:t xml:space="preserve">  法定代表人（签章）</w:t>
      </w:r>
      <w:r>
        <w:rPr>
          <w:rFonts w:hint="eastAsia" w:ascii="仿宋_GB2312" w:hAnsi="仿宋" w:eastAsia="仿宋_GB2312" w:cs="仿宋_GB2312"/>
          <w:color w:val="auto"/>
          <w:kern w:val="0"/>
          <w:sz w:val="24"/>
          <w:highlight w:val="none"/>
          <w:lang w:val="zh-CN"/>
        </w:rPr>
        <w:t>：</w:t>
      </w:r>
    </w:p>
    <w:p>
      <w:pPr>
        <w:snapToGrid w:val="0"/>
        <w:spacing w:line="360" w:lineRule="auto"/>
        <w:ind w:right="240"/>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签发日期：  年  月   日</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pStyle w:val="935"/>
        <w:numPr>
          <w:ilvl w:val="0"/>
          <w:numId w:val="0"/>
        </w:numPr>
        <w:jc w:val="both"/>
        <w:rPr>
          <w:rFonts w:hint="eastAsia" w:ascii="仿宋" w:hAnsi="仿宋" w:eastAsia="仿宋" w:cs="仿宋_GB2312"/>
          <w:b/>
          <w:color w:val="auto"/>
          <w:sz w:val="36"/>
          <w:szCs w:val="36"/>
          <w:highlight w:val="none"/>
        </w:rPr>
      </w:pPr>
    </w:p>
    <w:p>
      <w:pPr>
        <w:pStyle w:val="935"/>
        <w:numPr>
          <w:ilvl w:val="0"/>
          <w:numId w:val="0"/>
        </w:numPr>
        <w:jc w:val="both"/>
        <w:rPr>
          <w:rFonts w:hint="eastAsia" w:ascii="仿宋" w:hAnsi="仿宋" w:eastAsia="仿宋" w:cs="仿宋_GB2312"/>
          <w:b/>
          <w:color w:val="auto"/>
          <w:sz w:val="36"/>
          <w:szCs w:val="36"/>
          <w:highlight w:val="none"/>
        </w:rPr>
      </w:pPr>
    </w:p>
    <w:p>
      <w:pPr>
        <w:pStyle w:val="935"/>
        <w:numPr>
          <w:ilvl w:val="0"/>
          <w:numId w:val="0"/>
        </w:numPr>
        <w:jc w:val="both"/>
        <w:rPr>
          <w:rFonts w:hint="eastAsia" w:ascii="仿宋" w:hAnsi="仿宋" w:eastAsia="仿宋" w:cs="仿宋_GB2312"/>
          <w:b/>
          <w:color w:val="auto"/>
          <w:sz w:val="36"/>
          <w:szCs w:val="36"/>
          <w:highlight w:val="none"/>
        </w:rPr>
      </w:pPr>
    </w:p>
    <w:p>
      <w:pPr>
        <w:pStyle w:val="935"/>
        <w:numPr>
          <w:ilvl w:val="0"/>
          <w:numId w:val="0"/>
        </w:numPr>
        <w:jc w:val="both"/>
        <w:rPr>
          <w:rFonts w:hint="eastAsia" w:ascii="仿宋" w:hAnsi="仿宋" w:eastAsia="仿宋" w:cs="仿宋_GB2312"/>
          <w:b/>
          <w:color w:val="auto"/>
          <w:sz w:val="36"/>
          <w:szCs w:val="36"/>
          <w:highlight w:val="none"/>
        </w:rPr>
      </w:pPr>
    </w:p>
    <w:p>
      <w:pPr>
        <w:pStyle w:val="935"/>
        <w:numPr>
          <w:ilvl w:val="0"/>
          <w:numId w:val="0"/>
        </w:numPr>
        <w:jc w:val="both"/>
        <w:rPr>
          <w:rFonts w:hint="eastAsia" w:ascii="仿宋" w:hAnsi="仿宋" w:eastAsia="仿宋" w:cs="仿宋_GB2312"/>
          <w:b/>
          <w:color w:val="auto"/>
          <w:sz w:val="36"/>
          <w:szCs w:val="36"/>
          <w:highlight w:val="none"/>
        </w:rPr>
      </w:pPr>
    </w:p>
    <w:p>
      <w:pPr>
        <w:pStyle w:val="935"/>
        <w:numPr>
          <w:ilvl w:val="0"/>
          <w:numId w:val="0"/>
        </w:numPr>
        <w:jc w:val="both"/>
        <w:rPr>
          <w:rFonts w:hint="eastAsia" w:ascii="仿宋" w:hAnsi="仿宋" w:eastAsia="仿宋" w:cs="仿宋_GB2312"/>
          <w:b/>
          <w:color w:val="auto"/>
          <w:sz w:val="36"/>
          <w:szCs w:val="36"/>
          <w:highlight w:val="none"/>
        </w:rPr>
      </w:pPr>
    </w:p>
    <w:p>
      <w:pPr>
        <w:pStyle w:val="935"/>
        <w:numPr>
          <w:ilvl w:val="0"/>
          <w:numId w:val="0"/>
        </w:numPr>
        <w:jc w:val="both"/>
        <w:rPr>
          <w:rFonts w:hint="eastAsia" w:ascii="仿宋" w:hAnsi="仿宋" w:eastAsia="仿宋" w:cs="仿宋_GB2312"/>
          <w:b/>
          <w:color w:val="auto"/>
          <w:sz w:val="36"/>
          <w:szCs w:val="36"/>
          <w:highlight w:val="none"/>
        </w:rPr>
      </w:pPr>
    </w:p>
    <w:p>
      <w:pPr>
        <w:snapToGrid w:val="0"/>
        <w:spacing w:line="360" w:lineRule="auto"/>
        <w:jc w:val="cente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 xml:space="preserve"> 联合体投标授权书（适用联合体投标）</w:t>
      </w:r>
    </w:p>
    <w:p>
      <w:pPr>
        <w:snapToGrid w:val="0"/>
        <w:spacing w:line="360" w:lineRule="auto"/>
        <w:ind w:firstLine="576"/>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兹委派</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先生/女士(其在该公司的职务是：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先生/女士(其在该公司的职务是：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)；……，代表本联合体全权处理</w:t>
      </w:r>
      <w:r>
        <w:rPr>
          <w:rFonts w:hint="eastAsia" w:ascii="仿宋_GB2312" w:hAnsi="仿宋_GB2312" w:eastAsia="仿宋_GB2312" w:cs="仿宋_GB2312"/>
          <w:color w:val="auto"/>
          <w:sz w:val="24"/>
          <w:szCs w:val="24"/>
          <w:highlight w:val="none"/>
          <w:lang w:eastAsia="zh-CN"/>
        </w:rPr>
        <w:t>项目名称：</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本授权书有效期：自   年 月  日起至  年  月  日止。</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特此告知。</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单位：            （电子签名）         单位：          （电子签名）</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             日期：    年   月   日</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pacing w:line="360" w:lineRule="auto"/>
        <w:rPr>
          <w:rFonts w:hint="eastAsia" w:ascii="仿宋_GB2312" w:hAnsi="仿宋" w:eastAsia="仿宋_GB2312" w:cs="仿宋_GB2312"/>
          <w:color w:val="auto"/>
          <w:sz w:val="28"/>
          <w:szCs w:val="28"/>
          <w:highlight w:val="none"/>
        </w:rPr>
      </w:pPr>
    </w:p>
    <w:p>
      <w:pPr>
        <w:spacing w:line="360" w:lineRule="auto"/>
        <w:rPr>
          <w:rFonts w:hint="eastAsia" w:ascii="仿宋_GB2312" w:hAnsi="仿宋" w:eastAsia="仿宋_GB2312" w:cs="仿宋_GB2312"/>
          <w:color w:val="auto"/>
          <w:sz w:val="28"/>
          <w:szCs w:val="28"/>
          <w:highlight w:val="none"/>
        </w:rPr>
      </w:pP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b/>
          <w:bCs/>
          <w:color w:val="auto"/>
          <w:sz w:val="30"/>
          <w:szCs w:val="30"/>
          <w:highlight w:val="none"/>
        </w:rPr>
        <w:br w:type="page"/>
      </w:r>
      <w:r>
        <w:rPr>
          <w:rFonts w:hint="eastAsia" w:ascii="仿宋_GB2312" w:hAnsi="仿宋" w:eastAsia="仿宋_GB2312" w:cs="仿宋_GB2312"/>
          <w:b/>
          <w:bCs/>
          <w:color w:val="auto"/>
          <w:sz w:val="30"/>
          <w:szCs w:val="30"/>
          <w:highlight w:val="none"/>
        </w:rPr>
        <w:t>三、</w:t>
      </w:r>
      <w:r>
        <w:rPr>
          <w:rFonts w:hint="eastAsia" w:ascii="仿宋_GB2312" w:hAnsi="仿宋" w:eastAsia="仿宋_GB2312" w:cs="仿宋_GB2312"/>
          <w:b/>
          <w:color w:val="auto"/>
          <w:sz w:val="30"/>
          <w:szCs w:val="30"/>
          <w:highlight w:val="none"/>
        </w:rPr>
        <w:t>法定代表人及其授权代表的身份证（复印件）</w:t>
      </w:r>
    </w:p>
    <w:p>
      <w:pPr>
        <w:pStyle w:val="649"/>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法定代表人身份证件扫描件：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9"/>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                                 反面：</w:t>
            </w:r>
          </w:p>
          <w:p>
            <w:pPr>
              <w:pStyle w:val="649"/>
              <w:spacing w:line="360" w:lineRule="auto"/>
              <w:rPr>
                <w:rFonts w:ascii="仿宋_GB2312" w:hAnsi="仿宋" w:eastAsia="仿宋_GB2312"/>
                <w:bCs/>
                <w:color w:val="auto"/>
                <w:sz w:val="24"/>
                <w:highlight w:val="none"/>
              </w:rPr>
            </w:pPr>
          </w:p>
        </w:tc>
      </w:tr>
    </w:tbl>
    <w:p>
      <w:pPr>
        <w:pStyle w:val="649"/>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9"/>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                                 反面：</w:t>
            </w:r>
          </w:p>
          <w:p>
            <w:pPr>
              <w:pStyle w:val="649"/>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hint="default"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zh-CN"/>
        </w:rPr>
        <w:t xml:space="preserve">                   日期：  年  月</w:t>
      </w:r>
      <w:r>
        <w:rPr>
          <w:rFonts w:hint="eastAsia" w:ascii="仿宋_GB2312" w:hAnsi="仿宋" w:eastAsia="仿宋_GB2312" w:cs="仿宋_GB2312"/>
          <w:color w:val="auto"/>
          <w:kern w:val="0"/>
          <w:sz w:val="24"/>
          <w:highlight w:val="none"/>
          <w:lang w:val="en-US" w:eastAsia="zh-CN"/>
        </w:rPr>
        <w:t xml:space="preserve">  日</w:t>
      </w:r>
    </w:p>
    <w:p>
      <w:pPr>
        <w:pStyle w:val="935"/>
        <w:numPr>
          <w:ilvl w:val="0"/>
          <w:numId w:val="0"/>
        </w:numPr>
        <w:jc w:val="both"/>
        <w:rPr>
          <w:rFonts w:hint="eastAsia" w:ascii="仿宋" w:hAnsi="仿宋" w:eastAsia="仿宋" w:cs="仿宋_GB2312"/>
          <w:b/>
          <w:color w:val="auto"/>
          <w:sz w:val="36"/>
          <w:szCs w:val="36"/>
          <w:highlight w:val="none"/>
        </w:rPr>
      </w:pPr>
    </w:p>
    <w:p>
      <w:pPr>
        <w:pStyle w:val="935"/>
        <w:numPr>
          <w:ilvl w:val="0"/>
          <w:numId w:val="0"/>
        </w:numPr>
        <w:jc w:val="both"/>
        <w:rPr>
          <w:rFonts w:hint="eastAsia" w:ascii="仿宋" w:hAnsi="仿宋" w:eastAsia="仿宋" w:cs="仿宋_GB2312"/>
          <w:b/>
          <w:color w:val="auto"/>
          <w:sz w:val="36"/>
          <w:szCs w:val="36"/>
          <w:highlight w:val="none"/>
        </w:rPr>
      </w:pPr>
    </w:p>
    <w:p>
      <w:pPr>
        <w:pStyle w:val="935"/>
        <w:numPr>
          <w:ilvl w:val="0"/>
          <w:numId w:val="0"/>
        </w:numPr>
        <w:jc w:val="both"/>
        <w:rPr>
          <w:rFonts w:hint="eastAsia" w:ascii="仿宋" w:hAnsi="仿宋" w:eastAsia="仿宋" w:cs="仿宋_GB2312"/>
          <w:b/>
          <w:color w:val="auto"/>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四、</w:t>
      </w:r>
      <w:r>
        <w:rPr>
          <w:rFonts w:hint="eastAsia" w:ascii="仿宋_GB2312" w:hAnsi="仿宋" w:eastAsia="仿宋_GB2312" w:cs="仿宋_GB2312"/>
          <w:b/>
          <w:color w:val="auto"/>
          <w:kern w:val="0"/>
          <w:sz w:val="32"/>
          <w:szCs w:val="32"/>
          <w:highlight w:val="none"/>
        </w:rPr>
        <w:t>符合参与政府采购活动的资格条件并且没有税收缴纳、社会保障等方面的失信记录的承诺函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XXX（采购人名称）、</w:t>
      </w:r>
      <w:r>
        <w:rPr>
          <w:rFonts w:hint="eastAsia" w:ascii="仿宋_GB2312" w:hAnsi="仿宋" w:eastAsia="仿宋_GB2312" w:cs="仿宋_GB2312"/>
          <w:color w:val="auto"/>
          <w:sz w:val="24"/>
          <w:highlight w:val="none"/>
          <w:lang w:eastAsia="zh-CN"/>
        </w:rPr>
        <w:t>杭州建设工程造价咨询有限公司</w:t>
      </w:r>
      <w:r>
        <w:rPr>
          <w:rFonts w:hint="eastAsia" w:ascii="仿宋_GB2312" w:hAnsi="仿宋" w:eastAsia="仿宋_GB2312" w:cs="仿宋_GB2312"/>
          <w:color w:val="auto"/>
          <w:sz w:val="24"/>
          <w:highlight w:val="none"/>
        </w:rPr>
        <w:t>：</w:t>
      </w:r>
    </w:p>
    <w:p>
      <w:pPr>
        <w:spacing w:line="360" w:lineRule="auto"/>
        <w:ind w:firstLine="480" w:firstLineChars="200"/>
        <w:rPr>
          <w:rFonts w:hint="eastAsia" w:ascii="仿宋_GB2312" w:hAnsi="仿宋" w:eastAsia="仿宋_GB2312" w:cs="仿宋_GB2312"/>
          <w:b/>
          <w:color w:val="auto"/>
          <w:sz w:val="30"/>
          <w:szCs w:val="30"/>
          <w:highlight w:val="none"/>
          <w:lang w:eastAsia="zh-CN"/>
        </w:rPr>
      </w:pPr>
      <w:r>
        <w:rPr>
          <w:rFonts w:hint="eastAsia" w:ascii="仿宋_GB2312" w:hAnsi="仿宋" w:eastAsia="仿宋_GB2312" w:cs="仿宋_GB2312"/>
          <w:color w:val="auto"/>
          <w:sz w:val="24"/>
          <w:highlight w:val="none"/>
        </w:rPr>
        <w:t>我方郑重承诺，我方符合参与</w:t>
      </w:r>
      <w:r>
        <w:rPr>
          <w:rFonts w:hint="eastAsia" w:ascii="仿宋_GB2312" w:hAnsi="仿宋_GB2312" w:eastAsia="仿宋_GB2312" w:cs="仿宋_GB2312"/>
          <w:color w:val="auto"/>
          <w:sz w:val="24"/>
          <w:szCs w:val="24"/>
          <w:highlight w:val="none"/>
          <w:lang w:eastAsia="zh-CN"/>
        </w:rPr>
        <w:t>项目名称：</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sz w:val="24"/>
          <w:highlight w:val="none"/>
        </w:rPr>
        <w:t>政府采购活动的资格条件并且没有税收缴纳、社会保障等方面的失信记录</w:t>
      </w:r>
      <w:r>
        <w:rPr>
          <w:rFonts w:hint="eastAsia" w:ascii="仿宋_GB2312" w:hAnsi="仿宋" w:eastAsia="仿宋_GB2312" w:cs="仿宋_GB2312"/>
          <w:color w:val="auto"/>
          <w:sz w:val="24"/>
          <w:highlight w:val="none"/>
          <w:lang w:eastAsia="zh-CN"/>
        </w:rPr>
        <w:t>。</w:t>
      </w:r>
    </w:p>
    <w:p>
      <w:pPr>
        <w:spacing w:line="360" w:lineRule="auto"/>
        <w:rPr>
          <w:rFonts w:ascii="仿宋_GB2312" w:hAnsi="仿宋" w:eastAsia="仿宋_GB2312" w:cs="仿宋_GB2312"/>
          <w:b/>
          <w:color w:val="auto"/>
          <w:sz w:val="30"/>
          <w:szCs w:val="30"/>
          <w:highlight w:val="none"/>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napToGrid w:val="0"/>
        <w:spacing w:line="360" w:lineRule="auto"/>
        <w:ind w:right="480"/>
        <w:jc w:val="center"/>
        <w:rPr>
          <w:rFonts w:hint="default"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zh-CN"/>
        </w:rPr>
        <w:t xml:space="preserve">                   日期：  年  月</w:t>
      </w:r>
      <w:r>
        <w:rPr>
          <w:rFonts w:hint="eastAsia" w:ascii="仿宋_GB2312" w:hAnsi="仿宋" w:eastAsia="仿宋_GB2312" w:cs="仿宋_GB2312"/>
          <w:color w:val="auto"/>
          <w:kern w:val="0"/>
          <w:sz w:val="24"/>
          <w:highlight w:val="none"/>
          <w:lang w:val="en-US" w:eastAsia="zh-CN"/>
        </w:rPr>
        <w:t xml:space="preserve">  日</w:t>
      </w:r>
    </w:p>
    <w:p>
      <w:pPr>
        <w:snapToGrid w:val="0"/>
        <w:spacing w:line="360" w:lineRule="auto"/>
        <w:ind w:right="480"/>
        <w:jc w:val="center"/>
        <w:rPr>
          <w:rFonts w:hint="default" w:ascii="仿宋_GB2312" w:hAnsi="仿宋" w:eastAsia="仿宋_GB2312" w:cs="仿宋_GB2312"/>
          <w:color w:val="auto"/>
          <w:kern w:val="0"/>
          <w:sz w:val="24"/>
          <w:highlight w:val="none"/>
          <w:lang w:val="en-US" w:eastAsia="zh-CN"/>
        </w:rPr>
      </w:pPr>
    </w:p>
    <w:p>
      <w:pPr>
        <w:snapToGrid w:val="0"/>
        <w:spacing w:line="360" w:lineRule="auto"/>
        <w:ind w:right="480"/>
        <w:jc w:val="center"/>
        <w:rPr>
          <w:rFonts w:ascii="仿宋_GB2312" w:hAnsi="仿宋" w:eastAsia="仿宋_GB2312" w:cs="仿宋_GB2312"/>
          <w:b/>
          <w:color w:val="auto"/>
          <w:kern w:val="0"/>
          <w:sz w:val="32"/>
          <w:szCs w:val="32"/>
          <w:highlight w:val="none"/>
          <w:lang w:val="zh-CN"/>
        </w:rPr>
      </w:pPr>
    </w:p>
    <w:p>
      <w:pPr>
        <w:pStyle w:val="83"/>
        <w:rPr>
          <w:rFonts w:ascii="仿宋_GB2312" w:hAnsi="仿宋" w:eastAsia="仿宋_GB2312" w:cs="仿宋_GB2312"/>
          <w:b/>
          <w:color w:val="auto"/>
          <w:kern w:val="0"/>
          <w:sz w:val="32"/>
          <w:szCs w:val="32"/>
          <w:highlight w:val="none"/>
          <w:lang w:val="zh-CN"/>
        </w:rPr>
      </w:pPr>
    </w:p>
    <w:p>
      <w:pPr>
        <w:pStyle w:val="83"/>
        <w:rPr>
          <w:rFonts w:ascii="仿宋_GB2312" w:hAnsi="仿宋" w:eastAsia="仿宋_GB2312" w:cs="仿宋_GB2312"/>
          <w:b/>
          <w:color w:val="auto"/>
          <w:kern w:val="0"/>
          <w:sz w:val="32"/>
          <w:szCs w:val="32"/>
          <w:highlight w:val="none"/>
          <w:lang w:val="zh-CN"/>
        </w:rPr>
      </w:pPr>
    </w:p>
    <w:p>
      <w:pPr>
        <w:pStyle w:val="83"/>
        <w:rPr>
          <w:rFonts w:ascii="仿宋_GB2312" w:hAnsi="仿宋" w:eastAsia="仿宋_GB2312" w:cs="仿宋_GB2312"/>
          <w:b/>
          <w:color w:val="auto"/>
          <w:kern w:val="0"/>
          <w:sz w:val="32"/>
          <w:szCs w:val="32"/>
          <w:highlight w:val="none"/>
          <w:lang w:val="zh-CN"/>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五、具有履行合同所必需的设备和专业技术能力的承诺函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XXX（采购人名称）、</w:t>
      </w:r>
      <w:r>
        <w:rPr>
          <w:rFonts w:hint="eastAsia" w:ascii="仿宋_GB2312" w:hAnsi="仿宋" w:eastAsia="仿宋_GB2312" w:cs="仿宋_GB2312"/>
          <w:color w:val="auto"/>
          <w:sz w:val="24"/>
          <w:highlight w:val="none"/>
          <w:lang w:eastAsia="zh-CN"/>
        </w:rPr>
        <w:t>杭州建设工程造价咨询有限公司</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我方郑重承诺，我方具有履行</w:t>
      </w:r>
      <w:r>
        <w:rPr>
          <w:rFonts w:hint="eastAsia" w:ascii="仿宋_GB2312" w:hAnsi="仿宋_GB2312" w:eastAsia="仿宋_GB2312" w:cs="仿宋_GB2312"/>
          <w:color w:val="auto"/>
          <w:sz w:val="24"/>
          <w:szCs w:val="24"/>
          <w:highlight w:val="none"/>
          <w:lang w:eastAsia="zh-CN"/>
        </w:rPr>
        <w:t>项目名称：</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sz w:val="24"/>
          <w:highlight w:val="none"/>
        </w:rPr>
        <w:t>合同所必需的设备和专业技术能力。如中标，我方将保证合同顺利履行。</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center"/>
        <w:rPr>
          <w:rFonts w:ascii="仿宋_GB2312" w:hAnsi="仿宋" w:eastAsia="仿宋_GB2312" w:cs="仿宋_GB2312"/>
          <w:b/>
          <w:color w:val="auto"/>
          <w:kern w:val="0"/>
          <w:sz w:val="32"/>
          <w:szCs w:val="32"/>
          <w:highlight w:val="none"/>
        </w:rPr>
      </w:pPr>
    </w:p>
    <w:p>
      <w:pPr>
        <w:pStyle w:val="83"/>
        <w:rPr>
          <w:rFonts w:ascii="仿宋_GB2312" w:hAnsi="仿宋" w:eastAsia="仿宋_GB2312" w:cs="仿宋_GB2312"/>
          <w:b/>
          <w:color w:val="auto"/>
          <w:kern w:val="0"/>
          <w:sz w:val="32"/>
          <w:szCs w:val="32"/>
          <w:highlight w:val="none"/>
        </w:rPr>
      </w:pPr>
    </w:p>
    <w:p>
      <w:pPr>
        <w:pStyle w:val="83"/>
        <w:rPr>
          <w:rFonts w:ascii="仿宋_GB2312" w:hAnsi="仿宋" w:eastAsia="仿宋_GB2312" w:cs="仿宋_GB2312"/>
          <w:b/>
          <w:color w:val="auto"/>
          <w:kern w:val="0"/>
          <w:sz w:val="32"/>
          <w:szCs w:val="32"/>
          <w:highlight w:val="none"/>
        </w:rPr>
      </w:pPr>
    </w:p>
    <w:p>
      <w:pPr>
        <w:pStyle w:val="83"/>
        <w:rPr>
          <w:rFonts w:ascii="仿宋_GB2312" w:hAnsi="仿宋" w:eastAsia="仿宋_GB2312" w:cs="仿宋_GB2312"/>
          <w:b/>
          <w:color w:val="auto"/>
          <w:kern w:val="0"/>
          <w:sz w:val="32"/>
          <w:szCs w:val="32"/>
          <w:highlight w:val="none"/>
        </w:rPr>
      </w:pPr>
    </w:p>
    <w:p>
      <w:pPr>
        <w:pStyle w:val="83"/>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六、参加政府采购活动前三年内，在经营活动中</w:t>
      </w:r>
    </w:p>
    <w:p>
      <w:pPr>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没有重大违法记录的声明</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XXX（采购人名称）、</w:t>
      </w:r>
      <w:r>
        <w:rPr>
          <w:rFonts w:hint="eastAsia" w:ascii="仿宋_GB2312" w:hAnsi="仿宋" w:eastAsia="仿宋_GB2312" w:cs="仿宋_GB2312"/>
          <w:color w:val="auto"/>
          <w:sz w:val="24"/>
          <w:highlight w:val="none"/>
          <w:lang w:eastAsia="zh-CN"/>
        </w:rPr>
        <w:t>杭州建设工程造价咨询有限公司</w:t>
      </w:r>
      <w:r>
        <w:rPr>
          <w:rFonts w:hint="eastAsia" w:ascii="仿宋_GB2312" w:hAnsi="仿宋" w:eastAsia="仿宋_GB2312" w:cs="仿宋_GB2312"/>
          <w:color w:val="auto"/>
          <w:kern w:val="0"/>
          <w:sz w:val="24"/>
          <w:highlight w:val="none"/>
          <w:lang w:val="zh-CN"/>
        </w:rPr>
        <w:t>：</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我方</w:t>
      </w:r>
      <w:r>
        <w:rPr>
          <w:rFonts w:hint="eastAsia" w:ascii="仿宋_GB2312" w:hAnsi="仿宋" w:eastAsia="仿宋_GB2312" w:cs="仿宋_GB2312"/>
          <w:color w:val="auto"/>
          <w:sz w:val="24"/>
          <w:highlight w:val="none"/>
        </w:rPr>
        <w:t>声明投标截止时间前三年，在</w:t>
      </w:r>
      <w:r>
        <w:rPr>
          <w:rFonts w:hint="eastAsia" w:ascii="仿宋_GB2312" w:hAnsi="仿宋" w:eastAsia="仿宋_GB2312" w:cs="仿宋_GB2312"/>
          <w:color w:val="auto"/>
          <w:kern w:val="0"/>
          <w:sz w:val="24"/>
          <w:highlight w:val="none"/>
        </w:rPr>
        <w:t>经营活动中</w:t>
      </w:r>
      <w:r>
        <w:rPr>
          <w:rFonts w:hint="eastAsia" w:ascii="仿宋_GB2312" w:hAnsi="仿宋" w:eastAsia="仿宋_GB2312" w:cs="仿宋_GB2312"/>
          <w:color w:val="auto"/>
          <w:sz w:val="24"/>
          <w:highlight w:val="none"/>
        </w:rPr>
        <w:t xml:space="preserve">没有重大违法记录。 </w:t>
      </w: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pStyle w:val="935"/>
        <w:numPr>
          <w:ilvl w:val="0"/>
          <w:numId w:val="0"/>
        </w:numPr>
        <w:jc w:val="both"/>
        <w:rPr>
          <w:rFonts w:hint="eastAsia" w:ascii="仿宋" w:hAnsi="仿宋" w:eastAsia="仿宋" w:cs="仿宋_GB2312"/>
          <w:b/>
          <w:color w:val="auto"/>
          <w:sz w:val="36"/>
          <w:szCs w:val="36"/>
          <w:highlight w:val="none"/>
        </w:rPr>
      </w:pPr>
    </w:p>
    <w:p>
      <w:pPr>
        <w:snapToGrid w:val="0"/>
        <w:spacing w:line="360" w:lineRule="auto"/>
        <w:ind w:firstLine="1606" w:firstLineChars="500"/>
        <w:rPr>
          <w:rFonts w:hint="eastAsia" w:ascii="仿宋_GB2312" w:hAnsi="仿宋" w:eastAsia="仿宋_GB2312" w:cs="仿宋_GB2312"/>
          <w:b/>
          <w:color w:val="auto"/>
          <w:kern w:val="0"/>
          <w:sz w:val="32"/>
          <w:szCs w:val="32"/>
          <w:highlight w:val="none"/>
        </w:rPr>
      </w:pPr>
    </w:p>
    <w:p>
      <w:pPr>
        <w:snapToGrid w:val="0"/>
        <w:spacing w:line="360" w:lineRule="auto"/>
        <w:ind w:firstLine="1606" w:firstLineChars="5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七、具有良好商业信誉特别声明</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XXX（采购人名称）、</w:t>
      </w:r>
      <w:r>
        <w:rPr>
          <w:rFonts w:hint="eastAsia" w:ascii="仿宋_GB2312" w:hAnsi="仿宋" w:eastAsia="仿宋_GB2312" w:cs="仿宋_GB2312"/>
          <w:color w:val="auto"/>
          <w:sz w:val="24"/>
          <w:highlight w:val="none"/>
          <w:lang w:eastAsia="zh-CN"/>
        </w:rPr>
        <w:t>杭州建设工程造价咨询有限公司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48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rPr>
        <w:t>截至投标截止时间，我方具有良好的商业信誉，不存在下列情形（包括但不限于）。否则，我方将承担在资格审查时不被通过的后果。</w:t>
      </w:r>
    </w:p>
    <w:p>
      <w:pPr>
        <w:pStyle w:val="237"/>
        <w:spacing w:before="0"/>
        <w:ind w:firstLine="495" w:firstLineChars="0"/>
        <w:rPr>
          <w:rFonts w:ascii="仿宋_GB2312" w:hAnsi="仿宋" w:eastAsia="仿宋_GB2312"/>
          <w:color w:val="auto"/>
          <w:highlight w:val="none"/>
        </w:rPr>
      </w:pPr>
      <w:r>
        <w:rPr>
          <w:rFonts w:hint="eastAsia" w:ascii="仿宋_GB2312" w:hAnsi="仿宋" w:eastAsia="仿宋_GB2312"/>
          <w:color w:val="auto"/>
          <w:highlight w:val="none"/>
        </w:rPr>
        <w:t>1</w:t>
      </w:r>
      <w:r>
        <w:rPr>
          <w:rFonts w:hint="eastAsia" w:ascii="仿宋_GB2312" w:hAnsi="仿宋" w:eastAsia="仿宋_GB2312" w:cs="仿宋_GB2312"/>
          <w:b/>
          <w:color w:val="auto"/>
          <w:szCs w:val="24"/>
          <w:highlight w:val="none"/>
        </w:rPr>
        <w:t>、</w:t>
      </w:r>
      <w:r>
        <w:rPr>
          <w:rFonts w:hint="eastAsia" w:ascii="仿宋_GB2312" w:hAnsi="仿宋" w:eastAsia="仿宋_GB2312"/>
          <w:color w:val="auto"/>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color w:val="auto"/>
          <w:sz w:val="24"/>
          <w:highlight w:val="none"/>
        </w:rPr>
      </w:pPr>
    </w:p>
    <w:p>
      <w:pPr>
        <w:snapToGrid w:val="0"/>
        <w:spacing w:line="360" w:lineRule="auto"/>
        <w:ind w:firstLine="4680" w:firstLineChars="19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投标人名称(电子签名)：</w:t>
      </w:r>
    </w:p>
    <w:p>
      <w:pPr>
        <w:snapToGrid w:val="0"/>
        <w:spacing w:line="360" w:lineRule="auto"/>
        <w:rPr>
          <w:rFonts w:ascii="仿宋_GB2312" w:hAnsi="仿宋" w:eastAsia="仿宋_GB2312" w:cs="仿宋_GB2312"/>
          <w:b/>
          <w:color w:val="auto"/>
          <w:sz w:val="32"/>
          <w:szCs w:val="32"/>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pStyle w:val="83"/>
        <w:rPr>
          <w:rFonts w:ascii="仿宋_GB2312" w:hAnsi="仿宋" w:eastAsia="仿宋_GB2312" w:cs="仿宋_GB2312"/>
          <w:b/>
          <w:color w:val="auto"/>
          <w:sz w:val="32"/>
          <w:szCs w:val="32"/>
          <w:highlight w:val="none"/>
        </w:rPr>
      </w:pPr>
    </w:p>
    <w:p>
      <w:pPr>
        <w:pStyle w:val="83"/>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八、特定资格条件要求的资质文件（复印件）</w:t>
      </w:r>
    </w:p>
    <w:p>
      <w:pPr>
        <w:widowControl/>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（由投标人根据招标公告合格的投标人应具备的特定资格要求编制；如果本项目没有设置特定资格条件，则不需要提供）</w:t>
      </w:r>
    </w:p>
    <w:p>
      <w:pPr>
        <w:snapToGrid w:val="0"/>
        <w:spacing w:line="360" w:lineRule="auto"/>
        <w:rPr>
          <w:rFonts w:hint="eastAsia" w:ascii="仿宋_GB2312" w:hAnsi="仿宋" w:eastAsia="仿宋_GB2312" w:cs="仿宋_GB2312"/>
          <w:b/>
          <w:bCs/>
          <w:color w:val="auto"/>
          <w:sz w:val="32"/>
          <w:szCs w:val="32"/>
          <w:highlight w:val="none"/>
        </w:rPr>
      </w:pPr>
    </w:p>
    <w:p>
      <w:pPr>
        <w:snapToGrid w:val="0"/>
        <w:spacing w:line="360" w:lineRule="auto"/>
        <w:rPr>
          <w:rFonts w:hint="eastAsia" w:ascii="仿宋_GB2312" w:hAnsi="仿宋" w:eastAsia="仿宋_GB2312" w:cs="仿宋_GB2312"/>
          <w:b/>
          <w:bCs/>
          <w:color w:val="auto"/>
          <w:sz w:val="32"/>
          <w:szCs w:val="32"/>
          <w:highlight w:val="none"/>
        </w:rPr>
      </w:pPr>
    </w:p>
    <w:p>
      <w:pPr>
        <w:snapToGrid w:val="0"/>
        <w:spacing w:before="50" w:after="50"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sz w:val="32"/>
          <w:szCs w:val="32"/>
          <w:highlight w:val="none"/>
        </w:rPr>
        <w:t>九</w:t>
      </w:r>
      <w:r>
        <w:rPr>
          <w:rFonts w:hint="eastAsia" w:ascii="仿宋_GB2312" w:hAnsi="仿宋" w:eastAsia="仿宋_GB2312" w:cs="仿宋_GB2312"/>
          <w:b/>
          <w:color w:val="auto"/>
          <w:sz w:val="30"/>
          <w:szCs w:val="30"/>
          <w:highlight w:val="none"/>
        </w:rPr>
        <w:t>、联合体协议</w:t>
      </w:r>
    </w:p>
    <w:p>
      <w:pPr>
        <w:widowControl/>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（以联合体形式投标的，提供联合体协议；本项目不允许联合体投标，或者投标人不以联合体形式投标的，则不需要提供）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乙方：</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各方经协商一致，决定组成一个联合体，以一个投标人的身份就</w:t>
      </w:r>
      <w:r>
        <w:rPr>
          <w:rFonts w:hint="eastAsia" w:ascii="仿宋_GB2312" w:hAnsi="仿宋_GB2312" w:eastAsia="仿宋_GB2312" w:cs="仿宋_GB2312"/>
          <w:color w:val="auto"/>
          <w:sz w:val="24"/>
          <w:szCs w:val="24"/>
          <w:highlight w:val="none"/>
          <w:lang w:eastAsia="zh-CN"/>
        </w:rPr>
        <w:t>项目名称：</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】共同投标。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Arial"/>
          <w:color w:val="auto"/>
          <w:sz w:val="24"/>
          <w:highlight w:val="none"/>
        </w:rPr>
        <w:t>指定</w:t>
      </w:r>
      <w:r>
        <w:rPr>
          <w:rFonts w:hint="eastAsia" w:ascii="仿宋_GB2312" w:hAnsi="仿宋" w:eastAsia="仿宋_GB2312"/>
          <w:color w:val="auto"/>
          <w:highlight w:val="none"/>
          <w:u w:val="single"/>
        </w:rPr>
        <w:t xml:space="preserve">   </w:t>
      </w:r>
      <w:r>
        <w:rPr>
          <w:rFonts w:hint="eastAsia" w:ascii="仿宋_GB2312" w:hAnsi="仿宋" w:eastAsia="仿宋_GB2312" w:cs="Arial"/>
          <w:color w:val="auto"/>
          <w:sz w:val="24"/>
          <w:highlight w:val="none"/>
        </w:rPr>
        <w:t>方牵头人，代表所有联合体成员负责投标和合同实施阶段的主办、协调工作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三、本次联合投标中，分工如下：甲方承担的工作和义务为：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；乙方承担的工作和义务为：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甲方单位：    （公章/ 电子签名）    乙方单位：      （公章/ 电子签名）</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                  日期：    年   月   日</w:t>
      </w:r>
    </w:p>
    <w:p>
      <w:pPr>
        <w:adjustRightInd w:val="0"/>
        <w:snapToGrid w:val="0"/>
        <w:spacing w:before="50" w:after="50" w:line="360" w:lineRule="auto"/>
        <w:jc w:val="both"/>
        <w:rPr>
          <w:rFonts w:hint="eastAsia" w:ascii="仿宋_GB2312" w:hAnsi="仿宋" w:eastAsia="仿宋_GB2312" w:cs="仿宋_GB2312"/>
          <w:b/>
          <w:color w:val="auto"/>
          <w:sz w:val="32"/>
          <w:szCs w:val="32"/>
          <w:highlight w:val="none"/>
          <w:lang w:eastAsia="zh-CN"/>
        </w:rPr>
      </w:pPr>
    </w:p>
    <w:p>
      <w:pPr>
        <w:pStyle w:val="628"/>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lang w:eastAsia="zh-CN"/>
        </w:rPr>
      </w:pPr>
      <w:r>
        <w:rPr>
          <w:rFonts w:hint="eastAsia" w:ascii="仿宋_GB2312" w:hAnsi="仿宋" w:eastAsia="仿宋_GB2312" w:cs="仿宋_GB2312"/>
          <w:b/>
          <w:color w:val="auto"/>
          <w:sz w:val="32"/>
          <w:szCs w:val="32"/>
          <w:highlight w:val="none"/>
          <w:lang w:eastAsia="zh-CN"/>
        </w:rPr>
        <w:t>十</w:t>
      </w:r>
      <w:r>
        <w:rPr>
          <w:rFonts w:hint="eastAsia" w:ascii="仿宋_GB2312" w:hAnsi="仿宋" w:eastAsia="仿宋_GB2312" w:cs="仿宋_GB2312"/>
          <w:b/>
          <w:color w:val="auto"/>
          <w:sz w:val="32"/>
          <w:szCs w:val="32"/>
          <w:highlight w:val="none"/>
        </w:rPr>
        <w:t xml:space="preserve">、 </w:t>
      </w:r>
      <w:r>
        <w:rPr>
          <w:rFonts w:hint="eastAsia" w:ascii="仿宋_GB2312" w:hAnsi="仿宋" w:eastAsia="仿宋_GB2312" w:cs="仿宋_GB2312"/>
          <w:color w:val="auto"/>
          <w:kern w:val="2"/>
          <w:sz w:val="32"/>
          <w:szCs w:val="32"/>
          <w:highlight w:val="none"/>
        </w:rPr>
        <w:t>中小企业声明函</w:t>
      </w:r>
      <w:r>
        <w:rPr>
          <w:rFonts w:hint="eastAsia" w:ascii="仿宋_GB2312" w:hAnsi="仿宋" w:eastAsia="仿宋_GB2312" w:cs="仿宋_GB2312"/>
          <w:color w:val="auto"/>
          <w:kern w:val="2"/>
          <w:sz w:val="32"/>
          <w:szCs w:val="32"/>
          <w:highlight w:val="none"/>
          <w:lang w:eastAsia="zh-CN"/>
        </w:rPr>
        <w:t>（工程、服务）</w:t>
      </w:r>
    </w:p>
    <w:p>
      <w:pPr>
        <w:spacing w:line="360" w:lineRule="auto"/>
        <w:ind w:firstLine="600" w:firstLineChars="2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u w:val="single"/>
        </w:rPr>
        <w:t>（</w:t>
      </w:r>
      <w:r>
        <w:rPr>
          <w:rFonts w:hint="eastAsia" w:ascii="仿宋_GB2312" w:hAnsi="宋体" w:eastAsia="仿宋_GB2312"/>
          <w:b/>
          <w:bCs/>
          <w:color w:val="auto"/>
          <w:sz w:val="24"/>
          <w:highlight w:val="none"/>
          <w:u w:val="single"/>
          <w:lang w:eastAsia="zh-CN"/>
        </w:rPr>
        <w:t>“龙门秘境”数字景区集成创新示范区建设项目</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仿宋" w:eastAsia="仿宋_GB2312"/>
          <w:b/>
          <w:bCs/>
          <w:color w:val="auto"/>
          <w:sz w:val="24"/>
          <w:highlight w:val="none"/>
          <w:u w:val="single"/>
          <w:shd w:val="clear"/>
          <w:lang w:val="en-US" w:eastAsia="zh-CN"/>
        </w:rPr>
        <w:t>基础软件开发服务</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u w:val="single"/>
        </w:rPr>
        <w:t xml:space="preserve">（标的名称） </w:t>
      </w:r>
      <w:r>
        <w:rPr>
          <w:rFonts w:hint="eastAsia"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万元，属于 </w:t>
      </w:r>
      <w:r>
        <w:rPr>
          <w:rFonts w:hint="eastAsia"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 xml:space="preserve"> ；</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 xml:space="preserve">名称（ </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5160" w:firstLineChars="21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pPr>
        <w:spacing w:line="360" w:lineRule="auto"/>
        <w:ind w:firstLine="310" w:firstLineChars="147"/>
        <w:jc w:val="left"/>
        <w:rPr>
          <w:rFonts w:hint="eastAsia"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w:t>
      </w:r>
    </w:p>
    <w:p>
      <w:pPr>
        <w:spacing w:line="360" w:lineRule="auto"/>
        <w:ind w:firstLine="310" w:firstLineChars="147"/>
        <w:jc w:val="left"/>
        <w:rPr>
          <w:rFonts w:ascii="仿宋_GB2312" w:hAnsi="仿宋" w:eastAsia="仿宋_GB2312" w:cs="仿宋_GB2312"/>
          <w:color w:val="auto"/>
          <w:sz w:val="24"/>
          <w:highlight w:val="none"/>
        </w:rPr>
      </w:pPr>
      <w:r>
        <w:rPr>
          <w:rFonts w:hint="eastAsia" w:ascii="仿宋_GB2312" w:hAnsi="宋体" w:eastAsia="仿宋_GB2312"/>
          <w:b/>
          <w:color w:val="auto"/>
          <w:szCs w:val="21"/>
          <w:highlight w:val="none"/>
        </w:rPr>
        <w:t>一年度数据，无上一年度数据的新成立企业可不填报。</w:t>
      </w:r>
    </w:p>
    <w:p>
      <w:pPr>
        <w:spacing w:line="360" w:lineRule="auto"/>
        <w:ind w:right="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color w:val="auto"/>
          <w:sz w:val="22"/>
          <w:szCs w:val="22"/>
          <w:highlight w:val="none"/>
          <w:lang w:val="en-US" w:eastAsia="zh-CN"/>
        </w:rPr>
        <w:t xml:space="preserve">  </w:t>
      </w:r>
      <w:r>
        <w:rPr>
          <w:rFonts w:hint="eastAsia" w:ascii="仿宋_GB2312" w:hAnsi="仿宋" w:eastAsia="仿宋_GB2312" w:cs="仿宋_GB2312"/>
          <w:color w:val="auto"/>
          <w:sz w:val="22"/>
          <w:szCs w:val="22"/>
          <w:highlight w:val="none"/>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如投标人对相关制造商信息了解不充分，或者不能确定相关信息真实、准确的，不建议出具《中小企业声明函》。</w:t>
      </w:r>
    </w:p>
    <w:p>
      <w:pPr>
        <w:adjustRightInd w:val="0"/>
        <w:snapToGrid w:val="0"/>
        <w:spacing w:line="360" w:lineRule="auto"/>
        <w:ind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adjustRightInd w:val="0"/>
        <w:spacing w:line="360" w:lineRule="auto"/>
        <w:jc w:val="center"/>
        <w:outlineLvl w:val="0"/>
        <w:rPr>
          <w:rFonts w:ascii="仿宋_GB2312" w:hAnsi="仿宋" w:eastAsia="仿宋_GB2312" w:cs="仿宋_GB2312"/>
          <w:b/>
          <w:color w:val="auto"/>
          <w:kern w:val="0"/>
          <w:sz w:val="24"/>
          <w:szCs w:val="24"/>
          <w:highlight w:val="none"/>
        </w:rPr>
      </w:pPr>
    </w:p>
    <w:p>
      <w:pPr>
        <w:adjustRightInd w:val="0"/>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adjustRightInd w:val="0"/>
        <w:spacing w:line="360" w:lineRule="auto"/>
        <w:outlineLvl w:val="0"/>
        <w:rPr>
          <w:rFonts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（1）投标响应函……………………………………………………（页码）</w:t>
      </w:r>
    </w:p>
    <w:p>
      <w:pPr>
        <w:adjustRightInd w:val="0"/>
        <w:spacing w:line="360" w:lineRule="auto"/>
        <w:outlineLvl w:val="0"/>
        <w:rPr>
          <w:rFonts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（2）投标（开标）一览表…………………………………………（页码）</w:t>
      </w:r>
    </w:p>
    <w:p>
      <w:pPr>
        <w:adjustRightInd w:val="0"/>
        <w:spacing w:line="360" w:lineRule="auto"/>
        <w:ind w:left="2" w:firstLine="480" w:firstLineChars="200"/>
        <w:rPr>
          <w:rFonts w:ascii="仿宋_GB2312" w:hAnsi="仿宋" w:eastAsia="仿宋_GB2312" w:cs="仿宋_GB2312"/>
          <w:color w:val="auto"/>
          <w:sz w:val="24"/>
          <w:szCs w:val="24"/>
          <w:highlight w:val="none"/>
        </w:rPr>
      </w:pPr>
    </w:p>
    <w:p>
      <w:pPr>
        <w:adjustRightInd w:val="0"/>
        <w:spacing w:line="360" w:lineRule="auto"/>
        <w:ind w:left="2" w:firstLine="480" w:firstLineChars="200"/>
        <w:rPr>
          <w:rFonts w:ascii="仿宋_GB2312" w:hAnsi="仿宋" w:eastAsia="仿宋_GB2312" w:cs="仿宋_GB2312"/>
          <w:color w:val="auto"/>
          <w:sz w:val="24"/>
          <w:szCs w:val="24"/>
          <w:highlight w:val="none"/>
        </w:rPr>
      </w:pPr>
    </w:p>
    <w:p>
      <w:pPr>
        <w:adjustRightInd w:val="0"/>
        <w:spacing w:line="360" w:lineRule="auto"/>
        <w:ind w:left="2" w:firstLine="480" w:firstLineChars="200"/>
        <w:rPr>
          <w:rFonts w:ascii="仿宋_GB2312" w:hAnsi="仿宋" w:eastAsia="仿宋_GB2312" w:cs="仿宋_GB2312"/>
          <w:color w:val="auto"/>
          <w:sz w:val="24"/>
          <w:szCs w:val="24"/>
          <w:highlight w:val="none"/>
        </w:rPr>
      </w:pPr>
    </w:p>
    <w:p>
      <w:pPr>
        <w:adjustRightInd w:val="0"/>
        <w:spacing w:line="360" w:lineRule="auto"/>
        <w:ind w:left="2" w:firstLine="480" w:firstLineChars="200"/>
        <w:rPr>
          <w:rFonts w:ascii="仿宋_GB2312" w:hAnsi="仿宋" w:eastAsia="仿宋_GB2312" w:cs="仿宋_GB2312"/>
          <w:color w:val="auto"/>
          <w:sz w:val="24"/>
          <w:szCs w:val="24"/>
          <w:highlight w:val="none"/>
        </w:rPr>
      </w:pPr>
    </w:p>
    <w:p>
      <w:pPr>
        <w:adjustRightInd w:val="0"/>
        <w:spacing w:line="360" w:lineRule="auto"/>
        <w:ind w:left="2" w:firstLine="480" w:firstLineChars="200"/>
        <w:rPr>
          <w:rFonts w:ascii="仿宋_GB2312" w:hAnsi="仿宋" w:eastAsia="仿宋_GB2312" w:cs="仿宋_GB2312"/>
          <w:color w:val="auto"/>
          <w:sz w:val="24"/>
          <w:szCs w:val="24"/>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pStyle w:val="17"/>
        <w:rPr>
          <w:color w:val="auto"/>
          <w:highlight w:val="none"/>
        </w:rPr>
      </w:pPr>
    </w:p>
    <w:p>
      <w:pPr>
        <w:adjustRightInd w:val="0"/>
        <w:snapToGrid w:val="0"/>
        <w:spacing w:line="360" w:lineRule="auto"/>
        <w:jc w:val="center"/>
        <w:outlineLvl w:val="0"/>
        <w:rPr>
          <w:rFonts w:ascii="仿宋_GB2312" w:hAnsi="仿宋" w:eastAsia="仿宋_GB2312" w:cs="仿宋_GB2312"/>
          <w:b/>
          <w:color w:val="auto"/>
          <w:kern w:val="0"/>
          <w:sz w:val="32"/>
          <w:szCs w:val="32"/>
          <w:highlight w:val="none"/>
        </w:rPr>
      </w:pPr>
    </w:p>
    <w:p>
      <w:pPr>
        <w:adjustRightInd w:val="0"/>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一、投标响应</w:t>
      </w:r>
      <w:r>
        <w:rPr>
          <w:rFonts w:hint="eastAsia" w:ascii="仿宋_GB2312" w:hAnsi="仿宋" w:eastAsia="仿宋_GB2312" w:cs="仿宋_GB2312"/>
          <w:b/>
          <w:color w:val="auto"/>
          <w:sz w:val="32"/>
          <w:szCs w:val="32"/>
          <w:highlight w:val="none"/>
        </w:rPr>
        <w:t>函</w:t>
      </w:r>
    </w:p>
    <w:p>
      <w:pPr>
        <w:adjustRightInd w:val="0"/>
        <w:snapToGrid w:val="0"/>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XXX（采购人名称）、</w:t>
      </w:r>
      <w:r>
        <w:rPr>
          <w:rFonts w:hint="eastAsia" w:ascii="仿宋_GB2312" w:hAnsi="仿宋" w:eastAsia="仿宋_GB2312" w:cs="仿宋_GB2312"/>
          <w:color w:val="auto"/>
          <w:sz w:val="24"/>
          <w:szCs w:val="24"/>
          <w:highlight w:val="none"/>
          <w:lang w:eastAsia="zh-CN"/>
        </w:rPr>
        <w:t>杭州建设工程造价咨询有限公司</w:t>
      </w:r>
      <w:r>
        <w:rPr>
          <w:rFonts w:hint="eastAsia" w:ascii="仿宋_GB2312" w:hAnsi="仿宋" w:eastAsia="仿宋_GB2312" w:cs="仿宋_GB2312"/>
          <w:color w:val="auto"/>
          <w:sz w:val="24"/>
          <w:szCs w:val="24"/>
          <w:highlight w:val="none"/>
        </w:rPr>
        <w:t>：</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kern w:val="0"/>
          <w:sz w:val="24"/>
          <w:szCs w:val="24"/>
          <w:highlight w:val="none"/>
          <w:u w:val="single"/>
          <w:lang w:val="zh-CN"/>
        </w:rPr>
        <w:t xml:space="preserve">                         </w:t>
      </w:r>
      <w:r>
        <w:rPr>
          <w:rFonts w:hint="eastAsia" w:ascii="仿宋_GB2312" w:hAnsi="仿宋" w:eastAsia="仿宋_GB2312" w:cs="仿宋_GB2312"/>
          <w:color w:val="auto"/>
          <w:sz w:val="24"/>
          <w:szCs w:val="24"/>
          <w:highlight w:val="none"/>
        </w:rPr>
        <w:t>(投标人全称)授权</w:t>
      </w:r>
      <w:r>
        <w:rPr>
          <w:rFonts w:hint="eastAsia" w:ascii="仿宋_GB2312" w:hAnsi="仿宋" w:eastAsia="仿宋_GB2312" w:cs="仿宋_GB2312"/>
          <w:color w:val="auto"/>
          <w:kern w:val="0"/>
          <w:sz w:val="24"/>
          <w:szCs w:val="24"/>
          <w:highlight w:val="none"/>
          <w:u w:val="single"/>
          <w:lang w:val="zh-CN"/>
        </w:rPr>
        <w:t xml:space="preserve">                    </w:t>
      </w:r>
      <w:r>
        <w:rPr>
          <w:rFonts w:hint="eastAsia" w:ascii="仿宋_GB2312" w:hAnsi="仿宋" w:eastAsia="仿宋_GB2312" w:cs="仿宋_GB2312"/>
          <w:color w:val="auto"/>
          <w:sz w:val="24"/>
          <w:szCs w:val="24"/>
          <w:highlight w:val="none"/>
        </w:rPr>
        <w:t>(全权代表姓名)</w:t>
      </w:r>
      <w:r>
        <w:rPr>
          <w:rFonts w:hint="eastAsia" w:ascii="仿宋_GB2312" w:hAnsi="仿宋" w:eastAsia="仿宋_GB2312" w:cs="仿宋_GB2312"/>
          <w:color w:val="auto"/>
          <w:kern w:val="0"/>
          <w:sz w:val="24"/>
          <w:szCs w:val="24"/>
          <w:highlight w:val="none"/>
          <w:u w:val="single"/>
          <w:lang w:val="zh-CN"/>
        </w:rPr>
        <w:t xml:space="preserve">              </w:t>
      </w:r>
      <w:r>
        <w:rPr>
          <w:rFonts w:hint="eastAsia" w:ascii="仿宋_GB2312" w:hAnsi="仿宋" w:eastAsia="仿宋_GB2312" w:cs="仿宋_GB2312"/>
          <w:color w:val="auto"/>
          <w:sz w:val="24"/>
          <w:szCs w:val="24"/>
          <w:highlight w:val="none"/>
        </w:rPr>
        <w:t>(职务、职称)为全权代表，参加贵方组织的XXXXXX项目【招标编号：XXX】招标的有关活动，并对此项目进行投标。为此：</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1、我方同意在投标人</w:t>
      </w:r>
      <w:r>
        <w:rPr>
          <w:rFonts w:hint="eastAsia" w:ascii="仿宋_GB2312" w:hAnsi="仿宋" w:eastAsia="仿宋_GB2312" w:cs="仿宋_GB2312"/>
          <w:color w:val="auto"/>
          <w:kern w:val="44"/>
          <w:sz w:val="24"/>
          <w:szCs w:val="24"/>
          <w:highlight w:val="none"/>
        </w:rPr>
        <w:t>投标人须知</w:t>
      </w:r>
      <w:r>
        <w:rPr>
          <w:rFonts w:hint="eastAsia" w:ascii="仿宋_GB2312" w:hAnsi="仿宋" w:eastAsia="仿宋_GB2312" w:cs="仿宋_GB2312"/>
          <w:color w:val="auto"/>
          <w:sz w:val="24"/>
          <w:szCs w:val="24"/>
          <w:highlight w:val="none"/>
        </w:rPr>
        <w:t>规定的开标日期起遵守本投标文件中的承诺且在投标有效期满之前均具有约束力。</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2、我方承诺已经具备《中华人民共和国政府采购法》中规定的参加政府采购活动的供应商应当具备的条件：</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(1)具有独立承担民事责任的能力；</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(2)遵守国家法律、行政法规，具有良好的信誉和商业道德；</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(3)具有履行合同的能力和良好的履行合同记录；</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(4)良好的资金、财务状况；</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(5)产品及生产所需装备符合中国政府规定的相应技术标准和环保标准；</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(6)没有违反政府采购法规、政策的记录；</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(7)没有发生重大经济纠纷和走私犯罪记录。</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3、我方中标后拟在中标后将</w:t>
      </w:r>
      <w:r>
        <w:rPr>
          <w:rFonts w:hint="eastAsia"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工作分包，分包承担主体是</w:t>
      </w:r>
      <w:r>
        <w:rPr>
          <w:rFonts w:hint="eastAsia"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，我方承诺分包承担主体具备相应资质条件</w:t>
      </w:r>
      <w:r>
        <w:rPr>
          <w:rFonts w:hint="eastAsia"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，且不再次分包。（不再将工作进行分包或本项目不允许分包的，下划线处填写“/”。）</w:t>
      </w:r>
    </w:p>
    <w:p>
      <w:pPr>
        <w:adjustRightInd w:val="0"/>
        <w:snapToGrid w:val="0"/>
        <w:spacing w:line="360" w:lineRule="auto"/>
        <w:ind w:firstLine="480" w:firstLineChars="200"/>
        <w:rPr>
          <w:rFonts w:ascii="仿宋_GB2312" w:hAnsi="仿宋" w:eastAsia="仿宋_GB2312" w:cs="仿宋_GB2312"/>
          <w:snapToGrid w:val="0"/>
          <w:color w:val="auto"/>
          <w:sz w:val="24"/>
          <w:szCs w:val="21"/>
          <w:highlight w:val="none"/>
        </w:rPr>
      </w:pPr>
      <w:r>
        <w:rPr>
          <w:rFonts w:hint="eastAsia" w:ascii="仿宋_GB2312" w:hAnsi="仿宋" w:eastAsia="仿宋_GB2312" w:cs="仿宋_GB2312"/>
          <w:snapToGrid w:val="0"/>
          <w:color w:val="auto"/>
          <w:sz w:val="24"/>
          <w:szCs w:val="21"/>
          <w:highlight w:val="none"/>
        </w:rPr>
        <w:t>4、提供</w:t>
      </w:r>
      <w:r>
        <w:rPr>
          <w:rFonts w:hint="eastAsia" w:ascii="仿宋_GB2312" w:hAnsi="仿宋" w:eastAsia="仿宋_GB2312" w:cs="仿宋_GB2312"/>
          <w:snapToGrid w:val="0"/>
          <w:color w:val="auto"/>
          <w:kern w:val="44"/>
          <w:sz w:val="24"/>
          <w:szCs w:val="21"/>
          <w:highlight w:val="none"/>
        </w:rPr>
        <w:t>投标人须知</w:t>
      </w:r>
      <w:r>
        <w:rPr>
          <w:rFonts w:hint="eastAsia" w:ascii="仿宋_GB2312" w:hAnsi="仿宋" w:eastAsia="仿宋_GB2312" w:cs="仿宋_GB2312"/>
          <w:snapToGrid w:val="0"/>
          <w:color w:val="auto"/>
          <w:sz w:val="24"/>
          <w:szCs w:val="21"/>
          <w:highlight w:val="none"/>
        </w:rPr>
        <w:t>规定的全部投标文件</w:t>
      </w:r>
      <w:r>
        <w:rPr>
          <w:rFonts w:hint="eastAsia" w:ascii="仿宋_GB2312" w:hAnsi="仿宋" w:eastAsia="仿宋_GB2312" w:cs="仿宋_GB2312"/>
          <w:snapToGrid w:val="0"/>
          <w:color w:val="auto"/>
          <w:kern w:val="44"/>
          <w:sz w:val="24"/>
          <w:szCs w:val="21"/>
          <w:highlight w:val="none"/>
        </w:rPr>
        <w:t>。</w:t>
      </w:r>
      <w:r>
        <w:rPr>
          <w:rFonts w:hint="eastAsia" w:ascii="仿宋_GB2312" w:hAnsi="仿宋" w:eastAsia="仿宋_GB2312" w:cs="仿宋_GB2312"/>
          <w:snapToGrid w:val="0"/>
          <w:color w:val="auto"/>
          <w:sz w:val="24"/>
          <w:szCs w:val="21"/>
          <w:highlight w:val="none"/>
        </w:rPr>
        <w:t>具体内容为：</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(1)投标(开标)一览表；</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(2)投标</w:t>
      </w:r>
      <w:r>
        <w:rPr>
          <w:rFonts w:hint="eastAsia" w:ascii="仿宋_GB2312" w:hAnsi="仿宋" w:eastAsia="仿宋_GB2312" w:cs="仿宋_GB2312"/>
          <w:color w:val="auto"/>
          <w:kern w:val="0"/>
          <w:sz w:val="24"/>
          <w:szCs w:val="24"/>
          <w:highlight w:val="none"/>
          <w:lang w:val="zh-CN"/>
        </w:rPr>
        <w:t>技术文件和</w:t>
      </w:r>
      <w:r>
        <w:rPr>
          <w:rFonts w:hint="eastAsia" w:ascii="仿宋_GB2312" w:hAnsi="仿宋" w:eastAsia="仿宋_GB2312" w:cs="仿宋_GB2312"/>
          <w:color w:val="auto"/>
          <w:sz w:val="24"/>
          <w:szCs w:val="24"/>
          <w:highlight w:val="none"/>
          <w:lang w:val="zh-CN"/>
        </w:rPr>
        <w:t>商务文件</w:t>
      </w:r>
      <w:r>
        <w:rPr>
          <w:rFonts w:hint="eastAsia" w:ascii="仿宋_GB2312" w:hAnsi="仿宋" w:eastAsia="仿宋_GB2312" w:cs="仿宋_GB2312"/>
          <w:color w:val="auto"/>
          <w:sz w:val="24"/>
          <w:szCs w:val="24"/>
          <w:highlight w:val="none"/>
        </w:rPr>
        <w:t>；</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(3)</w:t>
      </w:r>
      <w:r>
        <w:rPr>
          <w:rFonts w:hint="eastAsia" w:ascii="仿宋_GB2312" w:hAnsi="仿宋" w:eastAsia="仿宋_GB2312" w:cs="仿宋_GB2312"/>
          <w:color w:val="auto"/>
          <w:kern w:val="44"/>
          <w:sz w:val="24"/>
          <w:szCs w:val="24"/>
          <w:highlight w:val="none"/>
        </w:rPr>
        <w:t>投标人须知</w:t>
      </w:r>
      <w:r>
        <w:rPr>
          <w:rFonts w:hint="eastAsia" w:ascii="仿宋_GB2312" w:hAnsi="仿宋" w:eastAsia="仿宋_GB2312" w:cs="仿宋_GB2312"/>
          <w:color w:val="auto"/>
          <w:sz w:val="24"/>
          <w:szCs w:val="24"/>
          <w:highlight w:val="none"/>
        </w:rPr>
        <w:t>要求投标人提交的全部文件；</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 xml:space="preserve"> (4)按招标文件要求提供和交付的货物和服务的投标报价详见投标(开标)一览表；</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(5)保证忠实地执行双方所签订的合同，并承担合同规定的责任和义务；</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(6)保证遵守招标文件中的其他有关规定。</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5、我方承诺投标有效期从提交投标文件的截止之日起</w:t>
      </w:r>
      <w:r>
        <w:rPr>
          <w:rFonts w:hint="eastAsia"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天，不少于招标文件中载明的投标有效期（从提交投标文件的截止之日起90天）。</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6、我方完全理解贵方不一定要接受最低价的投标。</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7、我方愿意向贵方提供任何与该项投标有关的数据、情况和技术资料。若贵方需要，我方愿意提供我方作出的一切承诺的证明材料。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8、我方已详细审核全部招标文件，包括招标文件修改书(如果有)、参考资料及有关附件，确认无误。</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a)提供虚假材料谋取中标、成交的；</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b)采取不正当手段诋毁、排挤其他供应商的；</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c)与采购人、其它供应商或者采购机构恶意串通的；</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d)向采购人、采购机构行贿或者提供其他不正当利益的；</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e)在招标采购过程中与采购人进行协商谈判的；</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f)拒绝有关部门监督检查或提供虚假情况的。</w:t>
      </w:r>
    </w:p>
    <w:p>
      <w:pPr>
        <w:adjustRightInd w:val="0"/>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供应商有前款第a)至e)项情形之一的，中标、成交无效。</w:t>
      </w:r>
    </w:p>
    <w:p>
      <w:pPr>
        <w:adjustRightInd w:val="0"/>
        <w:spacing w:line="360" w:lineRule="auto"/>
        <w:ind w:firstLine="3600" w:firstLineChars="15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 xml:space="preserve">投标人名称（电子签名）：                          </w:t>
      </w:r>
    </w:p>
    <w:p>
      <w:pPr>
        <w:adjustRightIn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 xml:space="preserve">     日期：  年   月   日</w:t>
      </w:r>
    </w:p>
    <w:p>
      <w:pPr>
        <w:adjustRightInd w:val="0"/>
        <w:snapToGrid w:val="0"/>
        <w:spacing w:line="360" w:lineRule="auto"/>
        <w:ind w:left="420" w:leftChars="200" w:firstLine="4200" w:firstLineChars="1750"/>
        <w:rPr>
          <w:rFonts w:ascii="仿宋_GB2312" w:hAnsi="仿宋" w:eastAsia="仿宋_GB2312" w:cs="仿宋_GB2312"/>
          <w:color w:val="auto"/>
          <w:kern w:val="0"/>
          <w:sz w:val="24"/>
          <w:szCs w:val="24"/>
          <w:highlight w:val="none"/>
          <w:u w:val="single"/>
          <w:lang w:val="zh-CN"/>
        </w:rPr>
      </w:pPr>
    </w:p>
    <w:p>
      <w:pPr>
        <w:adjustRightInd w:val="0"/>
        <w:snapToGrid w:val="0"/>
        <w:spacing w:line="360" w:lineRule="auto"/>
        <w:ind w:left="420" w:leftChars="200"/>
        <w:rPr>
          <w:rFonts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联系人：</w:t>
      </w:r>
      <w:r>
        <w:rPr>
          <w:rFonts w:hint="eastAsia" w:ascii="仿宋_GB2312" w:hAnsi="仿宋" w:eastAsia="仿宋_GB2312" w:cs="仿宋_GB2312"/>
          <w:color w:val="auto"/>
          <w:kern w:val="0"/>
          <w:sz w:val="24"/>
          <w:szCs w:val="24"/>
          <w:highlight w:val="none"/>
          <w:u w:val="single"/>
          <w:lang w:val="zh-CN"/>
        </w:rPr>
        <w:t xml:space="preserve">                           </w:t>
      </w:r>
      <w:r>
        <w:rPr>
          <w:rFonts w:hint="eastAsia" w:ascii="仿宋_GB2312" w:hAnsi="仿宋" w:eastAsia="仿宋_GB2312" w:cs="仿宋_GB2312"/>
          <w:color w:val="auto"/>
          <w:kern w:val="0"/>
          <w:sz w:val="24"/>
          <w:szCs w:val="24"/>
          <w:highlight w:val="none"/>
          <w:lang w:val="zh-CN"/>
        </w:rPr>
        <w:t xml:space="preserve">联系电话： </w:t>
      </w:r>
      <w:r>
        <w:rPr>
          <w:rFonts w:hint="eastAsia" w:ascii="仿宋_GB2312" w:hAnsi="仿宋" w:eastAsia="仿宋_GB2312" w:cs="仿宋_GB2312"/>
          <w:color w:val="auto"/>
          <w:kern w:val="0"/>
          <w:sz w:val="24"/>
          <w:szCs w:val="24"/>
          <w:highlight w:val="none"/>
          <w:u w:val="single"/>
          <w:lang w:val="zh-CN"/>
        </w:rPr>
        <w:t xml:space="preserve">                </w:t>
      </w:r>
    </w:p>
    <w:p>
      <w:pPr>
        <w:adjustRightInd w:val="0"/>
        <w:snapToGrid w:val="0"/>
        <w:spacing w:line="360" w:lineRule="auto"/>
        <w:ind w:left="420" w:leftChars="200"/>
        <w:rPr>
          <w:rFonts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联系地址：</w:t>
      </w:r>
      <w:r>
        <w:rPr>
          <w:rFonts w:hint="eastAsia" w:ascii="仿宋_GB2312" w:hAnsi="仿宋" w:eastAsia="仿宋_GB2312" w:cs="仿宋_GB2312"/>
          <w:color w:val="auto"/>
          <w:kern w:val="0"/>
          <w:sz w:val="24"/>
          <w:szCs w:val="24"/>
          <w:highlight w:val="none"/>
          <w:u w:val="single"/>
          <w:lang w:val="zh-CN"/>
        </w:rPr>
        <w:t xml:space="preserve">                                                    </w:t>
      </w:r>
    </w:p>
    <w:p>
      <w:pPr>
        <w:adjustRightInd w:val="0"/>
        <w:snapToGrid w:val="0"/>
        <w:spacing w:line="360" w:lineRule="auto"/>
        <w:ind w:left="420" w:leftChars="200"/>
        <w:rPr>
          <w:rFonts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邮政编码：</w:t>
      </w:r>
      <w:r>
        <w:rPr>
          <w:rFonts w:hint="eastAsia" w:ascii="仿宋_GB2312" w:hAnsi="仿宋" w:eastAsia="仿宋_GB2312" w:cs="仿宋_GB2312"/>
          <w:color w:val="auto"/>
          <w:kern w:val="0"/>
          <w:sz w:val="24"/>
          <w:szCs w:val="24"/>
          <w:highlight w:val="none"/>
          <w:u w:val="single"/>
          <w:lang w:val="zh-CN"/>
        </w:rPr>
        <w:t xml:space="preserve">                     </w:t>
      </w:r>
      <w:r>
        <w:rPr>
          <w:rFonts w:hint="eastAsia" w:ascii="仿宋_GB2312" w:hAnsi="仿宋" w:eastAsia="仿宋_GB2312" w:cs="仿宋_GB2312"/>
          <w:color w:val="auto"/>
          <w:kern w:val="0"/>
          <w:sz w:val="24"/>
          <w:szCs w:val="24"/>
          <w:highlight w:val="none"/>
          <w:lang w:val="zh-CN"/>
        </w:rPr>
        <w:t>传真号码：</w:t>
      </w:r>
      <w:r>
        <w:rPr>
          <w:rFonts w:hint="eastAsia" w:ascii="仿宋_GB2312" w:hAnsi="仿宋" w:eastAsia="仿宋_GB2312" w:cs="仿宋_GB2312"/>
          <w:color w:val="auto"/>
          <w:kern w:val="0"/>
          <w:sz w:val="24"/>
          <w:szCs w:val="24"/>
          <w:highlight w:val="none"/>
          <w:u w:val="single"/>
          <w:lang w:val="zh-CN"/>
        </w:rPr>
        <w:t xml:space="preserve">                     </w:t>
      </w:r>
    </w:p>
    <w:p>
      <w:pPr>
        <w:adjustRightInd w:val="0"/>
        <w:snapToGrid w:val="0"/>
        <w:spacing w:line="360" w:lineRule="auto"/>
        <w:rPr>
          <w:rFonts w:ascii="仿宋_GB2312" w:hAnsi="仿宋" w:eastAsia="仿宋_GB2312" w:cs="仿宋_GB2312"/>
          <w:color w:val="auto"/>
          <w:sz w:val="24"/>
          <w:szCs w:val="24"/>
          <w:highlight w:val="none"/>
        </w:rPr>
      </w:pPr>
      <w:r>
        <w:rPr>
          <w:rFonts w:hint="eastAsia" w:ascii="仿宋_GB2312" w:hAnsi="仿宋" w:eastAsia="仿宋_GB2312" w:cs="仿宋_GB2312"/>
          <w:b/>
          <w:color w:val="auto"/>
          <w:kern w:val="0"/>
          <w:sz w:val="24"/>
          <w:szCs w:val="24"/>
          <w:highlight w:val="none"/>
          <w:lang w:val="zh-CN"/>
        </w:rPr>
        <w:t>注：未按照本投标响应函要求填报的将被视为非实质性响应投标，从而可能导致该投标被拒绝。</w:t>
      </w:r>
    </w:p>
    <w:p>
      <w:pPr>
        <w:adjustRightInd w:val="0"/>
        <w:snapToGrid w:val="0"/>
        <w:spacing w:before="120" w:after="120" w:line="360" w:lineRule="auto"/>
        <w:ind w:firstLine="643"/>
        <w:jc w:val="center"/>
        <w:rPr>
          <w:rFonts w:ascii="仿宋_GB2312" w:hAnsi="仿宋" w:eastAsia="仿宋_GB2312" w:cs="仿宋_GB2312"/>
          <w:b/>
          <w:color w:val="auto"/>
          <w:sz w:val="32"/>
          <w:szCs w:val="32"/>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adjustRightInd w:val="0"/>
        <w:snapToGrid w:val="0"/>
        <w:spacing w:before="120" w:after="120" w:line="360" w:lineRule="auto"/>
        <w:ind w:firstLine="643"/>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二、投标(开标)一览表</w:t>
      </w:r>
    </w:p>
    <w:p>
      <w:pPr>
        <w:adjustRightInd w:val="0"/>
        <w:snapToGrid w:val="0"/>
        <w:spacing w:line="360" w:lineRule="auto"/>
        <w:rPr>
          <w:rFonts w:ascii="仿宋_GB2312" w:hAnsi="仿宋" w:eastAsia="仿宋_GB2312" w:cs="仿宋_GB2312"/>
          <w:color w:val="auto"/>
          <w:kern w:val="0"/>
          <w:sz w:val="24"/>
          <w:szCs w:val="24"/>
          <w:highlight w:val="none"/>
        </w:rPr>
      </w:pPr>
      <w:bookmarkStart w:id="552" w:name="_Toc86217005"/>
      <w:r>
        <w:rPr>
          <w:rFonts w:hint="eastAsia" w:ascii="仿宋_GB2312" w:hAnsi="仿宋" w:eastAsia="仿宋_GB2312" w:cs="仿宋_GB2312"/>
          <w:color w:val="auto"/>
          <w:sz w:val="24"/>
          <w:szCs w:val="24"/>
          <w:highlight w:val="none"/>
        </w:rPr>
        <w:t>XXX（采购人名称）、</w:t>
      </w:r>
      <w:r>
        <w:rPr>
          <w:rFonts w:hint="eastAsia" w:ascii="仿宋_GB2312" w:hAnsi="仿宋" w:eastAsia="仿宋_GB2312" w:cs="仿宋_GB2312"/>
          <w:color w:val="auto"/>
          <w:sz w:val="24"/>
          <w:szCs w:val="24"/>
          <w:highlight w:val="none"/>
          <w:lang w:eastAsia="zh-CN"/>
        </w:rPr>
        <w:t>杭州建设工程造价咨询有限公司</w:t>
      </w:r>
      <w:r>
        <w:rPr>
          <w:rFonts w:hint="eastAsia" w:ascii="仿宋_GB2312" w:hAnsi="仿宋" w:eastAsia="仿宋_GB2312" w:cs="仿宋_GB2312"/>
          <w:color w:val="auto"/>
          <w:kern w:val="0"/>
          <w:sz w:val="24"/>
          <w:szCs w:val="24"/>
          <w:highlight w:val="none"/>
          <w:lang w:val="zh-CN"/>
        </w:rPr>
        <w:t>：</w:t>
      </w:r>
    </w:p>
    <w:p>
      <w:pPr>
        <w:adjustRightInd w:val="0"/>
        <w:snapToGrid w:val="0"/>
        <w:spacing w:line="360" w:lineRule="auto"/>
        <w:ind w:firstLine="482"/>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color w:val="auto"/>
          <w:sz w:val="24"/>
          <w:szCs w:val="24"/>
          <w:highlight w:val="none"/>
        </w:rPr>
        <w:t>XXXXXX项目</w:t>
      </w:r>
      <w:r>
        <w:rPr>
          <w:rFonts w:hint="eastAsia" w:ascii="仿宋_GB2312" w:hAnsi="仿宋" w:eastAsia="仿宋_GB2312" w:cs="仿宋_GB2312"/>
          <w:color w:val="auto"/>
          <w:kern w:val="0"/>
          <w:sz w:val="24"/>
          <w:szCs w:val="24"/>
          <w:highlight w:val="none"/>
          <w:lang w:val="zh-CN"/>
        </w:rPr>
        <w:t>【招标编号：</w:t>
      </w:r>
      <w:r>
        <w:rPr>
          <w:rFonts w:hint="eastAsia" w:ascii="仿宋_GB2312" w:hAnsi="仿宋" w:eastAsia="仿宋_GB2312" w:cs="仿宋_GB2312"/>
          <w:color w:val="auto"/>
          <w:sz w:val="24"/>
          <w:szCs w:val="24"/>
          <w:highlight w:val="none"/>
        </w:rPr>
        <w:t>XXX】的实施</w:t>
      </w:r>
      <w:r>
        <w:rPr>
          <w:rFonts w:hint="eastAsia" w:ascii="仿宋_GB2312" w:hAnsi="仿宋" w:eastAsia="仿宋_GB2312" w:cs="仿宋_GB2312"/>
          <w:color w:val="auto"/>
          <w:kern w:val="0"/>
          <w:sz w:val="24"/>
          <w:szCs w:val="24"/>
          <w:highlight w:val="none"/>
          <w:lang w:val="zh-CN"/>
        </w:rPr>
        <w:t>。</w:t>
      </w:r>
    </w:p>
    <w:p>
      <w:pPr>
        <w:adjustRightInd w:val="0"/>
        <w:spacing w:line="360" w:lineRule="auto"/>
        <w:jc w:val="center"/>
        <w:rPr>
          <w:rFonts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投标(开标)一览表(单位均为人民币元)</w:t>
      </w:r>
    </w:p>
    <w:tbl>
      <w:tblPr>
        <w:tblStyle w:val="62"/>
        <w:tblW w:w="53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414"/>
        <w:gridCol w:w="1559"/>
        <w:gridCol w:w="1155"/>
        <w:gridCol w:w="1192"/>
        <w:gridCol w:w="907"/>
        <w:gridCol w:w="786"/>
        <w:gridCol w:w="774"/>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59" w:type="pct"/>
            <w:vAlign w:val="center"/>
          </w:tcPr>
          <w:p>
            <w:pPr>
              <w:adjustRightIn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Times New Roman"/>
                <w:b/>
                <w:color w:val="auto"/>
                <w:sz w:val="24"/>
                <w:szCs w:val="24"/>
                <w:highlight w:val="none"/>
              </w:rPr>
              <w:t>序号</w:t>
            </w:r>
          </w:p>
        </w:tc>
        <w:tc>
          <w:tcPr>
            <w:tcW w:w="714" w:type="pct"/>
            <w:vAlign w:val="center"/>
          </w:tcPr>
          <w:p>
            <w:pPr>
              <w:adjustRightIn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Times New Roman"/>
                <w:b/>
                <w:color w:val="auto"/>
                <w:sz w:val="24"/>
                <w:szCs w:val="24"/>
                <w:highlight w:val="none"/>
              </w:rPr>
              <w:t>名称</w:t>
            </w:r>
          </w:p>
        </w:tc>
        <w:tc>
          <w:tcPr>
            <w:tcW w:w="787" w:type="pct"/>
            <w:vAlign w:val="center"/>
          </w:tcPr>
          <w:p>
            <w:pPr>
              <w:adjustRightInd w:val="0"/>
              <w:spacing w:line="360" w:lineRule="auto"/>
              <w:jc w:val="center"/>
              <w:rPr>
                <w:rFonts w:hint="eastAsia" w:ascii="仿宋_GB2312" w:hAnsi="仿宋" w:eastAsia="仿宋_GB2312" w:cs="Times New Roman"/>
                <w:b/>
                <w:color w:val="auto"/>
                <w:sz w:val="24"/>
                <w:szCs w:val="24"/>
                <w:highlight w:val="none"/>
                <w:lang w:eastAsia="zh-CN"/>
              </w:rPr>
            </w:pPr>
            <w:r>
              <w:rPr>
                <w:rFonts w:hint="eastAsia" w:ascii="仿宋_GB2312" w:hAnsi="仿宋" w:eastAsia="仿宋_GB2312" w:cs="Times New Roman"/>
                <w:b/>
                <w:color w:val="auto"/>
                <w:sz w:val="24"/>
                <w:szCs w:val="24"/>
                <w:highlight w:val="none"/>
                <w:lang w:eastAsia="zh-CN"/>
              </w:rPr>
              <w:t>制造商名称</w:t>
            </w:r>
          </w:p>
        </w:tc>
        <w:tc>
          <w:tcPr>
            <w:tcW w:w="583" w:type="pct"/>
            <w:vAlign w:val="center"/>
          </w:tcPr>
          <w:p>
            <w:pPr>
              <w:adjustRightIn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Times New Roman"/>
                <w:b/>
                <w:color w:val="auto"/>
                <w:sz w:val="24"/>
                <w:szCs w:val="24"/>
                <w:highlight w:val="none"/>
              </w:rPr>
              <w:t>品牌</w:t>
            </w:r>
          </w:p>
        </w:tc>
        <w:tc>
          <w:tcPr>
            <w:tcW w:w="601" w:type="pct"/>
            <w:vAlign w:val="center"/>
          </w:tcPr>
          <w:p>
            <w:pPr>
              <w:adjustRightIn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Times New Roman"/>
                <w:b/>
                <w:color w:val="auto"/>
                <w:sz w:val="24"/>
                <w:szCs w:val="24"/>
                <w:highlight w:val="none"/>
              </w:rPr>
              <w:t>规格型号</w:t>
            </w:r>
          </w:p>
        </w:tc>
        <w:tc>
          <w:tcPr>
            <w:tcW w:w="458" w:type="pct"/>
            <w:vAlign w:val="center"/>
          </w:tcPr>
          <w:p>
            <w:pPr>
              <w:adjustRightIn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Times New Roman"/>
                <w:b/>
                <w:color w:val="auto"/>
                <w:sz w:val="24"/>
                <w:szCs w:val="24"/>
                <w:highlight w:val="none"/>
              </w:rPr>
              <w:t>数量</w:t>
            </w:r>
          </w:p>
        </w:tc>
        <w:tc>
          <w:tcPr>
            <w:tcW w:w="397" w:type="pct"/>
            <w:vAlign w:val="center"/>
          </w:tcPr>
          <w:p>
            <w:pPr>
              <w:adjustRightIn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Times New Roman"/>
                <w:b/>
                <w:color w:val="auto"/>
                <w:sz w:val="24"/>
                <w:szCs w:val="24"/>
                <w:highlight w:val="none"/>
              </w:rPr>
              <w:t>单价</w:t>
            </w:r>
          </w:p>
        </w:tc>
        <w:tc>
          <w:tcPr>
            <w:tcW w:w="391" w:type="pct"/>
            <w:vAlign w:val="center"/>
          </w:tcPr>
          <w:p>
            <w:pPr>
              <w:adjustRightIn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Times New Roman"/>
                <w:b/>
                <w:color w:val="auto"/>
                <w:sz w:val="24"/>
                <w:szCs w:val="24"/>
                <w:highlight w:val="none"/>
              </w:rPr>
              <w:t>总价</w:t>
            </w:r>
          </w:p>
        </w:tc>
        <w:tc>
          <w:tcPr>
            <w:tcW w:w="706" w:type="pct"/>
            <w:vAlign w:val="center"/>
          </w:tcPr>
          <w:p>
            <w:pPr>
              <w:adjustRightInd w:val="0"/>
              <w:spacing w:line="360" w:lineRule="auto"/>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59" w:type="pct"/>
            <w:vAlign w:val="center"/>
          </w:tcPr>
          <w:p>
            <w:pPr>
              <w:adjustRightIn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w:t>
            </w:r>
          </w:p>
        </w:tc>
        <w:tc>
          <w:tcPr>
            <w:tcW w:w="714"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787"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583"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601"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458"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397"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391"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706" w:type="pct"/>
            <w:vMerge w:val="restart"/>
            <w:vAlign w:val="center"/>
          </w:tcPr>
          <w:p>
            <w:pPr>
              <w:adjustRightInd w:val="0"/>
              <w:spacing w:line="360" w:lineRule="auto"/>
              <w:jc w:val="center"/>
              <w:rPr>
                <w:rFonts w:ascii="仿宋_GB2312" w:hAnsi="仿宋"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2</w:t>
            </w:r>
          </w:p>
        </w:tc>
        <w:tc>
          <w:tcPr>
            <w:tcW w:w="714"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787"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583"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601"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458"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397"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391"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706" w:type="pct"/>
            <w:vMerge w:val="continue"/>
            <w:vAlign w:val="center"/>
          </w:tcPr>
          <w:p>
            <w:pPr>
              <w:adjustRightInd w:val="0"/>
              <w:spacing w:line="360" w:lineRule="auto"/>
              <w:jc w:val="center"/>
              <w:rPr>
                <w:rFonts w:ascii="仿宋_GB2312" w:hAnsi="仿宋"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3</w:t>
            </w:r>
          </w:p>
        </w:tc>
        <w:tc>
          <w:tcPr>
            <w:tcW w:w="714" w:type="pct"/>
            <w:vAlign w:val="center"/>
          </w:tcPr>
          <w:p>
            <w:pPr>
              <w:adjustRightInd w:val="0"/>
              <w:snapToGrid w:val="0"/>
              <w:spacing w:line="360" w:lineRule="auto"/>
              <w:jc w:val="center"/>
              <w:rPr>
                <w:rFonts w:ascii="仿宋_GB2312" w:hAnsi="宋体" w:eastAsia="仿宋_GB2312" w:cs="Times New Roman"/>
                <w:b/>
                <w:color w:val="auto"/>
                <w:sz w:val="24"/>
                <w:szCs w:val="24"/>
                <w:highlight w:val="none"/>
              </w:rPr>
            </w:pPr>
          </w:p>
        </w:tc>
        <w:tc>
          <w:tcPr>
            <w:tcW w:w="787"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583"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601"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458"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397"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391"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706" w:type="pct"/>
            <w:vMerge w:val="continue"/>
            <w:vAlign w:val="center"/>
          </w:tcPr>
          <w:p>
            <w:pPr>
              <w:adjustRightInd w:val="0"/>
              <w:spacing w:line="360" w:lineRule="auto"/>
              <w:jc w:val="center"/>
              <w:rPr>
                <w:rFonts w:ascii="仿宋_GB2312" w:hAnsi="仿宋"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4</w:t>
            </w:r>
          </w:p>
        </w:tc>
        <w:tc>
          <w:tcPr>
            <w:tcW w:w="714" w:type="pct"/>
            <w:vAlign w:val="center"/>
          </w:tcPr>
          <w:p>
            <w:pPr>
              <w:adjustRightInd w:val="0"/>
              <w:snapToGrid w:val="0"/>
              <w:spacing w:line="360" w:lineRule="auto"/>
              <w:jc w:val="center"/>
              <w:rPr>
                <w:rFonts w:ascii="仿宋_GB2312" w:hAnsi="宋体" w:eastAsia="仿宋_GB2312" w:cs="Times New Roman"/>
                <w:b/>
                <w:color w:val="auto"/>
                <w:sz w:val="24"/>
                <w:szCs w:val="24"/>
                <w:highlight w:val="none"/>
              </w:rPr>
            </w:pPr>
          </w:p>
        </w:tc>
        <w:tc>
          <w:tcPr>
            <w:tcW w:w="787"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583"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601"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458"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397"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391"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706" w:type="pct"/>
            <w:vMerge w:val="continue"/>
            <w:vAlign w:val="center"/>
          </w:tcPr>
          <w:p>
            <w:pPr>
              <w:adjustRightInd w:val="0"/>
              <w:spacing w:line="360" w:lineRule="auto"/>
              <w:jc w:val="center"/>
              <w:rPr>
                <w:rFonts w:ascii="仿宋_GB2312" w:hAnsi="仿宋"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5</w:t>
            </w:r>
          </w:p>
        </w:tc>
        <w:tc>
          <w:tcPr>
            <w:tcW w:w="714"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787"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583"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601"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458"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397"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391"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706" w:type="pct"/>
            <w:vMerge w:val="continue"/>
            <w:vAlign w:val="center"/>
          </w:tcPr>
          <w:p>
            <w:pPr>
              <w:adjustRightInd w:val="0"/>
              <w:spacing w:line="360" w:lineRule="auto"/>
              <w:jc w:val="center"/>
              <w:rPr>
                <w:rFonts w:ascii="仿宋_GB2312" w:hAnsi="仿宋"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6</w:t>
            </w:r>
          </w:p>
        </w:tc>
        <w:tc>
          <w:tcPr>
            <w:tcW w:w="714"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787"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583"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601"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458"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397"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391"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706" w:type="pct"/>
            <w:vMerge w:val="continue"/>
            <w:vAlign w:val="center"/>
          </w:tcPr>
          <w:p>
            <w:pPr>
              <w:adjustRightInd w:val="0"/>
              <w:spacing w:line="360" w:lineRule="auto"/>
              <w:jc w:val="center"/>
              <w:rPr>
                <w:rFonts w:ascii="仿宋_GB2312" w:hAnsi="仿宋"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7</w:t>
            </w:r>
          </w:p>
        </w:tc>
        <w:tc>
          <w:tcPr>
            <w:tcW w:w="714" w:type="pct"/>
            <w:vAlign w:val="center"/>
          </w:tcPr>
          <w:p>
            <w:pPr>
              <w:adjustRightInd w:val="0"/>
              <w:snapToGrid w:val="0"/>
              <w:spacing w:line="360" w:lineRule="auto"/>
              <w:jc w:val="center"/>
              <w:rPr>
                <w:rFonts w:ascii="仿宋_GB2312" w:hAnsi="宋体" w:eastAsia="仿宋_GB2312" w:cs="Times New Roman"/>
                <w:b/>
                <w:color w:val="auto"/>
                <w:sz w:val="24"/>
                <w:szCs w:val="24"/>
                <w:highlight w:val="none"/>
              </w:rPr>
            </w:pPr>
          </w:p>
        </w:tc>
        <w:tc>
          <w:tcPr>
            <w:tcW w:w="787"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583"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601"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458"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397"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391"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706" w:type="pct"/>
            <w:vMerge w:val="continue"/>
            <w:vAlign w:val="center"/>
          </w:tcPr>
          <w:p>
            <w:pPr>
              <w:adjustRightInd w:val="0"/>
              <w:spacing w:line="360" w:lineRule="auto"/>
              <w:jc w:val="center"/>
              <w:rPr>
                <w:rFonts w:ascii="仿宋_GB2312" w:hAnsi="仿宋"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8</w:t>
            </w:r>
          </w:p>
        </w:tc>
        <w:tc>
          <w:tcPr>
            <w:tcW w:w="714" w:type="pct"/>
            <w:vAlign w:val="center"/>
          </w:tcPr>
          <w:p>
            <w:pPr>
              <w:adjustRightInd w:val="0"/>
              <w:snapToGrid w:val="0"/>
              <w:spacing w:line="360" w:lineRule="auto"/>
              <w:jc w:val="center"/>
              <w:rPr>
                <w:rFonts w:ascii="仿宋_GB2312" w:hAnsi="Times New Roman" w:eastAsia="仿宋_GB2312" w:cs="Times New Roman"/>
                <w:color w:val="auto"/>
                <w:sz w:val="24"/>
                <w:szCs w:val="24"/>
                <w:highlight w:val="none"/>
              </w:rPr>
            </w:pPr>
          </w:p>
        </w:tc>
        <w:tc>
          <w:tcPr>
            <w:tcW w:w="787"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583"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601"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458"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397"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391"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706" w:type="pct"/>
            <w:vMerge w:val="continue"/>
            <w:vAlign w:val="center"/>
          </w:tcPr>
          <w:p>
            <w:pPr>
              <w:adjustRightInd w:val="0"/>
              <w:spacing w:line="360" w:lineRule="auto"/>
              <w:jc w:val="center"/>
              <w:rPr>
                <w:rFonts w:ascii="仿宋_GB2312" w:hAnsi="仿宋"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9</w:t>
            </w:r>
          </w:p>
        </w:tc>
        <w:tc>
          <w:tcPr>
            <w:tcW w:w="714" w:type="pct"/>
            <w:vAlign w:val="center"/>
          </w:tcPr>
          <w:p>
            <w:pPr>
              <w:adjustRightInd w:val="0"/>
              <w:snapToGrid w:val="0"/>
              <w:spacing w:line="360" w:lineRule="auto"/>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w:t>
            </w:r>
          </w:p>
        </w:tc>
        <w:tc>
          <w:tcPr>
            <w:tcW w:w="787"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583"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601"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458" w:type="pct"/>
            <w:vAlign w:val="center"/>
          </w:tcPr>
          <w:p>
            <w:pPr>
              <w:adjustRightInd w:val="0"/>
              <w:snapToGrid w:val="0"/>
              <w:spacing w:line="360" w:lineRule="auto"/>
              <w:jc w:val="center"/>
              <w:rPr>
                <w:rFonts w:ascii="仿宋_GB2312" w:hAnsi="仿宋" w:eastAsia="仿宋_GB2312" w:cs="仿宋_GB2312"/>
                <w:color w:val="auto"/>
                <w:sz w:val="24"/>
                <w:szCs w:val="24"/>
                <w:highlight w:val="none"/>
              </w:rPr>
            </w:pPr>
          </w:p>
        </w:tc>
        <w:tc>
          <w:tcPr>
            <w:tcW w:w="397"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391" w:type="pct"/>
            <w:vAlign w:val="center"/>
          </w:tcPr>
          <w:p>
            <w:pPr>
              <w:adjustRightInd w:val="0"/>
              <w:spacing w:line="360" w:lineRule="auto"/>
              <w:jc w:val="center"/>
              <w:rPr>
                <w:rFonts w:ascii="仿宋_GB2312" w:hAnsi="仿宋" w:eastAsia="仿宋_GB2312" w:cs="仿宋_GB2312"/>
                <w:color w:val="auto"/>
                <w:sz w:val="24"/>
                <w:szCs w:val="24"/>
                <w:highlight w:val="none"/>
              </w:rPr>
            </w:pPr>
          </w:p>
        </w:tc>
        <w:tc>
          <w:tcPr>
            <w:tcW w:w="706" w:type="pct"/>
            <w:vMerge w:val="continue"/>
            <w:vAlign w:val="center"/>
          </w:tcPr>
          <w:p>
            <w:pPr>
              <w:adjustRightInd w:val="0"/>
              <w:spacing w:line="360" w:lineRule="auto"/>
              <w:jc w:val="center"/>
              <w:rPr>
                <w:rFonts w:ascii="仿宋_GB2312" w:hAnsi="仿宋"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59" w:type="pct"/>
            <w:vAlign w:val="center"/>
          </w:tcPr>
          <w:p>
            <w:pPr>
              <w:adjustRightInd w:val="0"/>
              <w:spacing w:line="360" w:lineRule="auto"/>
              <w:jc w:val="center"/>
              <w:rPr>
                <w:rFonts w:hint="eastAsia" w:ascii="仿宋_GB2312" w:hAnsi="仿宋" w:eastAsia="仿宋_GB2312" w:cs="仿宋_GB2312"/>
                <w:b/>
                <w:color w:val="auto"/>
                <w:sz w:val="24"/>
                <w:szCs w:val="24"/>
                <w:highlight w:val="none"/>
              </w:rPr>
            </w:pPr>
          </w:p>
        </w:tc>
        <w:tc>
          <w:tcPr>
            <w:tcW w:w="2686" w:type="pct"/>
            <w:gridSpan w:val="4"/>
            <w:vAlign w:val="center"/>
          </w:tcPr>
          <w:p>
            <w:pPr>
              <w:adjustRightIn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投标报价（小写）</w:t>
            </w:r>
          </w:p>
        </w:tc>
        <w:tc>
          <w:tcPr>
            <w:tcW w:w="1954" w:type="pct"/>
            <w:gridSpan w:val="4"/>
            <w:vAlign w:val="center"/>
          </w:tcPr>
          <w:p>
            <w:pPr>
              <w:adjustRightInd w:val="0"/>
              <w:spacing w:line="360" w:lineRule="auto"/>
              <w:jc w:val="center"/>
              <w:rPr>
                <w:rFonts w:ascii="仿宋_GB2312" w:hAnsi="仿宋"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59" w:type="pct"/>
            <w:vAlign w:val="center"/>
          </w:tcPr>
          <w:p>
            <w:pPr>
              <w:adjustRightInd w:val="0"/>
              <w:spacing w:line="360" w:lineRule="auto"/>
              <w:jc w:val="center"/>
              <w:rPr>
                <w:rFonts w:hint="eastAsia" w:ascii="仿宋_GB2312" w:hAnsi="仿宋" w:eastAsia="仿宋_GB2312" w:cs="仿宋_GB2312"/>
                <w:b/>
                <w:color w:val="auto"/>
                <w:sz w:val="24"/>
                <w:szCs w:val="24"/>
                <w:highlight w:val="none"/>
              </w:rPr>
            </w:pPr>
          </w:p>
        </w:tc>
        <w:tc>
          <w:tcPr>
            <w:tcW w:w="2686" w:type="pct"/>
            <w:gridSpan w:val="4"/>
            <w:vAlign w:val="center"/>
          </w:tcPr>
          <w:p>
            <w:pPr>
              <w:adjustRightInd w:val="0"/>
              <w:spacing w:line="360" w:lineRule="auto"/>
              <w:jc w:val="center"/>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投标报价（大写）</w:t>
            </w:r>
          </w:p>
        </w:tc>
        <w:tc>
          <w:tcPr>
            <w:tcW w:w="1954" w:type="pct"/>
            <w:gridSpan w:val="4"/>
            <w:vAlign w:val="center"/>
          </w:tcPr>
          <w:p>
            <w:pPr>
              <w:adjustRightInd w:val="0"/>
              <w:spacing w:line="360" w:lineRule="auto"/>
              <w:jc w:val="center"/>
              <w:rPr>
                <w:rFonts w:ascii="仿宋_GB2312" w:hAnsi="仿宋" w:eastAsia="仿宋_GB2312" w:cs="仿宋_GB2312"/>
                <w:color w:val="auto"/>
                <w:sz w:val="24"/>
                <w:szCs w:val="24"/>
                <w:highlight w:val="none"/>
              </w:rPr>
            </w:pPr>
          </w:p>
        </w:tc>
      </w:tr>
    </w:tbl>
    <w:p>
      <w:pPr>
        <w:adjustRightInd w:val="0"/>
        <w:snapToGrid w:val="0"/>
        <w:spacing w:line="360" w:lineRule="auto"/>
        <w:ind w:left="480"/>
        <w:rPr>
          <w:rFonts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注：</w:t>
      </w:r>
    </w:p>
    <w:p>
      <w:pPr>
        <w:adjustRightInd w:val="0"/>
        <w:spacing w:line="360" w:lineRule="auto"/>
        <w:ind w:left="-2" w:leftChars="-1" w:firstLine="480" w:firstLineChars="20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1、投标人需按本表格式填写，不得自行更改。</w:t>
      </w:r>
    </w:p>
    <w:p>
      <w:pPr>
        <w:adjustRightInd w:val="0"/>
        <w:snapToGrid w:val="0"/>
        <w:spacing w:line="360" w:lineRule="auto"/>
        <w:ind w:left="48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2、有关本项目实施所涉及的一切费用（详见前附表）均计入报价。</w:t>
      </w:r>
      <w:r>
        <w:rPr>
          <w:rFonts w:hint="eastAsia" w:ascii="仿宋_GB2312" w:hAnsi="仿宋" w:eastAsia="仿宋_GB2312" w:cs="Arial"/>
          <w:b/>
          <w:snapToGrid w:val="0"/>
          <w:color w:val="auto"/>
          <w:sz w:val="24"/>
          <w:szCs w:val="21"/>
          <w:highlight w:val="none"/>
        </w:rPr>
        <w:t>▲</w:t>
      </w:r>
      <w:r>
        <w:rPr>
          <w:rFonts w:hint="eastAsia" w:ascii="仿宋_GB2312" w:hAnsi="仿宋" w:eastAsia="仿宋_GB2312" w:cs="仿宋_GB2312"/>
          <w:b/>
          <w:color w:val="auto"/>
          <w:kern w:val="0"/>
          <w:sz w:val="24"/>
          <w:szCs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b/>
          <w:color w:val="auto"/>
          <w:kern w:val="0"/>
          <w:sz w:val="24"/>
          <w:szCs w:val="24"/>
          <w:highlight w:val="none"/>
          <w:lang w:val="zh-CN"/>
        </w:rPr>
        <w:t>各项明细费用请按实填写（不得出现“0元”“免费赠送”等形式的无偿报价）。</w:t>
      </w:r>
    </w:p>
    <w:p>
      <w:pPr>
        <w:adjustRightInd w:val="0"/>
        <w:snapToGrid w:val="0"/>
        <w:spacing w:line="360" w:lineRule="auto"/>
        <w:ind w:firstLine="480" w:firstLineChars="200"/>
        <w:jc w:val="left"/>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en-US" w:eastAsia="zh-CN"/>
        </w:rPr>
        <w:t>3</w:t>
      </w:r>
      <w:r>
        <w:rPr>
          <w:rFonts w:hint="eastAsia" w:ascii="仿宋_GB2312" w:hAnsi="仿宋" w:eastAsia="仿宋_GB2312" w:cs="仿宋_GB2312"/>
          <w:color w:val="auto"/>
          <w:kern w:val="0"/>
          <w:sz w:val="24"/>
          <w:szCs w:val="24"/>
          <w:highlight w:val="none"/>
          <w:lang w:val="zh-CN"/>
        </w:rPr>
        <w:t>、特别提示：采购机构将对项目名称和项目编号，中标供应商名称、地址和中标金额，主要中标标的的名称、规格型号、数量、单价、服务要求等予以公示。</w:t>
      </w:r>
    </w:p>
    <w:p>
      <w:pPr>
        <w:adjustRightInd w:val="0"/>
        <w:spacing w:line="360" w:lineRule="auto"/>
        <w:ind w:firstLine="480" w:firstLineChars="200"/>
        <w:rPr>
          <w:rFonts w:ascii="仿宋_GB2312" w:hAnsi="仿宋" w:eastAsia="仿宋_GB2312" w:cs="仿宋_GB2312"/>
          <w:color w:val="auto"/>
          <w:kern w:val="0"/>
          <w:sz w:val="24"/>
          <w:szCs w:val="24"/>
          <w:highlight w:val="none"/>
          <w:u w:val="single"/>
          <w:lang w:val="zh-CN"/>
        </w:rPr>
      </w:pPr>
      <w:r>
        <w:rPr>
          <w:rFonts w:hint="eastAsia" w:ascii="仿宋_GB2312" w:hAnsi="仿宋" w:eastAsia="仿宋_GB2312" w:cs="仿宋_GB2312"/>
          <w:color w:val="auto"/>
          <w:kern w:val="0"/>
          <w:sz w:val="24"/>
          <w:highlight w:val="none"/>
          <w:lang w:val="en-US" w:eastAsia="zh-CN"/>
        </w:rPr>
        <w:t>4</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szCs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szCs w:val="24"/>
          <w:highlight w:val="none"/>
          <w:lang w:val="zh-CN"/>
        </w:rPr>
        <w:t>提供</w:t>
      </w:r>
      <w:r>
        <w:rPr>
          <w:rFonts w:hint="eastAsia" w:ascii="仿宋_GB2312" w:hAnsi="仿宋" w:eastAsia="仿宋_GB2312" w:cs="仿宋_GB2312"/>
          <w:color w:val="auto"/>
          <w:kern w:val="0"/>
          <w:sz w:val="24"/>
          <w:szCs w:val="24"/>
          <w:highlight w:val="none"/>
          <w:lang w:val="zh-CN"/>
        </w:rPr>
        <w:t>的中小企业</w:t>
      </w:r>
      <w:r>
        <w:rPr>
          <w:rFonts w:ascii="仿宋_GB2312" w:hAnsi="仿宋" w:eastAsia="仿宋_GB2312" w:cs="仿宋_GB2312"/>
          <w:color w:val="auto"/>
          <w:kern w:val="0"/>
          <w:sz w:val="24"/>
          <w:szCs w:val="24"/>
          <w:highlight w:val="none"/>
          <w:lang w:val="zh-CN"/>
        </w:rPr>
        <w:t>声明函内容不实的，属于提供虚假材料谋取中标、成交，依照《中华人民共和国政府采购法》等国家有关规定追究相应责任。</w:t>
      </w:r>
    </w:p>
    <w:p>
      <w:pPr>
        <w:adjustRightInd w:val="0"/>
        <w:snapToGrid w:val="0"/>
        <w:spacing w:line="360" w:lineRule="auto"/>
        <w:ind w:firstLine="482" w:firstLineChars="200"/>
        <w:jc w:val="right"/>
        <w:rPr>
          <w:rFonts w:ascii="仿宋_GB2312" w:hAnsi="仿宋" w:eastAsia="仿宋_GB2312" w:cs="Times New Roman"/>
          <w:b/>
          <w:color w:val="auto"/>
          <w:kern w:val="0"/>
          <w:sz w:val="24"/>
          <w:szCs w:val="24"/>
          <w:highlight w:val="none"/>
        </w:rPr>
      </w:pPr>
    </w:p>
    <w:p>
      <w:pPr>
        <w:adjustRightInd w:val="0"/>
        <w:spacing w:line="360" w:lineRule="auto"/>
        <w:ind w:right="960"/>
        <w:jc w:val="both"/>
        <w:rPr>
          <w:rFonts w:hint="eastAsia" w:ascii="仿宋_GB2312" w:hAnsi="仿宋" w:eastAsia="仿宋_GB2312" w:cs="仿宋_GB2312"/>
          <w:color w:val="auto"/>
          <w:sz w:val="24"/>
          <w:szCs w:val="24"/>
          <w:highlight w:val="none"/>
          <w:lang w:eastAsia="zh-CN"/>
        </w:rPr>
      </w:pPr>
    </w:p>
    <w:p>
      <w:pPr>
        <w:adjustRightInd w:val="0"/>
        <w:spacing w:line="360" w:lineRule="auto"/>
        <w:ind w:right="960"/>
        <w:jc w:val="both"/>
        <w:rPr>
          <w:rFonts w:hint="eastAsia" w:ascii="仿宋_GB2312" w:hAnsi="仿宋" w:eastAsia="仿宋_GB2312" w:cs="仿宋_GB2312"/>
          <w:color w:val="auto"/>
          <w:sz w:val="24"/>
          <w:szCs w:val="24"/>
          <w:highlight w:val="none"/>
          <w:lang w:eastAsia="zh-CN"/>
        </w:rPr>
      </w:pPr>
    </w:p>
    <w:p>
      <w:pPr>
        <w:adjustRightInd w:val="0"/>
        <w:spacing w:line="360" w:lineRule="auto"/>
        <w:ind w:right="960"/>
        <w:jc w:val="both"/>
        <w:rPr>
          <w:rFonts w:hint="eastAsia" w:ascii="仿宋_GB2312" w:hAnsi="仿宋" w:eastAsia="仿宋_GB2312" w:cs="仿宋_GB2312"/>
          <w:color w:val="auto"/>
          <w:sz w:val="24"/>
          <w:szCs w:val="24"/>
          <w:highlight w:val="none"/>
          <w:lang w:eastAsia="zh-CN"/>
        </w:rPr>
      </w:pPr>
    </w:p>
    <w:p>
      <w:pPr>
        <w:adjustRightInd w:val="0"/>
        <w:spacing w:line="360" w:lineRule="auto"/>
        <w:ind w:right="960"/>
        <w:jc w:val="right"/>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投标</w:t>
      </w:r>
      <w:r>
        <w:rPr>
          <w:rFonts w:hint="eastAsia" w:ascii="仿宋_GB2312" w:hAnsi="仿宋" w:eastAsia="仿宋_GB2312" w:cs="仿宋_GB2312"/>
          <w:color w:val="auto"/>
          <w:sz w:val="24"/>
          <w:szCs w:val="24"/>
          <w:highlight w:val="none"/>
        </w:rPr>
        <w:t>人名称（电子签名）：</w:t>
      </w:r>
    </w:p>
    <w:p>
      <w:pPr>
        <w:adjustRightInd w:val="0"/>
        <w:spacing w:line="360" w:lineRule="auto"/>
        <w:ind w:right="480"/>
        <w:jc w:val="center"/>
        <w:rPr>
          <w:color w:val="auto"/>
          <w:sz w:val="24"/>
          <w:szCs w:val="24"/>
          <w:highlight w:val="none"/>
        </w:rPr>
        <w:sectPr>
          <w:pgSz w:w="11906" w:h="16838"/>
          <w:pgMar w:top="1247" w:right="1418" w:bottom="1276" w:left="1418" w:header="851" w:footer="992" w:gutter="0"/>
          <w:cols w:space="720" w:num="1"/>
          <w:titlePg/>
          <w:docGrid w:linePitch="312" w:charSpace="0"/>
        </w:sectPr>
      </w:pPr>
      <w:r>
        <w:rPr>
          <w:rFonts w:hint="eastAsia" w:ascii="仿宋_GB2312" w:hAnsi="仿宋" w:eastAsia="仿宋_GB2312" w:cs="仿宋_GB2312"/>
          <w:color w:val="auto"/>
          <w:sz w:val="24"/>
          <w:szCs w:val="24"/>
          <w:highlight w:val="none"/>
          <w:lang w:val="en-US" w:eastAsia="zh-CN"/>
        </w:rPr>
        <w:t xml:space="preserve">                                   </w:t>
      </w:r>
      <w:r>
        <w:rPr>
          <w:rFonts w:hint="eastAsia" w:ascii="仿宋_GB2312" w:hAnsi="仿宋" w:eastAsia="仿宋_GB2312" w:cs="仿宋_GB2312"/>
          <w:color w:val="auto"/>
          <w:sz w:val="24"/>
          <w:szCs w:val="24"/>
          <w:highlight w:val="none"/>
        </w:rPr>
        <w:t xml:space="preserve">日期：  年   月  </w:t>
      </w:r>
      <w:bookmarkEnd w:id="552"/>
      <w:r>
        <w:rPr>
          <w:rFonts w:hint="eastAsia" w:ascii="仿宋_GB2312" w:hAnsi="仿宋" w:eastAsia="仿宋_GB2312" w:cs="仿宋_GB2312"/>
          <w:color w:val="auto"/>
          <w:sz w:val="24"/>
          <w:szCs w:val="24"/>
          <w:highlight w:val="none"/>
          <w:lang w:eastAsia="zh-CN"/>
        </w:rPr>
        <w:t>日</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pStyle w:val="44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）资信文件复印件（如果要求提供）…………………………</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 （页码）</w:t>
      </w:r>
    </w:p>
    <w:p>
      <w:pPr>
        <w:pStyle w:val="44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主要业绩证明… ……………………………………………………</w:t>
      </w:r>
      <w:r>
        <w:rPr>
          <w:rFonts w:hint="eastAsia" w:ascii="仿宋_GB2312" w:hAnsi="仿宋_GB2312" w:eastAsia="仿宋_GB2312" w:cs="仿宋_GB2312"/>
          <w:color w:val="auto"/>
          <w:highlight w:val="none"/>
        </w:rPr>
        <w:t>（页码）</w:t>
      </w:r>
    </w:p>
    <w:p>
      <w:pPr>
        <w:pStyle w:val="440"/>
        <w:spacing w:line="360" w:lineRule="auto"/>
        <w:rPr>
          <w:rFonts w:hint="eastAsia" w:ascii="仿宋_GB2312" w:hAnsi="仿宋_GB2312" w:eastAsia="仿宋_GB2312" w:cs="仿宋_GB2312"/>
          <w:color w:val="auto"/>
          <w:highlight w:val="none"/>
        </w:rPr>
      </w:pPr>
      <w:bookmarkStart w:id="553" w:name="OLE_LINK7"/>
      <w:bookmarkStart w:id="554" w:name="OLE_LINK6"/>
      <w:bookmarkStart w:id="555" w:name="OLE_LINK5"/>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）其他商务文件或说明</w:t>
      </w:r>
      <w:r>
        <w:rPr>
          <w:rFonts w:hint="eastAsia" w:ascii="仿宋_GB2312" w:hAnsi="仿宋_GB2312" w:eastAsia="仿宋_GB2312" w:cs="仿宋_GB2312"/>
          <w:color w:val="auto"/>
          <w:highlight w:val="none"/>
          <w:lang w:val="zh-CN"/>
        </w:rPr>
        <w:t xml:space="preserve">……………………………………………… </w:t>
      </w:r>
      <w:r>
        <w:rPr>
          <w:rFonts w:hint="eastAsia" w:ascii="仿宋_GB2312" w:hAnsi="仿宋_GB2312" w:eastAsia="仿宋_GB2312" w:cs="仿宋_GB2312"/>
          <w:color w:val="auto"/>
          <w:highlight w:val="none"/>
        </w:rPr>
        <w:t>（页码）</w:t>
      </w:r>
      <w:bookmarkEnd w:id="553"/>
      <w:bookmarkEnd w:id="554"/>
      <w:bookmarkEnd w:id="555"/>
    </w:p>
    <w:p>
      <w:pPr>
        <w:pStyle w:val="44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w:t>
      </w:r>
      <w:r>
        <w:rPr>
          <w:rFonts w:hint="eastAsia" w:ascii="仿宋_GB2312" w:hAnsi="仿宋" w:eastAsia="仿宋_GB2312" w:cs="仿宋_GB2312"/>
          <w:color w:val="auto"/>
          <w:kern w:val="0"/>
          <w:sz w:val="24"/>
          <w:highlight w:val="none"/>
        </w:rPr>
        <w:t>技术解决方案</w:t>
      </w:r>
      <w:r>
        <w:rPr>
          <w:rFonts w:hint="eastAsia" w:ascii="仿宋_GB2312" w:hAnsi="仿宋_GB2312" w:eastAsia="仿宋_GB2312" w:cs="仿宋_GB2312"/>
          <w:color w:val="auto"/>
          <w:highlight w:val="none"/>
        </w:rPr>
        <w:t>………………………………………………………（页码）</w:t>
      </w:r>
    </w:p>
    <w:p>
      <w:pPr>
        <w:pStyle w:val="44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w:t>
      </w:r>
      <w:r>
        <w:rPr>
          <w:rFonts w:hint="eastAsia" w:ascii="仿宋_GB2312" w:hAnsi="仿宋" w:eastAsia="仿宋_GB2312" w:cs="仿宋_GB2312"/>
          <w:color w:val="auto"/>
          <w:kern w:val="0"/>
          <w:sz w:val="24"/>
          <w:highlight w:val="none"/>
        </w:rPr>
        <w:t>技术偏离说明表</w:t>
      </w:r>
      <w:r>
        <w:rPr>
          <w:rFonts w:hint="eastAsia" w:ascii="仿宋_GB2312" w:hAnsi="仿宋_GB2312" w:eastAsia="仿宋_GB2312" w:cs="仿宋_GB2312"/>
          <w:color w:val="auto"/>
          <w:highlight w:val="none"/>
        </w:rPr>
        <w:t>……………………………………………………（页码）</w:t>
      </w:r>
    </w:p>
    <w:p>
      <w:pPr>
        <w:pStyle w:val="44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）组织实施方案………………………………………………………（页码）</w:t>
      </w:r>
    </w:p>
    <w:p>
      <w:pPr>
        <w:pStyle w:val="44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w:t>
      </w:r>
      <w:r>
        <w:rPr>
          <w:rFonts w:hint="eastAsia" w:ascii="仿宋_GB2312" w:hAnsi="仿宋" w:eastAsia="仿宋_GB2312" w:cs="仿宋_GB2312"/>
          <w:color w:val="auto"/>
          <w:kern w:val="0"/>
          <w:sz w:val="24"/>
          <w:highlight w:val="none"/>
        </w:rPr>
        <w:t>售后服务方案</w:t>
      </w:r>
      <w:r>
        <w:rPr>
          <w:rFonts w:hint="eastAsia" w:ascii="仿宋_GB2312" w:hAnsi="仿宋_GB2312" w:eastAsia="仿宋_GB2312" w:cs="仿宋_GB2312"/>
          <w:color w:val="auto"/>
          <w:highlight w:val="none"/>
        </w:rPr>
        <w:t xml:space="preserve"> ………………………………………………………（页码）</w:t>
      </w:r>
    </w:p>
    <w:p>
      <w:pPr>
        <w:pStyle w:val="44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w:t>
      </w:r>
      <w:r>
        <w:rPr>
          <w:rFonts w:hint="eastAsia" w:cs="仿宋_GB2312"/>
          <w:color w:val="auto"/>
          <w:kern w:val="0"/>
          <w:sz w:val="24"/>
          <w:highlight w:val="none"/>
          <w:lang w:val="en-US" w:eastAsia="zh-CN"/>
        </w:rPr>
        <w:t>人员计划表</w:t>
      </w:r>
      <w:r>
        <w:rPr>
          <w:rFonts w:hint="eastAsia" w:ascii="仿宋_GB2312" w:hAnsi="仿宋_GB2312" w:eastAsia="仿宋_GB2312" w:cs="仿宋_GB2312"/>
          <w:color w:val="auto"/>
          <w:highlight w:val="none"/>
        </w:rPr>
        <w:t xml:space="preserve"> …………………………………………………………（页码）</w:t>
      </w:r>
    </w:p>
    <w:p>
      <w:pPr>
        <w:pStyle w:val="44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hAnsi="仿宋_GB2312" w:cs="仿宋_GB2312"/>
          <w:color w:val="auto"/>
          <w:highlight w:val="none"/>
          <w:lang w:val="en-US" w:eastAsia="zh-CN"/>
        </w:rPr>
        <w:t>9</w:t>
      </w:r>
      <w:r>
        <w:rPr>
          <w:rFonts w:hint="eastAsia" w:ascii="仿宋_GB2312" w:hAnsi="仿宋_GB2312" w:eastAsia="仿宋_GB2312" w:cs="仿宋_GB2312"/>
          <w:color w:val="auto"/>
          <w:highlight w:val="none"/>
        </w:rPr>
        <w:t>）</w:t>
      </w:r>
      <w:r>
        <w:rPr>
          <w:rFonts w:hint="eastAsia" w:ascii="仿宋_GB2312" w:hAnsi="仿宋" w:eastAsia="仿宋_GB2312" w:cs="仿宋_GB2312"/>
          <w:color w:val="auto"/>
          <w:kern w:val="0"/>
          <w:sz w:val="24"/>
          <w:highlight w:val="none"/>
          <w:lang w:val="zh-CN"/>
        </w:rPr>
        <w:t>优惠条件及特殊承诺</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p>
    <w:p>
      <w:pPr>
        <w:pStyle w:val="440"/>
        <w:spacing w:line="360" w:lineRule="auto"/>
        <w:rPr>
          <w:rFonts w:hint="eastAsia" w:ascii="仿宋_GB2312" w:hAnsi="仿宋" w:eastAsia="仿宋_GB2312" w:cs="仿宋_GB2312"/>
          <w:color w:val="auto"/>
          <w:kern w:val="0"/>
          <w:sz w:val="24"/>
          <w:highlight w:val="none"/>
        </w:rPr>
      </w:pPr>
      <w:r>
        <w:rPr>
          <w:rFonts w:hint="eastAsia" w:cs="仿宋_GB2312"/>
          <w:color w:val="auto"/>
          <w:kern w:val="0"/>
          <w:sz w:val="24"/>
          <w:highlight w:val="none"/>
          <w:lang w:val="zh-CN"/>
        </w:rPr>
        <w:t>（</w:t>
      </w:r>
      <w:r>
        <w:rPr>
          <w:rFonts w:hint="eastAsia" w:cs="仿宋_GB2312"/>
          <w:color w:val="auto"/>
          <w:kern w:val="0"/>
          <w:sz w:val="24"/>
          <w:highlight w:val="none"/>
          <w:lang w:val="en-US" w:eastAsia="zh-CN"/>
        </w:rPr>
        <w:t>10</w:t>
      </w:r>
      <w:r>
        <w:rPr>
          <w:rFonts w:hint="eastAsia"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培训计划…………………………………………………………</w:t>
      </w:r>
      <w:r>
        <w:rPr>
          <w:rFonts w:hint="eastAsia" w:ascii="仿宋_GB2312" w:hAnsi="仿宋" w:eastAsia="仿宋_GB2312" w:cs="仿宋_GB2312"/>
          <w:color w:val="auto"/>
          <w:kern w:val="0"/>
          <w:sz w:val="24"/>
          <w:highlight w:val="none"/>
        </w:rPr>
        <w:t>（页码）</w:t>
      </w:r>
    </w:p>
    <w:p>
      <w:pPr>
        <w:pStyle w:val="44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en-US" w:eastAsia="zh-CN"/>
        </w:rPr>
        <w:t>1</w:t>
      </w:r>
      <w:r>
        <w:rPr>
          <w:rFonts w:hint="eastAsia" w:cs="仿宋_GB2312"/>
          <w:color w:val="auto"/>
          <w:kern w:val="0"/>
          <w:sz w:val="24"/>
          <w:highlight w:val="none"/>
          <w:lang w:val="en-US" w:eastAsia="zh-CN"/>
        </w:rPr>
        <w:t>1</w:t>
      </w:r>
      <w:r>
        <w:rPr>
          <w:rFonts w:hint="eastAsia" w:ascii="仿宋_GB2312" w:hAnsi="仿宋" w:eastAsia="仿宋_GB2312" w:cs="仿宋_GB2312"/>
          <w:color w:val="auto"/>
          <w:kern w:val="0"/>
          <w:sz w:val="24"/>
          <w:highlight w:val="none"/>
          <w:lang w:val="zh-CN"/>
        </w:rPr>
        <w:t>）认为需要的其他技术文件或说明………………………………</w:t>
      </w:r>
      <w:r>
        <w:rPr>
          <w:rFonts w:hint="eastAsia" w:ascii="仿宋_GB2312" w:hAnsi="仿宋" w:eastAsia="仿宋_GB2312" w:cs="仿宋_GB2312"/>
          <w:color w:val="auto"/>
          <w:kern w:val="0"/>
          <w:sz w:val="24"/>
          <w:highlight w:val="none"/>
        </w:rPr>
        <w:t>（页码）</w:t>
      </w:r>
    </w:p>
    <w:p>
      <w:pPr>
        <w:pStyle w:val="44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en-US" w:eastAsia="zh-CN"/>
        </w:rPr>
        <w:t>1</w:t>
      </w:r>
      <w:r>
        <w:rPr>
          <w:rFonts w:hint="eastAsia" w:cs="仿宋_GB2312"/>
          <w:color w:val="auto"/>
          <w:kern w:val="0"/>
          <w:sz w:val="24"/>
          <w:highlight w:val="none"/>
          <w:lang w:val="en-US" w:eastAsia="zh-CN"/>
        </w:rPr>
        <w:t>2</w:t>
      </w:r>
      <w:r>
        <w:rPr>
          <w:rFonts w:hint="eastAsia" w:ascii="仿宋_GB2312" w:hAnsi="仿宋" w:eastAsia="仿宋_GB2312" w:cs="仿宋_GB2312"/>
          <w:color w:val="auto"/>
          <w:kern w:val="0"/>
          <w:sz w:val="24"/>
          <w:highlight w:val="none"/>
          <w:lang w:val="zh-CN"/>
        </w:rPr>
        <w:t>）关于对招标文件中商务、合同有关条款的拒绝声明……………</w:t>
      </w:r>
      <w:r>
        <w:rPr>
          <w:rFonts w:hint="eastAsia" w:ascii="仿宋_GB2312" w:hAnsi="仿宋" w:eastAsia="仿宋_GB2312" w:cs="仿宋_GB2312"/>
          <w:color w:val="auto"/>
          <w:kern w:val="0"/>
          <w:sz w:val="24"/>
          <w:highlight w:val="none"/>
        </w:rPr>
        <w:t>（页码）</w:t>
      </w:r>
    </w:p>
    <w:p>
      <w:pPr>
        <w:pStyle w:val="440"/>
        <w:spacing w:line="360" w:lineRule="auto"/>
        <w:rPr>
          <w:rFonts w:hint="eastAsia" w:ascii="仿宋_GB2312" w:hAnsi="仿宋" w:eastAsia="仿宋_GB2312" w:cs="仿宋_GB2312"/>
          <w:color w:val="auto"/>
          <w:kern w:val="0"/>
          <w:sz w:val="24"/>
          <w:highlight w:val="none"/>
          <w:lang w:val="zh-CN" w:eastAsia="zh-CN"/>
        </w:rPr>
      </w:pPr>
      <w:r>
        <w:rPr>
          <w:rFonts w:hint="eastAsia" w:ascii="仿宋_GB2312" w:hAnsi="仿宋" w:eastAsia="仿宋_GB2312" w:cs="仿宋_GB2312"/>
          <w:color w:val="auto"/>
          <w:kern w:val="0"/>
          <w:sz w:val="24"/>
          <w:highlight w:val="none"/>
          <w:lang w:val="zh-CN" w:eastAsia="zh-CN"/>
        </w:rPr>
        <w:t>（</w:t>
      </w:r>
      <w:r>
        <w:rPr>
          <w:rFonts w:hint="eastAsia" w:ascii="仿宋_GB2312" w:hAnsi="仿宋" w:eastAsia="仿宋_GB2312" w:cs="仿宋_GB2312"/>
          <w:color w:val="auto"/>
          <w:kern w:val="0"/>
          <w:sz w:val="24"/>
          <w:highlight w:val="none"/>
          <w:lang w:val="en-US" w:eastAsia="zh-CN"/>
        </w:rPr>
        <w:t>1</w:t>
      </w:r>
      <w:r>
        <w:rPr>
          <w:rFonts w:hint="eastAsia" w:cs="仿宋_GB2312"/>
          <w:color w:val="auto"/>
          <w:kern w:val="0"/>
          <w:sz w:val="24"/>
          <w:highlight w:val="none"/>
          <w:lang w:val="en-US" w:eastAsia="zh-CN"/>
        </w:rPr>
        <w:t>3</w:t>
      </w:r>
      <w:r>
        <w:rPr>
          <w:rFonts w:hint="eastAsia" w:ascii="仿宋_GB2312" w:hAnsi="仿宋" w:eastAsia="仿宋_GB2312" w:cs="仿宋_GB2312"/>
          <w:color w:val="auto"/>
          <w:kern w:val="0"/>
          <w:sz w:val="24"/>
          <w:highlight w:val="none"/>
          <w:lang w:val="zh-CN" w:eastAsia="zh-CN"/>
        </w:rPr>
        <w:t>）廉政承诺书</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rPr>
        <w:t>（页码）</w:t>
      </w:r>
    </w:p>
    <w:p>
      <w:pPr>
        <w:pStyle w:val="440"/>
        <w:spacing w:line="360" w:lineRule="auto"/>
        <w:rPr>
          <w:rFonts w:hint="eastAsia" w:ascii="仿宋_GB2312" w:hAnsi="仿宋" w:eastAsia="仿宋_GB2312" w:cs="仿宋_GB2312"/>
          <w:color w:val="auto"/>
          <w:kern w:val="0"/>
          <w:sz w:val="24"/>
          <w:highlight w:val="none"/>
          <w:lang w:val="zh-CN"/>
        </w:rPr>
      </w:pPr>
    </w:p>
    <w:p>
      <w:pPr>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注：以上目录是基本格式要求，各投标人可根据自身情况进一步细化。</w:t>
      </w:r>
    </w:p>
    <w:p>
      <w:pPr>
        <w:spacing w:line="360" w:lineRule="auto"/>
        <w:jc w:val="center"/>
        <w:rPr>
          <w:rFonts w:hint="eastAsia" w:ascii="仿宋" w:hAnsi="仿宋" w:eastAsia="仿宋" w:cs="仿宋"/>
          <w:b/>
          <w:color w:val="auto"/>
          <w:sz w:val="32"/>
          <w:szCs w:val="32"/>
          <w:highlight w:val="none"/>
          <w:lang w:eastAsia="zh-CN"/>
        </w:rPr>
      </w:pPr>
    </w:p>
    <w:p>
      <w:pPr>
        <w:spacing w:line="360" w:lineRule="auto"/>
        <w:jc w:val="center"/>
        <w:rPr>
          <w:rFonts w:hint="eastAsia" w:ascii="仿宋" w:hAnsi="仿宋" w:eastAsia="仿宋" w:cs="仿宋"/>
          <w:b/>
          <w:color w:val="auto"/>
          <w:sz w:val="32"/>
          <w:szCs w:val="32"/>
          <w:highlight w:val="none"/>
          <w:lang w:eastAsia="zh-CN"/>
        </w:rPr>
      </w:pPr>
    </w:p>
    <w:p>
      <w:pPr>
        <w:spacing w:line="360" w:lineRule="auto"/>
        <w:jc w:val="center"/>
        <w:rPr>
          <w:rFonts w:hint="eastAsia" w:ascii="仿宋" w:hAnsi="仿宋" w:eastAsia="仿宋" w:cs="仿宋"/>
          <w:b/>
          <w:color w:val="auto"/>
          <w:sz w:val="32"/>
          <w:szCs w:val="32"/>
          <w:highlight w:val="none"/>
          <w:lang w:eastAsia="zh-CN"/>
        </w:rPr>
      </w:pPr>
    </w:p>
    <w:p>
      <w:pPr>
        <w:spacing w:line="360" w:lineRule="auto"/>
        <w:jc w:val="center"/>
        <w:rPr>
          <w:rFonts w:hint="eastAsia" w:ascii="仿宋" w:hAnsi="仿宋" w:eastAsia="仿宋" w:cs="仿宋"/>
          <w:b/>
          <w:color w:val="auto"/>
          <w:sz w:val="32"/>
          <w:szCs w:val="32"/>
          <w:highlight w:val="none"/>
          <w:lang w:eastAsia="zh-CN"/>
        </w:rPr>
      </w:pPr>
    </w:p>
    <w:p>
      <w:pPr>
        <w:pStyle w:val="83"/>
        <w:rPr>
          <w:rFonts w:hint="eastAsia" w:ascii="仿宋" w:hAnsi="仿宋" w:eastAsia="仿宋" w:cs="仿宋"/>
          <w:b/>
          <w:color w:val="auto"/>
          <w:sz w:val="32"/>
          <w:szCs w:val="32"/>
          <w:highlight w:val="none"/>
          <w:lang w:eastAsia="zh-CN"/>
        </w:rPr>
      </w:pPr>
    </w:p>
    <w:p>
      <w:pPr>
        <w:pStyle w:val="83"/>
        <w:rPr>
          <w:rFonts w:hint="eastAsia" w:ascii="仿宋" w:hAnsi="仿宋" w:eastAsia="仿宋" w:cs="仿宋"/>
          <w:b/>
          <w:color w:val="auto"/>
          <w:sz w:val="32"/>
          <w:szCs w:val="32"/>
          <w:highlight w:val="none"/>
          <w:lang w:eastAsia="zh-CN"/>
        </w:rPr>
      </w:pPr>
    </w:p>
    <w:p>
      <w:pPr>
        <w:spacing w:line="360" w:lineRule="auto"/>
        <w:jc w:val="center"/>
        <w:rPr>
          <w:rFonts w:hint="eastAsia" w:ascii="仿宋" w:hAnsi="仿宋" w:eastAsia="仿宋" w:cs="仿宋"/>
          <w:b/>
          <w:color w:val="auto"/>
          <w:sz w:val="32"/>
          <w:szCs w:val="32"/>
          <w:highlight w:val="none"/>
          <w:lang w:eastAsia="zh-CN"/>
        </w:rPr>
      </w:pPr>
    </w:p>
    <w:p>
      <w:pPr>
        <w:spacing w:line="360" w:lineRule="auto"/>
        <w:jc w:val="both"/>
        <w:rPr>
          <w:rFonts w:hint="eastAsia" w:ascii="仿宋" w:hAnsi="仿宋" w:eastAsia="仿宋" w:cs="仿宋"/>
          <w:b/>
          <w:color w:val="auto"/>
          <w:sz w:val="32"/>
          <w:szCs w:val="32"/>
          <w:highlight w:val="none"/>
          <w:lang w:eastAsia="zh-CN"/>
        </w:rPr>
      </w:pPr>
    </w:p>
    <w:p>
      <w:pPr>
        <w:spacing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、资信文件复印件（如果要求提供）</w:t>
      </w:r>
    </w:p>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（由投标人根据采购需求及招标文件要求编制）</w:t>
      </w:r>
    </w:p>
    <w:p>
      <w:pPr>
        <w:spacing w:line="360" w:lineRule="auto"/>
        <w:jc w:val="center"/>
        <w:rPr>
          <w:rFonts w:hint="eastAsia" w:ascii="仿宋_GB2312" w:hAnsi="仿宋_GB2312" w:eastAsia="仿宋_GB2312" w:cs="仿宋_GB2312"/>
          <w:b/>
          <w:bCs/>
          <w:color w:val="auto"/>
          <w:sz w:val="32"/>
          <w:szCs w:val="32"/>
          <w:highlight w:val="none"/>
        </w:rPr>
      </w:pPr>
    </w:p>
    <w:p>
      <w:pPr>
        <w:snapToGrid w:val="0"/>
        <w:spacing w:line="360" w:lineRule="auto"/>
        <w:ind w:firstLine="576"/>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 xml:space="preserve">)：                              </w:t>
      </w:r>
    </w:p>
    <w:p>
      <w:pPr>
        <w:spacing w:line="36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0"/>
          <w:sz w:val="24"/>
          <w:highlight w:val="none"/>
          <w:lang w:val="zh-CN"/>
        </w:rPr>
        <w:t xml:space="preserve">                   日期：  年  月</w:t>
      </w:r>
      <w:r>
        <w:rPr>
          <w:rFonts w:hint="eastAsia" w:ascii="仿宋_GB2312" w:hAnsi="仿宋_GB2312" w:eastAsia="仿宋_GB2312" w:cs="仿宋_GB2312"/>
          <w:color w:val="auto"/>
          <w:kern w:val="0"/>
          <w:sz w:val="24"/>
          <w:highlight w:val="none"/>
          <w:lang w:val="en-US" w:eastAsia="zh-CN"/>
        </w:rPr>
        <w:t xml:space="preserve">  日</w:t>
      </w:r>
    </w:p>
    <w:p>
      <w:pPr>
        <w:spacing w:line="360" w:lineRule="auto"/>
        <w:jc w:val="center"/>
        <w:rPr>
          <w:rFonts w:hint="eastAsia" w:ascii="仿宋_GB2312" w:hAnsi="仿宋_GB2312" w:eastAsia="仿宋_GB2312" w:cs="仿宋_GB2312"/>
          <w:b/>
          <w:bCs/>
          <w:color w:val="auto"/>
          <w:sz w:val="32"/>
          <w:szCs w:val="32"/>
          <w:highlight w:val="none"/>
        </w:rPr>
      </w:pPr>
    </w:p>
    <w:p>
      <w:pPr>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color w:val="auto"/>
          <w:kern w:val="0"/>
          <w:sz w:val="32"/>
          <w:szCs w:val="32"/>
          <w:highlight w:val="none"/>
          <w:lang w:val="zh-CN"/>
        </w:rPr>
        <w:t>主要业绩证明</w:t>
      </w:r>
    </w:p>
    <w:p>
      <w:pPr>
        <w:autoSpaceDE w:val="0"/>
        <w:autoSpaceDN w:val="0"/>
        <w:spacing w:line="360" w:lineRule="auto"/>
        <w:ind w:firstLine="4560" w:firstLineChars="1900"/>
        <w:rPr>
          <w:rFonts w:ascii="仿宋_GB2312" w:hAnsi="仿宋" w:eastAsia="仿宋_GB2312" w:cs="仿宋_GB2312"/>
          <w:color w:val="auto"/>
          <w:kern w:val="0"/>
          <w:sz w:val="24"/>
          <w:highlight w:val="none"/>
        </w:rPr>
      </w:pPr>
    </w:p>
    <w:p>
      <w:pPr>
        <w:autoSpaceDE w:val="0"/>
        <w:autoSpaceDN w:val="0"/>
        <w:spacing w:line="360" w:lineRule="auto"/>
        <w:ind w:firstLine="4560" w:firstLineChars="19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投标人名称（电子签名）：                       </w:t>
      </w:r>
    </w:p>
    <w:p>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日期：  年  月   日</w:t>
      </w:r>
    </w:p>
    <w:p>
      <w:pPr>
        <w:pStyle w:val="935"/>
        <w:numPr>
          <w:ilvl w:val="0"/>
          <w:numId w:val="0"/>
        </w:numPr>
        <w:jc w:val="both"/>
        <w:rPr>
          <w:rFonts w:hint="eastAsia" w:ascii="仿宋_GB2312" w:hAnsi="仿宋_GB2312" w:eastAsia="仿宋_GB2312" w:cs="仿宋_GB2312"/>
          <w:b/>
          <w:color w:val="auto"/>
          <w:sz w:val="36"/>
          <w:szCs w:val="36"/>
          <w:highlight w:val="none"/>
        </w:rPr>
      </w:pPr>
    </w:p>
    <w:p>
      <w:pPr>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w:t>
      </w:r>
      <w:bookmarkStart w:id="556" w:name="OLE_LINK16"/>
      <w:bookmarkStart w:id="557" w:name="OLE_LINK17"/>
      <w:r>
        <w:rPr>
          <w:rFonts w:hint="eastAsia" w:ascii="仿宋_GB2312" w:hAnsi="仿宋_GB2312" w:eastAsia="仿宋_GB2312" w:cs="仿宋_GB2312"/>
          <w:b/>
          <w:bCs/>
          <w:color w:val="auto"/>
          <w:sz w:val="32"/>
          <w:szCs w:val="32"/>
          <w:highlight w:val="none"/>
        </w:rPr>
        <w:t>其他商务文件或说明</w:t>
      </w:r>
    </w:p>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bookmarkStart w:id="558" w:name="OLE_LINK10"/>
      <w:bookmarkStart w:id="559" w:name="OLE_LINK11"/>
      <w:r>
        <w:rPr>
          <w:rFonts w:hint="eastAsia" w:ascii="仿宋_GB2312" w:hAnsi="仿宋_GB2312" w:eastAsia="仿宋_GB2312" w:cs="仿宋_GB2312"/>
          <w:color w:val="auto"/>
          <w:sz w:val="24"/>
          <w:highlight w:val="none"/>
        </w:rPr>
        <w:t>其他商务文件或说明由投标人根据采购需求自行编制</w:t>
      </w:r>
      <w:bookmarkEnd w:id="558"/>
      <w:bookmarkEnd w:id="559"/>
      <w:r>
        <w:rPr>
          <w:rFonts w:hint="eastAsia" w:ascii="仿宋_GB2312" w:hAnsi="仿宋_GB2312" w:eastAsia="仿宋_GB2312" w:cs="仿宋_GB2312"/>
          <w:color w:val="auto"/>
          <w:sz w:val="24"/>
          <w:highlight w:val="none"/>
        </w:rPr>
        <w:t>）</w:t>
      </w:r>
      <w:bookmarkEnd w:id="556"/>
      <w:bookmarkEnd w:id="557"/>
    </w:p>
    <w:p>
      <w:pPr>
        <w:spacing w:line="360" w:lineRule="auto"/>
        <w:jc w:val="center"/>
        <w:rPr>
          <w:rFonts w:hint="eastAsia" w:ascii="仿宋_GB2312" w:hAnsi="仿宋_GB2312" w:eastAsia="仿宋_GB2312" w:cs="仿宋_GB2312"/>
          <w:color w:val="auto"/>
          <w:sz w:val="24"/>
          <w:highlight w:val="none"/>
        </w:rPr>
      </w:pPr>
    </w:p>
    <w:p>
      <w:pPr>
        <w:autoSpaceDE w:val="0"/>
        <w:autoSpaceDN w:val="0"/>
        <w:spacing w:line="360" w:lineRule="auto"/>
        <w:ind w:firstLine="4800" w:firstLineChars="20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 xml:space="preserve">）：      </w:t>
      </w:r>
    </w:p>
    <w:p>
      <w:pPr>
        <w:autoSpaceDE w:val="0"/>
        <w:autoSpaceDN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autoSpaceDE w:val="0"/>
        <w:autoSpaceDN w:val="0"/>
        <w:spacing w:line="360" w:lineRule="auto"/>
        <w:rPr>
          <w:rFonts w:hint="eastAsia" w:ascii="仿宋_GB2312" w:hAnsi="仿宋_GB2312" w:eastAsia="仿宋_GB2312" w:cs="仿宋_GB2312"/>
          <w:color w:val="auto"/>
          <w:kern w:val="0"/>
          <w:sz w:val="24"/>
          <w:highlight w:val="none"/>
          <w:lang w:val="zh-CN"/>
        </w:rPr>
      </w:pPr>
    </w:p>
    <w:p>
      <w:pPr>
        <w:autoSpaceDE w:val="0"/>
        <w:autoSpaceDN w:val="0"/>
        <w:spacing w:line="360" w:lineRule="auto"/>
        <w:rPr>
          <w:rFonts w:hint="eastAsia" w:ascii="仿宋_GB2312" w:hAnsi="仿宋_GB2312" w:eastAsia="仿宋_GB2312" w:cs="仿宋_GB2312"/>
          <w:color w:val="auto"/>
          <w:kern w:val="0"/>
          <w:sz w:val="24"/>
          <w:highlight w:val="none"/>
          <w:lang w:val="zh-CN"/>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w:t>
      </w:r>
      <w:r>
        <w:rPr>
          <w:rFonts w:hint="eastAsia" w:ascii="仿宋_GB2312" w:hAnsi="仿宋" w:eastAsia="仿宋_GB2312" w:cs="仿宋_GB2312"/>
          <w:b/>
          <w:bCs/>
          <w:color w:val="auto"/>
          <w:sz w:val="32"/>
          <w:szCs w:val="32"/>
          <w:highlight w:val="none"/>
        </w:rPr>
        <w:t>技术解决方案</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autoSpaceDE w:val="0"/>
        <w:autoSpaceDN w:val="0"/>
        <w:spacing w:line="360" w:lineRule="auto"/>
        <w:ind w:firstLine="4560" w:firstLineChars="1900"/>
        <w:rPr>
          <w:rFonts w:ascii="仿宋_GB2312" w:hAnsi="仿宋" w:eastAsia="仿宋_GB2312"/>
          <w:color w:val="auto"/>
          <w:kern w:val="0"/>
          <w:sz w:val="24"/>
          <w:highlight w:val="none"/>
        </w:rPr>
      </w:pPr>
    </w:p>
    <w:p>
      <w:pPr>
        <w:autoSpaceDE w:val="0"/>
        <w:autoSpaceDN w:val="0"/>
        <w:spacing w:line="360" w:lineRule="auto"/>
        <w:ind w:firstLine="4560" w:firstLineChars="1900"/>
        <w:rPr>
          <w:rFonts w:ascii="仿宋_GB2312" w:hAnsi="仿宋" w:eastAsia="仿宋_GB2312"/>
          <w:color w:val="auto"/>
          <w:kern w:val="0"/>
          <w:sz w:val="24"/>
          <w:highlight w:val="none"/>
        </w:rPr>
      </w:pPr>
    </w:p>
    <w:p>
      <w:pPr>
        <w:autoSpaceDE w:val="0"/>
        <w:autoSpaceDN w:val="0"/>
        <w:spacing w:line="360" w:lineRule="auto"/>
        <w:ind w:firstLine="4560" w:firstLineChars="19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 xml:space="preserve">供应商名称（电子签名）：                       </w:t>
      </w:r>
    </w:p>
    <w:p>
      <w:pPr>
        <w:autoSpaceDE w:val="0"/>
        <w:autoSpaceDN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 xml:space="preserve">                                      日期：   年  月   日</w:t>
      </w:r>
    </w:p>
    <w:p>
      <w:pPr>
        <w:pStyle w:val="935"/>
        <w:numPr>
          <w:ilvl w:val="0"/>
          <w:numId w:val="0"/>
        </w:numPr>
        <w:jc w:val="both"/>
        <w:rPr>
          <w:rFonts w:hint="eastAsia" w:ascii="仿宋_GB2312" w:hAnsi="仿宋_GB2312" w:eastAsia="仿宋_GB2312" w:cs="仿宋_GB2312"/>
          <w:b/>
          <w:color w:val="auto"/>
          <w:sz w:val="36"/>
          <w:szCs w:val="36"/>
          <w:highlight w:val="none"/>
        </w:rPr>
      </w:pPr>
    </w:p>
    <w:p>
      <w:pPr>
        <w:pStyle w:val="935"/>
        <w:numPr>
          <w:ilvl w:val="0"/>
          <w:numId w:val="0"/>
        </w:numPr>
        <w:jc w:val="both"/>
        <w:rPr>
          <w:rFonts w:hint="eastAsia" w:ascii="仿宋_GB2312" w:hAnsi="仿宋_GB2312" w:eastAsia="仿宋_GB2312" w:cs="仿宋_GB2312"/>
          <w:b/>
          <w:color w:val="auto"/>
          <w:sz w:val="36"/>
          <w:szCs w:val="36"/>
          <w:highlight w:val="none"/>
        </w:rPr>
      </w:pPr>
    </w:p>
    <w:p>
      <w:pPr>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、技术和服务偏离说明表</w:t>
      </w:r>
    </w:p>
    <w:p>
      <w:pPr>
        <w:spacing w:line="360" w:lineRule="auto"/>
        <w:jc w:val="center"/>
        <w:rPr>
          <w:rFonts w:hint="eastAsia" w:ascii="仿宋_GB2312" w:hAnsi="仿宋_GB2312" w:eastAsia="仿宋_GB2312" w:cs="仿宋_GB2312"/>
          <w:b/>
          <w:bCs/>
          <w:color w:val="auto"/>
          <w:sz w:val="18"/>
          <w:szCs w:val="18"/>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color w:val="auto"/>
                <w:sz w:val="24"/>
                <w:highlight w:val="none"/>
              </w:rPr>
            </w:pPr>
          </w:p>
        </w:tc>
      </w:tr>
    </w:tbl>
    <w:p>
      <w:pPr>
        <w:autoSpaceDE w:val="0"/>
        <w:autoSpaceDN w:val="0"/>
        <w:spacing w:line="360" w:lineRule="auto"/>
        <w:ind w:firstLine="5040" w:firstLineChars="2100"/>
        <w:rPr>
          <w:rFonts w:hint="eastAsia" w:ascii="仿宋_GB2312" w:hAnsi="仿宋_GB2312" w:eastAsia="仿宋_GB2312" w:cs="仿宋_GB2312"/>
          <w:color w:val="auto"/>
          <w:kern w:val="0"/>
          <w:sz w:val="24"/>
          <w:highlight w:val="none"/>
          <w:lang w:val="zh-CN"/>
        </w:rPr>
      </w:pPr>
    </w:p>
    <w:p>
      <w:pPr>
        <w:autoSpaceDE w:val="0"/>
        <w:autoSpaceDN w:val="0"/>
        <w:spacing w:line="360" w:lineRule="auto"/>
        <w:ind w:firstLine="5040" w:firstLineChars="21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投标人名称（电子签名）：      </w:t>
      </w:r>
    </w:p>
    <w:p>
      <w:pPr>
        <w:autoSpaceDE w:val="0"/>
        <w:autoSpaceDN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pStyle w:val="935"/>
        <w:numPr>
          <w:ilvl w:val="0"/>
          <w:numId w:val="0"/>
        </w:numPr>
        <w:jc w:val="both"/>
        <w:rPr>
          <w:rFonts w:hint="eastAsia" w:ascii="仿宋_GB2312" w:hAnsi="仿宋_GB2312" w:eastAsia="仿宋_GB2312" w:cs="仿宋_GB2312"/>
          <w:b/>
          <w:color w:val="auto"/>
          <w:sz w:val="36"/>
          <w:szCs w:val="36"/>
          <w:highlight w:val="none"/>
        </w:rPr>
      </w:pPr>
    </w:p>
    <w:p>
      <w:pPr>
        <w:pStyle w:val="935"/>
        <w:numPr>
          <w:ilvl w:val="0"/>
          <w:numId w:val="0"/>
        </w:numPr>
        <w:jc w:val="both"/>
        <w:rPr>
          <w:rFonts w:hint="eastAsia" w:ascii="仿宋" w:hAnsi="仿宋" w:eastAsia="仿宋" w:cs="仿宋"/>
          <w:b/>
          <w:color w:val="auto"/>
          <w:sz w:val="36"/>
          <w:szCs w:val="36"/>
          <w:highlight w:val="none"/>
        </w:rPr>
      </w:pPr>
    </w:p>
    <w:p>
      <w:pPr>
        <w:pStyle w:val="935"/>
        <w:numPr>
          <w:ilvl w:val="0"/>
          <w:numId w:val="0"/>
        </w:numPr>
        <w:jc w:val="both"/>
        <w:rPr>
          <w:rFonts w:hint="eastAsia" w:ascii="仿宋" w:hAnsi="仿宋" w:eastAsia="仿宋" w:cs="仿宋"/>
          <w:b/>
          <w:color w:val="auto"/>
          <w:sz w:val="36"/>
          <w:szCs w:val="36"/>
          <w:highlight w:val="none"/>
        </w:rPr>
      </w:pPr>
    </w:p>
    <w:p>
      <w:pPr>
        <w:pStyle w:val="935"/>
        <w:numPr>
          <w:ilvl w:val="0"/>
          <w:numId w:val="0"/>
        </w:numPr>
        <w:jc w:val="both"/>
        <w:rPr>
          <w:rFonts w:hint="eastAsia" w:ascii="仿宋" w:hAnsi="仿宋" w:eastAsia="仿宋" w:cs="仿宋"/>
          <w:b/>
          <w:color w:val="auto"/>
          <w:sz w:val="36"/>
          <w:szCs w:val="36"/>
          <w:highlight w:val="none"/>
        </w:rPr>
      </w:pPr>
    </w:p>
    <w:p>
      <w:pPr>
        <w:pStyle w:val="935"/>
        <w:numPr>
          <w:ilvl w:val="0"/>
          <w:numId w:val="0"/>
        </w:numPr>
        <w:jc w:val="both"/>
        <w:rPr>
          <w:rFonts w:hint="eastAsia" w:ascii="仿宋" w:hAnsi="仿宋" w:eastAsia="仿宋" w:cs="仿宋"/>
          <w:b/>
          <w:color w:val="auto"/>
          <w:sz w:val="36"/>
          <w:szCs w:val="36"/>
          <w:highlight w:val="none"/>
        </w:rPr>
      </w:pPr>
    </w:p>
    <w:p>
      <w:pPr>
        <w:pStyle w:val="935"/>
        <w:numPr>
          <w:ilvl w:val="0"/>
          <w:numId w:val="0"/>
        </w:numPr>
        <w:jc w:val="both"/>
        <w:rPr>
          <w:rFonts w:hint="eastAsia" w:ascii="仿宋" w:hAnsi="仿宋" w:eastAsia="仿宋" w:cs="仿宋"/>
          <w:b/>
          <w:color w:val="auto"/>
          <w:sz w:val="36"/>
          <w:szCs w:val="36"/>
          <w:highlight w:val="none"/>
        </w:rPr>
      </w:pPr>
    </w:p>
    <w:p>
      <w:pPr>
        <w:pStyle w:val="935"/>
        <w:numPr>
          <w:ilvl w:val="0"/>
          <w:numId w:val="0"/>
        </w:numPr>
        <w:jc w:val="both"/>
        <w:rPr>
          <w:rFonts w:hint="eastAsia" w:ascii="仿宋" w:hAnsi="仿宋" w:eastAsia="仿宋" w:cs="仿宋"/>
          <w:b/>
          <w:color w:val="auto"/>
          <w:sz w:val="36"/>
          <w:szCs w:val="36"/>
          <w:highlight w:val="none"/>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六、组织实施方案</w:t>
      </w:r>
    </w:p>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pPr>
        <w:tabs>
          <w:tab w:val="left" w:pos="2790"/>
          <w:tab w:val="left" w:pos="4230"/>
        </w:tabs>
        <w:autoSpaceDE w:val="0"/>
        <w:autoSpaceDN w:val="0"/>
        <w:spacing w:line="360" w:lineRule="auto"/>
        <w:ind w:right="1400"/>
        <w:outlineLvl w:val="1"/>
        <w:rPr>
          <w:rFonts w:hint="eastAsia" w:ascii="仿宋" w:hAnsi="仿宋" w:eastAsia="仿宋" w:cs="仿宋"/>
          <w:b/>
          <w:bCs/>
          <w:color w:val="auto"/>
          <w:kern w:val="0"/>
          <w:sz w:val="24"/>
          <w:highlight w:val="none"/>
          <w:lang w:val="zh-CN"/>
        </w:rPr>
      </w:pPr>
    </w:p>
    <w:p>
      <w:pPr>
        <w:autoSpaceDE w:val="0"/>
        <w:autoSpaceDN w:val="0"/>
        <w:spacing w:line="360" w:lineRule="auto"/>
        <w:rPr>
          <w:rFonts w:hint="eastAsia" w:ascii="仿宋" w:hAnsi="仿宋" w:eastAsia="仿宋" w:cs="仿宋"/>
          <w:color w:val="auto"/>
          <w:kern w:val="0"/>
          <w:sz w:val="24"/>
          <w:highlight w:val="none"/>
        </w:rPr>
      </w:pPr>
    </w:p>
    <w:p>
      <w:pPr>
        <w:autoSpaceDE w:val="0"/>
        <w:autoSpaceDN w:val="0"/>
        <w:spacing w:line="360" w:lineRule="auto"/>
        <w:ind w:firstLine="5400" w:firstLineChars="2250"/>
        <w:rPr>
          <w:rFonts w:hint="eastAsia" w:ascii="仿宋" w:hAnsi="仿宋" w:eastAsia="仿宋" w:cs="仿宋"/>
          <w:color w:val="auto"/>
          <w:kern w:val="0"/>
          <w:sz w:val="24"/>
          <w:highlight w:val="none"/>
        </w:rPr>
      </w:pPr>
    </w:p>
    <w:p>
      <w:pPr>
        <w:autoSpaceDE w:val="0"/>
        <w:autoSpaceDN w:val="0"/>
        <w:spacing w:line="360" w:lineRule="auto"/>
        <w:ind w:firstLine="5400" w:firstLineChars="2250"/>
        <w:rPr>
          <w:rFonts w:hint="eastAsia" w:ascii="仿宋" w:hAnsi="仿宋" w:eastAsia="仿宋" w:cs="仿宋"/>
          <w:color w:val="auto"/>
          <w:kern w:val="0"/>
          <w:sz w:val="24"/>
          <w:highlight w:val="none"/>
        </w:rPr>
      </w:pPr>
    </w:p>
    <w:p>
      <w:pPr>
        <w:autoSpaceDE w:val="0"/>
        <w:autoSpaceDN w:val="0"/>
        <w:spacing w:line="360" w:lineRule="auto"/>
        <w:ind w:firstLine="5040" w:firstLineChars="2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投标人名称（电子签名）：</w:t>
      </w:r>
    </w:p>
    <w:p>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  年  月   日</w:t>
      </w:r>
    </w:p>
    <w:p>
      <w:pPr>
        <w:pStyle w:val="935"/>
        <w:numPr>
          <w:ilvl w:val="0"/>
          <w:numId w:val="0"/>
        </w:numPr>
        <w:jc w:val="both"/>
        <w:rPr>
          <w:rFonts w:hint="eastAsia" w:ascii="仿宋" w:hAnsi="仿宋" w:eastAsia="仿宋" w:cs="仿宋"/>
          <w:b/>
          <w:color w:val="auto"/>
          <w:sz w:val="36"/>
          <w:szCs w:val="36"/>
          <w:highlight w:val="none"/>
        </w:rPr>
      </w:pPr>
    </w:p>
    <w:p>
      <w:pPr>
        <w:spacing w:line="360" w:lineRule="auto"/>
        <w:jc w:val="center"/>
        <w:rPr>
          <w:rFonts w:ascii="仿宋_GB2312" w:hAnsi="仿宋" w:eastAsia="仿宋_GB2312" w:cs="仿宋_GB2312"/>
          <w:b/>
          <w:bCs/>
          <w:color w:val="auto"/>
          <w:sz w:val="32"/>
          <w:szCs w:val="32"/>
          <w:highlight w:val="none"/>
        </w:rPr>
      </w:pPr>
      <w:r>
        <w:rPr>
          <w:rFonts w:hint="eastAsia" w:ascii="仿宋" w:hAnsi="仿宋" w:eastAsia="仿宋" w:cs="仿宋"/>
          <w:b/>
          <w:bCs/>
          <w:color w:val="auto"/>
          <w:sz w:val="32"/>
          <w:szCs w:val="32"/>
          <w:highlight w:val="none"/>
          <w:lang w:eastAsia="zh-CN"/>
        </w:rPr>
        <w:t>七</w:t>
      </w:r>
      <w:r>
        <w:rPr>
          <w:rFonts w:hint="eastAsia" w:ascii="仿宋" w:hAnsi="仿宋" w:eastAsia="仿宋" w:cs="仿宋"/>
          <w:b/>
          <w:bCs/>
          <w:color w:val="auto"/>
          <w:sz w:val="32"/>
          <w:szCs w:val="32"/>
          <w:highlight w:val="none"/>
        </w:rPr>
        <w:t>、</w:t>
      </w:r>
      <w:r>
        <w:rPr>
          <w:rFonts w:hint="eastAsia" w:ascii="仿宋_GB2312" w:hAnsi="仿宋" w:eastAsia="仿宋_GB2312" w:cs="仿宋_GB2312"/>
          <w:b/>
          <w:bCs/>
          <w:color w:val="auto"/>
          <w:sz w:val="32"/>
          <w:szCs w:val="32"/>
          <w:highlight w:val="none"/>
        </w:rPr>
        <w:t>售后服务方案</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autoSpaceDE w:val="0"/>
        <w:autoSpaceDN w:val="0"/>
        <w:spacing w:line="360" w:lineRule="auto"/>
        <w:rPr>
          <w:rFonts w:ascii="仿宋_GB2312" w:hAnsi="仿宋" w:eastAsia="仿宋_GB2312" w:cs="仿宋_GB2312"/>
          <w:color w:val="auto"/>
          <w:kern w:val="0"/>
          <w:sz w:val="24"/>
          <w:highlight w:val="none"/>
        </w:rPr>
      </w:pPr>
    </w:p>
    <w:p>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autoSpaceDE w:val="0"/>
        <w:autoSpaceDN w:val="0"/>
        <w:adjustRightInd w:val="0"/>
        <w:spacing w:line="360" w:lineRule="auto"/>
        <w:rPr>
          <w:rFonts w:ascii="仿宋_GB2312" w:hAnsi="仿宋" w:eastAsia="仿宋_GB2312" w:cs="仿宋_GB2312"/>
          <w:b/>
          <w:bCs/>
          <w:color w:val="auto"/>
          <w:sz w:val="24"/>
          <w:szCs w:val="24"/>
          <w:highlight w:val="none"/>
        </w:rPr>
      </w:pPr>
    </w:p>
    <w:p>
      <w:pPr>
        <w:pStyle w:val="935"/>
        <w:numPr>
          <w:ilvl w:val="0"/>
          <w:numId w:val="0"/>
        </w:numPr>
        <w:jc w:val="both"/>
        <w:rPr>
          <w:rFonts w:hint="eastAsia" w:ascii="仿宋" w:hAnsi="仿宋" w:eastAsia="仿宋" w:cs="仿宋"/>
          <w:b/>
          <w:color w:val="auto"/>
          <w:sz w:val="36"/>
          <w:szCs w:val="36"/>
          <w:highlight w:val="none"/>
        </w:rPr>
      </w:pPr>
    </w:p>
    <w:p>
      <w:pPr>
        <w:spacing w:line="360" w:lineRule="auto"/>
        <w:jc w:val="both"/>
        <w:rPr>
          <w:rFonts w:hint="eastAsia" w:ascii="仿宋" w:hAnsi="仿宋" w:eastAsia="仿宋" w:cs="仿宋"/>
          <w:b/>
          <w:bCs/>
          <w:color w:val="auto"/>
          <w:sz w:val="32"/>
          <w:szCs w:val="32"/>
          <w:highlight w:val="none"/>
          <w:lang w:eastAsia="zh-CN"/>
        </w:rPr>
      </w:pPr>
    </w:p>
    <w:p>
      <w:pPr>
        <w:adjustRightInd w:val="0"/>
        <w:spacing w:line="360" w:lineRule="auto"/>
        <w:jc w:val="center"/>
        <w:rPr>
          <w:rFonts w:ascii="仿宋_GB2312" w:hAnsi="仿宋" w:eastAsia="仿宋_GB2312" w:cs="仿宋_GB2312"/>
          <w:b/>
          <w:bCs/>
          <w:color w:val="auto"/>
          <w:sz w:val="32"/>
          <w:szCs w:val="32"/>
          <w:highlight w:val="none"/>
        </w:rPr>
      </w:pPr>
      <w:r>
        <w:rPr>
          <w:rFonts w:hint="eastAsia" w:ascii="仿宋" w:hAnsi="仿宋" w:eastAsia="仿宋" w:cs="仿宋"/>
          <w:b/>
          <w:bCs/>
          <w:color w:val="auto"/>
          <w:sz w:val="32"/>
          <w:szCs w:val="32"/>
          <w:highlight w:val="none"/>
          <w:lang w:eastAsia="zh-CN"/>
        </w:rPr>
        <w:t>八</w:t>
      </w:r>
      <w:r>
        <w:rPr>
          <w:rFonts w:hint="eastAsia" w:ascii="仿宋" w:hAnsi="仿宋" w:eastAsia="仿宋" w:cs="仿宋"/>
          <w:b/>
          <w:bCs/>
          <w:color w:val="auto"/>
          <w:sz w:val="32"/>
          <w:szCs w:val="32"/>
          <w:highlight w:val="none"/>
        </w:rPr>
        <w:t>、</w:t>
      </w:r>
      <w:r>
        <w:rPr>
          <w:rFonts w:hint="eastAsia" w:ascii="仿宋_GB2312" w:hAnsi="仿宋" w:eastAsia="仿宋_GB2312" w:cs="仿宋_GB2312"/>
          <w:b/>
          <w:bCs/>
          <w:color w:val="auto"/>
          <w:sz w:val="32"/>
          <w:szCs w:val="32"/>
          <w:highlight w:val="none"/>
        </w:rPr>
        <w:t>人员投入计划</w:t>
      </w:r>
    </w:p>
    <w:p>
      <w:pPr>
        <w:autoSpaceDE w:val="0"/>
        <w:autoSpaceDN w:val="0"/>
        <w:adjustRightInd w:val="0"/>
        <w:spacing w:line="360" w:lineRule="auto"/>
        <w:jc w:val="center"/>
        <w:rPr>
          <w:rFonts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（由投标人根据采购需求及招标文件要求编制）</w:t>
      </w:r>
    </w:p>
    <w:p>
      <w:pPr>
        <w:autoSpaceDE w:val="0"/>
        <w:autoSpaceDN w:val="0"/>
        <w:adjustRightInd w:val="0"/>
        <w:spacing w:line="360" w:lineRule="auto"/>
        <w:ind w:firstLine="4440" w:firstLineChars="1850"/>
        <w:rPr>
          <w:rFonts w:ascii="仿宋_GB2312" w:hAnsi="仿宋" w:eastAsia="仿宋_GB2312" w:cs="仿宋_GB2312"/>
          <w:color w:val="auto"/>
          <w:kern w:val="0"/>
          <w:sz w:val="24"/>
          <w:szCs w:val="24"/>
          <w:highlight w:val="none"/>
        </w:rPr>
      </w:pPr>
    </w:p>
    <w:p>
      <w:pPr>
        <w:autoSpaceDE w:val="0"/>
        <w:autoSpaceDN w:val="0"/>
        <w:adjustRightInd w:val="0"/>
        <w:spacing w:line="360" w:lineRule="auto"/>
        <w:ind w:firstLine="4440" w:firstLineChars="1850"/>
        <w:rPr>
          <w:rFonts w:ascii="仿宋_GB2312" w:hAnsi="仿宋" w:eastAsia="仿宋_GB2312" w:cs="仿宋_GB2312"/>
          <w:color w:val="auto"/>
          <w:kern w:val="0"/>
          <w:sz w:val="24"/>
          <w:szCs w:val="24"/>
          <w:highlight w:val="none"/>
        </w:rPr>
      </w:pPr>
    </w:p>
    <w:p>
      <w:pPr>
        <w:autoSpaceDE w:val="0"/>
        <w:autoSpaceDN w:val="0"/>
        <w:adjustRightInd w:val="0"/>
        <w:spacing w:line="360" w:lineRule="auto"/>
        <w:ind w:firstLine="4440" w:firstLineChars="1850"/>
        <w:rPr>
          <w:rFonts w:ascii="仿宋_GB2312" w:hAnsi="仿宋" w:eastAsia="仿宋_GB2312" w:cs="仿宋_GB2312"/>
          <w:color w:val="auto"/>
          <w:kern w:val="0"/>
          <w:sz w:val="24"/>
          <w:szCs w:val="24"/>
          <w:highlight w:val="none"/>
        </w:rPr>
      </w:pPr>
    </w:p>
    <w:p>
      <w:pPr>
        <w:autoSpaceDE w:val="0"/>
        <w:autoSpaceDN w:val="0"/>
        <w:adjustRightInd w:val="0"/>
        <w:spacing w:line="360" w:lineRule="auto"/>
        <w:ind w:firstLine="4440" w:firstLineChars="1850"/>
        <w:rPr>
          <w:rFonts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投标人名称（电子签名）：</w:t>
      </w:r>
    </w:p>
    <w:p>
      <w:pPr>
        <w:autoSpaceDE w:val="0"/>
        <w:autoSpaceDN w:val="0"/>
        <w:adjustRightInd w:val="0"/>
        <w:spacing w:line="360" w:lineRule="auto"/>
        <w:rPr>
          <w:rFonts w:ascii="仿宋_GB2312" w:hAnsi="仿宋" w:eastAsia="仿宋_GB2312" w:cs="仿宋_GB2312"/>
          <w:b/>
          <w:bCs/>
          <w:color w:val="auto"/>
          <w:sz w:val="24"/>
          <w:szCs w:val="24"/>
          <w:highlight w:val="none"/>
        </w:rPr>
      </w:pP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日期：  年  月   日</w:t>
      </w:r>
    </w:p>
    <w:p>
      <w:pPr>
        <w:autoSpaceDE w:val="0"/>
        <w:autoSpaceDN w:val="0"/>
        <w:spacing w:line="360" w:lineRule="auto"/>
        <w:rPr>
          <w:rFonts w:ascii="仿宋_GB2312" w:hAnsi="仿宋" w:eastAsia="仿宋_GB2312" w:cs="仿宋_GB2312"/>
          <w:color w:val="auto"/>
          <w:kern w:val="0"/>
          <w:sz w:val="24"/>
          <w:highlight w:val="none"/>
        </w:rPr>
      </w:pPr>
    </w:p>
    <w:p>
      <w:pPr>
        <w:spacing w:line="360" w:lineRule="auto"/>
        <w:jc w:val="both"/>
        <w:rPr>
          <w:rFonts w:hint="eastAsia" w:ascii="仿宋" w:hAnsi="仿宋" w:eastAsia="仿宋" w:cs="仿宋"/>
          <w:b/>
          <w:bCs/>
          <w:color w:val="auto"/>
          <w:sz w:val="32"/>
          <w:szCs w:val="32"/>
          <w:highlight w:val="none"/>
          <w:lang w:eastAsia="zh-CN"/>
        </w:rPr>
      </w:pPr>
    </w:p>
    <w:p>
      <w:pPr>
        <w:spacing w:line="360" w:lineRule="auto"/>
        <w:jc w:val="center"/>
        <w:rPr>
          <w:rFonts w:ascii="仿宋_GB2312" w:hAnsi="仿宋" w:eastAsia="仿宋_GB2312" w:cs="仿宋_GB2312"/>
          <w:b/>
          <w:color w:val="auto"/>
          <w:kern w:val="0"/>
          <w:sz w:val="32"/>
          <w:szCs w:val="32"/>
          <w:highlight w:val="none"/>
          <w:lang w:val="zh-CN"/>
        </w:rPr>
      </w:pPr>
      <w:r>
        <w:rPr>
          <w:rFonts w:hint="eastAsia" w:ascii="仿宋" w:hAnsi="仿宋" w:eastAsia="仿宋" w:cs="仿宋"/>
          <w:b/>
          <w:bCs/>
          <w:color w:val="auto"/>
          <w:sz w:val="32"/>
          <w:szCs w:val="32"/>
          <w:highlight w:val="none"/>
          <w:lang w:eastAsia="zh-CN"/>
        </w:rPr>
        <w:t>九</w:t>
      </w:r>
      <w:r>
        <w:rPr>
          <w:rFonts w:hint="eastAsia" w:ascii="仿宋" w:hAnsi="仿宋" w:eastAsia="仿宋" w:cs="仿宋"/>
          <w:b/>
          <w:bCs/>
          <w:color w:val="auto"/>
          <w:sz w:val="32"/>
          <w:szCs w:val="32"/>
          <w:highlight w:val="none"/>
        </w:rPr>
        <w:t>、</w:t>
      </w:r>
      <w:r>
        <w:rPr>
          <w:rFonts w:hint="eastAsia" w:ascii="仿宋_GB2312" w:hAnsi="仿宋" w:eastAsia="仿宋_GB2312" w:cs="仿宋_GB2312"/>
          <w:b/>
          <w:color w:val="auto"/>
          <w:kern w:val="0"/>
          <w:sz w:val="32"/>
          <w:szCs w:val="32"/>
          <w:highlight w:val="none"/>
          <w:lang w:val="zh-CN"/>
        </w:rPr>
        <w:t>优惠条件及特殊承诺</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pacing w:line="360" w:lineRule="auto"/>
        <w:jc w:val="center"/>
        <w:rPr>
          <w:rFonts w:ascii="仿宋_GB2312" w:hAnsi="仿宋" w:eastAsia="仿宋_GB2312" w:cs="仿宋_GB2312"/>
          <w:color w:val="auto"/>
          <w:sz w:val="18"/>
          <w:szCs w:val="18"/>
          <w:highlight w:val="none"/>
        </w:rPr>
      </w:pPr>
    </w:p>
    <w:p>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ascii="仿宋_GB2312" w:hAnsi="仿宋" w:eastAsia="仿宋_GB2312" w:cs="仿宋_GB2312"/>
          <w:b/>
          <w:bCs/>
          <w:color w:val="auto"/>
          <w:sz w:val="18"/>
          <w:szCs w:val="18"/>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autoSpaceDE w:val="0"/>
        <w:autoSpaceDN w:val="0"/>
        <w:adjustRightInd w:val="0"/>
        <w:spacing w:line="360" w:lineRule="auto"/>
        <w:rPr>
          <w:rFonts w:ascii="仿宋_GB2312" w:hAnsi="仿宋" w:eastAsia="仿宋_GB2312" w:cs="仿宋_GB2312"/>
          <w:b/>
          <w:bCs/>
          <w:color w:val="auto"/>
          <w:sz w:val="18"/>
          <w:szCs w:val="18"/>
          <w:highlight w:val="none"/>
        </w:rPr>
      </w:pPr>
    </w:p>
    <w:p>
      <w:pPr>
        <w:autoSpaceDE w:val="0"/>
        <w:autoSpaceDN w:val="0"/>
        <w:spacing w:line="360" w:lineRule="auto"/>
        <w:rPr>
          <w:rFonts w:hint="eastAsia" w:ascii="仿宋" w:hAnsi="仿宋" w:eastAsia="仿宋" w:cs="仿宋"/>
          <w:b/>
          <w:bCs/>
          <w:color w:val="auto"/>
          <w:sz w:val="18"/>
          <w:szCs w:val="18"/>
          <w:highlight w:val="none"/>
        </w:rPr>
      </w:pPr>
    </w:p>
    <w:p>
      <w:pPr>
        <w:spacing w:line="360" w:lineRule="auto"/>
        <w:jc w:val="both"/>
        <w:rPr>
          <w:rFonts w:hint="eastAsia" w:ascii="仿宋" w:hAnsi="仿宋" w:eastAsia="仿宋" w:cs="仿宋"/>
          <w:b/>
          <w:bCs/>
          <w:color w:val="auto"/>
          <w:sz w:val="32"/>
          <w:szCs w:val="32"/>
          <w:highlight w:val="none"/>
        </w:rPr>
      </w:pPr>
    </w:p>
    <w:p>
      <w:pPr>
        <w:spacing w:line="360" w:lineRule="auto"/>
        <w:jc w:val="both"/>
        <w:rPr>
          <w:rFonts w:hint="eastAsia" w:ascii="仿宋" w:hAnsi="仿宋" w:eastAsia="仿宋" w:cs="仿宋"/>
          <w:b/>
          <w:bCs/>
          <w:color w:val="auto"/>
          <w:sz w:val="32"/>
          <w:szCs w:val="32"/>
          <w:highlight w:val="none"/>
        </w:rPr>
      </w:pPr>
    </w:p>
    <w:p>
      <w:pPr>
        <w:spacing w:line="360" w:lineRule="auto"/>
        <w:jc w:val="center"/>
        <w:rPr>
          <w:rFonts w:ascii="仿宋_GB2312" w:hAnsi="仿宋" w:eastAsia="仿宋_GB2312" w:cs="仿宋_GB2312"/>
          <w:b/>
          <w:color w:val="auto"/>
          <w:kern w:val="0"/>
          <w:sz w:val="32"/>
          <w:szCs w:val="32"/>
          <w:highlight w:val="none"/>
          <w:lang w:val="zh-CN"/>
        </w:rPr>
      </w:pPr>
      <w:r>
        <w:rPr>
          <w:rFonts w:hint="eastAsia" w:ascii="仿宋" w:hAnsi="仿宋" w:eastAsia="仿宋" w:cs="仿宋"/>
          <w:b/>
          <w:bCs/>
          <w:color w:val="auto"/>
          <w:sz w:val="32"/>
          <w:szCs w:val="32"/>
          <w:highlight w:val="none"/>
        </w:rPr>
        <w:t>十、</w:t>
      </w:r>
      <w:r>
        <w:rPr>
          <w:rFonts w:hint="eastAsia" w:ascii="仿宋_GB2312" w:hAnsi="仿宋" w:eastAsia="仿宋_GB2312" w:cs="仿宋_GB2312"/>
          <w:b/>
          <w:color w:val="auto"/>
          <w:kern w:val="0"/>
          <w:sz w:val="32"/>
          <w:szCs w:val="32"/>
          <w:highlight w:val="none"/>
          <w:lang w:val="zh-CN"/>
        </w:rPr>
        <w:t>培训计划</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autoSpaceDE w:val="0"/>
        <w:autoSpaceDN w:val="0"/>
        <w:spacing w:line="360" w:lineRule="auto"/>
        <w:ind w:firstLine="4800" w:firstLineChars="20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 xml:space="preserve">投标人名称（电子签名）：                       </w:t>
      </w:r>
    </w:p>
    <w:p>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autoSpaceDE w:val="0"/>
        <w:autoSpaceDN w:val="0"/>
        <w:spacing w:line="360" w:lineRule="auto"/>
        <w:ind w:firstLine="120"/>
        <w:rPr>
          <w:rFonts w:ascii="仿宋_GB2312" w:hAnsi="仿宋" w:eastAsia="仿宋_GB2312" w:cs="仿宋_GB2312"/>
          <w:color w:val="auto"/>
          <w:sz w:val="24"/>
          <w:highlight w:val="none"/>
        </w:rPr>
      </w:pPr>
    </w:p>
    <w:p>
      <w:pPr>
        <w:pStyle w:val="83"/>
        <w:rPr>
          <w:rFonts w:ascii="仿宋_GB2312" w:hAnsi="仿宋" w:eastAsia="仿宋_GB2312" w:cs="仿宋_GB2312"/>
          <w:color w:val="auto"/>
          <w:sz w:val="24"/>
          <w:highlight w:val="none"/>
        </w:rPr>
      </w:pPr>
    </w:p>
    <w:p>
      <w:pPr>
        <w:pStyle w:val="83"/>
        <w:rPr>
          <w:rFonts w:ascii="仿宋_GB2312" w:hAnsi="仿宋" w:eastAsia="仿宋_GB2312" w:cs="仿宋_GB2312"/>
          <w:color w:val="auto"/>
          <w:sz w:val="24"/>
          <w:highlight w:val="none"/>
        </w:rPr>
      </w:pPr>
    </w:p>
    <w:p>
      <w:pPr>
        <w:spacing w:line="360" w:lineRule="auto"/>
        <w:jc w:val="center"/>
        <w:rPr>
          <w:rFonts w:ascii="仿宋_GB2312" w:hAnsi="仿宋" w:eastAsia="仿宋_GB2312" w:cs="仿宋_GB2312"/>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rPr>
        <w:t>、</w:t>
      </w:r>
      <w:r>
        <w:rPr>
          <w:rFonts w:hint="eastAsia" w:ascii="仿宋_GB2312" w:hAnsi="仿宋" w:eastAsia="仿宋_GB2312" w:cs="仿宋_GB2312"/>
          <w:b/>
          <w:bCs/>
          <w:color w:val="auto"/>
          <w:sz w:val="32"/>
          <w:szCs w:val="32"/>
          <w:highlight w:val="none"/>
        </w:rPr>
        <w:t>认为需要的其他技术文件或说明</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pacing w:line="360" w:lineRule="auto"/>
        <w:jc w:val="center"/>
        <w:rPr>
          <w:rFonts w:ascii="仿宋_GB2312" w:hAnsi="仿宋" w:eastAsia="仿宋_GB2312" w:cs="仿宋_GB2312"/>
          <w:color w:val="auto"/>
          <w:sz w:val="24"/>
          <w:highlight w:val="none"/>
        </w:rPr>
      </w:pPr>
    </w:p>
    <w:p>
      <w:pPr>
        <w:autoSpaceDE w:val="0"/>
        <w:autoSpaceDN w:val="0"/>
        <w:spacing w:line="360" w:lineRule="auto"/>
        <w:ind w:firstLine="4800" w:firstLineChars="20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pStyle w:val="83"/>
        <w:rPr>
          <w:rFonts w:hint="eastAsia" w:ascii="仿宋_GB2312" w:hAnsi="仿宋" w:eastAsia="仿宋_GB2312" w:cs="仿宋_GB2312"/>
          <w:color w:val="auto"/>
          <w:kern w:val="0"/>
          <w:sz w:val="24"/>
          <w:highlight w:val="none"/>
          <w:lang w:val="zh-CN"/>
        </w:rPr>
      </w:pPr>
    </w:p>
    <w:p>
      <w:pPr>
        <w:pStyle w:val="83"/>
        <w:rPr>
          <w:rFonts w:hint="eastAsia" w:ascii="仿宋_GB2312" w:hAnsi="仿宋" w:eastAsia="仿宋_GB2312" w:cs="仿宋_GB2312"/>
          <w:color w:val="auto"/>
          <w:kern w:val="0"/>
          <w:sz w:val="24"/>
          <w:highlight w:val="none"/>
          <w:lang w:val="zh-CN"/>
        </w:rPr>
      </w:pPr>
    </w:p>
    <w:p>
      <w:pPr>
        <w:spacing w:line="360" w:lineRule="auto"/>
        <w:jc w:val="center"/>
        <w:rPr>
          <w:rFonts w:ascii="仿宋_GB2312" w:hAnsi="仿宋" w:eastAsia="仿宋_GB2312" w:cs="仿宋_GB2312"/>
          <w:b/>
          <w:color w:val="auto"/>
          <w:kern w:val="0"/>
          <w:sz w:val="30"/>
          <w:szCs w:val="30"/>
          <w:highlight w:val="none"/>
          <w:lang w:val="zh-CN"/>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eastAsia="zh-CN"/>
        </w:rPr>
        <w:t>三</w:t>
      </w:r>
      <w:r>
        <w:rPr>
          <w:rFonts w:hint="eastAsia" w:ascii="仿宋" w:hAnsi="仿宋" w:eastAsia="仿宋" w:cs="仿宋"/>
          <w:b/>
          <w:bCs/>
          <w:color w:val="auto"/>
          <w:sz w:val="32"/>
          <w:szCs w:val="32"/>
          <w:highlight w:val="none"/>
        </w:rPr>
        <w:t>、</w:t>
      </w:r>
      <w:r>
        <w:rPr>
          <w:rFonts w:hint="eastAsia" w:ascii="仿宋_GB2312" w:hAnsi="仿宋" w:eastAsia="仿宋_GB2312" w:cs="仿宋_GB2312"/>
          <w:b/>
          <w:bCs/>
          <w:color w:val="auto"/>
          <w:sz w:val="30"/>
          <w:szCs w:val="30"/>
          <w:highlight w:val="none"/>
        </w:rPr>
        <w:t>关于</w:t>
      </w:r>
      <w:r>
        <w:rPr>
          <w:rFonts w:hint="eastAsia" w:ascii="仿宋_GB2312" w:hAnsi="仿宋" w:eastAsia="仿宋_GB2312" w:cs="仿宋_GB2312"/>
          <w:b/>
          <w:color w:val="auto"/>
          <w:kern w:val="0"/>
          <w:sz w:val="30"/>
          <w:szCs w:val="30"/>
          <w:highlight w:val="none"/>
          <w:lang w:val="zh-CN"/>
        </w:rPr>
        <w:t>对招标文件中有关商务、合同条款的拒绝声明</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pacing w:line="360" w:lineRule="auto"/>
        <w:rPr>
          <w:rFonts w:ascii="仿宋_GB2312" w:hAnsi="仿宋" w:eastAsia="仿宋_GB2312" w:cs="仿宋_GB2312"/>
          <w:color w:val="auto"/>
          <w:sz w:val="24"/>
          <w:highlight w:val="none"/>
        </w:rPr>
      </w:pPr>
    </w:p>
    <w:p>
      <w:pPr>
        <w:autoSpaceDE w:val="0"/>
        <w:autoSpaceDN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 xml:space="preserve">                日期：  年  月   日</w:t>
      </w:r>
    </w:p>
    <w:p>
      <w:pPr>
        <w:tabs>
          <w:tab w:val="left" w:pos="0"/>
        </w:tabs>
        <w:autoSpaceDE w:val="0"/>
        <w:autoSpaceDN w:val="0"/>
        <w:spacing w:line="360" w:lineRule="auto"/>
        <w:ind w:firstLine="2570" w:firstLineChars="800"/>
        <w:rPr>
          <w:rFonts w:hint="eastAsia" w:ascii="仿宋" w:hAnsi="仿宋" w:eastAsia="仿宋" w:cs="仿宋"/>
          <w:b/>
          <w:bCs/>
          <w:color w:val="auto"/>
          <w:sz w:val="32"/>
          <w:szCs w:val="32"/>
          <w:highlight w:val="none"/>
        </w:rPr>
      </w:pPr>
    </w:p>
    <w:p>
      <w:pPr>
        <w:tabs>
          <w:tab w:val="left" w:pos="0"/>
        </w:tabs>
        <w:autoSpaceDE w:val="0"/>
        <w:autoSpaceDN w:val="0"/>
        <w:spacing w:line="360" w:lineRule="auto"/>
        <w:ind w:firstLine="2570" w:firstLineChars="800"/>
        <w:rPr>
          <w:rFonts w:hint="eastAsia" w:ascii="仿宋" w:hAnsi="仿宋" w:eastAsia="仿宋" w:cs="仿宋"/>
          <w:b/>
          <w:bCs/>
          <w:color w:val="auto"/>
          <w:sz w:val="32"/>
          <w:szCs w:val="32"/>
          <w:highlight w:val="none"/>
        </w:rPr>
      </w:pPr>
    </w:p>
    <w:p>
      <w:pPr>
        <w:tabs>
          <w:tab w:val="left" w:pos="0"/>
        </w:tabs>
        <w:autoSpaceDE w:val="0"/>
        <w:autoSpaceDN w:val="0"/>
        <w:spacing w:line="360" w:lineRule="auto"/>
        <w:ind w:firstLine="2570" w:firstLineChars="800"/>
        <w:rPr>
          <w:rFonts w:hint="eastAsia" w:ascii="仿宋" w:hAnsi="仿宋" w:eastAsia="仿宋" w:cs="仿宋"/>
          <w:b/>
          <w:bCs/>
          <w:color w:val="auto"/>
          <w:sz w:val="32"/>
          <w:szCs w:val="32"/>
          <w:highlight w:val="none"/>
        </w:rPr>
      </w:pPr>
    </w:p>
    <w:p>
      <w:pPr>
        <w:tabs>
          <w:tab w:val="left" w:pos="0"/>
        </w:tabs>
        <w:autoSpaceDE w:val="0"/>
        <w:autoSpaceDN w:val="0"/>
        <w:spacing w:line="360" w:lineRule="auto"/>
        <w:jc w:val="center"/>
        <w:rPr>
          <w:rFonts w:hint="eastAsia" w:ascii="仿宋" w:hAnsi="仿宋" w:eastAsia="仿宋" w:cs="仿宋"/>
          <w:b/>
          <w:bCs/>
          <w:color w:val="auto"/>
          <w:sz w:val="32"/>
          <w:szCs w:val="32"/>
          <w:highlight w:val="none"/>
        </w:rPr>
      </w:pPr>
    </w:p>
    <w:p>
      <w:pPr>
        <w:pStyle w:val="17"/>
        <w:rPr>
          <w:rFonts w:hint="eastAsia" w:ascii="仿宋" w:hAnsi="仿宋" w:eastAsia="仿宋" w:cs="仿宋"/>
          <w:b/>
          <w:bCs/>
          <w:color w:val="auto"/>
          <w:sz w:val="32"/>
          <w:szCs w:val="32"/>
          <w:highlight w:val="none"/>
        </w:rPr>
      </w:pPr>
    </w:p>
    <w:p>
      <w:pPr>
        <w:rPr>
          <w:rFonts w:hint="eastAsia" w:ascii="仿宋" w:hAnsi="仿宋" w:eastAsia="仿宋" w:cs="仿宋"/>
          <w:b/>
          <w:bCs/>
          <w:color w:val="auto"/>
          <w:sz w:val="32"/>
          <w:szCs w:val="32"/>
          <w:highlight w:val="none"/>
        </w:rPr>
      </w:pPr>
    </w:p>
    <w:p>
      <w:pPr>
        <w:pStyle w:val="17"/>
        <w:rPr>
          <w:rFonts w:hint="eastAsia" w:ascii="仿宋" w:hAnsi="仿宋" w:eastAsia="仿宋" w:cs="仿宋"/>
          <w:b/>
          <w:bCs/>
          <w:color w:val="auto"/>
          <w:sz w:val="32"/>
          <w:szCs w:val="32"/>
          <w:highlight w:val="none"/>
        </w:rPr>
      </w:pPr>
    </w:p>
    <w:p>
      <w:pPr>
        <w:rPr>
          <w:rFonts w:hint="eastAsia"/>
          <w:color w:val="auto"/>
          <w:highlight w:val="none"/>
        </w:rPr>
      </w:pPr>
    </w:p>
    <w:p>
      <w:pPr>
        <w:tabs>
          <w:tab w:val="left" w:pos="0"/>
        </w:tabs>
        <w:autoSpaceDE w:val="0"/>
        <w:autoSpaceDN w:val="0"/>
        <w:spacing w:line="360" w:lineRule="auto"/>
        <w:jc w:val="center"/>
        <w:rPr>
          <w:rFonts w:ascii="仿宋_GB2312" w:hAnsi="仿宋" w:eastAsia="仿宋_GB2312" w:cs="仿宋_GB2312"/>
          <w:b/>
          <w:bCs/>
          <w:color w:val="auto"/>
          <w:sz w:val="30"/>
          <w:szCs w:val="30"/>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w:t>
      </w:r>
      <w:r>
        <w:rPr>
          <w:rFonts w:hint="eastAsia" w:ascii="仿宋_GB2312" w:hAnsi="仿宋" w:eastAsia="仿宋_GB2312" w:cs="仿宋_GB2312"/>
          <w:b/>
          <w:bCs/>
          <w:color w:val="auto"/>
          <w:sz w:val="30"/>
          <w:szCs w:val="30"/>
          <w:highlight w:val="none"/>
        </w:rPr>
        <w:t>廉政承诺书</w:t>
      </w:r>
    </w:p>
    <w:p>
      <w:pPr>
        <w:autoSpaceDE w:val="0"/>
        <w:autoSpaceDN w:val="0"/>
        <w:spacing w:line="360" w:lineRule="auto"/>
        <w:jc w:val="left"/>
        <w:rPr>
          <w:rFonts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单位名称</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 xml:space="preserve">）：                </w:t>
      </w:r>
    </w:p>
    <w:p>
      <w:pPr>
        <w:spacing w:line="360" w:lineRule="auto"/>
        <w:ind w:left="5280" w:hanging="5280" w:hangingChars="2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法定代表人或其授权代表（签字）：                                                                                                                                                                   </w:t>
      </w:r>
    </w:p>
    <w:p>
      <w:pPr>
        <w:spacing w:line="360" w:lineRule="auto"/>
        <w:ind w:left="4620" w:leftChars="2200"/>
        <w:rPr>
          <w:rFonts w:ascii="Times New Roman" w:hAnsi="Times New Roman" w:eastAsia="宋体" w:cs="Times New Roman"/>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pPr>
        <w:pStyle w:val="83"/>
        <w:rPr>
          <w:color w:val="auto"/>
          <w:highlight w:val="none"/>
          <w:lang w:val="zh-CN"/>
        </w:rPr>
      </w:pP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color w:val="auto"/>
          <w:highlight w:val="none"/>
        </w:rPr>
      </w:pPr>
      <w:bookmarkStart w:id="560" w:name="_Toc465665161"/>
      <w:r>
        <w:rPr>
          <w:rFonts w:hint="eastAsia" w:ascii="仿宋" w:hAnsi="仿宋" w:eastAsia="仿宋" w:cs="仿宋"/>
          <w:color w:val="auto"/>
          <w:highlight w:val="none"/>
        </w:rPr>
        <w:t>附件</w:t>
      </w:r>
      <w:bookmarkEnd w:id="560"/>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61" w:name="OLE_LINK13"/>
      <w:bookmarkStart w:id="562" w:name="OLE_LINK14"/>
      <w:r>
        <w:rPr>
          <w:rFonts w:hint="eastAsia" w:ascii="仿宋" w:hAnsi="仿宋" w:eastAsia="仿宋" w:cs="仿宋"/>
          <w:b/>
          <w:color w:val="auto"/>
          <w:spacing w:val="6"/>
          <w:sz w:val="32"/>
          <w:szCs w:val="32"/>
          <w:highlight w:val="none"/>
        </w:rPr>
        <w:t>残疾人福利性单位声明函</w:t>
      </w:r>
      <w:bookmarkEnd w:id="561"/>
      <w:bookmarkEnd w:id="562"/>
    </w:p>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pStyle w:val="2"/>
        <w:jc w:val="both"/>
        <w:rPr>
          <w:rFonts w:hint="eastAsia" w:ascii="仿宋" w:hAnsi="仿宋" w:eastAsia="仿宋" w:cs="仿宋"/>
          <w:b/>
          <w:bCs/>
          <w:color w:val="auto"/>
          <w:sz w:val="32"/>
          <w:szCs w:val="32"/>
          <w:highlight w:val="none"/>
          <w:lang w:val="en-US" w:eastAsia="zh-CN"/>
        </w:rPr>
      </w:pPr>
    </w:p>
    <w:p>
      <w:pPr>
        <w:pStyle w:val="2"/>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附件2（开标记录开启后，请将此附件填写完整发送至邮箱：617044846@qq.com）：</w:t>
      </w:r>
    </w:p>
    <w:p>
      <w:pPr>
        <w:pStyle w:val="2"/>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政府采购活动现场确认声明书</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杭州建设工程造价咨询有限公司：</w:t>
      </w:r>
      <w:r>
        <w:rPr>
          <w:rFonts w:hint="eastAsia" w:ascii="仿宋" w:hAnsi="仿宋" w:eastAsia="仿宋" w:cs="仿宋"/>
          <w:color w:val="auto"/>
          <w:sz w:val="24"/>
          <w:szCs w:val="24"/>
          <w:highlight w:val="none"/>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 ____________（授权代表姓名），经由______________________________（单位） ____________ （法定代表人姓名）合法授权参加</w:t>
      </w:r>
      <w:r>
        <w:rPr>
          <w:rFonts w:hint="eastAsia" w:ascii="仿宋" w:hAnsi="仿宋" w:eastAsia="仿宋" w:cs="仿宋"/>
          <w:color w:val="auto"/>
          <w:sz w:val="24"/>
          <w:szCs w:val="24"/>
          <w:highlight w:val="none"/>
          <w:lang w:eastAsia="zh-CN"/>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）政府采购活动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经与本单位法人代表（负责人）联系确认，现就有关公平竞争事项郑重声明如下: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本单位与采购人之间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不存在利害关系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存在下列利害关系:</w:t>
      </w:r>
    </w:p>
    <w:p>
      <w:pPr>
        <w:pStyle w:val="2"/>
        <w:keepNext w:val="0"/>
        <w:keepLines w:val="0"/>
        <w:pageBreakBefore w:val="0"/>
        <w:widowControl w:val="0"/>
        <w:numPr>
          <w:ilvl w:val="0"/>
          <w:numId w:val="27"/>
        </w:numPr>
        <w:kinsoku/>
        <w:wordWrap/>
        <w:overflowPunct/>
        <w:topLinePunct w:val="0"/>
        <w:autoSpaceDE w:val="0"/>
        <w:autoSpaceDN w:val="0"/>
        <w:bidi w:val="0"/>
        <w:adjustRightInd w:val="0"/>
        <w:snapToGrid/>
        <w:spacing w:line="360" w:lineRule="exact"/>
        <w:ind w:left="12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投资关系 B．行政隶属关系 C．业务指导关系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12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D．其他可能影响采购公正的利害关系（如有，请如实说明）。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二、现己清楚知道参加本项目采购活动的其他所有供应商名称，本单位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与其他所有供应商之间均不存在利害关系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与______________（供应商名称）之间存在下列利害关系: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A．法定代表人或负责人或实际控制人是同一人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B．法定代表人或负责人或实际控制人是夫妻关系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C．法定代表人或负责人或实际控制人是直系血亲关系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D．法定代表人或负责人或实际控制人存在三代以内旁系血亲关系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E．法定代表人或负责人或实际控制人存在近姻亲关系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F．法定代表人或负责人或实际控制人存在股份控制或实际控制关系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G．存在共同直接或间接投资设立子公司、联营企业和合营企业情况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H．存在分级代理或代销关系、同一生产制造商关系、管理关系、重要业务（占主营业务收入 50 ％以上）或重要财务 往来关系（如融资）等其他实质性控制关系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I．其他利害关系情况 ________________________________________。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三、现己清楚知道并严格遵守政府采购法律法规。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四、我发现 ____________________供应商之间存在或可能存在上述第二条第 ____________项利害关系。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highlight w:val="none"/>
          <w:lang w:val="zh-CN"/>
        </w:rPr>
        <w:t>名称（签章）：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供应商代表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签名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b/>
          <w:color w:val="auto"/>
          <w:spacing w:val="6"/>
          <w:sz w:val="32"/>
          <w:szCs w:val="32"/>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bCs/>
          <w:color w:val="auto"/>
          <w:sz w:val="32"/>
          <w:szCs w:val="32"/>
          <w:highlight w:val="none"/>
          <w:lang w:val="en-US" w:eastAsia="zh-CN"/>
        </w:rPr>
      </w:pPr>
    </w:p>
    <w:p>
      <w:pPr>
        <w:spacing w:line="360" w:lineRule="auto"/>
        <w:jc w:val="left"/>
        <w:rPr>
          <w:rFonts w:hint="eastAsia" w:ascii="仿宋" w:hAnsi="仿宋" w:eastAsia="仿宋" w:cs="仿宋"/>
          <w:b/>
          <w:bCs/>
          <w:color w:val="auto"/>
          <w:sz w:val="32"/>
          <w:szCs w:val="32"/>
          <w:highlight w:val="none"/>
          <w:lang w:val="en-US" w:eastAsia="zh-CN"/>
        </w:rPr>
      </w:pPr>
    </w:p>
    <w:p>
      <w:pPr>
        <w:spacing w:line="360" w:lineRule="auto"/>
        <w:jc w:val="left"/>
        <w:rPr>
          <w:rFonts w:asciiTheme="minorEastAsia" w:hAnsiTheme="minorEastAsia" w:eastAsiaTheme="minorEastAsia" w:cstheme="minorEastAsia"/>
          <w:b/>
          <w:color w:val="auto"/>
          <w:sz w:val="36"/>
          <w:szCs w:val="36"/>
          <w:highlight w:val="none"/>
        </w:rPr>
      </w:pPr>
      <w:r>
        <w:rPr>
          <w:rFonts w:hint="eastAsia" w:ascii="仿宋" w:hAnsi="仿宋" w:eastAsia="仿宋" w:cs="仿宋"/>
          <w:b/>
          <w:bCs/>
          <w:snapToGrid w:val="0"/>
          <w:color w:val="auto"/>
          <w:kern w:val="2"/>
          <w:sz w:val="32"/>
          <w:szCs w:val="32"/>
          <w:highlight w:val="none"/>
          <w:lang w:val="en-US" w:eastAsia="zh-CN" w:bidi="ar-SA"/>
        </w:rPr>
        <w:t>附件3：成本测算表</w:t>
      </w:r>
    </w:p>
    <w:p>
      <w:pPr>
        <w:pStyle w:val="32"/>
        <w:spacing w:beforeLines="100" w:beforeAutospacing="0" w:afterLines="50" w:afterAutospacing="0"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30"/>
          <w:szCs w:val="30"/>
          <w:highlight w:val="none"/>
        </w:rPr>
        <w:t>1、</w:t>
      </w:r>
      <w:r>
        <w:rPr>
          <w:rFonts w:hint="eastAsia" w:ascii="仿宋_GB2312" w:hAnsi="仿宋_GB2312" w:eastAsia="仿宋_GB2312" w:cs="仿宋_GB2312"/>
          <w:b/>
          <w:color w:val="auto"/>
          <w:sz w:val="36"/>
          <w:szCs w:val="36"/>
          <w:highlight w:val="none"/>
        </w:rPr>
        <w:t>制造商投标主要产品成本测算表</w:t>
      </w:r>
    </w:p>
    <w:p>
      <w:pPr>
        <w:pStyle w:val="32"/>
        <w:spacing w:beforeLines="100" w:beforeAutospacing="0" w:afterLines="50" w:afterAutospacing="0"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金额单位：元</w:t>
      </w:r>
    </w:p>
    <w:tbl>
      <w:tblPr>
        <w:tblStyle w:val="6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
        <w:gridCol w:w="2771"/>
        <w:gridCol w:w="5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制造商生产主要产品</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一、产品生产成本</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1、直接材料</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2、辅助材料</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3、燃料（动能）</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4、工人工资</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5、工资附加</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6、制造费用</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合计</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二、管理费用</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1工资、福利费用</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2、保险费用</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3、办公费用</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4、其他应交税费</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合计</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三、财务费用</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四、销售费用</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五、运输费用</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六、销售税金</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w:t>
            </w:r>
          </w:p>
        </w:tc>
        <w:tc>
          <w:tcPr>
            <w:tcW w:w="1529"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主要产品生产成本合计</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1529" w:type="pct"/>
            <w:vAlign w:val="center"/>
          </w:tcPr>
          <w:p>
            <w:pPr>
              <w:pStyle w:val="17"/>
              <w:spacing w:before="0" w:beforeAutospacing="0" w:after="0" w:afterAutospacing="0" w:line="240" w:lineRule="auto"/>
              <w:ind w:firstLine="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备注说明</w:t>
            </w:r>
          </w:p>
        </w:tc>
        <w:tc>
          <w:tcPr>
            <w:tcW w:w="2969" w:type="pct"/>
          </w:tcPr>
          <w:p>
            <w:pPr>
              <w:pStyle w:val="32"/>
              <w:spacing w:line="240" w:lineRule="auto"/>
              <w:rPr>
                <w:rFonts w:hint="eastAsia" w:ascii="仿宋_GB2312" w:hAnsi="仿宋_GB2312" w:eastAsia="仿宋_GB2312" w:cs="仿宋_GB2312"/>
                <w:color w:val="auto"/>
                <w:sz w:val="24"/>
                <w:szCs w:val="24"/>
                <w:highlight w:val="none"/>
              </w:rPr>
            </w:pPr>
          </w:p>
        </w:tc>
      </w:tr>
    </w:tbl>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说明：1、供应商为制造商的，请填此表。</w:t>
      </w:r>
    </w:p>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2、表中第19项产品生产成本合计＝8项+14至18项。</w:t>
      </w:r>
    </w:p>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3、供应商可结合企业实际对表内项目进行适当调整，但要求能真实、准确地反映产品生产成本。</w:t>
      </w:r>
    </w:p>
    <w:p>
      <w:pPr>
        <w:pStyle w:val="32"/>
        <w:spacing w:line="240" w:lineRule="auto"/>
        <w:rPr>
          <w:rFonts w:hint="eastAsia" w:ascii="仿宋_GB2312" w:hAnsi="仿宋_GB2312" w:eastAsia="仿宋_GB2312" w:cs="仿宋_GB2312"/>
          <w:color w:val="auto"/>
          <w:sz w:val="24"/>
          <w:szCs w:val="24"/>
          <w:highlight w:val="none"/>
        </w:rPr>
      </w:pP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制造商名称（盖章）：</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法定代表人或授权代表（签字）：</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highlight w:val="none"/>
        </w:rPr>
        <w:sectPr>
          <w:pgSz w:w="11906" w:h="16838"/>
          <w:pgMar w:top="1440" w:right="1531" w:bottom="1440" w:left="1531" w:header="851" w:footer="992" w:gutter="0"/>
          <w:cols w:space="720" w:num="1"/>
          <w:docGrid w:type="lines" w:linePitch="312" w:charSpace="0"/>
        </w:sectPr>
      </w:pPr>
      <w:r>
        <w:rPr>
          <w:rFonts w:hint="eastAsia" w:ascii="仿宋_GB2312" w:hAnsi="仿宋_GB2312" w:eastAsia="仿宋_GB2312" w:cs="仿宋_GB2312"/>
          <w:color w:val="auto"/>
          <w:sz w:val="24"/>
          <w:highlight w:val="none"/>
        </w:rPr>
        <w:t xml:space="preserve">         投标日期：</w:t>
      </w:r>
    </w:p>
    <w:p>
      <w:pPr>
        <w:pStyle w:val="32"/>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36"/>
          <w:szCs w:val="36"/>
          <w:highlight w:val="none"/>
        </w:rPr>
        <w:t>2、代理商投标主要产品成本测算表</w:t>
      </w:r>
    </w:p>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金额单位：元</w:t>
      </w:r>
    </w:p>
    <w:tbl>
      <w:tblPr>
        <w:tblStyle w:val="6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3"/>
        <w:gridCol w:w="3064"/>
        <w:gridCol w:w="4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供应商代理主要产品</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一、进货成本</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1、商品进价</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2、运输费用</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3、税金</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4、保险</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5、仓储费用</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6、维保费用</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合计</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二、管理费用</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1工资、福利费用</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2、保险费用</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3、办公费用</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4、其他应交税费</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合计</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三、财务费用</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四、销售费用</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五、运输费用</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w:t>
            </w:r>
          </w:p>
        </w:tc>
        <w:tc>
          <w:tcPr>
            <w:tcW w:w="1747" w:type="pct"/>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六、销售税金</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w:t>
            </w:r>
          </w:p>
        </w:tc>
        <w:tc>
          <w:tcPr>
            <w:tcW w:w="1747"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主要产品代理成本合计</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vAlign w:val="center"/>
          </w:tcPr>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1747" w:type="pct"/>
            <w:vAlign w:val="center"/>
          </w:tcPr>
          <w:p>
            <w:pPr>
              <w:pStyle w:val="17"/>
              <w:spacing w:before="0" w:beforeAutospacing="0" w:after="0" w:afterAutospacing="0" w:line="240" w:lineRule="auto"/>
              <w:ind w:firstLine="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备注说明</w:t>
            </w:r>
          </w:p>
        </w:tc>
        <w:tc>
          <w:tcPr>
            <w:tcW w:w="2627" w:type="pct"/>
          </w:tcPr>
          <w:p>
            <w:pPr>
              <w:pStyle w:val="32"/>
              <w:spacing w:line="240" w:lineRule="auto"/>
              <w:rPr>
                <w:rFonts w:hint="eastAsia" w:ascii="仿宋_GB2312" w:hAnsi="仿宋_GB2312" w:eastAsia="仿宋_GB2312" w:cs="仿宋_GB2312"/>
                <w:color w:val="auto"/>
                <w:sz w:val="24"/>
                <w:szCs w:val="24"/>
                <w:highlight w:val="none"/>
              </w:rPr>
            </w:pPr>
          </w:p>
        </w:tc>
      </w:tr>
    </w:tbl>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w:t>
      </w:r>
    </w:p>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1、供应商为代理商的，请填此表。</w:t>
      </w:r>
    </w:p>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2、表中第19项产品生产成本合计＝8项+14至18项。</w:t>
      </w:r>
    </w:p>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3、供应商可结合企业实际对表内项目进行适当调整，但要求能真实、准确地反映产品生产成本。</w:t>
      </w:r>
    </w:p>
    <w:p>
      <w:pPr>
        <w:pStyle w:val="32"/>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4、专家小组认为有必要的，可要求代理商提供进货凭据或与制造商的意向合同。</w:t>
      </w: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highlight w:val="none"/>
        </w:rPr>
      </w:pPr>
    </w:p>
    <w:p>
      <w:pPr>
        <w:adjustRightInd w:val="0"/>
        <w:spacing w:before="0" w:beforeAutospacing="0" w:afterLines="50" w:afterAutospacing="0" w:line="240" w:lineRule="auto"/>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供应商名称（盖章）：</w:t>
      </w:r>
    </w:p>
    <w:p>
      <w:pPr>
        <w:adjustRightInd w:val="0"/>
        <w:spacing w:before="0" w:beforeAutospacing="0" w:afterLines="50" w:afterAutospacing="0" w:line="240" w:lineRule="auto"/>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法定代表人或授权代表（签字）：</w:t>
      </w:r>
    </w:p>
    <w:p>
      <w:pPr>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投标日期：</w:t>
      </w: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highlight w:val="none"/>
        </w:rPr>
      </w:pPr>
    </w:p>
    <w:p>
      <w:pPr>
        <w:spacing w:beforeLines="50" w:beforeAutospacing="0" w:afterLines="50" w:afterAutospacing="0" w:line="240" w:lineRule="auto"/>
        <w:rPr>
          <w:rFonts w:hint="eastAsia" w:ascii="仿宋_GB2312" w:hAnsi="仿宋_GB2312" w:eastAsia="仿宋_GB2312" w:cs="仿宋_GB2312"/>
          <w:color w:val="auto"/>
          <w:sz w:val="24"/>
          <w:highlight w:val="none"/>
        </w:rPr>
      </w:pPr>
    </w:p>
    <w:p>
      <w:pPr>
        <w:pStyle w:val="83"/>
        <w:rPr>
          <w:rFonts w:hint="eastAsia" w:ascii="仿宋_GB2312" w:hAnsi="仿宋_GB2312" w:eastAsia="仿宋_GB2312" w:cs="仿宋_GB2312"/>
          <w:color w:val="auto"/>
          <w:sz w:val="24"/>
          <w:highlight w:val="none"/>
        </w:rPr>
      </w:pPr>
    </w:p>
    <w:p>
      <w:pPr>
        <w:pStyle w:val="83"/>
        <w:rPr>
          <w:rFonts w:hint="eastAsia" w:ascii="仿宋_GB2312" w:hAnsi="仿宋_GB2312" w:eastAsia="仿宋_GB2312" w:cs="仿宋_GB2312"/>
          <w:color w:val="auto"/>
          <w:sz w:val="24"/>
          <w:highlight w:val="none"/>
        </w:rPr>
      </w:pPr>
    </w:p>
    <w:p>
      <w:pPr>
        <w:pStyle w:val="83"/>
        <w:rPr>
          <w:rFonts w:hint="eastAsia" w:ascii="仿宋_GB2312" w:hAnsi="仿宋_GB2312" w:eastAsia="仿宋_GB2312" w:cs="仿宋_GB2312"/>
          <w:color w:val="auto"/>
          <w:sz w:val="24"/>
          <w:highlight w:val="none"/>
        </w:rPr>
      </w:pPr>
    </w:p>
    <w:p>
      <w:pPr>
        <w:pStyle w:val="83"/>
        <w:rPr>
          <w:rFonts w:hint="eastAsia" w:ascii="仿宋_GB2312" w:hAnsi="仿宋_GB2312" w:eastAsia="仿宋_GB2312" w:cs="仿宋_GB2312"/>
          <w:color w:val="auto"/>
          <w:sz w:val="24"/>
          <w:highlight w:val="none"/>
        </w:rPr>
      </w:pPr>
    </w:p>
    <w:p>
      <w:pPr>
        <w:pStyle w:val="83"/>
        <w:rPr>
          <w:rFonts w:hint="eastAsia" w:ascii="仿宋_GB2312" w:hAnsi="仿宋_GB2312" w:eastAsia="仿宋_GB2312" w:cs="仿宋_GB2312"/>
          <w:color w:val="auto"/>
          <w:sz w:val="24"/>
          <w:highlight w:val="none"/>
        </w:rPr>
      </w:pPr>
    </w:p>
    <w:p>
      <w:pPr>
        <w:spacing w:beforeLines="50" w:beforeAutospacing="0" w:afterLines="50" w:afterAutospacing="0" w:line="240" w:lineRule="auto"/>
        <w:ind w:firstLine="723" w:firstLineChars="200"/>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36"/>
          <w:szCs w:val="36"/>
          <w:highlight w:val="none"/>
        </w:rPr>
        <w:t>3.投标主要产品成本汇总表</w:t>
      </w:r>
    </w:p>
    <w:p>
      <w:pPr>
        <w:spacing w:beforeLines="50" w:beforeAutospacing="0" w:afterLines="50" w:afterAutospacing="0"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                                             品目编号/品目名称</w:t>
      </w:r>
    </w:p>
    <w:tbl>
      <w:tblPr>
        <w:tblStyle w:val="6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2768"/>
        <w:gridCol w:w="1674"/>
        <w:gridCol w:w="1110"/>
        <w:gridCol w:w="1411"/>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423"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p>
        </w:tc>
        <w:tc>
          <w:tcPr>
            <w:tcW w:w="1579"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主要产品名称</w:t>
            </w:r>
          </w:p>
        </w:tc>
        <w:tc>
          <w:tcPr>
            <w:tcW w:w="955"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制造商名称</w:t>
            </w:r>
          </w:p>
        </w:tc>
        <w:tc>
          <w:tcPr>
            <w:tcW w:w="633"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数量</w:t>
            </w:r>
          </w:p>
        </w:tc>
        <w:tc>
          <w:tcPr>
            <w:tcW w:w="805" w:type="pct"/>
            <w:tcBorders>
              <w:right w:val="single" w:color="auto" w:sz="4" w:space="0"/>
            </w:tcBorders>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成本总计（元）</w:t>
            </w:r>
          </w:p>
        </w:tc>
        <w:tc>
          <w:tcPr>
            <w:tcW w:w="603" w:type="pct"/>
            <w:tcBorders>
              <w:left w:val="single" w:color="auto" w:sz="4" w:space="0"/>
            </w:tcBorders>
            <w:vAlign w:val="center"/>
          </w:tcPr>
          <w:p>
            <w:pPr>
              <w:pStyle w:val="17"/>
              <w:spacing w:before="0" w:beforeAutospacing="0" w:after="0" w:afterAutospacing="0" w:line="240" w:lineRule="auto"/>
              <w:ind w:left="0" w:leftChars="0" w:firstLine="0" w:firstLineChars="0"/>
              <w:jc w:val="center"/>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highlight w:val="none"/>
              </w:rPr>
            </w:pPr>
          </w:p>
        </w:tc>
      </w:tr>
    </w:tbl>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highlight w:val="none"/>
        </w:rPr>
      </w:pP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highlight w:val="none"/>
        </w:rPr>
      </w:pPr>
    </w:p>
    <w:p>
      <w:pPr>
        <w:adjustRightInd w:val="0"/>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供应商名称（盖章）：</w:t>
      </w:r>
    </w:p>
    <w:p>
      <w:pPr>
        <w:adjustRightInd w:val="0"/>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法定代表人或授权代表（签字）：</w:t>
      </w:r>
    </w:p>
    <w:p>
      <w:pPr>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投标日期：</w:t>
      </w:r>
    </w:p>
    <w:p>
      <w:pPr>
        <w:pStyle w:val="83"/>
        <w:rPr>
          <w:rFonts w:hint="eastAsia" w:ascii="仿宋_GB2312" w:hAnsi="仿宋_GB2312" w:eastAsia="仿宋_GB2312" w:cs="仿宋_GB2312"/>
          <w:color w:val="auto"/>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color w:val="auto"/>
          <w:sz w:val="24"/>
          <w:highlight w:val="none"/>
          <w:lang w:eastAsia="zh-CN"/>
        </w:rPr>
        <w:t>。</w:t>
      </w:r>
    </w:p>
    <w:p>
      <w:pPr>
        <w:jc w:val="left"/>
        <w:rPr>
          <w:rFonts w:hint="eastAsia" w:ascii="仿宋" w:hAnsi="仿宋" w:eastAsia="仿宋" w:cs="仿宋"/>
          <w:b/>
          <w:color w:val="auto"/>
          <w:spacing w:val="6"/>
          <w:sz w:val="32"/>
          <w:szCs w:val="32"/>
          <w:highlight w:val="none"/>
        </w:rPr>
      </w:pPr>
    </w:p>
    <w:p>
      <w:pPr>
        <w:jc w:val="left"/>
        <w:rPr>
          <w:rFonts w:hint="eastAsia" w:ascii="仿宋" w:hAnsi="仿宋" w:eastAsia="仿宋" w:cs="仿宋"/>
          <w:color w:val="auto"/>
          <w:sz w:val="28"/>
          <w:szCs w:val="28"/>
          <w:highlight w:val="none"/>
          <w:lang w:eastAsia="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color w:val="auto"/>
          <w:sz w:val="28"/>
          <w:szCs w:val="28"/>
          <w:highlight w:val="none"/>
          <w:lang w:eastAsia="zh-CN"/>
        </w:rPr>
        <w:t>：</w:t>
      </w:r>
    </w:p>
    <w:p>
      <w:pPr>
        <w:jc w:val="center"/>
        <w:rPr>
          <w:rFonts w:hint="eastAsia" w:ascii="仿宋" w:hAnsi="仿宋" w:eastAsia="仿宋" w:cs="仿宋"/>
          <w:color w:val="auto"/>
          <w:sz w:val="44"/>
          <w:szCs w:val="44"/>
          <w:highlight w:val="none"/>
        </w:rPr>
      </w:pPr>
      <w:r>
        <w:rPr>
          <w:rFonts w:hint="eastAsia" w:ascii="仿宋" w:hAnsi="仿宋" w:eastAsia="仿宋" w:cs="仿宋"/>
          <w:b/>
          <w:bCs/>
          <w:color w:val="auto"/>
          <w:sz w:val="40"/>
          <w:szCs w:val="40"/>
          <w:highlight w:val="none"/>
        </w:rPr>
        <w:t>政府采购融资畅通工程金融机构联系信息表</w:t>
      </w:r>
    </w:p>
    <w:p>
      <w:pPr>
        <w:rPr>
          <w:rFonts w:hint="eastAsia" w:ascii="仿宋" w:hAnsi="仿宋" w:eastAsia="仿宋" w:cs="仿宋"/>
          <w:color w:val="auto"/>
          <w:sz w:val="44"/>
          <w:szCs w:val="44"/>
          <w:highlight w:val="none"/>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金融机构各称</w:t>
            </w:r>
          </w:p>
        </w:tc>
        <w:tc>
          <w:tcPr>
            <w:tcW w:w="142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2444"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277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南</w:t>
            </w:r>
            <w:r>
              <w:rPr>
                <w:rFonts w:hint="eastAsia" w:ascii="仿宋" w:hAnsi="仿宋" w:eastAsia="仿宋" w:cs="仿宋"/>
                <w:color w:val="auto"/>
                <w:sz w:val="28"/>
                <w:szCs w:val="28"/>
                <w:highlight w:val="none"/>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13868003773</w:t>
            </w:r>
          </w:p>
        </w:tc>
        <w:tc>
          <w:tcPr>
            <w:tcW w:w="2775" w:type="dxa"/>
            <w:tcBorders>
              <w:bottom w:val="single" w:color="auto" w:sz="4" w:space="0"/>
            </w:tcBorders>
            <w:vAlign w:val="center"/>
          </w:tcPr>
          <w:p>
            <w:pPr>
              <w:pStyle w:val="5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沈</w:t>
            </w:r>
            <w:r>
              <w:rPr>
                <w:rFonts w:hint="eastAsia" w:ascii="仿宋" w:hAnsi="仿宋" w:eastAsia="仿宋" w:cs="仿宋"/>
                <w:color w:val="auto"/>
                <w:sz w:val="28"/>
                <w:szCs w:val="28"/>
                <w:highlight w:val="none"/>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61092936</w:t>
            </w:r>
          </w:p>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石镜街777号</w:t>
            </w:r>
          </w:p>
        </w:tc>
      </w:tr>
    </w:tbl>
    <w:p>
      <w:pPr>
        <w:pStyle w:val="935"/>
        <w:numPr>
          <w:ilvl w:val="0"/>
          <w:numId w:val="0"/>
        </w:numPr>
        <w:jc w:val="both"/>
        <w:rPr>
          <w:rFonts w:hint="eastAsia" w:ascii="仿宋" w:hAnsi="仿宋" w:eastAsia="仿宋" w:cs="仿宋"/>
          <w:b/>
          <w:color w:val="auto"/>
          <w:sz w:val="36"/>
          <w:szCs w:val="36"/>
          <w:highlight w:val="none"/>
        </w:rPr>
      </w:pPr>
    </w:p>
    <w:p>
      <w:pPr>
        <w:pStyle w:val="935"/>
        <w:numPr>
          <w:ilvl w:val="0"/>
          <w:numId w:val="0"/>
        </w:numPr>
        <w:jc w:val="both"/>
        <w:rPr>
          <w:rFonts w:hint="eastAsia" w:ascii="仿宋" w:hAnsi="仿宋" w:eastAsia="仿宋" w:cs="仿宋"/>
          <w:b/>
          <w:color w:val="auto"/>
          <w:sz w:val="36"/>
          <w:szCs w:val="36"/>
          <w:highlight w:val="none"/>
        </w:rPr>
      </w:pPr>
    </w:p>
    <w:p>
      <w:pPr>
        <w:pStyle w:val="935"/>
        <w:numPr>
          <w:ilvl w:val="0"/>
          <w:numId w:val="0"/>
        </w:numPr>
        <w:jc w:val="both"/>
        <w:rPr>
          <w:rFonts w:hint="eastAsia" w:ascii="仿宋" w:hAnsi="仿宋" w:eastAsia="仿宋" w:cs="仿宋"/>
          <w:b/>
          <w:color w:val="auto"/>
          <w:sz w:val="36"/>
          <w:szCs w:val="36"/>
          <w:highlight w:val="none"/>
        </w:rPr>
      </w:pPr>
    </w:p>
    <w:p>
      <w:pPr>
        <w:pStyle w:val="2"/>
        <w:rPr>
          <w:rFonts w:hint="eastAsia" w:ascii="仿宋" w:hAnsi="仿宋" w:eastAsia="仿宋" w:cs="仿宋"/>
          <w:b/>
          <w:bCs/>
          <w:color w:val="auto"/>
          <w:sz w:val="24"/>
          <w:highlight w:val="none"/>
        </w:rPr>
      </w:pPr>
    </w:p>
    <w:p>
      <w:pPr>
        <w:rPr>
          <w:color w:val="auto"/>
          <w:highlight w:val="none"/>
        </w:rPr>
      </w:pPr>
    </w:p>
    <w:sectPr>
      <w:headerReference r:id="rId15" w:type="first"/>
      <w:footerReference r:id="rId18" w:type="first"/>
      <w:headerReference r:id="rId14" w:type="default"/>
      <w:footerReference r:id="rId16" w:type="default"/>
      <w:footerReference r:id="rId17" w:type="even"/>
      <w:pgSz w:w="11906" w:h="16838"/>
      <w:pgMar w:top="1440" w:right="1797" w:bottom="1440"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9F" w:csb1="0000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Segoe Print"/>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63" w:name="_Toc36110187"/>
    <w:bookmarkStart w:id="564" w:name="_Toc91899912"/>
    <w:bookmarkStart w:id="565" w:name="_Toc164085800"/>
    <w:bookmarkStart w:id="566" w:name="_Toc131845147"/>
    <w:r>
      <w:rPr>
        <w:rFonts w:hint="eastAsia" w:ascii="仿宋_GB2312" w:eastAsia="仿宋_GB2312"/>
        <w:kern w:val="0"/>
        <w:szCs w:val="21"/>
      </w:rPr>
      <w:t xml:space="preserve"> 页</w:t>
    </w:r>
    <w:bookmarkEnd w:id="563"/>
    <w:bookmarkEnd w:id="564"/>
    <w:bookmarkEnd w:id="565"/>
    <w:bookmarkEnd w:id="56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32"/>
        <w:szCs w:val="32"/>
      </w:rPr>
      <w:drawing>
        <wp:anchor distT="0" distB="0" distL="114300" distR="114300" simplePos="0" relativeHeight="251659264" behindDoc="0" locked="0" layoutInCell="1" allowOverlap="1">
          <wp:simplePos x="0" y="0"/>
          <wp:positionH relativeFrom="column">
            <wp:posOffset>-121920</wp:posOffset>
          </wp:positionH>
          <wp:positionV relativeFrom="paragraph">
            <wp:posOffset>-242570</wp:posOffset>
          </wp:positionV>
          <wp:extent cx="806450" cy="552450"/>
          <wp:effectExtent l="0" t="0" r="1270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806450" cy="552450"/>
                  </a:xfrm>
                  <a:prstGeom prst="rect">
                    <a:avLst/>
                  </a:prstGeom>
                  <a:noFill/>
                  <a:ln>
                    <a:noFill/>
                  </a:ln>
                </pic:spPr>
              </pic:pic>
            </a:graphicData>
          </a:graphic>
        </wp:anchor>
      </w:drawing>
    </w:r>
    <w:r>
      <w:rPr>
        <w:rFonts w:hint="eastAsia"/>
        <w:lang w:val="en-US" w:eastAsia="zh-CN"/>
      </w:rPr>
      <w:t xml:space="preserve">  </w:t>
    </w:r>
    <w:r>
      <w:rPr>
        <w:rFonts w:hint="eastAsia"/>
      </w:rPr>
      <w:t>“龙门秘境”数字景区集成创新示范区建设项目公开招标文件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center" w:pos="4535"/>
        <w:tab w:val="right" w:pos="9070"/>
        <w:tab w:val="clear" w:pos="4153"/>
        <w:tab w:val="clear" w:pos="8306"/>
      </w:tabs>
      <w:jc w:val="right"/>
      <w:rPr>
        <w:rFonts w:hint="eastAsia"/>
        <w:lang w:val="zh-CN"/>
      </w:rPr>
    </w:pPr>
    <w:r>
      <w:rPr>
        <w:rFonts w:hint="eastAsia"/>
        <w:lang w:val="zh-CN"/>
      </w:rPr>
      <w:t xml:space="preserve"> </w:t>
    </w:r>
    <w:r>
      <w:tab/>
    </w:r>
    <w:r>
      <w:rPr>
        <w:rFonts w:hint="eastAsia"/>
        <w:lang w:val="zh-CN"/>
      </w:rP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rPr>
        <w:sz w:val="32"/>
        <w:szCs w:val="32"/>
      </w:rPr>
      <w:drawing>
        <wp:anchor distT="0" distB="0" distL="114300" distR="114300" simplePos="0" relativeHeight="251662336" behindDoc="0" locked="0" layoutInCell="1" allowOverlap="1">
          <wp:simplePos x="0" y="0"/>
          <wp:positionH relativeFrom="column">
            <wp:posOffset>22225</wp:posOffset>
          </wp:positionH>
          <wp:positionV relativeFrom="paragraph">
            <wp:posOffset>-185420</wp:posOffset>
          </wp:positionV>
          <wp:extent cx="806450" cy="552450"/>
          <wp:effectExtent l="0" t="0" r="12700"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806450" cy="552450"/>
                  </a:xfrm>
                  <a:prstGeom prst="rect">
                    <a:avLst/>
                  </a:prstGeom>
                  <a:noFill/>
                  <a:ln>
                    <a:noFill/>
                  </a:ln>
                </pic:spPr>
              </pic:pic>
            </a:graphicData>
          </a:graphic>
        </wp:anchor>
      </w:drawing>
    </w:r>
    <w:r>
      <w:t></w:t>
    </w:r>
    <w:r>
      <w:rPr>
        <w:rFonts w:hint="eastAsia"/>
        <w:lang w:val="en-US" w:eastAsia="zh-CN"/>
      </w:rPr>
      <w:t xml:space="preserve">              </w:t>
    </w:r>
    <w:r>
      <w:rPr>
        <w:rFonts w:hint="eastAsia"/>
      </w:rPr>
      <w:t>“龙门秘境”数字景区集成创新示范区建设项目公开招标文件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lang w:val="en-US" w:eastAsia="zh-CN"/>
      </w:rPr>
      <w:t>“龙门秘境”数字景区集成创新示范区建设项目公开招标文件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sz w:val="32"/>
        <w:szCs w:val="3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-175895</wp:posOffset>
          </wp:positionV>
          <wp:extent cx="806450" cy="552450"/>
          <wp:effectExtent l="0" t="0" r="1270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806450" cy="552450"/>
                  </a:xfrm>
                  <a:prstGeom prst="rect">
                    <a:avLst/>
                  </a:prstGeom>
                  <a:noFill/>
                  <a:ln>
                    <a:noFill/>
                  </a:ln>
                </pic:spPr>
              </pic:pic>
            </a:graphicData>
          </a:graphic>
        </wp:anchor>
      </w:drawing>
    </w:r>
    <w:r>
      <w:rPr>
        <w:rFonts w:hint="eastAsia"/>
      </w:rPr>
      <w:t xml:space="preserve">                               “龙门秘境”数字景区集成创新示范区建设项目公开招标文件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rPr>
    </w:pPr>
    <w:r>
      <w:rPr>
        <w:sz w:val="32"/>
        <w:szCs w:val="32"/>
      </w:rPr>
      <w:drawing>
        <wp:anchor distT="0" distB="0" distL="114300" distR="114300" simplePos="0" relativeHeight="251661312" behindDoc="0" locked="0" layoutInCell="1" allowOverlap="1">
          <wp:simplePos x="0" y="0"/>
          <wp:positionH relativeFrom="column">
            <wp:posOffset>-211455</wp:posOffset>
          </wp:positionH>
          <wp:positionV relativeFrom="paragraph">
            <wp:posOffset>-242570</wp:posOffset>
          </wp:positionV>
          <wp:extent cx="806450" cy="552450"/>
          <wp:effectExtent l="0" t="0" r="1270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806450" cy="552450"/>
                  </a:xfrm>
                  <a:prstGeom prst="rect">
                    <a:avLst/>
                  </a:prstGeom>
                  <a:noFill/>
                  <a:ln>
                    <a:noFill/>
                  </a:ln>
                </pic:spPr>
              </pic:pic>
            </a:graphicData>
          </a:graphic>
        </wp:anchor>
      </w:drawing>
    </w:r>
    <w:r>
      <w:rPr>
        <w:rFonts w:hint="eastAsia"/>
      </w:rPr>
      <w:t xml:space="preserve">                                       “龙门秘境”数字景区集成创新示范区建设项目公开招标文件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5C893"/>
    <w:multiLevelType w:val="singleLevel"/>
    <w:tmpl w:val="B225C893"/>
    <w:lvl w:ilvl="0" w:tentative="0">
      <w:start w:val="1"/>
      <w:numFmt w:val="decimal"/>
      <w:suff w:val="nothing"/>
      <w:lvlText w:val="%1、"/>
      <w:lvlJc w:val="left"/>
    </w:lvl>
  </w:abstractNum>
  <w:abstractNum w:abstractNumId="1">
    <w:nsid w:val="B6607C90"/>
    <w:multiLevelType w:val="singleLevel"/>
    <w:tmpl w:val="B6607C90"/>
    <w:lvl w:ilvl="0" w:tentative="0">
      <w:start w:val="2"/>
      <w:numFmt w:val="upperLetter"/>
      <w:suff w:val="nothing"/>
      <w:lvlText w:val="%1、"/>
      <w:lvlJc w:val="left"/>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62"/>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360"/>
      <w:lvlText w:val=""/>
      <w:lvlJc w:val="left"/>
      <w:pPr>
        <w:tabs>
          <w:tab w:val="left" w:pos="2100"/>
        </w:tabs>
        <w:ind w:left="2100" w:hanging="420"/>
      </w:pPr>
      <w:rPr>
        <w:rFonts w:hint="default" w:ascii="Wingdings" w:hAnsi="Wingdings"/>
      </w:rPr>
    </w:lvl>
    <w:lvl w:ilvl="4" w:tentative="0">
      <w:start w:val="1"/>
      <w:numFmt w:val="bullet"/>
      <w:pStyle w:val="426"/>
      <w:lvlText w:val=""/>
      <w:lvlJc w:val="left"/>
      <w:pPr>
        <w:tabs>
          <w:tab w:val="left" w:pos="2520"/>
        </w:tabs>
        <w:ind w:left="2520" w:hanging="420"/>
      </w:pPr>
      <w:rPr>
        <w:rFonts w:hint="default" w:ascii="Wingdings" w:hAnsi="Wingdings"/>
      </w:rPr>
    </w:lvl>
    <w:lvl w:ilvl="5" w:tentative="0">
      <w:start w:val="1"/>
      <w:numFmt w:val="bullet"/>
      <w:pStyle w:val="494"/>
      <w:lvlText w:val=""/>
      <w:lvlJc w:val="left"/>
      <w:pPr>
        <w:tabs>
          <w:tab w:val="left" w:pos="2940"/>
        </w:tabs>
        <w:ind w:left="2940" w:hanging="420"/>
      </w:pPr>
      <w:rPr>
        <w:rFonts w:hint="default" w:ascii="Wingdings" w:hAnsi="Wingdings"/>
      </w:rPr>
    </w:lvl>
    <w:lvl w:ilvl="6" w:tentative="0">
      <w:start w:val="1"/>
      <w:numFmt w:val="bullet"/>
      <w:pStyle w:val="493"/>
      <w:lvlText w:val=""/>
      <w:lvlJc w:val="left"/>
      <w:pPr>
        <w:tabs>
          <w:tab w:val="left" w:pos="3360"/>
        </w:tabs>
        <w:ind w:left="3360" w:hanging="420"/>
      </w:pPr>
      <w:rPr>
        <w:rFonts w:hint="default" w:ascii="Wingdings" w:hAnsi="Wingdings"/>
      </w:rPr>
    </w:lvl>
    <w:lvl w:ilvl="7" w:tentative="0">
      <w:start w:val="1"/>
      <w:numFmt w:val="bullet"/>
      <w:pStyle w:val="570"/>
      <w:lvlText w:val=""/>
      <w:lvlJc w:val="left"/>
      <w:pPr>
        <w:tabs>
          <w:tab w:val="left" w:pos="3780"/>
        </w:tabs>
        <w:ind w:left="3780" w:hanging="420"/>
      </w:pPr>
      <w:rPr>
        <w:rFonts w:hint="default" w:ascii="Wingdings" w:hAnsi="Wingdings"/>
      </w:rPr>
    </w:lvl>
    <w:lvl w:ilvl="8" w:tentative="0">
      <w:start w:val="1"/>
      <w:numFmt w:val="bullet"/>
      <w:pStyle w:val="565"/>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11F3D51"/>
    <w:multiLevelType w:val="multilevel"/>
    <w:tmpl w:val="011F3D51"/>
    <w:lvl w:ilvl="0" w:tentative="0">
      <w:start w:val="1"/>
      <w:numFmt w:val="decimal"/>
      <w:pStyle w:val="858"/>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9"/>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7">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3F213E63"/>
    <w:multiLevelType w:val="singleLevel"/>
    <w:tmpl w:val="3F213E63"/>
    <w:lvl w:ilvl="0" w:tentative="0">
      <w:start w:val="6"/>
      <w:numFmt w:val="decimal"/>
      <w:lvlText w:val="%1."/>
      <w:lvlJc w:val="left"/>
      <w:pPr>
        <w:tabs>
          <w:tab w:val="left" w:pos="312"/>
        </w:tabs>
      </w:pPr>
    </w:lvl>
  </w:abstractNum>
  <w:abstractNum w:abstractNumId="9">
    <w:nsid w:val="578B3BD2"/>
    <w:multiLevelType w:val="multilevel"/>
    <w:tmpl w:val="578B3BD2"/>
    <w:lvl w:ilvl="0" w:tentative="0">
      <w:start w:val="1"/>
      <w:numFmt w:val="decimal"/>
      <w:pStyle w:val="504"/>
      <w:lvlText w:val="%1"/>
      <w:lvlJc w:val="left"/>
      <w:pPr>
        <w:tabs>
          <w:tab w:val="left" w:pos="480"/>
        </w:tabs>
        <w:ind w:left="480" w:hanging="480"/>
      </w:pPr>
      <w:rPr>
        <w:rFonts w:hint="eastAsia"/>
        <w:sz w:val="44"/>
        <w:szCs w:val="44"/>
      </w:rPr>
    </w:lvl>
    <w:lvl w:ilvl="1" w:tentative="0">
      <w:start w:val="1"/>
      <w:numFmt w:val="decimal"/>
      <w:pStyle w:val="48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10"/>
      <w:lvlText w:val="%1.%2.%3.%4.%5"/>
      <w:lvlJc w:val="left"/>
      <w:pPr>
        <w:tabs>
          <w:tab w:val="left" w:pos="1080"/>
        </w:tabs>
        <w:ind w:left="1080" w:hanging="1080"/>
      </w:pPr>
      <w:rPr>
        <w:rFonts w:hint="default"/>
      </w:rPr>
    </w:lvl>
    <w:lvl w:ilvl="5" w:tentative="0">
      <w:start w:val="1"/>
      <w:numFmt w:val="decimal"/>
      <w:pStyle w:val="44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618E2441"/>
    <w:multiLevelType w:val="singleLevel"/>
    <w:tmpl w:val="618E2441"/>
    <w:lvl w:ilvl="0" w:tentative="0">
      <w:start w:val="1"/>
      <w:numFmt w:val="decimal"/>
      <w:suff w:val="nothing"/>
      <w:lvlText w:val="%1."/>
      <w:lvlJc w:val="left"/>
    </w:lvl>
  </w:abstractNum>
  <w:abstractNum w:abstractNumId="11">
    <w:nsid w:val="618E2A2C"/>
    <w:multiLevelType w:val="singleLevel"/>
    <w:tmpl w:val="618E2A2C"/>
    <w:lvl w:ilvl="0" w:tentative="0">
      <w:start w:val="1"/>
      <w:numFmt w:val="decimalEnclosedCircleChinese"/>
      <w:suff w:val="nothing"/>
      <w:lvlText w:val="%1　"/>
      <w:lvlJc w:val="left"/>
      <w:pPr>
        <w:ind w:left="0" w:leftChars="0" w:firstLine="400" w:firstLineChars="0"/>
      </w:pPr>
      <w:rPr>
        <w:rFonts w:hint="eastAsia"/>
      </w:rPr>
    </w:lvl>
  </w:abstractNum>
  <w:abstractNum w:abstractNumId="12">
    <w:nsid w:val="618E2A96"/>
    <w:multiLevelType w:val="singleLevel"/>
    <w:tmpl w:val="618E2A96"/>
    <w:lvl w:ilvl="0" w:tentative="0">
      <w:start w:val="1"/>
      <w:numFmt w:val="decimalEnclosedCircleChinese"/>
      <w:suff w:val="nothing"/>
      <w:lvlText w:val="%1　"/>
      <w:lvlJc w:val="left"/>
      <w:pPr>
        <w:ind w:left="0" w:leftChars="0" w:firstLine="400" w:firstLineChars="0"/>
      </w:pPr>
      <w:rPr>
        <w:rFonts w:hint="eastAsia"/>
      </w:rPr>
    </w:lvl>
  </w:abstractNum>
  <w:abstractNum w:abstractNumId="13">
    <w:nsid w:val="618E2C01"/>
    <w:multiLevelType w:val="singleLevel"/>
    <w:tmpl w:val="618E2C01"/>
    <w:lvl w:ilvl="0" w:tentative="0">
      <w:start w:val="3"/>
      <w:numFmt w:val="decimal"/>
      <w:suff w:val="nothing"/>
      <w:lvlText w:val="%1."/>
      <w:lvlJc w:val="left"/>
    </w:lvl>
  </w:abstractNum>
  <w:abstractNum w:abstractNumId="14">
    <w:nsid w:val="618E2D9D"/>
    <w:multiLevelType w:val="singleLevel"/>
    <w:tmpl w:val="618E2D9D"/>
    <w:lvl w:ilvl="0" w:tentative="0">
      <w:start w:val="1"/>
      <w:numFmt w:val="decimalEnclosedCircleChinese"/>
      <w:suff w:val="nothing"/>
      <w:lvlText w:val="%1　"/>
      <w:lvlJc w:val="left"/>
      <w:pPr>
        <w:ind w:left="210" w:leftChars="0" w:firstLine="400" w:firstLineChars="0"/>
      </w:pPr>
      <w:rPr>
        <w:rFonts w:hint="eastAsia"/>
      </w:rPr>
    </w:lvl>
  </w:abstractNum>
  <w:abstractNum w:abstractNumId="15">
    <w:nsid w:val="618E2F0B"/>
    <w:multiLevelType w:val="singleLevel"/>
    <w:tmpl w:val="618E2F0B"/>
    <w:lvl w:ilvl="0" w:tentative="0">
      <w:start w:val="1"/>
      <w:numFmt w:val="decimalEnclosedCircleChinese"/>
      <w:suff w:val="nothing"/>
      <w:lvlText w:val="%1　"/>
      <w:lvlJc w:val="left"/>
      <w:pPr>
        <w:ind w:left="0" w:leftChars="0" w:firstLine="400" w:firstLineChars="0"/>
      </w:pPr>
      <w:rPr>
        <w:rFonts w:hint="eastAsia"/>
      </w:rPr>
    </w:lvl>
  </w:abstractNum>
  <w:abstractNum w:abstractNumId="16">
    <w:nsid w:val="61A9EEAB"/>
    <w:multiLevelType w:val="singleLevel"/>
    <w:tmpl w:val="61A9EEAB"/>
    <w:lvl w:ilvl="0" w:tentative="0">
      <w:start w:val="1"/>
      <w:numFmt w:val="decimalEnclosedCircleChinese"/>
      <w:suff w:val="nothing"/>
      <w:lvlText w:val="%1　"/>
      <w:lvlJc w:val="left"/>
      <w:pPr>
        <w:ind w:left="0" w:leftChars="0" w:firstLine="400" w:firstLineChars="0"/>
      </w:pPr>
      <w:rPr>
        <w:rFonts w:hint="eastAsia"/>
      </w:rPr>
    </w:lvl>
  </w:abstractNum>
  <w:abstractNum w:abstractNumId="17">
    <w:nsid w:val="61A9F079"/>
    <w:multiLevelType w:val="singleLevel"/>
    <w:tmpl w:val="61A9F079"/>
    <w:lvl w:ilvl="0" w:tentative="0">
      <w:start w:val="1"/>
      <w:numFmt w:val="decimal"/>
      <w:suff w:val="nothing"/>
      <w:lvlText w:val="%1、"/>
      <w:lvlJc w:val="left"/>
    </w:lvl>
  </w:abstractNum>
  <w:abstractNum w:abstractNumId="18">
    <w:nsid w:val="61A9F0D6"/>
    <w:multiLevelType w:val="singleLevel"/>
    <w:tmpl w:val="61A9F0D6"/>
    <w:lvl w:ilvl="0" w:tentative="0">
      <w:start w:val="2"/>
      <w:numFmt w:val="decimal"/>
      <w:suff w:val="nothing"/>
      <w:lvlText w:val="%1、"/>
      <w:lvlJc w:val="left"/>
    </w:lvl>
  </w:abstractNum>
  <w:abstractNum w:abstractNumId="19">
    <w:nsid w:val="61A9F5A2"/>
    <w:multiLevelType w:val="singleLevel"/>
    <w:tmpl w:val="61A9F5A2"/>
    <w:lvl w:ilvl="0" w:tentative="0">
      <w:start w:val="1"/>
      <w:numFmt w:val="decimalEnclosedCircleChinese"/>
      <w:suff w:val="nothing"/>
      <w:lvlText w:val="%1　"/>
      <w:lvlJc w:val="left"/>
      <w:pPr>
        <w:ind w:left="0" w:leftChars="0" w:firstLine="400" w:firstLineChars="0"/>
      </w:pPr>
      <w:rPr>
        <w:rFonts w:hint="eastAsia"/>
      </w:rPr>
    </w:lvl>
  </w:abstractNum>
  <w:abstractNum w:abstractNumId="20">
    <w:nsid w:val="61A9F5C6"/>
    <w:multiLevelType w:val="singleLevel"/>
    <w:tmpl w:val="61A9F5C6"/>
    <w:lvl w:ilvl="0" w:tentative="0">
      <w:start w:val="1"/>
      <w:numFmt w:val="decimalEnclosedCircleChinese"/>
      <w:suff w:val="nothing"/>
      <w:lvlText w:val="%1　"/>
      <w:lvlJc w:val="left"/>
      <w:pPr>
        <w:ind w:left="0" w:leftChars="0" w:firstLine="400" w:firstLineChars="0"/>
      </w:pPr>
      <w:rPr>
        <w:rFonts w:hint="eastAsia"/>
      </w:rPr>
    </w:lvl>
  </w:abstractNum>
  <w:abstractNum w:abstractNumId="21">
    <w:nsid w:val="61A9F5D6"/>
    <w:multiLevelType w:val="singleLevel"/>
    <w:tmpl w:val="61A9F5D6"/>
    <w:lvl w:ilvl="0" w:tentative="0">
      <w:start w:val="7"/>
      <w:numFmt w:val="decimal"/>
      <w:suff w:val="nothing"/>
      <w:lvlText w:val="%1、"/>
      <w:lvlJc w:val="left"/>
    </w:lvl>
  </w:abstractNum>
  <w:abstractNum w:abstractNumId="22">
    <w:nsid w:val="61A9F5EB"/>
    <w:multiLevelType w:val="singleLevel"/>
    <w:tmpl w:val="61A9F5EB"/>
    <w:lvl w:ilvl="0" w:tentative="0">
      <w:start w:val="1"/>
      <w:numFmt w:val="decimalEnclosedCircleChinese"/>
      <w:suff w:val="nothing"/>
      <w:lvlText w:val="%1　"/>
      <w:lvlJc w:val="left"/>
      <w:pPr>
        <w:ind w:left="0" w:leftChars="0" w:firstLine="400" w:firstLineChars="0"/>
      </w:pPr>
      <w:rPr>
        <w:rFonts w:hint="eastAsia"/>
      </w:rPr>
    </w:lvl>
  </w:abstractNum>
  <w:abstractNum w:abstractNumId="23">
    <w:nsid w:val="6D2B6159"/>
    <w:multiLevelType w:val="singleLevel"/>
    <w:tmpl w:val="6D2B6159"/>
    <w:lvl w:ilvl="0" w:tentative="0">
      <w:start w:val="1"/>
      <w:numFmt w:val="decimal"/>
      <w:lvlText w:val="%1."/>
      <w:lvlJc w:val="left"/>
      <w:pPr>
        <w:tabs>
          <w:tab w:val="left" w:pos="312"/>
        </w:tabs>
      </w:pPr>
    </w:lvl>
  </w:abstractNum>
  <w:abstractNum w:abstractNumId="24">
    <w:nsid w:val="73596DCC"/>
    <w:multiLevelType w:val="multilevel"/>
    <w:tmpl w:val="73596DCC"/>
    <w:lvl w:ilvl="0" w:tentative="0">
      <w:start w:val="1"/>
      <w:numFmt w:val="bullet"/>
      <w:pStyle w:val="50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5">
    <w:nsid w:val="74527B1A"/>
    <w:multiLevelType w:val="singleLevel"/>
    <w:tmpl w:val="74527B1A"/>
    <w:lvl w:ilvl="0" w:tentative="0">
      <w:start w:val="2"/>
      <w:numFmt w:val="decimal"/>
      <w:suff w:val="nothing"/>
      <w:lvlText w:val="%1、"/>
      <w:lvlJc w:val="left"/>
    </w:lvl>
  </w:abstractNum>
  <w:abstractNum w:abstractNumId="26">
    <w:nsid w:val="7E265E1C"/>
    <w:multiLevelType w:val="multilevel"/>
    <w:tmpl w:val="7E265E1C"/>
    <w:lvl w:ilvl="0" w:tentative="0">
      <w:start w:val="1"/>
      <w:numFmt w:val="decimal"/>
      <w:pStyle w:val="24"/>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2"/>
  </w:num>
  <w:num w:numId="4">
    <w:abstractNumId w:val="26"/>
  </w:num>
  <w:num w:numId="5">
    <w:abstractNumId w:val="3"/>
  </w:num>
  <w:num w:numId="6">
    <w:abstractNumId w:val="9"/>
  </w:num>
  <w:num w:numId="7">
    <w:abstractNumId w:val="24"/>
  </w:num>
  <w:num w:numId="8">
    <w:abstractNumId w:val="5"/>
  </w:num>
  <w:num w:numId="9">
    <w:abstractNumId w:val="25"/>
  </w:num>
  <w:num w:numId="10">
    <w:abstractNumId w:val="8"/>
  </w:num>
  <w:num w:numId="11">
    <w:abstractNumId w:val="1"/>
  </w:num>
  <w:num w:numId="12">
    <w:abstractNumId w:val="10"/>
  </w:num>
  <w:num w:numId="13">
    <w:abstractNumId w:val="11"/>
  </w:num>
  <w:num w:numId="14">
    <w:abstractNumId w:val="12"/>
  </w:num>
  <w:num w:numId="15">
    <w:abstractNumId w:val="13"/>
  </w:num>
  <w:num w:numId="16">
    <w:abstractNumId w:val="15"/>
  </w:num>
  <w:num w:numId="17">
    <w:abstractNumId w:val="14"/>
  </w:num>
  <w:num w:numId="18">
    <w:abstractNumId w:val="16"/>
  </w:num>
  <w:num w:numId="19">
    <w:abstractNumId w:val="17"/>
  </w:num>
  <w:num w:numId="20">
    <w:abstractNumId w:val="19"/>
  </w:num>
  <w:num w:numId="21">
    <w:abstractNumId w:val="18"/>
  </w:num>
  <w:num w:numId="22">
    <w:abstractNumId w:val="20"/>
  </w:num>
  <w:num w:numId="23">
    <w:abstractNumId w:val="21"/>
  </w:num>
  <w:num w:numId="24">
    <w:abstractNumId w:val="22"/>
  </w:num>
  <w:num w:numId="25">
    <w:abstractNumId w:val="0"/>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53C7F"/>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4063FE"/>
    <w:rsid w:val="03010BE2"/>
    <w:rsid w:val="03304250"/>
    <w:rsid w:val="04574797"/>
    <w:rsid w:val="04930CCD"/>
    <w:rsid w:val="049D3E9B"/>
    <w:rsid w:val="04B30EAB"/>
    <w:rsid w:val="04D05746"/>
    <w:rsid w:val="0534223B"/>
    <w:rsid w:val="05AA2098"/>
    <w:rsid w:val="05C263D6"/>
    <w:rsid w:val="061323BB"/>
    <w:rsid w:val="061D6415"/>
    <w:rsid w:val="07A75F93"/>
    <w:rsid w:val="07D05985"/>
    <w:rsid w:val="086530A3"/>
    <w:rsid w:val="08A76D63"/>
    <w:rsid w:val="08CE5174"/>
    <w:rsid w:val="0946657C"/>
    <w:rsid w:val="094C083F"/>
    <w:rsid w:val="0A122591"/>
    <w:rsid w:val="0A8A2498"/>
    <w:rsid w:val="0AA20024"/>
    <w:rsid w:val="0BA92DF2"/>
    <w:rsid w:val="0C4D19CF"/>
    <w:rsid w:val="0C982573"/>
    <w:rsid w:val="0CC15827"/>
    <w:rsid w:val="0D0053A3"/>
    <w:rsid w:val="0D816517"/>
    <w:rsid w:val="0E7C2825"/>
    <w:rsid w:val="0E812D23"/>
    <w:rsid w:val="0E8576B7"/>
    <w:rsid w:val="0E9752F9"/>
    <w:rsid w:val="0EE0414A"/>
    <w:rsid w:val="0FC455FC"/>
    <w:rsid w:val="0FEE4533"/>
    <w:rsid w:val="10594071"/>
    <w:rsid w:val="10E5085A"/>
    <w:rsid w:val="1222745A"/>
    <w:rsid w:val="12F445FC"/>
    <w:rsid w:val="13DE485F"/>
    <w:rsid w:val="14C70602"/>
    <w:rsid w:val="156E38DD"/>
    <w:rsid w:val="15934F5E"/>
    <w:rsid w:val="15B11221"/>
    <w:rsid w:val="160767F4"/>
    <w:rsid w:val="169A62CD"/>
    <w:rsid w:val="173704E3"/>
    <w:rsid w:val="17383248"/>
    <w:rsid w:val="176D73C9"/>
    <w:rsid w:val="177E2F9C"/>
    <w:rsid w:val="17A60546"/>
    <w:rsid w:val="17A9660F"/>
    <w:rsid w:val="17E83B43"/>
    <w:rsid w:val="18087CB7"/>
    <w:rsid w:val="184B2178"/>
    <w:rsid w:val="189C40D1"/>
    <w:rsid w:val="191E0717"/>
    <w:rsid w:val="1A7873FD"/>
    <w:rsid w:val="1A850BA8"/>
    <w:rsid w:val="1B8C6670"/>
    <w:rsid w:val="1C6B6B9E"/>
    <w:rsid w:val="1CE078A6"/>
    <w:rsid w:val="1D137EC4"/>
    <w:rsid w:val="1D210A3A"/>
    <w:rsid w:val="1DD42D71"/>
    <w:rsid w:val="1DF17CBE"/>
    <w:rsid w:val="1E28236A"/>
    <w:rsid w:val="1E9A4F48"/>
    <w:rsid w:val="1EF67CA4"/>
    <w:rsid w:val="1F0A3878"/>
    <w:rsid w:val="1FB50BB4"/>
    <w:rsid w:val="204D1B46"/>
    <w:rsid w:val="207557DD"/>
    <w:rsid w:val="20F5288B"/>
    <w:rsid w:val="21753BB5"/>
    <w:rsid w:val="21802B33"/>
    <w:rsid w:val="236F4C74"/>
    <w:rsid w:val="242C0DA8"/>
    <w:rsid w:val="2435301D"/>
    <w:rsid w:val="24C40F27"/>
    <w:rsid w:val="24DA7D36"/>
    <w:rsid w:val="2513335E"/>
    <w:rsid w:val="255C5FCA"/>
    <w:rsid w:val="26116FE6"/>
    <w:rsid w:val="26213859"/>
    <w:rsid w:val="2661459D"/>
    <w:rsid w:val="268838D7"/>
    <w:rsid w:val="26DA3F7D"/>
    <w:rsid w:val="27155558"/>
    <w:rsid w:val="28664E5B"/>
    <w:rsid w:val="28861541"/>
    <w:rsid w:val="288B4CF0"/>
    <w:rsid w:val="289952A1"/>
    <w:rsid w:val="28D76D98"/>
    <w:rsid w:val="29337492"/>
    <w:rsid w:val="29493640"/>
    <w:rsid w:val="2A670C38"/>
    <w:rsid w:val="2AC12521"/>
    <w:rsid w:val="2B1B1882"/>
    <w:rsid w:val="2B2E72E7"/>
    <w:rsid w:val="2B9C55E1"/>
    <w:rsid w:val="2C1C3440"/>
    <w:rsid w:val="2C2C7680"/>
    <w:rsid w:val="2C4209CD"/>
    <w:rsid w:val="2C9C055D"/>
    <w:rsid w:val="2CD535EF"/>
    <w:rsid w:val="2DA52FBA"/>
    <w:rsid w:val="2DB008B6"/>
    <w:rsid w:val="2DD31B43"/>
    <w:rsid w:val="2E5844D8"/>
    <w:rsid w:val="2E630CCF"/>
    <w:rsid w:val="2E833715"/>
    <w:rsid w:val="2F8E6CEE"/>
    <w:rsid w:val="2FB7725D"/>
    <w:rsid w:val="307262C2"/>
    <w:rsid w:val="30A13F14"/>
    <w:rsid w:val="31A025B3"/>
    <w:rsid w:val="32427031"/>
    <w:rsid w:val="33AD497E"/>
    <w:rsid w:val="340B78C5"/>
    <w:rsid w:val="34853AF6"/>
    <w:rsid w:val="349E1379"/>
    <w:rsid w:val="34F801C2"/>
    <w:rsid w:val="35784BD5"/>
    <w:rsid w:val="36566D3A"/>
    <w:rsid w:val="374B4FD5"/>
    <w:rsid w:val="37C16C4A"/>
    <w:rsid w:val="38780E60"/>
    <w:rsid w:val="38950B0D"/>
    <w:rsid w:val="38A27595"/>
    <w:rsid w:val="38AA4650"/>
    <w:rsid w:val="39103069"/>
    <w:rsid w:val="39BA0CB8"/>
    <w:rsid w:val="3A2E699D"/>
    <w:rsid w:val="3A814443"/>
    <w:rsid w:val="3B0A6A34"/>
    <w:rsid w:val="3B125890"/>
    <w:rsid w:val="3B5F3D5F"/>
    <w:rsid w:val="3B952CE7"/>
    <w:rsid w:val="3BD8175F"/>
    <w:rsid w:val="3C3E672F"/>
    <w:rsid w:val="3C922EF8"/>
    <w:rsid w:val="3CB44FCF"/>
    <w:rsid w:val="3D022ADB"/>
    <w:rsid w:val="3D3D3216"/>
    <w:rsid w:val="3E3A7756"/>
    <w:rsid w:val="3ECD41B8"/>
    <w:rsid w:val="3F492C0B"/>
    <w:rsid w:val="3FAA3B08"/>
    <w:rsid w:val="3FC42203"/>
    <w:rsid w:val="406929C0"/>
    <w:rsid w:val="411E0B85"/>
    <w:rsid w:val="41290A94"/>
    <w:rsid w:val="41994FFC"/>
    <w:rsid w:val="4214624D"/>
    <w:rsid w:val="43C22DAA"/>
    <w:rsid w:val="43C71C76"/>
    <w:rsid w:val="43EF16FE"/>
    <w:rsid w:val="44694133"/>
    <w:rsid w:val="44960F42"/>
    <w:rsid w:val="45144AC4"/>
    <w:rsid w:val="45333510"/>
    <w:rsid w:val="45821A21"/>
    <w:rsid w:val="45CC2175"/>
    <w:rsid w:val="45EB0FE7"/>
    <w:rsid w:val="46D70238"/>
    <w:rsid w:val="47080E99"/>
    <w:rsid w:val="47BA3749"/>
    <w:rsid w:val="480361FC"/>
    <w:rsid w:val="490F3BDA"/>
    <w:rsid w:val="4A4C2CEB"/>
    <w:rsid w:val="4A6718D3"/>
    <w:rsid w:val="4BC0384B"/>
    <w:rsid w:val="4BD12258"/>
    <w:rsid w:val="4C2F6B0D"/>
    <w:rsid w:val="4C380EF0"/>
    <w:rsid w:val="4C891D46"/>
    <w:rsid w:val="4CB52272"/>
    <w:rsid w:val="4CD11285"/>
    <w:rsid w:val="4D491763"/>
    <w:rsid w:val="4D5A1A3B"/>
    <w:rsid w:val="4E5874C2"/>
    <w:rsid w:val="4F28613F"/>
    <w:rsid w:val="502A1EA5"/>
    <w:rsid w:val="505B53C9"/>
    <w:rsid w:val="50634767"/>
    <w:rsid w:val="50B40CE1"/>
    <w:rsid w:val="50C07F8E"/>
    <w:rsid w:val="517D5E7F"/>
    <w:rsid w:val="52262073"/>
    <w:rsid w:val="52307328"/>
    <w:rsid w:val="53CD05F6"/>
    <w:rsid w:val="53DC29F0"/>
    <w:rsid w:val="53EA1C82"/>
    <w:rsid w:val="53FC15E1"/>
    <w:rsid w:val="54C65448"/>
    <w:rsid w:val="54DF45BA"/>
    <w:rsid w:val="55134D06"/>
    <w:rsid w:val="5534092F"/>
    <w:rsid w:val="55AF3A4C"/>
    <w:rsid w:val="55C60725"/>
    <w:rsid w:val="55CE03D7"/>
    <w:rsid w:val="55F3226C"/>
    <w:rsid w:val="55FA184D"/>
    <w:rsid w:val="562C42D2"/>
    <w:rsid w:val="564A604F"/>
    <w:rsid w:val="5740600A"/>
    <w:rsid w:val="575A2E47"/>
    <w:rsid w:val="576378C6"/>
    <w:rsid w:val="57803E28"/>
    <w:rsid w:val="57976BE0"/>
    <w:rsid w:val="580A6DE4"/>
    <w:rsid w:val="582B03E3"/>
    <w:rsid w:val="585A61BF"/>
    <w:rsid w:val="58DE7204"/>
    <w:rsid w:val="58F44EBE"/>
    <w:rsid w:val="593C0716"/>
    <w:rsid w:val="5A2A2705"/>
    <w:rsid w:val="5A84612E"/>
    <w:rsid w:val="5A89671D"/>
    <w:rsid w:val="5A985AD8"/>
    <w:rsid w:val="5AF70A51"/>
    <w:rsid w:val="5AFE72EF"/>
    <w:rsid w:val="5BF6762B"/>
    <w:rsid w:val="5C44682F"/>
    <w:rsid w:val="5C736DB1"/>
    <w:rsid w:val="5CE43D30"/>
    <w:rsid w:val="5CEA475B"/>
    <w:rsid w:val="5CED6182"/>
    <w:rsid w:val="5DC874A2"/>
    <w:rsid w:val="5E2F036C"/>
    <w:rsid w:val="5FFE21B8"/>
    <w:rsid w:val="60041071"/>
    <w:rsid w:val="603B1A91"/>
    <w:rsid w:val="60671434"/>
    <w:rsid w:val="60B72E59"/>
    <w:rsid w:val="60F944A9"/>
    <w:rsid w:val="6175443E"/>
    <w:rsid w:val="61C03D7E"/>
    <w:rsid w:val="623B7906"/>
    <w:rsid w:val="62884524"/>
    <w:rsid w:val="629628FD"/>
    <w:rsid w:val="63066E82"/>
    <w:rsid w:val="6358654A"/>
    <w:rsid w:val="63A8413D"/>
    <w:rsid w:val="647B1BF1"/>
    <w:rsid w:val="64BD3EC8"/>
    <w:rsid w:val="653D1E2C"/>
    <w:rsid w:val="6563714C"/>
    <w:rsid w:val="65C565B3"/>
    <w:rsid w:val="65E8797C"/>
    <w:rsid w:val="66A02907"/>
    <w:rsid w:val="6831312D"/>
    <w:rsid w:val="6842770E"/>
    <w:rsid w:val="685B4351"/>
    <w:rsid w:val="6A065420"/>
    <w:rsid w:val="6A370FF1"/>
    <w:rsid w:val="6A531ED1"/>
    <w:rsid w:val="6B813812"/>
    <w:rsid w:val="6C345328"/>
    <w:rsid w:val="6C4F2578"/>
    <w:rsid w:val="6C6972D4"/>
    <w:rsid w:val="6CE01E4A"/>
    <w:rsid w:val="6D670AE9"/>
    <w:rsid w:val="6DF56531"/>
    <w:rsid w:val="6E1119D2"/>
    <w:rsid w:val="6F481423"/>
    <w:rsid w:val="6FA06B69"/>
    <w:rsid w:val="706F447C"/>
    <w:rsid w:val="70F607C4"/>
    <w:rsid w:val="7124112B"/>
    <w:rsid w:val="71436346"/>
    <w:rsid w:val="722F7C72"/>
    <w:rsid w:val="72491B0E"/>
    <w:rsid w:val="728A1606"/>
    <w:rsid w:val="731358A4"/>
    <w:rsid w:val="737D359B"/>
    <w:rsid w:val="73833E47"/>
    <w:rsid w:val="73BB7F45"/>
    <w:rsid w:val="73E21E46"/>
    <w:rsid w:val="73EB36E1"/>
    <w:rsid w:val="7415709E"/>
    <w:rsid w:val="749B0247"/>
    <w:rsid w:val="74D55E4E"/>
    <w:rsid w:val="74DE3871"/>
    <w:rsid w:val="751B5B3E"/>
    <w:rsid w:val="751D2A0A"/>
    <w:rsid w:val="75A373B3"/>
    <w:rsid w:val="75AE1161"/>
    <w:rsid w:val="764D37C3"/>
    <w:rsid w:val="76B74A91"/>
    <w:rsid w:val="77220301"/>
    <w:rsid w:val="772618AB"/>
    <w:rsid w:val="77475EA5"/>
    <w:rsid w:val="77860D3A"/>
    <w:rsid w:val="77BFB2E3"/>
    <w:rsid w:val="78BC345E"/>
    <w:rsid w:val="78D15FE5"/>
    <w:rsid w:val="79231F68"/>
    <w:rsid w:val="7A814BBF"/>
    <w:rsid w:val="7A8F7F06"/>
    <w:rsid w:val="7B6843F2"/>
    <w:rsid w:val="7C010892"/>
    <w:rsid w:val="7C52743D"/>
    <w:rsid w:val="7E00497E"/>
    <w:rsid w:val="7E3F397C"/>
    <w:rsid w:val="7E5E176F"/>
    <w:rsid w:val="7EB8307F"/>
    <w:rsid w:val="7EEF1C35"/>
    <w:rsid w:val="7F6E5746"/>
    <w:rsid w:val="7FA91A6A"/>
    <w:rsid w:val="7FDD563E"/>
    <w:rsid w:val="AFEF63AF"/>
    <w:rsid w:val="FFF8D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6"/>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87"/>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5">
    <w:name w:val="heading 3"/>
    <w:basedOn w:val="1"/>
    <w:next w:val="1"/>
    <w:link w:val="88"/>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89"/>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7">
    <w:name w:val="heading 5"/>
    <w:basedOn w:val="1"/>
    <w:next w:val="1"/>
    <w:link w:val="90"/>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8">
    <w:name w:val="heading 6"/>
    <w:basedOn w:val="1"/>
    <w:next w:val="1"/>
    <w:link w:val="91"/>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9">
    <w:name w:val="heading 7"/>
    <w:basedOn w:val="1"/>
    <w:next w:val="1"/>
    <w:link w:val="92"/>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0">
    <w:name w:val="heading 8"/>
    <w:basedOn w:val="1"/>
    <w:next w:val="1"/>
    <w:link w:val="93"/>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1">
    <w:name w:val="heading 9"/>
    <w:basedOn w:val="1"/>
    <w:next w:val="1"/>
    <w:link w:val="94"/>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58"/>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12">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6">
    <w:name w:val="Normal Indent"/>
    <w:basedOn w:val="1"/>
    <w:next w:val="17"/>
    <w:link w:val="259"/>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7">
    <w:name w:val="Body Text Indent"/>
    <w:basedOn w:val="1"/>
    <w:next w:val="16"/>
    <w:link w:val="292"/>
    <w:unhideWhenUsed/>
    <w:qFormat/>
    <w:uiPriority w:val="0"/>
    <w:pPr>
      <w:adjustRightInd w:val="0"/>
      <w:spacing w:after="120"/>
      <w:ind w:left="420" w:leftChars="200"/>
    </w:pPr>
    <w:rPr>
      <w:rFonts w:ascii="Times New Roman" w:hAnsi="Times New Roman" w:eastAsia="宋体" w:cs="Times New Roman"/>
      <w:szCs w:val="24"/>
    </w:rPr>
  </w:style>
  <w:style w:type="paragraph" w:styleId="18">
    <w:name w:val="caption"/>
    <w:basedOn w:val="1"/>
    <w:next w:val="1"/>
    <w:link w:val="788"/>
    <w:qFormat/>
    <w:uiPriority w:val="0"/>
    <w:pPr>
      <w:adjustRightInd w:val="0"/>
    </w:pPr>
    <w:rPr>
      <w:rFonts w:ascii="Times New Roman" w:hAnsi="Times New Roman" w:eastAsia="宋体" w:cs="Times New Roman"/>
      <w:b/>
      <w:sz w:val="28"/>
      <w:szCs w:val="20"/>
      <w:lang w:val="zh-CN"/>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299"/>
    <w:qFormat/>
    <w:uiPriority w:val="0"/>
    <w:pPr>
      <w:shd w:val="clear" w:color="auto" w:fill="000080"/>
      <w:adjustRightInd w:val="0"/>
    </w:pPr>
    <w:rPr>
      <w:rFonts w:ascii="Times New Roman" w:hAnsi="Times New Roman" w:eastAsia="宋体" w:cs="Times New Roman"/>
      <w:szCs w:val="24"/>
      <w:lang w:val="zh-CN"/>
    </w:rPr>
  </w:style>
  <w:style w:type="paragraph" w:styleId="21">
    <w:name w:val="annotation text"/>
    <w:basedOn w:val="1"/>
    <w:link w:val="294"/>
    <w:unhideWhenUsed/>
    <w:qFormat/>
    <w:uiPriority w:val="99"/>
    <w:pPr>
      <w:adjustRightInd w:val="0"/>
      <w:jc w:val="left"/>
    </w:pPr>
    <w:rPr>
      <w:rFonts w:ascii="Times New Roman" w:hAnsi="Times New Roman" w:eastAsia="宋体" w:cs="Times New Roman"/>
      <w:szCs w:val="24"/>
    </w:rPr>
  </w:style>
  <w:style w:type="paragraph" w:styleId="22">
    <w:name w:val="Salutation"/>
    <w:basedOn w:val="1"/>
    <w:next w:val="1"/>
    <w:link w:val="97"/>
    <w:qFormat/>
    <w:uiPriority w:val="0"/>
    <w:pPr>
      <w:adjustRightInd w:val="0"/>
    </w:pPr>
    <w:rPr>
      <w:rFonts w:ascii="仿宋_GB2312" w:eastAsia="仿宋_GB2312"/>
      <w:sz w:val="28"/>
    </w:rPr>
  </w:style>
  <w:style w:type="paragraph" w:styleId="23">
    <w:name w:val="Body Text 3"/>
    <w:basedOn w:val="1"/>
    <w:link w:val="98"/>
    <w:qFormat/>
    <w:uiPriority w:val="0"/>
    <w:pPr>
      <w:adjustRightInd w:val="0"/>
      <w:jc w:val="center"/>
    </w:pPr>
  </w:style>
  <w:style w:type="paragraph" w:styleId="24">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5">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6">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7">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8">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29">
    <w:name w:val="HTML Address"/>
    <w:basedOn w:val="1"/>
    <w:link w:val="101"/>
    <w:qFormat/>
    <w:uiPriority w:val="0"/>
    <w:pPr>
      <w:widowControl/>
      <w:ind w:firstLine="200" w:firstLineChars="200"/>
      <w:jc w:val="left"/>
    </w:pPr>
    <w:rPr>
      <w:rFonts w:ascii="宋体" w:hAnsi="宋体"/>
      <w:i/>
      <w:iCs/>
      <w:sz w:val="24"/>
      <w:szCs w:val="24"/>
    </w:rPr>
  </w:style>
  <w:style w:type="paragraph" w:styleId="30">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1">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2">
    <w:name w:val="Plain Text"/>
    <w:basedOn w:val="1"/>
    <w:next w:val="1"/>
    <w:link w:val="102"/>
    <w:qFormat/>
    <w:uiPriority w:val="0"/>
    <w:pPr>
      <w:adjustRightInd w:val="0"/>
    </w:pPr>
    <w:rPr>
      <w:rFonts w:ascii="宋体" w:hAnsi="Courier New" w:eastAsia="宋体" w:cs="Arial"/>
      <w:snapToGrid w:val="0"/>
      <w:szCs w:val="21"/>
    </w:rPr>
  </w:style>
  <w:style w:type="paragraph" w:styleId="33">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4">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5">
    <w:name w:val="Date"/>
    <w:basedOn w:val="1"/>
    <w:next w:val="1"/>
    <w:link w:val="103"/>
    <w:qFormat/>
    <w:uiPriority w:val="0"/>
    <w:pPr>
      <w:adjustRightInd w:val="0"/>
      <w:ind w:left="100" w:leftChars="2500"/>
    </w:pPr>
    <w:rPr>
      <w:rFonts w:ascii="宋体"/>
      <w:sz w:val="24"/>
      <w:szCs w:val="21"/>
      <w:lang w:val="zh-CN"/>
    </w:rPr>
  </w:style>
  <w:style w:type="paragraph" w:styleId="36">
    <w:name w:val="Body Text Indent 2"/>
    <w:basedOn w:val="1"/>
    <w:link w:val="104"/>
    <w:qFormat/>
    <w:uiPriority w:val="0"/>
    <w:pPr>
      <w:adjustRightInd w:val="0"/>
      <w:spacing w:line="360" w:lineRule="auto"/>
      <w:ind w:firstLine="601"/>
      <w:textAlignment w:val="baseline"/>
    </w:pPr>
    <w:rPr>
      <w:rFonts w:ascii="宋体"/>
      <w:sz w:val="28"/>
    </w:rPr>
  </w:style>
  <w:style w:type="paragraph" w:styleId="37">
    <w:name w:val="Balloon Text"/>
    <w:basedOn w:val="1"/>
    <w:link w:val="105"/>
    <w:qFormat/>
    <w:uiPriority w:val="0"/>
    <w:pPr>
      <w:adjustRightInd w:val="0"/>
    </w:pPr>
    <w:rPr>
      <w:sz w:val="18"/>
      <w:szCs w:val="18"/>
    </w:rPr>
  </w:style>
  <w:style w:type="paragraph" w:styleId="38">
    <w:name w:val="footer"/>
    <w:basedOn w:val="1"/>
    <w:link w:val="85"/>
    <w:unhideWhenUsed/>
    <w:qFormat/>
    <w:uiPriority w:val="0"/>
    <w:pPr>
      <w:tabs>
        <w:tab w:val="center" w:pos="4153"/>
        <w:tab w:val="right" w:pos="8306"/>
      </w:tabs>
      <w:snapToGrid w:val="0"/>
      <w:jc w:val="left"/>
    </w:pPr>
    <w:rPr>
      <w:sz w:val="18"/>
      <w:szCs w:val="18"/>
    </w:rPr>
  </w:style>
  <w:style w:type="paragraph" w:styleId="39">
    <w:name w:val="header"/>
    <w:basedOn w:val="1"/>
    <w:link w:val="84"/>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06"/>
    <w:qFormat/>
    <w:uiPriority w:val="0"/>
    <w:pPr>
      <w:adjustRightInd w:val="0"/>
      <w:spacing w:after="600" w:line="312" w:lineRule="atLeast"/>
      <w:jc w:val="center"/>
      <w:textAlignment w:val="baseline"/>
    </w:pPr>
    <w:rPr>
      <w:rFonts w:eastAsia="仿宋_GB2312"/>
      <w:sz w:val="24"/>
    </w:rPr>
  </w:style>
  <w:style w:type="paragraph" w:styleId="41">
    <w:name w:val="toc 1"/>
    <w:basedOn w:val="1"/>
    <w:next w:val="1"/>
    <w:qFormat/>
    <w:uiPriority w:val="0"/>
    <w:pPr>
      <w:adjustRightInd w:val="0"/>
    </w:pPr>
    <w:rPr>
      <w:rFonts w:ascii="Times New Roman" w:hAnsi="Times New Roman" w:eastAsia="宋体" w:cs="Times New Roman"/>
      <w:szCs w:val="24"/>
    </w:rPr>
  </w:style>
  <w:style w:type="paragraph" w:styleId="42">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3">
    <w:name w:val="index heading"/>
    <w:basedOn w:val="1"/>
    <w:next w:val="44"/>
    <w:qFormat/>
    <w:uiPriority w:val="0"/>
    <w:pPr>
      <w:ind w:firstLine="200" w:firstLineChars="200"/>
    </w:pPr>
    <w:rPr>
      <w:rFonts w:ascii="Times New Roman" w:hAnsi="Times New Roman" w:eastAsia="宋体" w:cs="Times New Roman"/>
      <w:szCs w:val="24"/>
    </w:rPr>
  </w:style>
  <w:style w:type="paragraph" w:styleId="44">
    <w:name w:val="index 1"/>
    <w:basedOn w:val="1"/>
    <w:next w:val="1"/>
    <w:unhideWhenUsed/>
    <w:qFormat/>
    <w:uiPriority w:val="0"/>
  </w:style>
  <w:style w:type="paragraph" w:styleId="45">
    <w:name w:val="Subtitle"/>
    <w:link w:val="107"/>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6">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7">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8">
    <w:name w:val="footnote text"/>
    <w:basedOn w:val="16"/>
    <w:link w:val="108"/>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9">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0">
    <w:name w:val="List 5"/>
    <w:basedOn w:val="1"/>
    <w:qFormat/>
    <w:uiPriority w:val="0"/>
    <w:pPr>
      <w:ind w:left="100" w:leftChars="800" w:hanging="200" w:hangingChars="200"/>
    </w:pPr>
    <w:rPr>
      <w:rFonts w:ascii="Times New Roman" w:hAnsi="Times New Roman" w:eastAsia="宋体" w:cs="Times New Roman"/>
      <w:szCs w:val="24"/>
    </w:rPr>
  </w:style>
  <w:style w:type="paragraph" w:styleId="51">
    <w:name w:val="Body Text Indent 3"/>
    <w:basedOn w:val="1"/>
    <w:link w:val="109"/>
    <w:qFormat/>
    <w:uiPriority w:val="0"/>
    <w:pPr>
      <w:adjustRightInd w:val="0"/>
      <w:spacing w:line="360" w:lineRule="auto"/>
      <w:ind w:firstLine="420"/>
    </w:pPr>
    <w:rPr>
      <w:sz w:val="24"/>
    </w:rPr>
  </w:style>
  <w:style w:type="paragraph" w:styleId="52">
    <w:name w:val="toc 2"/>
    <w:basedOn w:val="1"/>
    <w:next w:val="1"/>
    <w:qFormat/>
    <w:uiPriority w:val="0"/>
    <w:pPr>
      <w:adjustRightInd w:val="0"/>
      <w:ind w:left="420" w:leftChars="200"/>
    </w:pPr>
    <w:rPr>
      <w:rFonts w:ascii="Times New Roman" w:hAnsi="Times New Roman" w:eastAsia="宋体" w:cs="Times New Roman"/>
      <w:szCs w:val="24"/>
    </w:rPr>
  </w:style>
  <w:style w:type="paragraph" w:styleId="53">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4">
    <w:name w:val="Body Text 2"/>
    <w:basedOn w:val="1"/>
    <w:link w:val="284"/>
    <w:qFormat/>
    <w:uiPriority w:val="0"/>
    <w:pPr>
      <w:adjustRightInd w:val="0"/>
      <w:spacing w:after="120" w:line="480" w:lineRule="auto"/>
    </w:pPr>
    <w:rPr>
      <w:rFonts w:ascii="Times New Roman" w:hAnsi="Times New Roman" w:eastAsia="宋体" w:cs="Times New Roman"/>
      <w:szCs w:val="24"/>
      <w:lang w:val="zh-CN"/>
    </w:rPr>
  </w:style>
  <w:style w:type="paragraph" w:styleId="55">
    <w:name w:val="List 4"/>
    <w:basedOn w:val="1"/>
    <w:unhideWhenUsed/>
    <w:qFormat/>
    <w:uiPriority w:val="0"/>
    <w:pPr>
      <w:ind w:left="100" w:leftChars="600" w:hanging="200" w:hangingChars="200"/>
    </w:pPr>
    <w:rPr>
      <w:rFonts w:ascii="Times New Roman" w:hAnsi="Times New Roman" w:eastAsia="宋体" w:cs="Times New Roman"/>
      <w:sz w:val="28"/>
      <w:szCs w:val="24"/>
    </w:rPr>
  </w:style>
  <w:style w:type="paragraph" w:styleId="56">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7">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8">
    <w:name w:val="Title"/>
    <w:basedOn w:val="1"/>
    <w:link w:val="300"/>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59">
    <w:name w:val="annotation subject"/>
    <w:basedOn w:val="21"/>
    <w:next w:val="21"/>
    <w:link w:val="295"/>
    <w:qFormat/>
    <w:uiPriority w:val="0"/>
    <w:rPr>
      <w:b/>
      <w:bCs/>
      <w:lang w:val="zh-CN"/>
    </w:rPr>
  </w:style>
  <w:style w:type="paragraph" w:styleId="60">
    <w:name w:val="Body Text First Indent"/>
    <w:basedOn w:val="2"/>
    <w:next w:val="49"/>
    <w:link w:val="114"/>
    <w:qFormat/>
    <w:uiPriority w:val="0"/>
    <w:pPr>
      <w:ind w:firstLine="420"/>
    </w:pPr>
    <w:rPr>
      <w:rFonts w:hAnsiTheme="minorHAnsi" w:eastAsiaTheme="minorEastAsia" w:cstheme="minorBidi"/>
      <w:snapToGrid/>
      <w:szCs w:val="22"/>
    </w:rPr>
  </w:style>
  <w:style w:type="paragraph" w:styleId="61">
    <w:name w:val="Body Text First Indent 2"/>
    <w:basedOn w:val="17"/>
    <w:next w:val="60"/>
    <w:link w:val="115"/>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样式 表格正文 + 两端对齐"/>
    <w:basedOn w:val="1"/>
    <w:next w:val="79"/>
    <w:qFormat/>
    <w:uiPriority w:val="0"/>
    <w:pPr>
      <w:spacing w:line="300" w:lineRule="auto"/>
    </w:pPr>
    <w:rPr>
      <w:rFonts w:ascii="Times New Roman" w:eastAsia="宋体"/>
      <w:sz w:val="24"/>
    </w:rPr>
  </w:style>
  <w:style w:type="paragraph" w:customStyle="1" w:styleId="79">
    <w:name w:val="正文1"/>
    <w:basedOn w:val="31"/>
    <w:next w:val="80"/>
    <w:link w:val="881"/>
    <w:qFormat/>
    <w:uiPriority w:val="0"/>
    <w:pPr>
      <w:ind w:left="0" w:leftChars="0" w:firstLine="480" w:firstLineChars="200"/>
    </w:pPr>
    <w:rPr>
      <w:rFonts w:ascii="仿宋_GB2312" w:hAnsi="Courier New" w:eastAsia="仿宋_GB2312"/>
      <w:kern w:val="28"/>
      <w:sz w:val="24"/>
    </w:rPr>
  </w:style>
  <w:style w:type="paragraph" w:customStyle="1" w:styleId="80">
    <w:name w:val="自动更正"/>
    <w:next w:val="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xl39"/>
    <w:basedOn w:val="1"/>
    <w:next w:val="82"/>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8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83">
    <w:name w:val="Default"/>
    <w:next w:val="1"/>
    <w:link w:val="836"/>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84">
    <w:name w:val="页眉 Char"/>
    <w:basedOn w:val="69"/>
    <w:link w:val="39"/>
    <w:qFormat/>
    <w:uiPriority w:val="0"/>
    <w:rPr>
      <w:sz w:val="18"/>
      <w:szCs w:val="18"/>
    </w:rPr>
  </w:style>
  <w:style w:type="character" w:customStyle="1" w:styleId="85">
    <w:name w:val="页脚 Char"/>
    <w:basedOn w:val="69"/>
    <w:link w:val="38"/>
    <w:qFormat/>
    <w:uiPriority w:val="0"/>
    <w:rPr>
      <w:sz w:val="18"/>
      <w:szCs w:val="18"/>
    </w:rPr>
  </w:style>
  <w:style w:type="character" w:customStyle="1" w:styleId="86">
    <w:name w:val="标题 1 Char"/>
    <w:basedOn w:val="69"/>
    <w:link w:val="3"/>
    <w:qFormat/>
    <w:uiPriority w:val="0"/>
    <w:rPr>
      <w:rFonts w:ascii="Times New Roman" w:hAnsi="Times New Roman" w:eastAsia="宋体" w:cs="Times New Roman"/>
      <w:b/>
      <w:bCs/>
      <w:kern w:val="44"/>
      <w:sz w:val="44"/>
      <w:szCs w:val="44"/>
      <w:lang w:val="zh-CN"/>
    </w:rPr>
  </w:style>
  <w:style w:type="character" w:customStyle="1" w:styleId="87">
    <w:name w:val="标题 2 Char"/>
    <w:basedOn w:val="69"/>
    <w:link w:val="4"/>
    <w:qFormat/>
    <w:uiPriority w:val="0"/>
    <w:rPr>
      <w:rFonts w:ascii="仿宋_GB2312" w:hAnsi="仿宋" w:eastAsia="仿宋_GB2312" w:cs="Times New Roman"/>
      <w:b/>
      <w:bCs/>
      <w:sz w:val="32"/>
      <w:szCs w:val="32"/>
      <w:lang w:val="zh-CN"/>
    </w:rPr>
  </w:style>
  <w:style w:type="character" w:customStyle="1" w:styleId="88">
    <w:name w:val="标题 3 Char"/>
    <w:basedOn w:val="69"/>
    <w:link w:val="5"/>
    <w:qFormat/>
    <w:uiPriority w:val="0"/>
    <w:rPr>
      <w:rFonts w:ascii="Times New Roman" w:hAnsi="Times New Roman" w:eastAsia="宋体" w:cs="Times New Roman"/>
      <w:b/>
      <w:bCs/>
      <w:sz w:val="32"/>
      <w:szCs w:val="32"/>
    </w:rPr>
  </w:style>
  <w:style w:type="character" w:customStyle="1" w:styleId="89">
    <w:name w:val="标题 4 Char"/>
    <w:basedOn w:val="69"/>
    <w:link w:val="6"/>
    <w:qFormat/>
    <w:uiPriority w:val="0"/>
    <w:rPr>
      <w:rFonts w:ascii="Arial" w:hAnsi="Arial" w:eastAsia="黑体" w:cs="Times New Roman"/>
      <w:b/>
      <w:bCs/>
      <w:sz w:val="28"/>
      <w:szCs w:val="28"/>
      <w:lang w:val="zh-CN"/>
    </w:rPr>
  </w:style>
  <w:style w:type="character" w:customStyle="1" w:styleId="90">
    <w:name w:val="标题 5 Char"/>
    <w:basedOn w:val="69"/>
    <w:link w:val="7"/>
    <w:qFormat/>
    <w:uiPriority w:val="0"/>
    <w:rPr>
      <w:rFonts w:ascii="Times New Roman" w:hAnsi="Times New Roman" w:eastAsia="宋体" w:cs="Times New Roman"/>
      <w:b/>
      <w:bCs/>
      <w:sz w:val="28"/>
      <w:szCs w:val="28"/>
      <w:lang w:val="zh-CN"/>
    </w:rPr>
  </w:style>
  <w:style w:type="character" w:customStyle="1" w:styleId="91">
    <w:name w:val="标题 6 Char"/>
    <w:basedOn w:val="69"/>
    <w:link w:val="8"/>
    <w:qFormat/>
    <w:uiPriority w:val="0"/>
    <w:rPr>
      <w:rFonts w:ascii="Arial" w:hAnsi="Arial" w:eastAsia="黑体" w:cs="Times New Roman"/>
      <w:b/>
      <w:bCs/>
      <w:sz w:val="24"/>
      <w:szCs w:val="24"/>
      <w:lang w:val="zh-CN"/>
    </w:rPr>
  </w:style>
  <w:style w:type="character" w:customStyle="1" w:styleId="92">
    <w:name w:val="标题 7 Char"/>
    <w:basedOn w:val="69"/>
    <w:link w:val="9"/>
    <w:qFormat/>
    <w:uiPriority w:val="0"/>
    <w:rPr>
      <w:rFonts w:ascii="Times New Roman" w:hAnsi="Times New Roman" w:eastAsia="宋体" w:cs="Times New Roman"/>
      <w:b/>
      <w:bCs/>
      <w:sz w:val="24"/>
      <w:szCs w:val="24"/>
      <w:lang w:val="zh-CN"/>
    </w:rPr>
  </w:style>
  <w:style w:type="character" w:customStyle="1" w:styleId="93">
    <w:name w:val="标题 8 Char"/>
    <w:basedOn w:val="69"/>
    <w:link w:val="10"/>
    <w:qFormat/>
    <w:uiPriority w:val="0"/>
    <w:rPr>
      <w:rFonts w:ascii="Arial" w:hAnsi="Arial" w:eastAsia="黑体" w:cs="Times New Roman"/>
      <w:sz w:val="24"/>
      <w:szCs w:val="24"/>
      <w:lang w:val="zh-CN"/>
    </w:rPr>
  </w:style>
  <w:style w:type="character" w:customStyle="1" w:styleId="94">
    <w:name w:val="标题 9 Char"/>
    <w:basedOn w:val="69"/>
    <w:link w:val="11"/>
    <w:qFormat/>
    <w:uiPriority w:val="0"/>
    <w:rPr>
      <w:rFonts w:ascii="Arial" w:hAnsi="Arial" w:eastAsia="黑体" w:cs="Times New Roman"/>
      <w:szCs w:val="21"/>
      <w:lang w:val="zh-CN"/>
    </w:rPr>
  </w:style>
  <w:style w:type="character" w:customStyle="1" w:styleId="95">
    <w:name w:val="文档结构图 Char"/>
    <w:basedOn w:val="69"/>
    <w:qFormat/>
    <w:uiPriority w:val="0"/>
    <w:rPr>
      <w:rFonts w:ascii="宋体" w:eastAsia="宋体"/>
      <w:sz w:val="18"/>
      <w:szCs w:val="18"/>
    </w:rPr>
  </w:style>
  <w:style w:type="character" w:customStyle="1" w:styleId="96">
    <w:name w:val="批注文字 Char"/>
    <w:basedOn w:val="69"/>
    <w:qFormat/>
    <w:uiPriority w:val="99"/>
  </w:style>
  <w:style w:type="character" w:customStyle="1" w:styleId="97">
    <w:name w:val="称呼 Char"/>
    <w:basedOn w:val="69"/>
    <w:link w:val="22"/>
    <w:qFormat/>
    <w:uiPriority w:val="0"/>
    <w:rPr>
      <w:rFonts w:ascii="仿宋_GB2312" w:eastAsia="仿宋_GB2312"/>
      <w:sz w:val="28"/>
    </w:rPr>
  </w:style>
  <w:style w:type="character" w:customStyle="1" w:styleId="98">
    <w:name w:val="正文文本 3 Char"/>
    <w:basedOn w:val="69"/>
    <w:link w:val="23"/>
    <w:qFormat/>
    <w:uiPriority w:val="0"/>
  </w:style>
  <w:style w:type="character" w:customStyle="1" w:styleId="99">
    <w:name w:val="正文文本 Char"/>
    <w:basedOn w:val="69"/>
    <w:qFormat/>
    <w:uiPriority w:val="0"/>
  </w:style>
  <w:style w:type="character" w:customStyle="1" w:styleId="100">
    <w:name w:val="正文文本缩进 Char"/>
    <w:basedOn w:val="69"/>
    <w:qFormat/>
    <w:uiPriority w:val="0"/>
  </w:style>
  <w:style w:type="character" w:customStyle="1" w:styleId="101">
    <w:name w:val="HTML 地址 Char"/>
    <w:basedOn w:val="69"/>
    <w:link w:val="29"/>
    <w:qFormat/>
    <w:uiPriority w:val="0"/>
    <w:rPr>
      <w:rFonts w:ascii="宋体" w:hAnsi="宋体"/>
      <w:i/>
      <w:iCs/>
      <w:sz w:val="24"/>
      <w:szCs w:val="24"/>
    </w:rPr>
  </w:style>
  <w:style w:type="character" w:customStyle="1" w:styleId="102">
    <w:name w:val="纯文本 Char"/>
    <w:basedOn w:val="69"/>
    <w:link w:val="32"/>
    <w:qFormat/>
    <w:uiPriority w:val="0"/>
    <w:rPr>
      <w:rFonts w:ascii="宋体" w:hAnsi="Courier New" w:eastAsia="宋体" w:cs="Arial"/>
      <w:snapToGrid w:val="0"/>
      <w:szCs w:val="21"/>
    </w:rPr>
  </w:style>
  <w:style w:type="character" w:customStyle="1" w:styleId="103">
    <w:name w:val="日期 Char"/>
    <w:basedOn w:val="69"/>
    <w:link w:val="35"/>
    <w:qFormat/>
    <w:uiPriority w:val="0"/>
    <w:rPr>
      <w:rFonts w:ascii="宋体"/>
      <w:sz w:val="24"/>
      <w:szCs w:val="21"/>
      <w:lang w:val="zh-CN"/>
    </w:rPr>
  </w:style>
  <w:style w:type="character" w:customStyle="1" w:styleId="104">
    <w:name w:val="正文文本缩进 2 Char"/>
    <w:basedOn w:val="69"/>
    <w:link w:val="36"/>
    <w:qFormat/>
    <w:uiPriority w:val="0"/>
    <w:rPr>
      <w:rFonts w:ascii="宋体"/>
      <w:sz w:val="28"/>
    </w:rPr>
  </w:style>
  <w:style w:type="character" w:customStyle="1" w:styleId="105">
    <w:name w:val="批注框文本 Char"/>
    <w:basedOn w:val="69"/>
    <w:link w:val="37"/>
    <w:qFormat/>
    <w:uiPriority w:val="0"/>
    <w:rPr>
      <w:sz w:val="18"/>
      <w:szCs w:val="18"/>
    </w:rPr>
  </w:style>
  <w:style w:type="character" w:customStyle="1" w:styleId="106">
    <w:name w:val="签名 Char"/>
    <w:basedOn w:val="69"/>
    <w:link w:val="40"/>
    <w:qFormat/>
    <w:uiPriority w:val="0"/>
    <w:rPr>
      <w:rFonts w:eastAsia="仿宋_GB2312"/>
      <w:sz w:val="24"/>
    </w:rPr>
  </w:style>
  <w:style w:type="character" w:customStyle="1" w:styleId="107">
    <w:name w:val="副标题 Char"/>
    <w:basedOn w:val="69"/>
    <w:link w:val="45"/>
    <w:qFormat/>
    <w:uiPriority w:val="0"/>
    <w:rPr>
      <w:rFonts w:ascii="Arial" w:hAnsi="Arial" w:eastAsia="隶书"/>
      <w:b/>
      <w:bCs/>
      <w:kern w:val="28"/>
      <w:sz w:val="44"/>
      <w:szCs w:val="32"/>
    </w:rPr>
  </w:style>
  <w:style w:type="character" w:customStyle="1" w:styleId="108">
    <w:name w:val="脚注文本 Char"/>
    <w:basedOn w:val="69"/>
    <w:link w:val="48"/>
    <w:qFormat/>
    <w:uiPriority w:val="0"/>
    <w:rPr>
      <w:color w:val="0000FF"/>
    </w:rPr>
  </w:style>
  <w:style w:type="character" w:customStyle="1" w:styleId="109">
    <w:name w:val="正文文本缩进 3 Char"/>
    <w:basedOn w:val="69"/>
    <w:link w:val="51"/>
    <w:qFormat/>
    <w:uiPriority w:val="0"/>
    <w:rPr>
      <w:sz w:val="24"/>
    </w:rPr>
  </w:style>
  <w:style w:type="character" w:customStyle="1" w:styleId="110">
    <w:name w:val="正文文本 2 Char"/>
    <w:basedOn w:val="69"/>
    <w:qFormat/>
    <w:uiPriority w:val="0"/>
  </w:style>
  <w:style w:type="character" w:customStyle="1" w:styleId="111">
    <w:name w:val="HTML 预设格式 Char"/>
    <w:basedOn w:val="69"/>
    <w:link w:val="56"/>
    <w:qFormat/>
    <w:uiPriority w:val="0"/>
    <w:rPr>
      <w:rFonts w:ascii="黑体" w:hAnsi="Courier New" w:eastAsia="黑体"/>
    </w:rPr>
  </w:style>
  <w:style w:type="character" w:customStyle="1" w:styleId="112">
    <w:name w:val="标题 Char"/>
    <w:basedOn w:val="69"/>
    <w:qFormat/>
    <w:uiPriority w:val="0"/>
    <w:rPr>
      <w:rFonts w:eastAsia="宋体" w:asciiTheme="majorHAnsi" w:hAnsiTheme="majorHAnsi" w:cstheme="majorBidi"/>
      <w:b/>
      <w:bCs/>
      <w:sz w:val="32"/>
      <w:szCs w:val="32"/>
    </w:rPr>
  </w:style>
  <w:style w:type="character" w:customStyle="1" w:styleId="113">
    <w:name w:val="批注主题 Char"/>
    <w:basedOn w:val="96"/>
    <w:qFormat/>
    <w:uiPriority w:val="0"/>
    <w:rPr>
      <w:b/>
      <w:bCs/>
    </w:rPr>
  </w:style>
  <w:style w:type="character" w:customStyle="1" w:styleId="114">
    <w:name w:val="正文首行缩进 Char"/>
    <w:basedOn w:val="99"/>
    <w:link w:val="60"/>
    <w:qFormat/>
    <w:uiPriority w:val="0"/>
    <w:rPr>
      <w:rFonts w:ascii="宋体"/>
      <w:sz w:val="24"/>
      <w:lang w:val="zh-CN"/>
    </w:rPr>
  </w:style>
  <w:style w:type="character" w:customStyle="1" w:styleId="115">
    <w:name w:val="正文首行缩进 2 Char"/>
    <w:basedOn w:val="100"/>
    <w:link w:val="61"/>
    <w:qFormat/>
    <w:uiPriority w:val="0"/>
    <w:rPr>
      <w:rFonts w:ascii="宋体" w:hAnsi="宋体"/>
      <w:szCs w:val="24"/>
    </w:rPr>
  </w:style>
  <w:style w:type="character" w:customStyle="1" w:styleId="116">
    <w:name w:val="solutionfonts"/>
    <w:qFormat/>
    <w:uiPriority w:val="0"/>
  </w:style>
  <w:style w:type="character" w:customStyle="1" w:styleId="117">
    <w:name w:val="Font Style82"/>
    <w:qFormat/>
    <w:uiPriority w:val="99"/>
    <w:rPr>
      <w:rFonts w:ascii="宋体" w:eastAsia="宋体" w:cs="宋体"/>
      <w:color w:val="000000"/>
      <w:sz w:val="14"/>
      <w:szCs w:val="14"/>
    </w:rPr>
  </w:style>
  <w:style w:type="character" w:customStyle="1" w:styleId="118">
    <w:name w:val="此正文 Char"/>
    <w:link w:val="119"/>
    <w:qFormat/>
    <w:uiPriority w:val="0"/>
    <w:rPr>
      <w:sz w:val="24"/>
      <w:szCs w:val="24"/>
    </w:rPr>
  </w:style>
  <w:style w:type="paragraph" w:customStyle="1" w:styleId="119">
    <w:name w:val="此正文"/>
    <w:basedOn w:val="1"/>
    <w:link w:val="118"/>
    <w:qFormat/>
    <w:uiPriority w:val="0"/>
    <w:pPr>
      <w:spacing w:line="360" w:lineRule="auto"/>
      <w:ind w:firstLine="200" w:firstLineChars="200"/>
    </w:pPr>
    <w:rPr>
      <w:sz w:val="24"/>
      <w:szCs w:val="24"/>
    </w:rPr>
  </w:style>
  <w:style w:type="character" w:customStyle="1" w:styleId="120">
    <w:name w:val="Char Char10"/>
    <w:semiHidden/>
    <w:qFormat/>
    <w:uiPriority w:val="0"/>
    <w:rPr>
      <w:rFonts w:ascii="宋体" w:hAnsi="宋体"/>
      <w:kern w:val="2"/>
      <w:sz w:val="21"/>
      <w:szCs w:val="24"/>
      <w:lang w:val="en-US" w:eastAsia="zh-CN"/>
    </w:rPr>
  </w:style>
  <w:style w:type="character" w:customStyle="1" w:styleId="121">
    <w:name w:val="h Char Char"/>
    <w:qFormat/>
    <w:uiPriority w:val="0"/>
    <w:rPr>
      <w:rFonts w:eastAsia="宋体"/>
      <w:kern w:val="2"/>
      <w:sz w:val="18"/>
      <w:lang w:val="en-US" w:eastAsia="zh-CN" w:bidi="ar-SA"/>
    </w:rPr>
  </w:style>
  <w:style w:type="character" w:customStyle="1" w:styleId="122">
    <w:name w:val="Bold"/>
    <w:qFormat/>
    <w:uiPriority w:val="0"/>
    <w:rPr>
      <w:rFonts w:ascii="Arial" w:hAnsi="Arial" w:eastAsia="黑体" w:cs="Times New Roman"/>
      <w:b/>
      <w:kern w:val="2"/>
      <w:sz w:val="32"/>
      <w:szCs w:val="32"/>
      <w:lang w:val="en-US" w:eastAsia="zh-CN" w:bidi="ar-SA"/>
    </w:rPr>
  </w:style>
  <w:style w:type="character" w:customStyle="1" w:styleId="123">
    <w:name w:val="Ò³Ã¼ Char Char"/>
    <w:qFormat/>
    <w:uiPriority w:val="0"/>
    <w:rPr>
      <w:rFonts w:eastAsia="宋体"/>
      <w:kern w:val="2"/>
      <w:sz w:val="18"/>
      <w:lang w:val="en-US" w:eastAsia="zh-CN" w:bidi="ar-SA"/>
    </w:rPr>
  </w:style>
  <w:style w:type="character" w:customStyle="1" w:styleId="124">
    <w:name w:val="标准正文格式 Char"/>
    <w:qFormat/>
    <w:uiPriority w:val="0"/>
    <w:rPr>
      <w:rFonts w:ascii="宋体" w:eastAsia="仿宋_GB2312" w:cs="宋体"/>
      <w:color w:val="000000"/>
      <w:sz w:val="24"/>
      <w:lang w:val="en-US" w:eastAsia="zh-CN" w:bidi="ar-SA"/>
    </w:rPr>
  </w:style>
  <w:style w:type="character" w:customStyle="1" w:styleId="125">
    <w:name w:val="Char Char8"/>
    <w:qFormat/>
    <w:uiPriority w:val="0"/>
    <w:rPr>
      <w:rFonts w:eastAsia="宋体"/>
      <w:b/>
      <w:sz w:val="24"/>
      <w:lang w:val="en-GB" w:eastAsia="zh-CN"/>
    </w:rPr>
  </w:style>
  <w:style w:type="character" w:customStyle="1" w:styleId="126">
    <w:name w:val="No Spacing Char"/>
    <w:link w:val="127"/>
    <w:qFormat/>
    <w:uiPriority w:val="1"/>
    <w:rPr>
      <w:rFonts w:ascii="Calibri" w:hAnsi="Calibri"/>
      <w:sz w:val="22"/>
    </w:rPr>
  </w:style>
  <w:style w:type="paragraph" w:customStyle="1" w:styleId="127">
    <w:name w:val="无间隔1"/>
    <w:link w:val="126"/>
    <w:qFormat/>
    <w:uiPriority w:val="1"/>
    <w:rPr>
      <w:rFonts w:ascii="Calibri" w:hAnsi="Calibri" w:eastAsiaTheme="minorEastAsia" w:cstheme="minorBidi"/>
      <w:kern w:val="2"/>
      <w:sz w:val="22"/>
      <w:szCs w:val="22"/>
      <w:lang w:val="en-US" w:eastAsia="zh-CN" w:bidi="ar-SA"/>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highlight1"/>
    <w:qFormat/>
    <w:uiPriority w:val="0"/>
    <w:rPr>
      <w:rFonts w:ascii="仿宋_GB2312" w:eastAsia="微软雅黑"/>
      <w:b/>
      <w:kern w:val="2"/>
      <w:sz w:val="23"/>
      <w:szCs w:val="23"/>
      <w:lang w:val="en-US" w:eastAsia="zh-CN" w:bidi="ar-SA"/>
    </w:rPr>
  </w:style>
  <w:style w:type="character" w:customStyle="1" w:styleId="130">
    <w:name w:val="ca-131"/>
    <w:qFormat/>
    <w:uiPriority w:val="0"/>
    <w:rPr>
      <w:rFonts w:hint="eastAsia" w:ascii="仿宋_GB2312" w:eastAsia="仿宋_GB2312"/>
      <w:b/>
      <w:bCs/>
      <w:color w:val="000000"/>
      <w:spacing w:val="-20"/>
      <w:sz w:val="24"/>
      <w:szCs w:val="24"/>
    </w:rPr>
  </w:style>
  <w:style w:type="character" w:customStyle="1" w:styleId="131">
    <w:name w:val="h3 Char"/>
    <w:qFormat/>
    <w:uiPriority w:val="0"/>
    <w:rPr>
      <w:rFonts w:eastAsia="宋体"/>
      <w:b/>
      <w:kern w:val="2"/>
      <w:sz w:val="32"/>
      <w:lang w:val="en-US" w:eastAsia="zh-CN" w:bidi="ar-SA"/>
    </w:rPr>
  </w:style>
  <w:style w:type="character" w:customStyle="1" w:styleId="132">
    <w:name w:val="Char Char12"/>
    <w:qFormat/>
    <w:uiPriority w:val="0"/>
    <w:rPr>
      <w:rFonts w:ascii="仿宋_GB2312" w:eastAsia="仿宋_GB2312"/>
      <w:b/>
      <w:bCs/>
      <w:kern w:val="2"/>
      <w:sz w:val="24"/>
      <w:szCs w:val="24"/>
      <w:lang w:val="zh-CN" w:eastAsia="zh-CN" w:bidi="ar-SA"/>
    </w:rPr>
  </w:style>
  <w:style w:type="character" w:customStyle="1" w:styleId="133">
    <w:name w:val="Comment Text Char"/>
    <w:qFormat/>
    <w:locked/>
    <w:uiPriority w:val="0"/>
    <w:rPr>
      <w:rFonts w:ascii="宋体" w:hAnsi="宋体" w:eastAsia="宋体"/>
      <w:kern w:val="2"/>
      <w:sz w:val="24"/>
      <w:lang w:val="en-US" w:eastAsia="zh-CN" w:bidi="ar-SA"/>
    </w:rPr>
  </w:style>
  <w:style w:type="character" w:customStyle="1" w:styleId="134">
    <w:name w:val="仿宋正文 Char"/>
    <w:link w:val="135"/>
    <w:qFormat/>
    <w:uiPriority w:val="0"/>
    <w:rPr>
      <w:rFonts w:ascii="仿宋_GB2312" w:eastAsia="仿宋_GB2312"/>
      <w:sz w:val="24"/>
    </w:rPr>
  </w:style>
  <w:style w:type="paragraph" w:customStyle="1" w:styleId="135">
    <w:name w:val="仿宋正文"/>
    <w:basedOn w:val="1"/>
    <w:link w:val="134"/>
    <w:qFormat/>
    <w:uiPriority w:val="0"/>
    <w:pPr>
      <w:spacing w:line="360" w:lineRule="auto"/>
      <w:ind w:firstLine="480" w:firstLineChars="200"/>
    </w:pPr>
    <w:rPr>
      <w:rFonts w:ascii="仿宋_GB2312" w:eastAsia="仿宋_GB2312"/>
      <w:sz w:val="24"/>
    </w:rPr>
  </w:style>
  <w:style w:type="character" w:customStyle="1" w:styleId="136">
    <w:name w:val="style91"/>
    <w:qFormat/>
    <w:uiPriority w:val="0"/>
    <w:rPr>
      <w:color w:val="333333"/>
    </w:rPr>
  </w:style>
  <w:style w:type="character" w:customStyle="1" w:styleId="137">
    <w:name w:val="Char Char4"/>
    <w:qFormat/>
    <w:uiPriority w:val="0"/>
    <w:rPr>
      <w:rFonts w:eastAsia="宋体"/>
      <w:b/>
      <w:sz w:val="24"/>
      <w:lang w:val="en-GB" w:eastAsia="zh-CN" w:bidi="ar-SA"/>
    </w:rPr>
  </w:style>
  <w:style w:type="character" w:customStyle="1" w:styleId="138">
    <w:name w:val="Char Char2"/>
    <w:qFormat/>
    <w:uiPriority w:val="0"/>
    <w:rPr>
      <w:rFonts w:eastAsia="宋体"/>
      <w:b/>
      <w:bCs/>
      <w:kern w:val="2"/>
      <w:sz w:val="21"/>
      <w:szCs w:val="24"/>
      <w:lang w:val="en-US" w:eastAsia="zh-CN" w:bidi="ar-SA"/>
    </w:rPr>
  </w:style>
  <w:style w:type="character" w:customStyle="1" w:styleId="139">
    <w:name w:val="正文 项目2 Char"/>
    <w:basedOn w:val="140"/>
    <w:qFormat/>
    <w:uiPriority w:val="0"/>
    <w:rPr>
      <w:rFonts w:ascii="仿宋_GB2312" w:hAnsi="仿宋_GB2312" w:eastAsia="仿宋_GB2312"/>
      <w:kern w:val="2"/>
      <w:sz w:val="24"/>
      <w:lang w:bidi="ar-SA"/>
    </w:rPr>
  </w:style>
  <w:style w:type="character" w:customStyle="1" w:styleId="140">
    <w:name w:val="正文 项目 Char"/>
    <w:qFormat/>
    <w:uiPriority w:val="0"/>
    <w:rPr>
      <w:rFonts w:ascii="仿宋_GB2312" w:hAnsi="仿宋_GB2312" w:eastAsia="仿宋_GB2312"/>
      <w:kern w:val="2"/>
      <w:sz w:val="24"/>
      <w:lang w:bidi="ar-SA"/>
    </w:rPr>
  </w:style>
  <w:style w:type="character" w:customStyle="1" w:styleId="141">
    <w:name w:val="页眉 Char1"/>
    <w:qFormat/>
    <w:uiPriority w:val="0"/>
    <w:rPr>
      <w:rFonts w:eastAsia="宋体"/>
      <w:kern w:val="2"/>
      <w:sz w:val="18"/>
      <w:szCs w:val="18"/>
      <w:lang w:val="en-US" w:eastAsia="zh-CN" w:bidi="ar-SA"/>
    </w:rPr>
  </w:style>
  <w:style w:type="character" w:customStyle="1" w:styleId="142">
    <w:name w:val="正文文本缩进 Char1"/>
    <w:qFormat/>
    <w:uiPriority w:val="0"/>
    <w:rPr>
      <w:rFonts w:ascii="宋体" w:hAnsi="宋体"/>
      <w:kern w:val="2"/>
      <w:sz w:val="24"/>
      <w:szCs w:val="24"/>
    </w:rPr>
  </w:style>
  <w:style w:type="character" w:customStyle="1" w:styleId="143">
    <w:name w:val="big1"/>
    <w:qFormat/>
    <w:uiPriority w:val="0"/>
    <w:rPr>
      <w:rFonts w:hint="eastAsia" w:ascii="宋体" w:hAnsi="宋体" w:eastAsia="宋体"/>
      <w:color w:val="333333"/>
      <w:sz w:val="22"/>
      <w:szCs w:val="22"/>
    </w:rPr>
  </w:style>
  <w:style w:type="character" w:customStyle="1" w:styleId="144">
    <w:name w:val="h Char Char1"/>
    <w:qFormat/>
    <w:uiPriority w:val="0"/>
    <w:rPr>
      <w:rFonts w:eastAsia="宋体"/>
      <w:kern w:val="2"/>
      <w:sz w:val="18"/>
      <w:szCs w:val="18"/>
      <w:lang w:val="en-US" w:eastAsia="zh-CN" w:bidi="ar-SA"/>
    </w:rPr>
  </w:style>
  <w:style w:type="character" w:customStyle="1" w:styleId="145">
    <w:name w:val="样式8 Char"/>
    <w:qFormat/>
    <w:uiPriority w:val="0"/>
    <w:rPr>
      <w:rFonts w:ascii="仿宋_GB2312" w:hAnsi="宋体" w:eastAsia="仿宋_GB2312"/>
      <w:b/>
      <w:bCs/>
      <w:kern w:val="2"/>
      <w:sz w:val="24"/>
      <w:szCs w:val="24"/>
    </w:rPr>
  </w:style>
  <w:style w:type="character" w:customStyle="1" w:styleId="146">
    <w:name w:val="页脚 Char1"/>
    <w:qFormat/>
    <w:uiPriority w:val="0"/>
    <w:rPr>
      <w:rFonts w:eastAsia="宋体"/>
      <w:kern w:val="2"/>
      <w:sz w:val="18"/>
      <w:szCs w:val="18"/>
      <w:lang w:val="en-US" w:eastAsia="zh-CN" w:bidi="ar-SA"/>
    </w:rPr>
  </w:style>
  <w:style w:type="character" w:customStyle="1" w:styleId="147">
    <w:name w:val="myp11"/>
    <w:qFormat/>
    <w:uiPriority w:val="0"/>
    <w:rPr>
      <w:rFonts w:ascii="仿宋_GB2312" w:eastAsia="微软雅黑"/>
      <w:b/>
      <w:kern w:val="2"/>
      <w:sz w:val="32"/>
      <w:szCs w:val="32"/>
      <w:lang w:val="en-US" w:eastAsia="zh-CN" w:bidi="ar-SA"/>
    </w:rPr>
  </w:style>
  <w:style w:type="character" w:customStyle="1" w:styleId="148">
    <w:name w:val="tw4winTerm"/>
    <w:qFormat/>
    <w:uiPriority w:val="0"/>
    <w:rPr>
      <w:color w:val="0000FF"/>
    </w:rPr>
  </w:style>
  <w:style w:type="character" w:customStyle="1" w:styleId="149">
    <w:name w:val="标题 2 Char Char"/>
    <w:qFormat/>
    <w:uiPriority w:val="0"/>
    <w:rPr>
      <w:rFonts w:ascii="楷体_GB2312" w:hAnsi="Arial" w:eastAsia="楷体_GB2312"/>
      <w:b/>
      <w:bCs/>
      <w:kern w:val="2"/>
      <w:sz w:val="24"/>
      <w:szCs w:val="32"/>
      <w:lang w:val="en-US" w:eastAsia="zh-CN" w:bidi="ar-SA"/>
    </w:rPr>
  </w:style>
  <w:style w:type="character" w:customStyle="1" w:styleId="150">
    <w:name w:val="hei16b1"/>
    <w:qFormat/>
    <w:uiPriority w:val="0"/>
    <w:rPr>
      <w:rFonts w:hint="default" w:ascii="Arial" w:hAnsi="Arial" w:cs="Arial"/>
      <w:b/>
      <w:bCs/>
      <w:color w:val="000000"/>
      <w:sz w:val="24"/>
      <w:szCs w:val="24"/>
    </w:rPr>
  </w:style>
  <w:style w:type="character" w:customStyle="1" w:styleId="151">
    <w:name w:val="Heading 7 Char"/>
    <w:qFormat/>
    <w:locked/>
    <w:uiPriority w:val="0"/>
    <w:rPr>
      <w:rFonts w:ascii="宋体" w:hAnsi="宋体" w:eastAsia="宋体"/>
      <w:b/>
      <w:bCs/>
      <w:kern w:val="2"/>
      <w:sz w:val="24"/>
      <w:szCs w:val="24"/>
      <w:lang w:val="en-US" w:eastAsia="zh-CN" w:bidi="ar-SA"/>
    </w:rPr>
  </w:style>
  <w:style w:type="character" w:customStyle="1" w:styleId="152">
    <w:name w:val="Char Char6"/>
    <w:qFormat/>
    <w:uiPriority w:val="0"/>
    <w:rPr>
      <w:rFonts w:eastAsia="宋体"/>
      <w:kern w:val="2"/>
      <w:sz w:val="21"/>
      <w:szCs w:val="24"/>
      <w:lang w:val="en-US" w:eastAsia="zh-CN" w:bidi="ar-SA"/>
    </w:rPr>
  </w:style>
  <w:style w:type="character" w:customStyle="1" w:styleId="153">
    <w:name w:val="哈哈正文 Char"/>
    <w:link w:val="154"/>
    <w:qFormat/>
    <w:uiPriority w:val="0"/>
    <w:rPr>
      <w:rFonts w:ascii="宋体" w:hAnsi="宋体" w:eastAsia="宋体"/>
      <w:sz w:val="24"/>
    </w:rPr>
  </w:style>
  <w:style w:type="paragraph" w:customStyle="1" w:styleId="154">
    <w:name w:val="哈哈正文"/>
    <w:basedOn w:val="1"/>
    <w:link w:val="153"/>
    <w:qFormat/>
    <w:uiPriority w:val="0"/>
    <w:pPr>
      <w:spacing w:line="360" w:lineRule="auto"/>
      <w:ind w:firstLine="200" w:firstLineChars="200"/>
    </w:pPr>
    <w:rPr>
      <w:rFonts w:ascii="宋体" w:hAnsi="宋体" w:eastAsia="宋体"/>
      <w:sz w:val="24"/>
    </w:rPr>
  </w:style>
  <w:style w:type="character" w:customStyle="1" w:styleId="155">
    <w:name w:val="pt141"/>
    <w:qFormat/>
    <w:uiPriority w:val="0"/>
    <w:rPr>
      <w:color w:val="330066"/>
      <w:sz w:val="22"/>
      <w:szCs w:val="22"/>
    </w:rPr>
  </w:style>
  <w:style w:type="character" w:customStyle="1" w:styleId="156">
    <w:name w:val="普通文字 Char3"/>
    <w:qFormat/>
    <w:uiPriority w:val="0"/>
    <w:rPr>
      <w:rFonts w:ascii="宋体" w:hAnsi="Courier New" w:eastAsia="宋体"/>
      <w:kern w:val="2"/>
      <w:sz w:val="21"/>
      <w:lang w:val="en-US" w:eastAsia="zh-CN" w:bidi="ar-SA"/>
    </w:rPr>
  </w:style>
  <w:style w:type="character" w:customStyle="1" w:styleId="15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8">
    <w:name w:val="正文文本 Char1"/>
    <w:link w:val="2"/>
    <w:qFormat/>
    <w:uiPriority w:val="0"/>
    <w:rPr>
      <w:rFonts w:ascii="宋体" w:hAnsi="Arial" w:eastAsia="宋体" w:cs="Arial"/>
      <w:snapToGrid w:val="0"/>
      <w:sz w:val="24"/>
      <w:szCs w:val="21"/>
      <w:lang w:val="zh-CN"/>
    </w:rPr>
  </w:style>
  <w:style w:type="character" w:customStyle="1" w:styleId="159">
    <w:name w:val="正文2 Char"/>
    <w:qFormat/>
    <w:uiPriority w:val="0"/>
    <w:rPr>
      <w:rFonts w:eastAsia="宋体"/>
      <w:kern w:val="2"/>
      <w:sz w:val="24"/>
      <w:lang w:val="en-US" w:eastAsia="zh-CN" w:bidi="ar-SA"/>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ader Char"/>
    <w:qFormat/>
    <w:locked/>
    <w:uiPriority w:val="0"/>
    <w:rPr>
      <w:rFonts w:eastAsia="宋体"/>
      <w:kern w:val="2"/>
      <w:sz w:val="18"/>
      <w:szCs w:val="18"/>
      <w:lang w:val="en-US" w:eastAsia="zh-CN" w:bidi="ar-SA"/>
    </w:rPr>
  </w:style>
  <w:style w:type="character" w:customStyle="1" w:styleId="162">
    <w:name w:val="Footer-Even Char1"/>
    <w:qFormat/>
    <w:uiPriority w:val="0"/>
    <w:rPr>
      <w:rFonts w:eastAsia="宋体"/>
      <w:kern w:val="2"/>
      <w:sz w:val="18"/>
      <w:szCs w:val="18"/>
      <w:lang w:val="en-US" w:eastAsia="zh-CN" w:bidi="ar-SA"/>
    </w:rPr>
  </w:style>
  <w:style w:type="character" w:customStyle="1" w:styleId="163">
    <w:name w:val="unnamed31"/>
    <w:qFormat/>
    <w:uiPriority w:val="0"/>
    <w:rPr>
      <w:rFonts w:ascii="Tahoma" w:hAnsi="Tahoma" w:eastAsia="宋体"/>
      <w:b/>
      <w:kern w:val="2"/>
      <w:sz w:val="24"/>
      <w:szCs w:val="32"/>
      <w:u w:val="none"/>
      <w:lang w:val="en-US" w:eastAsia="zh-CN" w:bidi="ar-SA"/>
    </w:rPr>
  </w:style>
  <w:style w:type="character" w:customStyle="1" w:styleId="164">
    <w:name w:val="纯文本 Char Char Char"/>
    <w:qFormat/>
    <w:uiPriority w:val="0"/>
    <w:rPr>
      <w:rFonts w:ascii="宋体" w:hAnsi="Courier New" w:eastAsia="宋体"/>
      <w:kern w:val="2"/>
      <w:sz w:val="21"/>
      <w:lang w:val="en-US" w:eastAsia="zh-CN" w:bidi="ar-SA"/>
    </w:rPr>
  </w:style>
  <w:style w:type="character" w:customStyle="1" w:styleId="165">
    <w:name w:val="Body Text(ch) Char Char"/>
    <w:qFormat/>
    <w:uiPriority w:val="0"/>
    <w:rPr>
      <w:rFonts w:ascii="宋体"/>
      <w:kern w:val="2"/>
      <w:sz w:val="24"/>
      <w:szCs w:val="21"/>
      <w:lang w:val="zh-CN"/>
    </w:rPr>
  </w:style>
  <w:style w:type="character" w:customStyle="1" w:styleId="166">
    <w:name w:val="插图说明 Char"/>
    <w:qFormat/>
    <w:uiPriority w:val="0"/>
    <w:rPr>
      <w:rFonts w:eastAsia="黑体"/>
      <w:sz w:val="24"/>
      <w:lang w:val="en-US" w:eastAsia="zh-CN"/>
    </w:rPr>
  </w:style>
  <w:style w:type="character" w:customStyle="1" w:styleId="167">
    <w:name w:val="tw4winExternal"/>
    <w:qFormat/>
    <w:uiPriority w:val="0"/>
    <w:rPr>
      <w:rFonts w:ascii="Courier New" w:hAnsi="Courier New" w:cs="Courier New"/>
      <w:color w:val="808080"/>
      <w:lang w:val="en-US" w:eastAsia="zh-CN"/>
    </w:rPr>
  </w:style>
  <w:style w:type="character" w:customStyle="1" w:styleId="168">
    <w:name w:val="font21"/>
    <w:basedOn w:val="69"/>
    <w:qFormat/>
    <w:uiPriority w:val="0"/>
    <w:rPr>
      <w:rFonts w:hint="eastAsia" w:ascii="宋体" w:hAnsi="宋体" w:eastAsia="宋体"/>
      <w:kern w:val="2"/>
      <w:sz w:val="28"/>
      <w:szCs w:val="28"/>
      <w:lang w:val="en-US" w:eastAsia="zh-CN" w:bidi="ar-SA"/>
    </w:rPr>
  </w:style>
  <w:style w:type="character" w:customStyle="1" w:styleId="169">
    <w:name w:val="标书正文格式 Char"/>
    <w:qFormat/>
    <w:uiPriority w:val="0"/>
    <w:rPr>
      <w:rFonts w:eastAsia="楷体_GB2312"/>
      <w:kern w:val="2"/>
      <w:sz w:val="24"/>
      <w:szCs w:val="24"/>
      <w:lang w:bidi="ar-SA"/>
    </w:rPr>
  </w:style>
  <w:style w:type="character" w:customStyle="1" w:styleId="170">
    <w:name w:val="javascript"/>
    <w:qFormat/>
    <w:uiPriority w:val="0"/>
  </w:style>
  <w:style w:type="character" w:customStyle="1" w:styleId="171">
    <w:name w:val="Balloon Text Char"/>
    <w:qFormat/>
    <w:locked/>
    <w:uiPriority w:val="0"/>
    <w:rPr>
      <w:rFonts w:eastAsia="宋体"/>
      <w:kern w:val="2"/>
      <w:sz w:val="18"/>
      <w:szCs w:val="18"/>
      <w:lang w:val="en-US" w:eastAsia="zh-CN" w:bidi="ar-SA"/>
    </w:rPr>
  </w:style>
  <w:style w:type="character" w:customStyle="1" w:styleId="172">
    <w:name w:val="Char Char5"/>
    <w:qFormat/>
    <w:uiPriority w:val="0"/>
    <w:rPr>
      <w:rFonts w:ascii="宋体" w:hAnsi="Courier New" w:eastAsia="宋体"/>
      <w:kern w:val="2"/>
      <w:sz w:val="21"/>
      <w:lang w:val="en-US" w:eastAsia="zh-CN"/>
    </w:rPr>
  </w:style>
  <w:style w:type="character" w:customStyle="1" w:styleId="173">
    <w:name w:val="Char Char"/>
    <w:qFormat/>
    <w:uiPriority w:val="0"/>
    <w:rPr>
      <w:rFonts w:ascii="宋体" w:hAnsi="Courier New" w:eastAsia="宋体"/>
      <w:kern w:val="2"/>
      <w:sz w:val="21"/>
      <w:lang w:val="en-US" w:eastAsia="zh-CN" w:bidi="ar-SA"/>
    </w:rPr>
  </w:style>
  <w:style w:type="character" w:customStyle="1" w:styleId="174">
    <w:name w:val="mdeck"/>
    <w:qFormat/>
    <w:uiPriority w:val="0"/>
    <w:rPr>
      <w:rFonts w:ascii="仿宋_GB2312" w:eastAsia="微软雅黑"/>
      <w:b/>
      <w:kern w:val="2"/>
      <w:sz w:val="32"/>
      <w:szCs w:val="32"/>
      <w:lang w:val="en-US" w:eastAsia="zh-CN" w:bidi="ar-SA"/>
    </w:rPr>
  </w:style>
  <w:style w:type="character" w:customStyle="1" w:styleId="175">
    <w:name w:val="content"/>
    <w:qFormat/>
    <w:uiPriority w:val="0"/>
  </w:style>
  <w:style w:type="character" w:customStyle="1" w:styleId="176">
    <w:name w:val="Char Char3"/>
    <w:qFormat/>
    <w:uiPriority w:val="0"/>
    <w:rPr>
      <w:rFonts w:eastAsia="宋体"/>
      <w:kern w:val="2"/>
      <w:sz w:val="21"/>
      <w:szCs w:val="24"/>
      <w:lang w:val="en-US" w:eastAsia="zh-CN" w:bidi="ar-SA"/>
    </w:rPr>
  </w:style>
  <w:style w:type="character" w:customStyle="1" w:styleId="177">
    <w:name w:val="Char Char811"/>
    <w:qFormat/>
    <w:uiPriority w:val="0"/>
    <w:rPr>
      <w:rFonts w:eastAsia="宋体"/>
      <w:b/>
      <w:sz w:val="24"/>
      <w:lang w:val="en-GB" w:eastAsia="zh-CN"/>
    </w:rPr>
  </w:style>
  <w:style w:type="character" w:customStyle="1" w:styleId="178">
    <w:name w:val="b11_01b Char"/>
    <w:link w:val="179"/>
    <w:qFormat/>
    <w:uiPriority w:val="0"/>
    <w:rPr>
      <w:rFonts w:ascii="Verdana" w:hAnsi="Verdana"/>
      <w:b/>
      <w:bCs/>
      <w:color w:val="4A82CA"/>
      <w:sz w:val="17"/>
      <w:szCs w:val="17"/>
    </w:rPr>
  </w:style>
  <w:style w:type="paragraph" w:customStyle="1" w:styleId="179">
    <w:name w:val="b11_01b"/>
    <w:basedOn w:val="1"/>
    <w:next w:val="1"/>
    <w:link w:val="178"/>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80">
    <w:name w:val="标题4-dyf Char"/>
    <w:link w:val="181"/>
    <w:qFormat/>
    <w:uiPriority w:val="0"/>
    <w:rPr>
      <w:rFonts w:ascii="Cambria" w:hAnsi="Cambria"/>
      <w:b/>
      <w:bCs/>
      <w:color w:val="000000"/>
      <w:szCs w:val="21"/>
    </w:rPr>
  </w:style>
  <w:style w:type="paragraph" w:customStyle="1" w:styleId="181">
    <w:name w:val="标题4-dyf"/>
    <w:basedOn w:val="6"/>
    <w:link w:val="180"/>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82">
    <w:name w:val="标题 3 Char2"/>
    <w:qFormat/>
    <w:uiPriority w:val="0"/>
    <w:rPr>
      <w:rFonts w:eastAsia="宋体"/>
      <w:b/>
      <w:bCs/>
      <w:kern w:val="2"/>
      <w:sz w:val="32"/>
      <w:szCs w:val="32"/>
      <w:lang w:val="en-US" w:eastAsia="zh-CN" w:bidi="ar-SA"/>
    </w:rPr>
  </w:style>
  <w:style w:type="character" w:customStyle="1" w:styleId="183">
    <w:name w:val="gray6"/>
    <w:basedOn w:val="69"/>
    <w:qFormat/>
    <w:uiPriority w:val="0"/>
    <w:rPr>
      <w:rFonts w:ascii="Arial" w:hAnsi="Arial" w:eastAsia="黑体" w:cs="Arial"/>
      <w:snapToGrid w:val="0"/>
      <w:kern w:val="0"/>
      <w:szCs w:val="21"/>
    </w:rPr>
  </w:style>
  <w:style w:type="character" w:customStyle="1" w:styleId="184">
    <w:name w:val="正文首行缩进两字 Char"/>
    <w:qFormat/>
    <w:uiPriority w:val="0"/>
    <w:rPr>
      <w:sz w:val="24"/>
      <w:szCs w:val="24"/>
      <w:lang w:val="en-US" w:eastAsia="zh-CN" w:bidi="ar-SA"/>
    </w:rPr>
  </w:style>
  <w:style w:type="character" w:customStyle="1" w:styleId="185">
    <w:name w:val="Char Char511"/>
    <w:qFormat/>
    <w:uiPriority w:val="0"/>
    <w:rPr>
      <w:rFonts w:ascii="宋体" w:hAnsi="Courier New" w:eastAsia="宋体"/>
      <w:kern w:val="2"/>
      <w:sz w:val="21"/>
      <w:lang w:val="en-US" w:eastAsia="zh-CN"/>
    </w:rPr>
  </w:style>
  <w:style w:type="character" w:customStyle="1" w:styleId="186">
    <w:name w:val="带编号样式 Char"/>
    <w:qFormat/>
    <w:uiPriority w:val="0"/>
    <w:rPr>
      <w:rFonts w:ascii="仿宋_GB2312" w:eastAsia="仿宋_GB2312"/>
      <w:color w:val="000000"/>
      <w:sz w:val="24"/>
      <w:lang w:bidi="ar-SA"/>
    </w:rPr>
  </w:style>
  <w:style w:type="character" w:customStyle="1" w:styleId="187">
    <w:name w:val="Footer-Even Char"/>
    <w:qFormat/>
    <w:uiPriority w:val="0"/>
    <w:rPr>
      <w:rFonts w:eastAsia="宋体"/>
      <w:kern w:val="2"/>
      <w:sz w:val="18"/>
      <w:lang w:val="en-US" w:eastAsia="zh-CN" w:bidi="ar-SA"/>
    </w:rPr>
  </w:style>
  <w:style w:type="character" w:customStyle="1" w:styleId="188">
    <w:name w:val="样式4 Char"/>
    <w:qFormat/>
    <w:uiPriority w:val="0"/>
    <w:rPr>
      <w:rFonts w:ascii="仿宋_GB2312" w:hAnsi="仿宋" w:eastAsia="仿宋_GB2312"/>
      <w:b/>
      <w:kern w:val="2"/>
      <w:sz w:val="32"/>
      <w:szCs w:val="32"/>
      <w:lang w:bidi="ar-SA"/>
    </w:rPr>
  </w:style>
  <w:style w:type="character" w:customStyle="1" w:styleId="189">
    <w:name w:val="样式 标题 4h4H4Fab-4T5Ref Heading 1rh1Heading sqlsect 1.2.3.... Char"/>
    <w:link w:val="190"/>
    <w:qFormat/>
    <w:uiPriority w:val="0"/>
    <w:rPr>
      <w:rFonts w:ascii="微软雅黑" w:hAnsi="微软雅黑" w:eastAsia="微软雅黑"/>
      <w:b/>
      <w:bCs/>
      <w:sz w:val="24"/>
      <w:szCs w:val="28"/>
    </w:rPr>
  </w:style>
  <w:style w:type="paragraph" w:customStyle="1" w:styleId="190">
    <w:name w:val="样式 标题 4h4H4Fab-4T5Ref Heading 1rh1Heading sqlsect 1.2.3...."/>
    <w:basedOn w:val="6"/>
    <w:link w:val="18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91">
    <w:name w:val="dandyren_title1"/>
    <w:qFormat/>
    <w:uiPriority w:val="0"/>
    <w:rPr>
      <w:b/>
      <w:bCs/>
      <w:color w:val="FF6633"/>
      <w:sz w:val="18"/>
      <w:szCs w:val="18"/>
    </w:rPr>
  </w:style>
  <w:style w:type="character" w:customStyle="1" w:styleId="192">
    <w:name w:val="普通文字 Char Char1"/>
    <w:qFormat/>
    <w:uiPriority w:val="0"/>
    <w:rPr>
      <w:rFonts w:ascii="宋体" w:hAnsi="Courier New"/>
      <w:kern w:val="2"/>
      <w:sz w:val="21"/>
    </w:rPr>
  </w:style>
  <w:style w:type="character" w:customStyle="1" w:styleId="193">
    <w:name w:val="PI Char"/>
    <w:qFormat/>
    <w:uiPriority w:val="0"/>
    <w:rPr>
      <w:rFonts w:ascii="宋体" w:hAnsi="宋体" w:eastAsia="宋体"/>
      <w:kern w:val="2"/>
      <w:sz w:val="24"/>
      <w:szCs w:val="24"/>
      <w:lang w:val="en-US" w:eastAsia="zh-CN" w:bidi="ar-SA"/>
    </w:rPr>
  </w:style>
  <w:style w:type="character" w:customStyle="1" w:styleId="194">
    <w:name w:val="Char Char11"/>
    <w:qFormat/>
    <w:locked/>
    <w:uiPriority w:val="0"/>
    <w:rPr>
      <w:rFonts w:ascii="宋体" w:hAnsi="宋体" w:eastAsia="宋体"/>
      <w:b/>
      <w:kern w:val="2"/>
      <w:sz w:val="24"/>
      <w:szCs w:val="24"/>
      <w:lang w:val="en-US" w:eastAsia="zh-CN" w:bidi="ar-SA"/>
    </w:rPr>
  </w:style>
  <w:style w:type="character" w:customStyle="1" w:styleId="19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6">
    <w:name w:val="Document Map Char"/>
    <w:qFormat/>
    <w:locked/>
    <w:uiPriority w:val="0"/>
    <w:rPr>
      <w:rFonts w:eastAsia="宋体"/>
      <w:kern w:val="2"/>
      <w:sz w:val="21"/>
      <w:szCs w:val="24"/>
      <w:lang w:val="en-US" w:eastAsia="zh-CN" w:bidi="ar-SA"/>
    </w:rPr>
  </w:style>
  <w:style w:type="character" w:customStyle="1" w:styleId="197">
    <w:name w:val="文本正文 Char Char"/>
    <w:qFormat/>
    <w:locked/>
    <w:uiPriority w:val="0"/>
    <w:rPr>
      <w:sz w:val="24"/>
      <w:lang w:bidi="ar-SA"/>
    </w:rPr>
  </w:style>
  <w:style w:type="character" w:customStyle="1" w:styleId="198">
    <w:name w:val="样式7 Char"/>
    <w:qFormat/>
    <w:uiPriority w:val="0"/>
    <w:rPr>
      <w:rFonts w:ascii="仿宋_GB2312" w:hAnsi="仿宋" w:eastAsia="仿宋_GB2312"/>
      <w:b/>
      <w:kern w:val="2"/>
      <w:sz w:val="24"/>
      <w:szCs w:val="24"/>
    </w:rPr>
  </w:style>
  <w:style w:type="character" w:customStyle="1" w:styleId="199">
    <w:name w:val="样式3 Char"/>
    <w:basedOn w:val="200"/>
    <w:qFormat/>
    <w:uiPriority w:val="0"/>
    <w:rPr>
      <w:rFonts w:ascii="仿宋_GB2312" w:hAnsi="仿宋" w:eastAsia="仿宋_GB2312" w:cs="仿宋_GB2312"/>
      <w:sz w:val="32"/>
      <w:szCs w:val="30"/>
      <w:lang w:val="zh-CN"/>
    </w:rPr>
  </w:style>
  <w:style w:type="character" w:customStyle="1" w:styleId="200">
    <w:name w:val="样式2 Char"/>
    <w:qFormat/>
    <w:uiPriority w:val="0"/>
    <w:rPr>
      <w:rFonts w:ascii="仿宋_GB2312" w:hAnsi="仿宋" w:eastAsia="仿宋_GB2312" w:cs="仿宋_GB2312"/>
      <w:b/>
      <w:bCs/>
      <w:sz w:val="32"/>
      <w:szCs w:val="30"/>
      <w:lang w:val="zh-CN"/>
    </w:rPr>
  </w:style>
  <w:style w:type="character" w:customStyle="1" w:styleId="201">
    <w:name w:val="二级标题 Char Char"/>
    <w:qFormat/>
    <w:uiPriority w:val="0"/>
    <w:rPr>
      <w:rFonts w:ascii="宋体" w:hAnsi="宋体" w:eastAsia="宋体"/>
      <w:b/>
      <w:snapToGrid w:val="0"/>
      <w:kern w:val="2"/>
      <w:sz w:val="24"/>
      <w:szCs w:val="24"/>
      <w:lang w:val="en-US" w:eastAsia="zh-CN" w:bidi="ar-SA"/>
    </w:rPr>
  </w:style>
  <w:style w:type="character" w:customStyle="1" w:styleId="202">
    <w:name w:val="Table Text Char1"/>
    <w:qFormat/>
    <w:uiPriority w:val="0"/>
    <w:rPr>
      <w:rFonts w:eastAsia="宋体"/>
      <w:sz w:val="24"/>
      <w:szCs w:val="24"/>
      <w:lang w:val="en-US" w:eastAsia="zh-CN" w:bidi="ar-SA"/>
    </w:rPr>
  </w:style>
  <w:style w:type="character" w:customStyle="1" w:styleId="203">
    <w:name w:val="shadow11"/>
    <w:qFormat/>
    <w:uiPriority w:val="0"/>
    <w:rPr>
      <w:color w:val="000000"/>
      <w:sz w:val="21"/>
    </w:rPr>
  </w:style>
  <w:style w:type="character" w:customStyle="1" w:styleId="204">
    <w:name w:val="Char Char212"/>
    <w:qFormat/>
    <w:uiPriority w:val="0"/>
    <w:rPr>
      <w:rFonts w:eastAsia="宋体"/>
      <w:b/>
      <w:bCs/>
      <w:kern w:val="2"/>
      <w:sz w:val="21"/>
      <w:szCs w:val="24"/>
      <w:lang w:val="en-US" w:eastAsia="zh-CN" w:bidi="ar-SA"/>
    </w:rPr>
  </w:style>
  <w:style w:type="character" w:customStyle="1" w:styleId="205">
    <w:name w:val="h3 Char1"/>
    <w:qFormat/>
    <w:uiPriority w:val="0"/>
    <w:rPr>
      <w:rFonts w:eastAsia="宋体"/>
      <w:b/>
      <w:bCs/>
      <w:kern w:val="2"/>
      <w:sz w:val="32"/>
      <w:szCs w:val="32"/>
      <w:lang w:bidi="ar-SA"/>
    </w:rPr>
  </w:style>
  <w:style w:type="character" w:customStyle="1" w:styleId="206">
    <w:name w:val="FA正文 Char Char"/>
    <w:qFormat/>
    <w:uiPriority w:val="0"/>
    <w:rPr>
      <w:rFonts w:hAnsi="宋体"/>
      <w:kern w:val="2"/>
      <w:sz w:val="24"/>
      <w:lang w:bidi="ar-SA"/>
    </w:rPr>
  </w:style>
  <w:style w:type="character" w:customStyle="1" w:styleId="207">
    <w:name w:val="首行缩进 Char"/>
    <w:qFormat/>
    <w:uiPriority w:val="0"/>
    <w:rPr>
      <w:rFonts w:ascii="宋体" w:eastAsia="宋体"/>
      <w:kern w:val="2"/>
      <w:sz w:val="24"/>
      <w:lang w:val="en-US" w:eastAsia="zh-CN" w:bidi="ar-SA"/>
    </w:rPr>
  </w:style>
  <w:style w:type="character" w:customStyle="1" w:styleId="208">
    <w:name w:val="Char Char7"/>
    <w:semiHidden/>
    <w:qFormat/>
    <w:uiPriority w:val="0"/>
    <w:rPr>
      <w:rFonts w:eastAsia="宋体"/>
      <w:kern w:val="2"/>
      <w:sz w:val="21"/>
      <w:szCs w:val="24"/>
      <w:lang w:val="en-US" w:eastAsia="zh-CN" w:bidi="ar-SA"/>
    </w:rPr>
  </w:style>
  <w:style w:type="character" w:customStyle="1" w:styleId="209">
    <w:name w:val="hui"/>
    <w:basedOn w:val="69"/>
    <w:qFormat/>
    <w:uiPriority w:val="0"/>
    <w:rPr>
      <w:rFonts w:ascii="Arial" w:hAnsi="Arial" w:eastAsia="黑体" w:cs="Arial"/>
      <w:snapToGrid w:val="0"/>
      <w:kern w:val="0"/>
      <w:szCs w:val="21"/>
    </w:rPr>
  </w:style>
  <w:style w:type="character" w:customStyle="1" w:styleId="210">
    <w:name w:val="正文缩进 Char"/>
    <w:qFormat/>
    <w:uiPriority w:val="0"/>
    <w:rPr>
      <w:rFonts w:eastAsia="宋体"/>
      <w:kern w:val="2"/>
      <w:sz w:val="21"/>
      <w:lang w:val="en-US" w:eastAsia="zh-CN"/>
    </w:rPr>
  </w:style>
  <w:style w:type="character" w:customStyle="1" w:styleId="211">
    <w:name w:val="正文1 Char"/>
    <w:qFormat/>
    <w:uiPriority w:val="0"/>
    <w:rPr>
      <w:rFonts w:ascii="宋体" w:eastAsia="宋体"/>
      <w:snapToGrid w:val="0"/>
      <w:color w:val="000000"/>
      <w:kern w:val="28"/>
      <w:sz w:val="28"/>
      <w:lang w:val="en-US" w:eastAsia="zh-CN" w:bidi="ar-SA"/>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message1"/>
    <w:qFormat/>
    <w:uiPriority w:val="0"/>
    <w:rPr>
      <w:rFonts w:hint="default" w:ascii="Tahoma" w:hAnsi="Tahoma" w:cs="Tahoma"/>
      <w:sz w:val="18"/>
      <w:szCs w:val="18"/>
    </w:rPr>
  </w:style>
  <w:style w:type="character" w:customStyle="1" w:styleId="214">
    <w:name w:val="Heading 2 Hidden Char"/>
    <w:qFormat/>
    <w:uiPriority w:val="0"/>
    <w:rPr>
      <w:rFonts w:ascii="仿宋_GB2312" w:eastAsia="仿宋_GB2312"/>
      <w:b/>
      <w:bCs/>
      <w:kern w:val="2"/>
      <w:sz w:val="24"/>
      <w:szCs w:val="24"/>
      <w:lang w:val="zh-CN" w:eastAsia="zh-CN" w:bidi="ar-SA"/>
    </w:rPr>
  </w:style>
  <w:style w:type="character" w:customStyle="1" w:styleId="215">
    <w:name w:val="DO_NOT_TRANSLATE"/>
    <w:qFormat/>
    <w:uiPriority w:val="0"/>
    <w:rPr>
      <w:rFonts w:ascii="Courier New" w:hAnsi="Courier New" w:cs="Courier New"/>
      <w:color w:val="800000"/>
      <w:lang w:val="en-US" w:eastAsia="zh-CN"/>
    </w:rPr>
  </w:style>
  <w:style w:type="character" w:customStyle="1" w:styleId="216">
    <w:name w:val="unnamed11"/>
    <w:qFormat/>
    <w:uiPriority w:val="0"/>
    <w:rPr>
      <w:sz w:val="20"/>
      <w:szCs w:val="20"/>
    </w:rPr>
  </w:style>
  <w:style w:type="character" w:customStyle="1" w:styleId="217">
    <w:name w:val="tw4winInternal"/>
    <w:qFormat/>
    <w:uiPriority w:val="0"/>
    <w:rPr>
      <w:rFonts w:ascii="Courier New" w:hAnsi="Courier New" w:cs="Courier New"/>
      <w:color w:val="FF0000"/>
      <w:lang w:val="en-US" w:eastAsia="zh-CN"/>
    </w:rPr>
  </w:style>
  <w:style w:type="character" w:customStyle="1" w:styleId="218">
    <w:name w:val="正文（缩进2汉字） Char"/>
    <w:link w:val="219"/>
    <w:qFormat/>
    <w:uiPriority w:val="0"/>
    <w:rPr>
      <w:rFonts w:ascii="宋体"/>
    </w:rPr>
  </w:style>
  <w:style w:type="paragraph" w:customStyle="1" w:styleId="219">
    <w:name w:val="正文（缩进2汉字）"/>
    <w:basedOn w:val="1"/>
    <w:link w:val="218"/>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20">
    <w:name w:val="正文缩进 Char1"/>
    <w:qFormat/>
    <w:uiPriority w:val="0"/>
    <w:rPr>
      <w:rFonts w:ascii="宋体" w:eastAsia="宋体"/>
      <w:snapToGrid w:val="0"/>
      <w:color w:val="000000"/>
      <w:kern w:val="28"/>
      <w:sz w:val="28"/>
      <w:lang w:val="en-US" w:eastAsia="zh-CN" w:bidi="ar-SA"/>
    </w:rPr>
  </w:style>
  <w:style w:type="character" w:customStyle="1" w:styleId="221">
    <w:name w:val="style36"/>
    <w:basedOn w:val="69"/>
    <w:qFormat/>
    <w:uiPriority w:val="0"/>
    <w:rPr>
      <w:rFonts w:ascii="Arial" w:hAnsi="Arial" w:eastAsia="黑体" w:cs="Arial"/>
      <w:snapToGrid w:val="0"/>
      <w:kern w:val="0"/>
      <w:szCs w:val="21"/>
    </w:rPr>
  </w:style>
  <w:style w:type="character" w:customStyle="1" w:styleId="222">
    <w:name w:val="hui3"/>
    <w:qFormat/>
    <w:uiPriority w:val="0"/>
    <w:rPr>
      <w:color w:val="333333"/>
    </w:rPr>
  </w:style>
  <w:style w:type="character" w:customStyle="1" w:styleId="223">
    <w:name w:val="方案正文 Char"/>
    <w:qFormat/>
    <w:uiPriority w:val="0"/>
    <w:rPr>
      <w:rFonts w:ascii="仿宋_GB2312" w:eastAsia="仿宋_GB2312"/>
      <w:b/>
      <w:color w:val="000000"/>
      <w:kern w:val="2"/>
      <w:sz w:val="24"/>
      <w:lang w:val="en-US" w:eastAsia="zh-CN" w:bidi="ar-SA"/>
    </w:rPr>
  </w:style>
  <w:style w:type="character" w:customStyle="1" w:styleId="224">
    <w:name w:val="apple-converted-space"/>
    <w:qFormat/>
    <w:uiPriority w:val="0"/>
  </w:style>
  <w:style w:type="character" w:customStyle="1" w:styleId="225">
    <w:name w:val="正文非缩进 Char3"/>
    <w:qFormat/>
    <w:uiPriority w:val="0"/>
    <w:rPr>
      <w:rFonts w:ascii="宋体" w:eastAsia="宋体"/>
      <w:snapToGrid w:val="0"/>
      <w:color w:val="000000"/>
      <w:kern w:val="28"/>
      <w:sz w:val="28"/>
      <w:lang w:val="en-US" w:eastAsia="zh-CN" w:bidi="ar-SA"/>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t21"/>
    <w:qFormat/>
    <w:uiPriority w:val="0"/>
    <w:rPr>
      <w:rFonts w:ascii="仿宋_GB2312" w:eastAsia="微软雅黑"/>
      <w:b/>
      <w:kern w:val="2"/>
      <w:sz w:val="23"/>
      <w:szCs w:val="23"/>
      <w:lang w:val="en-US" w:eastAsia="zh-CN" w:bidi="ar-SA"/>
    </w:rPr>
  </w:style>
  <w:style w:type="character" w:customStyle="1" w:styleId="228">
    <w:name w:val="副标题 Char1"/>
    <w:qFormat/>
    <w:uiPriority w:val="11"/>
    <w:rPr>
      <w:rFonts w:ascii="Cambria" w:hAnsi="Cambria" w:eastAsia="宋体" w:cs="Times New Roman"/>
      <w:b/>
      <w:bCs/>
      <w:snapToGrid w:val="0"/>
      <w:kern w:val="28"/>
      <w:sz w:val="32"/>
      <w:szCs w:val="32"/>
    </w:rPr>
  </w:style>
  <w:style w:type="character" w:customStyle="1" w:styleId="229">
    <w:name w:val="px14"/>
    <w:qFormat/>
    <w:uiPriority w:val="0"/>
    <w:rPr>
      <w:rFonts w:ascii="仿宋_GB2312" w:eastAsia="微软雅黑" w:cs="Times New Roman"/>
      <w:b/>
      <w:kern w:val="2"/>
      <w:sz w:val="32"/>
      <w:szCs w:val="32"/>
      <w:lang w:val="en-US" w:eastAsia="zh-CN" w:bidi="ar-SA"/>
    </w:rPr>
  </w:style>
  <w:style w:type="character" w:customStyle="1" w:styleId="230">
    <w:name w:val="Normal Indent Char Char"/>
    <w:qFormat/>
    <w:uiPriority w:val="0"/>
    <w:rPr>
      <w:rFonts w:eastAsia="宋体"/>
      <w:kern w:val="2"/>
      <w:sz w:val="21"/>
      <w:lang w:val="en-US" w:eastAsia="zh-CN" w:bidi="ar-SA"/>
    </w:rPr>
  </w:style>
  <w:style w:type="character" w:customStyle="1" w:styleId="231">
    <w:name w:val="f141"/>
    <w:qFormat/>
    <w:uiPriority w:val="0"/>
    <w:rPr>
      <w:rFonts w:ascii="Tahoma" w:hAnsi="Tahoma" w:eastAsia="宋体"/>
      <w:b/>
      <w:kern w:val="2"/>
      <w:sz w:val="21"/>
      <w:szCs w:val="21"/>
      <w:lang w:val="en-US" w:eastAsia="zh-CN" w:bidi="ar-SA"/>
    </w:rPr>
  </w:style>
  <w:style w:type="character" w:customStyle="1" w:styleId="232">
    <w:name w:val="myp1111"/>
    <w:qFormat/>
    <w:uiPriority w:val="0"/>
    <w:rPr>
      <w:rFonts w:hint="default" w:ascii="ˎ̥" w:hAnsi="ˎ̥"/>
      <w:color w:val="000000"/>
      <w:sz w:val="20"/>
      <w:szCs w:val="20"/>
      <w:u w:val="none"/>
    </w:rPr>
  </w:style>
  <w:style w:type="character" w:customStyle="1" w:styleId="233">
    <w:name w:val="标书1 Char"/>
    <w:qFormat/>
    <w:uiPriority w:val="0"/>
    <w:rPr>
      <w:rFonts w:eastAsia="宋体"/>
      <w:b/>
      <w:bCs/>
      <w:kern w:val="44"/>
      <w:sz w:val="44"/>
      <w:szCs w:val="44"/>
      <w:lang w:val="en-US" w:eastAsia="zh-CN" w:bidi="ar-SA"/>
    </w:rPr>
  </w:style>
  <w:style w:type="character" w:customStyle="1" w:styleId="234">
    <w:name w:val="链接"/>
    <w:qFormat/>
    <w:uiPriority w:val="0"/>
    <w:rPr>
      <w:color w:val="0000FF"/>
      <w:sz w:val="21"/>
      <w:szCs w:val="21"/>
      <w:u w:val="single"/>
    </w:rPr>
  </w:style>
  <w:style w:type="character" w:customStyle="1" w:styleId="235">
    <w:name w:val="正文首行缩进 Char Char Char Char Char Char"/>
    <w:qFormat/>
    <w:uiPriority w:val="0"/>
    <w:rPr>
      <w:rFonts w:ascii="宋体" w:eastAsia="宋体"/>
      <w:kern w:val="2"/>
      <w:sz w:val="24"/>
      <w:lang w:val="zh-CN" w:bidi="ar-SA"/>
    </w:rPr>
  </w:style>
  <w:style w:type="character" w:customStyle="1" w:styleId="236">
    <w:name w:val="正文2 Char Char"/>
    <w:link w:val="237"/>
    <w:qFormat/>
    <w:uiPriority w:val="0"/>
    <w:rPr>
      <w:rFonts w:eastAsia="宋体"/>
      <w:sz w:val="24"/>
    </w:rPr>
  </w:style>
  <w:style w:type="paragraph" w:customStyle="1" w:styleId="237">
    <w:name w:val="正文2"/>
    <w:basedOn w:val="1"/>
    <w:link w:val="236"/>
    <w:qFormat/>
    <w:uiPriority w:val="0"/>
    <w:pPr>
      <w:adjustRightInd w:val="0"/>
      <w:spacing w:before="156" w:line="360" w:lineRule="auto"/>
      <w:ind w:firstLine="510" w:firstLineChars="200"/>
    </w:pPr>
    <w:rPr>
      <w:rFonts w:eastAsia="宋体"/>
      <w:sz w:val="24"/>
    </w:rPr>
  </w:style>
  <w:style w:type="character" w:customStyle="1" w:styleId="238">
    <w:name w:val="tw4winError"/>
    <w:qFormat/>
    <w:uiPriority w:val="0"/>
    <w:rPr>
      <w:rFonts w:ascii="Courier New" w:hAnsi="Courier New" w:cs="Courier New"/>
      <w:color w:val="00FF00"/>
      <w:sz w:val="40"/>
      <w:szCs w:val="40"/>
    </w:rPr>
  </w:style>
  <w:style w:type="character" w:customStyle="1" w:styleId="239">
    <w:name w:val="正文1 Char1"/>
    <w:qFormat/>
    <w:uiPriority w:val="0"/>
    <w:rPr>
      <w:rFonts w:ascii="仿宋_GB2312" w:hAnsi="Courier New" w:eastAsia="仿宋_GB2312"/>
      <w:kern w:val="28"/>
      <w:sz w:val="24"/>
      <w:szCs w:val="24"/>
      <w:lang w:val="en-US" w:eastAsia="zh-CN"/>
    </w:rPr>
  </w:style>
  <w:style w:type="character" w:customStyle="1" w:styleId="240">
    <w:name w:val="Used by Word for text of Help footnotes Char Char"/>
    <w:qFormat/>
    <w:uiPriority w:val="0"/>
    <w:rPr>
      <w:rFonts w:ascii="Times New Roman" w:hAnsi="Times New Roman" w:eastAsia="宋体" w:cs="Times New Roman"/>
      <w:sz w:val="20"/>
      <w:szCs w:val="20"/>
    </w:rPr>
  </w:style>
  <w:style w:type="character" w:customStyle="1" w:styleId="241">
    <w:name w:val="c7 style3"/>
    <w:qFormat/>
    <w:uiPriority w:val="0"/>
  </w:style>
  <w:style w:type="character" w:customStyle="1" w:styleId="242">
    <w:name w:val="Char Char3111"/>
    <w:qFormat/>
    <w:uiPriority w:val="0"/>
    <w:rPr>
      <w:rFonts w:ascii="Times New Roman" w:hAnsi="Times New Roman" w:eastAsia="宋体" w:cs="Times New Roman"/>
      <w:b/>
      <w:kern w:val="2"/>
      <w:sz w:val="32"/>
      <w:szCs w:val="24"/>
      <w:lang w:val="en-US" w:eastAsia="zh-CN" w:bidi="ar-SA"/>
    </w:rPr>
  </w:style>
  <w:style w:type="character" w:customStyle="1" w:styleId="243">
    <w:name w:val="表正文 Char"/>
    <w:qFormat/>
    <w:uiPriority w:val="0"/>
    <w:rPr>
      <w:rFonts w:ascii="宋体" w:eastAsia="宋体"/>
      <w:snapToGrid w:val="0"/>
      <w:color w:val="000000"/>
      <w:kern w:val="28"/>
      <w:sz w:val="28"/>
      <w:lang w:val="en-US" w:eastAsia="zh-CN" w:bidi="ar-SA"/>
    </w:rPr>
  </w:style>
  <w:style w:type="character" w:customStyle="1" w:styleId="244">
    <w:name w:val="普通文字 Char1 Char"/>
    <w:qFormat/>
    <w:uiPriority w:val="0"/>
    <w:rPr>
      <w:rFonts w:ascii="宋体" w:hAnsi="Courier New" w:eastAsia="宋体"/>
      <w:kern w:val="2"/>
      <w:sz w:val="21"/>
      <w:szCs w:val="24"/>
      <w:lang w:val="en-US" w:eastAsia="zh-CN" w:bidi="ar-SA"/>
    </w:rPr>
  </w:style>
  <w:style w:type="character" w:customStyle="1" w:styleId="245">
    <w:name w:val="pt9"/>
    <w:qFormat/>
    <w:uiPriority w:val="0"/>
    <w:rPr>
      <w:rFonts w:ascii="仿宋_GB2312" w:eastAsia="微软雅黑"/>
      <w:b/>
      <w:kern w:val="2"/>
      <w:sz w:val="32"/>
      <w:szCs w:val="32"/>
      <w:lang w:val="en-US" w:eastAsia="zh-CN" w:bidi="ar-SA"/>
    </w:rPr>
  </w:style>
  <w:style w:type="character" w:customStyle="1" w:styleId="246">
    <w:name w:val="表正文 Char1"/>
    <w:qFormat/>
    <w:uiPriority w:val="0"/>
    <w:rPr>
      <w:rFonts w:ascii="宋体" w:eastAsia="宋体"/>
      <w:snapToGrid w:val="0"/>
      <w:color w:val="000000"/>
      <w:kern w:val="28"/>
      <w:sz w:val="28"/>
    </w:rPr>
  </w:style>
  <w:style w:type="character" w:customStyle="1" w:styleId="247">
    <w:name w:val="正文非缩进 Char"/>
    <w:qFormat/>
    <w:uiPriority w:val="0"/>
    <w:rPr>
      <w:rFonts w:ascii="宋体" w:eastAsia="宋体"/>
      <w:snapToGrid w:val="0"/>
      <w:color w:val="000000"/>
      <w:kern w:val="28"/>
      <w:sz w:val="28"/>
      <w:lang w:val="en-US" w:eastAsia="zh-CN" w:bidi="ar-SA"/>
    </w:rPr>
  </w:style>
  <w:style w:type="character" w:customStyle="1" w:styleId="248">
    <w:name w:val="冯广丽 Char"/>
    <w:link w:val="249"/>
    <w:qFormat/>
    <w:uiPriority w:val="0"/>
    <w:rPr>
      <w:rFonts w:ascii="宋体" w:hAnsi="宋体"/>
      <w:sz w:val="24"/>
    </w:rPr>
  </w:style>
  <w:style w:type="paragraph" w:customStyle="1" w:styleId="249">
    <w:name w:val="冯广丽"/>
    <w:basedOn w:val="1"/>
    <w:link w:val="248"/>
    <w:qFormat/>
    <w:uiPriority w:val="0"/>
    <w:pPr>
      <w:spacing w:line="360" w:lineRule="auto"/>
      <w:ind w:firstLine="480" w:firstLineChars="200"/>
    </w:pPr>
    <w:rPr>
      <w:rFonts w:ascii="宋体" w:hAnsi="宋体"/>
      <w:sz w:val="24"/>
    </w:rPr>
  </w:style>
  <w:style w:type="character" w:customStyle="1" w:styleId="250">
    <w:name w:val="large1"/>
    <w:qFormat/>
    <w:uiPriority w:val="0"/>
    <w:rPr>
      <w:rFonts w:hint="eastAsia" w:ascii="宋体" w:hAnsi="宋体" w:eastAsia="宋体"/>
      <w:sz w:val="21"/>
      <w:szCs w:val="21"/>
    </w:rPr>
  </w:style>
  <w:style w:type="character" w:customStyle="1" w:styleId="251">
    <w:name w:val="样式 样式 标题 4h4H4Fab-4T5Ref Heading 1rh1Heading sqlsect 1.2.3.... +... Char"/>
    <w:link w:val="252"/>
    <w:qFormat/>
    <w:uiPriority w:val="0"/>
    <w:rPr>
      <w:rFonts w:ascii="微软雅黑" w:hAnsi="微软雅黑" w:eastAsia="微软雅黑"/>
      <w:b/>
      <w:bCs/>
      <w:sz w:val="24"/>
      <w:szCs w:val="28"/>
    </w:rPr>
  </w:style>
  <w:style w:type="paragraph" w:customStyle="1" w:styleId="252">
    <w:name w:val="样式 样式 标题 4h4H4Fab-4T5Ref Heading 1rh1Heading sqlsect 1.2.3.... +..."/>
    <w:basedOn w:val="190"/>
    <w:link w:val="251"/>
    <w:qFormat/>
    <w:uiPriority w:val="0"/>
  </w:style>
  <w:style w:type="character" w:customStyle="1" w:styleId="253">
    <w:name w:val="标题 1 Char Char"/>
    <w:qFormat/>
    <w:uiPriority w:val="0"/>
    <w:rPr>
      <w:rFonts w:hint="eastAsia" w:ascii="宋体" w:hAnsi="宋体" w:eastAsia="宋体"/>
      <w:b/>
      <w:spacing w:val="-2"/>
      <w:sz w:val="24"/>
      <w:lang w:val="en-US" w:eastAsia="zh-CN" w:bidi="ar-SA"/>
    </w:rPr>
  </w:style>
  <w:style w:type="character" w:customStyle="1" w:styleId="254">
    <w:name w:val="标题 4 Char1"/>
    <w:qFormat/>
    <w:uiPriority w:val="0"/>
    <w:rPr>
      <w:rFonts w:ascii="Cambria" w:hAnsi="Cambria" w:eastAsia="宋体" w:cs="Times New Roman"/>
      <w:b/>
      <w:bCs/>
      <w:kern w:val="2"/>
      <w:sz w:val="28"/>
      <w:szCs w:val="28"/>
    </w:rPr>
  </w:style>
  <w:style w:type="character" w:customStyle="1" w:styleId="255">
    <w:name w:val="zbggmain style9"/>
    <w:qFormat/>
    <w:uiPriority w:val="0"/>
  </w:style>
  <w:style w:type="character" w:customStyle="1" w:styleId="256">
    <w:name w:val="tw4winMark"/>
    <w:qFormat/>
    <w:uiPriority w:val="0"/>
    <w:rPr>
      <w:rFonts w:ascii="Courier New" w:hAnsi="Courier New" w:cs="Courier New"/>
      <w:vanish/>
      <w:color w:val="800080"/>
      <w:sz w:val="24"/>
      <w:szCs w:val="24"/>
      <w:vertAlign w:val="subscript"/>
    </w:rPr>
  </w:style>
  <w:style w:type="character" w:customStyle="1" w:styleId="257">
    <w:name w:val="tw4winPopup"/>
    <w:qFormat/>
    <w:uiPriority w:val="0"/>
    <w:rPr>
      <w:rFonts w:ascii="Courier New" w:hAnsi="Courier New" w:cs="Courier New"/>
      <w:color w:val="008000"/>
      <w:lang w:val="en-US" w:eastAsia="zh-CN"/>
    </w:rPr>
  </w:style>
  <w:style w:type="character" w:customStyle="1" w:styleId="258">
    <w:name w:val="样式 宋体"/>
    <w:qFormat/>
    <w:uiPriority w:val="0"/>
    <w:rPr>
      <w:rFonts w:ascii="宋体" w:hAnsi="宋体"/>
      <w:sz w:val="24"/>
    </w:rPr>
  </w:style>
  <w:style w:type="character" w:customStyle="1" w:styleId="259">
    <w:name w:val="正文缩进 Char2"/>
    <w:link w:val="16"/>
    <w:qFormat/>
    <w:uiPriority w:val="0"/>
    <w:rPr>
      <w:rFonts w:ascii="宋体" w:eastAsia="宋体"/>
      <w:snapToGrid w:val="0"/>
      <w:color w:val="000000"/>
      <w:kern w:val="28"/>
      <w:sz w:val="28"/>
    </w:rPr>
  </w:style>
  <w:style w:type="character" w:customStyle="1" w:styleId="260">
    <w:name w:val="正文 编号 Char"/>
    <w:qFormat/>
    <w:uiPriority w:val="0"/>
    <w:rPr>
      <w:rFonts w:ascii="仿宋_GB2312" w:hAnsi="仿宋_GB2312" w:eastAsia="仿宋_GB2312"/>
      <w:kern w:val="2"/>
      <w:sz w:val="24"/>
      <w:lang w:bidi="ar-SA"/>
    </w:rPr>
  </w:style>
  <w:style w:type="character" w:customStyle="1" w:styleId="261">
    <w:name w:val="批注文字 Char1"/>
    <w:qFormat/>
    <w:uiPriority w:val="99"/>
    <w:rPr>
      <w:kern w:val="2"/>
      <w:sz w:val="21"/>
      <w:szCs w:val="24"/>
    </w:rPr>
  </w:style>
  <w:style w:type="character" w:customStyle="1" w:styleId="262">
    <w:name w:val="公文正文 Char"/>
    <w:qFormat/>
    <w:uiPriority w:val="0"/>
    <w:rPr>
      <w:rFonts w:ascii="仿宋_GB2312" w:eastAsia="仿宋_GB2312"/>
      <w:kern w:val="2"/>
      <w:sz w:val="24"/>
      <w:szCs w:val="24"/>
      <w:lang w:val="en-US" w:eastAsia="zh-CN" w:bidi="ar-SA"/>
    </w:rPr>
  </w:style>
  <w:style w:type="character" w:customStyle="1" w:styleId="263">
    <w:name w:val="Footer Char"/>
    <w:qFormat/>
    <w:locked/>
    <w:uiPriority w:val="0"/>
    <w:rPr>
      <w:rFonts w:eastAsia="宋体"/>
      <w:kern w:val="2"/>
      <w:sz w:val="18"/>
      <w:lang w:val="en-US" w:eastAsia="zh-CN" w:bidi="ar-SA"/>
    </w:rPr>
  </w:style>
  <w:style w:type="character" w:customStyle="1" w:styleId="264">
    <w:name w:val="Char Char411"/>
    <w:qFormat/>
    <w:uiPriority w:val="0"/>
    <w:rPr>
      <w:rFonts w:eastAsia="宋体"/>
      <w:b/>
      <w:sz w:val="24"/>
      <w:lang w:val="en-GB" w:eastAsia="zh-CN" w:bidi="ar-SA"/>
    </w:rPr>
  </w:style>
  <w:style w:type="character" w:customStyle="1" w:styleId="265">
    <w:name w:val="Char Char911"/>
    <w:qFormat/>
    <w:uiPriority w:val="0"/>
    <w:rPr>
      <w:rFonts w:eastAsia="宋体"/>
      <w:kern w:val="2"/>
      <w:sz w:val="18"/>
      <w:szCs w:val="18"/>
      <w:lang w:val="en-US" w:eastAsia="zh-CN" w:bidi="ar-SA"/>
    </w:rPr>
  </w:style>
  <w:style w:type="character" w:customStyle="1" w:styleId="266">
    <w:name w:val="列出段落 Char"/>
    <w:qFormat/>
    <w:uiPriority w:val="0"/>
    <w:rPr>
      <w:rFonts w:eastAsia="楷体_GB2312" w:cs="Lucida Sans"/>
      <w:kern w:val="2"/>
      <w:sz w:val="24"/>
      <w:szCs w:val="24"/>
      <w:lang w:val="en-US" w:eastAsia="zh-CN" w:bidi="ar-SA"/>
    </w:rPr>
  </w:style>
  <w:style w:type="character" w:customStyle="1" w:styleId="267">
    <w:name w:val="gf正文1 Char"/>
    <w:qFormat/>
    <w:uiPriority w:val="0"/>
    <w:rPr>
      <w:rFonts w:ascii="宋体" w:hAnsi="宋体" w:eastAsia="宋体" w:cs="宋体"/>
      <w:kern w:val="2"/>
      <w:sz w:val="24"/>
      <w:szCs w:val="24"/>
      <w:lang w:val="en-US" w:eastAsia="zh-CN" w:bidi="ar-SA"/>
    </w:rPr>
  </w:style>
  <w:style w:type="character" w:customStyle="1" w:styleId="268">
    <w:name w:val="标书表格字体格式 Char"/>
    <w:qFormat/>
    <w:uiPriority w:val="0"/>
    <w:rPr>
      <w:kern w:val="2"/>
      <w:sz w:val="21"/>
      <w:szCs w:val="24"/>
      <w:lang w:bidi="ar-SA"/>
    </w:rPr>
  </w:style>
  <w:style w:type="character" w:customStyle="1" w:styleId="269">
    <w:name w:val="样式6 Char"/>
    <w:qFormat/>
    <w:uiPriority w:val="0"/>
    <w:rPr>
      <w:rFonts w:ascii="仿宋_GB2312" w:hAnsi="宋体" w:eastAsia="仿宋_GB2312"/>
      <w:b/>
      <w:bCs/>
      <w:kern w:val="2"/>
      <w:sz w:val="24"/>
      <w:szCs w:val="24"/>
      <w:lang w:val="en-US" w:eastAsia="zh-CN" w:bidi="ar-SA"/>
    </w:rPr>
  </w:style>
  <w:style w:type="character" w:customStyle="1" w:styleId="270">
    <w:name w:val="冯 Char"/>
    <w:link w:val="271"/>
    <w:qFormat/>
    <w:uiPriority w:val="0"/>
    <w:rPr>
      <w:rFonts w:ascii="宋体" w:hAnsi="宋体"/>
      <w:color w:val="000000"/>
      <w:sz w:val="24"/>
      <w:szCs w:val="24"/>
    </w:rPr>
  </w:style>
  <w:style w:type="paragraph" w:customStyle="1" w:styleId="271">
    <w:name w:val="冯"/>
    <w:basedOn w:val="1"/>
    <w:link w:val="270"/>
    <w:qFormat/>
    <w:uiPriority w:val="0"/>
    <w:pPr>
      <w:widowControl/>
      <w:spacing w:line="360" w:lineRule="auto"/>
      <w:ind w:firstLine="480" w:firstLineChars="200"/>
    </w:pPr>
    <w:rPr>
      <w:rFonts w:ascii="宋体" w:hAnsi="宋体"/>
      <w:color w:val="000000"/>
      <w:sz w:val="24"/>
      <w:szCs w:val="24"/>
    </w:rPr>
  </w:style>
  <w:style w:type="character" w:customStyle="1" w:styleId="272">
    <w:name w:val="Ò³Ã¼ Char Char1"/>
    <w:qFormat/>
    <w:uiPriority w:val="0"/>
    <w:rPr>
      <w:rFonts w:eastAsia="宋体"/>
      <w:kern w:val="2"/>
      <w:sz w:val="18"/>
      <w:szCs w:val="18"/>
      <w:lang w:val="en-US" w:eastAsia="zh-CN" w:bidi="ar-SA"/>
    </w:rPr>
  </w:style>
  <w:style w:type="character" w:customStyle="1" w:styleId="273">
    <w:name w:val="md"/>
    <w:basedOn w:val="69"/>
    <w:qFormat/>
    <w:uiPriority w:val="0"/>
    <w:rPr>
      <w:rFonts w:ascii="Arial" w:hAnsi="Arial" w:eastAsia="黑体" w:cs="Arial"/>
      <w:snapToGrid w:val="0"/>
      <w:kern w:val="0"/>
      <w:szCs w:val="21"/>
    </w:rPr>
  </w:style>
  <w:style w:type="character" w:customStyle="1" w:styleId="274">
    <w:name w:val="样式5 Char"/>
    <w:qFormat/>
    <w:uiPriority w:val="0"/>
    <w:rPr>
      <w:rFonts w:ascii="仿宋_GB2312" w:hAnsi="仿宋" w:eastAsia="仿宋_GB2312"/>
      <w:kern w:val="2"/>
      <w:sz w:val="24"/>
      <w:szCs w:val="24"/>
    </w:rPr>
  </w:style>
  <w:style w:type="character" w:customStyle="1" w:styleId="275">
    <w:name w:val="表格 Char Char"/>
    <w:qFormat/>
    <w:uiPriority w:val="0"/>
    <w:rPr>
      <w:rFonts w:ascii="宋体" w:hAnsi="宋体" w:eastAsia="宋体"/>
      <w:lang w:bidi="ar-SA"/>
    </w:rPr>
  </w:style>
  <w:style w:type="character" w:customStyle="1" w:styleId="276">
    <w:name w:val="font12gray1"/>
    <w:qFormat/>
    <w:uiPriority w:val="0"/>
    <w:rPr>
      <w:rFonts w:ascii="仿宋_GB2312" w:eastAsia="微软雅黑"/>
      <w:b/>
      <w:spacing w:val="300"/>
      <w:kern w:val="2"/>
      <w:sz w:val="18"/>
      <w:szCs w:val="18"/>
      <w:lang w:val="en-US" w:eastAsia="zh-CN" w:bidi="ar-SA"/>
    </w:rPr>
  </w:style>
  <w:style w:type="character" w:customStyle="1" w:styleId="277">
    <w:name w:val="txt"/>
    <w:qFormat/>
    <w:uiPriority w:val="0"/>
    <w:rPr>
      <w:rFonts w:ascii="仿宋_GB2312" w:eastAsia="微软雅黑"/>
      <w:b/>
      <w:kern w:val="2"/>
      <w:sz w:val="32"/>
      <w:szCs w:val="32"/>
      <w:lang w:val="en-US" w:eastAsia="zh-CN" w:bidi="ar-SA"/>
    </w:rPr>
  </w:style>
  <w:style w:type="character" w:customStyle="1" w:styleId="278">
    <w:name w:val="tw4winJump"/>
    <w:qFormat/>
    <w:uiPriority w:val="0"/>
    <w:rPr>
      <w:rFonts w:ascii="Courier New" w:hAnsi="Courier New" w:cs="Courier New"/>
      <w:color w:val="008080"/>
      <w:lang w:val="en-US" w:eastAsia="zh-CN"/>
    </w:rPr>
  </w:style>
  <w:style w:type="character" w:customStyle="1" w:styleId="279">
    <w:name w:val="Item List Char"/>
    <w:link w:val="280"/>
    <w:qFormat/>
    <w:uiPriority w:val="0"/>
    <w:rPr>
      <w:rFonts w:ascii="Arial"/>
      <w:bCs/>
      <w:szCs w:val="21"/>
    </w:rPr>
  </w:style>
  <w:style w:type="paragraph" w:customStyle="1" w:styleId="280">
    <w:name w:val="Item List"/>
    <w:link w:val="279"/>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81">
    <w:name w:val="Char Char1211"/>
    <w:qFormat/>
    <w:uiPriority w:val="0"/>
    <w:rPr>
      <w:rFonts w:ascii="仿宋_GB2312" w:eastAsia="仿宋_GB2312"/>
      <w:b/>
      <w:bCs/>
      <w:kern w:val="2"/>
      <w:sz w:val="24"/>
      <w:szCs w:val="24"/>
      <w:lang w:val="zh-CN" w:eastAsia="zh-CN" w:bidi="ar-SA"/>
    </w:rPr>
  </w:style>
  <w:style w:type="character" w:customStyle="1" w:styleId="282">
    <w:name w:val="签名 Char1"/>
    <w:basedOn w:val="69"/>
    <w:qFormat/>
    <w:uiPriority w:val="99"/>
    <w:rPr>
      <w:rFonts w:ascii="Times New Roman" w:hAnsi="Times New Roman" w:eastAsia="宋体" w:cs="Times New Roman"/>
      <w:szCs w:val="24"/>
    </w:rPr>
  </w:style>
  <w:style w:type="character" w:customStyle="1" w:styleId="283">
    <w:name w:val="HTML 预设格式 Char1"/>
    <w:basedOn w:val="69"/>
    <w:qFormat/>
    <w:uiPriority w:val="99"/>
    <w:rPr>
      <w:rFonts w:ascii="Courier New" w:hAnsi="Courier New" w:eastAsia="宋体" w:cs="Courier New"/>
      <w:sz w:val="20"/>
      <w:szCs w:val="20"/>
    </w:rPr>
  </w:style>
  <w:style w:type="character" w:customStyle="1" w:styleId="284">
    <w:name w:val="正文文本 2 Char1"/>
    <w:basedOn w:val="69"/>
    <w:link w:val="54"/>
    <w:qFormat/>
    <w:uiPriority w:val="0"/>
    <w:rPr>
      <w:rFonts w:ascii="Times New Roman" w:hAnsi="Times New Roman" w:eastAsia="宋体" w:cs="Times New Roman"/>
      <w:szCs w:val="24"/>
      <w:lang w:val="zh-CN"/>
    </w:rPr>
  </w:style>
  <w:style w:type="character" w:customStyle="1" w:styleId="285">
    <w:name w:val="副标题 Char2"/>
    <w:basedOn w:val="69"/>
    <w:qFormat/>
    <w:uiPriority w:val="0"/>
    <w:rPr>
      <w:rFonts w:eastAsia="宋体" w:asciiTheme="majorHAnsi" w:hAnsiTheme="majorHAnsi" w:cstheme="majorBidi"/>
      <w:b/>
      <w:bCs/>
      <w:kern w:val="28"/>
      <w:sz w:val="32"/>
      <w:szCs w:val="32"/>
    </w:rPr>
  </w:style>
  <w:style w:type="character" w:customStyle="1" w:styleId="286">
    <w:name w:val="纯文本 Char1"/>
    <w:basedOn w:val="69"/>
    <w:link w:val="287"/>
    <w:qFormat/>
    <w:uiPriority w:val="0"/>
    <w:rPr>
      <w:rFonts w:ascii="宋体" w:hAnsi="Courier New" w:eastAsia="宋体" w:cs="Courier New"/>
      <w:szCs w:val="21"/>
    </w:rPr>
  </w:style>
  <w:style w:type="paragraph" w:customStyle="1" w:styleId="287">
    <w:name w:val="纯文本1"/>
    <w:basedOn w:val="1"/>
    <w:link w:val="286"/>
    <w:qFormat/>
    <w:uiPriority w:val="0"/>
    <w:rPr>
      <w:rFonts w:ascii="宋体" w:hAnsi="Courier New" w:eastAsia="宋体" w:cs="Courier New"/>
      <w:szCs w:val="21"/>
    </w:rPr>
  </w:style>
  <w:style w:type="character" w:customStyle="1" w:styleId="288">
    <w:name w:val="HTML 地址 Char1"/>
    <w:basedOn w:val="69"/>
    <w:qFormat/>
    <w:uiPriority w:val="99"/>
    <w:rPr>
      <w:rFonts w:ascii="Times New Roman" w:hAnsi="Times New Roman" w:eastAsia="宋体" w:cs="Times New Roman"/>
      <w:i/>
      <w:iCs/>
      <w:szCs w:val="24"/>
    </w:rPr>
  </w:style>
  <w:style w:type="character" w:customStyle="1" w:styleId="289">
    <w:name w:val="正文文本缩进 3 Char1"/>
    <w:basedOn w:val="69"/>
    <w:semiHidden/>
    <w:qFormat/>
    <w:uiPriority w:val="99"/>
    <w:rPr>
      <w:rFonts w:ascii="Times New Roman" w:hAnsi="Times New Roman" w:eastAsia="宋体" w:cs="Times New Roman"/>
      <w:sz w:val="16"/>
      <w:szCs w:val="16"/>
    </w:rPr>
  </w:style>
  <w:style w:type="character" w:customStyle="1" w:styleId="290">
    <w:name w:val="正文文本 3 Char1"/>
    <w:basedOn w:val="69"/>
    <w:semiHidden/>
    <w:qFormat/>
    <w:uiPriority w:val="99"/>
    <w:rPr>
      <w:rFonts w:ascii="Times New Roman" w:hAnsi="Times New Roman" w:eastAsia="宋体" w:cs="Times New Roman"/>
      <w:sz w:val="16"/>
      <w:szCs w:val="16"/>
    </w:rPr>
  </w:style>
  <w:style w:type="character" w:customStyle="1" w:styleId="291">
    <w:name w:val="脚注文本 Char1"/>
    <w:basedOn w:val="69"/>
    <w:qFormat/>
    <w:uiPriority w:val="99"/>
    <w:rPr>
      <w:rFonts w:ascii="Times New Roman" w:hAnsi="Times New Roman" w:eastAsia="宋体" w:cs="Times New Roman"/>
      <w:sz w:val="18"/>
      <w:szCs w:val="18"/>
    </w:rPr>
  </w:style>
  <w:style w:type="character" w:customStyle="1" w:styleId="292">
    <w:name w:val="正文文本缩进 Char2"/>
    <w:basedOn w:val="69"/>
    <w:link w:val="17"/>
    <w:qFormat/>
    <w:uiPriority w:val="0"/>
    <w:rPr>
      <w:rFonts w:ascii="Times New Roman" w:hAnsi="Times New Roman" w:eastAsia="宋体" w:cs="Times New Roman"/>
      <w:szCs w:val="24"/>
    </w:rPr>
  </w:style>
  <w:style w:type="character" w:customStyle="1" w:styleId="293">
    <w:name w:val="正文首行缩进 2 Char1"/>
    <w:basedOn w:val="292"/>
    <w:qFormat/>
    <w:uiPriority w:val="99"/>
    <w:rPr>
      <w:rFonts w:ascii="Times New Roman" w:hAnsi="Times New Roman" w:eastAsia="宋体" w:cs="Times New Roman"/>
      <w:szCs w:val="24"/>
    </w:rPr>
  </w:style>
  <w:style w:type="character" w:customStyle="1" w:styleId="294">
    <w:name w:val="批注文字 Char2"/>
    <w:basedOn w:val="69"/>
    <w:link w:val="21"/>
    <w:qFormat/>
    <w:uiPriority w:val="99"/>
    <w:rPr>
      <w:rFonts w:ascii="Times New Roman" w:hAnsi="Times New Roman" w:eastAsia="宋体" w:cs="Times New Roman"/>
      <w:szCs w:val="24"/>
    </w:rPr>
  </w:style>
  <w:style w:type="character" w:customStyle="1" w:styleId="295">
    <w:name w:val="批注主题 Char1"/>
    <w:basedOn w:val="294"/>
    <w:link w:val="59"/>
    <w:qFormat/>
    <w:uiPriority w:val="0"/>
    <w:rPr>
      <w:rFonts w:ascii="Times New Roman" w:hAnsi="Times New Roman" w:eastAsia="宋体" w:cs="Times New Roman"/>
      <w:b/>
      <w:bCs/>
      <w:szCs w:val="24"/>
      <w:lang w:val="zh-CN"/>
    </w:rPr>
  </w:style>
  <w:style w:type="character" w:customStyle="1" w:styleId="296">
    <w:name w:val="日期 Char1"/>
    <w:basedOn w:val="69"/>
    <w:semiHidden/>
    <w:qFormat/>
    <w:uiPriority w:val="99"/>
    <w:rPr>
      <w:rFonts w:ascii="Times New Roman" w:hAnsi="Times New Roman" w:eastAsia="宋体" w:cs="Times New Roman"/>
      <w:szCs w:val="24"/>
    </w:rPr>
  </w:style>
  <w:style w:type="character" w:customStyle="1" w:styleId="297">
    <w:name w:val="称呼 Char1"/>
    <w:basedOn w:val="69"/>
    <w:qFormat/>
    <w:uiPriority w:val="99"/>
    <w:rPr>
      <w:rFonts w:ascii="Times New Roman" w:hAnsi="Times New Roman" w:eastAsia="宋体" w:cs="Times New Roman"/>
      <w:szCs w:val="24"/>
    </w:rPr>
  </w:style>
  <w:style w:type="character" w:customStyle="1" w:styleId="298">
    <w:name w:val="正文文本 Char2"/>
    <w:basedOn w:val="69"/>
    <w:semiHidden/>
    <w:qFormat/>
    <w:uiPriority w:val="99"/>
    <w:rPr>
      <w:rFonts w:ascii="Times New Roman" w:hAnsi="Times New Roman" w:eastAsia="宋体" w:cs="Times New Roman"/>
      <w:szCs w:val="24"/>
    </w:rPr>
  </w:style>
  <w:style w:type="character" w:customStyle="1" w:styleId="299">
    <w:name w:val="文档结构图 Char1"/>
    <w:basedOn w:val="69"/>
    <w:link w:val="20"/>
    <w:qFormat/>
    <w:uiPriority w:val="0"/>
    <w:rPr>
      <w:rFonts w:ascii="Times New Roman" w:hAnsi="Times New Roman" w:eastAsia="宋体" w:cs="Times New Roman"/>
      <w:szCs w:val="24"/>
      <w:shd w:val="clear" w:color="auto" w:fill="000080"/>
      <w:lang w:val="zh-CN"/>
    </w:rPr>
  </w:style>
  <w:style w:type="character" w:customStyle="1" w:styleId="300">
    <w:name w:val="标题 Char1"/>
    <w:basedOn w:val="69"/>
    <w:link w:val="58"/>
    <w:qFormat/>
    <w:uiPriority w:val="0"/>
    <w:rPr>
      <w:rFonts w:ascii="Times New Roman" w:hAnsi="Times New Roman" w:eastAsia="宋体" w:cs="Times New Roman"/>
      <w:b/>
      <w:kern w:val="0"/>
      <w:sz w:val="24"/>
      <w:szCs w:val="20"/>
      <w:lang w:val="en-GB"/>
    </w:rPr>
  </w:style>
  <w:style w:type="character" w:customStyle="1" w:styleId="301">
    <w:name w:val="正文首行缩进 Char1"/>
    <w:basedOn w:val="298"/>
    <w:semiHidden/>
    <w:qFormat/>
    <w:uiPriority w:val="99"/>
    <w:rPr>
      <w:rFonts w:ascii="Times New Roman" w:hAnsi="Times New Roman" w:eastAsia="宋体" w:cs="Times New Roman"/>
      <w:szCs w:val="24"/>
    </w:rPr>
  </w:style>
  <w:style w:type="character" w:customStyle="1" w:styleId="302">
    <w:name w:val="批注框文本 Char1"/>
    <w:basedOn w:val="69"/>
    <w:semiHidden/>
    <w:qFormat/>
    <w:uiPriority w:val="99"/>
    <w:rPr>
      <w:rFonts w:ascii="Times New Roman" w:hAnsi="Times New Roman" w:eastAsia="宋体" w:cs="Times New Roman"/>
      <w:sz w:val="18"/>
      <w:szCs w:val="18"/>
    </w:rPr>
  </w:style>
  <w:style w:type="character" w:customStyle="1" w:styleId="303">
    <w:name w:val="正文文本缩进 2 Char1"/>
    <w:basedOn w:val="69"/>
    <w:semiHidden/>
    <w:qFormat/>
    <w:uiPriority w:val="99"/>
    <w:rPr>
      <w:rFonts w:ascii="Times New Roman" w:hAnsi="Times New Roman" w:eastAsia="宋体" w:cs="Times New Roman"/>
      <w:szCs w:val="24"/>
    </w:rPr>
  </w:style>
  <w:style w:type="paragraph" w:customStyle="1" w:styleId="304">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306">
    <w:name w:val="4"/>
    <w:basedOn w:val="1"/>
    <w:next w:val="36"/>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7">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8">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10">
    <w:name w:val="默认段落样式"/>
    <w:basedOn w:val="237"/>
    <w:qFormat/>
    <w:uiPriority w:val="0"/>
    <w:pPr>
      <w:spacing w:before="0"/>
      <w:ind w:firstLine="480"/>
      <w:outlineLvl w:val="2"/>
    </w:pPr>
    <w:rPr>
      <w:rFonts w:ascii="仿宋_GB2312" w:hAnsi="宋体" w:eastAsia="仿宋_GB2312"/>
      <w:color w:val="000000"/>
      <w:szCs w:val="24"/>
    </w:rPr>
  </w:style>
  <w:style w:type="paragraph" w:customStyle="1" w:styleId="311">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12">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1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14">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7">
    <w:name w:val="文章标题"/>
    <w:next w:val="31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8">
    <w:name w:val="封面公司名"/>
    <w:qFormat/>
    <w:uiPriority w:val="0"/>
    <w:pPr>
      <w:jc w:val="center"/>
    </w:pPr>
    <w:rPr>
      <w:rFonts w:ascii="Arial" w:hAnsi="Arial" w:eastAsia="楷体_GB2312" w:cs="宋体"/>
      <w:bCs/>
      <w:kern w:val="2"/>
      <w:sz w:val="28"/>
      <w:lang w:val="en-US" w:eastAsia="zh-CN" w:bidi="ar-SA"/>
    </w:rPr>
  </w:style>
  <w:style w:type="paragraph" w:customStyle="1" w:styleId="31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20">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21">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22">
    <w:name w:val="模板普通正文"/>
    <w:basedOn w:val="17"/>
    <w:qFormat/>
    <w:uiPriority w:val="0"/>
    <w:pPr>
      <w:adjustRightInd/>
      <w:spacing w:before="156" w:beforeLines="50" w:after="10" w:line="360" w:lineRule="auto"/>
      <w:ind w:left="0" w:leftChars="0" w:firstLine="175" w:firstLineChars="175"/>
      <w:jc w:val="left"/>
    </w:pPr>
    <w:rPr>
      <w:sz w:val="24"/>
      <w:lang w:val="zh-CN"/>
    </w:rPr>
  </w:style>
  <w:style w:type="paragraph" w:customStyle="1" w:styleId="323">
    <w:name w:val="trademark"/>
    <w:qFormat/>
    <w:uiPriority w:val="0"/>
    <w:pPr>
      <w:spacing w:after="60"/>
    </w:pPr>
    <w:rPr>
      <w:rFonts w:ascii="Futura Bk" w:hAnsi="Futura Bk" w:eastAsia="宋体" w:cs="Times New Roman"/>
      <w:sz w:val="15"/>
      <w:lang w:val="en-US" w:eastAsia="en-US" w:bidi="ar-SA"/>
    </w:rPr>
  </w:style>
  <w:style w:type="paragraph" w:customStyle="1" w:styleId="32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5">
    <w:name w:val="Char3"/>
    <w:basedOn w:val="1"/>
    <w:qFormat/>
    <w:uiPriority w:val="0"/>
    <w:rPr>
      <w:rFonts w:ascii="仿宋_GB2312" w:hAnsi="Times New Roman" w:eastAsia="仿宋_GB2312" w:cs="Times New Roman"/>
      <w:b/>
      <w:sz w:val="32"/>
      <w:szCs w:val="32"/>
    </w:rPr>
  </w:style>
  <w:style w:type="paragraph" w:customStyle="1" w:styleId="326">
    <w:name w:val="默认段落字体 Para Char"/>
    <w:basedOn w:val="1"/>
    <w:qFormat/>
    <w:uiPriority w:val="0"/>
    <w:pPr>
      <w:adjustRightInd w:val="0"/>
    </w:pPr>
    <w:rPr>
      <w:rFonts w:ascii="Tahoma" w:hAnsi="Tahoma" w:eastAsia="宋体" w:cs="Times New Roman"/>
      <w:sz w:val="24"/>
      <w:szCs w:val="20"/>
    </w:rPr>
  </w:style>
  <w:style w:type="paragraph" w:customStyle="1" w:styleId="327">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8">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30">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31">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32">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33">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34">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5">
    <w:name w:val="正文缩进1"/>
    <w:basedOn w:val="1"/>
    <w:next w:val="17"/>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6">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7">
    <w:name w:val="Char311"/>
    <w:basedOn w:val="1"/>
    <w:qFormat/>
    <w:uiPriority w:val="0"/>
    <w:pPr>
      <w:ind w:firstLine="200" w:firstLineChars="200"/>
    </w:pPr>
    <w:rPr>
      <w:rFonts w:ascii="Tahoma" w:hAnsi="Tahoma" w:eastAsia="宋体" w:cs="Times New Roman"/>
      <w:sz w:val="24"/>
      <w:szCs w:val="20"/>
    </w:rPr>
  </w:style>
  <w:style w:type="paragraph" w:customStyle="1" w:styleId="3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9">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4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41">
    <w:name w:val="彩色列表 - 强调文字颜色 11"/>
    <w:basedOn w:val="1"/>
    <w:qFormat/>
    <w:uiPriority w:val="0"/>
    <w:pPr>
      <w:ind w:firstLine="420" w:firstLineChars="200"/>
    </w:pPr>
    <w:rPr>
      <w:rFonts w:ascii="Calibri" w:hAnsi="Calibri" w:eastAsia="宋体" w:cs="Times New Roman"/>
    </w:rPr>
  </w:style>
  <w:style w:type="paragraph" w:customStyle="1" w:styleId="342">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43">
    <w:name w:val="MM Topic 3"/>
    <w:basedOn w:val="5"/>
    <w:qFormat/>
    <w:uiPriority w:val="0"/>
    <w:pPr>
      <w:numPr>
        <w:numId w:val="5"/>
      </w:numPr>
      <w:tabs>
        <w:tab w:val="left" w:pos="840"/>
        <w:tab w:val="left" w:pos="1680"/>
      </w:tabs>
      <w:adjustRightInd/>
    </w:pPr>
  </w:style>
  <w:style w:type="paragraph" w:customStyle="1" w:styleId="344">
    <w:name w:val="Normal0"/>
    <w:qFormat/>
    <w:uiPriority w:val="0"/>
    <w:rPr>
      <w:rFonts w:ascii="Times New Roman" w:hAnsi="Times New Roman" w:eastAsia="宋体" w:cs="Times New Roman"/>
      <w:lang w:val="en-US" w:eastAsia="en-US" w:bidi="ar-SA"/>
    </w:rPr>
  </w:style>
  <w:style w:type="paragraph" w:customStyle="1" w:styleId="345">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6">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8">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50">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51">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52">
    <w:name w:val="Char2"/>
    <w:basedOn w:val="1"/>
    <w:qFormat/>
    <w:uiPriority w:val="0"/>
    <w:pPr>
      <w:adjustRightInd w:val="0"/>
    </w:pPr>
    <w:rPr>
      <w:rFonts w:ascii="仿宋_GB2312" w:hAnsi="Times New Roman" w:eastAsia="仿宋_GB2312" w:cs="Times New Roman"/>
      <w:b/>
      <w:sz w:val="32"/>
      <w:szCs w:val="32"/>
    </w:rPr>
  </w:style>
  <w:style w:type="paragraph" w:customStyle="1" w:styleId="353">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54">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5">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35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7">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8">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9">
    <w:name w:val="Char Char Char"/>
    <w:basedOn w:val="1"/>
    <w:qFormat/>
    <w:uiPriority w:val="0"/>
    <w:pPr>
      <w:adjustRightInd w:val="0"/>
    </w:pPr>
    <w:rPr>
      <w:rFonts w:ascii="Tahoma" w:hAnsi="Tahoma" w:eastAsia="宋体" w:cs="Times New Roman"/>
      <w:sz w:val="24"/>
      <w:szCs w:val="20"/>
    </w:rPr>
  </w:style>
  <w:style w:type="paragraph" w:customStyle="1" w:styleId="360">
    <w:name w:val="MM Topic 4"/>
    <w:basedOn w:val="6"/>
    <w:qFormat/>
    <w:uiPriority w:val="0"/>
    <w:pPr>
      <w:numPr>
        <w:numId w:val="5"/>
      </w:numPr>
      <w:tabs>
        <w:tab w:val="left" w:pos="840"/>
        <w:tab w:val="left" w:pos="2100"/>
        <w:tab w:val="clear" w:pos="864"/>
      </w:tabs>
      <w:adjustRightInd/>
    </w:pPr>
    <w:rPr>
      <w:lang w:val="en-US"/>
    </w:rPr>
  </w:style>
  <w:style w:type="paragraph" w:customStyle="1" w:styleId="361">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62">
    <w:name w:val="MM Topic 2"/>
    <w:basedOn w:val="4"/>
    <w:qFormat/>
    <w:uiPriority w:val="0"/>
    <w:pPr>
      <w:numPr>
        <w:ilvl w:val="1"/>
        <w:numId w:val="5"/>
      </w:numPr>
    </w:pPr>
    <w:rPr>
      <w:rFonts w:ascii="Arial" w:hAnsi="Arial" w:eastAsia="黑体"/>
      <w:lang w:val="en-US"/>
    </w:rPr>
  </w:style>
  <w:style w:type="paragraph" w:customStyle="1" w:styleId="363">
    <w:name w:val="表格标题2"/>
    <w:basedOn w:val="364"/>
    <w:qFormat/>
    <w:uiPriority w:val="0"/>
    <w:rPr>
      <w:b/>
    </w:rPr>
  </w:style>
  <w:style w:type="paragraph" w:customStyle="1" w:styleId="364">
    <w:name w:val="表格内文"/>
    <w:basedOn w:val="1"/>
    <w:qFormat/>
    <w:uiPriority w:val="0"/>
    <w:pPr>
      <w:spacing w:line="360" w:lineRule="auto"/>
    </w:pPr>
    <w:rPr>
      <w:rFonts w:ascii="宋体" w:hAnsi="宋体" w:eastAsia="宋体" w:cs="宋体"/>
      <w:color w:val="000000"/>
      <w:szCs w:val="20"/>
    </w:rPr>
  </w:style>
  <w:style w:type="paragraph" w:customStyle="1" w:styleId="365">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6">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7">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8">
    <w:name w:val="Char Char Char Char Char Char Char Char Char Char Char1 Char"/>
    <w:basedOn w:val="1"/>
    <w:qFormat/>
    <w:uiPriority w:val="0"/>
    <w:rPr>
      <w:rFonts w:ascii="Tahoma" w:hAnsi="Tahoma" w:eastAsia="宋体" w:cs="Times New Roman"/>
      <w:sz w:val="24"/>
      <w:szCs w:val="24"/>
    </w:rPr>
  </w:style>
  <w:style w:type="paragraph" w:customStyle="1" w:styleId="369">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0">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71">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72">
    <w:name w:val="Char"/>
    <w:basedOn w:val="1"/>
    <w:qFormat/>
    <w:uiPriority w:val="0"/>
    <w:pPr>
      <w:adjustRightInd w:val="0"/>
    </w:pPr>
    <w:rPr>
      <w:rFonts w:ascii="仿宋_GB2312" w:hAnsi="Times New Roman" w:eastAsia="仿宋_GB2312" w:cs="Times New Roman"/>
      <w:b/>
      <w:sz w:val="32"/>
      <w:szCs w:val="32"/>
    </w:rPr>
  </w:style>
  <w:style w:type="paragraph" w:customStyle="1" w:styleId="37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74">
    <w:name w:val="正文（首行缩进）"/>
    <w:basedOn w:val="17"/>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5">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6">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7">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80">
    <w:name w:val="段"/>
    <w:link w:val="88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82">
    <w:name w:val="样式 正文文本缩进 + 左侧:  2 字符 首行缩进:  2 字符"/>
    <w:basedOn w:val="17"/>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83">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4">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5">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6">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7">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8">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9">
    <w:name w:val="公文正文"/>
    <w:basedOn w:val="1"/>
    <w:link w:val="787"/>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9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1">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92">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93">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4">
    <w:name w:val="列出段落2"/>
    <w:basedOn w:val="1"/>
    <w:qFormat/>
    <w:uiPriority w:val="0"/>
    <w:pPr>
      <w:ind w:firstLine="420" w:firstLineChars="200"/>
    </w:pPr>
    <w:rPr>
      <w:rFonts w:ascii="宋体" w:hAnsi="宋体" w:eastAsia="宋体" w:cs="Times New Roman"/>
      <w:sz w:val="24"/>
      <w:szCs w:val="24"/>
    </w:rPr>
  </w:style>
  <w:style w:type="paragraph" w:customStyle="1" w:styleId="395">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6">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7">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9">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40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401">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402">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03">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5">
    <w:name w:val="表文字"/>
    <w:qFormat/>
    <w:uiPriority w:val="0"/>
    <w:rPr>
      <w:rFonts w:ascii="宋体" w:hAnsi="Times New Roman" w:eastAsia="宋体" w:cs="Times New Roman"/>
      <w:kern w:val="2"/>
      <w:lang w:val="en-US" w:eastAsia="zh-CN" w:bidi="ar-SA"/>
    </w:rPr>
  </w:style>
  <w:style w:type="paragraph" w:customStyle="1" w:styleId="406">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7">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8">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9">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10">
    <w:name w:val="数字标题5"/>
    <w:basedOn w:val="7"/>
    <w:next w:val="1"/>
    <w:qFormat/>
    <w:uiPriority w:val="0"/>
    <w:pPr>
      <w:numPr>
        <w:numId w:val="6"/>
      </w:numPr>
      <w:tabs>
        <w:tab w:val="left" w:pos="480"/>
        <w:tab w:val="left" w:pos="1080"/>
      </w:tabs>
    </w:pPr>
  </w:style>
  <w:style w:type="paragraph" w:customStyle="1" w:styleId="411">
    <w:name w:val="Char1111"/>
    <w:basedOn w:val="1"/>
    <w:qFormat/>
    <w:uiPriority w:val="0"/>
    <w:pPr>
      <w:adjustRightInd w:val="0"/>
    </w:pPr>
    <w:rPr>
      <w:rFonts w:ascii="仿宋_GB2312" w:hAnsi="Times New Roman" w:eastAsia="仿宋_GB2312" w:cs="Times New Roman"/>
      <w:b/>
      <w:sz w:val="32"/>
      <w:szCs w:val="32"/>
    </w:rPr>
  </w:style>
  <w:style w:type="paragraph" w:customStyle="1" w:styleId="412">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1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14">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5">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6">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7">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8">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9">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20">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21">
    <w:name w:val="Char1 Char Char Char3"/>
    <w:basedOn w:val="1"/>
    <w:qFormat/>
    <w:uiPriority w:val="0"/>
    <w:pPr>
      <w:ind w:firstLine="200" w:firstLineChars="200"/>
    </w:pPr>
    <w:rPr>
      <w:rFonts w:ascii="Tahoma" w:hAnsi="Tahoma" w:eastAsia="宋体" w:cs="Times New Roman"/>
      <w:sz w:val="24"/>
      <w:szCs w:val="20"/>
    </w:rPr>
  </w:style>
  <w:style w:type="paragraph" w:customStyle="1" w:styleId="42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23">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4">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5">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6">
    <w:name w:val="MM Topic 5"/>
    <w:basedOn w:val="7"/>
    <w:qFormat/>
    <w:uiPriority w:val="0"/>
    <w:pPr>
      <w:numPr>
        <w:numId w:val="5"/>
      </w:numPr>
      <w:tabs>
        <w:tab w:val="left" w:pos="840"/>
        <w:tab w:val="left" w:pos="2520"/>
      </w:tabs>
      <w:adjustRightInd/>
    </w:pPr>
  </w:style>
  <w:style w:type="paragraph" w:customStyle="1" w:styleId="4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8">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9">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30">
    <w:name w:val="Char1 Char Char Char2"/>
    <w:basedOn w:val="1"/>
    <w:qFormat/>
    <w:uiPriority w:val="0"/>
    <w:pPr>
      <w:ind w:firstLine="200" w:firstLineChars="200"/>
    </w:pPr>
    <w:rPr>
      <w:rFonts w:ascii="Tahoma" w:hAnsi="Tahoma" w:eastAsia="宋体" w:cs="Times New Roman"/>
      <w:sz w:val="24"/>
      <w:szCs w:val="20"/>
    </w:rPr>
  </w:style>
  <w:style w:type="paragraph" w:customStyle="1" w:styleId="431">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32">
    <w:name w:val="Char1 Char Char Char"/>
    <w:basedOn w:val="1"/>
    <w:qFormat/>
    <w:uiPriority w:val="0"/>
    <w:pPr>
      <w:adjustRightInd w:val="0"/>
    </w:pPr>
    <w:rPr>
      <w:rFonts w:ascii="Tahoma" w:hAnsi="Tahoma" w:eastAsia="宋体" w:cs="Times New Roman"/>
      <w:sz w:val="24"/>
      <w:szCs w:val="20"/>
    </w:rPr>
  </w:style>
  <w:style w:type="paragraph" w:customStyle="1" w:styleId="433">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4">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5">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6">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7">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8">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40">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41">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2">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43">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4">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5">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7">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8">
    <w:name w:val="数字标题6"/>
    <w:basedOn w:val="8"/>
    <w:next w:val="1"/>
    <w:qFormat/>
    <w:uiPriority w:val="0"/>
    <w:pPr>
      <w:numPr>
        <w:numId w:val="6"/>
      </w:numPr>
      <w:tabs>
        <w:tab w:val="left" w:pos="480"/>
        <w:tab w:val="left" w:pos="1080"/>
      </w:tabs>
    </w:pPr>
    <w:rPr>
      <w:rFonts w:ascii="Times New Roman" w:hAnsi="Times New Roman" w:eastAsia="宋体"/>
      <w:i/>
    </w:rPr>
  </w:style>
  <w:style w:type="paragraph" w:customStyle="1" w:styleId="449">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0">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51">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52">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53">
    <w:name w:val="正文文字 2"/>
    <w:basedOn w:val="83"/>
    <w:next w:val="83"/>
    <w:qFormat/>
    <w:uiPriority w:val="0"/>
    <w:rPr>
      <w:rFonts w:ascii="宋体" w:eastAsia="宋体"/>
      <w:color w:val="auto"/>
    </w:rPr>
  </w:style>
  <w:style w:type="paragraph" w:customStyle="1" w:styleId="454">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5">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6">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7">
    <w:name w:val="_Style 12"/>
    <w:basedOn w:val="20"/>
    <w:qFormat/>
    <w:uiPriority w:val="0"/>
    <w:pPr>
      <w:snapToGrid w:val="0"/>
      <w:spacing w:line="360" w:lineRule="auto"/>
    </w:pPr>
  </w:style>
  <w:style w:type="paragraph" w:customStyle="1" w:styleId="45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9">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60">
    <w:name w:val="Char2 Char Char"/>
    <w:basedOn w:val="1"/>
    <w:qFormat/>
    <w:uiPriority w:val="0"/>
    <w:rPr>
      <w:rFonts w:ascii="Tahoma" w:hAnsi="Tahoma" w:eastAsia="宋体" w:cs="Times New Roman"/>
      <w:sz w:val="24"/>
      <w:szCs w:val="20"/>
    </w:rPr>
  </w:style>
  <w:style w:type="paragraph" w:customStyle="1" w:styleId="461">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62">
    <w:name w:val="MM Empty"/>
    <w:basedOn w:val="1"/>
    <w:qFormat/>
    <w:uiPriority w:val="0"/>
    <w:rPr>
      <w:rFonts w:ascii="Times New Roman" w:hAnsi="Times New Roman" w:eastAsia="宋体" w:cs="Times New Roman"/>
      <w:szCs w:val="24"/>
    </w:rPr>
  </w:style>
  <w:style w:type="paragraph" w:customStyle="1" w:styleId="463">
    <w:name w:val="正文表标题"/>
    <w:next w:val="38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4">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6">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7">
    <w:name w:val="Char2 Char Char11"/>
    <w:basedOn w:val="1"/>
    <w:qFormat/>
    <w:uiPriority w:val="0"/>
    <w:rPr>
      <w:rFonts w:ascii="Tahoma" w:hAnsi="Tahoma" w:eastAsia="宋体" w:cs="Times New Roman"/>
      <w:sz w:val="24"/>
      <w:szCs w:val="20"/>
    </w:rPr>
  </w:style>
  <w:style w:type="paragraph" w:customStyle="1" w:styleId="468">
    <w:name w:val="数字标题3"/>
    <w:basedOn w:val="5"/>
    <w:next w:val="1"/>
    <w:qFormat/>
    <w:uiPriority w:val="0"/>
    <w:pPr>
      <w:numPr>
        <w:numId w:val="0"/>
      </w:numPr>
      <w:spacing w:line="240" w:lineRule="auto"/>
    </w:pPr>
    <w:rPr>
      <w:sz w:val="28"/>
      <w:szCs w:val="28"/>
    </w:rPr>
  </w:style>
  <w:style w:type="paragraph" w:customStyle="1" w:styleId="469">
    <w:name w:val="彩色列表 - 强调文字颜色 12"/>
    <w:basedOn w:val="1"/>
    <w:qFormat/>
    <w:uiPriority w:val="0"/>
    <w:pPr>
      <w:ind w:firstLine="420" w:firstLineChars="200"/>
    </w:pPr>
    <w:rPr>
      <w:rFonts w:ascii="Calibri" w:hAnsi="Calibri" w:eastAsia="宋体" w:cs="Times New Roman"/>
    </w:rPr>
  </w:style>
  <w:style w:type="paragraph" w:customStyle="1" w:styleId="47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7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72">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73">
    <w:name w:val="Char Char Char1 Char"/>
    <w:basedOn w:val="1"/>
    <w:qFormat/>
    <w:uiPriority w:val="0"/>
    <w:pPr>
      <w:adjustRightInd w:val="0"/>
    </w:pPr>
    <w:rPr>
      <w:rFonts w:ascii="Times New Roman" w:hAnsi="Times New Roman" w:eastAsia="宋体" w:cs="Times New Roman"/>
      <w:szCs w:val="20"/>
    </w:rPr>
  </w:style>
  <w:style w:type="paragraph" w:customStyle="1" w:styleId="474">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5">
    <w:name w:val="正文文字缩进项目"/>
    <w:basedOn w:val="17"/>
    <w:qFormat/>
    <w:uiPriority w:val="0"/>
    <w:pPr>
      <w:tabs>
        <w:tab w:val="left" w:pos="840"/>
      </w:tabs>
      <w:adjustRightInd/>
      <w:ind w:left="0" w:leftChars="0" w:hanging="420"/>
    </w:pPr>
    <w:rPr>
      <w:rFonts w:ascii="Tahoma" w:hAnsi="Tahoma"/>
      <w:sz w:val="22"/>
      <w:szCs w:val="20"/>
      <w:lang w:val="zh-CN"/>
    </w:rPr>
  </w:style>
  <w:style w:type="paragraph" w:customStyle="1" w:styleId="476">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7">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8">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9">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80">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81">
    <w:name w:val="数字标题2"/>
    <w:basedOn w:val="4"/>
    <w:next w:val="1"/>
    <w:qFormat/>
    <w:uiPriority w:val="0"/>
    <w:pPr>
      <w:numPr>
        <w:ilvl w:val="1"/>
        <w:numId w:val="6"/>
      </w:numPr>
    </w:pPr>
    <w:rPr>
      <w:rFonts w:ascii="Times New Roman" w:eastAsia="宋体"/>
      <w:i/>
      <w:sz w:val="36"/>
      <w:szCs w:val="36"/>
      <w:lang w:val="en-US"/>
    </w:rPr>
  </w:style>
  <w:style w:type="paragraph" w:customStyle="1" w:styleId="482">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83">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6">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7">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8">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9">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90">
    <w:name w:val="标书表格字体格式"/>
    <w:next w:val="340"/>
    <w:qFormat/>
    <w:uiPriority w:val="0"/>
    <w:rPr>
      <w:rFonts w:ascii="Times New Roman" w:hAnsi="Times New Roman" w:eastAsia="宋体" w:cs="Times New Roman"/>
      <w:kern w:val="2"/>
      <w:sz w:val="21"/>
      <w:szCs w:val="24"/>
      <w:lang w:val="en-US" w:eastAsia="zh-CN" w:bidi="ar-SA"/>
    </w:rPr>
  </w:style>
  <w:style w:type="paragraph" w:customStyle="1" w:styleId="491">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9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93">
    <w:name w:val="五级条标题"/>
    <w:basedOn w:val="494"/>
    <w:next w:val="380"/>
    <w:qFormat/>
    <w:uiPriority w:val="0"/>
    <w:pPr>
      <w:numPr>
        <w:ilvl w:val="6"/>
      </w:numPr>
      <w:tabs>
        <w:tab w:val="left" w:pos="1260"/>
        <w:tab w:val="left" w:pos="1680"/>
        <w:tab w:val="left" w:pos="2100"/>
        <w:tab w:val="left" w:pos="2520"/>
        <w:tab w:val="left" w:pos="2940"/>
      </w:tabs>
      <w:outlineLvl w:val="6"/>
    </w:pPr>
  </w:style>
  <w:style w:type="paragraph" w:customStyle="1" w:styleId="494">
    <w:name w:val="四级条标题"/>
    <w:basedOn w:val="495"/>
    <w:next w:val="380"/>
    <w:qFormat/>
    <w:uiPriority w:val="0"/>
    <w:pPr>
      <w:numPr>
        <w:ilvl w:val="5"/>
        <w:numId w:val="5"/>
      </w:numPr>
      <w:tabs>
        <w:tab w:val="left" w:pos="1260"/>
        <w:tab w:val="left" w:pos="1680"/>
        <w:tab w:val="left" w:pos="2100"/>
        <w:tab w:val="left" w:pos="2520"/>
      </w:tabs>
      <w:outlineLvl w:val="5"/>
    </w:pPr>
  </w:style>
  <w:style w:type="paragraph" w:customStyle="1" w:styleId="495">
    <w:name w:val="三级条标题"/>
    <w:basedOn w:val="496"/>
    <w:next w:val="380"/>
    <w:qFormat/>
    <w:uiPriority w:val="0"/>
    <w:pPr>
      <w:tabs>
        <w:tab w:val="left" w:pos="1260"/>
        <w:tab w:val="left" w:pos="1680"/>
        <w:tab w:val="left" w:pos="2100"/>
        <w:tab w:val="left" w:pos="2520"/>
      </w:tabs>
      <w:ind w:left="2520"/>
      <w:outlineLvl w:val="4"/>
    </w:pPr>
  </w:style>
  <w:style w:type="paragraph" w:customStyle="1" w:styleId="496">
    <w:name w:val="二级条标题"/>
    <w:basedOn w:val="497"/>
    <w:next w:val="380"/>
    <w:qFormat/>
    <w:uiPriority w:val="0"/>
    <w:pPr>
      <w:tabs>
        <w:tab w:val="left" w:pos="1260"/>
        <w:tab w:val="left" w:pos="1680"/>
        <w:tab w:val="left" w:pos="2100"/>
      </w:tabs>
      <w:ind w:left="0"/>
      <w:outlineLvl w:val="3"/>
    </w:pPr>
  </w:style>
  <w:style w:type="paragraph" w:customStyle="1" w:styleId="497">
    <w:name w:val="一级条标题"/>
    <w:basedOn w:val="498"/>
    <w:next w:val="380"/>
    <w:qFormat/>
    <w:uiPriority w:val="0"/>
    <w:pPr>
      <w:tabs>
        <w:tab w:val="left" w:pos="1260"/>
        <w:tab w:val="left" w:pos="1680"/>
      </w:tabs>
      <w:spacing w:before="0" w:beforeLines="0" w:after="0" w:afterLines="0"/>
      <w:ind w:left="1680"/>
      <w:outlineLvl w:val="2"/>
    </w:pPr>
  </w:style>
  <w:style w:type="paragraph" w:customStyle="1" w:styleId="498">
    <w:name w:val="章标题"/>
    <w:next w:val="38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9">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500">
    <w:name w:val="普通正文"/>
    <w:basedOn w:val="1"/>
    <w:link w:val="904"/>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501">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02">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03">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4">
    <w:name w:val="数字标题1"/>
    <w:basedOn w:val="3"/>
    <w:next w:val="1"/>
    <w:qFormat/>
    <w:uiPriority w:val="0"/>
    <w:pPr>
      <w:numPr>
        <w:numId w:val="6"/>
      </w:numPr>
      <w:tabs>
        <w:tab w:val="left" w:pos="480"/>
      </w:tabs>
    </w:pPr>
  </w:style>
  <w:style w:type="paragraph" w:customStyle="1" w:styleId="505">
    <w:name w:val="正文 项目2"/>
    <w:basedOn w:val="406"/>
    <w:qFormat/>
    <w:uiPriority w:val="0"/>
    <w:pPr>
      <w:numPr>
        <w:ilvl w:val="0"/>
        <w:numId w:val="7"/>
      </w:numPr>
      <w:tabs>
        <w:tab w:val="clear" w:pos="840"/>
      </w:tabs>
      <w:spacing w:after="0"/>
    </w:pPr>
  </w:style>
  <w:style w:type="paragraph" w:customStyle="1" w:styleId="506">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7">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9">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1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1">
    <w:name w:val="Char Char Char1 Char11"/>
    <w:basedOn w:val="1"/>
    <w:qFormat/>
    <w:uiPriority w:val="0"/>
    <w:pPr>
      <w:adjustRightInd w:val="0"/>
    </w:pPr>
    <w:rPr>
      <w:rFonts w:ascii="Times New Roman" w:hAnsi="Times New Roman" w:eastAsia="宋体" w:cs="Times New Roman"/>
      <w:szCs w:val="20"/>
    </w:rPr>
  </w:style>
  <w:style w:type="paragraph" w:customStyle="1" w:styleId="512">
    <w:name w:val="Char1 Char Char Char4"/>
    <w:basedOn w:val="1"/>
    <w:qFormat/>
    <w:uiPriority w:val="0"/>
    <w:pPr>
      <w:ind w:firstLine="200" w:firstLineChars="200"/>
    </w:pPr>
    <w:rPr>
      <w:rFonts w:ascii="Tahoma" w:hAnsi="Tahoma" w:eastAsia="宋体" w:cs="Times New Roman"/>
      <w:sz w:val="24"/>
      <w:szCs w:val="20"/>
    </w:rPr>
  </w:style>
  <w:style w:type="paragraph" w:customStyle="1" w:styleId="513">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4">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5">
    <w:name w:val="样式1"/>
    <w:basedOn w:val="1"/>
    <w:link w:val="887"/>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6">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7">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8">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9">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20">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2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22">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3">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4">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5">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6">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7">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8">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30">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1">
    <w:name w:val="Table Text"/>
    <w:basedOn w:val="1"/>
    <w:link w:val="852"/>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32">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3">
    <w:name w:val="Char231"/>
    <w:basedOn w:val="1"/>
    <w:qFormat/>
    <w:uiPriority w:val="0"/>
    <w:pPr>
      <w:adjustRightInd w:val="0"/>
    </w:pPr>
    <w:rPr>
      <w:rFonts w:ascii="仿宋_GB2312" w:hAnsi="Times New Roman" w:eastAsia="仿宋_GB2312" w:cs="Times New Roman"/>
      <w:b/>
      <w:sz w:val="32"/>
      <w:szCs w:val="32"/>
    </w:rPr>
  </w:style>
  <w:style w:type="paragraph" w:customStyle="1" w:styleId="534">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5">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6">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7">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8">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9">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40">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41">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42">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3">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6">
    <w:name w:val="四号　首行缩进"/>
    <w:basedOn w:val="1"/>
    <w:qFormat/>
    <w:uiPriority w:val="0"/>
    <w:pPr>
      <w:spacing w:line="360" w:lineRule="auto"/>
    </w:pPr>
    <w:rPr>
      <w:rFonts w:ascii="宋体" w:hAnsi="宋体" w:eastAsia="宋体" w:cs="Times New Roman"/>
      <w:szCs w:val="20"/>
    </w:rPr>
  </w:style>
  <w:style w:type="paragraph" w:customStyle="1" w:styleId="547">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48">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9">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5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1">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52">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3">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4">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5">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6">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7">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8">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9">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60">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61">
    <w:name w:val="Char41"/>
    <w:basedOn w:val="1"/>
    <w:qFormat/>
    <w:uiPriority w:val="0"/>
    <w:pPr>
      <w:adjustRightInd w:val="0"/>
    </w:pPr>
    <w:rPr>
      <w:rFonts w:ascii="仿宋_GB2312" w:hAnsi="Times New Roman" w:eastAsia="仿宋_GB2312" w:cs="Times New Roman"/>
      <w:b/>
      <w:sz w:val="32"/>
      <w:szCs w:val="32"/>
    </w:rPr>
  </w:style>
  <w:style w:type="paragraph" w:customStyle="1" w:styleId="5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3">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4">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5">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7">
    <w:name w:val="MM Topic 1"/>
    <w:basedOn w:val="3"/>
    <w:qFormat/>
    <w:uiPriority w:val="0"/>
    <w:pPr>
      <w:numPr>
        <w:numId w:val="0"/>
      </w:numPr>
      <w:tabs>
        <w:tab w:val="left" w:pos="840"/>
      </w:tabs>
      <w:adjustRightInd/>
      <w:ind w:left="840" w:hanging="420"/>
    </w:pPr>
  </w:style>
  <w:style w:type="paragraph" w:customStyle="1" w:styleId="568">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9">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70">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71">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72">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74">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5">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6">
    <w:name w:val="Char1 Char Char Char1"/>
    <w:basedOn w:val="1"/>
    <w:qFormat/>
    <w:uiPriority w:val="0"/>
    <w:pPr>
      <w:ind w:firstLine="200" w:firstLineChars="200"/>
    </w:pPr>
    <w:rPr>
      <w:rFonts w:ascii="Tahoma" w:hAnsi="Tahoma" w:eastAsia="宋体" w:cs="Times New Roman"/>
      <w:sz w:val="24"/>
      <w:szCs w:val="20"/>
    </w:rPr>
  </w:style>
  <w:style w:type="paragraph" w:customStyle="1" w:styleId="577">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8">
    <w:name w:val="正文段"/>
    <w:basedOn w:val="1"/>
    <w:link w:val="674"/>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9">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80">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81">
    <w:name w:val="样式 样式2 + 左侧:  1 字符 右侧:  1 字符"/>
    <w:basedOn w:val="51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83">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4">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5">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6">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7">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8">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9">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90">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91">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9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3">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94">
    <w:name w:val="样式7"/>
    <w:basedOn w:val="402"/>
    <w:next w:val="1"/>
    <w:qFormat/>
    <w:uiPriority w:val="0"/>
    <w:pPr>
      <w:spacing w:after="156" w:afterLines="50"/>
      <w:jc w:val="left"/>
      <w:outlineLvl w:val="3"/>
    </w:pPr>
    <w:rPr>
      <w:sz w:val="24"/>
      <w:szCs w:val="24"/>
    </w:rPr>
  </w:style>
  <w:style w:type="paragraph" w:customStyle="1" w:styleId="59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6">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7">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8">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9">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600">
    <w:name w:val="正文文字表格居中"/>
    <w:basedOn w:val="1"/>
    <w:next w:val="54"/>
    <w:qFormat/>
    <w:uiPriority w:val="0"/>
    <w:pPr>
      <w:adjustRightInd w:val="0"/>
      <w:snapToGrid w:val="0"/>
      <w:spacing w:line="360" w:lineRule="auto"/>
    </w:pPr>
    <w:rPr>
      <w:rFonts w:ascii="宋体" w:hAnsi="Times New Roman" w:eastAsia="宋体" w:cs="Times New Roman"/>
      <w:b/>
      <w:sz w:val="24"/>
      <w:szCs w:val="20"/>
    </w:rPr>
  </w:style>
  <w:style w:type="paragraph" w:customStyle="1" w:styleId="601">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602">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3">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4">
    <w:name w:val="Thf"/>
    <w:basedOn w:val="545"/>
    <w:qFormat/>
    <w:uiPriority w:val="0"/>
    <w:pPr>
      <w:ind w:left="0"/>
    </w:pPr>
  </w:style>
  <w:style w:type="paragraph" w:customStyle="1" w:styleId="605">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7">
    <w:name w:val="Char19"/>
    <w:basedOn w:val="1"/>
    <w:qFormat/>
    <w:uiPriority w:val="0"/>
    <w:rPr>
      <w:rFonts w:ascii="Times New Roman" w:hAnsi="Times New Roman" w:eastAsia="宋体" w:cs="Times New Roman"/>
      <w:szCs w:val="20"/>
    </w:rPr>
  </w:style>
  <w:style w:type="paragraph" w:customStyle="1" w:styleId="608">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9">
    <w:name w:val="样式3"/>
    <w:basedOn w:val="516"/>
    <w:qFormat/>
    <w:uiPriority w:val="0"/>
    <w:pPr>
      <w:spacing w:before="312" w:beforeLines="100"/>
      <w:jc w:val="left"/>
    </w:pPr>
  </w:style>
  <w:style w:type="paragraph" w:customStyle="1" w:styleId="610">
    <w:name w:val="首行缩进"/>
    <w:basedOn w:val="1"/>
    <w:next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11">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1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3">
    <w:name w:val="样式 标题 4PIM 4H4h4bulletblbbH41H42H43H44H45H46H47H48...1"/>
    <w:basedOn w:val="6"/>
    <w:qFormat/>
    <w:uiPriority w:val="0"/>
    <w:pPr>
      <w:widowControl/>
      <w:jc w:val="left"/>
    </w:pPr>
    <w:rPr>
      <w:rFonts w:cs="宋体"/>
      <w:sz w:val="24"/>
      <w:szCs w:val="20"/>
    </w:rPr>
  </w:style>
  <w:style w:type="paragraph" w:customStyle="1" w:styleId="614">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5">
    <w:name w:val="样式 正文缩进 + 首行缩进:  2 字符"/>
    <w:basedOn w:val="16"/>
    <w:link w:val="677"/>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6">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7">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8">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9">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20">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21">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22">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3">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4">
    <w:name w:val="p0"/>
    <w:basedOn w:val="1"/>
    <w:qFormat/>
    <w:uiPriority w:val="0"/>
    <w:pPr>
      <w:widowControl/>
    </w:pPr>
    <w:rPr>
      <w:rFonts w:ascii="Times New Roman" w:hAnsi="Times New Roman" w:eastAsia="宋体" w:cs="Times New Roman"/>
      <w:kern w:val="0"/>
      <w:szCs w:val="21"/>
    </w:rPr>
  </w:style>
  <w:style w:type="paragraph" w:customStyle="1" w:styleId="625">
    <w:name w:val="修订1"/>
    <w:qFormat/>
    <w:uiPriority w:val="3"/>
    <w:rPr>
      <w:rFonts w:ascii="Times New Roman" w:hAnsi="Times New Roman" w:eastAsia="宋体" w:cs="Times New Roman"/>
      <w:kern w:val="2"/>
      <w:sz w:val="21"/>
      <w:lang w:val="en-US" w:eastAsia="zh-CN" w:bidi="ar-SA"/>
    </w:rPr>
  </w:style>
  <w:style w:type="paragraph" w:customStyle="1" w:styleId="626">
    <w:name w:val="gf正文1"/>
    <w:basedOn w:val="1"/>
    <w:link w:val="790"/>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7">
    <w:name w:val="表格文字"/>
    <w:basedOn w:val="1"/>
    <w:next w:val="16"/>
    <w:qFormat/>
    <w:uiPriority w:val="0"/>
    <w:pPr>
      <w:ind w:firstLine="200" w:firstLineChars="200"/>
    </w:pPr>
    <w:rPr>
      <w:rFonts w:ascii="Arial" w:hAnsi="Arial" w:eastAsia="宋体" w:cs="Times New Roman"/>
      <w:spacing w:val="-5"/>
      <w:kern w:val="0"/>
      <w:sz w:val="24"/>
      <w:szCs w:val="20"/>
    </w:rPr>
  </w:style>
  <w:style w:type="paragraph" w:customStyle="1" w:styleId="628">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9">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1">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32">
    <w:name w:val="CM14"/>
    <w:basedOn w:val="83"/>
    <w:next w:val="83"/>
    <w:qFormat/>
    <w:uiPriority w:val="0"/>
    <w:pPr>
      <w:spacing w:after="68"/>
    </w:pPr>
    <w:rPr>
      <w:rFonts w:ascii="FHLHE E+ Futura Bk" w:eastAsia="FHLHE E+ Futura Bk"/>
      <w:color w:val="auto"/>
    </w:rPr>
  </w:style>
  <w:style w:type="paragraph" w:customStyle="1" w:styleId="633">
    <w:name w:val="Char Char Char Char2"/>
    <w:basedOn w:val="1"/>
    <w:qFormat/>
    <w:uiPriority w:val="0"/>
    <w:pPr>
      <w:adjustRightInd w:val="0"/>
    </w:pPr>
    <w:rPr>
      <w:rFonts w:ascii="Tahoma" w:hAnsi="Tahoma" w:eastAsia="宋体" w:cs="Times New Roman"/>
      <w:sz w:val="24"/>
      <w:szCs w:val="20"/>
    </w:rPr>
  </w:style>
  <w:style w:type="paragraph" w:customStyle="1" w:styleId="634">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5">
    <w:name w:val="样式1 + (中宋体"/>
    <w:basedOn w:val="5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6">
    <w:name w:val="标准正文"/>
    <w:basedOn w:val="1"/>
    <w:link w:val="876"/>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7">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8">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6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40">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41">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42">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3">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4">
    <w:name w:val="Char1 Char Char Char5"/>
    <w:basedOn w:val="1"/>
    <w:qFormat/>
    <w:uiPriority w:val="0"/>
    <w:pPr>
      <w:ind w:firstLine="200" w:firstLineChars="200"/>
    </w:pPr>
    <w:rPr>
      <w:rFonts w:ascii="Tahoma" w:hAnsi="Tahoma" w:eastAsia="宋体" w:cs="Times New Roman"/>
      <w:sz w:val="24"/>
      <w:szCs w:val="20"/>
    </w:rPr>
  </w:style>
  <w:style w:type="paragraph" w:customStyle="1" w:styleId="64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7">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纯文本_0_0"/>
    <w:basedOn w:val="648"/>
    <w:link w:val="650"/>
    <w:qFormat/>
    <w:uiPriority w:val="0"/>
    <w:rPr>
      <w:rFonts w:ascii="宋体" w:hAnsi="Courier New"/>
      <w:szCs w:val="21"/>
    </w:rPr>
  </w:style>
  <w:style w:type="character" w:customStyle="1" w:styleId="650">
    <w:name w:val="纯文本 Char_0"/>
    <w:link w:val="649"/>
    <w:qFormat/>
    <w:uiPriority w:val="0"/>
    <w:rPr>
      <w:rFonts w:ascii="宋体" w:hAnsi="Courier New" w:eastAsia="宋体" w:cs="Times New Roman"/>
      <w:szCs w:val="21"/>
    </w:rPr>
  </w:style>
  <w:style w:type="paragraph" w:customStyle="1" w:styleId="651">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52">
    <w:name w:val="Char Char34"/>
    <w:qFormat/>
    <w:uiPriority w:val="6"/>
    <w:rPr>
      <w:b/>
      <w:kern w:val="1"/>
      <w:sz w:val="28"/>
      <w:szCs w:val="28"/>
    </w:rPr>
  </w:style>
  <w:style w:type="character" w:customStyle="1" w:styleId="653">
    <w:name w:val="Char Char22"/>
    <w:qFormat/>
    <w:uiPriority w:val="6"/>
    <w:rPr>
      <w:rFonts w:ascii="宋体" w:hAnsi="宋体"/>
      <w:kern w:val="1"/>
      <w:sz w:val="24"/>
      <w:szCs w:val="24"/>
    </w:rPr>
  </w:style>
  <w:style w:type="character" w:customStyle="1" w:styleId="654">
    <w:name w:val="Char Char141"/>
    <w:qFormat/>
    <w:uiPriority w:val="0"/>
    <w:rPr>
      <w:rFonts w:ascii="黑体" w:hAnsi="黑体" w:eastAsia="黑体"/>
    </w:rPr>
  </w:style>
  <w:style w:type="character" w:customStyle="1" w:styleId="655">
    <w:name w:val="Char Char61"/>
    <w:qFormat/>
    <w:uiPriority w:val="6"/>
    <w:rPr>
      <w:rFonts w:eastAsia="宋体"/>
      <w:kern w:val="2"/>
      <w:sz w:val="21"/>
      <w:szCs w:val="24"/>
      <w:lang w:val="en-US" w:eastAsia="zh-CN" w:bidi="ar-SA"/>
    </w:rPr>
  </w:style>
  <w:style w:type="character" w:customStyle="1" w:styleId="656">
    <w:name w:val="Char Char24"/>
    <w:qFormat/>
    <w:uiPriority w:val="6"/>
    <w:rPr>
      <w:kern w:val="1"/>
      <w:sz w:val="21"/>
    </w:rPr>
  </w:style>
  <w:style w:type="character" w:customStyle="1" w:styleId="657">
    <w:name w:val="Heading 1 Char"/>
    <w:qFormat/>
    <w:uiPriority w:val="6"/>
    <w:rPr>
      <w:rFonts w:ascii="Times New Roman" w:hAnsi="Times New Roman" w:eastAsia="黑体" w:cs="Times New Roman"/>
      <w:b/>
      <w:kern w:val="0"/>
      <w:sz w:val="24"/>
      <w:szCs w:val="24"/>
    </w:rPr>
  </w:style>
  <w:style w:type="character" w:customStyle="1" w:styleId="658">
    <w:name w:val="Char Char19"/>
    <w:qFormat/>
    <w:uiPriority w:val="0"/>
    <w:rPr>
      <w:rFonts w:ascii="宋体" w:hAnsi="宋体"/>
      <w:i/>
      <w:sz w:val="24"/>
      <w:szCs w:val="24"/>
    </w:rPr>
  </w:style>
  <w:style w:type="character" w:customStyle="1" w:styleId="659">
    <w:name w:val="纯文本 Char2"/>
    <w:semiHidden/>
    <w:qFormat/>
    <w:uiPriority w:val="99"/>
    <w:rPr>
      <w:rFonts w:ascii="宋体" w:hAnsi="Courier New" w:eastAsia="宋体" w:cs="Courier New"/>
    </w:rPr>
  </w:style>
  <w:style w:type="character" w:customStyle="1" w:styleId="660">
    <w:name w:val="Char Char32"/>
    <w:qFormat/>
    <w:uiPriority w:val="6"/>
    <w:rPr>
      <w:b/>
      <w:kern w:val="1"/>
      <w:sz w:val="24"/>
      <w:szCs w:val="24"/>
    </w:rPr>
  </w:style>
  <w:style w:type="character" w:customStyle="1" w:styleId="661">
    <w:name w:val="Char Char36"/>
    <w:qFormat/>
    <w:uiPriority w:val="6"/>
    <w:rPr>
      <w:rFonts w:ascii="仿宋_GB2312" w:hAnsi="仿宋_GB2312" w:eastAsia="仿宋_GB2312" w:cs="Arial"/>
      <w:b/>
      <w:kern w:val="1"/>
      <w:sz w:val="32"/>
      <w:szCs w:val="32"/>
      <w:lang w:val="zh-CN" w:eastAsia="zh-CN" w:bidi="ar-SA"/>
    </w:rPr>
  </w:style>
  <w:style w:type="character" w:customStyle="1" w:styleId="662">
    <w:name w:val="Char Char101"/>
    <w:qFormat/>
    <w:uiPriority w:val="6"/>
    <w:rPr>
      <w:rFonts w:ascii="宋体" w:hAnsi="宋体"/>
      <w:kern w:val="2"/>
      <w:sz w:val="21"/>
      <w:szCs w:val="24"/>
      <w:lang w:val="en-US" w:eastAsia="zh-CN"/>
    </w:rPr>
  </w:style>
  <w:style w:type="character" w:customStyle="1" w:styleId="663">
    <w:name w:val="Char Char17"/>
    <w:qFormat/>
    <w:uiPriority w:val="0"/>
    <w:rPr>
      <w:rFonts w:eastAsia="仿宋_GB2312"/>
      <w:sz w:val="24"/>
    </w:rPr>
  </w:style>
  <w:style w:type="character" w:customStyle="1" w:styleId="664">
    <w:name w:val="Char Char121"/>
    <w:qFormat/>
    <w:uiPriority w:val="6"/>
    <w:rPr>
      <w:rFonts w:ascii="仿宋_GB2312" w:eastAsia="仿宋_GB2312"/>
      <w:b/>
      <w:bCs/>
      <w:kern w:val="2"/>
      <w:sz w:val="24"/>
      <w:szCs w:val="24"/>
      <w:lang w:val="zh-CN" w:eastAsia="zh-CN" w:bidi="ar-SA"/>
    </w:rPr>
  </w:style>
  <w:style w:type="character" w:customStyle="1" w:styleId="665">
    <w:name w:val="Char Char91"/>
    <w:qFormat/>
    <w:uiPriority w:val="0"/>
    <w:rPr>
      <w:rFonts w:eastAsia="宋体"/>
      <w:kern w:val="2"/>
      <w:sz w:val="18"/>
      <w:szCs w:val="18"/>
      <w:lang w:val="en-US" w:eastAsia="zh-CN" w:bidi="ar-SA"/>
    </w:rPr>
  </w:style>
  <w:style w:type="character" w:customStyle="1" w:styleId="666">
    <w:name w:val="param-name"/>
    <w:qFormat/>
    <w:uiPriority w:val="99"/>
    <w:rPr>
      <w:rFonts w:ascii="Arial" w:hAnsi="Arial" w:eastAsia="黑体" w:cs="Arial"/>
      <w:snapToGrid/>
      <w:kern w:val="0"/>
      <w:szCs w:val="21"/>
    </w:rPr>
  </w:style>
  <w:style w:type="character" w:customStyle="1" w:styleId="667">
    <w:name w:val="Char Char31"/>
    <w:qFormat/>
    <w:uiPriority w:val="6"/>
    <w:rPr>
      <w:rFonts w:ascii="Arial" w:hAnsi="Arial" w:eastAsia="黑体"/>
      <w:kern w:val="1"/>
      <w:sz w:val="24"/>
      <w:szCs w:val="24"/>
    </w:rPr>
  </w:style>
  <w:style w:type="character" w:customStyle="1" w:styleId="668">
    <w:name w:val="Char Char27"/>
    <w:qFormat/>
    <w:uiPriority w:val="6"/>
    <w:rPr>
      <w:rFonts w:ascii="宋体" w:hAnsi="宋体" w:eastAsia="宋体"/>
      <w:color w:val="000000"/>
      <w:kern w:val="1"/>
      <w:sz w:val="28"/>
      <w:lang w:val="en-US" w:eastAsia="zh-CN" w:bidi="ar-SA"/>
    </w:rPr>
  </w:style>
  <w:style w:type="character" w:customStyle="1" w:styleId="669">
    <w:name w:val="Char Char16"/>
    <w:qFormat/>
    <w:uiPriority w:val="6"/>
    <w:rPr>
      <w:kern w:val="1"/>
      <w:sz w:val="18"/>
      <w:szCs w:val="18"/>
    </w:rPr>
  </w:style>
  <w:style w:type="character" w:customStyle="1" w:styleId="670">
    <w:name w:val="页眉 Char2"/>
    <w:qFormat/>
    <w:uiPriority w:val="0"/>
    <w:rPr>
      <w:kern w:val="2"/>
      <w:sz w:val="18"/>
      <w:szCs w:val="18"/>
    </w:rPr>
  </w:style>
  <w:style w:type="character" w:customStyle="1" w:styleId="671">
    <w:name w:val="表格名称[858D7CFB-ED40-4347-BF05-701D383B685F]"/>
    <w:link w:val="672"/>
    <w:qFormat/>
    <w:uiPriority w:val="0"/>
    <w:rPr>
      <w:sz w:val="32"/>
    </w:rPr>
  </w:style>
  <w:style w:type="paragraph" w:customStyle="1" w:styleId="672">
    <w:name w:val="表格名称"/>
    <w:basedOn w:val="4"/>
    <w:link w:val="671"/>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3">
    <w:name w:val="Char Char41"/>
    <w:qFormat/>
    <w:uiPriority w:val="0"/>
    <w:rPr>
      <w:rFonts w:eastAsia="宋体"/>
      <w:b/>
      <w:sz w:val="24"/>
      <w:lang w:val="en-GB" w:eastAsia="zh-CN" w:bidi="ar-SA"/>
    </w:rPr>
  </w:style>
  <w:style w:type="character" w:customStyle="1" w:styleId="674">
    <w:name w:val="正文段 Char"/>
    <w:link w:val="578"/>
    <w:qFormat/>
    <w:uiPriority w:val="0"/>
    <w:rPr>
      <w:rFonts w:ascii="Times New Roman" w:hAnsi="Times New Roman" w:eastAsia="宋体" w:cs="Times New Roman"/>
      <w:kern w:val="0"/>
      <w:sz w:val="24"/>
      <w:szCs w:val="20"/>
      <w:lang w:val="zh-CN"/>
    </w:rPr>
  </w:style>
  <w:style w:type="character" w:customStyle="1" w:styleId="675">
    <w:name w:val="Char Char29"/>
    <w:qFormat/>
    <w:uiPriority w:val="6"/>
    <w:rPr>
      <w:rFonts w:ascii="Arial" w:hAnsi="Arial" w:eastAsia="微软雅黑"/>
      <w:b/>
      <w:kern w:val="1"/>
      <w:sz w:val="44"/>
      <w:szCs w:val="32"/>
      <w:lang w:val="en-US" w:eastAsia="zh-CN" w:bidi="ar-SA"/>
    </w:rPr>
  </w:style>
  <w:style w:type="character" w:customStyle="1" w:styleId="676">
    <w:name w:val="Char Char211"/>
    <w:qFormat/>
    <w:uiPriority w:val="0"/>
    <w:rPr>
      <w:rFonts w:eastAsia="宋体"/>
      <w:b/>
      <w:bCs/>
      <w:kern w:val="2"/>
      <w:sz w:val="21"/>
      <w:szCs w:val="24"/>
      <w:lang w:val="en-US" w:eastAsia="zh-CN" w:bidi="ar-SA"/>
    </w:rPr>
  </w:style>
  <w:style w:type="character" w:customStyle="1" w:styleId="677">
    <w:name w:val="样式 正文缩进 + 首行缩进:  2 字符 Char Char"/>
    <w:link w:val="615"/>
    <w:qFormat/>
    <w:uiPriority w:val="0"/>
    <w:rPr>
      <w:rFonts w:ascii="Times New Roman" w:eastAsia="宋体"/>
      <w:sz w:val="24"/>
      <w:lang w:val="zh-CN"/>
    </w:rPr>
  </w:style>
  <w:style w:type="character" w:customStyle="1" w:styleId="678">
    <w:name w:val="Char Char131"/>
    <w:qFormat/>
    <w:uiPriority w:val="0"/>
    <w:rPr>
      <w:rFonts w:ascii="宋体" w:hAnsi="宋体"/>
      <w:kern w:val="1"/>
      <w:sz w:val="21"/>
      <w:szCs w:val="24"/>
    </w:rPr>
  </w:style>
  <w:style w:type="character" w:customStyle="1" w:styleId="679">
    <w:name w:val="Char Char33"/>
    <w:qFormat/>
    <w:uiPriority w:val="6"/>
    <w:rPr>
      <w:rFonts w:ascii="Arial" w:hAnsi="Arial" w:eastAsia="黑体"/>
      <w:b/>
      <w:kern w:val="1"/>
      <w:sz w:val="24"/>
      <w:szCs w:val="24"/>
    </w:rPr>
  </w:style>
  <w:style w:type="character" w:customStyle="1" w:styleId="680">
    <w:name w:val="正文说明 Char"/>
    <w:link w:val="681"/>
    <w:qFormat/>
    <w:uiPriority w:val="0"/>
    <w:rPr>
      <w:sz w:val="24"/>
      <w:szCs w:val="24"/>
    </w:rPr>
  </w:style>
  <w:style w:type="paragraph" w:customStyle="1" w:styleId="681">
    <w:name w:val="正文说明"/>
    <w:basedOn w:val="1"/>
    <w:link w:val="680"/>
    <w:qFormat/>
    <w:uiPriority w:val="0"/>
    <w:pPr>
      <w:spacing w:line="360" w:lineRule="auto"/>
    </w:pPr>
    <w:rPr>
      <w:sz w:val="24"/>
      <w:szCs w:val="24"/>
    </w:rPr>
  </w:style>
  <w:style w:type="character" w:customStyle="1" w:styleId="682">
    <w:name w:val="页脚 Char2"/>
    <w:qFormat/>
    <w:locked/>
    <w:uiPriority w:val="0"/>
    <w:rPr>
      <w:kern w:val="2"/>
      <w:sz w:val="18"/>
      <w:szCs w:val="18"/>
    </w:rPr>
  </w:style>
  <w:style w:type="character" w:customStyle="1" w:styleId="683">
    <w:name w:val="Char Char711"/>
    <w:qFormat/>
    <w:uiPriority w:val="0"/>
    <w:rPr>
      <w:rFonts w:eastAsia="宋体"/>
      <w:kern w:val="2"/>
      <w:sz w:val="21"/>
      <w:szCs w:val="24"/>
      <w:lang w:val="en-US" w:eastAsia="zh-CN" w:bidi="ar-SA"/>
    </w:rPr>
  </w:style>
  <w:style w:type="character" w:customStyle="1" w:styleId="684">
    <w:name w:val="Char Char21"/>
    <w:qFormat/>
    <w:uiPriority w:val="6"/>
    <w:rPr>
      <w:rFonts w:ascii="宋体" w:hAnsi="宋体"/>
      <w:kern w:val="1"/>
      <w:sz w:val="24"/>
      <w:szCs w:val="21"/>
      <w:lang w:val="zh-CN"/>
    </w:rPr>
  </w:style>
  <w:style w:type="character" w:customStyle="1" w:styleId="685">
    <w:name w:val="Char Char281"/>
    <w:qFormat/>
    <w:uiPriority w:val="6"/>
    <w:rPr>
      <w:rFonts w:ascii="仿宋_GB2312" w:hAnsi="仿宋_GB2312" w:eastAsia="仿宋_GB2312"/>
      <w:kern w:val="1"/>
      <w:sz w:val="28"/>
    </w:rPr>
  </w:style>
  <w:style w:type="character" w:customStyle="1" w:styleId="686">
    <w:name w:val="Char Char30"/>
    <w:qFormat/>
    <w:uiPriority w:val="6"/>
    <w:rPr>
      <w:rFonts w:ascii="Arial" w:hAnsi="Arial" w:eastAsia="黑体"/>
      <w:kern w:val="1"/>
      <w:sz w:val="21"/>
      <w:szCs w:val="21"/>
    </w:rPr>
  </w:style>
  <w:style w:type="character" w:customStyle="1" w:styleId="687">
    <w:name w:val="question-title2"/>
    <w:qFormat/>
    <w:uiPriority w:val="6"/>
    <w:rPr>
      <w:rFonts w:ascii="Arial" w:hAnsi="Arial" w:eastAsia="黑体" w:cs="Arial"/>
      <w:snapToGrid/>
      <w:kern w:val="0"/>
      <w:szCs w:val="21"/>
    </w:rPr>
  </w:style>
  <w:style w:type="character" w:customStyle="1" w:styleId="688">
    <w:name w:val="Char Char20"/>
    <w:qFormat/>
    <w:uiPriority w:val="6"/>
    <w:rPr>
      <w:kern w:val="1"/>
      <w:sz w:val="24"/>
    </w:rPr>
  </w:style>
  <w:style w:type="character" w:customStyle="1" w:styleId="689">
    <w:name w:val="Char Char311"/>
    <w:qFormat/>
    <w:uiPriority w:val="0"/>
    <w:rPr>
      <w:rFonts w:eastAsia="宋体"/>
      <w:kern w:val="2"/>
      <w:sz w:val="21"/>
      <w:szCs w:val="24"/>
      <w:lang w:val="en-US" w:eastAsia="zh-CN" w:bidi="ar-SA"/>
    </w:rPr>
  </w:style>
  <w:style w:type="character" w:customStyle="1" w:styleId="690">
    <w:name w:val="Char Char15"/>
    <w:qFormat/>
    <w:uiPriority w:val="0"/>
    <w:rPr>
      <w:rFonts w:ascii="宋体" w:hAnsi="宋体"/>
      <w:kern w:val="1"/>
      <w:sz w:val="21"/>
    </w:rPr>
  </w:style>
  <w:style w:type="character" w:customStyle="1" w:styleId="691">
    <w:name w:val="Char Char26"/>
    <w:qFormat/>
    <w:uiPriority w:val="6"/>
    <w:rPr>
      <w:kern w:val="1"/>
      <w:sz w:val="21"/>
      <w:szCs w:val="24"/>
    </w:rPr>
  </w:style>
  <w:style w:type="character" w:customStyle="1" w:styleId="692">
    <w:name w:val="Char Char51"/>
    <w:qFormat/>
    <w:uiPriority w:val="0"/>
    <w:rPr>
      <w:rFonts w:ascii="宋体" w:hAnsi="Courier New" w:eastAsia="宋体"/>
      <w:kern w:val="2"/>
      <w:sz w:val="21"/>
      <w:lang w:val="en-US" w:eastAsia="zh-CN"/>
    </w:rPr>
  </w:style>
  <w:style w:type="character" w:customStyle="1" w:styleId="693">
    <w:name w:val="Char Char71"/>
    <w:semiHidden/>
    <w:qFormat/>
    <w:uiPriority w:val="0"/>
    <w:rPr>
      <w:rFonts w:eastAsia="宋体"/>
      <w:kern w:val="2"/>
      <w:sz w:val="21"/>
      <w:szCs w:val="24"/>
      <w:lang w:val="en-US" w:eastAsia="zh-CN" w:bidi="ar-SA"/>
    </w:rPr>
  </w:style>
  <w:style w:type="character" w:customStyle="1" w:styleId="694">
    <w:name w:val="Char Char18"/>
    <w:qFormat/>
    <w:uiPriority w:val="0"/>
    <w:rPr>
      <w:rFonts w:ascii="宋体" w:hAnsi="宋体"/>
      <w:sz w:val="28"/>
    </w:rPr>
  </w:style>
  <w:style w:type="character" w:customStyle="1" w:styleId="695">
    <w:name w:val="Char Char81"/>
    <w:qFormat/>
    <w:uiPriority w:val="6"/>
    <w:rPr>
      <w:rFonts w:eastAsia="宋体"/>
      <w:b/>
      <w:sz w:val="24"/>
      <w:lang w:val="en-GB" w:eastAsia="zh-CN"/>
    </w:rPr>
  </w:style>
  <w:style w:type="character" w:customStyle="1" w:styleId="696">
    <w:name w:val="Char Char37"/>
    <w:qFormat/>
    <w:uiPriority w:val="6"/>
    <w:rPr>
      <w:b/>
      <w:kern w:val="1"/>
      <w:sz w:val="44"/>
      <w:szCs w:val="44"/>
    </w:rPr>
  </w:style>
  <w:style w:type="character" w:customStyle="1" w:styleId="697">
    <w:name w:val="Char Char102"/>
    <w:semiHidden/>
    <w:qFormat/>
    <w:uiPriority w:val="0"/>
    <w:rPr>
      <w:rFonts w:ascii="宋体" w:hAnsi="宋体"/>
      <w:kern w:val="2"/>
      <w:sz w:val="21"/>
      <w:szCs w:val="24"/>
      <w:lang w:val="en-US" w:eastAsia="zh-CN"/>
    </w:rPr>
  </w:style>
  <w:style w:type="character" w:customStyle="1" w:styleId="698">
    <w:name w:val="Char Char23"/>
    <w:qFormat/>
    <w:uiPriority w:val="6"/>
    <w:rPr>
      <w:color w:val="0000FF"/>
      <w:sz w:val="21"/>
    </w:rPr>
  </w:style>
  <w:style w:type="character" w:customStyle="1" w:styleId="699">
    <w:name w:val="Char Char25"/>
    <w:qFormat/>
    <w:uiPriority w:val="6"/>
    <w:rPr>
      <w:rFonts w:ascii="宋体" w:hAnsi="宋体"/>
      <w:kern w:val="1"/>
      <w:sz w:val="24"/>
      <w:lang w:val="zh-CN"/>
    </w:rPr>
  </w:style>
  <w:style w:type="character" w:customStyle="1" w:styleId="700">
    <w:name w:val="Char Char35"/>
    <w:qFormat/>
    <w:uiPriority w:val="6"/>
    <w:rPr>
      <w:rFonts w:ascii="Arial" w:hAnsi="Arial" w:eastAsia="黑体"/>
      <w:b/>
      <w:kern w:val="1"/>
      <w:sz w:val="28"/>
      <w:szCs w:val="28"/>
      <w:lang w:val="zh-CN"/>
    </w:rPr>
  </w:style>
  <w:style w:type="character" w:customStyle="1" w:styleId="701">
    <w:name w:val="font81"/>
    <w:qFormat/>
    <w:uiPriority w:val="0"/>
    <w:rPr>
      <w:rFonts w:ascii="微软雅黑" w:hAnsi="微软雅黑" w:eastAsia="微软雅黑" w:cs="微软雅黑"/>
      <w:color w:val="000000"/>
      <w:sz w:val="20"/>
      <w:szCs w:val="20"/>
      <w:u w:val="none"/>
    </w:rPr>
  </w:style>
  <w:style w:type="character" w:customStyle="1" w:styleId="702">
    <w:name w:val="font51"/>
    <w:qFormat/>
    <w:uiPriority w:val="0"/>
    <w:rPr>
      <w:rFonts w:hint="eastAsia" w:ascii="仿宋" w:hAnsi="仿宋" w:eastAsia="仿宋" w:cs="仿宋"/>
      <w:color w:val="000000"/>
      <w:sz w:val="20"/>
      <w:szCs w:val="20"/>
      <w:u w:val="none"/>
    </w:rPr>
  </w:style>
  <w:style w:type="character" w:customStyle="1" w:styleId="703">
    <w:name w:val="font31"/>
    <w:basedOn w:val="69"/>
    <w:qFormat/>
    <w:uiPriority w:val="0"/>
    <w:rPr>
      <w:rFonts w:hint="eastAsia" w:ascii="仿宋" w:hAnsi="仿宋" w:eastAsia="仿宋" w:cs="仿宋"/>
      <w:color w:val="000000"/>
      <w:sz w:val="20"/>
      <w:szCs w:val="20"/>
      <w:u w:val="none"/>
    </w:rPr>
  </w:style>
  <w:style w:type="character" w:customStyle="1" w:styleId="704">
    <w:name w:val="font01"/>
    <w:qFormat/>
    <w:uiPriority w:val="0"/>
    <w:rPr>
      <w:rFonts w:hint="eastAsia" w:ascii="微软雅黑" w:hAnsi="微软雅黑" w:eastAsia="微软雅黑" w:cs="微软雅黑"/>
      <w:color w:val="000000"/>
      <w:sz w:val="20"/>
      <w:szCs w:val="20"/>
      <w:u w:val="none"/>
    </w:rPr>
  </w:style>
  <w:style w:type="character" w:customStyle="1" w:styleId="705">
    <w:name w:val="font61"/>
    <w:qFormat/>
    <w:uiPriority w:val="0"/>
    <w:rPr>
      <w:rFonts w:hint="eastAsia" w:ascii="仿宋" w:hAnsi="仿宋" w:eastAsia="仿宋" w:cs="仿宋"/>
      <w:color w:val="000000"/>
      <w:sz w:val="20"/>
      <w:szCs w:val="20"/>
      <w:u w:val="none"/>
    </w:rPr>
  </w:style>
  <w:style w:type="paragraph" w:customStyle="1" w:styleId="706">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7">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8">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9">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10">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1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4">
    <w:name w:val="Char23"/>
    <w:basedOn w:val="1"/>
    <w:qFormat/>
    <w:uiPriority w:val="0"/>
    <w:pPr>
      <w:adjustRightInd w:val="0"/>
    </w:pPr>
    <w:rPr>
      <w:rFonts w:ascii="仿宋_GB2312" w:hAnsi="Times New Roman" w:eastAsia="仿宋_GB2312" w:cs="Times New Roman"/>
      <w:b/>
      <w:sz w:val="32"/>
      <w:szCs w:val="32"/>
    </w:rPr>
  </w:style>
  <w:style w:type="paragraph" w:customStyle="1" w:styleId="715">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6">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8">
    <w:name w:val="Char111"/>
    <w:basedOn w:val="1"/>
    <w:qFormat/>
    <w:uiPriority w:val="0"/>
    <w:pPr>
      <w:adjustRightInd w:val="0"/>
    </w:pPr>
    <w:rPr>
      <w:rFonts w:ascii="仿宋_GB2312" w:hAnsi="Times New Roman" w:eastAsia="仿宋_GB2312" w:cs="Times New Roman"/>
      <w:b/>
      <w:sz w:val="32"/>
      <w:szCs w:val="32"/>
    </w:rPr>
  </w:style>
  <w:style w:type="paragraph" w:customStyle="1" w:styleId="71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20">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21">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22">
    <w:name w:val="Char2 Char Char1"/>
    <w:basedOn w:val="1"/>
    <w:qFormat/>
    <w:uiPriority w:val="6"/>
    <w:rPr>
      <w:rFonts w:ascii="Tahoma" w:hAnsi="Tahoma" w:eastAsia="宋体" w:cs="Times New Roman"/>
      <w:sz w:val="24"/>
      <w:szCs w:val="20"/>
    </w:rPr>
  </w:style>
  <w:style w:type="paragraph" w:customStyle="1" w:styleId="723">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4">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5">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72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8">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9">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0">
    <w:name w:val="Char Char Char Char11"/>
    <w:basedOn w:val="1"/>
    <w:qFormat/>
    <w:uiPriority w:val="0"/>
    <w:pPr>
      <w:adjustRightInd w:val="0"/>
    </w:pPr>
    <w:rPr>
      <w:rFonts w:ascii="Tahoma" w:hAnsi="Tahoma" w:eastAsia="宋体" w:cs="Times New Roman"/>
      <w:sz w:val="24"/>
      <w:szCs w:val="20"/>
    </w:rPr>
  </w:style>
  <w:style w:type="paragraph" w:customStyle="1" w:styleId="731">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32">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5">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6">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7">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41">
    <w:name w:val="Char31"/>
    <w:basedOn w:val="1"/>
    <w:qFormat/>
    <w:uiPriority w:val="0"/>
    <w:rPr>
      <w:rFonts w:ascii="仿宋_GB2312" w:hAnsi="Times New Roman" w:eastAsia="仿宋_GB2312" w:cs="Times New Roman"/>
      <w:b/>
      <w:sz w:val="32"/>
      <w:szCs w:val="32"/>
    </w:rPr>
  </w:style>
  <w:style w:type="paragraph" w:customStyle="1" w:styleId="74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5">
    <w:name w:val="修订2"/>
    <w:qFormat/>
    <w:uiPriority w:val="0"/>
    <w:rPr>
      <w:rFonts w:ascii="Times New Roman" w:hAnsi="Times New Roman" w:eastAsia="宋体" w:cs="Times New Roman"/>
      <w:kern w:val="2"/>
      <w:sz w:val="21"/>
      <w:lang w:val="en-US" w:eastAsia="zh-CN" w:bidi="ar-SA"/>
    </w:rPr>
  </w:style>
  <w:style w:type="paragraph" w:customStyle="1" w:styleId="7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7">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8">
    <w:name w:val="Char5"/>
    <w:basedOn w:val="1"/>
    <w:qFormat/>
    <w:uiPriority w:val="0"/>
    <w:pPr>
      <w:adjustRightInd w:val="0"/>
    </w:pPr>
    <w:rPr>
      <w:rFonts w:ascii="仿宋_GB2312" w:hAnsi="Times New Roman" w:eastAsia="仿宋_GB2312" w:cs="Times New Roman"/>
      <w:b/>
      <w:sz w:val="32"/>
      <w:szCs w:val="32"/>
    </w:rPr>
  </w:style>
  <w:style w:type="paragraph" w:customStyle="1" w:styleId="74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0">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51">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52">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3">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4">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5">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6">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7">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9">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3">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5">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7">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8">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70">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71">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72">
    <w:name w:val="Plain Text1"/>
    <w:basedOn w:val="1"/>
    <w:qFormat/>
    <w:uiPriority w:val="7"/>
    <w:rPr>
      <w:rFonts w:ascii="宋体" w:hAnsi="Courier New" w:eastAsia="宋体" w:cs="Times New Roman"/>
      <w:szCs w:val="24"/>
    </w:rPr>
  </w:style>
  <w:style w:type="paragraph" w:customStyle="1" w:styleId="77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4">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5">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6">
    <w:name w:val="Char Char Char1 Char1"/>
    <w:basedOn w:val="1"/>
    <w:qFormat/>
    <w:uiPriority w:val="6"/>
    <w:pPr>
      <w:adjustRightInd w:val="0"/>
    </w:pPr>
    <w:rPr>
      <w:rFonts w:ascii="Times New Roman" w:hAnsi="Times New Roman" w:eastAsia="宋体" w:cs="Times New Roman"/>
      <w:szCs w:val="20"/>
    </w:rPr>
  </w:style>
  <w:style w:type="paragraph" w:customStyle="1" w:styleId="777">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8">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9">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80">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81">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82">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4">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5">
    <w:name w:val="正文样式 Char"/>
    <w:link w:val="786"/>
    <w:qFormat/>
    <w:uiPriority w:val="0"/>
    <w:rPr>
      <w:rFonts w:ascii="Calibri" w:hAnsi="Calibri"/>
      <w:sz w:val="24"/>
      <w:szCs w:val="24"/>
    </w:rPr>
  </w:style>
  <w:style w:type="paragraph" w:customStyle="1" w:styleId="786">
    <w:name w:val="正文样式"/>
    <w:basedOn w:val="1"/>
    <w:link w:val="785"/>
    <w:qFormat/>
    <w:uiPriority w:val="0"/>
    <w:pPr>
      <w:spacing w:line="360" w:lineRule="auto"/>
      <w:ind w:firstLine="480" w:firstLineChars="200"/>
    </w:pPr>
    <w:rPr>
      <w:rFonts w:ascii="Calibri" w:hAnsi="Calibri"/>
      <w:sz w:val="24"/>
      <w:szCs w:val="24"/>
    </w:rPr>
  </w:style>
  <w:style w:type="character" w:customStyle="1" w:styleId="787">
    <w:name w:val="公文正文 Char Char"/>
    <w:link w:val="389"/>
    <w:qFormat/>
    <w:uiPriority w:val="0"/>
    <w:rPr>
      <w:rFonts w:ascii="仿宋_GB2312" w:hAnsi="Times New Roman" w:eastAsia="仿宋_GB2312" w:cs="Times New Roman"/>
      <w:sz w:val="24"/>
      <w:szCs w:val="24"/>
      <w:lang w:val="zh-CN"/>
    </w:rPr>
  </w:style>
  <w:style w:type="character" w:customStyle="1" w:styleId="788">
    <w:name w:val="题注 Char"/>
    <w:link w:val="18"/>
    <w:qFormat/>
    <w:uiPriority w:val="0"/>
    <w:rPr>
      <w:rFonts w:ascii="Times New Roman" w:hAnsi="Times New Roman" w:eastAsia="宋体" w:cs="Times New Roman"/>
      <w:b/>
      <w:sz w:val="28"/>
      <w:szCs w:val="20"/>
      <w:lang w:val="zh-CN"/>
    </w:rPr>
  </w:style>
  <w:style w:type="character" w:customStyle="1" w:styleId="789">
    <w:name w:val="表正文 Char3"/>
    <w:qFormat/>
    <w:uiPriority w:val="0"/>
    <w:rPr>
      <w:rFonts w:eastAsia="宋体"/>
    </w:rPr>
  </w:style>
  <w:style w:type="character" w:customStyle="1" w:styleId="790">
    <w:name w:val="gf正文1 Char Char"/>
    <w:link w:val="626"/>
    <w:qFormat/>
    <w:uiPriority w:val="0"/>
    <w:rPr>
      <w:rFonts w:ascii="宋体" w:hAnsi="宋体" w:eastAsia="宋体" w:cs="Times New Roman"/>
      <w:sz w:val="24"/>
      <w:szCs w:val="24"/>
      <w:lang w:val="zh-CN"/>
    </w:rPr>
  </w:style>
  <w:style w:type="character" w:customStyle="1" w:styleId="791">
    <w:name w:val="h Char1"/>
    <w:qFormat/>
    <w:uiPriority w:val="0"/>
    <w:rPr>
      <w:sz w:val="18"/>
      <w:szCs w:val="18"/>
    </w:rPr>
  </w:style>
  <w:style w:type="character" w:customStyle="1" w:styleId="792">
    <w:name w:val="Char Char161"/>
    <w:qFormat/>
    <w:uiPriority w:val="0"/>
    <w:rPr>
      <w:rFonts w:eastAsia="宋体"/>
      <w:b/>
      <w:kern w:val="2"/>
      <w:sz w:val="32"/>
      <w:lang w:val="en-US" w:eastAsia="zh-CN"/>
    </w:rPr>
  </w:style>
  <w:style w:type="character" w:customStyle="1" w:styleId="793">
    <w:name w:val="编号，小四 Char"/>
    <w:link w:val="794"/>
    <w:qFormat/>
    <w:uiPriority w:val="0"/>
    <w:rPr>
      <w:rFonts w:ascii="Arial" w:hAnsi="Arial"/>
      <w:sz w:val="24"/>
    </w:rPr>
  </w:style>
  <w:style w:type="paragraph" w:customStyle="1" w:styleId="794">
    <w:name w:val="编号，小四"/>
    <w:basedOn w:val="1"/>
    <w:link w:val="793"/>
    <w:qFormat/>
    <w:uiPriority w:val="0"/>
    <w:pPr>
      <w:tabs>
        <w:tab w:val="left" w:pos="432"/>
      </w:tabs>
      <w:spacing w:line="360" w:lineRule="auto"/>
      <w:ind w:left="432" w:hanging="432"/>
    </w:pPr>
    <w:rPr>
      <w:rFonts w:ascii="Arial" w:hAnsi="Arial"/>
      <w:sz w:val="24"/>
    </w:rPr>
  </w:style>
  <w:style w:type="character" w:customStyle="1" w:styleId="795">
    <w:name w:val="段落 Char Char"/>
    <w:link w:val="796"/>
    <w:qFormat/>
    <w:uiPriority w:val="0"/>
    <w:rPr>
      <w:rFonts w:ascii="宋体" w:hAnsi="宋体"/>
      <w:sz w:val="24"/>
    </w:rPr>
  </w:style>
  <w:style w:type="paragraph" w:customStyle="1" w:styleId="796">
    <w:name w:val="段落"/>
    <w:basedOn w:val="1"/>
    <w:link w:val="795"/>
    <w:qFormat/>
    <w:uiPriority w:val="0"/>
    <w:pPr>
      <w:spacing w:line="360" w:lineRule="auto"/>
      <w:ind w:firstLine="480" w:firstLineChars="200"/>
    </w:pPr>
    <w:rPr>
      <w:rFonts w:ascii="宋体" w:hAnsi="宋体"/>
      <w:sz w:val="24"/>
    </w:rPr>
  </w:style>
  <w:style w:type="character" w:customStyle="1" w:styleId="797">
    <w:name w:val="maywed421"/>
    <w:qFormat/>
    <w:uiPriority w:val="0"/>
    <w:rPr>
      <w:color w:val="366FB6"/>
      <w:u w:val="none"/>
    </w:rPr>
  </w:style>
  <w:style w:type="character" w:customStyle="1" w:styleId="798">
    <w:name w:val="哈哈正文 Char Char"/>
    <w:qFormat/>
    <w:uiPriority w:val="0"/>
    <w:rPr>
      <w:rFonts w:ascii="宋体" w:hAnsi="宋体" w:eastAsia="宋体" w:cs="宋体"/>
      <w:kern w:val="2"/>
      <w:sz w:val="24"/>
      <w:lang w:val="en-US" w:eastAsia="zh-CN" w:bidi="ar-SA"/>
    </w:rPr>
  </w:style>
  <w:style w:type="character" w:customStyle="1" w:styleId="799">
    <w:name w:val="font11"/>
    <w:basedOn w:val="69"/>
    <w:qFormat/>
    <w:uiPriority w:val="0"/>
    <w:rPr>
      <w:rFonts w:hint="default" w:ascii="Times New Roman" w:hAnsi="Times New Roman" w:cs="Times New Roman"/>
      <w:color w:val="000000"/>
      <w:sz w:val="22"/>
      <w:szCs w:val="22"/>
      <w:u w:val="none"/>
    </w:rPr>
  </w:style>
  <w:style w:type="character" w:customStyle="1" w:styleId="800">
    <w:name w:val="font41"/>
    <w:qFormat/>
    <w:uiPriority w:val="0"/>
    <w:rPr>
      <w:rFonts w:hint="eastAsia" w:ascii="仿宋_GB2312" w:eastAsia="仿宋_GB2312" w:cs="仿宋_GB2312"/>
      <w:color w:val="000000"/>
      <w:sz w:val="22"/>
      <w:szCs w:val="22"/>
      <w:u w:val="none"/>
    </w:rPr>
  </w:style>
  <w:style w:type="character" w:customStyle="1" w:styleId="801">
    <w:name w:val="5正文 Char"/>
    <w:link w:val="802"/>
    <w:qFormat/>
    <w:uiPriority w:val="0"/>
    <w:rPr>
      <w:rFonts w:ascii="仿宋_GB2312" w:hAnsi="微软雅黑" w:eastAsia="仿宋_GB2312"/>
      <w:sz w:val="28"/>
      <w:szCs w:val="21"/>
    </w:rPr>
  </w:style>
  <w:style w:type="paragraph" w:customStyle="1" w:styleId="802">
    <w:name w:val="5正文"/>
    <w:basedOn w:val="1"/>
    <w:link w:val="801"/>
    <w:qFormat/>
    <w:uiPriority w:val="0"/>
    <w:pPr>
      <w:spacing w:line="360" w:lineRule="auto"/>
      <w:ind w:firstLine="566" w:firstLineChars="202"/>
      <w:jc w:val="left"/>
    </w:pPr>
    <w:rPr>
      <w:rFonts w:ascii="仿宋_GB2312" w:hAnsi="微软雅黑" w:eastAsia="仿宋_GB2312"/>
      <w:sz w:val="28"/>
      <w:szCs w:val="21"/>
    </w:rPr>
  </w:style>
  <w:style w:type="character" w:customStyle="1" w:styleId="803">
    <w:name w:val="正文缩进 字符"/>
    <w:qFormat/>
    <w:uiPriority w:val="0"/>
    <w:rPr>
      <w:rFonts w:ascii="宋体" w:eastAsia="宋体"/>
      <w:snapToGrid w:val="0"/>
      <w:color w:val="000000"/>
      <w:kern w:val="28"/>
      <w:sz w:val="28"/>
      <w:lang w:val="en-US" w:eastAsia="zh-CN" w:bidi="ar-SA"/>
    </w:rPr>
  </w:style>
  <w:style w:type="character" w:customStyle="1" w:styleId="804">
    <w:name w:val="U_正文 Char"/>
    <w:link w:val="805"/>
    <w:qFormat/>
    <w:uiPriority w:val="0"/>
    <w:rPr>
      <w:sz w:val="24"/>
      <w:szCs w:val="24"/>
    </w:rPr>
  </w:style>
  <w:style w:type="paragraph" w:customStyle="1" w:styleId="805">
    <w:name w:val="U_正文"/>
    <w:basedOn w:val="1"/>
    <w:link w:val="804"/>
    <w:qFormat/>
    <w:uiPriority w:val="0"/>
    <w:pPr>
      <w:spacing w:beforeLines="20" w:afterLines="20" w:line="300" w:lineRule="auto"/>
      <w:ind w:firstLine="200" w:firstLineChars="200"/>
    </w:pPr>
    <w:rPr>
      <w:sz w:val="24"/>
      <w:szCs w:val="24"/>
    </w:rPr>
  </w:style>
  <w:style w:type="paragraph" w:customStyle="1" w:styleId="806">
    <w:name w:val="标题2"/>
    <w:basedOn w:val="4"/>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7">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8">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10">
    <w:name w:val="批注框文本 Char Char"/>
    <w:basedOn w:val="1"/>
    <w:qFormat/>
    <w:uiPriority w:val="0"/>
    <w:rPr>
      <w:rFonts w:ascii="Times New Roman" w:hAnsi="Times New Roman" w:eastAsia="宋体" w:cs="Times New Roman"/>
      <w:sz w:val="18"/>
      <w:szCs w:val="20"/>
    </w:rPr>
  </w:style>
  <w:style w:type="paragraph" w:customStyle="1" w:styleId="811">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12">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3">
    <w:name w:val="标题3"/>
    <w:basedOn w:val="5"/>
    <w:next w:val="51"/>
    <w:qFormat/>
    <w:uiPriority w:val="0"/>
    <w:pPr>
      <w:tabs>
        <w:tab w:val="clear" w:pos="900"/>
      </w:tabs>
      <w:spacing w:after="0" w:line="360" w:lineRule="auto"/>
    </w:pPr>
    <w:rPr>
      <w:rFonts w:ascii="仿宋" w:hAnsi="仿宋" w:eastAsia="仿宋" w:cs="仿宋"/>
    </w:rPr>
  </w:style>
  <w:style w:type="paragraph" w:customStyle="1" w:styleId="814">
    <w:name w:val="_正文段落"/>
    <w:basedOn w:val="1"/>
    <w:qFormat/>
    <w:uiPriority w:val="0"/>
    <w:pPr>
      <w:ind w:firstLine="560"/>
    </w:pPr>
    <w:rPr>
      <w:rFonts w:ascii="仿宋_GB2312" w:hAnsi="仿宋" w:eastAsia="仿宋_GB2312" w:cs="Times New Roman"/>
      <w:kern w:val="0"/>
      <w:sz w:val="28"/>
      <w:szCs w:val="28"/>
    </w:rPr>
  </w:style>
  <w:style w:type="paragraph" w:customStyle="1" w:styleId="815">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6">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8">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9">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20">
    <w:name w:val="样式 标题 2 + 四号"/>
    <w:basedOn w:val="4"/>
    <w:qFormat/>
    <w:uiPriority w:val="0"/>
    <w:pPr>
      <w:numPr>
        <w:numId w:val="0"/>
      </w:numPr>
      <w:spacing w:before="120" w:after="120"/>
      <w:jc w:val="both"/>
    </w:pPr>
    <w:rPr>
      <w:rFonts w:ascii="宋体" w:hAnsi="Arial" w:eastAsia="宋体"/>
      <w:sz w:val="28"/>
      <w:lang w:val="en-US"/>
    </w:rPr>
  </w:style>
  <w:style w:type="paragraph" w:customStyle="1" w:styleId="821">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22">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3">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4">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5">
    <w:name w:val="列表1"/>
    <w:basedOn w:val="1"/>
    <w:next w:val="534"/>
    <w:link w:val="832"/>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正文首行缩进 Char Char Char Char Char"/>
    <w:qFormat/>
    <w:uiPriority w:val="0"/>
    <w:rPr>
      <w:rFonts w:ascii="宋体"/>
      <w:kern w:val="2"/>
      <w:sz w:val="24"/>
      <w:lang w:val="zh-CN"/>
    </w:rPr>
  </w:style>
  <w:style w:type="character" w:customStyle="1" w:styleId="828">
    <w:name w:val="Used by Word for text of Help footnotes Char Char1"/>
    <w:qFormat/>
    <w:uiPriority w:val="0"/>
    <w:rPr>
      <w:color w:val="0000FF"/>
      <w:sz w:val="21"/>
    </w:rPr>
  </w:style>
  <w:style w:type="character" w:customStyle="1" w:styleId="829">
    <w:name w:val="H5 Char"/>
    <w:qFormat/>
    <w:uiPriority w:val="0"/>
    <w:rPr>
      <w:b/>
      <w:bCs/>
      <w:kern w:val="2"/>
      <w:sz w:val="28"/>
      <w:szCs w:val="28"/>
    </w:rPr>
  </w:style>
  <w:style w:type="character" w:customStyle="1" w:styleId="830">
    <w:name w:val="正文缩进 Char3"/>
    <w:qFormat/>
    <w:uiPriority w:val="0"/>
    <w:rPr>
      <w:rFonts w:ascii="宋体" w:eastAsia="宋体"/>
      <w:snapToGrid w:val="0"/>
      <w:color w:val="000000"/>
      <w:kern w:val="28"/>
      <w:sz w:val="28"/>
      <w:lang w:val="en-US" w:eastAsia="zh-CN" w:bidi="ar-SA"/>
    </w:rPr>
  </w:style>
  <w:style w:type="character" w:customStyle="1" w:styleId="831">
    <w:name w:val="表名 Char"/>
    <w:qFormat/>
    <w:uiPriority w:val="0"/>
    <w:rPr>
      <w:rFonts w:eastAsia="宋体"/>
      <w:b/>
      <w:bCs/>
      <w:kern w:val="2"/>
      <w:sz w:val="24"/>
      <w:szCs w:val="24"/>
      <w:lang w:val="en-US" w:eastAsia="zh-CN" w:bidi="ar-SA"/>
    </w:rPr>
  </w:style>
  <w:style w:type="character" w:customStyle="1" w:styleId="832">
    <w:name w:val="列出段落 Char1"/>
    <w:link w:val="825"/>
    <w:qFormat/>
    <w:uiPriority w:val="0"/>
    <w:rPr>
      <w:rFonts w:ascii="Calibri" w:hAnsi="Calibri" w:eastAsia="宋体" w:cs="Times New Roman"/>
      <w:kern w:val="0"/>
      <w:sz w:val="24"/>
      <w:szCs w:val="20"/>
      <w:lang w:val="zh-CN" w:eastAsia="en-US"/>
    </w:rPr>
  </w:style>
  <w:style w:type="character" w:customStyle="1" w:styleId="833">
    <w:name w:val="图名 Char"/>
    <w:qFormat/>
    <w:uiPriority w:val="0"/>
    <w:rPr>
      <w:rFonts w:ascii="Arial" w:hAnsi="Arial" w:eastAsia="黑体"/>
      <w:kern w:val="2"/>
      <w:sz w:val="24"/>
      <w:szCs w:val="24"/>
      <w:lang w:val="en-US" w:eastAsia="zh-CN" w:bidi="ar-SA"/>
    </w:rPr>
  </w:style>
  <w:style w:type="character" w:customStyle="1" w:styleId="834">
    <w:name w:val="PI Char1"/>
    <w:qFormat/>
    <w:uiPriority w:val="0"/>
    <w:rPr>
      <w:rFonts w:ascii="宋体" w:hAnsi="宋体"/>
      <w:kern w:val="2"/>
      <w:sz w:val="24"/>
      <w:szCs w:val="24"/>
    </w:rPr>
  </w:style>
  <w:style w:type="character" w:customStyle="1" w:styleId="835">
    <w:name w:val="H6 Char"/>
    <w:qFormat/>
    <w:uiPriority w:val="0"/>
    <w:rPr>
      <w:rFonts w:ascii="Arial" w:hAnsi="Arial" w:eastAsia="黑体"/>
      <w:b/>
      <w:bCs/>
      <w:kern w:val="2"/>
      <w:sz w:val="24"/>
      <w:szCs w:val="24"/>
    </w:rPr>
  </w:style>
  <w:style w:type="character" w:customStyle="1" w:styleId="836">
    <w:name w:val="Default Char"/>
    <w:link w:val="83"/>
    <w:qFormat/>
    <w:uiPriority w:val="0"/>
    <w:rPr>
      <w:rFonts w:ascii="仿宋_GB2312" w:hAnsi="Times New Roman" w:eastAsia="仿宋_GB2312" w:cs="Times New Roman"/>
      <w:color w:val="000000"/>
      <w:kern w:val="0"/>
      <w:sz w:val="24"/>
      <w:szCs w:val="24"/>
    </w:rPr>
  </w:style>
  <w:style w:type="character" w:customStyle="1" w:styleId="837">
    <w:name w:val="标书1 Char1"/>
    <w:qFormat/>
    <w:uiPriority w:val="0"/>
    <w:rPr>
      <w:rFonts w:eastAsia="宋体"/>
      <w:b/>
      <w:bCs/>
      <w:kern w:val="44"/>
      <w:sz w:val="44"/>
      <w:szCs w:val="44"/>
      <w:lang w:val="en-US" w:eastAsia="zh-CN" w:bidi="ar-SA"/>
    </w:rPr>
  </w:style>
  <w:style w:type="character" w:customStyle="1" w:styleId="838">
    <w:name w:val="h4 Char"/>
    <w:qFormat/>
    <w:uiPriority w:val="0"/>
    <w:rPr>
      <w:rFonts w:ascii="Arial" w:hAnsi="Arial" w:eastAsia="黑体"/>
      <w:b/>
      <w:bCs/>
      <w:kern w:val="2"/>
      <w:sz w:val="28"/>
      <w:szCs w:val="28"/>
      <w:lang w:val="zh-CN" w:eastAsia="zh-CN" w:bidi="ar-SA"/>
    </w:rPr>
  </w:style>
  <w:style w:type="character" w:customStyle="1" w:styleId="8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40">
    <w:name w:val="未用 Char"/>
    <w:qFormat/>
    <w:uiPriority w:val="0"/>
    <w:rPr>
      <w:rFonts w:ascii="Arial" w:hAnsi="Arial" w:eastAsia="黑体"/>
      <w:kern w:val="2"/>
      <w:sz w:val="21"/>
      <w:szCs w:val="21"/>
      <w:lang w:val="en-US" w:eastAsia="zh-CN" w:bidi="ar-SA"/>
    </w:rPr>
  </w:style>
  <w:style w:type="character" w:customStyle="1" w:styleId="841">
    <w:name w:val="正文文字缩进 2 Char Char"/>
    <w:qFormat/>
    <w:uiPriority w:val="0"/>
    <w:rPr>
      <w:rFonts w:ascii="宋体"/>
      <w:sz w:val="28"/>
    </w:rPr>
  </w:style>
  <w:style w:type="paragraph" w:customStyle="1" w:styleId="84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3">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4">
    <w:name w:val="五级无标题条"/>
    <w:basedOn w:val="1"/>
    <w:qFormat/>
    <w:uiPriority w:val="0"/>
    <w:rPr>
      <w:rFonts w:ascii="Times New Roman" w:hAnsi="Times New Roman" w:eastAsia="宋体" w:cs="Times New Roman"/>
      <w:szCs w:val="24"/>
    </w:rPr>
  </w:style>
  <w:style w:type="paragraph" w:customStyle="1" w:styleId="845">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7">
    <w:name w:val="中文标题 3"/>
    <w:basedOn w:val="17"/>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8">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9">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50">
    <w:name w:val="表格非标题文字"/>
    <w:link w:val="85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1">
    <w:name w:val="表格非标题文字 Char"/>
    <w:link w:val="850"/>
    <w:qFormat/>
    <w:uiPriority w:val="0"/>
    <w:rPr>
      <w:rFonts w:ascii="Futura Bk" w:hAnsi="Futura Bk" w:eastAsia="宋体" w:cs="Times New Roman"/>
      <w:sz w:val="18"/>
      <w:szCs w:val="21"/>
    </w:rPr>
  </w:style>
  <w:style w:type="character" w:customStyle="1" w:styleId="852">
    <w:name w:val="Table Text Char"/>
    <w:link w:val="531"/>
    <w:qFormat/>
    <w:uiPriority w:val="0"/>
    <w:rPr>
      <w:rFonts w:ascii="Times New Roman" w:hAnsi="Times New Roman" w:eastAsia="宋体" w:cs="Times New Roman"/>
      <w:kern w:val="0"/>
      <w:sz w:val="24"/>
      <w:szCs w:val="24"/>
      <w:lang w:val="zh-CN"/>
    </w:rPr>
  </w:style>
  <w:style w:type="character" w:customStyle="1" w:styleId="853">
    <w:name w:val="页眉 字符"/>
    <w:qFormat/>
    <w:uiPriority w:val="99"/>
    <w:rPr>
      <w:kern w:val="2"/>
      <w:sz w:val="18"/>
      <w:szCs w:val="18"/>
    </w:rPr>
  </w:style>
  <w:style w:type="character" w:customStyle="1" w:styleId="854">
    <w:name w:val="页脚 字符"/>
    <w:qFormat/>
    <w:uiPriority w:val="99"/>
    <w:rPr>
      <w:kern w:val="2"/>
      <w:sz w:val="18"/>
      <w:szCs w:val="18"/>
    </w:rPr>
  </w:style>
  <w:style w:type="character" w:customStyle="1" w:styleId="855">
    <w:name w:val="列表段落 字符"/>
    <w:qFormat/>
    <w:uiPriority w:val="34"/>
  </w:style>
  <w:style w:type="paragraph" w:customStyle="1" w:styleId="856">
    <w:name w:val="列表段落1"/>
    <w:basedOn w:val="1"/>
    <w:qFormat/>
    <w:uiPriority w:val="34"/>
    <w:pPr>
      <w:ind w:right="238" w:firstLine="420"/>
    </w:pPr>
    <w:rPr>
      <w:rFonts w:ascii="Calibri" w:hAnsi="Calibri" w:eastAsia="宋体" w:cs="Times New Roman"/>
      <w:sz w:val="24"/>
      <w:szCs w:val="24"/>
    </w:rPr>
  </w:style>
  <w:style w:type="character" w:customStyle="1" w:styleId="857">
    <w:name w:val="标题 2 字符"/>
    <w:qFormat/>
    <w:uiPriority w:val="9"/>
    <w:rPr>
      <w:rFonts w:ascii="仿宋_GB2312" w:hAnsi="Times New Roman" w:eastAsia="仿宋_GB2312" w:cs="Times New Roman"/>
      <w:b/>
      <w:kern w:val="2"/>
      <w:sz w:val="24"/>
      <w:lang w:val="zh-CN"/>
    </w:rPr>
  </w:style>
  <w:style w:type="paragraph" w:customStyle="1" w:styleId="858">
    <w:name w:val="样式 标题 3h33rd level3BOD 0H3l3CTHeading 3 - oldLevel 3 He..."/>
    <w:basedOn w:val="5"/>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9">
    <w:name w:val="4级标题"/>
    <w:basedOn w:val="534"/>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60">
    <w:name w:val="3级"/>
    <w:basedOn w:val="858"/>
    <w:link w:val="861"/>
    <w:qFormat/>
    <w:uiPriority w:val="0"/>
    <w:pPr>
      <w:ind w:left="0" w:right="466" w:firstLine="288"/>
    </w:pPr>
    <w:rPr>
      <w:rFonts w:hAnsi="宋体"/>
    </w:rPr>
  </w:style>
  <w:style w:type="character" w:customStyle="1" w:styleId="861">
    <w:name w:val="3级 Char"/>
    <w:link w:val="860"/>
    <w:qFormat/>
    <w:uiPriority w:val="0"/>
    <w:rPr>
      <w:rFonts w:ascii="宋体" w:hAnsi="宋体" w:eastAsia="宋体" w:cs="Times New Roman"/>
      <w:b/>
      <w:bCs/>
      <w:snapToGrid w:val="0"/>
      <w:kern w:val="0"/>
      <w:sz w:val="28"/>
      <w:szCs w:val="20"/>
      <w:lang w:val="zh-CN"/>
    </w:rPr>
  </w:style>
  <w:style w:type="character" w:customStyle="1" w:styleId="862">
    <w:name w:val="标题 3 字符"/>
    <w:qFormat/>
    <w:uiPriority w:val="9"/>
    <w:rPr>
      <w:b/>
      <w:bCs/>
      <w:kern w:val="2"/>
      <w:sz w:val="32"/>
      <w:szCs w:val="32"/>
    </w:rPr>
  </w:style>
  <w:style w:type="character" w:customStyle="1" w:styleId="863">
    <w:name w:val="标题 4 字符"/>
    <w:qFormat/>
    <w:uiPriority w:val="9"/>
    <w:rPr>
      <w:rFonts w:ascii="等线 Light" w:hAnsi="等线 Light" w:eastAsia="等线 Light" w:cs="Times New Roman"/>
      <w:b/>
      <w:bCs/>
      <w:snapToGrid/>
      <w:kern w:val="0"/>
      <w:sz w:val="28"/>
      <w:szCs w:val="28"/>
    </w:rPr>
  </w:style>
  <w:style w:type="character" w:customStyle="1" w:styleId="864">
    <w:name w:val="标题 1 字符"/>
    <w:qFormat/>
    <w:uiPriority w:val="9"/>
    <w:rPr>
      <w:rFonts w:ascii="Arial" w:hAnsi="Arial" w:eastAsia="黑体" w:cs="Arial"/>
      <w:b/>
      <w:bCs/>
      <w:snapToGrid/>
      <w:kern w:val="44"/>
      <w:sz w:val="44"/>
      <w:szCs w:val="44"/>
    </w:rPr>
  </w:style>
  <w:style w:type="character" w:customStyle="1" w:styleId="865">
    <w:name w:val="批注文字 字符"/>
    <w:qFormat/>
    <w:uiPriority w:val="0"/>
    <w:rPr>
      <w:rFonts w:ascii="Arial" w:hAnsi="Arial" w:eastAsia="黑体" w:cs="Arial"/>
      <w:snapToGrid/>
      <w:kern w:val="0"/>
      <w:szCs w:val="21"/>
    </w:rPr>
  </w:style>
  <w:style w:type="character" w:customStyle="1" w:styleId="866">
    <w:name w:val="批注框文本 字符"/>
    <w:semiHidden/>
    <w:qFormat/>
    <w:uiPriority w:val="99"/>
    <w:rPr>
      <w:rFonts w:ascii="Arial" w:hAnsi="Arial" w:eastAsia="黑体" w:cs="Arial"/>
      <w:snapToGrid/>
      <w:kern w:val="0"/>
      <w:sz w:val="18"/>
      <w:szCs w:val="18"/>
    </w:rPr>
  </w:style>
  <w:style w:type="paragraph" w:customStyle="1" w:styleId="86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8">
    <w:name w:val="纯文本 字符"/>
    <w:qFormat/>
    <w:uiPriority w:val="0"/>
    <w:rPr>
      <w:rFonts w:ascii="宋体" w:hAnsi="Courier New" w:eastAsia="宋体" w:cs="Arial"/>
      <w:snapToGrid w:val="0"/>
      <w:kern w:val="2"/>
      <w:sz w:val="21"/>
      <w:szCs w:val="21"/>
      <w:lang w:val="en-US" w:eastAsia="zh-CN" w:bidi="ar-SA"/>
    </w:rPr>
  </w:style>
  <w:style w:type="paragraph" w:customStyle="1" w:styleId="869">
    <w:name w:val="_标题2"/>
    <w:basedOn w:val="870"/>
    <w:next w:val="87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70">
    <w:name w:val="__正文"/>
    <w:link w:val="871"/>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71">
    <w:name w:val="__正文 Char"/>
    <w:link w:val="870"/>
    <w:qFormat/>
    <w:uiPriority w:val="0"/>
    <w:rPr>
      <w:rFonts w:ascii="Calibri" w:hAnsi="Calibri" w:eastAsia="等线" w:cs="Times New Roman"/>
      <w:sz w:val="24"/>
      <w:szCs w:val="21"/>
    </w:rPr>
  </w:style>
  <w:style w:type="paragraph" w:customStyle="1" w:styleId="872">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3">
    <w:name w:val="_标题3"/>
    <w:basedOn w:val="870"/>
    <w:next w:val="870"/>
    <w:qFormat/>
    <w:uiPriority w:val="0"/>
    <w:pPr>
      <w:widowControl w:val="0"/>
      <w:spacing w:before="50" w:beforeLines="50" w:after="50" w:afterLines="50"/>
      <w:ind w:firstLine="0" w:firstLineChars="0"/>
      <w:outlineLvl w:val="2"/>
    </w:pPr>
    <w:rPr>
      <w:rFonts w:eastAsia="宋体"/>
      <w:b/>
      <w:sz w:val="32"/>
    </w:rPr>
  </w:style>
  <w:style w:type="paragraph" w:customStyle="1" w:styleId="874">
    <w:name w:val="_标题1"/>
    <w:basedOn w:val="870"/>
    <w:next w:val="870"/>
    <w:qFormat/>
    <w:uiPriority w:val="0"/>
    <w:pPr>
      <w:widowControl w:val="0"/>
      <w:spacing w:before="156" w:beforeLines="50" w:after="156" w:afterLines="50"/>
      <w:ind w:firstLine="0" w:firstLineChars="0"/>
      <w:outlineLvl w:val="0"/>
    </w:pPr>
    <w:rPr>
      <w:rFonts w:eastAsia="黑体"/>
      <w:b/>
      <w:sz w:val="32"/>
    </w:rPr>
  </w:style>
  <w:style w:type="paragraph" w:customStyle="1" w:styleId="875">
    <w:name w:val="_标题5"/>
    <w:basedOn w:val="870"/>
    <w:next w:val="870"/>
    <w:qFormat/>
    <w:uiPriority w:val="0"/>
    <w:pPr>
      <w:spacing w:before="120" w:after="120"/>
      <w:ind w:left="4679" w:firstLine="0" w:firstLineChars="0"/>
      <w:outlineLvl w:val="4"/>
    </w:pPr>
    <w:rPr>
      <w:rFonts w:ascii="仿宋" w:hAnsi="仿宋" w:eastAsia="仿宋"/>
      <w:b/>
      <w:sz w:val="28"/>
    </w:rPr>
  </w:style>
  <w:style w:type="character" w:customStyle="1" w:styleId="876">
    <w:name w:val="标准正文 Char"/>
    <w:link w:val="636"/>
    <w:qFormat/>
    <w:uiPriority w:val="0"/>
    <w:rPr>
      <w:rFonts w:ascii="Times New Roman" w:hAnsi="Times New Roman" w:eastAsia="宋体" w:cs="Times New Roman"/>
      <w:sz w:val="24"/>
      <w:szCs w:val="24"/>
    </w:rPr>
  </w:style>
  <w:style w:type="paragraph" w:customStyle="1" w:styleId="877">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8">
    <w:name w:val="！正文（四号字）"/>
    <w:link w:val="879"/>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9">
    <w:name w:val="！正文（四号字） Char"/>
    <w:link w:val="878"/>
    <w:qFormat/>
    <w:uiPriority w:val="0"/>
    <w:rPr>
      <w:rFonts w:ascii="等线" w:hAnsi="等线" w:eastAsia="仿宋_GB2312" w:cs="黑体"/>
      <w:sz w:val="24"/>
      <w:szCs w:val="28"/>
    </w:rPr>
  </w:style>
  <w:style w:type="table" w:customStyle="1" w:styleId="880">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81">
    <w:name w:val="正文1 Char Char"/>
    <w:link w:val="79"/>
    <w:qFormat/>
    <w:locked/>
    <w:uiPriority w:val="0"/>
    <w:rPr>
      <w:rFonts w:ascii="仿宋_GB2312" w:hAnsi="Courier New" w:eastAsia="仿宋_GB2312" w:cs="Times New Roman"/>
      <w:kern w:val="28"/>
      <w:sz w:val="24"/>
      <w:szCs w:val="24"/>
    </w:rPr>
  </w:style>
  <w:style w:type="character" w:customStyle="1" w:styleId="882">
    <w:name w:val="段 Char"/>
    <w:link w:val="380"/>
    <w:qFormat/>
    <w:locked/>
    <w:uiPriority w:val="0"/>
    <w:rPr>
      <w:rFonts w:ascii="宋体" w:hAnsi="Times New Roman" w:eastAsia="宋体" w:cs="Times New Roman"/>
      <w:kern w:val="0"/>
      <w:szCs w:val="20"/>
    </w:rPr>
  </w:style>
  <w:style w:type="paragraph" w:customStyle="1" w:styleId="883">
    <w:name w:val="Char Char Char Char Char Char2 Char Char Char Char"/>
    <w:basedOn w:val="1"/>
    <w:qFormat/>
    <w:uiPriority w:val="0"/>
    <w:rPr>
      <w:rFonts w:ascii="Times New Roman" w:hAnsi="Times New Roman" w:eastAsia="宋体" w:cs="Times New Roman"/>
      <w:szCs w:val="24"/>
    </w:rPr>
  </w:style>
  <w:style w:type="character" w:customStyle="1" w:styleId="884">
    <w:name w:val="正文(首行缩进) Char"/>
    <w:link w:val="885"/>
    <w:qFormat/>
    <w:locked/>
    <w:uiPriority w:val="0"/>
    <w:rPr>
      <w:rFonts w:ascii="Arial" w:hAnsi="Arial" w:cs="Arial"/>
      <w:szCs w:val="24"/>
    </w:rPr>
  </w:style>
  <w:style w:type="paragraph" w:customStyle="1" w:styleId="885">
    <w:name w:val="正文(首行缩进)"/>
    <w:basedOn w:val="1"/>
    <w:next w:val="1"/>
    <w:link w:val="884"/>
    <w:qFormat/>
    <w:uiPriority w:val="0"/>
    <w:pPr>
      <w:snapToGrid w:val="0"/>
      <w:spacing w:before="10" w:line="360" w:lineRule="auto"/>
      <w:ind w:firstLine="482"/>
    </w:pPr>
    <w:rPr>
      <w:rFonts w:ascii="Arial" w:hAnsi="Arial" w:cs="Arial"/>
      <w:szCs w:val="24"/>
    </w:rPr>
  </w:style>
  <w:style w:type="paragraph" w:customStyle="1" w:styleId="886">
    <w:name w:val="条目2"/>
    <w:basedOn w:val="32"/>
    <w:qFormat/>
    <w:uiPriority w:val="0"/>
    <w:pPr>
      <w:tabs>
        <w:tab w:val="left" w:pos="420"/>
      </w:tabs>
      <w:adjustRightInd/>
      <w:spacing w:line="360" w:lineRule="auto"/>
      <w:ind w:left="420" w:hanging="420"/>
    </w:pPr>
    <w:rPr>
      <w:rFonts w:cs="Courier New"/>
      <w:snapToGrid/>
      <w:color w:val="000000"/>
      <w:sz w:val="24"/>
    </w:rPr>
  </w:style>
  <w:style w:type="character" w:customStyle="1" w:styleId="887">
    <w:name w:val="样式1 Char"/>
    <w:link w:val="515"/>
    <w:qFormat/>
    <w:locked/>
    <w:uiPriority w:val="0"/>
    <w:rPr>
      <w:rFonts w:ascii="宋体" w:hAnsi="宋体" w:eastAsia="宋体" w:cs="Times New Roman"/>
      <w:kern w:val="0"/>
      <w:sz w:val="24"/>
      <w:szCs w:val="20"/>
    </w:rPr>
  </w:style>
  <w:style w:type="paragraph" w:customStyle="1" w:styleId="888">
    <w:name w:val="HD正文1"/>
    <w:basedOn w:val="1"/>
    <w:next w:val="17"/>
    <w:qFormat/>
    <w:uiPriority w:val="0"/>
    <w:pPr>
      <w:spacing w:line="360" w:lineRule="auto"/>
      <w:ind w:firstLine="480" w:firstLineChars="200"/>
    </w:pPr>
    <w:rPr>
      <w:rFonts w:ascii="宋体" w:hAnsi="宋体" w:eastAsia="宋体" w:cs="Times New Roman"/>
      <w:sz w:val="24"/>
      <w:szCs w:val="21"/>
    </w:rPr>
  </w:style>
  <w:style w:type="paragraph" w:customStyle="1" w:styleId="889">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90">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91">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92">
    <w:name w:val="Char Char Char Char Char Char Char Char Char Char Char"/>
    <w:basedOn w:val="1"/>
    <w:qFormat/>
    <w:uiPriority w:val="0"/>
    <w:rPr>
      <w:rFonts w:ascii="Tahoma" w:hAnsi="Tahoma" w:eastAsia="宋体" w:cs="Times New Roman"/>
      <w:sz w:val="24"/>
      <w:szCs w:val="20"/>
    </w:rPr>
  </w:style>
  <w:style w:type="paragraph" w:customStyle="1" w:styleId="893">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4">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5">
    <w:name w:val="条目3"/>
    <w:basedOn w:val="32"/>
    <w:qFormat/>
    <w:uiPriority w:val="0"/>
    <w:pPr>
      <w:adjustRightInd/>
      <w:spacing w:line="360" w:lineRule="auto"/>
    </w:pPr>
    <w:rPr>
      <w:rFonts w:cs="Courier New"/>
      <w:snapToGrid/>
      <w:color w:val="000000"/>
      <w:sz w:val="24"/>
    </w:rPr>
  </w:style>
  <w:style w:type="paragraph" w:customStyle="1" w:styleId="896">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7">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8">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9">
    <w:name w:val="DN-正文 Char"/>
    <w:link w:val="900"/>
    <w:qFormat/>
    <w:locked/>
    <w:uiPriority w:val="0"/>
    <w:rPr>
      <w:rFonts w:ascii="Arial" w:hAnsi="Arial" w:cs="Arial"/>
      <w:szCs w:val="24"/>
    </w:rPr>
  </w:style>
  <w:style w:type="paragraph" w:customStyle="1" w:styleId="900">
    <w:name w:val="DN-正文"/>
    <w:basedOn w:val="16"/>
    <w:link w:val="899"/>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01">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02">
    <w:name w:val="文字列表"/>
    <w:basedOn w:val="60"/>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3">
    <w:name w:val="批注主题 Char Char"/>
    <w:basedOn w:val="21"/>
    <w:next w:val="21"/>
    <w:qFormat/>
    <w:uiPriority w:val="0"/>
    <w:pPr>
      <w:adjustRightInd/>
    </w:pPr>
    <w:rPr>
      <w:rFonts w:ascii="仿宋_GB2312"/>
      <w:b/>
      <w:bCs/>
      <w:sz w:val="32"/>
      <w:szCs w:val="32"/>
    </w:rPr>
  </w:style>
  <w:style w:type="character" w:customStyle="1" w:styleId="904">
    <w:name w:val="普通正文 Char Char"/>
    <w:link w:val="500"/>
    <w:qFormat/>
    <w:locked/>
    <w:uiPriority w:val="0"/>
    <w:rPr>
      <w:rFonts w:ascii="Arial" w:hAnsi="Arial" w:eastAsia="宋体" w:cs="Times New Roman"/>
      <w:kern w:val="0"/>
      <w:sz w:val="24"/>
      <w:szCs w:val="24"/>
    </w:rPr>
  </w:style>
  <w:style w:type="paragraph" w:customStyle="1" w:styleId="905">
    <w:name w:val="无间隔3"/>
    <w:qFormat/>
    <w:uiPriority w:val="0"/>
    <w:rPr>
      <w:rFonts w:ascii="Calibri" w:hAnsi="Calibri" w:eastAsia="宋体" w:cs="Times New Roman"/>
      <w:sz w:val="22"/>
      <w:szCs w:val="22"/>
      <w:lang w:val="en-US" w:eastAsia="en-US" w:bidi="ar-SA"/>
    </w:rPr>
  </w:style>
  <w:style w:type="character" w:customStyle="1" w:styleId="90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7">
    <w:name w:val="c1"/>
    <w:qFormat/>
    <w:uiPriority w:val="0"/>
    <w:rPr>
      <w:rFonts w:hint="eastAsia" w:ascii="仿宋_GB2312" w:hAnsi="Arial" w:eastAsia="宋体" w:cs="Arial"/>
      <w:b/>
      <w:snapToGrid w:val="0"/>
      <w:kern w:val="2"/>
      <w:sz w:val="21"/>
      <w:szCs w:val="21"/>
      <w:lang w:val="en-US" w:eastAsia="zh-CN" w:bidi="ar-SA"/>
    </w:rPr>
  </w:style>
  <w:style w:type="character" w:customStyle="1" w:styleId="90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1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11">
    <w:name w:val="标题 8 Char1"/>
    <w:qFormat/>
    <w:uiPriority w:val="0"/>
    <w:rPr>
      <w:rFonts w:hint="default" w:ascii="Cambria" w:hAnsi="Cambria" w:eastAsia="宋体" w:cs="Times New Roman"/>
      <w:snapToGrid w:val="0"/>
      <w:kern w:val="2"/>
      <w:sz w:val="24"/>
      <w:szCs w:val="24"/>
    </w:rPr>
  </w:style>
  <w:style w:type="character" w:customStyle="1" w:styleId="912">
    <w:name w:val="标题 7 Char1"/>
    <w:qFormat/>
    <w:uiPriority w:val="0"/>
    <w:rPr>
      <w:rFonts w:hint="default" w:ascii="Times New Roman" w:hAnsi="Times New Roman" w:eastAsia="黑体" w:cs="Arial"/>
      <w:b/>
      <w:bCs/>
      <w:snapToGrid w:val="0"/>
      <w:kern w:val="2"/>
      <w:sz w:val="24"/>
      <w:szCs w:val="24"/>
    </w:rPr>
  </w:style>
  <w:style w:type="character" w:customStyle="1" w:styleId="91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4">
    <w:name w:val="标题 9 Char1"/>
    <w:qFormat/>
    <w:uiPriority w:val="0"/>
    <w:rPr>
      <w:rFonts w:hint="default" w:ascii="Cambria" w:hAnsi="Cambria" w:eastAsia="宋体" w:cs="Times New Roman"/>
      <w:snapToGrid w:val="0"/>
      <w:kern w:val="2"/>
      <w:sz w:val="21"/>
      <w:szCs w:val="21"/>
    </w:rPr>
  </w:style>
  <w:style w:type="character" w:customStyle="1" w:styleId="91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7">
    <w:name w:val="标题 3 Char1"/>
    <w:semiHidden/>
    <w:qFormat/>
    <w:locked/>
    <w:uiPriority w:val="0"/>
    <w:rPr>
      <w:rFonts w:ascii="Times New Roman" w:hAnsi="Times New Roman" w:eastAsia="宋体" w:cs="Times New Roman"/>
      <w:b/>
      <w:bCs/>
      <w:sz w:val="32"/>
      <w:szCs w:val="32"/>
    </w:rPr>
  </w:style>
  <w:style w:type="character" w:customStyle="1" w:styleId="918">
    <w:name w:val="标题 5 Char1"/>
    <w:qFormat/>
    <w:uiPriority w:val="0"/>
    <w:rPr>
      <w:rFonts w:hint="default" w:ascii="Times New Roman" w:hAnsi="Times New Roman" w:eastAsia="黑体" w:cs="Arial"/>
      <w:b/>
      <w:bCs/>
      <w:snapToGrid w:val="0"/>
      <w:kern w:val="2"/>
      <w:sz w:val="28"/>
      <w:szCs w:val="28"/>
    </w:rPr>
  </w:style>
  <w:style w:type="character" w:customStyle="1" w:styleId="919">
    <w:name w:val="未用 Char3"/>
    <w:qFormat/>
    <w:uiPriority w:val="0"/>
    <w:rPr>
      <w:rFonts w:hint="default" w:ascii="Arial" w:hAnsi="Arial" w:eastAsia="黑体" w:cs="Arial"/>
      <w:kern w:val="2"/>
      <w:sz w:val="21"/>
      <w:szCs w:val="21"/>
      <w:lang w:bidi="ar-SA"/>
    </w:rPr>
  </w:style>
  <w:style w:type="character" w:customStyle="1" w:styleId="920">
    <w:name w:val="PI Char3"/>
    <w:qFormat/>
    <w:uiPriority w:val="0"/>
    <w:rPr>
      <w:rFonts w:hint="eastAsia" w:ascii="宋体" w:hAnsi="宋体" w:eastAsia="宋体"/>
      <w:kern w:val="2"/>
      <w:sz w:val="24"/>
      <w:szCs w:val="24"/>
    </w:rPr>
  </w:style>
  <w:style w:type="character" w:customStyle="1" w:styleId="921">
    <w:name w:val="图名 Char3"/>
    <w:qFormat/>
    <w:uiPriority w:val="0"/>
    <w:rPr>
      <w:rFonts w:hint="default" w:ascii="Arial" w:hAnsi="Arial" w:eastAsia="黑体" w:cs="Arial"/>
      <w:kern w:val="2"/>
      <w:sz w:val="24"/>
      <w:szCs w:val="24"/>
      <w:lang w:bidi="ar-SA"/>
    </w:rPr>
  </w:style>
  <w:style w:type="character" w:customStyle="1" w:styleId="922">
    <w:name w:val="表名 Char3"/>
    <w:qFormat/>
    <w:uiPriority w:val="0"/>
    <w:rPr>
      <w:rFonts w:hint="eastAsia" w:ascii="宋体" w:hAnsi="宋体" w:eastAsia="宋体"/>
      <w:b/>
      <w:bCs/>
      <w:kern w:val="2"/>
      <w:sz w:val="24"/>
      <w:szCs w:val="24"/>
      <w:lang w:bidi="ar-SA"/>
    </w:rPr>
  </w:style>
  <w:style w:type="character" w:customStyle="1" w:styleId="923">
    <w:name w:val="Heading sql Char3"/>
    <w:qFormat/>
    <w:uiPriority w:val="0"/>
    <w:rPr>
      <w:rFonts w:hint="default" w:ascii="Arial" w:hAnsi="Arial" w:eastAsia="黑体" w:cs="Arial"/>
      <w:b/>
      <w:bCs/>
      <w:kern w:val="2"/>
      <w:sz w:val="28"/>
      <w:szCs w:val="28"/>
      <w:lang w:val="zh-CN" w:bidi="ar-SA"/>
    </w:rPr>
  </w:style>
  <w:style w:type="character" w:customStyle="1" w:styleId="924">
    <w:name w:val="H6 Char3"/>
    <w:qFormat/>
    <w:uiPriority w:val="0"/>
    <w:rPr>
      <w:rFonts w:hint="default" w:ascii="Arial" w:hAnsi="Arial" w:eastAsia="黑体" w:cs="Arial"/>
      <w:b/>
      <w:bCs/>
      <w:kern w:val="2"/>
      <w:sz w:val="24"/>
      <w:szCs w:val="24"/>
      <w:lang w:bidi="ar-SA"/>
    </w:rPr>
  </w:style>
  <w:style w:type="character" w:customStyle="1" w:styleId="925">
    <w:name w:val="正文首行缩进 Char Char"/>
    <w:qFormat/>
    <w:uiPriority w:val="0"/>
    <w:rPr>
      <w:rFonts w:hint="eastAsia" w:ascii="宋体" w:hAnsi="宋体" w:eastAsia="宋体"/>
      <w:kern w:val="2"/>
      <w:sz w:val="21"/>
      <w:szCs w:val="24"/>
      <w:lang w:val="en-US" w:eastAsia="zh-CN" w:bidi="ar-SA"/>
    </w:rPr>
  </w:style>
  <w:style w:type="character" w:customStyle="1" w:styleId="926">
    <w:name w:val="签名 Char Char"/>
    <w:qFormat/>
    <w:uiPriority w:val="0"/>
    <w:rPr>
      <w:rFonts w:hint="default" w:ascii="Arial" w:hAnsi="Arial" w:eastAsia="宋体" w:cs="Arial"/>
      <w:snapToGrid w:val="0"/>
      <w:kern w:val="0"/>
      <w:szCs w:val="24"/>
      <w:lang w:bidi="ar-SA"/>
    </w:rPr>
  </w:style>
  <w:style w:type="character" w:customStyle="1" w:styleId="927">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8">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9">
    <w:name w:val="称呼 Char Char"/>
    <w:qFormat/>
    <w:uiPriority w:val="0"/>
    <w:rPr>
      <w:rFonts w:hint="default" w:ascii="Arial" w:hAnsi="Arial" w:eastAsia="宋体" w:cs="Arial"/>
      <w:b/>
      <w:bCs/>
      <w:snapToGrid w:val="0"/>
      <w:kern w:val="0"/>
      <w:szCs w:val="24"/>
      <w:lang w:bidi="ar-SA"/>
    </w:rPr>
  </w:style>
  <w:style w:type="character" w:customStyle="1" w:styleId="930">
    <w:name w:val="正文文本缩进 Char3"/>
    <w:basedOn w:val="69"/>
    <w:semiHidden/>
    <w:qFormat/>
    <w:uiPriority w:val="99"/>
    <w:rPr>
      <w:rFonts w:hint="default" w:ascii="Arial" w:hAnsi="Arial" w:eastAsia="黑体" w:cs="Arial"/>
      <w:snapToGrid w:val="0"/>
      <w:kern w:val="2"/>
      <w:sz w:val="21"/>
      <w:szCs w:val="24"/>
    </w:rPr>
  </w:style>
  <w:style w:type="character" w:customStyle="1" w:styleId="931">
    <w:name w:val="正文文本 Char3"/>
    <w:basedOn w:val="69"/>
    <w:semiHidden/>
    <w:qFormat/>
    <w:uiPriority w:val="99"/>
    <w:rPr>
      <w:rFonts w:hint="default" w:ascii="Arial" w:hAnsi="Arial" w:eastAsia="黑体" w:cs="Arial"/>
      <w:snapToGrid w:val="0"/>
      <w:kern w:val="2"/>
      <w:sz w:val="21"/>
      <w:szCs w:val="24"/>
    </w:rPr>
  </w:style>
  <w:style w:type="character" w:customStyle="1" w:styleId="932">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3">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5">
    <w:name w:val="[Normal]"/>
    <w:qFormat/>
    <w:uiPriority w:val="0"/>
    <w:rPr>
      <w:rFonts w:ascii="宋体" w:hAnsi="宋体" w:eastAsia="宋体" w:cs="Times New Roman"/>
      <w:sz w:val="24"/>
      <w:szCs w:val="22"/>
      <w:lang w:val="zh-CN" w:eastAsia="zh-CN" w:bidi="ar-SA"/>
    </w:rPr>
  </w:style>
  <w:style w:type="paragraph" w:customStyle="1" w:styleId="936">
    <w:name w:val="正文首行缩进（深信服）"/>
    <w:basedOn w:val="937"/>
    <w:qFormat/>
    <w:uiPriority w:val="0"/>
    <w:pPr>
      <w:spacing w:after="50"/>
      <w:ind w:firstLine="480" w:firstLineChars="200"/>
    </w:pPr>
  </w:style>
  <w:style w:type="paragraph" w:customStyle="1" w:styleId="937">
    <w:name w:val="正文（深信服）"/>
    <w:qFormat/>
    <w:uiPriority w:val="0"/>
    <w:pPr>
      <w:spacing w:line="360" w:lineRule="auto"/>
      <w:ind w:firstLine="420"/>
    </w:pPr>
    <w:rPr>
      <w:rFonts w:ascii="Arial" w:hAnsi="Arial" w:eastAsia="等线" w:cs="Times New Roman"/>
      <w:sz w:val="24"/>
      <w:szCs w:val="21"/>
      <w:shd w:val="clear" w:color="auto" w:fill="FFFFFF"/>
      <w:lang w:val="en-US" w:eastAsia="zh-CN" w:bidi="ar-SA"/>
    </w:rPr>
  </w:style>
  <w:style w:type="paragraph" w:customStyle="1" w:styleId="938">
    <w:name w:val="!我的正文 Ctr+Q"/>
    <w:basedOn w:val="1"/>
    <w:qFormat/>
    <w:uiPriority w:val="0"/>
    <w:pPr>
      <w:adjustRightInd w:val="0"/>
      <w:snapToGrid w:val="0"/>
      <w:spacing w:line="360" w:lineRule="auto"/>
      <w:ind w:firstLine="480" w:firstLineChars="200"/>
    </w:pPr>
    <w:rPr>
      <w:rFonts w:ascii="Arial" w:hAnsi="Arial"/>
      <w:szCs w:val="21"/>
    </w:rPr>
  </w:style>
  <w:style w:type="character" w:customStyle="1" w:styleId="939">
    <w:name w:val="样式 宋体 小四号"/>
    <w:qFormat/>
    <w:uiPriority w:val="0"/>
    <w:rPr>
      <w:rFonts w:hint="eastAsia" w:ascii="宋体" w:hAnsi="宋体" w:eastAsia="宋体"/>
      <w:spacing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545</TotalTime>
  <ScaleCrop>false</ScaleCrop>
  <LinksUpToDate>false</LinksUpToDate>
  <CharactersWithSpaces>45682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2021-03-04T10:54:00Z</dcterms:created>
  <dc:creator>mb</dc:creator>
  <cp:lastModifiedBy>Administrator</cp:lastModifiedBy>
  <cp:lastPrinted>2022-01-10T01:16:00Z</cp:lastPrinted>
  <dcterms:modified xsi:type="dcterms:W3CDTF">2022-01-26T07:58:34Z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808AC240253D43FFBCB91A6512D511DD</vt:lpwstr>
  </property>
</Properties>
</file>