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41" w:rsidRDefault="00752241" w:rsidP="00752241">
      <w:pPr>
        <w:widowControl/>
        <w:spacing w:line="288" w:lineRule="auto"/>
        <w:ind w:right="62"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752241" w:rsidRDefault="00752241" w:rsidP="00752241">
      <w:pPr>
        <w:spacing w:line="288" w:lineRule="auto"/>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采购资金的支付方式、时间、条件</w:t>
      </w:r>
    </w:p>
    <w:p w:rsidR="00752241" w:rsidRDefault="00752241" w:rsidP="00752241">
      <w:pPr>
        <w:spacing w:line="288" w:lineRule="auto"/>
        <w:ind w:firstLineChars="200" w:firstLine="420"/>
        <w:rPr>
          <w:rFonts w:ascii="宋体" w:hAnsi="宋体" w:hint="eastAsia"/>
          <w:sz w:val="21"/>
          <w:szCs w:val="21"/>
        </w:rPr>
      </w:pPr>
      <w:r>
        <w:rPr>
          <w:rFonts w:ascii="宋体" w:hAnsi="宋体" w:hint="eastAsia"/>
          <w:sz w:val="21"/>
          <w:szCs w:val="21"/>
        </w:rPr>
        <w:t>1.设备到货、安装、验收合格后一个月内，采购人一次性支付全部合同款；</w:t>
      </w:r>
    </w:p>
    <w:p w:rsidR="00752241" w:rsidRDefault="00752241" w:rsidP="00752241">
      <w:pPr>
        <w:spacing w:line="288" w:lineRule="auto"/>
        <w:ind w:firstLineChars="200" w:firstLine="420"/>
        <w:rPr>
          <w:rFonts w:ascii="宋体" w:hAnsi="宋体" w:hint="eastAsia"/>
          <w:sz w:val="21"/>
          <w:szCs w:val="21"/>
        </w:rPr>
      </w:pPr>
      <w:r>
        <w:rPr>
          <w:rFonts w:ascii="宋体" w:hAnsi="宋体" w:hint="eastAsia"/>
          <w:sz w:val="21"/>
          <w:szCs w:val="21"/>
        </w:rPr>
        <w:t>2.合同签订后，成交供应商向采购人缴纳合同金额5%的质量保证金，在质保期内无质量问题和维护问题，质保期满后，于一周内退还（不计息）。</w:t>
      </w:r>
    </w:p>
    <w:p w:rsidR="00752241" w:rsidRDefault="00752241" w:rsidP="00752241">
      <w:pPr>
        <w:spacing w:line="288" w:lineRule="auto"/>
        <w:outlineLvl w:val="1"/>
        <w:rPr>
          <w:rFonts w:ascii="宋体" w:hAnsi="宋体"/>
          <w:b/>
          <w:sz w:val="21"/>
          <w:szCs w:val="21"/>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z w:val="21"/>
          <w:szCs w:val="21"/>
        </w:rPr>
        <w:t>（技术要求里另有注明的以技术要求为准）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26"/>
        <w:gridCol w:w="7230"/>
      </w:tblGrid>
      <w:tr w:rsidR="00752241" w:rsidTr="009A7DE6">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230"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3年（项目验收合格后开始计算）</w:t>
            </w:r>
          </w:p>
        </w:tc>
      </w:tr>
      <w:tr w:rsidR="00752241" w:rsidTr="009A7DE6">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230"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rsidR="00752241" w:rsidTr="009A7DE6">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230"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合同商品出现故障后，成交供应商接到采购人通知后，应在不超过2小时内做出响应，不超过2个工作日内解决故障。</w:t>
            </w:r>
          </w:p>
        </w:tc>
      </w:tr>
      <w:tr w:rsidR="00752241" w:rsidTr="009A7DE6">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230"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交付时间：合同签订后30日内交付并</w:t>
            </w:r>
            <w:r>
              <w:rPr>
                <w:rFonts w:ascii="宋体" w:hAnsi="宋体"/>
                <w:sz w:val="21"/>
                <w:szCs w:val="21"/>
              </w:rPr>
              <w:t>安装完毕。</w:t>
            </w:r>
          </w:p>
          <w:p w:rsidR="00752241" w:rsidRDefault="00752241" w:rsidP="009A7DE6">
            <w:pPr>
              <w:spacing w:line="288" w:lineRule="auto"/>
              <w:rPr>
                <w:rFonts w:ascii="宋体" w:hAnsi="宋体" w:hint="eastAsia"/>
                <w:sz w:val="21"/>
                <w:szCs w:val="21"/>
              </w:rPr>
            </w:pPr>
            <w:r>
              <w:rPr>
                <w:rFonts w:ascii="宋体" w:hAnsi="宋体" w:hint="eastAsia"/>
                <w:sz w:val="21"/>
                <w:szCs w:val="21"/>
              </w:rPr>
              <w:t>交货地点：采购人指定地点。</w:t>
            </w:r>
          </w:p>
        </w:tc>
      </w:tr>
      <w:tr w:rsidR="00752241" w:rsidTr="009A7DE6">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230"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752241" w:rsidRDefault="00752241" w:rsidP="009A7DE6">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供应商应于响应文件中提供合同货物的验收标准和检测办法，并在验收中提供采购人认可的相应检测手段，验收标准应符合中国有关的国家、地方、行业的标准，如若成交，经采购人确认后作为验收的依据。</w:t>
            </w:r>
          </w:p>
          <w:p w:rsidR="00752241" w:rsidRDefault="00752241" w:rsidP="009A7DE6">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如成交供应商委托国内代理（或其他机构）负责安装或配合安装，应在签约时指明，但成交供应商仍要对合同货物及其安装质量负全部责任。</w:t>
            </w:r>
          </w:p>
          <w:p w:rsidR="00752241" w:rsidRDefault="00752241" w:rsidP="009A7DE6">
            <w:pPr>
              <w:spacing w:line="288" w:lineRule="auto"/>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验收费用由成交供应商承担。</w:t>
            </w:r>
          </w:p>
        </w:tc>
      </w:tr>
      <w:tr w:rsidR="00752241" w:rsidTr="009A7DE6">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230" w:type="dxa"/>
            <w:tcBorders>
              <w:top w:val="single" w:sz="4" w:space="0" w:color="auto"/>
              <w:left w:val="single" w:sz="4" w:space="0" w:color="auto"/>
              <w:bottom w:val="single" w:sz="4" w:space="0" w:color="auto"/>
              <w:right w:val="single" w:sz="4" w:space="0" w:color="auto"/>
            </w:tcBorders>
            <w:vAlign w:val="center"/>
          </w:tcPr>
          <w:p w:rsidR="00752241" w:rsidRDefault="00752241" w:rsidP="009A7DE6">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752241" w:rsidRDefault="00752241" w:rsidP="009A7DE6">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成交供应商应对采购人的操作人员、维修人员免费进行培训。</w:t>
            </w:r>
          </w:p>
          <w:p w:rsidR="00752241" w:rsidRDefault="00752241" w:rsidP="009A7DE6">
            <w:pPr>
              <w:spacing w:line="288" w:lineRule="auto"/>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成交供应商应提供相应的培训计划。</w:t>
            </w:r>
          </w:p>
          <w:p w:rsidR="00752241" w:rsidRDefault="00752241" w:rsidP="009A7DE6">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供应商应对上述内容的实现方式、地点、人数、时间在响应文件中详细说明。</w:t>
            </w:r>
          </w:p>
          <w:p w:rsidR="00752241" w:rsidRDefault="00752241" w:rsidP="009A7DE6">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安装调试（若需要安装调试）：</w:t>
            </w:r>
          </w:p>
          <w:p w:rsidR="00752241" w:rsidRDefault="00752241" w:rsidP="009A7DE6">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.1 </w:t>
            </w:r>
            <w:r>
              <w:rPr>
                <w:rFonts w:ascii="宋体" w:hAnsi="宋体" w:hint="eastAsia"/>
                <w:sz w:val="21"/>
                <w:szCs w:val="21"/>
              </w:rPr>
              <w:t>安装地点：采购人指定地点。</w:t>
            </w:r>
          </w:p>
          <w:p w:rsidR="00752241" w:rsidRDefault="00752241" w:rsidP="009A7DE6">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.2 </w:t>
            </w:r>
            <w:r>
              <w:rPr>
                <w:rFonts w:ascii="宋体" w:hAnsi="宋体" w:hint="eastAsia"/>
                <w:sz w:val="21"/>
                <w:szCs w:val="21"/>
              </w:rPr>
              <w:t>安装完成时间：接到采购人通知后在30日内完成安装和调试，如在规定的时间内由于成交供应商的原因不能完成安装和调试，成交供应商应承担由</w:t>
            </w:r>
            <w:r>
              <w:rPr>
                <w:rFonts w:ascii="宋体" w:hAnsi="宋体" w:hint="eastAsia"/>
                <w:sz w:val="21"/>
                <w:szCs w:val="21"/>
              </w:rPr>
              <w:lastRenderedPageBreak/>
              <w:t>此给采购人造成的损失。</w:t>
            </w:r>
          </w:p>
          <w:p w:rsidR="00752241" w:rsidRDefault="00752241" w:rsidP="009A7DE6">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752241" w:rsidRDefault="00752241" w:rsidP="009A7DE6">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.4 </w:t>
            </w:r>
            <w:r>
              <w:rPr>
                <w:rFonts w:ascii="宋体" w:hAnsi="宋体" w:hint="eastAsia"/>
                <w:sz w:val="21"/>
                <w:szCs w:val="21"/>
              </w:rPr>
              <w:t>成交供应商免费提供合同货物的安装服务。</w:t>
            </w:r>
          </w:p>
          <w:p w:rsidR="00752241" w:rsidRDefault="00752241" w:rsidP="009A7DE6">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.5 </w:t>
            </w:r>
            <w:r>
              <w:rPr>
                <w:rFonts w:ascii="宋体" w:hAnsi="宋体" w:hint="eastAsia"/>
                <w:sz w:val="21"/>
                <w:szCs w:val="21"/>
              </w:rPr>
              <w:t>成交供应商在响应文件中应提供安装调试计划、对安装场地和环境的要求。</w:t>
            </w:r>
          </w:p>
        </w:tc>
      </w:tr>
    </w:tbl>
    <w:p w:rsidR="00752241" w:rsidRDefault="00752241" w:rsidP="00752241">
      <w:pPr>
        <w:spacing w:line="288" w:lineRule="auto"/>
        <w:outlineLvl w:val="1"/>
        <w:rPr>
          <w:rFonts w:ascii="宋体" w:hAnsi="宋体"/>
          <w:b/>
          <w:sz w:val="21"/>
          <w:szCs w:val="21"/>
        </w:rPr>
      </w:pPr>
      <w:r>
        <w:rPr>
          <w:rFonts w:ascii="宋体" w:hAnsi="宋体" w:hint="eastAsia"/>
          <w:b/>
          <w:sz w:val="21"/>
          <w:szCs w:val="21"/>
        </w:rPr>
        <w:lastRenderedPageBreak/>
        <w:t>三</w:t>
      </w:r>
      <w:r>
        <w:rPr>
          <w:rFonts w:ascii="宋体" w:hAnsi="宋体"/>
          <w:b/>
          <w:sz w:val="21"/>
          <w:szCs w:val="21"/>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2037"/>
        <w:gridCol w:w="796"/>
        <w:gridCol w:w="5672"/>
      </w:tblGrid>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b/>
                <w:sz w:val="21"/>
                <w:szCs w:val="21"/>
              </w:rPr>
            </w:pPr>
            <w:r>
              <w:rPr>
                <w:rFonts w:ascii="宋体" w:hAnsi="宋体" w:hint="eastAsia"/>
                <w:b/>
                <w:sz w:val="21"/>
                <w:szCs w:val="21"/>
              </w:rPr>
              <w:t>序号</w:t>
            </w:r>
          </w:p>
        </w:tc>
        <w:tc>
          <w:tcPr>
            <w:tcW w:w="2037" w:type="dxa"/>
            <w:vAlign w:val="center"/>
          </w:tcPr>
          <w:p w:rsidR="00752241" w:rsidRDefault="00752241" w:rsidP="009A7DE6">
            <w:pPr>
              <w:spacing w:line="288" w:lineRule="auto"/>
              <w:jc w:val="center"/>
              <w:rPr>
                <w:rFonts w:ascii="宋体" w:hAnsi="宋体"/>
                <w:b/>
                <w:sz w:val="21"/>
                <w:szCs w:val="21"/>
              </w:rPr>
            </w:pPr>
            <w:r>
              <w:rPr>
                <w:rFonts w:ascii="宋体" w:hAnsi="宋体" w:hint="eastAsia"/>
                <w:b/>
                <w:sz w:val="21"/>
                <w:szCs w:val="21"/>
              </w:rPr>
              <w:t>货物名称</w:t>
            </w:r>
          </w:p>
        </w:tc>
        <w:tc>
          <w:tcPr>
            <w:tcW w:w="796" w:type="dxa"/>
            <w:vAlign w:val="center"/>
          </w:tcPr>
          <w:p w:rsidR="00752241" w:rsidRDefault="00752241" w:rsidP="009A7DE6">
            <w:pPr>
              <w:spacing w:line="288" w:lineRule="auto"/>
              <w:jc w:val="center"/>
              <w:rPr>
                <w:rFonts w:ascii="宋体" w:hAnsi="宋体"/>
                <w:b/>
                <w:sz w:val="21"/>
                <w:szCs w:val="21"/>
              </w:rPr>
            </w:pPr>
            <w:r>
              <w:rPr>
                <w:rFonts w:ascii="宋体" w:hAnsi="宋体" w:hint="eastAsia"/>
                <w:b/>
                <w:sz w:val="21"/>
                <w:szCs w:val="21"/>
              </w:rPr>
              <w:t>数量</w:t>
            </w:r>
          </w:p>
        </w:tc>
        <w:tc>
          <w:tcPr>
            <w:tcW w:w="5672" w:type="dxa"/>
            <w:vAlign w:val="center"/>
          </w:tcPr>
          <w:p w:rsidR="00752241" w:rsidRDefault="00752241" w:rsidP="009A7DE6">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1</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堆垛车</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2</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载重1.5吨，可升高4米。</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2</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照度计</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3</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可测光谱、照度、色度以及植物光度，支持usb或wifi与电脑连接，带探头，可远程测试。</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3</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测距仪</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3</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手持式激光测距仪，测距范围：0.05-200m；测距精度：±2.0mm；激光等级：2级；断电机器保护，防尘、防水；可连续测量及记忆测量值20个以上数据新增功能。</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4</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文物专用周转箱</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20</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1100×1100×1100mm，内嵌博物馆专用海绵，恒温（防冻裂、防晒等）。</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5</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防磁防潮柜</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2</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博物馆专用，尺寸至少190×121×580cm，钢板，可分层调节。</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6</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平板拉货车</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5</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防震、静音、可爬楼梯。</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7</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登高梯</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2</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2米，底座带有可锁定万向导轮。</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8</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五步梯</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4</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采用优质喷塑钢管构架，踏板采用优质PP材料，防滑，可折叠存放，承重150KG。</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9</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抽湿机1</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5</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至少200平方米使用，除湿量至少130L/天。</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10</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抽湿机2</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5</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至少500平方米使用，除湿量至少480L/天。</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11</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库房专用登高梯</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2</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2米，只有一侧供上下，另一侧加固使用；底座带有可锁定万向导轮，可安全固定；有扶手，承重500公斤。</w:t>
            </w:r>
          </w:p>
        </w:tc>
      </w:tr>
      <w:tr w:rsidR="00752241" w:rsidTr="009A7DE6">
        <w:trPr>
          <w:trHeight w:val="283"/>
          <w:jc w:val="center"/>
        </w:trPr>
        <w:tc>
          <w:tcPr>
            <w:tcW w:w="849"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12</w:t>
            </w:r>
          </w:p>
        </w:tc>
        <w:tc>
          <w:tcPr>
            <w:tcW w:w="2037"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减震文物推车</w:t>
            </w:r>
          </w:p>
        </w:tc>
        <w:tc>
          <w:tcPr>
            <w:tcW w:w="796" w:type="dxa"/>
            <w:vAlign w:val="center"/>
          </w:tcPr>
          <w:p w:rsidR="00752241" w:rsidRDefault="00752241" w:rsidP="009A7DE6">
            <w:pPr>
              <w:spacing w:line="288" w:lineRule="auto"/>
              <w:jc w:val="center"/>
              <w:rPr>
                <w:rFonts w:ascii="宋体" w:hAnsi="宋体" w:hint="eastAsia"/>
                <w:sz w:val="21"/>
                <w:szCs w:val="21"/>
              </w:rPr>
            </w:pPr>
            <w:r>
              <w:rPr>
                <w:rFonts w:ascii="宋体" w:hAnsi="宋体" w:hint="eastAsia"/>
                <w:sz w:val="21"/>
                <w:szCs w:val="21"/>
              </w:rPr>
              <w:t>2</w:t>
            </w:r>
          </w:p>
        </w:tc>
        <w:tc>
          <w:tcPr>
            <w:tcW w:w="5672" w:type="dxa"/>
            <w:vAlign w:val="center"/>
          </w:tcPr>
          <w:p w:rsidR="00752241" w:rsidRDefault="00752241" w:rsidP="009A7DE6">
            <w:pPr>
              <w:spacing w:line="288" w:lineRule="auto"/>
              <w:rPr>
                <w:rFonts w:ascii="宋体" w:hAnsi="宋体" w:hint="eastAsia"/>
                <w:sz w:val="21"/>
                <w:szCs w:val="21"/>
              </w:rPr>
            </w:pPr>
            <w:r>
              <w:rPr>
                <w:rFonts w:ascii="宋体" w:hAnsi="宋体" w:hint="eastAsia"/>
                <w:sz w:val="21"/>
                <w:szCs w:val="21"/>
              </w:rPr>
              <w:t>带海绵，可避震。</w:t>
            </w:r>
          </w:p>
        </w:tc>
      </w:tr>
    </w:tbl>
    <w:p w:rsidR="00752241" w:rsidRDefault="00752241" w:rsidP="00752241">
      <w:pPr>
        <w:spacing w:line="288" w:lineRule="auto"/>
        <w:rPr>
          <w:rFonts w:ascii="宋体" w:hAnsi="宋体" w:hint="eastAsia"/>
          <w:b/>
          <w:sz w:val="21"/>
          <w:szCs w:val="21"/>
        </w:rPr>
      </w:pPr>
    </w:p>
    <w:p w:rsidR="00752241" w:rsidRDefault="00752241" w:rsidP="00752241">
      <w:pPr>
        <w:spacing w:line="288" w:lineRule="auto"/>
        <w:rPr>
          <w:rFonts w:ascii="宋体" w:hAnsi="宋体"/>
          <w:b/>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注：除磋商文件中所明确的技术规格和品牌外，欢迎其他能满足本项目技术需求且性能相当于或高于所明确品牌的产品参加响应，同时在需求偏离表中作出详细对比说明。</w:t>
      </w:r>
    </w:p>
    <w:p w:rsidR="008908BB" w:rsidRDefault="008908BB"/>
    <w:sectPr w:rsidR="008908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8BB" w:rsidRDefault="008908BB" w:rsidP="00752241">
      <w:r>
        <w:separator/>
      </w:r>
    </w:p>
  </w:endnote>
  <w:endnote w:type="continuationSeparator" w:id="1">
    <w:p w:rsidR="008908BB" w:rsidRDefault="008908BB" w:rsidP="007522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8BB" w:rsidRDefault="008908BB" w:rsidP="00752241">
      <w:r>
        <w:separator/>
      </w:r>
    </w:p>
  </w:footnote>
  <w:footnote w:type="continuationSeparator" w:id="1">
    <w:p w:rsidR="008908BB" w:rsidRDefault="008908BB" w:rsidP="007522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241"/>
    <w:rsid w:val="00752241"/>
    <w:rsid w:val="00890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241"/>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22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52241"/>
    <w:rPr>
      <w:sz w:val="18"/>
      <w:szCs w:val="18"/>
    </w:rPr>
  </w:style>
  <w:style w:type="paragraph" w:styleId="a4">
    <w:name w:val="footer"/>
    <w:basedOn w:val="a"/>
    <w:link w:val="Char0"/>
    <w:uiPriority w:val="99"/>
    <w:semiHidden/>
    <w:unhideWhenUsed/>
    <w:rsid w:val="007522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522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1454</Characters>
  <Application>Microsoft Office Word</Application>
  <DocSecurity>0</DocSecurity>
  <Lines>12</Lines>
  <Paragraphs>3</Paragraphs>
  <ScaleCrop>false</ScaleCrop>
  <Company>china</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2018-09-26T08:18:00Z</dcterms:created>
  <dcterms:modified xsi:type="dcterms:W3CDTF">2018-09-26T08:18:00Z</dcterms:modified>
</cp:coreProperties>
</file>