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E6" w:rsidRDefault="003A10E6" w:rsidP="003A10E6">
      <w:pPr>
        <w:widowControl/>
        <w:spacing w:line="288" w:lineRule="auto"/>
        <w:ind w:right="62"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3A10E6" w:rsidRDefault="003A10E6" w:rsidP="003A10E6">
      <w:pPr>
        <w:spacing w:line="288" w:lineRule="auto"/>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采购资金的支付方式、时间、条件</w:t>
      </w:r>
    </w:p>
    <w:p w:rsidR="003A10E6" w:rsidRDefault="003A10E6" w:rsidP="003A10E6">
      <w:pPr>
        <w:spacing w:line="288" w:lineRule="auto"/>
        <w:ind w:firstLineChars="200" w:firstLine="420"/>
        <w:rPr>
          <w:rFonts w:ascii="宋体" w:hAnsi="宋体" w:hint="eastAsia"/>
          <w:sz w:val="21"/>
          <w:szCs w:val="21"/>
        </w:rPr>
      </w:pPr>
      <w:r>
        <w:rPr>
          <w:rFonts w:ascii="宋体" w:hAnsi="宋体" w:hint="eastAsia"/>
          <w:sz w:val="21"/>
          <w:szCs w:val="21"/>
        </w:rPr>
        <w:t>1.设备到货、安装、验收合格后一个月内，采购人一次性支付全部合同款；</w:t>
      </w:r>
    </w:p>
    <w:p w:rsidR="003A10E6" w:rsidRDefault="003A10E6" w:rsidP="003A10E6">
      <w:pPr>
        <w:spacing w:line="288" w:lineRule="auto"/>
        <w:ind w:firstLineChars="200" w:firstLine="420"/>
        <w:rPr>
          <w:rFonts w:ascii="宋体" w:hAnsi="宋体" w:hint="eastAsia"/>
          <w:sz w:val="21"/>
          <w:szCs w:val="21"/>
        </w:rPr>
      </w:pPr>
      <w:r>
        <w:rPr>
          <w:rFonts w:ascii="宋体" w:hAnsi="宋体" w:hint="eastAsia"/>
          <w:sz w:val="21"/>
          <w:szCs w:val="21"/>
        </w:rPr>
        <w:t>2.合同签订后，成交供应商向采购人缴纳合同金额5%的质量保证金，在质保期内无质量问题和维护问题，质保期满后，于一周内退还（不计息）。</w:t>
      </w:r>
    </w:p>
    <w:p w:rsidR="003A10E6" w:rsidRDefault="003A10E6" w:rsidP="003A10E6">
      <w:pPr>
        <w:spacing w:line="288" w:lineRule="auto"/>
        <w:outlineLvl w:val="1"/>
        <w:rPr>
          <w:rFonts w:ascii="宋体" w:hAnsi="宋体"/>
          <w:b/>
          <w:sz w:val="21"/>
          <w:szCs w:val="21"/>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z w:val="21"/>
          <w:szCs w:val="21"/>
        </w:rPr>
        <w:t>（技术要求里另有注明的以技术要求为准）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26"/>
        <w:gridCol w:w="7230"/>
      </w:tblGrid>
      <w:tr w:rsidR="003A10E6" w:rsidTr="00110C9D">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230"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3年（项目验收合格后开始计算）</w:t>
            </w:r>
          </w:p>
        </w:tc>
      </w:tr>
      <w:tr w:rsidR="003A10E6" w:rsidTr="00110C9D">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230"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3A10E6" w:rsidTr="00110C9D">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230"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合同商品出现故障后，成交供应商接到采购人通知后，应在不超过2小时内做出响应，不超过2个工作日内解决故障。</w:t>
            </w:r>
          </w:p>
        </w:tc>
      </w:tr>
      <w:tr w:rsidR="003A10E6" w:rsidTr="00110C9D">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230"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交付时间：合同签订后30日内交付并</w:t>
            </w:r>
            <w:r>
              <w:rPr>
                <w:rFonts w:ascii="宋体" w:hAnsi="宋体"/>
                <w:sz w:val="21"/>
                <w:szCs w:val="21"/>
              </w:rPr>
              <w:t>安装完毕。</w:t>
            </w:r>
          </w:p>
          <w:p w:rsidR="003A10E6" w:rsidRDefault="003A10E6" w:rsidP="00110C9D">
            <w:pPr>
              <w:spacing w:line="288" w:lineRule="auto"/>
              <w:rPr>
                <w:rFonts w:ascii="宋体" w:hAnsi="宋体" w:hint="eastAsia"/>
                <w:sz w:val="21"/>
                <w:szCs w:val="21"/>
              </w:rPr>
            </w:pPr>
            <w:r>
              <w:rPr>
                <w:rFonts w:ascii="宋体" w:hAnsi="宋体" w:hint="eastAsia"/>
                <w:sz w:val="21"/>
                <w:szCs w:val="21"/>
              </w:rPr>
              <w:t>交货地点：采购人指定地点。</w:t>
            </w:r>
          </w:p>
        </w:tc>
      </w:tr>
      <w:tr w:rsidR="003A10E6" w:rsidTr="00110C9D">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230"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3A10E6" w:rsidRDefault="003A10E6" w:rsidP="00110C9D">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供应商应于响应文件中提供合同货物的验收标准和检测办法，并在验收中提供采购人认可的相应检测手段，验收标准应符合中国有关的国家、地方、行业的标准，如若成交，经采购人确认后作为验收的依据。</w:t>
            </w:r>
          </w:p>
          <w:p w:rsidR="003A10E6" w:rsidRDefault="003A10E6" w:rsidP="00110C9D">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3A10E6" w:rsidRDefault="003A10E6" w:rsidP="00110C9D">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验收费用由成交供应商承担。</w:t>
            </w:r>
          </w:p>
        </w:tc>
      </w:tr>
      <w:tr w:rsidR="003A10E6" w:rsidTr="00110C9D">
        <w:trPr>
          <w:trHeight w:val="454"/>
          <w:jc w:val="center"/>
        </w:trPr>
        <w:tc>
          <w:tcPr>
            <w:tcW w:w="2126"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jc w:val="center"/>
              <w:rPr>
                <w:rFonts w:ascii="宋体" w:hAnsi="宋体" w:hint="eastAsia"/>
                <w:spacing w:val="-6"/>
                <w:sz w:val="21"/>
                <w:szCs w:val="21"/>
              </w:rPr>
            </w:pPr>
            <w:r>
              <w:rPr>
                <w:rFonts w:ascii="宋体" w:hAnsi="宋体"/>
                <w:sz w:val="21"/>
                <w:szCs w:val="21"/>
              </w:rPr>
              <w:t>其他技术、服务要求</w:t>
            </w:r>
          </w:p>
        </w:tc>
        <w:tc>
          <w:tcPr>
            <w:tcW w:w="7230" w:type="dxa"/>
            <w:tcBorders>
              <w:top w:val="single" w:sz="4" w:space="0" w:color="auto"/>
              <w:left w:val="single" w:sz="4" w:space="0" w:color="auto"/>
              <w:bottom w:val="single" w:sz="4" w:space="0" w:color="auto"/>
              <w:right w:val="single" w:sz="4" w:space="0" w:color="auto"/>
            </w:tcBorders>
            <w:vAlign w:val="center"/>
          </w:tcPr>
          <w:p w:rsidR="003A10E6" w:rsidRDefault="003A10E6" w:rsidP="00110C9D">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3A10E6" w:rsidRDefault="003A10E6" w:rsidP="00110C9D">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成交供应商应对采购人的操作人员、维修人员免费进行培训。</w:t>
            </w:r>
          </w:p>
          <w:p w:rsidR="003A10E6" w:rsidRDefault="003A10E6" w:rsidP="00110C9D">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成交供应商应提供相应的培训计划。</w:t>
            </w:r>
          </w:p>
          <w:p w:rsidR="003A10E6" w:rsidRDefault="003A10E6" w:rsidP="00110C9D">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供应商应对上述内容的实现方式、地点、人数、时间在响应文件中详细说明。</w:t>
            </w:r>
          </w:p>
          <w:p w:rsidR="003A10E6" w:rsidRDefault="003A10E6" w:rsidP="00110C9D">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安装调试（若需要安装调试）：</w:t>
            </w:r>
          </w:p>
          <w:p w:rsidR="003A10E6" w:rsidRDefault="003A10E6" w:rsidP="00110C9D">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.1 </w:t>
            </w:r>
            <w:r>
              <w:rPr>
                <w:rFonts w:ascii="宋体" w:hAnsi="宋体" w:hint="eastAsia"/>
                <w:sz w:val="21"/>
                <w:szCs w:val="21"/>
              </w:rPr>
              <w:t>安装地点：采购人指定地点。</w:t>
            </w:r>
          </w:p>
          <w:p w:rsidR="003A10E6" w:rsidRDefault="003A10E6" w:rsidP="00110C9D">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.2 </w:t>
            </w:r>
            <w:r>
              <w:rPr>
                <w:rFonts w:ascii="宋体" w:hAnsi="宋体" w:hint="eastAsia"/>
                <w:sz w:val="21"/>
                <w:szCs w:val="21"/>
              </w:rPr>
              <w:t>安装完成时间：接到采购人通知后在30日内完成安装和调试，如在规定的时间内由于成交供应商的原因不能完成安装和调试，成交供应商应承担由</w:t>
            </w:r>
            <w:r>
              <w:rPr>
                <w:rFonts w:ascii="宋体" w:hAnsi="宋体" w:hint="eastAsia"/>
                <w:sz w:val="21"/>
                <w:szCs w:val="21"/>
              </w:rPr>
              <w:lastRenderedPageBreak/>
              <w:t>此给采购人造成的损失。</w:t>
            </w:r>
          </w:p>
          <w:p w:rsidR="003A10E6" w:rsidRDefault="003A10E6" w:rsidP="00110C9D">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3A10E6" w:rsidRDefault="003A10E6" w:rsidP="00110C9D">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.4 </w:t>
            </w:r>
            <w:r>
              <w:rPr>
                <w:rFonts w:ascii="宋体" w:hAnsi="宋体" w:hint="eastAsia"/>
                <w:sz w:val="21"/>
                <w:szCs w:val="21"/>
              </w:rPr>
              <w:t>成交供应商免费提供合同货物的安装服务。</w:t>
            </w:r>
          </w:p>
          <w:p w:rsidR="003A10E6" w:rsidRDefault="003A10E6" w:rsidP="00110C9D">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 xml:space="preserve">.5 </w:t>
            </w:r>
            <w:r>
              <w:rPr>
                <w:rFonts w:ascii="宋体" w:hAnsi="宋体" w:hint="eastAsia"/>
                <w:sz w:val="21"/>
                <w:szCs w:val="21"/>
              </w:rPr>
              <w:t>成交供应商在响应文件中应提供安装调试计划、对安装场地和环境的要求。</w:t>
            </w:r>
          </w:p>
        </w:tc>
      </w:tr>
    </w:tbl>
    <w:p w:rsidR="003A10E6" w:rsidRDefault="003A10E6" w:rsidP="003A10E6">
      <w:pPr>
        <w:spacing w:line="288" w:lineRule="auto"/>
        <w:outlineLvl w:val="1"/>
        <w:rPr>
          <w:rFonts w:ascii="宋体" w:hAnsi="宋体"/>
          <w:b/>
          <w:sz w:val="21"/>
          <w:szCs w:val="21"/>
        </w:rPr>
      </w:pPr>
      <w:r>
        <w:rPr>
          <w:rFonts w:ascii="宋体" w:hAnsi="宋体" w:hint="eastAsia"/>
          <w:b/>
          <w:sz w:val="21"/>
          <w:szCs w:val="21"/>
        </w:rPr>
        <w:lastRenderedPageBreak/>
        <w:t>三</w:t>
      </w:r>
      <w:r>
        <w:rPr>
          <w:rFonts w:ascii="宋体" w:hAnsi="宋体"/>
          <w:b/>
          <w:sz w:val="21"/>
          <w:szCs w:val="21"/>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1834"/>
        <w:gridCol w:w="759"/>
        <w:gridCol w:w="6161"/>
      </w:tblGrid>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b/>
                <w:sz w:val="21"/>
                <w:szCs w:val="21"/>
              </w:rPr>
            </w:pPr>
            <w:r>
              <w:rPr>
                <w:rFonts w:ascii="宋体" w:hAnsi="宋体" w:hint="eastAsia"/>
                <w:b/>
                <w:sz w:val="21"/>
                <w:szCs w:val="21"/>
              </w:rPr>
              <w:t>序号</w:t>
            </w:r>
          </w:p>
        </w:tc>
        <w:tc>
          <w:tcPr>
            <w:tcW w:w="1834" w:type="dxa"/>
            <w:vAlign w:val="center"/>
          </w:tcPr>
          <w:p w:rsidR="003A10E6" w:rsidRDefault="003A10E6" w:rsidP="00110C9D">
            <w:pPr>
              <w:spacing w:line="288" w:lineRule="auto"/>
              <w:jc w:val="center"/>
              <w:rPr>
                <w:rFonts w:ascii="宋体" w:hAnsi="宋体"/>
                <w:b/>
                <w:sz w:val="21"/>
                <w:szCs w:val="21"/>
              </w:rPr>
            </w:pPr>
            <w:r>
              <w:rPr>
                <w:rFonts w:ascii="宋体" w:hAnsi="宋体" w:hint="eastAsia"/>
                <w:b/>
                <w:sz w:val="21"/>
                <w:szCs w:val="21"/>
              </w:rPr>
              <w:t>货物名称</w:t>
            </w:r>
          </w:p>
        </w:tc>
        <w:tc>
          <w:tcPr>
            <w:tcW w:w="759" w:type="dxa"/>
            <w:vAlign w:val="center"/>
          </w:tcPr>
          <w:p w:rsidR="003A10E6" w:rsidRDefault="003A10E6" w:rsidP="00110C9D">
            <w:pPr>
              <w:spacing w:line="288" w:lineRule="auto"/>
              <w:jc w:val="center"/>
              <w:rPr>
                <w:rFonts w:ascii="宋体" w:hAnsi="宋体"/>
                <w:b/>
                <w:sz w:val="21"/>
                <w:szCs w:val="21"/>
              </w:rPr>
            </w:pPr>
            <w:r>
              <w:rPr>
                <w:rFonts w:ascii="宋体" w:hAnsi="宋体" w:hint="eastAsia"/>
                <w:b/>
                <w:sz w:val="21"/>
                <w:szCs w:val="21"/>
              </w:rPr>
              <w:t>数量</w:t>
            </w:r>
          </w:p>
        </w:tc>
        <w:tc>
          <w:tcPr>
            <w:tcW w:w="6161" w:type="dxa"/>
            <w:vAlign w:val="center"/>
          </w:tcPr>
          <w:p w:rsidR="003A10E6" w:rsidRDefault="003A10E6" w:rsidP="00110C9D">
            <w:pPr>
              <w:spacing w:line="288" w:lineRule="auto"/>
              <w:jc w:val="center"/>
              <w:rPr>
                <w:rFonts w:ascii="宋体" w:hAnsi="宋体" w:hint="eastAsia"/>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1</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堆垛车</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2</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1.全电动堆垛车，核定载荷：1000KG；</w:t>
            </w:r>
          </w:p>
          <w:p w:rsidR="003A10E6" w:rsidRDefault="003A10E6" w:rsidP="00110C9D">
            <w:pPr>
              <w:spacing w:line="288" w:lineRule="auto"/>
              <w:rPr>
                <w:rFonts w:ascii="宋体" w:hAnsi="宋体" w:hint="eastAsia"/>
                <w:sz w:val="21"/>
                <w:szCs w:val="21"/>
              </w:rPr>
            </w:pPr>
            <w:r>
              <w:rPr>
                <w:rFonts w:ascii="宋体" w:hAnsi="宋体" w:hint="eastAsia"/>
                <w:sz w:val="21"/>
                <w:szCs w:val="21"/>
              </w:rPr>
              <w:t>2.载荷中心距：500mm，提升高度2000mm，闭合高度：1600mm；</w:t>
            </w:r>
          </w:p>
          <w:p w:rsidR="003A10E6" w:rsidRDefault="003A10E6" w:rsidP="00110C9D">
            <w:pPr>
              <w:spacing w:line="288" w:lineRule="auto"/>
              <w:rPr>
                <w:rFonts w:ascii="宋体" w:hAnsi="宋体" w:hint="eastAsia"/>
                <w:sz w:val="21"/>
                <w:szCs w:val="21"/>
              </w:rPr>
            </w:pPr>
            <w:r>
              <w:rPr>
                <w:rFonts w:ascii="宋体" w:hAnsi="宋体" w:hint="eastAsia"/>
                <w:sz w:val="21"/>
                <w:szCs w:val="21"/>
              </w:rPr>
              <w:t>3.驱动电机功率：0.75KW，起升电机功率：2.2KW；</w:t>
            </w:r>
          </w:p>
          <w:p w:rsidR="003A10E6" w:rsidRDefault="003A10E6" w:rsidP="00110C9D">
            <w:pPr>
              <w:spacing w:line="288" w:lineRule="auto"/>
              <w:rPr>
                <w:rFonts w:ascii="宋体" w:hAnsi="宋体" w:hint="eastAsia"/>
                <w:sz w:val="21"/>
                <w:szCs w:val="21"/>
              </w:rPr>
            </w:pPr>
            <w:r>
              <w:rPr>
                <w:rFonts w:ascii="宋体" w:hAnsi="宋体" w:hint="eastAsia"/>
                <w:sz w:val="21"/>
                <w:szCs w:val="21"/>
              </w:rPr>
              <w:t>4.货叉下降后高度：85mm，行驶速度：5Km/h；</w:t>
            </w:r>
          </w:p>
          <w:p w:rsidR="003A10E6" w:rsidRDefault="003A10E6" w:rsidP="00110C9D">
            <w:pPr>
              <w:spacing w:line="288" w:lineRule="auto"/>
              <w:rPr>
                <w:rFonts w:ascii="宋体" w:hAnsi="宋体" w:hint="eastAsia"/>
                <w:sz w:val="21"/>
                <w:szCs w:val="21"/>
              </w:rPr>
            </w:pPr>
            <w:r>
              <w:rPr>
                <w:rFonts w:ascii="宋体" w:hAnsi="宋体" w:hint="eastAsia"/>
                <w:sz w:val="21"/>
                <w:szCs w:val="21"/>
              </w:rPr>
              <w:t>5.驱动轮尺寸：φ210*70mm，承载轮尺寸：φ80*70mm，平衡轮尺寸：125*50mm，轮胎材质：聚氨酯；</w:t>
            </w:r>
          </w:p>
          <w:p w:rsidR="003A10E6" w:rsidRDefault="003A10E6" w:rsidP="00110C9D">
            <w:pPr>
              <w:spacing w:line="288" w:lineRule="auto"/>
              <w:rPr>
                <w:rFonts w:ascii="宋体" w:hAnsi="宋体" w:hint="eastAsia"/>
                <w:sz w:val="21"/>
                <w:szCs w:val="21"/>
              </w:rPr>
            </w:pPr>
            <w:r>
              <w:rPr>
                <w:rFonts w:ascii="宋体" w:hAnsi="宋体" w:hint="eastAsia"/>
                <w:sz w:val="21"/>
                <w:szCs w:val="21"/>
              </w:rPr>
              <w:t>6.制动方式：电磁，整车噪音：＜70分贝，蓄电池电压容量（V/Ah）：24/80。</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2</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照度计</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3</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1.测量范围：（1fc=10.76LUX）自动5档，过载显示：OL符号显示；</w:t>
            </w:r>
          </w:p>
          <w:p w:rsidR="003A10E6" w:rsidRDefault="003A10E6" w:rsidP="00110C9D">
            <w:pPr>
              <w:spacing w:line="288" w:lineRule="auto"/>
              <w:rPr>
                <w:rFonts w:ascii="宋体" w:hAnsi="宋体" w:hint="eastAsia"/>
                <w:sz w:val="21"/>
                <w:szCs w:val="21"/>
              </w:rPr>
            </w:pPr>
            <w:r>
              <w:rPr>
                <w:rFonts w:ascii="宋体" w:hAnsi="宋体" w:hint="eastAsia"/>
                <w:sz w:val="21"/>
                <w:szCs w:val="21"/>
              </w:rPr>
              <w:t>2.分辨率：0.01Lux，0.001fc，准确度：±3%，读值±5位(2856°K标准白炽灯校正），4位数双显示LCD；</w:t>
            </w:r>
          </w:p>
          <w:p w:rsidR="003A10E6" w:rsidRDefault="003A10E6" w:rsidP="00110C9D">
            <w:pPr>
              <w:spacing w:line="288" w:lineRule="auto"/>
              <w:rPr>
                <w:rFonts w:ascii="宋体" w:hAnsi="宋体" w:hint="eastAsia"/>
                <w:sz w:val="21"/>
                <w:szCs w:val="21"/>
              </w:rPr>
            </w:pPr>
            <w:r>
              <w:rPr>
                <w:rFonts w:ascii="宋体" w:hAnsi="宋体" w:hint="eastAsia"/>
                <w:sz w:val="21"/>
                <w:szCs w:val="21"/>
              </w:rPr>
              <w:t>3.明视光谱函数f：≤6%，温度特性：±0.1%/℃，测量速度：每秒≥5次；</w:t>
            </w:r>
          </w:p>
          <w:p w:rsidR="003A10E6" w:rsidRDefault="003A10E6" w:rsidP="00110C9D">
            <w:pPr>
              <w:spacing w:line="288" w:lineRule="auto"/>
              <w:rPr>
                <w:rFonts w:ascii="宋体" w:hAnsi="宋体" w:hint="eastAsia"/>
                <w:sz w:val="21"/>
                <w:szCs w:val="21"/>
              </w:rPr>
            </w:pPr>
            <w:r>
              <w:rPr>
                <w:rFonts w:ascii="宋体" w:hAnsi="宋体" w:hint="eastAsia"/>
                <w:sz w:val="21"/>
                <w:szCs w:val="21"/>
              </w:rPr>
              <w:t>4.光感应器：硅质光二极管，资料记忆容量：50组（可直接于LCD上读取），操作/储存环境：0℃≈50℃＜80%RH/-10℃≈60℃＜70%RH；</w:t>
            </w:r>
          </w:p>
          <w:p w:rsidR="003A10E6" w:rsidRDefault="003A10E6" w:rsidP="00110C9D">
            <w:pPr>
              <w:spacing w:line="288" w:lineRule="auto"/>
              <w:rPr>
                <w:rFonts w:ascii="宋体" w:hAnsi="宋体" w:hint="eastAsia"/>
                <w:sz w:val="21"/>
                <w:szCs w:val="21"/>
              </w:rPr>
            </w:pPr>
            <w:r>
              <w:rPr>
                <w:rFonts w:ascii="宋体" w:hAnsi="宋体" w:hint="eastAsia"/>
                <w:sz w:val="21"/>
                <w:szCs w:val="21"/>
              </w:rPr>
              <w:t>5.电池寿命：＞100小时，带时间锁定功能，点平均功能，符合CS 5119 Class II标准。</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3</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测距仪</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3</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1.手持式激光测距仪；</w:t>
            </w:r>
          </w:p>
          <w:p w:rsidR="003A10E6" w:rsidRDefault="003A10E6" w:rsidP="00110C9D">
            <w:pPr>
              <w:spacing w:line="288" w:lineRule="auto"/>
              <w:rPr>
                <w:rFonts w:ascii="宋体" w:hAnsi="宋体" w:hint="eastAsia"/>
                <w:sz w:val="21"/>
                <w:szCs w:val="21"/>
              </w:rPr>
            </w:pPr>
            <w:r>
              <w:rPr>
                <w:rFonts w:ascii="宋体" w:hAnsi="宋体" w:hint="eastAsia"/>
                <w:sz w:val="21"/>
                <w:szCs w:val="21"/>
              </w:rPr>
              <w:t>2.测距范围：0.05-200m，测距精度：±1.0mm；</w:t>
            </w:r>
          </w:p>
          <w:p w:rsidR="003A10E6" w:rsidRDefault="003A10E6" w:rsidP="00110C9D">
            <w:pPr>
              <w:spacing w:line="288" w:lineRule="auto"/>
              <w:rPr>
                <w:rFonts w:ascii="宋体" w:hAnsi="宋体" w:hint="eastAsia"/>
                <w:sz w:val="21"/>
                <w:szCs w:val="21"/>
              </w:rPr>
            </w:pPr>
            <w:r>
              <w:rPr>
                <w:rFonts w:ascii="宋体" w:hAnsi="宋体" w:hint="eastAsia"/>
                <w:sz w:val="21"/>
                <w:szCs w:val="21"/>
              </w:rPr>
              <w:t>3.激光等级：2级；</w:t>
            </w:r>
          </w:p>
          <w:p w:rsidR="003A10E6" w:rsidRDefault="003A10E6" w:rsidP="00110C9D">
            <w:pPr>
              <w:spacing w:line="288" w:lineRule="auto"/>
              <w:rPr>
                <w:rFonts w:ascii="宋体" w:hAnsi="宋体" w:hint="eastAsia"/>
                <w:sz w:val="21"/>
                <w:szCs w:val="21"/>
              </w:rPr>
            </w:pPr>
            <w:r>
              <w:rPr>
                <w:rFonts w:ascii="宋体" w:hAnsi="宋体" w:hint="eastAsia"/>
                <w:sz w:val="21"/>
                <w:szCs w:val="21"/>
              </w:rPr>
              <w:t>4.断电机器保护，防尘、防水；</w:t>
            </w:r>
          </w:p>
          <w:p w:rsidR="003A10E6" w:rsidRDefault="003A10E6" w:rsidP="00110C9D">
            <w:pPr>
              <w:spacing w:line="288" w:lineRule="auto"/>
              <w:rPr>
                <w:rFonts w:ascii="宋体" w:hAnsi="宋体" w:hint="eastAsia"/>
                <w:sz w:val="21"/>
                <w:szCs w:val="21"/>
              </w:rPr>
            </w:pPr>
            <w:r>
              <w:rPr>
                <w:rFonts w:ascii="宋体" w:hAnsi="宋体" w:hint="eastAsia"/>
                <w:sz w:val="21"/>
                <w:szCs w:val="21"/>
              </w:rPr>
              <w:t>5.可连续测量及记忆测量值30个以上数据新增功能，蓝牙（smart）接口，兼容安卓、ios系统全景相机，4倍数码瞄准，显示照明，延时测量，可充电锂电池，防护等级IP54，≥230g。</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4</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文物专用周转箱</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20</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1.尺寸约765×480×295mm，容量：≥90L；</w:t>
            </w:r>
          </w:p>
          <w:p w:rsidR="003A10E6" w:rsidRDefault="003A10E6" w:rsidP="00110C9D">
            <w:pPr>
              <w:spacing w:line="288" w:lineRule="auto"/>
              <w:rPr>
                <w:rFonts w:ascii="宋体" w:hAnsi="宋体" w:hint="eastAsia"/>
                <w:sz w:val="21"/>
                <w:szCs w:val="21"/>
              </w:rPr>
            </w:pPr>
            <w:r>
              <w:rPr>
                <w:rFonts w:ascii="宋体" w:hAnsi="宋体" w:hint="eastAsia"/>
                <w:sz w:val="21"/>
                <w:szCs w:val="21"/>
              </w:rPr>
              <w:t>2.内嵌博物馆专用海绵，恒温（防冻裂、防晒等）。</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5</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防磁防潮柜</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2</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1.博物馆专用，尺寸不小于180×50×700cm，钢板，可分层调节；</w:t>
            </w:r>
          </w:p>
          <w:p w:rsidR="003A10E6" w:rsidRDefault="003A10E6" w:rsidP="00110C9D">
            <w:pPr>
              <w:spacing w:line="288" w:lineRule="auto"/>
              <w:rPr>
                <w:rFonts w:ascii="宋体" w:hAnsi="宋体" w:hint="eastAsia"/>
                <w:sz w:val="21"/>
                <w:szCs w:val="21"/>
              </w:rPr>
            </w:pPr>
            <w:r>
              <w:rPr>
                <w:rFonts w:ascii="宋体" w:hAnsi="宋体" w:hint="eastAsia"/>
                <w:sz w:val="21"/>
                <w:szCs w:val="21"/>
              </w:rPr>
              <w:t>2.空间磁场大于6000GS/柜内磁场＜5GS，双重安全防护。</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lastRenderedPageBreak/>
              <w:t>6</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平板拉货车</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5</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最大承重：200kg，防震、静音、可爬楼梯，Q235钢管，总高125CM。</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7</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登高梯</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2</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2米，底座带有可锁定万向导轮*2，定向轮*2，8个踏板，三面护栏，最大承重：350KG，可移动。</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8</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五步梯</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4</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安全扶手，固定链条，耐用关节，防滑踏板，合金横梁，五步，承重：150KG，自重：≤5.5KG。</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9</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抽湿机1</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5</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适用面积：200平方米，日除湿量≥130L/天，进口压缩机式，机械控制，外接排水管，智能控湿，液晶轻触式。</w:t>
            </w:r>
          </w:p>
        </w:tc>
      </w:tr>
      <w:tr w:rsidR="003A10E6" w:rsidTr="00110C9D">
        <w:trPr>
          <w:trHeight w:val="283"/>
          <w:jc w:val="center"/>
        </w:trPr>
        <w:tc>
          <w:tcPr>
            <w:tcW w:w="87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10</w:t>
            </w:r>
          </w:p>
        </w:tc>
        <w:tc>
          <w:tcPr>
            <w:tcW w:w="1834"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抽湿机2</w:t>
            </w:r>
          </w:p>
        </w:tc>
        <w:tc>
          <w:tcPr>
            <w:tcW w:w="759" w:type="dxa"/>
            <w:vAlign w:val="center"/>
          </w:tcPr>
          <w:p w:rsidR="003A10E6" w:rsidRDefault="003A10E6" w:rsidP="00110C9D">
            <w:pPr>
              <w:spacing w:line="288" w:lineRule="auto"/>
              <w:jc w:val="center"/>
              <w:rPr>
                <w:rFonts w:ascii="宋体" w:hAnsi="宋体" w:hint="eastAsia"/>
                <w:sz w:val="21"/>
                <w:szCs w:val="21"/>
              </w:rPr>
            </w:pPr>
            <w:r>
              <w:rPr>
                <w:rFonts w:ascii="宋体" w:hAnsi="宋体" w:hint="eastAsia"/>
                <w:sz w:val="21"/>
                <w:szCs w:val="21"/>
              </w:rPr>
              <w:t>5</w:t>
            </w:r>
          </w:p>
        </w:tc>
        <w:tc>
          <w:tcPr>
            <w:tcW w:w="6161" w:type="dxa"/>
            <w:vAlign w:val="center"/>
          </w:tcPr>
          <w:p w:rsidR="003A10E6" w:rsidRDefault="003A10E6" w:rsidP="00110C9D">
            <w:pPr>
              <w:spacing w:line="288" w:lineRule="auto"/>
              <w:rPr>
                <w:rFonts w:ascii="宋体" w:hAnsi="宋体" w:hint="eastAsia"/>
                <w:sz w:val="21"/>
                <w:szCs w:val="21"/>
              </w:rPr>
            </w:pPr>
            <w:r>
              <w:rPr>
                <w:rFonts w:ascii="宋体" w:hAnsi="宋体" w:hint="eastAsia"/>
                <w:sz w:val="21"/>
                <w:szCs w:val="21"/>
              </w:rPr>
              <w:t>适用面积：500平方米，日除湿量≥480L/天，进口压缩机式，机械控制，外接排水管，智能控湿，额定功率：≥8000W，液晶轻触式。</w:t>
            </w:r>
          </w:p>
        </w:tc>
      </w:tr>
    </w:tbl>
    <w:p w:rsidR="003A10E6" w:rsidRDefault="003A10E6" w:rsidP="003A10E6">
      <w:pPr>
        <w:spacing w:line="288" w:lineRule="auto"/>
        <w:rPr>
          <w:rFonts w:ascii="宋体" w:hAnsi="宋体" w:hint="eastAsia"/>
          <w:b/>
          <w:sz w:val="21"/>
          <w:szCs w:val="21"/>
        </w:rPr>
      </w:pPr>
    </w:p>
    <w:p w:rsidR="003A10E6" w:rsidRDefault="003A10E6" w:rsidP="003A10E6">
      <w:pPr>
        <w:spacing w:line="288" w:lineRule="auto"/>
        <w:rPr>
          <w:rFonts w:ascii="宋体" w:hAnsi="宋体"/>
          <w:b/>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注：除磋商文件中所明确的技术规格和品牌外，欢迎其他能满足本项目技术需求且性能相当于或高于所明确品牌的产品参加响应，同时在需求偏离表中作出详细对比说明。</w:t>
      </w:r>
    </w:p>
    <w:p w:rsidR="002E5096" w:rsidRDefault="002E5096"/>
    <w:sectPr w:rsidR="002E5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096" w:rsidRDefault="002E5096" w:rsidP="003A10E6">
      <w:r>
        <w:separator/>
      </w:r>
    </w:p>
  </w:endnote>
  <w:endnote w:type="continuationSeparator" w:id="1">
    <w:p w:rsidR="002E5096" w:rsidRDefault="002E5096" w:rsidP="003A1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096" w:rsidRDefault="002E5096" w:rsidP="003A10E6">
      <w:r>
        <w:separator/>
      </w:r>
    </w:p>
  </w:footnote>
  <w:footnote w:type="continuationSeparator" w:id="1">
    <w:p w:rsidR="002E5096" w:rsidRDefault="002E5096" w:rsidP="003A1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0E6"/>
    <w:rsid w:val="002E5096"/>
    <w:rsid w:val="003A1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E6"/>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0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10E6"/>
    <w:rPr>
      <w:sz w:val="18"/>
      <w:szCs w:val="18"/>
    </w:rPr>
  </w:style>
  <w:style w:type="paragraph" w:styleId="a4">
    <w:name w:val="footer"/>
    <w:basedOn w:val="a"/>
    <w:link w:val="Char0"/>
    <w:uiPriority w:val="99"/>
    <w:semiHidden/>
    <w:unhideWhenUsed/>
    <w:rsid w:val="003A10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10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1967</Characters>
  <Application>Microsoft Office Word</Application>
  <DocSecurity>0</DocSecurity>
  <Lines>16</Lines>
  <Paragraphs>4</Paragraphs>
  <ScaleCrop>false</ScaleCrop>
  <Company>china</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2018-10-29T08:08:00Z</dcterms:created>
  <dcterms:modified xsi:type="dcterms:W3CDTF">2018-10-29T08:08:00Z</dcterms:modified>
</cp:coreProperties>
</file>