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color w:val="auto"/>
          <w:highlight w:val="none"/>
          <w:shd w:val="clear" w:color="auto" w:fill="auto"/>
        </w:rPr>
      </w:pPr>
    </w:p>
    <w:p>
      <w:pPr>
        <w:rPr>
          <w:color w:val="auto"/>
          <w:highlight w:val="none"/>
          <w:shd w:val="clear" w:color="auto" w:fill="auto"/>
        </w:rPr>
      </w:pPr>
    </w:p>
    <w:p>
      <w:pPr>
        <w:jc w:val="center"/>
        <w:rPr>
          <w:color w:val="auto"/>
          <w:sz w:val="36"/>
          <w:highlight w:val="none"/>
          <w:shd w:val="clear" w:color="auto" w:fill="auto"/>
        </w:rPr>
      </w:pPr>
    </w:p>
    <w:p>
      <w:pPr>
        <w:jc w:val="center"/>
        <w:rPr>
          <w:color w:val="auto"/>
          <w:sz w:val="40"/>
          <w:highlight w:val="none"/>
          <w:shd w:val="clear" w:color="auto" w:fill="auto"/>
        </w:rPr>
      </w:pPr>
      <w:r>
        <w:rPr>
          <w:rFonts w:hint="eastAsia"/>
          <w:color w:val="auto"/>
          <w:sz w:val="40"/>
          <w:highlight w:val="none"/>
          <w:shd w:val="clear" w:color="auto" w:fill="auto"/>
        </w:rPr>
        <w:t>杭州萧山江东水厂3.4MWp分布式光伏发电项目</w:t>
      </w:r>
    </w:p>
    <w:p>
      <w:pPr>
        <w:jc w:val="center"/>
        <w:rPr>
          <w:color w:val="auto"/>
          <w:sz w:val="40"/>
          <w:highlight w:val="none"/>
          <w:shd w:val="clear" w:color="auto" w:fill="auto"/>
        </w:rPr>
      </w:pPr>
      <w:r>
        <w:rPr>
          <w:rFonts w:hint="eastAsia"/>
          <w:color w:val="auto"/>
          <w:sz w:val="40"/>
          <w:highlight w:val="none"/>
          <w:shd w:val="clear" w:color="auto" w:fill="auto"/>
        </w:rPr>
        <w:t>招标文件</w:t>
      </w:r>
    </w:p>
    <w:p>
      <w:pPr>
        <w:jc w:val="center"/>
        <w:rPr>
          <w:color w:val="auto"/>
          <w:sz w:val="40"/>
          <w:highlight w:val="none"/>
          <w:shd w:val="clear" w:color="auto" w:fill="auto"/>
        </w:rPr>
      </w:pPr>
      <w:r>
        <w:rPr>
          <w:color w:val="auto"/>
          <w:sz w:val="40"/>
          <w:highlight w:val="none"/>
          <w:shd w:val="clear" w:color="auto" w:fill="auto"/>
        </w:rPr>
        <w:t>（电子招投标）</w:t>
      </w:r>
    </w:p>
    <w:p>
      <w:pPr>
        <w:jc w:val="center"/>
        <w:rPr>
          <w:rFonts w:hint="default" w:eastAsia="仿宋"/>
          <w:color w:val="auto"/>
          <w:sz w:val="36"/>
          <w:highlight w:val="none"/>
          <w:shd w:val="clear" w:color="auto" w:fill="auto"/>
          <w:lang w:val="en-US" w:eastAsia="zh-CN"/>
        </w:rPr>
      </w:pPr>
      <w:r>
        <w:rPr>
          <w:rFonts w:hint="eastAsia"/>
          <w:color w:val="auto"/>
          <w:sz w:val="36"/>
          <w:highlight w:val="none"/>
          <w:shd w:val="clear" w:color="auto" w:fill="auto"/>
        </w:rPr>
        <w:t>编号</w:t>
      </w:r>
      <w:r>
        <w:rPr>
          <w:color w:val="auto"/>
          <w:sz w:val="36"/>
          <w:highlight w:val="none"/>
          <w:shd w:val="clear" w:color="auto" w:fill="auto"/>
        </w:rPr>
        <w:t>:</w:t>
      </w:r>
      <w:r>
        <w:rPr>
          <w:color w:val="auto"/>
          <w:highlight w:val="none"/>
          <w:shd w:val="clear" w:color="auto" w:fill="auto"/>
        </w:rPr>
        <w:t xml:space="preserve"> </w:t>
      </w:r>
      <w:r>
        <w:rPr>
          <w:rFonts w:hint="eastAsia"/>
          <w:color w:val="auto"/>
          <w:sz w:val="36"/>
          <w:highlight w:val="none"/>
          <w:shd w:val="clear" w:color="auto" w:fill="auto"/>
          <w:lang w:val="en-US" w:eastAsia="zh-CN"/>
        </w:rPr>
        <w:t>xs-22-0205</w:t>
      </w:r>
    </w:p>
    <w:p>
      <w:pPr>
        <w:jc w:val="center"/>
        <w:rPr>
          <w:color w:val="auto"/>
          <w:sz w:val="36"/>
          <w:highlight w:val="none"/>
          <w:shd w:val="clear" w:color="auto" w:fill="auto"/>
        </w:rPr>
      </w:pPr>
    </w:p>
    <w:p>
      <w:pPr>
        <w:jc w:val="center"/>
        <w:rPr>
          <w:color w:val="auto"/>
          <w:sz w:val="36"/>
          <w:highlight w:val="none"/>
          <w:shd w:val="clear" w:color="auto" w:fill="auto"/>
        </w:rPr>
      </w:pPr>
    </w:p>
    <w:p>
      <w:pPr>
        <w:jc w:val="center"/>
        <w:rPr>
          <w:color w:val="auto"/>
          <w:sz w:val="36"/>
          <w:highlight w:val="none"/>
          <w:shd w:val="clear" w:color="auto" w:fill="auto"/>
        </w:rPr>
      </w:pPr>
    </w:p>
    <w:p>
      <w:pPr>
        <w:jc w:val="center"/>
        <w:rPr>
          <w:color w:val="auto"/>
          <w:sz w:val="36"/>
          <w:highlight w:val="none"/>
          <w:shd w:val="clear" w:color="auto" w:fill="auto"/>
        </w:rPr>
      </w:pPr>
    </w:p>
    <w:p>
      <w:pPr>
        <w:jc w:val="center"/>
        <w:rPr>
          <w:color w:val="auto"/>
          <w:sz w:val="36"/>
          <w:highlight w:val="none"/>
          <w:shd w:val="clear" w:color="auto" w:fill="auto"/>
        </w:rPr>
      </w:pPr>
    </w:p>
    <w:p>
      <w:pPr>
        <w:rPr>
          <w:color w:val="auto"/>
          <w:highlight w:val="none"/>
          <w:shd w:val="clear" w:color="auto" w:fill="auto"/>
        </w:rPr>
      </w:pPr>
    </w:p>
    <w:p>
      <w:pPr>
        <w:jc w:val="center"/>
        <w:rPr>
          <w:color w:val="auto"/>
          <w:highlight w:val="none"/>
          <w:shd w:val="clear" w:color="auto" w:fill="auto"/>
        </w:rPr>
      </w:pPr>
    </w:p>
    <w:p>
      <w:pPr>
        <w:jc w:val="center"/>
        <w:rPr>
          <w:color w:val="auto"/>
          <w:sz w:val="36"/>
          <w:highlight w:val="none"/>
          <w:shd w:val="clear" w:color="auto" w:fill="auto"/>
        </w:rPr>
      </w:pPr>
      <w:r>
        <w:rPr>
          <w:rFonts w:hint="eastAsia"/>
          <w:color w:val="auto"/>
          <w:sz w:val="36"/>
          <w:highlight w:val="none"/>
          <w:shd w:val="clear" w:color="auto" w:fill="auto"/>
        </w:rPr>
        <w:t>杭州萧山环境光伏能源有限公司</w:t>
      </w:r>
    </w:p>
    <w:p>
      <w:pPr>
        <w:jc w:val="center"/>
        <w:rPr>
          <w:color w:val="auto"/>
          <w:sz w:val="36"/>
          <w:highlight w:val="none"/>
          <w:shd w:val="clear" w:color="auto" w:fill="auto"/>
        </w:rPr>
      </w:pPr>
      <w:r>
        <w:rPr>
          <w:rFonts w:hint="eastAsia"/>
          <w:color w:val="auto"/>
          <w:sz w:val="36"/>
          <w:highlight w:val="none"/>
          <w:shd w:val="clear" w:color="auto" w:fill="auto"/>
        </w:rPr>
        <w:t>浙江省房地产管理咨询有限公司</w:t>
      </w:r>
    </w:p>
    <w:p>
      <w:pPr>
        <w:jc w:val="center"/>
        <w:rPr>
          <w:color w:val="auto"/>
          <w:sz w:val="36"/>
          <w:highlight w:val="none"/>
          <w:shd w:val="clear" w:color="auto" w:fill="auto"/>
        </w:rPr>
      </w:pPr>
      <w:r>
        <w:rPr>
          <w:rFonts w:hint="eastAsia"/>
          <w:color w:val="auto"/>
          <w:sz w:val="36"/>
          <w:highlight w:val="none"/>
          <w:shd w:val="clear" w:color="auto" w:fill="auto"/>
          <w:lang w:val="en-US" w:eastAsia="zh-CN"/>
        </w:rPr>
        <w:t>2022</w:t>
      </w:r>
      <w:r>
        <w:rPr>
          <w:rFonts w:hint="eastAsia"/>
          <w:color w:val="auto"/>
          <w:sz w:val="36"/>
          <w:highlight w:val="none"/>
          <w:shd w:val="clear" w:color="auto" w:fill="auto"/>
        </w:rPr>
        <w:t>年</w:t>
      </w:r>
      <w:r>
        <w:rPr>
          <w:rFonts w:hint="eastAsia"/>
          <w:color w:val="auto"/>
          <w:sz w:val="36"/>
          <w:highlight w:val="none"/>
          <w:shd w:val="clear" w:color="auto" w:fill="auto"/>
          <w:lang w:val="en-US" w:eastAsia="zh-CN"/>
        </w:rPr>
        <w:t>9</w:t>
      </w:r>
      <w:r>
        <w:rPr>
          <w:rFonts w:hint="eastAsia"/>
          <w:color w:val="auto"/>
          <w:sz w:val="36"/>
          <w:highlight w:val="none"/>
          <w:shd w:val="clear" w:color="auto" w:fill="auto"/>
        </w:rPr>
        <w:t>月</w:t>
      </w:r>
      <w:r>
        <w:rPr>
          <w:rFonts w:hint="eastAsia"/>
          <w:color w:val="auto"/>
          <w:sz w:val="36"/>
          <w:highlight w:val="none"/>
          <w:shd w:val="clear" w:color="auto" w:fill="auto"/>
          <w:lang w:val="en-US" w:eastAsia="zh-CN"/>
        </w:rPr>
        <w:t>13</w:t>
      </w:r>
      <w:r>
        <w:rPr>
          <w:rFonts w:hint="eastAsia"/>
          <w:color w:val="auto"/>
          <w:sz w:val="36"/>
          <w:highlight w:val="none"/>
          <w:shd w:val="clear" w:color="auto" w:fill="auto"/>
        </w:rPr>
        <w:t>日</w:t>
      </w:r>
    </w:p>
    <w:p>
      <w:pPr>
        <w:jc w:val="center"/>
        <w:rPr>
          <w:color w:val="auto"/>
          <w:highlight w:val="none"/>
          <w:shd w:val="clear" w:color="auto" w:fill="auto"/>
        </w:rPr>
      </w:pPr>
    </w:p>
    <w:p>
      <w:pPr>
        <w:spacing w:line="276" w:lineRule="auto"/>
        <w:rPr>
          <w:rFonts w:asciiTheme="minorEastAsia" w:hAnsiTheme="minorEastAsia" w:eastAsiaTheme="minorEastAsia"/>
          <w:b/>
          <w:smallCaps/>
          <w:color w:val="auto"/>
          <w:spacing w:val="5"/>
          <w:sz w:val="36"/>
          <w:szCs w:val="36"/>
          <w:highlight w:val="none"/>
          <w:shd w:val="clear" w:color="auto" w:fill="auto"/>
        </w:rPr>
      </w:pPr>
      <w:r>
        <w:rPr>
          <w:rFonts w:asciiTheme="minorEastAsia" w:hAnsiTheme="minorEastAsia" w:eastAsiaTheme="minorEastAsia"/>
          <w:color w:val="auto"/>
          <w:highlight w:val="none"/>
          <w:shd w:val="clear" w:color="auto" w:fill="auto"/>
        </w:rPr>
        <w:br w:type="page"/>
      </w:r>
    </w:p>
    <w:p>
      <w:pPr>
        <w:pStyle w:val="2"/>
        <w:rPr>
          <w:rFonts w:asciiTheme="minorEastAsia" w:hAnsiTheme="minorEastAsia" w:eastAsiaTheme="minorEastAsia"/>
          <w:color w:val="auto"/>
          <w:highlight w:val="none"/>
          <w:shd w:val="clear" w:color="auto" w:fill="auto"/>
        </w:rPr>
      </w:pPr>
      <w:r>
        <w:rPr>
          <w:rFonts w:hint="eastAsia" w:asciiTheme="minorEastAsia" w:hAnsiTheme="minorEastAsia" w:eastAsiaTheme="minorEastAsia"/>
          <w:color w:val="auto"/>
          <w:highlight w:val="none"/>
          <w:shd w:val="clear" w:color="auto" w:fill="auto"/>
        </w:rPr>
        <w:t>目</w:t>
      </w:r>
      <w:r>
        <w:rPr>
          <w:rFonts w:asciiTheme="minorEastAsia" w:hAnsiTheme="minorEastAsia" w:eastAsiaTheme="minorEastAsia"/>
          <w:color w:val="auto"/>
          <w:highlight w:val="none"/>
          <w:shd w:val="clear" w:color="auto" w:fill="auto"/>
        </w:rPr>
        <w:t xml:space="preserve">  </w:t>
      </w:r>
      <w:r>
        <w:rPr>
          <w:rFonts w:hint="eastAsia" w:asciiTheme="minorEastAsia" w:hAnsiTheme="minorEastAsia" w:eastAsiaTheme="minorEastAsia"/>
          <w:color w:val="auto"/>
          <w:highlight w:val="none"/>
          <w:shd w:val="clear" w:color="auto" w:fill="auto"/>
        </w:rPr>
        <w:t>录</w:t>
      </w:r>
    </w:p>
    <w:p>
      <w:pPr>
        <w:rPr>
          <w:rFonts w:asciiTheme="minorEastAsia" w:hAnsiTheme="minorEastAsia" w:eastAsiaTheme="minorEastAsia"/>
          <w:color w:val="auto"/>
          <w:highlight w:val="none"/>
          <w:shd w:val="clear" w:color="auto" w:fill="auto"/>
        </w:rPr>
      </w:pPr>
    </w:p>
    <w:p>
      <w:pPr>
        <w:rPr>
          <w:rFonts w:asciiTheme="minorEastAsia" w:hAnsiTheme="minorEastAsia" w:eastAsiaTheme="minorEastAsia"/>
          <w:color w:val="auto"/>
          <w:highlight w:val="none"/>
          <w:shd w:val="clear" w:color="auto" w:fill="auto"/>
        </w:rPr>
      </w:pPr>
    </w:p>
    <w:p>
      <w:pPr>
        <w:rPr>
          <w:color w:val="auto"/>
          <w:sz w:val="32"/>
          <w:highlight w:val="none"/>
          <w:shd w:val="clear" w:color="auto" w:fill="auto"/>
        </w:rPr>
      </w:pPr>
      <w:r>
        <w:rPr>
          <w:rFonts w:hint="eastAsia"/>
          <w:color w:val="auto"/>
          <w:sz w:val="32"/>
          <w:highlight w:val="none"/>
          <w:shd w:val="clear" w:color="auto" w:fill="auto"/>
        </w:rPr>
        <w:t>第一部分</w:t>
      </w:r>
      <w:r>
        <w:rPr>
          <w:color w:val="auto"/>
          <w:sz w:val="32"/>
          <w:highlight w:val="none"/>
          <w:shd w:val="clear" w:color="auto" w:fill="auto"/>
        </w:rPr>
        <w:t xml:space="preserve">      </w:t>
      </w:r>
      <w:r>
        <w:rPr>
          <w:rFonts w:hint="eastAsia"/>
          <w:color w:val="auto"/>
          <w:sz w:val="32"/>
          <w:highlight w:val="none"/>
          <w:shd w:val="clear" w:color="auto" w:fill="auto"/>
        </w:rPr>
        <w:t>招标公告</w:t>
      </w:r>
    </w:p>
    <w:p>
      <w:pPr>
        <w:rPr>
          <w:color w:val="auto"/>
          <w:sz w:val="32"/>
          <w:highlight w:val="none"/>
          <w:shd w:val="clear" w:color="auto" w:fill="auto"/>
        </w:rPr>
      </w:pPr>
      <w:r>
        <w:rPr>
          <w:rFonts w:hint="eastAsia"/>
          <w:color w:val="auto"/>
          <w:sz w:val="32"/>
          <w:highlight w:val="none"/>
          <w:shd w:val="clear" w:color="auto" w:fill="auto"/>
        </w:rPr>
        <w:t>第二部分</w:t>
      </w:r>
      <w:r>
        <w:rPr>
          <w:color w:val="auto"/>
          <w:sz w:val="32"/>
          <w:highlight w:val="none"/>
          <w:shd w:val="clear" w:color="auto" w:fill="auto"/>
        </w:rPr>
        <w:t xml:space="preserve">      </w:t>
      </w:r>
      <w:r>
        <w:rPr>
          <w:rFonts w:hint="eastAsia"/>
          <w:color w:val="auto"/>
          <w:sz w:val="32"/>
          <w:highlight w:val="none"/>
          <w:shd w:val="clear" w:color="auto" w:fill="auto"/>
        </w:rPr>
        <w:t>投标人须知</w:t>
      </w:r>
    </w:p>
    <w:p>
      <w:pPr>
        <w:rPr>
          <w:color w:val="auto"/>
          <w:sz w:val="32"/>
          <w:highlight w:val="none"/>
          <w:shd w:val="clear" w:color="auto" w:fill="auto"/>
        </w:rPr>
      </w:pPr>
      <w:r>
        <w:rPr>
          <w:rFonts w:hint="eastAsia"/>
          <w:color w:val="auto"/>
          <w:sz w:val="32"/>
          <w:highlight w:val="none"/>
          <w:shd w:val="clear" w:color="auto" w:fill="auto"/>
        </w:rPr>
        <w:t>第三部分</w:t>
      </w:r>
      <w:r>
        <w:rPr>
          <w:color w:val="auto"/>
          <w:sz w:val="32"/>
          <w:highlight w:val="none"/>
          <w:shd w:val="clear" w:color="auto" w:fill="auto"/>
        </w:rPr>
        <w:t xml:space="preserve">      </w:t>
      </w:r>
      <w:r>
        <w:rPr>
          <w:rFonts w:hint="eastAsia"/>
          <w:color w:val="auto"/>
          <w:sz w:val="32"/>
          <w:highlight w:val="none"/>
          <w:shd w:val="clear" w:color="auto" w:fill="auto"/>
        </w:rPr>
        <w:t>采购需求</w:t>
      </w:r>
    </w:p>
    <w:p>
      <w:pPr>
        <w:rPr>
          <w:color w:val="auto"/>
          <w:sz w:val="32"/>
          <w:highlight w:val="none"/>
          <w:shd w:val="clear" w:color="auto" w:fill="auto"/>
        </w:rPr>
      </w:pPr>
      <w:r>
        <w:rPr>
          <w:rFonts w:hint="eastAsia"/>
          <w:color w:val="auto"/>
          <w:sz w:val="32"/>
          <w:highlight w:val="none"/>
          <w:shd w:val="clear" w:color="auto" w:fill="auto"/>
        </w:rPr>
        <w:t>第四部分</w:t>
      </w:r>
      <w:r>
        <w:rPr>
          <w:color w:val="auto"/>
          <w:sz w:val="32"/>
          <w:highlight w:val="none"/>
          <w:shd w:val="clear" w:color="auto" w:fill="auto"/>
        </w:rPr>
        <w:t xml:space="preserve">      </w:t>
      </w:r>
      <w:r>
        <w:rPr>
          <w:rFonts w:hint="eastAsia"/>
          <w:color w:val="auto"/>
          <w:sz w:val="32"/>
          <w:highlight w:val="none"/>
          <w:shd w:val="clear" w:color="auto" w:fill="auto"/>
        </w:rPr>
        <w:t>评标办法</w:t>
      </w:r>
    </w:p>
    <w:p>
      <w:pPr>
        <w:rPr>
          <w:color w:val="auto"/>
          <w:sz w:val="32"/>
          <w:highlight w:val="none"/>
          <w:shd w:val="clear" w:color="auto" w:fill="auto"/>
        </w:rPr>
      </w:pPr>
      <w:r>
        <w:rPr>
          <w:rFonts w:hint="eastAsia"/>
          <w:color w:val="auto"/>
          <w:sz w:val="32"/>
          <w:highlight w:val="none"/>
          <w:shd w:val="clear" w:color="auto" w:fill="auto"/>
        </w:rPr>
        <w:t>第五部分</w:t>
      </w:r>
      <w:r>
        <w:rPr>
          <w:color w:val="auto"/>
          <w:sz w:val="32"/>
          <w:highlight w:val="none"/>
          <w:shd w:val="clear" w:color="auto" w:fill="auto"/>
        </w:rPr>
        <w:t xml:space="preserve">      </w:t>
      </w:r>
      <w:r>
        <w:rPr>
          <w:rFonts w:hint="eastAsia"/>
          <w:color w:val="auto"/>
          <w:sz w:val="32"/>
          <w:highlight w:val="none"/>
          <w:shd w:val="clear" w:color="auto" w:fill="auto"/>
        </w:rPr>
        <w:t>拟签订的合同文本</w:t>
      </w:r>
    </w:p>
    <w:p>
      <w:pPr>
        <w:rPr>
          <w:color w:val="auto"/>
          <w:sz w:val="32"/>
          <w:highlight w:val="none"/>
          <w:shd w:val="clear" w:color="auto" w:fill="auto"/>
        </w:rPr>
      </w:pPr>
      <w:r>
        <w:rPr>
          <w:rFonts w:hint="eastAsia"/>
          <w:color w:val="auto"/>
          <w:sz w:val="32"/>
          <w:highlight w:val="none"/>
          <w:shd w:val="clear" w:color="auto" w:fill="auto"/>
        </w:rPr>
        <w:t>第六部分</w:t>
      </w:r>
      <w:r>
        <w:rPr>
          <w:color w:val="auto"/>
          <w:sz w:val="32"/>
          <w:highlight w:val="none"/>
          <w:shd w:val="clear" w:color="auto" w:fill="auto"/>
        </w:rPr>
        <w:t xml:space="preserve">      </w:t>
      </w:r>
      <w:r>
        <w:rPr>
          <w:rFonts w:hint="eastAsia"/>
          <w:color w:val="auto"/>
          <w:sz w:val="32"/>
          <w:highlight w:val="none"/>
          <w:shd w:val="clear" w:color="auto" w:fill="auto"/>
        </w:rPr>
        <w:t>应提交的有关格式范例</w:t>
      </w:r>
    </w:p>
    <w:p>
      <w:pPr>
        <w:spacing w:line="276" w:lineRule="auto"/>
        <w:rPr>
          <w:color w:val="auto"/>
          <w:sz w:val="32"/>
          <w:highlight w:val="none"/>
          <w:shd w:val="clear" w:color="auto" w:fill="auto"/>
        </w:rPr>
      </w:pPr>
    </w:p>
    <w:p>
      <w:pPr>
        <w:spacing w:line="276" w:lineRule="auto"/>
        <w:rPr>
          <w:rFonts w:ascii="仿宋_GB2312" w:eastAsia="仿宋_GB2312"/>
          <w:b/>
          <w:smallCaps/>
          <w:color w:val="auto"/>
          <w:spacing w:val="5"/>
          <w:sz w:val="36"/>
          <w:szCs w:val="36"/>
          <w:highlight w:val="none"/>
          <w:shd w:val="clear" w:color="auto" w:fill="auto"/>
        </w:rPr>
      </w:pPr>
      <w:r>
        <w:rPr>
          <w:color w:val="auto"/>
          <w:highlight w:val="none"/>
          <w:shd w:val="clear" w:color="auto" w:fill="auto"/>
        </w:rPr>
        <w:br w:type="page"/>
      </w:r>
    </w:p>
    <w:p>
      <w:pPr>
        <w:pStyle w:val="2"/>
        <w:rPr>
          <w:color w:val="auto"/>
          <w:highlight w:val="none"/>
          <w:shd w:val="clear" w:color="auto" w:fill="auto"/>
        </w:rPr>
      </w:pPr>
      <w:r>
        <w:rPr>
          <w:rFonts w:hint="eastAsia"/>
          <w:color w:val="auto"/>
          <w:highlight w:val="none"/>
          <w:shd w:val="clear" w:color="auto" w:fill="auto"/>
        </w:rPr>
        <w:t>第一部分</w:t>
      </w:r>
      <w:r>
        <w:rPr>
          <w:color w:val="auto"/>
          <w:highlight w:val="none"/>
          <w:shd w:val="clear" w:color="auto" w:fill="auto"/>
        </w:rPr>
        <w:t xml:space="preserve"> </w:t>
      </w:r>
      <w:r>
        <w:rPr>
          <w:rFonts w:hint="eastAsia"/>
          <w:color w:val="auto"/>
          <w:highlight w:val="none"/>
          <w:shd w:val="clear" w:color="auto" w:fill="auto"/>
        </w:rPr>
        <w:t>招标公告</w:t>
      </w:r>
    </w:p>
    <w:tbl>
      <w:tblPr>
        <w:tblStyle w:val="3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pPr>
              <w:spacing w:after="0"/>
              <w:rPr>
                <w:color w:val="auto"/>
                <w:highlight w:val="none"/>
                <w:shd w:val="clear" w:color="auto" w:fill="auto"/>
              </w:rPr>
            </w:pPr>
            <w:r>
              <w:rPr>
                <w:rFonts w:hint="eastAsia"/>
                <w:color w:val="auto"/>
                <w:highlight w:val="none"/>
                <w:shd w:val="clear" w:color="auto" w:fill="auto"/>
              </w:rPr>
              <w:t>项目概况</w:t>
            </w:r>
          </w:p>
          <w:p>
            <w:pPr>
              <w:spacing w:after="0"/>
              <w:rPr>
                <w:color w:val="auto"/>
                <w:highlight w:val="none"/>
                <w:u w:val="single"/>
                <w:shd w:val="clear" w:color="auto" w:fill="auto"/>
              </w:rPr>
            </w:pPr>
            <w:r>
              <w:rPr>
                <w:rFonts w:hint="eastAsia" w:cs="仿宋_GB2312"/>
                <w:color w:val="auto"/>
                <w:highlight w:val="none"/>
                <w:u w:val="single"/>
                <w:shd w:val="clear" w:color="auto" w:fill="auto"/>
              </w:rPr>
              <w:t>（杭州萧山江东水厂3.4MWp分布式光伏发电项目）</w:t>
            </w:r>
            <w:r>
              <w:rPr>
                <w:rFonts w:hint="eastAsia"/>
                <w:color w:val="auto"/>
                <w:highlight w:val="none"/>
                <w:shd w:val="clear" w:color="auto" w:fill="auto"/>
              </w:rPr>
              <w:t>招标项目的潜在投标人应在</w:t>
            </w:r>
            <w:r>
              <w:rPr>
                <w:rFonts w:hint="eastAsia"/>
                <w:color w:val="auto"/>
                <w:highlight w:val="none"/>
                <w:shd w:val="clear" w:color="auto" w:fill="auto"/>
                <w:lang w:eastAsia="zh-CN"/>
              </w:rPr>
              <w:t>乐采云（萧采云）</w:t>
            </w:r>
            <w:r>
              <w:rPr>
                <w:rFonts w:hint="eastAsia"/>
                <w:color w:val="auto"/>
                <w:highlight w:val="none"/>
                <w:shd w:val="clear" w:color="auto" w:fill="auto"/>
              </w:rPr>
              <w:t>平台（</w:t>
            </w:r>
            <w:r>
              <w:rPr>
                <w:color w:val="auto"/>
                <w:highlight w:val="none"/>
                <w:shd w:val="clear" w:color="auto" w:fill="auto"/>
              </w:rPr>
              <w:fldChar w:fldCharType="begin"/>
            </w:r>
            <w:r>
              <w:rPr>
                <w:color w:val="auto"/>
                <w:highlight w:val="none"/>
                <w:shd w:val="clear" w:color="auto" w:fill="auto"/>
              </w:rPr>
              <w:instrText xml:space="preserve"> HYPERLINK "https://www.zcygov.cn/）获取（下载）招标文件，并于2021年" </w:instrText>
            </w:r>
            <w:r>
              <w:rPr>
                <w:color w:val="auto"/>
                <w:highlight w:val="none"/>
                <w:shd w:val="clear" w:color="auto" w:fill="auto"/>
              </w:rPr>
              <w:fldChar w:fldCharType="separate"/>
            </w:r>
            <w:r>
              <w:rPr>
                <w:rStyle w:val="35"/>
                <w:rFonts w:ascii="仿宋_GB2312" w:eastAsia="仿宋_GB2312" w:cs="Times New Roman"/>
                <w:color w:val="auto"/>
                <w:kern w:val="2"/>
                <w:highlight w:val="none"/>
                <w:shd w:val="clear" w:color="auto" w:fill="auto"/>
              </w:rPr>
              <w:t>https://www.zcygov.cn/）获取（下载）招标文件，并于</w:t>
            </w:r>
            <w:r>
              <w:rPr>
                <w:rFonts w:hint="eastAsia"/>
                <w:color w:val="auto"/>
                <w:highlight w:val="none"/>
                <w:u w:val="single"/>
                <w:shd w:val="clear" w:color="auto" w:fill="auto"/>
              </w:rPr>
              <w:t>202</w:t>
            </w:r>
            <w:r>
              <w:rPr>
                <w:rFonts w:hint="eastAsia"/>
                <w:color w:val="auto"/>
                <w:highlight w:val="none"/>
                <w:u w:val="single"/>
                <w:shd w:val="clear" w:color="auto" w:fill="auto"/>
                <w:lang w:val="en-US" w:eastAsia="zh-CN"/>
              </w:rPr>
              <w:t>2</w:t>
            </w:r>
            <w:r>
              <w:rPr>
                <w:color w:val="auto"/>
                <w:highlight w:val="none"/>
                <w:u w:val="single"/>
                <w:shd w:val="clear" w:color="auto" w:fill="auto"/>
              </w:rPr>
              <w:t>年</w:t>
            </w:r>
            <w:r>
              <w:rPr>
                <w:rFonts w:hint="eastAsia"/>
                <w:color w:val="auto"/>
                <w:highlight w:val="none"/>
                <w:u w:val="single"/>
                <w:shd w:val="clear" w:color="auto" w:fill="auto"/>
                <w:lang w:val="en-US" w:eastAsia="zh-CN"/>
              </w:rPr>
              <w:t>10</w:t>
            </w:r>
            <w:r>
              <w:rPr>
                <w:rFonts w:hint="eastAsia"/>
                <w:color w:val="auto"/>
                <w:highlight w:val="none"/>
                <w:u w:val="single"/>
                <w:shd w:val="clear" w:color="auto" w:fill="auto"/>
              </w:rPr>
              <w:t>月</w:t>
            </w:r>
            <w:r>
              <w:rPr>
                <w:rFonts w:hint="eastAsia"/>
                <w:color w:val="auto"/>
                <w:highlight w:val="none"/>
                <w:u w:val="single"/>
                <w:shd w:val="clear" w:color="auto" w:fill="auto"/>
                <w:lang w:val="en-US" w:eastAsia="zh-CN"/>
              </w:rPr>
              <w:t>8</w:t>
            </w:r>
            <w:r>
              <w:rPr>
                <w:rFonts w:hint="eastAsia"/>
                <w:color w:val="auto"/>
                <w:highlight w:val="none"/>
                <w:u w:val="single"/>
                <w:shd w:val="clear" w:color="auto" w:fill="auto"/>
              </w:rPr>
              <w:t>日</w:t>
            </w:r>
            <w:r>
              <w:rPr>
                <w:rFonts w:hint="eastAsia"/>
                <w:color w:val="auto"/>
                <w:highlight w:val="none"/>
                <w:u w:val="single"/>
                <w:shd w:val="clear" w:color="auto" w:fill="auto"/>
                <w:lang w:val="en-US" w:eastAsia="zh-CN"/>
              </w:rPr>
              <w:t>9</w:t>
            </w:r>
            <w:r>
              <w:rPr>
                <w:rFonts w:hint="eastAsia"/>
                <w:color w:val="auto"/>
                <w:highlight w:val="none"/>
                <w:u w:val="single"/>
                <w:shd w:val="clear" w:color="auto" w:fill="auto"/>
              </w:rPr>
              <w:t>点</w:t>
            </w:r>
            <w:r>
              <w:rPr>
                <w:rFonts w:hint="eastAsia"/>
                <w:color w:val="auto"/>
                <w:highlight w:val="none"/>
                <w:u w:val="single"/>
                <w:shd w:val="clear" w:color="auto" w:fill="auto"/>
                <w:lang w:val="en-US" w:eastAsia="zh-CN"/>
              </w:rPr>
              <w:t>30</w:t>
            </w:r>
            <w:r>
              <w:rPr>
                <w:rFonts w:hint="eastAsia"/>
                <w:color w:val="auto"/>
                <w:highlight w:val="none"/>
                <w:u w:val="single"/>
                <w:shd w:val="clear" w:color="auto" w:fill="auto"/>
              </w:rPr>
              <w:t>分</w:t>
            </w:r>
            <w:r>
              <w:rPr>
                <w:rFonts w:hint="eastAsia"/>
                <w:bCs/>
                <w:color w:val="auto"/>
                <w:highlight w:val="none"/>
                <w:u w:val="single"/>
                <w:shd w:val="clear" w:color="auto" w:fill="auto"/>
              </w:rPr>
              <w:t>00秒</w:t>
            </w:r>
            <w:r>
              <w:rPr>
                <w:rFonts w:hint="eastAsia"/>
                <w:bCs/>
                <w:color w:val="auto"/>
                <w:highlight w:val="none"/>
                <w:u w:val="single"/>
                <w:shd w:val="clear" w:color="auto" w:fill="auto"/>
              </w:rPr>
              <w:fldChar w:fldCharType="end"/>
            </w:r>
            <w:r>
              <w:rPr>
                <w:rFonts w:hint="eastAsia"/>
                <w:bCs/>
                <w:color w:val="auto"/>
                <w:highlight w:val="none"/>
                <w:shd w:val="clear" w:color="auto" w:fill="auto"/>
              </w:rPr>
              <w:t>（北京时间）前</w:t>
            </w:r>
            <w:r>
              <w:rPr>
                <w:rFonts w:hint="eastAsia"/>
                <w:color w:val="auto"/>
                <w:highlight w:val="none"/>
                <w:shd w:val="clear" w:color="auto" w:fill="auto"/>
              </w:rPr>
              <w:t>递交（上传）投标文件。</w:t>
            </w:r>
          </w:p>
          <w:p>
            <w:pPr>
              <w:spacing w:after="0"/>
              <w:rPr>
                <w:color w:val="auto"/>
                <w:highlight w:val="none"/>
                <w:shd w:val="clear" w:color="auto" w:fill="auto"/>
              </w:rPr>
            </w:pPr>
          </w:p>
        </w:tc>
      </w:tr>
    </w:tbl>
    <w:p>
      <w:pPr>
        <w:rPr>
          <w:b/>
          <w:color w:val="auto"/>
          <w:highlight w:val="none"/>
          <w:shd w:val="clear" w:color="auto" w:fill="auto"/>
        </w:rPr>
      </w:pPr>
      <w:r>
        <w:rPr>
          <w:rFonts w:hint="eastAsia"/>
          <w:b/>
          <w:color w:val="auto"/>
          <w:highlight w:val="none"/>
          <w:shd w:val="clear" w:color="auto" w:fill="auto"/>
        </w:rPr>
        <w:t>一、项目基本情况</w:t>
      </w:r>
      <w:r>
        <w:rPr>
          <w:b/>
          <w:color w:val="auto"/>
          <w:highlight w:val="none"/>
          <w:shd w:val="clear" w:color="auto" w:fill="auto"/>
        </w:rPr>
        <w:t xml:space="preserve">                                            </w:t>
      </w:r>
    </w:p>
    <w:p>
      <w:pPr>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r>
        <w:rPr>
          <w:rFonts w:hint="eastAsia"/>
          <w:color w:val="auto"/>
          <w:highlight w:val="none"/>
          <w:shd w:val="clear" w:color="auto" w:fill="auto"/>
        </w:rPr>
        <w:t>项目编号：</w:t>
      </w:r>
      <w:r>
        <w:rPr>
          <w:rFonts w:hint="eastAsia"/>
          <w:color w:val="auto"/>
          <w:highlight w:val="none"/>
          <w:shd w:val="clear" w:color="auto" w:fill="auto"/>
          <w:lang w:val="en-US" w:eastAsia="zh-CN"/>
        </w:rPr>
        <w:t>xs-22-0205</w:t>
      </w:r>
    </w:p>
    <w:p>
      <w:pPr>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r>
        <w:rPr>
          <w:color w:val="auto"/>
          <w:highlight w:val="none"/>
          <w:shd w:val="clear" w:color="auto" w:fill="auto"/>
        </w:rPr>
        <w:t>项目名称：</w:t>
      </w:r>
      <w:r>
        <w:rPr>
          <w:rFonts w:hint="eastAsia"/>
          <w:color w:val="auto"/>
          <w:highlight w:val="none"/>
          <w:shd w:val="clear" w:color="auto" w:fill="auto"/>
        </w:rPr>
        <w:t>杭州萧山江东水厂3.4MWp分布式光伏发电项目</w:t>
      </w:r>
    </w:p>
    <w:p>
      <w:pPr>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r>
        <w:rPr>
          <w:color w:val="auto"/>
          <w:highlight w:val="none"/>
          <w:shd w:val="clear" w:color="auto" w:fill="auto"/>
        </w:rPr>
        <w:t>预算金额（元）：</w:t>
      </w:r>
      <w:r>
        <w:rPr>
          <w:rFonts w:hint="eastAsia"/>
          <w:color w:val="auto"/>
          <w:highlight w:val="none"/>
          <w:shd w:val="clear" w:color="auto" w:fill="auto"/>
        </w:rPr>
        <w:t>14718900</w:t>
      </w:r>
    </w:p>
    <w:p>
      <w:pPr>
        <w:keepNext w:val="0"/>
        <w:keepLines w:val="0"/>
        <w:pageBreakBefore w:val="0"/>
        <w:widowControl/>
        <w:kinsoku/>
        <w:wordWrap/>
        <w:overflowPunct/>
        <w:topLinePunct w:val="0"/>
        <w:autoSpaceDE/>
        <w:autoSpaceDN/>
        <w:bidi w:val="0"/>
        <w:adjustRightInd/>
        <w:snapToGrid/>
        <w:spacing w:after="0" w:line="360" w:lineRule="auto"/>
        <w:textAlignment w:val="auto"/>
        <w:rPr>
          <w:rFonts w:hint="default" w:eastAsia="仿宋"/>
          <w:color w:val="auto"/>
          <w:highlight w:val="none"/>
          <w:shd w:val="clear" w:color="auto" w:fill="auto"/>
          <w:lang w:val="en-US" w:eastAsia="zh-CN"/>
        </w:rPr>
      </w:pPr>
      <w:r>
        <w:rPr>
          <w:rFonts w:hint="eastAsia"/>
          <w:color w:val="auto"/>
          <w:highlight w:val="none"/>
          <w:shd w:val="clear" w:color="auto" w:fill="auto"/>
        </w:rPr>
        <w:t>最高限价（元）：</w:t>
      </w:r>
      <w:r>
        <w:rPr>
          <w:rFonts w:hint="eastAsia"/>
          <w:color w:val="auto"/>
          <w:highlight w:val="none"/>
          <w:shd w:val="clear" w:color="auto" w:fill="auto"/>
          <w:lang w:val="en-US" w:eastAsia="zh-CN"/>
        </w:rPr>
        <w:t>14000000</w:t>
      </w:r>
    </w:p>
    <w:p>
      <w:pPr>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r>
        <w:rPr>
          <w:rFonts w:hint="eastAsia"/>
          <w:color w:val="auto"/>
          <w:highlight w:val="none"/>
          <w:shd w:val="clear" w:color="auto" w:fill="auto"/>
        </w:rPr>
        <w:t>采购需求：杭州萧山江东水厂3.4MWp分布式光伏发电项目主要内容：分布式光伏发电</w:t>
      </w:r>
      <w:r>
        <w:rPr>
          <w:color w:val="auto"/>
          <w:highlight w:val="none"/>
          <w:shd w:val="clear" w:color="auto" w:fill="auto"/>
        </w:rPr>
        <w:t>。</w:t>
      </w:r>
      <w:r>
        <w:rPr>
          <w:rFonts w:hint="eastAsia"/>
          <w:color w:val="auto"/>
          <w:highlight w:val="none"/>
          <w:shd w:val="clear" w:color="auto" w:fill="auto"/>
        </w:rPr>
        <w:t>详见招标文件第三部分采购需求。</w:t>
      </w:r>
    </w:p>
    <w:p>
      <w:pPr>
        <w:keepNext w:val="0"/>
        <w:keepLines w:val="0"/>
        <w:pageBreakBefore w:val="0"/>
        <w:widowControl/>
        <w:kinsoku/>
        <w:wordWrap/>
        <w:overflowPunct/>
        <w:topLinePunct w:val="0"/>
        <w:autoSpaceDE/>
        <w:autoSpaceDN/>
        <w:bidi w:val="0"/>
        <w:adjustRightInd/>
        <w:snapToGrid/>
        <w:spacing w:after="0" w:line="360" w:lineRule="auto"/>
        <w:textAlignment w:val="auto"/>
        <w:rPr>
          <w:rFonts w:hint="default" w:eastAsia="仿宋"/>
          <w:color w:val="auto"/>
          <w:highlight w:val="none"/>
          <w:shd w:val="clear" w:color="auto" w:fill="auto"/>
          <w:lang w:val="en-US" w:eastAsia="zh-CN"/>
        </w:rPr>
      </w:pPr>
      <w:r>
        <w:rPr>
          <w:rFonts w:hint="eastAsia"/>
          <w:color w:val="auto"/>
          <w:highlight w:val="none"/>
          <w:shd w:val="clear" w:color="auto" w:fill="auto"/>
        </w:rPr>
        <w:t>合同履约期限：</w:t>
      </w:r>
      <w:r>
        <w:rPr>
          <w:rFonts w:hint="eastAsia"/>
          <w:color w:val="auto"/>
          <w:highlight w:val="none"/>
          <w:shd w:val="clear" w:color="auto" w:fill="auto"/>
          <w:lang w:val="en-US" w:eastAsia="zh-CN"/>
        </w:rPr>
        <w:t>详见采购需求</w:t>
      </w:r>
    </w:p>
    <w:p>
      <w:pPr>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r>
        <w:rPr>
          <w:rFonts w:hint="eastAsia"/>
          <w:color w:val="auto"/>
          <w:highlight w:val="none"/>
          <w:shd w:val="clear" w:color="auto" w:fill="auto"/>
        </w:rPr>
        <w:t>本项目接受联合体投标：（√）是；（ ）否</w:t>
      </w:r>
      <w:r>
        <w:rPr>
          <w:color w:val="auto"/>
          <w:highlight w:val="none"/>
          <w:shd w:val="clear" w:color="auto" w:fill="auto"/>
        </w:rPr>
        <w:t xml:space="preserve"> </w:t>
      </w:r>
      <w:r>
        <w:rPr>
          <w:rFonts w:hint="eastAsia"/>
          <w:color w:val="auto"/>
          <w:highlight w:val="none"/>
          <w:shd w:val="clear" w:color="auto" w:fill="auto"/>
        </w:rPr>
        <w:t>。</w:t>
      </w:r>
    </w:p>
    <w:p>
      <w:pPr>
        <w:rPr>
          <w:color w:val="auto"/>
          <w:highlight w:val="none"/>
          <w:shd w:val="clear" w:color="auto" w:fill="auto"/>
        </w:rPr>
      </w:pPr>
      <w:r>
        <w:rPr>
          <w:rFonts w:hint="eastAsia"/>
          <w:b/>
          <w:color w:val="auto"/>
          <w:highlight w:val="none"/>
          <w:shd w:val="clear" w:color="auto" w:fill="auto"/>
        </w:rPr>
        <w:t>二、申请人的资格要求</w:t>
      </w:r>
      <w:r>
        <w:rPr>
          <w:rFonts w:hint="eastAsia"/>
          <w:color w:val="auto"/>
          <w:highlight w:val="none"/>
          <w:shd w:val="clear" w:color="auto" w:fill="auto"/>
        </w:rPr>
        <w:t>：</w:t>
      </w:r>
    </w:p>
    <w:p>
      <w:pPr>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r>
        <w:rPr>
          <w:color w:val="auto"/>
          <w:highlight w:val="none"/>
          <w:shd w:val="clear" w:color="auto" w:fill="auto"/>
        </w:rPr>
        <w:t>1.</w:t>
      </w:r>
      <w:r>
        <w:rPr>
          <w:rFonts w:hint="eastAsia"/>
          <w:color w:val="auto"/>
          <w:highlight w:val="none"/>
          <w:shd w:val="clear" w:color="auto" w:fill="auto"/>
        </w:rPr>
        <w:t xml:space="preserve"> 满足《中华人民共和国政府采购法》第二十二条规定；未被“信用中国”（www.creditchina.gov.cn)、中国政府采购网（www.ccgp.gov.cn）列入失信被执行人、重大税收违法案件当事人名单、政府采购严重违法失信行为记录名单；</w:t>
      </w:r>
    </w:p>
    <w:p>
      <w:pPr>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r>
        <w:rPr>
          <w:color w:val="auto"/>
          <w:highlight w:val="none"/>
          <w:shd w:val="clear" w:color="auto" w:fill="auto"/>
        </w:rPr>
        <w:t>2.</w:t>
      </w:r>
      <w:r>
        <w:rPr>
          <w:rFonts w:hint="eastAsia"/>
          <w:color w:val="auto"/>
          <w:highlight w:val="none"/>
          <w:shd w:val="clear" w:color="auto" w:fill="auto"/>
        </w:rPr>
        <w:t>落实政府采购政策需满足的资格要求：（√）无；</w:t>
      </w:r>
    </w:p>
    <w:p>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eastAsia="仿宋"/>
          <w:color w:val="auto"/>
          <w:highlight w:val="none"/>
          <w:shd w:val="clear" w:color="auto" w:fill="auto"/>
          <w:lang w:val="en-US" w:eastAsia="zh-CN"/>
        </w:rPr>
      </w:pPr>
      <w:r>
        <w:rPr>
          <w:color w:val="auto"/>
          <w:highlight w:val="none"/>
          <w:shd w:val="clear" w:color="auto" w:fill="auto"/>
        </w:rPr>
        <w:t>3.本项目的特定资格要求：</w:t>
      </w:r>
      <w:r>
        <w:rPr>
          <w:rFonts w:hint="eastAsia"/>
          <w:color w:val="auto"/>
          <w:highlight w:val="none"/>
          <w:shd w:val="clear" w:color="auto" w:fill="auto"/>
          <w:lang w:val="en-US" w:eastAsia="zh-CN"/>
        </w:rPr>
        <w:t>无</w:t>
      </w:r>
    </w:p>
    <w:p>
      <w:pPr>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r>
        <w:rPr>
          <w:color w:val="auto"/>
          <w:highlight w:val="none"/>
          <w:shd w:val="clear" w:color="auto" w:fill="auto"/>
        </w:rPr>
        <w:t>4.</w:t>
      </w:r>
      <w:r>
        <w:rPr>
          <w:rFonts w:hint="eastAsia"/>
          <w:color w:val="auto"/>
          <w:highlight w:val="none"/>
          <w:shd w:val="clear" w:color="auto" w:fill="auto"/>
        </w:rPr>
        <w:t>单位负责人为同一人或者存在直接控股、管理关系的不同供应商，不得参加同一合同项下的政府采购活动；</w:t>
      </w:r>
      <w:r>
        <w:rPr>
          <w:color w:val="auto"/>
          <w:highlight w:val="none"/>
          <w:shd w:val="clear" w:color="auto" w:fill="auto"/>
        </w:rPr>
        <w:t>为采购项目提供整体设计、规范编制或者项目管理、监理、检测等服务后</w:t>
      </w:r>
      <w:r>
        <w:rPr>
          <w:rFonts w:hint="eastAsia"/>
          <w:color w:val="auto"/>
          <w:highlight w:val="none"/>
          <w:shd w:val="clear" w:color="auto" w:fill="auto"/>
        </w:rPr>
        <w:t>不得</w:t>
      </w:r>
      <w:r>
        <w:rPr>
          <w:color w:val="auto"/>
          <w:highlight w:val="none"/>
          <w:shd w:val="clear" w:color="auto" w:fill="auto"/>
        </w:rPr>
        <w:t>再参加该采购项目的其他采购活动。</w:t>
      </w:r>
    </w:p>
    <w:p>
      <w:pPr>
        <w:rPr>
          <w:b/>
          <w:color w:val="auto"/>
          <w:highlight w:val="none"/>
          <w:shd w:val="clear" w:color="auto" w:fill="auto"/>
        </w:rPr>
      </w:pPr>
      <w:r>
        <w:rPr>
          <w:rFonts w:hint="eastAsia"/>
          <w:b/>
          <w:color w:val="auto"/>
          <w:highlight w:val="none"/>
          <w:shd w:val="clear" w:color="auto" w:fill="auto"/>
        </w:rPr>
        <w:t>三、获取招标文件</w:t>
      </w:r>
      <w:r>
        <w:rPr>
          <w:b/>
          <w:color w:val="auto"/>
          <w:highlight w:val="none"/>
          <w:shd w:val="clear" w:color="auto" w:fill="auto"/>
        </w:rPr>
        <w:t xml:space="preserve"> </w:t>
      </w:r>
    </w:p>
    <w:p>
      <w:pPr>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r>
        <w:rPr>
          <w:rFonts w:hint="eastAsia"/>
          <w:color w:val="auto"/>
          <w:highlight w:val="none"/>
          <w:shd w:val="clear" w:color="auto" w:fill="auto"/>
        </w:rPr>
        <w:t>时间：</w:t>
      </w:r>
      <w:r>
        <w:rPr>
          <w:color w:val="auto"/>
          <w:highlight w:val="none"/>
          <w:shd w:val="clear" w:color="auto" w:fill="auto"/>
        </w:rPr>
        <w:t>/至</w:t>
      </w:r>
      <w:r>
        <w:rPr>
          <w:rFonts w:hint="eastAsia"/>
          <w:color w:val="auto"/>
          <w:highlight w:val="none"/>
          <w:shd w:val="clear" w:color="auto" w:fill="auto"/>
        </w:rPr>
        <w:t>202</w:t>
      </w:r>
      <w:r>
        <w:rPr>
          <w:rFonts w:hint="eastAsia"/>
          <w:color w:val="auto"/>
          <w:highlight w:val="none"/>
          <w:shd w:val="clear" w:color="auto" w:fill="auto"/>
          <w:lang w:val="en-US" w:eastAsia="zh-CN"/>
        </w:rPr>
        <w:t>2</w:t>
      </w:r>
      <w:r>
        <w:rPr>
          <w:color w:val="auto"/>
          <w:highlight w:val="none"/>
          <w:shd w:val="clear" w:color="auto" w:fill="auto"/>
        </w:rPr>
        <w:t>年</w:t>
      </w:r>
      <w:r>
        <w:rPr>
          <w:rFonts w:hint="eastAsia"/>
          <w:color w:val="auto"/>
          <w:highlight w:val="none"/>
          <w:shd w:val="clear" w:color="auto" w:fill="auto"/>
          <w:lang w:val="en-US" w:eastAsia="zh-CN"/>
        </w:rPr>
        <w:t>10</w:t>
      </w:r>
      <w:r>
        <w:rPr>
          <w:color w:val="auto"/>
          <w:highlight w:val="none"/>
          <w:shd w:val="clear" w:color="auto" w:fill="auto"/>
        </w:rPr>
        <w:t>月</w:t>
      </w:r>
      <w:r>
        <w:rPr>
          <w:rFonts w:hint="eastAsia"/>
          <w:color w:val="auto"/>
          <w:highlight w:val="none"/>
          <w:shd w:val="clear" w:color="auto" w:fill="auto"/>
          <w:lang w:val="en-US" w:eastAsia="zh-CN"/>
        </w:rPr>
        <w:t>8</w:t>
      </w:r>
      <w:r>
        <w:rPr>
          <w:color w:val="auto"/>
          <w:highlight w:val="none"/>
          <w:shd w:val="clear" w:color="auto" w:fill="auto"/>
        </w:rPr>
        <w:t>日</w:t>
      </w:r>
      <w:r>
        <w:rPr>
          <w:rFonts w:hint="eastAsia"/>
          <w:color w:val="auto"/>
          <w:highlight w:val="none"/>
          <w:shd w:val="clear" w:color="auto" w:fill="auto"/>
        </w:rPr>
        <w:t>，每天上午</w:t>
      </w:r>
      <w:r>
        <w:rPr>
          <w:color w:val="auto"/>
          <w:highlight w:val="none"/>
          <w:shd w:val="clear" w:color="auto" w:fill="auto"/>
        </w:rPr>
        <w:t xml:space="preserve">00:00至12:00 </w:t>
      </w:r>
      <w:r>
        <w:rPr>
          <w:rFonts w:hint="eastAsia"/>
          <w:color w:val="auto"/>
          <w:highlight w:val="none"/>
          <w:shd w:val="clear" w:color="auto" w:fill="auto"/>
        </w:rPr>
        <w:t>，下午</w:t>
      </w:r>
      <w:r>
        <w:rPr>
          <w:color w:val="auto"/>
          <w:highlight w:val="none"/>
          <w:shd w:val="clear" w:color="auto" w:fill="auto"/>
        </w:rPr>
        <w:t>12:00至23:59（北京时间，线上获取法定节假日均可，线下获取文件法定节假日除外）</w:t>
      </w:r>
    </w:p>
    <w:p>
      <w:pPr>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r>
        <w:rPr>
          <w:rFonts w:hint="eastAsia"/>
          <w:color w:val="auto"/>
          <w:highlight w:val="none"/>
          <w:shd w:val="clear" w:color="auto" w:fill="auto"/>
        </w:rPr>
        <w:t>地点（网址）：</w:t>
      </w:r>
      <w:r>
        <w:rPr>
          <w:rFonts w:hint="eastAsia"/>
          <w:color w:val="auto"/>
          <w:highlight w:val="none"/>
          <w:shd w:val="clear" w:color="auto" w:fill="auto"/>
          <w:lang w:eastAsia="zh-CN"/>
        </w:rPr>
        <w:t>乐采云（萧采云）</w:t>
      </w:r>
      <w:r>
        <w:rPr>
          <w:rFonts w:hint="eastAsia"/>
          <w:color w:val="auto"/>
          <w:highlight w:val="none"/>
          <w:shd w:val="clear" w:color="auto" w:fill="auto"/>
        </w:rPr>
        <w:t>平台（</w:t>
      </w:r>
      <w:r>
        <w:rPr>
          <w:color w:val="auto"/>
          <w:highlight w:val="none"/>
          <w:shd w:val="clear" w:color="auto" w:fill="auto"/>
        </w:rPr>
        <w:t xml:space="preserve">https://www.zcygov.cn/） </w:t>
      </w:r>
    </w:p>
    <w:p>
      <w:pPr>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r>
        <w:rPr>
          <w:rFonts w:hint="eastAsia"/>
          <w:color w:val="auto"/>
          <w:highlight w:val="none"/>
          <w:shd w:val="clear" w:color="auto" w:fill="auto"/>
        </w:rPr>
        <w:t>方式：供应商登录</w:t>
      </w:r>
      <w:r>
        <w:rPr>
          <w:rFonts w:hint="eastAsia"/>
          <w:color w:val="auto"/>
          <w:highlight w:val="none"/>
          <w:shd w:val="clear" w:color="auto" w:fill="auto"/>
          <w:lang w:eastAsia="zh-CN"/>
        </w:rPr>
        <w:t>乐采云（萧采云）</w:t>
      </w:r>
      <w:r>
        <w:rPr>
          <w:rFonts w:hint="eastAsia"/>
          <w:color w:val="auto"/>
          <w:highlight w:val="none"/>
          <w:shd w:val="clear" w:color="auto" w:fill="auto"/>
        </w:rPr>
        <w:t>平台</w:t>
      </w:r>
      <w:r>
        <w:rPr>
          <w:color w:val="auto"/>
          <w:highlight w:val="none"/>
          <w:shd w:val="clear" w:color="auto" w:fill="auto"/>
        </w:rPr>
        <w:t xml:space="preserve">https://www.zcygov.cn/在线申请获取采购文件（进入“项目采购”应用，在获取采购文件菜单中选择项目，申请获取采购文件）。 </w:t>
      </w:r>
    </w:p>
    <w:p>
      <w:pPr>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r>
        <w:rPr>
          <w:rFonts w:hint="eastAsia"/>
          <w:color w:val="auto"/>
          <w:highlight w:val="none"/>
          <w:shd w:val="clear" w:color="auto" w:fill="auto"/>
        </w:rPr>
        <w:t>售价（元）：</w:t>
      </w:r>
      <w:r>
        <w:rPr>
          <w:color w:val="auto"/>
          <w:highlight w:val="none"/>
          <w:shd w:val="clear" w:color="auto" w:fill="auto"/>
        </w:rPr>
        <w:t xml:space="preserve">0 </w:t>
      </w:r>
      <w:r>
        <w:rPr>
          <w:color w:val="auto"/>
          <w:highlight w:val="none"/>
          <w:shd w:val="clear" w:color="auto" w:fill="auto"/>
        </w:rPr>
        <w:tab/>
      </w:r>
    </w:p>
    <w:p>
      <w:pPr>
        <w:rPr>
          <w:b/>
          <w:color w:val="auto"/>
          <w:highlight w:val="none"/>
          <w:shd w:val="clear" w:color="auto" w:fill="auto"/>
        </w:rPr>
      </w:pPr>
      <w:r>
        <w:rPr>
          <w:rFonts w:hint="eastAsia"/>
          <w:b/>
          <w:color w:val="auto"/>
          <w:highlight w:val="none"/>
          <w:shd w:val="clear" w:color="auto" w:fill="auto"/>
        </w:rPr>
        <w:t>四、提交投标文件截止时间、开标时间和地点</w:t>
      </w:r>
    </w:p>
    <w:p>
      <w:pPr>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r>
        <w:rPr>
          <w:rFonts w:hint="eastAsia"/>
          <w:color w:val="auto"/>
          <w:highlight w:val="none"/>
          <w:shd w:val="clear" w:color="auto" w:fill="auto"/>
        </w:rPr>
        <w:t>提交投标文件截止时间：202</w:t>
      </w:r>
      <w:r>
        <w:rPr>
          <w:rFonts w:hint="eastAsia"/>
          <w:color w:val="auto"/>
          <w:highlight w:val="none"/>
          <w:shd w:val="clear" w:color="auto" w:fill="auto"/>
          <w:lang w:val="en-US" w:eastAsia="zh-CN"/>
        </w:rPr>
        <w:t>2</w:t>
      </w:r>
      <w:r>
        <w:rPr>
          <w:color w:val="auto"/>
          <w:highlight w:val="none"/>
          <w:shd w:val="clear" w:color="auto" w:fill="auto"/>
        </w:rPr>
        <w:t>年</w:t>
      </w:r>
      <w:r>
        <w:rPr>
          <w:rFonts w:hint="eastAsia"/>
          <w:color w:val="auto"/>
          <w:highlight w:val="none"/>
          <w:shd w:val="clear" w:color="auto" w:fill="auto"/>
          <w:lang w:val="en-US" w:eastAsia="zh-CN"/>
        </w:rPr>
        <w:t>10</w:t>
      </w:r>
      <w:r>
        <w:rPr>
          <w:rFonts w:hint="eastAsia"/>
          <w:color w:val="auto"/>
          <w:highlight w:val="none"/>
          <w:shd w:val="clear" w:color="auto" w:fill="auto"/>
        </w:rPr>
        <w:t>月</w:t>
      </w:r>
      <w:r>
        <w:rPr>
          <w:rFonts w:hint="eastAsia"/>
          <w:color w:val="auto"/>
          <w:highlight w:val="none"/>
          <w:shd w:val="clear" w:color="auto" w:fill="auto"/>
          <w:lang w:val="en-US" w:eastAsia="zh-CN"/>
        </w:rPr>
        <w:t>8</w:t>
      </w:r>
      <w:r>
        <w:rPr>
          <w:rFonts w:hint="eastAsia"/>
          <w:color w:val="auto"/>
          <w:highlight w:val="none"/>
          <w:shd w:val="clear" w:color="auto" w:fill="auto"/>
        </w:rPr>
        <w:t>日</w:t>
      </w:r>
      <w:r>
        <w:rPr>
          <w:rFonts w:hint="eastAsia"/>
          <w:color w:val="auto"/>
          <w:highlight w:val="none"/>
          <w:shd w:val="clear" w:color="auto" w:fill="auto"/>
          <w:lang w:val="en-US" w:eastAsia="zh-CN"/>
        </w:rPr>
        <w:t>9</w:t>
      </w:r>
      <w:r>
        <w:rPr>
          <w:rFonts w:hint="eastAsia"/>
          <w:color w:val="auto"/>
          <w:highlight w:val="none"/>
          <w:shd w:val="clear" w:color="auto" w:fill="auto"/>
        </w:rPr>
        <w:t>点</w:t>
      </w:r>
      <w:r>
        <w:rPr>
          <w:rFonts w:hint="eastAsia"/>
          <w:color w:val="auto"/>
          <w:highlight w:val="none"/>
          <w:shd w:val="clear" w:color="auto" w:fill="auto"/>
          <w:lang w:val="en-US" w:eastAsia="zh-CN"/>
        </w:rPr>
        <w:t>30</w:t>
      </w:r>
      <w:r>
        <w:rPr>
          <w:rFonts w:hint="eastAsia"/>
          <w:color w:val="auto"/>
          <w:highlight w:val="none"/>
          <w:shd w:val="clear" w:color="auto" w:fill="auto"/>
        </w:rPr>
        <w:t>分 （北京时间）</w:t>
      </w:r>
    </w:p>
    <w:p>
      <w:pPr>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r>
        <w:rPr>
          <w:rFonts w:hint="eastAsia"/>
          <w:color w:val="auto"/>
          <w:highlight w:val="none"/>
          <w:shd w:val="clear" w:color="auto" w:fill="auto"/>
        </w:rPr>
        <w:t>投标地点（网址）：</w:t>
      </w:r>
      <w:r>
        <w:rPr>
          <w:rFonts w:hint="eastAsia"/>
          <w:color w:val="auto"/>
          <w:highlight w:val="none"/>
          <w:shd w:val="clear" w:color="auto" w:fill="auto"/>
          <w:lang w:eastAsia="zh-CN"/>
        </w:rPr>
        <w:t>乐采云（萧采云）</w:t>
      </w:r>
      <w:r>
        <w:rPr>
          <w:rFonts w:hint="eastAsia"/>
          <w:color w:val="auto"/>
          <w:highlight w:val="none"/>
          <w:shd w:val="clear" w:color="auto" w:fill="auto"/>
        </w:rPr>
        <w:t>平台（</w:t>
      </w:r>
      <w:r>
        <w:rPr>
          <w:color w:val="auto"/>
          <w:highlight w:val="none"/>
          <w:shd w:val="clear" w:color="auto" w:fill="auto"/>
        </w:rPr>
        <w:t xml:space="preserve">https://www.zcygov.cn/） </w:t>
      </w:r>
    </w:p>
    <w:p>
      <w:pPr>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r>
        <w:rPr>
          <w:rFonts w:hint="eastAsia"/>
          <w:color w:val="auto"/>
          <w:highlight w:val="none"/>
          <w:shd w:val="clear" w:color="auto" w:fill="auto"/>
        </w:rPr>
        <w:t>开标时间：202</w:t>
      </w:r>
      <w:r>
        <w:rPr>
          <w:rFonts w:hint="eastAsia"/>
          <w:color w:val="auto"/>
          <w:highlight w:val="none"/>
          <w:shd w:val="clear" w:color="auto" w:fill="auto"/>
          <w:lang w:val="en-US" w:eastAsia="zh-CN"/>
        </w:rPr>
        <w:t>2</w:t>
      </w:r>
      <w:r>
        <w:rPr>
          <w:color w:val="auto"/>
          <w:highlight w:val="none"/>
          <w:shd w:val="clear" w:color="auto" w:fill="auto"/>
        </w:rPr>
        <w:t>年</w:t>
      </w:r>
      <w:r>
        <w:rPr>
          <w:rFonts w:hint="eastAsia"/>
          <w:color w:val="auto"/>
          <w:highlight w:val="none"/>
          <w:shd w:val="clear" w:color="auto" w:fill="auto"/>
          <w:lang w:val="en-US" w:eastAsia="zh-CN"/>
        </w:rPr>
        <w:t>10</w:t>
      </w:r>
      <w:r>
        <w:rPr>
          <w:rFonts w:hint="eastAsia"/>
          <w:color w:val="auto"/>
          <w:highlight w:val="none"/>
          <w:shd w:val="clear" w:color="auto" w:fill="auto"/>
        </w:rPr>
        <w:t>月</w:t>
      </w:r>
      <w:r>
        <w:rPr>
          <w:rFonts w:hint="eastAsia"/>
          <w:color w:val="auto"/>
          <w:highlight w:val="none"/>
          <w:shd w:val="clear" w:color="auto" w:fill="auto"/>
          <w:lang w:val="en-US" w:eastAsia="zh-CN"/>
        </w:rPr>
        <w:t>8</w:t>
      </w:r>
      <w:r>
        <w:rPr>
          <w:rFonts w:hint="eastAsia"/>
          <w:color w:val="auto"/>
          <w:highlight w:val="none"/>
          <w:shd w:val="clear" w:color="auto" w:fill="auto"/>
        </w:rPr>
        <w:t>日</w:t>
      </w:r>
      <w:r>
        <w:rPr>
          <w:rFonts w:hint="eastAsia"/>
          <w:color w:val="auto"/>
          <w:highlight w:val="none"/>
          <w:shd w:val="clear" w:color="auto" w:fill="auto"/>
          <w:lang w:val="en-US" w:eastAsia="zh-CN"/>
        </w:rPr>
        <w:t>9</w:t>
      </w:r>
      <w:r>
        <w:rPr>
          <w:rFonts w:hint="eastAsia"/>
          <w:color w:val="auto"/>
          <w:highlight w:val="none"/>
          <w:shd w:val="clear" w:color="auto" w:fill="auto"/>
        </w:rPr>
        <w:t>点</w:t>
      </w:r>
      <w:r>
        <w:rPr>
          <w:rFonts w:hint="eastAsia"/>
          <w:color w:val="auto"/>
          <w:highlight w:val="none"/>
          <w:shd w:val="clear" w:color="auto" w:fill="auto"/>
          <w:lang w:val="en-US" w:eastAsia="zh-CN"/>
        </w:rPr>
        <w:t>30</w:t>
      </w:r>
      <w:r>
        <w:rPr>
          <w:rFonts w:hint="eastAsia"/>
          <w:color w:val="auto"/>
          <w:highlight w:val="none"/>
          <w:shd w:val="clear" w:color="auto" w:fill="auto"/>
        </w:rPr>
        <w:t>分</w:t>
      </w:r>
    </w:p>
    <w:p>
      <w:pPr>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r>
        <w:rPr>
          <w:rFonts w:hint="eastAsia"/>
          <w:color w:val="auto"/>
          <w:highlight w:val="none"/>
          <w:shd w:val="clear" w:color="auto" w:fill="auto"/>
        </w:rPr>
        <w:t>开标地点（网址）：</w:t>
      </w:r>
      <w:r>
        <w:rPr>
          <w:rFonts w:hint="eastAsia"/>
          <w:color w:val="auto"/>
          <w:highlight w:val="none"/>
          <w:shd w:val="clear" w:color="auto" w:fill="auto"/>
          <w:lang w:eastAsia="zh-CN"/>
        </w:rPr>
        <w:t>乐采云（萧采云）</w:t>
      </w:r>
      <w:r>
        <w:rPr>
          <w:rFonts w:hint="eastAsia"/>
          <w:color w:val="auto"/>
          <w:highlight w:val="none"/>
          <w:shd w:val="clear" w:color="auto" w:fill="auto"/>
        </w:rPr>
        <w:t>平台（</w:t>
      </w:r>
      <w:r>
        <w:rPr>
          <w:color w:val="auto"/>
          <w:highlight w:val="none"/>
          <w:shd w:val="clear" w:color="auto" w:fill="auto"/>
        </w:rPr>
        <w:t>https://www.zcygov.cn/）</w:t>
      </w:r>
    </w:p>
    <w:p>
      <w:pPr>
        <w:rPr>
          <w:b/>
          <w:color w:val="auto"/>
          <w:highlight w:val="none"/>
          <w:shd w:val="clear" w:color="auto" w:fill="auto"/>
        </w:rPr>
      </w:pPr>
      <w:r>
        <w:rPr>
          <w:rFonts w:hint="eastAsia"/>
          <w:b/>
          <w:color w:val="auto"/>
          <w:highlight w:val="none"/>
          <w:shd w:val="clear" w:color="auto" w:fill="auto"/>
        </w:rPr>
        <w:t>五、公告期限</w:t>
      </w:r>
      <w:r>
        <w:rPr>
          <w:b/>
          <w:color w:val="auto"/>
          <w:highlight w:val="none"/>
          <w:shd w:val="clear" w:color="auto" w:fill="auto"/>
        </w:rPr>
        <w:t xml:space="preserve"> </w:t>
      </w:r>
    </w:p>
    <w:p>
      <w:pPr>
        <w:rPr>
          <w:color w:val="auto"/>
          <w:highlight w:val="none"/>
          <w:shd w:val="clear" w:color="auto" w:fill="auto"/>
        </w:rPr>
      </w:pPr>
      <w:r>
        <w:rPr>
          <w:rFonts w:hint="eastAsia"/>
          <w:color w:val="auto"/>
          <w:highlight w:val="none"/>
          <w:shd w:val="clear" w:color="auto" w:fill="auto"/>
        </w:rPr>
        <w:t>自本公告发布之日起</w:t>
      </w:r>
      <w:r>
        <w:rPr>
          <w:color w:val="auto"/>
          <w:highlight w:val="none"/>
          <w:shd w:val="clear" w:color="auto" w:fill="auto"/>
        </w:rPr>
        <w:t>5个工作日。</w:t>
      </w:r>
    </w:p>
    <w:p>
      <w:pPr>
        <w:rPr>
          <w:b/>
          <w:color w:val="auto"/>
          <w:highlight w:val="none"/>
          <w:shd w:val="clear" w:color="auto" w:fill="auto"/>
        </w:rPr>
      </w:pPr>
      <w:r>
        <w:rPr>
          <w:rFonts w:hint="eastAsia"/>
          <w:b/>
          <w:color w:val="auto"/>
          <w:highlight w:val="none"/>
          <w:shd w:val="clear" w:color="auto" w:fill="auto"/>
        </w:rPr>
        <w:t>六、其他补充事宜</w:t>
      </w:r>
    </w:p>
    <w:p>
      <w:pPr>
        <w:rPr>
          <w:color w:val="auto"/>
          <w:highlight w:val="none"/>
          <w:shd w:val="clear" w:color="auto" w:fill="auto"/>
        </w:rPr>
      </w:pPr>
      <w:r>
        <w:rPr>
          <w:color w:val="auto"/>
          <w:highlight w:val="none"/>
          <w:shd w:val="clear" w:color="auto" w:fill="auto"/>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r>
        <w:rPr>
          <w:rFonts w:hint="eastAsia"/>
          <w:color w:val="auto"/>
          <w:highlight w:val="none"/>
          <w:shd w:val="clear" w:color="auto" w:fill="auto"/>
        </w:rPr>
        <w:t>作出答复的，可以在答复期满后十五个工作日内向同级政府采购监督管理部门投诉。质疑函范本、投诉书范本请到浙江政府采购网下载专区下载。</w:t>
      </w:r>
    </w:p>
    <w:p>
      <w:pPr>
        <w:rPr>
          <w:color w:val="auto"/>
          <w:highlight w:val="none"/>
          <w:shd w:val="clear" w:color="auto" w:fill="auto"/>
        </w:rPr>
      </w:pPr>
      <w:r>
        <w:rPr>
          <w:rFonts w:hint="eastAsia"/>
          <w:color w:val="auto"/>
          <w:highlight w:val="none"/>
          <w:shd w:val="clear" w:color="auto" w:fill="auto"/>
        </w:rPr>
        <w:t>2.其他事项：（1）需要落实的政府采购政策：包括节约资源、保护环境、支持创新、促进中小企业发展等。详见招标文件的第二部分总则。（2）</w:t>
      </w:r>
      <w:r>
        <w:rPr>
          <w:color w:val="auto"/>
          <w:highlight w:val="none"/>
          <w:shd w:val="clear" w:color="auto" w:fill="auto"/>
        </w:rPr>
        <w:t>电子招投标的说明：</w:t>
      </w:r>
      <w:r>
        <w:rPr>
          <w:rFonts w:hint="eastAsia"/>
          <w:color w:val="auto"/>
          <w:highlight w:val="none"/>
          <w:shd w:val="clear" w:color="auto" w:fill="auto"/>
        </w:rPr>
        <w:t>①</w:t>
      </w:r>
      <w:r>
        <w:rPr>
          <w:color w:val="auto"/>
          <w:highlight w:val="none"/>
          <w:shd w:val="clear" w:color="auto" w:fill="auto"/>
        </w:rPr>
        <w:t>电子招投标：本项目以数据电文形式，依托“政府采购云平台（www.zcygov.cn）”进行招投标活动，不接受纸质投标文件</w:t>
      </w:r>
      <w:r>
        <w:rPr>
          <w:rFonts w:hint="eastAsia"/>
          <w:color w:val="auto"/>
          <w:highlight w:val="none"/>
          <w:shd w:val="clear" w:color="auto" w:fill="auto"/>
        </w:rPr>
        <w:t>；②</w:t>
      </w:r>
      <w:r>
        <w:rPr>
          <w:color w:val="auto"/>
          <w:highlight w:val="none"/>
          <w:shd w:val="clear" w:color="auto" w:fill="auto"/>
        </w:rPr>
        <w:t>投标准备：注册账号--点击“商家入驻”，进行政府采购供应商资料填写；申领CA数字证书---申领流程详见“浙江政府采购网-下载专区-电子交易客户端-CA驱动和申领流程”；安装“</w:t>
      </w:r>
      <w:r>
        <w:rPr>
          <w:rFonts w:hint="eastAsia"/>
          <w:color w:val="auto"/>
          <w:highlight w:val="none"/>
          <w:shd w:val="clear" w:color="auto" w:fill="auto"/>
          <w:lang w:eastAsia="zh-CN"/>
        </w:rPr>
        <w:t>乐采云（萧采云）</w:t>
      </w:r>
      <w:r>
        <w:rPr>
          <w:rFonts w:hint="eastAsia"/>
          <w:color w:val="auto"/>
          <w:highlight w:val="none"/>
          <w:shd w:val="clear" w:color="auto" w:fill="auto"/>
        </w:rPr>
        <w:t>电子交易客户端”</w:t>
      </w:r>
      <w:r>
        <w:rPr>
          <w:color w:val="auto"/>
          <w:highlight w:val="none"/>
          <w:shd w:val="clear" w:color="auto" w:fill="auto"/>
        </w:rPr>
        <w:t>----前往“浙江政府采购网-下载专区-电子交易客户端”进行下载并安装</w:t>
      </w:r>
      <w:r>
        <w:rPr>
          <w:rFonts w:hint="eastAsia"/>
          <w:color w:val="auto"/>
          <w:highlight w:val="none"/>
          <w:shd w:val="clear" w:color="auto" w:fill="auto"/>
        </w:rPr>
        <w:t>；③</w:t>
      </w:r>
      <w:r>
        <w:rPr>
          <w:color w:val="auto"/>
          <w:highlight w:val="none"/>
          <w:shd w:val="clear" w:color="auto" w:fill="auto"/>
        </w:rPr>
        <w:t>招标文件的获取：使用账号登录或者使用CA登录</w:t>
      </w:r>
      <w:r>
        <w:rPr>
          <w:rFonts w:hint="eastAsia"/>
          <w:color w:val="auto"/>
          <w:highlight w:val="none"/>
          <w:shd w:val="clear" w:color="auto" w:fill="auto"/>
          <w:lang w:eastAsia="zh-CN"/>
        </w:rPr>
        <w:t>乐采云（萧采云）</w:t>
      </w:r>
      <w:r>
        <w:rPr>
          <w:rFonts w:hint="eastAsia"/>
          <w:color w:val="auto"/>
          <w:highlight w:val="none"/>
          <w:shd w:val="clear" w:color="auto" w:fill="auto"/>
        </w:rPr>
        <w:t>平台；进入“项目采购”应用，在获取采购文件菜单中选择项目，获取招标文件；④</w:t>
      </w:r>
      <w:r>
        <w:rPr>
          <w:color w:val="auto"/>
          <w:highlight w:val="none"/>
          <w:shd w:val="clear" w:color="auto" w:fill="auto"/>
        </w:rPr>
        <w:t>投标文件的制作：在“</w:t>
      </w:r>
      <w:r>
        <w:rPr>
          <w:rFonts w:hint="eastAsia"/>
          <w:color w:val="auto"/>
          <w:highlight w:val="none"/>
          <w:shd w:val="clear" w:color="auto" w:fill="auto"/>
          <w:lang w:eastAsia="zh-CN"/>
        </w:rPr>
        <w:t>乐采云（萧采云）</w:t>
      </w:r>
      <w:r>
        <w:rPr>
          <w:rFonts w:hint="eastAsia"/>
          <w:color w:val="auto"/>
          <w:highlight w:val="none"/>
          <w:shd w:val="clear" w:color="auto" w:fill="auto"/>
        </w:rPr>
        <w:t>电子交易客户端”中完成“填写基本信息”、“导入投标文件”、“标书关联”、“标书检查”、“电子签名”、“生成电子标书”等操作；⑤</w:t>
      </w:r>
      <w:r>
        <w:rPr>
          <w:color w:val="auto"/>
          <w:highlight w:val="none"/>
          <w:shd w:val="clear" w:color="auto" w:fill="auto"/>
        </w:rPr>
        <w:t>采购人、采购机构将依托</w:t>
      </w:r>
      <w:r>
        <w:rPr>
          <w:rFonts w:hint="eastAsia"/>
          <w:color w:val="auto"/>
          <w:highlight w:val="none"/>
          <w:shd w:val="clear" w:color="auto" w:fill="auto"/>
          <w:lang w:eastAsia="zh-CN"/>
        </w:rPr>
        <w:t>乐采云（萧采云）</w:t>
      </w:r>
      <w:r>
        <w:rPr>
          <w:rFonts w:hint="eastAsia"/>
          <w:color w:val="auto"/>
          <w:highlight w:val="none"/>
          <w:shd w:val="clear" w:color="auto" w:fill="auto"/>
        </w:rPr>
        <w:t>平台完成本项目的电子交易活动，平台不接受未按上述方式获取招标文件的供应商进行投标活动；</w:t>
      </w:r>
      <w:r>
        <w:rPr>
          <w:color w:val="auto"/>
          <w:highlight w:val="none"/>
          <w:shd w:val="clear" w:color="auto" w:fill="auto"/>
        </w:rPr>
        <w:t xml:space="preserve"> </w:t>
      </w:r>
      <w:r>
        <w:rPr>
          <w:rFonts w:hint="eastAsia"/>
          <w:color w:val="auto"/>
          <w:highlight w:val="none"/>
          <w:shd w:val="clear" w:color="auto" w:fill="auto"/>
        </w:rPr>
        <w:t>⑥</w:t>
      </w:r>
      <w:r>
        <w:rPr>
          <w:color w:val="auto"/>
          <w:highlight w:val="none"/>
          <w:shd w:val="clear" w:color="auto" w:fill="auto"/>
        </w:rPr>
        <w:t>对未按上述方式获取招标文件的供应商对该文件提出的质疑，采购人或采购代理机构将</w:t>
      </w:r>
      <w:r>
        <w:rPr>
          <w:rFonts w:hint="eastAsia"/>
          <w:color w:val="auto"/>
          <w:highlight w:val="none"/>
          <w:shd w:val="clear" w:color="auto" w:fill="auto"/>
        </w:rPr>
        <w:t>不予处理；⑦</w:t>
      </w:r>
      <w:r>
        <w:rPr>
          <w:color w:val="auto"/>
          <w:highlight w:val="none"/>
          <w:shd w:val="clear" w:color="auto" w:fill="auto"/>
        </w:rPr>
        <w:t>不提供招标文件纸质版</w:t>
      </w:r>
      <w:r>
        <w:rPr>
          <w:rFonts w:hint="eastAsia"/>
          <w:color w:val="auto"/>
          <w:highlight w:val="none"/>
          <w:shd w:val="clear" w:color="auto" w:fill="auto"/>
        </w:rPr>
        <w:t>；⑧</w:t>
      </w:r>
      <w:r>
        <w:rPr>
          <w:color w:val="auto"/>
          <w:highlight w:val="none"/>
          <w:shd w:val="clear" w:color="auto" w:fill="auto"/>
        </w:rPr>
        <w:t>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r>
        <w:rPr>
          <w:rFonts w:hint="eastAsia"/>
          <w:color w:val="auto"/>
          <w:highlight w:val="none"/>
          <w:shd w:val="clear" w:color="auto" w:fill="auto"/>
        </w:rPr>
        <w:t>；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w:t>
      </w:r>
      <w:r>
        <w:rPr>
          <w:color w:val="auto"/>
          <w:highlight w:val="none"/>
          <w:shd w:val="clear" w:color="auto" w:fill="auto"/>
        </w:rPr>
        <w:t>具体操作指南：详见</w:t>
      </w:r>
      <w:r>
        <w:rPr>
          <w:rFonts w:hint="eastAsia"/>
          <w:color w:val="auto"/>
          <w:highlight w:val="none"/>
          <w:shd w:val="clear" w:color="auto" w:fill="auto"/>
          <w:lang w:eastAsia="zh-CN"/>
        </w:rPr>
        <w:t>乐采云（萧采云）</w:t>
      </w:r>
      <w:r>
        <w:rPr>
          <w:rFonts w:hint="eastAsia"/>
          <w:color w:val="auto"/>
          <w:highlight w:val="none"/>
          <w:shd w:val="clear" w:color="auto" w:fill="auto"/>
        </w:rPr>
        <w:t>平台“服务中心</w:t>
      </w:r>
      <w:r>
        <w:rPr>
          <w:color w:val="auto"/>
          <w:highlight w:val="none"/>
          <w:shd w:val="clear" w:color="auto" w:fill="auto"/>
        </w:rPr>
        <w:t>-帮助文档-项目采购-操作流程-电子招投标-政府采购项目电子交易管理操作指南-供应商”。</w:t>
      </w:r>
    </w:p>
    <w:p>
      <w:pPr>
        <w:rPr>
          <w:b/>
          <w:color w:val="auto"/>
          <w:highlight w:val="none"/>
          <w:shd w:val="clear" w:color="auto" w:fill="auto"/>
        </w:rPr>
      </w:pPr>
      <w:r>
        <w:rPr>
          <w:rFonts w:hint="eastAsia"/>
          <w:b/>
          <w:color w:val="auto"/>
          <w:highlight w:val="none"/>
          <w:shd w:val="clear" w:color="auto" w:fill="auto"/>
        </w:rPr>
        <w:t>七、对本次采购提出询问、质疑、投诉，请按以下方式联系</w:t>
      </w:r>
    </w:p>
    <w:p>
      <w:pPr>
        <w:rPr>
          <w:color w:val="auto"/>
          <w:highlight w:val="none"/>
          <w:shd w:val="clear" w:color="auto" w:fill="auto"/>
        </w:rPr>
      </w:pPr>
      <w:r>
        <w:rPr>
          <w:rFonts w:hint="eastAsia"/>
          <w:color w:val="auto"/>
          <w:highlight w:val="none"/>
          <w:shd w:val="clear" w:color="auto" w:fill="auto"/>
        </w:rPr>
        <w:t>1</w:t>
      </w:r>
      <w:r>
        <w:rPr>
          <w:color w:val="auto"/>
          <w:highlight w:val="none"/>
          <w:shd w:val="clear" w:color="auto" w:fill="auto"/>
        </w:rPr>
        <w:t>.</w:t>
      </w:r>
      <w:r>
        <w:rPr>
          <w:rFonts w:hint="eastAsia"/>
          <w:color w:val="auto"/>
          <w:highlight w:val="none"/>
          <w:shd w:val="clear" w:color="auto" w:fill="auto"/>
        </w:rPr>
        <w:t>采购人信息</w:t>
      </w:r>
    </w:p>
    <w:p>
      <w:pPr>
        <w:rPr>
          <w:color w:val="auto"/>
          <w:highlight w:val="none"/>
          <w:shd w:val="clear" w:color="auto" w:fill="auto"/>
        </w:rPr>
      </w:pPr>
      <w:r>
        <w:rPr>
          <w:rFonts w:hint="eastAsia"/>
          <w:color w:val="auto"/>
          <w:highlight w:val="none"/>
          <w:shd w:val="clear" w:color="auto" w:fill="auto"/>
        </w:rPr>
        <w:t>名称：杭州萧山环境光伏能源有限公司</w:t>
      </w:r>
    </w:p>
    <w:p>
      <w:pPr>
        <w:rPr>
          <w:color w:val="auto"/>
          <w:highlight w:val="none"/>
          <w:shd w:val="clear" w:color="auto" w:fill="auto"/>
        </w:rPr>
      </w:pPr>
      <w:r>
        <w:rPr>
          <w:rFonts w:hint="eastAsia"/>
          <w:color w:val="auto"/>
          <w:highlight w:val="none"/>
          <w:shd w:val="clear" w:color="auto" w:fill="auto"/>
        </w:rPr>
        <w:t>地址：萧山区北干街道金城路1098号水务大厦C座25层</w:t>
      </w:r>
    </w:p>
    <w:p>
      <w:pPr>
        <w:rPr>
          <w:rFonts w:hint="eastAsia" w:eastAsia="仿宋"/>
          <w:color w:val="auto"/>
          <w:highlight w:val="none"/>
          <w:shd w:val="clear" w:color="auto" w:fill="auto"/>
          <w:lang w:eastAsia="zh-CN"/>
        </w:rPr>
      </w:pPr>
      <w:r>
        <w:rPr>
          <w:color w:val="auto"/>
          <w:highlight w:val="none"/>
          <w:shd w:val="clear" w:color="auto" w:fill="auto"/>
        </w:rPr>
        <w:t>传真</w:t>
      </w:r>
      <w:r>
        <w:rPr>
          <w:rFonts w:hint="eastAsia"/>
          <w:color w:val="auto"/>
          <w:highlight w:val="none"/>
          <w:shd w:val="clear" w:color="auto" w:fill="auto"/>
        </w:rPr>
        <w:t>：</w:t>
      </w:r>
      <w:r>
        <w:rPr>
          <w:rFonts w:hint="eastAsia"/>
          <w:color w:val="auto"/>
          <w:highlight w:val="none"/>
          <w:shd w:val="clear" w:color="auto" w:fill="auto"/>
          <w:lang w:val="en-US" w:eastAsia="zh-CN"/>
        </w:rPr>
        <w:t>/</w:t>
      </w:r>
    </w:p>
    <w:p>
      <w:pPr>
        <w:rPr>
          <w:color w:val="auto"/>
          <w:highlight w:val="none"/>
          <w:shd w:val="clear" w:color="auto" w:fill="auto"/>
        </w:rPr>
      </w:pPr>
      <w:r>
        <w:rPr>
          <w:color w:val="auto"/>
          <w:highlight w:val="none"/>
          <w:shd w:val="clear" w:color="auto" w:fill="auto"/>
        </w:rPr>
        <w:t>项目联系人</w:t>
      </w:r>
      <w:r>
        <w:rPr>
          <w:rFonts w:hint="eastAsia"/>
          <w:color w:val="auto"/>
          <w:highlight w:val="none"/>
          <w:shd w:val="clear" w:color="auto" w:fill="auto"/>
        </w:rPr>
        <w:t>（询问）：熊超</w:t>
      </w:r>
    </w:p>
    <w:p>
      <w:pPr>
        <w:rPr>
          <w:color w:val="auto"/>
          <w:highlight w:val="none"/>
          <w:shd w:val="clear" w:color="auto" w:fill="auto"/>
        </w:rPr>
      </w:pPr>
      <w:r>
        <w:rPr>
          <w:color w:val="auto"/>
          <w:highlight w:val="none"/>
          <w:shd w:val="clear" w:color="auto" w:fill="auto"/>
        </w:rPr>
        <w:t>项目联系方式</w:t>
      </w:r>
      <w:r>
        <w:rPr>
          <w:rFonts w:hint="eastAsia"/>
          <w:color w:val="auto"/>
          <w:highlight w:val="none"/>
          <w:shd w:val="clear" w:color="auto" w:fill="auto"/>
        </w:rPr>
        <w:t>（询问）：18969938772</w:t>
      </w:r>
    </w:p>
    <w:p>
      <w:pPr>
        <w:rPr>
          <w:color w:val="auto"/>
          <w:highlight w:val="none"/>
          <w:shd w:val="clear" w:color="auto" w:fill="auto"/>
        </w:rPr>
      </w:pPr>
      <w:r>
        <w:rPr>
          <w:rFonts w:hint="eastAsia"/>
          <w:color w:val="auto"/>
          <w:highlight w:val="none"/>
          <w:shd w:val="clear" w:color="auto" w:fill="auto"/>
        </w:rPr>
        <w:t>质疑联系人：周越越</w:t>
      </w:r>
    </w:p>
    <w:p>
      <w:pPr>
        <w:rPr>
          <w:color w:val="auto"/>
          <w:highlight w:val="none"/>
          <w:shd w:val="clear" w:color="auto" w:fill="auto"/>
        </w:rPr>
      </w:pPr>
      <w:r>
        <w:rPr>
          <w:color w:val="auto"/>
          <w:highlight w:val="none"/>
          <w:shd w:val="clear" w:color="auto" w:fill="auto"/>
        </w:rPr>
        <w:t>质疑联系方式</w:t>
      </w:r>
      <w:r>
        <w:rPr>
          <w:rFonts w:hint="eastAsia"/>
          <w:color w:val="auto"/>
          <w:highlight w:val="none"/>
          <w:shd w:val="clear" w:color="auto" w:fill="auto"/>
        </w:rPr>
        <w:t>：</w:t>
      </w:r>
      <w:bookmarkStart w:id="0" w:name="_Toc28359009"/>
      <w:bookmarkStart w:id="1" w:name="_Toc28359086"/>
      <w:r>
        <w:rPr>
          <w:rFonts w:hint="eastAsia"/>
          <w:color w:val="auto"/>
          <w:highlight w:val="none"/>
          <w:shd w:val="clear" w:color="auto" w:fill="auto"/>
        </w:rPr>
        <w:t>15158188166</w:t>
      </w:r>
    </w:p>
    <w:p>
      <w:pPr>
        <w:rPr>
          <w:color w:val="auto"/>
          <w:highlight w:val="none"/>
          <w:shd w:val="clear" w:color="auto" w:fill="auto"/>
        </w:rPr>
      </w:pPr>
      <w:r>
        <w:rPr>
          <w:rFonts w:hint="eastAsia"/>
          <w:color w:val="auto"/>
          <w:highlight w:val="none"/>
          <w:shd w:val="clear" w:color="auto" w:fill="auto"/>
        </w:rPr>
        <w:t>2</w:t>
      </w:r>
      <w:r>
        <w:rPr>
          <w:color w:val="auto"/>
          <w:highlight w:val="none"/>
          <w:shd w:val="clear" w:color="auto" w:fill="auto"/>
        </w:rPr>
        <w:t>.</w:t>
      </w:r>
      <w:r>
        <w:rPr>
          <w:rFonts w:hint="eastAsia"/>
          <w:color w:val="auto"/>
          <w:highlight w:val="none"/>
          <w:shd w:val="clear" w:color="auto" w:fill="auto"/>
        </w:rPr>
        <w:t>采购代理机构信息</w:t>
      </w:r>
      <w:bookmarkEnd w:id="0"/>
      <w:bookmarkEnd w:id="1"/>
    </w:p>
    <w:p>
      <w:pPr>
        <w:rPr>
          <w:color w:val="auto"/>
          <w:highlight w:val="none"/>
          <w:shd w:val="clear" w:color="auto" w:fill="auto"/>
        </w:rPr>
      </w:pPr>
      <w:r>
        <w:rPr>
          <w:rFonts w:hint="eastAsia"/>
          <w:color w:val="auto"/>
          <w:highlight w:val="none"/>
          <w:shd w:val="clear" w:color="auto" w:fill="auto"/>
        </w:rPr>
        <w:t>名称：浙江省房地产管理咨询有限公司</w:t>
      </w:r>
    </w:p>
    <w:p>
      <w:pPr>
        <w:rPr>
          <w:color w:val="auto"/>
          <w:highlight w:val="none"/>
          <w:shd w:val="clear" w:color="auto" w:fill="auto"/>
        </w:rPr>
      </w:pPr>
      <w:r>
        <w:rPr>
          <w:rFonts w:hint="eastAsia"/>
          <w:color w:val="auto"/>
          <w:highlight w:val="none"/>
          <w:shd w:val="clear" w:color="auto" w:fill="auto"/>
        </w:rPr>
        <w:t>地址：萧山区晨晖路1096号南和城4幢1单元1003室</w:t>
      </w:r>
    </w:p>
    <w:p>
      <w:pPr>
        <w:rPr>
          <w:rFonts w:hint="eastAsia" w:eastAsia="仿宋"/>
          <w:color w:val="auto"/>
          <w:highlight w:val="none"/>
          <w:shd w:val="clear" w:color="auto" w:fill="auto"/>
          <w:lang w:eastAsia="zh-CN"/>
        </w:rPr>
      </w:pPr>
      <w:r>
        <w:rPr>
          <w:color w:val="auto"/>
          <w:highlight w:val="none"/>
          <w:shd w:val="clear" w:color="auto" w:fill="auto"/>
        </w:rPr>
        <w:t>传真</w:t>
      </w:r>
      <w:r>
        <w:rPr>
          <w:rFonts w:hint="eastAsia"/>
          <w:color w:val="auto"/>
          <w:highlight w:val="none"/>
          <w:shd w:val="clear" w:color="auto" w:fill="auto"/>
        </w:rPr>
        <w:t>：</w:t>
      </w:r>
      <w:r>
        <w:rPr>
          <w:rFonts w:hint="eastAsia"/>
          <w:color w:val="auto"/>
          <w:highlight w:val="none"/>
          <w:shd w:val="clear" w:color="auto" w:fill="auto"/>
          <w:lang w:val="en-US" w:eastAsia="zh-CN"/>
        </w:rPr>
        <w:t>/</w:t>
      </w:r>
    </w:p>
    <w:p>
      <w:pPr>
        <w:rPr>
          <w:rFonts w:hint="eastAsia" w:eastAsia="仿宋"/>
          <w:color w:val="auto"/>
          <w:highlight w:val="none"/>
          <w:shd w:val="clear" w:color="auto" w:fill="auto"/>
          <w:lang w:eastAsia="zh-CN"/>
        </w:rPr>
      </w:pPr>
      <w:r>
        <w:rPr>
          <w:color w:val="auto"/>
          <w:highlight w:val="none"/>
          <w:shd w:val="clear" w:color="auto" w:fill="auto"/>
        </w:rPr>
        <w:t>项目联系人</w:t>
      </w:r>
      <w:r>
        <w:rPr>
          <w:rFonts w:hint="eastAsia"/>
          <w:color w:val="auto"/>
          <w:highlight w:val="none"/>
          <w:shd w:val="clear" w:color="auto" w:fill="auto"/>
        </w:rPr>
        <w:t>（询问）：</w:t>
      </w:r>
      <w:r>
        <w:rPr>
          <w:rFonts w:hint="eastAsia"/>
          <w:color w:val="auto"/>
          <w:highlight w:val="none"/>
          <w:shd w:val="clear" w:color="auto" w:fill="auto"/>
          <w:lang w:val="en-US" w:eastAsia="zh-CN"/>
        </w:rPr>
        <w:t>俞佳</w:t>
      </w:r>
    </w:p>
    <w:p>
      <w:pPr>
        <w:rPr>
          <w:rFonts w:hint="default" w:eastAsia="仿宋"/>
          <w:color w:val="auto"/>
          <w:highlight w:val="none"/>
          <w:shd w:val="clear" w:color="auto" w:fill="auto"/>
          <w:lang w:val="en-US" w:eastAsia="zh-CN"/>
        </w:rPr>
      </w:pPr>
      <w:r>
        <w:rPr>
          <w:color w:val="auto"/>
          <w:highlight w:val="none"/>
          <w:shd w:val="clear" w:color="auto" w:fill="auto"/>
        </w:rPr>
        <w:t>项目联系方式</w:t>
      </w:r>
      <w:r>
        <w:rPr>
          <w:rFonts w:hint="eastAsia"/>
          <w:color w:val="auto"/>
          <w:highlight w:val="none"/>
          <w:shd w:val="clear" w:color="auto" w:fill="auto"/>
        </w:rPr>
        <w:t>（询问）：</w:t>
      </w:r>
      <w:r>
        <w:rPr>
          <w:rFonts w:hint="eastAsia"/>
          <w:color w:val="auto"/>
          <w:highlight w:val="none"/>
          <w:shd w:val="clear" w:color="auto" w:fill="auto"/>
          <w:lang w:val="en-US" w:eastAsia="zh-CN"/>
        </w:rPr>
        <w:t>13777889406</w:t>
      </w:r>
    </w:p>
    <w:p>
      <w:pPr>
        <w:rPr>
          <w:color w:val="auto"/>
          <w:highlight w:val="none"/>
          <w:shd w:val="clear" w:color="auto" w:fill="auto"/>
        </w:rPr>
      </w:pPr>
      <w:r>
        <w:rPr>
          <w:rFonts w:hint="eastAsia"/>
          <w:color w:val="auto"/>
          <w:highlight w:val="none"/>
          <w:shd w:val="clear" w:color="auto" w:fill="auto"/>
        </w:rPr>
        <w:t>质疑联系人：田岳</w:t>
      </w:r>
    </w:p>
    <w:p>
      <w:pPr>
        <w:rPr>
          <w:color w:val="auto"/>
          <w:highlight w:val="none"/>
          <w:shd w:val="clear" w:color="auto" w:fill="auto"/>
        </w:rPr>
      </w:pPr>
      <w:r>
        <w:rPr>
          <w:color w:val="auto"/>
          <w:highlight w:val="none"/>
          <w:shd w:val="clear" w:color="auto" w:fill="auto"/>
        </w:rPr>
        <w:t>质疑联系方式</w:t>
      </w:r>
      <w:r>
        <w:rPr>
          <w:rFonts w:hint="eastAsia"/>
          <w:color w:val="auto"/>
          <w:highlight w:val="none"/>
          <w:shd w:val="clear" w:color="auto" w:fill="auto"/>
        </w:rPr>
        <w:t>：0571-83731873</w:t>
      </w:r>
    </w:p>
    <w:p>
      <w:pPr>
        <w:rPr>
          <w:color w:val="auto"/>
          <w:highlight w:val="none"/>
          <w:shd w:val="clear" w:color="auto" w:fill="auto"/>
        </w:rPr>
      </w:pPr>
      <w:r>
        <w:rPr>
          <w:rFonts w:hint="eastAsia"/>
          <w:color w:val="auto"/>
          <w:highlight w:val="none"/>
          <w:shd w:val="clear" w:color="auto" w:fill="auto"/>
        </w:rPr>
        <w:t>3</w:t>
      </w:r>
      <w:r>
        <w:rPr>
          <w:color w:val="auto"/>
          <w:highlight w:val="none"/>
          <w:shd w:val="clear" w:color="auto" w:fill="auto"/>
        </w:rPr>
        <w:t>.同级政府采购监督管理部门</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p>
    <w:p>
      <w:pPr>
        <w:rPr>
          <w:color w:val="auto"/>
          <w:highlight w:val="none"/>
          <w:shd w:val="clear" w:color="auto" w:fill="auto"/>
        </w:rPr>
      </w:pPr>
      <w:r>
        <w:rPr>
          <w:color w:val="auto"/>
          <w:highlight w:val="none"/>
          <w:shd w:val="clear" w:color="auto" w:fill="auto"/>
        </w:rPr>
        <w:t>名</w:t>
      </w:r>
      <w:r>
        <w:rPr>
          <w:rFonts w:hint="eastAsia" w:ascii="宋体" w:hAnsi="宋体" w:eastAsia="宋体" w:cs="宋体"/>
          <w:color w:val="auto"/>
          <w:highlight w:val="none"/>
          <w:shd w:val="clear" w:color="auto" w:fill="auto"/>
        </w:rPr>
        <w:t>   </w:t>
      </w:r>
      <w:r>
        <w:rPr>
          <w:color w:val="auto"/>
          <w:highlight w:val="none"/>
          <w:shd w:val="clear" w:color="auto" w:fill="auto"/>
        </w:rPr>
        <w:t xml:space="preserve"> 称：萧山区财政局</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p>
    <w:p>
      <w:pPr>
        <w:rPr>
          <w:color w:val="auto"/>
          <w:highlight w:val="none"/>
          <w:shd w:val="clear" w:color="auto" w:fill="auto"/>
        </w:rPr>
      </w:pPr>
      <w:r>
        <w:rPr>
          <w:color w:val="auto"/>
          <w:highlight w:val="none"/>
          <w:shd w:val="clear" w:color="auto" w:fill="auto"/>
        </w:rPr>
        <w:t>地</w:t>
      </w:r>
      <w:r>
        <w:rPr>
          <w:rFonts w:hint="eastAsia" w:ascii="宋体" w:hAnsi="宋体" w:eastAsia="宋体" w:cs="宋体"/>
          <w:color w:val="auto"/>
          <w:highlight w:val="none"/>
          <w:shd w:val="clear" w:color="auto" w:fill="auto"/>
        </w:rPr>
        <w:t>   </w:t>
      </w:r>
      <w:r>
        <w:rPr>
          <w:color w:val="auto"/>
          <w:highlight w:val="none"/>
          <w:shd w:val="clear" w:color="auto" w:fill="auto"/>
        </w:rPr>
        <w:t xml:space="preserve"> 址：萧山区人民路318号</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p>
    <w:p>
      <w:pPr>
        <w:rPr>
          <w:color w:val="auto"/>
          <w:highlight w:val="none"/>
          <w:shd w:val="clear" w:color="auto" w:fill="auto"/>
        </w:rPr>
      </w:pPr>
      <w:r>
        <w:rPr>
          <w:color w:val="auto"/>
          <w:highlight w:val="none"/>
          <w:shd w:val="clear" w:color="auto" w:fill="auto"/>
        </w:rPr>
        <w:t>传</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r>
        <w:rPr>
          <w:color w:val="auto"/>
          <w:highlight w:val="none"/>
          <w:shd w:val="clear" w:color="auto" w:fill="auto"/>
        </w:rPr>
        <w:t>真：0571-</w:t>
      </w:r>
      <w:r>
        <w:rPr>
          <w:rFonts w:hint="eastAsia"/>
          <w:color w:val="auto"/>
          <w:highlight w:val="none"/>
          <w:shd w:val="clear" w:color="auto" w:fill="auto"/>
        </w:rPr>
        <w:t>82756122</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p>
    <w:p>
      <w:pPr>
        <w:rPr>
          <w:color w:val="auto"/>
          <w:highlight w:val="none"/>
          <w:shd w:val="clear" w:color="auto" w:fill="auto"/>
        </w:rPr>
      </w:pPr>
      <w:r>
        <w:rPr>
          <w:color w:val="auto"/>
          <w:highlight w:val="none"/>
          <w:shd w:val="clear" w:color="auto" w:fill="auto"/>
        </w:rPr>
        <w:t>联系人 ：</w:t>
      </w:r>
      <w:r>
        <w:rPr>
          <w:rFonts w:hint="eastAsia"/>
          <w:color w:val="auto"/>
          <w:highlight w:val="none"/>
          <w:shd w:val="clear" w:color="auto" w:fill="auto"/>
        </w:rPr>
        <w:t>汤先生</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p>
    <w:p>
      <w:pPr>
        <w:rPr>
          <w:color w:val="auto"/>
          <w:highlight w:val="none"/>
          <w:shd w:val="clear" w:color="auto" w:fill="auto"/>
        </w:rPr>
      </w:pPr>
      <w:r>
        <w:rPr>
          <w:color w:val="auto"/>
          <w:highlight w:val="none"/>
          <w:shd w:val="clear" w:color="auto" w:fill="auto"/>
        </w:rPr>
        <w:t>监督投诉电话：</w:t>
      </w:r>
      <w:r>
        <w:rPr>
          <w:rFonts w:hint="eastAsia"/>
          <w:color w:val="auto"/>
          <w:highlight w:val="none"/>
          <w:shd w:val="clear" w:color="auto" w:fill="auto"/>
        </w:rPr>
        <w:t>0571-82756122</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r>
        <w:rPr>
          <w:rFonts w:hint="eastAsia" w:ascii="宋体" w:hAnsi="宋体" w:eastAsia="宋体" w:cs="宋体"/>
          <w:color w:val="auto"/>
          <w:highlight w:val="none"/>
          <w:shd w:val="clear" w:color="auto" w:fill="auto"/>
        </w:rPr>
        <w:t> </w:t>
      </w:r>
      <w:r>
        <w:rPr>
          <w:color w:val="auto"/>
          <w:highlight w:val="none"/>
          <w:shd w:val="clear" w:color="auto" w:fill="auto"/>
        </w:rPr>
        <w:t xml:space="preserve"> </w:t>
      </w:r>
    </w:p>
    <w:p>
      <w:pPr>
        <w:rPr>
          <w:color w:val="auto"/>
          <w:highlight w:val="none"/>
          <w:shd w:val="clear" w:color="auto" w:fill="auto"/>
        </w:rPr>
      </w:pPr>
      <w:r>
        <w:rPr>
          <w:rFonts w:hint="eastAsia"/>
          <w:color w:val="auto"/>
          <w:highlight w:val="none"/>
          <w:shd w:val="clear" w:color="auto" w:fill="auto"/>
        </w:rPr>
        <w:t>若对项目采购电子交易系统操作有疑问，可登录</w:t>
      </w:r>
      <w:r>
        <w:rPr>
          <w:rFonts w:hint="eastAsia"/>
          <w:color w:val="auto"/>
          <w:highlight w:val="none"/>
          <w:shd w:val="clear" w:color="auto" w:fill="auto"/>
          <w:lang w:eastAsia="zh-CN"/>
        </w:rPr>
        <w:t>乐采云（萧采云）</w:t>
      </w:r>
      <w:r>
        <w:rPr>
          <w:rFonts w:hint="eastAsia"/>
          <w:color w:val="auto"/>
          <w:highlight w:val="none"/>
          <w:shd w:val="clear" w:color="auto" w:fill="auto"/>
        </w:rPr>
        <w:t>（</w:t>
      </w:r>
      <w:r>
        <w:rPr>
          <w:color w:val="auto"/>
          <w:highlight w:val="none"/>
          <w:shd w:val="clear" w:color="auto" w:fill="auto"/>
        </w:rPr>
        <w:t>https://www.zcygov.cn/），点击右侧咨询小采，获取采小蜜智能服务管家帮助，或拨打</w:t>
      </w:r>
      <w:r>
        <w:rPr>
          <w:rFonts w:hint="eastAsia"/>
          <w:color w:val="auto"/>
          <w:highlight w:val="none"/>
          <w:shd w:val="clear" w:color="auto" w:fill="auto"/>
          <w:lang w:eastAsia="zh-CN"/>
        </w:rPr>
        <w:t>乐采云（萧采云）</w:t>
      </w:r>
      <w:r>
        <w:rPr>
          <w:rFonts w:hint="eastAsia"/>
          <w:color w:val="auto"/>
          <w:highlight w:val="none"/>
          <w:shd w:val="clear" w:color="auto" w:fill="auto"/>
        </w:rPr>
        <w:t>服务热线</w:t>
      </w:r>
      <w:r>
        <w:rPr>
          <w:color w:val="auto"/>
          <w:highlight w:val="none"/>
          <w:shd w:val="clear" w:color="auto" w:fill="auto"/>
        </w:rPr>
        <w:t>400-881-7190获取热线服务帮助。</w:t>
      </w:r>
    </w:p>
    <w:p>
      <w:pPr>
        <w:rPr>
          <w:color w:val="auto"/>
          <w:highlight w:val="none"/>
          <w:shd w:val="clear" w:color="auto" w:fill="auto"/>
        </w:rPr>
      </w:pPr>
      <w:r>
        <w:rPr>
          <w:color w:val="auto"/>
          <w:highlight w:val="none"/>
          <w:shd w:val="clear" w:color="auto" w:fill="auto"/>
        </w:rPr>
        <w:t>CA问题联系电话（人工）：</w:t>
      </w:r>
      <w:r>
        <w:rPr>
          <w:rFonts w:hint="eastAsia"/>
          <w:color w:val="auto"/>
          <w:highlight w:val="none"/>
          <w:shd w:val="clear" w:color="auto" w:fill="auto"/>
        </w:rPr>
        <w:t>汇信</w:t>
      </w:r>
      <w:r>
        <w:rPr>
          <w:color w:val="auto"/>
          <w:highlight w:val="none"/>
          <w:shd w:val="clear" w:color="auto" w:fill="auto"/>
        </w:rPr>
        <w:t>CA 400-888-4636；天谷CA 400-087-8198。</w:t>
      </w:r>
    </w:p>
    <w:p>
      <w:pPr>
        <w:spacing w:line="276" w:lineRule="auto"/>
        <w:rPr>
          <w:color w:val="auto"/>
          <w:highlight w:val="none"/>
          <w:shd w:val="clear" w:color="auto" w:fill="auto"/>
        </w:rPr>
      </w:pPr>
      <w:r>
        <w:rPr>
          <w:color w:val="auto"/>
          <w:highlight w:val="none"/>
          <w:shd w:val="clear" w:color="auto" w:fill="auto"/>
        </w:rPr>
        <w:br w:type="page"/>
      </w:r>
    </w:p>
    <w:p>
      <w:pPr>
        <w:pStyle w:val="2"/>
        <w:rPr>
          <w:color w:val="auto"/>
          <w:highlight w:val="none"/>
          <w:shd w:val="clear" w:color="auto" w:fill="auto"/>
        </w:rPr>
      </w:pPr>
      <w:r>
        <w:rPr>
          <w:rFonts w:hint="eastAsia"/>
          <w:color w:val="auto"/>
          <w:highlight w:val="none"/>
          <w:shd w:val="clear" w:color="auto" w:fill="auto"/>
        </w:rPr>
        <w:t>第二部分</w:t>
      </w:r>
      <w:r>
        <w:rPr>
          <w:color w:val="auto"/>
          <w:highlight w:val="none"/>
          <w:shd w:val="clear" w:color="auto" w:fill="auto"/>
        </w:rPr>
        <w:t xml:space="preserve"> 投标人须知</w:t>
      </w:r>
    </w:p>
    <w:p>
      <w:pPr>
        <w:pStyle w:val="3"/>
        <w:rPr>
          <w:color w:val="auto"/>
          <w:highlight w:val="none"/>
          <w:shd w:val="clear" w:color="auto" w:fill="auto"/>
        </w:rPr>
      </w:pPr>
      <w:r>
        <w:rPr>
          <w:rFonts w:hint="eastAsia"/>
          <w:color w:val="auto"/>
          <w:highlight w:val="none"/>
          <w:shd w:val="clear" w:color="auto" w:fill="auto"/>
        </w:rPr>
        <w:t>前附表</w:t>
      </w:r>
    </w:p>
    <w:tbl>
      <w:tblPr>
        <w:tblStyle w:val="31"/>
        <w:tblW w:w="505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1"/>
        <w:gridCol w:w="66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jc w:val="center"/>
              <w:rPr>
                <w:color w:val="auto"/>
                <w:highlight w:val="none"/>
                <w:shd w:val="clear" w:color="auto" w:fill="auto"/>
              </w:rPr>
            </w:pPr>
            <w:r>
              <w:rPr>
                <w:color w:val="auto"/>
                <w:highlight w:val="none"/>
                <w:shd w:val="clear" w:color="auto" w:fill="auto"/>
              </w:rPr>
              <w:t>序号</w:t>
            </w:r>
          </w:p>
        </w:tc>
        <w:tc>
          <w:tcPr>
            <w:tcW w:w="822" w:type="pct"/>
            <w:vAlign w:val="center"/>
          </w:tcPr>
          <w:p>
            <w:pPr>
              <w:spacing w:after="0"/>
              <w:jc w:val="center"/>
              <w:rPr>
                <w:color w:val="auto"/>
                <w:highlight w:val="none"/>
                <w:shd w:val="clear" w:color="auto" w:fill="auto"/>
              </w:rPr>
            </w:pPr>
            <w:r>
              <w:rPr>
                <w:color w:val="auto"/>
                <w:highlight w:val="none"/>
                <w:shd w:val="clear" w:color="auto" w:fill="auto"/>
              </w:rPr>
              <w:t>事项</w:t>
            </w:r>
          </w:p>
        </w:tc>
        <w:tc>
          <w:tcPr>
            <w:tcW w:w="3867" w:type="pct"/>
            <w:vAlign w:val="center"/>
          </w:tcPr>
          <w:p>
            <w:pPr>
              <w:spacing w:after="0"/>
              <w:jc w:val="center"/>
              <w:rPr>
                <w:color w:val="auto"/>
                <w:highlight w:val="none"/>
                <w:shd w:val="clear" w:color="auto" w:fill="auto"/>
              </w:rPr>
            </w:pPr>
            <w:r>
              <w:rPr>
                <w:color w:val="auto"/>
                <w:highlight w:val="none"/>
                <w:shd w:val="clear" w:color="auto" w:fill="auto"/>
              </w:rPr>
              <w:t>本项目特别规定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311" w:type="pct"/>
            <w:vAlign w:val="center"/>
          </w:tcPr>
          <w:p>
            <w:pPr>
              <w:spacing w:after="0"/>
              <w:jc w:val="center"/>
              <w:rPr>
                <w:color w:val="auto"/>
                <w:highlight w:val="none"/>
                <w:shd w:val="clear" w:color="auto" w:fill="auto"/>
              </w:rPr>
            </w:pPr>
            <w:r>
              <w:rPr>
                <w:rFonts w:hint="eastAsia"/>
                <w:color w:val="auto"/>
                <w:highlight w:val="none"/>
                <w:shd w:val="clear" w:color="auto" w:fill="auto"/>
              </w:rPr>
              <w:t>1</w:t>
            </w:r>
          </w:p>
        </w:tc>
        <w:tc>
          <w:tcPr>
            <w:tcW w:w="822" w:type="pct"/>
            <w:vAlign w:val="center"/>
          </w:tcPr>
          <w:p>
            <w:pPr>
              <w:spacing w:after="0"/>
              <w:rPr>
                <w:color w:val="auto"/>
                <w:highlight w:val="none"/>
                <w:shd w:val="clear" w:color="auto" w:fill="auto"/>
              </w:rPr>
            </w:pPr>
            <w:r>
              <w:rPr>
                <w:rFonts w:hint="eastAsia" w:cs="仿宋"/>
                <w:b/>
                <w:color w:val="auto"/>
                <w:sz w:val="22"/>
                <w:highlight w:val="none"/>
                <w:shd w:val="clear" w:color="auto" w:fill="auto"/>
              </w:rPr>
              <w:t>项目属性与核心产品</w:t>
            </w:r>
          </w:p>
        </w:tc>
        <w:tc>
          <w:tcPr>
            <w:tcW w:w="3867" w:type="pct"/>
            <w:vAlign w:val="center"/>
          </w:tcPr>
          <w:p>
            <w:pPr>
              <w:spacing w:after="0" w:line="360" w:lineRule="auto"/>
              <w:rPr>
                <w:rFonts w:cs="仿宋"/>
                <w:color w:val="auto"/>
                <w:sz w:val="22"/>
                <w:highlight w:val="none"/>
                <w:shd w:val="clear" w:color="auto" w:fill="auto"/>
              </w:rPr>
            </w:pPr>
            <w:r>
              <w:rPr>
                <w:rFonts w:hint="eastAsia" w:cs="仿宋"/>
                <w:color w:val="auto"/>
                <w:sz w:val="22"/>
                <w:highlight w:val="none"/>
                <w:shd w:val="clear" w:color="auto" w:fill="auto"/>
              </w:rPr>
              <w:t>(√)A货物类，单一产品或核心产品为：</w:t>
            </w:r>
            <w:r>
              <w:rPr>
                <w:rFonts w:hint="eastAsia" w:cs="仿宋"/>
                <w:color w:val="auto"/>
                <w:sz w:val="22"/>
                <w:highlight w:val="none"/>
                <w:u w:val="single"/>
                <w:shd w:val="clear" w:color="auto" w:fill="auto"/>
              </w:rPr>
              <w:t xml:space="preserve"> 分布式光伏发电</w:t>
            </w:r>
            <w:r>
              <w:rPr>
                <w:rFonts w:hint="eastAsia" w:cs="仿宋"/>
                <w:color w:val="auto"/>
                <w:sz w:val="22"/>
                <w:highlight w:val="none"/>
                <w:shd w:val="clear" w:color="auto" w:fill="auto"/>
              </w:rPr>
              <w:t>。</w:t>
            </w:r>
          </w:p>
          <w:p>
            <w:pPr>
              <w:spacing w:after="0"/>
              <w:rPr>
                <w:color w:val="auto"/>
                <w:highlight w:val="none"/>
                <w:shd w:val="clear" w:color="auto" w:fill="auto"/>
              </w:rPr>
            </w:pPr>
            <w:r>
              <w:rPr>
                <w:rFonts w:hint="eastAsia" w:cs="仿宋"/>
                <w:color w:val="auto"/>
                <w:sz w:val="22"/>
                <w:highlight w:val="none"/>
                <w:shd w:val="clear" w:color="auto" w:fill="auto"/>
              </w:rPr>
              <w:t>(   )B服务类。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jc w:val="center"/>
              <w:rPr>
                <w:color w:val="auto"/>
                <w:highlight w:val="none"/>
                <w:shd w:val="clear" w:color="auto" w:fill="auto"/>
              </w:rPr>
            </w:pPr>
            <w:r>
              <w:rPr>
                <w:rFonts w:hint="eastAsia"/>
                <w:color w:val="auto"/>
                <w:highlight w:val="none"/>
                <w:shd w:val="clear" w:color="auto" w:fill="auto"/>
              </w:rPr>
              <w:t>2</w:t>
            </w:r>
          </w:p>
        </w:tc>
        <w:tc>
          <w:tcPr>
            <w:tcW w:w="822" w:type="pct"/>
            <w:vAlign w:val="center"/>
          </w:tcPr>
          <w:p>
            <w:pPr>
              <w:spacing w:after="0"/>
              <w:rPr>
                <w:color w:val="auto"/>
                <w:highlight w:val="none"/>
                <w:shd w:val="clear" w:color="auto" w:fill="auto"/>
              </w:rPr>
            </w:pPr>
            <w:r>
              <w:rPr>
                <w:rFonts w:hint="eastAsia" w:cs="仿宋"/>
                <w:b/>
                <w:color w:val="auto"/>
                <w:sz w:val="22"/>
                <w:highlight w:val="none"/>
                <w:shd w:val="clear" w:color="auto" w:fill="auto"/>
              </w:rPr>
              <w:t>采购标的对应的中小企业划分标准所属行业</w:t>
            </w:r>
          </w:p>
        </w:tc>
        <w:tc>
          <w:tcPr>
            <w:tcW w:w="3867" w:type="pct"/>
            <w:vAlign w:val="center"/>
          </w:tcPr>
          <w:p>
            <w:pPr>
              <w:spacing w:after="0"/>
              <w:rPr>
                <w:rFonts w:cs="仿宋"/>
                <w:color w:val="auto"/>
                <w:sz w:val="22"/>
                <w:highlight w:val="none"/>
                <w:shd w:val="clear" w:color="auto" w:fill="auto"/>
              </w:rPr>
            </w:pPr>
            <w:r>
              <w:rPr>
                <w:rFonts w:hint="eastAsia" w:cs="仿宋"/>
                <w:color w:val="auto"/>
                <w:sz w:val="22"/>
                <w:highlight w:val="none"/>
                <w:shd w:val="clear" w:color="auto" w:fill="auto"/>
              </w:rPr>
              <w:t>（1）标的：杭州萧山江东水厂3.4MWp分布式光伏发电项目，属于工业行业；</w:t>
            </w:r>
          </w:p>
          <w:p>
            <w:pPr>
              <w:spacing w:after="0" w:line="360" w:lineRule="auto"/>
              <w:rPr>
                <w:rFonts w:cs="仿宋"/>
                <w:color w:val="auto"/>
                <w:sz w:val="22"/>
                <w:highlight w:val="none"/>
                <w:shd w:val="clear" w:color="auto" w:fill="auto"/>
              </w:rPr>
            </w:pPr>
            <w:r>
              <w:rPr>
                <w:rFonts w:hint="eastAsia" w:cs="仿宋"/>
                <w:color w:val="auto"/>
                <w:sz w:val="22"/>
                <w:highlight w:val="none"/>
                <w:shd w:val="clear" w:color="auto" w:fill="auto"/>
              </w:rPr>
              <w:t>行业划分标准：</w:t>
            </w:r>
          </w:p>
          <w:p>
            <w:pPr>
              <w:spacing w:after="0"/>
              <w:rPr>
                <w:color w:val="auto"/>
                <w:highlight w:val="none"/>
                <w:shd w:val="clear" w:color="auto" w:fill="auto"/>
              </w:rPr>
            </w:pPr>
            <w:r>
              <w:rPr>
                <w:rFonts w:hint="eastAsia" w:cs="仿宋"/>
                <w:color w:val="auto"/>
                <w:sz w:val="22"/>
                <w:highlight w:val="none"/>
                <w:shd w:val="clear" w:color="auto" w:fill="auto"/>
              </w:rPr>
              <w:t>《关于印发中小企业划型标准规定的通知》工信部联企业〔2011〕300号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jc w:val="center"/>
              <w:rPr>
                <w:color w:val="auto"/>
                <w:highlight w:val="none"/>
                <w:shd w:val="clear" w:color="auto" w:fill="auto"/>
              </w:rPr>
            </w:pPr>
            <w:r>
              <w:rPr>
                <w:rFonts w:hint="eastAsia"/>
                <w:color w:val="auto"/>
                <w:highlight w:val="none"/>
                <w:shd w:val="clear" w:color="auto" w:fill="auto"/>
              </w:rPr>
              <w:t>3</w:t>
            </w:r>
          </w:p>
        </w:tc>
        <w:tc>
          <w:tcPr>
            <w:tcW w:w="822" w:type="pct"/>
            <w:vAlign w:val="center"/>
          </w:tcPr>
          <w:p>
            <w:pPr>
              <w:spacing w:after="0"/>
              <w:rPr>
                <w:color w:val="auto"/>
                <w:highlight w:val="none"/>
                <w:shd w:val="clear" w:color="auto" w:fill="auto"/>
              </w:rPr>
            </w:pPr>
            <w:r>
              <w:rPr>
                <w:rFonts w:hint="eastAsia" w:cs="仿宋"/>
                <w:b/>
                <w:color w:val="auto"/>
                <w:sz w:val="22"/>
                <w:highlight w:val="none"/>
                <w:shd w:val="clear" w:color="auto" w:fill="auto"/>
              </w:rPr>
              <w:t>是否允许采购进口产品</w:t>
            </w:r>
          </w:p>
        </w:tc>
        <w:tc>
          <w:tcPr>
            <w:tcW w:w="3867" w:type="pct"/>
            <w:vAlign w:val="center"/>
          </w:tcPr>
          <w:p>
            <w:pPr>
              <w:spacing w:after="0" w:line="360" w:lineRule="auto"/>
              <w:rPr>
                <w:rFonts w:cs="仿宋"/>
                <w:color w:val="auto"/>
                <w:sz w:val="22"/>
                <w:szCs w:val="32"/>
                <w:highlight w:val="none"/>
                <w:shd w:val="clear" w:color="auto" w:fill="auto"/>
              </w:rPr>
            </w:pPr>
            <w:r>
              <w:rPr>
                <w:rFonts w:hint="eastAsia" w:cs="仿宋"/>
                <w:color w:val="auto"/>
                <w:sz w:val="22"/>
                <w:highlight w:val="none"/>
                <w:shd w:val="clear" w:color="auto" w:fill="auto"/>
              </w:rPr>
              <w:t>(√)</w:t>
            </w:r>
            <w:r>
              <w:rPr>
                <w:rFonts w:hint="eastAsia" w:cs="仿宋"/>
                <w:color w:val="auto"/>
                <w:sz w:val="22"/>
                <w:szCs w:val="32"/>
                <w:highlight w:val="none"/>
                <w:shd w:val="clear" w:color="auto" w:fill="auto"/>
              </w:rPr>
              <w:t>本项目不允许采购进口产品。</w:t>
            </w:r>
          </w:p>
          <w:p>
            <w:pPr>
              <w:spacing w:after="0" w:line="360" w:lineRule="auto"/>
              <w:rPr>
                <w:rFonts w:cs="仿宋"/>
                <w:color w:val="auto"/>
                <w:sz w:val="22"/>
                <w:szCs w:val="32"/>
                <w:highlight w:val="none"/>
                <w:shd w:val="clear" w:color="auto" w:fill="auto"/>
              </w:rPr>
            </w:pPr>
            <w:r>
              <w:rPr>
                <w:rFonts w:hint="eastAsia" w:cs="仿宋"/>
                <w:color w:val="auto"/>
                <w:sz w:val="22"/>
                <w:highlight w:val="none"/>
                <w:shd w:val="clear" w:color="auto" w:fill="auto"/>
              </w:rPr>
              <w:t>(   )</w:t>
            </w:r>
            <w:r>
              <w:rPr>
                <w:rFonts w:hint="eastAsia" w:cs="仿宋"/>
                <w:color w:val="auto"/>
                <w:sz w:val="22"/>
                <w:szCs w:val="32"/>
                <w:highlight w:val="none"/>
                <w:shd w:val="clear" w:color="auto" w:fill="auto"/>
              </w:rPr>
              <w:t>可以就</w:t>
            </w:r>
            <w:r>
              <w:rPr>
                <w:rFonts w:hint="eastAsia" w:cs="仿宋"/>
                <w:color w:val="auto"/>
                <w:sz w:val="22"/>
                <w:szCs w:val="32"/>
                <w:highlight w:val="none"/>
                <w:u w:val="single"/>
                <w:shd w:val="clear" w:color="auto" w:fill="auto"/>
              </w:rPr>
              <w:t xml:space="preserve">  </w:t>
            </w:r>
            <w:r>
              <w:rPr>
                <w:rFonts w:hint="eastAsia" w:cs="仿宋"/>
                <w:color w:val="auto"/>
                <w:sz w:val="22"/>
                <w:szCs w:val="32"/>
                <w:highlight w:val="none"/>
                <w:u w:val="single"/>
                <w:shd w:val="clear" w:color="auto" w:fill="auto"/>
                <w:lang w:val="en-US" w:eastAsia="zh-CN"/>
              </w:rPr>
              <w:t>/</w:t>
            </w:r>
            <w:r>
              <w:rPr>
                <w:rFonts w:hint="eastAsia" w:cs="仿宋"/>
                <w:color w:val="auto"/>
                <w:sz w:val="22"/>
                <w:szCs w:val="32"/>
                <w:highlight w:val="none"/>
                <w:u w:val="single"/>
                <w:shd w:val="clear" w:color="auto" w:fill="auto"/>
              </w:rPr>
              <w:t xml:space="preserve">  </w:t>
            </w:r>
            <w:r>
              <w:rPr>
                <w:rFonts w:hint="eastAsia" w:cs="仿宋"/>
                <w:color w:val="auto"/>
                <w:sz w:val="22"/>
                <w:szCs w:val="32"/>
                <w:highlight w:val="none"/>
                <w:shd w:val="clear" w:color="auto" w:fill="auto"/>
              </w:rPr>
              <w:t>采购进口产品。</w:t>
            </w:r>
          </w:p>
          <w:p>
            <w:pPr>
              <w:spacing w:after="0"/>
              <w:rPr>
                <w:color w:val="auto"/>
                <w:highlight w:val="none"/>
                <w:shd w:val="clear" w:color="auto" w:fill="auto"/>
              </w:rPr>
            </w:pPr>
            <w:r>
              <w:rPr>
                <w:rFonts w:hint="eastAsia" w:cs="仿宋"/>
                <w:color w:val="auto"/>
                <w:sz w:val="22"/>
                <w:highlight w:val="none"/>
                <w:shd w:val="clear" w:color="auto" w:fill="auto"/>
              </w:rPr>
              <w:t>进口产品是指通过中国海关保关验放进入中国境内且产自境关外的产品。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jc w:val="center"/>
              <w:rPr>
                <w:color w:val="auto"/>
                <w:highlight w:val="none"/>
                <w:shd w:val="clear" w:color="auto" w:fill="auto"/>
              </w:rPr>
            </w:pPr>
            <w:r>
              <w:rPr>
                <w:rFonts w:hint="eastAsia"/>
                <w:color w:val="auto"/>
                <w:highlight w:val="none"/>
                <w:shd w:val="clear" w:color="auto" w:fill="auto"/>
              </w:rPr>
              <w:t>4</w:t>
            </w:r>
          </w:p>
        </w:tc>
        <w:tc>
          <w:tcPr>
            <w:tcW w:w="822" w:type="pct"/>
            <w:vAlign w:val="center"/>
          </w:tcPr>
          <w:p>
            <w:pPr>
              <w:spacing w:after="0"/>
              <w:rPr>
                <w:color w:val="auto"/>
                <w:highlight w:val="none"/>
                <w:shd w:val="clear" w:color="auto" w:fill="auto"/>
              </w:rPr>
            </w:pPr>
            <w:r>
              <w:rPr>
                <w:rFonts w:hint="eastAsia" w:cs="仿宋"/>
                <w:b/>
                <w:color w:val="auto"/>
                <w:sz w:val="22"/>
                <w:highlight w:val="none"/>
                <w:shd w:val="clear" w:color="auto" w:fill="auto"/>
              </w:rPr>
              <w:t>联合体和分包</w:t>
            </w:r>
          </w:p>
        </w:tc>
        <w:tc>
          <w:tcPr>
            <w:tcW w:w="3867" w:type="pct"/>
            <w:vAlign w:val="center"/>
          </w:tcPr>
          <w:p>
            <w:pPr>
              <w:snapToGrid w:val="0"/>
              <w:spacing w:after="0" w:line="360" w:lineRule="auto"/>
              <w:rPr>
                <w:rFonts w:ascii="仿宋_GB2312" w:eastAsia="仿宋_GB2312"/>
                <w:color w:val="auto"/>
                <w:sz w:val="22"/>
                <w:highlight w:val="none"/>
                <w:shd w:val="clear" w:color="auto" w:fill="auto"/>
              </w:rPr>
            </w:pPr>
            <w:r>
              <w:rPr>
                <w:rFonts w:hint="eastAsia" w:ascii="仿宋_GB2312" w:eastAsia="仿宋_GB2312"/>
                <w:b/>
                <w:color w:val="auto"/>
                <w:sz w:val="22"/>
                <w:highlight w:val="none"/>
                <w:shd w:val="clear" w:color="auto" w:fill="auto"/>
              </w:rPr>
              <w:t>（√）</w:t>
            </w:r>
            <w:r>
              <w:rPr>
                <w:rFonts w:hint="eastAsia" w:ascii="仿宋_GB2312" w:eastAsia="仿宋_GB2312" w:cs="Arial"/>
                <w:color w:val="auto"/>
                <w:sz w:val="22"/>
                <w:highlight w:val="none"/>
                <w:shd w:val="clear" w:color="auto" w:fill="auto"/>
              </w:rPr>
              <w:t>A</w:t>
            </w:r>
            <w:r>
              <w:rPr>
                <w:rFonts w:hint="eastAsia" w:ascii="仿宋_GB2312" w:eastAsia="仿宋_GB2312"/>
                <w:color w:val="auto"/>
                <w:sz w:val="22"/>
                <w:highlight w:val="none"/>
                <w:shd w:val="clear" w:color="auto" w:fill="auto"/>
              </w:rPr>
              <w:t>同意将非主体、非关键性的</w:t>
            </w:r>
            <w:r>
              <w:rPr>
                <w:rFonts w:hint="eastAsia" w:ascii="仿宋_GB2312" w:eastAsia="仿宋_GB2312"/>
                <w:color w:val="auto"/>
                <w:sz w:val="22"/>
                <w:highlight w:val="none"/>
                <w:u w:val="single"/>
                <w:shd w:val="clear" w:color="auto" w:fill="auto"/>
              </w:rPr>
              <w:t xml:space="preserve">       </w:t>
            </w:r>
            <w:r>
              <w:rPr>
                <w:rFonts w:hint="eastAsia" w:ascii="仿宋_GB2312" w:eastAsia="仿宋_GB2312"/>
                <w:color w:val="auto"/>
                <w:sz w:val="22"/>
                <w:highlight w:val="none"/>
                <w:u w:val="single"/>
                <w:shd w:val="clear" w:color="auto" w:fill="auto"/>
                <w:lang w:val="en-US" w:eastAsia="zh-CN"/>
              </w:rPr>
              <w:t>/</w:t>
            </w:r>
            <w:r>
              <w:rPr>
                <w:rFonts w:hint="eastAsia" w:ascii="仿宋_GB2312" w:eastAsia="仿宋_GB2312"/>
                <w:color w:val="auto"/>
                <w:sz w:val="22"/>
                <w:highlight w:val="none"/>
                <w:u w:val="single"/>
                <w:shd w:val="clear" w:color="auto" w:fill="auto"/>
              </w:rPr>
              <w:t xml:space="preserve">      </w:t>
            </w:r>
            <w:r>
              <w:rPr>
                <w:rFonts w:hint="eastAsia" w:ascii="仿宋_GB2312" w:eastAsia="仿宋_GB2312"/>
                <w:color w:val="auto"/>
                <w:sz w:val="22"/>
                <w:highlight w:val="none"/>
                <w:shd w:val="clear" w:color="auto" w:fill="auto"/>
              </w:rPr>
              <w:t>工作分包。</w:t>
            </w:r>
          </w:p>
          <w:p>
            <w:pPr>
              <w:spacing w:after="0"/>
              <w:rPr>
                <w:rFonts w:ascii="仿宋_GB2312" w:eastAsia="仿宋_GB2312"/>
                <w:color w:val="auto"/>
                <w:sz w:val="22"/>
                <w:highlight w:val="none"/>
                <w:shd w:val="clear" w:color="auto" w:fill="auto"/>
              </w:rPr>
            </w:pPr>
            <w:r>
              <w:rPr>
                <w:rFonts w:hint="eastAsia" w:ascii="仿宋_GB2312" w:eastAsia="仿宋_GB2312"/>
                <w:b/>
                <w:color w:val="auto"/>
                <w:sz w:val="22"/>
                <w:highlight w:val="none"/>
                <w:shd w:val="clear" w:color="auto" w:fill="auto"/>
              </w:rPr>
              <w:t>（ ）</w:t>
            </w:r>
            <w:r>
              <w:rPr>
                <w:rFonts w:hint="eastAsia" w:ascii="仿宋_GB2312" w:eastAsia="仿宋_GB2312" w:cs="Arial"/>
                <w:color w:val="auto"/>
                <w:sz w:val="22"/>
                <w:highlight w:val="none"/>
                <w:shd w:val="clear" w:color="auto" w:fill="auto"/>
              </w:rPr>
              <w:t>B</w:t>
            </w:r>
            <w:r>
              <w:rPr>
                <w:rFonts w:hint="eastAsia" w:ascii="仿宋_GB2312" w:eastAsia="仿宋_GB2312"/>
                <w:color w:val="auto"/>
                <w:sz w:val="22"/>
                <w:highlight w:val="none"/>
                <w:shd w:val="clear" w:color="auto" w:fill="auto"/>
              </w:rPr>
              <w:t>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311" w:type="pct"/>
            <w:vAlign w:val="center"/>
          </w:tcPr>
          <w:p>
            <w:pPr>
              <w:spacing w:after="0"/>
              <w:jc w:val="center"/>
              <w:rPr>
                <w:color w:val="auto"/>
                <w:highlight w:val="none"/>
                <w:shd w:val="clear" w:color="auto" w:fill="auto"/>
              </w:rPr>
            </w:pPr>
            <w:r>
              <w:rPr>
                <w:rFonts w:hint="eastAsia"/>
                <w:color w:val="auto"/>
                <w:highlight w:val="none"/>
                <w:shd w:val="clear" w:color="auto" w:fill="auto"/>
              </w:rPr>
              <w:t>5</w:t>
            </w:r>
          </w:p>
        </w:tc>
        <w:tc>
          <w:tcPr>
            <w:tcW w:w="822" w:type="pct"/>
            <w:vAlign w:val="center"/>
          </w:tcPr>
          <w:p>
            <w:pPr>
              <w:spacing w:after="0"/>
              <w:rPr>
                <w:color w:val="auto"/>
                <w:highlight w:val="none"/>
                <w:shd w:val="clear" w:color="auto" w:fill="auto"/>
              </w:rPr>
            </w:pPr>
            <w:r>
              <w:rPr>
                <w:rFonts w:hint="eastAsia" w:cs="仿宋"/>
                <w:b/>
                <w:color w:val="auto"/>
                <w:sz w:val="22"/>
                <w:highlight w:val="none"/>
                <w:shd w:val="clear" w:color="auto" w:fill="auto"/>
              </w:rPr>
              <w:t>开标前答疑会或现场考察</w:t>
            </w:r>
          </w:p>
        </w:tc>
        <w:tc>
          <w:tcPr>
            <w:tcW w:w="3867" w:type="pct"/>
            <w:vAlign w:val="center"/>
          </w:tcPr>
          <w:p>
            <w:pPr>
              <w:spacing w:after="0"/>
              <w:rPr>
                <w:color w:val="auto"/>
                <w:highlight w:val="none"/>
                <w:shd w:val="clear" w:color="auto" w:fill="auto"/>
              </w:rPr>
            </w:pPr>
            <w:r>
              <w:rPr>
                <w:rFonts w:hint="eastAsia" w:ascii="仿宋_GB2312" w:eastAsia="仿宋_GB2312"/>
                <w:b/>
                <w:color w:val="auto"/>
                <w:sz w:val="22"/>
                <w:highlight w:val="none"/>
                <w:shd w:val="clear" w:color="auto" w:fill="auto"/>
              </w:rPr>
              <w:t>（√）</w:t>
            </w:r>
            <w:r>
              <w:rPr>
                <w:rFonts w:hint="eastAsia" w:ascii="仿宋_GB2312" w:eastAsia="仿宋_GB2312" w:cs="Arial"/>
                <w:color w:val="auto"/>
                <w:sz w:val="22"/>
                <w:highlight w:val="none"/>
                <w:shd w:val="clear" w:color="auto" w:fill="auto"/>
              </w:rPr>
              <w:t>A</w:t>
            </w:r>
            <w:r>
              <w:rPr>
                <w:rFonts w:hint="eastAsia" w:ascii="仿宋_GB2312" w:eastAsia="仿宋_GB2312"/>
                <w:color w:val="auto"/>
                <w:sz w:val="22"/>
                <w:highlight w:val="none"/>
                <w:shd w:val="clear" w:color="auto" w:fill="auto"/>
              </w:rPr>
              <w:t>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311" w:type="pct"/>
            <w:vAlign w:val="center"/>
          </w:tcPr>
          <w:p>
            <w:pPr>
              <w:spacing w:after="0"/>
              <w:jc w:val="center"/>
              <w:rPr>
                <w:color w:val="auto"/>
                <w:highlight w:val="none"/>
                <w:shd w:val="clear" w:color="auto" w:fill="auto"/>
              </w:rPr>
            </w:pPr>
            <w:r>
              <w:rPr>
                <w:rFonts w:hint="eastAsia"/>
                <w:color w:val="auto"/>
                <w:highlight w:val="none"/>
                <w:shd w:val="clear" w:color="auto" w:fill="auto"/>
              </w:rPr>
              <w:t>6</w:t>
            </w:r>
          </w:p>
        </w:tc>
        <w:tc>
          <w:tcPr>
            <w:tcW w:w="822" w:type="pct"/>
            <w:vAlign w:val="center"/>
          </w:tcPr>
          <w:p>
            <w:pPr>
              <w:spacing w:after="0"/>
              <w:rPr>
                <w:color w:val="auto"/>
                <w:highlight w:val="none"/>
                <w:shd w:val="clear" w:color="auto" w:fill="auto"/>
              </w:rPr>
            </w:pPr>
            <w:r>
              <w:rPr>
                <w:rFonts w:hint="eastAsia" w:cs="仿宋"/>
                <w:b/>
                <w:color w:val="auto"/>
                <w:sz w:val="22"/>
                <w:highlight w:val="none"/>
                <w:shd w:val="clear" w:color="auto" w:fill="auto"/>
              </w:rPr>
              <w:t>样品提供</w:t>
            </w:r>
          </w:p>
        </w:tc>
        <w:tc>
          <w:tcPr>
            <w:tcW w:w="3867" w:type="pct"/>
            <w:vAlign w:val="center"/>
          </w:tcPr>
          <w:p>
            <w:pPr>
              <w:spacing w:after="0"/>
              <w:rPr>
                <w:color w:val="auto"/>
                <w:highlight w:val="none"/>
                <w:shd w:val="clear" w:color="auto" w:fill="auto"/>
              </w:rPr>
            </w:pPr>
            <w:r>
              <w:rPr>
                <w:rFonts w:hint="eastAsia"/>
                <w:bCs/>
                <w:color w:val="auto"/>
                <w:sz w:val="22"/>
                <w:highlight w:val="none"/>
                <w:shd w:val="clear" w:color="auto" w:fill="auto"/>
              </w:rPr>
              <w:t>（√）A不要求提供。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311" w:type="pct"/>
            <w:vAlign w:val="center"/>
          </w:tcPr>
          <w:p>
            <w:pPr>
              <w:spacing w:after="0"/>
              <w:jc w:val="center"/>
              <w:rPr>
                <w:color w:val="auto"/>
                <w:highlight w:val="none"/>
                <w:shd w:val="clear" w:color="auto" w:fill="auto"/>
              </w:rPr>
            </w:pPr>
            <w:r>
              <w:rPr>
                <w:rFonts w:hint="eastAsia"/>
                <w:color w:val="auto"/>
                <w:highlight w:val="none"/>
                <w:shd w:val="clear" w:color="auto" w:fill="auto"/>
              </w:rPr>
              <w:t>7</w:t>
            </w:r>
          </w:p>
        </w:tc>
        <w:tc>
          <w:tcPr>
            <w:tcW w:w="822" w:type="pct"/>
            <w:vAlign w:val="center"/>
          </w:tcPr>
          <w:p>
            <w:pPr>
              <w:spacing w:after="0"/>
              <w:rPr>
                <w:color w:val="auto"/>
                <w:highlight w:val="none"/>
                <w:shd w:val="clear" w:color="auto" w:fill="auto"/>
              </w:rPr>
            </w:pPr>
            <w:r>
              <w:rPr>
                <w:rFonts w:hint="eastAsia" w:cs="仿宋"/>
                <w:b/>
                <w:color w:val="auto"/>
                <w:sz w:val="22"/>
                <w:highlight w:val="none"/>
                <w:shd w:val="clear" w:color="auto" w:fill="auto"/>
              </w:rPr>
              <w:t>方案讲解演示</w:t>
            </w:r>
          </w:p>
        </w:tc>
        <w:tc>
          <w:tcPr>
            <w:tcW w:w="3867" w:type="pct"/>
            <w:vAlign w:val="center"/>
          </w:tcPr>
          <w:p>
            <w:pPr>
              <w:spacing w:after="0"/>
              <w:rPr>
                <w:color w:val="auto"/>
                <w:highlight w:val="none"/>
                <w:shd w:val="clear" w:color="auto" w:fill="auto"/>
              </w:rPr>
            </w:pPr>
            <w:r>
              <w:rPr>
                <w:rFonts w:hint="eastAsia"/>
                <w:bCs/>
                <w:color w:val="auto"/>
                <w:sz w:val="22"/>
                <w:highlight w:val="none"/>
                <w:shd w:val="clear" w:color="auto" w:fill="auto"/>
              </w:rPr>
              <w:t>（√）A不要求。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311" w:type="pct"/>
            <w:vAlign w:val="center"/>
          </w:tcPr>
          <w:p>
            <w:pPr>
              <w:spacing w:after="0"/>
              <w:jc w:val="center"/>
              <w:rPr>
                <w:color w:val="auto"/>
                <w:highlight w:val="none"/>
                <w:shd w:val="clear" w:color="auto" w:fill="auto"/>
              </w:rPr>
            </w:pPr>
            <w:r>
              <w:rPr>
                <w:rFonts w:hint="eastAsia"/>
                <w:color w:val="auto"/>
                <w:highlight w:val="none"/>
                <w:shd w:val="clear" w:color="auto" w:fill="auto"/>
              </w:rPr>
              <w:t>8</w:t>
            </w:r>
          </w:p>
        </w:tc>
        <w:tc>
          <w:tcPr>
            <w:tcW w:w="822" w:type="pct"/>
            <w:vAlign w:val="center"/>
          </w:tcPr>
          <w:p>
            <w:pPr>
              <w:spacing w:after="0"/>
              <w:rPr>
                <w:color w:val="auto"/>
                <w:highlight w:val="none"/>
                <w:shd w:val="clear" w:color="auto" w:fill="auto"/>
              </w:rPr>
            </w:pPr>
            <w:r>
              <w:rPr>
                <w:rFonts w:hint="eastAsia" w:cs="仿宋"/>
                <w:b/>
                <w:color w:val="auto"/>
                <w:sz w:val="22"/>
                <w:highlight w:val="none"/>
                <w:shd w:val="clear" w:color="auto" w:fill="auto"/>
              </w:rPr>
              <w:t>投标人应当提供的资格、资信证明文件</w:t>
            </w:r>
          </w:p>
        </w:tc>
        <w:tc>
          <w:tcPr>
            <w:tcW w:w="3867" w:type="pct"/>
            <w:vAlign w:val="center"/>
          </w:tcPr>
          <w:p>
            <w:pPr>
              <w:spacing w:after="0" w:line="360" w:lineRule="auto"/>
              <w:rPr>
                <w:rFonts w:cs="仿宋"/>
                <w:color w:val="auto"/>
                <w:sz w:val="22"/>
                <w:highlight w:val="none"/>
                <w:shd w:val="clear" w:color="auto" w:fill="auto"/>
              </w:rPr>
            </w:pPr>
            <w:r>
              <w:rPr>
                <w:rFonts w:hint="eastAsia" w:cs="仿宋"/>
                <w:color w:val="auto"/>
                <w:sz w:val="22"/>
                <w:highlight w:val="none"/>
                <w:shd w:val="clear" w:color="auto" w:fill="auto"/>
              </w:rPr>
              <w:t>（1）资格证明文件：见招标文件第二部分11.1。</w:t>
            </w:r>
          </w:p>
          <w:p>
            <w:pPr>
              <w:spacing w:after="0"/>
              <w:rPr>
                <w:rFonts w:cs="仿宋"/>
                <w:color w:val="auto"/>
                <w:sz w:val="22"/>
                <w:highlight w:val="none"/>
                <w:shd w:val="clear" w:color="auto" w:fill="auto"/>
                <w:lang w:val="zh-CN"/>
              </w:rPr>
            </w:pPr>
            <w:r>
              <w:rPr>
                <w:rFonts w:hint="eastAsia" w:cs="仿宋"/>
                <w:color w:val="auto"/>
                <w:sz w:val="22"/>
                <w:highlight w:val="none"/>
                <w:shd w:val="clear" w:color="auto" w:fill="auto"/>
                <w:lang w:val="zh-CN"/>
              </w:rPr>
              <w:t>投标人未提供有效的资格证明文件的，视为投标人不具备招标文件中规定的资格要求，投标无效。</w:t>
            </w:r>
          </w:p>
          <w:p>
            <w:pPr>
              <w:spacing w:after="0"/>
              <w:rPr>
                <w:color w:val="auto"/>
                <w:highlight w:val="none"/>
                <w:shd w:val="clear" w:color="auto" w:fill="auto"/>
              </w:rPr>
            </w:pPr>
            <w:r>
              <w:rPr>
                <w:rFonts w:hint="eastAsia" w:cs="仿宋"/>
                <w:color w:val="auto"/>
                <w:sz w:val="22"/>
                <w:highlight w:val="none"/>
                <w:shd w:val="clear" w:color="auto" w:fill="auto"/>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jc w:val="center"/>
              <w:rPr>
                <w:color w:val="auto"/>
                <w:highlight w:val="none"/>
                <w:shd w:val="clear" w:color="auto" w:fill="auto"/>
              </w:rPr>
            </w:pPr>
            <w:r>
              <w:rPr>
                <w:rFonts w:hint="eastAsia"/>
                <w:color w:val="auto"/>
                <w:highlight w:val="none"/>
                <w:shd w:val="clear" w:color="auto" w:fill="auto"/>
              </w:rPr>
              <w:t>9</w:t>
            </w:r>
          </w:p>
        </w:tc>
        <w:tc>
          <w:tcPr>
            <w:tcW w:w="822" w:type="pct"/>
            <w:vAlign w:val="center"/>
          </w:tcPr>
          <w:p>
            <w:pPr>
              <w:spacing w:after="0"/>
              <w:rPr>
                <w:color w:val="auto"/>
                <w:highlight w:val="none"/>
                <w:shd w:val="clear" w:color="auto" w:fill="auto"/>
              </w:rPr>
            </w:pPr>
            <w:r>
              <w:rPr>
                <w:rFonts w:hint="eastAsia" w:cs="仿宋"/>
                <w:b/>
                <w:color w:val="auto"/>
                <w:sz w:val="22"/>
                <w:highlight w:val="none"/>
                <w:shd w:val="clear" w:color="auto" w:fill="auto"/>
              </w:rPr>
              <w:t>节能产品、环境标志产品</w:t>
            </w:r>
          </w:p>
        </w:tc>
        <w:tc>
          <w:tcPr>
            <w:tcW w:w="3867" w:type="pct"/>
            <w:vAlign w:val="center"/>
          </w:tcPr>
          <w:p>
            <w:pPr>
              <w:spacing w:after="0"/>
              <w:rPr>
                <w:color w:val="auto"/>
                <w:highlight w:val="none"/>
                <w:shd w:val="clear" w:color="auto" w:fill="auto"/>
              </w:rPr>
            </w:pPr>
            <w:r>
              <w:rPr>
                <w:rFonts w:hint="eastAsia" w:cs="仿宋"/>
                <w:color w:val="auto"/>
                <w:sz w:val="22"/>
                <w:highlight w:val="none"/>
                <w:shd w:val="clear" w:color="auto" w:fill="auto"/>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jc w:val="center"/>
              <w:rPr>
                <w:color w:val="auto"/>
                <w:highlight w:val="none"/>
                <w:shd w:val="clear" w:color="auto" w:fill="auto"/>
              </w:rPr>
            </w:pPr>
            <w:r>
              <w:rPr>
                <w:rFonts w:hint="eastAsia"/>
                <w:color w:val="auto"/>
                <w:highlight w:val="none"/>
                <w:shd w:val="clear" w:color="auto" w:fill="auto"/>
              </w:rPr>
              <w:t>10</w:t>
            </w:r>
          </w:p>
        </w:tc>
        <w:tc>
          <w:tcPr>
            <w:tcW w:w="822" w:type="pct"/>
            <w:vAlign w:val="center"/>
          </w:tcPr>
          <w:p>
            <w:pPr>
              <w:spacing w:after="0"/>
              <w:rPr>
                <w:color w:val="auto"/>
                <w:highlight w:val="none"/>
                <w:shd w:val="clear" w:color="auto" w:fill="auto"/>
              </w:rPr>
            </w:pPr>
            <w:r>
              <w:rPr>
                <w:rFonts w:hint="eastAsia" w:cs="仿宋"/>
                <w:b/>
                <w:color w:val="auto"/>
                <w:sz w:val="22"/>
                <w:highlight w:val="none"/>
                <w:shd w:val="clear" w:color="auto" w:fill="auto"/>
              </w:rPr>
              <w:t>报价要求</w:t>
            </w:r>
          </w:p>
        </w:tc>
        <w:tc>
          <w:tcPr>
            <w:tcW w:w="3867" w:type="pct"/>
            <w:vAlign w:val="center"/>
          </w:tcPr>
          <w:p>
            <w:pPr>
              <w:spacing w:after="0" w:line="360" w:lineRule="auto"/>
              <w:ind w:firstLine="440" w:firstLineChars="200"/>
              <w:rPr>
                <w:rFonts w:cs="Arial"/>
                <w:bCs/>
                <w:color w:val="auto"/>
                <w:sz w:val="22"/>
                <w:highlight w:val="none"/>
                <w:shd w:val="clear" w:color="auto" w:fill="auto"/>
                <w:lang w:val="zh-CN"/>
              </w:rPr>
            </w:pPr>
            <w:r>
              <w:rPr>
                <w:rFonts w:hint="eastAsia" w:cs="Arial"/>
                <w:bCs/>
                <w:color w:val="auto"/>
                <w:sz w:val="22"/>
                <w:highlight w:val="none"/>
                <w:shd w:val="clear" w:color="auto" w:fill="auto"/>
                <w:lang w:val="zh-CN"/>
              </w:rPr>
              <w:t>有关本项目实施所需的所有费用（含税费）均计入报价。</w:t>
            </w:r>
            <w:r>
              <w:rPr>
                <w:rFonts w:hint="eastAsia" w:cs="Arial"/>
                <w:bCs/>
                <w:color w:val="auto"/>
                <w:sz w:val="22"/>
                <w:highlight w:val="none"/>
                <w:shd w:val="clear" w:color="auto" w:fill="auto"/>
              </w:rPr>
              <w:t>开标一览表（报价表）是报价的唯一载体</w:t>
            </w:r>
            <w:r>
              <w:rPr>
                <w:rFonts w:hint="eastAsia" w:cs="Arial"/>
                <w:bCs/>
                <w:color w:val="auto"/>
                <w:sz w:val="22"/>
                <w:highlight w:val="none"/>
                <w:shd w:val="clear" w:color="auto" w:fill="auto"/>
                <w:lang w:val="zh-CN"/>
              </w:rPr>
              <w:t>。投标文件中价格全部采用人民币报价。招标文件未列明，而投标人认为必需的费用也需列入报价。提醒：验收时检测费用由采购人承担，不包含在投标总价中。</w:t>
            </w:r>
          </w:p>
          <w:p>
            <w:pPr>
              <w:spacing w:after="0" w:line="360" w:lineRule="auto"/>
              <w:rPr>
                <w:rFonts w:cs="Arial"/>
                <w:bCs/>
                <w:color w:val="auto"/>
                <w:sz w:val="22"/>
                <w:highlight w:val="none"/>
                <w:shd w:val="clear" w:color="auto" w:fill="auto"/>
                <w:lang w:val="zh-CN"/>
              </w:rPr>
            </w:pPr>
            <w:r>
              <w:rPr>
                <w:rFonts w:hint="eastAsia" w:cs="Arial"/>
                <w:bCs/>
                <w:color w:val="auto"/>
                <w:sz w:val="22"/>
                <w:highlight w:val="none"/>
                <w:shd w:val="clear" w:color="auto" w:fill="auto"/>
                <w:lang w:val="zh-CN"/>
              </w:rPr>
              <w:t>投标报价出现下列情形的，投标无效：</w:t>
            </w:r>
          </w:p>
          <w:p>
            <w:pPr>
              <w:spacing w:after="0" w:line="360" w:lineRule="auto"/>
              <w:ind w:firstLine="440" w:firstLineChars="200"/>
              <w:rPr>
                <w:rFonts w:cs="Arial"/>
                <w:bCs/>
                <w:color w:val="auto"/>
                <w:sz w:val="22"/>
                <w:highlight w:val="none"/>
                <w:shd w:val="clear" w:color="auto" w:fill="auto"/>
                <w:lang w:val="zh-CN"/>
              </w:rPr>
            </w:pPr>
            <w:r>
              <w:rPr>
                <w:rFonts w:hint="eastAsia" w:cs="Arial"/>
                <w:bCs/>
                <w:color w:val="auto"/>
                <w:sz w:val="22"/>
                <w:highlight w:val="none"/>
                <w:shd w:val="clear" w:color="auto" w:fill="auto"/>
                <w:lang w:val="zh-CN"/>
              </w:rPr>
              <w:t>投标文件出现不是唯一的、有选择性投标报价的；</w:t>
            </w:r>
          </w:p>
          <w:p>
            <w:pPr>
              <w:spacing w:after="0" w:line="360" w:lineRule="auto"/>
              <w:ind w:firstLine="440" w:firstLineChars="200"/>
              <w:rPr>
                <w:rFonts w:cs="Arial"/>
                <w:bCs/>
                <w:color w:val="auto"/>
                <w:sz w:val="22"/>
                <w:highlight w:val="none"/>
                <w:shd w:val="clear" w:color="auto" w:fill="auto"/>
                <w:lang w:val="zh-CN"/>
              </w:rPr>
            </w:pPr>
            <w:r>
              <w:rPr>
                <w:rFonts w:hint="eastAsia" w:cs="Arial"/>
                <w:bCs/>
                <w:color w:val="auto"/>
                <w:sz w:val="22"/>
                <w:highlight w:val="none"/>
                <w:shd w:val="clear" w:color="auto" w:fill="auto"/>
                <w:lang w:val="zh-CN"/>
              </w:rPr>
              <w:t>投标报价超过招标文件中规定的预算金额或者最高限价的;</w:t>
            </w:r>
          </w:p>
          <w:p>
            <w:pPr>
              <w:spacing w:after="0" w:line="360" w:lineRule="auto"/>
              <w:ind w:firstLine="440" w:firstLineChars="200"/>
              <w:rPr>
                <w:rFonts w:cs="Arial"/>
                <w:bCs/>
                <w:color w:val="auto"/>
                <w:sz w:val="22"/>
                <w:highlight w:val="none"/>
                <w:shd w:val="clear" w:color="auto" w:fill="auto"/>
              </w:rPr>
            </w:pPr>
            <w:r>
              <w:rPr>
                <w:rFonts w:hint="eastAsia" w:cs="Arial"/>
                <w:bCs/>
                <w:color w:val="auto"/>
                <w:sz w:val="22"/>
                <w:highlight w:val="none"/>
                <w:shd w:val="clear" w:color="auto" w:fill="auto"/>
              </w:rPr>
              <w:t>报价明显低于其他通过符合性审查投标人的报价，有可能影响产品质量或者不能诚信履约的，未能按要求提供书面说明或者提交相关证明材料证明其报价合理性的;</w:t>
            </w:r>
          </w:p>
          <w:p>
            <w:pPr>
              <w:spacing w:after="0" w:line="360" w:lineRule="auto"/>
              <w:ind w:firstLine="440" w:firstLineChars="200"/>
              <w:rPr>
                <w:rFonts w:cs="Arial"/>
                <w:bCs/>
                <w:color w:val="auto"/>
                <w:sz w:val="22"/>
                <w:highlight w:val="none"/>
                <w:shd w:val="clear" w:color="auto" w:fill="auto"/>
              </w:rPr>
            </w:pPr>
            <w:r>
              <w:rPr>
                <w:rFonts w:hint="eastAsia" w:cs="Arial"/>
                <w:bCs/>
                <w:color w:val="auto"/>
                <w:sz w:val="22"/>
                <w:highlight w:val="none"/>
                <w:shd w:val="clear" w:color="auto" w:fill="auto"/>
              </w:rPr>
              <w:t>投标人对根据修正原则修正后的报价不确认的。</w:t>
            </w:r>
          </w:p>
          <w:p>
            <w:pPr>
              <w:spacing w:after="0" w:line="360" w:lineRule="auto"/>
              <w:ind w:firstLine="440" w:firstLineChars="200"/>
              <w:rPr>
                <w:color w:val="auto"/>
                <w:highlight w:val="none"/>
                <w:shd w:val="clear" w:color="auto" w:fill="auto"/>
              </w:rPr>
            </w:pPr>
            <w:r>
              <w:rPr>
                <w:rFonts w:hint="eastAsia" w:cs="Arial"/>
                <w:bCs/>
                <w:color w:val="auto"/>
                <w:sz w:val="22"/>
                <w:highlight w:val="none"/>
                <w:shd w:val="clear" w:color="auto" w:fill="auto"/>
              </w:rPr>
              <w:t>资格文件、商务技术文件与报价文件未分开制作</w:t>
            </w:r>
            <w:r>
              <w:rPr>
                <w:rFonts w:hint="eastAsia"/>
                <w:bCs/>
                <w:color w:val="auto"/>
                <w:sz w:val="22"/>
                <w:highlight w:val="none"/>
                <w:shd w:val="clear" w:color="auto" w:fill="auto"/>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jc w:val="center"/>
              <w:rPr>
                <w:color w:val="auto"/>
                <w:highlight w:val="none"/>
                <w:shd w:val="clear" w:color="auto" w:fill="auto"/>
              </w:rPr>
            </w:pPr>
            <w:r>
              <w:rPr>
                <w:rFonts w:hint="eastAsia"/>
                <w:color w:val="auto"/>
                <w:highlight w:val="none"/>
                <w:shd w:val="clear" w:color="auto" w:fill="auto"/>
              </w:rPr>
              <w:t>11</w:t>
            </w:r>
          </w:p>
        </w:tc>
        <w:tc>
          <w:tcPr>
            <w:tcW w:w="822" w:type="pct"/>
            <w:vAlign w:val="center"/>
          </w:tcPr>
          <w:p>
            <w:pPr>
              <w:spacing w:after="0"/>
              <w:rPr>
                <w:color w:val="auto"/>
                <w:highlight w:val="none"/>
                <w:shd w:val="clear" w:color="auto" w:fill="auto"/>
              </w:rPr>
            </w:pPr>
            <w:r>
              <w:rPr>
                <w:rFonts w:hint="eastAsia" w:cs="仿宋"/>
                <w:b/>
                <w:color w:val="auto"/>
                <w:sz w:val="22"/>
                <w:highlight w:val="none"/>
                <w:shd w:val="clear" w:color="auto" w:fill="auto"/>
              </w:rPr>
              <w:t>中小企业信用融资</w:t>
            </w:r>
          </w:p>
        </w:tc>
        <w:tc>
          <w:tcPr>
            <w:tcW w:w="3867" w:type="pct"/>
            <w:vAlign w:val="center"/>
          </w:tcPr>
          <w:p>
            <w:pPr>
              <w:snapToGrid w:val="0"/>
              <w:spacing w:after="0" w:line="360" w:lineRule="auto"/>
              <w:rPr>
                <w:color w:val="auto"/>
                <w:sz w:val="22"/>
                <w:highlight w:val="none"/>
                <w:shd w:val="clear" w:color="auto" w:fill="auto"/>
              </w:rPr>
            </w:pPr>
            <w:r>
              <w:rPr>
                <w:rFonts w:hint="eastAsia"/>
                <w:color w:val="auto"/>
                <w:sz w:val="22"/>
                <w:highlight w:val="none"/>
                <w:shd w:val="clear" w:color="auto" w:fill="auto"/>
              </w:rPr>
              <w:t>本项目</w:t>
            </w:r>
            <w:r>
              <w:rPr>
                <w:color w:val="auto"/>
                <w:sz w:val="22"/>
                <w:highlight w:val="none"/>
                <w:shd w:val="clear" w:color="auto" w:fill="auto"/>
              </w:rPr>
              <w:t>支持</w:t>
            </w:r>
            <w:r>
              <w:rPr>
                <w:rFonts w:hint="eastAsia"/>
                <w:color w:val="auto"/>
                <w:sz w:val="22"/>
                <w:highlight w:val="none"/>
                <w:shd w:val="clear" w:color="auto" w:fill="auto"/>
              </w:rPr>
              <w:t>《杭州市萧山区政府采购支持中小企业信用融资暂行办法》。</w:t>
            </w:r>
          </w:p>
          <w:p>
            <w:pPr>
              <w:spacing w:after="0"/>
              <w:rPr>
                <w:color w:val="auto"/>
                <w:sz w:val="22"/>
                <w:highlight w:val="none"/>
                <w:shd w:val="clear" w:color="auto" w:fill="auto"/>
              </w:rPr>
            </w:pPr>
            <w:r>
              <w:rPr>
                <w:rFonts w:hint="eastAsia"/>
                <w:color w:val="auto"/>
                <w:sz w:val="22"/>
                <w:highlight w:val="none"/>
                <w:shd w:val="clear" w:color="auto" w:fill="auto"/>
              </w:rPr>
              <w:t>有</w:t>
            </w:r>
            <w:r>
              <w:rPr>
                <w:color w:val="auto"/>
                <w:sz w:val="22"/>
                <w:highlight w:val="none"/>
                <w:shd w:val="clear" w:color="auto" w:fill="auto"/>
              </w:rPr>
              <w:t>融资需求的中标供应商可参照相关规定及银行方案</w:t>
            </w:r>
            <w:r>
              <w:rPr>
                <w:rFonts w:hint="eastAsia"/>
                <w:color w:val="auto"/>
                <w:sz w:val="22"/>
                <w:highlight w:val="none"/>
                <w:shd w:val="clear" w:color="auto" w:fill="auto"/>
              </w:rPr>
              <w:t>凭政府采购合同向相关合作银行提出信用融资（贷款）申请。详见</w:t>
            </w:r>
            <w:r>
              <w:rPr>
                <w:color w:val="auto"/>
                <w:highlight w:val="none"/>
                <w:shd w:val="clear" w:color="auto" w:fill="auto"/>
              </w:rPr>
              <w:fldChar w:fldCharType="begin"/>
            </w:r>
            <w:r>
              <w:rPr>
                <w:color w:val="auto"/>
                <w:highlight w:val="none"/>
                <w:shd w:val="clear" w:color="auto" w:fill="auto"/>
              </w:rPr>
              <w:instrText xml:space="preserve"> HYPERLINK "http://www.xiaoshan.gov.cn/art/2018/12/20/art_1229293109_1559514.html" </w:instrText>
            </w:r>
            <w:r>
              <w:rPr>
                <w:color w:val="auto"/>
                <w:highlight w:val="none"/>
                <w:shd w:val="clear" w:color="auto" w:fill="auto"/>
              </w:rPr>
              <w:fldChar w:fldCharType="separate"/>
            </w:r>
            <w:r>
              <w:rPr>
                <w:rStyle w:val="35"/>
                <w:rFonts w:ascii="仿宋" w:hAnsi="仿宋" w:eastAsia="仿宋" w:cstheme="majorBidi"/>
                <w:snapToGrid/>
                <w:color w:val="auto"/>
                <w:sz w:val="22"/>
                <w:szCs w:val="24"/>
                <w:highlight w:val="none"/>
                <w:shd w:val="clear" w:color="auto" w:fill="auto"/>
              </w:rPr>
              <w:t>http://www.xiaoshan.gov.cn/art/2018/12/20/art_1229293109_1559514.html</w:t>
            </w:r>
            <w:r>
              <w:rPr>
                <w:rStyle w:val="35"/>
                <w:rFonts w:ascii="仿宋" w:hAnsi="仿宋" w:eastAsia="仿宋" w:cstheme="majorBidi"/>
                <w:snapToGrid/>
                <w:color w:val="auto"/>
                <w:sz w:val="22"/>
                <w:szCs w:val="24"/>
                <w:highlight w:val="none"/>
                <w:shd w:val="clear" w:color="auto" w:fill="auto"/>
              </w:rPr>
              <w:fldChar w:fldCharType="end"/>
            </w:r>
          </w:p>
          <w:p>
            <w:pPr>
              <w:spacing w:after="0"/>
              <w:rPr>
                <w:color w:val="auto"/>
                <w:sz w:val="22"/>
                <w:highlight w:val="none"/>
                <w:shd w:val="clear" w:color="auto" w:fill="auto"/>
              </w:rPr>
            </w:pPr>
          </w:p>
          <w:p>
            <w:pPr>
              <w:spacing w:after="0"/>
              <w:rPr>
                <w:color w:val="auto"/>
                <w:highlight w:val="none"/>
                <w:shd w:val="clear" w:color="auto" w:fill="auto"/>
              </w:rPr>
            </w:pPr>
            <w:r>
              <w:rPr>
                <w:rFonts w:hint="eastAsia" w:cs="仿宋"/>
                <w:snapToGrid w:val="0"/>
                <w:color w:val="auto"/>
                <w:kern w:val="28"/>
                <w:sz w:val="22"/>
                <w:highlight w:val="none"/>
                <w:shd w:val="clear" w:color="auto" w:fill="auto"/>
              </w:rPr>
              <w:t>供应商中标后也可在“</w:t>
            </w:r>
            <w:r>
              <w:rPr>
                <w:rFonts w:hint="eastAsia" w:cs="仿宋"/>
                <w:snapToGrid w:val="0"/>
                <w:color w:val="auto"/>
                <w:kern w:val="28"/>
                <w:sz w:val="22"/>
                <w:highlight w:val="none"/>
                <w:shd w:val="clear" w:color="auto" w:fill="auto"/>
                <w:lang w:eastAsia="zh-CN"/>
              </w:rPr>
              <w:t>乐采云（萧采云）</w:t>
            </w:r>
            <w:r>
              <w:rPr>
                <w:rFonts w:hint="eastAsia" w:cs="仿宋"/>
                <w:snapToGrid w:val="0"/>
                <w:color w:val="auto"/>
                <w:kern w:val="28"/>
                <w:sz w:val="22"/>
                <w:highlight w:val="none"/>
                <w:shd w:val="clear" w:color="auto" w:fill="auto"/>
              </w:rPr>
              <w:t>”平台申请政采贷：操作路径：登录</w:t>
            </w:r>
            <w:r>
              <w:rPr>
                <w:rFonts w:hint="eastAsia" w:cs="仿宋"/>
                <w:snapToGrid w:val="0"/>
                <w:color w:val="auto"/>
                <w:kern w:val="28"/>
                <w:sz w:val="22"/>
                <w:highlight w:val="none"/>
                <w:shd w:val="clear" w:color="auto" w:fill="auto"/>
                <w:lang w:eastAsia="zh-CN"/>
              </w:rPr>
              <w:t>乐采云（萧采云）</w:t>
            </w:r>
            <w:r>
              <w:rPr>
                <w:rFonts w:hint="eastAsia" w:cs="仿宋"/>
                <w:snapToGrid w:val="0"/>
                <w:color w:val="auto"/>
                <w:kern w:val="28"/>
                <w:sz w:val="22"/>
                <w:highlight w:val="none"/>
                <w:shd w:val="clear" w:color="auto" w:fill="auto"/>
              </w:rPr>
              <w:t>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311" w:type="pct"/>
            <w:vAlign w:val="center"/>
          </w:tcPr>
          <w:p>
            <w:pPr>
              <w:spacing w:after="0"/>
              <w:jc w:val="center"/>
              <w:rPr>
                <w:color w:val="auto"/>
                <w:highlight w:val="none"/>
                <w:shd w:val="clear" w:color="auto" w:fill="auto"/>
              </w:rPr>
            </w:pPr>
            <w:r>
              <w:rPr>
                <w:rFonts w:hint="eastAsia"/>
                <w:color w:val="auto"/>
                <w:highlight w:val="none"/>
                <w:shd w:val="clear" w:color="auto" w:fill="auto"/>
              </w:rPr>
              <w:t>12</w:t>
            </w:r>
          </w:p>
        </w:tc>
        <w:tc>
          <w:tcPr>
            <w:tcW w:w="822" w:type="pct"/>
            <w:vAlign w:val="center"/>
          </w:tcPr>
          <w:p>
            <w:pPr>
              <w:spacing w:after="0"/>
              <w:rPr>
                <w:color w:val="auto"/>
                <w:highlight w:val="none"/>
                <w:shd w:val="clear" w:color="auto" w:fill="auto"/>
              </w:rPr>
            </w:pPr>
            <w:r>
              <w:rPr>
                <w:rFonts w:hint="eastAsia" w:cs="仿宋"/>
                <w:b/>
                <w:color w:val="auto"/>
                <w:sz w:val="22"/>
                <w:highlight w:val="none"/>
                <w:shd w:val="clear" w:color="auto" w:fill="auto"/>
              </w:rPr>
              <w:t>备份投标文件</w:t>
            </w:r>
          </w:p>
        </w:tc>
        <w:tc>
          <w:tcPr>
            <w:tcW w:w="3867" w:type="pct"/>
            <w:vAlign w:val="center"/>
          </w:tcPr>
          <w:p>
            <w:pPr>
              <w:spacing w:after="0"/>
              <w:rPr>
                <w:color w:val="auto"/>
                <w:highlight w:val="none"/>
                <w:shd w:val="clear" w:color="auto" w:fill="auto"/>
              </w:rPr>
            </w:pPr>
            <w:r>
              <w:rPr>
                <w:rFonts w:hint="eastAsia" w:ascii="仿宋" w:hAnsi="仿宋" w:eastAsia="仿宋" w:cs="仿宋"/>
                <w:color w:val="auto"/>
                <w:kern w:val="28"/>
                <w:sz w:val="22"/>
                <w:szCs w:val="24"/>
                <w:highlight w:val="none"/>
                <w:shd w:val="clear" w:color="auto" w:fill="auto"/>
              </w:rPr>
              <w:t>备份文件是否收取：不收取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24" w:hRule="atLeast"/>
        </w:trPr>
        <w:tc>
          <w:tcPr>
            <w:tcW w:w="311" w:type="pct"/>
            <w:vAlign w:val="center"/>
          </w:tcPr>
          <w:p>
            <w:pPr>
              <w:spacing w:after="0"/>
              <w:jc w:val="center"/>
              <w:rPr>
                <w:color w:val="auto"/>
                <w:highlight w:val="none"/>
                <w:shd w:val="clear" w:color="auto" w:fill="auto"/>
              </w:rPr>
            </w:pPr>
            <w:r>
              <w:rPr>
                <w:rFonts w:hint="eastAsia"/>
                <w:color w:val="auto"/>
                <w:highlight w:val="none"/>
                <w:shd w:val="clear" w:color="auto" w:fill="auto"/>
              </w:rPr>
              <w:t>13</w:t>
            </w:r>
          </w:p>
        </w:tc>
        <w:tc>
          <w:tcPr>
            <w:tcW w:w="822" w:type="pct"/>
            <w:vAlign w:val="center"/>
          </w:tcPr>
          <w:p>
            <w:pPr>
              <w:spacing w:after="0"/>
              <w:rPr>
                <w:color w:val="auto"/>
                <w:highlight w:val="none"/>
                <w:shd w:val="clear" w:color="auto" w:fill="auto"/>
              </w:rPr>
            </w:pPr>
            <w:r>
              <w:rPr>
                <w:rFonts w:hint="eastAsia"/>
                <w:b/>
                <w:color w:val="auto"/>
                <w:sz w:val="22"/>
                <w:highlight w:val="none"/>
                <w:shd w:val="clear" w:color="auto" w:fill="auto"/>
              </w:rPr>
              <w:t>采购机构代理费用</w:t>
            </w:r>
          </w:p>
        </w:tc>
        <w:tc>
          <w:tcPr>
            <w:tcW w:w="3867" w:type="pct"/>
            <w:vAlign w:val="center"/>
          </w:tcPr>
          <w:p>
            <w:pPr>
              <w:spacing w:after="0"/>
              <w:rPr>
                <w:color w:val="auto"/>
                <w:highlight w:val="none"/>
                <w:shd w:val="clear" w:color="auto" w:fill="auto"/>
              </w:rPr>
            </w:pPr>
            <w:r>
              <w:rPr>
                <w:rFonts w:hint="eastAsia"/>
                <w:color w:val="auto"/>
                <w:highlight w:val="none"/>
                <w:shd w:val="clear" w:color="auto" w:fill="auto"/>
              </w:rPr>
              <w:t>本项目采购代理费及专家评审费由中标人支付。采购代理费收费标准按计价格[2002]1980号文规定货物类收费标准计取。采购代理费用由中标人领取成交通知书时向采购代理机构支付。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24" w:hRule="atLeast"/>
        </w:trPr>
        <w:tc>
          <w:tcPr>
            <w:tcW w:w="311" w:type="pct"/>
            <w:vAlign w:val="center"/>
          </w:tcPr>
          <w:p>
            <w:pPr>
              <w:spacing w:after="0"/>
              <w:jc w:val="center"/>
              <w:rPr>
                <w:color w:val="auto"/>
                <w:highlight w:val="none"/>
                <w:shd w:val="clear" w:color="auto" w:fill="auto"/>
              </w:rPr>
            </w:pPr>
            <w:r>
              <w:rPr>
                <w:rFonts w:hint="eastAsia"/>
                <w:color w:val="auto"/>
                <w:highlight w:val="none"/>
                <w:shd w:val="clear" w:color="auto" w:fill="auto"/>
              </w:rPr>
              <w:t>14</w:t>
            </w:r>
          </w:p>
        </w:tc>
        <w:tc>
          <w:tcPr>
            <w:tcW w:w="822" w:type="pct"/>
            <w:vAlign w:val="center"/>
          </w:tcPr>
          <w:p>
            <w:pPr>
              <w:spacing w:after="0"/>
              <w:rPr>
                <w:color w:val="auto"/>
                <w:highlight w:val="none"/>
                <w:shd w:val="clear" w:color="auto" w:fill="auto"/>
              </w:rPr>
            </w:pPr>
            <w:r>
              <w:rPr>
                <w:rFonts w:hint="eastAsia" w:cs="仿宋"/>
                <w:b/>
                <w:color w:val="auto"/>
                <w:sz w:val="22"/>
                <w:highlight w:val="none"/>
                <w:shd w:val="clear" w:color="auto" w:fill="auto"/>
              </w:rPr>
              <w:t>履约保证金</w:t>
            </w:r>
          </w:p>
        </w:tc>
        <w:tc>
          <w:tcPr>
            <w:tcW w:w="3867" w:type="pct"/>
            <w:vAlign w:val="center"/>
          </w:tcPr>
          <w:p>
            <w:pPr>
              <w:pStyle w:val="21"/>
              <w:spacing w:line="360" w:lineRule="auto"/>
              <w:ind w:hanging="4"/>
              <w:rPr>
                <w:rFonts w:ascii="仿宋" w:hAnsi="仿宋" w:eastAsia="仿宋"/>
                <w:color w:val="auto"/>
                <w:sz w:val="22"/>
                <w:highlight w:val="none"/>
                <w:shd w:val="clear" w:color="auto" w:fill="auto"/>
              </w:rPr>
            </w:pPr>
            <w:r>
              <w:rPr>
                <w:rFonts w:hint="eastAsia" w:ascii="仿宋" w:hAnsi="仿宋" w:eastAsia="仿宋"/>
                <w:color w:val="auto"/>
                <w:sz w:val="22"/>
                <w:highlight w:val="none"/>
                <w:shd w:val="clear" w:color="auto" w:fill="auto"/>
              </w:rPr>
              <w:t>履约保证金：收取1%，合同签订后支付，履约完成后无息退还。</w:t>
            </w:r>
          </w:p>
          <w:p>
            <w:pPr>
              <w:spacing w:after="0"/>
              <w:rPr>
                <w:color w:val="auto"/>
                <w:highlight w:val="none"/>
                <w:shd w:val="clear" w:color="auto" w:fill="auto"/>
              </w:rPr>
            </w:pPr>
            <w:r>
              <w:rPr>
                <w:rFonts w:hint="eastAsia" w:cs="仿宋_GB2312"/>
                <w:color w:val="auto"/>
                <w:sz w:val="22"/>
                <w:highlight w:val="none"/>
                <w:shd w:val="clear" w:color="auto" w:fill="auto"/>
              </w:rPr>
              <w:t>供应商应当以支票、汇票、本票或者金融机构、担保机构出具的保函等非现金形式提交。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311" w:type="pct"/>
            <w:vAlign w:val="center"/>
          </w:tcPr>
          <w:p>
            <w:pPr>
              <w:spacing w:after="0"/>
              <w:jc w:val="center"/>
              <w:rPr>
                <w:color w:val="auto"/>
                <w:highlight w:val="none"/>
                <w:shd w:val="clear" w:color="auto" w:fill="auto"/>
              </w:rPr>
            </w:pPr>
            <w:r>
              <w:rPr>
                <w:rFonts w:hint="eastAsia"/>
                <w:color w:val="auto"/>
                <w:highlight w:val="none"/>
                <w:shd w:val="clear" w:color="auto" w:fill="auto"/>
              </w:rPr>
              <w:t>15</w:t>
            </w:r>
          </w:p>
        </w:tc>
        <w:tc>
          <w:tcPr>
            <w:tcW w:w="822" w:type="pct"/>
            <w:vAlign w:val="center"/>
          </w:tcPr>
          <w:p>
            <w:pPr>
              <w:spacing w:after="0"/>
              <w:rPr>
                <w:color w:val="auto"/>
                <w:highlight w:val="none"/>
                <w:shd w:val="clear" w:color="auto" w:fill="auto"/>
              </w:rPr>
            </w:pPr>
            <w:r>
              <w:rPr>
                <w:rFonts w:hint="eastAsia" w:cs="仿宋"/>
                <w:b/>
                <w:color w:val="auto"/>
                <w:sz w:val="22"/>
                <w:highlight w:val="none"/>
                <w:shd w:val="clear" w:color="auto" w:fill="auto"/>
              </w:rPr>
              <w:t>资格审查和信用信息审查</w:t>
            </w:r>
          </w:p>
        </w:tc>
        <w:tc>
          <w:tcPr>
            <w:tcW w:w="3867" w:type="pct"/>
            <w:vAlign w:val="center"/>
          </w:tcPr>
          <w:p>
            <w:pPr>
              <w:spacing w:after="0"/>
              <w:rPr>
                <w:color w:val="auto"/>
                <w:highlight w:val="none"/>
                <w:shd w:val="clear" w:color="auto" w:fill="auto"/>
              </w:rPr>
            </w:pPr>
            <w:r>
              <w:rPr>
                <w:rFonts w:hint="eastAsia" w:cs="仿宋_GB2312"/>
                <w:color w:val="auto"/>
                <w:sz w:val="22"/>
                <w:highlight w:val="none"/>
                <w:shd w:val="clear" w:color="auto" w:fill="auto"/>
              </w:rPr>
              <w:t>本项目</w:t>
            </w:r>
            <w:r>
              <w:rPr>
                <w:rFonts w:cs="仿宋_GB2312"/>
                <w:color w:val="auto"/>
                <w:sz w:val="22"/>
                <w:highlight w:val="none"/>
                <w:shd w:val="clear" w:color="auto" w:fill="auto"/>
              </w:rPr>
              <w:t>由采购人</w:t>
            </w:r>
            <w:r>
              <w:rPr>
                <w:rFonts w:hint="eastAsia" w:cs="仿宋_GB2312"/>
                <w:color w:val="auto"/>
                <w:sz w:val="22"/>
                <w:highlight w:val="none"/>
                <w:shd w:val="clear" w:color="auto" w:fill="auto"/>
              </w:rPr>
              <w:t>进行</w:t>
            </w:r>
            <w:r>
              <w:rPr>
                <w:rFonts w:cs="仿宋_GB2312"/>
                <w:color w:val="auto"/>
                <w:sz w:val="22"/>
                <w:highlight w:val="none"/>
                <w:shd w:val="clear" w:color="auto" w:fill="auto"/>
              </w:rPr>
              <w:t>资格文件</w:t>
            </w:r>
            <w:r>
              <w:rPr>
                <w:rFonts w:hint="eastAsia" w:cs="仿宋_GB2312"/>
                <w:color w:val="auto"/>
                <w:sz w:val="22"/>
                <w:highlight w:val="none"/>
                <w:shd w:val="clear" w:color="auto" w:fill="auto"/>
              </w:rPr>
              <w:t>及</w:t>
            </w:r>
            <w:r>
              <w:rPr>
                <w:rFonts w:cs="仿宋_GB2312"/>
                <w:color w:val="auto"/>
                <w:sz w:val="22"/>
                <w:highlight w:val="none"/>
                <w:shd w:val="clear" w:color="auto" w:fill="auto"/>
              </w:rPr>
              <w:t>信用信息</w:t>
            </w:r>
            <w:r>
              <w:rPr>
                <w:rFonts w:hint="eastAsia" w:cs="仿宋_GB2312"/>
                <w:color w:val="auto"/>
                <w:sz w:val="22"/>
                <w:highlight w:val="none"/>
                <w:shd w:val="clear" w:color="auto" w:fill="auto"/>
              </w:rPr>
              <w:t>查询</w:t>
            </w:r>
            <w:r>
              <w:rPr>
                <w:rFonts w:cs="仿宋_GB2312"/>
                <w:color w:val="auto"/>
                <w:sz w:val="22"/>
                <w:highlight w:val="none"/>
                <w:shd w:val="clear" w:color="auto" w:fill="auto"/>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jc w:val="center"/>
              <w:rPr>
                <w:color w:val="auto"/>
                <w:highlight w:val="none"/>
                <w:shd w:val="clear" w:color="auto" w:fill="auto"/>
              </w:rPr>
            </w:pPr>
            <w:r>
              <w:rPr>
                <w:rFonts w:hint="eastAsia"/>
                <w:color w:val="auto"/>
                <w:highlight w:val="none"/>
                <w:shd w:val="clear" w:color="auto" w:fill="auto"/>
              </w:rPr>
              <w:t>16</w:t>
            </w:r>
          </w:p>
        </w:tc>
        <w:tc>
          <w:tcPr>
            <w:tcW w:w="822" w:type="pct"/>
            <w:vAlign w:val="center"/>
          </w:tcPr>
          <w:p>
            <w:pPr>
              <w:spacing w:after="0"/>
              <w:rPr>
                <w:color w:val="auto"/>
                <w:highlight w:val="none"/>
                <w:shd w:val="clear" w:color="auto" w:fill="auto"/>
              </w:rPr>
            </w:pPr>
            <w:r>
              <w:rPr>
                <w:rFonts w:hint="eastAsia" w:cs="仿宋"/>
                <w:b/>
                <w:color w:val="auto"/>
                <w:sz w:val="22"/>
                <w:highlight w:val="none"/>
                <w:shd w:val="clear" w:color="auto" w:fill="auto"/>
              </w:rPr>
              <w:t>质疑接收人及答复</w:t>
            </w:r>
          </w:p>
        </w:tc>
        <w:tc>
          <w:tcPr>
            <w:tcW w:w="3867" w:type="pct"/>
            <w:vAlign w:val="center"/>
          </w:tcPr>
          <w:p>
            <w:pPr>
              <w:snapToGrid w:val="0"/>
              <w:spacing w:after="0" w:line="360" w:lineRule="auto"/>
              <w:rPr>
                <w:color w:val="auto"/>
                <w:sz w:val="22"/>
                <w:highlight w:val="none"/>
                <w:u w:val="single"/>
                <w:shd w:val="clear" w:color="auto" w:fill="auto"/>
              </w:rPr>
            </w:pPr>
            <w:r>
              <w:rPr>
                <w:rFonts w:hint="eastAsia"/>
                <w:color w:val="auto"/>
                <w:sz w:val="22"/>
                <w:highlight w:val="none"/>
                <w:shd w:val="clear" w:color="auto" w:fill="auto"/>
              </w:rPr>
              <w:t>采购</w:t>
            </w:r>
            <w:r>
              <w:rPr>
                <w:color w:val="auto"/>
                <w:sz w:val="22"/>
                <w:highlight w:val="none"/>
                <w:shd w:val="clear" w:color="auto" w:fill="auto"/>
              </w:rPr>
              <w:t>人、</w:t>
            </w:r>
            <w:r>
              <w:rPr>
                <w:rFonts w:hint="eastAsia"/>
                <w:color w:val="auto"/>
                <w:sz w:val="22"/>
                <w:highlight w:val="none"/>
                <w:shd w:val="clear" w:color="auto" w:fill="auto"/>
              </w:rPr>
              <w:t>采购</w:t>
            </w:r>
            <w:r>
              <w:rPr>
                <w:color w:val="auto"/>
                <w:sz w:val="22"/>
                <w:highlight w:val="none"/>
                <w:shd w:val="clear" w:color="auto" w:fill="auto"/>
              </w:rPr>
              <w:t>机构质疑接收人</w:t>
            </w:r>
            <w:r>
              <w:rPr>
                <w:rFonts w:hint="eastAsia"/>
                <w:color w:val="auto"/>
                <w:sz w:val="22"/>
                <w:highlight w:val="none"/>
                <w:shd w:val="clear" w:color="auto" w:fill="auto"/>
              </w:rPr>
              <w:t>、联系方式</w:t>
            </w:r>
            <w:r>
              <w:rPr>
                <w:color w:val="auto"/>
                <w:sz w:val="22"/>
                <w:highlight w:val="none"/>
                <w:shd w:val="clear" w:color="auto" w:fill="auto"/>
              </w:rPr>
              <w:t>：</w:t>
            </w:r>
            <w:r>
              <w:rPr>
                <w:rFonts w:hint="eastAsia"/>
                <w:color w:val="auto"/>
                <w:sz w:val="22"/>
                <w:highlight w:val="none"/>
                <w:shd w:val="clear" w:color="auto" w:fill="auto"/>
              </w:rPr>
              <w:t>详见公告</w:t>
            </w:r>
          </w:p>
          <w:p>
            <w:pPr>
              <w:snapToGrid w:val="0"/>
              <w:spacing w:after="0" w:line="360" w:lineRule="auto"/>
              <w:rPr>
                <w:b/>
                <w:color w:val="auto"/>
                <w:sz w:val="22"/>
                <w:highlight w:val="none"/>
                <w:shd w:val="clear" w:color="auto" w:fill="auto"/>
              </w:rPr>
            </w:pPr>
            <w:r>
              <w:rPr>
                <w:rFonts w:hint="eastAsia"/>
                <w:b/>
                <w:color w:val="auto"/>
                <w:sz w:val="22"/>
                <w:highlight w:val="none"/>
                <w:shd w:val="clear" w:color="auto" w:fill="auto"/>
              </w:rPr>
              <w:t>线上提交质疑方式：</w:t>
            </w:r>
            <w:r>
              <w:rPr>
                <w:rFonts w:hint="eastAsia"/>
                <w:b/>
                <w:color w:val="auto"/>
                <w:sz w:val="22"/>
                <w:highlight w:val="none"/>
                <w:shd w:val="clear" w:color="auto" w:fill="auto"/>
                <w:lang w:eastAsia="zh-CN"/>
              </w:rPr>
              <w:t>乐采云（萧采云）</w:t>
            </w:r>
            <w:r>
              <w:rPr>
                <w:rFonts w:hint="eastAsia"/>
                <w:b/>
                <w:color w:val="auto"/>
                <w:sz w:val="22"/>
                <w:highlight w:val="none"/>
                <w:shd w:val="clear" w:color="auto" w:fill="auto"/>
              </w:rPr>
              <w:t>线上质疑路径：项目采购-询问质疑投诉-质疑列表。请使用ca签章在每一页质疑文件中加盖电子公章，上传完整附件。</w:t>
            </w:r>
          </w:p>
          <w:p>
            <w:pPr>
              <w:snapToGrid w:val="0"/>
              <w:spacing w:after="0" w:line="360" w:lineRule="auto"/>
              <w:rPr>
                <w:color w:val="auto"/>
                <w:sz w:val="22"/>
                <w:highlight w:val="none"/>
                <w:shd w:val="clear" w:color="auto" w:fill="auto"/>
              </w:rPr>
            </w:pPr>
            <w:r>
              <w:rPr>
                <w:rFonts w:hint="eastAsia"/>
                <w:color w:val="auto"/>
                <w:sz w:val="22"/>
                <w:highlight w:val="none"/>
                <w:shd w:val="clear" w:color="auto" w:fill="auto"/>
              </w:rPr>
              <w:t>本项目涉及资格条件、采购需求、评分办法及采购过程中有关现场考察或开标前答疑会等事项由</w:t>
            </w:r>
            <w:r>
              <w:rPr>
                <w:color w:val="auto"/>
                <w:sz w:val="22"/>
                <w:highlight w:val="none"/>
                <w:shd w:val="clear" w:color="auto" w:fill="auto"/>
              </w:rPr>
              <w:t>采购人进行答复。</w:t>
            </w:r>
          </w:p>
          <w:p>
            <w:pPr>
              <w:spacing w:after="0"/>
              <w:rPr>
                <w:color w:val="auto"/>
                <w:highlight w:val="none"/>
                <w:shd w:val="clear" w:color="auto" w:fill="auto"/>
              </w:rPr>
            </w:pPr>
            <w:r>
              <w:rPr>
                <w:rFonts w:hint="eastAsia"/>
                <w:color w:val="auto"/>
                <w:sz w:val="22"/>
                <w:highlight w:val="none"/>
                <w:shd w:val="clear" w:color="auto" w:fill="auto"/>
              </w:rPr>
              <w:t>涉及</w:t>
            </w:r>
            <w:r>
              <w:rPr>
                <w:color w:val="auto"/>
                <w:sz w:val="22"/>
                <w:highlight w:val="none"/>
                <w:shd w:val="clear" w:color="auto" w:fill="auto"/>
              </w:rPr>
              <w:t>流程规范性、组织程序等</w:t>
            </w:r>
            <w:r>
              <w:rPr>
                <w:rFonts w:hint="eastAsia"/>
                <w:color w:val="auto"/>
                <w:sz w:val="22"/>
                <w:highlight w:val="none"/>
                <w:shd w:val="clear" w:color="auto" w:fill="auto"/>
              </w:rPr>
              <w:t>相关</w:t>
            </w:r>
            <w:r>
              <w:rPr>
                <w:color w:val="auto"/>
                <w:sz w:val="22"/>
                <w:highlight w:val="none"/>
                <w:shd w:val="clear" w:color="auto" w:fill="auto"/>
              </w:rPr>
              <w:t>事项，由</w:t>
            </w:r>
            <w:r>
              <w:rPr>
                <w:rFonts w:hint="eastAsia"/>
                <w:color w:val="auto"/>
                <w:sz w:val="22"/>
                <w:highlight w:val="none"/>
                <w:shd w:val="clear" w:color="auto" w:fill="auto"/>
              </w:rPr>
              <w:t>采购</w:t>
            </w:r>
            <w:r>
              <w:rPr>
                <w:color w:val="auto"/>
                <w:sz w:val="22"/>
                <w:highlight w:val="none"/>
                <w:shd w:val="clear" w:color="auto" w:fill="auto"/>
              </w:rPr>
              <w:t>机构进行答复。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311" w:type="pct"/>
            <w:vAlign w:val="center"/>
          </w:tcPr>
          <w:p>
            <w:pPr>
              <w:spacing w:after="0"/>
              <w:jc w:val="center"/>
              <w:rPr>
                <w:color w:val="auto"/>
                <w:highlight w:val="none"/>
                <w:shd w:val="clear" w:color="auto" w:fill="auto"/>
              </w:rPr>
            </w:pPr>
            <w:r>
              <w:rPr>
                <w:rFonts w:hint="eastAsia"/>
                <w:color w:val="auto"/>
                <w:highlight w:val="none"/>
                <w:shd w:val="clear" w:color="auto" w:fill="auto"/>
              </w:rPr>
              <w:t>17</w:t>
            </w:r>
          </w:p>
        </w:tc>
        <w:tc>
          <w:tcPr>
            <w:tcW w:w="822" w:type="pct"/>
            <w:vAlign w:val="center"/>
          </w:tcPr>
          <w:p>
            <w:pPr>
              <w:spacing w:after="0"/>
              <w:rPr>
                <w:color w:val="auto"/>
                <w:highlight w:val="none"/>
                <w:shd w:val="clear" w:color="auto" w:fill="auto"/>
              </w:rPr>
            </w:pPr>
            <w:r>
              <w:rPr>
                <w:rFonts w:hint="eastAsia" w:cs="仿宋"/>
                <w:b/>
                <w:color w:val="auto"/>
                <w:sz w:val="22"/>
                <w:highlight w:val="none"/>
                <w:shd w:val="clear" w:color="auto" w:fill="auto"/>
              </w:rPr>
              <w:t>特别说明</w:t>
            </w:r>
          </w:p>
        </w:tc>
        <w:tc>
          <w:tcPr>
            <w:tcW w:w="3867" w:type="pct"/>
            <w:vAlign w:val="center"/>
          </w:tcPr>
          <w:p>
            <w:pPr>
              <w:spacing w:after="0"/>
              <w:rPr>
                <w:b/>
                <w:color w:val="auto"/>
                <w:sz w:val="22"/>
                <w:highlight w:val="none"/>
                <w:shd w:val="clear" w:color="auto" w:fill="auto"/>
              </w:rPr>
            </w:pPr>
            <w:r>
              <w:rPr>
                <w:rFonts w:hint="eastAsia"/>
                <w:b/>
                <w:color w:val="auto"/>
                <w:sz w:val="22"/>
                <w:highlight w:val="none"/>
                <w:shd w:val="clear" w:color="auto" w:fill="auto"/>
              </w:rPr>
              <w:t>严格执行预算限价，项目如涉及办公用房装修、通用办公设备家具的不得超限额标准。</w:t>
            </w:r>
          </w:p>
          <w:p>
            <w:pPr>
              <w:spacing w:after="0"/>
              <w:rPr>
                <w:color w:val="auto"/>
                <w:highlight w:val="none"/>
                <w:shd w:val="clear" w:color="auto" w:fill="auto"/>
              </w:rPr>
            </w:pPr>
            <w:r>
              <w:rPr>
                <w:rFonts w:hint="eastAsia"/>
                <w:b/>
                <w:color w:val="auto"/>
                <w:sz w:val="22"/>
                <w:highlight w:val="none"/>
                <w:shd w:val="clear" w:color="auto" w:fill="auto"/>
              </w:rPr>
              <w:t>本项目</w:t>
            </w:r>
            <w:r>
              <w:rPr>
                <w:b/>
                <w:color w:val="auto"/>
                <w:sz w:val="22"/>
                <w:highlight w:val="none"/>
                <w:shd w:val="clear" w:color="auto" w:fill="auto"/>
              </w:rPr>
              <w:t>通用</w:t>
            </w:r>
            <w:r>
              <w:rPr>
                <w:rFonts w:hint="eastAsia"/>
                <w:b/>
                <w:color w:val="auto"/>
                <w:sz w:val="22"/>
                <w:highlight w:val="none"/>
                <w:shd w:val="clear" w:color="auto" w:fill="auto"/>
              </w:rPr>
              <w:t>总则</w:t>
            </w:r>
            <w:r>
              <w:rPr>
                <w:b/>
                <w:color w:val="auto"/>
                <w:sz w:val="22"/>
                <w:highlight w:val="none"/>
                <w:shd w:val="clear" w:color="auto" w:fill="auto"/>
              </w:rPr>
              <w:t>条款与前附表等专</w:t>
            </w:r>
            <w:r>
              <w:rPr>
                <w:rFonts w:hint="eastAsia"/>
                <w:b/>
                <w:color w:val="auto"/>
                <w:sz w:val="22"/>
                <w:highlight w:val="none"/>
                <w:shd w:val="clear" w:color="auto" w:fill="auto"/>
              </w:rPr>
              <w:t>用</w:t>
            </w:r>
            <w:r>
              <w:rPr>
                <w:b/>
                <w:color w:val="auto"/>
                <w:sz w:val="22"/>
                <w:highlight w:val="none"/>
                <w:shd w:val="clear" w:color="auto" w:fill="auto"/>
              </w:rPr>
              <w:t>特别规定有冲突之处，以专用条款（</w:t>
            </w:r>
            <w:r>
              <w:rPr>
                <w:rFonts w:hint="eastAsia"/>
                <w:b/>
                <w:color w:val="auto"/>
                <w:sz w:val="22"/>
                <w:highlight w:val="none"/>
                <w:shd w:val="clear" w:color="auto" w:fill="auto"/>
              </w:rPr>
              <w:t>特别规定</w:t>
            </w:r>
            <w:r>
              <w:rPr>
                <w:b/>
                <w:color w:val="auto"/>
                <w:sz w:val="22"/>
                <w:highlight w:val="none"/>
                <w:shd w:val="clear" w:color="auto" w:fill="auto"/>
              </w:rPr>
              <w:t>）</w:t>
            </w:r>
            <w:r>
              <w:rPr>
                <w:rFonts w:hint="eastAsia"/>
                <w:b/>
                <w:color w:val="auto"/>
                <w:sz w:val="22"/>
                <w:highlight w:val="none"/>
                <w:shd w:val="clear" w:color="auto" w:fill="auto"/>
              </w:rPr>
              <w:t>为准</w:t>
            </w:r>
          </w:p>
        </w:tc>
      </w:tr>
    </w:tbl>
    <w:p>
      <w:pPr>
        <w:spacing w:line="276" w:lineRule="auto"/>
        <w:rPr>
          <w:color w:val="auto"/>
          <w:highlight w:val="none"/>
          <w:shd w:val="clear" w:color="auto" w:fill="auto"/>
        </w:rPr>
      </w:pPr>
      <w:r>
        <w:rPr>
          <w:color w:val="auto"/>
          <w:highlight w:val="none"/>
          <w:shd w:val="clear" w:color="auto" w:fill="auto"/>
        </w:rPr>
        <w:br w:type="page"/>
      </w:r>
    </w:p>
    <w:p>
      <w:pPr>
        <w:pStyle w:val="3"/>
        <w:rPr>
          <w:color w:val="auto"/>
          <w:highlight w:val="none"/>
          <w:shd w:val="clear" w:color="auto" w:fill="auto"/>
        </w:rPr>
      </w:pPr>
      <w:r>
        <w:rPr>
          <w:rFonts w:hint="eastAsia"/>
          <w:color w:val="auto"/>
          <w:highlight w:val="none"/>
          <w:shd w:val="clear" w:color="auto" w:fill="auto"/>
        </w:rPr>
        <w:t>一、总则</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1. 适用范围</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本招标文件适用于该项目的招标、投标、开标、资格审查及信用信息查询、评标、定标、合同、验收等行为（法律、法规另有规定的，从其规定）。</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2.定义</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2.1 “采购人”系指招标公告中载明的本项目的采购人。</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2.2 “采购机构”系指招标公告中载明的本项目的采购机构。</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2.3 “投标人”系指是指响应招标、参加投标竞争的法人、其他组织或者自然人。</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2.4 “负责人”系指法人企业的法定负责人，或其他组织为法律、行政法规规定代表单位行使职权的主要负责人，或自然人本人。</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2.5“电子签名”系指数据电文中以电子形式所含、所附用于识别签名人身份并表明签名人认可其中内容的数据，投标人电子签名指投标人电子公章；“公章”系指单位法定名称章。因特殊原因需要使用冠以法定名称的业务专用章的，投标时须提供《业务专用章使用说明函》（附件4）。</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2.6“电子交易平台”是指本项目政府采购活动所依托的政府采购云平台（https://www.zcygov.cn/）。</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2.7 “▲” 系指实质性要求条款，“（√）” 系指适用本项目的要求，“（  ）”系指不适用本项目的要求。</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3. 采购项目需要落实的政府采购政策</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优先采购向我国企业转让技术、与我国企业签订消化吸收再创新方案的供应商的进口产品。</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3.2 支持绿色发展</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采购人拟采购的产品属于政府强制采购的节能产品品目清单范围的，投标人未按招标文件要求提供国家确定的认证机构出具的、处于有效期之内的节能产品认证证书的，投标无效。</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3.2.2 修缮、装修类项目采购建材的，采购人应将绿色建筑和绿色建材性能、指标等作为实质性条件纳入招标文件和合同。</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3.3支持中小企业发展</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符合中小企业划分标准的个体工商户，在政府采购活动中视同中小企业。</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3.3.2在政府采购活动中，投标人提供的货物、工程或者服务符合下列情形的，享受中小企业扶持政策：</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3.3.2.1在货物采购项目中，货物由中小企业制造，即货物由中小企业生产且使用该中小企业商号或者注册商标；</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3.3.2.2在工程采购项目中，工程由中小企业承建，即工程施工单位为中小企业；</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3.3.2.3在服务采购项目中，服务由中小企业承接，即提供服务的人员为中小企业依照《中华人民共和国劳动合同法》订立劳动合同的从业人员。</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在货物采购项目中，投标人提供的货物既有中小企业制造货物，也有大型企业制造货物的，不享受中小企业扶持政策。</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以联合体形式参加政府采购活动，联合体各方均为中小企业的，联合体视同中小企业。其中，联合体各方均为小微企业的，联合体视同小微企业。</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3.3.3对于未预留份额专门面向中小企业的政府采购货物或服务项目，以及预留份额政府采购货物或服务项目中的非预留部分标项，对小型和微型企业的投标报价给予</w:t>
      </w:r>
      <w:r>
        <w:rPr>
          <w:rFonts w:hint="eastAsia"/>
          <w:color w:val="auto"/>
          <w:highlight w:val="none"/>
          <w:shd w:val="clear" w:color="auto" w:fill="auto"/>
        </w:rPr>
        <w:t>20</w:t>
      </w:r>
      <w:r>
        <w:rPr>
          <w:color w:val="auto"/>
          <w:highlight w:val="none"/>
          <w:shd w:val="clear" w:color="auto" w:fill="auto"/>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color w:val="auto"/>
          <w:highlight w:val="none"/>
          <w:shd w:val="clear" w:color="auto" w:fill="auto"/>
        </w:rPr>
        <w:t>6</w:t>
      </w:r>
      <w:r>
        <w:rPr>
          <w:color w:val="auto"/>
          <w:highlight w:val="none"/>
          <w:shd w:val="clear" w:color="auto" w:fill="auto"/>
        </w:rPr>
        <w:t>%的扣除，用扣除后的价格参加评审。组成联合体或者接受分包的小微企业与联合体内其他企业、分包企业之间存在直接控</w:t>
      </w:r>
      <w:r>
        <w:rPr>
          <w:rFonts w:hint="eastAsia"/>
          <w:color w:val="auto"/>
          <w:highlight w:val="none"/>
          <w:shd w:val="clear" w:color="auto" w:fill="auto"/>
        </w:rPr>
        <w:t>股、管理关系的，不享受价格扣除优惠政策。</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3.3.4符合《关于促进残疾人就业政府采购政策的通知》（财库〔2017〕141号）规定的条件并提供《残疾人福利性单位声明函》（附件1）的残疾人福利性单位视同小型、微型企业；</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3.3.7中小企业享受扶持政策获得政府采购合同的，小微企业不得将合同分包给大中型企业，中型企业不得将合同分包给大型企业。</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3.4支持创新发展</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3.4.1 采购人优先采购被认定为首台套产品和“制造精品”的自主创新产品。</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3.4.2首台套产品被纳入《首台套产品推广应用指导目录》之日起</w:t>
      </w:r>
      <w:r>
        <w:rPr>
          <w:rFonts w:hint="eastAsia"/>
          <w:color w:val="auto"/>
          <w:highlight w:val="none"/>
          <w:shd w:val="clear" w:color="auto" w:fill="auto"/>
        </w:rPr>
        <w:t>3</w:t>
      </w:r>
      <w:r>
        <w:rPr>
          <w:color w:val="auto"/>
          <w:highlight w:val="none"/>
          <w:shd w:val="clear" w:color="auto" w:fill="auto"/>
        </w:rPr>
        <w:t>年内，以及产品核心技术高于国内领先水平，并具有明晰自主知识产权的“制造精品”产品，自认定之日起2年内视同已具备相应销售业绩，参加政府采购活动时业绩分值为满分。</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 </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4. 询问、质疑、投诉</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4.1供应商询问</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供应商对政府采购活动事项有疑问的，可以提出询问，采购人或者采购代理机构应当在</w:t>
      </w:r>
      <w:r>
        <w:rPr>
          <w:color w:val="auto"/>
          <w:highlight w:val="none"/>
          <w:shd w:val="clear" w:color="auto" w:fill="auto"/>
        </w:rPr>
        <w:t>3个工作日内对供应商依法提出的询问作出答复，但答复的内容不得涉及商业秘密。供应商提出的询问超出采购人对采购代理机构委托授权范围的，采购代理机构应当告知供应商向采购人提出。</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4.2供应商质疑</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4.2.1提出质疑的供应商应当是参与所质疑项目采购活动的供应商。潜在供应商已依法获取其可质疑的招标文件的，可以对该文件提出质疑。</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4.2.2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4.2.2.1对招标文件提出质疑的，质疑期限为供应商获得招标文件之日或者招标文件公告期限届满之日起计算。</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4.2.2.2对采购过程提出质疑的，质疑期限为各采购程序环节结束之日起计算。对同一采购程序环节的质疑，供应商须一次性提出。</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4.2.2.3对采购结果提出质疑的，质疑期限自采购结果公告期限届满之日起计算。</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4.2.3供应商提出质疑应当提交质疑函和必要的证明材料。质疑函应当包括下列内容：</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　　</w:t>
      </w:r>
      <w:r>
        <w:rPr>
          <w:color w:val="auto"/>
          <w:highlight w:val="none"/>
          <w:shd w:val="clear" w:color="auto" w:fill="auto"/>
        </w:rPr>
        <w:t>4.2.3.1供应商的姓名或者名称、地址、邮编、联系人及联系电话；</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　　</w:t>
      </w:r>
      <w:r>
        <w:rPr>
          <w:color w:val="auto"/>
          <w:highlight w:val="none"/>
          <w:shd w:val="clear" w:color="auto" w:fill="auto"/>
        </w:rPr>
        <w:t>4.2.3.2质疑项目的名称、编号；</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　　</w:t>
      </w:r>
      <w:r>
        <w:rPr>
          <w:color w:val="auto"/>
          <w:highlight w:val="none"/>
          <w:shd w:val="clear" w:color="auto" w:fill="auto"/>
        </w:rPr>
        <w:t>4.2.3.3具体、明确的质疑事项和与质疑事项相关的请求；</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　　</w:t>
      </w:r>
      <w:r>
        <w:rPr>
          <w:color w:val="auto"/>
          <w:highlight w:val="none"/>
          <w:shd w:val="clear" w:color="auto" w:fill="auto"/>
        </w:rPr>
        <w:t>4.2.3.4事实依据；</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　　</w:t>
      </w:r>
      <w:r>
        <w:rPr>
          <w:color w:val="auto"/>
          <w:highlight w:val="none"/>
          <w:shd w:val="clear" w:color="auto" w:fill="auto"/>
        </w:rPr>
        <w:t>4.2.3.5必要的法律依据；</w:t>
      </w:r>
    </w:p>
    <w:p>
      <w:pPr>
        <w:keepNext w:val="0"/>
        <w:keepLines w:val="0"/>
        <w:pageBreakBefore w:val="0"/>
        <w:widowControl/>
        <w:kinsoku/>
        <w:wordWrap/>
        <w:overflowPunct/>
        <w:topLinePunct w:val="0"/>
        <w:autoSpaceDE/>
        <w:autoSpaceDN/>
        <w:bidi w:val="0"/>
        <w:adjustRightInd/>
        <w:snapToGrid/>
        <w:spacing w:after="0" w:line="360" w:lineRule="auto"/>
        <w:ind w:firstLine="960" w:firstLineChars="400"/>
        <w:textAlignment w:val="auto"/>
        <w:rPr>
          <w:color w:val="auto"/>
          <w:highlight w:val="none"/>
          <w:shd w:val="clear" w:color="auto" w:fill="auto"/>
        </w:rPr>
      </w:pPr>
      <w:r>
        <w:rPr>
          <w:color w:val="auto"/>
          <w:highlight w:val="none"/>
          <w:shd w:val="clear" w:color="auto" w:fill="auto"/>
        </w:rPr>
        <w:t>4.2.3.6提出质疑的日期。</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供应商提交的质疑函需一式三份。供应商为自然人的，应当由本人签字；供应商为法人或者其他组织的，应当由法定代表人、主要负责人，或者其授权代表签字或者盖章，并加盖公章。</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质疑函范本及制作说明详见附件</w:t>
      </w:r>
      <w:r>
        <w:rPr>
          <w:color w:val="auto"/>
          <w:highlight w:val="none"/>
          <w:shd w:val="clear" w:color="auto" w:fill="auto"/>
        </w:rPr>
        <w:t>2。</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4.2.4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4.2.5询问或者质疑事项可能影响采购结果的，采购人应当暂停签订合同，已经签订合同的，应当中止履行合同。</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4.3供应商投诉</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4.3.1质疑供应商对采购人、采购机构的答复不满意或者采购人、采购机构未在规定的时间内作出答复的，可以在答复期满后十五个工作日内向同级政府采购监督管理部门提出投诉。</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4.3.2供应商投诉的事项不得超出已质疑事项的范围，基于质疑答复内容提出的投诉事项除外。</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4.3.3供应商投诉应当有明确的请求和必要的证明材料。</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4.3.</w:t>
      </w:r>
      <w:r>
        <w:rPr>
          <w:rFonts w:hint="eastAsia"/>
          <w:color w:val="auto"/>
          <w:highlight w:val="none"/>
          <w:shd w:val="clear" w:color="auto" w:fill="auto"/>
        </w:rPr>
        <w:t>4</w:t>
      </w:r>
      <w:r>
        <w:rPr>
          <w:color w:val="auto"/>
          <w:highlight w:val="none"/>
          <w:shd w:val="clear" w:color="auto" w:fill="auto"/>
        </w:rPr>
        <w:t xml:space="preserve"> 以联合体形式参加政府采购活动的，其投诉应当由组成联合体的所有供应商共同提出。</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投诉书范本及制作说明详见附件</w:t>
      </w:r>
      <w:r>
        <w:rPr>
          <w:color w:val="auto"/>
          <w:highlight w:val="none"/>
          <w:shd w:val="clear" w:color="auto" w:fill="auto"/>
        </w:rPr>
        <w:t>3。</w:t>
      </w:r>
    </w:p>
    <w:p>
      <w:pPr>
        <w:pStyle w:val="3"/>
        <w:rPr>
          <w:color w:val="auto"/>
          <w:highlight w:val="none"/>
          <w:shd w:val="clear" w:color="auto" w:fill="auto"/>
        </w:rPr>
      </w:pPr>
      <w:r>
        <w:rPr>
          <w:color w:val="auto"/>
          <w:highlight w:val="none"/>
          <w:shd w:val="clear" w:color="auto" w:fill="auto"/>
        </w:rPr>
        <w:t>二、招标文件的构成、澄清、修改</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5．招标文件的构成</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5.1 招标文件包括下列文件及附件：</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5.1.1招标公告；</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5.1.2投标人须知；</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5.1.3采购需求；</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5.1.4评标办法；</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5.1.5拟签订的合同文本；</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5.1.6应提交的有关格式范例。</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5.2与本项目有关的澄清或者修改的内容为招标文件的组成部分。</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6. 招标文件的澄清、修改</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6.1已获取招标文件的潜在投标人，若有问题需要澄清，应于投标截止时间前，以书面形式向采购机构提出。</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3"/>
        <w:rPr>
          <w:color w:val="auto"/>
          <w:highlight w:val="none"/>
          <w:shd w:val="clear" w:color="auto" w:fill="auto"/>
        </w:rPr>
      </w:pPr>
      <w:r>
        <w:rPr>
          <w:rFonts w:hint="eastAsia"/>
          <w:color w:val="auto"/>
          <w:highlight w:val="none"/>
          <w:shd w:val="clear" w:color="auto" w:fill="auto"/>
        </w:rPr>
        <w:t>三、投标</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7. 招标文件的获取</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详见招标公告中获取招标文件的时间期限、地点、方式及招标文件售价。</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8.开标前答疑会或现场考察</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采购人组织潜在投标人现场考察或者召开开标前答疑会的，潜在投标人按第二部分投标人须知前附表的规定参加现场考察或者开标前答疑会。</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9.投标保证金</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本项目不需缴纳投标保证金。</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10. 投标文件的语言</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投标文件及投标人与采购有关的来往通知、函件和文件均应使用中文。</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11. 投标文件的组成</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11.1资格文件：</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11.1.1符合参加政府采购活动应当具备的一般条件的承诺函；</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11.1.2落实政府采购政策需满足的资格要求；</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11.1.3本项目的特定资格要求。</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11.2  商务技术文件：</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11.2.1投标函； </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11.2.2授权委托书或法定代表人（单位负责人、自然人本人）身份证明；</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11.2.3联合协议；</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11.2.4分包意向协议；</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11.2.5符合性审查资料；</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11.2.6评标标准相应的商务技术资料；</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11.2.7投标标的清单；</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11.2.8商务技术偏离表；</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11.2.9政府采购供应商廉洁自律承诺书；</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11.3报价文件： </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11.3.1开标一览表（报价表）；</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11.3.2中小企业声明函。</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投标文件含有采购人不能接受的附加条件的，投标无效；</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投标人提供虚假材料投标的，投标无效。</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12. 投标文件的编制</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12.2投标人进行电子投标应安装客户端软件—“</w:t>
      </w:r>
      <w:r>
        <w:rPr>
          <w:rFonts w:hint="eastAsia"/>
          <w:color w:val="auto"/>
          <w:highlight w:val="none"/>
          <w:shd w:val="clear" w:color="auto" w:fill="auto"/>
          <w:lang w:eastAsia="zh-CN"/>
        </w:rPr>
        <w:t>乐采云（萧采云）</w:t>
      </w:r>
      <w:r>
        <w:rPr>
          <w:color w:val="auto"/>
          <w:highlight w:val="none"/>
          <w:shd w:val="clear" w:color="auto" w:fill="auto"/>
        </w:rPr>
        <w:t>电子交易客户端”，并按照招标文件和电子交易平台的要求编制并加密投标文件。投标人未按规定加密的投标文件，电子交易平台将拒收并提示。</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12.3使用“</w:t>
      </w:r>
      <w:r>
        <w:rPr>
          <w:rFonts w:hint="eastAsia"/>
          <w:color w:val="auto"/>
          <w:highlight w:val="none"/>
          <w:shd w:val="clear" w:color="auto" w:fill="auto"/>
          <w:lang w:eastAsia="zh-CN"/>
        </w:rPr>
        <w:t>乐采云（萧采云）</w:t>
      </w:r>
      <w:r>
        <w:rPr>
          <w:color w:val="auto"/>
          <w:highlight w:val="none"/>
          <w:shd w:val="clear" w:color="auto" w:fill="auto"/>
        </w:rPr>
        <w:t>电子交易客户端”需要提前申领CA数字证书，申领流程请自行前往“浙江政府采购网-下载专区-电子交易客户端-CA驱动和申领流程”进行查阅。</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13.投标文件的签署、盖章</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13.1投标文件按照招标文件第六部分格式要求进行签署、盖章。▲投标人的投标文件未按照招标文件要求签署、盖章的，其投标无效。</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13.2为确保网上操作合法、有效和安全，投标人应当在投标截止时间前完成在“政府采购云平台”的身份认证，确保在电子投标过程中能够对相关数据电文进行加密和使用电子签名。</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13.3招标文件对投标文件签署、盖章的要求适用于电子签名。</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14. 投标文件的提交、补充、修改、撤回</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14.2电子交易平台收到投标文件，将妥善保存并即时向供应商发出确认回执通知。在投标截止时间前，除供应商补充、修改或者撤回投标文件外，任何单位和个人不得解密或提取投标文件。</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14.3采购人、采购机构可以视情况延长投标文件提交的截止时间。在上述情况下，采购机构与投标人以前在投标截止期方面的全部权利、责任和义务，将适用于延长至新的投标截止期。</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15.备份投标文件</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 15.1投标人在电子交易平台传输递交投标文件后，还可以在投标截止时间前直接提交或者以邮政快递方式递交备份投标文件1份，但采购人、采购机构不强制或变相强制投标人提交备份投标文件。</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15.2备份投标文件须在“</w:t>
      </w:r>
      <w:r>
        <w:rPr>
          <w:rFonts w:hint="eastAsia"/>
          <w:color w:val="auto"/>
          <w:highlight w:val="none"/>
          <w:shd w:val="clear" w:color="auto" w:fill="auto"/>
          <w:lang w:eastAsia="zh-CN"/>
        </w:rPr>
        <w:t>乐采云（萧采云）</w:t>
      </w:r>
      <w:r>
        <w:rPr>
          <w:color w:val="auto"/>
          <w:highlight w:val="none"/>
          <w:shd w:val="clear" w:color="auto" w:fill="auto"/>
        </w:rPr>
        <w:t>投标客户端”制作生成，并储存在DVD光盘中。备份投标文件应当密封包装并在包装上加盖公章并注明投标项目名称，投标人名称(联合体投标的，包装物封面需注明联合体投标，并注明联合体成员各方的名称和联合协议中约定的牵头人的名称)。不符合上述制作、存储、密封规定的备份投标文件将被视为无效或者被拒绝接收。</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15.3直接提交备份投标文件的，投标人应于投标截止时间前在招标公告中载明的开标地点将备份投标文件提交给采购机构，采购机构将拒绝接受逾期送达的备份投标文件。</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15.5投标人仅提交备份投标文件，未在电子交易平台传输递交投标文件的，投标无效。</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16.投标文件的无效处理</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有招标文件第四部分</w:t>
      </w:r>
      <w:r>
        <w:rPr>
          <w:color w:val="auto"/>
          <w:highlight w:val="none"/>
          <w:shd w:val="clear" w:color="auto" w:fill="auto"/>
        </w:rPr>
        <w:t>4.2规定的情形之一的，投标无效：</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17.投标有效期</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17.1投标有效期为从提交投标文件的截止之日起90天。▲投标人的投标文件中承诺的投标有效期少于招标文件中载明的投标有效期的，投标无效。</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17.2投标文件合格投递后，自投标截止日期起，在投标有效期内有效。</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17.3在原定投标有效期满之前，如果出现特殊情况，采购机构可以以书面形式通知投标人延长投标有效期。投标人同意延长的，不得要求或被允许修改其投标文件，投标人拒绝延长的，其投标无效。</w:t>
      </w:r>
    </w:p>
    <w:p>
      <w:pPr>
        <w:pStyle w:val="3"/>
        <w:rPr>
          <w:color w:val="auto"/>
          <w:highlight w:val="none"/>
          <w:shd w:val="clear" w:color="auto" w:fill="auto"/>
        </w:rPr>
      </w:pPr>
      <w:r>
        <w:rPr>
          <w:rFonts w:hint="eastAsia"/>
          <w:color w:val="auto"/>
          <w:highlight w:val="none"/>
          <w:shd w:val="clear" w:color="auto" w:fill="auto"/>
        </w:rPr>
        <w:t>四、开标、资格审查与信用信息查询</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 xml:space="preserve">18.开标 </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18.1采购机构按照招标文件规定的时间通过电子交易平台组织开标，所有投标人均应当准时在线参加。投标人不足3家的，不得开标。</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　</w:t>
      </w:r>
      <w:r>
        <w:rPr>
          <w:color w:val="auto"/>
          <w:highlight w:val="none"/>
          <w:shd w:val="clear" w:color="auto" w:fill="auto"/>
        </w:rPr>
        <w:t>18.2开标时，电子交易平台按开标时间自动提取所有投标文件。采购机构依托电子交易平台发起开始解密指令，投标人按照平台提示和招标文件的规定在半小时内完成在线解密。</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　</w:t>
      </w:r>
      <w:r>
        <w:rPr>
          <w:color w:val="auto"/>
          <w:highlight w:val="none"/>
          <w:shd w:val="clear" w:color="auto" w:fill="auto"/>
        </w:rPr>
        <w:t>18.3投标文件未按时解密，投标人提供了备份投标文件的，以备份投标文件作为依据，否则视为投标文件撤回。投标文件已按时解密的，备份投标文件自动失效。</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19、资格审查</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19.1开标后，采购人或采购机构将依法对投标人的资格进行审查。</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19.2采购人或采购机构依据法律法规和招标文件的规定，对投标人的基本资格条件、特定资格条件进行审查。</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19.3投标人未按照招标文件要求提供与基本资格条件、特定资格条件相应的有效资格证明材料的，视为投标人不具备招标文件中规定的资格要求，其投标无效。</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19.4对未通过资格审查的投标人，采购人或采购机构告知其未通过的原因。</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19.5合格投标人不足3家的，不再评标。</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20、信用信息查询</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20.1信用信息查询渠道及截止时间：采购机构将通过“信用中国”网站(www.creditchina.gov.cn)、中国政府采购网(www.ccgp.gov.cn)渠道查询投标人投标截止时间当天的信用记录。</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20.2信用信息查询记录和证据留存的具体方式：现场查询的投标人的信用记录、查询结果经确认后将与采购文件一起存档。</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20.3信用信息的使用规则：经查询列入失信被执行人名单、重大税收违法案件当事人名单（税收违法黑名单）、政府采购严重违法失信行为记录名单的投标人将被拒绝参与政府采购活动。</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3"/>
        <w:rPr>
          <w:color w:val="auto"/>
          <w:highlight w:val="none"/>
          <w:shd w:val="clear" w:color="auto" w:fill="auto"/>
        </w:rPr>
      </w:pPr>
      <w:r>
        <w:rPr>
          <w:rFonts w:hint="eastAsia"/>
          <w:color w:val="auto"/>
          <w:highlight w:val="none"/>
          <w:shd w:val="clear" w:color="auto" w:fill="auto"/>
        </w:rPr>
        <w:t>五、评标</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21. 评标</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详见招标文件第四部分评标办法。</w:t>
      </w:r>
    </w:p>
    <w:p>
      <w:pPr>
        <w:pStyle w:val="3"/>
        <w:rPr>
          <w:color w:val="auto"/>
          <w:highlight w:val="none"/>
          <w:shd w:val="clear" w:color="auto" w:fill="auto"/>
        </w:rPr>
      </w:pPr>
      <w:r>
        <w:rPr>
          <w:rFonts w:hint="eastAsia"/>
          <w:color w:val="auto"/>
          <w:highlight w:val="none"/>
          <w:shd w:val="clear" w:color="auto" w:fill="auto"/>
        </w:rPr>
        <w:t>六、定</w:t>
      </w:r>
      <w:r>
        <w:rPr>
          <w:color w:val="auto"/>
          <w:highlight w:val="none"/>
          <w:shd w:val="clear" w:color="auto" w:fill="auto"/>
        </w:rPr>
        <w:t xml:space="preserve"> 标</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22. 确定中标供应商</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采购人将自收到评审报告之日起</w:t>
      </w:r>
      <w:r>
        <w:rPr>
          <w:color w:val="auto"/>
          <w:highlight w:val="none"/>
          <w:shd w:val="clear" w:color="auto" w:fill="auto"/>
        </w:rPr>
        <w:t>5个工作日内通过电子交易平台在评审报告推荐的中标候选人中按顺序确定中标供应商。</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23. 中标通知与中标结果公告</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23.1自中标人确定之日起2个工作日内，采购机构通过电子交易平台向中标人发出中标通知书，同时编制发布采购结果公告。采购机构也可以以纸质形式进行中标通知。</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23.3公告期限为1个工作日。</w:t>
      </w:r>
    </w:p>
    <w:p>
      <w:pPr>
        <w:pStyle w:val="3"/>
        <w:rPr>
          <w:color w:val="auto"/>
          <w:highlight w:val="none"/>
          <w:shd w:val="clear" w:color="auto" w:fill="auto"/>
        </w:rPr>
      </w:pPr>
      <w:r>
        <w:rPr>
          <w:rFonts w:hint="eastAsia"/>
          <w:color w:val="auto"/>
          <w:highlight w:val="none"/>
          <w:shd w:val="clear" w:color="auto" w:fill="auto"/>
        </w:rPr>
        <w:t>七、合同授予</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24. 合同主要条款详见第五部分拟签订的合同文本。</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25. 合同的签订</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25.1 采购人与中标人应当通过电子交易平台在中标通知书发出之日起三十日内，按照招标文件确定的事项签订政府采购合同，并在合同签订之日起2个工作日内依法发布合同公告。</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25.2中标人按规定的日期、时间、地点，由法定代表人或其授权代表与采购人代表签订合同。如中标人为联合体的，由联合体成员各方法定代表人或其授权代表与采购人代表签订合同。</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25.3如签订合同并生效后，供应商无故拒绝或延期，除按照合同条款处理外，列入不良行为记录一次，并给予通报。</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25.4中标供应商拒绝与采购人签订合同的，采购人可以按照评审报告推荐的中标或者成交候选人名单排序，确定下一候选人为中标供应商，也可以重新开展政府采购活动。</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25.5采购合同由采购人与中标供应商根据招标文件、投标文件等内容通过政府采购电子交易平台在线签订，自动备案。</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26. 履约保证金</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拟签订的合同文本要求中标供应商提交履约保证金的，供应商应当以支票、汇票、本票或者金融机构、担保机构出具的保函等非现金形式提交。履约保证金的数额不得超过政府采购合同金额的1</w:t>
      </w:r>
      <w:r>
        <w:rPr>
          <w:color w:val="auto"/>
          <w:highlight w:val="none"/>
          <w:shd w:val="clear" w:color="auto" w:fill="auto"/>
        </w:rPr>
        <w:t>%。鼓励和支持供应商以银行、保险公司出具的保函形式提供履约保证金。采购人不得拒收履约保函，项目验收结束后应及时退还。</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政府采购货物和服务项目中，采购单位可根据杭州市政府采购网公布的供应商履约评价情况减免履约保证金。供应商履约验收评价总分为</w:t>
      </w:r>
      <w:r>
        <w:rPr>
          <w:color w:val="auto"/>
          <w:highlight w:val="none"/>
          <w:shd w:val="clear" w:color="auto" w:fill="auto"/>
        </w:rPr>
        <w:t>100分的，采购单位应当免收履约保证金；</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b/>
          <w:smallCaps/>
          <w:color w:val="auto"/>
          <w:sz w:val="28"/>
          <w:szCs w:val="28"/>
          <w:highlight w:val="none"/>
          <w:shd w:val="clear" w:color="auto" w:fill="auto"/>
        </w:rPr>
      </w:pPr>
      <w:r>
        <w:rPr>
          <w:rFonts w:hint="eastAsia"/>
          <w:color w:val="auto"/>
          <w:highlight w:val="none"/>
          <w:shd w:val="clear" w:color="auto" w:fill="auto"/>
        </w:rPr>
        <w:t>供应商可登录</w:t>
      </w:r>
      <w:r>
        <w:rPr>
          <w:rFonts w:hint="eastAsia"/>
          <w:color w:val="auto"/>
          <w:highlight w:val="none"/>
          <w:shd w:val="clear" w:color="auto" w:fill="auto"/>
          <w:lang w:eastAsia="zh-CN"/>
        </w:rPr>
        <w:t>乐采云（萧采云）</w:t>
      </w:r>
      <w:r>
        <w:rPr>
          <w:rFonts w:hint="eastAsia"/>
          <w:color w:val="auto"/>
          <w:highlight w:val="none"/>
          <w:shd w:val="clear" w:color="auto" w:fill="auto"/>
        </w:rPr>
        <w:t>平台</w:t>
      </w:r>
      <w:r>
        <w:rPr>
          <w:color w:val="auto"/>
          <w:highlight w:val="none"/>
          <w:shd w:val="clear" w:color="auto" w:fill="auto"/>
        </w:rPr>
        <w:t>-【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w:t>
      </w:r>
      <w:r>
        <w:rPr>
          <w:rFonts w:hint="eastAsia"/>
          <w:color w:val="auto"/>
          <w:highlight w:val="none"/>
          <w:shd w:val="clear" w:color="auto" w:fill="auto"/>
          <w:lang w:eastAsia="zh-CN"/>
        </w:rPr>
        <w:t>乐采云（萧采云）</w:t>
      </w:r>
      <w:r>
        <w:rPr>
          <w:color w:val="auto"/>
          <w:highlight w:val="none"/>
          <w:shd w:val="clear" w:color="auto" w:fill="auto"/>
        </w:rPr>
        <w:t>金融专线400-903-9583。</w:t>
      </w:r>
    </w:p>
    <w:p>
      <w:pPr>
        <w:pStyle w:val="3"/>
        <w:rPr>
          <w:color w:val="auto"/>
          <w:highlight w:val="none"/>
          <w:shd w:val="clear" w:color="auto" w:fill="auto"/>
        </w:rPr>
      </w:pPr>
      <w:r>
        <w:rPr>
          <w:rFonts w:hint="eastAsia"/>
          <w:color w:val="auto"/>
          <w:highlight w:val="none"/>
          <w:shd w:val="clear" w:color="auto" w:fill="auto"/>
        </w:rPr>
        <w:t>八、电子交易活动的中止</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27. 电子交易活动的中止。</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采购过程中出现以下情形，导致电子交易平台无法正常运行，或者无法保证电子交易的公平、公正和安全时，采购机构可中止电子交易活动：</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27.1电子交易平台发生故障而无法登录访问的； </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27.2电子交易平台应用或数据库出现错误，不能进行正常操作的；</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27.3电子交易平台发现严重安全漏洞，有潜在泄密危险的；</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27.4病毒发作导致不能进行正常操作的； </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27.5其他无法保证电子交易的公平、公正和安全的情况。</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pStyle w:val="3"/>
        <w:rPr>
          <w:color w:val="auto"/>
          <w:highlight w:val="none"/>
          <w:shd w:val="clear" w:color="auto" w:fill="auto"/>
        </w:rPr>
      </w:pPr>
      <w:r>
        <w:rPr>
          <w:rFonts w:hint="eastAsia"/>
          <w:color w:val="auto"/>
          <w:highlight w:val="none"/>
          <w:shd w:val="clear" w:color="auto" w:fill="auto"/>
        </w:rPr>
        <w:t>九、验收</w:t>
      </w:r>
    </w:p>
    <w:p>
      <w:pPr>
        <w:pStyle w:val="4"/>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color w:val="auto"/>
          <w:highlight w:val="none"/>
          <w:shd w:val="clear" w:color="auto" w:fill="auto"/>
        </w:rPr>
      </w:pPr>
      <w:r>
        <w:rPr>
          <w:color w:val="auto"/>
          <w:highlight w:val="none"/>
          <w:shd w:val="clear" w:color="auto" w:fill="auto"/>
        </w:rPr>
        <w:t>29.验收</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29.1采购人应当组织对供应商履约的验收。验收采用采购人自行组织验收和专门机构验收两种形式，具体按照萧政办发[2014]217号文件执行。验收方成员应当在验收书上签字，并承担相应的法律责任。使用区级财政性资金采购且单项合同金额在20万元（含）以上的或使用镇（街道平台）财政性资金采购且合同金额在50万元（含）以上的货物类政府采购项目的验收，按萧市监【2015】127号、萧市监【2019】16号等相关文件执行（如项目发布之时已有新文件，按照最新文件执行）。存在隐蔽工程的项目，采购单位及供应商应在货物到货并将实施</w:t>
      </w:r>
      <w:r>
        <w:rPr>
          <w:rFonts w:hint="eastAsia"/>
          <w:color w:val="auto"/>
          <w:highlight w:val="none"/>
          <w:shd w:val="clear" w:color="auto" w:fill="auto"/>
        </w:rPr>
        <w:t>安装前，申请进行初验收。</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联系电话</w:t>
      </w:r>
      <w:r>
        <w:rPr>
          <w:color w:val="auto"/>
          <w:highlight w:val="none"/>
          <w:shd w:val="clear" w:color="auto" w:fill="auto"/>
        </w:rPr>
        <w:t>: 0571-83587785/0571-82816012  联系地址: 萧山区通惠北路2-1号302室</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29.2采购人组织对供应商履约的验收。除29.1情形外，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spacing w:line="276" w:lineRule="auto"/>
        <w:rPr>
          <w:color w:val="auto"/>
          <w:highlight w:val="none"/>
          <w:shd w:val="clear" w:color="auto" w:fill="auto"/>
        </w:rPr>
      </w:pPr>
      <w:r>
        <w:rPr>
          <w:color w:val="auto"/>
          <w:highlight w:val="none"/>
          <w:shd w:val="clear" w:color="auto" w:fill="auto"/>
        </w:rPr>
        <w:br w:type="page"/>
      </w:r>
    </w:p>
    <w:p>
      <w:pPr>
        <w:pStyle w:val="2"/>
        <w:rPr>
          <w:color w:val="auto"/>
          <w:highlight w:val="none"/>
          <w:shd w:val="clear" w:color="auto" w:fill="auto"/>
        </w:rPr>
      </w:pPr>
      <w:r>
        <w:rPr>
          <w:rFonts w:hint="eastAsia"/>
          <w:color w:val="auto"/>
          <w:highlight w:val="none"/>
          <w:shd w:val="clear" w:color="auto" w:fill="auto"/>
        </w:rPr>
        <w:t>第三部分</w:t>
      </w:r>
      <w:r>
        <w:rPr>
          <w:color w:val="auto"/>
          <w:highlight w:val="none"/>
          <w:shd w:val="clear" w:color="auto" w:fill="auto"/>
        </w:rPr>
        <w:t xml:space="preserve">   </w:t>
      </w:r>
      <w:r>
        <w:rPr>
          <w:rFonts w:hint="eastAsia"/>
          <w:color w:val="auto"/>
          <w:highlight w:val="none"/>
          <w:shd w:val="clear" w:color="auto" w:fill="auto"/>
        </w:rPr>
        <w:t>采购需求</w:t>
      </w:r>
    </w:p>
    <w:p>
      <w:pPr>
        <w:snapToGrid w:val="0"/>
        <w:rPr>
          <w:rStyle w:val="55"/>
          <w:i w:val="0"/>
          <w:iCs w:val="0"/>
          <w:color w:val="auto"/>
          <w:highlight w:val="none"/>
          <w:shd w:val="clear" w:color="auto" w:fill="auto"/>
        </w:rPr>
      </w:pPr>
      <w:r>
        <w:rPr>
          <w:rStyle w:val="55"/>
          <w:rFonts w:hint="eastAsia"/>
          <w:i w:val="0"/>
          <w:iCs w:val="0"/>
          <w:color w:val="auto"/>
          <w:highlight w:val="none"/>
          <w:shd w:val="clear" w:color="auto" w:fill="auto"/>
        </w:rPr>
        <w:t>属于实质性要求条款的，请用符号“▲”标明，否则属于非实质性要求。</w:t>
      </w:r>
    </w:p>
    <w:p>
      <w:pPr>
        <w:snapToGrid w:val="0"/>
        <w:rPr>
          <w:rStyle w:val="55"/>
          <w:i w:val="0"/>
          <w:iCs w:val="0"/>
          <w:color w:val="auto"/>
          <w:highlight w:val="none"/>
          <w:shd w:val="clear" w:color="auto" w:fill="auto"/>
        </w:rPr>
      </w:pPr>
      <w:r>
        <w:rPr>
          <w:rStyle w:val="55"/>
          <w:rFonts w:hint="eastAsia"/>
          <w:i w:val="0"/>
          <w:iCs w:val="0"/>
          <w:color w:val="auto"/>
          <w:highlight w:val="none"/>
          <w:shd w:val="clear" w:color="auto" w:fill="auto"/>
        </w:rPr>
        <w:t>“★”系产品采购项目中单一产品或核心产品。</w:t>
      </w:r>
    </w:p>
    <w:p>
      <w:pPr>
        <w:pStyle w:val="3"/>
        <w:numPr>
          <w:ilvl w:val="0"/>
          <w:numId w:val="1"/>
        </w:numPr>
        <w:rPr>
          <w:color w:val="auto"/>
          <w:highlight w:val="none"/>
          <w:shd w:val="clear" w:color="auto" w:fill="auto"/>
        </w:rPr>
      </w:pPr>
      <w:r>
        <w:rPr>
          <w:color w:val="auto"/>
          <w:highlight w:val="none"/>
          <w:shd w:val="clear" w:color="auto" w:fill="auto"/>
        </w:rPr>
        <w:t>招标一览表</w:t>
      </w:r>
    </w:p>
    <w:p>
      <w:pPr>
        <w:pStyle w:val="5"/>
        <w:rPr>
          <w:color w:val="auto"/>
          <w:highlight w:val="none"/>
          <w:shd w:val="clear" w:color="auto" w:fill="auto"/>
        </w:rPr>
      </w:pPr>
      <w:r>
        <w:rPr>
          <w:rFonts w:hint="eastAsia"/>
          <w:color w:val="auto"/>
          <w:highlight w:val="none"/>
          <w:shd w:val="clear" w:color="auto" w:fill="auto"/>
        </w:rPr>
        <w:t>标项一：</w:t>
      </w:r>
    </w:p>
    <w:tbl>
      <w:tblPr>
        <w:tblStyle w:val="30"/>
        <w:tblW w:w="94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04"/>
        <w:gridCol w:w="3523"/>
        <w:gridCol w:w="2004"/>
        <w:gridCol w:w="858"/>
        <w:gridCol w:w="859"/>
        <w:gridCol w:w="15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12" w:hRule="atLeast"/>
          <w:jc w:val="center"/>
        </w:trPr>
        <w:tc>
          <w:tcPr>
            <w:tcW w:w="704" w:type="dxa"/>
            <w:tcMar>
              <w:top w:w="15" w:type="dxa"/>
              <w:left w:w="15" w:type="dxa"/>
              <w:bottom w:w="0" w:type="dxa"/>
              <w:right w:w="15" w:type="dxa"/>
            </w:tcMar>
            <w:vAlign w:val="bottom"/>
          </w:tcPr>
          <w:p>
            <w:pPr>
              <w:spacing w:line="360" w:lineRule="auto"/>
              <w:jc w:val="center"/>
              <w:rPr>
                <w:rFonts w:cs="仿宋"/>
                <w:b/>
                <w:color w:val="auto"/>
                <w:position w:val="-6"/>
                <w:highlight w:val="none"/>
                <w:shd w:val="clear" w:color="auto" w:fill="auto"/>
              </w:rPr>
            </w:pPr>
            <w:r>
              <w:rPr>
                <w:rFonts w:hint="eastAsia" w:cs="仿宋"/>
                <w:b/>
                <w:color w:val="auto"/>
                <w:position w:val="-6"/>
                <w:highlight w:val="none"/>
                <w:shd w:val="clear" w:color="auto" w:fill="auto"/>
              </w:rPr>
              <w:t>标项</w:t>
            </w:r>
          </w:p>
        </w:tc>
        <w:tc>
          <w:tcPr>
            <w:tcW w:w="3523" w:type="dxa"/>
            <w:tcMar>
              <w:top w:w="15" w:type="dxa"/>
              <w:left w:w="15" w:type="dxa"/>
              <w:bottom w:w="0" w:type="dxa"/>
              <w:right w:w="15" w:type="dxa"/>
            </w:tcMar>
            <w:vAlign w:val="bottom"/>
          </w:tcPr>
          <w:p>
            <w:pPr>
              <w:spacing w:line="360" w:lineRule="auto"/>
              <w:jc w:val="center"/>
              <w:rPr>
                <w:rFonts w:cs="仿宋"/>
                <w:b/>
                <w:color w:val="auto"/>
                <w:position w:val="-6"/>
                <w:highlight w:val="none"/>
                <w:shd w:val="clear" w:color="auto" w:fill="auto"/>
              </w:rPr>
            </w:pPr>
            <w:r>
              <w:rPr>
                <w:rFonts w:hint="eastAsia" w:cs="仿宋"/>
                <w:b/>
                <w:color w:val="auto"/>
                <w:position w:val="-6"/>
                <w:highlight w:val="none"/>
                <w:shd w:val="clear" w:color="auto" w:fill="auto"/>
              </w:rPr>
              <w:t>名称</w:t>
            </w:r>
          </w:p>
        </w:tc>
        <w:tc>
          <w:tcPr>
            <w:tcW w:w="2004" w:type="dxa"/>
            <w:tcMar>
              <w:top w:w="15" w:type="dxa"/>
              <w:left w:w="15" w:type="dxa"/>
              <w:bottom w:w="0" w:type="dxa"/>
              <w:right w:w="15" w:type="dxa"/>
            </w:tcMar>
            <w:vAlign w:val="bottom"/>
          </w:tcPr>
          <w:p>
            <w:pPr>
              <w:spacing w:line="360" w:lineRule="auto"/>
              <w:jc w:val="center"/>
              <w:rPr>
                <w:rFonts w:cs="仿宋"/>
                <w:b/>
                <w:color w:val="auto"/>
                <w:position w:val="-6"/>
                <w:highlight w:val="none"/>
                <w:shd w:val="clear" w:color="auto" w:fill="auto"/>
              </w:rPr>
            </w:pPr>
            <w:r>
              <w:rPr>
                <w:rFonts w:hint="eastAsia" w:cs="仿宋"/>
                <w:b/>
                <w:color w:val="auto"/>
                <w:position w:val="-6"/>
                <w:highlight w:val="none"/>
                <w:shd w:val="clear" w:color="auto" w:fill="auto"/>
              </w:rPr>
              <w:t>规格型号与参数</w:t>
            </w:r>
          </w:p>
        </w:tc>
        <w:tc>
          <w:tcPr>
            <w:tcW w:w="858" w:type="dxa"/>
            <w:tcMar>
              <w:top w:w="15" w:type="dxa"/>
              <w:left w:w="15" w:type="dxa"/>
              <w:bottom w:w="0" w:type="dxa"/>
              <w:right w:w="15" w:type="dxa"/>
            </w:tcMar>
            <w:vAlign w:val="bottom"/>
          </w:tcPr>
          <w:p>
            <w:pPr>
              <w:spacing w:line="360" w:lineRule="auto"/>
              <w:jc w:val="center"/>
              <w:rPr>
                <w:rFonts w:cs="仿宋"/>
                <w:b/>
                <w:color w:val="auto"/>
                <w:position w:val="-6"/>
                <w:highlight w:val="none"/>
                <w:shd w:val="clear" w:color="auto" w:fill="auto"/>
              </w:rPr>
            </w:pPr>
            <w:r>
              <w:rPr>
                <w:rFonts w:hint="eastAsia" w:cs="仿宋"/>
                <w:b/>
                <w:color w:val="auto"/>
                <w:position w:val="-6"/>
                <w:highlight w:val="none"/>
                <w:shd w:val="clear" w:color="auto" w:fill="auto"/>
              </w:rPr>
              <w:t>单位</w:t>
            </w:r>
          </w:p>
        </w:tc>
        <w:tc>
          <w:tcPr>
            <w:tcW w:w="859" w:type="dxa"/>
            <w:tcMar>
              <w:top w:w="15" w:type="dxa"/>
              <w:left w:w="15" w:type="dxa"/>
              <w:bottom w:w="0" w:type="dxa"/>
              <w:right w:w="15" w:type="dxa"/>
            </w:tcMar>
            <w:vAlign w:val="bottom"/>
          </w:tcPr>
          <w:p>
            <w:pPr>
              <w:spacing w:line="360" w:lineRule="auto"/>
              <w:jc w:val="center"/>
              <w:rPr>
                <w:rFonts w:cs="仿宋"/>
                <w:b/>
                <w:color w:val="auto"/>
                <w:position w:val="-6"/>
                <w:highlight w:val="none"/>
                <w:shd w:val="clear" w:color="auto" w:fill="auto"/>
              </w:rPr>
            </w:pPr>
            <w:r>
              <w:rPr>
                <w:rFonts w:hint="eastAsia" w:cs="仿宋"/>
                <w:b/>
                <w:color w:val="auto"/>
                <w:position w:val="-6"/>
                <w:highlight w:val="none"/>
                <w:shd w:val="clear" w:color="auto" w:fill="auto"/>
              </w:rPr>
              <w:t>数量</w:t>
            </w:r>
          </w:p>
        </w:tc>
        <w:tc>
          <w:tcPr>
            <w:tcW w:w="1541" w:type="dxa"/>
            <w:vAlign w:val="bottom"/>
          </w:tcPr>
          <w:p>
            <w:pPr>
              <w:spacing w:line="360" w:lineRule="auto"/>
              <w:jc w:val="center"/>
              <w:rPr>
                <w:rFonts w:cs="仿宋"/>
                <w:b/>
                <w:color w:val="auto"/>
                <w:position w:val="-6"/>
                <w:highlight w:val="none"/>
                <w:shd w:val="clear" w:color="auto" w:fill="auto"/>
              </w:rPr>
            </w:pPr>
            <w:r>
              <w:rPr>
                <w:rFonts w:hint="eastAsia" w:cs="仿宋"/>
                <w:b/>
                <w:color w:val="auto"/>
                <w:position w:val="-6"/>
                <w:highlight w:val="none"/>
                <w:shd w:val="clear" w:color="auto" w:fill="auto"/>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70" w:hRule="atLeast"/>
          <w:jc w:val="center"/>
        </w:trPr>
        <w:tc>
          <w:tcPr>
            <w:tcW w:w="704" w:type="dxa"/>
            <w:tcMar>
              <w:top w:w="15" w:type="dxa"/>
              <w:left w:w="15" w:type="dxa"/>
              <w:bottom w:w="0" w:type="dxa"/>
              <w:right w:w="15" w:type="dxa"/>
            </w:tcMar>
            <w:vAlign w:val="center"/>
          </w:tcPr>
          <w:p>
            <w:pPr>
              <w:keepNext w:val="0"/>
              <w:keepLines w:val="0"/>
              <w:pageBreakBefore w:val="0"/>
              <w:widowControl/>
              <w:kinsoku/>
              <w:wordWrap/>
              <w:overflowPunct/>
              <w:topLinePunct w:val="0"/>
              <w:autoSpaceDE/>
              <w:autoSpaceDN/>
              <w:bidi w:val="0"/>
              <w:adjustRightInd/>
              <w:snapToGrid/>
              <w:spacing w:after="0" w:line="360" w:lineRule="auto"/>
              <w:jc w:val="center"/>
              <w:textAlignment w:val="auto"/>
              <w:rPr>
                <w:rFonts w:cs="仿宋"/>
                <w:color w:val="auto"/>
                <w:highlight w:val="none"/>
                <w:shd w:val="clear" w:color="auto" w:fill="auto"/>
              </w:rPr>
            </w:pPr>
            <w:r>
              <w:rPr>
                <w:rFonts w:hint="eastAsia" w:cs="仿宋"/>
                <w:color w:val="auto"/>
                <w:highlight w:val="none"/>
                <w:shd w:val="clear" w:color="auto" w:fill="auto"/>
              </w:rPr>
              <w:t>1</w:t>
            </w:r>
          </w:p>
        </w:tc>
        <w:tc>
          <w:tcPr>
            <w:tcW w:w="3523" w:type="dxa"/>
            <w:tcMar>
              <w:top w:w="15" w:type="dxa"/>
              <w:left w:w="15" w:type="dxa"/>
              <w:bottom w:w="0" w:type="dxa"/>
              <w:right w:w="15" w:type="dxa"/>
            </w:tcMar>
            <w:vAlign w:val="center"/>
          </w:tcPr>
          <w:p>
            <w:pPr>
              <w:keepNext w:val="0"/>
              <w:keepLines w:val="0"/>
              <w:pageBreakBefore w:val="0"/>
              <w:widowControl/>
              <w:kinsoku/>
              <w:wordWrap/>
              <w:overflowPunct/>
              <w:topLinePunct w:val="0"/>
              <w:autoSpaceDE/>
              <w:autoSpaceDN/>
              <w:bidi w:val="0"/>
              <w:adjustRightInd/>
              <w:snapToGrid/>
              <w:spacing w:after="0" w:line="360" w:lineRule="auto"/>
              <w:jc w:val="center"/>
              <w:textAlignment w:val="auto"/>
              <w:rPr>
                <w:rFonts w:cs="仿宋"/>
                <w:color w:val="auto"/>
                <w:position w:val="-6"/>
                <w:highlight w:val="none"/>
                <w:shd w:val="clear" w:color="auto" w:fill="auto"/>
              </w:rPr>
            </w:pPr>
            <w:r>
              <w:rPr>
                <w:rFonts w:hint="eastAsia" w:cs="仿宋"/>
                <w:color w:val="auto"/>
                <w:position w:val="-6"/>
                <w:highlight w:val="none"/>
                <w:shd w:val="clear" w:color="auto" w:fill="auto"/>
              </w:rPr>
              <w:t>杭州萧山江东水厂3.4MWp分布式光伏发电项目</w:t>
            </w:r>
          </w:p>
        </w:tc>
        <w:tc>
          <w:tcPr>
            <w:tcW w:w="2004" w:type="dxa"/>
            <w:tcMar>
              <w:top w:w="15" w:type="dxa"/>
              <w:left w:w="15" w:type="dxa"/>
              <w:bottom w:w="0" w:type="dxa"/>
              <w:right w:w="15" w:type="dxa"/>
            </w:tcMar>
            <w:vAlign w:val="center"/>
          </w:tcPr>
          <w:p>
            <w:pPr>
              <w:keepNext w:val="0"/>
              <w:keepLines w:val="0"/>
              <w:pageBreakBefore w:val="0"/>
              <w:widowControl/>
              <w:kinsoku/>
              <w:wordWrap/>
              <w:overflowPunct/>
              <w:topLinePunct w:val="0"/>
              <w:autoSpaceDE/>
              <w:autoSpaceDN/>
              <w:bidi w:val="0"/>
              <w:adjustRightInd/>
              <w:snapToGrid/>
              <w:spacing w:after="0" w:line="360" w:lineRule="auto"/>
              <w:jc w:val="center"/>
              <w:textAlignment w:val="auto"/>
              <w:rPr>
                <w:rFonts w:cs="仿宋"/>
                <w:b/>
                <w:color w:val="auto"/>
                <w:highlight w:val="none"/>
                <w:shd w:val="clear" w:color="auto" w:fill="auto"/>
              </w:rPr>
            </w:pPr>
            <w:r>
              <w:rPr>
                <w:rFonts w:hint="eastAsia" w:cs="仿宋"/>
                <w:color w:val="auto"/>
                <w:highlight w:val="none"/>
                <w:shd w:val="clear" w:color="auto" w:fill="auto"/>
              </w:rPr>
              <w:t>详见招标需求</w:t>
            </w:r>
          </w:p>
        </w:tc>
        <w:tc>
          <w:tcPr>
            <w:tcW w:w="858" w:type="dxa"/>
            <w:tcMar>
              <w:top w:w="15" w:type="dxa"/>
              <w:left w:w="15" w:type="dxa"/>
              <w:bottom w:w="0" w:type="dxa"/>
              <w:right w:w="15" w:type="dxa"/>
            </w:tcMar>
            <w:vAlign w:val="center"/>
          </w:tcPr>
          <w:p>
            <w:pPr>
              <w:keepNext w:val="0"/>
              <w:keepLines w:val="0"/>
              <w:pageBreakBefore w:val="0"/>
              <w:widowControl/>
              <w:kinsoku/>
              <w:wordWrap/>
              <w:overflowPunct/>
              <w:topLinePunct w:val="0"/>
              <w:autoSpaceDE/>
              <w:autoSpaceDN/>
              <w:bidi w:val="0"/>
              <w:adjustRightInd/>
              <w:snapToGrid/>
              <w:spacing w:after="0" w:line="360" w:lineRule="auto"/>
              <w:jc w:val="center"/>
              <w:textAlignment w:val="auto"/>
              <w:rPr>
                <w:rFonts w:cs="仿宋"/>
                <w:color w:val="auto"/>
                <w:highlight w:val="none"/>
                <w:shd w:val="clear" w:color="auto" w:fill="auto"/>
              </w:rPr>
            </w:pPr>
            <w:r>
              <w:rPr>
                <w:rFonts w:hint="eastAsia" w:cs="仿宋"/>
                <w:color w:val="auto"/>
                <w:highlight w:val="none"/>
                <w:shd w:val="clear" w:color="auto" w:fill="auto"/>
              </w:rPr>
              <w:t>1</w:t>
            </w:r>
          </w:p>
        </w:tc>
        <w:tc>
          <w:tcPr>
            <w:tcW w:w="859" w:type="dxa"/>
            <w:tcMar>
              <w:top w:w="15" w:type="dxa"/>
              <w:left w:w="15" w:type="dxa"/>
              <w:bottom w:w="0" w:type="dxa"/>
              <w:right w:w="15" w:type="dxa"/>
            </w:tcMar>
            <w:vAlign w:val="center"/>
          </w:tcPr>
          <w:p>
            <w:pPr>
              <w:keepNext w:val="0"/>
              <w:keepLines w:val="0"/>
              <w:pageBreakBefore w:val="0"/>
              <w:widowControl/>
              <w:kinsoku/>
              <w:wordWrap/>
              <w:overflowPunct/>
              <w:topLinePunct w:val="0"/>
              <w:autoSpaceDE/>
              <w:autoSpaceDN/>
              <w:bidi w:val="0"/>
              <w:adjustRightInd/>
              <w:snapToGrid/>
              <w:spacing w:after="0" w:line="360" w:lineRule="auto"/>
              <w:jc w:val="center"/>
              <w:textAlignment w:val="auto"/>
              <w:rPr>
                <w:rFonts w:cs="仿宋"/>
                <w:color w:val="auto"/>
                <w:highlight w:val="none"/>
                <w:shd w:val="clear" w:color="auto" w:fill="auto"/>
              </w:rPr>
            </w:pPr>
            <w:r>
              <w:rPr>
                <w:rFonts w:hint="eastAsia" w:cs="仿宋"/>
                <w:color w:val="auto"/>
                <w:highlight w:val="none"/>
                <w:shd w:val="clear" w:color="auto" w:fill="auto"/>
              </w:rPr>
              <w:t>项</w:t>
            </w:r>
          </w:p>
        </w:tc>
        <w:tc>
          <w:tcPr>
            <w:tcW w:w="1541" w:type="dxa"/>
            <w:vAlign w:val="center"/>
          </w:tcPr>
          <w:p>
            <w:pPr>
              <w:jc w:val="center"/>
              <w:rPr>
                <w:rFonts w:cs="仿宋"/>
                <w:color w:val="auto"/>
                <w:highlight w:val="none"/>
                <w:shd w:val="clear" w:color="auto" w:fill="auto"/>
              </w:rPr>
            </w:pPr>
          </w:p>
        </w:tc>
      </w:tr>
    </w:tbl>
    <w:p>
      <w:pPr>
        <w:rPr>
          <w:color w:val="auto"/>
          <w:highlight w:val="none"/>
          <w:shd w:val="clear" w:color="auto" w:fill="auto"/>
        </w:rPr>
      </w:pPr>
    </w:p>
    <w:p>
      <w:pPr>
        <w:jc w:val="center"/>
        <w:rPr>
          <w:rFonts w:cs="仿宋"/>
          <w:b/>
          <w:smallCaps/>
          <w:color w:val="auto"/>
          <w:sz w:val="28"/>
          <w:szCs w:val="28"/>
          <w:highlight w:val="none"/>
          <w:shd w:val="clear" w:color="auto" w:fill="auto"/>
        </w:rPr>
      </w:pPr>
      <w:r>
        <w:rPr>
          <w:rFonts w:hint="eastAsia" w:cs="仿宋"/>
          <w:b/>
          <w:smallCaps/>
          <w:color w:val="auto"/>
          <w:sz w:val="28"/>
          <w:szCs w:val="28"/>
          <w:highlight w:val="none"/>
          <w:shd w:val="clear" w:color="auto" w:fill="auto"/>
        </w:rPr>
        <w:t>二、招标需求</w:t>
      </w:r>
    </w:p>
    <w:p>
      <w:pPr>
        <w:rPr>
          <w:b/>
          <w:color w:val="auto"/>
          <w:highlight w:val="none"/>
          <w:shd w:val="clear" w:color="auto" w:fill="auto"/>
        </w:rPr>
      </w:pPr>
      <w:r>
        <w:rPr>
          <w:b/>
          <w:color w:val="auto"/>
          <w:highlight w:val="none"/>
          <w:shd w:val="clear" w:color="auto" w:fill="auto"/>
        </w:rPr>
        <w:t>（一）技术需求</w:t>
      </w:r>
    </w:p>
    <w:p>
      <w:pPr>
        <w:pStyle w:val="13"/>
        <w:snapToGrid w:val="0"/>
        <w:spacing w:after="0" w:line="360" w:lineRule="auto"/>
        <w:rPr>
          <w:rFonts w:cs="仿宋"/>
          <w:b/>
          <w:bCs/>
          <w:color w:val="auto"/>
          <w:sz w:val="24"/>
          <w:szCs w:val="24"/>
          <w:highlight w:val="none"/>
          <w:shd w:val="clear" w:color="auto" w:fill="auto"/>
        </w:rPr>
      </w:pPr>
      <w:r>
        <w:rPr>
          <w:rFonts w:hint="eastAsia" w:cs="仿宋"/>
          <w:b/>
          <w:bCs/>
          <w:color w:val="auto"/>
          <w:sz w:val="24"/>
          <w:szCs w:val="24"/>
          <w:highlight w:val="none"/>
          <w:shd w:val="clear" w:color="auto" w:fill="auto"/>
        </w:rPr>
        <w:t>1、项目概述</w:t>
      </w:r>
    </w:p>
    <w:p>
      <w:pPr>
        <w:spacing w:after="0" w:line="360" w:lineRule="auto"/>
        <w:ind w:firstLine="480" w:firstLineChars="200"/>
        <w:rPr>
          <w:color w:val="auto"/>
          <w:highlight w:val="none"/>
          <w:shd w:val="clear" w:color="auto" w:fill="auto"/>
        </w:rPr>
      </w:pPr>
      <w:r>
        <w:rPr>
          <w:rFonts w:hint="eastAsia"/>
          <w:color w:val="auto"/>
          <w:highlight w:val="none"/>
          <w:shd w:val="clear" w:color="auto" w:fill="auto"/>
        </w:rPr>
        <w:t>江东水厂分布式光伏发电项目</w:t>
      </w:r>
      <w:r>
        <w:rPr>
          <w:color w:val="auto"/>
          <w:highlight w:val="none"/>
          <w:shd w:val="clear" w:color="auto" w:fill="auto"/>
        </w:rPr>
        <w:t>位于浙江省</w:t>
      </w:r>
      <w:r>
        <w:rPr>
          <w:rFonts w:hint="eastAsia"/>
          <w:color w:val="auto"/>
          <w:highlight w:val="none"/>
          <w:shd w:val="clear" w:color="auto" w:fill="auto"/>
        </w:rPr>
        <w:t>杭州</w:t>
      </w:r>
      <w:r>
        <w:rPr>
          <w:color w:val="auto"/>
          <w:highlight w:val="none"/>
          <w:shd w:val="clear" w:color="auto" w:fill="auto"/>
        </w:rPr>
        <w:t>市</w:t>
      </w:r>
      <w:r>
        <w:rPr>
          <w:rFonts w:hint="eastAsia"/>
          <w:color w:val="auto"/>
          <w:highlight w:val="none"/>
          <w:shd w:val="clear" w:color="auto" w:fill="auto"/>
        </w:rPr>
        <w:t>萧山区</w:t>
      </w:r>
      <w:r>
        <w:rPr>
          <w:color w:val="auto"/>
          <w:highlight w:val="none"/>
          <w:shd w:val="clear" w:color="auto" w:fill="auto"/>
        </w:rPr>
        <w:t>, 利用</w:t>
      </w:r>
      <w:r>
        <w:rPr>
          <w:rFonts w:hint="eastAsia"/>
          <w:color w:val="auto"/>
          <w:highlight w:val="none"/>
          <w:shd w:val="clear" w:color="auto" w:fill="auto"/>
        </w:rPr>
        <w:t>江东水厂屋面及地面区域</w:t>
      </w:r>
      <w:r>
        <w:rPr>
          <w:color w:val="auto"/>
          <w:highlight w:val="none"/>
          <w:shd w:val="clear" w:color="auto" w:fill="auto"/>
        </w:rPr>
        <w:t>约</w:t>
      </w:r>
      <w:r>
        <w:rPr>
          <w:rFonts w:hint="eastAsia"/>
          <w:color w:val="auto"/>
          <w:highlight w:val="none"/>
          <w:shd w:val="clear" w:color="auto" w:fill="auto"/>
        </w:rPr>
        <w:t>2.74</w:t>
      </w:r>
      <w:r>
        <w:rPr>
          <w:color w:val="auto"/>
          <w:highlight w:val="none"/>
          <w:shd w:val="clear" w:color="auto" w:fill="auto"/>
        </w:rPr>
        <w:t>万平方米新建光伏电站。组件</w:t>
      </w:r>
      <w:r>
        <w:rPr>
          <w:rFonts w:hint="eastAsia"/>
          <w:color w:val="auto"/>
          <w:highlight w:val="none"/>
          <w:shd w:val="clear" w:color="auto" w:fill="auto"/>
        </w:rPr>
        <w:t>屋面</w:t>
      </w:r>
      <w:r>
        <w:rPr>
          <w:color w:val="auto"/>
          <w:highlight w:val="none"/>
          <w:shd w:val="clear" w:color="auto" w:fill="auto"/>
        </w:rPr>
        <w:t>拟采用</w:t>
      </w:r>
      <w:r>
        <w:rPr>
          <w:rFonts w:hint="eastAsia"/>
          <w:color w:val="auto"/>
          <w:highlight w:val="none"/>
          <w:shd w:val="clear" w:color="auto" w:fill="auto"/>
        </w:rPr>
        <w:t>随坡</w:t>
      </w:r>
      <w:r>
        <w:rPr>
          <w:color w:val="auto"/>
          <w:highlight w:val="none"/>
          <w:shd w:val="clear" w:color="auto" w:fill="auto"/>
        </w:rPr>
        <w:t>安装固定</w:t>
      </w:r>
      <w:r>
        <w:rPr>
          <w:rFonts w:hint="eastAsia"/>
          <w:color w:val="auto"/>
          <w:highlight w:val="none"/>
          <w:shd w:val="clear" w:color="auto" w:fill="auto"/>
        </w:rPr>
        <w:t>，地面区域采用15°固定倾角的方式</w:t>
      </w:r>
      <w:r>
        <w:rPr>
          <w:color w:val="auto"/>
          <w:highlight w:val="none"/>
          <w:shd w:val="clear" w:color="auto" w:fill="auto"/>
        </w:rPr>
        <w:t>。本工程为分布式光伏发电项目，该项目可以充分利用当地的太阳能资源，改善</w:t>
      </w:r>
      <w:r>
        <w:rPr>
          <w:rFonts w:hint="eastAsia"/>
          <w:color w:val="auto"/>
          <w:highlight w:val="none"/>
          <w:shd w:val="clear" w:color="auto" w:fill="auto"/>
        </w:rPr>
        <w:t>杭州</w:t>
      </w:r>
      <w:r>
        <w:rPr>
          <w:color w:val="auto"/>
          <w:highlight w:val="none"/>
          <w:shd w:val="clear" w:color="auto" w:fill="auto"/>
        </w:rPr>
        <w:t>市能源结构，节约有限的煤炭、石油资源以及宝贵的水资源，间接保护水土环境。</w:t>
      </w:r>
    </w:p>
    <w:p>
      <w:pPr>
        <w:pStyle w:val="4"/>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2、建设目标</w:t>
      </w:r>
    </w:p>
    <w:p>
      <w:pPr>
        <w:spacing w:after="0" w:line="360" w:lineRule="auto"/>
        <w:ind w:firstLine="480" w:firstLineChars="200"/>
        <w:rPr>
          <w:color w:val="auto"/>
          <w:highlight w:val="none"/>
          <w:shd w:val="clear" w:color="auto" w:fill="auto"/>
        </w:rPr>
      </w:pPr>
      <w:r>
        <w:rPr>
          <w:color w:val="auto"/>
          <w:highlight w:val="none"/>
          <w:shd w:val="clear" w:color="auto" w:fill="auto"/>
        </w:rPr>
        <w:t>本项目总规模为</w:t>
      </w:r>
      <w:r>
        <w:rPr>
          <w:rFonts w:hint="eastAsia"/>
          <w:color w:val="auto"/>
          <w:highlight w:val="none"/>
          <w:shd w:val="clear" w:color="auto" w:fill="auto"/>
        </w:rPr>
        <w:t>3.4MWp</w:t>
      </w:r>
      <w:r>
        <w:rPr>
          <w:color w:val="auto"/>
          <w:highlight w:val="none"/>
          <w:shd w:val="clear" w:color="auto" w:fill="auto"/>
        </w:rPr>
        <w:t>分布式太阳能光伏发电系统，工程地址位于浙江省</w:t>
      </w:r>
      <w:r>
        <w:rPr>
          <w:rFonts w:hint="eastAsia"/>
          <w:color w:val="auto"/>
          <w:highlight w:val="none"/>
          <w:shd w:val="clear" w:color="auto" w:fill="auto"/>
        </w:rPr>
        <w:t>杭州</w:t>
      </w:r>
      <w:r>
        <w:rPr>
          <w:color w:val="auto"/>
          <w:highlight w:val="none"/>
          <w:shd w:val="clear" w:color="auto" w:fill="auto"/>
        </w:rPr>
        <w:t>市</w:t>
      </w:r>
      <w:r>
        <w:rPr>
          <w:rFonts w:hint="eastAsia"/>
          <w:color w:val="auto"/>
          <w:highlight w:val="none"/>
          <w:shd w:val="clear" w:color="auto" w:fill="auto"/>
        </w:rPr>
        <w:t>萧山区靖江街道雷东村</w:t>
      </w:r>
      <w:r>
        <w:rPr>
          <w:color w:val="auto"/>
          <w:highlight w:val="none"/>
          <w:shd w:val="clear" w:color="auto" w:fill="auto"/>
        </w:rPr>
        <w:t>，其建设能充分发挥</w:t>
      </w:r>
      <w:r>
        <w:rPr>
          <w:rFonts w:hint="eastAsia"/>
          <w:color w:val="auto"/>
          <w:highlight w:val="none"/>
          <w:shd w:val="clear" w:color="auto" w:fill="auto"/>
        </w:rPr>
        <w:t>杭州</w:t>
      </w:r>
      <w:r>
        <w:rPr>
          <w:color w:val="auto"/>
          <w:highlight w:val="none"/>
          <w:shd w:val="clear" w:color="auto" w:fill="auto"/>
        </w:rPr>
        <w:t>地区的光能资源优势，进一步优化能源结构，减轻环保压力，实现浙江省光伏发电产业的可持续发展。根据计划依托土地及光资源优势，加快发展光伏产业。通过大力发展光伏发电开发，为浙江省提供更多可靠的清洁能源。</w:t>
      </w:r>
    </w:p>
    <w:p>
      <w:pPr>
        <w:pStyle w:val="13"/>
        <w:snapToGrid w:val="0"/>
        <w:spacing w:after="0" w:line="360" w:lineRule="auto"/>
        <w:rPr>
          <w:rFonts w:cs="仿宋"/>
          <w:b/>
          <w:bCs/>
          <w:color w:val="auto"/>
          <w:sz w:val="24"/>
          <w:highlight w:val="none"/>
          <w:shd w:val="clear" w:color="auto" w:fill="auto"/>
        </w:rPr>
      </w:pPr>
      <w:r>
        <w:rPr>
          <w:rFonts w:hint="eastAsia" w:cs="仿宋"/>
          <w:b/>
          <w:bCs/>
          <w:color w:val="auto"/>
          <w:sz w:val="24"/>
          <w:highlight w:val="none"/>
          <w:shd w:val="clear" w:color="auto" w:fill="auto"/>
        </w:rPr>
        <w:t>3、货物采购清单</w:t>
      </w:r>
    </w:p>
    <w:p>
      <w:pPr>
        <w:pStyle w:val="13"/>
        <w:snapToGrid w:val="0"/>
        <w:spacing w:line="360" w:lineRule="auto"/>
        <w:ind w:firstLine="560" w:firstLineChars="200"/>
        <w:rPr>
          <w:rFonts w:cs="仿宋"/>
          <w:color w:val="auto"/>
          <w:sz w:val="24"/>
          <w:szCs w:val="24"/>
          <w:highlight w:val="none"/>
          <w:shd w:val="clear" w:color="auto" w:fill="auto"/>
        </w:rPr>
      </w:pPr>
      <w:r>
        <w:rPr>
          <w:rFonts w:hint="eastAsia" w:cs="仿宋"/>
          <w:color w:val="auto"/>
          <w:highlight w:val="none"/>
          <w:shd w:val="clear" w:color="auto" w:fill="auto"/>
        </w:rPr>
        <w:br w:type="page"/>
      </w:r>
    </w:p>
    <w:tbl>
      <w:tblPr>
        <w:tblStyle w:val="30"/>
        <w:tblW w:w="9073"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1710"/>
        <w:gridCol w:w="2726"/>
        <w:gridCol w:w="712"/>
        <w:gridCol w:w="957"/>
        <w:gridCol w:w="22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700" w:type="dxa"/>
            <w:tcBorders>
              <w:tl2br w:val="nil"/>
              <w:tr2bl w:val="nil"/>
            </w:tcBorders>
            <w:shd w:val="clear" w:color="000000" w:fill="auto"/>
            <w:vAlign w:val="center"/>
          </w:tcPr>
          <w:p>
            <w:pPr>
              <w:spacing w:after="0"/>
              <w:jc w:val="center"/>
              <w:rPr>
                <w:rFonts w:cs="仿宋"/>
                <w:b/>
                <w:bCs/>
                <w:color w:val="auto"/>
                <w:sz w:val="22"/>
                <w:szCs w:val="22"/>
                <w:highlight w:val="none"/>
                <w:shd w:val="clear" w:color="auto" w:fill="auto"/>
              </w:rPr>
            </w:pPr>
            <w:r>
              <w:rPr>
                <w:rFonts w:hint="eastAsia" w:cs="仿宋"/>
                <w:b/>
                <w:bCs/>
                <w:color w:val="auto"/>
                <w:sz w:val="22"/>
                <w:szCs w:val="22"/>
                <w:highlight w:val="none"/>
                <w:shd w:val="clear" w:color="auto" w:fill="auto"/>
              </w:rPr>
              <w:t>序号</w:t>
            </w:r>
          </w:p>
        </w:tc>
        <w:tc>
          <w:tcPr>
            <w:tcW w:w="1710" w:type="dxa"/>
            <w:tcBorders>
              <w:tl2br w:val="nil"/>
              <w:tr2bl w:val="nil"/>
            </w:tcBorders>
            <w:shd w:val="clear" w:color="000000" w:fill="auto"/>
            <w:vAlign w:val="center"/>
          </w:tcPr>
          <w:p>
            <w:pPr>
              <w:spacing w:after="0"/>
              <w:jc w:val="center"/>
              <w:rPr>
                <w:rFonts w:cs="仿宋"/>
                <w:b/>
                <w:bCs/>
                <w:color w:val="auto"/>
                <w:sz w:val="22"/>
                <w:szCs w:val="22"/>
                <w:highlight w:val="none"/>
                <w:shd w:val="clear" w:color="auto" w:fill="auto"/>
              </w:rPr>
            </w:pPr>
            <w:r>
              <w:rPr>
                <w:rFonts w:hint="eastAsia" w:cs="仿宋"/>
                <w:b/>
                <w:bCs/>
                <w:color w:val="auto"/>
                <w:sz w:val="22"/>
                <w:szCs w:val="22"/>
                <w:highlight w:val="none"/>
                <w:shd w:val="clear" w:color="auto" w:fill="auto"/>
              </w:rPr>
              <w:t>设备材料名称</w:t>
            </w:r>
          </w:p>
        </w:tc>
        <w:tc>
          <w:tcPr>
            <w:tcW w:w="2726" w:type="dxa"/>
            <w:tcBorders>
              <w:tl2br w:val="nil"/>
              <w:tr2bl w:val="nil"/>
            </w:tcBorders>
            <w:shd w:val="clear" w:color="000000" w:fill="auto"/>
            <w:vAlign w:val="center"/>
          </w:tcPr>
          <w:p>
            <w:pPr>
              <w:spacing w:after="0"/>
              <w:jc w:val="center"/>
              <w:rPr>
                <w:rFonts w:cs="仿宋"/>
                <w:b/>
                <w:bCs/>
                <w:color w:val="auto"/>
                <w:sz w:val="22"/>
                <w:szCs w:val="22"/>
                <w:highlight w:val="none"/>
                <w:shd w:val="clear" w:color="auto" w:fill="auto"/>
              </w:rPr>
            </w:pPr>
            <w:r>
              <w:rPr>
                <w:rFonts w:hint="eastAsia" w:cs="仿宋"/>
                <w:b/>
                <w:bCs/>
                <w:color w:val="auto"/>
                <w:sz w:val="22"/>
                <w:szCs w:val="22"/>
                <w:highlight w:val="none"/>
                <w:shd w:val="clear" w:color="auto" w:fill="auto"/>
              </w:rPr>
              <w:t>规格型号</w:t>
            </w:r>
          </w:p>
        </w:tc>
        <w:tc>
          <w:tcPr>
            <w:tcW w:w="712" w:type="dxa"/>
            <w:tcBorders>
              <w:tl2br w:val="nil"/>
              <w:tr2bl w:val="nil"/>
            </w:tcBorders>
            <w:shd w:val="clear" w:color="000000" w:fill="auto"/>
            <w:vAlign w:val="center"/>
          </w:tcPr>
          <w:p>
            <w:pPr>
              <w:spacing w:after="0"/>
              <w:jc w:val="center"/>
              <w:rPr>
                <w:rFonts w:cs="仿宋"/>
                <w:b/>
                <w:bCs/>
                <w:color w:val="auto"/>
                <w:sz w:val="22"/>
                <w:szCs w:val="22"/>
                <w:highlight w:val="none"/>
                <w:shd w:val="clear" w:color="auto" w:fill="auto"/>
              </w:rPr>
            </w:pPr>
            <w:r>
              <w:rPr>
                <w:rFonts w:hint="eastAsia" w:cs="仿宋"/>
                <w:b/>
                <w:bCs/>
                <w:color w:val="auto"/>
                <w:sz w:val="22"/>
                <w:szCs w:val="22"/>
                <w:highlight w:val="none"/>
                <w:shd w:val="clear" w:color="auto" w:fill="auto"/>
              </w:rPr>
              <w:t>单位</w:t>
            </w:r>
          </w:p>
        </w:tc>
        <w:tc>
          <w:tcPr>
            <w:tcW w:w="957" w:type="dxa"/>
            <w:tcBorders>
              <w:tl2br w:val="nil"/>
              <w:tr2bl w:val="nil"/>
            </w:tcBorders>
            <w:shd w:val="clear" w:color="000000" w:fill="auto"/>
            <w:vAlign w:val="center"/>
          </w:tcPr>
          <w:p>
            <w:pPr>
              <w:spacing w:after="0"/>
              <w:jc w:val="center"/>
              <w:rPr>
                <w:rFonts w:cs="仿宋"/>
                <w:b/>
                <w:bCs/>
                <w:color w:val="auto"/>
                <w:sz w:val="22"/>
                <w:szCs w:val="22"/>
                <w:highlight w:val="none"/>
                <w:shd w:val="clear" w:color="auto" w:fill="auto"/>
              </w:rPr>
            </w:pPr>
            <w:r>
              <w:rPr>
                <w:rFonts w:hint="eastAsia" w:cs="仿宋"/>
                <w:b/>
                <w:bCs/>
                <w:color w:val="auto"/>
                <w:sz w:val="22"/>
                <w:szCs w:val="22"/>
                <w:highlight w:val="none"/>
                <w:shd w:val="clear" w:color="auto" w:fill="auto"/>
              </w:rPr>
              <w:t>数量</w:t>
            </w:r>
          </w:p>
        </w:tc>
        <w:tc>
          <w:tcPr>
            <w:tcW w:w="2268" w:type="dxa"/>
            <w:tcBorders>
              <w:tl2br w:val="nil"/>
              <w:tr2bl w:val="nil"/>
            </w:tcBorders>
            <w:shd w:val="clear" w:color="000000" w:fill="auto"/>
            <w:noWrap/>
            <w:vAlign w:val="center"/>
          </w:tcPr>
          <w:p>
            <w:pPr>
              <w:spacing w:after="0"/>
              <w:jc w:val="center"/>
              <w:rPr>
                <w:rFonts w:cs="仿宋"/>
                <w:b/>
                <w:bCs/>
                <w:color w:val="auto"/>
                <w:sz w:val="22"/>
                <w:szCs w:val="22"/>
                <w:highlight w:val="none"/>
                <w:shd w:val="clear" w:color="auto" w:fill="auto"/>
              </w:rPr>
            </w:pPr>
            <w:r>
              <w:rPr>
                <w:rFonts w:hint="eastAsia" w:cs="仿宋"/>
                <w:b/>
                <w:bCs/>
                <w:color w:val="auto"/>
                <w:sz w:val="22"/>
                <w:szCs w:val="22"/>
                <w:highlight w:val="none"/>
                <w:shd w:val="clear" w:color="auto" w:fill="auto"/>
              </w:rPr>
              <w:t>推荐品牌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700" w:type="dxa"/>
            <w:tcBorders>
              <w:tl2br w:val="nil"/>
              <w:tr2bl w:val="nil"/>
            </w:tcBorders>
            <w:shd w:val="clear" w:color="auto" w:fill="auto"/>
            <w:vAlign w:val="center"/>
          </w:tcPr>
          <w:p>
            <w:pPr>
              <w:spacing w:after="0"/>
              <w:jc w:val="center"/>
              <w:rPr>
                <w:rFonts w:cs="仿宋"/>
                <w:b/>
                <w:bCs/>
                <w:color w:val="auto"/>
                <w:sz w:val="20"/>
                <w:szCs w:val="20"/>
                <w:highlight w:val="none"/>
                <w:shd w:val="clear" w:color="auto" w:fill="auto"/>
              </w:rPr>
            </w:pPr>
            <w:r>
              <w:rPr>
                <w:rFonts w:hint="eastAsia" w:cs="仿宋"/>
                <w:b/>
                <w:bCs/>
                <w:color w:val="auto"/>
                <w:sz w:val="20"/>
                <w:szCs w:val="20"/>
                <w:highlight w:val="none"/>
                <w:shd w:val="clear" w:color="auto" w:fill="auto"/>
              </w:rPr>
              <w:t>一</w:t>
            </w:r>
          </w:p>
        </w:tc>
        <w:tc>
          <w:tcPr>
            <w:tcW w:w="8373" w:type="dxa"/>
            <w:gridSpan w:val="5"/>
            <w:tcBorders>
              <w:tl2br w:val="nil"/>
              <w:tr2bl w:val="nil"/>
            </w:tcBorders>
            <w:shd w:val="clear" w:color="auto" w:fill="auto"/>
            <w:vAlign w:val="center"/>
          </w:tcPr>
          <w:p>
            <w:pPr>
              <w:spacing w:after="0"/>
              <w:jc w:val="left"/>
              <w:rPr>
                <w:rFonts w:cs="仿宋"/>
                <w:b/>
                <w:bCs/>
                <w:color w:val="auto"/>
                <w:sz w:val="22"/>
                <w:szCs w:val="22"/>
                <w:highlight w:val="none"/>
                <w:shd w:val="clear" w:color="auto" w:fill="auto"/>
              </w:rPr>
            </w:pPr>
            <w:r>
              <w:rPr>
                <w:rFonts w:hint="eastAsia" w:cs="仿宋"/>
                <w:b/>
                <w:bCs/>
                <w:color w:val="auto"/>
                <w:sz w:val="20"/>
                <w:szCs w:val="20"/>
                <w:highlight w:val="none"/>
                <w:shd w:val="clear" w:color="auto" w:fill="auto"/>
              </w:rPr>
              <w:t>电气工程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0" w:type="dxa"/>
            <w:tcBorders>
              <w:tl2br w:val="nil"/>
              <w:tr2bl w:val="nil"/>
            </w:tcBorders>
            <w:shd w:val="clear" w:color="auto" w:fill="auto"/>
            <w:vAlign w:val="center"/>
          </w:tcPr>
          <w:p>
            <w:pPr>
              <w:spacing w:after="0"/>
              <w:jc w:val="center"/>
              <w:rPr>
                <w:rFonts w:cs="仿宋"/>
                <w:b/>
                <w:bCs/>
                <w:color w:val="auto"/>
                <w:sz w:val="20"/>
                <w:szCs w:val="20"/>
                <w:highlight w:val="none"/>
                <w:shd w:val="clear" w:color="auto" w:fill="auto"/>
              </w:rPr>
            </w:pPr>
            <w:r>
              <w:rPr>
                <w:rFonts w:hint="eastAsia" w:cs="仿宋"/>
                <w:b/>
                <w:bCs/>
                <w:color w:val="auto"/>
                <w:sz w:val="20"/>
                <w:szCs w:val="20"/>
                <w:highlight w:val="none"/>
                <w:shd w:val="clear" w:color="auto" w:fill="auto"/>
              </w:rPr>
              <w:t>1</w:t>
            </w:r>
          </w:p>
        </w:tc>
        <w:tc>
          <w:tcPr>
            <w:tcW w:w="1710" w:type="dxa"/>
            <w:tcBorders>
              <w:tl2br w:val="nil"/>
              <w:tr2bl w:val="nil"/>
            </w:tcBorders>
            <w:shd w:val="clear" w:color="auto" w:fill="auto"/>
            <w:vAlign w:val="center"/>
          </w:tcPr>
          <w:p>
            <w:pPr>
              <w:spacing w:after="0"/>
              <w:jc w:val="center"/>
              <w:rPr>
                <w:rFonts w:cs="仿宋"/>
                <w:b/>
                <w:bCs/>
                <w:color w:val="auto"/>
                <w:sz w:val="20"/>
                <w:szCs w:val="20"/>
                <w:highlight w:val="none"/>
                <w:shd w:val="clear" w:color="auto" w:fill="auto"/>
              </w:rPr>
            </w:pPr>
            <w:r>
              <w:rPr>
                <w:rFonts w:hint="eastAsia" w:cs="仿宋"/>
                <w:b/>
                <w:bCs/>
                <w:color w:val="auto"/>
                <w:sz w:val="20"/>
                <w:szCs w:val="20"/>
                <w:highlight w:val="none"/>
                <w:shd w:val="clear" w:color="auto" w:fill="auto"/>
              </w:rPr>
              <w:t>光伏组件</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color w:val="auto"/>
                <w:sz w:val="20"/>
                <w:szCs w:val="20"/>
                <w:highlight w:val="none"/>
                <w:shd w:val="clear" w:color="auto" w:fill="auto"/>
              </w:rPr>
              <w:t>600Wp</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块</w:t>
            </w:r>
          </w:p>
        </w:tc>
        <w:tc>
          <w:tcPr>
            <w:tcW w:w="957"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 xml:space="preserve">5666.00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天合/东方日升/阿特斯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62" w:hRule="atLeast"/>
        </w:trPr>
        <w:tc>
          <w:tcPr>
            <w:tcW w:w="700" w:type="dxa"/>
            <w:tcBorders>
              <w:tl2br w:val="nil"/>
              <w:tr2bl w:val="nil"/>
            </w:tcBorders>
            <w:shd w:val="clear" w:color="auto" w:fill="auto"/>
            <w:vAlign w:val="center"/>
          </w:tcPr>
          <w:p>
            <w:pPr>
              <w:spacing w:after="0"/>
              <w:jc w:val="center"/>
              <w:rPr>
                <w:rFonts w:cs="仿宋"/>
                <w:b/>
                <w:bCs/>
                <w:color w:val="auto"/>
                <w:sz w:val="20"/>
                <w:szCs w:val="20"/>
                <w:highlight w:val="none"/>
                <w:shd w:val="clear" w:color="auto" w:fill="auto"/>
              </w:rPr>
            </w:pPr>
            <w:r>
              <w:rPr>
                <w:rFonts w:hint="eastAsia" w:cs="仿宋"/>
                <w:b/>
                <w:bCs/>
                <w:color w:val="auto"/>
                <w:sz w:val="20"/>
                <w:szCs w:val="20"/>
                <w:highlight w:val="none"/>
                <w:shd w:val="clear" w:color="auto" w:fill="auto"/>
              </w:rPr>
              <w:t>2</w:t>
            </w:r>
          </w:p>
        </w:tc>
        <w:tc>
          <w:tcPr>
            <w:tcW w:w="1710" w:type="dxa"/>
            <w:tcBorders>
              <w:tl2br w:val="nil"/>
              <w:tr2bl w:val="nil"/>
            </w:tcBorders>
            <w:shd w:val="clear" w:color="auto" w:fill="auto"/>
            <w:vAlign w:val="center"/>
          </w:tcPr>
          <w:p>
            <w:pPr>
              <w:spacing w:after="0"/>
              <w:jc w:val="center"/>
              <w:rPr>
                <w:rFonts w:cs="仿宋"/>
                <w:b/>
                <w:bCs/>
                <w:color w:val="auto"/>
                <w:sz w:val="20"/>
                <w:szCs w:val="20"/>
                <w:highlight w:val="none"/>
                <w:shd w:val="clear" w:color="auto" w:fill="auto"/>
              </w:rPr>
            </w:pPr>
            <w:r>
              <w:rPr>
                <w:rFonts w:hint="eastAsia" w:cs="仿宋"/>
                <w:b/>
                <w:bCs/>
                <w:color w:val="auto"/>
                <w:sz w:val="20"/>
                <w:szCs w:val="20"/>
                <w:highlight w:val="none"/>
                <w:shd w:val="clear" w:color="auto" w:fill="auto"/>
              </w:rPr>
              <w:t>连接器</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color w:val="auto"/>
                <w:sz w:val="20"/>
                <w:szCs w:val="20"/>
                <w:highlight w:val="none"/>
                <w:shd w:val="clear" w:color="auto" w:fill="auto"/>
              </w:rPr>
              <w:t>MC4</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套</w:t>
            </w:r>
          </w:p>
        </w:tc>
        <w:tc>
          <w:tcPr>
            <w:tcW w:w="957"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 xml:space="preserve">1200.00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配套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0" w:type="dxa"/>
            <w:tcBorders>
              <w:tl2br w:val="nil"/>
              <w:tr2bl w:val="nil"/>
            </w:tcBorders>
            <w:shd w:val="clear" w:color="auto" w:fill="auto"/>
            <w:vAlign w:val="center"/>
          </w:tcPr>
          <w:p>
            <w:pPr>
              <w:spacing w:after="0"/>
              <w:jc w:val="center"/>
              <w:rPr>
                <w:rFonts w:cs="仿宋"/>
                <w:b/>
                <w:bCs/>
                <w:color w:val="auto"/>
                <w:sz w:val="20"/>
                <w:szCs w:val="20"/>
                <w:highlight w:val="none"/>
                <w:shd w:val="clear" w:color="auto" w:fill="auto"/>
              </w:rPr>
            </w:pPr>
            <w:r>
              <w:rPr>
                <w:rFonts w:hint="eastAsia" w:cs="仿宋"/>
                <w:b/>
                <w:bCs/>
                <w:color w:val="auto"/>
                <w:sz w:val="20"/>
                <w:szCs w:val="20"/>
                <w:highlight w:val="none"/>
                <w:shd w:val="clear" w:color="auto" w:fill="auto"/>
              </w:rPr>
              <w:t>3</w:t>
            </w:r>
          </w:p>
        </w:tc>
        <w:tc>
          <w:tcPr>
            <w:tcW w:w="1710" w:type="dxa"/>
            <w:tcBorders>
              <w:tl2br w:val="nil"/>
              <w:tr2bl w:val="nil"/>
            </w:tcBorders>
            <w:shd w:val="clear" w:color="auto" w:fill="auto"/>
            <w:vAlign w:val="center"/>
          </w:tcPr>
          <w:p>
            <w:pPr>
              <w:spacing w:after="0"/>
              <w:jc w:val="center"/>
              <w:rPr>
                <w:rFonts w:cs="仿宋"/>
                <w:b/>
                <w:bCs/>
                <w:color w:val="auto"/>
                <w:sz w:val="20"/>
                <w:szCs w:val="20"/>
                <w:highlight w:val="none"/>
                <w:shd w:val="clear" w:color="auto" w:fill="auto"/>
              </w:rPr>
            </w:pPr>
            <w:r>
              <w:rPr>
                <w:rFonts w:hint="eastAsia" w:cs="仿宋"/>
                <w:b/>
                <w:bCs/>
                <w:color w:val="auto"/>
                <w:sz w:val="20"/>
                <w:szCs w:val="20"/>
                <w:highlight w:val="none"/>
                <w:shd w:val="clear" w:color="auto" w:fill="auto"/>
              </w:rPr>
              <w:t>逆变器</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color w:val="auto"/>
                <w:sz w:val="20"/>
                <w:szCs w:val="20"/>
                <w:highlight w:val="none"/>
                <w:shd w:val="clear" w:color="auto" w:fill="auto"/>
              </w:rPr>
              <w:t>3.4MW</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套</w:t>
            </w:r>
          </w:p>
        </w:tc>
        <w:tc>
          <w:tcPr>
            <w:tcW w:w="957"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1.00</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0" w:type="dxa"/>
            <w:tcBorders>
              <w:tl2br w:val="nil"/>
              <w:tr2bl w:val="nil"/>
            </w:tcBorders>
            <w:shd w:val="clear" w:color="auto" w:fill="auto"/>
            <w:vAlign w:val="center"/>
          </w:tcPr>
          <w:p>
            <w:pPr>
              <w:spacing w:after="0"/>
              <w:jc w:val="center"/>
              <w:rPr>
                <w:rFonts w:cs="仿宋"/>
                <w:b/>
                <w:bCs/>
                <w:color w:val="auto"/>
                <w:sz w:val="20"/>
                <w:szCs w:val="20"/>
                <w:highlight w:val="none"/>
                <w:shd w:val="clear" w:color="auto" w:fill="auto"/>
              </w:rPr>
            </w:pPr>
            <w:r>
              <w:rPr>
                <w:rFonts w:hint="eastAsia" w:cs="仿宋"/>
                <w:b/>
                <w:bCs/>
                <w:color w:val="auto"/>
                <w:sz w:val="20"/>
                <w:szCs w:val="20"/>
                <w:highlight w:val="none"/>
                <w:shd w:val="clear" w:color="auto" w:fill="auto"/>
              </w:rPr>
              <w:t>4</w:t>
            </w:r>
          </w:p>
        </w:tc>
        <w:tc>
          <w:tcPr>
            <w:tcW w:w="8373" w:type="dxa"/>
            <w:gridSpan w:val="5"/>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b/>
                <w:bCs/>
                <w:color w:val="auto"/>
                <w:sz w:val="20"/>
                <w:szCs w:val="20"/>
                <w:highlight w:val="none"/>
                <w:shd w:val="clear" w:color="auto" w:fill="auto"/>
              </w:rPr>
              <w:t>变压器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700" w:type="dxa"/>
            <w:tcBorders>
              <w:tl2br w:val="nil"/>
              <w:tr2bl w:val="nil"/>
            </w:tcBorders>
            <w:shd w:val="clear" w:color="auto" w:fill="auto"/>
            <w:vAlign w:val="center"/>
          </w:tcPr>
          <w:p>
            <w:pPr>
              <w:spacing w:after="0"/>
              <w:jc w:val="center"/>
              <w:rPr>
                <w:rFonts w:hint="default" w:eastAsia="仿宋" w:cs="仿宋"/>
                <w:color w:val="auto"/>
                <w:sz w:val="20"/>
                <w:szCs w:val="20"/>
                <w:highlight w:val="none"/>
                <w:shd w:val="clear" w:color="auto" w:fill="auto"/>
                <w:lang w:val="en-US" w:eastAsia="zh-CN"/>
              </w:rPr>
            </w:pPr>
            <w:r>
              <w:rPr>
                <w:rFonts w:hint="eastAsia" w:cs="仿宋"/>
                <w:color w:val="auto"/>
                <w:sz w:val="20"/>
                <w:szCs w:val="20"/>
                <w:highlight w:val="none"/>
                <w:shd w:val="clear" w:color="auto" w:fill="auto"/>
                <w:lang w:val="en-US" w:eastAsia="zh-CN"/>
              </w:rPr>
              <w:t>4.1</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干式变压器</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color w:val="auto"/>
                <w:sz w:val="20"/>
                <w:szCs w:val="20"/>
                <w:highlight w:val="none"/>
                <w:shd w:val="clear" w:color="auto" w:fill="auto"/>
              </w:rPr>
              <w:t>SCB11-1600/10.5</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台</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 xml:space="preserve">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钱江/施耐德/ABB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700" w:type="dxa"/>
            <w:tcBorders>
              <w:tl2br w:val="nil"/>
              <w:tr2bl w:val="nil"/>
            </w:tcBorders>
            <w:shd w:val="clear" w:color="auto" w:fill="auto"/>
            <w:vAlign w:val="center"/>
          </w:tcPr>
          <w:p>
            <w:pPr>
              <w:spacing w:after="0"/>
              <w:jc w:val="center"/>
              <w:rPr>
                <w:rFonts w:hint="default" w:eastAsia="仿宋" w:cs="仿宋"/>
                <w:color w:val="auto"/>
                <w:sz w:val="20"/>
                <w:szCs w:val="20"/>
                <w:highlight w:val="none"/>
                <w:shd w:val="clear" w:color="auto" w:fill="auto"/>
                <w:lang w:val="en-US" w:eastAsia="zh-CN"/>
              </w:rPr>
            </w:pPr>
            <w:r>
              <w:rPr>
                <w:rFonts w:hint="eastAsia" w:cs="仿宋"/>
                <w:color w:val="auto"/>
                <w:sz w:val="20"/>
                <w:szCs w:val="20"/>
                <w:highlight w:val="none"/>
                <w:shd w:val="clear" w:color="auto" w:fill="auto"/>
                <w:lang w:val="en-US" w:eastAsia="zh-CN"/>
              </w:rPr>
              <w:t>4.2</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干式变压器</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color w:val="auto"/>
                <w:sz w:val="20"/>
                <w:szCs w:val="20"/>
                <w:highlight w:val="none"/>
                <w:shd w:val="clear" w:color="auto" w:fill="auto"/>
              </w:rPr>
              <w:t>SCB11-2000/10.5</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台</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 xml:space="preserve">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钱江/施耐德/ABB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trPr>
        <w:tc>
          <w:tcPr>
            <w:tcW w:w="700" w:type="dxa"/>
            <w:tcBorders>
              <w:tl2br w:val="nil"/>
              <w:tr2bl w:val="nil"/>
            </w:tcBorders>
            <w:shd w:val="clear" w:color="auto" w:fill="auto"/>
            <w:vAlign w:val="center"/>
          </w:tcPr>
          <w:p>
            <w:pPr>
              <w:spacing w:after="0"/>
              <w:jc w:val="center"/>
              <w:rPr>
                <w:rFonts w:cs="仿宋"/>
                <w:b/>
                <w:bCs/>
                <w:color w:val="auto"/>
                <w:sz w:val="20"/>
                <w:szCs w:val="20"/>
                <w:highlight w:val="none"/>
                <w:shd w:val="clear" w:color="auto" w:fill="auto"/>
              </w:rPr>
            </w:pPr>
            <w:r>
              <w:rPr>
                <w:rFonts w:hint="eastAsia" w:cs="仿宋"/>
                <w:b/>
                <w:bCs/>
                <w:color w:val="auto"/>
                <w:sz w:val="20"/>
                <w:szCs w:val="20"/>
                <w:highlight w:val="none"/>
                <w:shd w:val="clear" w:color="auto" w:fill="auto"/>
              </w:rPr>
              <w:t>5</w:t>
            </w:r>
          </w:p>
        </w:tc>
        <w:tc>
          <w:tcPr>
            <w:tcW w:w="1710" w:type="dxa"/>
            <w:tcBorders>
              <w:tl2br w:val="nil"/>
              <w:tr2bl w:val="nil"/>
            </w:tcBorders>
            <w:shd w:val="clear" w:color="auto" w:fill="auto"/>
            <w:vAlign w:val="center"/>
          </w:tcPr>
          <w:p>
            <w:pPr>
              <w:spacing w:after="0"/>
              <w:jc w:val="center"/>
              <w:rPr>
                <w:rFonts w:cs="仿宋"/>
                <w:b/>
                <w:bCs/>
                <w:color w:val="auto"/>
                <w:sz w:val="20"/>
                <w:szCs w:val="20"/>
                <w:highlight w:val="none"/>
                <w:shd w:val="clear" w:color="auto" w:fill="auto"/>
              </w:rPr>
            </w:pPr>
            <w:r>
              <w:rPr>
                <w:rFonts w:hint="eastAsia" w:cs="仿宋"/>
                <w:b/>
                <w:bCs/>
                <w:color w:val="auto"/>
                <w:sz w:val="20"/>
                <w:szCs w:val="20"/>
                <w:highlight w:val="none"/>
                <w:shd w:val="clear" w:color="auto" w:fill="auto"/>
              </w:rPr>
              <w:t>高压开关柜</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color w:val="auto"/>
                <w:sz w:val="20"/>
                <w:szCs w:val="20"/>
                <w:highlight w:val="none"/>
                <w:shd w:val="clear" w:color="auto" w:fill="auto"/>
              </w:rPr>
              <w:t>光伏进线柜、光伏站用变柜、PT柜、出线隔离柜、计量柜、并网柜、接入柜等</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台</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 xml:space="preserve">8.00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欣美/施耐德/杭开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700" w:type="dxa"/>
            <w:tcBorders>
              <w:tl2br w:val="nil"/>
              <w:tr2bl w:val="nil"/>
            </w:tcBorders>
            <w:shd w:val="clear" w:color="auto" w:fill="auto"/>
            <w:vAlign w:val="center"/>
          </w:tcPr>
          <w:p>
            <w:pPr>
              <w:spacing w:after="0"/>
              <w:jc w:val="center"/>
              <w:rPr>
                <w:rFonts w:cs="仿宋"/>
                <w:b/>
                <w:bCs/>
                <w:color w:val="auto"/>
                <w:sz w:val="20"/>
                <w:szCs w:val="20"/>
                <w:highlight w:val="none"/>
                <w:shd w:val="clear" w:color="auto" w:fill="auto"/>
              </w:rPr>
            </w:pPr>
            <w:r>
              <w:rPr>
                <w:rFonts w:hint="eastAsia" w:cs="仿宋"/>
                <w:b/>
                <w:bCs/>
                <w:color w:val="auto"/>
                <w:sz w:val="20"/>
                <w:szCs w:val="20"/>
                <w:highlight w:val="none"/>
                <w:shd w:val="clear" w:color="auto" w:fill="auto"/>
              </w:rPr>
              <w:t>6</w:t>
            </w:r>
          </w:p>
        </w:tc>
        <w:tc>
          <w:tcPr>
            <w:tcW w:w="1710" w:type="dxa"/>
            <w:tcBorders>
              <w:tl2br w:val="nil"/>
              <w:tr2bl w:val="nil"/>
            </w:tcBorders>
            <w:shd w:val="clear" w:color="auto" w:fill="auto"/>
            <w:vAlign w:val="center"/>
          </w:tcPr>
          <w:p>
            <w:pPr>
              <w:spacing w:after="0"/>
              <w:jc w:val="center"/>
              <w:rPr>
                <w:rFonts w:cs="仿宋"/>
                <w:b/>
                <w:bCs/>
                <w:color w:val="auto"/>
                <w:sz w:val="20"/>
                <w:szCs w:val="20"/>
                <w:highlight w:val="none"/>
                <w:shd w:val="clear" w:color="auto" w:fill="auto"/>
              </w:rPr>
            </w:pPr>
            <w:r>
              <w:rPr>
                <w:rFonts w:hint="eastAsia" w:cs="仿宋"/>
                <w:b/>
                <w:bCs/>
                <w:color w:val="auto"/>
                <w:sz w:val="20"/>
                <w:szCs w:val="20"/>
                <w:highlight w:val="none"/>
                <w:shd w:val="clear" w:color="auto" w:fill="auto"/>
              </w:rPr>
              <w:t>低压开关柜</w:t>
            </w:r>
          </w:p>
        </w:tc>
        <w:tc>
          <w:tcPr>
            <w:tcW w:w="2726" w:type="dxa"/>
            <w:tcBorders>
              <w:tl2br w:val="nil"/>
              <w:tr2bl w:val="nil"/>
            </w:tcBorders>
            <w:shd w:val="clear" w:color="auto" w:fill="auto"/>
            <w:vAlign w:val="center"/>
          </w:tcPr>
          <w:p>
            <w:pPr>
              <w:spacing w:after="0"/>
              <w:jc w:val="left"/>
              <w:rPr>
                <w:rFonts w:cs="仿宋"/>
                <w:b/>
                <w:bCs/>
                <w:color w:val="auto"/>
                <w:sz w:val="20"/>
                <w:szCs w:val="20"/>
                <w:highlight w:val="none"/>
                <w:shd w:val="clear" w:color="auto" w:fill="auto"/>
              </w:rPr>
            </w:pPr>
            <w:r>
              <w:rPr>
                <w:rFonts w:hint="eastAsia" w:cs="仿宋"/>
                <w:bCs/>
                <w:color w:val="auto"/>
                <w:sz w:val="20"/>
                <w:szCs w:val="20"/>
                <w:highlight w:val="none"/>
                <w:shd w:val="clear" w:color="auto" w:fill="auto"/>
              </w:rPr>
              <w:t>型号、规格详见图纸</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台</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 xml:space="preserve">4.00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欣美/施耐德/杭开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700" w:type="dxa"/>
            <w:tcBorders>
              <w:tl2br w:val="nil"/>
              <w:tr2bl w:val="nil"/>
            </w:tcBorders>
            <w:shd w:val="clear" w:color="auto" w:fill="auto"/>
            <w:vAlign w:val="center"/>
          </w:tcPr>
          <w:p>
            <w:pPr>
              <w:spacing w:after="0"/>
              <w:jc w:val="center"/>
              <w:rPr>
                <w:rFonts w:cs="仿宋"/>
                <w:b/>
                <w:bCs/>
                <w:color w:val="auto"/>
                <w:sz w:val="20"/>
                <w:szCs w:val="20"/>
                <w:highlight w:val="none"/>
                <w:shd w:val="clear" w:color="auto" w:fill="auto"/>
              </w:rPr>
            </w:pPr>
            <w:r>
              <w:rPr>
                <w:rFonts w:hint="eastAsia" w:cs="仿宋"/>
                <w:b/>
                <w:bCs/>
                <w:color w:val="auto"/>
                <w:sz w:val="20"/>
                <w:szCs w:val="20"/>
                <w:highlight w:val="none"/>
                <w:shd w:val="clear" w:color="auto" w:fill="auto"/>
              </w:rPr>
              <w:t>7</w:t>
            </w:r>
          </w:p>
        </w:tc>
        <w:tc>
          <w:tcPr>
            <w:tcW w:w="1710" w:type="dxa"/>
            <w:tcBorders>
              <w:tl2br w:val="nil"/>
              <w:tr2bl w:val="nil"/>
            </w:tcBorders>
            <w:shd w:val="clear" w:color="auto" w:fill="auto"/>
            <w:vAlign w:val="center"/>
          </w:tcPr>
          <w:p>
            <w:pPr>
              <w:spacing w:after="0"/>
              <w:jc w:val="center"/>
              <w:rPr>
                <w:rFonts w:cs="仿宋"/>
                <w:b/>
                <w:bCs/>
                <w:color w:val="auto"/>
                <w:sz w:val="20"/>
                <w:szCs w:val="20"/>
                <w:highlight w:val="none"/>
                <w:shd w:val="clear" w:color="auto" w:fill="auto"/>
              </w:rPr>
            </w:pPr>
            <w:r>
              <w:rPr>
                <w:rFonts w:hint="eastAsia" w:cs="仿宋"/>
                <w:b/>
                <w:bCs/>
                <w:color w:val="auto"/>
                <w:sz w:val="20"/>
                <w:szCs w:val="20"/>
                <w:highlight w:val="none"/>
                <w:shd w:val="clear" w:color="auto" w:fill="auto"/>
              </w:rPr>
              <w:t>光伏及设备支架</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bCs/>
                <w:color w:val="auto"/>
                <w:sz w:val="20"/>
                <w:szCs w:val="20"/>
                <w:highlight w:val="none"/>
                <w:shd w:val="clear" w:color="auto" w:fill="auto"/>
              </w:rPr>
              <w:t>型号、规格详见图纸</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cs="仿宋"/>
                <w:color w:val="auto"/>
                <w:sz w:val="20"/>
                <w:szCs w:val="20"/>
                <w:highlight w:val="none"/>
                <w:shd w:val="clear" w:color="auto" w:fill="auto"/>
              </w:rPr>
              <w:t>项</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中信博/博天/鑫跃达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700" w:type="dxa"/>
            <w:tcBorders>
              <w:tl2br w:val="nil"/>
              <w:tr2bl w:val="nil"/>
            </w:tcBorders>
            <w:shd w:val="clear" w:color="auto" w:fill="auto"/>
            <w:vAlign w:val="center"/>
          </w:tcPr>
          <w:p>
            <w:pPr>
              <w:spacing w:after="0"/>
              <w:jc w:val="center"/>
              <w:rPr>
                <w:rFonts w:cs="仿宋"/>
                <w:b/>
                <w:bCs/>
                <w:color w:val="auto"/>
                <w:sz w:val="20"/>
                <w:szCs w:val="20"/>
                <w:highlight w:val="none"/>
                <w:shd w:val="clear" w:color="auto" w:fill="auto"/>
              </w:rPr>
            </w:pPr>
            <w:r>
              <w:rPr>
                <w:rFonts w:hint="eastAsia" w:cs="仿宋"/>
                <w:b/>
                <w:bCs/>
                <w:color w:val="auto"/>
                <w:sz w:val="20"/>
                <w:szCs w:val="20"/>
                <w:highlight w:val="none"/>
                <w:shd w:val="clear" w:color="auto" w:fill="auto"/>
              </w:rPr>
              <w:t>8</w:t>
            </w:r>
          </w:p>
        </w:tc>
        <w:tc>
          <w:tcPr>
            <w:tcW w:w="1710" w:type="dxa"/>
            <w:tcBorders>
              <w:tl2br w:val="nil"/>
              <w:tr2bl w:val="nil"/>
            </w:tcBorders>
            <w:shd w:val="clear" w:color="auto" w:fill="auto"/>
            <w:vAlign w:val="center"/>
          </w:tcPr>
          <w:p>
            <w:pPr>
              <w:spacing w:after="0"/>
              <w:jc w:val="center"/>
              <w:rPr>
                <w:rFonts w:cs="仿宋"/>
                <w:b/>
                <w:bCs/>
                <w:color w:val="auto"/>
                <w:sz w:val="20"/>
                <w:szCs w:val="20"/>
                <w:highlight w:val="none"/>
                <w:shd w:val="clear" w:color="auto" w:fill="auto"/>
              </w:rPr>
            </w:pPr>
            <w:r>
              <w:rPr>
                <w:rFonts w:hint="eastAsia" w:cs="仿宋"/>
                <w:b/>
                <w:bCs/>
                <w:color w:val="auto"/>
                <w:sz w:val="20"/>
                <w:szCs w:val="20"/>
                <w:highlight w:val="none"/>
                <w:shd w:val="clear" w:color="auto" w:fill="auto"/>
              </w:rPr>
              <w:t>电缆桥架</w:t>
            </w:r>
          </w:p>
        </w:tc>
        <w:tc>
          <w:tcPr>
            <w:tcW w:w="2726" w:type="dxa"/>
            <w:tcBorders>
              <w:tl2br w:val="nil"/>
              <w:tr2bl w:val="nil"/>
            </w:tcBorders>
            <w:shd w:val="clear" w:color="auto" w:fill="auto"/>
            <w:vAlign w:val="center"/>
          </w:tcPr>
          <w:p>
            <w:pPr>
              <w:spacing w:after="0"/>
              <w:jc w:val="left"/>
              <w:rPr>
                <w:rFonts w:cs="仿宋"/>
                <w:bCs/>
                <w:color w:val="auto"/>
                <w:sz w:val="20"/>
                <w:szCs w:val="20"/>
                <w:highlight w:val="none"/>
                <w:shd w:val="clear" w:color="auto" w:fill="auto"/>
              </w:rPr>
            </w:pPr>
            <w:r>
              <w:rPr>
                <w:rFonts w:hint="eastAsia" w:cs="仿宋"/>
                <w:bCs/>
                <w:color w:val="auto"/>
                <w:sz w:val="20"/>
                <w:szCs w:val="20"/>
                <w:highlight w:val="none"/>
                <w:shd w:val="clear" w:color="auto" w:fill="auto"/>
              </w:rPr>
              <w:t>型号、规格详见图纸</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cs="仿宋"/>
                <w:color w:val="auto"/>
                <w:sz w:val="20"/>
                <w:szCs w:val="20"/>
                <w:highlight w:val="none"/>
                <w:shd w:val="clear" w:color="auto" w:fill="auto"/>
              </w:rPr>
              <w:t>项</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700" w:type="dxa"/>
            <w:tcBorders>
              <w:tl2br w:val="nil"/>
              <w:tr2bl w:val="nil"/>
            </w:tcBorders>
            <w:shd w:val="clear" w:color="auto" w:fill="auto"/>
            <w:vAlign w:val="center"/>
          </w:tcPr>
          <w:p>
            <w:pPr>
              <w:spacing w:after="0"/>
              <w:jc w:val="center"/>
              <w:rPr>
                <w:rFonts w:cs="仿宋"/>
                <w:b/>
                <w:bCs/>
                <w:color w:val="auto"/>
                <w:sz w:val="20"/>
                <w:szCs w:val="20"/>
                <w:highlight w:val="none"/>
                <w:shd w:val="clear" w:color="auto" w:fill="auto"/>
              </w:rPr>
            </w:pPr>
            <w:r>
              <w:rPr>
                <w:rFonts w:hint="eastAsia" w:cs="仿宋"/>
                <w:b/>
                <w:bCs/>
                <w:color w:val="auto"/>
                <w:sz w:val="20"/>
                <w:szCs w:val="20"/>
                <w:highlight w:val="none"/>
                <w:shd w:val="clear" w:color="auto" w:fill="auto"/>
              </w:rPr>
              <w:t>9</w:t>
            </w:r>
          </w:p>
        </w:tc>
        <w:tc>
          <w:tcPr>
            <w:tcW w:w="8373" w:type="dxa"/>
            <w:gridSpan w:val="5"/>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b/>
                <w:bCs/>
                <w:color w:val="auto"/>
                <w:sz w:val="20"/>
                <w:szCs w:val="20"/>
                <w:highlight w:val="none"/>
                <w:shd w:val="clear" w:color="auto" w:fill="auto"/>
              </w:rPr>
              <w:t>电力保护管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700" w:type="dxa"/>
            <w:tcBorders>
              <w:tl2br w:val="nil"/>
              <w:tr2bl w:val="nil"/>
            </w:tcBorders>
            <w:shd w:val="clear" w:color="auto" w:fill="auto"/>
            <w:vAlign w:val="center"/>
          </w:tcPr>
          <w:p>
            <w:pPr>
              <w:spacing w:after="0"/>
              <w:jc w:val="center"/>
              <w:rPr>
                <w:rFonts w:hint="default" w:eastAsia="仿宋" w:cs="仿宋"/>
                <w:color w:val="auto"/>
                <w:sz w:val="20"/>
                <w:szCs w:val="20"/>
                <w:highlight w:val="none"/>
                <w:shd w:val="clear" w:color="auto" w:fill="auto"/>
                <w:lang w:val="en-US" w:eastAsia="zh-CN"/>
              </w:rPr>
            </w:pPr>
            <w:r>
              <w:rPr>
                <w:rFonts w:hint="eastAsia" w:cs="仿宋"/>
                <w:color w:val="auto"/>
                <w:sz w:val="20"/>
                <w:szCs w:val="20"/>
                <w:highlight w:val="none"/>
                <w:shd w:val="clear" w:color="auto" w:fill="auto"/>
                <w:lang w:val="en-US" w:eastAsia="zh-CN"/>
              </w:rPr>
              <w:t>9.1</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电力保护管</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bCs/>
                <w:color w:val="auto"/>
                <w:sz w:val="20"/>
                <w:szCs w:val="20"/>
                <w:highlight w:val="none"/>
                <w:shd w:val="clear" w:color="auto" w:fill="auto"/>
              </w:rPr>
              <w:t>型号、规格详见图纸</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cs="仿宋"/>
                <w:color w:val="auto"/>
                <w:sz w:val="20"/>
                <w:szCs w:val="20"/>
                <w:highlight w:val="none"/>
                <w:shd w:val="clear" w:color="auto" w:fill="auto"/>
              </w:rPr>
              <w:t>项</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中财/伟星/日丰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700" w:type="dxa"/>
            <w:tcBorders>
              <w:tl2br w:val="nil"/>
              <w:tr2bl w:val="nil"/>
            </w:tcBorders>
            <w:shd w:val="clear" w:color="auto" w:fill="auto"/>
            <w:vAlign w:val="center"/>
          </w:tcPr>
          <w:p>
            <w:pPr>
              <w:spacing w:after="0"/>
              <w:jc w:val="center"/>
              <w:rPr>
                <w:rFonts w:hint="default" w:eastAsia="仿宋" w:cs="仿宋"/>
                <w:color w:val="auto"/>
                <w:sz w:val="20"/>
                <w:szCs w:val="20"/>
                <w:highlight w:val="none"/>
                <w:shd w:val="clear" w:color="auto" w:fill="auto"/>
                <w:lang w:val="en-US" w:eastAsia="zh-CN"/>
              </w:rPr>
            </w:pPr>
            <w:r>
              <w:rPr>
                <w:rFonts w:hint="eastAsia" w:cs="仿宋"/>
                <w:color w:val="auto"/>
                <w:sz w:val="20"/>
                <w:szCs w:val="20"/>
                <w:highlight w:val="none"/>
                <w:shd w:val="clear" w:color="auto" w:fill="auto"/>
                <w:lang w:val="en-US" w:eastAsia="zh-CN"/>
              </w:rPr>
              <w:t>9.2</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镀锌钢管</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bCs/>
                <w:color w:val="auto"/>
                <w:sz w:val="20"/>
                <w:szCs w:val="20"/>
                <w:highlight w:val="none"/>
                <w:shd w:val="clear" w:color="auto" w:fill="auto"/>
              </w:rPr>
              <w:t>型号、规格详见图纸</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cs="仿宋"/>
                <w:color w:val="auto"/>
                <w:sz w:val="20"/>
                <w:szCs w:val="20"/>
                <w:highlight w:val="none"/>
                <w:shd w:val="clear" w:color="auto" w:fill="auto"/>
              </w:rPr>
              <w:t>项</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国标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700" w:type="dxa"/>
            <w:tcBorders>
              <w:tl2br w:val="nil"/>
              <w:tr2bl w:val="nil"/>
            </w:tcBorders>
            <w:shd w:val="clear" w:color="auto" w:fill="auto"/>
            <w:vAlign w:val="center"/>
          </w:tcPr>
          <w:p>
            <w:pPr>
              <w:spacing w:after="0"/>
              <w:jc w:val="center"/>
              <w:rPr>
                <w:rFonts w:cs="仿宋"/>
                <w:b/>
                <w:bCs/>
                <w:color w:val="auto"/>
                <w:sz w:val="20"/>
                <w:szCs w:val="20"/>
                <w:highlight w:val="none"/>
                <w:shd w:val="clear" w:color="auto" w:fill="auto"/>
              </w:rPr>
            </w:pPr>
            <w:r>
              <w:rPr>
                <w:rFonts w:hint="eastAsia" w:cs="仿宋"/>
                <w:b/>
                <w:bCs/>
                <w:color w:val="auto"/>
                <w:sz w:val="20"/>
                <w:szCs w:val="20"/>
                <w:highlight w:val="none"/>
                <w:shd w:val="clear" w:color="auto" w:fill="auto"/>
              </w:rPr>
              <w:t>10</w:t>
            </w:r>
          </w:p>
        </w:tc>
        <w:tc>
          <w:tcPr>
            <w:tcW w:w="8373" w:type="dxa"/>
            <w:gridSpan w:val="5"/>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b/>
                <w:bCs/>
                <w:color w:val="auto"/>
                <w:sz w:val="20"/>
                <w:szCs w:val="20"/>
                <w:highlight w:val="none"/>
                <w:shd w:val="clear" w:color="auto" w:fill="auto"/>
              </w:rPr>
              <w:t>接地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0" w:type="dxa"/>
            <w:tcBorders>
              <w:tl2br w:val="nil"/>
              <w:tr2bl w:val="nil"/>
            </w:tcBorders>
            <w:shd w:val="clear" w:color="auto" w:fill="auto"/>
            <w:vAlign w:val="center"/>
          </w:tcPr>
          <w:p>
            <w:pPr>
              <w:spacing w:after="0"/>
              <w:jc w:val="center"/>
              <w:rPr>
                <w:rFonts w:hint="default" w:eastAsia="仿宋" w:cs="仿宋"/>
                <w:color w:val="auto"/>
                <w:sz w:val="20"/>
                <w:szCs w:val="20"/>
                <w:highlight w:val="none"/>
                <w:shd w:val="clear" w:color="auto" w:fill="auto"/>
                <w:lang w:val="en-US" w:eastAsia="zh-CN"/>
              </w:rPr>
            </w:pPr>
            <w:r>
              <w:rPr>
                <w:rFonts w:hint="eastAsia" w:cs="仿宋"/>
                <w:color w:val="auto"/>
                <w:sz w:val="20"/>
                <w:szCs w:val="20"/>
                <w:highlight w:val="none"/>
                <w:shd w:val="clear" w:color="auto" w:fill="auto"/>
                <w:lang w:val="en-US" w:eastAsia="zh-CN"/>
              </w:rPr>
              <w:t>10.1</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接地母线</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bCs/>
                <w:color w:val="auto"/>
                <w:sz w:val="20"/>
                <w:szCs w:val="20"/>
                <w:highlight w:val="none"/>
                <w:shd w:val="clear" w:color="auto" w:fill="auto"/>
              </w:rPr>
              <w:t>型号、规格详见图纸</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cs="仿宋"/>
                <w:color w:val="auto"/>
                <w:sz w:val="20"/>
                <w:szCs w:val="20"/>
                <w:highlight w:val="none"/>
                <w:shd w:val="clear" w:color="auto" w:fill="auto"/>
              </w:rPr>
              <w:t>项</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国标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0" w:type="dxa"/>
            <w:tcBorders>
              <w:tl2br w:val="nil"/>
              <w:tr2bl w:val="nil"/>
            </w:tcBorders>
            <w:shd w:val="clear" w:color="auto" w:fill="auto"/>
            <w:vAlign w:val="center"/>
          </w:tcPr>
          <w:p>
            <w:pPr>
              <w:spacing w:after="0"/>
              <w:jc w:val="center"/>
              <w:rPr>
                <w:rFonts w:hint="default" w:eastAsia="仿宋" w:cs="仿宋"/>
                <w:color w:val="auto"/>
                <w:sz w:val="20"/>
                <w:szCs w:val="20"/>
                <w:highlight w:val="none"/>
                <w:shd w:val="clear" w:color="auto" w:fill="auto"/>
                <w:lang w:val="en-US" w:eastAsia="zh-CN"/>
              </w:rPr>
            </w:pPr>
            <w:r>
              <w:rPr>
                <w:rFonts w:hint="eastAsia" w:cs="仿宋"/>
                <w:color w:val="auto"/>
                <w:sz w:val="20"/>
                <w:szCs w:val="20"/>
                <w:highlight w:val="none"/>
                <w:shd w:val="clear" w:color="auto" w:fill="auto"/>
                <w:lang w:val="en-US" w:eastAsia="zh-CN"/>
              </w:rPr>
              <w:t>10.2</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接地极</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bCs/>
                <w:color w:val="auto"/>
                <w:sz w:val="20"/>
                <w:szCs w:val="20"/>
                <w:highlight w:val="none"/>
                <w:shd w:val="clear" w:color="auto" w:fill="auto"/>
              </w:rPr>
              <w:t>型号、规格详见图纸</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cs="仿宋"/>
                <w:color w:val="auto"/>
                <w:sz w:val="20"/>
                <w:szCs w:val="20"/>
                <w:highlight w:val="none"/>
                <w:shd w:val="clear" w:color="auto" w:fill="auto"/>
              </w:rPr>
              <w:t>项</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国标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700" w:type="dxa"/>
            <w:tcBorders>
              <w:tl2br w:val="nil"/>
              <w:tr2bl w:val="nil"/>
            </w:tcBorders>
            <w:shd w:val="clear" w:color="auto" w:fill="auto"/>
            <w:vAlign w:val="center"/>
          </w:tcPr>
          <w:p>
            <w:pPr>
              <w:spacing w:after="0"/>
              <w:jc w:val="center"/>
              <w:rPr>
                <w:rFonts w:cs="仿宋"/>
                <w:b/>
                <w:bCs/>
                <w:color w:val="auto"/>
                <w:sz w:val="20"/>
                <w:szCs w:val="20"/>
                <w:highlight w:val="none"/>
                <w:shd w:val="clear" w:color="auto" w:fill="auto"/>
              </w:rPr>
            </w:pPr>
            <w:r>
              <w:rPr>
                <w:rFonts w:hint="eastAsia" w:cs="仿宋"/>
                <w:b/>
                <w:bCs/>
                <w:color w:val="auto"/>
                <w:sz w:val="20"/>
                <w:szCs w:val="20"/>
                <w:highlight w:val="none"/>
                <w:shd w:val="clear" w:color="auto" w:fill="auto"/>
              </w:rPr>
              <w:t>二</w:t>
            </w:r>
          </w:p>
        </w:tc>
        <w:tc>
          <w:tcPr>
            <w:tcW w:w="8373" w:type="dxa"/>
            <w:gridSpan w:val="5"/>
            <w:tcBorders>
              <w:tl2br w:val="nil"/>
              <w:tr2bl w:val="nil"/>
            </w:tcBorders>
            <w:shd w:val="clear" w:color="auto" w:fill="auto"/>
            <w:vAlign w:val="center"/>
          </w:tcPr>
          <w:p>
            <w:pPr>
              <w:spacing w:after="0"/>
              <w:jc w:val="left"/>
              <w:rPr>
                <w:rFonts w:cs="仿宋"/>
                <w:b/>
                <w:bCs/>
                <w:color w:val="auto"/>
                <w:sz w:val="20"/>
                <w:szCs w:val="20"/>
                <w:highlight w:val="none"/>
                <w:shd w:val="clear" w:color="auto" w:fill="auto"/>
              </w:rPr>
            </w:pPr>
            <w:r>
              <w:rPr>
                <w:rFonts w:hint="eastAsia" w:cs="仿宋"/>
                <w:b/>
                <w:bCs/>
                <w:color w:val="auto"/>
                <w:sz w:val="20"/>
                <w:szCs w:val="20"/>
                <w:highlight w:val="none"/>
                <w:shd w:val="clear" w:color="auto" w:fill="auto"/>
              </w:rPr>
              <w:t>电缆及辅材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0" w:type="dxa"/>
            <w:tcBorders>
              <w:tl2br w:val="nil"/>
              <w:tr2bl w:val="nil"/>
            </w:tcBorders>
            <w:shd w:val="clear" w:color="auto" w:fill="auto"/>
            <w:vAlign w:val="center"/>
          </w:tcPr>
          <w:p>
            <w:pPr>
              <w:spacing w:after="0"/>
              <w:jc w:val="center"/>
              <w:rPr>
                <w:rFonts w:cs="仿宋"/>
                <w:b/>
                <w:bCs/>
                <w:color w:val="auto"/>
                <w:sz w:val="20"/>
                <w:szCs w:val="20"/>
                <w:highlight w:val="none"/>
                <w:shd w:val="clear" w:color="auto" w:fill="auto"/>
              </w:rPr>
            </w:pPr>
            <w:r>
              <w:rPr>
                <w:rFonts w:hint="eastAsia" w:cs="仿宋"/>
                <w:b/>
                <w:bCs/>
                <w:color w:val="auto"/>
                <w:sz w:val="20"/>
                <w:szCs w:val="20"/>
                <w:highlight w:val="none"/>
                <w:shd w:val="clear" w:color="auto" w:fill="auto"/>
              </w:rPr>
              <w:t>1</w:t>
            </w:r>
          </w:p>
        </w:tc>
        <w:tc>
          <w:tcPr>
            <w:tcW w:w="8373" w:type="dxa"/>
            <w:gridSpan w:val="5"/>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b/>
                <w:bCs/>
                <w:color w:val="auto"/>
                <w:sz w:val="20"/>
                <w:szCs w:val="20"/>
                <w:highlight w:val="none"/>
                <w:shd w:val="clear" w:color="auto" w:fill="auto"/>
              </w:rPr>
              <w:t>交直流电缆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trPr>
        <w:tc>
          <w:tcPr>
            <w:tcW w:w="700" w:type="dxa"/>
            <w:tcBorders>
              <w:tl2br w:val="nil"/>
              <w:tr2bl w:val="nil"/>
            </w:tcBorders>
            <w:shd w:val="clear" w:color="auto" w:fill="auto"/>
            <w:vAlign w:val="center"/>
          </w:tcPr>
          <w:p>
            <w:pPr>
              <w:spacing w:after="0"/>
              <w:jc w:val="center"/>
              <w:rPr>
                <w:rFonts w:hint="default" w:eastAsia="仿宋" w:cs="仿宋"/>
                <w:b w:val="0"/>
                <w:bCs w:val="0"/>
                <w:color w:val="auto"/>
                <w:sz w:val="20"/>
                <w:szCs w:val="20"/>
                <w:highlight w:val="none"/>
                <w:shd w:val="clear" w:color="auto" w:fill="auto"/>
                <w:lang w:val="en-US" w:eastAsia="zh-CN"/>
              </w:rPr>
            </w:pPr>
            <w:r>
              <w:rPr>
                <w:rFonts w:hint="eastAsia" w:cs="仿宋"/>
                <w:b w:val="0"/>
                <w:bCs w:val="0"/>
                <w:color w:val="auto"/>
                <w:sz w:val="20"/>
                <w:szCs w:val="20"/>
                <w:highlight w:val="none"/>
                <w:shd w:val="clear" w:color="auto" w:fill="auto"/>
                <w:lang w:val="en-US" w:eastAsia="zh-CN"/>
              </w:rPr>
              <w:t>1.1</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光伏电缆</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bCs/>
                <w:color w:val="auto"/>
                <w:sz w:val="20"/>
                <w:szCs w:val="20"/>
                <w:highlight w:val="none"/>
                <w:shd w:val="clear" w:color="auto" w:fill="auto"/>
              </w:rPr>
              <w:t>型号、规格详见图纸</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cs="仿宋"/>
                <w:color w:val="auto"/>
                <w:sz w:val="20"/>
                <w:szCs w:val="20"/>
                <w:highlight w:val="none"/>
                <w:shd w:val="clear" w:color="auto" w:fill="auto"/>
              </w:rPr>
              <w:t>项</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上上/远程/远东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00" w:type="dxa"/>
            <w:tcBorders>
              <w:tl2br w:val="nil"/>
              <w:tr2bl w:val="nil"/>
            </w:tcBorders>
            <w:shd w:val="clear" w:color="auto" w:fill="auto"/>
            <w:vAlign w:val="center"/>
          </w:tcPr>
          <w:p>
            <w:pPr>
              <w:spacing w:after="0"/>
              <w:jc w:val="center"/>
              <w:rPr>
                <w:rFonts w:hint="default" w:eastAsia="仿宋" w:cs="仿宋"/>
                <w:b w:val="0"/>
                <w:bCs w:val="0"/>
                <w:color w:val="auto"/>
                <w:sz w:val="20"/>
                <w:szCs w:val="20"/>
                <w:highlight w:val="none"/>
                <w:shd w:val="clear" w:color="auto" w:fill="auto"/>
                <w:lang w:val="en-US" w:eastAsia="zh-CN"/>
              </w:rPr>
            </w:pPr>
            <w:r>
              <w:rPr>
                <w:rFonts w:hint="eastAsia" w:cs="仿宋"/>
                <w:b w:val="0"/>
                <w:bCs w:val="0"/>
                <w:color w:val="auto"/>
                <w:sz w:val="20"/>
                <w:szCs w:val="20"/>
                <w:highlight w:val="none"/>
                <w:shd w:val="clear" w:color="auto" w:fill="auto"/>
                <w:lang w:val="en-US" w:eastAsia="zh-CN"/>
              </w:rPr>
              <w:t>1.2</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电力电缆</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bCs/>
                <w:color w:val="auto"/>
                <w:sz w:val="20"/>
                <w:szCs w:val="20"/>
                <w:highlight w:val="none"/>
                <w:shd w:val="clear" w:color="auto" w:fill="auto"/>
              </w:rPr>
              <w:t>型号、规格详见图纸</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cs="仿宋"/>
                <w:color w:val="auto"/>
                <w:sz w:val="20"/>
                <w:szCs w:val="20"/>
                <w:highlight w:val="none"/>
                <w:shd w:val="clear" w:color="auto" w:fill="auto"/>
              </w:rPr>
              <w:t>项</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永通/万马/上上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700" w:type="dxa"/>
            <w:tcBorders>
              <w:tl2br w:val="nil"/>
              <w:tr2bl w:val="nil"/>
            </w:tcBorders>
            <w:shd w:val="clear" w:color="auto" w:fill="auto"/>
            <w:vAlign w:val="center"/>
          </w:tcPr>
          <w:p>
            <w:pPr>
              <w:spacing w:after="0"/>
              <w:jc w:val="center"/>
              <w:rPr>
                <w:rFonts w:cs="仿宋"/>
                <w:b/>
                <w:bCs/>
                <w:color w:val="auto"/>
                <w:sz w:val="20"/>
                <w:szCs w:val="20"/>
                <w:highlight w:val="none"/>
                <w:shd w:val="clear" w:color="auto" w:fill="auto"/>
              </w:rPr>
            </w:pPr>
            <w:r>
              <w:rPr>
                <w:rFonts w:hint="eastAsia" w:cs="仿宋"/>
                <w:b/>
                <w:bCs/>
                <w:color w:val="auto"/>
                <w:sz w:val="20"/>
                <w:szCs w:val="20"/>
                <w:highlight w:val="none"/>
                <w:shd w:val="clear" w:color="auto" w:fill="auto"/>
              </w:rPr>
              <w:t>2</w:t>
            </w:r>
          </w:p>
        </w:tc>
        <w:tc>
          <w:tcPr>
            <w:tcW w:w="8373" w:type="dxa"/>
            <w:gridSpan w:val="5"/>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b/>
                <w:bCs/>
                <w:color w:val="auto"/>
                <w:sz w:val="20"/>
                <w:szCs w:val="20"/>
                <w:highlight w:val="none"/>
                <w:shd w:val="clear" w:color="auto" w:fill="auto"/>
              </w:rPr>
              <w:t>其他电缆及终端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0" w:type="dxa"/>
            <w:tcBorders>
              <w:tl2br w:val="nil"/>
              <w:tr2bl w:val="nil"/>
            </w:tcBorders>
            <w:shd w:val="clear" w:color="auto" w:fill="auto"/>
            <w:vAlign w:val="center"/>
          </w:tcPr>
          <w:p>
            <w:pPr>
              <w:spacing w:after="0"/>
              <w:jc w:val="center"/>
              <w:rPr>
                <w:rFonts w:hint="default" w:eastAsia="仿宋" w:cs="仿宋"/>
                <w:b w:val="0"/>
                <w:bCs w:val="0"/>
                <w:color w:val="auto"/>
                <w:sz w:val="20"/>
                <w:szCs w:val="20"/>
                <w:highlight w:val="none"/>
                <w:shd w:val="clear" w:color="auto" w:fill="auto"/>
                <w:lang w:val="en-US" w:eastAsia="zh-CN"/>
              </w:rPr>
            </w:pPr>
            <w:r>
              <w:rPr>
                <w:rFonts w:hint="eastAsia" w:cs="仿宋"/>
                <w:b w:val="0"/>
                <w:bCs w:val="0"/>
                <w:color w:val="auto"/>
                <w:sz w:val="20"/>
                <w:szCs w:val="20"/>
                <w:highlight w:val="none"/>
                <w:shd w:val="clear" w:color="auto" w:fill="auto"/>
                <w:lang w:val="en-US" w:eastAsia="zh-CN"/>
              </w:rPr>
              <w:t>2.1</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二次控制电缆</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bCs/>
                <w:color w:val="auto"/>
                <w:sz w:val="20"/>
                <w:szCs w:val="20"/>
                <w:highlight w:val="none"/>
                <w:shd w:val="clear" w:color="auto" w:fill="auto"/>
              </w:rPr>
              <w:t>型号、规格详见图纸</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cs="仿宋"/>
                <w:color w:val="auto"/>
                <w:sz w:val="20"/>
                <w:szCs w:val="20"/>
                <w:highlight w:val="none"/>
                <w:shd w:val="clear" w:color="auto" w:fill="auto"/>
              </w:rPr>
              <w:t>项</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玖信/远程/远东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0" w:type="dxa"/>
            <w:tcBorders>
              <w:tl2br w:val="nil"/>
              <w:tr2bl w:val="nil"/>
            </w:tcBorders>
            <w:shd w:val="clear" w:color="auto" w:fill="auto"/>
            <w:vAlign w:val="center"/>
          </w:tcPr>
          <w:p>
            <w:pPr>
              <w:spacing w:after="0"/>
              <w:jc w:val="center"/>
              <w:rPr>
                <w:rFonts w:hint="default" w:eastAsia="仿宋" w:cs="仿宋"/>
                <w:b w:val="0"/>
                <w:bCs w:val="0"/>
                <w:color w:val="auto"/>
                <w:sz w:val="20"/>
                <w:szCs w:val="20"/>
                <w:highlight w:val="none"/>
                <w:shd w:val="clear" w:color="auto" w:fill="auto"/>
                <w:lang w:val="en-US" w:eastAsia="zh-CN"/>
              </w:rPr>
            </w:pPr>
            <w:r>
              <w:rPr>
                <w:rFonts w:hint="eastAsia" w:cs="仿宋"/>
                <w:b w:val="0"/>
                <w:bCs w:val="0"/>
                <w:color w:val="auto"/>
                <w:sz w:val="20"/>
                <w:szCs w:val="20"/>
                <w:highlight w:val="none"/>
                <w:shd w:val="clear" w:color="auto" w:fill="auto"/>
                <w:lang w:val="en-US" w:eastAsia="zh-CN"/>
              </w:rPr>
              <w:t>2.2</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逆变器通讯电缆</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bCs/>
                <w:color w:val="auto"/>
                <w:sz w:val="20"/>
                <w:szCs w:val="20"/>
                <w:highlight w:val="none"/>
                <w:shd w:val="clear" w:color="auto" w:fill="auto"/>
              </w:rPr>
              <w:t>型号、规格详见图纸</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cs="仿宋"/>
                <w:color w:val="auto"/>
                <w:sz w:val="20"/>
                <w:szCs w:val="20"/>
                <w:highlight w:val="none"/>
                <w:shd w:val="clear" w:color="auto" w:fill="auto"/>
              </w:rPr>
              <w:t>项</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玖信/远程/远东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trPr>
        <w:tc>
          <w:tcPr>
            <w:tcW w:w="700" w:type="dxa"/>
            <w:tcBorders>
              <w:tl2br w:val="nil"/>
              <w:tr2bl w:val="nil"/>
            </w:tcBorders>
            <w:shd w:val="clear" w:color="auto" w:fill="auto"/>
            <w:vAlign w:val="center"/>
          </w:tcPr>
          <w:p>
            <w:pPr>
              <w:spacing w:after="0"/>
              <w:jc w:val="center"/>
              <w:rPr>
                <w:rFonts w:hint="default" w:eastAsia="仿宋" w:cs="仿宋"/>
                <w:b w:val="0"/>
                <w:bCs w:val="0"/>
                <w:color w:val="auto"/>
                <w:sz w:val="20"/>
                <w:szCs w:val="20"/>
                <w:highlight w:val="none"/>
                <w:shd w:val="clear" w:color="auto" w:fill="auto"/>
                <w:lang w:val="en-US" w:eastAsia="zh-CN"/>
              </w:rPr>
            </w:pPr>
            <w:r>
              <w:rPr>
                <w:rFonts w:hint="eastAsia" w:cs="仿宋"/>
                <w:b w:val="0"/>
                <w:bCs w:val="0"/>
                <w:color w:val="auto"/>
                <w:sz w:val="20"/>
                <w:szCs w:val="20"/>
                <w:highlight w:val="none"/>
                <w:shd w:val="clear" w:color="auto" w:fill="auto"/>
                <w:lang w:val="en-US" w:eastAsia="zh-CN"/>
              </w:rPr>
              <w:t>2.3</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视屏监控电源电缆</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bCs/>
                <w:color w:val="auto"/>
                <w:sz w:val="20"/>
                <w:szCs w:val="20"/>
                <w:highlight w:val="none"/>
                <w:shd w:val="clear" w:color="auto" w:fill="auto"/>
              </w:rPr>
              <w:t>型号、规格详见图纸</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cs="仿宋"/>
                <w:color w:val="auto"/>
                <w:sz w:val="20"/>
                <w:szCs w:val="20"/>
                <w:highlight w:val="none"/>
                <w:shd w:val="clear" w:color="auto" w:fill="auto"/>
              </w:rPr>
              <w:t>项</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玖信/远程/远东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700" w:type="dxa"/>
            <w:tcBorders>
              <w:tl2br w:val="nil"/>
              <w:tr2bl w:val="nil"/>
            </w:tcBorders>
            <w:shd w:val="clear" w:color="auto" w:fill="auto"/>
            <w:vAlign w:val="center"/>
          </w:tcPr>
          <w:p>
            <w:pPr>
              <w:spacing w:after="0"/>
              <w:jc w:val="center"/>
              <w:rPr>
                <w:rFonts w:hint="default" w:eastAsia="仿宋" w:cs="仿宋"/>
                <w:b w:val="0"/>
                <w:bCs w:val="0"/>
                <w:color w:val="auto"/>
                <w:sz w:val="20"/>
                <w:szCs w:val="20"/>
                <w:highlight w:val="none"/>
                <w:shd w:val="clear" w:color="auto" w:fill="auto"/>
                <w:lang w:val="en-US" w:eastAsia="zh-CN"/>
              </w:rPr>
            </w:pPr>
            <w:r>
              <w:rPr>
                <w:rFonts w:hint="eastAsia" w:cs="仿宋"/>
                <w:b w:val="0"/>
                <w:bCs w:val="0"/>
                <w:color w:val="auto"/>
                <w:sz w:val="20"/>
                <w:szCs w:val="20"/>
                <w:highlight w:val="none"/>
                <w:shd w:val="clear" w:color="auto" w:fill="auto"/>
                <w:lang w:val="en-US" w:eastAsia="zh-CN"/>
              </w:rPr>
              <w:t>2.4</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光纤</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bCs/>
                <w:color w:val="auto"/>
                <w:sz w:val="20"/>
                <w:szCs w:val="20"/>
                <w:highlight w:val="none"/>
                <w:shd w:val="clear" w:color="auto" w:fill="auto"/>
              </w:rPr>
              <w:t>型号、规格详见图纸</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cs="仿宋"/>
                <w:color w:val="auto"/>
                <w:sz w:val="20"/>
                <w:szCs w:val="20"/>
                <w:highlight w:val="none"/>
                <w:shd w:val="clear" w:color="auto" w:fill="auto"/>
              </w:rPr>
              <w:t>项</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玖信/远程/远东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0" w:type="dxa"/>
            <w:tcBorders>
              <w:tl2br w:val="nil"/>
              <w:tr2bl w:val="nil"/>
            </w:tcBorders>
            <w:shd w:val="clear" w:color="auto" w:fill="auto"/>
            <w:vAlign w:val="center"/>
          </w:tcPr>
          <w:p>
            <w:pPr>
              <w:spacing w:after="0"/>
              <w:jc w:val="center"/>
              <w:rPr>
                <w:rFonts w:hint="default" w:eastAsia="仿宋" w:cs="仿宋"/>
                <w:b w:val="0"/>
                <w:bCs w:val="0"/>
                <w:color w:val="auto"/>
                <w:sz w:val="20"/>
                <w:szCs w:val="20"/>
                <w:highlight w:val="none"/>
                <w:shd w:val="clear" w:color="auto" w:fill="auto"/>
                <w:lang w:val="en-US" w:eastAsia="zh-CN"/>
              </w:rPr>
            </w:pPr>
            <w:r>
              <w:rPr>
                <w:rFonts w:hint="eastAsia" w:cs="仿宋"/>
                <w:b w:val="0"/>
                <w:bCs w:val="0"/>
                <w:color w:val="auto"/>
                <w:sz w:val="20"/>
                <w:szCs w:val="20"/>
                <w:highlight w:val="none"/>
                <w:shd w:val="clear" w:color="auto" w:fill="auto"/>
                <w:lang w:val="en-US" w:eastAsia="zh-CN"/>
              </w:rPr>
              <w:t>2.5</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电缆终端</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bCs/>
                <w:color w:val="auto"/>
                <w:sz w:val="20"/>
                <w:szCs w:val="20"/>
                <w:highlight w:val="none"/>
                <w:shd w:val="clear" w:color="auto" w:fill="auto"/>
              </w:rPr>
              <w:t>型号、规格详见图纸</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cs="仿宋"/>
                <w:color w:val="auto"/>
                <w:sz w:val="20"/>
                <w:szCs w:val="20"/>
                <w:highlight w:val="none"/>
                <w:shd w:val="clear" w:color="auto" w:fill="auto"/>
              </w:rPr>
              <w:t>项</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国标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trPr>
        <w:tc>
          <w:tcPr>
            <w:tcW w:w="700" w:type="dxa"/>
            <w:tcBorders>
              <w:tl2br w:val="nil"/>
              <w:tr2bl w:val="nil"/>
            </w:tcBorders>
            <w:shd w:val="clear" w:color="auto" w:fill="auto"/>
            <w:vAlign w:val="center"/>
          </w:tcPr>
          <w:p>
            <w:pPr>
              <w:spacing w:after="0"/>
              <w:jc w:val="center"/>
              <w:rPr>
                <w:rFonts w:hint="default" w:eastAsia="仿宋" w:cs="仿宋"/>
                <w:b w:val="0"/>
                <w:bCs w:val="0"/>
                <w:color w:val="auto"/>
                <w:sz w:val="20"/>
                <w:szCs w:val="20"/>
                <w:highlight w:val="none"/>
                <w:shd w:val="clear" w:color="auto" w:fill="auto"/>
                <w:lang w:val="en-US" w:eastAsia="zh-CN"/>
              </w:rPr>
            </w:pPr>
            <w:r>
              <w:rPr>
                <w:rFonts w:hint="eastAsia" w:cs="仿宋"/>
                <w:b w:val="0"/>
                <w:bCs w:val="0"/>
                <w:color w:val="auto"/>
                <w:sz w:val="20"/>
                <w:szCs w:val="20"/>
                <w:highlight w:val="none"/>
                <w:shd w:val="clear" w:color="auto" w:fill="auto"/>
                <w:lang w:val="en-US" w:eastAsia="zh-CN"/>
              </w:rPr>
              <w:t>2.6</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逆变器接地线</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bCs/>
                <w:color w:val="auto"/>
                <w:sz w:val="20"/>
                <w:szCs w:val="20"/>
                <w:highlight w:val="none"/>
                <w:shd w:val="clear" w:color="auto" w:fill="auto"/>
              </w:rPr>
              <w:t>型号、规格详见图纸</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cs="仿宋"/>
                <w:color w:val="auto"/>
                <w:sz w:val="20"/>
                <w:szCs w:val="20"/>
                <w:highlight w:val="none"/>
                <w:shd w:val="clear" w:color="auto" w:fill="auto"/>
              </w:rPr>
              <w:t>项</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国标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700" w:type="dxa"/>
            <w:tcBorders>
              <w:tl2br w:val="nil"/>
              <w:tr2bl w:val="nil"/>
            </w:tcBorders>
            <w:shd w:val="clear" w:color="auto" w:fill="auto"/>
            <w:vAlign w:val="center"/>
          </w:tcPr>
          <w:p>
            <w:pPr>
              <w:spacing w:after="0"/>
              <w:jc w:val="center"/>
              <w:rPr>
                <w:rFonts w:cs="仿宋"/>
                <w:b/>
                <w:bCs/>
                <w:color w:val="auto"/>
                <w:sz w:val="20"/>
                <w:szCs w:val="20"/>
                <w:highlight w:val="none"/>
                <w:shd w:val="clear" w:color="auto" w:fill="auto"/>
              </w:rPr>
            </w:pPr>
            <w:r>
              <w:rPr>
                <w:rFonts w:hint="eastAsia" w:cs="仿宋"/>
                <w:b/>
                <w:bCs/>
                <w:color w:val="auto"/>
                <w:sz w:val="20"/>
                <w:szCs w:val="20"/>
                <w:highlight w:val="none"/>
                <w:shd w:val="clear" w:color="auto" w:fill="auto"/>
              </w:rPr>
              <w:t>三</w:t>
            </w:r>
          </w:p>
        </w:tc>
        <w:tc>
          <w:tcPr>
            <w:tcW w:w="8373" w:type="dxa"/>
            <w:gridSpan w:val="5"/>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b/>
                <w:bCs/>
                <w:color w:val="auto"/>
                <w:sz w:val="20"/>
                <w:szCs w:val="20"/>
                <w:highlight w:val="none"/>
                <w:shd w:val="clear" w:color="auto" w:fill="auto"/>
              </w:rPr>
              <w:t>控制保护设备及其他设备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700" w:type="dxa"/>
            <w:tcBorders>
              <w:tl2br w:val="nil"/>
              <w:tr2bl w:val="nil"/>
            </w:tcBorders>
            <w:shd w:val="clear" w:color="auto" w:fill="auto"/>
            <w:vAlign w:val="center"/>
          </w:tcPr>
          <w:p>
            <w:pPr>
              <w:spacing w:after="0"/>
              <w:jc w:val="center"/>
              <w:rPr>
                <w:rFonts w:hint="eastAsia" w:eastAsia="仿宋" w:cs="仿宋"/>
                <w:color w:val="auto"/>
                <w:sz w:val="20"/>
                <w:szCs w:val="20"/>
                <w:highlight w:val="none"/>
                <w:shd w:val="clear" w:color="auto" w:fill="auto"/>
                <w:lang w:val="en-US" w:eastAsia="zh-CN"/>
              </w:rPr>
            </w:pPr>
            <w:r>
              <w:rPr>
                <w:rFonts w:hint="eastAsia" w:cs="仿宋"/>
                <w:color w:val="auto"/>
                <w:sz w:val="20"/>
                <w:szCs w:val="20"/>
                <w:highlight w:val="none"/>
                <w:shd w:val="clear" w:color="auto" w:fill="auto"/>
                <w:lang w:val="en-US" w:eastAsia="zh-CN"/>
              </w:rPr>
              <w:t>1</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监控主机</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bCs/>
                <w:color w:val="auto"/>
                <w:sz w:val="20"/>
                <w:szCs w:val="20"/>
                <w:highlight w:val="none"/>
                <w:shd w:val="clear" w:color="auto" w:fill="auto"/>
              </w:rPr>
              <w:t>型号、规格详见图纸</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台</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 xml:space="preserve">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英飞拓/海康/大华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0" w:type="dxa"/>
            <w:tcBorders>
              <w:tl2br w:val="nil"/>
              <w:tr2bl w:val="nil"/>
            </w:tcBorders>
            <w:shd w:val="clear" w:color="auto" w:fill="auto"/>
            <w:vAlign w:val="center"/>
          </w:tcPr>
          <w:p>
            <w:pPr>
              <w:spacing w:after="0"/>
              <w:jc w:val="center"/>
              <w:rPr>
                <w:rFonts w:hint="eastAsia" w:eastAsia="仿宋" w:cs="仿宋"/>
                <w:color w:val="auto"/>
                <w:sz w:val="20"/>
                <w:szCs w:val="20"/>
                <w:highlight w:val="none"/>
                <w:shd w:val="clear" w:color="auto" w:fill="auto"/>
                <w:lang w:val="en-US" w:eastAsia="zh-CN"/>
              </w:rPr>
            </w:pPr>
            <w:r>
              <w:rPr>
                <w:rFonts w:hint="eastAsia" w:cs="仿宋"/>
                <w:color w:val="auto"/>
                <w:sz w:val="20"/>
                <w:szCs w:val="20"/>
                <w:highlight w:val="none"/>
                <w:shd w:val="clear" w:color="auto" w:fill="auto"/>
                <w:lang w:val="en-US" w:eastAsia="zh-CN"/>
              </w:rPr>
              <w:t>2</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视频监控系统</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bCs/>
                <w:color w:val="auto"/>
                <w:sz w:val="20"/>
                <w:szCs w:val="20"/>
                <w:highlight w:val="none"/>
                <w:shd w:val="clear" w:color="auto" w:fill="auto"/>
              </w:rPr>
              <w:t>型号、规格详见图纸</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项</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 xml:space="preserve">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英飞拓/海康/大华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0" w:type="dxa"/>
            <w:tcBorders>
              <w:tl2br w:val="nil"/>
              <w:tr2bl w:val="nil"/>
            </w:tcBorders>
            <w:shd w:val="clear" w:color="auto" w:fill="auto"/>
            <w:vAlign w:val="center"/>
          </w:tcPr>
          <w:p>
            <w:pPr>
              <w:spacing w:after="0"/>
              <w:jc w:val="center"/>
              <w:rPr>
                <w:rFonts w:hint="eastAsia" w:eastAsia="仿宋" w:cs="仿宋"/>
                <w:color w:val="auto"/>
                <w:sz w:val="20"/>
                <w:szCs w:val="20"/>
                <w:highlight w:val="none"/>
                <w:shd w:val="clear" w:color="auto" w:fill="auto"/>
                <w:lang w:val="en-US" w:eastAsia="zh-CN"/>
              </w:rPr>
            </w:pPr>
            <w:r>
              <w:rPr>
                <w:rFonts w:hint="eastAsia" w:cs="仿宋"/>
                <w:color w:val="auto"/>
                <w:sz w:val="20"/>
                <w:szCs w:val="20"/>
                <w:highlight w:val="none"/>
                <w:shd w:val="clear" w:color="auto" w:fill="auto"/>
                <w:lang w:val="en-US" w:eastAsia="zh-CN"/>
              </w:rPr>
              <w:t>3</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线路保护装置</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bCs/>
                <w:color w:val="auto"/>
                <w:sz w:val="20"/>
                <w:szCs w:val="20"/>
                <w:highlight w:val="none"/>
                <w:shd w:val="clear" w:color="auto" w:fill="auto"/>
              </w:rPr>
              <w:t>型号、规格详见图纸</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套</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 xml:space="preserve">2.00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中电/中新/四方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0" w:type="dxa"/>
            <w:tcBorders>
              <w:tl2br w:val="nil"/>
              <w:tr2bl w:val="nil"/>
            </w:tcBorders>
            <w:shd w:val="clear" w:color="auto" w:fill="auto"/>
            <w:vAlign w:val="center"/>
          </w:tcPr>
          <w:p>
            <w:pPr>
              <w:spacing w:after="0"/>
              <w:jc w:val="center"/>
              <w:rPr>
                <w:rFonts w:hint="eastAsia" w:eastAsia="仿宋" w:cs="仿宋"/>
                <w:color w:val="auto"/>
                <w:sz w:val="20"/>
                <w:szCs w:val="20"/>
                <w:highlight w:val="none"/>
                <w:shd w:val="clear" w:color="auto" w:fill="auto"/>
                <w:lang w:val="en-US" w:eastAsia="zh-CN"/>
              </w:rPr>
            </w:pPr>
            <w:r>
              <w:rPr>
                <w:rFonts w:hint="eastAsia" w:cs="仿宋"/>
                <w:color w:val="auto"/>
                <w:sz w:val="20"/>
                <w:szCs w:val="20"/>
                <w:highlight w:val="none"/>
                <w:shd w:val="clear" w:color="auto" w:fill="auto"/>
                <w:lang w:val="en-US" w:eastAsia="zh-CN"/>
              </w:rPr>
              <w:t>4</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变压器保护装置</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bCs/>
                <w:color w:val="auto"/>
                <w:sz w:val="20"/>
                <w:szCs w:val="20"/>
                <w:highlight w:val="none"/>
                <w:shd w:val="clear" w:color="auto" w:fill="auto"/>
              </w:rPr>
              <w:t>型号、规格详见图纸</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套</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 xml:space="preserve">2.00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中电/中新/四方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700" w:type="dxa"/>
            <w:tcBorders>
              <w:tl2br w:val="nil"/>
              <w:tr2bl w:val="nil"/>
            </w:tcBorders>
            <w:shd w:val="clear" w:color="auto" w:fill="auto"/>
            <w:vAlign w:val="center"/>
          </w:tcPr>
          <w:p>
            <w:pPr>
              <w:spacing w:after="0"/>
              <w:jc w:val="center"/>
              <w:rPr>
                <w:rFonts w:hint="eastAsia" w:eastAsia="仿宋" w:cs="仿宋"/>
                <w:color w:val="auto"/>
                <w:sz w:val="20"/>
                <w:szCs w:val="20"/>
                <w:highlight w:val="none"/>
                <w:shd w:val="clear" w:color="auto" w:fill="auto"/>
                <w:lang w:val="en-US" w:eastAsia="zh-CN"/>
              </w:rPr>
            </w:pPr>
            <w:r>
              <w:rPr>
                <w:rFonts w:hint="eastAsia" w:cs="仿宋"/>
                <w:color w:val="auto"/>
                <w:sz w:val="20"/>
                <w:szCs w:val="20"/>
                <w:highlight w:val="none"/>
                <w:shd w:val="clear" w:color="auto" w:fill="auto"/>
                <w:lang w:val="en-US" w:eastAsia="zh-CN"/>
              </w:rPr>
              <w:t>5</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综合屛</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color w:val="auto"/>
                <w:sz w:val="20"/>
                <w:szCs w:val="20"/>
                <w:highlight w:val="none"/>
                <w:shd w:val="clear" w:color="auto" w:fill="auto"/>
              </w:rPr>
              <w:t>含防孤岛保护装置、远动装置、电源协调监控装置、对时装置及交换机</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面</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 xml:space="preserve">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中电/中新/四方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700" w:type="dxa"/>
            <w:tcBorders>
              <w:tl2br w:val="nil"/>
              <w:tr2bl w:val="nil"/>
            </w:tcBorders>
            <w:shd w:val="clear" w:color="auto" w:fill="auto"/>
            <w:vAlign w:val="center"/>
          </w:tcPr>
          <w:p>
            <w:pPr>
              <w:spacing w:after="0"/>
              <w:jc w:val="center"/>
              <w:rPr>
                <w:rFonts w:hint="eastAsia" w:eastAsia="仿宋" w:cs="仿宋"/>
                <w:color w:val="auto"/>
                <w:sz w:val="20"/>
                <w:szCs w:val="20"/>
                <w:highlight w:val="none"/>
                <w:shd w:val="clear" w:color="auto" w:fill="auto"/>
                <w:lang w:val="en-US" w:eastAsia="zh-CN"/>
              </w:rPr>
            </w:pPr>
            <w:r>
              <w:rPr>
                <w:rFonts w:hint="eastAsia" w:cs="仿宋"/>
                <w:color w:val="auto"/>
                <w:sz w:val="20"/>
                <w:szCs w:val="20"/>
                <w:highlight w:val="none"/>
                <w:shd w:val="clear" w:color="auto" w:fill="auto"/>
                <w:lang w:val="en-US" w:eastAsia="zh-CN"/>
              </w:rPr>
              <w:t>6</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电能量采集屏</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面</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 xml:space="preserve">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中电/中新/四方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700" w:type="dxa"/>
            <w:tcBorders>
              <w:tl2br w:val="nil"/>
              <w:tr2bl w:val="nil"/>
            </w:tcBorders>
            <w:shd w:val="clear" w:color="auto" w:fill="auto"/>
            <w:vAlign w:val="center"/>
          </w:tcPr>
          <w:p>
            <w:pPr>
              <w:spacing w:after="0"/>
              <w:jc w:val="center"/>
              <w:rPr>
                <w:rFonts w:hint="eastAsia" w:eastAsia="仿宋" w:cs="仿宋"/>
                <w:color w:val="auto"/>
                <w:sz w:val="20"/>
                <w:szCs w:val="20"/>
                <w:highlight w:val="none"/>
                <w:shd w:val="clear" w:color="auto" w:fill="auto"/>
                <w:lang w:val="en-US" w:eastAsia="zh-CN"/>
              </w:rPr>
            </w:pPr>
            <w:r>
              <w:rPr>
                <w:rFonts w:hint="eastAsia" w:cs="仿宋"/>
                <w:color w:val="auto"/>
                <w:sz w:val="20"/>
                <w:szCs w:val="20"/>
                <w:highlight w:val="none"/>
                <w:shd w:val="clear" w:color="auto" w:fill="auto"/>
                <w:lang w:val="en-US" w:eastAsia="zh-CN"/>
              </w:rPr>
              <w:t>7</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交直流屏</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color w:val="auto"/>
                <w:sz w:val="20"/>
                <w:szCs w:val="20"/>
                <w:highlight w:val="none"/>
                <w:shd w:val="clear" w:color="auto" w:fill="auto"/>
              </w:rPr>
              <w:t>65AH  DC110V</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面</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 xml:space="preserve">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锦自/双驰/四方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700" w:type="dxa"/>
            <w:tcBorders>
              <w:tl2br w:val="nil"/>
              <w:tr2bl w:val="nil"/>
            </w:tcBorders>
            <w:shd w:val="clear" w:color="auto" w:fill="auto"/>
            <w:vAlign w:val="center"/>
          </w:tcPr>
          <w:p>
            <w:pPr>
              <w:spacing w:after="0"/>
              <w:jc w:val="center"/>
              <w:rPr>
                <w:rFonts w:hint="eastAsia" w:eastAsia="仿宋" w:cs="仿宋"/>
                <w:color w:val="auto"/>
                <w:sz w:val="20"/>
                <w:szCs w:val="20"/>
                <w:highlight w:val="none"/>
                <w:shd w:val="clear" w:color="auto" w:fill="auto"/>
                <w:lang w:val="en-US" w:eastAsia="zh-CN"/>
              </w:rPr>
            </w:pPr>
            <w:r>
              <w:rPr>
                <w:rFonts w:hint="eastAsia" w:cs="仿宋"/>
                <w:color w:val="auto"/>
                <w:sz w:val="20"/>
                <w:szCs w:val="20"/>
                <w:highlight w:val="none"/>
                <w:shd w:val="clear" w:color="auto" w:fill="auto"/>
                <w:lang w:val="en-US" w:eastAsia="zh-CN"/>
              </w:rPr>
              <w:t>8</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调度数据网屏</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color w:val="auto"/>
                <w:sz w:val="20"/>
                <w:szCs w:val="20"/>
                <w:highlight w:val="none"/>
                <w:shd w:val="clear" w:color="auto" w:fill="auto"/>
              </w:rPr>
              <w:t>含纵向加密装置、防火墙、隔离装置等</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面</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 xml:space="preserve">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中电/中新/四方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00" w:type="dxa"/>
            <w:tcBorders>
              <w:tl2br w:val="nil"/>
              <w:tr2bl w:val="nil"/>
            </w:tcBorders>
            <w:shd w:val="clear" w:color="auto" w:fill="auto"/>
            <w:vAlign w:val="center"/>
          </w:tcPr>
          <w:p>
            <w:pPr>
              <w:spacing w:after="0"/>
              <w:jc w:val="center"/>
              <w:rPr>
                <w:rFonts w:hint="eastAsia" w:eastAsia="仿宋" w:cs="仿宋"/>
                <w:color w:val="auto"/>
                <w:sz w:val="20"/>
                <w:szCs w:val="20"/>
                <w:highlight w:val="none"/>
                <w:shd w:val="clear" w:color="auto" w:fill="auto"/>
                <w:lang w:val="en-US" w:eastAsia="zh-CN"/>
              </w:rPr>
            </w:pPr>
            <w:r>
              <w:rPr>
                <w:rFonts w:hint="eastAsia" w:cs="仿宋"/>
                <w:color w:val="auto"/>
                <w:sz w:val="20"/>
                <w:szCs w:val="20"/>
                <w:highlight w:val="none"/>
                <w:shd w:val="clear" w:color="auto" w:fill="auto"/>
                <w:lang w:val="en-US" w:eastAsia="zh-CN"/>
              </w:rPr>
              <w:t>9</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通讯屛</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color w:val="auto"/>
                <w:sz w:val="20"/>
                <w:szCs w:val="20"/>
                <w:highlight w:val="none"/>
                <w:shd w:val="clear" w:color="auto" w:fill="auto"/>
              </w:rPr>
              <w:t>含光电一体化设备、音配等</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面</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 xml:space="preserve">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中电/中新/四方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700" w:type="dxa"/>
            <w:tcBorders>
              <w:tl2br w:val="nil"/>
              <w:tr2bl w:val="nil"/>
            </w:tcBorders>
            <w:shd w:val="clear" w:color="auto" w:fill="auto"/>
            <w:vAlign w:val="center"/>
          </w:tcPr>
          <w:p>
            <w:pPr>
              <w:spacing w:after="0"/>
              <w:jc w:val="center"/>
              <w:rPr>
                <w:rFonts w:hint="default" w:eastAsia="仿宋" w:cs="仿宋"/>
                <w:b w:val="0"/>
                <w:bCs w:val="0"/>
                <w:color w:val="auto"/>
                <w:sz w:val="20"/>
                <w:szCs w:val="20"/>
                <w:highlight w:val="none"/>
                <w:shd w:val="clear" w:color="auto" w:fill="auto"/>
                <w:lang w:val="en-US" w:eastAsia="zh-CN"/>
              </w:rPr>
            </w:pPr>
            <w:r>
              <w:rPr>
                <w:rFonts w:hint="eastAsia" w:cs="仿宋"/>
                <w:b w:val="0"/>
                <w:bCs w:val="0"/>
                <w:color w:val="auto"/>
                <w:sz w:val="20"/>
                <w:szCs w:val="20"/>
                <w:highlight w:val="none"/>
                <w:shd w:val="clear" w:color="auto" w:fill="auto"/>
                <w:lang w:val="en-US" w:eastAsia="zh-CN"/>
              </w:rPr>
              <w:t>10</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消防系统</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项</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 xml:space="preserve">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具体请参考图纸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700" w:type="dxa"/>
            <w:tcBorders>
              <w:tl2br w:val="nil"/>
              <w:tr2bl w:val="nil"/>
            </w:tcBorders>
            <w:shd w:val="clear" w:color="auto" w:fill="auto"/>
            <w:vAlign w:val="center"/>
          </w:tcPr>
          <w:p>
            <w:pPr>
              <w:spacing w:after="0"/>
              <w:jc w:val="center"/>
              <w:rPr>
                <w:rFonts w:hint="default" w:eastAsia="仿宋" w:cs="仿宋"/>
                <w:b w:val="0"/>
                <w:bCs w:val="0"/>
                <w:color w:val="auto"/>
                <w:sz w:val="20"/>
                <w:szCs w:val="20"/>
                <w:highlight w:val="none"/>
                <w:shd w:val="clear" w:color="auto" w:fill="auto"/>
                <w:lang w:val="en-US" w:eastAsia="zh-CN"/>
              </w:rPr>
            </w:pPr>
            <w:r>
              <w:rPr>
                <w:rFonts w:hint="eastAsia" w:cs="仿宋"/>
                <w:b w:val="0"/>
                <w:bCs w:val="0"/>
                <w:color w:val="auto"/>
                <w:sz w:val="20"/>
                <w:szCs w:val="20"/>
                <w:highlight w:val="none"/>
                <w:shd w:val="clear" w:color="auto" w:fill="auto"/>
                <w:lang w:val="en-US" w:eastAsia="zh-CN"/>
              </w:rPr>
              <w:t>11</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组件清洗系统</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项</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 xml:space="preserve">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具体请参考图纸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700" w:type="dxa"/>
            <w:tcBorders>
              <w:tl2br w:val="nil"/>
              <w:tr2bl w:val="nil"/>
            </w:tcBorders>
            <w:shd w:val="clear" w:color="auto" w:fill="auto"/>
            <w:vAlign w:val="center"/>
          </w:tcPr>
          <w:p>
            <w:pPr>
              <w:spacing w:after="0"/>
              <w:jc w:val="center"/>
              <w:rPr>
                <w:rFonts w:cs="仿宋"/>
                <w:b/>
                <w:bCs/>
                <w:color w:val="auto"/>
                <w:sz w:val="20"/>
                <w:szCs w:val="20"/>
                <w:highlight w:val="none"/>
                <w:shd w:val="clear" w:color="auto" w:fill="auto"/>
              </w:rPr>
            </w:pPr>
            <w:r>
              <w:rPr>
                <w:rFonts w:hint="eastAsia" w:cs="仿宋"/>
                <w:b/>
                <w:bCs/>
                <w:color w:val="auto"/>
                <w:sz w:val="20"/>
                <w:szCs w:val="20"/>
                <w:highlight w:val="none"/>
                <w:shd w:val="clear" w:color="auto" w:fill="auto"/>
              </w:rPr>
              <w:t>四</w:t>
            </w:r>
          </w:p>
        </w:tc>
        <w:tc>
          <w:tcPr>
            <w:tcW w:w="8373" w:type="dxa"/>
            <w:gridSpan w:val="5"/>
            <w:tcBorders>
              <w:tl2br w:val="nil"/>
              <w:tr2bl w:val="nil"/>
            </w:tcBorders>
            <w:shd w:val="clear" w:color="auto" w:fill="auto"/>
            <w:vAlign w:val="center"/>
          </w:tcPr>
          <w:p>
            <w:pPr>
              <w:spacing w:after="0"/>
              <w:jc w:val="left"/>
              <w:rPr>
                <w:rFonts w:hint="eastAsia" w:eastAsia="仿宋" w:cs="仿宋"/>
                <w:color w:val="auto"/>
                <w:sz w:val="20"/>
                <w:szCs w:val="20"/>
                <w:highlight w:val="none"/>
                <w:shd w:val="clear" w:color="auto" w:fill="auto"/>
                <w:lang w:eastAsia="zh-CN"/>
              </w:rPr>
            </w:pPr>
            <w:r>
              <w:rPr>
                <w:rFonts w:hint="eastAsia" w:cs="仿宋"/>
                <w:b/>
                <w:bCs/>
                <w:color w:val="auto"/>
                <w:sz w:val="20"/>
                <w:szCs w:val="20"/>
                <w:highlight w:val="none"/>
                <w:shd w:val="clear" w:color="auto" w:fill="auto"/>
                <w:lang w:val="en-US" w:eastAsia="zh-CN"/>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70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1</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支架基础</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项</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　1.00</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具体参考请参考图纸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70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2</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机电安装</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KW</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 xml:space="preserve">3399.60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工程量请参考图纸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3</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新建配电房</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 xml:space="preserve">116.00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建设要求请参考图纸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70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4</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清苗及树木迁移</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项</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 xml:space="preserve">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面积数量请参考图纸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70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5</w:t>
            </w:r>
          </w:p>
        </w:tc>
        <w:tc>
          <w:tcPr>
            <w:tcW w:w="1710"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破路及路面修复</w:t>
            </w:r>
          </w:p>
        </w:tc>
        <w:tc>
          <w:tcPr>
            <w:tcW w:w="2726" w:type="dxa"/>
            <w:tcBorders>
              <w:tl2br w:val="nil"/>
              <w:tr2bl w:val="nil"/>
            </w:tcBorders>
            <w:shd w:val="clear" w:color="auto" w:fill="auto"/>
            <w:vAlign w:val="center"/>
          </w:tcPr>
          <w:p>
            <w:pPr>
              <w:spacing w:after="0"/>
              <w:jc w:val="left"/>
              <w:rPr>
                <w:rFonts w:cs="仿宋"/>
                <w:color w:val="auto"/>
                <w:sz w:val="20"/>
                <w:szCs w:val="20"/>
                <w:highlight w:val="none"/>
                <w:shd w:val="clear" w:color="auto" w:fill="auto"/>
              </w:rPr>
            </w:pPr>
            <w:r>
              <w:rPr>
                <w:rFonts w:hint="eastAsia" w:cs="仿宋"/>
                <w:color w:val="auto"/>
                <w:sz w:val="20"/>
                <w:szCs w:val="20"/>
                <w:highlight w:val="none"/>
                <w:shd w:val="clear" w:color="auto" w:fill="auto"/>
              </w:rPr>
              <w:t>　</w:t>
            </w:r>
          </w:p>
        </w:tc>
        <w:tc>
          <w:tcPr>
            <w:tcW w:w="712" w:type="dxa"/>
            <w:tcBorders>
              <w:tl2br w:val="nil"/>
              <w:tr2bl w:val="nil"/>
            </w:tcBorders>
            <w:shd w:val="clear" w:color="auto" w:fill="auto"/>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项</w:t>
            </w:r>
          </w:p>
        </w:tc>
        <w:tc>
          <w:tcPr>
            <w:tcW w:w="957" w:type="dxa"/>
            <w:tcBorders>
              <w:tl2br w:val="nil"/>
              <w:tr2bl w:val="nil"/>
            </w:tcBorders>
            <w:shd w:val="clear" w:color="000000" w:fill="FFFFFF"/>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 xml:space="preserve">1.00 </w:t>
            </w:r>
          </w:p>
        </w:tc>
        <w:tc>
          <w:tcPr>
            <w:tcW w:w="2268" w:type="dxa"/>
            <w:tcBorders>
              <w:tl2br w:val="nil"/>
              <w:tr2bl w:val="nil"/>
            </w:tcBorders>
            <w:shd w:val="clear" w:color="auto" w:fill="auto"/>
            <w:noWrap/>
            <w:vAlign w:val="center"/>
          </w:tcPr>
          <w:p>
            <w:pPr>
              <w:spacing w:after="0"/>
              <w:jc w:val="center"/>
              <w:rPr>
                <w:rFonts w:cs="仿宋"/>
                <w:color w:val="auto"/>
                <w:sz w:val="20"/>
                <w:szCs w:val="20"/>
                <w:highlight w:val="none"/>
                <w:shd w:val="clear" w:color="auto" w:fill="auto"/>
              </w:rPr>
            </w:pPr>
            <w:r>
              <w:rPr>
                <w:rFonts w:hint="eastAsia" w:cs="仿宋"/>
                <w:color w:val="auto"/>
                <w:sz w:val="20"/>
                <w:szCs w:val="20"/>
                <w:highlight w:val="none"/>
                <w:shd w:val="clear" w:color="auto" w:fill="auto"/>
              </w:rPr>
              <w:t>工程量请参考图纸</w:t>
            </w:r>
          </w:p>
        </w:tc>
      </w:tr>
    </w:tbl>
    <w:p>
      <w:pPr>
        <w:spacing w:line="276" w:lineRule="auto"/>
        <w:rPr>
          <w:color w:val="auto"/>
          <w:highlight w:val="none"/>
          <w:shd w:val="clear" w:color="auto" w:fill="auto"/>
        </w:rPr>
      </w:pPr>
      <w:r>
        <w:rPr>
          <w:rFonts w:hint="eastAsia"/>
          <w:color w:val="auto"/>
          <w:highlight w:val="none"/>
          <w:shd w:val="clear" w:color="auto" w:fill="auto"/>
        </w:rPr>
        <w:t>备注：具体数量和工程量请严格参照设计图纸，最终以实际采购量为准。</w:t>
      </w:r>
    </w:p>
    <w:p>
      <w:pPr>
        <w:rPr>
          <w:rFonts w:cs="仿宋"/>
          <w:b/>
          <w:bCs/>
          <w:color w:val="auto"/>
          <w:sz w:val="28"/>
          <w:szCs w:val="28"/>
          <w:highlight w:val="none"/>
          <w:shd w:val="clear" w:color="auto" w:fill="auto"/>
        </w:rPr>
      </w:pPr>
      <w:r>
        <w:rPr>
          <w:rFonts w:hint="eastAsia" w:cs="仿宋"/>
          <w:b/>
          <w:bCs/>
          <w:color w:val="auto"/>
          <w:sz w:val="28"/>
          <w:szCs w:val="28"/>
          <w:highlight w:val="none"/>
          <w:shd w:val="clear" w:color="auto" w:fill="auto"/>
        </w:rPr>
        <w:br w:type="page"/>
      </w:r>
    </w:p>
    <w:p>
      <w:pPr>
        <w:spacing w:after="0" w:line="360" w:lineRule="auto"/>
        <w:rPr>
          <w:rFonts w:cs="仿宋"/>
          <w:b/>
          <w:bCs/>
          <w:color w:val="auto"/>
          <w:highlight w:val="none"/>
          <w:shd w:val="clear" w:color="auto" w:fill="auto"/>
        </w:rPr>
      </w:pPr>
      <w:r>
        <w:rPr>
          <w:rFonts w:hint="eastAsia" w:cs="仿宋"/>
          <w:b/>
          <w:bCs/>
          <w:color w:val="auto"/>
          <w:highlight w:val="none"/>
          <w:shd w:val="clear" w:color="auto" w:fill="auto"/>
        </w:rPr>
        <w:t>4、主要设备技术要求：</w:t>
      </w:r>
    </w:p>
    <w:p>
      <w:pPr>
        <w:pStyle w:val="2"/>
        <w:spacing w:before="0" w:line="360" w:lineRule="auto"/>
        <w:jc w:val="left"/>
        <w:rPr>
          <w:rFonts w:ascii="仿宋" w:eastAsia="仿宋" w:cs="仿宋"/>
          <w:bCs/>
          <w:smallCaps w:val="0"/>
          <w:color w:val="auto"/>
          <w:spacing w:val="0"/>
          <w:sz w:val="24"/>
          <w:szCs w:val="24"/>
          <w:highlight w:val="none"/>
          <w:shd w:val="clear" w:color="auto" w:fill="auto"/>
        </w:rPr>
      </w:pPr>
      <w:r>
        <w:rPr>
          <w:rFonts w:hint="eastAsia" w:ascii="仿宋" w:eastAsia="仿宋" w:cs="仿宋"/>
          <w:bCs/>
          <w:smallCaps w:val="0"/>
          <w:color w:val="auto"/>
          <w:spacing w:val="0"/>
          <w:sz w:val="24"/>
          <w:szCs w:val="24"/>
          <w:highlight w:val="none"/>
          <w:shd w:val="clear" w:color="auto" w:fill="auto"/>
        </w:rPr>
        <w:t>4.1.太阳能光伏组件：</w:t>
      </w:r>
    </w:p>
    <w:p>
      <w:pPr>
        <w:pStyle w:val="3"/>
        <w:spacing w:before="0" w:line="360" w:lineRule="auto"/>
        <w:jc w:val="left"/>
        <w:rPr>
          <w:rFonts w:cs="仿宋"/>
          <w:snapToGrid w:val="0"/>
          <w:color w:val="auto"/>
          <w:sz w:val="24"/>
          <w:szCs w:val="24"/>
          <w:highlight w:val="none"/>
          <w:shd w:val="clear" w:color="auto" w:fill="auto"/>
        </w:rPr>
      </w:pPr>
      <w:bookmarkStart w:id="2" w:name="_Toc387088820"/>
      <w:bookmarkStart w:id="3" w:name="_Toc383707492"/>
      <w:bookmarkStart w:id="4" w:name="_Toc387090032"/>
      <w:bookmarkStart w:id="5" w:name="_Toc383709334"/>
      <w:bookmarkStart w:id="6" w:name="_Toc372822872"/>
      <w:bookmarkStart w:id="7" w:name="_Toc109640541"/>
      <w:r>
        <w:rPr>
          <w:rFonts w:hint="eastAsia" w:cs="仿宋"/>
          <w:bCs/>
          <w:smallCaps w:val="0"/>
          <w:color w:val="auto"/>
          <w:sz w:val="24"/>
          <w:szCs w:val="24"/>
          <w:highlight w:val="none"/>
          <w:shd w:val="clear" w:color="auto" w:fill="auto"/>
        </w:rPr>
        <w:t>4.1.1晶体硅光伏电池板技术要求</w:t>
      </w:r>
      <w:bookmarkEnd w:id="2"/>
      <w:bookmarkEnd w:id="3"/>
      <w:bookmarkEnd w:id="4"/>
      <w:bookmarkEnd w:id="5"/>
      <w:bookmarkEnd w:id="6"/>
      <w:bookmarkEnd w:id="7"/>
    </w:p>
    <w:p>
      <w:pPr>
        <w:spacing w:after="0" w:line="360" w:lineRule="auto"/>
        <w:ind w:firstLine="480" w:firstLineChars="200"/>
        <w:rPr>
          <w:rFonts w:cs="仿宋"/>
          <w:color w:val="auto"/>
          <w:highlight w:val="none"/>
          <w:shd w:val="clear" w:color="auto" w:fill="auto"/>
        </w:rPr>
      </w:pPr>
      <w:bookmarkStart w:id="8" w:name="_Toc387088821"/>
      <w:bookmarkStart w:id="9" w:name="_Toc372822873"/>
      <w:bookmarkStart w:id="10" w:name="_Toc383709335"/>
      <w:bookmarkStart w:id="11" w:name="_Toc383707493"/>
      <w:bookmarkStart w:id="12" w:name="_Toc387090033"/>
      <w:r>
        <w:rPr>
          <w:rFonts w:hint="eastAsia" w:cs="仿宋"/>
          <w:color w:val="auto"/>
          <w:highlight w:val="none"/>
          <w:shd w:val="clear" w:color="auto" w:fill="auto"/>
        </w:rPr>
        <w:t>正常工作条件</w:t>
      </w:r>
      <w:bookmarkEnd w:id="8"/>
      <w:bookmarkEnd w:id="9"/>
      <w:bookmarkEnd w:id="10"/>
      <w:bookmarkEnd w:id="11"/>
      <w:bookmarkEnd w:id="12"/>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环境温度：-40~85℃</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相对湿度：5~95%</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海拔高度：不限</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最大风速： 36m/s</w:t>
      </w:r>
    </w:p>
    <w:p>
      <w:pPr>
        <w:spacing w:after="0" w:line="360" w:lineRule="auto"/>
        <w:ind w:firstLine="480" w:firstLineChars="200"/>
        <w:rPr>
          <w:rFonts w:cs="仿宋"/>
          <w:color w:val="auto"/>
          <w:highlight w:val="none"/>
          <w:shd w:val="clear" w:color="auto" w:fill="auto"/>
        </w:rPr>
      </w:pPr>
      <w:bookmarkStart w:id="13" w:name="_Toc383707494"/>
      <w:bookmarkStart w:id="14" w:name="_Toc383709336"/>
      <w:bookmarkStart w:id="15" w:name="_Toc387090034"/>
      <w:bookmarkStart w:id="16" w:name="_Toc387088822"/>
      <w:bookmarkStart w:id="17" w:name="_Toc372822874"/>
      <w:r>
        <w:rPr>
          <w:rFonts w:hint="eastAsia" w:cs="仿宋"/>
          <w:color w:val="auto"/>
          <w:highlight w:val="none"/>
          <w:shd w:val="clear" w:color="auto" w:fill="auto"/>
        </w:rPr>
        <w:t>基本性能要求</w:t>
      </w:r>
      <w:bookmarkEnd w:id="13"/>
      <w:bookmarkEnd w:id="14"/>
      <w:bookmarkEnd w:id="15"/>
      <w:bookmarkEnd w:id="16"/>
      <w:bookmarkEnd w:id="17"/>
    </w:p>
    <w:p>
      <w:pPr>
        <w:spacing w:after="0" w:line="360" w:lineRule="auto"/>
        <w:ind w:firstLine="480" w:firstLineChars="200"/>
        <w:rPr>
          <w:rFonts w:cs="仿宋"/>
          <w:bCs/>
          <w:color w:val="auto"/>
          <w:highlight w:val="none"/>
          <w:shd w:val="clear" w:color="auto" w:fill="auto"/>
        </w:rPr>
      </w:pPr>
      <w:r>
        <w:rPr>
          <w:rFonts w:hint="eastAsia" w:cs="仿宋"/>
          <w:color w:val="auto"/>
          <w:highlight w:val="none"/>
          <w:shd w:val="clear" w:color="auto" w:fill="auto"/>
        </w:rPr>
        <w:t>（1）产品通过TUV、CE认证，并符合国家强制性标准要求。</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（2）提供的组件峰值功率平均偏差为正公差：0~5W</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（3）组件的电池上表面颜色均匀一致，无机械损伤，焊点无氧化斑。</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（4）组件的每片电池与互连条排列整齐，组件的框架整洁无腐蚀斑点。</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（5）在标准条件下（即：大气质量AM=1.5，标准光强E=1000W/m</w:t>
      </w:r>
      <w:r>
        <w:rPr>
          <w:rFonts w:hint="eastAsia" w:cs="仿宋"/>
          <w:color w:val="auto"/>
          <w:highlight w:val="none"/>
          <w:shd w:val="clear" w:color="auto" w:fill="auto"/>
          <w:vertAlign w:val="superscript"/>
        </w:rPr>
        <w:t>2</w:t>
      </w:r>
      <w:r>
        <w:rPr>
          <w:rFonts w:hint="eastAsia" w:cs="仿宋"/>
          <w:color w:val="auto"/>
          <w:highlight w:val="none"/>
          <w:shd w:val="clear" w:color="auto" w:fill="auto"/>
        </w:rPr>
        <w:t>，温度为25±2℃，在测试周期内光照面上的辐照不均匀性≤±5%），光伏组件的出厂功</w:t>
      </w:r>
      <w:bookmarkStart w:id="585" w:name="_GoBack"/>
      <w:bookmarkEnd w:id="585"/>
      <w:r>
        <w:rPr>
          <w:rFonts w:hint="eastAsia" w:cs="仿宋"/>
          <w:color w:val="auto"/>
          <w:highlight w:val="none"/>
          <w:shd w:val="clear" w:color="auto" w:fill="auto"/>
        </w:rPr>
        <w:t>率均大于标称功率。</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（6）晶体硅单晶组件：晶体硅单晶组件前1年内功率衰减≤2.0%，从第2年起，以后每年的功率衰减≤0.55%；组件使用25年输出功率下降不超过使用前的15.2%。</w:t>
      </w:r>
    </w:p>
    <w:p>
      <w:pPr>
        <w:pStyle w:val="81"/>
        <w:ind w:firstLine="482"/>
        <w:rPr>
          <w:rFonts w:cs="仿宋"/>
          <w:color w:val="auto"/>
          <w:highlight w:val="none"/>
          <w:shd w:val="clear" w:color="auto" w:fill="auto"/>
        </w:rPr>
      </w:pPr>
      <w:r>
        <w:rPr>
          <w:rFonts w:hint="eastAsia" w:cs="仿宋"/>
          <w:b/>
          <w:bCs/>
          <w:color w:val="auto"/>
          <w:szCs w:val="21"/>
          <w:highlight w:val="none"/>
          <w:shd w:val="clear" w:color="auto" w:fill="auto"/>
        </w:rPr>
        <w:t>■</w:t>
      </w:r>
      <w:r>
        <w:rPr>
          <w:rFonts w:hint="eastAsia" w:cs="仿宋"/>
          <w:color w:val="auto"/>
          <w:highlight w:val="none"/>
          <w:shd w:val="clear" w:color="auto" w:fill="auto"/>
        </w:rPr>
        <w:t>（7）光伏组件强度通过IEC61215光伏电池的测试标准10.17节中冰球坠落加严测试要求。：抗冰雹冲击能性试验，玻璃层压成组件后，整体耐雹撞击性能满足直径35mm冰球以23m/s速度进行撞击，撞击后无如下严重外观缺陷；同时组件正面静态载荷满足：5400Pa(横梁穿越)，背面静态载荷满足2400Pa。</w:t>
      </w:r>
      <w:r>
        <w:rPr>
          <w:rFonts w:hint="eastAsia"/>
          <w:color w:val="auto"/>
          <w:highlight w:val="none"/>
          <w:shd w:val="clear" w:color="auto" w:fill="auto"/>
        </w:rPr>
        <w:t>并且提供权威认证机构出具的认证报告。</w:t>
      </w:r>
    </w:p>
    <w:p>
      <w:pPr>
        <w:spacing w:after="0" w:line="360" w:lineRule="auto"/>
        <w:ind w:left="480" w:leftChars="200"/>
        <w:rPr>
          <w:rFonts w:cs="仿宋"/>
          <w:color w:val="auto"/>
          <w:highlight w:val="none"/>
          <w:shd w:val="clear" w:color="auto" w:fill="auto"/>
        </w:rPr>
      </w:pPr>
      <w:r>
        <w:rPr>
          <w:rFonts w:hint="eastAsia" w:cs="仿宋"/>
          <w:color w:val="auto"/>
          <w:highlight w:val="none"/>
          <w:shd w:val="clear" w:color="auto" w:fill="auto"/>
        </w:rPr>
        <w:t>a、破碎、开裂、弯曲、不规整或损伤的外表面；</w:t>
      </w:r>
    </w:p>
    <w:p>
      <w:pPr>
        <w:spacing w:after="0" w:line="360" w:lineRule="auto"/>
        <w:ind w:left="480" w:leftChars="200"/>
        <w:rPr>
          <w:rFonts w:cs="仿宋"/>
          <w:color w:val="auto"/>
          <w:highlight w:val="none"/>
          <w:shd w:val="clear" w:color="auto" w:fill="auto"/>
        </w:rPr>
      </w:pPr>
      <w:r>
        <w:rPr>
          <w:rFonts w:hint="eastAsia" w:cs="仿宋"/>
          <w:color w:val="auto"/>
          <w:highlight w:val="none"/>
          <w:shd w:val="clear" w:color="auto" w:fill="auto"/>
        </w:rPr>
        <w:t>b、某个电池的一条裂纹，其延伸可能导致组件减少该电池面积10%以上；</w:t>
      </w:r>
    </w:p>
    <w:p>
      <w:pPr>
        <w:spacing w:after="0" w:line="360" w:lineRule="auto"/>
        <w:ind w:left="480" w:leftChars="200"/>
        <w:rPr>
          <w:rFonts w:cs="仿宋"/>
          <w:color w:val="auto"/>
          <w:highlight w:val="none"/>
          <w:shd w:val="clear" w:color="auto" w:fill="auto"/>
        </w:rPr>
      </w:pPr>
      <w:r>
        <w:rPr>
          <w:rFonts w:hint="eastAsia" w:cs="仿宋"/>
          <w:color w:val="auto"/>
          <w:highlight w:val="none"/>
          <w:shd w:val="clear" w:color="auto" w:fill="auto"/>
        </w:rPr>
        <w:t>c、在组件边缘和任何一部分电路之间形成连续的气泡或脱层通道；</w:t>
      </w:r>
    </w:p>
    <w:p>
      <w:pPr>
        <w:spacing w:after="0" w:line="360" w:lineRule="auto"/>
        <w:ind w:left="480" w:leftChars="200"/>
        <w:rPr>
          <w:rFonts w:cs="仿宋"/>
          <w:color w:val="auto"/>
          <w:highlight w:val="none"/>
          <w:shd w:val="clear" w:color="auto" w:fill="auto"/>
        </w:rPr>
      </w:pPr>
      <w:r>
        <w:rPr>
          <w:rFonts w:hint="eastAsia" w:cs="仿宋"/>
          <w:color w:val="auto"/>
          <w:highlight w:val="none"/>
          <w:shd w:val="clear" w:color="auto" w:fill="auto"/>
        </w:rPr>
        <w:t>d、表面机械完整性，导致组件的安装和/或工作都受到影响。</w:t>
      </w:r>
    </w:p>
    <w:p>
      <w:pPr>
        <w:spacing w:after="0" w:line="360" w:lineRule="auto"/>
        <w:ind w:left="480" w:leftChars="200"/>
        <w:rPr>
          <w:rFonts w:cs="仿宋"/>
          <w:color w:val="auto"/>
          <w:highlight w:val="none"/>
          <w:shd w:val="clear" w:color="auto" w:fill="auto"/>
        </w:rPr>
      </w:pPr>
      <w:r>
        <w:rPr>
          <w:rFonts w:hint="eastAsia" w:cs="仿宋"/>
          <w:color w:val="auto"/>
          <w:highlight w:val="none"/>
          <w:shd w:val="clear" w:color="auto" w:fill="auto"/>
        </w:rPr>
        <w:t>e、标准测试条件下最大输出功率的衰减不超过实验前的5%。</w:t>
      </w:r>
    </w:p>
    <w:p>
      <w:pPr>
        <w:spacing w:after="0" w:line="360" w:lineRule="auto"/>
        <w:ind w:left="480" w:leftChars="200"/>
        <w:rPr>
          <w:rFonts w:cs="仿宋"/>
          <w:color w:val="auto"/>
          <w:highlight w:val="none"/>
          <w:shd w:val="clear" w:color="auto" w:fill="auto"/>
        </w:rPr>
      </w:pPr>
      <w:r>
        <w:rPr>
          <w:rFonts w:hint="eastAsia" w:cs="仿宋"/>
          <w:color w:val="auto"/>
          <w:highlight w:val="none"/>
          <w:shd w:val="clear" w:color="auto" w:fill="auto"/>
        </w:rPr>
        <w:t>f、绝缘电阻应满足初始实验的同样要求。</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（8）光伏组件防护等级不低于IP67。</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（9）组件的电绝缘强度：满足IEC61215标准要求，测试绝缘电阻乘以组件面积&gt;40MΩ.m</w:t>
      </w:r>
      <w:r>
        <w:rPr>
          <w:rFonts w:hint="eastAsia" w:cs="仿宋"/>
          <w:color w:val="auto"/>
          <w:highlight w:val="none"/>
          <w:shd w:val="clear" w:color="auto" w:fill="auto"/>
          <w:vertAlign w:val="superscript"/>
        </w:rPr>
        <w:t>2</w:t>
      </w:r>
      <w:r>
        <w:rPr>
          <w:rFonts w:hint="eastAsia" w:cs="仿宋"/>
          <w:color w:val="auto"/>
          <w:highlight w:val="none"/>
          <w:shd w:val="clear" w:color="auto" w:fill="auto"/>
        </w:rPr>
        <w:t>。</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（10）所供电池组件需具备受风、雪或覆冰等静载荷的能力，组件风载荷（静载）最大承压2400Pa，雪载（静载）荷最大承压5400Pa。</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（11）组件背面统一地方粘贴产品标签，标签上注明产品商标、规格、型号及产品参数，标签保证能够抵抗十年以上的自然环境的侵害而不脱落、标签上的字迹不会被轻易抹掉。</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(12) 组件要求具有抗PID功能。在85℃、85%RH条件下通入-1500V电压，测试时间为96h，要求最大功率衰减≤5%。</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(13) 组件要求按照出厂实测电流进行分档标示，分三档，中间档位精度≤0.1A(根据实际需求而定，如无要求则可不用分档)。</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(14) 组件要求按照颜色进行分档标识，相同色系的组件应包装在一起。</w:t>
      </w:r>
    </w:p>
    <w:p>
      <w:pPr>
        <w:spacing w:after="0" w:line="360" w:lineRule="auto"/>
        <w:ind w:firstLine="480" w:firstLineChars="200"/>
        <w:rPr>
          <w:color w:val="auto"/>
          <w:highlight w:val="none"/>
          <w:shd w:val="clear" w:color="auto" w:fill="auto"/>
        </w:rPr>
      </w:pPr>
      <w:r>
        <w:rPr>
          <w:rFonts w:hint="eastAsia" w:cs="仿宋"/>
          <w:color w:val="auto"/>
          <w:highlight w:val="none"/>
          <w:shd w:val="clear" w:color="auto" w:fill="auto"/>
        </w:rPr>
        <w:t>(15) 填充因子：75%。</w:t>
      </w:r>
    </w:p>
    <w:p>
      <w:pPr>
        <w:spacing w:after="0" w:line="360" w:lineRule="auto"/>
        <w:ind w:firstLine="482" w:firstLineChars="200"/>
        <w:rPr>
          <w:color w:val="auto"/>
          <w:highlight w:val="none"/>
          <w:shd w:val="clear" w:color="auto" w:fill="auto"/>
        </w:rPr>
      </w:pPr>
      <w:r>
        <w:rPr>
          <w:rFonts w:hint="eastAsia" w:cs="仿宋"/>
          <w:b/>
          <w:bCs/>
          <w:color w:val="auto"/>
          <w:szCs w:val="21"/>
          <w:highlight w:val="none"/>
          <w:shd w:val="clear" w:color="auto" w:fill="auto"/>
        </w:rPr>
        <w:t>■</w:t>
      </w:r>
      <w:r>
        <w:rPr>
          <w:rFonts w:hint="eastAsia" w:cs="仿宋"/>
          <w:color w:val="auto"/>
          <w:highlight w:val="none"/>
          <w:shd w:val="clear" w:color="auto" w:fill="auto"/>
        </w:rPr>
        <w:t xml:space="preserve">(16) </w:t>
      </w:r>
      <w:r>
        <w:rPr>
          <w:rFonts w:hint="eastAsia"/>
          <w:color w:val="auto"/>
          <w:highlight w:val="none"/>
          <w:shd w:val="clear" w:color="auto" w:fill="auto"/>
        </w:rPr>
        <w:t>需提供设备厂家针对本项目的授权及承诺函。</w:t>
      </w:r>
    </w:p>
    <w:p>
      <w:pPr>
        <w:spacing w:after="0" w:line="360" w:lineRule="auto"/>
        <w:outlineLvl w:val="1"/>
        <w:rPr>
          <w:rFonts w:cs="仿宋"/>
          <w:b/>
          <w:bCs/>
          <w:color w:val="auto"/>
          <w:highlight w:val="none"/>
          <w:shd w:val="clear" w:color="auto" w:fill="auto"/>
        </w:rPr>
      </w:pPr>
      <w:bookmarkStart w:id="18" w:name="_Toc383707496"/>
      <w:bookmarkStart w:id="19" w:name="_Toc367967671"/>
      <w:bookmarkStart w:id="20" w:name="_Toc387090035"/>
      <w:bookmarkStart w:id="21" w:name="_Toc387088823"/>
      <w:bookmarkStart w:id="22" w:name="_Toc383709338"/>
      <w:bookmarkStart w:id="23" w:name="_Toc372822649"/>
      <w:r>
        <w:rPr>
          <w:rFonts w:hint="eastAsia" w:cs="仿宋"/>
          <w:b/>
          <w:bCs/>
          <w:color w:val="auto"/>
          <w:highlight w:val="none"/>
          <w:shd w:val="clear" w:color="auto" w:fill="auto"/>
        </w:rPr>
        <w:t>4.1.2标准技术参数表</w:t>
      </w:r>
      <w:bookmarkEnd w:id="18"/>
      <w:bookmarkEnd w:id="19"/>
      <w:bookmarkEnd w:id="20"/>
      <w:bookmarkEnd w:id="21"/>
      <w:bookmarkEnd w:id="22"/>
      <w:bookmarkEnd w:id="23"/>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表1光伏电池板主要技术参数</w:t>
      </w:r>
    </w:p>
    <w:tbl>
      <w:tblPr>
        <w:tblStyle w:val="30"/>
        <w:tblW w:w="9634" w:type="dxa"/>
        <w:jc w:val="center"/>
        <w:tblLayout w:type="fixed"/>
        <w:tblCellMar>
          <w:top w:w="0" w:type="dxa"/>
          <w:left w:w="0" w:type="dxa"/>
          <w:bottom w:w="0" w:type="dxa"/>
          <w:right w:w="0" w:type="dxa"/>
        </w:tblCellMar>
      </w:tblPr>
      <w:tblGrid>
        <w:gridCol w:w="850"/>
        <w:gridCol w:w="2947"/>
        <w:gridCol w:w="2126"/>
        <w:gridCol w:w="1869"/>
        <w:gridCol w:w="1842"/>
      </w:tblGrid>
      <w:tr>
        <w:tblPrEx>
          <w:tblCellMar>
            <w:top w:w="0" w:type="dxa"/>
            <w:left w:w="0" w:type="dxa"/>
            <w:bottom w:w="0" w:type="dxa"/>
            <w:right w:w="0" w:type="dxa"/>
          </w:tblCellMar>
        </w:tblPrEx>
        <w:trPr>
          <w:trHeight w:val="612" w:hRule="exact"/>
          <w:jc w:val="center"/>
        </w:trPr>
        <w:tc>
          <w:tcPr>
            <w:tcW w:w="850"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rPr>
            </w:pPr>
            <w:r>
              <w:rPr>
                <w:rFonts w:hint="eastAsia" w:cs="仿宋"/>
                <w:color w:val="auto"/>
                <w:highlight w:val="none"/>
                <w:shd w:val="clear" w:color="auto" w:fill="auto"/>
              </w:rPr>
              <w:t>1</w:t>
            </w:r>
          </w:p>
        </w:tc>
        <w:tc>
          <w:tcPr>
            <w:tcW w:w="8784" w:type="dxa"/>
            <w:gridSpan w:val="4"/>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b/>
                <w:bCs/>
                <w:color w:val="auto"/>
                <w:spacing w:val="-1"/>
                <w:highlight w:val="none"/>
                <w:shd w:val="clear" w:color="auto" w:fill="auto"/>
              </w:rPr>
            </w:pPr>
            <w:r>
              <w:rPr>
                <w:rFonts w:hint="eastAsia" w:cs="仿宋"/>
                <w:b/>
                <w:bCs/>
                <w:color w:val="auto"/>
                <w:spacing w:val="-1"/>
                <w:highlight w:val="none"/>
                <w:shd w:val="clear" w:color="auto" w:fill="auto"/>
              </w:rPr>
              <w:t>标准测试条件下性能参数</w:t>
            </w:r>
            <w:r>
              <w:rPr>
                <w:rFonts w:hint="eastAsia" w:cs="仿宋"/>
                <w:color w:val="auto"/>
                <w:spacing w:val="-1"/>
                <w:highlight w:val="none"/>
                <w:shd w:val="clear" w:color="auto" w:fill="auto"/>
              </w:rPr>
              <w:t>(标准测试条件STC:AM=1.5，E=1000W/m</w:t>
            </w:r>
            <w:r>
              <w:rPr>
                <w:rFonts w:hint="eastAsia" w:cs="仿宋"/>
                <w:color w:val="auto"/>
                <w:spacing w:val="-1"/>
                <w:highlight w:val="none"/>
                <w:shd w:val="clear" w:color="auto" w:fill="auto"/>
                <w:vertAlign w:val="superscript"/>
              </w:rPr>
              <w:t>2</w:t>
            </w:r>
            <w:r>
              <w:rPr>
                <w:rFonts w:hint="eastAsia" w:cs="仿宋"/>
                <w:color w:val="auto"/>
                <w:spacing w:val="-1"/>
                <w:highlight w:val="none"/>
                <w:shd w:val="clear" w:color="auto" w:fill="auto"/>
              </w:rPr>
              <w:t>,T</w:t>
            </w:r>
            <w:r>
              <w:rPr>
                <w:rFonts w:hint="eastAsia" w:cs="仿宋"/>
                <w:color w:val="auto"/>
                <w:spacing w:val="-1"/>
                <w:position w:val="-2"/>
                <w:highlight w:val="none"/>
                <w:shd w:val="clear" w:color="auto" w:fill="auto"/>
              </w:rPr>
              <w:t>c</w:t>
            </w:r>
            <w:r>
              <w:rPr>
                <w:rFonts w:hint="eastAsia" w:cs="仿宋"/>
                <w:color w:val="auto"/>
                <w:spacing w:val="-1"/>
                <w:highlight w:val="none"/>
                <w:shd w:val="clear" w:color="auto" w:fill="auto"/>
              </w:rPr>
              <w:t>=25℃)</w:t>
            </w:r>
          </w:p>
        </w:tc>
      </w:tr>
      <w:tr>
        <w:tblPrEx>
          <w:tblCellMar>
            <w:top w:w="0" w:type="dxa"/>
            <w:left w:w="0" w:type="dxa"/>
            <w:bottom w:w="0" w:type="dxa"/>
            <w:right w:w="0" w:type="dxa"/>
          </w:tblCellMar>
        </w:tblPrEx>
        <w:trPr>
          <w:trHeight w:val="499" w:hRule="exact"/>
          <w:jc w:val="center"/>
        </w:trPr>
        <w:tc>
          <w:tcPr>
            <w:tcW w:w="850"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lang w:eastAsia="en-US"/>
              </w:rPr>
            </w:pPr>
            <w:r>
              <w:rPr>
                <w:rFonts w:hint="eastAsia" w:cs="仿宋"/>
                <w:color w:val="auto"/>
                <w:spacing w:val="-1"/>
                <w:highlight w:val="none"/>
                <w:shd w:val="clear" w:color="auto" w:fill="auto"/>
                <w:lang w:eastAsia="en-US"/>
              </w:rPr>
              <w:t>(1)</w:t>
            </w:r>
          </w:p>
        </w:tc>
        <w:tc>
          <w:tcPr>
            <w:tcW w:w="2947" w:type="dxa"/>
            <w:tcBorders>
              <w:top w:val="single" w:color="auto" w:sz="4" w:space="0"/>
              <w:left w:val="nil"/>
              <w:bottom w:val="single" w:color="auto" w:sz="4" w:space="0"/>
              <w:right w:val="single" w:color="auto" w:sz="4" w:space="0"/>
            </w:tcBorders>
            <w:vAlign w:val="center"/>
          </w:tcPr>
          <w:p>
            <w:pPr>
              <w:spacing w:after="0"/>
              <w:jc w:val="center"/>
              <w:rPr>
                <w:rFonts w:cs="仿宋"/>
                <w:color w:val="auto"/>
                <w:spacing w:val="-1"/>
                <w:highlight w:val="none"/>
                <w:shd w:val="clear" w:color="auto" w:fill="auto"/>
                <w:lang w:eastAsia="en-US"/>
              </w:rPr>
            </w:pPr>
            <w:r>
              <w:rPr>
                <w:rFonts w:hint="eastAsia" w:cs="仿宋"/>
                <w:color w:val="auto"/>
                <w:spacing w:val="-1"/>
                <w:highlight w:val="none"/>
                <w:shd w:val="clear" w:color="auto" w:fill="auto"/>
                <w:lang w:eastAsia="en-US"/>
              </w:rPr>
              <w:t>功率公差</w:t>
            </w:r>
          </w:p>
        </w:tc>
        <w:tc>
          <w:tcPr>
            <w:tcW w:w="5837" w:type="dxa"/>
            <w:gridSpan w:val="3"/>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rPr>
            </w:pPr>
            <w:r>
              <w:rPr>
                <w:rFonts w:hint="eastAsia" w:cs="仿宋"/>
                <w:color w:val="auto"/>
                <w:highlight w:val="none"/>
                <w:shd w:val="clear" w:color="auto" w:fill="auto"/>
              </w:rPr>
              <w:t>0~+5W</w:t>
            </w:r>
          </w:p>
        </w:tc>
      </w:tr>
      <w:tr>
        <w:tblPrEx>
          <w:tblCellMar>
            <w:top w:w="0" w:type="dxa"/>
            <w:left w:w="0" w:type="dxa"/>
            <w:bottom w:w="0" w:type="dxa"/>
            <w:right w:w="0" w:type="dxa"/>
          </w:tblCellMar>
        </w:tblPrEx>
        <w:trPr>
          <w:trHeight w:val="499" w:hRule="exact"/>
          <w:jc w:val="center"/>
        </w:trPr>
        <w:tc>
          <w:tcPr>
            <w:tcW w:w="850"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lang w:eastAsia="en-US"/>
              </w:rPr>
            </w:pPr>
            <w:r>
              <w:rPr>
                <w:rFonts w:hint="eastAsia" w:cs="仿宋"/>
                <w:color w:val="auto"/>
                <w:spacing w:val="-1"/>
                <w:highlight w:val="none"/>
                <w:shd w:val="clear" w:color="auto" w:fill="auto"/>
                <w:lang w:eastAsia="en-US"/>
              </w:rPr>
              <w:t>(2)</w:t>
            </w:r>
          </w:p>
        </w:tc>
        <w:tc>
          <w:tcPr>
            <w:tcW w:w="2947" w:type="dxa"/>
            <w:tcBorders>
              <w:top w:val="single" w:color="auto" w:sz="4" w:space="0"/>
              <w:left w:val="nil"/>
              <w:bottom w:val="single" w:color="auto" w:sz="4" w:space="0"/>
              <w:right w:val="single" w:color="auto" w:sz="4" w:space="0"/>
            </w:tcBorders>
            <w:vAlign w:val="center"/>
          </w:tcPr>
          <w:p>
            <w:pPr>
              <w:spacing w:after="0"/>
              <w:jc w:val="center"/>
              <w:rPr>
                <w:rFonts w:cs="仿宋"/>
                <w:color w:val="auto"/>
                <w:spacing w:val="-1"/>
                <w:highlight w:val="none"/>
                <w:shd w:val="clear" w:color="auto" w:fill="auto"/>
                <w:lang w:eastAsia="en-US"/>
              </w:rPr>
            </w:pPr>
            <w:r>
              <w:rPr>
                <w:rFonts w:hint="eastAsia" w:cs="仿宋"/>
                <w:color w:val="auto"/>
                <w:spacing w:val="-1"/>
                <w:highlight w:val="none"/>
                <w:shd w:val="clear" w:color="auto" w:fill="auto"/>
                <w:lang w:eastAsia="en-US"/>
              </w:rPr>
              <w:t>组件转换效率</w:t>
            </w:r>
          </w:p>
        </w:tc>
        <w:tc>
          <w:tcPr>
            <w:tcW w:w="2126"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rPr>
            </w:pPr>
            <w:r>
              <w:rPr>
                <w:rFonts w:hint="eastAsia" w:cs="仿宋"/>
                <w:b/>
                <w:bCs/>
                <w:color w:val="auto"/>
                <w:szCs w:val="21"/>
                <w:highlight w:val="none"/>
                <w:shd w:val="clear" w:color="auto" w:fill="auto"/>
              </w:rPr>
              <w:t>■</w:t>
            </w:r>
            <w:r>
              <w:rPr>
                <w:rFonts w:hint="eastAsia" w:cs="仿宋"/>
                <w:color w:val="auto"/>
                <w:highlight w:val="none"/>
                <w:shd w:val="clear" w:color="auto" w:fill="auto"/>
              </w:rPr>
              <w:t>21.2</w:t>
            </w:r>
          </w:p>
        </w:tc>
        <w:tc>
          <w:tcPr>
            <w:tcW w:w="3711" w:type="dxa"/>
            <w:gridSpan w:val="2"/>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rPr>
            </w:pPr>
          </w:p>
        </w:tc>
      </w:tr>
      <w:tr>
        <w:tblPrEx>
          <w:tblCellMar>
            <w:top w:w="0" w:type="dxa"/>
            <w:left w:w="0" w:type="dxa"/>
            <w:bottom w:w="0" w:type="dxa"/>
            <w:right w:w="0" w:type="dxa"/>
          </w:tblCellMar>
        </w:tblPrEx>
        <w:trPr>
          <w:trHeight w:val="499" w:hRule="exact"/>
          <w:jc w:val="center"/>
        </w:trPr>
        <w:tc>
          <w:tcPr>
            <w:tcW w:w="850"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lang w:eastAsia="en-US"/>
              </w:rPr>
            </w:pPr>
            <w:r>
              <w:rPr>
                <w:rFonts w:hint="eastAsia" w:cs="仿宋"/>
                <w:color w:val="auto"/>
                <w:spacing w:val="-1"/>
                <w:highlight w:val="none"/>
                <w:shd w:val="clear" w:color="auto" w:fill="auto"/>
                <w:lang w:eastAsia="en-US"/>
              </w:rPr>
              <w:t>(3)</w:t>
            </w:r>
          </w:p>
        </w:tc>
        <w:tc>
          <w:tcPr>
            <w:tcW w:w="2947"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rPr>
            </w:pPr>
            <w:r>
              <w:rPr>
                <w:rFonts w:hint="eastAsia" w:cs="仿宋"/>
                <w:color w:val="auto"/>
                <w:spacing w:val="-1"/>
                <w:highlight w:val="none"/>
                <w:shd w:val="clear" w:color="auto" w:fill="auto"/>
                <w:lang w:eastAsia="en-US"/>
              </w:rPr>
              <w:t>峰值功率</w:t>
            </w:r>
            <w:r>
              <w:rPr>
                <w:rFonts w:hint="eastAsia" w:cs="仿宋"/>
                <w:color w:val="auto"/>
                <w:spacing w:val="-1"/>
                <w:highlight w:val="none"/>
                <w:shd w:val="clear" w:color="auto" w:fill="auto"/>
              </w:rPr>
              <w:t>(W)</w:t>
            </w:r>
          </w:p>
        </w:tc>
        <w:tc>
          <w:tcPr>
            <w:tcW w:w="2126" w:type="dxa"/>
            <w:tcBorders>
              <w:top w:val="single" w:color="000000" w:sz="4" w:space="0"/>
              <w:left w:val="single" w:color="000000" w:sz="4" w:space="0"/>
              <w:bottom w:val="single" w:color="auto" w:sz="4" w:space="0"/>
              <w:right w:val="single" w:color="000000" w:sz="4" w:space="0"/>
            </w:tcBorders>
            <w:vAlign w:val="center"/>
          </w:tcPr>
          <w:p>
            <w:pPr>
              <w:spacing w:after="0"/>
              <w:jc w:val="center"/>
              <w:rPr>
                <w:rFonts w:cs="仿宋"/>
                <w:color w:val="auto"/>
                <w:highlight w:val="none"/>
                <w:shd w:val="clear" w:color="auto" w:fill="auto"/>
              </w:rPr>
            </w:pPr>
            <w:r>
              <w:rPr>
                <w:rFonts w:hint="eastAsia" w:cs="仿宋"/>
                <w:color w:val="auto"/>
                <w:highlight w:val="none"/>
                <w:shd w:val="clear" w:color="auto" w:fill="auto"/>
              </w:rPr>
              <w:t>600</w:t>
            </w:r>
          </w:p>
        </w:tc>
        <w:tc>
          <w:tcPr>
            <w:tcW w:w="1869" w:type="dxa"/>
            <w:tcBorders>
              <w:top w:val="single" w:color="000000" w:sz="4" w:space="0"/>
              <w:left w:val="single" w:color="000000" w:sz="4" w:space="0"/>
              <w:bottom w:val="single" w:color="auto" w:sz="4" w:space="0"/>
              <w:right w:val="single" w:color="000000" w:sz="4" w:space="0"/>
            </w:tcBorders>
            <w:vAlign w:val="center"/>
          </w:tcPr>
          <w:p>
            <w:pPr>
              <w:spacing w:after="0"/>
              <w:jc w:val="center"/>
              <w:rPr>
                <w:rFonts w:cs="仿宋"/>
                <w:color w:val="auto"/>
                <w:highlight w:val="none"/>
                <w:shd w:val="clear" w:color="auto" w:fill="auto"/>
              </w:rPr>
            </w:pPr>
          </w:p>
        </w:tc>
        <w:tc>
          <w:tcPr>
            <w:tcW w:w="1842" w:type="dxa"/>
            <w:tcBorders>
              <w:top w:val="single" w:color="000000" w:sz="4" w:space="0"/>
              <w:left w:val="single" w:color="000000" w:sz="4" w:space="0"/>
              <w:bottom w:val="single" w:color="auto" w:sz="4" w:space="0"/>
              <w:right w:val="single" w:color="000000" w:sz="4" w:space="0"/>
            </w:tcBorders>
            <w:vAlign w:val="center"/>
          </w:tcPr>
          <w:p>
            <w:pPr>
              <w:spacing w:after="0"/>
              <w:jc w:val="center"/>
              <w:rPr>
                <w:rFonts w:cs="仿宋"/>
                <w:color w:val="auto"/>
                <w:highlight w:val="none"/>
                <w:shd w:val="clear" w:color="auto" w:fill="auto"/>
              </w:rPr>
            </w:pPr>
          </w:p>
        </w:tc>
      </w:tr>
      <w:tr>
        <w:tblPrEx>
          <w:tblCellMar>
            <w:top w:w="0" w:type="dxa"/>
            <w:left w:w="0" w:type="dxa"/>
            <w:bottom w:w="0" w:type="dxa"/>
            <w:right w:w="0" w:type="dxa"/>
          </w:tblCellMar>
        </w:tblPrEx>
        <w:trPr>
          <w:trHeight w:val="458" w:hRule="exact"/>
          <w:jc w:val="center"/>
        </w:trPr>
        <w:tc>
          <w:tcPr>
            <w:tcW w:w="850"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lang w:eastAsia="en-US"/>
              </w:rPr>
            </w:pPr>
            <w:r>
              <w:rPr>
                <w:rFonts w:hint="eastAsia" w:cs="仿宋"/>
                <w:color w:val="auto"/>
                <w:spacing w:val="-1"/>
                <w:highlight w:val="none"/>
                <w:shd w:val="clear" w:color="auto" w:fill="auto"/>
                <w:lang w:eastAsia="en-US"/>
              </w:rPr>
              <w:t>(4)</w:t>
            </w:r>
          </w:p>
        </w:tc>
        <w:tc>
          <w:tcPr>
            <w:tcW w:w="2947" w:type="dxa"/>
            <w:tcBorders>
              <w:top w:val="single" w:color="000000" w:sz="4" w:space="0"/>
              <w:left w:val="single" w:color="000000" w:sz="4" w:space="0"/>
              <w:bottom w:val="single" w:color="000000" w:sz="4" w:space="0"/>
              <w:right w:val="single" w:color="auto" w:sz="4" w:space="0"/>
            </w:tcBorders>
            <w:vAlign w:val="center"/>
          </w:tcPr>
          <w:p>
            <w:pPr>
              <w:spacing w:after="0"/>
              <w:jc w:val="center"/>
              <w:rPr>
                <w:rFonts w:cs="仿宋"/>
                <w:color w:val="auto"/>
                <w:highlight w:val="none"/>
                <w:shd w:val="clear" w:color="auto" w:fill="auto"/>
                <w:lang w:eastAsia="en-US"/>
              </w:rPr>
            </w:pPr>
            <w:r>
              <w:rPr>
                <w:rFonts w:hint="eastAsia" w:cs="仿宋"/>
                <w:color w:val="auto"/>
                <w:spacing w:val="-1"/>
                <w:highlight w:val="none"/>
                <w:shd w:val="clear" w:color="auto" w:fill="auto"/>
                <w:lang w:eastAsia="en-US"/>
              </w:rPr>
              <w:t>开路电压（Voc）</w:t>
            </w:r>
          </w:p>
        </w:tc>
        <w:tc>
          <w:tcPr>
            <w:tcW w:w="2126" w:type="dxa"/>
            <w:tcBorders>
              <w:top w:val="single" w:color="auto" w:sz="4" w:space="0"/>
              <w:left w:val="single" w:color="auto" w:sz="4" w:space="0"/>
              <w:bottom w:val="single" w:color="auto" w:sz="4" w:space="0"/>
              <w:right w:val="single" w:color="auto" w:sz="4" w:space="0"/>
            </w:tcBorders>
            <w:vAlign w:val="center"/>
          </w:tcPr>
          <w:p>
            <w:pPr>
              <w:snapToGrid w:val="0"/>
              <w:spacing w:after="0"/>
              <w:ind w:firstLine="2" w:firstLineChars="1"/>
              <w:jc w:val="center"/>
              <w:rPr>
                <w:rFonts w:cs="仿宋"/>
                <w:color w:val="auto"/>
                <w:highlight w:val="none"/>
                <w:shd w:val="clear" w:color="auto" w:fill="auto"/>
              </w:rPr>
            </w:pPr>
            <w:r>
              <w:rPr>
                <w:rFonts w:hint="eastAsia" w:cs="仿宋"/>
                <w:color w:val="auto"/>
                <w:highlight w:val="none"/>
                <w:shd w:val="clear" w:color="auto" w:fill="auto"/>
              </w:rPr>
              <w:t>41.5</w:t>
            </w:r>
          </w:p>
        </w:tc>
        <w:tc>
          <w:tcPr>
            <w:tcW w:w="1869" w:type="dxa"/>
            <w:tcBorders>
              <w:top w:val="single" w:color="auto" w:sz="4" w:space="0"/>
              <w:left w:val="single" w:color="auto" w:sz="4" w:space="0"/>
              <w:bottom w:val="single" w:color="auto" w:sz="4" w:space="0"/>
              <w:right w:val="single" w:color="auto" w:sz="4" w:space="0"/>
            </w:tcBorders>
            <w:vAlign w:val="center"/>
          </w:tcPr>
          <w:p>
            <w:pPr>
              <w:spacing w:after="0"/>
              <w:jc w:val="center"/>
              <w:rPr>
                <w:rFonts w:cs="仿宋"/>
                <w:color w:val="auto"/>
                <w:highlight w:val="none"/>
                <w:shd w:val="clear" w:color="auto" w:fill="auto"/>
              </w:rPr>
            </w:pPr>
          </w:p>
        </w:tc>
        <w:tc>
          <w:tcPr>
            <w:tcW w:w="1842" w:type="dxa"/>
            <w:tcBorders>
              <w:top w:val="single" w:color="auto" w:sz="4" w:space="0"/>
              <w:left w:val="single" w:color="auto" w:sz="4" w:space="0"/>
              <w:bottom w:val="single" w:color="auto" w:sz="4" w:space="0"/>
              <w:right w:val="single" w:color="auto" w:sz="4" w:space="0"/>
            </w:tcBorders>
            <w:vAlign w:val="center"/>
          </w:tcPr>
          <w:p>
            <w:pPr>
              <w:spacing w:after="0"/>
              <w:jc w:val="center"/>
              <w:rPr>
                <w:rFonts w:cs="仿宋"/>
                <w:color w:val="auto"/>
                <w:highlight w:val="none"/>
                <w:shd w:val="clear" w:color="auto" w:fill="auto"/>
              </w:rPr>
            </w:pPr>
          </w:p>
        </w:tc>
      </w:tr>
      <w:tr>
        <w:tblPrEx>
          <w:tblCellMar>
            <w:top w:w="0" w:type="dxa"/>
            <w:left w:w="0" w:type="dxa"/>
            <w:bottom w:w="0" w:type="dxa"/>
            <w:right w:w="0" w:type="dxa"/>
          </w:tblCellMar>
        </w:tblPrEx>
        <w:trPr>
          <w:trHeight w:val="466" w:hRule="exact"/>
          <w:jc w:val="center"/>
        </w:trPr>
        <w:tc>
          <w:tcPr>
            <w:tcW w:w="850"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lang w:eastAsia="en-US"/>
              </w:rPr>
            </w:pPr>
            <w:r>
              <w:rPr>
                <w:rFonts w:hint="eastAsia" w:cs="仿宋"/>
                <w:color w:val="auto"/>
                <w:spacing w:val="-1"/>
                <w:highlight w:val="none"/>
                <w:shd w:val="clear" w:color="auto" w:fill="auto"/>
                <w:lang w:eastAsia="en-US"/>
              </w:rPr>
              <w:t>(5)</w:t>
            </w:r>
          </w:p>
        </w:tc>
        <w:tc>
          <w:tcPr>
            <w:tcW w:w="2947" w:type="dxa"/>
            <w:tcBorders>
              <w:top w:val="single" w:color="000000" w:sz="4" w:space="0"/>
              <w:left w:val="single" w:color="000000" w:sz="4" w:space="0"/>
              <w:bottom w:val="single" w:color="000000" w:sz="4" w:space="0"/>
              <w:right w:val="single" w:color="auto" w:sz="4" w:space="0"/>
            </w:tcBorders>
            <w:vAlign w:val="center"/>
          </w:tcPr>
          <w:p>
            <w:pPr>
              <w:spacing w:after="0"/>
              <w:jc w:val="center"/>
              <w:rPr>
                <w:rFonts w:cs="仿宋"/>
                <w:color w:val="auto"/>
                <w:highlight w:val="none"/>
                <w:shd w:val="clear" w:color="auto" w:fill="auto"/>
                <w:lang w:eastAsia="en-US"/>
              </w:rPr>
            </w:pPr>
            <w:r>
              <w:rPr>
                <w:rFonts w:hint="eastAsia" w:cs="仿宋"/>
                <w:color w:val="auto"/>
                <w:spacing w:val="-1"/>
                <w:highlight w:val="none"/>
                <w:shd w:val="clear" w:color="auto" w:fill="auto"/>
                <w:lang w:eastAsia="en-US"/>
              </w:rPr>
              <w:t>短路电流（Isc）</w:t>
            </w:r>
          </w:p>
        </w:tc>
        <w:tc>
          <w:tcPr>
            <w:tcW w:w="2126" w:type="dxa"/>
            <w:tcBorders>
              <w:top w:val="single" w:color="auto" w:sz="4" w:space="0"/>
              <w:left w:val="single" w:color="auto" w:sz="4" w:space="0"/>
              <w:bottom w:val="single" w:color="auto" w:sz="4" w:space="0"/>
              <w:right w:val="single" w:color="auto" w:sz="4" w:space="0"/>
            </w:tcBorders>
            <w:vAlign w:val="center"/>
          </w:tcPr>
          <w:p>
            <w:pPr>
              <w:snapToGrid w:val="0"/>
              <w:spacing w:after="0"/>
              <w:ind w:firstLine="2" w:firstLineChars="1"/>
              <w:jc w:val="center"/>
              <w:rPr>
                <w:rFonts w:cs="仿宋"/>
                <w:color w:val="auto"/>
                <w:highlight w:val="none"/>
                <w:shd w:val="clear" w:color="auto" w:fill="auto"/>
              </w:rPr>
            </w:pPr>
            <w:r>
              <w:rPr>
                <w:rFonts w:hint="eastAsia" w:cs="仿宋"/>
                <w:color w:val="auto"/>
                <w:highlight w:val="none"/>
                <w:shd w:val="clear" w:color="auto" w:fill="auto"/>
              </w:rPr>
              <w:t>18.52</w:t>
            </w:r>
          </w:p>
        </w:tc>
        <w:tc>
          <w:tcPr>
            <w:tcW w:w="1869" w:type="dxa"/>
            <w:tcBorders>
              <w:top w:val="single" w:color="auto" w:sz="4" w:space="0"/>
              <w:left w:val="single" w:color="auto" w:sz="4" w:space="0"/>
              <w:bottom w:val="single" w:color="auto" w:sz="4" w:space="0"/>
              <w:right w:val="single" w:color="auto" w:sz="4" w:space="0"/>
            </w:tcBorders>
            <w:vAlign w:val="center"/>
          </w:tcPr>
          <w:p>
            <w:pPr>
              <w:spacing w:after="0"/>
              <w:jc w:val="center"/>
              <w:rPr>
                <w:rFonts w:cs="仿宋"/>
                <w:color w:val="auto"/>
                <w:highlight w:val="none"/>
                <w:shd w:val="clear" w:color="auto" w:fill="auto"/>
              </w:rPr>
            </w:pPr>
          </w:p>
        </w:tc>
        <w:tc>
          <w:tcPr>
            <w:tcW w:w="1842" w:type="dxa"/>
            <w:tcBorders>
              <w:top w:val="single" w:color="auto" w:sz="4" w:space="0"/>
              <w:left w:val="single" w:color="auto" w:sz="4" w:space="0"/>
              <w:bottom w:val="single" w:color="auto" w:sz="4" w:space="0"/>
              <w:right w:val="single" w:color="auto" w:sz="4" w:space="0"/>
            </w:tcBorders>
            <w:vAlign w:val="center"/>
          </w:tcPr>
          <w:p>
            <w:pPr>
              <w:spacing w:after="0"/>
              <w:jc w:val="center"/>
              <w:rPr>
                <w:rFonts w:cs="仿宋"/>
                <w:color w:val="auto"/>
                <w:highlight w:val="none"/>
                <w:shd w:val="clear" w:color="auto" w:fill="auto"/>
              </w:rPr>
            </w:pPr>
          </w:p>
        </w:tc>
      </w:tr>
      <w:tr>
        <w:tblPrEx>
          <w:tblCellMar>
            <w:top w:w="0" w:type="dxa"/>
            <w:left w:w="0" w:type="dxa"/>
            <w:bottom w:w="0" w:type="dxa"/>
            <w:right w:w="0" w:type="dxa"/>
          </w:tblCellMar>
        </w:tblPrEx>
        <w:trPr>
          <w:trHeight w:val="458" w:hRule="exact"/>
          <w:jc w:val="center"/>
        </w:trPr>
        <w:tc>
          <w:tcPr>
            <w:tcW w:w="850"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lang w:eastAsia="en-US"/>
              </w:rPr>
            </w:pPr>
            <w:r>
              <w:rPr>
                <w:rFonts w:hint="eastAsia" w:cs="仿宋"/>
                <w:color w:val="auto"/>
                <w:spacing w:val="-1"/>
                <w:highlight w:val="none"/>
                <w:shd w:val="clear" w:color="auto" w:fill="auto"/>
                <w:lang w:eastAsia="en-US"/>
              </w:rPr>
              <w:t>(6)</w:t>
            </w:r>
          </w:p>
        </w:tc>
        <w:tc>
          <w:tcPr>
            <w:tcW w:w="2947" w:type="dxa"/>
            <w:tcBorders>
              <w:top w:val="single" w:color="000000" w:sz="4" w:space="0"/>
              <w:left w:val="single" w:color="000000" w:sz="4" w:space="0"/>
              <w:bottom w:val="single" w:color="000000" w:sz="4" w:space="0"/>
              <w:right w:val="single" w:color="auto" w:sz="4" w:space="0"/>
            </w:tcBorders>
            <w:vAlign w:val="center"/>
          </w:tcPr>
          <w:p>
            <w:pPr>
              <w:spacing w:after="0"/>
              <w:jc w:val="center"/>
              <w:rPr>
                <w:rFonts w:cs="仿宋"/>
                <w:color w:val="auto"/>
                <w:highlight w:val="none"/>
                <w:shd w:val="clear" w:color="auto" w:fill="auto"/>
              </w:rPr>
            </w:pPr>
            <w:r>
              <w:rPr>
                <w:rFonts w:hint="eastAsia" w:cs="仿宋"/>
                <w:color w:val="auto"/>
                <w:spacing w:val="-1"/>
                <w:highlight w:val="none"/>
                <w:shd w:val="clear" w:color="auto" w:fill="auto"/>
              </w:rPr>
              <w:t>工作电压（Vmpp）</w:t>
            </w:r>
          </w:p>
        </w:tc>
        <w:tc>
          <w:tcPr>
            <w:tcW w:w="2126" w:type="dxa"/>
            <w:tcBorders>
              <w:top w:val="single" w:color="auto" w:sz="4" w:space="0"/>
              <w:left w:val="single" w:color="auto" w:sz="4" w:space="0"/>
              <w:bottom w:val="single" w:color="auto" w:sz="4" w:space="0"/>
              <w:right w:val="single" w:color="auto" w:sz="4" w:space="0"/>
            </w:tcBorders>
            <w:vAlign w:val="center"/>
          </w:tcPr>
          <w:p>
            <w:pPr>
              <w:snapToGrid w:val="0"/>
              <w:spacing w:after="0"/>
              <w:ind w:firstLine="2" w:firstLineChars="1"/>
              <w:jc w:val="center"/>
              <w:rPr>
                <w:rFonts w:cs="仿宋"/>
                <w:color w:val="auto"/>
                <w:highlight w:val="none"/>
                <w:shd w:val="clear" w:color="auto" w:fill="auto"/>
              </w:rPr>
            </w:pPr>
            <w:r>
              <w:rPr>
                <w:rFonts w:hint="eastAsia" w:cs="仿宋"/>
                <w:color w:val="auto"/>
                <w:highlight w:val="none"/>
                <w:shd w:val="clear" w:color="auto" w:fill="auto"/>
              </w:rPr>
              <w:t>34.4</w:t>
            </w:r>
          </w:p>
        </w:tc>
        <w:tc>
          <w:tcPr>
            <w:tcW w:w="1869" w:type="dxa"/>
            <w:tcBorders>
              <w:top w:val="single" w:color="auto" w:sz="4" w:space="0"/>
              <w:left w:val="single" w:color="auto" w:sz="4" w:space="0"/>
              <w:bottom w:val="single" w:color="auto" w:sz="4" w:space="0"/>
              <w:right w:val="single" w:color="auto" w:sz="4" w:space="0"/>
            </w:tcBorders>
            <w:vAlign w:val="center"/>
          </w:tcPr>
          <w:p>
            <w:pPr>
              <w:spacing w:after="0"/>
              <w:jc w:val="center"/>
              <w:rPr>
                <w:rFonts w:cs="仿宋"/>
                <w:color w:val="auto"/>
                <w:highlight w:val="none"/>
                <w:shd w:val="clear" w:color="auto" w:fill="auto"/>
              </w:rPr>
            </w:pPr>
          </w:p>
        </w:tc>
        <w:tc>
          <w:tcPr>
            <w:tcW w:w="1842" w:type="dxa"/>
            <w:tcBorders>
              <w:top w:val="single" w:color="auto" w:sz="4" w:space="0"/>
              <w:left w:val="single" w:color="auto" w:sz="4" w:space="0"/>
              <w:bottom w:val="single" w:color="auto" w:sz="4" w:space="0"/>
              <w:right w:val="single" w:color="auto" w:sz="4" w:space="0"/>
            </w:tcBorders>
            <w:vAlign w:val="center"/>
          </w:tcPr>
          <w:p>
            <w:pPr>
              <w:spacing w:after="0"/>
              <w:jc w:val="center"/>
              <w:rPr>
                <w:rFonts w:cs="仿宋"/>
                <w:color w:val="auto"/>
                <w:highlight w:val="none"/>
                <w:shd w:val="clear" w:color="auto" w:fill="auto"/>
              </w:rPr>
            </w:pPr>
          </w:p>
        </w:tc>
      </w:tr>
      <w:tr>
        <w:tblPrEx>
          <w:tblCellMar>
            <w:top w:w="0" w:type="dxa"/>
            <w:left w:w="0" w:type="dxa"/>
            <w:bottom w:w="0" w:type="dxa"/>
            <w:right w:w="0" w:type="dxa"/>
          </w:tblCellMar>
        </w:tblPrEx>
        <w:trPr>
          <w:trHeight w:val="464" w:hRule="exact"/>
          <w:jc w:val="center"/>
        </w:trPr>
        <w:tc>
          <w:tcPr>
            <w:tcW w:w="850"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lang w:eastAsia="en-US"/>
              </w:rPr>
            </w:pPr>
            <w:r>
              <w:rPr>
                <w:rFonts w:hint="eastAsia" w:cs="仿宋"/>
                <w:color w:val="auto"/>
                <w:spacing w:val="-1"/>
                <w:highlight w:val="none"/>
                <w:shd w:val="clear" w:color="auto" w:fill="auto"/>
                <w:lang w:eastAsia="en-US"/>
              </w:rPr>
              <w:t>(7)</w:t>
            </w:r>
          </w:p>
        </w:tc>
        <w:tc>
          <w:tcPr>
            <w:tcW w:w="2947" w:type="dxa"/>
            <w:tcBorders>
              <w:top w:val="single" w:color="000000" w:sz="4" w:space="0"/>
              <w:left w:val="single" w:color="000000" w:sz="4" w:space="0"/>
              <w:bottom w:val="single" w:color="000000" w:sz="4" w:space="0"/>
              <w:right w:val="single" w:color="auto" w:sz="4" w:space="0"/>
            </w:tcBorders>
            <w:vAlign w:val="center"/>
          </w:tcPr>
          <w:p>
            <w:pPr>
              <w:spacing w:after="0"/>
              <w:jc w:val="center"/>
              <w:rPr>
                <w:rFonts w:cs="仿宋"/>
                <w:color w:val="auto"/>
                <w:highlight w:val="none"/>
                <w:shd w:val="clear" w:color="auto" w:fill="auto"/>
              </w:rPr>
            </w:pPr>
            <w:r>
              <w:rPr>
                <w:rFonts w:hint="eastAsia" w:cs="仿宋"/>
                <w:color w:val="auto"/>
                <w:spacing w:val="-2"/>
                <w:highlight w:val="none"/>
                <w:shd w:val="clear" w:color="auto" w:fill="auto"/>
              </w:rPr>
              <w:t>工作电流（Impp）</w:t>
            </w:r>
          </w:p>
        </w:tc>
        <w:tc>
          <w:tcPr>
            <w:tcW w:w="2126" w:type="dxa"/>
            <w:tcBorders>
              <w:top w:val="single" w:color="auto" w:sz="4" w:space="0"/>
              <w:left w:val="single" w:color="auto" w:sz="4" w:space="0"/>
              <w:bottom w:val="single" w:color="auto" w:sz="4" w:space="0"/>
              <w:right w:val="single" w:color="auto" w:sz="4" w:space="0"/>
            </w:tcBorders>
            <w:vAlign w:val="center"/>
          </w:tcPr>
          <w:p>
            <w:pPr>
              <w:snapToGrid w:val="0"/>
              <w:spacing w:after="0"/>
              <w:ind w:firstLine="2" w:firstLineChars="1"/>
              <w:jc w:val="center"/>
              <w:rPr>
                <w:rFonts w:cs="仿宋"/>
                <w:color w:val="auto"/>
                <w:highlight w:val="none"/>
                <w:shd w:val="clear" w:color="auto" w:fill="auto"/>
              </w:rPr>
            </w:pPr>
            <w:r>
              <w:rPr>
                <w:rFonts w:hint="eastAsia" w:cs="仿宋"/>
                <w:color w:val="auto"/>
                <w:highlight w:val="none"/>
                <w:shd w:val="clear" w:color="auto" w:fill="auto"/>
              </w:rPr>
              <w:t>17.44</w:t>
            </w:r>
          </w:p>
        </w:tc>
        <w:tc>
          <w:tcPr>
            <w:tcW w:w="1869" w:type="dxa"/>
            <w:tcBorders>
              <w:top w:val="single" w:color="auto" w:sz="4" w:space="0"/>
              <w:left w:val="single" w:color="auto" w:sz="4" w:space="0"/>
              <w:bottom w:val="single" w:color="auto" w:sz="4" w:space="0"/>
              <w:right w:val="single" w:color="auto" w:sz="4" w:space="0"/>
            </w:tcBorders>
            <w:vAlign w:val="center"/>
          </w:tcPr>
          <w:p>
            <w:pPr>
              <w:spacing w:after="0"/>
              <w:jc w:val="center"/>
              <w:rPr>
                <w:rFonts w:cs="仿宋"/>
                <w:color w:val="auto"/>
                <w:highlight w:val="none"/>
                <w:shd w:val="clear" w:color="auto" w:fill="auto"/>
              </w:rPr>
            </w:pPr>
          </w:p>
        </w:tc>
        <w:tc>
          <w:tcPr>
            <w:tcW w:w="1842" w:type="dxa"/>
            <w:tcBorders>
              <w:top w:val="single" w:color="auto" w:sz="4" w:space="0"/>
              <w:left w:val="single" w:color="auto" w:sz="4" w:space="0"/>
              <w:bottom w:val="single" w:color="auto" w:sz="4" w:space="0"/>
              <w:right w:val="single" w:color="auto" w:sz="4" w:space="0"/>
            </w:tcBorders>
            <w:vAlign w:val="center"/>
          </w:tcPr>
          <w:p>
            <w:pPr>
              <w:spacing w:after="0"/>
              <w:jc w:val="center"/>
              <w:rPr>
                <w:rFonts w:cs="仿宋"/>
                <w:color w:val="auto"/>
                <w:highlight w:val="none"/>
                <w:shd w:val="clear" w:color="auto" w:fill="auto"/>
              </w:rPr>
            </w:pPr>
          </w:p>
        </w:tc>
      </w:tr>
      <w:tr>
        <w:tblPrEx>
          <w:tblCellMar>
            <w:top w:w="0" w:type="dxa"/>
            <w:left w:w="0" w:type="dxa"/>
            <w:bottom w:w="0" w:type="dxa"/>
            <w:right w:w="0" w:type="dxa"/>
          </w:tblCellMar>
        </w:tblPrEx>
        <w:trPr>
          <w:trHeight w:val="370" w:hRule="exact"/>
          <w:jc w:val="center"/>
        </w:trPr>
        <w:tc>
          <w:tcPr>
            <w:tcW w:w="850"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lang w:eastAsia="en-US"/>
              </w:rPr>
            </w:pPr>
            <w:r>
              <w:rPr>
                <w:rFonts w:hint="eastAsia" w:cs="仿宋"/>
                <w:color w:val="auto"/>
                <w:highlight w:val="none"/>
                <w:shd w:val="clear" w:color="auto" w:fill="auto"/>
                <w:lang w:eastAsia="en-US"/>
              </w:rPr>
              <w:t>3</w:t>
            </w:r>
          </w:p>
        </w:tc>
        <w:tc>
          <w:tcPr>
            <w:tcW w:w="2947" w:type="dxa"/>
            <w:tcBorders>
              <w:top w:val="single" w:color="000000" w:sz="4" w:space="0"/>
              <w:left w:val="single" w:color="000000" w:sz="4" w:space="0"/>
              <w:bottom w:val="single" w:color="000000" w:sz="4" w:space="0"/>
              <w:right w:val="single" w:color="auto" w:sz="4" w:space="0"/>
            </w:tcBorders>
            <w:vAlign w:val="center"/>
          </w:tcPr>
          <w:p>
            <w:pPr>
              <w:spacing w:after="0"/>
              <w:jc w:val="center"/>
              <w:rPr>
                <w:rFonts w:cs="仿宋"/>
                <w:color w:val="auto"/>
                <w:highlight w:val="none"/>
                <w:shd w:val="clear" w:color="auto" w:fill="auto"/>
              </w:rPr>
            </w:pPr>
            <w:r>
              <w:rPr>
                <w:rFonts w:hint="eastAsia" w:cs="仿宋"/>
                <w:color w:val="auto"/>
                <w:spacing w:val="-2"/>
                <w:highlight w:val="none"/>
                <w:shd w:val="clear" w:color="auto" w:fill="auto"/>
              </w:rPr>
              <w:t>额定电池工作温度（NOCT）</w:t>
            </w:r>
          </w:p>
        </w:tc>
        <w:tc>
          <w:tcPr>
            <w:tcW w:w="5837" w:type="dxa"/>
            <w:gridSpan w:val="3"/>
            <w:tcBorders>
              <w:top w:val="single" w:color="auto" w:sz="4" w:space="0"/>
              <w:left w:val="single" w:color="auto" w:sz="4" w:space="0"/>
              <w:bottom w:val="single" w:color="auto" w:sz="4" w:space="0"/>
              <w:right w:val="single" w:color="auto" w:sz="4" w:space="0"/>
            </w:tcBorders>
            <w:vAlign w:val="center"/>
          </w:tcPr>
          <w:p>
            <w:pPr>
              <w:spacing w:after="0"/>
              <w:jc w:val="center"/>
              <w:rPr>
                <w:rFonts w:cs="仿宋"/>
                <w:color w:val="auto"/>
                <w:highlight w:val="none"/>
                <w:shd w:val="clear" w:color="auto" w:fill="auto"/>
              </w:rPr>
            </w:pPr>
            <w:r>
              <w:rPr>
                <w:rFonts w:hint="eastAsia" w:cs="仿宋"/>
                <w:color w:val="auto"/>
                <w:highlight w:val="none"/>
                <w:shd w:val="clear" w:color="auto" w:fill="auto"/>
              </w:rPr>
              <w:t>43±2℃</w:t>
            </w:r>
          </w:p>
        </w:tc>
      </w:tr>
      <w:tr>
        <w:tblPrEx>
          <w:tblCellMar>
            <w:top w:w="0" w:type="dxa"/>
            <w:left w:w="0" w:type="dxa"/>
            <w:bottom w:w="0" w:type="dxa"/>
            <w:right w:w="0" w:type="dxa"/>
          </w:tblCellMar>
        </w:tblPrEx>
        <w:trPr>
          <w:trHeight w:val="611" w:hRule="exact"/>
          <w:jc w:val="center"/>
        </w:trPr>
        <w:tc>
          <w:tcPr>
            <w:tcW w:w="850"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lang w:eastAsia="en-US"/>
              </w:rPr>
            </w:pPr>
            <w:r>
              <w:rPr>
                <w:rFonts w:hint="eastAsia" w:cs="仿宋"/>
                <w:color w:val="auto"/>
                <w:highlight w:val="none"/>
                <w:shd w:val="clear" w:color="auto" w:fill="auto"/>
                <w:lang w:eastAsia="en-US"/>
              </w:rPr>
              <w:t>4</w:t>
            </w:r>
          </w:p>
        </w:tc>
        <w:tc>
          <w:tcPr>
            <w:tcW w:w="8784" w:type="dxa"/>
            <w:gridSpan w:val="4"/>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rPr>
            </w:pPr>
            <w:r>
              <w:rPr>
                <w:rFonts w:hint="eastAsia" w:cs="仿宋"/>
                <w:b/>
                <w:bCs/>
                <w:color w:val="auto"/>
                <w:spacing w:val="-1"/>
                <w:highlight w:val="none"/>
                <w:shd w:val="clear" w:color="auto" w:fill="auto"/>
              </w:rPr>
              <w:t>太阳能光伏组件温度系数</w:t>
            </w:r>
          </w:p>
        </w:tc>
      </w:tr>
      <w:tr>
        <w:tblPrEx>
          <w:tblCellMar>
            <w:top w:w="0" w:type="dxa"/>
            <w:left w:w="0" w:type="dxa"/>
            <w:bottom w:w="0" w:type="dxa"/>
            <w:right w:w="0" w:type="dxa"/>
          </w:tblCellMar>
        </w:tblPrEx>
        <w:trPr>
          <w:trHeight w:val="502" w:hRule="exact"/>
          <w:jc w:val="center"/>
        </w:trPr>
        <w:tc>
          <w:tcPr>
            <w:tcW w:w="850"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lang w:eastAsia="en-US"/>
              </w:rPr>
            </w:pPr>
            <w:r>
              <w:rPr>
                <w:rFonts w:hint="eastAsia" w:cs="仿宋"/>
                <w:color w:val="auto"/>
                <w:spacing w:val="-1"/>
                <w:highlight w:val="none"/>
                <w:shd w:val="clear" w:color="auto" w:fill="auto"/>
                <w:lang w:eastAsia="en-US"/>
              </w:rPr>
              <w:t>(1)</w:t>
            </w:r>
          </w:p>
        </w:tc>
        <w:tc>
          <w:tcPr>
            <w:tcW w:w="2947"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lang w:eastAsia="en-US"/>
              </w:rPr>
            </w:pPr>
            <w:r>
              <w:rPr>
                <w:rFonts w:hint="eastAsia" w:cs="仿宋"/>
                <w:color w:val="auto"/>
                <w:spacing w:val="-2"/>
                <w:highlight w:val="none"/>
                <w:shd w:val="clear" w:color="auto" w:fill="auto"/>
                <w:lang w:eastAsia="en-US"/>
              </w:rPr>
              <w:t>峰值功率温度系数</w:t>
            </w:r>
          </w:p>
        </w:tc>
        <w:tc>
          <w:tcPr>
            <w:tcW w:w="5837" w:type="dxa"/>
            <w:gridSpan w:val="3"/>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rPr>
            </w:pPr>
            <w:r>
              <w:rPr>
                <w:rFonts w:hint="eastAsia" w:cs="仿宋"/>
                <w:color w:val="auto"/>
                <w:highlight w:val="none"/>
                <w:shd w:val="clear" w:color="auto" w:fill="auto"/>
              </w:rPr>
              <w:t>-0.34%/℃</w:t>
            </w:r>
          </w:p>
        </w:tc>
      </w:tr>
      <w:tr>
        <w:tblPrEx>
          <w:tblCellMar>
            <w:top w:w="0" w:type="dxa"/>
            <w:left w:w="0" w:type="dxa"/>
            <w:bottom w:w="0" w:type="dxa"/>
            <w:right w:w="0" w:type="dxa"/>
          </w:tblCellMar>
        </w:tblPrEx>
        <w:trPr>
          <w:trHeight w:val="461" w:hRule="exact"/>
          <w:jc w:val="center"/>
        </w:trPr>
        <w:tc>
          <w:tcPr>
            <w:tcW w:w="850"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lang w:eastAsia="en-US"/>
              </w:rPr>
            </w:pPr>
            <w:r>
              <w:rPr>
                <w:rFonts w:hint="eastAsia" w:cs="仿宋"/>
                <w:color w:val="auto"/>
                <w:spacing w:val="-1"/>
                <w:highlight w:val="none"/>
                <w:shd w:val="clear" w:color="auto" w:fill="auto"/>
                <w:lang w:eastAsia="en-US"/>
              </w:rPr>
              <w:t>(2)</w:t>
            </w:r>
          </w:p>
        </w:tc>
        <w:tc>
          <w:tcPr>
            <w:tcW w:w="2947"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lang w:eastAsia="en-US"/>
              </w:rPr>
            </w:pPr>
            <w:r>
              <w:rPr>
                <w:rFonts w:hint="eastAsia" w:cs="仿宋"/>
                <w:color w:val="auto"/>
                <w:spacing w:val="-2"/>
                <w:highlight w:val="none"/>
                <w:shd w:val="clear" w:color="auto" w:fill="auto"/>
                <w:lang w:eastAsia="en-US"/>
              </w:rPr>
              <w:t>开路电压温度系数</w:t>
            </w:r>
          </w:p>
        </w:tc>
        <w:tc>
          <w:tcPr>
            <w:tcW w:w="5837" w:type="dxa"/>
            <w:gridSpan w:val="3"/>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rPr>
            </w:pPr>
            <w:r>
              <w:rPr>
                <w:rFonts w:hint="eastAsia" w:cs="仿宋"/>
                <w:color w:val="auto"/>
                <w:highlight w:val="none"/>
                <w:shd w:val="clear" w:color="auto" w:fill="auto"/>
              </w:rPr>
              <w:t>-0.25%/℃</w:t>
            </w:r>
          </w:p>
        </w:tc>
      </w:tr>
      <w:tr>
        <w:tblPrEx>
          <w:tblCellMar>
            <w:top w:w="0" w:type="dxa"/>
            <w:left w:w="0" w:type="dxa"/>
            <w:bottom w:w="0" w:type="dxa"/>
            <w:right w:w="0" w:type="dxa"/>
          </w:tblCellMar>
        </w:tblPrEx>
        <w:trPr>
          <w:trHeight w:val="468" w:hRule="exact"/>
          <w:jc w:val="center"/>
        </w:trPr>
        <w:tc>
          <w:tcPr>
            <w:tcW w:w="850"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lang w:eastAsia="en-US"/>
              </w:rPr>
            </w:pPr>
            <w:r>
              <w:rPr>
                <w:rFonts w:hint="eastAsia" w:cs="仿宋"/>
                <w:color w:val="auto"/>
                <w:spacing w:val="-1"/>
                <w:highlight w:val="none"/>
                <w:shd w:val="clear" w:color="auto" w:fill="auto"/>
                <w:lang w:eastAsia="en-US"/>
              </w:rPr>
              <w:t>(3)</w:t>
            </w:r>
          </w:p>
        </w:tc>
        <w:tc>
          <w:tcPr>
            <w:tcW w:w="2947"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lang w:eastAsia="en-US"/>
              </w:rPr>
            </w:pPr>
            <w:r>
              <w:rPr>
                <w:rFonts w:hint="eastAsia" w:cs="仿宋"/>
                <w:color w:val="auto"/>
                <w:spacing w:val="-2"/>
                <w:highlight w:val="none"/>
                <w:shd w:val="clear" w:color="auto" w:fill="auto"/>
                <w:lang w:eastAsia="en-US"/>
              </w:rPr>
              <w:t>短路电流温度系数</w:t>
            </w:r>
          </w:p>
        </w:tc>
        <w:tc>
          <w:tcPr>
            <w:tcW w:w="5837" w:type="dxa"/>
            <w:gridSpan w:val="3"/>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rPr>
            </w:pPr>
            <w:r>
              <w:rPr>
                <w:rFonts w:hint="eastAsia" w:cs="仿宋"/>
                <w:color w:val="auto"/>
                <w:highlight w:val="none"/>
                <w:shd w:val="clear" w:color="auto" w:fill="auto"/>
              </w:rPr>
              <w:t>0.04%/℃</w:t>
            </w:r>
          </w:p>
        </w:tc>
      </w:tr>
      <w:tr>
        <w:tblPrEx>
          <w:tblCellMar>
            <w:top w:w="0" w:type="dxa"/>
            <w:left w:w="0" w:type="dxa"/>
            <w:bottom w:w="0" w:type="dxa"/>
            <w:right w:w="0" w:type="dxa"/>
          </w:tblCellMar>
        </w:tblPrEx>
        <w:trPr>
          <w:trHeight w:val="458" w:hRule="exact"/>
          <w:jc w:val="center"/>
        </w:trPr>
        <w:tc>
          <w:tcPr>
            <w:tcW w:w="850"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lang w:eastAsia="en-US"/>
              </w:rPr>
            </w:pPr>
            <w:r>
              <w:rPr>
                <w:rFonts w:hint="eastAsia" w:cs="仿宋"/>
                <w:color w:val="auto"/>
                <w:highlight w:val="none"/>
                <w:shd w:val="clear" w:color="auto" w:fill="auto"/>
                <w:lang w:eastAsia="en-US"/>
              </w:rPr>
              <w:t>5</w:t>
            </w:r>
          </w:p>
        </w:tc>
        <w:tc>
          <w:tcPr>
            <w:tcW w:w="2947"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spacing w:val="-2"/>
                <w:highlight w:val="none"/>
                <w:shd w:val="clear" w:color="auto" w:fill="auto"/>
                <w:lang w:eastAsia="en-US"/>
              </w:rPr>
            </w:pPr>
            <w:r>
              <w:rPr>
                <w:rFonts w:hint="eastAsia" w:cs="仿宋"/>
                <w:color w:val="auto"/>
                <w:spacing w:val="-2"/>
                <w:highlight w:val="none"/>
                <w:shd w:val="clear" w:color="auto" w:fill="auto"/>
                <w:lang w:eastAsia="en-US"/>
              </w:rPr>
              <w:t>最大系统电压</w:t>
            </w:r>
          </w:p>
        </w:tc>
        <w:tc>
          <w:tcPr>
            <w:tcW w:w="5837" w:type="dxa"/>
            <w:gridSpan w:val="3"/>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rPr>
            </w:pPr>
            <w:r>
              <w:rPr>
                <w:rFonts w:hint="eastAsia" w:cs="仿宋"/>
                <w:color w:val="auto"/>
                <w:highlight w:val="none"/>
                <w:shd w:val="clear" w:color="auto" w:fill="auto"/>
              </w:rPr>
              <w:t>1500V</w:t>
            </w:r>
          </w:p>
        </w:tc>
      </w:tr>
      <w:tr>
        <w:tblPrEx>
          <w:tblCellMar>
            <w:top w:w="0" w:type="dxa"/>
            <w:left w:w="0" w:type="dxa"/>
            <w:bottom w:w="0" w:type="dxa"/>
            <w:right w:w="0" w:type="dxa"/>
          </w:tblCellMar>
        </w:tblPrEx>
        <w:trPr>
          <w:trHeight w:val="466" w:hRule="exact"/>
          <w:jc w:val="center"/>
        </w:trPr>
        <w:tc>
          <w:tcPr>
            <w:tcW w:w="850"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lang w:eastAsia="en-US"/>
              </w:rPr>
            </w:pPr>
            <w:r>
              <w:rPr>
                <w:rFonts w:hint="eastAsia" w:cs="仿宋"/>
                <w:color w:val="auto"/>
                <w:highlight w:val="none"/>
                <w:shd w:val="clear" w:color="auto" w:fill="auto"/>
                <w:lang w:eastAsia="en-US"/>
              </w:rPr>
              <w:t>6</w:t>
            </w:r>
          </w:p>
        </w:tc>
        <w:tc>
          <w:tcPr>
            <w:tcW w:w="2947"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spacing w:val="-2"/>
                <w:highlight w:val="none"/>
                <w:shd w:val="clear" w:color="auto" w:fill="auto"/>
                <w:lang w:eastAsia="en-US"/>
              </w:rPr>
            </w:pPr>
            <w:r>
              <w:rPr>
                <w:rFonts w:hint="eastAsia" w:cs="仿宋"/>
                <w:color w:val="auto"/>
                <w:spacing w:val="-2"/>
                <w:highlight w:val="none"/>
                <w:shd w:val="clear" w:color="auto" w:fill="auto"/>
                <w:lang w:eastAsia="en-US"/>
              </w:rPr>
              <w:t>工作温度范围</w:t>
            </w:r>
          </w:p>
        </w:tc>
        <w:tc>
          <w:tcPr>
            <w:tcW w:w="5837" w:type="dxa"/>
            <w:gridSpan w:val="3"/>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rPr>
            </w:pPr>
            <w:r>
              <w:rPr>
                <w:rFonts w:hint="eastAsia" w:cs="仿宋"/>
                <w:color w:val="auto"/>
                <w:highlight w:val="none"/>
                <w:shd w:val="clear" w:color="auto" w:fill="auto"/>
              </w:rPr>
              <w:t>-40~85℃</w:t>
            </w:r>
          </w:p>
        </w:tc>
      </w:tr>
      <w:tr>
        <w:tblPrEx>
          <w:tblCellMar>
            <w:top w:w="0" w:type="dxa"/>
            <w:left w:w="0" w:type="dxa"/>
            <w:bottom w:w="0" w:type="dxa"/>
            <w:right w:w="0" w:type="dxa"/>
          </w:tblCellMar>
        </w:tblPrEx>
        <w:trPr>
          <w:trHeight w:val="674" w:hRule="exact"/>
          <w:jc w:val="center"/>
        </w:trPr>
        <w:tc>
          <w:tcPr>
            <w:tcW w:w="850"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lang w:eastAsia="en-US"/>
              </w:rPr>
            </w:pPr>
            <w:r>
              <w:rPr>
                <w:rFonts w:hint="eastAsia" w:cs="仿宋"/>
                <w:color w:val="auto"/>
                <w:highlight w:val="none"/>
                <w:shd w:val="clear" w:color="auto" w:fill="auto"/>
                <w:lang w:eastAsia="en-US"/>
              </w:rPr>
              <w:t>7</w:t>
            </w:r>
          </w:p>
        </w:tc>
        <w:tc>
          <w:tcPr>
            <w:tcW w:w="2947"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spacing w:val="-2"/>
                <w:highlight w:val="none"/>
                <w:shd w:val="clear" w:color="auto" w:fill="auto"/>
              </w:rPr>
            </w:pPr>
            <w:r>
              <w:rPr>
                <w:rFonts w:hint="eastAsia" w:cs="仿宋"/>
                <w:color w:val="auto"/>
                <w:spacing w:val="-2"/>
                <w:highlight w:val="none"/>
                <w:shd w:val="clear" w:color="auto" w:fill="auto"/>
              </w:rPr>
              <w:t>正面最大静荷载（雪荷载）</w:t>
            </w:r>
          </w:p>
        </w:tc>
        <w:tc>
          <w:tcPr>
            <w:tcW w:w="5837" w:type="dxa"/>
            <w:gridSpan w:val="3"/>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rPr>
            </w:pPr>
            <w:r>
              <w:rPr>
                <w:rFonts w:hint="eastAsia" w:cs="仿宋"/>
                <w:color w:val="auto"/>
                <w:highlight w:val="none"/>
                <w:shd w:val="clear" w:color="auto" w:fill="auto"/>
              </w:rPr>
              <w:t>5400pa（横梁穿越）</w:t>
            </w:r>
          </w:p>
        </w:tc>
      </w:tr>
      <w:tr>
        <w:tblPrEx>
          <w:tblCellMar>
            <w:top w:w="0" w:type="dxa"/>
            <w:left w:w="0" w:type="dxa"/>
            <w:bottom w:w="0" w:type="dxa"/>
            <w:right w:w="0" w:type="dxa"/>
          </w:tblCellMar>
        </w:tblPrEx>
        <w:trPr>
          <w:trHeight w:val="570" w:hRule="exact"/>
          <w:jc w:val="center"/>
        </w:trPr>
        <w:tc>
          <w:tcPr>
            <w:tcW w:w="850"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lang w:eastAsia="en-US"/>
              </w:rPr>
            </w:pPr>
            <w:r>
              <w:rPr>
                <w:rFonts w:hint="eastAsia" w:cs="仿宋"/>
                <w:color w:val="auto"/>
                <w:highlight w:val="none"/>
                <w:shd w:val="clear" w:color="auto" w:fill="auto"/>
                <w:lang w:eastAsia="en-US"/>
              </w:rPr>
              <w:t>8</w:t>
            </w:r>
          </w:p>
        </w:tc>
        <w:tc>
          <w:tcPr>
            <w:tcW w:w="2947"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spacing w:val="-2"/>
                <w:highlight w:val="none"/>
                <w:shd w:val="clear" w:color="auto" w:fill="auto"/>
              </w:rPr>
            </w:pPr>
            <w:r>
              <w:rPr>
                <w:rFonts w:hint="eastAsia" w:cs="仿宋"/>
                <w:color w:val="auto"/>
                <w:spacing w:val="-2"/>
                <w:highlight w:val="none"/>
                <w:shd w:val="clear" w:color="auto" w:fill="auto"/>
              </w:rPr>
              <w:t>背面最大静荷载（风荷载）</w:t>
            </w:r>
          </w:p>
        </w:tc>
        <w:tc>
          <w:tcPr>
            <w:tcW w:w="5837" w:type="dxa"/>
            <w:gridSpan w:val="3"/>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rPr>
            </w:pPr>
            <w:r>
              <w:rPr>
                <w:rFonts w:hint="eastAsia" w:cs="仿宋"/>
                <w:color w:val="auto"/>
                <w:highlight w:val="none"/>
                <w:shd w:val="clear" w:color="auto" w:fill="auto"/>
              </w:rPr>
              <w:t>2400pa</w:t>
            </w:r>
          </w:p>
        </w:tc>
      </w:tr>
      <w:tr>
        <w:tblPrEx>
          <w:tblCellMar>
            <w:top w:w="0" w:type="dxa"/>
            <w:left w:w="0" w:type="dxa"/>
            <w:bottom w:w="0" w:type="dxa"/>
            <w:right w:w="0" w:type="dxa"/>
          </w:tblCellMar>
        </w:tblPrEx>
        <w:trPr>
          <w:trHeight w:val="572" w:hRule="exact"/>
          <w:jc w:val="center"/>
        </w:trPr>
        <w:tc>
          <w:tcPr>
            <w:tcW w:w="850"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lang w:eastAsia="en-US"/>
              </w:rPr>
            </w:pPr>
            <w:r>
              <w:rPr>
                <w:rFonts w:hint="eastAsia" w:cs="仿宋"/>
                <w:color w:val="auto"/>
                <w:highlight w:val="none"/>
                <w:shd w:val="clear" w:color="auto" w:fill="auto"/>
                <w:lang w:eastAsia="en-US"/>
              </w:rPr>
              <w:t>9</w:t>
            </w:r>
          </w:p>
        </w:tc>
        <w:tc>
          <w:tcPr>
            <w:tcW w:w="2947"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spacing w:val="-2"/>
                <w:highlight w:val="none"/>
                <w:shd w:val="clear" w:color="auto" w:fill="auto"/>
                <w:lang w:eastAsia="en-US"/>
              </w:rPr>
            </w:pPr>
            <w:r>
              <w:rPr>
                <w:rFonts w:hint="eastAsia" w:cs="仿宋"/>
                <w:color w:val="auto"/>
                <w:spacing w:val="-2"/>
                <w:highlight w:val="none"/>
                <w:shd w:val="clear" w:color="auto" w:fill="auto"/>
                <w:lang w:eastAsia="en-US"/>
              </w:rPr>
              <w:t>功率衰减承诺</w:t>
            </w:r>
          </w:p>
        </w:tc>
        <w:tc>
          <w:tcPr>
            <w:tcW w:w="5837" w:type="dxa"/>
            <w:gridSpan w:val="3"/>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rPr>
            </w:pPr>
            <w:r>
              <w:rPr>
                <w:rFonts w:hint="eastAsia" w:cs="仿宋"/>
                <w:color w:val="auto"/>
                <w:highlight w:val="none"/>
                <w:shd w:val="clear" w:color="auto" w:fill="auto"/>
              </w:rPr>
              <w:t>首年2%、0.55%年功率衰减</w:t>
            </w:r>
          </w:p>
        </w:tc>
      </w:tr>
      <w:tr>
        <w:tblPrEx>
          <w:tblCellMar>
            <w:top w:w="0" w:type="dxa"/>
            <w:left w:w="0" w:type="dxa"/>
            <w:bottom w:w="0" w:type="dxa"/>
            <w:right w:w="0" w:type="dxa"/>
          </w:tblCellMar>
        </w:tblPrEx>
        <w:trPr>
          <w:trHeight w:val="572" w:hRule="exact"/>
          <w:jc w:val="center"/>
        </w:trPr>
        <w:tc>
          <w:tcPr>
            <w:tcW w:w="850"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lang w:eastAsia="en-US"/>
              </w:rPr>
            </w:pPr>
            <w:r>
              <w:rPr>
                <w:rFonts w:hint="eastAsia" w:cs="仿宋"/>
                <w:color w:val="auto"/>
                <w:spacing w:val="-4"/>
                <w:highlight w:val="none"/>
                <w:shd w:val="clear" w:color="auto" w:fill="auto"/>
                <w:lang w:eastAsia="en-US"/>
              </w:rPr>
              <w:t>10</w:t>
            </w:r>
          </w:p>
        </w:tc>
        <w:tc>
          <w:tcPr>
            <w:tcW w:w="2947"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spacing w:val="-2"/>
                <w:highlight w:val="none"/>
                <w:shd w:val="clear" w:color="auto" w:fill="auto"/>
              </w:rPr>
            </w:pPr>
            <w:r>
              <w:rPr>
                <w:rFonts w:hint="eastAsia" w:cs="仿宋"/>
                <w:color w:val="auto"/>
                <w:spacing w:val="-2"/>
                <w:highlight w:val="none"/>
                <w:shd w:val="clear" w:color="auto" w:fill="auto"/>
                <w:lang w:eastAsia="en-US"/>
              </w:rPr>
              <w:t>组件尺寸</w:t>
            </w:r>
            <w:r>
              <w:rPr>
                <w:rFonts w:hint="eastAsia" w:cs="仿宋"/>
                <w:color w:val="auto"/>
                <w:spacing w:val="-2"/>
                <w:highlight w:val="none"/>
                <w:shd w:val="clear" w:color="auto" w:fill="auto"/>
              </w:rPr>
              <w:t>(mm)</w:t>
            </w:r>
          </w:p>
        </w:tc>
        <w:tc>
          <w:tcPr>
            <w:tcW w:w="2126" w:type="dxa"/>
            <w:tcBorders>
              <w:top w:val="single" w:color="000000" w:sz="4" w:space="0"/>
              <w:left w:val="single" w:color="000000" w:sz="4" w:space="0"/>
              <w:bottom w:val="single" w:color="000000" w:sz="4" w:space="0"/>
              <w:right w:val="single" w:color="auto" w:sz="4" w:space="0"/>
            </w:tcBorders>
            <w:vAlign w:val="center"/>
          </w:tcPr>
          <w:p>
            <w:pPr>
              <w:spacing w:after="0"/>
              <w:jc w:val="center"/>
              <w:rPr>
                <w:rFonts w:cs="仿宋"/>
                <w:color w:val="auto"/>
                <w:highlight w:val="none"/>
                <w:shd w:val="clear" w:color="auto" w:fill="auto"/>
              </w:rPr>
            </w:pPr>
            <w:r>
              <w:rPr>
                <w:rFonts w:hint="eastAsia" w:cs="仿宋"/>
                <w:color w:val="auto"/>
                <w:highlight w:val="none"/>
                <w:shd w:val="clear" w:color="auto" w:fill="auto"/>
              </w:rPr>
              <w:t>2172×1303×35</w:t>
            </w:r>
          </w:p>
        </w:tc>
        <w:tc>
          <w:tcPr>
            <w:tcW w:w="1869" w:type="dxa"/>
            <w:tcBorders>
              <w:top w:val="single" w:color="auto" w:sz="4" w:space="0"/>
              <w:left w:val="single" w:color="auto" w:sz="4" w:space="0"/>
              <w:bottom w:val="single" w:color="auto" w:sz="4" w:space="0"/>
              <w:right w:val="single" w:color="auto" w:sz="4" w:space="0"/>
            </w:tcBorders>
            <w:vAlign w:val="center"/>
          </w:tcPr>
          <w:p>
            <w:pPr>
              <w:spacing w:after="0"/>
              <w:jc w:val="center"/>
              <w:rPr>
                <w:rFonts w:cs="仿宋"/>
                <w:color w:val="auto"/>
                <w:highlight w:val="none"/>
                <w:shd w:val="clear" w:color="auto" w:fill="auto"/>
              </w:rPr>
            </w:pPr>
          </w:p>
        </w:tc>
        <w:tc>
          <w:tcPr>
            <w:tcW w:w="1842" w:type="dxa"/>
            <w:tcBorders>
              <w:top w:val="single" w:color="auto" w:sz="4" w:space="0"/>
              <w:left w:val="single" w:color="auto" w:sz="4" w:space="0"/>
              <w:bottom w:val="single" w:color="auto" w:sz="4" w:space="0"/>
              <w:right w:val="single" w:color="auto" w:sz="4" w:space="0"/>
            </w:tcBorders>
            <w:vAlign w:val="center"/>
          </w:tcPr>
          <w:p>
            <w:pPr>
              <w:spacing w:after="0"/>
              <w:jc w:val="center"/>
              <w:rPr>
                <w:rFonts w:cs="仿宋"/>
                <w:color w:val="auto"/>
                <w:highlight w:val="none"/>
                <w:shd w:val="clear" w:color="auto" w:fill="auto"/>
              </w:rPr>
            </w:pPr>
          </w:p>
        </w:tc>
      </w:tr>
      <w:tr>
        <w:tblPrEx>
          <w:tblCellMar>
            <w:top w:w="0" w:type="dxa"/>
            <w:left w:w="0" w:type="dxa"/>
            <w:bottom w:w="0" w:type="dxa"/>
            <w:right w:w="0" w:type="dxa"/>
          </w:tblCellMar>
        </w:tblPrEx>
        <w:trPr>
          <w:trHeight w:val="566" w:hRule="exact"/>
          <w:jc w:val="center"/>
        </w:trPr>
        <w:tc>
          <w:tcPr>
            <w:tcW w:w="850"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rPr>
            </w:pPr>
            <w:r>
              <w:rPr>
                <w:rFonts w:hint="eastAsia" w:cs="仿宋"/>
                <w:color w:val="auto"/>
                <w:spacing w:val="-4"/>
                <w:highlight w:val="none"/>
                <w:shd w:val="clear" w:color="auto" w:fill="auto"/>
              </w:rPr>
              <w:t>11</w:t>
            </w:r>
          </w:p>
        </w:tc>
        <w:tc>
          <w:tcPr>
            <w:tcW w:w="2947"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spacing w:val="-2"/>
                <w:highlight w:val="none"/>
                <w:shd w:val="clear" w:color="auto" w:fill="auto"/>
              </w:rPr>
            </w:pPr>
            <w:r>
              <w:rPr>
                <w:rFonts w:hint="eastAsia" w:cs="仿宋"/>
                <w:color w:val="auto"/>
                <w:spacing w:val="-2"/>
                <w:highlight w:val="none"/>
                <w:shd w:val="clear" w:color="auto" w:fill="auto"/>
                <w:lang w:eastAsia="en-US"/>
              </w:rPr>
              <w:t>组件重量</w:t>
            </w:r>
            <w:r>
              <w:rPr>
                <w:rFonts w:hint="eastAsia" w:cs="仿宋"/>
                <w:color w:val="auto"/>
                <w:spacing w:val="-2"/>
                <w:highlight w:val="none"/>
                <w:shd w:val="clear" w:color="auto" w:fill="auto"/>
              </w:rPr>
              <w:t>(kg)</w:t>
            </w:r>
          </w:p>
        </w:tc>
        <w:tc>
          <w:tcPr>
            <w:tcW w:w="2126" w:type="dxa"/>
            <w:tcBorders>
              <w:top w:val="single" w:color="000000" w:sz="4" w:space="0"/>
              <w:left w:val="single" w:color="000000" w:sz="4" w:space="0"/>
              <w:bottom w:val="single" w:color="000000" w:sz="4" w:space="0"/>
              <w:right w:val="single" w:color="auto" w:sz="4" w:space="0"/>
            </w:tcBorders>
            <w:vAlign w:val="center"/>
          </w:tcPr>
          <w:p>
            <w:pPr>
              <w:spacing w:after="0"/>
              <w:jc w:val="center"/>
              <w:rPr>
                <w:rFonts w:cs="仿宋"/>
                <w:color w:val="auto"/>
                <w:highlight w:val="none"/>
                <w:shd w:val="clear" w:color="auto" w:fill="auto"/>
              </w:rPr>
            </w:pPr>
            <w:r>
              <w:rPr>
                <w:rFonts w:hint="eastAsia" w:cs="仿宋"/>
                <w:color w:val="auto"/>
                <w:highlight w:val="none"/>
                <w:shd w:val="clear" w:color="auto" w:fill="auto"/>
              </w:rPr>
              <w:t>30.6</w:t>
            </w:r>
          </w:p>
        </w:tc>
        <w:tc>
          <w:tcPr>
            <w:tcW w:w="1869" w:type="dxa"/>
            <w:tcBorders>
              <w:top w:val="single" w:color="auto" w:sz="4" w:space="0"/>
              <w:left w:val="single" w:color="auto" w:sz="4" w:space="0"/>
              <w:bottom w:val="single" w:color="auto" w:sz="4" w:space="0"/>
              <w:right w:val="single" w:color="auto" w:sz="4" w:space="0"/>
            </w:tcBorders>
            <w:vAlign w:val="center"/>
          </w:tcPr>
          <w:p>
            <w:pPr>
              <w:spacing w:after="0"/>
              <w:jc w:val="center"/>
              <w:rPr>
                <w:rFonts w:cs="仿宋"/>
                <w:color w:val="auto"/>
                <w:highlight w:val="none"/>
                <w:shd w:val="clear" w:color="auto" w:fill="auto"/>
              </w:rPr>
            </w:pPr>
          </w:p>
        </w:tc>
        <w:tc>
          <w:tcPr>
            <w:tcW w:w="1842" w:type="dxa"/>
            <w:tcBorders>
              <w:top w:val="single" w:color="auto" w:sz="4" w:space="0"/>
              <w:left w:val="single" w:color="auto" w:sz="4" w:space="0"/>
              <w:bottom w:val="single" w:color="auto" w:sz="4" w:space="0"/>
              <w:right w:val="single" w:color="auto" w:sz="4" w:space="0"/>
            </w:tcBorders>
            <w:vAlign w:val="center"/>
          </w:tcPr>
          <w:p>
            <w:pPr>
              <w:spacing w:after="0"/>
              <w:jc w:val="center"/>
              <w:rPr>
                <w:rFonts w:cs="仿宋"/>
                <w:color w:val="auto"/>
                <w:highlight w:val="none"/>
                <w:shd w:val="clear" w:color="auto" w:fill="auto"/>
              </w:rPr>
            </w:pPr>
          </w:p>
        </w:tc>
      </w:tr>
      <w:tr>
        <w:tblPrEx>
          <w:tblCellMar>
            <w:top w:w="0" w:type="dxa"/>
            <w:left w:w="0" w:type="dxa"/>
            <w:bottom w:w="0" w:type="dxa"/>
            <w:right w:w="0" w:type="dxa"/>
          </w:tblCellMar>
        </w:tblPrEx>
        <w:trPr>
          <w:trHeight w:val="586" w:hRule="exact"/>
          <w:jc w:val="center"/>
        </w:trPr>
        <w:tc>
          <w:tcPr>
            <w:tcW w:w="850"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spacing w:val="-4"/>
                <w:highlight w:val="none"/>
                <w:shd w:val="clear" w:color="auto" w:fill="auto"/>
              </w:rPr>
            </w:pPr>
            <w:r>
              <w:rPr>
                <w:rFonts w:hint="eastAsia" w:cs="仿宋"/>
                <w:color w:val="auto"/>
                <w:spacing w:val="-4"/>
                <w:highlight w:val="none"/>
                <w:shd w:val="clear" w:color="auto" w:fill="auto"/>
              </w:rPr>
              <w:t>12</w:t>
            </w:r>
          </w:p>
        </w:tc>
        <w:tc>
          <w:tcPr>
            <w:tcW w:w="2947" w:type="dxa"/>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spacing w:val="-2"/>
                <w:highlight w:val="none"/>
                <w:shd w:val="clear" w:color="auto" w:fill="auto"/>
                <w:lang w:eastAsia="en-US"/>
              </w:rPr>
            </w:pPr>
            <w:r>
              <w:rPr>
                <w:rFonts w:hint="eastAsia" w:cs="仿宋"/>
                <w:color w:val="auto"/>
                <w:spacing w:val="-2"/>
                <w:highlight w:val="none"/>
                <w:shd w:val="clear" w:color="auto" w:fill="auto"/>
                <w:lang w:eastAsia="en-US"/>
              </w:rPr>
              <w:t>导线长度</w:t>
            </w:r>
          </w:p>
        </w:tc>
        <w:tc>
          <w:tcPr>
            <w:tcW w:w="5837" w:type="dxa"/>
            <w:gridSpan w:val="3"/>
            <w:tcBorders>
              <w:top w:val="single" w:color="000000" w:sz="4" w:space="0"/>
              <w:left w:val="single" w:color="000000" w:sz="4" w:space="0"/>
              <w:bottom w:val="single" w:color="000000" w:sz="4" w:space="0"/>
              <w:right w:val="single" w:color="000000" w:sz="4" w:space="0"/>
            </w:tcBorders>
            <w:vAlign w:val="center"/>
          </w:tcPr>
          <w:p>
            <w:pPr>
              <w:spacing w:after="0"/>
              <w:jc w:val="center"/>
              <w:rPr>
                <w:rFonts w:cs="仿宋"/>
                <w:color w:val="auto"/>
                <w:highlight w:val="none"/>
                <w:shd w:val="clear" w:color="auto" w:fill="auto"/>
              </w:rPr>
            </w:pPr>
            <w:r>
              <w:rPr>
                <w:rFonts w:hint="eastAsia" w:cs="仿宋"/>
                <w:color w:val="auto"/>
                <w:highlight w:val="none"/>
                <w:shd w:val="clear" w:color="auto" w:fill="auto"/>
              </w:rPr>
              <w:t>≥280</w:t>
            </w:r>
          </w:p>
        </w:tc>
      </w:tr>
    </w:tbl>
    <w:p>
      <w:pPr>
        <w:pStyle w:val="3"/>
        <w:spacing w:before="0" w:line="360" w:lineRule="auto"/>
        <w:jc w:val="left"/>
        <w:rPr>
          <w:rFonts w:cs="仿宋"/>
          <w:snapToGrid w:val="0"/>
          <w:color w:val="auto"/>
          <w:sz w:val="24"/>
          <w:szCs w:val="24"/>
          <w:highlight w:val="none"/>
          <w:shd w:val="clear" w:color="auto" w:fill="auto"/>
        </w:rPr>
      </w:pPr>
      <w:bookmarkStart w:id="24" w:name="_Toc109640542"/>
      <w:r>
        <w:rPr>
          <w:rFonts w:hint="eastAsia" w:cs="仿宋"/>
          <w:snapToGrid w:val="0"/>
          <w:color w:val="auto"/>
          <w:sz w:val="24"/>
          <w:szCs w:val="24"/>
          <w:highlight w:val="none"/>
          <w:shd w:val="clear" w:color="auto" w:fill="auto"/>
        </w:rPr>
        <w:t>4.1.3铭牌和标志</w:t>
      </w:r>
      <w:bookmarkEnd w:id="24"/>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光伏电池组件主要部件，以及列入备品备件清单的都要标明部件编号和制造厂的名称。对成批生产制造的光伏电池组件，必须为同一批次，必须标出时间和序号。</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每板光伏电池组件都要有永久性标志，标出以下内容：规格型号、额定功率、开路电压、短路电流、工作电压、工作电流、制造厂</w:t>
      </w:r>
      <w:bookmarkStart w:id="25" w:name="_Toc109640543"/>
      <w:bookmarkStart w:id="26" w:name="_Toc387088824"/>
    </w:p>
    <w:p>
      <w:pPr>
        <w:pStyle w:val="3"/>
        <w:spacing w:before="0" w:line="360" w:lineRule="auto"/>
        <w:jc w:val="left"/>
        <w:rPr>
          <w:color w:val="auto"/>
          <w:sz w:val="24"/>
          <w:szCs w:val="24"/>
          <w:highlight w:val="none"/>
          <w:shd w:val="clear" w:color="auto" w:fill="auto"/>
        </w:rPr>
      </w:pPr>
      <w:r>
        <w:rPr>
          <w:rFonts w:hint="eastAsia"/>
          <w:color w:val="auto"/>
          <w:sz w:val="24"/>
          <w:szCs w:val="24"/>
          <w:highlight w:val="none"/>
          <w:shd w:val="clear" w:color="auto" w:fill="auto"/>
        </w:rPr>
        <w:t>4.1.4关键原材料和零部件的技术要求</w:t>
      </w:r>
      <w:bookmarkEnd w:id="25"/>
    </w:p>
    <w:p>
      <w:pPr>
        <w:spacing w:after="0" w:line="360" w:lineRule="auto"/>
        <w:ind w:left="1042" w:hanging="562"/>
        <w:rPr>
          <w:rFonts w:hAnsi="宋体"/>
          <w:b/>
          <w:color w:val="auto"/>
          <w:highlight w:val="none"/>
          <w:shd w:val="clear" w:color="auto" w:fill="auto"/>
        </w:rPr>
      </w:pPr>
      <w:r>
        <w:rPr>
          <w:rFonts w:hint="eastAsia" w:hAnsi="宋体"/>
          <w:b/>
          <w:color w:val="auto"/>
          <w:highlight w:val="none"/>
          <w:shd w:val="clear" w:color="auto" w:fill="auto"/>
        </w:rPr>
        <w:t>晶体硅电池片</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选用A级电池片，</w:t>
      </w:r>
      <w:r>
        <w:rPr>
          <w:rFonts w:cs="仿宋"/>
          <w:color w:val="auto"/>
          <w:highlight w:val="none"/>
          <w:shd w:val="clear" w:color="auto" w:fill="auto"/>
        </w:rPr>
        <w:t>所有电池片尺寸一致，误差范围在0.1%以内</w:t>
      </w:r>
      <w:r>
        <w:rPr>
          <w:rFonts w:hint="eastAsia" w:cs="仿宋"/>
          <w:color w:val="auto"/>
          <w:highlight w:val="none"/>
          <w:shd w:val="clear" w:color="auto" w:fill="auto"/>
        </w:rPr>
        <w:t>，翘曲度＜</w:t>
      </w:r>
      <w:r>
        <w:rPr>
          <w:rFonts w:cs="仿宋"/>
          <w:color w:val="auto"/>
          <w:highlight w:val="none"/>
          <w:shd w:val="clear" w:color="auto" w:fill="auto"/>
        </w:rPr>
        <w:t>2.</w:t>
      </w:r>
      <w:r>
        <w:rPr>
          <w:rFonts w:hint="eastAsia" w:cs="仿宋"/>
          <w:color w:val="auto"/>
          <w:highlight w:val="none"/>
          <w:shd w:val="clear" w:color="auto" w:fill="auto"/>
        </w:rPr>
        <w:t>0</w:t>
      </w:r>
      <w:r>
        <w:rPr>
          <w:rFonts w:cs="仿宋"/>
          <w:color w:val="auto"/>
          <w:highlight w:val="none"/>
          <w:shd w:val="clear" w:color="auto" w:fill="auto"/>
        </w:rPr>
        <w:t>mm</w:t>
      </w:r>
      <w:r>
        <w:rPr>
          <w:rFonts w:hint="eastAsia" w:cs="仿宋"/>
          <w:color w:val="auto"/>
          <w:highlight w:val="none"/>
          <w:shd w:val="clear" w:color="auto" w:fill="auto"/>
        </w:rPr>
        <w:t>（焊接后＜4</w:t>
      </w:r>
      <w:r>
        <w:rPr>
          <w:rFonts w:cs="仿宋"/>
          <w:color w:val="auto"/>
          <w:highlight w:val="none"/>
          <w:shd w:val="clear" w:color="auto" w:fill="auto"/>
        </w:rPr>
        <w:t>.</w:t>
      </w:r>
      <w:r>
        <w:rPr>
          <w:rFonts w:hint="eastAsia" w:cs="仿宋"/>
          <w:color w:val="auto"/>
          <w:highlight w:val="none"/>
          <w:shd w:val="clear" w:color="auto" w:fill="auto"/>
        </w:rPr>
        <w:t>0</w:t>
      </w:r>
      <w:r>
        <w:rPr>
          <w:rFonts w:cs="仿宋"/>
          <w:color w:val="auto"/>
          <w:highlight w:val="none"/>
          <w:shd w:val="clear" w:color="auto" w:fill="auto"/>
        </w:rPr>
        <w:t>mm</w:t>
      </w:r>
      <w:r>
        <w:rPr>
          <w:rFonts w:hint="eastAsia" w:cs="仿宋"/>
          <w:color w:val="auto"/>
          <w:highlight w:val="none"/>
          <w:shd w:val="clear" w:color="auto" w:fill="auto"/>
        </w:rPr>
        <w:t>）。栅线不允许黄变，主栅线脱落不允许。</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采用得到实践证明的、使用运行良好的材料，以保证光伏组件运行的高可靠性。</w:t>
      </w:r>
      <w:r>
        <w:rPr>
          <w:rFonts w:cs="仿宋"/>
          <w:color w:val="auto"/>
          <w:highlight w:val="none"/>
          <w:shd w:val="clear" w:color="auto" w:fill="auto"/>
        </w:rPr>
        <w:t>光伏</w:t>
      </w:r>
      <w:r>
        <w:rPr>
          <w:rFonts w:hint="eastAsia" w:cs="仿宋"/>
          <w:color w:val="auto"/>
          <w:highlight w:val="none"/>
          <w:shd w:val="clear" w:color="auto" w:fill="auto"/>
        </w:rPr>
        <w:t>电池</w:t>
      </w:r>
      <w:r>
        <w:rPr>
          <w:rFonts w:cs="仿宋"/>
          <w:color w:val="auto"/>
          <w:highlight w:val="none"/>
          <w:shd w:val="clear" w:color="auto" w:fill="auto"/>
        </w:rPr>
        <w:t>组件要求同一组件的电池片需为同一批次原料</w:t>
      </w:r>
      <w:r>
        <w:rPr>
          <w:rFonts w:hint="eastAsia" w:cs="仿宋"/>
          <w:color w:val="auto"/>
          <w:highlight w:val="none"/>
          <w:shd w:val="clear" w:color="auto" w:fill="auto"/>
        </w:rPr>
        <w:t>，同一发电单元内电池组件的电池片需为同一厂家型号原料。单晶电池片平均效率不低于2</w:t>
      </w:r>
      <w:r>
        <w:rPr>
          <w:rFonts w:cs="仿宋"/>
          <w:color w:val="auto"/>
          <w:highlight w:val="none"/>
          <w:shd w:val="clear" w:color="auto" w:fill="auto"/>
        </w:rPr>
        <w:t>0</w:t>
      </w:r>
      <w:r>
        <w:rPr>
          <w:rFonts w:hint="eastAsia" w:cs="仿宋"/>
          <w:color w:val="auto"/>
          <w:highlight w:val="none"/>
          <w:shd w:val="clear" w:color="auto" w:fill="auto"/>
        </w:rPr>
        <w:t>%，单片</w:t>
      </w:r>
      <w:r>
        <w:rPr>
          <w:rFonts w:cs="仿宋"/>
          <w:color w:val="auto"/>
          <w:highlight w:val="none"/>
          <w:shd w:val="clear" w:color="auto" w:fill="auto"/>
        </w:rPr>
        <w:t>210*210</w:t>
      </w:r>
      <w:r>
        <w:rPr>
          <w:rFonts w:hint="eastAsia" w:cs="仿宋"/>
          <w:color w:val="auto"/>
          <w:highlight w:val="none"/>
          <w:shd w:val="clear" w:color="auto" w:fill="auto"/>
        </w:rPr>
        <w:t>电池承受反向12V电压时反向漏电流不能超过1.</w:t>
      </w:r>
      <w:r>
        <w:rPr>
          <w:rFonts w:cs="仿宋"/>
          <w:color w:val="auto"/>
          <w:highlight w:val="none"/>
          <w:shd w:val="clear" w:color="auto" w:fill="auto"/>
        </w:rPr>
        <w:t>5</w:t>
      </w:r>
      <w:r>
        <w:rPr>
          <w:rFonts w:hint="eastAsia" w:cs="仿宋"/>
          <w:color w:val="auto"/>
          <w:highlight w:val="none"/>
          <w:shd w:val="clear" w:color="auto" w:fill="auto"/>
        </w:rPr>
        <w:t>A，单片电池并联电阻不小于</w:t>
      </w:r>
      <w:r>
        <w:rPr>
          <w:rFonts w:cs="仿宋"/>
          <w:color w:val="auto"/>
          <w:highlight w:val="none"/>
          <w:shd w:val="clear" w:color="auto" w:fill="auto"/>
        </w:rPr>
        <w:t>3</w:t>
      </w:r>
      <w:r>
        <w:rPr>
          <w:rFonts w:hint="eastAsia" w:cs="仿宋"/>
          <w:color w:val="auto"/>
          <w:highlight w:val="none"/>
          <w:shd w:val="clear" w:color="auto" w:fill="auto"/>
        </w:rPr>
        <w:t>0Ω。</w:t>
      </w:r>
    </w:p>
    <w:p>
      <w:pPr>
        <w:spacing w:after="0" w:line="360" w:lineRule="auto"/>
        <w:ind w:left="1042" w:hanging="562"/>
        <w:rPr>
          <w:rFonts w:cs="仿宋"/>
          <w:b/>
          <w:color w:val="auto"/>
          <w:highlight w:val="none"/>
          <w:shd w:val="clear" w:color="auto" w:fill="auto"/>
        </w:rPr>
      </w:pPr>
      <w:r>
        <w:rPr>
          <w:rFonts w:hint="eastAsia" w:cs="仿宋"/>
          <w:b/>
          <w:color w:val="auto"/>
          <w:highlight w:val="none"/>
          <w:shd w:val="clear" w:color="auto" w:fill="auto"/>
        </w:rPr>
        <w:t>镀膜玻璃</w:t>
      </w:r>
    </w:p>
    <w:p>
      <w:pPr>
        <w:widowControl w:val="0"/>
        <w:numPr>
          <w:ilvl w:val="0"/>
          <w:numId w:val="2"/>
        </w:numPr>
        <w:snapToGrid w:val="0"/>
        <w:spacing w:after="0" w:line="360" w:lineRule="auto"/>
        <w:ind w:left="480" w:leftChars="200"/>
        <w:rPr>
          <w:rFonts w:cs="仿宋"/>
          <w:color w:val="auto"/>
          <w:highlight w:val="none"/>
          <w:shd w:val="clear" w:color="auto" w:fill="auto"/>
        </w:rPr>
      </w:pPr>
      <w:r>
        <w:rPr>
          <w:rFonts w:hint="eastAsia" w:cs="仿宋"/>
          <w:color w:val="auto"/>
          <w:highlight w:val="none"/>
          <w:shd w:val="clear" w:color="auto" w:fill="auto"/>
        </w:rPr>
        <w:t>光伏镀膜玻璃厚：3.2mm。</w:t>
      </w:r>
    </w:p>
    <w:p>
      <w:pPr>
        <w:widowControl w:val="0"/>
        <w:numPr>
          <w:ilvl w:val="0"/>
          <w:numId w:val="2"/>
        </w:numPr>
        <w:snapToGrid w:val="0"/>
        <w:spacing w:after="0" w:line="360" w:lineRule="auto"/>
        <w:ind w:left="480" w:leftChars="200"/>
        <w:rPr>
          <w:rFonts w:cs="仿宋"/>
          <w:color w:val="auto"/>
          <w:highlight w:val="none"/>
          <w:shd w:val="clear" w:color="auto" w:fill="auto"/>
        </w:rPr>
      </w:pPr>
      <w:r>
        <w:rPr>
          <w:rFonts w:hint="eastAsia" w:cs="仿宋"/>
          <w:color w:val="auto"/>
          <w:highlight w:val="none"/>
          <w:shd w:val="clear" w:color="auto" w:fill="auto"/>
        </w:rPr>
        <w:t>光伏电池组件用低铁钢化玻璃铁含量不高于0.015%。</w:t>
      </w:r>
    </w:p>
    <w:p>
      <w:pPr>
        <w:widowControl w:val="0"/>
        <w:numPr>
          <w:ilvl w:val="0"/>
          <w:numId w:val="2"/>
        </w:numPr>
        <w:snapToGrid w:val="0"/>
        <w:spacing w:after="0" w:line="360" w:lineRule="auto"/>
        <w:ind w:left="480" w:leftChars="200"/>
        <w:rPr>
          <w:rFonts w:cs="仿宋"/>
          <w:color w:val="auto"/>
          <w:highlight w:val="none"/>
          <w:shd w:val="clear" w:color="auto" w:fill="auto"/>
        </w:rPr>
      </w:pPr>
      <w:r>
        <w:rPr>
          <w:rFonts w:hint="eastAsia" w:cs="仿宋"/>
          <w:color w:val="auto"/>
          <w:highlight w:val="none"/>
          <w:shd w:val="clear" w:color="auto" w:fill="auto"/>
        </w:rPr>
        <w:t>太阳光直接透射比：在300nm～1100nm光谱范围内，3.2mm镀膜钢化玻璃的太阳光直接透射比应≥93.5%。</w:t>
      </w:r>
    </w:p>
    <w:p>
      <w:pPr>
        <w:widowControl w:val="0"/>
        <w:numPr>
          <w:ilvl w:val="0"/>
          <w:numId w:val="2"/>
        </w:numPr>
        <w:snapToGrid w:val="0"/>
        <w:spacing w:after="0" w:line="360" w:lineRule="auto"/>
        <w:ind w:left="480" w:leftChars="200"/>
        <w:rPr>
          <w:rFonts w:cs="仿宋"/>
          <w:color w:val="auto"/>
          <w:highlight w:val="none"/>
          <w:shd w:val="clear" w:color="auto" w:fill="auto"/>
        </w:rPr>
      </w:pPr>
      <w:r>
        <w:rPr>
          <w:rFonts w:hint="eastAsia" w:cs="仿宋"/>
          <w:color w:val="auto"/>
          <w:highlight w:val="none"/>
          <w:shd w:val="clear" w:color="auto" w:fill="auto"/>
        </w:rPr>
        <w:t>光伏电池组件用玻璃弓形弯曲度不应超过0.2%；波形弯曲度任意300 mm范围不应超过0.3mm；两对角线差值/平均值≤0.1%。</w:t>
      </w:r>
    </w:p>
    <w:p>
      <w:pPr>
        <w:widowControl w:val="0"/>
        <w:numPr>
          <w:ilvl w:val="0"/>
          <w:numId w:val="2"/>
        </w:numPr>
        <w:snapToGrid w:val="0"/>
        <w:spacing w:after="0" w:line="360" w:lineRule="auto"/>
        <w:ind w:left="480" w:leftChars="200"/>
        <w:rPr>
          <w:rFonts w:cs="仿宋"/>
          <w:color w:val="auto"/>
          <w:highlight w:val="none"/>
          <w:shd w:val="clear" w:color="auto" w:fill="auto"/>
        </w:rPr>
      </w:pPr>
      <w:r>
        <w:rPr>
          <w:rFonts w:hint="eastAsia" w:cs="仿宋"/>
          <w:color w:val="auto"/>
          <w:highlight w:val="none"/>
          <w:shd w:val="clear" w:color="auto" w:fill="auto"/>
        </w:rPr>
        <w:t>应具有可靠的抗风压、抗冰雹冲击能性试验。耐冰雹撞击性能：23m/s耐风压：2400Pa。荷载（长期）：≥1800Pa</w:t>
      </w:r>
    </w:p>
    <w:p>
      <w:pPr>
        <w:spacing w:after="0" w:line="360" w:lineRule="auto"/>
        <w:ind w:left="1043" w:hanging="561"/>
        <w:rPr>
          <w:rFonts w:cs="仿宋"/>
          <w:b/>
          <w:color w:val="auto"/>
          <w:highlight w:val="none"/>
          <w:shd w:val="clear" w:color="auto" w:fill="auto"/>
        </w:rPr>
      </w:pPr>
      <w:r>
        <w:rPr>
          <w:rFonts w:hint="eastAsia" w:cs="仿宋"/>
          <w:b/>
          <w:color w:val="auto"/>
          <w:highlight w:val="none"/>
          <w:shd w:val="clear" w:color="auto" w:fill="auto"/>
        </w:rPr>
        <w:t>EVA</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太阳电池组件使用的EVA的交联度≥70%，EVA与玻璃的剥离强度大于60N/cm2，EVA与组件背板剥离强度大于40N/cm，抗拉强度≥15Mpa，断裂伸长率≥550%，伸缩率≤4%，黄变指数（1000h）≤5.0，EVA的力学性能、电学性能、老化黄变和可靠性满足规范要求和行业标准，具有TUV测试报告或同等资质的第三方提供的测试报告。</w:t>
      </w:r>
    </w:p>
    <w:p>
      <w:pPr>
        <w:spacing w:after="0" w:line="360" w:lineRule="auto"/>
        <w:ind w:left="1042" w:hanging="562"/>
        <w:rPr>
          <w:rFonts w:cs="仿宋"/>
          <w:b/>
          <w:color w:val="auto"/>
          <w:highlight w:val="none"/>
          <w:shd w:val="clear" w:color="auto" w:fill="auto"/>
        </w:rPr>
      </w:pPr>
      <w:r>
        <w:rPr>
          <w:rFonts w:hint="eastAsia" w:cs="仿宋"/>
          <w:b/>
          <w:color w:val="auto"/>
          <w:highlight w:val="none"/>
          <w:shd w:val="clear" w:color="auto" w:fill="auto"/>
        </w:rPr>
        <w:t>背板</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背板材料为KPF等双面含氟结构，拉伸强度大于100MPa，透水率小于2.0g/m2/day，击穿电压大于1500V，黄变指数（1000h）≤5.0，具有优秀的抗紫外能力和反射能力，背板的力学性能、电学性能、收缩率、透水率和可靠性满足相关规范要求和行业标准，具有TUV测试报告或同等资质的第三方提供的测试报告。</w:t>
      </w:r>
    </w:p>
    <w:p>
      <w:pPr>
        <w:spacing w:after="0" w:line="360" w:lineRule="auto"/>
        <w:ind w:left="1042" w:hanging="562"/>
        <w:rPr>
          <w:rFonts w:cs="仿宋"/>
          <w:b/>
          <w:color w:val="auto"/>
          <w:highlight w:val="none"/>
          <w:shd w:val="clear" w:color="auto" w:fill="auto"/>
        </w:rPr>
      </w:pPr>
      <w:r>
        <w:rPr>
          <w:rFonts w:hint="eastAsia" w:cs="仿宋"/>
          <w:b/>
          <w:color w:val="auto"/>
          <w:highlight w:val="none"/>
          <w:shd w:val="clear" w:color="auto" w:fill="auto"/>
        </w:rPr>
        <w:t>接线盒</w:t>
      </w:r>
      <w:r>
        <w:rPr>
          <w:rFonts w:hint="eastAsia" w:cs="仿宋"/>
          <w:color w:val="auto"/>
          <w:highlight w:val="none"/>
          <w:shd w:val="clear" w:color="auto" w:fill="auto"/>
        </w:rPr>
        <w:t>(含连接器、导线和二极管)</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供货时提供接线盒生产企业、型号规格、进货检验报告和接线盒厂家的测试报告、质量保证书，接线盒盒体的强度、耐紫外性能、热循环测试、耐低温能力、二极管反向耐压和工作时的结温、端子插拔力、接触电阻满足规范要求，接线盒旁路二极管的数量至少为3个。接线盒密封防水、散热性能满足组件正常工作并连接牢固，引线极性标记准确、明显，采用满足IEC标准的电气连接，具备TUV认证，线缆与壳体的连接强度不小于150N，连接器端子的插拔力不小于60N，防火等级应在UL94-HB或UL-94VO以上，接线盒选用天合品牌，提供接线盒的厂家测试报告，明确接线盒的材质、力学性能、防火等级、耐低温能力、二极管的规格和结温。</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电缆规格为截面面积不小于4mm2的铜导线，正负极引出线电缆长度均不小于产品规定的尺寸要求。</w:t>
      </w:r>
    </w:p>
    <w:p>
      <w:pPr>
        <w:spacing w:after="0" w:line="360" w:lineRule="auto"/>
        <w:ind w:left="1042" w:hanging="562"/>
        <w:rPr>
          <w:rFonts w:cs="仿宋"/>
          <w:b/>
          <w:color w:val="auto"/>
          <w:highlight w:val="none"/>
          <w:shd w:val="clear" w:color="auto" w:fill="auto"/>
        </w:rPr>
      </w:pPr>
      <w:r>
        <w:rPr>
          <w:rFonts w:hint="eastAsia" w:cs="仿宋"/>
          <w:b/>
          <w:color w:val="auto"/>
          <w:highlight w:val="none"/>
          <w:shd w:val="clear" w:color="auto" w:fill="auto"/>
        </w:rPr>
        <w:t>焊带</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太阳电池组件使用焊带的安全载流量截面积、力学性能、抗老化性能满足相应规范和行业标准，抗拉强度指标：单片焊带≥150N/mm2，汇流条≥150N/mm2，能耐一定的酸碱腐蚀性，具有良好的抗疲劳特性，考虑焊带与硅片的相容性，降低裂片率，能保证25年的使用寿命，卖方提供焊带和汇流条的成分和抗拉强度，选用选用国内外知名品牌。</w:t>
      </w:r>
    </w:p>
    <w:p>
      <w:pPr>
        <w:spacing w:after="0" w:line="360" w:lineRule="auto"/>
        <w:ind w:left="1042" w:hanging="562"/>
        <w:rPr>
          <w:rFonts w:cs="仿宋"/>
          <w:b/>
          <w:color w:val="auto"/>
          <w:highlight w:val="none"/>
          <w:shd w:val="clear" w:color="auto" w:fill="auto"/>
        </w:rPr>
      </w:pPr>
      <w:r>
        <w:rPr>
          <w:rFonts w:hint="eastAsia" w:cs="仿宋"/>
          <w:b/>
          <w:color w:val="auto"/>
          <w:highlight w:val="none"/>
          <w:shd w:val="clear" w:color="auto" w:fill="auto"/>
        </w:rPr>
        <w:t>硅胶</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太阳电池组件使用的硅胶或胶带具有良好的电绝缘性能和耐气候性能，粘结、密封性能可靠不失效，固化参数、力学性能、剥离性能、匹配性和电性能满足规范要求和行业标准，满足25年使用寿命，拉伸强度≥1.6Mpa，断裂伸长率≥200％，剪切强度≥1.3Mpa。卖方提供硅胶或胶带的固化参数、力学性能和剥离性能，选用国内外知名品牌。</w:t>
      </w:r>
    </w:p>
    <w:p>
      <w:pPr>
        <w:spacing w:after="0" w:line="360" w:lineRule="auto"/>
        <w:ind w:left="1042" w:hanging="562"/>
        <w:rPr>
          <w:rFonts w:cs="仿宋"/>
          <w:b/>
          <w:color w:val="auto"/>
          <w:highlight w:val="none"/>
          <w:shd w:val="clear" w:color="auto" w:fill="auto"/>
        </w:rPr>
      </w:pPr>
      <w:r>
        <w:rPr>
          <w:rFonts w:hint="eastAsia" w:cs="仿宋"/>
          <w:b/>
          <w:color w:val="auto"/>
          <w:highlight w:val="none"/>
          <w:shd w:val="clear" w:color="auto" w:fill="auto"/>
        </w:rPr>
        <w:t>铝边框</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太阳电池使用的铝型材的机械强度应满足规范要求，铝型材表面进行阳极氧化处理，氧化层平均厚度≥10μm，最小厚度≥8μm，表面韦氏硬度不小于8HW，弯曲度≤1mm（短边），≤2mm（长边），铝边框应带有漏水孔，满足25年的使用寿命，卖方提供铝型材的表面硬度，氧化膜厚度、型材弯曲度、抗拉强度、拉伸率、耐蚀性和耐候性。</w:t>
      </w:r>
    </w:p>
    <w:p>
      <w:pPr>
        <w:pStyle w:val="3"/>
        <w:spacing w:before="0" w:line="360" w:lineRule="auto"/>
        <w:jc w:val="left"/>
        <w:rPr>
          <w:rFonts w:cs="仿宋"/>
          <w:color w:val="auto"/>
          <w:sz w:val="24"/>
          <w:szCs w:val="24"/>
          <w:highlight w:val="none"/>
          <w:shd w:val="clear" w:color="auto" w:fill="auto"/>
        </w:rPr>
      </w:pPr>
      <w:bookmarkStart w:id="27" w:name="_Toc420917699"/>
      <w:bookmarkStart w:id="28" w:name="_Toc109640544"/>
      <w:r>
        <w:rPr>
          <w:rFonts w:hint="eastAsia" w:cs="仿宋"/>
          <w:color w:val="auto"/>
          <w:sz w:val="24"/>
          <w:szCs w:val="24"/>
          <w:highlight w:val="none"/>
          <w:shd w:val="clear" w:color="auto" w:fill="auto"/>
        </w:rPr>
        <w:t>4.1.5结构、外形尺寸、支装尺寸及质量</w:t>
      </w:r>
      <w:bookmarkEnd w:id="27"/>
      <w:bookmarkEnd w:id="28"/>
    </w:p>
    <w:p>
      <w:pPr>
        <w:adjustRightInd w:val="0"/>
        <w:snapToGrid w:val="0"/>
        <w:spacing w:after="0" w:line="360" w:lineRule="auto"/>
        <w:ind w:firstLine="420" w:firstLineChars="175"/>
        <w:rPr>
          <w:rFonts w:cs="仿宋"/>
          <w:color w:val="auto"/>
          <w:highlight w:val="none"/>
          <w:shd w:val="clear" w:color="auto" w:fill="auto"/>
        </w:rPr>
      </w:pPr>
      <w:r>
        <w:rPr>
          <w:rFonts w:hint="eastAsia" w:cs="仿宋"/>
          <w:color w:val="auto"/>
          <w:highlight w:val="none"/>
          <w:shd w:val="clear" w:color="auto" w:fill="auto"/>
        </w:rPr>
        <w:t>规格组件的外形尺寸，安装尺寸及质量符合相应的产品详细规范的规定。组件的结构设计能满足安装地点的气候、海拔等条件的使用要求，如组件的绝缘强度，安装在高海拔地区，电池片间隙及与边框之间距离满足高海拔地区对应的标准。</w:t>
      </w:r>
    </w:p>
    <w:p>
      <w:pPr>
        <w:spacing w:after="0" w:line="360" w:lineRule="auto"/>
        <w:ind w:firstLine="420"/>
        <w:rPr>
          <w:rFonts w:cs="仿宋"/>
          <w:color w:val="auto"/>
          <w:highlight w:val="none"/>
          <w:shd w:val="clear" w:color="auto" w:fill="auto"/>
        </w:rPr>
      </w:pPr>
      <w:r>
        <w:rPr>
          <w:rFonts w:hint="eastAsia" w:cs="仿宋"/>
          <w:color w:val="auto"/>
          <w:highlight w:val="none"/>
          <w:shd w:val="clear" w:color="auto" w:fill="auto"/>
        </w:rPr>
        <w:t>每个组件都应有下列清晰而且擦不掉的标志：</w:t>
      </w:r>
    </w:p>
    <w:p>
      <w:pPr>
        <w:spacing w:after="0" w:line="360" w:lineRule="auto"/>
        <w:ind w:left="432"/>
        <w:rPr>
          <w:rFonts w:cs="仿宋"/>
          <w:color w:val="auto"/>
          <w:highlight w:val="none"/>
          <w:shd w:val="clear" w:color="auto" w:fill="auto"/>
        </w:rPr>
      </w:pPr>
      <w:r>
        <w:rPr>
          <w:rFonts w:hint="eastAsia" w:cs="仿宋"/>
          <w:color w:val="auto"/>
          <w:highlight w:val="none"/>
          <w:shd w:val="clear" w:color="auto" w:fill="auto"/>
        </w:rPr>
        <w:t>a）制造厂的名称、标志或代号；</w:t>
      </w:r>
    </w:p>
    <w:p>
      <w:pPr>
        <w:spacing w:after="0" w:line="360" w:lineRule="auto"/>
        <w:ind w:left="432"/>
        <w:rPr>
          <w:rFonts w:cs="仿宋"/>
          <w:color w:val="auto"/>
          <w:highlight w:val="none"/>
          <w:shd w:val="clear" w:color="auto" w:fill="auto"/>
        </w:rPr>
      </w:pPr>
      <w:r>
        <w:rPr>
          <w:rFonts w:hint="eastAsia" w:cs="仿宋"/>
          <w:color w:val="auto"/>
          <w:highlight w:val="none"/>
          <w:shd w:val="clear" w:color="auto" w:fill="auto"/>
        </w:rPr>
        <w:t>b）产品型号；</w:t>
      </w:r>
    </w:p>
    <w:p>
      <w:pPr>
        <w:spacing w:after="0" w:line="360" w:lineRule="auto"/>
        <w:ind w:left="432"/>
        <w:rPr>
          <w:rFonts w:cs="仿宋"/>
          <w:color w:val="auto"/>
          <w:highlight w:val="none"/>
          <w:shd w:val="clear" w:color="auto" w:fill="auto"/>
        </w:rPr>
      </w:pPr>
      <w:r>
        <w:rPr>
          <w:rFonts w:hint="eastAsia" w:cs="仿宋"/>
          <w:color w:val="auto"/>
          <w:highlight w:val="none"/>
          <w:shd w:val="clear" w:color="auto" w:fill="auto"/>
        </w:rPr>
        <w:t>c）产品序号；</w:t>
      </w:r>
    </w:p>
    <w:p>
      <w:pPr>
        <w:spacing w:after="0" w:line="360" w:lineRule="auto"/>
        <w:ind w:left="432"/>
        <w:rPr>
          <w:rFonts w:cs="仿宋"/>
          <w:color w:val="auto"/>
          <w:highlight w:val="none"/>
          <w:shd w:val="clear" w:color="auto" w:fill="auto"/>
        </w:rPr>
      </w:pPr>
      <w:r>
        <w:rPr>
          <w:rFonts w:hint="eastAsia" w:cs="仿宋"/>
          <w:color w:val="auto"/>
          <w:highlight w:val="none"/>
          <w:shd w:val="clear" w:color="auto" w:fill="auto"/>
        </w:rPr>
        <w:t>d）引出端或引线的极性；</w:t>
      </w:r>
    </w:p>
    <w:p>
      <w:pPr>
        <w:spacing w:after="0" w:line="360" w:lineRule="auto"/>
        <w:ind w:left="432"/>
        <w:rPr>
          <w:rFonts w:cs="仿宋"/>
          <w:color w:val="auto"/>
          <w:highlight w:val="none"/>
          <w:shd w:val="clear" w:color="auto" w:fill="auto"/>
        </w:rPr>
      </w:pPr>
      <w:r>
        <w:rPr>
          <w:rFonts w:hint="eastAsia" w:cs="仿宋"/>
          <w:color w:val="auto"/>
          <w:highlight w:val="none"/>
          <w:shd w:val="clear" w:color="auto" w:fill="auto"/>
        </w:rPr>
        <w:t>e）在标准测试条件下，该型号产品最大输出功率的标称值和偏差百分比。</w:t>
      </w:r>
    </w:p>
    <w:p>
      <w:pPr>
        <w:spacing w:after="0" w:line="360" w:lineRule="auto"/>
        <w:ind w:left="432"/>
        <w:rPr>
          <w:rFonts w:cs="仿宋"/>
          <w:color w:val="auto"/>
          <w:highlight w:val="none"/>
          <w:shd w:val="clear" w:color="auto" w:fill="auto"/>
        </w:rPr>
      </w:pPr>
      <w:r>
        <w:rPr>
          <w:rFonts w:hint="eastAsia" w:cs="仿宋"/>
          <w:color w:val="auto"/>
          <w:highlight w:val="none"/>
          <w:shd w:val="clear" w:color="auto" w:fill="auto"/>
        </w:rPr>
        <w:t>g）制造的日期和地点，或可由产品序号查到。</w:t>
      </w:r>
    </w:p>
    <w:p>
      <w:pPr>
        <w:pStyle w:val="3"/>
        <w:spacing w:before="0" w:line="360" w:lineRule="auto"/>
        <w:jc w:val="left"/>
        <w:rPr>
          <w:rFonts w:cs="仿宋"/>
          <w:color w:val="auto"/>
          <w:sz w:val="24"/>
          <w:szCs w:val="24"/>
          <w:highlight w:val="none"/>
          <w:shd w:val="clear" w:color="auto" w:fill="auto"/>
        </w:rPr>
      </w:pPr>
      <w:bookmarkStart w:id="29" w:name="_Toc109640545"/>
      <w:r>
        <w:rPr>
          <w:rFonts w:hint="eastAsia" w:cs="仿宋"/>
          <w:color w:val="auto"/>
          <w:sz w:val="24"/>
          <w:szCs w:val="24"/>
          <w:highlight w:val="none"/>
          <w:shd w:val="clear" w:color="auto" w:fill="auto"/>
        </w:rPr>
        <w:t>4.1.6盐雾/氨气腐蚀要求</w:t>
      </w:r>
      <w:bookmarkEnd w:id="29"/>
    </w:p>
    <w:p>
      <w:pPr>
        <w:spacing w:after="0" w:line="360" w:lineRule="auto"/>
        <w:ind w:firstLine="482" w:firstLineChars="200"/>
        <w:rPr>
          <w:rFonts w:cs="仿宋"/>
          <w:color w:val="auto"/>
          <w:highlight w:val="none"/>
          <w:shd w:val="clear" w:color="auto" w:fill="auto"/>
        </w:rPr>
      </w:pPr>
      <w:r>
        <w:rPr>
          <w:rFonts w:hint="eastAsia" w:cs="仿宋"/>
          <w:b/>
          <w:bCs/>
          <w:color w:val="auto"/>
          <w:szCs w:val="21"/>
          <w:highlight w:val="none"/>
          <w:shd w:val="clear" w:color="auto" w:fill="auto"/>
        </w:rPr>
        <w:t>■</w:t>
      </w:r>
      <w:r>
        <w:rPr>
          <w:rFonts w:hint="eastAsia" w:cs="仿宋"/>
          <w:color w:val="auto"/>
          <w:szCs w:val="21"/>
          <w:highlight w:val="none"/>
          <w:shd w:val="clear" w:color="auto" w:fill="auto"/>
        </w:rPr>
        <w:t>投标方</w:t>
      </w:r>
      <w:r>
        <w:rPr>
          <w:rFonts w:hint="eastAsia" w:cs="仿宋"/>
          <w:b/>
          <w:color w:val="auto"/>
          <w:highlight w:val="none"/>
          <w:shd w:val="clear" w:color="auto" w:fill="auto"/>
        </w:rPr>
        <w:t>考虑项目场址的实际条件</w:t>
      </w:r>
      <w:r>
        <w:rPr>
          <w:rFonts w:hint="eastAsia" w:cs="仿宋"/>
          <w:color w:val="auto"/>
          <w:highlight w:val="none"/>
          <w:shd w:val="clear" w:color="auto" w:fill="auto"/>
        </w:rPr>
        <w:t>，根据不同的项目场址（自来水厂或污水厂需具备抗氨气腐蚀能力，海边区域需具备抗盐雾腐蚀能力）保证供货组件具备相应的抗盐雾/氨气腐蚀能力，通过IEC标准相关的盐雾/氨气腐蚀测试，并提供测试报告。</w:t>
      </w:r>
    </w:p>
    <w:p>
      <w:pPr>
        <w:pStyle w:val="3"/>
        <w:spacing w:before="0" w:line="360" w:lineRule="auto"/>
        <w:jc w:val="left"/>
        <w:rPr>
          <w:rFonts w:cs="仿宋"/>
          <w:color w:val="auto"/>
          <w:sz w:val="24"/>
          <w:szCs w:val="24"/>
          <w:highlight w:val="none"/>
          <w:shd w:val="clear" w:color="auto" w:fill="auto"/>
        </w:rPr>
      </w:pPr>
      <w:bookmarkStart w:id="30" w:name="_Toc109640546"/>
      <w:bookmarkStart w:id="31" w:name="_Toc420917710"/>
      <w:r>
        <w:rPr>
          <w:rFonts w:hint="eastAsia" w:cs="仿宋"/>
          <w:color w:val="auto"/>
          <w:sz w:val="24"/>
          <w:szCs w:val="24"/>
          <w:highlight w:val="none"/>
          <w:shd w:val="clear" w:color="auto" w:fill="auto"/>
        </w:rPr>
        <w:t>4.1.7抗PID效应要求</w:t>
      </w:r>
      <w:bookmarkEnd w:id="30"/>
      <w:bookmarkEnd w:id="31"/>
    </w:p>
    <w:p>
      <w:pPr>
        <w:spacing w:after="0" w:line="360" w:lineRule="auto"/>
        <w:ind w:firstLine="420"/>
        <w:rPr>
          <w:rFonts w:cs="仿宋"/>
          <w:color w:val="auto"/>
          <w:highlight w:val="none"/>
          <w:shd w:val="clear" w:color="auto" w:fill="auto"/>
        </w:rPr>
      </w:pPr>
      <w:r>
        <w:rPr>
          <w:rFonts w:hint="eastAsia" w:cs="仿宋"/>
          <w:b/>
          <w:color w:val="auto"/>
          <w:highlight w:val="none"/>
          <w:shd w:val="clear" w:color="auto" w:fill="auto"/>
        </w:rPr>
        <w:t>卖方考虑项目场址的实际条件</w:t>
      </w:r>
      <w:r>
        <w:rPr>
          <w:rFonts w:hint="eastAsia" w:cs="仿宋"/>
          <w:color w:val="auto"/>
          <w:highlight w:val="none"/>
          <w:shd w:val="clear" w:color="auto" w:fill="auto"/>
        </w:rPr>
        <w:t>，根据不同的安装要求推荐抗PID的应对方法，比如负极接地等。</w:t>
      </w:r>
    </w:p>
    <w:p>
      <w:pPr>
        <w:pStyle w:val="3"/>
        <w:spacing w:before="0" w:line="360" w:lineRule="auto"/>
        <w:jc w:val="left"/>
        <w:rPr>
          <w:rFonts w:cs="仿宋"/>
          <w:color w:val="auto"/>
          <w:sz w:val="24"/>
          <w:szCs w:val="24"/>
          <w:highlight w:val="none"/>
          <w:shd w:val="clear" w:color="auto" w:fill="auto"/>
        </w:rPr>
      </w:pPr>
      <w:bookmarkStart w:id="32" w:name="_Toc420917711"/>
      <w:bookmarkStart w:id="33" w:name="_Toc109640547"/>
      <w:r>
        <w:rPr>
          <w:rFonts w:hint="eastAsia" w:cs="仿宋"/>
          <w:color w:val="auto"/>
          <w:sz w:val="24"/>
          <w:szCs w:val="24"/>
          <w:highlight w:val="none"/>
          <w:shd w:val="clear" w:color="auto" w:fill="auto"/>
        </w:rPr>
        <w:t>4.1.8防火要求</w:t>
      </w:r>
      <w:bookmarkEnd w:id="32"/>
      <w:bookmarkEnd w:id="33"/>
    </w:p>
    <w:p>
      <w:pPr>
        <w:spacing w:after="0" w:line="360" w:lineRule="auto"/>
        <w:ind w:firstLine="420"/>
        <w:rPr>
          <w:rFonts w:cs="仿宋"/>
          <w:color w:val="auto"/>
          <w:highlight w:val="none"/>
          <w:shd w:val="clear" w:color="auto" w:fill="auto"/>
        </w:rPr>
      </w:pPr>
      <w:r>
        <w:rPr>
          <w:rFonts w:hint="eastAsia" w:cs="仿宋"/>
          <w:color w:val="auto"/>
          <w:highlight w:val="none"/>
          <w:shd w:val="clear" w:color="auto" w:fill="auto"/>
        </w:rPr>
        <w:t>针对分布式光伏电站，供货组件应保证满足相应的防火要求，并提供相关测试报告。</w:t>
      </w:r>
    </w:p>
    <w:p>
      <w:pPr>
        <w:pStyle w:val="3"/>
        <w:spacing w:before="0" w:line="360" w:lineRule="auto"/>
        <w:jc w:val="left"/>
        <w:rPr>
          <w:rFonts w:cs="仿宋"/>
          <w:color w:val="auto"/>
          <w:sz w:val="24"/>
          <w:szCs w:val="24"/>
          <w:highlight w:val="none"/>
          <w:shd w:val="clear" w:color="auto" w:fill="auto"/>
        </w:rPr>
      </w:pPr>
      <w:bookmarkStart w:id="34" w:name="_Toc420917712"/>
      <w:bookmarkStart w:id="35" w:name="_Toc109640548"/>
      <w:r>
        <w:rPr>
          <w:rFonts w:hint="eastAsia" w:cs="仿宋"/>
          <w:color w:val="auto"/>
          <w:sz w:val="24"/>
          <w:szCs w:val="24"/>
          <w:highlight w:val="none"/>
          <w:shd w:val="clear" w:color="auto" w:fill="auto"/>
        </w:rPr>
        <w:t>4.1.9其它要求</w:t>
      </w:r>
      <w:bookmarkEnd w:id="34"/>
      <w:bookmarkEnd w:id="35"/>
    </w:p>
    <w:p>
      <w:pPr>
        <w:spacing w:after="0" w:line="360" w:lineRule="auto"/>
        <w:ind w:firstLine="420"/>
        <w:rPr>
          <w:rFonts w:cs="仿宋"/>
          <w:color w:val="auto"/>
          <w:highlight w:val="none"/>
          <w:shd w:val="clear" w:color="auto" w:fill="auto"/>
        </w:rPr>
      </w:pPr>
      <w:r>
        <w:rPr>
          <w:rFonts w:hint="eastAsia" w:cs="仿宋"/>
          <w:color w:val="auto"/>
          <w:highlight w:val="none"/>
          <w:shd w:val="clear" w:color="auto" w:fill="auto"/>
        </w:rPr>
        <w:t>本技术规范中未明确规定的太阳电池组件的性能和安全指标及其他相关测试试验，卖方所提供电池组件同样需满足IEC61215和IEC61730及其他相关标准的要求。</w:t>
      </w:r>
    </w:p>
    <w:bookmarkEnd w:id="26"/>
    <w:p>
      <w:pPr>
        <w:pStyle w:val="82"/>
        <w:spacing w:line="360" w:lineRule="auto"/>
        <w:outlineLvl w:val="0"/>
        <w:rPr>
          <w:rFonts w:ascii="仿宋" w:hAnsi="仿宋" w:eastAsia="仿宋" w:cs="仿宋"/>
          <w:b/>
          <w:smallCaps/>
          <w:color w:val="auto"/>
          <w:kern w:val="0"/>
          <w:sz w:val="24"/>
          <w:highlight w:val="none"/>
          <w:shd w:val="clear" w:color="auto" w:fill="auto"/>
        </w:rPr>
      </w:pPr>
      <w:r>
        <w:rPr>
          <w:rFonts w:hint="eastAsia" w:ascii="仿宋" w:hAnsi="仿宋" w:eastAsia="仿宋" w:cs="仿宋"/>
          <w:b/>
          <w:smallCaps/>
          <w:color w:val="auto"/>
          <w:kern w:val="0"/>
          <w:sz w:val="24"/>
          <w:highlight w:val="none"/>
          <w:shd w:val="clear" w:color="auto" w:fill="auto"/>
        </w:rPr>
        <w:t>4.2.逆变器：</w:t>
      </w:r>
    </w:p>
    <w:p>
      <w:pPr>
        <w:pStyle w:val="3"/>
        <w:spacing w:before="0" w:line="360" w:lineRule="auto"/>
        <w:jc w:val="left"/>
        <w:rPr>
          <w:color w:val="auto"/>
          <w:sz w:val="24"/>
          <w:szCs w:val="24"/>
          <w:highlight w:val="none"/>
          <w:shd w:val="clear" w:color="auto" w:fill="auto"/>
        </w:rPr>
      </w:pPr>
      <w:bookmarkStart w:id="36" w:name="_Toc462647619"/>
      <w:bookmarkStart w:id="37" w:name="_Toc66281308"/>
      <w:r>
        <w:rPr>
          <w:rFonts w:hint="eastAsia" w:cs="仿宋"/>
          <w:color w:val="auto"/>
          <w:sz w:val="24"/>
          <w:szCs w:val="24"/>
          <w:highlight w:val="none"/>
          <w:shd w:val="clear" w:color="auto" w:fill="auto"/>
        </w:rPr>
        <w:t>4.2.1标准和规范</w:t>
      </w:r>
      <w:bookmarkEnd w:id="36"/>
      <w:bookmarkEnd w:id="37"/>
    </w:p>
    <w:p>
      <w:pPr>
        <w:spacing w:after="0" w:line="360" w:lineRule="auto"/>
        <w:ind w:firstLine="480"/>
        <w:rPr>
          <w:color w:val="auto"/>
          <w:highlight w:val="none"/>
          <w:shd w:val="clear" w:color="auto" w:fill="auto"/>
        </w:rPr>
      </w:pPr>
      <w:r>
        <w:rPr>
          <w:rFonts w:hint="eastAsia"/>
          <w:color w:val="auto"/>
          <w:highlight w:val="none"/>
          <w:shd w:val="clear" w:color="auto" w:fill="auto"/>
        </w:rPr>
        <w:t>以下标准均以最新版本为准。</w:t>
      </w:r>
    </w:p>
    <w:p>
      <w:pPr>
        <w:spacing w:after="0" w:line="360" w:lineRule="auto"/>
        <w:ind w:firstLine="480"/>
        <w:rPr>
          <w:color w:val="auto"/>
          <w:highlight w:val="none"/>
          <w:shd w:val="clear" w:color="auto" w:fill="auto"/>
        </w:rPr>
      </w:pPr>
      <w:r>
        <w:rPr>
          <w:color w:val="auto"/>
          <w:highlight w:val="none"/>
          <w:shd w:val="clear" w:color="auto" w:fill="auto"/>
        </w:rPr>
        <w:t xml:space="preserve">GB 18479 </w:t>
      </w:r>
      <w:r>
        <w:rPr>
          <w:rFonts w:hAnsi="宋体"/>
          <w:color w:val="auto"/>
          <w:highlight w:val="none"/>
          <w:shd w:val="clear" w:color="auto" w:fill="auto"/>
        </w:rPr>
        <w:t>地面用光伏</w:t>
      </w:r>
      <w:r>
        <w:rPr>
          <w:color w:val="auto"/>
          <w:highlight w:val="none"/>
          <w:shd w:val="clear" w:color="auto" w:fill="auto"/>
        </w:rPr>
        <w:t>（PV）</w:t>
      </w:r>
      <w:r>
        <w:rPr>
          <w:rFonts w:hAnsi="宋体"/>
          <w:color w:val="auto"/>
          <w:highlight w:val="none"/>
          <w:shd w:val="clear" w:color="auto" w:fill="auto"/>
        </w:rPr>
        <w:t>发电系统概述和导则</w:t>
      </w:r>
    </w:p>
    <w:p>
      <w:pPr>
        <w:spacing w:after="0" w:line="360" w:lineRule="auto"/>
        <w:ind w:firstLine="480"/>
        <w:rPr>
          <w:color w:val="auto"/>
          <w:highlight w:val="none"/>
          <w:shd w:val="clear" w:color="auto" w:fill="auto"/>
        </w:rPr>
      </w:pPr>
      <w:r>
        <w:rPr>
          <w:color w:val="auto"/>
          <w:highlight w:val="none"/>
          <w:shd w:val="clear" w:color="auto" w:fill="auto"/>
        </w:rPr>
        <w:t xml:space="preserve">DL/T 527 </w:t>
      </w:r>
      <w:r>
        <w:rPr>
          <w:rFonts w:hAnsi="宋体"/>
          <w:color w:val="auto"/>
          <w:highlight w:val="none"/>
          <w:shd w:val="clear" w:color="auto" w:fill="auto"/>
        </w:rPr>
        <w:t>静态继电保护装置逆变电源技术条件</w:t>
      </w:r>
    </w:p>
    <w:p>
      <w:pPr>
        <w:spacing w:after="0" w:line="360" w:lineRule="auto"/>
        <w:ind w:firstLine="480"/>
        <w:rPr>
          <w:color w:val="auto"/>
          <w:highlight w:val="none"/>
          <w:shd w:val="clear" w:color="auto" w:fill="auto"/>
        </w:rPr>
      </w:pPr>
      <w:r>
        <w:rPr>
          <w:color w:val="auto"/>
          <w:highlight w:val="none"/>
          <w:shd w:val="clear" w:color="auto" w:fill="auto"/>
        </w:rPr>
        <w:t xml:space="preserve">GB/T 13384 </w:t>
      </w:r>
      <w:r>
        <w:rPr>
          <w:rFonts w:hAnsi="宋体"/>
          <w:color w:val="auto"/>
          <w:highlight w:val="none"/>
          <w:shd w:val="clear" w:color="auto" w:fill="auto"/>
        </w:rPr>
        <w:t>机电产品包装通用技术条件</w:t>
      </w:r>
    </w:p>
    <w:p>
      <w:pPr>
        <w:spacing w:after="0" w:line="360" w:lineRule="auto"/>
        <w:ind w:firstLine="480"/>
        <w:rPr>
          <w:color w:val="auto"/>
          <w:highlight w:val="none"/>
          <w:shd w:val="clear" w:color="auto" w:fill="auto"/>
        </w:rPr>
      </w:pPr>
      <w:r>
        <w:rPr>
          <w:color w:val="auto"/>
          <w:highlight w:val="none"/>
          <w:shd w:val="clear" w:color="auto" w:fill="auto"/>
        </w:rPr>
        <w:t xml:space="preserve">GB/T 191 </w:t>
      </w:r>
      <w:r>
        <w:rPr>
          <w:rFonts w:hAnsi="宋体"/>
          <w:color w:val="auto"/>
          <w:highlight w:val="none"/>
          <w:shd w:val="clear" w:color="auto" w:fill="auto"/>
        </w:rPr>
        <w:t>包装储运图示标志</w:t>
      </w:r>
    </w:p>
    <w:p>
      <w:pPr>
        <w:spacing w:after="0" w:line="360" w:lineRule="auto"/>
        <w:ind w:firstLine="480"/>
        <w:rPr>
          <w:color w:val="auto"/>
          <w:highlight w:val="none"/>
          <w:shd w:val="clear" w:color="auto" w:fill="auto"/>
        </w:rPr>
      </w:pPr>
      <w:r>
        <w:rPr>
          <w:color w:val="auto"/>
          <w:highlight w:val="none"/>
          <w:shd w:val="clear" w:color="auto" w:fill="auto"/>
        </w:rPr>
        <w:t>GB/T 14537</w:t>
      </w:r>
      <w:r>
        <w:rPr>
          <w:rFonts w:hAnsi="宋体"/>
          <w:color w:val="auto"/>
          <w:highlight w:val="none"/>
          <w:shd w:val="clear" w:color="auto" w:fill="auto"/>
        </w:rPr>
        <w:t>量度继电器和保护装置的冲击与碰撞试验</w:t>
      </w:r>
    </w:p>
    <w:p>
      <w:pPr>
        <w:spacing w:after="0" w:line="360" w:lineRule="auto"/>
        <w:ind w:firstLine="480"/>
        <w:rPr>
          <w:color w:val="auto"/>
          <w:highlight w:val="none"/>
          <w:shd w:val="clear" w:color="auto" w:fill="auto"/>
        </w:rPr>
      </w:pPr>
      <w:r>
        <w:rPr>
          <w:color w:val="auto"/>
          <w:highlight w:val="none"/>
          <w:shd w:val="clear" w:color="auto" w:fill="auto"/>
        </w:rPr>
        <w:t>GB 16836</w:t>
      </w:r>
      <w:r>
        <w:rPr>
          <w:rFonts w:hAnsi="宋体"/>
          <w:color w:val="auto"/>
          <w:highlight w:val="none"/>
          <w:shd w:val="clear" w:color="auto" w:fill="auto"/>
        </w:rPr>
        <w:t>量度继电器和保护装置安全设计的一般要求</w:t>
      </w:r>
    </w:p>
    <w:p>
      <w:pPr>
        <w:spacing w:after="0" w:line="360" w:lineRule="auto"/>
        <w:ind w:firstLine="480"/>
        <w:rPr>
          <w:color w:val="auto"/>
          <w:highlight w:val="none"/>
          <w:shd w:val="clear" w:color="auto" w:fill="auto"/>
        </w:rPr>
      </w:pPr>
      <w:r>
        <w:rPr>
          <w:color w:val="auto"/>
          <w:highlight w:val="none"/>
          <w:shd w:val="clear" w:color="auto" w:fill="auto"/>
        </w:rPr>
        <w:t xml:space="preserve">DL/T 478 </w:t>
      </w:r>
      <w:r>
        <w:rPr>
          <w:rFonts w:hAnsi="宋体"/>
          <w:color w:val="auto"/>
          <w:highlight w:val="none"/>
          <w:shd w:val="clear" w:color="auto" w:fill="auto"/>
        </w:rPr>
        <w:t>静态继电保护及安全自动装置通用技术条件</w:t>
      </w:r>
    </w:p>
    <w:p>
      <w:pPr>
        <w:spacing w:after="0" w:line="360" w:lineRule="auto"/>
        <w:ind w:firstLine="480"/>
        <w:rPr>
          <w:color w:val="auto"/>
          <w:highlight w:val="none"/>
          <w:shd w:val="clear" w:color="auto" w:fill="auto"/>
        </w:rPr>
      </w:pPr>
      <w:r>
        <w:rPr>
          <w:color w:val="auto"/>
          <w:highlight w:val="none"/>
          <w:shd w:val="clear" w:color="auto" w:fill="auto"/>
        </w:rPr>
        <w:t xml:space="preserve">GB/T 19939 </w:t>
      </w:r>
      <w:r>
        <w:rPr>
          <w:rFonts w:hAnsi="宋体"/>
          <w:color w:val="auto"/>
          <w:highlight w:val="none"/>
          <w:shd w:val="clear" w:color="auto" w:fill="auto"/>
        </w:rPr>
        <w:t>光伏系统并网技术要求</w:t>
      </w:r>
    </w:p>
    <w:p>
      <w:pPr>
        <w:spacing w:after="0" w:line="360" w:lineRule="auto"/>
        <w:ind w:firstLine="480"/>
        <w:rPr>
          <w:color w:val="auto"/>
          <w:highlight w:val="none"/>
          <w:shd w:val="clear" w:color="auto" w:fill="auto"/>
        </w:rPr>
      </w:pPr>
      <w:r>
        <w:rPr>
          <w:color w:val="auto"/>
          <w:highlight w:val="none"/>
          <w:shd w:val="clear" w:color="auto" w:fill="auto"/>
        </w:rPr>
        <w:t xml:space="preserve">GB/T 20046 </w:t>
      </w:r>
      <w:r>
        <w:rPr>
          <w:rFonts w:hAnsi="宋体"/>
          <w:color w:val="auto"/>
          <w:highlight w:val="none"/>
          <w:shd w:val="clear" w:color="auto" w:fill="auto"/>
        </w:rPr>
        <w:t>光伏（</w:t>
      </w:r>
      <w:r>
        <w:rPr>
          <w:color w:val="auto"/>
          <w:highlight w:val="none"/>
          <w:shd w:val="clear" w:color="auto" w:fill="auto"/>
        </w:rPr>
        <w:t>PV</w:t>
      </w:r>
      <w:r>
        <w:rPr>
          <w:rFonts w:hAnsi="宋体"/>
          <w:color w:val="auto"/>
          <w:highlight w:val="none"/>
          <w:shd w:val="clear" w:color="auto" w:fill="auto"/>
        </w:rPr>
        <w:t>）系统电网接口特性（</w:t>
      </w:r>
      <w:r>
        <w:rPr>
          <w:color w:val="auto"/>
          <w:highlight w:val="none"/>
          <w:shd w:val="clear" w:color="auto" w:fill="auto"/>
        </w:rPr>
        <w:t>IEC 61727，MOD</w:t>
      </w:r>
      <w:r>
        <w:rPr>
          <w:rFonts w:hAnsi="宋体"/>
          <w:color w:val="auto"/>
          <w:highlight w:val="none"/>
          <w:shd w:val="clear" w:color="auto" w:fill="auto"/>
        </w:rPr>
        <w:t>）</w:t>
      </w:r>
    </w:p>
    <w:p>
      <w:pPr>
        <w:spacing w:after="0" w:line="360" w:lineRule="auto"/>
        <w:ind w:firstLine="480"/>
        <w:rPr>
          <w:color w:val="auto"/>
          <w:highlight w:val="none"/>
          <w:shd w:val="clear" w:color="auto" w:fill="auto"/>
        </w:rPr>
      </w:pPr>
      <w:r>
        <w:rPr>
          <w:color w:val="auto"/>
          <w:highlight w:val="none"/>
          <w:shd w:val="clear" w:color="auto" w:fill="auto"/>
        </w:rPr>
        <w:t xml:space="preserve">GB/Z 19964 </w:t>
      </w:r>
      <w:r>
        <w:rPr>
          <w:rFonts w:hAnsi="宋体"/>
          <w:color w:val="auto"/>
          <w:highlight w:val="none"/>
          <w:shd w:val="clear" w:color="auto" w:fill="auto"/>
        </w:rPr>
        <w:t>光伏发电站接入电力系统技术规定</w:t>
      </w:r>
    </w:p>
    <w:p>
      <w:pPr>
        <w:spacing w:after="0" w:line="360" w:lineRule="auto"/>
        <w:ind w:firstLine="480"/>
        <w:rPr>
          <w:color w:val="auto"/>
          <w:highlight w:val="none"/>
          <w:shd w:val="clear" w:color="auto" w:fill="auto"/>
        </w:rPr>
      </w:pPr>
      <w:r>
        <w:rPr>
          <w:color w:val="auto"/>
          <w:highlight w:val="none"/>
          <w:shd w:val="clear" w:color="auto" w:fill="auto"/>
        </w:rPr>
        <w:t xml:space="preserve">GB/T 2423.1 </w:t>
      </w:r>
      <w:r>
        <w:rPr>
          <w:rFonts w:hAnsi="宋体"/>
          <w:color w:val="auto"/>
          <w:highlight w:val="none"/>
          <w:shd w:val="clear" w:color="auto" w:fill="auto"/>
        </w:rPr>
        <w:t>电工电子产品基本环境试验规程试验</w:t>
      </w:r>
      <w:r>
        <w:rPr>
          <w:color w:val="auto"/>
          <w:highlight w:val="none"/>
          <w:shd w:val="clear" w:color="auto" w:fill="auto"/>
        </w:rPr>
        <w:t>A</w:t>
      </w:r>
      <w:r>
        <w:rPr>
          <w:rFonts w:hAnsi="宋体"/>
          <w:color w:val="auto"/>
          <w:highlight w:val="none"/>
          <w:shd w:val="clear" w:color="auto" w:fill="auto"/>
        </w:rPr>
        <w:t>：低温试验方法</w:t>
      </w:r>
    </w:p>
    <w:p>
      <w:pPr>
        <w:spacing w:after="0" w:line="360" w:lineRule="auto"/>
        <w:ind w:firstLine="480"/>
        <w:rPr>
          <w:color w:val="auto"/>
          <w:highlight w:val="none"/>
          <w:shd w:val="clear" w:color="auto" w:fill="auto"/>
        </w:rPr>
      </w:pPr>
      <w:r>
        <w:rPr>
          <w:color w:val="auto"/>
          <w:highlight w:val="none"/>
          <w:shd w:val="clear" w:color="auto" w:fill="auto"/>
        </w:rPr>
        <w:t>GB/T 2423.2电工电子产品基本环境试验规程试验B：高温试验方法</w:t>
      </w:r>
    </w:p>
    <w:p>
      <w:pPr>
        <w:spacing w:after="0" w:line="360" w:lineRule="auto"/>
        <w:ind w:firstLine="480"/>
        <w:rPr>
          <w:color w:val="auto"/>
          <w:highlight w:val="none"/>
          <w:shd w:val="clear" w:color="auto" w:fill="auto"/>
        </w:rPr>
      </w:pPr>
      <w:r>
        <w:rPr>
          <w:color w:val="auto"/>
          <w:highlight w:val="none"/>
          <w:shd w:val="clear" w:color="auto" w:fill="auto"/>
        </w:rPr>
        <w:t>GB/T 2423.9电工电子产品基本环境试验规程试验C：设备用恒定湿热试验方法</w:t>
      </w:r>
    </w:p>
    <w:p>
      <w:pPr>
        <w:spacing w:after="0" w:line="360" w:lineRule="auto"/>
        <w:ind w:firstLine="480"/>
        <w:rPr>
          <w:color w:val="auto"/>
          <w:highlight w:val="none"/>
          <w:shd w:val="clear" w:color="auto" w:fill="auto"/>
        </w:rPr>
      </w:pPr>
      <w:r>
        <w:rPr>
          <w:color w:val="auto"/>
          <w:highlight w:val="none"/>
          <w:shd w:val="clear" w:color="auto" w:fill="auto"/>
        </w:rPr>
        <w:t xml:space="preserve">GB 4208 </w:t>
      </w:r>
      <w:r>
        <w:rPr>
          <w:rFonts w:hAnsi="宋体"/>
          <w:color w:val="auto"/>
          <w:highlight w:val="none"/>
          <w:shd w:val="clear" w:color="auto" w:fill="auto"/>
        </w:rPr>
        <w:t>外壳防护等级（</w:t>
      </w:r>
      <w:r>
        <w:rPr>
          <w:color w:val="auto"/>
          <w:highlight w:val="none"/>
          <w:shd w:val="clear" w:color="auto" w:fill="auto"/>
        </w:rPr>
        <w:t>IP</w:t>
      </w:r>
      <w:r>
        <w:rPr>
          <w:rFonts w:hAnsi="宋体"/>
          <w:color w:val="auto"/>
          <w:highlight w:val="none"/>
          <w:shd w:val="clear" w:color="auto" w:fill="auto"/>
        </w:rPr>
        <w:t>代码）（</w:t>
      </w:r>
      <w:r>
        <w:rPr>
          <w:color w:val="auto"/>
          <w:highlight w:val="none"/>
          <w:shd w:val="clear" w:color="auto" w:fill="auto"/>
        </w:rPr>
        <w:t>IEC 60529</w:t>
      </w:r>
      <w:r>
        <w:rPr>
          <w:rFonts w:hAnsi="宋体"/>
          <w:color w:val="auto"/>
          <w:highlight w:val="none"/>
          <w:shd w:val="clear" w:color="auto" w:fill="auto"/>
        </w:rPr>
        <w:t>）</w:t>
      </w:r>
    </w:p>
    <w:p>
      <w:pPr>
        <w:spacing w:after="0" w:line="360" w:lineRule="auto"/>
        <w:ind w:firstLine="480"/>
        <w:rPr>
          <w:color w:val="auto"/>
          <w:highlight w:val="none"/>
          <w:shd w:val="clear" w:color="auto" w:fill="auto"/>
        </w:rPr>
      </w:pPr>
      <w:r>
        <w:rPr>
          <w:color w:val="auto"/>
          <w:highlight w:val="none"/>
          <w:shd w:val="clear" w:color="auto" w:fill="auto"/>
        </w:rPr>
        <w:t xml:space="preserve">GB 3859.2 </w:t>
      </w:r>
      <w:r>
        <w:rPr>
          <w:rFonts w:hAnsi="宋体"/>
          <w:color w:val="auto"/>
          <w:highlight w:val="none"/>
          <w:shd w:val="clear" w:color="auto" w:fill="auto"/>
        </w:rPr>
        <w:t>半导体变流器应用导则</w:t>
      </w:r>
    </w:p>
    <w:p>
      <w:pPr>
        <w:spacing w:after="0" w:line="360" w:lineRule="auto"/>
        <w:ind w:firstLine="480"/>
        <w:rPr>
          <w:color w:val="auto"/>
          <w:highlight w:val="none"/>
          <w:shd w:val="clear" w:color="auto" w:fill="auto"/>
        </w:rPr>
      </w:pPr>
      <w:r>
        <w:rPr>
          <w:color w:val="auto"/>
          <w:highlight w:val="none"/>
          <w:shd w:val="clear" w:color="auto" w:fill="auto"/>
        </w:rPr>
        <w:t>GB/T 14549</w:t>
      </w:r>
      <w:r>
        <w:rPr>
          <w:rFonts w:hAnsi="宋体"/>
          <w:color w:val="auto"/>
          <w:highlight w:val="none"/>
          <w:shd w:val="clear" w:color="auto" w:fill="auto"/>
        </w:rPr>
        <w:t>电能质量公用电网谐波</w:t>
      </w:r>
    </w:p>
    <w:p>
      <w:pPr>
        <w:spacing w:after="0" w:line="360" w:lineRule="auto"/>
        <w:ind w:firstLine="480"/>
        <w:rPr>
          <w:color w:val="auto"/>
          <w:highlight w:val="none"/>
          <w:shd w:val="clear" w:color="auto" w:fill="auto"/>
        </w:rPr>
      </w:pPr>
      <w:r>
        <w:rPr>
          <w:color w:val="auto"/>
          <w:highlight w:val="none"/>
          <w:shd w:val="clear" w:color="auto" w:fill="auto"/>
        </w:rPr>
        <w:t>GB/T 15543</w:t>
      </w:r>
      <w:r>
        <w:rPr>
          <w:rFonts w:hAnsi="宋体"/>
          <w:color w:val="auto"/>
          <w:highlight w:val="none"/>
          <w:shd w:val="clear" w:color="auto" w:fill="auto"/>
        </w:rPr>
        <w:t>电能质量三相电压允许不平衡度</w:t>
      </w:r>
    </w:p>
    <w:p>
      <w:pPr>
        <w:spacing w:after="0" w:line="360" w:lineRule="auto"/>
        <w:ind w:firstLine="480"/>
        <w:rPr>
          <w:color w:val="auto"/>
          <w:highlight w:val="none"/>
          <w:shd w:val="clear" w:color="auto" w:fill="auto"/>
        </w:rPr>
      </w:pPr>
      <w:r>
        <w:rPr>
          <w:color w:val="auto"/>
          <w:highlight w:val="none"/>
          <w:shd w:val="clear" w:color="auto" w:fill="auto"/>
        </w:rPr>
        <w:t xml:space="preserve">GB/T12325 </w:t>
      </w:r>
      <w:r>
        <w:rPr>
          <w:rFonts w:hAnsi="宋体"/>
          <w:color w:val="auto"/>
          <w:highlight w:val="none"/>
          <w:shd w:val="clear" w:color="auto" w:fill="auto"/>
        </w:rPr>
        <w:t>电能质量供电电压允许偏差</w:t>
      </w:r>
    </w:p>
    <w:p>
      <w:pPr>
        <w:spacing w:after="0" w:line="360" w:lineRule="auto"/>
        <w:ind w:firstLine="480"/>
        <w:rPr>
          <w:color w:val="auto"/>
          <w:highlight w:val="none"/>
          <w:shd w:val="clear" w:color="auto" w:fill="auto"/>
        </w:rPr>
      </w:pPr>
      <w:r>
        <w:rPr>
          <w:color w:val="auto"/>
          <w:highlight w:val="none"/>
          <w:shd w:val="clear" w:color="auto" w:fill="auto"/>
        </w:rPr>
        <w:t xml:space="preserve">GB/T15945 </w:t>
      </w:r>
      <w:r>
        <w:rPr>
          <w:rFonts w:hAnsi="宋体"/>
          <w:color w:val="auto"/>
          <w:highlight w:val="none"/>
          <w:shd w:val="clear" w:color="auto" w:fill="auto"/>
        </w:rPr>
        <w:t>电能质量电力系统频率允许偏差</w:t>
      </w:r>
    </w:p>
    <w:p>
      <w:pPr>
        <w:spacing w:after="0" w:line="360" w:lineRule="auto"/>
        <w:ind w:firstLine="480"/>
        <w:rPr>
          <w:color w:val="auto"/>
          <w:highlight w:val="none"/>
          <w:shd w:val="clear" w:color="auto" w:fill="auto"/>
        </w:rPr>
      </w:pPr>
      <w:r>
        <w:rPr>
          <w:color w:val="auto"/>
          <w:highlight w:val="none"/>
          <w:shd w:val="clear" w:color="auto" w:fill="auto"/>
        </w:rPr>
        <w:t>GB 19939</w:t>
      </w:r>
      <w:r>
        <w:rPr>
          <w:rFonts w:hAnsi="宋体"/>
          <w:color w:val="auto"/>
          <w:highlight w:val="none"/>
          <w:shd w:val="clear" w:color="auto" w:fill="auto"/>
        </w:rPr>
        <w:t>太阳能光伏发电系统并网技术要求</w:t>
      </w:r>
    </w:p>
    <w:p>
      <w:pPr>
        <w:spacing w:after="0" w:line="360" w:lineRule="auto"/>
        <w:ind w:firstLine="480"/>
        <w:rPr>
          <w:color w:val="auto"/>
          <w:highlight w:val="none"/>
          <w:shd w:val="clear" w:color="auto" w:fill="auto"/>
        </w:rPr>
      </w:pPr>
      <w:r>
        <w:rPr>
          <w:color w:val="auto"/>
          <w:highlight w:val="none"/>
          <w:shd w:val="clear" w:color="auto" w:fill="auto"/>
        </w:rPr>
        <w:t xml:space="preserve">SJ 11127 </w:t>
      </w:r>
      <w:r>
        <w:rPr>
          <w:rFonts w:hAnsi="宋体"/>
          <w:color w:val="auto"/>
          <w:highlight w:val="none"/>
          <w:shd w:val="clear" w:color="auto" w:fill="auto"/>
        </w:rPr>
        <w:t>光伏（</w:t>
      </w:r>
      <w:r>
        <w:rPr>
          <w:color w:val="auto"/>
          <w:highlight w:val="none"/>
          <w:shd w:val="clear" w:color="auto" w:fill="auto"/>
        </w:rPr>
        <w:t>PV</w:t>
      </w:r>
      <w:r>
        <w:rPr>
          <w:rFonts w:hAnsi="宋体"/>
          <w:color w:val="auto"/>
          <w:highlight w:val="none"/>
          <w:shd w:val="clear" w:color="auto" w:fill="auto"/>
        </w:rPr>
        <w:t>）发电系统的过电压保护</w:t>
      </w:r>
      <w:r>
        <w:rPr>
          <w:color w:val="auto"/>
          <w:highlight w:val="none"/>
          <w:shd w:val="clear" w:color="auto" w:fill="auto"/>
        </w:rPr>
        <w:t>——</w:t>
      </w:r>
      <w:r>
        <w:rPr>
          <w:rFonts w:hAnsi="宋体"/>
          <w:color w:val="auto"/>
          <w:highlight w:val="none"/>
          <w:shd w:val="clear" w:color="auto" w:fill="auto"/>
        </w:rPr>
        <w:t>导则</w:t>
      </w:r>
    </w:p>
    <w:p>
      <w:pPr>
        <w:spacing w:after="0" w:line="360" w:lineRule="auto"/>
        <w:ind w:firstLine="480"/>
        <w:rPr>
          <w:color w:val="auto"/>
          <w:highlight w:val="none"/>
          <w:shd w:val="clear" w:color="auto" w:fill="auto"/>
        </w:rPr>
      </w:pPr>
      <w:r>
        <w:rPr>
          <w:color w:val="auto"/>
          <w:highlight w:val="none"/>
          <w:shd w:val="clear" w:color="auto" w:fill="auto"/>
        </w:rPr>
        <w:t xml:space="preserve">GB 20513 </w:t>
      </w:r>
      <w:r>
        <w:rPr>
          <w:rFonts w:hAnsi="宋体"/>
          <w:color w:val="auto"/>
          <w:highlight w:val="none"/>
          <w:shd w:val="clear" w:color="auto" w:fill="auto"/>
        </w:rPr>
        <w:t>光伏系统性能监测测量、数据交换和分析导则</w:t>
      </w:r>
    </w:p>
    <w:p>
      <w:pPr>
        <w:spacing w:after="0" w:line="360" w:lineRule="auto"/>
        <w:ind w:firstLine="480"/>
        <w:rPr>
          <w:color w:val="auto"/>
          <w:highlight w:val="none"/>
          <w:shd w:val="clear" w:color="auto" w:fill="auto"/>
        </w:rPr>
      </w:pPr>
      <w:r>
        <w:rPr>
          <w:color w:val="auto"/>
          <w:highlight w:val="none"/>
          <w:shd w:val="clear" w:color="auto" w:fill="auto"/>
        </w:rPr>
        <w:t>GB 20514</w:t>
      </w:r>
      <w:r>
        <w:rPr>
          <w:rFonts w:hAnsi="宋体"/>
          <w:color w:val="auto"/>
          <w:highlight w:val="none"/>
          <w:shd w:val="clear" w:color="auto" w:fill="auto"/>
        </w:rPr>
        <w:t>光伏系统功率调节器效率测量程序</w:t>
      </w:r>
    </w:p>
    <w:p>
      <w:pPr>
        <w:spacing w:after="0" w:line="360" w:lineRule="auto"/>
        <w:ind w:firstLine="480"/>
        <w:rPr>
          <w:color w:val="auto"/>
          <w:highlight w:val="none"/>
          <w:shd w:val="clear" w:color="auto" w:fill="auto"/>
        </w:rPr>
      </w:pPr>
      <w:r>
        <w:rPr>
          <w:color w:val="auto"/>
          <w:highlight w:val="none"/>
          <w:shd w:val="clear" w:color="auto" w:fill="auto"/>
        </w:rPr>
        <w:t xml:space="preserve">GB 4208 </w:t>
      </w:r>
      <w:r>
        <w:rPr>
          <w:rFonts w:hAnsi="宋体"/>
          <w:color w:val="auto"/>
          <w:highlight w:val="none"/>
          <w:shd w:val="clear" w:color="auto" w:fill="auto"/>
        </w:rPr>
        <w:t>外壳防护等级（</w:t>
      </w:r>
      <w:r>
        <w:rPr>
          <w:color w:val="auto"/>
          <w:highlight w:val="none"/>
          <w:shd w:val="clear" w:color="auto" w:fill="auto"/>
        </w:rPr>
        <w:t>IP</w:t>
      </w:r>
      <w:r>
        <w:rPr>
          <w:rFonts w:hAnsi="宋体"/>
          <w:color w:val="auto"/>
          <w:highlight w:val="none"/>
          <w:shd w:val="clear" w:color="auto" w:fill="auto"/>
        </w:rPr>
        <w:t>代码）</w:t>
      </w:r>
    </w:p>
    <w:p>
      <w:pPr>
        <w:spacing w:after="0" w:line="360" w:lineRule="auto"/>
        <w:ind w:firstLine="480"/>
        <w:rPr>
          <w:color w:val="auto"/>
          <w:highlight w:val="none"/>
          <w:shd w:val="clear" w:color="auto" w:fill="auto"/>
        </w:rPr>
      </w:pPr>
      <w:r>
        <w:rPr>
          <w:color w:val="auto"/>
          <w:highlight w:val="none"/>
          <w:shd w:val="clear" w:color="auto" w:fill="auto"/>
        </w:rPr>
        <w:t>GB/T4942.2</w:t>
      </w:r>
      <w:r>
        <w:rPr>
          <w:rFonts w:hAnsi="宋体"/>
          <w:color w:val="auto"/>
          <w:highlight w:val="none"/>
          <w:shd w:val="clear" w:color="auto" w:fill="auto"/>
        </w:rPr>
        <w:t>低压电器外壳防护等级</w:t>
      </w:r>
    </w:p>
    <w:p>
      <w:pPr>
        <w:spacing w:after="0" w:line="360" w:lineRule="auto"/>
        <w:ind w:firstLine="480"/>
        <w:rPr>
          <w:color w:val="auto"/>
          <w:highlight w:val="none"/>
          <w:shd w:val="clear" w:color="auto" w:fill="auto"/>
        </w:rPr>
      </w:pPr>
      <w:r>
        <w:rPr>
          <w:color w:val="auto"/>
          <w:highlight w:val="none"/>
          <w:shd w:val="clear" w:color="auto" w:fill="auto"/>
        </w:rPr>
        <w:t xml:space="preserve">GB 3859.2 </w:t>
      </w:r>
      <w:r>
        <w:rPr>
          <w:rFonts w:hAnsi="宋体"/>
          <w:color w:val="auto"/>
          <w:highlight w:val="none"/>
          <w:shd w:val="clear" w:color="auto" w:fill="auto"/>
        </w:rPr>
        <w:t>半导体变流器应用导则</w:t>
      </w:r>
    </w:p>
    <w:p>
      <w:pPr>
        <w:spacing w:after="0" w:line="360" w:lineRule="auto"/>
        <w:ind w:firstLine="480"/>
        <w:rPr>
          <w:color w:val="auto"/>
          <w:highlight w:val="none"/>
          <w:shd w:val="clear" w:color="auto" w:fill="auto"/>
        </w:rPr>
      </w:pPr>
      <w:r>
        <w:rPr>
          <w:color w:val="auto"/>
          <w:highlight w:val="none"/>
          <w:shd w:val="clear" w:color="auto" w:fill="auto"/>
        </w:rPr>
        <w:t xml:space="preserve">Q/SPS 22 </w:t>
      </w:r>
      <w:r>
        <w:rPr>
          <w:rFonts w:hAnsi="宋体"/>
          <w:color w:val="auto"/>
          <w:highlight w:val="none"/>
          <w:shd w:val="clear" w:color="auto" w:fill="auto"/>
        </w:rPr>
        <w:t>并网光伏发电专用逆变器技术要求和试验方法</w:t>
      </w:r>
    </w:p>
    <w:p>
      <w:pPr>
        <w:spacing w:after="0" w:line="360" w:lineRule="auto"/>
        <w:ind w:firstLine="480"/>
        <w:rPr>
          <w:color w:val="auto"/>
          <w:highlight w:val="none"/>
          <w:shd w:val="clear" w:color="auto" w:fill="auto"/>
        </w:rPr>
      </w:pPr>
      <w:r>
        <w:rPr>
          <w:rFonts w:hAnsi="宋体"/>
          <w:color w:val="auto"/>
          <w:highlight w:val="none"/>
          <w:shd w:val="clear" w:color="auto" w:fill="auto"/>
        </w:rPr>
        <w:t>电磁兼容性相关标准：</w:t>
      </w:r>
      <w:r>
        <w:rPr>
          <w:color w:val="auto"/>
          <w:highlight w:val="none"/>
          <w:shd w:val="clear" w:color="auto" w:fill="auto"/>
        </w:rPr>
        <w:t>EN50081</w:t>
      </w:r>
      <w:r>
        <w:rPr>
          <w:rFonts w:hAnsi="宋体"/>
          <w:color w:val="auto"/>
          <w:highlight w:val="none"/>
          <w:shd w:val="clear" w:color="auto" w:fill="auto"/>
        </w:rPr>
        <w:t>或同级以上标准</w:t>
      </w:r>
    </w:p>
    <w:p>
      <w:pPr>
        <w:spacing w:after="0" w:line="360" w:lineRule="auto"/>
        <w:ind w:firstLine="480"/>
        <w:rPr>
          <w:color w:val="auto"/>
          <w:highlight w:val="none"/>
          <w:shd w:val="clear" w:color="auto" w:fill="auto"/>
        </w:rPr>
      </w:pPr>
      <w:r>
        <w:rPr>
          <w:color w:val="auto"/>
          <w:highlight w:val="none"/>
          <w:shd w:val="clear" w:color="auto" w:fill="auto"/>
        </w:rPr>
        <w:t>EMC</w:t>
      </w:r>
      <w:r>
        <w:rPr>
          <w:rFonts w:hAnsi="宋体"/>
          <w:color w:val="auto"/>
          <w:highlight w:val="none"/>
          <w:shd w:val="clear" w:color="auto" w:fill="auto"/>
        </w:rPr>
        <w:t>相关标准：</w:t>
      </w:r>
      <w:r>
        <w:rPr>
          <w:color w:val="auto"/>
          <w:highlight w:val="none"/>
          <w:shd w:val="clear" w:color="auto" w:fill="auto"/>
        </w:rPr>
        <w:t>EN50082</w:t>
      </w:r>
      <w:r>
        <w:rPr>
          <w:rFonts w:hAnsi="宋体"/>
          <w:color w:val="auto"/>
          <w:highlight w:val="none"/>
          <w:shd w:val="clear" w:color="auto" w:fill="auto"/>
        </w:rPr>
        <w:t>或同级以上标准</w:t>
      </w:r>
    </w:p>
    <w:p>
      <w:pPr>
        <w:spacing w:after="0" w:line="360" w:lineRule="auto"/>
        <w:ind w:firstLine="480"/>
        <w:rPr>
          <w:color w:val="auto"/>
          <w:highlight w:val="none"/>
          <w:shd w:val="clear" w:color="auto" w:fill="auto"/>
        </w:rPr>
      </w:pPr>
      <w:r>
        <w:rPr>
          <w:rFonts w:hAnsi="宋体"/>
          <w:color w:val="auto"/>
          <w:highlight w:val="none"/>
          <w:shd w:val="clear" w:color="auto" w:fill="auto"/>
        </w:rPr>
        <w:t>电网干扰相关标准：</w:t>
      </w:r>
      <w:r>
        <w:rPr>
          <w:color w:val="auto"/>
          <w:highlight w:val="none"/>
          <w:shd w:val="clear" w:color="auto" w:fill="auto"/>
        </w:rPr>
        <w:t>EN61000</w:t>
      </w:r>
      <w:r>
        <w:rPr>
          <w:rFonts w:hAnsi="宋体"/>
          <w:color w:val="auto"/>
          <w:highlight w:val="none"/>
          <w:shd w:val="clear" w:color="auto" w:fill="auto"/>
        </w:rPr>
        <w:t>或同级以上标准</w:t>
      </w:r>
    </w:p>
    <w:p>
      <w:pPr>
        <w:spacing w:after="0" w:line="360" w:lineRule="auto"/>
        <w:ind w:firstLine="480"/>
        <w:rPr>
          <w:color w:val="auto"/>
          <w:highlight w:val="none"/>
          <w:shd w:val="clear" w:color="auto" w:fill="auto"/>
        </w:rPr>
      </w:pPr>
      <w:r>
        <w:rPr>
          <w:rFonts w:hAnsi="宋体"/>
          <w:color w:val="auto"/>
          <w:highlight w:val="none"/>
          <w:shd w:val="clear" w:color="auto" w:fill="auto"/>
        </w:rPr>
        <w:t>电网监控相关标准：</w:t>
      </w:r>
      <w:r>
        <w:rPr>
          <w:color w:val="auto"/>
          <w:highlight w:val="none"/>
          <w:shd w:val="clear" w:color="auto" w:fill="auto"/>
        </w:rPr>
        <w:t>UL1741</w:t>
      </w:r>
      <w:r>
        <w:rPr>
          <w:rFonts w:hAnsi="宋体"/>
          <w:color w:val="auto"/>
          <w:highlight w:val="none"/>
          <w:shd w:val="clear" w:color="auto" w:fill="auto"/>
        </w:rPr>
        <w:t>或同级以上标准</w:t>
      </w:r>
    </w:p>
    <w:p>
      <w:pPr>
        <w:spacing w:after="0" w:line="360" w:lineRule="auto"/>
        <w:ind w:firstLine="480"/>
        <w:rPr>
          <w:color w:val="auto"/>
          <w:highlight w:val="none"/>
          <w:shd w:val="clear" w:color="auto" w:fill="auto"/>
        </w:rPr>
      </w:pPr>
      <w:r>
        <w:rPr>
          <w:rFonts w:hAnsi="宋体"/>
          <w:color w:val="auto"/>
          <w:highlight w:val="none"/>
          <w:shd w:val="clear" w:color="auto" w:fill="auto"/>
        </w:rPr>
        <w:t>电磁干扰相关标准：</w:t>
      </w:r>
      <w:r>
        <w:rPr>
          <w:color w:val="auto"/>
          <w:highlight w:val="none"/>
          <w:shd w:val="clear" w:color="auto" w:fill="auto"/>
        </w:rPr>
        <w:t>GB9254</w:t>
      </w:r>
      <w:r>
        <w:rPr>
          <w:rFonts w:hAnsi="宋体"/>
          <w:color w:val="auto"/>
          <w:highlight w:val="none"/>
          <w:shd w:val="clear" w:color="auto" w:fill="auto"/>
        </w:rPr>
        <w:t>或同级以上标准</w:t>
      </w:r>
    </w:p>
    <w:p>
      <w:pPr>
        <w:spacing w:after="0" w:line="360" w:lineRule="auto"/>
        <w:ind w:firstLine="480"/>
        <w:rPr>
          <w:color w:val="auto"/>
          <w:highlight w:val="none"/>
          <w:shd w:val="clear" w:color="auto" w:fill="auto"/>
        </w:rPr>
      </w:pPr>
      <w:r>
        <w:rPr>
          <w:color w:val="auto"/>
          <w:highlight w:val="none"/>
          <w:shd w:val="clear" w:color="auto" w:fill="auto"/>
        </w:rPr>
        <w:t xml:space="preserve">GB/T14598.9 </w:t>
      </w:r>
      <w:r>
        <w:rPr>
          <w:rFonts w:hAnsi="宋体"/>
          <w:color w:val="auto"/>
          <w:highlight w:val="none"/>
          <w:shd w:val="clear" w:color="auto" w:fill="auto"/>
        </w:rPr>
        <w:t>辐射电磁场干扰试验</w:t>
      </w:r>
    </w:p>
    <w:p>
      <w:pPr>
        <w:spacing w:after="0" w:line="360" w:lineRule="auto"/>
        <w:ind w:firstLine="480"/>
        <w:rPr>
          <w:color w:val="auto"/>
          <w:highlight w:val="none"/>
          <w:shd w:val="clear" w:color="auto" w:fill="auto"/>
        </w:rPr>
      </w:pPr>
      <w:r>
        <w:rPr>
          <w:color w:val="auto"/>
          <w:highlight w:val="none"/>
          <w:shd w:val="clear" w:color="auto" w:fill="auto"/>
        </w:rPr>
        <w:t xml:space="preserve">GB/T14598.14 </w:t>
      </w:r>
      <w:r>
        <w:rPr>
          <w:rFonts w:hAnsi="宋体"/>
          <w:color w:val="auto"/>
          <w:highlight w:val="none"/>
          <w:shd w:val="clear" w:color="auto" w:fill="auto"/>
        </w:rPr>
        <w:t>静电放电试验</w:t>
      </w:r>
    </w:p>
    <w:p>
      <w:pPr>
        <w:spacing w:after="0" w:line="360" w:lineRule="auto"/>
        <w:ind w:firstLine="480"/>
        <w:rPr>
          <w:color w:val="auto"/>
          <w:highlight w:val="none"/>
          <w:shd w:val="clear" w:color="auto" w:fill="auto"/>
        </w:rPr>
      </w:pPr>
      <w:r>
        <w:rPr>
          <w:color w:val="auto"/>
          <w:highlight w:val="none"/>
          <w:shd w:val="clear" w:color="auto" w:fill="auto"/>
        </w:rPr>
        <w:t xml:space="preserve">GB/T17626.8 </w:t>
      </w:r>
      <w:r>
        <w:rPr>
          <w:rFonts w:hAnsi="宋体"/>
          <w:color w:val="auto"/>
          <w:highlight w:val="none"/>
          <w:shd w:val="clear" w:color="auto" w:fill="auto"/>
        </w:rPr>
        <w:t>工频磁场抗扰度试验</w:t>
      </w:r>
    </w:p>
    <w:p>
      <w:pPr>
        <w:spacing w:after="0" w:line="360" w:lineRule="auto"/>
        <w:ind w:firstLine="480"/>
        <w:rPr>
          <w:color w:val="auto"/>
          <w:highlight w:val="none"/>
          <w:shd w:val="clear" w:color="auto" w:fill="auto"/>
        </w:rPr>
      </w:pPr>
      <w:r>
        <w:rPr>
          <w:color w:val="auto"/>
          <w:highlight w:val="none"/>
          <w:shd w:val="clear" w:color="auto" w:fill="auto"/>
        </w:rPr>
        <w:t xml:space="preserve">GB/T14598.3 6.0 </w:t>
      </w:r>
      <w:r>
        <w:rPr>
          <w:rFonts w:hAnsi="宋体"/>
          <w:color w:val="auto"/>
          <w:highlight w:val="none"/>
          <w:shd w:val="clear" w:color="auto" w:fill="auto"/>
        </w:rPr>
        <w:t>绝缘试验</w:t>
      </w:r>
    </w:p>
    <w:p>
      <w:pPr>
        <w:spacing w:after="0" w:line="360" w:lineRule="auto"/>
        <w:ind w:firstLine="480"/>
        <w:rPr>
          <w:color w:val="auto"/>
          <w:highlight w:val="none"/>
          <w:shd w:val="clear" w:color="auto" w:fill="auto"/>
        </w:rPr>
      </w:pPr>
      <w:r>
        <w:rPr>
          <w:color w:val="auto"/>
          <w:highlight w:val="none"/>
          <w:shd w:val="clear" w:color="auto" w:fill="auto"/>
        </w:rPr>
        <w:t xml:space="preserve">JB-T7064 </w:t>
      </w:r>
      <w:r>
        <w:rPr>
          <w:rFonts w:hAnsi="宋体"/>
          <w:color w:val="auto"/>
          <w:highlight w:val="none"/>
          <w:shd w:val="clear" w:color="auto" w:fill="auto"/>
        </w:rPr>
        <w:t>半导体逆变器通用技术条件</w:t>
      </w:r>
      <w:r>
        <w:rPr>
          <w:color w:val="auto"/>
          <w:highlight w:val="none"/>
          <w:shd w:val="clear" w:color="auto" w:fill="auto"/>
        </w:rPr>
        <w:t xml:space="preserve">3.2 </w:t>
      </w:r>
      <w:r>
        <w:rPr>
          <w:rFonts w:hAnsi="宋体"/>
          <w:color w:val="auto"/>
          <w:highlight w:val="none"/>
          <w:shd w:val="clear" w:color="auto" w:fill="auto"/>
        </w:rPr>
        <w:t>规范和标准</w:t>
      </w:r>
    </w:p>
    <w:p>
      <w:pPr>
        <w:spacing w:after="0" w:line="360" w:lineRule="auto"/>
        <w:ind w:firstLine="480"/>
        <w:rPr>
          <w:color w:val="auto"/>
          <w:highlight w:val="none"/>
          <w:shd w:val="clear" w:color="auto" w:fill="auto"/>
        </w:rPr>
      </w:pPr>
      <w:r>
        <w:rPr>
          <w:color w:val="auto"/>
          <w:highlight w:val="none"/>
          <w:shd w:val="clear" w:color="auto" w:fill="auto"/>
        </w:rPr>
        <w:t xml:space="preserve">CNCA/CTS0004 </w:t>
      </w:r>
      <w:r>
        <w:rPr>
          <w:rFonts w:hAnsi="宋体"/>
          <w:color w:val="auto"/>
          <w:highlight w:val="none"/>
          <w:shd w:val="clear" w:color="auto" w:fill="auto"/>
        </w:rPr>
        <w:t>并网光伏发电专用逆变器认证技术条件</w:t>
      </w:r>
    </w:p>
    <w:p>
      <w:pPr>
        <w:spacing w:after="0" w:line="360" w:lineRule="auto"/>
        <w:ind w:firstLine="480"/>
        <w:rPr>
          <w:color w:val="auto"/>
          <w:highlight w:val="none"/>
          <w:shd w:val="clear" w:color="auto" w:fill="auto"/>
        </w:rPr>
      </w:pPr>
      <w:r>
        <w:rPr>
          <w:rFonts w:hAnsi="宋体"/>
          <w:color w:val="auto"/>
          <w:highlight w:val="none"/>
          <w:shd w:val="clear" w:color="auto" w:fill="auto"/>
        </w:rPr>
        <w:t>并网逆变器应满足国网公司</w:t>
      </w:r>
      <w:r>
        <w:rPr>
          <w:color w:val="auto"/>
          <w:highlight w:val="none"/>
          <w:shd w:val="clear" w:color="auto" w:fill="auto"/>
        </w:rPr>
        <w:t>2011</w:t>
      </w:r>
      <w:r>
        <w:rPr>
          <w:rFonts w:hAnsi="宋体"/>
          <w:color w:val="auto"/>
          <w:highlight w:val="none"/>
          <w:shd w:val="clear" w:color="auto" w:fill="auto"/>
        </w:rPr>
        <w:t>年</w:t>
      </w:r>
      <w:r>
        <w:rPr>
          <w:color w:val="auto"/>
          <w:highlight w:val="none"/>
          <w:shd w:val="clear" w:color="auto" w:fill="auto"/>
        </w:rPr>
        <w:t>5</w:t>
      </w:r>
      <w:r>
        <w:rPr>
          <w:rFonts w:hAnsi="宋体"/>
          <w:color w:val="auto"/>
          <w:highlight w:val="none"/>
          <w:shd w:val="clear" w:color="auto" w:fill="auto"/>
        </w:rPr>
        <w:t>月下发的《国家电网公司光伏电站接入电网技术规定》和随时修改的规定的要求。须提供国家电网公司中国电力科学研究院</w:t>
      </w:r>
      <w:r>
        <w:rPr>
          <w:color w:val="auto"/>
          <w:highlight w:val="none"/>
          <w:shd w:val="clear" w:color="auto" w:fill="auto"/>
        </w:rPr>
        <w:t>LVRT</w:t>
      </w:r>
      <w:r>
        <w:rPr>
          <w:rFonts w:hAnsi="宋体"/>
          <w:color w:val="auto"/>
          <w:highlight w:val="none"/>
          <w:shd w:val="clear" w:color="auto" w:fill="auto"/>
        </w:rPr>
        <w:t>测试报告。</w:t>
      </w:r>
    </w:p>
    <w:p>
      <w:pPr>
        <w:autoSpaceDE w:val="0"/>
        <w:autoSpaceDN w:val="0"/>
        <w:adjustRightInd w:val="0"/>
        <w:spacing w:after="0" w:line="360" w:lineRule="auto"/>
        <w:ind w:firstLine="480"/>
        <w:rPr>
          <w:color w:val="auto"/>
          <w:highlight w:val="none"/>
          <w:shd w:val="clear" w:color="auto" w:fill="auto"/>
        </w:rPr>
      </w:pPr>
      <w:r>
        <w:rPr>
          <w:rFonts w:hAnsi="宋体"/>
          <w:color w:val="auto"/>
          <w:highlight w:val="none"/>
          <w:shd w:val="clear" w:color="auto" w:fill="auto"/>
        </w:rPr>
        <w:t>上述标准、规范及规程仅是本工程的最基本依据，并未包括实施中所涉及到的所有标准、规范和规程，并且所用标准和技术规范均应为合同签订之日为止时的最新版本。</w:t>
      </w:r>
    </w:p>
    <w:p>
      <w:pPr>
        <w:pStyle w:val="3"/>
        <w:spacing w:before="0" w:line="360" w:lineRule="auto"/>
        <w:jc w:val="left"/>
        <w:rPr>
          <w:color w:val="auto"/>
          <w:sz w:val="24"/>
          <w:szCs w:val="24"/>
          <w:highlight w:val="none"/>
          <w:shd w:val="clear" w:color="auto" w:fill="auto"/>
        </w:rPr>
      </w:pPr>
      <w:bookmarkStart w:id="38" w:name="_Toc66281309"/>
      <w:r>
        <w:rPr>
          <w:rFonts w:hint="eastAsia"/>
          <w:color w:val="auto"/>
          <w:sz w:val="24"/>
          <w:szCs w:val="24"/>
          <w:highlight w:val="none"/>
          <w:shd w:val="clear" w:color="auto" w:fill="auto"/>
        </w:rPr>
        <w:t>4.2.2</w:t>
      </w:r>
      <w:r>
        <w:rPr>
          <w:color w:val="auto"/>
          <w:sz w:val="24"/>
          <w:szCs w:val="24"/>
          <w:highlight w:val="none"/>
          <w:shd w:val="clear" w:color="auto" w:fill="auto"/>
        </w:rPr>
        <w:t>逆变器技术要求</w:t>
      </w:r>
      <w:bookmarkEnd w:id="38"/>
    </w:p>
    <w:p>
      <w:pPr>
        <w:spacing w:after="0" w:line="360" w:lineRule="auto"/>
        <w:ind w:firstLine="480"/>
        <w:rPr>
          <w:color w:val="auto"/>
          <w:highlight w:val="none"/>
          <w:shd w:val="clear" w:color="auto" w:fill="auto"/>
        </w:rPr>
      </w:pPr>
      <w:r>
        <w:rPr>
          <w:rFonts w:hint="eastAsia"/>
          <w:color w:val="auto"/>
          <w:highlight w:val="none"/>
          <w:shd w:val="clear" w:color="auto" w:fill="auto"/>
        </w:rPr>
        <w:t>并网逆变器的功率因数和电能质量应满足电网要求，各项性能指标满足《</w:t>
      </w:r>
      <w:r>
        <w:rPr>
          <w:color w:val="auto"/>
          <w:highlight w:val="none"/>
          <w:shd w:val="clear" w:color="auto" w:fill="auto"/>
        </w:rPr>
        <w:t>NB/T32004</w:t>
      </w:r>
      <w:r>
        <w:rPr>
          <w:rFonts w:hint="eastAsia"/>
          <w:color w:val="auto"/>
          <w:highlight w:val="none"/>
          <w:shd w:val="clear" w:color="auto" w:fill="auto"/>
        </w:rPr>
        <w:t>光伏发电并网逆变器技术规范》、《</w:t>
      </w:r>
      <w:r>
        <w:rPr>
          <w:color w:val="auto"/>
          <w:highlight w:val="none"/>
          <w:shd w:val="clear" w:color="auto" w:fill="auto"/>
        </w:rPr>
        <w:t>GB/T 29319</w:t>
      </w:r>
      <w:r>
        <w:rPr>
          <w:rFonts w:hint="eastAsia"/>
          <w:color w:val="auto"/>
          <w:highlight w:val="none"/>
          <w:shd w:val="clear" w:color="auto" w:fill="auto"/>
        </w:rPr>
        <w:t>光伏发电系统接入配电网技术规定》《光伏电站接入电网技术规定》、《国家电网公司光伏电站接入电网技术规定（试行）》、《</w:t>
      </w:r>
      <w:r>
        <w:rPr>
          <w:color w:val="auto"/>
          <w:highlight w:val="none"/>
          <w:shd w:val="clear" w:color="auto" w:fill="auto"/>
        </w:rPr>
        <w:t xml:space="preserve">IEC 62446 </w:t>
      </w:r>
      <w:r>
        <w:rPr>
          <w:rFonts w:hint="eastAsia"/>
          <w:color w:val="auto"/>
          <w:highlight w:val="none"/>
          <w:shd w:val="clear" w:color="auto" w:fill="auto"/>
        </w:rPr>
        <w:t>并网光伏发电系统文件、试运行测试和检查的基本要求》、《</w:t>
      </w:r>
      <w:r>
        <w:rPr>
          <w:color w:val="auto"/>
          <w:highlight w:val="none"/>
          <w:shd w:val="clear" w:color="auto" w:fill="auto"/>
        </w:rPr>
        <w:t>GB/T 18479</w:t>
      </w:r>
      <w:r>
        <w:rPr>
          <w:rFonts w:hint="eastAsia"/>
          <w:color w:val="auto"/>
          <w:highlight w:val="none"/>
          <w:shd w:val="clear" w:color="auto" w:fill="auto"/>
        </w:rPr>
        <w:t>：地面用光伏（</w:t>
      </w:r>
      <w:r>
        <w:rPr>
          <w:color w:val="auto"/>
          <w:highlight w:val="none"/>
          <w:shd w:val="clear" w:color="auto" w:fill="auto"/>
        </w:rPr>
        <w:t>PV</w:t>
      </w:r>
      <w:r>
        <w:rPr>
          <w:rFonts w:hint="eastAsia"/>
          <w:color w:val="auto"/>
          <w:highlight w:val="none"/>
          <w:shd w:val="clear" w:color="auto" w:fill="auto"/>
        </w:rPr>
        <w:t>）发电系统概述和导则》、《</w:t>
      </w:r>
      <w:r>
        <w:rPr>
          <w:color w:val="auto"/>
          <w:highlight w:val="none"/>
          <w:shd w:val="clear" w:color="auto" w:fill="auto"/>
        </w:rPr>
        <w:t xml:space="preserve">GB/T 19964 </w:t>
      </w:r>
      <w:r>
        <w:rPr>
          <w:rFonts w:hint="eastAsia"/>
          <w:color w:val="auto"/>
          <w:highlight w:val="none"/>
          <w:shd w:val="clear" w:color="auto" w:fill="auto"/>
        </w:rPr>
        <w:t>光伏发电站接入电力系统技术规定》、《</w:t>
      </w:r>
      <w:r>
        <w:rPr>
          <w:color w:val="auto"/>
          <w:highlight w:val="none"/>
          <w:shd w:val="clear" w:color="auto" w:fill="auto"/>
        </w:rPr>
        <w:t>GB/T 20046</w:t>
      </w:r>
      <w:r>
        <w:rPr>
          <w:rFonts w:hint="eastAsia"/>
          <w:color w:val="auto"/>
          <w:highlight w:val="none"/>
          <w:shd w:val="clear" w:color="auto" w:fill="auto"/>
        </w:rPr>
        <w:t>：光伏（</w:t>
      </w:r>
      <w:r>
        <w:rPr>
          <w:color w:val="auto"/>
          <w:highlight w:val="none"/>
          <w:shd w:val="clear" w:color="auto" w:fill="auto"/>
        </w:rPr>
        <w:t>PV</w:t>
      </w:r>
      <w:r>
        <w:rPr>
          <w:rFonts w:hint="eastAsia"/>
          <w:color w:val="auto"/>
          <w:highlight w:val="none"/>
          <w:shd w:val="clear" w:color="auto" w:fill="auto"/>
        </w:rPr>
        <w:t>）系统电网接口特性》、《</w:t>
      </w:r>
      <w:r>
        <w:rPr>
          <w:color w:val="auto"/>
          <w:highlight w:val="none"/>
          <w:shd w:val="clear" w:color="auto" w:fill="auto"/>
        </w:rPr>
        <w:t xml:space="preserve">IEC/TR 60755 </w:t>
      </w:r>
      <w:r>
        <w:rPr>
          <w:rFonts w:hint="eastAsia"/>
          <w:color w:val="auto"/>
          <w:highlight w:val="none"/>
          <w:shd w:val="clear" w:color="auto" w:fill="auto"/>
        </w:rPr>
        <w:t>保护装置剩余电流动作的一般要求》要求。</w:t>
      </w:r>
    </w:p>
    <w:p>
      <w:pPr>
        <w:pStyle w:val="20"/>
        <w:numPr>
          <w:ilvl w:val="0"/>
          <w:numId w:val="3"/>
        </w:numPr>
        <w:spacing w:after="0" w:line="360" w:lineRule="auto"/>
        <w:ind w:left="960" w:hanging="480"/>
        <w:rPr>
          <w:color w:val="auto"/>
          <w:highlight w:val="none"/>
          <w:shd w:val="clear" w:color="auto" w:fill="auto"/>
        </w:rPr>
      </w:pPr>
      <w:r>
        <w:rPr>
          <w:color w:val="auto"/>
          <w:highlight w:val="none"/>
          <w:shd w:val="clear" w:color="auto" w:fill="auto"/>
        </w:rPr>
        <w:t>逆变器效率</w:t>
      </w:r>
      <w:r>
        <w:rPr>
          <w:rFonts w:hint="eastAsia"/>
          <w:color w:val="auto"/>
          <w:highlight w:val="none"/>
          <w:shd w:val="clear" w:color="auto" w:fill="auto"/>
        </w:rPr>
        <w:t>(需出具第三方检测报告)</w:t>
      </w:r>
    </w:p>
    <w:p>
      <w:pPr>
        <w:pStyle w:val="20"/>
        <w:spacing w:after="0" w:line="360" w:lineRule="auto"/>
        <w:ind w:left="960" w:hanging="480"/>
        <w:rPr>
          <w:color w:val="auto"/>
          <w:highlight w:val="none"/>
          <w:shd w:val="clear" w:color="auto" w:fill="auto"/>
        </w:rPr>
      </w:pPr>
      <w:r>
        <w:rPr>
          <w:rFonts w:hint="eastAsia"/>
          <w:color w:val="auto"/>
          <w:highlight w:val="none"/>
          <w:shd w:val="clear" w:color="auto" w:fill="auto"/>
        </w:rPr>
        <w:t>最大</w:t>
      </w:r>
      <w:r>
        <w:rPr>
          <w:color w:val="auto"/>
          <w:highlight w:val="none"/>
          <w:shd w:val="clear" w:color="auto" w:fill="auto"/>
        </w:rPr>
        <w:t>效率：</w:t>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color w:val="auto"/>
          <w:highlight w:val="none"/>
          <w:shd w:val="clear" w:color="auto" w:fill="auto"/>
        </w:rPr>
        <w:t>&gt;9</w:t>
      </w:r>
      <w:r>
        <w:rPr>
          <w:rFonts w:hint="eastAsia"/>
          <w:color w:val="auto"/>
          <w:highlight w:val="none"/>
          <w:shd w:val="clear" w:color="auto" w:fill="auto"/>
        </w:rPr>
        <w:t>9</w:t>
      </w:r>
      <w:r>
        <w:rPr>
          <w:color w:val="auto"/>
          <w:highlight w:val="none"/>
          <w:shd w:val="clear" w:color="auto" w:fill="auto"/>
        </w:rPr>
        <w:t>%</w:t>
      </w:r>
    </w:p>
    <w:p>
      <w:pPr>
        <w:pStyle w:val="20"/>
        <w:spacing w:after="0" w:line="360" w:lineRule="auto"/>
        <w:ind w:left="960" w:hanging="480"/>
        <w:rPr>
          <w:color w:val="auto"/>
          <w:highlight w:val="none"/>
          <w:shd w:val="clear" w:color="auto" w:fill="auto"/>
        </w:rPr>
      </w:pPr>
      <w:r>
        <w:rPr>
          <w:rFonts w:hint="eastAsia"/>
          <w:color w:val="auto"/>
          <w:highlight w:val="none"/>
          <w:shd w:val="clear" w:color="auto" w:fill="auto"/>
        </w:rPr>
        <w:t>中国</w:t>
      </w:r>
      <w:r>
        <w:rPr>
          <w:color w:val="auto"/>
          <w:highlight w:val="none"/>
          <w:shd w:val="clear" w:color="auto" w:fill="auto"/>
        </w:rPr>
        <w:t>效率：</w:t>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color w:val="auto"/>
          <w:highlight w:val="none"/>
          <w:shd w:val="clear" w:color="auto" w:fill="auto"/>
        </w:rPr>
        <w:t>≥</w:t>
      </w:r>
      <w:r>
        <w:rPr>
          <w:rFonts w:hint="eastAsia"/>
          <w:color w:val="auto"/>
          <w:highlight w:val="none"/>
          <w:shd w:val="clear" w:color="auto" w:fill="auto"/>
        </w:rPr>
        <w:t>98.4</w:t>
      </w:r>
      <w:r>
        <w:rPr>
          <w:color w:val="auto"/>
          <w:highlight w:val="none"/>
          <w:shd w:val="clear" w:color="auto" w:fill="auto"/>
        </w:rPr>
        <w:t>%</w:t>
      </w:r>
    </w:p>
    <w:p>
      <w:pPr>
        <w:pStyle w:val="20"/>
        <w:spacing w:after="0" w:line="360" w:lineRule="auto"/>
        <w:ind w:left="960" w:hanging="480"/>
        <w:rPr>
          <w:color w:val="auto"/>
          <w:highlight w:val="none"/>
          <w:shd w:val="clear" w:color="auto" w:fill="auto"/>
        </w:rPr>
      </w:pPr>
      <w:r>
        <w:rPr>
          <w:color w:val="auto"/>
          <w:highlight w:val="none"/>
          <w:shd w:val="clear" w:color="auto" w:fill="auto"/>
        </w:rPr>
        <w:t>（2）逆变器输入参数</w:t>
      </w:r>
    </w:p>
    <w:p>
      <w:pPr>
        <w:pStyle w:val="20"/>
        <w:spacing w:after="0" w:line="360" w:lineRule="auto"/>
        <w:ind w:left="960" w:hanging="480"/>
        <w:rPr>
          <w:color w:val="auto"/>
          <w:highlight w:val="none"/>
          <w:shd w:val="clear" w:color="auto" w:fill="auto"/>
        </w:rPr>
      </w:pPr>
      <w:r>
        <w:rPr>
          <w:color w:val="auto"/>
          <w:highlight w:val="none"/>
          <w:shd w:val="clear" w:color="auto" w:fill="auto"/>
        </w:rPr>
        <w:t>最大输入电压：</w:t>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color w:val="auto"/>
          <w:highlight w:val="none"/>
          <w:shd w:val="clear" w:color="auto" w:fill="auto"/>
        </w:rPr>
        <w:t>≥DC</w:t>
      </w:r>
      <w:r>
        <w:rPr>
          <w:rFonts w:hint="eastAsia"/>
          <w:color w:val="auto"/>
          <w:highlight w:val="none"/>
          <w:shd w:val="clear" w:color="auto" w:fill="auto"/>
        </w:rPr>
        <w:t>15</w:t>
      </w:r>
      <w:r>
        <w:rPr>
          <w:color w:val="auto"/>
          <w:highlight w:val="none"/>
          <w:shd w:val="clear" w:color="auto" w:fill="auto"/>
        </w:rPr>
        <w:t>00V</w:t>
      </w:r>
    </w:p>
    <w:p>
      <w:pPr>
        <w:pStyle w:val="20"/>
        <w:spacing w:after="0" w:line="360" w:lineRule="auto"/>
        <w:ind w:left="960" w:hanging="480"/>
        <w:rPr>
          <w:color w:val="auto"/>
          <w:highlight w:val="none"/>
          <w:shd w:val="clear" w:color="auto" w:fill="auto"/>
        </w:rPr>
      </w:pPr>
      <w:r>
        <w:rPr>
          <w:color w:val="auto"/>
          <w:highlight w:val="none"/>
          <w:shd w:val="clear" w:color="auto" w:fill="auto"/>
        </w:rPr>
        <w:t>MPPT电压范围：</w:t>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50</w:t>
      </w:r>
      <w:r>
        <w:rPr>
          <w:color w:val="auto"/>
          <w:highlight w:val="none"/>
          <w:shd w:val="clear" w:color="auto" w:fill="auto"/>
        </w:rPr>
        <w:t>0</w:t>
      </w:r>
      <w:r>
        <w:rPr>
          <w:rFonts w:hint="eastAsia"/>
          <w:color w:val="auto"/>
          <w:highlight w:val="none"/>
          <w:shd w:val="clear" w:color="auto" w:fill="auto"/>
        </w:rPr>
        <w:t>~150</w:t>
      </w:r>
      <w:r>
        <w:rPr>
          <w:color w:val="auto"/>
          <w:highlight w:val="none"/>
          <w:shd w:val="clear" w:color="auto" w:fill="auto"/>
        </w:rPr>
        <w:t>0</w:t>
      </w:r>
      <w:r>
        <w:rPr>
          <w:rFonts w:hint="eastAsia"/>
          <w:color w:val="auto"/>
          <w:highlight w:val="none"/>
          <w:shd w:val="clear" w:color="auto" w:fill="auto"/>
        </w:rPr>
        <w:t>V</w:t>
      </w:r>
    </w:p>
    <w:p>
      <w:pPr>
        <w:pStyle w:val="20"/>
        <w:spacing w:after="0" w:line="360" w:lineRule="auto"/>
        <w:ind w:left="960" w:hanging="480"/>
        <w:rPr>
          <w:color w:val="auto"/>
          <w:highlight w:val="none"/>
          <w:shd w:val="clear" w:color="auto" w:fill="auto"/>
        </w:rPr>
      </w:pPr>
      <w:r>
        <w:rPr>
          <w:rFonts w:hint="eastAsia"/>
          <w:color w:val="auto"/>
          <w:highlight w:val="none"/>
          <w:shd w:val="clear" w:color="auto" w:fill="auto"/>
        </w:rPr>
        <w:t>MPPT数量：</w:t>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≥9</w:t>
      </w:r>
    </w:p>
    <w:p>
      <w:pPr>
        <w:pStyle w:val="20"/>
        <w:spacing w:after="0" w:line="360" w:lineRule="auto"/>
        <w:ind w:left="960" w:hanging="480"/>
        <w:rPr>
          <w:color w:val="auto"/>
          <w:highlight w:val="none"/>
          <w:shd w:val="clear" w:color="auto" w:fill="auto"/>
        </w:rPr>
      </w:pPr>
      <w:r>
        <w:rPr>
          <w:rFonts w:hint="eastAsia"/>
          <w:color w:val="auto"/>
          <w:highlight w:val="none"/>
          <w:shd w:val="clear" w:color="auto" w:fill="auto"/>
        </w:rPr>
        <w:t>最大输入路数：</w:t>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≥18</w:t>
      </w:r>
    </w:p>
    <w:p>
      <w:pPr>
        <w:pStyle w:val="20"/>
        <w:spacing w:after="0" w:line="360" w:lineRule="auto"/>
        <w:ind w:left="960" w:hanging="480"/>
        <w:rPr>
          <w:color w:val="auto"/>
          <w:highlight w:val="none"/>
          <w:shd w:val="clear" w:color="auto" w:fill="auto"/>
        </w:rPr>
      </w:pPr>
      <w:r>
        <w:rPr>
          <w:color w:val="auto"/>
          <w:highlight w:val="none"/>
          <w:shd w:val="clear" w:color="auto" w:fill="auto"/>
        </w:rPr>
        <w:t>（3）逆变器交流输出参数</w:t>
      </w:r>
    </w:p>
    <w:p>
      <w:pPr>
        <w:pStyle w:val="20"/>
        <w:spacing w:after="0" w:line="360" w:lineRule="auto"/>
        <w:ind w:left="960" w:hanging="480"/>
        <w:rPr>
          <w:color w:val="auto"/>
          <w:highlight w:val="none"/>
          <w:shd w:val="clear" w:color="auto" w:fill="auto"/>
        </w:rPr>
      </w:pPr>
      <w:r>
        <w:rPr>
          <w:color w:val="auto"/>
          <w:highlight w:val="none"/>
          <w:shd w:val="clear" w:color="auto" w:fill="auto"/>
        </w:rPr>
        <w:t>输出电压：</w:t>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800V（均需</w:t>
      </w:r>
      <w:r>
        <w:rPr>
          <w:color w:val="auto"/>
          <w:highlight w:val="none"/>
          <w:shd w:val="clear" w:color="auto" w:fill="auto"/>
        </w:rPr>
        <w:t>满足电网电压波动范围</w:t>
      </w:r>
      <w:r>
        <w:rPr>
          <w:rFonts w:hint="eastAsia"/>
          <w:color w:val="auto"/>
          <w:highlight w:val="none"/>
          <w:shd w:val="clear" w:color="auto" w:fill="auto"/>
        </w:rPr>
        <w:t>）</w:t>
      </w:r>
    </w:p>
    <w:p>
      <w:pPr>
        <w:pStyle w:val="20"/>
        <w:spacing w:after="0" w:line="360" w:lineRule="auto"/>
        <w:ind w:left="960" w:hanging="480"/>
        <w:rPr>
          <w:color w:val="auto"/>
          <w:highlight w:val="none"/>
          <w:shd w:val="clear" w:color="auto" w:fill="auto"/>
        </w:rPr>
      </w:pPr>
      <w:r>
        <w:rPr>
          <w:color w:val="auto"/>
          <w:highlight w:val="none"/>
          <w:shd w:val="clear" w:color="auto" w:fill="auto"/>
        </w:rPr>
        <w:t>频率：</w:t>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color w:val="auto"/>
          <w:highlight w:val="none"/>
          <w:shd w:val="clear" w:color="auto" w:fill="auto"/>
        </w:rPr>
        <w:t xml:space="preserve">50Hz±2% </w:t>
      </w:r>
    </w:p>
    <w:p>
      <w:pPr>
        <w:pStyle w:val="20"/>
        <w:spacing w:after="0" w:line="360" w:lineRule="auto"/>
        <w:ind w:left="960" w:hanging="480"/>
        <w:rPr>
          <w:color w:val="auto"/>
          <w:highlight w:val="none"/>
          <w:shd w:val="clear" w:color="auto" w:fill="auto"/>
        </w:rPr>
      </w:pPr>
      <w:r>
        <w:rPr>
          <w:color w:val="auto"/>
          <w:highlight w:val="none"/>
          <w:shd w:val="clear" w:color="auto" w:fill="auto"/>
        </w:rPr>
        <w:t>功率因数：</w:t>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0.8超前~0.8滞后</w:t>
      </w:r>
    </w:p>
    <w:p>
      <w:pPr>
        <w:pStyle w:val="20"/>
        <w:spacing w:after="0" w:line="360" w:lineRule="auto"/>
        <w:ind w:left="960" w:hanging="480"/>
        <w:rPr>
          <w:color w:val="auto"/>
          <w:highlight w:val="none"/>
          <w:shd w:val="clear" w:color="auto" w:fill="auto"/>
        </w:rPr>
      </w:pPr>
      <w:r>
        <w:rPr>
          <w:rFonts w:hint="eastAsia"/>
          <w:color w:val="auto"/>
          <w:highlight w:val="none"/>
          <w:shd w:val="clear" w:color="auto" w:fill="auto"/>
        </w:rPr>
        <w:t>最大总谐波失真</w:t>
      </w:r>
      <w:r>
        <w:rPr>
          <w:color w:val="auto"/>
          <w:highlight w:val="none"/>
          <w:shd w:val="clear" w:color="auto" w:fill="auto"/>
        </w:rPr>
        <w:t>：</w:t>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color w:val="auto"/>
          <w:highlight w:val="none"/>
          <w:shd w:val="clear" w:color="auto" w:fill="auto"/>
        </w:rPr>
        <w:t>&lt;3%</w:t>
      </w:r>
    </w:p>
    <w:p>
      <w:pPr>
        <w:pStyle w:val="20"/>
        <w:spacing w:after="0" w:line="360" w:lineRule="auto"/>
        <w:ind w:left="960" w:hanging="480"/>
        <w:rPr>
          <w:color w:val="auto"/>
          <w:highlight w:val="none"/>
          <w:shd w:val="clear" w:color="auto" w:fill="auto"/>
        </w:rPr>
      </w:pPr>
      <w:r>
        <w:rPr>
          <w:color w:val="auto"/>
          <w:highlight w:val="none"/>
          <w:shd w:val="clear" w:color="auto" w:fill="auto"/>
        </w:rPr>
        <w:t>（4）</w:t>
      </w:r>
      <w:r>
        <w:rPr>
          <w:rFonts w:hint="eastAsia"/>
          <w:color w:val="auto"/>
          <w:highlight w:val="none"/>
          <w:shd w:val="clear" w:color="auto" w:fill="auto"/>
        </w:rPr>
        <w:t>保护：</w:t>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防孤岛保护、过流保护、组串检测、低电压穿越、反接保护、交流浪涌保护、绝缘阻抗检测</w:t>
      </w:r>
    </w:p>
    <w:p>
      <w:pPr>
        <w:pStyle w:val="20"/>
        <w:spacing w:after="0" w:line="360" w:lineRule="auto"/>
        <w:ind w:left="960" w:hanging="480"/>
        <w:rPr>
          <w:color w:val="auto"/>
          <w:highlight w:val="none"/>
          <w:shd w:val="clear" w:color="auto" w:fill="auto"/>
        </w:rPr>
      </w:pPr>
      <w:r>
        <w:rPr>
          <w:rFonts w:hint="eastAsia"/>
          <w:color w:val="auto"/>
          <w:highlight w:val="none"/>
          <w:shd w:val="clear" w:color="auto" w:fill="auto"/>
        </w:rPr>
        <w:t>（5）通讯方式：</w:t>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RS485/PLC</w:t>
      </w:r>
    </w:p>
    <w:p>
      <w:pPr>
        <w:pStyle w:val="20"/>
        <w:spacing w:after="0" w:line="360" w:lineRule="auto"/>
        <w:ind w:left="960" w:hanging="480"/>
        <w:rPr>
          <w:color w:val="auto"/>
          <w:highlight w:val="none"/>
          <w:shd w:val="clear" w:color="auto" w:fill="auto"/>
        </w:rPr>
      </w:pPr>
      <w:r>
        <w:rPr>
          <w:rFonts w:hint="eastAsia"/>
          <w:color w:val="auto"/>
          <w:highlight w:val="none"/>
          <w:shd w:val="clear" w:color="auto" w:fill="auto"/>
        </w:rPr>
        <w:t>（6）防护等级：</w:t>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ab/>
      </w:r>
      <w:r>
        <w:rPr>
          <w:rFonts w:hint="eastAsia"/>
          <w:color w:val="auto"/>
          <w:highlight w:val="none"/>
          <w:shd w:val="clear" w:color="auto" w:fill="auto"/>
        </w:rPr>
        <w:t>IP6</w:t>
      </w:r>
      <w:r>
        <w:rPr>
          <w:color w:val="auto"/>
          <w:highlight w:val="none"/>
          <w:shd w:val="clear" w:color="auto" w:fill="auto"/>
        </w:rPr>
        <w:t>6</w:t>
      </w:r>
    </w:p>
    <w:p>
      <w:pPr>
        <w:pStyle w:val="20"/>
        <w:spacing w:after="0" w:line="360" w:lineRule="auto"/>
        <w:ind w:left="960" w:hanging="480"/>
        <w:rPr>
          <w:color w:val="auto"/>
          <w:highlight w:val="none"/>
          <w:shd w:val="clear" w:color="auto" w:fill="auto"/>
        </w:rPr>
      </w:pPr>
      <w:r>
        <w:rPr>
          <w:color w:val="auto"/>
          <w:highlight w:val="none"/>
          <w:shd w:val="clear" w:color="auto" w:fill="auto"/>
        </w:rPr>
        <w:t>（</w:t>
      </w:r>
      <w:r>
        <w:rPr>
          <w:rFonts w:hint="eastAsia"/>
          <w:color w:val="auto"/>
          <w:highlight w:val="none"/>
          <w:shd w:val="clear" w:color="auto" w:fill="auto"/>
        </w:rPr>
        <w:t>7</w:t>
      </w:r>
      <w:r>
        <w:rPr>
          <w:color w:val="auto"/>
          <w:highlight w:val="none"/>
          <w:shd w:val="clear" w:color="auto" w:fill="auto"/>
        </w:rPr>
        <w:t>）平均无故障时间：</w:t>
      </w:r>
      <w:r>
        <w:rPr>
          <w:rFonts w:hint="eastAsia"/>
          <w:color w:val="auto"/>
          <w:highlight w:val="none"/>
          <w:shd w:val="clear" w:color="auto" w:fill="auto"/>
        </w:rPr>
        <w:tab/>
      </w:r>
      <w:r>
        <w:rPr>
          <w:rFonts w:hint="eastAsia"/>
          <w:color w:val="auto"/>
          <w:highlight w:val="none"/>
          <w:shd w:val="clear" w:color="auto" w:fill="auto"/>
        </w:rPr>
        <w:tab/>
      </w:r>
      <w:r>
        <w:rPr>
          <w:color w:val="auto"/>
          <w:highlight w:val="none"/>
          <w:shd w:val="clear" w:color="auto" w:fill="auto"/>
        </w:rPr>
        <w:t>≥10年</w:t>
      </w:r>
    </w:p>
    <w:p>
      <w:pPr>
        <w:pStyle w:val="20"/>
        <w:spacing w:after="0" w:line="360" w:lineRule="auto"/>
        <w:ind w:left="0" w:leftChars="0" w:firstLine="360" w:firstLineChars="150"/>
        <w:rPr>
          <w:color w:val="auto"/>
          <w:highlight w:val="none"/>
          <w:shd w:val="clear" w:color="auto" w:fill="auto"/>
        </w:rPr>
      </w:pPr>
      <w:r>
        <w:rPr>
          <w:color w:val="auto"/>
          <w:highlight w:val="none"/>
          <w:shd w:val="clear" w:color="auto" w:fill="auto"/>
        </w:rPr>
        <w:t>（</w:t>
      </w:r>
      <w:r>
        <w:rPr>
          <w:rFonts w:hint="eastAsia"/>
          <w:color w:val="auto"/>
          <w:highlight w:val="none"/>
          <w:shd w:val="clear" w:color="auto" w:fill="auto"/>
        </w:rPr>
        <w:t>8</w:t>
      </w:r>
      <w:r>
        <w:rPr>
          <w:color w:val="auto"/>
          <w:highlight w:val="none"/>
          <w:shd w:val="clear" w:color="auto" w:fill="auto"/>
        </w:rPr>
        <w:t>）使用寿命：25年安全可靠运行</w:t>
      </w:r>
      <w:r>
        <w:rPr>
          <w:rFonts w:hint="eastAsia"/>
          <w:color w:val="auto"/>
          <w:highlight w:val="none"/>
          <w:shd w:val="clear" w:color="auto" w:fill="auto"/>
        </w:rPr>
        <w:t>。其中，主要部件（如</w:t>
      </w:r>
      <w:r>
        <w:rPr>
          <w:color w:val="auto"/>
          <w:highlight w:val="none"/>
          <w:shd w:val="clear" w:color="auto" w:fill="auto"/>
        </w:rPr>
        <w:t>IGBT</w:t>
      </w:r>
      <w:r>
        <w:rPr>
          <w:rFonts w:hint="eastAsia"/>
          <w:color w:val="auto"/>
          <w:highlight w:val="none"/>
          <w:shd w:val="clear" w:color="auto" w:fill="auto"/>
        </w:rPr>
        <w:t>或其它功率开关元件，电感、电容，控制电路板等）在设计寿命期间不应更换，如因设计、制造、材料原因使上述主要部件在设计寿命期内必须更换，</w:t>
      </w:r>
      <w:r>
        <w:rPr>
          <w:color w:val="auto"/>
          <w:highlight w:val="none"/>
          <w:shd w:val="clear" w:color="auto" w:fill="auto"/>
        </w:rPr>
        <w:t>投标人</w:t>
      </w:r>
      <w:r>
        <w:rPr>
          <w:rFonts w:hint="eastAsia"/>
          <w:color w:val="auto"/>
          <w:highlight w:val="none"/>
          <w:shd w:val="clear" w:color="auto" w:fill="auto"/>
        </w:rPr>
        <w:t>必须承担全部费用，并赔偿</w:t>
      </w:r>
      <w:r>
        <w:rPr>
          <w:color w:val="auto"/>
          <w:highlight w:val="none"/>
          <w:shd w:val="clear" w:color="auto" w:fill="auto"/>
        </w:rPr>
        <w:t>发标人</w:t>
      </w:r>
      <w:r>
        <w:rPr>
          <w:rFonts w:hint="eastAsia"/>
          <w:color w:val="auto"/>
          <w:highlight w:val="none"/>
          <w:shd w:val="clear" w:color="auto" w:fill="auto"/>
        </w:rPr>
        <w:t>损失。产品的任何偏差或改进必须说明，并附有批准机构的证明文件。</w:t>
      </w:r>
    </w:p>
    <w:p>
      <w:pPr>
        <w:pStyle w:val="20"/>
        <w:spacing w:after="0" w:line="360" w:lineRule="auto"/>
        <w:ind w:left="960" w:hanging="480"/>
        <w:rPr>
          <w:color w:val="auto"/>
          <w:highlight w:val="none"/>
          <w:shd w:val="clear" w:color="auto" w:fill="auto"/>
        </w:rPr>
      </w:pPr>
      <w:r>
        <w:rPr>
          <w:rFonts w:hint="eastAsia"/>
          <w:color w:val="auto"/>
          <w:highlight w:val="none"/>
          <w:shd w:val="clear" w:color="auto" w:fill="auto"/>
        </w:rPr>
        <w:t xml:space="preserve"> (9) 质保年限不低于5年</w:t>
      </w:r>
    </w:p>
    <w:p>
      <w:pPr>
        <w:snapToGrid w:val="0"/>
        <w:spacing w:after="0" w:line="360" w:lineRule="auto"/>
        <w:ind w:firstLine="420"/>
        <w:rPr>
          <w:rFonts w:ascii="宋体" w:hAnsi="宋体"/>
          <w:color w:val="auto"/>
          <w:highlight w:val="none"/>
          <w:shd w:val="clear" w:color="auto" w:fill="auto"/>
        </w:rPr>
      </w:pPr>
      <w:r>
        <w:rPr>
          <w:rFonts w:hint="eastAsia"/>
          <w:color w:val="auto"/>
          <w:highlight w:val="none"/>
          <w:shd w:val="clear" w:color="auto" w:fill="auto"/>
        </w:rPr>
        <w:t xml:space="preserve"> (10)</w:t>
      </w:r>
      <w:r>
        <w:rPr>
          <w:rFonts w:hint="eastAsia" w:ascii="宋体" w:hAnsi="宋体"/>
          <w:color w:val="auto"/>
          <w:highlight w:val="none"/>
          <w:shd w:val="clear" w:color="auto" w:fill="auto"/>
        </w:rPr>
        <w:t>投标人应明确提供设备选用的主要器件清单。</w:t>
      </w:r>
      <w:r>
        <w:rPr>
          <w:rFonts w:ascii="宋体" w:hAnsi="宋体"/>
          <w:color w:val="auto"/>
          <w:highlight w:val="none"/>
          <w:shd w:val="clear" w:color="auto" w:fill="auto"/>
        </w:rPr>
        <w:t>IGBT</w:t>
      </w:r>
      <w:r>
        <w:rPr>
          <w:rFonts w:hint="eastAsia" w:ascii="宋体" w:hAnsi="宋体"/>
          <w:color w:val="auto"/>
          <w:highlight w:val="none"/>
          <w:shd w:val="clear" w:color="auto" w:fill="auto"/>
        </w:rPr>
        <w:t>选用英飞凌或相当于的品牌，并且使用压接工艺安装功率模块。电容必须选用进口金属膜电容，断路器、接触器选用ABB、施耐德、西门子或相当于的品牌，风机选用进口品牌。为了实现自主可控，保障供应安全，核心器件国产化。如逆变器关键器件CPLD芯片和电力载波芯片，核心器件如IGBT、MOS管、可实现国产化替代。</w:t>
      </w:r>
    </w:p>
    <w:p>
      <w:pPr>
        <w:spacing w:after="0" w:line="360" w:lineRule="auto"/>
        <w:ind w:firstLine="480"/>
        <w:rPr>
          <w:color w:val="auto"/>
          <w:highlight w:val="none"/>
          <w:shd w:val="clear" w:color="auto" w:fill="auto"/>
        </w:rPr>
      </w:pPr>
      <w:r>
        <w:rPr>
          <w:rFonts w:hint="eastAsia"/>
          <w:color w:val="auto"/>
          <w:highlight w:val="none"/>
          <w:shd w:val="clear" w:color="auto" w:fill="auto"/>
        </w:rPr>
        <w:t>(11)</w:t>
      </w:r>
      <w:r>
        <w:rPr>
          <w:color w:val="auto"/>
          <w:highlight w:val="none"/>
          <w:shd w:val="clear" w:color="auto" w:fill="auto"/>
        </w:rPr>
        <w:t>防雷能力</w:t>
      </w:r>
      <w:r>
        <w:rPr>
          <w:rFonts w:hint="eastAsia"/>
          <w:color w:val="auto"/>
          <w:highlight w:val="none"/>
          <w:shd w:val="clear" w:color="auto" w:fill="auto"/>
        </w:rPr>
        <w:t>：</w:t>
      </w:r>
      <w:r>
        <w:rPr>
          <w:color w:val="auto"/>
          <w:highlight w:val="none"/>
          <w:shd w:val="clear" w:color="auto" w:fill="auto"/>
        </w:rPr>
        <w:t>逆变器应具有防雷装置，具备雷击防护告警功能（标称放电电流大于40kA，残压小于1kV）；防浪涌能力，能承受模拟雷击电压波形10/</w:t>
      </w:r>
      <w:r>
        <w:rPr>
          <w:rFonts w:hint="eastAsia"/>
          <w:color w:val="auto"/>
          <w:highlight w:val="none"/>
          <w:shd w:val="clear" w:color="auto" w:fill="auto"/>
        </w:rPr>
        <w:t>700</w:t>
      </w:r>
      <w:r>
        <w:rPr>
          <w:color w:val="auto"/>
          <w:highlight w:val="none"/>
          <w:shd w:val="clear" w:color="auto" w:fill="auto"/>
        </w:rPr>
        <w:t>us，幅值为5kV的冲击5次，模拟雷击电流波形8/20µs，幅值为20kA的冲击5次，每闪冲击间隔为1min，设备仍能够正常工作。</w:t>
      </w:r>
    </w:p>
    <w:p>
      <w:pPr>
        <w:pStyle w:val="81"/>
        <w:rPr>
          <w:color w:val="auto"/>
          <w:highlight w:val="none"/>
          <w:shd w:val="clear" w:color="auto" w:fill="auto"/>
        </w:rPr>
      </w:pPr>
      <w:r>
        <w:rPr>
          <w:rFonts w:hint="eastAsia"/>
          <w:color w:val="auto"/>
          <w:highlight w:val="none"/>
          <w:shd w:val="clear" w:color="auto" w:fill="auto"/>
        </w:rPr>
        <w:t>(12)</w:t>
      </w:r>
      <w:r>
        <w:rPr>
          <w:color w:val="auto"/>
          <w:highlight w:val="none"/>
          <w:shd w:val="clear" w:color="auto" w:fill="auto"/>
        </w:rPr>
        <w:t>逆变器需开放通讯协议，配合监控系统能将逆变器状态参数(如当前发电功率、日发电量、累计发电量、设备状态、电流、电压、逆变器机内温度、频率、故障信息、保护动作信息等数据信号)及故障型号传至计算机监控系统。并能保证实现监控系统可以远方控制逆变器启停，可以远方调整逆变器功率的功能。</w:t>
      </w:r>
    </w:p>
    <w:p>
      <w:pPr>
        <w:pStyle w:val="81"/>
        <w:rPr>
          <w:color w:val="auto"/>
          <w:highlight w:val="none"/>
          <w:shd w:val="clear" w:color="auto" w:fill="auto"/>
        </w:rPr>
      </w:pPr>
      <w:r>
        <w:rPr>
          <w:rFonts w:hint="eastAsia"/>
          <w:color w:val="auto"/>
          <w:highlight w:val="none"/>
          <w:shd w:val="clear" w:color="auto" w:fill="auto"/>
        </w:rPr>
        <w:t>并同时提供RS485通讯接口和PLC电力载波通讯接口及通讯附件端口：</w:t>
      </w:r>
    </w:p>
    <w:p>
      <w:pPr>
        <w:pStyle w:val="81"/>
        <w:ind w:firstLine="482"/>
        <w:rPr>
          <w:rFonts w:ascii="宋体" w:hAnsi="宋体"/>
          <w:color w:val="auto"/>
          <w:highlight w:val="none"/>
          <w:shd w:val="clear" w:color="auto" w:fill="auto"/>
        </w:rPr>
      </w:pPr>
      <w:r>
        <w:rPr>
          <w:rFonts w:hint="eastAsia" w:cs="仿宋"/>
          <w:b/>
          <w:bCs/>
          <w:color w:val="auto"/>
          <w:szCs w:val="21"/>
          <w:highlight w:val="none"/>
          <w:shd w:val="clear" w:color="auto" w:fill="auto"/>
        </w:rPr>
        <w:t>■</w:t>
      </w:r>
      <w:r>
        <w:rPr>
          <w:rFonts w:hint="eastAsia" w:ascii="宋体" w:hAnsi="宋体"/>
          <w:color w:val="auto"/>
          <w:highlight w:val="none"/>
          <w:shd w:val="clear" w:color="auto" w:fill="auto"/>
        </w:rPr>
        <w:t>PLC电力载波通讯，采用国产自研芯片，工作频率范围 2MHz～12MHz，支持子频段使用；物理层峰值速率 6Mbit/s，应用层峰值速率 2Mbit/s，为电网调度信息提供高速、可靠性的传输通道，快速响应电网AGC/AVC的要求；有成功应用案例，并有应用业绩证明。</w:t>
      </w:r>
    </w:p>
    <w:p>
      <w:pPr>
        <w:pStyle w:val="81"/>
        <w:rPr>
          <w:color w:val="auto"/>
          <w:highlight w:val="none"/>
          <w:shd w:val="clear" w:color="auto" w:fill="auto"/>
        </w:rPr>
      </w:pPr>
      <w:r>
        <w:rPr>
          <w:rFonts w:hint="eastAsia"/>
          <w:color w:val="auto"/>
          <w:highlight w:val="none"/>
          <w:shd w:val="clear" w:color="auto" w:fill="auto"/>
        </w:rPr>
        <w:t>标准的RS485</w:t>
      </w:r>
      <w:r>
        <w:rPr>
          <w:color w:val="auto"/>
          <w:highlight w:val="none"/>
          <w:shd w:val="clear" w:color="auto" w:fill="auto"/>
        </w:rPr>
        <w:t>/PLC</w:t>
      </w:r>
      <w:r>
        <w:rPr>
          <w:rFonts w:hint="eastAsia"/>
          <w:color w:val="auto"/>
          <w:highlight w:val="none"/>
          <w:shd w:val="clear" w:color="auto" w:fill="auto"/>
        </w:rPr>
        <w:t>通讯接口用于与电站监控设备相连接建立通讯，通过通讯线缆将监控数据上传至监控后台；</w:t>
      </w:r>
    </w:p>
    <w:p>
      <w:pPr>
        <w:pStyle w:val="81"/>
        <w:rPr>
          <w:color w:val="auto"/>
          <w:highlight w:val="none"/>
          <w:shd w:val="clear" w:color="auto" w:fill="auto"/>
        </w:rPr>
      </w:pPr>
      <w:r>
        <w:rPr>
          <w:rFonts w:hint="eastAsia"/>
          <w:color w:val="auto"/>
          <w:highlight w:val="none"/>
          <w:shd w:val="clear" w:color="auto" w:fill="auto"/>
        </w:rPr>
        <w:t>通讯附件端口用于接入通讯模块，通过光纤等通讯方式将监控数据上传至监控后台。</w:t>
      </w:r>
    </w:p>
    <w:p>
      <w:pPr>
        <w:pStyle w:val="81"/>
        <w:rPr>
          <w:color w:val="auto"/>
          <w:highlight w:val="none"/>
          <w:shd w:val="clear" w:color="auto" w:fill="auto"/>
        </w:rPr>
      </w:pPr>
      <w:r>
        <w:rPr>
          <w:rFonts w:hint="eastAsia"/>
          <w:color w:val="auto"/>
          <w:highlight w:val="none"/>
          <w:shd w:val="clear" w:color="auto" w:fill="auto"/>
        </w:rPr>
        <w:t>逆变器通过以上两种通讯接口与通讯设备成功建立通讯后，可通过智慧能源管理平台查看逆变器的相关信息或设置逆变器的运行、保护等参数。</w:t>
      </w:r>
    </w:p>
    <w:p>
      <w:pPr>
        <w:pStyle w:val="81"/>
        <w:ind w:firstLine="482"/>
        <w:rPr>
          <w:color w:val="auto"/>
          <w:highlight w:val="none"/>
          <w:shd w:val="clear" w:color="auto" w:fill="auto"/>
        </w:rPr>
      </w:pPr>
      <w:r>
        <w:rPr>
          <w:rFonts w:hint="eastAsia" w:cs="仿宋"/>
          <w:b/>
          <w:bCs/>
          <w:color w:val="auto"/>
          <w:szCs w:val="21"/>
          <w:highlight w:val="none"/>
          <w:shd w:val="clear" w:color="auto" w:fill="auto"/>
        </w:rPr>
        <w:t>■</w:t>
      </w:r>
      <w:r>
        <w:rPr>
          <w:color w:val="auto"/>
          <w:highlight w:val="none"/>
          <w:shd w:val="clear" w:color="auto" w:fill="auto"/>
        </w:rPr>
        <w:t>(13)</w:t>
      </w:r>
      <w:r>
        <w:rPr>
          <w:rFonts w:hint="eastAsia"/>
          <w:color w:val="auto"/>
          <w:highlight w:val="none"/>
          <w:shd w:val="clear" w:color="auto" w:fill="auto"/>
        </w:rPr>
        <w:t>光伏电站并网运行时，除不可抗拒因素外，并网逆变器作为唯一的功率干扰源，不得对本机和符合相关EMC要求的通信设备的正常通信构成干扰。大于等于1</w:t>
      </w:r>
      <w:r>
        <w:rPr>
          <w:color w:val="auto"/>
          <w:highlight w:val="none"/>
          <w:shd w:val="clear" w:color="auto" w:fill="auto"/>
        </w:rPr>
        <w:t>96KW</w:t>
      </w:r>
      <w:r>
        <w:rPr>
          <w:rFonts w:hint="eastAsia"/>
          <w:color w:val="auto"/>
          <w:highlight w:val="none"/>
          <w:shd w:val="clear" w:color="auto" w:fill="auto"/>
        </w:rPr>
        <w:t>逆变器EMC必须满足Class A要求。并且提供权威认证机构出具的认证报告。</w:t>
      </w:r>
    </w:p>
    <w:p>
      <w:pPr>
        <w:pStyle w:val="81"/>
        <w:ind w:firstLine="482"/>
        <w:rPr>
          <w:color w:val="auto"/>
          <w:highlight w:val="none"/>
          <w:shd w:val="clear" w:color="auto" w:fill="auto"/>
        </w:rPr>
      </w:pPr>
      <w:r>
        <w:rPr>
          <w:rFonts w:hint="eastAsia" w:cs="仿宋"/>
          <w:b/>
          <w:bCs/>
          <w:color w:val="auto"/>
          <w:szCs w:val="21"/>
          <w:highlight w:val="none"/>
          <w:shd w:val="clear" w:color="auto" w:fill="auto"/>
        </w:rPr>
        <w:t>■</w:t>
      </w:r>
      <w:r>
        <w:rPr>
          <w:color w:val="auto"/>
          <w:highlight w:val="none"/>
          <w:shd w:val="clear" w:color="auto" w:fill="auto"/>
        </w:rPr>
        <w:t>(14)</w:t>
      </w:r>
      <w:r>
        <w:rPr>
          <w:rFonts w:hint="eastAsia"/>
          <w:color w:val="auto"/>
          <w:highlight w:val="none"/>
          <w:shd w:val="clear" w:color="auto" w:fill="auto"/>
        </w:rPr>
        <w:t>逆变器应支持智能 IV 诊断功能，电压检测精度不低于 0.5%，异常组串重现率、判断准确率不低于 90%，等级不低于L4，须提供权威第三方认证机构（如CGC）出具的相关标准认证报告（如CGC/GF 180:2020），并提供智能 IV 功能应用业绩及应用证明。</w:t>
      </w:r>
    </w:p>
    <w:p>
      <w:pPr>
        <w:pStyle w:val="81"/>
        <w:ind w:firstLine="482"/>
        <w:rPr>
          <w:color w:val="auto"/>
          <w:highlight w:val="none"/>
          <w:shd w:val="clear" w:color="auto" w:fill="auto"/>
        </w:rPr>
      </w:pPr>
      <w:r>
        <w:rPr>
          <w:rFonts w:hint="eastAsia" w:cs="仿宋"/>
          <w:b/>
          <w:bCs/>
          <w:color w:val="auto"/>
          <w:szCs w:val="21"/>
          <w:highlight w:val="none"/>
          <w:shd w:val="clear" w:color="auto" w:fill="auto"/>
        </w:rPr>
        <w:t>■</w:t>
      </w:r>
      <w:r>
        <w:rPr>
          <w:color w:val="auto"/>
          <w:highlight w:val="none"/>
          <w:shd w:val="clear" w:color="auto" w:fill="auto"/>
        </w:rPr>
        <w:t>(15)</w:t>
      </w:r>
      <w:r>
        <w:rPr>
          <w:rFonts w:hint="eastAsia"/>
          <w:color w:val="auto"/>
          <w:highlight w:val="none"/>
          <w:shd w:val="clear" w:color="auto" w:fill="auto"/>
        </w:rPr>
        <w:t>电能质量：大于等于1</w:t>
      </w:r>
      <w:r>
        <w:rPr>
          <w:color w:val="auto"/>
          <w:highlight w:val="none"/>
          <w:shd w:val="clear" w:color="auto" w:fill="auto"/>
        </w:rPr>
        <w:t>96KW</w:t>
      </w:r>
      <w:r>
        <w:rPr>
          <w:rFonts w:hint="eastAsia"/>
          <w:color w:val="auto"/>
          <w:highlight w:val="none"/>
          <w:shd w:val="clear" w:color="auto" w:fill="auto"/>
        </w:rPr>
        <w:t>逆变器100%，50%，30%负载情况下三相谐波(THD)＜1%，直流分量小于0.12%，且有认证报告证明。</w:t>
      </w:r>
    </w:p>
    <w:p>
      <w:pPr>
        <w:pStyle w:val="83"/>
        <w:numPr>
          <w:ilvl w:val="0"/>
          <w:numId w:val="4"/>
        </w:numPr>
        <w:spacing w:before="0" w:beforeAutospacing="0" w:after="0" w:afterAutospacing="0" w:line="360" w:lineRule="auto"/>
        <w:ind w:left="0" w:leftChars="0"/>
        <w:rPr>
          <w:color w:val="auto"/>
          <w:highlight w:val="none"/>
          <w:shd w:val="clear" w:color="auto" w:fill="auto"/>
        </w:rPr>
      </w:pPr>
      <w:r>
        <w:rPr>
          <w:rFonts w:hint="eastAsia"/>
          <w:color w:val="auto"/>
          <w:sz w:val="24"/>
          <w:szCs w:val="24"/>
          <w:highlight w:val="none"/>
          <w:shd w:val="clear" w:color="auto" w:fill="auto"/>
        </w:rPr>
        <w:t>SCR值：大于等于196KW逆变器具备低SCR稳定运行能力，支持SCR≥1.2稳定运行，且有中国电科院测试报告证明；当电网SCR≥1.2，可完成低电压故障穿越且动态无功电流响应时间≤60ms，且相关报告证明。</w:t>
      </w:r>
    </w:p>
    <w:p>
      <w:pPr>
        <w:numPr>
          <w:ilvl w:val="0"/>
          <w:numId w:val="4"/>
        </w:numPr>
        <w:spacing w:after="0" w:line="360" w:lineRule="auto"/>
        <w:rPr>
          <w:color w:val="auto"/>
          <w:highlight w:val="none"/>
          <w:shd w:val="clear" w:color="auto" w:fill="auto"/>
        </w:rPr>
      </w:pPr>
      <w:r>
        <w:rPr>
          <w:rFonts w:hint="eastAsia" w:cs="仿宋"/>
          <w:b/>
          <w:bCs/>
          <w:color w:val="auto"/>
          <w:szCs w:val="21"/>
          <w:highlight w:val="none"/>
          <w:shd w:val="clear" w:color="auto" w:fill="auto"/>
        </w:rPr>
        <w:t>■</w:t>
      </w:r>
      <w:r>
        <w:rPr>
          <w:rFonts w:hint="eastAsia"/>
          <w:color w:val="auto"/>
          <w:highlight w:val="none"/>
          <w:shd w:val="clear" w:color="auto" w:fill="auto"/>
        </w:rPr>
        <w:t>需提供设备厂家针对本项目的授权及承诺函。</w:t>
      </w:r>
    </w:p>
    <w:p>
      <w:pPr>
        <w:spacing w:after="0" w:line="360" w:lineRule="auto"/>
        <w:rPr>
          <w:color w:val="auto"/>
          <w:highlight w:val="none"/>
          <w:shd w:val="clear" w:color="auto" w:fill="auto"/>
        </w:rPr>
      </w:pPr>
    </w:p>
    <w:p>
      <w:pPr>
        <w:pStyle w:val="2"/>
        <w:spacing w:before="0" w:line="360" w:lineRule="auto"/>
        <w:jc w:val="left"/>
        <w:rPr>
          <w:rFonts w:ascii="仿宋" w:eastAsia="仿宋" w:cs="Arial"/>
          <w:color w:val="auto"/>
          <w:sz w:val="24"/>
          <w:szCs w:val="24"/>
          <w:highlight w:val="none"/>
          <w:shd w:val="clear" w:color="auto" w:fill="auto"/>
        </w:rPr>
      </w:pPr>
      <w:r>
        <w:rPr>
          <w:rFonts w:hint="eastAsia" w:ascii="仿宋" w:eastAsia="仿宋" w:cs="Arial"/>
          <w:color w:val="auto"/>
          <w:sz w:val="24"/>
          <w:szCs w:val="24"/>
          <w:highlight w:val="none"/>
          <w:shd w:val="clear" w:color="auto" w:fill="auto"/>
        </w:rPr>
        <w:t>4.3.变压器</w:t>
      </w:r>
    </w:p>
    <w:p>
      <w:pPr>
        <w:spacing w:after="0" w:line="360" w:lineRule="auto"/>
        <w:outlineLvl w:val="1"/>
        <w:rPr>
          <w:b/>
          <w:bCs/>
          <w:color w:val="auto"/>
          <w:highlight w:val="none"/>
          <w:shd w:val="clear" w:color="auto" w:fill="auto"/>
        </w:rPr>
      </w:pPr>
      <w:r>
        <w:rPr>
          <w:rFonts w:hint="eastAsia"/>
          <w:b/>
          <w:bCs/>
          <w:color w:val="auto"/>
          <w:spacing w:val="-10"/>
          <w:highlight w:val="none"/>
          <w:shd w:val="clear" w:color="auto" w:fill="auto"/>
        </w:rPr>
        <w:t>4.3.1采用标准，</w:t>
      </w:r>
      <w:r>
        <w:rPr>
          <w:rFonts w:hint="eastAsia"/>
          <w:b/>
          <w:bCs/>
          <w:color w:val="auto"/>
          <w:highlight w:val="none"/>
          <w:shd w:val="clear" w:color="auto" w:fill="auto"/>
        </w:rPr>
        <w:t>以下标准按最新版本执行</w:t>
      </w:r>
      <w:r>
        <w:rPr>
          <w:rFonts w:hint="eastAsia"/>
          <w:color w:val="auto"/>
          <w:highlight w:val="none"/>
          <w:shd w:val="clear" w:color="auto" w:fill="auto"/>
        </w:rPr>
        <w:t>：</w:t>
      </w:r>
    </w:p>
    <w:p>
      <w:pPr>
        <w:spacing w:after="0" w:line="360" w:lineRule="auto"/>
        <w:ind w:firstLine="480" w:firstLineChars="200"/>
        <w:rPr>
          <w:color w:val="auto"/>
          <w:highlight w:val="none"/>
          <w:shd w:val="clear" w:color="auto" w:fill="auto"/>
        </w:rPr>
      </w:pPr>
      <w:r>
        <w:rPr>
          <w:rFonts w:hint="eastAsia"/>
          <w:color w:val="auto"/>
          <w:highlight w:val="none"/>
          <w:shd w:val="clear" w:color="auto" w:fill="auto"/>
        </w:rPr>
        <w:t>GB1094《电力变压器》</w:t>
      </w:r>
      <w:r>
        <w:rPr>
          <w:rFonts w:hint="eastAsia" w:hAnsi="宋体"/>
          <w:color w:val="auto"/>
          <w:highlight w:val="none"/>
          <w:shd w:val="clear" w:color="auto" w:fill="auto"/>
        </w:rPr>
        <w:t> </w:t>
      </w:r>
    </w:p>
    <w:p>
      <w:pPr>
        <w:spacing w:after="0" w:line="360" w:lineRule="auto"/>
        <w:ind w:firstLine="480" w:firstLineChars="200"/>
        <w:rPr>
          <w:color w:val="auto"/>
          <w:highlight w:val="none"/>
          <w:shd w:val="clear" w:color="auto" w:fill="auto"/>
        </w:rPr>
      </w:pPr>
      <w:r>
        <w:rPr>
          <w:rFonts w:hint="eastAsia"/>
          <w:color w:val="auto"/>
          <w:highlight w:val="none"/>
          <w:shd w:val="clear" w:color="auto" w:fill="auto"/>
        </w:rPr>
        <w:t>GB6450《干式电力变压器》</w:t>
      </w:r>
      <w:r>
        <w:rPr>
          <w:rFonts w:hint="eastAsia" w:hAnsi="宋体"/>
          <w:color w:val="auto"/>
          <w:highlight w:val="none"/>
          <w:shd w:val="clear" w:color="auto" w:fill="auto"/>
        </w:rPr>
        <w:t> </w:t>
      </w:r>
    </w:p>
    <w:p>
      <w:pPr>
        <w:spacing w:after="0" w:line="360" w:lineRule="auto"/>
        <w:ind w:firstLine="480" w:firstLineChars="200"/>
        <w:rPr>
          <w:rFonts w:hAnsi="宋体"/>
          <w:color w:val="auto"/>
          <w:highlight w:val="none"/>
          <w:shd w:val="clear" w:color="auto" w:fill="auto"/>
        </w:rPr>
      </w:pPr>
      <w:r>
        <w:rPr>
          <w:rFonts w:hint="eastAsia"/>
          <w:color w:val="auto"/>
          <w:highlight w:val="none"/>
          <w:shd w:val="clear" w:color="auto" w:fill="auto"/>
        </w:rPr>
        <w:t>GB/T</w:t>
      </w:r>
      <w:r>
        <w:rPr>
          <w:rFonts w:hint="eastAsia" w:hAnsi="宋体"/>
          <w:color w:val="auto"/>
          <w:highlight w:val="none"/>
          <w:shd w:val="clear" w:color="auto" w:fill="auto"/>
        </w:rPr>
        <w:t> </w:t>
      </w:r>
      <w:r>
        <w:rPr>
          <w:rFonts w:hint="eastAsia"/>
          <w:color w:val="auto"/>
          <w:highlight w:val="none"/>
          <w:shd w:val="clear" w:color="auto" w:fill="auto"/>
        </w:rPr>
        <w:t>10228《干式电力变压器技术参数</w:t>
      </w:r>
      <w:r>
        <w:rPr>
          <w:rFonts w:hint="eastAsia" w:hAnsi="宋体"/>
          <w:color w:val="auto"/>
          <w:highlight w:val="none"/>
          <w:shd w:val="clear" w:color="auto" w:fill="auto"/>
        </w:rPr>
        <w:t>和要求》 </w:t>
      </w:r>
    </w:p>
    <w:p>
      <w:pPr>
        <w:spacing w:after="0" w:line="360" w:lineRule="auto"/>
        <w:ind w:firstLine="480" w:firstLineChars="200"/>
        <w:rPr>
          <w:rFonts w:hAnsi="宋体"/>
          <w:color w:val="auto"/>
          <w:highlight w:val="none"/>
          <w:shd w:val="clear" w:color="auto" w:fill="auto"/>
        </w:rPr>
      </w:pPr>
      <w:r>
        <w:rPr>
          <w:rFonts w:hint="eastAsia" w:hAnsi="宋体"/>
          <w:color w:val="auto"/>
          <w:highlight w:val="none"/>
          <w:shd w:val="clear" w:color="auto" w:fill="auto"/>
        </w:rPr>
        <w:t>GB311.1《高压输变电设备的绝缘配合》 </w:t>
      </w:r>
    </w:p>
    <w:p>
      <w:pPr>
        <w:spacing w:after="0" w:line="360" w:lineRule="auto"/>
        <w:ind w:firstLine="480" w:firstLineChars="200"/>
        <w:rPr>
          <w:rFonts w:hAnsi="宋体"/>
          <w:color w:val="auto"/>
          <w:highlight w:val="none"/>
          <w:shd w:val="clear" w:color="auto" w:fill="auto"/>
        </w:rPr>
      </w:pPr>
      <w:r>
        <w:rPr>
          <w:rFonts w:hint="eastAsia" w:hAnsi="宋体"/>
          <w:color w:val="auto"/>
          <w:highlight w:val="none"/>
          <w:shd w:val="clear" w:color="auto" w:fill="auto"/>
        </w:rPr>
        <w:t>GB/T16434《高压架空线路和发电厂、变电所环境污区分级及外绝缘选择标准》 </w:t>
      </w:r>
    </w:p>
    <w:p>
      <w:pPr>
        <w:spacing w:after="0" w:line="360" w:lineRule="auto"/>
        <w:ind w:firstLine="480" w:firstLineChars="200"/>
        <w:rPr>
          <w:rFonts w:hAnsi="宋体"/>
          <w:color w:val="auto"/>
          <w:highlight w:val="none"/>
          <w:shd w:val="clear" w:color="auto" w:fill="auto"/>
        </w:rPr>
      </w:pPr>
      <w:r>
        <w:rPr>
          <w:rFonts w:hint="eastAsia" w:hAnsi="宋体"/>
          <w:color w:val="auto"/>
          <w:highlight w:val="none"/>
          <w:shd w:val="clear" w:color="auto" w:fill="auto"/>
        </w:rPr>
        <w:t>GB4109《高压套管技术条件》 </w:t>
      </w:r>
    </w:p>
    <w:p>
      <w:pPr>
        <w:spacing w:after="0" w:line="360" w:lineRule="auto"/>
        <w:ind w:firstLine="480" w:firstLineChars="200"/>
        <w:rPr>
          <w:rFonts w:hAnsi="宋体"/>
          <w:color w:val="auto"/>
          <w:highlight w:val="none"/>
          <w:shd w:val="clear" w:color="auto" w:fill="auto"/>
        </w:rPr>
      </w:pPr>
      <w:r>
        <w:rPr>
          <w:rFonts w:hint="eastAsia" w:hAnsi="宋体"/>
          <w:color w:val="auto"/>
          <w:highlight w:val="none"/>
          <w:shd w:val="clear" w:color="auto" w:fill="auto"/>
        </w:rPr>
        <w:t>GB763《交流高压电器在长期工作时的发热》 </w:t>
      </w:r>
    </w:p>
    <w:p>
      <w:pPr>
        <w:spacing w:after="0" w:line="360" w:lineRule="auto"/>
        <w:ind w:firstLine="480" w:firstLineChars="200"/>
        <w:rPr>
          <w:rFonts w:hAnsi="宋体"/>
          <w:color w:val="auto"/>
          <w:highlight w:val="none"/>
          <w:shd w:val="clear" w:color="auto" w:fill="auto"/>
        </w:rPr>
      </w:pPr>
      <w:r>
        <w:rPr>
          <w:rFonts w:hint="eastAsia" w:hAnsi="宋体"/>
          <w:color w:val="auto"/>
          <w:highlight w:val="none"/>
          <w:shd w:val="clear" w:color="auto" w:fill="auto"/>
        </w:rPr>
        <w:t>GB2900《电工名词术语》 </w:t>
      </w:r>
    </w:p>
    <w:p>
      <w:pPr>
        <w:spacing w:after="0" w:line="360" w:lineRule="auto"/>
        <w:ind w:firstLine="480" w:firstLineChars="200"/>
        <w:rPr>
          <w:rFonts w:hAnsi="宋体"/>
          <w:color w:val="auto"/>
          <w:highlight w:val="none"/>
          <w:shd w:val="clear" w:color="auto" w:fill="auto"/>
        </w:rPr>
      </w:pPr>
      <w:r>
        <w:rPr>
          <w:rFonts w:hint="eastAsia" w:hAnsi="宋体"/>
          <w:color w:val="auto"/>
          <w:highlight w:val="none"/>
          <w:shd w:val="clear" w:color="auto" w:fill="auto"/>
        </w:rPr>
        <w:t>GB5273《变压器、高压电器和套管的接线端子》</w:t>
      </w:r>
    </w:p>
    <w:p>
      <w:pPr>
        <w:spacing w:after="0" w:line="360" w:lineRule="auto"/>
        <w:rPr>
          <w:rFonts w:hAnsi="宋体"/>
          <w:color w:val="auto"/>
          <w:highlight w:val="none"/>
          <w:shd w:val="clear" w:color="auto" w:fill="auto"/>
        </w:rPr>
      </w:pPr>
      <w:r>
        <w:rPr>
          <w:rFonts w:hint="eastAsia" w:hAnsi="宋体"/>
          <w:color w:val="auto"/>
          <w:highlight w:val="none"/>
          <w:shd w:val="clear" w:color="auto" w:fill="auto"/>
        </w:rPr>
        <w:t>   GB7328《变压器和电抗器的声级测定》 </w:t>
      </w:r>
    </w:p>
    <w:p>
      <w:pPr>
        <w:spacing w:after="0" w:line="360" w:lineRule="auto"/>
        <w:ind w:firstLine="480" w:firstLineChars="200"/>
        <w:rPr>
          <w:rFonts w:hAnsi="宋体"/>
          <w:color w:val="auto"/>
          <w:highlight w:val="none"/>
          <w:shd w:val="clear" w:color="auto" w:fill="auto"/>
        </w:rPr>
      </w:pPr>
      <w:r>
        <w:rPr>
          <w:rFonts w:hint="eastAsia" w:hAnsi="宋体"/>
          <w:color w:val="auto"/>
          <w:highlight w:val="none"/>
          <w:shd w:val="clear" w:color="auto" w:fill="auto"/>
        </w:rPr>
        <w:t>GB7449《电力变压器和电抗器的雷电冲击和操作冲击试验导则》 </w:t>
      </w:r>
    </w:p>
    <w:p>
      <w:pPr>
        <w:spacing w:after="0" w:line="360" w:lineRule="auto"/>
        <w:ind w:firstLine="480" w:firstLineChars="200"/>
        <w:rPr>
          <w:rFonts w:hAnsi="宋体"/>
          <w:color w:val="auto"/>
          <w:highlight w:val="none"/>
          <w:shd w:val="clear" w:color="auto" w:fill="auto"/>
        </w:rPr>
      </w:pPr>
      <w:r>
        <w:rPr>
          <w:rFonts w:hint="eastAsia" w:hAnsi="宋体"/>
          <w:color w:val="auto"/>
          <w:highlight w:val="none"/>
          <w:shd w:val="clear" w:color="auto" w:fill="auto"/>
        </w:rPr>
        <w:t>GB156《标准电压》</w:t>
      </w:r>
    </w:p>
    <w:p>
      <w:pPr>
        <w:spacing w:after="0" w:line="360" w:lineRule="auto"/>
        <w:rPr>
          <w:rFonts w:hAnsi="宋体"/>
          <w:color w:val="auto"/>
          <w:highlight w:val="none"/>
          <w:shd w:val="clear" w:color="auto" w:fill="auto"/>
        </w:rPr>
      </w:pPr>
      <w:r>
        <w:rPr>
          <w:rFonts w:hint="eastAsia" w:hAnsi="宋体"/>
          <w:color w:val="auto"/>
          <w:highlight w:val="none"/>
          <w:shd w:val="clear" w:color="auto" w:fill="auto"/>
        </w:rPr>
        <w:t>   GB191《包装贮运标志》 </w:t>
      </w:r>
    </w:p>
    <w:p>
      <w:pPr>
        <w:spacing w:after="0" w:line="360" w:lineRule="auto"/>
        <w:ind w:firstLine="480" w:firstLineChars="200"/>
        <w:rPr>
          <w:rFonts w:hAnsi="宋体"/>
          <w:color w:val="auto"/>
          <w:highlight w:val="none"/>
          <w:shd w:val="clear" w:color="auto" w:fill="auto"/>
        </w:rPr>
      </w:pPr>
      <w:r>
        <w:rPr>
          <w:rFonts w:hint="eastAsia" w:hAnsi="宋体"/>
          <w:color w:val="auto"/>
          <w:highlight w:val="none"/>
          <w:shd w:val="clear" w:color="auto" w:fill="auto"/>
        </w:rPr>
        <w:t>GB4109《交流电压高于1000V的套管通用技术条件》 </w:t>
      </w:r>
    </w:p>
    <w:p>
      <w:pPr>
        <w:spacing w:after="0" w:line="360" w:lineRule="auto"/>
        <w:ind w:firstLine="480" w:firstLineChars="200"/>
        <w:rPr>
          <w:rFonts w:hAnsi="宋体"/>
          <w:color w:val="auto"/>
          <w:highlight w:val="none"/>
          <w:shd w:val="clear" w:color="auto" w:fill="auto"/>
        </w:rPr>
      </w:pPr>
      <w:r>
        <w:rPr>
          <w:rFonts w:hint="eastAsia" w:hAnsi="宋体"/>
          <w:color w:val="auto"/>
          <w:highlight w:val="none"/>
          <w:shd w:val="clear" w:color="auto" w:fill="auto"/>
        </w:rPr>
        <w:t>GB10237《电力变压器绝缘水平和绝缘试验外绝缘的空气间隙》 </w:t>
      </w:r>
    </w:p>
    <w:p>
      <w:pPr>
        <w:pStyle w:val="50"/>
        <w:spacing w:after="0" w:line="360" w:lineRule="auto"/>
        <w:ind w:left="0"/>
        <w:outlineLvl w:val="1"/>
        <w:rPr>
          <w:rFonts w:ascii="宋体" w:hAnsi="宋体" w:eastAsia="宋体"/>
          <w:b/>
          <w:color w:val="auto"/>
          <w:highlight w:val="none"/>
          <w:shd w:val="clear" w:color="auto" w:fill="auto"/>
        </w:rPr>
      </w:pPr>
      <w:r>
        <w:rPr>
          <w:rFonts w:hint="eastAsia" w:hAnsi="宋体"/>
          <w:b/>
          <w:bCs/>
          <w:color w:val="auto"/>
          <w:spacing w:val="-10"/>
          <w:highlight w:val="none"/>
          <w:shd w:val="clear" w:color="auto" w:fill="auto"/>
        </w:rPr>
        <w:t>4.3.2技术参数及要求</w:t>
      </w:r>
    </w:p>
    <w:p>
      <w:pPr>
        <w:spacing w:after="0" w:line="360" w:lineRule="auto"/>
        <w:ind w:firstLine="427" w:firstLineChars="178"/>
        <w:rPr>
          <w:rFonts w:hAnsi="宋体" w:eastAsia="宋体"/>
          <w:color w:val="auto"/>
          <w:highlight w:val="none"/>
          <w:shd w:val="clear" w:color="auto" w:fill="auto"/>
        </w:rPr>
      </w:pPr>
      <w:r>
        <w:rPr>
          <w:rFonts w:hint="eastAsia" w:hAnsi="宋体"/>
          <w:color w:val="auto"/>
          <w:highlight w:val="none"/>
          <w:shd w:val="clear" w:color="auto" w:fill="auto"/>
        </w:rPr>
        <w:t>系统电压：</w:t>
      </w:r>
      <w:r>
        <w:rPr>
          <w:rFonts w:hAnsi="宋体"/>
          <w:color w:val="auto"/>
          <w:highlight w:val="none"/>
          <w:shd w:val="clear" w:color="auto" w:fill="auto"/>
        </w:rPr>
        <w:t>10</w:t>
      </w:r>
      <w:r>
        <w:rPr>
          <w:rFonts w:hint="eastAsia" w:hAnsi="宋体"/>
          <w:color w:val="auto"/>
          <w:highlight w:val="none"/>
          <w:shd w:val="clear" w:color="auto" w:fill="auto"/>
        </w:rPr>
        <w:t>k</w:t>
      </w:r>
      <w:r>
        <w:rPr>
          <w:rFonts w:hAnsi="宋体"/>
          <w:color w:val="auto"/>
          <w:highlight w:val="none"/>
          <w:shd w:val="clear" w:color="auto" w:fill="auto"/>
        </w:rPr>
        <w:t>V</w:t>
      </w:r>
      <w:r>
        <w:rPr>
          <w:rFonts w:hint="eastAsia" w:hAnsi="宋体"/>
          <w:color w:val="auto"/>
          <w:highlight w:val="none"/>
          <w:shd w:val="clear" w:color="auto" w:fill="auto"/>
        </w:rPr>
        <w:t>；高压侧额定电压：10kV；高压侧最高电压：12 kV；低压侧额定电压：0.4 kV；</w:t>
      </w:r>
    </w:p>
    <w:p>
      <w:pPr>
        <w:spacing w:after="0" w:line="360" w:lineRule="auto"/>
        <w:ind w:firstLine="427" w:firstLineChars="178"/>
        <w:rPr>
          <w:rFonts w:hAnsi="宋体"/>
          <w:color w:val="auto"/>
          <w:highlight w:val="none"/>
          <w:shd w:val="clear" w:color="auto" w:fill="auto"/>
        </w:rPr>
      </w:pPr>
      <w:r>
        <w:rPr>
          <w:rFonts w:hint="eastAsia" w:hAnsi="宋体"/>
          <w:color w:val="auto"/>
          <w:highlight w:val="none"/>
          <w:shd w:val="clear" w:color="auto" w:fill="auto"/>
        </w:rPr>
        <w:t>额定频率：50Hz</w:t>
      </w:r>
    </w:p>
    <w:p>
      <w:pPr>
        <w:spacing w:after="0" w:line="360" w:lineRule="auto"/>
        <w:ind w:firstLine="427" w:firstLineChars="178"/>
        <w:rPr>
          <w:rFonts w:hAnsi="宋体"/>
          <w:color w:val="auto"/>
          <w:highlight w:val="none"/>
          <w:shd w:val="clear" w:color="auto" w:fill="auto"/>
        </w:rPr>
      </w:pPr>
      <w:r>
        <w:rPr>
          <w:rFonts w:hint="eastAsia" w:hAnsi="宋体"/>
          <w:color w:val="auto"/>
          <w:highlight w:val="none"/>
          <w:shd w:val="clear" w:color="auto" w:fill="auto"/>
        </w:rPr>
        <w:t>绝缘水平如下表所示：</w:t>
      </w:r>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5"/>
        <w:gridCol w:w="2555"/>
        <w:gridCol w:w="2555"/>
        <w:gridCol w:w="25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jc w:val="center"/>
        </w:trPr>
        <w:tc>
          <w:tcPr>
            <w:tcW w:w="1365" w:type="dxa"/>
            <w:tcBorders>
              <w:bottom w:val="single" w:color="auto" w:sz="4" w:space="0"/>
            </w:tcBorders>
            <w:vAlign w:val="center"/>
          </w:tcPr>
          <w:p>
            <w:pPr>
              <w:spacing w:after="0" w:line="360" w:lineRule="auto"/>
              <w:jc w:val="distribute"/>
              <w:rPr>
                <w:rFonts w:hAnsi="宋体"/>
                <w:color w:val="auto"/>
                <w:highlight w:val="none"/>
                <w:shd w:val="clear" w:color="auto" w:fill="auto"/>
              </w:rPr>
            </w:pPr>
            <w:r>
              <w:rPr>
                <w:rFonts w:hint="eastAsia" w:hAnsi="宋体"/>
                <w:color w:val="auto"/>
                <w:highlight w:val="none"/>
                <w:shd w:val="clear" w:color="auto" w:fill="auto"/>
              </w:rPr>
              <w:t>绕组电压等级（</w:t>
            </w:r>
            <w:r>
              <w:rPr>
                <w:rFonts w:hAnsi="宋体"/>
                <w:color w:val="auto"/>
                <w:highlight w:val="none"/>
                <w:shd w:val="clear" w:color="auto" w:fill="auto"/>
              </w:rPr>
              <w:t>kV</w:t>
            </w:r>
            <w:r>
              <w:rPr>
                <w:rFonts w:hint="eastAsia" w:hAnsi="宋体"/>
                <w:color w:val="auto"/>
                <w:highlight w:val="none"/>
                <w:shd w:val="clear" w:color="auto" w:fill="auto"/>
              </w:rPr>
              <w:t>）</w:t>
            </w:r>
          </w:p>
        </w:tc>
        <w:tc>
          <w:tcPr>
            <w:tcW w:w="2555" w:type="dxa"/>
            <w:tcBorders>
              <w:bottom w:val="single" w:color="auto" w:sz="4" w:space="0"/>
            </w:tcBorders>
            <w:vAlign w:val="center"/>
          </w:tcPr>
          <w:p>
            <w:pPr>
              <w:spacing w:after="0" w:line="360" w:lineRule="auto"/>
              <w:rPr>
                <w:rFonts w:hAnsi="宋体"/>
                <w:color w:val="auto"/>
                <w:highlight w:val="none"/>
                <w:shd w:val="clear" w:color="auto" w:fill="auto"/>
              </w:rPr>
            </w:pPr>
            <w:r>
              <w:rPr>
                <w:rFonts w:hint="eastAsia" w:hAnsi="宋体"/>
                <w:color w:val="auto"/>
                <w:highlight w:val="none"/>
                <w:shd w:val="clear" w:color="auto" w:fill="auto"/>
              </w:rPr>
              <w:t>额定雷电冲击耐受电压（峰值），kV</w:t>
            </w:r>
          </w:p>
        </w:tc>
        <w:tc>
          <w:tcPr>
            <w:tcW w:w="2555" w:type="dxa"/>
            <w:tcBorders>
              <w:bottom w:val="single" w:color="auto" w:sz="4" w:space="0"/>
            </w:tcBorders>
            <w:vAlign w:val="center"/>
          </w:tcPr>
          <w:p>
            <w:pPr>
              <w:spacing w:after="0" w:line="360" w:lineRule="auto"/>
              <w:rPr>
                <w:rFonts w:hAnsi="宋体"/>
                <w:color w:val="auto"/>
                <w:highlight w:val="none"/>
                <w:shd w:val="clear" w:color="auto" w:fill="auto"/>
              </w:rPr>
            </w:pPr>
            <w:r>
              <w:rPr>
                <w:rFonts w:hint="eastAsia" w:hAnsi="宋体"/>
                <w:color w:val="auto"/>
                <w:highlight w:val="none"/>
                <w:shd w:val="clear" w:color="auto" w:fill="auto"/>
              </w:rPr>
              <w:t>截断雷电冲击耐受电压（峰值），kV</w:t>
            </w:r>
          </w:p>
        </w:tc>
        <w:tc>
          <w:tcPr>
            <w:tcW w:w="2555" w:type="dxa"/>
            <w:tcBorders>
              <w:bottom w:val="single" w:color="auto" w:sz="4" w:space="0"/>
            </w:tcBorders>
            <w:vAlign w:val="center"/>
          </w:tcPr>
          <w:p>
            <w:pPr>
              <w:spacing w:after="0" w:line="360" w:lineRule="auto"/>
              <w:rPr>
                <w:rFonts w:hAnsi="宋体"/>
                <w:color w:val="auto"/>
                <w:highlight w:val="none"/>
                <w:shd w:val="clear" w:color="auto" w:fill="auto"/>
              </w:rPr>
            </w:pPr>
            <w:r>
              <w:rPr>
                <w:rFonts w:hint="eastAsia" w:hAnsi="宋体"/>
                <w:color w:val="auto"/>
                <w:highlight w:val="none"/>
                <w:shd w:val="clear" w:color="auto" w:fill="auto"/>
              </w:rPr>
              <w:t>短时（1min）工频耐受电压（有效值），kV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5" w:type="dxa"/>
          </w:tcPr>
          <w:p>
            <w:pPr>
              <w:spacing w:after="0" w:line="360" w:lineRule="auto"/>
              <w:jc w:val="center"/>
              <w:rPr>
                <w:rFonts w:hAnsi="宋体"/>
                <w:color w:val="auto"/>
                <w:highlight w:val="none"/>
                <w:shd w:val="clear" w:color="auto" w:fill="auto"/>
              </w:rPr>
            </w:pPr>
            <w:r>
              <w:rPr>
                <w:rFonts w:hAnsi="宋体"/>
                <w:color w:val="auto"/>
                <w:highlight w:val="none"/>
                <w:shd w:val="clear" w:color="auto" w:fill="auto"/>
              </w:rPr>
              <w:t>10</w:t>
            </w:r>
          </w:p>
        </w:tc>
        <w:tc>
          <w:tcPr>
            <w:tcW w:w="2555" w:type="dxa"/>
          </w:tcPr>
          <w:p>
            <w:pPr>
              <w:spacing w:after="0" w:line="360" w:lineRule="auto"/>
              <w:jc w:val="center"/>
              <w:rPr>
                <w:rFonts w:hAnsi="宋体"/>
                <w:color w:val="auto"/>
                <w:highlight w:val="none"/>
                <w:shd w:val="clear" w:color="auto" w:fill="auto"/>
              </w:rPr>
            </w:pPr>
            <w:r>
              <w:rPr>
                <w:rFonts w:hint="eastAsia" w:hAnsi="宋体"/>
                <w:color w:val="auto"/>
                <w:highlight w:val="none"/>
                <w:shd w:val="clear" w:color="auto" w:fill="auto"/>
              </w:rPr>
              <w:t>75</w:t>
            </w:r>
          </w:p>
        </w:tc>
        <w:tc>
          <w:tcPr>
            <w:tcW w:w="2555" w:type="dxa"/>
          </w:tcPr>
          <w:p>
            <w:pPr>
              <w:spacing w:after="0" w:line="360" w:lineRule="auto"/>
              <w:jc w:val="center"/>
              <w:rPr>
                <w:rFonts w:hAnsi="宋体"/>
                <w:color w:val="auto"/>
                <w:highlight w:val="none"/>
                <w:shd w:val="clear" w:color="auto" w:fill="auto"/>
              </w:rPr>
            </w:pPr>
            <w:r>
              <w:rPr>
                <w:rFonts w:hint="eastAsia" w:hAnsi="宋体"/>
                <w:color w:val="auto"/>
                <w:highlight w:val="none"/>
                <w:shd w:val="clear" w:color="auto" w:fill="auto"/>
              </w:rPr>
              <w:t>85</w:t>
            </w:r>
          </w:p>
        </w:tc>
        <w:tc>
          <w:tcPr>
            <w:tcW w:w="2555" w:type="dxa"/>
          </w:tcPr>
          <w:p>
            <w:pPr>
              <w:spacing w:after="0" w:line="360" w:lineRule="auto"/>
              <w:jc w:val="center"/>
              <w:rPr>
                <w:rFonts w:hAnsi="宋体"/>
                <w:color w:val="auto"/>
                <w:highlight w:val="none"/>
                <w:shd w:val="clear" w:color="auto" w:fill="auto"/>
              </w:rPr>
            </w:pPr>
            <w:r>
              <w:rPr>
                <w:rFonts w:hint="eastAsia" w:hAnsi="宋体"/>
                <w:color w:val="auto"/>
                <w:highlight w:val="none"/>
                <w:shd w:val="clear" w:color="auto" w:fill="auto"/>
              </w:rPr>
              <w:t>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5" w:type="dxa"/>
          </w:tcPr>
          <w:p>
            <w:pPr>
              <w:spacing w:after="0" w:line="360" w:lineRule="auto"/>
              <w:jc w:val="center"/>
              <w:rPr>
                <w:rFonts w:hAnsi="宋体"/>
                <w:color w:val="auto"/>
                <w:highlight w:val="none"/>
                <w:shd w:val="clear" w:color="auto" w:fill="auto"/>
              </w:rPr>
            </w:pPr>
            <w:r>
              <w:rPr>
                <w:rFonts w:hint="eastAsia" w:hAnsi="宋体"/>
                <w:color w:val="auto"/>
                <w:highlight w:val="none"/>
                <w:shd w:val="clear" w:color="auto" w:fill="auto"/>
              </w:rPr>
              <w:t>0.4</w:t>
            </w:r>
          </w:p>
        </w:tc>
        <w:tc>
          <w:tcPr>
            <w:tcW w:w="2555" w:type="dxa"/>
          </w:tcPr>
          <w:p>
            <w:pPr>
              <w:spacing w:after="0" w:line="360" w:lineRule="auto"/>
              <w:jc w:val="center"/>
              <w:rPr>
                <w:rFonts w:hAnsi="宋体"/>
                <w:color w:val="auto"/>
                <w:highlight w:val="none"/>
                <w:shd w:val="clear" w:color="auto" w:fill="auto"/>
              </w:rPr>
            </w:pPr>
            <w:r>
              <w:rPr>
                <w:rFonts w:hint="eastAsia" w:hAnsi="宋体"/>
                <w:color w:val="auto"/>
                <w:highlight w:val="none"/>
                <w:shd w:val="clear" w:color="auto" w:fill="auto"/>
              </w:rPr>
              <w:t>－</w:t>
            </w:r>
          </w:p>
        </w:tc>
        <w:tc>
          <w:tcPr>
            <w:tcW w:w="2555" w:type="dxa"/>
          </w:tcPr>
          <w:p>
            <w:pPr>
              <w:spacing w:after="0" w:line="360" w:lineRule="auto"/>
              <w:jc w:val="center"/>
              <w:rPr>
                <w:rFonts w:hAnsi="宋体"/>
                <w:color w:val="auto"/>
                <w:highlight w:val="none"/>
                <w:shd w:val="clear" w:color="auto" w:fill="auto"/>
              </w:rPr>
            </w:pPr>
            <w:r>
              <w:rPr>
                <w:rFonts w:hint="eastAsia" w:hAnsi="宋体"/>
                <w:color w:val="auto"/>
                <w:highlight w:val="none"/>
                <w:shd w:val="clear" w:color="auto" w:fill="auto"/>
              </w:rPr>
              <w:t>－</w:t>
            </w:r>
          </w:p>
        </w:tc>
        <w:tc>
          <w:tcPr>
            <w:tcW w:w="2555" w:type="dxa"/>
          </w:tcPr>
          <w:p>
            <w:pPr>
              <w:spacing w:after="0" w:line="360" w:lineRule="auto"/>
              <w:jc w:val="center"/>
              <w:rPr>
                <w:rFonts w:hAnsi="宋体"/>
                <w:color w:val="auto"/>
                <w:highlight w:val="none"/>
                <w:shd w:val="clear" w:color="auto" w:fill="auto"/>
              </w:rPr>
            </w:pPr>
            <w:r>
              <w:rPr>
                <w:rFonts w:hint="eastAsia" w:hAnsi="宋体"/>
                <w:color w:val="auto"/>
                <w:highlight w:val="none"/>
                <w:shd w:val="clear" w:color="auto" w:fill="auto"/>
              </w:rPr>
              <w:t>5</w:t>
            </w:r>
          </w:p>
        </w:tc>
      </w:tr>
    </w:tbl>
    <w:p>
      <w:pPr>
        <w:spacing w:after="0" w:line="360" w:lineRule="auto"/>
        <w:ind w:firstLine="427" w:firstLineChars="178"/>
        <w:rPr>
          <w:rFonts w:hAnsi="宋体"/>
          <w:color w:val="auto"/>
          <w:highlight w:val="none"/>
          <w:shd w:val="clear" w:color="auto" w:fill="auto"/>
        </w:rPr>
      </w:pPr>
    </w:p>
    <w:p>
      <w:pPr>
        <w:spacing w:after="0" w:line="360" w:lineRule="auto"/>
        <w:ind w:firstLine="429" w:firstLineChars="178"/>
        <w:rPr>
          <w:rFonts w:hAnsi="宋体"/>
          <w:color w:val="auto"/>
          <w:highlight w:val="none"/>
          <w:shd w:val="clear" w:color="auto" w:fill="auto"/>
        </w:rPr>
      </w:pPr>
      <w:r>
        <w:rPr>
          <w:rFonts w:hint="eastAsia" w:cs="仿宋"/>
          <w:b/>
          <w:bCs/>
          <w:color w:val="auto"/>
          <w:szCs w:val="21"/>
          <w:highlight w:val="none"/>
          <w:shd w:val="clear" w:color="auto" w:fill="auto"/>
        </w:rPr>
        <w:t>■</w:t>
      </w:r>
      <w:r>
        <w:rPr>
          <w:rFonts w:hint="eastAsia" w:hAnsi="宋体"/>
          <w:color w:val="auto"/>
          <w:highlight w:val="none"/>
          <w:shd w:val="clear" w:color="auto" w:fill="auto"/>
        </w:rPr>
        <w:t>变压器选用</w:t>
      </w:r>
      <w:r>
        <w:rPr>
          <w:rFonts w:hint="eastAsia" w:hAnsi="宋体"/>
          <w:b/>
          <w:bCs/>
          <w:color w:val="auto"/>
          <w:highlight w:val="none"/>
          <w:shd w:val="clear" w:color="auto" w:fill="auto"/>
        </w:rPr>
        <w:t>SCB11型干式变压器</w:t>
      </w:r>
      <w:r>
        <w:rPr>
          <w:rFonts w:hint="eastAsia" w:hAnsi="宋体"/>
          <w:color w:val="auto"/>
          <w:highlight w:val="none"/>
          <w:shd w:val="clear" w:color="auto" w:fill="auto"/>
        </w:rPr>
        <w:t>。外壳保护等级为I</w:t>
      </w:r>
      <w:r>
        <w:rPr>
          <w:rFonts w:hAnsi="宋体"/>
          <w:color w:val="auto"/>
          <w:highlight w:val="none"/>
          <w:shd w:val="clear" w:color="auto" w:fill="auto"/>
        </w:rPr>
        <w:t>P20</w:t>
      </w:r>
      <w:r>
        <w:rPr>
          <w:rFonts w:hint="eastAsia" w:hAnsi="宋体"/>
          <w:color w:val="auto"/>
          <w:highlight w:val="none"/>
          <w:shd w:val="clear" w:color="auto" w:fill="auto"/>
        </w:rPr>
        <w:t>，采用优质不锈钢板防湿气腐蚀，有长期在自来水厂或污水厂运行的真实纪录。</w:t>
      </w:r>
    </w:p>
    <w:p>
      <w:pPr>
        <w:spacing w:after="0" w:line="360" w:lineRule="auto"/>
        <w:ind w:firstLine="427" w:firstLineChars="178"/>
        <w:rPr>
          <w:rFonts w:hAnsi="宋体"/>
          <w:color w:val="auto"/>
          <w:highlight w:val="none"/>
          <w:shd w:val="clear" w:color="auto" w:fill="auto"/>
        </w:rPr>
      </w:pPr>
      <w:r>
        <w:rPr>
          <w:rFonts w:hint="eastAsia" w:hAnsi="宋体"/>
          <w:color w:val="auto"/>
          <w:highlight w:val="none"/>
          <w:shd w:val="clear" w:color="auto" w:fill="auto"/>
        </w:rPr>
        <w:t>联接组标号：Dyn11；噪声水平：小于55</w:t>
      </w:r>
      <w:r>
        <w:rPr>
          <w:rFonts w:hAnsi="宋体"/>
          <w:color w:val="auto"/>
          <w:highlight w:val="none"/>
          <w:shd w:val="clear" w:color="auto" w:fill="auto"/>
        </w:rPr>
        <w:t>dB</w:t>
      </w:r>
      <w:r>
        <w:rPr>
          <w:rFonts w:hint="eastAsia" w:hAnsi="宋体"/>
          <w:color w:val="auto"/>
          <w:highlight w:val="none"/>
          <w:shd w:val="clear" w:color="auto" w:fill="auto"/>
        </w:rPr>
        <w:t>；调压方式和调压开关：采用无载调压方式。</w:t>
      </w:r>
    </w:p>
    <w:p>
      <w:pPr>
        <w:spacing w:after="0" w:line="360" w:lineRule="auto"/>
        <w:ind w:firstLine="427" w:firstLineChars="178"/>
        <w:rPr>
          <w:rFonts w:hAnsi="宋体"/>
          <w:color w:val="auto"/>
          <w:highlight w:val="none"/>
          <w:shd w:val="clear" w:color="auto" w:fill="auto"/>
        </w:rPr>
      </w:pPr>
      <w:r>
        <w:rPr>
          <w:rFonts w:hint="eastAsia" w:hAnsi="宋体"/>
          <w:color w:val="auto"/>
          <w:highlight w:val="none"/>
          <w:shd w:val="clear" w:color="auto" w:fill="auto"/>
        </w:rPr>
        <w:t>绝缘耐热等级（高压/低压绕组）：H/H级；温升极限（绕组）：最高温升100K。</w:t>
      </w:r>
    </w:p>
    <w:p>
      <w:pPr>
        <w:spacing w:after="0" w:line="360" w:lineRule="auto"/>
        <w:ind w:firstLine="427" w:firstLineChars="178"/>
        <w:rPr>
          <w:rFonts w:hAnsi="宋体"/>
          <w:color w:val="auto"/>
          <w:highlight w:val="none"/>
          <w:shd w:val="clear" w:color="auto" w:fill="auto"/>
        </w:rPr>
      </w:pPr>
      <w:r>
        <w:rPr>
          <w:rFonts w:hint="eastAsia" w:hAnsi="宋体"/>
          <w:color w:val="auto"/>
          <w:highlight w:val="none"/>
          <w:shd w:val="clear" w:color="auto" w:fill="auto"/>
        </w:rPr>
        <w:t>冷却方式：AN/FN。提供配套的一体化温控器及冷却风扇。冷却方式为</w:t>
      </w:r>
      <w:r>
        <w:rPr>
          <w:rFonts w:hAnsi="宋体"/>
          <w:color w:val="auto"/>
          <w:highlight w:val="none"/>
          <w:shd w:val="clear" w:color="auto" w:fill="auto"/>
        </w:rPr>
        <w:t>A</w:t>
      </w:r>
      <w:r>
        <w:rPr>
          <w:rFonts w:hint="eastAsia" w:hAnsi="宋体"/>
          <w:color w:val="auto"/>
          <w:highlight w:val="none"/>
          <w:shd w:val="clear" w:color="auto" w:fill="auto"/>
        </w:rPr>
        <w:t>F</w:t>
      </w:r>
      <w:r>
        <w:rPr>
          <w:rFonts w:hint="eastAsia" w:hAnsi="宋体"/>
          <w:color w:val="auto"/>
          <w:spacing w:val="-10"/>
          <w:highlight w:val="none"/>
          <w:shd w:val="clear" w:color="auto" w:fill="auto"/>
        </w:rPr>
        <w:t>（强迫风冷，可使额定容量提高</w:t>
      </w:r>
      <w:r>
        <w:rPr>
          <w:rFonts w:hAnsi="宋体"/>
          <w:color w:val="auto"/>
          <w:spacing w:val="-10"/>
          <w:highlight w:val="none"/>
          <w:shd w:val="clear" w:color="auto" w:fill="auto"/>
        </w:rPr>
        <w:t>40%</w:t>
      </w:r>
      <w:r>
        <w:rPr>
          <w:rFonts w:hint="eastAsia" w:hAnsi="宋体"/>
          <w:color w:val="auto"/>
          <w:spacing w:val="-10"/>
          <w:highlight w:val="none"/>
          <w:shd w:val="clear" w:color="auto" w:fill="auto"/>
        </w:rPr>
        <w:t>以上）</w:t>
      </w:r>
      <w:r>
        <w:rPr>
          <w:rFonts w:hint="eastAsia" w:hAnsi="宋体"/>
          <w:color w:val="auto"/>
          <w:highlight w:val="none"/>
          <w:shd w:val="clear" w:color="auto" w:fill="auto"/>
        </w:rPr>
        <w:t>。</w:t>
      </w:r>
    </w:p>
    <w:p>
      <w:pPr>
        <w:spacing w:after="0" w:line="360" w:lineRule="auto"/>
        <w:ind w:firstLine="427" w:firstLineChars="178"/>
        <w:rPr>
          <w:rFonts w:ascii="宋体" w:hAnsi="宋体"/>
          <w:color w:val="auto"/>
          <w:highlight w:val="none"/>
          <w:shd w:val="clear" w:color="auto" w:fill="auto"/>
        </w:rPr>
      </w:pPr>
      <w:r>
        <w:rPr>
          <w:rFonts w:hint="eastAsia" w:hAnsi="宋体"/>
          <w:color w:val="auto"/>
          <w:highlight w:val="none"/>
          <w:shd w:val="clear" w:color="auto" w:fill="auto"/>
        </w:rPr>
        <w:t>过负荷的能力：变压器允许过负荷能力应符合IEC干式变压器过负荷导则。</w:t>
      </w:r>
      <w:r>
        <w:rPr>
          <w:rFonts w:hint="eastAsia" w:ascii="宋体" w:hAnsi="宋体"/>
          <w:color w:val="auto"/>
          <w:highlight w:val="none"/>
          <w:shd w:val="clear" w:color="auto" w:fill="auto"/>
        </w:rPr>
        <w:t>变压器应能承受操作过电压，短路、过载而不损坏。变压器应有较强的过激磁能力，应能在110%额定电压时空载下长期运行。105%额定电压时，可在额定电流下长期连续运行。承受额定短路力短路后，线圈的平均温度的最大允许值应满足国标和IEC相关标准的要求。变压器在各分接头位置时，都应能随线端空发短路的动、热稳定而不产生任何操作、变形及紧因件松动。变压器应能承受2s短路电流。</w:t>
      </w:r>
    </w:p>
    <w:p>
      <w:pPr>
        <w:pStyle w:val="21"/>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设备结构型式</w:t>
      </w:r>
    </w:p>
    <w:p>
      <w:pPr>
        <w:pStyle w:val="21"/>
        <w:spacing w:line="360" w:lineRule="auto"/>
        <w:ind w:firstLine="427" w:firstLineChars="178"/>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绕组结构型式：树脂浇注干式变压器。</w:t>
      </w:r>
    </w:p>
    <w:p>
      <w:pPr>
        <w:pStyle w:val="21"/>
        <w:spacing w:line="360" w:lineRule="auto"/>
        <w:ind w:firstLine="427" w:firstLineChars="178"/>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绕组材料：高压绕组采用优质(无氧)铜质材料作导体，高压绕组采用铜导线绕制，低压绕组采用铜箔绕制。采用进口环氧树脂绝缘材料作绝缘。</w:t>
      </w:r>
    </w:p>
    <w:p>
      <w:pPr>
        <w:pStyle w:val="21"/>
        <w:spacing w:line="360" w:lineRule="auto"/>
        <w:ind w:firstLine="427" w:firstLineChars="178"/>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铁芯材料：低损耗的高导磁优质晶粒取向冷轧钢片。铁心采用优质硅钢片，厚度小于或等于0.3毫米高导磁优质晶粒取向冷轧钢片材料或非晶合金材料。</w:t>
      </w:r>
    </w:p>
    <w:p>
      <w:pPr>
        <w:spacing w:after="0" w:line="360" w:lineRule="auto"/>
        <w:ind w:firstLine="403"/>
        <w:rPr>
          <w:color w:val="auto"/>
          <w:spacing w:val="4"/>
          <w:highlight w:val="none"/>
          <w:shd w:val="clear" w:color="auto" w:fill="auto"/>
        </w:rPr>
      </w:pPr>
      <w:r>
        <w:rPr>
          <w:rFonts w:hint="eastAsia" w:cs="仿宋"/>
          <w:color w:val="auto"/>
          <w:highlight w:val="none"/>
          <w:shd w:val="clear" w:color="auto" w:fill="auto"/>
        </w:rPr>
        <w:t>引出线应是板型接线端子，接线端子为四角形的镀锡铜质，端子和接触面的</w:t>
      </w:r>
      <w:r>
        <w:rPr>
          <w:rFonts w:hint="eastAsia" w:hAnsi="宋体"/>
          <w:color w:val="auto"/>
          <w:highlight w:val="none"/>
          <w:shd w:val="clear" w:color="auto" w:fill="auto"/>
        </w:rPr>
        <w:t>电流密度不大于0.1A/mm²，螺栓孔处温升不得超过25K，配齐接线端子和端子上与母线连接螺栓等。</w:t>
      </w:r>
      <w:r>
        <w:rPr>
          <w:rFonts w:hint="eastAsia"/>
          <w:color w:val="auto"/>
          <w:highlight w:val="none"/>
          <w:shd w:val="clear" w:color="auto" w:fill="auto"/>
        </w:rPr>
        <w:t>电压变比调整螺栓须大于</w:t>
      </w:r>
      <w:r>
        <w:rPr>
          <w:color w:val="auto"/>
          <w:highlight w:val="none"/>
          <w:shd w:val="clear" w:color="auto" w:fill="auto"/>
        </w:rPr>
        <w:t>M1</w:t>
      </w:r>
      <w:r>
        <w:rPr>
          <w:rFonts w:hint="eastAsia"/>
          <w:color w:val="auto"/>
          <w:highlight w:val="none"/>
          <w:shd w:val="clear" w:color="auto" w:fill="auto"/>
        </w:rPr>
        <w:t>2的螺栓，铁芯及全部金属部件须有防锈处理。</w:t>
      </w:r>
      <w:r>
        <w:rPr>
          <w:rFonts w:hint="eastAsia"/>
          <w:color w:val="auto"/>
          <w:spacing w:val="4"/>
          <w:highlight w:val="none"/>
          <w:shd w:val="clear" w:color="auto" w:fill="auto"/>
        </w:rPr>
        <w:t>干式变压器高、低压侧绕组、</w:t>
      </w:r>
      <w:r>
        <w:rPr>
          <w:color w:val="auto"/>
          <w:spacing w:val="4"/>
          <w:highlight w:val="none"/>
          <w:shd w:val="clear" w:color="auto" w:fill="auto"/>
        </w:rPr>
        <w:t>接线</w:t>
      </w:r>
      <w:r>
        <w:rPr>
          <w:rFonts w:hint="eastAsia"/>
          <w:color w:val="auto"/>
          <w:spacing w:val="4"/>
          <w:highlight w:val="none"/>
          <w:shd w:val="clear" w:color="auto" w:fill="auto"/>
        </w:rPr>
        <w:t>端子、连接杆、挡位连接板、垫片必须采用铜质材料</w:t>
      </w:r>
      <w:r>
        <w:rPr>
          <w:color w:val="auto"/>
          <w:spacing w:val="4"/>
          <w:highlight w:val="none"/>
          <w:shd w:val="clear" w:color="auto" w:fill="auto"/>
        </w:rPr>
        <w:t>，其接触表面应洁净，不得有裂纹、明显伤痕、毛刺，腐蚀斑痕缺陷及其他影响电接触和机械强度的缺陷，且应有防松措施。</w:t>
      </w:r>
    </w:p>
    <w:p>
      <w:pPr>
        <w:spacing w:after="0" w:line="360" w:lineRule="auto"/>
        <w:ind w:firstLine="372" w:firstLineChars="150"/>
        <w:rPr>
          <w:rFonts w:hAnsi="宋体"/>
          <w:color w:val="auto"/>
          <w:highlight w:val="none"/>
          <w:shd w:val="clear" w:color="auto" w:fill="auto"/>
        </w:rPr>
      </w:pPr>
      <w:r>
        <w:rPr>
          <w:rFonts w:hint="eastAsia"/>
          <w:color w:val="auto"/>
          <w:spacing w:val="4"/>
          <w:highlight w:val="none"/>
          <w:shd w:val="clear" w:color="auto" w:fill="auto"/>
        </w:rPr>
        <w:t>变压器相关</w:t>
      </w:r>
      <w:r>
        <w:rPr>
          <w:rFonts w:hint="eastAsia" w:hAnsi="宋体"/>
          <w:color w:val="auto"/>
          <w:highlight w:val="none"/>
          <w:shd w:val="clear" w:color="auto" w:fill="auto"/>
        </w:rPr>
        <w:t>设备所涉及到铜材料需提供铜纯度测试报告与铜排容量试验报告。</w:t>
      </w:r>
    </w:p>
    <w:p>
      <w:pPr>
        <w:spacing w:after="0" w:line="360" w:lineRule="auto"/>
        <w:ind w:firstLine="480" w:firstLineChars="200"/>
        <w:rPr>
          <w:rFonts w:hAnsi="宋体"/>
          <w:color w:val="auto"/>
          <w:highlight w:val="none"/>
          <w:shd w:val="clear" w:color="auto" w:fill="auto"/>
        </w:rPr>
      </w:pPr>
      <w:r>
        <w:rPr>
          <w:rFonts w:hint="eastAsia" w:hAnsi="宋体"/>
          <w:color w:val="auto"/>
          <w:highlight w:val="none"/>
          <w:shd w:val="clear" w:color="auto" w:fill="auto"/>
        </w:rPr>
        <w:t>所有变压器必须配备指示范围为0～300℃的温控箱，动作要灵敏、可靠，具有三相绕组温度测量、最大值显示、启停风机、2对无源超温报警触点、2对无源超温跳闸触点、两个4~20mA模拟量输出、1个RS-485通信接口，控制触点的动作温度应能在测量范围内任意设定，触点容量不小于AC220V，5A。并提供产品合格证、试验报告和说明书等资料。温度传感器安装位置符合国家标准。变压器须装有温度过热保护装置，该装置须能提供如下功能：（1）变压器运行过程中巡回显示三相绕组温度值；（2）显示最热一相绕组的温度值；（3）超温报警、超温跳闸、风机启停；（4）风机过载保护及RS485计算机通讯接口。</w:t>
      </w:r>
    </w:p>
    <w:p>
      <w:pPr>
        <w:spacing w:after="0" w:line="360" w:lineRule="auto"/>
        <w:ind w:firstLine="420"/>
        <w:rPr>
          <w:rFonts w:ascii="宋体" w:hAnsi="宋体"/>
          <w:color w:val="auto"/>
          <w:highlight w:val="none"/>
          <w:shd w:val="clear" w:color="auto" w:fill="auto"/>
        </w:rPr>
      </w:pPr>
      <w:r>
        <w:rPr>
          <w:rFonts w:hint="eastAsia" w:hAnsi="宋体"/>
          <w:color w:val="auto"/>
          <w:highlight w:val="none"/>
          <w:shd w:val="clear" w:color="auto" w:fill="auto"/>
        </w:rPr>
        <w:t>干变的冷却风机采用不锈钢低噪音幅流风机，并且通风方式可由温控箱自动控制或通过手动切换，电源取自变压器二次侧，加熔断器保护。</w:t>
      </w:r>
      <w:r>
        <w:rPr>
          <w:rFonts w:hint="eastAsia" w:hAnsi="宋体"/>
          <w:color w:val="auto"/>
          <w:kern w:val="2"/>
          <w:highlight w:val="none"/>
          <w:shd w:val="clear" w:color="auto" w:fill="auto"/>
        </w:rPr>
        <w:t>风扇应采用低转速、低噪音产品，采用高强度铝合金搭扣结构组合而成，风</w:t>
      </w:r>
      <w:r>
        <w:rPr>
          <w:rFonts w:hint="eastAsia"/>
          <w:color w:val="auto"/>
          <w:highlight w:val="none"/>
          <w:shd w:val="clear" w:color="auto" w:fill="auto"/>
        </w:rPr>
        <w:t>量大，噪音低，无震动，长寿命，冷却均匀，安装拆卸方便。在强迫风冷（</w:t>
      </w:r>
      <w:r>
        <w:rPr>
          <w:color w:val="auto"/>
          <w:highlight w:val="none"/>
          <w:shd w:val="clear" w:color="auto" w:fill="auto"/>
        </w:rPr>
        <w:t>AF</w:t>
      </w:r>
      <w:r>
        <w:rPr>
          <w:rFonts w:hint="eastAsia"/>
          <w:color w:val="auto"/>
          <w:highlight w:val="none"/>
          <w:shd w:val="clear" w:color="auto" w:fill="auto"/>
        </w:rPr>
        <w:t>）运行方式下，在正常环境温度下，变压器可过载</w:t>
      </w:r>
      <w:r>
        <w:rPr>
          <w:color w:val="auto"/>
          <w:highlight w:val="none"/>
          <w:shd w:val="clear" w:color="auto" w:fill="auto"/>
        </w:rPr>
        <w:t>40%</w:t>
      </w:r>
      <w:r>
        <w:rPr>
          <w:rFonts w:hint="eastAsia"/>
          <w:color w:val="auto"/>
          <w:highlight w:val="none"/>
          <w:shd w:val="clear" w:color="auto" w:fill="auto"/>
        </w:rPr>
        <w:t>～</w:t>
      </w:r>
      <w:r>
        <w:rPr>
          <w:color w:val="auto"/>
          <w:highlight w:val="none"/>
          <w:shd w:val="clear" w:color="auto" w:fill="auto"/>
        </w:rPr>
        <w:t>50%</w:t>
      </w:r>
      <w:r>
        <w:rPr>
          <w:rFonts w:hint="eastAsia"/>
          <w:color w:val="auto"/>
          <w:highlight w:val="none"/>
          <w:shd w:val="clear" w:color="auto" w:fill="auto"/>
        </w:rPr>
        <w:t>，亦能承受</w:t>
      </w:r>
      <w:r>
        <w:rPr>
          <w:color w:val="auto"/>
          <w:highlight w:val="none"/>
          <w:shd w:val="clear" w:color="auto" w:fill="auto"/>
        </w:rPr>
        <w:t>80%</w:t>
      </w:r>
      <w:r>
        <w:rPr>
          <w:rFonts w:hint="eastAsia"/>
          <w:color w:val="auto"/>
          <w:highlight w:val="none"/>
          <w:shd w:val="clear" w:color="auto" w:fill="auto"/>
        </w:rPr>
        <w:t>的突加负载，适用于备急救过负荷或断续过负荷时运行。风扇的连续运行寿命应大于8年。</w:t>
      </w:r>
      <w:r>
        <w:rPr>
          <w:rFonts w:hint="eastAsia" w:ascii="宋体" w:hAnsi="宋体"/>
          <w:color w:val="auto"/>
          <w:highlight w:val="none"/>
          <w:shd w:val="clear" w:color="auto" w:fill="auto"/>
        </w:rPr>
        <w:t>变压器本体上部母线套绝缘护套，并加黄、绿、红色标以区别相序。</w:t>
      </w:r>
      <w:r>
        <w:rPr>
          <w:rFonts w:hint="eastAsia"/>
          <w:color w:val="auto"/>
          <w:highlight w:val="none"/>
          <w:shd w:val="clear" w:color="auto" w:fill="auto"/>
        </w:rPr>
        <w:t>变压器外壳采用厚度</w:t>
      </w:r>
      <w:r>
        <w:rPr>
          <w:color w:val="auto"/>
          <w:highlight w:val="none"/>
          <w:shd w:val="clear" w:color="auto" w:fill="auto"/>
        </w:rPr>
        <w:t>≥</w:t>
      </w:r>
      <w:r>
        <w:rPr>
          <w:rFonts w:hint="eastAsia"/>
          <w:color w:val="auto"/>
          <w:highlight w:val="none"/>
          <w:shd w:val="clear" w:color="auto" w:fill="auto"/>
        </w:rPr>
        <w:t>2</w:t>
      </w:r>
      <w:r>
        <w:rPr>
          <w:color w:val="auto"/>
          <w:highlight w:val="none"/>
          <w:shd w:val="clear" w:color="auto" w:fill="auto"/>
        </w:rPr>
        <w:t>.5MM</w:t>
      </w:r>
      <w:r>
        <w:rPr>
          <w:rFonts w:hint="eastAsia"/>
          <w:color w:val="auto"/>
          <w:highlight w:val="none"/>
          <w:shd w:val="clear" w:color="auto" w:fill="auto"/>
        </w:rPr>
        <w:t>优质不锈钢板，防护等级IP20。变压器主绝缘及全部辅助有机绝缘件，均应具有阻燃性能。变压器运行寿命大于30年。</w:t>
      </w:r>
    </w:p>
    <w:p>
      <w:pPr>
        <w:pStyle w:val="22"/>
        <w:spacing w:after="0" w:line="360" w:lineRule="auto"/>
        <w:ind w:left="0" w:leftChars="0" w:firstLine="480" w:firstLineChars="200"/>
        <w:rPr>
          <w:rFonts w:ascii="宋体" w:hAnsi="宋体"/>
          <w:color w:val="auto"/>
          <w:kern w:val="2"/>
          <w:sz w:val="24"/>
          <w:highlight w:val="none"/>
          <w:shd w:val="clear" w:color="auto" w:fill="auto"/>
        </w:rPr>
      </w:pPr>
      <w:r>
        <w:rPr>
          <w:rFonts w:hint="eastAsia"/>
          <w:color w:val="auto"/>
          <w:kern w:val="2"/>
          <w:sz w:val="24"/>
          <w:highlight w:val="none"/>
          <w:shd w:val="clear" w:color="auto" w:fill="auto"/>
        </w:rPr>
        <w:t>招标方有权将合同到货设备送到第三方权威检测机构进行检测，相应产生的运输、检测等费用，如果检测结果为合格由招标方承担，如果检测结果为不合格由投</w:t>
      </w:r>
      <w:r>
        <w:rPr>
          <w:rFonts w:hint="eastAsia" w:ascii="宋体" w:hAnsi="宋体"/>
          <w:color w:val="auto"/>
          <w:kern w:val="2"/>
          <w:sz w:val="24"/>
          <w:highlight w:val="none"/>
          <w:shd w:val="clear" w:color="auto" w:fill="auto"/>
        </w:rPr>
        <w:t>标方承担。</w:t>
      </w:r>
    </w:p>
    <w:p>
      <w:pPr>
        <w:pStyle w:val="13"/>
        <w:spacing w:after="0" w:line="360" w:lineRule="auto"/>
        <w:rPr>
          <w:rFonts w:hAnsi="宋体"/>
          <w:color w:val="auto"/>
          <w:sz w:val="24"/>
          <w:szCs w:val="24"/>
          <w:highlight w:val="none"/>
          <w:shd w:val="clear" w:color="auto" w:fill="auto"/>
        </w:rPr>
      </w:pPr>
      <w:r>
        <w:rPr>
          <w:rFonts w:hint="eastAsia" w:cs="仿宋"/>
          <w:b/>
          <w:bCs/>
          <w:color w:val="auto"/>
          <w:szCs w:val="21"/>
          <w:highlight w:val="none"/>
          <w:shd w:val="clear" w:color="auto" w:fill="auto"/>
        </w:rPr>
        <w:t>■</w:t>
      </w:r>
      <w:r>
        <w:rPr>
          <w:rFonts w:hint="eastAsia" w:hAnsi="宋体"/>
          <w:b/>
          <w:bCs/>
          <w:color w:val="auto"/>
          <w:sz w:val="24"/>
          <w:szCs w:val="24"/>
          <w:highlight w:val="none"/>
          <w:shd w:val="clear" w:color="auto" w:fill="auto"/>
        </w:rPr>
        <w:t>投标产品</w:t>
      </w:r>
      <w:r>
        <w:rPr>
          <w:rFonts w:hAnsi="宋体"/>
          <w:b/>
          <w:bCs/>
          <w:color w:val="auto"/>
          <w:sz w:val="24"/>
          <w:szCs w:val="24"/>
          <w:highlight w:val="none"/>
          <w:shd w:val="clear" w:color="auto" w:fill="auto"/>
        </w:rPr>
        <w:t>（普通干式变压器）须至少提供一个</w:t>
      </w:r>
      <w:r>
        <w:rPr>
          <w:rFonts w:hint="eastAsia" w:hAnsi="宋体"/>
          <w:b/>
          <w:bCs/>
          <w:color w:val="auto"/>
          <w:sz w:val="24"/>
          <w:szCs w:val="24"/>
          <w:highlight w:val="none"/>
          <w:shd w:val="clear" w:color="auto" w:fill="auto"/>
        </w:rPr>
        <w:t>合法、有效期</w:t>
      </w:r>
      <w:r>
        <w:rPr>
          <w:rFonts w:hAnsi="宋体"/>
          <w:b/>
          <w:bCs/>
          <w:color w:val="auto"/>
          <w:sz w:val="24"/>
          <w:szCs w:val="24"/>
          <w:highlight w:val="none"/>
          <w:shd w:val="clear" w:color="auto" w:fill="auto"/>
        </w:rPr>
        <w:t>内</w:t>
      </w:r>
      <w:r>
        <w:rPr>
          <w:rFonts w:hint="eastAsia" w:hAnsi="宋体"/>
          <w:b/>
          <w:bCs/>
          <w:color w:val="auto"/>
          <w:sz w:val="24"/>
          <w:szCs w:val="24"/>
          <w:highlight w:val="none"/>
          <w:shd w:val="clear" w:color="auto" w:fill="auto"/>
        </w:rPr>
        <w:t>的国家认定或授权的机构（通过CMA和CNAS认证</w:t>
      </w:r>
      <w:r>
        <w:rPr>
          <w:rFonts w:hAnsi="宋体"/>
          <w:b/>
          <w:bCs/>
          <w:color w:val="auto"/>
          <w:sz w:val="24"/>
          <w:szCs w:val="24"/>
          <w:highlight w:val="none"/>
          <w:shd w:val="clear" w:color="auto" w:fill="auto"/>
        </w:rPr>
        <w:t>的检测机构</w:t>
      </w:r>
      <w:r>
        <w:rPr>
          <w:rFonts w:hint="eastAsia" w:hAnsi="宋体"/>
          <w:b/>
          <w:bCs/>
          <w:color w:val="auto"/>
          <w:sz w:val="24"/>
          <w:szCs w:val="24"/>
          <w:highlight w:val="none"/>
          <w:shd w:val="clear" w:color="auto" w:fill="auto"/>
        </w:rPr>
        <w:t>）出具的投标产品所属系列</w:t>
      </w:r>
      <w:r>
        <w:rPr>
          <w:rFonts w:hAnsi="宋体"/>
          <w:b/>
          <w:bCs/>
          <w:color w:val="auto"/>
          <w:sz w:val="24"/>
          <w:szCs w:val="24"/>
          <w:highlight w:val="none"/>
          <w:shd w:val="clear" w:color="auto" w:fill="auto"/>
        </w:rPr>
        <w:t>的</w:t>
      </w:r>
      <w:r>
        <w:rPr>
          <w:rFonts w:hint="eastAsia" w:hAnsi="宋体"/>
          <w:b/>
          <w:bCs/>
          <w:color w:val="auto"/>
          <w:sz w:val="24"/>
          <w:szCs w:val="24"/>
          <w:highlight w:val="none"/>
          <w:shd w:val="clear" w:color="auto" w:fill="auto"/>
        </w:rPr>
        <w:t>检测合格认证报告（额定容量SCB11-2000或以上的型式试验报告）。</w:t>
      </w:r>
    </w:p>
    <w:p>
      <w:pPr>
        <w:rPr>
          <w:color w:val="auto"/>
          <w:highlight w:val="none"/>
          <w:shd w:val="clear" w:color="auto" w:fill="auto"/>
        </w:rPr>
      </w:pPr>
      <w:r>
        <w:rPr>
          <w:rFonts w:hint="eastAsia" w:cs="仿宋"/>
          <w:b/>
          <w:bCs/>
          <w:color w:val="auto"/>
          <w:szCs w:val="21"/>
          <w:highlight w:val="none"/>
          <w:shd w:val="clear" w:color="auto" w:fill="auto"/>
        </w:rPr>
        <w:t>■</w:t>
      </w:r>
      <w:r>
        <w:rPr>
          <w:rFonts w:hint="eastAsia"/>
          <w:b/>
          <w:bCs/>
          <w:color w:val="auto"/>
          <w:highlight w:val="none"/>
          <w:shd w:val="clear" w:color="auto" w:fill="auto"/>
        </w:rPr>
        <w:t>需提供设备厂家针对本项目的授权及承诺函。</w:t>
      </w:r>
    </w:p>
    <w:p>
      <w:pPr>
        <w:pStyle w:val="2"/>
        <w:spacing w:before="0" w:line="360" w:lineRule="auto"/>
        <w:jc w:val="left"/>
        <w:rPr>
          <w:rFonts w:ascii="仿宋" w:hAnsi="宋体" w:eastAsia="仿宋" w:cs="仿宋_GB2312"/>
          <w:bCs/>
          <w:smallCaps w:val="0"/>
          <w:color w:val="auto"/>
          <w:spacing w:val="0"/>
          <w:sz w:val="24"/>
          <w:szCs w:val="24"/>
          <w:highlight w:val="none"/>
          <w:shd w:val="clear" w:color="auto" w:fill="auto"/>
        </w:rPr>
      </w:pPr>
      <w:r>
        <w:rPr>
          <w:rFonts w:hint="eastAsia" w:ascii="仿宋" w:hAnsi="宋体" w:eastAsia="仿宋" w:cs="仿宋_GB2312"/>
          <w:bCs/>
          <w:smallCaps w:val="0"/>
          <w:color w:val="auto"/>
          <w:spacing w:val="0"/>
          <w:sz w:val="24"/>
          <w:szCs w:val="24"/>
          <w:highlight w:val="none"/>
          <w:shd w:val="clear" w:color="auto" w:fill="auto"/>
        </w:rPr>
        <w:t>4.4.高低压配电设备</w:t>
      </w:r>
    </w:p>
    <w:p>
      <w:pPr>
        <w:spacing w:after="0" w:line="360" w:lineRule="auto"/>
        <w:outlineLvl w:val="1"/>
        <w:rPr>
          <w:rFonts w:hAnsi="宋体" w:cs="仿宋_GB2312"/>
          <w:b/>
          <w:bCs/>
          <w:color w:val="auto"/>
          <w:highlight w:val="none"/>
          <w:shd w:val="clear" w:color="auto" w:fill="auto"/>
        </w:rPr>
      </w:pPr>
      <w:r>
        <w:rPr>
          <w:rFonts w:hint="eastAsia" w:hAnsi="宋体" w:cs="仿宋_GB2312"/>
          <w:b/>
          <w:bCs/>
          <w:color w:val="auto"/>
          <w:highlight w:val="none"/>
          <w:shd w:val="clear" w:color="auto" w:fill="auto"/>
        </w:rPr>
        <w:t>4.4.1范围</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按照供电部门的相关规范以及招标文件要求执行.</w:t>
      </w:r>
    </w:p>
    <w:p>
      <w:pPr>
        <w:spacing w:after="0" w:line="360" w:lineRule="auto"/>
        <w:ind w:firstLine="420"/>
        <w:rPr>
          <w:rFonts w:hAnsi="宋体" w:cs="仿宋_GB2312"/>
          <w:color w:val="auto"/>
          <w:highlight w:val="none"/>
          <w:shd w:val="clear" w:color="auto" w:fill="auto"/>
        </w:rPr>
      </w:pPr>
      <w:bookmarkStart w:id="39" w:name="_Toc157004160"/>
      <w:r>
        <w:rPr>
          <w:rFonts w:hint="eastAsia" w:hAnsi="宋体" w:cs="仿宋_GB2312"/>
          <w:color w:val="auto"/>
          <w:highlight w:val="none"/>
          <w:shd w:val="clear" w:color="auto" w:fill="auto"/>
        </w:rPr>
        <w:t>①一般规定</w:t>
      </w:r>
      <w:bookmarkEnd w:id="39"/>
      <w:bookmarkStart w:id="40" w:name="_Toc157004164"/>
      <w:r>
        <w:rPr>
          <w:rFonts w:hint="eastAsia" w:hAnsi="宋体" w:cs="仿宋_GB2312"/>
          <w:color w:val="auto"/>
          <w:highlight w:val="none"/>
          <w:shd w:val="clear" w:color="auto" w:fill="auto"/>
        </w:rPr>
        <w:t>标准和规范</w:t>
      </w:r>
      <w:bookmarkEnd w:id="40"/>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合同中所有设备、备品备件，包括投标人自其他单位获得的所有附件和设备，除本规范书中规定的技术参数和要求外，其余均应遵照最新版本的电力行业标准（DL）、国家标准（GB）和IEC标准及国际单位制（SI），这是对设备的最低要求。投标人如果采用自己的标准或规范，必须向招标人提供中文复印件并经招标人同意后方可采用，但不能低于DL、GB和IEC的有关规定。</w:t>
      </w:r>
    </w:p>
    <w:p>
      <w:pPr>
        <w:spacing w:after="0" w:line="360" w:lineRule="auto"/>
        <w:outlineLvl w:val="1"/>
        <w:rPr>
          <w:rFonts w:hAnsi="宋体" w:cs="仿宋_GB2312"/>
          <w:b/>
          <w:bCs/>
          <w:color w:val="auto"/>
          <w:highlight w:val="none"/>
          <w:shd w:val="clear" w:color="auto" w:fill="auto"/>
        </w:rPr>
      </w:pPr>
      <w:r>
        <w:rPr>
          <w:rFonts w:hint="eastAsia" w:hAnsi="宋体" w:cs="仿宋_GB2312"/>
          <w:b/>
          <w:bCs/>
          <w:color w:val="auto"/>
          <w:highlight w:val="none"/>
          <w:shd w:val="clear" w:color="auto" w:fill="auto"/>
        </w:rPr>
        <w:t>4.4.2执行的标准</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GB3906-2006</w:t>
      </w:r>
      <w:r>
        <w:rPr>
          <w:rFonts w:hint="eastAsia" w:hAnsi="宋体" w:cs="仿宋_GB2312"/>
          <w:color w:val="auto"/>
          <w:highlight w:val="none"/>
          <w:shd w:val="clear" w:color="auto" w:fill="auto"/>
        </w:rPr>
        <w:tab/>
      </w:r>
      <w:r>
        <w:rPr>
          <w:rFonts w:hint="eastAsia" w:hAnsi="宋体" w:cs="仿宋_GB2312"/>
          <w:color w:val="auto"/>
          <w:highlight w:val="none"/>
          <w:shd w:val="clear" w:color="auto" w:fill="auto"/>
        </w:rPr>
        <w:t xml:space="preserve">         3.6～40.5kV交流金属封闭开关设备</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 xml:space="preserve">GB311.1-1997     </w:t>
      </w:r>
      <w:r>
        <w:rPr>
          <w:rFonts w:hint="eastAsia" w:hAnsi="宋体" w:cs="仿宋_GB2312"/>
          <w:color w:val="auto"/>
          <w:highlight w:val="none"/>
          <w:shd w:val="clear" w:color="auto" w:fill="auto"/>
        </w:rPr>
        <w:tab/>
      </w:r>
      <w:r>
        <w:rPr>
          <w:rFonts w:hint="eastAsia" w:hAnsi="宋体" w:cs="仿宋_GB2312"/>
          <w:color w:val="auto"/>
          <w:highlight w:val="none"/>
          <w:shd w:val="clear" w:color="auto" w:fill="auto"/>
        </w:rPr>
        <w:t>高压输变电设备的绝缘配合</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GB/T311.2-2002</w:t>
      </w:r>
      <w:r>
        <w:rPr>
          <w:rFonts w:hint="eastAsia" w:hAnsi="宋体" w:cs="仿宋_GB2312"/>
          <w:color w:val="auto"/>
          <w:highlight w:val="none"/>
          <w:shd w:val="clear" w:color="auto" w:fill="auto"/>
        </w:rPr>
        <w:tab/>
      </w:r>
      <w:r>
        <w:rPr>
          <w:rFonts w:hint="eastAsia" w:hAnsi="宋体" w:cs="仿宋_GB2312"/>
          <w:color w:val="auto"/>
          <w:highlight w:val="none"/>
          <w:shd w:val="clear" w:color="auto" w:fill="auto"/>
        </w:rPr>
        <w:t>绝缘配合第2部分：高压输变电设备的绝缘配合使用导则</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 xml:space="preserve">GB/T16927.1-1997 </w:t>
      </w:r>
      <w:r>
        <w:rPr>
          <w:rFonts w:hint="eastAsia" w:hAnsi="宋体" w:cs="仿宋_GB2312"/>
          <w:color w:val="auto"/>
          <w:highlight w:val="none"/>
          <w:shd w:val="clear" w:color="auto" w:fill="auto"/>
        </w:rPr>
        <w:tab/>
      </w:r>
      <w:r>
        <w:rPr>
          <w:rFonts w:hint="eastAsia" w:hAnsi="宋体" w:cs="仿宋_GB2312"/>
          <w:color w:val="auto"/>
          <w:highlight w:val="none"/>
          <w:shd w:val="clear" w:color="auto" w:fill="auto"/>
        </w:rPr>
        <w:t>高电压试验技术第1部分：一般试验要求</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GB/T16927.2-1997</w:t>
      </w:r>
      <w:r>
        <w:rPr>
          <w:rFonts w:hint="eastAsia" w:hAnsi="宋体" w:cs="仿宋_GB2312"/>
          <w:color w:val="auto"/>
          <w:highlight w:val="none"/>
          <w:shd w:val="clear" w:color="auto" w:fill="auto"/>
        </w:rPr>
        <w:tab/>
      </w:r>
      <w:r>
        <w:rPr>
          <w:rFonts w:hint="eastAsia" w:hAnsi="宋体" w:cs="仿宋_GB2312"/>
          <w:color w:val="auto"/>
          <w:highlight w:val="none"/>
          <w:shd w:val="clear" w:color="auto" w:fill="auto"/>
        </w:rPr>
        <w:t>高电压试验技术第2部分：测量系统</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GB/T311.6-2005</w:t>
      </w:r>
      <w:r>
        <w:rPr>
          <w:rFonts w:hint="eastAsia" w:hAnsi="宋体" w:cs="仿宋_GB2312"/>
          <w:color w:val="auto"/>
          <w:highlight w:val="none"/>
          <w:shd w:val="clear" w:color="auto" w:fill="auto"/>
        </w:rPr>
        <w:tab/>
      </w:r>
      <w:r>
        <w:rPr>
          <w:rFonts w:hint="eastAsia" w:hAnsi="宋体" w:cs="仿宋_GB2312"/>
          <w:color w:val="auto"/>
          <w:highlight w:val="none"/>
          <w:shd w:val="clear" w:color="auto" w:fill="auto"/>
        </w:rPr>
        <w:t>高电压测量标准空气间隙</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 xml:space="preserve">GB/T11022-1999   </w:t>
      </w:r>
      <w:r>
        <w:rPr>
          <w:rFonts w:hint="eastAsia" w:hAnsi="宋体" w:cs="仿宋_GB2312"/>
          <w:color w:val="auto"/>
          <w:highlight w:val="none"/>
          <w:shd w:val="clear" w:color="auto" w:fill="auto"/>
        </w:rPr>
        <w:tab/>
      </w:r>
      <w:r>
        <w:rPr>
          <w:rFonts w:hint="eastAsia" w:hAnsi="宋体" w:cs="仿宋_GB2312"/>
          <w:color w:val="auto"/>
          <w:highlight w:val="none"/>
          <w:shd w:val="clear" w:color="auto" w:fill="auto"/>
        </w:rPr>
        <w:t>高压开关设备和控制设备标准的共用技术要求</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 xml:space="preserve">GB1984-2003      </w:t>
      </w:r>
      <w:r>
        <w:rPr>
          <w:rFonts w:hint="eastAsia" w:hAnsi="宋体" w:cs="仿宋_GB2312"/>
          <w:color w:val="auto"/>
          <w:highlight w:val="none"/>
          <w:shd w:val="clear" w:color="auto" w:fill="auto"/>
        </w:rPr>
        <w:tab/>
      </w:r>
      <w:r>
        <w:rPr>
          <w:rFonts w:hint="eastAsia" w:hAnsi="宋体" w:cs="仿宋_GB2312"/>
          <w:color w:val="auto"/>
          <w:highlight w:val="none"/>
          <w:shd w:val="clear" w:color="auto" w:fill="auto"/>
        </w:rPr>
        <w:t>高压交流断路器</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 xml:space="preserve">GB1985-2004      </w:t>
      </w:r>
      <w:r>
        <w:rPr>
          <w:rFonts w:hint="eastAsia" w:hAnsi="宋体" w:cs="仿宋_GB2312"/>
          <w:color w:val="auto"/>
          <w:highlight w:val="none"/>
          <w:shd w:val="clear" w:color="auto" w:fill="auto"/>
        </w:rPr>
        <w:tab/>
      </w:r>
      <w:r>
        <w:rPr>
          <w:rFonts w:hint="eastAsia" w:hAnsi="宋体" w:cs="仿宋_GB2312"/>
          <w:color w:val="auto"/>
          <w:highlight w:val="none"/>
          <w:shd w:val="clear" w:color="auto" w:fill="auto"/>
        </w:rPr>
        <w:t>高压交流隔离开关和接地开关</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 xml:space="preserve">GB1207-1997      </w:t>
      </w:r>
      <w:r>
        <w:rPr>
          <w:rFonts w:hint="eastAsia" w:hAnsi="宋体" w:cs="仿宋_GB2312"/>
          <w:color w:val="auto"/>
          <w:highlight w:val="none"/>
          <w:shd w:val="clear" w:color="auto" w:fill="auto"/>
        </w:rPr>
        <w:tab/>
      </w:r>
      <w:r>
        <w:rPr>
          <w:rFonts w:hint="eastAsia" w:hAnsi="宋体" w:cs="仿宋_GB2312"/>
          <w:color w:val="auto"/>
          <w:highlight w:val="none"/>
          <w:shd w:val="clear" w:color="auto" w:fill="auto"/>
        </w:rPr>
        <w:t>电压互感器</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GB1208-1997</w:t>
      </w:r>
      <w:r>
        <w:rPr>
          <w:rFonts w:hint="eastAsia" w:hAnsi="宋体" w:cs="仿宋_GB2312"/>
          <w:color w:val="auto"/>
          <w:highlight w:val="none"/>
          <w:shd w:val="clear" w:color="auto" w:fill="auto"/>
        </w:rPr>
        <w:tab/>
      </w:r>
      <w:r>
        <w:rPr>
          <w:rFonts w:hint="eastAsia" w:hAnsi="宋体" w:cs="仿宋_GB2312"/>
          <w:color w:val="auto"/>
          <w:highlight w:val="none"/>
          <w:shd w:val="clear" w:color="auto" w:fill="auto"/>
        </w:rPr>
        <w:t>电流互感器</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 xml:space="preserve">GB11032-2000     </w:t>
      </w:r>
      <w:r>
        <w:rPr>
          <w:rFonts w:hint="eastAsia" w:hAnsi="宋体" w:cs="仿宋_GB2312"/>
          <w:color w:val="auto"/>
          <w:highlight w:val="none"/>
          <w:shd w:val="clear" w:color="auto" w:fill="auto"/>
        </w:rPr>
        <w:tab/>
      </w:r>
      <w:r>
        <w:rPr>
          <w:rFonts w:hint="eastAsia" w:hAnsi="宋体" w:cs="仿宋_GB2312"/>
          <w:color w:val="auto"/>
          <w:highlight w:val="none"/>
          <w:shd w:val="clear" w:color="auto" w:fill="auto"/>
        </w:rPr>
        <w:t>交流无间隙金属氧化物避雷器</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 xml:space="preserve">GB/T772-2005     </w:t>
      </w:r>
      <w:r>
        <w:rPr>
          <w:rFonts w:hint="eastAsia" w:hAnsi="宋体" w:cs="仿宋_GB2312"/>
          <w:color w:val="auto"/>
          <w:highlight w:val="none"/>
          <w:shd w:val="clear" w:color="auto" w:fill="auto"/>
        </w:rPr>
        <w:tab/>
      </w:r>
      <w:r>
        <w:rPr>
          <w:rFonts w:hint="eastAsia" w:hAnsi="宋体" w:cs="仿宋_GB2312"/>
          <w:color w:val="auto"/>
          <w:highlight w:val="none"/>
          <w:shd w:val="clear" w:color="auto" w:fill="auto"/>
        </w:rPr>
        <w:t>高压绝缘子瓷件、技术条件</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 xml:space="preserve">GB8287.1-1998    </w:t>
      </w:r>
      <w:r>
        <w:rPr>
          <w:rFonts w:hint="eastAsia" w:hAnsi="宋体" w:cs="仿宋_GB2312"/>
          <w:color w:val="auto"/>
          <w:highlight w:val="none"/>
          <w:shd w:val="clear" w:color="auto" w:fill="auto"/>
        </w:rPr>
        <w:tab/>
      </w:r>
      <w:r>
        <w:rPr>
          <w:rFonts w:hint="eastAsia" w:hAnsi="宋体" w:cs="仿宋_GB2312"/>
          <w:color w:val="auto"/>
          <w:highlight w:val="none"/>
          <w:shd w:val="clear" w:color="auto" w:fill="auto"/>
        </w:rPr>
        <w:t>高压支柱瓷绝缘子第1部分：技术条件</w:t>
      </w:r>
    </w:p>
    <w:p>
      <w:pPr>
        <w:spacing w:after="0" w:line="360" w:lineRule="auto"/>
        <w:ind w:firstLine="420"/>
        <w:rPr>
          <w:rFonts w:hAnsi="宋体"/>
          <w:color w:val="auto"/>
          <w:highlight w:val="none"/>
          <w:shd w:val="clear" w:color="auto" w:fill="auto"/>
        </w:rPr>
      </w:pPr>
      <w:r>
        <w:rPr>
          <w:rFonts w:hint="eastAsia" w:hAnsi="宋体" w:cs="仿宋_GB2312"/>
          <w:color w:val="auto"/>
          <w:highlight w:val="none"/>
          <w:shd w:val="clear" w:color="auto" w:fill="auto"/>
        </w:rPr>
        <w:t>GB8287.2-1999</w:t>
      </w:r>
      <w:r>
        <w:rPr>
          <w:rFonts w:hint="eastAsia" w:hAnsi="宋体" w:cs="仿宋_GB2312"/>
          <w:color w:val="auto"/>
          <w:highlight w:val="none"/>
          <w:shd w:val="clear" w:color="auto" w:fill="auto"/>
        </w:rPr>
        <w:tab/>
      </w:r>
      <w:r>
        <w:rPr>
          <w:rFonts w:hint="eastAsia" w:hAnsi="宋体" w:cs="仿宋_GB2312"/>
          <w:color w:val="auto"/>
          <w:highlight w:val="none"/>
          <w:shd w:val="clear" w:color="auto" w:fill="auto"/>
        </w:rPr>
        <w:t>高压支柱瓷绝缘子第2部分：尺寸与特性</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DL/T403-2000</w:t>
      </w:r>
      <w:r>
        <w:rPr>
          <w:rFonts w:hint="eastAsia" w:hAnsi="宋体" w:cs="仿宋_GB2312"/>
          <w:color w:val="auto"/>
          <w:highlight w:val="none"/>
          <w:shd w:val="clear" w:color="auto" w:fill="auto"/>
        </w:rPr>
        <w:tab/>
      </w:r>
      <w:r>
        <w:rPr>
          <w:rFonts w:hint="eastAsia" w:hAnsi="宋体" w:cs="仿宋_GB2312"/>
          <w:color w:val="auto"/>
          <w:highlight w:val="none"/>
          <w:shd w:val="clear" w:color="auto" w:fill="auto"/>
        </w:rPr>
        <w:t xml:space="preserve">        12～40.5kV高压真空断路器订货技术条件</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DL/T402-1999</w:t>
      </w:r>
      <w:r>
        <w:rPr>
          <w:rFonts w:hint="eastAsia" w:hAnsi="宋体" w:cs="仿宋_GB2312"/>
          <w:color w:val="auto"/>
          <w:highlight w:val="none"/>
          <w:shd w:val="clear" w:color="auto" w:fill="auto"/>
        </w:rPr>
        <w:tab/>
      </w:r>
      <w:r>
        <w:rPr>
          <w:rFonts w:hint="eastAsia" w:hAnsi="宋体" w:cs="仿宋_GB2312"/>
          <w:color w:val="auto"/>
          <w:highlight w:val="none"/>
          <w:shd w:val="clear" w:color="auto" w:fill="auto"/>
        </w:rPr>
        <w:t>交流高压断路器订货技术条件</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DL/T596-1996</w:t>
      </w:r>
      <w:r>
        <w:rPr>
          <w:rFonts w:hint="eastAsia" w:hAnsi="宋体" w:cs="仿宋_GB2312"/>
          <w:color w:val="auto"/>
          <w:highlight w:val="none"/>
          <w:shd w:val="clear" w:color="auto" w:fill="auto"/>
        </w:rPr>
        <w:tab/>
      </w:r>
      <w:r>
        <w:rPr>
          <w:rFonts w:hint="eastAsia" w:hAnsi="宋体" w:cs="仿宋_GB2312"/>
          <w:color w:val="auto"/>
          <w:highlight w:val="none"/>
          <w:shd w:val="clear" w:color="auto" w:fill="auto"/>
        </w:rPr>
        <w:t>电力设备预防性试验规程</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DL/T593-2006          高压开关设备和控制设备标准的共用技术要求</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（2）低压类：</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IEC439-1             《低压成套开关设备和控制设备》</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GB7251-97            《低压成套开关设备》</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GB50054-95           《低压配电系统设计规范》</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DL/T620              《交流电器装置的过压保护和绝缘配合》</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GB3681               《电工成套装置的导线颜色》</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CECS49:93            《低压成套开关设备验收规程》</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GB/T14048.1-2000     《低压开关设备和控制设备总则》</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GB14048.2-2000       《低压开关设备和控制设备断路器》</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GB5877               《低压固定封闭式成套开关设备》</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GB11032-89          《交流无间隙金属氧化物避雷器》</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GB50150-91           《电气装置安装工程－电气设备交接试验标准》</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GB50171-92           《电气装置安装工程－盘、柜及二次回路接线施工及验收规范》</w:t>
      </w:r>
    </w:p>
    <w:p>
      <w:pPr>
        <w:spacing w:after="0" w:line="360" w:lineRule="auto"/>
        <w:ind w:firstLine="420"/>
        <w:rPr>
          <w:rFonts w:hAnsi="宋体" w:cs="仿宋_GB2312"/>
          <w:color w:val="auto"/>
          <w:highlight w:val="none"/>
          <w:shd w:val="clear" w:color="auto" w:fill="auto"/>
        </w:rPr>
      </w:pPr>
      <w:r>
        <w:rPr>
          <w:rFonts w:hint="eastAsia" w:hAnsi="宋体" w:cs="仿宋_GB2312"/>
          <w:color w:val="auto"/>
          <w:highlight w:val="none"/>
          <w:shd w:val="clear" w:color="auto" w:fill="auto"/>
        </w:rPr>
        <w:t>IEC99                《避雷器》</w:t>
      </w:r>
    </w:p>
    <w:p>
      <w:pPr>
        <w:spacing w:after="0" w:line="360" w:lineRule="auto"/>
        <w:outlineLvl w:val="1"/>
        <w:rPr>
          <w:rFonts w:hAnsi="宋体"/>
          <w:b/>
          <w:bCs/>
          <w:color w:val="auto"/>
          <w:highlight w:val="none"/>
          <w:shd w:val="clear" w:color="auto" w:fill="auto"/>
        </w:rPr>
      </w:pPr>
    </w:p>
    <w:p>
      <w:pPr>
        <w:spacing w:after="0" w:line="360" w:lineRule="auto"/>
        <w:outlineLvl w:val="1"/>
        <w:rPr>
          <w:rFonts w:hAnsi="宋体"/>
          <w:b/>
          <w:bCs/>
          <w:color w:val="auto"/>
          <w:highlight w:val="none"/>
          <w:shd w:val="clear" w:color="auto" w:fill="auto"/>
        </w:rPr>
      </w:pPr>
      <w:r>
        <w:rPr>
          <w:rFonts w:hint="eastAsia" w:hAnsi="宋体"/>
          <w:b/>
          <w:bCs/>
          <w:color w:val="auto"/>
          <w:highlight w:val="none"/>
          <w:shd w:val="clear" w:color="auto" w:fill="auto"/>
        </w:rPr>
        <w:t>4.4.3使用方式及环境</w:t>
      </w:r>
    </w:p>
    <w:p>
      <w:pPr>
        <w:spacing w:after="0" w:line="360" w:lineRule="auto"/>
        <w:ind w:right="70"/>
        <w:rPr>
          <w:rFonts w:hAnsi="宋体" w:eastAsia="宋体"/>
          <w:color w:val="auto"/>
          <w:highlight w:val="none"/>
          <w:shd w:val="clear" w:color="auto" w:fill="auto"/>
        </w:rPr>
      </w:pPr>
      <w:r>
        <w:rPr>
          <w:rFonts w:hAnsi="宋体"/>
          <w:color w:val="auto"/>
          <w:highlight w:val="none"/>
          <w:shd w:val="clear" w:color="auto" w:fill="auto"/>
        </w:rPr>
        <w:t>（1）</w:t>
      </w:r>
      <w:r>
        <w:rPr>
          <w:rFonts w:hint="eastAsia" w:hAnsi="宋体"/>
          <w:color w:val="auto"/>
          <w:highlight w:val="none"/>
          <w:shd w:val="clear" w:color="auto" w:fill="auto"/>
        </w:rPr>
        <w:t>安装地点：户内及户外</w:t>
      </w:r>
    </w:p>
    <w:p>
      <w:pPr>
        <w:spacing w:after="0" w:line="360" w:lineRule="auto"/>
        <w:ind w:right="70"/>
        <w:rPr>
          <w:rFonts w:hAnsi="宋体"/>
          <w:color w:val="auto"/>
          <w:highlight w:val="none"/>
          <w:shd w:val="clear" w:color="auto" w:fill="auto"/>
        </w:rPr>
      </w:pPr>
      <w:r>
        <w:rPr>
          <w:rFonts w:hint="eastAsia" w:hAnsi="宋体"/>
          <w:color w:val="auto"/>
          <w:highlight w:val="none"/>
          <w:shd w:val="clear" w:color="auto" w:fill="auto"/>
        </w:rPr>
        <w:t>（2）海拔高度：</w:t>
      </w:r>
      <w:r>
        <w:rPr>
          <w:rFonts w:hAnsi="宋体"/>
          <w:color w:val="auto"/>
          <w:highlight w:val="none"/>
          <w:shd w:val="clear" w:color="auto" w:fill="auto"/>
        </w:rPr>
        <w:t>1000m</w:t>
      </w:r>
      <w:r>
        <w:rPr>
          <w:rFonts w:hint="eastAsia" w:hAnsi="宋体"/>
          <w:color w:val="auto"/>
          <w:highlight w:val="none"/>
          <w:shd w:val="clear" w:color="auto" w:fill="auto"/>
        </w:rPr>
        <w:t>以下</w:t>
      </w:r>
    </w:p>
    <w:p>
      <w:pPr>
        <w:spacing w:after="0" w:line="360" w:lineRule="auto"/>
        <w:ind w:right="70"/>
        <w:rPr>
          <w:rFonts w:hAnsi="宋体"/>
          <w:color w:val="auto"/>
          <w:highlight w:val="none"/>
          <w:shd w:val="clear" w:color="auto" w:fill="auto"/>
        </w:rPr>
      </w:pPr>
      <w:r>
        <w:rPr>
          <w:rFonts w:hint="eastAsia" w:hAnsi="宋体"/>
          <w:color w:val="auto"/>
          <w:highlight w:val="none"/>
          <w:shd w:val="clear" w:color="auto" w:fill="auto"/>
        </w:rPr>
        <w:t>（3）环境气温：</w:t>
      </w:r>
      <w:r>
        <w:rPr>
          <w:rFonts w:hAnsi="宋体"/>
          <w:color w:val="auto"/>
          <w:highlight w:val="none"/>
          <w:shd w:val="clear" w:color="auto" w:fill="auto"/>
        </w:rPr>
        <w:t>-10</w:t>
      </w:r>
      <w:r>
        <w:rPr>
          <w:rFonts w:hint="eastAsia" w:hAnsi="宋体"/>
          <w:color w:val="auto"/>
          <w:highlight w:val="none"/>
          <w:shd w:val="clear" w:color="auto" w:fill="auto"/>
        </w:rPr>
        <w:t>℃～</w:t>
      </w:r>
      <w:r>
        <w:rPr>
          <w:rFonts w:hAnsi="宋体"/>
          <w:color w:val="auto"/>
          <w:highlight w:val="none"/>
          <w:shd w:val="clear" w:color="auto" w:fill="auto"/>
        </w:rPr>
        <w:t>+40</w:t>
      </w:r>
      <w:r>
        <w:rPr>
          <w:rFonts w:hint="eastAsia" w:hAnsi="宋体"/>
          <w:color w:val="auto"/>
          <w:highlight w:val="none"/>
          <w:shd w:val="clear" w:color="auto" w:fill="auto"/>
        </w:rPr>
        <w:t>℃</w:t>
      </w:r>
    </w:p>
    <w:p>
      <w:pPr>
        <w:spacing w:after="0" w:line="360" w:lineRule="auto"/>
        <w:ind w:right="70"/>
        <w:rPr>
          <w:rFonts w:hAnsi="宋体"/>
          <w:color w:val="auto"/>
          <w:highlight w:val="none"/>
          <w:shd w:val="clear" w:color="auto" w:fill="auto"/>
        </w:rPr>
      </w:pPr>
      <w:r>
        <w:rPr>
          <w:rFonts w:hint="eastAsia" w:hAnsi="宋体"/>
          <w:color w:val="auto"/>
          <w:highlight w:val="none"/>
          <w:shd w:val="clear" w:color="auto" w:fill="auto"/>
        </w:rPr>
        <w:t>（4）最高日气温：</w:t>
      </w:r>
      <w:r>
        <w:rPr>
          <w:rFonts w:hAnsi="宋体"/>
          <w:color w:val="auto"/>
          <w:highlight w:val="none"/>
          <w:shd w:val="clear" w:color="auto" w:fill="auto"/>
        </w:rPr>
        <w:t>+35</w:t>
      </w:r>
      <w:r>
        <w:rPr>
          <w:rFonts w:hint="eastAsia" w:hAnsi="宋体"/>
          <w:color w:val="auto"/>
          <w:highlight w:val="none"/>
          <w:shd w:val="clear" w:color="auto" w:fill="auto"/>
        </w:rPr>
        <w:t>℃（</w:t>
      </w:r>
      <w:r>
        <w:rPr>
          <w:rFonts w:hAnsi="宋体"/>
          <w:color w:val="auto"/>
          <w:highlight w:val="none"/>
          <w:shd w:val="clear" w:color="auto" w:fill="auto"/>
        </w:rPr>
        <w:t>24</w:t>
      </w:r>
      <w:r>
        <w:rPr>
          <w:rFonts w:hint="eastAsia" w:hAnsi="宋体"/>
          <w:color w:val="auto"/>
          <w:highlight w:val="none"/>
          <w:shd w:val="clear" w:color="auto" w:fill="auto"/>
        </w:rPr>
        <w:t>小时平均值）</w:t>
      </w:r>
    </w:p>
    <w:p>
      <w:pPr>
        <w:spacing w:after="0" w:line="360" w:lineRule="auto"/>
        <w:ind w:right="70"/>
        <w:rPr>
          <w:rFonts w:hAnsi="宋体"/>
          <w:color w:val="auto"/>
          <w:highlight w:val="none"/>
          <w:shd w:val="clear" w:color="auto" w:fill="auto"/>
        </w:rPr>
      </w:pPr>
      <w:r>
        <w:rPr>
          <w:rFonts w:hint="eastAsia" w:hAnsi="宋体"/>
          <w:color w:val="auto"/>
          <w:highlight w:val="none"/>
          <w:shd w:val="clear" w:color="auto" w:fill="auto"/>
        </w:rPr>
        <w:t>（5）最大相对湿度：</w:t>
      </w:r>
      <w:r>
        <w:rPr>
          <w:rFonts w:hAnsi="宋体"/>
          <w:color w:val="auto"/>
          <w:highlight w:val="none"/>
          <w:shd w:val="clear" w:color="auto" w:fill="auto"/>
        </w:rPr>
        <w:t>95%</w:t>
      </w:r>
      <w:r>
        <w:rPr>
          <w:rFonts w:hint="eastAsia" w:hAnsi="宋体"/>
          <w:color w:val="auto"/>
          <w:highlight w:val="none"/>
          <w:shd w:val="clear" w:color="auto" w:fill="auto"/>
        </w:rPr>
        <w:t>（</w:t>
      </w:r>
      <w:r>
        <w:rPr>
          <w:rFonts w:hAnsi="宋体"/>
          <w:color w:val="auto"/>
          <w:highlight w:val="none"/>
          <w:shd w:val="clear" w:color="auto" w:fill="auto"/>
        </w:rPr>
        <w:t>25</w:t>
      </w:r>
      <w:r>
        <w:rPr>
          <w:rFonts w:hint="eastAsia" w:hAnsi="宋体"/>
          <w:color w:val="auto"/>
          <w:highlight w:val="none"/>
          <w:shd w:val="clear" w:color="auto" w:fill="auto"/>
        </w:rPr>
        <w:t>℃）（日平均、月平均）</w:t>
      </w:r>
    </w:p>
    <w:p>
      <w:pPr>
        <w:spacing w:after="0" w:line="360" w:lineRule="auto"/>
        <w:ind w:right="70"/>
        <w:rPr>
          <w:rFonts w:hAnsi="宋体"/>
          <w:color w:val="auto"/>
          <w:highlight w:val="none"/>
          <w:shd w:val="clear" w:color="auto" w:fill="auto"/>
        </w:rPr>
      </w:pPr>
      <w:r>
        <w:rPr>
          <w:rFonts w:hint="eastAsia" w:hAnsi="宋体"/>
          <w:color w:val="auto"/>
          <w:highlight w:val="none"/>
          <w:shd w:val="clear" w:color="auto" w:fill="auto"/>
        </w:rPr>
        <w:t>（6）耐地震能力：水平加速度</w:t>
      </w:r>
      <w:r>
        <w:rPr>
          <w:rFonts w:hAnsi="宋体"/>
          <w:color w:val="auto"/>
          <w:highlight w:val="none"/>
          <w:shd w:val="clear" w:color="auto" w:fill="auto"/>
        </w:rPr>
        <w:t xml:space="preserve"> 0</w:t>
      </w:r>
      <w:r>
        <w:rPr>
          <w:rFonts w:hint="eastAsia" w:hAnsi="宋体"/>
          <w:color w:val="auto"/>
          <w:highlight w:val="none"/>
          <w:shd w:val="clear" w:color="auto" w:fill="auto"/>
        </w:rPr>
        <w:t>.</w:t>
      </w:r>
      <w:r>
        <w:rPr>
          <w:rFonts w:hAnsi="宋体"/>
          <w:color w:val="auto"/>
          <w:highlight w:val="none"/>
          <w:shd w:val="clear" w:color="auto" w:fill="auto"/>
        </w:rPr>
        <w:t xml:space="preserve">2g   </w:t>
      </w:r>
      <w:r>
        <w:rPr>
          <w:rFonts w:hint="eastAsia" w:hAnsi="宋体"/>
          <w:color w:val="auto"/>
          <w:highlight w:val="none"/>
          <w:shd w:val="clear" w:color="auto" w:fill="auto"/>
        </w:rPr>
        <w:t>垂直加速度</w:t>
      </w:r>
      <w:r>
        <w:rPr>
          <w:rFonts w:hAnsi="宋体"/>
          <w:color w:val="auto"/>
          <w:highlight w:val="none"/>
          <w:shd w:val="clear" w:color="auto" w:fill="auto"/>
        </w:rPr>
        <w:t xml:space="preserve">  0.1g  </w:t>
      </w:r>
      <w:r>
        <w:rPr>
          <w:rFonts w:hint="eastAsia" w:hAnsi="宋体"/>
          <w:color w:val="auto"/>
          <w:highlight w:val="none"/>
          <w:shd w:val="clear" w:color="auto" w:fill="auto"/>
        </w:rPr>
        <w:t>同时作用，安全系数</w:t>
      </w:r>
      <w:r>
        <w:rPr>
          <w:rFonts w:hAnsi="宋体"/>
          <w:color w:val="auto"/>
          <w:highlight w:val="none"/>
          <w:shd w:val="clear" w:color="auto" w:fill="auto"/>
        </w:rPr>
        <w:sym w:font="Symbol" w:char="F0B3"/>
      </w:r>
      <w:r>
        <w:rPr>
          <w:rFonts w:hAnsi="宋体"/>
          <w:color w:val="auto"/>
          <w:highlight w:val="none"/>
          <w:shd w:val="clear" w:color="auto" w:fill="auto"/>
        </w:rPr>
        <w:t>1.67</w:t>
      </w:r>
    </w:p>
    <w:p>
      <w:pPr>
        <w:spacing w:after="0" w:line="360" w:lineRule="auto"/>
        <w:outlineLvl w:val="1"/>
        <w:rPr>
          <w:rFonts w:hAnsi="宋体"/>
          <w:b/>
          <w:bCs/>
          <w:color w:val="auto"/>
          <w:highlight w:val="none"/>
          <w:shd w:val="clear" w:color="auto" w:fill="auto"/>
        </w:rPr>
      </w:pPr>
      <w:r>
        <w:rPr>
          <w:rFonts w:hint="eastAsia" w:hAnsi="宋体"/>
          <w:b/>
          <w:bCs/>
          <w:color w:val="auto"/>
          <w:highlight w:val="none"/>
          <w:shd w:val="clear" w:color="auto" w:fill="auto"/>
        </w:rPr>
        <w:t>4.4.4、技术要求</w:t>
      </w:r>
    </w:p>
    <w:p>
      <w:pPr>
        <w:pStyle w:val="3"/>
        <w:spacing w:before="0" w:line="360" w:lineRule="auto"/>
        <w:ind w:firstLine="482" w:firstLineChars="200"/>
        <w:jc w:val="left"/>
        <w:rPr>
          <w:color w:val="auto"/>
          <w:sz w:val="24"/>
          <w:szCs w:val="24"/>
          <w:highlight w:val="none"/>
          <w:shd w:val="clear" w:color="auto" w:fill="auto"/>
        </w:rPr>
      </w:pPr>
      <w:r>
        <w:rPr>
          <w:rFonts w:hint="eastAsia"/>
          <w:color w:val="auto"/>
          <w:sz w:val="24"/>
          <w:szCs w:val="24"/>
          <w:highlight w:val="none"/>
          <w:shd w:val="clear" w:color="auto" w:fill="auto"/>
        </w:rPr>
        <w:t>高压开关柜</w:t>
      </w:r>
    </w:p>
    <w:p>
      <w:pPr>
        <w:spacing w:after="0" w:line="360" w:lineRule="auto"/>
        <w:ind w:firstLine="480" w:firstLineChars="200"/>
        <w:rPr>
          <w:rFonts w:hAnsi="宋体"/>
          <w:color w:val="auto"/>
          <w:highlight w:val="none"/>
          <w:shd w:val="clear" w:color="auto" w:fill="auto"/>
        </w:rPr>
      </w:pPr>
      <w:r>
        <w:rPr>
          <w:rFonts w:hint="eastAsia" w:hAnsi="宋体"/>
          <w:bCs/>
          <w:color w:val="auto"/>
          <w:highlight w:val="none"/>
          <w:shd w:val="clear" w:color="auto" w:fill="auto"/>
        </w:rPr>
        <w:t>高压开关柜要求采用</w:t>
      </w:r>
      <w:r>
        <w:rPr>
          <w:rFonts w:hint="eastAsia" w:hAnsi="宋体"/>
          <w:color w:val="auto"/>
          <w:highlight w:val="none"/>
          <w:shd w:val="clear" w:color="auto" w:fill="auto"/>
        </w:rPr>
        <w:t>：</w:t>
      </w:r>
      <w:r>
        <w:rPr>
          <w:rFonts w:hint="eastAsia" w:hAnsi="宋体"/>
          <w:b/>
          <w:bCs/>
          <w:color w:val="auto"/>
          <w:highlight w:val="none"/>
          <w:u w:val="single"/>
          <w:shd w:val="clear" w:color="auto" w:fill="auto"/>
        </w:rPr>
        <w:t>详见图纸</w:t>
      </w:r>
      <w:r>
        <w:rPr>
          <w:rFonts w:hint="eastAsia" w:hAnsi="宋体"/>
          <w:color w:val="auto"/>
          <w:highlight w:val="none"/>
          <w:shd w:val="clear" w:color="auto" w:fill="auto"/>
        </w:rPr>
        <w:t>。</w:t>
      </w:r>
    </w:p>
    <w:p>
      <w:pPr>
        <w:spacing w:after="0" w:line="360" w:lineRule="auto"/>
        <w:ind w:firstLine="480" w:firstLineChars="200"/>
        <w:rPr>
          <w:rFonts w:hAnsi="宋体"/>
          <w:bCs/>
          <w:color w:val="auto"/>
          <w:highlight w:val="none"/>
          <w:shd w:val="clear" w:color="auto" w:fill="auto"/>
        </w:rPr>
      </w:pPr>
      <w:r>
        <w:rPr>
          <w:rFonts w:hint="eastAsia" w:hAnsi="宋体"/>
          <w:bCs/>
          <w:color w:val="auto"/>
          <w:highlight w:val="none"/>
          <w:shd w:val="clear" w:color="auto" w:fill="auto"/>
        </w:rPr>
        <w:t>（1）引用标准</w:t>
      </w:r>
    </w:p>
    <w:p>
      <w:pPr>
        <w:spacing w:after="0" w:line="360" w:lineRule="auto"/>
        <w:ind w:firstLine="480" w:firstLineChars="200"/>
        <w:rPr>
          <w:rFonts w:hAnsi="宋体"/>
          <w:color w:val="auto"/>
          <w:highlight w:val="none"/>
          <w:shd w:val="clear" w:color="auto" w:fill="auto"/>
        </w:rPr>
      </w:pPr>
      <w:r>
        <w:rPr>
          <w:rFonts w:hint="eastAsia" w:hAnsi="宋体"/>
          <w:color w:val="auto"/>
          <w:highlight w:val="none"/>
          <w:shd w:val="clear" w:color="auto" w:fill="auto"/>
        </w:rPr>
        <w:t>除另有说明外，合同设备应符合下列标准的最新版本和国际单位制（SI）。</w:t>
      </w:r>
    </w:p>
    <w:p>
      <w:pPr>
        <w:spacing w:after="0" w:line="360" w:lineRule="auto"/>
        <w:ind w:right="70" w:firstLine="480" w:firstLineChars="200"/>
        <w:rPr>
          <w:rFonts w:hint="eastAsia" w:hAnsi="宋体"/>
          <w:color w:val="auto"/>
          <w:highlight w:val="none"/>
          <w:shd w:val="clear" w:color="auto" w:fill="auto"/>
        </w:rPr>
      </w:pPr>
      <w:r>
        <w:rPr>
          <w:rFonts w:hAnsi="宋体"/>
          <w:color w:val="auto"/>
          <w:highlight w:val="none"/>
          <w:shd w:val="clear" w:color="auto" w:fill="auto"/>
        </w:rPr>
        <w:t>GB3906</w:t>
      </w:r>
      <w:r>
        <w:rPr>
          <w:rFonts w:hint="eastAsia" w:hAnsi="宋体"/>
          <w:color w:val="auto"/>
          <w:highlight w:val="none"/>
          <w:shd w:val="clear" w:color="auto" w:fill="auto"/>
        </w:rPr>
        <w:t>-2006“</w:t>
      </w:r>
      <w:r>
        <w:rPr>
          <w:rFonts w:hAnsi="宋体"/>
          <w:color w:val="auto"/>
          <w:highlight w:val="none"/>
          <w:shd w:val="clear" w:color="auto" w:fill="auto"/>
        </w:rPr>
        <w:t>3</w:t>
      </w:r>
      <w:r>
        <w:rPr>
          <w:rFonts w:hint="eastAsia" w:hAnsi="宋体"/>
          <w:color w:val="auto"/>
          <w:highlight w:val="none"/>
          <w:shd w:val="clear" w:color="auto" w:fill="auto"/>
        </w:rPr>
        <w:t>.6～40.5</w:t>
      </w:r>
      <w:r>
        <w:rPr>
          <w:rFonts w:hAnsi="宋体"/>
          <w:color w:val="auto"/>
          <w:highlight w:val="none"/>
          <w:shd w:val="clear" w:color="auto" w:fill="auto"/>
        </w:rPr>
        <w:t>kV</w:t>
      </w:r>
      <w:r>
        <w:rPr>
          <w:rFonts w:hint="eastAsia" w:hAnsi="宋体"/>
          <w:color w:val="auto"/>
          <w:highlight w:val="none"/>
          <w:shd w:val="clear" w:color="auto" w:fill="auto"/>
        </w:rPr>
        <w:t>交流金属封闭开关设备和控制设备”</w:t>
      </w:r>
    </w:p>
    <w:p>
      <w:pPr>
        <w:spacing w:after="0" w:line="360" w:lineRule="auto"/>
        <w:ind w:right="70" w:firstLine="432" w:firstLineChars="200"/>
        <w:rPr>
          <w:rFonts w:hAnsi="宋体"/>
          <w:color w:val="auto"/>
          <w:spacing w:val="-16"/>
          <w:kern w:val="16"/>
          <w:highlight w:val="none"/>
          <w:shd w:val="clear" w:color="auto" w:fill="auto"/>
        </w:rPr>
      </w:pPr>
      <w:r>
        <w:rPr>
          <w:rFonts w:hAnsi="宋体"/>
          <w:color w:val="auto"/>
          <w:spacing w:val="-12"/>
          <w:kern w:val="16"/>
          <w:highlight w:val="none"/>
          <w:shd w:val="clear" w:color="auto" w:fill="auto"/>
        </w:rPr>
        <w:t>GB311.1</w:t>
      </w:r>
      <w:r>
        <w:rPr>
          <w:rFonts w:hint="eastAsia" w:hAnsi="宋体"/>
          <w:color w:val="auto"/>
          <w:spacing w:val="-12"/>
          <w:kern w:val="16"/>
          <w:highlight w:val="none"/>
          <w:shd w:val="clear" w:color="auto" w:fill="auto"/>
        </w:rPr>
        <w:t>～</w:t>
      </w:r>
      <w:r>
        <w:rPr>
          <w:rFonts w:hAnsi="宋体"/>
          <w:color w:val="auto"/>
          <w:spacing w:val="-12"/>
          <w:kern w:val="16"/>
          <w:highlight w:val="none"/>
          <w:shd w:val="clear" w:color="auto" w:fill="auto"/>
        </w:rPr>
        <w:t>311.6</w:t>
      </w:r>
      <w:r>
        <w:rPr>
          <w:rFonts w:hint="eastAsia" w:hAnsi="宋体"/>
          <w:color w:val="auto"/>
          <w:spacing w:val="-12"/>
          <w:kern w:val="16"/>
          <w:highlight w:val="none"/>
          <w:shd w:val="clear" w:color="auto" w:fill="auto"/>
        </w:rPr>
        <w:t>“高压输变电设备的绝缘配合、高电压试验技术”</w:t>
      </w:r>
    </w:p>
    <w:p>
      <w:pPr>
        <w:spacing w:after="0" w:line="360" w:lineRule="auto"/>
        <w:ind w:right="70" w:firstLine="480" w:firstLineChars="200"/>
        <w:rPr>
          <w:rFonts w:hAnsi="宋体"/>
          <w:color w:val="auto"/>
          <w:highlight w:val="none"/>
          <w:shd w:val="clear" w:color="auto" w:fill="auto"/>
        </w:rPr>
      </w:pPr>
      <w:r>
        <w:rPr>
          <w:rFonts w:hAnsi="宋体"/>
          <w:color w:val="auto"/>
          <w:highlight w:val="none"/>
          <w:shd w:val="clear" w:color="auto" w:fill="auto"/>
        </w:rPr>
        <w:t xml:space="preserve">GB11022   </w:t>
      </w:r>
      <w:r>
        <w:rPr>
          <w:rFonts w:hint="eastAsia" w:hAnsi="宋体"/>
          <w:color w:val="auto"/>
          <w:highlight w:val="none"/>
          <w:shd w:val="clear" w:color="auto" w:fill="auto"/>
        </w:rPr>
        <w:t>“高压开关设备通用技术条件”</w:t>
      </w:r>
    </w:p>
    <w:p>
      <w:pPr>
        <w:spacing w:after="0" w:line="360" w:lineRule="auto"/>
        <w:ind w:right="70" w:firstLine="480" w:firstLineChars="200"/>
        <w:rPr>
          <w:rFonts w:hAnsi="宋体"/>
          <w:color w:val="auto"/>
          <w:highlight w:val="none"/>
          <w:shd w:val="clear" w:color="auto" w:fill="auto"/>
        </w:rPr>
      </w:pPr>
      <w:r>
        <w:rPr>
          <w:rFonts w:hAnsi="宋体"/>
          <w:color w:val="auto"/>
          <w:highlight w:val="none"/>
          <w:shd w:val="clear" w:color="auto" w:fill="auto"/>
        </w:rPr>
        <w:t xml:space="preserve">GB1984    </w:t>
      </w:r>
      <w:r>
        <w:rPr>
          <w:rFonts w:hint="eastAsia" w:hAnsi="宋体"/>
          <w:color w:val="auto"/>
          <w:highlight w:val="none"/>
          <w:shd w:val="clear" w:color="auto" w:fill="auto"/>
        </w:rPr>
        <w:t>“交流高压断路器”</w:t>
      </w:r>
    </w:p>
    <w:p>
      <w:pPr>
        <w:spacing w:after="0" w:line="360" w:lineRule="auto"/>
        <w:ind w:right="70" w:firstLine="480" w:firstLineChars="200"/>
        <w:rPr>
          <w:rFonts w:hAnsi="宋体"/>
          <w:color w:val="auto"/>
          <w:highlight w:val="none"/>
          <w:shd w:val="clear" w:color="auto" w:fill="auto"/>
        </w:rPr>
      </w:pPr>
      <w:r>
        <w:rPr>
          <w:rFonts w:hAnsi="宋体"/>
          <w:color w:val="auto"/>
          <w:highlight w:val="none"/>
          <w:shd w:val="clear" w:color="auto" w:fill="auto"/>
        </w:rPr>
        <w:t xml:space="preserve">GB1985   </w:t>
      </w:r>
      <w:r>
        <w:rPr>
          <w:rFonts w:hint="eastAsia" w:hAnsi="宋体"/>
          <w:color w:val="auto"/>
          <w:highlight w:val="none"/>
          <w:shd w:val="clear" w:color="auto" w:fill="auto"/>
        </w:rPr>
        <w:t>“交流高压隔离开关和接地开关”</w:t>
      </w:r>
    </w:p>
    <w:p>
      <w:pPr>
        <w:spacing w:after="0" w:line="360" w:lineRule="auto"/>
        <w:ind w:right="70" w:firstLine="480" w:firstLineChars="200"/>
        <w:rPr>
          <w:rFonts w:hAnsi="宋体"/>
          <w:color w:val="auto"/>
          <w:highlight w:val="none"/>
          <w:shd w:val="clear" w:color="auto" w:fill="auto"/>
        </w:rPr>
      </w:pPr>
      <w:r>
        <w:rPr>
          <w:rFonts w:hAnsi="宋体"/>
          <w:color w:val="auto"/>
          <w:highlight w:val="none"/>
          <w:shd w:val="clear" w:color="auto" w:fill="auto"/>
        </w:rPr>
        <w:t xml:space="preserve">GB1207   </w:t>
      </w:r>
      <w:r>
        <w:rPr>
          <w:rFonts w:hint="eastAsia" w:hAnsi="宋体"/>
          <w:color w:val="auto"/>
          <w:highlight w:val="none"/>
          <w:shd w:val="clear" w:color="auto" w:fill="auto"/>
        </w:rPr>
        <w:t>“电压互感器”</w:t>
      </w:r>
    </w:p>
    <w:p>
      <w:pPr>
        <w:spacing w:after="0" w:line="360" w:lineRule="auto"/>
        <w:ind w:right="70" w:firstLine="480" w:firstLineChars="200"/>
        <w:rPr>
          <w:rFonts w:hAnsi="宋体"/>
          <w:color w:val="auto"/>
          <w:highlight w:val="none"/>
          <w:shd w:val="clear" w:color="auto" w:fill="auto"/>
        </w:rPr>
      </w:pPr>
      <w:r>
        <w:rPr>
          <w:rFonts w:hAnsi="宋体"/>
          <w:color w:val="auto"/>
          <w:highlight w:val="none"/>
          <w:shd w:val="clear" w:color="auto" w:fill="auto"/>
        </w:rPr>
        <w:t xml:space="preserve">GB1208   </w:t>
      </w:r>
      <w:r>
        <w:rPr>
          <w:rFonts w:hint="eastAsia" w:hAnsi="宋体"/>
          <w:color w:val="auto"/>
          <w:highlight w:val="none"/>
          <w:shd w:val="clear" w:color="auto" w:fill="auto"/>
        </w:rPr>
        <w:t>“电流互感器”</w:t>
      </w:r>
    </w:p>
    <w:p>
      <w:pPr>
        <w:spacing w:after="0" w:line="360" w:lineRule="auto"/>
        <w:ind w:right="70" w:firstLine="480" w:firstLineChars="200"/>
        <w:rPr>
          <w:rFonts w:hAnsi="宋体"/>
          <w:color w:val="auto"/>
          <w:highlight w:val="none"/>
          <w:shd w:val="clear" w:color="auto" w:fill="auto"/>
        </w:rPr>
      </w:pPr>
      <w:r>
        <w:rPr>
          <w:rFonts w:hAnsi="宋体"/>
          <w:color w:val="auto"/>
          <w:highlight w:val="none"/>
          <w:shd w:val="clear" w:color="auto" w:fill="auto"/>
        </w:rPr>
        <w:t xml:space="preserve">GB11032  </w:t>
      </w:r>
      <w:r>
        <w:rPr>
          <w:rFonts w:hint="eastAsia" w:hAnsi="宋体"/>
          <w:color w:val="auto"/>
          <w:highlight w:val="none"/>
          <w:shd w:val="clear" w:color="auto" w:fill="auto"/>
        </w:rPr>
        <w:t>“交流无间隙金属氧化物避雷器”</w:t>
      </w:r>
    </w:p>
    <w:p>
      <w:pPr>
        <w:spacing w:after="0" w:line="360" w:lineRule="auto"/>
        <w:ind w:right="70" w:firstLine="480" w:firstLineChars="200"/>
        <w:rPr>
          <w:rFonts w:hAnsi="宋体"/>
          <w:color w:val="auto"/>
          <w:highlight w:val="none"/>
          <w:shd w:val="clear" w:color="auto" w:fill="auto"/>
        </w:rPr>
      </w:pPr>
      <w:r>
        <w:rPr>
          <w:rFonts w:hAnsi="宋体"/>
          <w:color w:val="auto"/>
          <w:highlight w:val="none"/>
          <w:shd w:val="clear" w:color="auto" w:fill="auto"/>
        </w:rPr>
        <w:t xml:space="preserve">GB772    </w:t>
      </w:r>
      <w:r>
        <w:rPr>
          <w:rFonts w:hint="eastAsia" w:hAnsi="宋体"/>
          <w:color w:val="auto"/>
          <w:highlight w:val="none"/>
          <w:shd w:val="clear" w:color="auto" w:fill="auto"/>
        </w:rPr>
        <w:t>“高压绝缘子瓷件、技术条件”</w:t>
      </w:r>
    </w:p>
    <w:p>
      <w:pPr>
        <w:spacing w:after="0" w:line="360" w:lineRule="auto"/>
        <w:ind w:right="70" w:firstLine="480" w:firstLineChars="200"/>
        <w:rPr>
          <w:rFonts w:hAnsi="宋体"/>
          <w:color w:val="auto"/>
          <w:highlight w:val="none"/>
          <w:shd w:val="clear" w:color="auto" w:fill="auto"/>
        </w:rPr>
      </w:pPr>
      <w:r>
        <w:rPr>
          <w:rFonts w:hAnsi="宋体"/>
          <w:color w:val="auto"/>
          <w:highlight w:val="none"/>
          <w:shd w:val="clear" w:color="auto" w:fill="auto"/>
        </w:rPr>
        <w:t xml:space="preserve">GB8287   </w:t>
      </w:r>
      <w:r>
        <w:rPr>
          <w:rFonts w:hint="eastAsia" w:hAnsi="宋体"/>
          <w:color w:val="auto"/>
          <w:highlight w:val="none"/>
          <w:shd w:val="clear" w:color="auto" w:fill="auto"/>
        </w:rPr>
        <w:t>“高压支柱瓷绝缘子技术条件”</w:t>
      </w:r>
    </w:p>
    <w:p>
      <w:pPr>
        <w:spacing w:after="0" w:line="360" w:lineRule="auto"/>
        <w:ind w:right="70" w:firstLine="480" w:firstLineChars="200"/>
        <w:rPr>
          <w:rFonts w:hAnsi="宋体"/>
          <w:color w:val="auto"/>
          <w:highlight w:val="none"/>
          <w:shd w:val="clear" w:color="auto" w:fill="auto"/>
        </w:rPr>
      </w:pPr>
      <w:r>
        <w:rPr>
          <w:rFonts w:hAnsi="宋体"/>
          <w:color w:val="auto"/>
          <w:highlight w:val="none"/>
          <w:shd w:val="clear" w:color="auto" w:fill="auto"/>
        </w:rPr>
        <w:t xml:space="preserve">DL404—97  </w:t>
      </w:r>
      <w:r>
        <w:rPr>
          <w:rFonts w:hint="eastAsia" w:hAnsi="宋体"/>
          <w:color w:val="auto"/>
          <w:highlight w:val="none"/>
          <w:shd w:val="clear" w:color="auto" w:fill="auto"/>
        </w:rPr>
        <w:t>“户内交流开关柜订货技术条件”</w:t>
      </w:r>
    </w:p>
    <w:p>
      <w:pPr>
        <w:spacing w:after="0" w:line="360" w:lineRule="auto"/>
        <w:ind w:right="70" w:firstLine="480" w:firstLineChars="200"/>
        <w:rPr>
          <w:rFonts w:hAnsi="宋体"/>
          <w:color w:val="auto"/>
          <w:highlight w:val="none"/>
          <w:shd w:val="clear" w:color="auto" w:fill="auto"/>
        </w:rPr>
      </w:pPr>
      <w:r>
        <w:rPr>
          <w:rFonts w:hAnsi="宋体"/>
          <w:color w:val="auto"/>
          <w:highlight w:val="none"/>
          <w:shd w:val="clear" w:color="auto" w:fill="auto"/>
        </w:rPr>
        <w:t xml:space="preserve">DL403—91  </w:t>
      </w:r>
      <w:r>
        <w:rPr>
          <w:rFonts w:hint="eastAsia" w:hAnsi="宋体"/>
          <w:color w:val="auto"/>
          <w:highlight w:val="none"/>
          <w:shd w:val="clear" w:color="auto" w:fill="auto"/>
        </w:rPr>
        <w:t>“</w:t>
      </w:r>
      <w:r>
        <w:rPr>
          <w:rFonts w:hAnsi="宋体"/>
          <w:color w:val="auto"/>
          <w:highlight w:val="none"/>
          <w:shd w:val="clear" w:color="auto" w:fill="auto"/>
        </w:rPr>
        <w:t>10-35kV</w:t>
      </w:r>
      <w:r>
        <w:rPr>
          <w:rFonts w:hint="eastAsia" w:hAnsi="宋体"/>
          <w:color w:val="auto"/>
          <w:highlight w:val="none"/>
          <w:shd w:val="clear" w:color="auto" w:fill="auto"/>
        </w:rPr>
        <w:t>户内高压真空断路器订货条件”</w:t>
      </w:r>
    </w:p>
    <w:p>
      <w:pPr>
        <w:tabs>
          <w:tab w:val="left" w:pos="992"/>
        </w:tabs>
        <w:spacing w:after="0" w:line="360" w:lineRule="auto"/>
        <w:ind w:firstLine="480" w:firstLineChars="200"/>
        <w:rPr>
          <w:rFonts w:hAnsi="宋体"/>
          <w:color w:val="auto"/>
          <w:highlight w:val="none"/>
          <w:shd w:val="clear" w:color="auto" w:fill="auto"/>
        </w:rPr>
      </w:pPr>
      <w:r>
        <w:rPr>
          <w:rFonts w:hint="eastAsia" w:hAnsi="宋体"/>
          <w:bCs/>
          <w:color w:val="auto"/>
          <w:highlight w:val="none"/>
          <w:shd w:val="clear" w:color="auto" w:fill="auto"/>
        </w:rPr>
        <w:t>（2）</w:t>
      </w:r>
      <w:r>
        <w:rPr>
          <w:rFonts w:hint="eastAsia" w:hAnsi="宋体"/>
          <w:color w:val="auto"/>
          <w:highlight w:val="none"/>
          <w:shd w:val="clear" w:color="auto" w:fill="auto"/>
        </w:rPr>
        <w:t>开关柜技术参数</w:t>
      </w:r>
    </w:p>
    <w:p>
      <w:pPr>
        <w:spacing w:after="0" w:line="360" w:lineRule="auto"/>
        <w:ind w:right="70" w:firstLine="480" w:firstLineChars="200"/>
        <w:rPr>
          <w:rFonts w:hAnsi="宋体"/>
          <w:color w:val="auto"/>
          <w:highlight w:val="none"/>
          <w:shd w:val="clear" w:color="auto" w:fill="auto"/>
        </w:rPr>
      </w:pPr>
      <w:r>
        <w:rPr>
          <w:rFonts w:hint="eastAsia" w:hAnsi="宋体"/>
          <w:color w:val="auto"/>
          <w:highlight w:val="none"/>
          <w:shd w:val="clear" w:color="auto" w:fill="auto"/>
        </w:rPr>
        <w:t>型式：金属铠装中置式开关柜</w:t>
      </w:r>
    </w:p>
    <w:p>
      <w:pPr>
        <w:spacing w:after="0" w:line="360" w:lineRule="auto"/>
        <w:ind w:right="70" w:firstLine="480" w:firstLineChars="200"/>
        <w:rPr>
          <w:rFonts w:hAnsi="宋体"/>
          <w:color w:val="auto"/>
          <w:highlight w:val="none"/>
          <w:shd w:val="clear" w:color="auto" w:fill="auto"/>
        </w:rPr>
      </w:pPr>
      <w:r>
        <w:rPr>
          <w:rFonts w:hint="eastAsia" w:hAnsi="宋体"/>
          <w:color w:val="auto"/>
          <w:highlight w:val="none"/>
          <w:shd w:val="clear" w:color="auto" w:fill="auto"/>
        </w:rPr>
        <w:t>额定电压：</w:t>
      </w:r>
      <w:r>
        <w:rPr>
          <w:rFonts w:hAnsi="宋体"/>
          <w:color w:val="auto"/>
          <w:highlight w:val="none"/>
          <w:shd w:val="clear" w:color="auto" w:fill="auto"/>
        </w:rPr>
        <w:t>10 kV</w:t>
      </w:r>
    </w:p>
    <w:p>
      <w:pPr>
        <w:spacing w:after="0" w:line="360" w:lineRule="auto"/>
        <w:ind w:right="70" w:firstLine="480" w:firstLineChars="200"/>
        <w:rPr>
          <w:rFonts w:hAnsi="宋体"/>
          <w:color w:val="auto"/>
          <w:highlight w:val="none"/>
          <w:shd w:val="clear" w:color="auto" w:fill="auto"/>
        </w:rPr>
      </w:pPr>
      <w:r>
        <w:rPr>
          <w:rFonts w:hint="eastAsia" w:hAnsi="宋体"/>
          <w:color w:val="auto"/>
          <w:highlight w:val="none"/>
          <w:shd w:val="clear" w:color="auto" w:fill="auto"/>
        </w:rPr>
        <w:t>额定频率：</w:t>
      </w:r>
      <w:r>
        <w:rPr>
          <w:rFonts w:hAnsi="宋体"/>
          <w:color w:val="auto"/>
          <w:highlight w:val="none"/>
          <w:shd w:val="clear" w:color="auto" w:fill="auto"/>
        </w:rPr>
        <w:t>50 HZ</w:t>
      </w:r>
    </w:p>
    <w:p>
      <w:pPr>
        <w:spacing w:after="0" w:line="360" w:lineRule="auto"/>
        <w:ind w:right="70" w:firstLine="480" w:firstLineChars="200"/>
        <w:rPr>
          <w:rFonts w:hAnsi="宋体"/>
          <w:color w:val="auto"/>
          <w:highlight w:val="none"/>
          <w:shd w:val="clear" w:color="auto" w:fill="auto"/>
        </w:rPr>
      </w:pPr>
      <w:r>
        <w:rPr>
          <w:rFonts w:hint="eastAsia" w:hAnsi="宋体"/>
          <w:color w:val="auto"/>
          <w:highlight w:val="none"/>
          <w:shd w:val="clear" w:color="auto" w:fill="auto"/>
        </w:rPr>
        <w:t>额定电流：根据图纸要求</w:t>
      </w:r>
    </w:p>
    <w:p>
      <w:pPr>
        <w:spacing w:after="0" w:line="360" w:lineRule="auto"/>
        <w:ind w:right="70" w:firstLine="480" w:firstLineChars="200"/>
        <w:rPr>
          <w:rFonts w:hAnsi="宋体" w:cs="仿宋体"/>
          <w:color w:val="auto"/>
          <w:spacing w:val="-20"/>
          <w:highlight w:val="none"/>
          <w:shd w:val="clear" w:color="auto" w:fill="auto"/>
        </w:rPr>
      </w:pPr>
      <w:r>
        <w:rPr>
          <w:rFonts w:hint="eastAsia" w:hAnsi="宋体"/>
          <w:color w:val="auto"/>
          <w:highlight w:val="none"/>
          <w:shd w:val="clear" w:color="auto" w:fill="auto"/>
        </w:rPr>
        <w:t>额定短时耐受电流(2s)：根据图纸要求</w:t>
      </w:r>
    </w:p>
    <w:p>
      <w:pPr>
        <w:spacing w:after="0" w:line="360" w:lineRule="auto"/>
        <w:ind w:right="70" w:firstLine="480" w:firstLineChars="200"/>
        <w:rPr>
          <w:rFonts w:hAnsi="宋体"/>
          <w:color w:val="auto"/>
          <w:highlight w:val="none"/>
          <w:shd w:val="clear" w:color="auto" w:fill="auto"/>
        </w:rPr>
      </w:pPr>
      <w:r>
        <w:rPr>
          <w:rFonts w:hint="eastAsia" w:hAnsi="宋体"/>
          <w:color w:val="auto"/>
          <w:highlight w:val="none"/>
          <w:shd w:val="clear" w:color="auto" w:fill="auto"/>
        </w:rPr>
        <w:t>防护等级：IP4X</w:t>
      </w:r>
    </w:p>
    <w:p>
      <w:pPr>
        <w:spacing w:after="0" w:line="360" w:lineRule="auto"/>
        <w:ind w:right="70" w:firstLine="480" w:firstLineChars="200"/>
        <w:rPr>
          <w:rFonts w:hAnsi="宋体"/>
          <w:bCs/>
          <w:color w:val="auto"/>
          <w:highlight w:val="none"/>
          <w:shd w:val="clear" w:color="auto" w:fill="auto"/>
        </w:rPr>
      </w:pPr>
      <w:r>
        <w:rPr>
          <w:rFonts w:hint="eastAsia" w:hAnsi="宋体"/>
          <w:bCs/>
          <w:color w:val="auto"/>
          <w:highlight w:val="none"/>
          <w:shd w:val="clear" w:color="auto" w:fill="auto"/>
        </w:rPr>
        <w:t>（3）元器件要求</w:t>
      </w:r>
    </w:p>
    <w:p>
      <w:pPr>
        <w:spacing w:after="0" w:line="360" w:lineRule="auto"/>
        <w:ind w:right="70" w:firstLine="480" w:firstLineChars="200"/>
        <w:rPr>
          <w:rFonts w:hAnsi="宋体"/>
          <w:color w:val="auto"/>
          <w:highlight w:val="none"/>
          <w:shd w:val="clear" w:color="auto" w:fill="auto"/>
        </w:rPr>
      </w:pPr>
      <w:r>
        <w:rPr>
          <w:rFonts w:hint="eastAsia" w:hAnsi="宋体"/>
          <w:color w:val="auto"/>
          <w:highlight w:val="none"/>
          <w:shd w:val="clear" w:color="auto" w:fill="auto"/>
        </w:rPr>
        <w:t>（4）真空断路器开关</w:t>
      </w:r>
    </w:p>
    <w:p>
      <w:pPr>
        <w:spacing w:after="0" w:line="360" w:lineRule="auto"/>
        <w:ind w:right="70" w:firstLine="480" w:firstLineChars="200"/>
        <w:rPr>
          <w:rFonts w:hAnsi="宋体"/>
          <w:bCs/>
          <w:color w:val="auto"/>
          <w:highlight w:val="none"/>
          <w:shd w:val="clear" w:color="auto" w:fill="auto"/>
        </w:rPr>
      </w:pPr>
      <w:r>
        <w:rPr>
          <w:rFonts w:hint="eastAsia" w:hAnsi="宋体"/>
          <w:bCs/>
          <w:color w:val="auto"/>
          <w:highlight w:val="none"/>
          <w:shd w:val="clear" w:color="auto" w:fill="auto"/>
        </w:rPr>
        <w:t>（1采用真空断路器开关。</w:t>
      </w:r>
    </w:p>
    <w:p>
      <w:pPr>
        <w:spacing w:after="0" w:line="360" w:lineRule="auto"/>
        <w:ind w:right="70" w:firstLine="480" w:firstLineChars="200"/>
        <w:rPr>
          <w:rFonts w:hAnsi="宋体"/>
          <w:color w:val="auto"/>
          <w:highlight w:val="none"/>
          <w:shd w:val="clear" w:color="auto" w:fill="auto"/>
        </w:rPr>
      </w:pPr>
      <w:r>
        <w:rPr>
          <w:rFonts w:hint="eastAsia" w:hAnsi="宋体"/>
          <w:color w:val="auto"/>
          <w:highlight w:val="none"/>
          <w:shd w:val="clear" w:color="auto" w:fill="auto"/>
        </w:rPr>
        <w:t>（2技术参数</w:t>
      </w:r>
    </w:p>
    <w:p>
      <w:pPr>
        <w:tabs>
          <w:tab w:val="left" w:pos="3268"/>
          <w:tab w:val="left" w:pos="5248"/>
        </w:tabs>
        <w:spacing w:after="0" w:line="360" w:lineRule="auto"/>
        <w:ind w:right="70" w:firstLine="480" w:firstLineChars="200"/>
        <w:rPr>
          <w:rFonts w:hAnsi="宋体"/>
          <w:color w:val="auto"/>
          <w:highlight w:val="none"/>
          <w:shd w:val="clear" w:color="auto" w:fill="auto"/>
        </w:rPr>
      </w:pPr>
      <w:r>
        <w:rPr>
          <w:rFonts w:hint="eastAsia" w:hAnsi="宋体"/>
          <w:color w:val="auto"/>
          <w:highlight w:val="none"/>
          <w:shd w:val="clear" w:color="auto" w:fill="auto"/>
        </w:rPr>
        <w:t>额定电压</w:t>
      </w:r>
      <w:r>
        <w:rPr>
          <w:rFonts w:hAnsi="宋体"/>
          <w:color w:val="auto"/>
          <w:highlight w:val="none"/>
          <w:shd w:val="clear" w:color="auto" w:fill="auto"/>
        </w:rPr>
        <w:t>kV</w:t>
      </w:r>
      <w:r>
        <w:rPr>
          <w:rFonts w:hAnsi="宋体"/>
          <w:color w:val="auto"/>
          <w:highlight w:val="none"/>
          <w:shd w:val="clear" w:color="auto" w:fill="auto"/>
        </w:rPr>
        <w:tab/>
      </w:r>
      <w:r>
        <w:rPr>
          <w:rFonts w:hint="eastAsia" w:hAnsi="宋体"/>
          <w:color w:val="auto"/>
          <w:highlight w:val="none"/>
          <w:shd w:val="clear" w:color="auto" w:fill="auto"/>
        </w:rPr>
        <w:tab/>
      </w:r>
      <w:r>
        <w:rPr>
          <w:rFonts w:hAnsi="宋体"/>
          <w:color w:val="auto"/>
          <w:highlight w:val="none"/>
          <w:shd w:val="clear" w:color="auto" w:fill="auto"/>
        </w:rPr>
        <w:t>1</w:t>
      </w:r>
      <w:r>
        <w:rPr>
          <w:rFonts w:hint="eastAsia" w:hAnsi="宋体"/>
          <w:color w:val="auto"/>
          <w:highlight w:val="none"/>
          <w:shd w:val="clear" w:color="auto" w:fill="auto"/>
        </w:rPr>
        <w:t>0</w:t>
      </w:r>
    </w:p>
    <w:p>
      <w:pPr>
        <w:tabs>
          <w:tab w:val="left" w:pos="3268"/>
          <w:tab w:val="left" w:pos="5248"/>
        </w:tabs>
        <w:spacing w:after="0" w:line="360" w:lineRule="auto"/>
        <w:ind w:right="70" w:firstLine="480" w:firstLineChars="200"/>
        <w:rPr>
          <w:rFonts w:hAnsi="宋体"/>
          <w:color w:val="auto"/>
          <w:highlight w:val="none"/>
          <w:shd w:val="clear" w:color="auto" w:fill="auto"/>
        </w:rPr>
      </w:pPr>
      <w:r>
        <w:rPr>
          <w:rFonts w:hint="eastAsia" w:hAnsi="宋体"/>
          <w:color w:val="auto"/>
          <w:highlight w:val="none"/>
          <w:shd w:val="clear" w:color="auto" w:fill="auto"/>
        </w:rPr>
        <w:t>额定电流</w:t>
      </w:r>
      <w:r>
        <w:rPr>
          <w:rFonts w:hAnsi="宋体"/>
          <w:color w:val="auto"/>
          <w:highlight w:val="none"/>
          <w:shd w:val="clear" w:color="auto" w:fill="auto"/>
        </w:rPr>
        <w:t>A</w:t>
      </w:r>
      <w:r>
        <w:rPr>
          <w:rFonts w:hAnsi="宋体"/>
          <w:color w:val="auto"/>
          <w:highlight w:val="none"/>
          <w:shd w:val="clear" w:color="auto" w:fill="auto"/>
        </w:rPr>
        <w:tab/>
      </w:r>
      <w:r>
        <w:rPr>
          <w:rFonts w:hint="eastAsia" w:hAnsi="宋体"/>
          <w:color w:val="auto"/>
          <w:highlight w:val="none"/>
          <w:shd w:val="clear" w:color="auto" w:fill="auto"/>
        </w:rPr>
        <w:tab/>
      </w:r>
      <w:r>
        <w:rPr>
          <w:rFonts w:hint="eastAsia" w:hAnsi="宋体"/>
          <w:color w:val="auto"/>
          <w:highlight w:val="none"/>
          <w:shd w:val="clear" w:color="auto" w:fill="auto"/>
        </w:rPr>
        <w:t>按</w:t>
      </w:r>
      <w:r>
        <w:rPr>
          <w:rFonts w:hAnsi="宋体"/>
          <w:color w:val="auto"/>
          <w:highlight w:val="none"/>
          <w:shd w:val="clear" w:color="auto" w:fill="auto"/>
        </w:rPr>
        <w:t>图纸</w:t>
      </w:r>
    </w:p>
    <w:p>
      <w:pPr>
        <w:tabs>
          <w:tab w:val="left" w:pos="3268"/>
          <w:tab w:val="left" w:pos="5248"/>
        </w:tabs>
        <w:spacing w:after="0" w:line="360" w:lineRule="auto"/>
        <w:ind w:right="70" w:firstLine="480" w:firstLineChars="200"/>
        <w:rPr>
          <w:rFonts w:hAnsi="宋体"/>
          <w:color w:val="auto"/>
          <w:highlight w:val="none"/>
          <w:shd w:val="clear" w:color="auto" w:fill="auto"/>
        </w:rPr>
      </w:pPr>
      <w:r>
        <w:rPr>
          <w:rFonts w:hint="eastAsia" w:hAnsi="宋体"/>
          <w:color w:val="auto"/>
          <w:highlight w:val="none"/>
          <w:shd w:val="clear" w:color="auto" w:fill="auto"/>
        </w:rPr>
        <w:t>额定短时耐受电流</w:t>
      </w:r>
      <w:r>
        <w:rPr>
          <w:rFonts w:hAnsi="宋体"/>
          <w:color w:val="auto"/>
          <w:highlight w:val="none"/>
          <w:shd w:val="clear" w:color="auto" w:fill="auto"/>
        </w:rPr>
        <w:t>kA</w:t>
      </w:r>
      <w:r>
        <w:rPr>
          <w:rFonts w:hAnsi="宋体"/>
          <w:color w:val="auto"/>
          <w:highlight w:val="none"/>
          <w:shd w:val="clear" w:color="auto" w:fill="auto"/>
        </w:rPr>
        <w:tab/>
      </w:r>
      <w:r>
        <w:rPr>
          <w:rFonts w:hint="eastAsia" w:hAnsi="宋体"/>
          <w:color w:val="auto"/>
          <w:highlight w:val="none"/>
          <w:shd w:val="clear" w:color="auto" w:fill="auto"/>
        </w:rPr>
        <w:tab/>
      </w:r>
      <w:r>
        <w:rPr>
          <w:rFonts w:hint="eastAsia" w:hAnsi="宋体"/>
          <w:color w:val="auto"/>
          <w:highlight w:val="none"/>
          <w:shd w:val="clear" w:color="auto" w:fill="auto"/>
        </w:rPr>
        <w:t>25/31.5</w:t>
      </w:r>
    </w:p>
    <w:p>
      <w:pPr>
        <w:tabs>
          <w:tab w:val="left" w:pos="3268"/>
          <w:tab w:val="left" w:pos="5248"/>
        </w:tabs>
        <w:spacing w:after="0" w:line="360" w:lineRule="auto"/>
        <w:ind w:right="70" w:firstLine="480" w:firstLineChars="200"/>
        <w:rPr>
          <w:rFonts w:hAnsi="宋体"/>
          <w:color w:val="auto"/>
          <w:highlight w:val="none"/>
          <w:shd w:val="clear" w:color="auto" w:fill="auto"/>
        </w:rPr>
      </w:pPr>
      <w:r>
        <w:rPr>
          <w:rFonts w:hint="eastAsia" w:hAnsi="宋体"/>
          <w:color w:val="auto"/>
          <w:highlight w:val="none"/>
          <w:shd w:val="clear" w:color="auto" w:fill="auto"/>
        </w:rPr>
        <w:t>额定峰值耐受电流</w:t>
      </w:r>
      <w:r>
        <w:rPr>
          <w:rFonts w:hAnsi="宋体"/>
          <w:color w:val="auto"/>
          <w:highlight w:val="none"/>
          <w:shd w:val="clear" w:color="auto" w:fill="auto"/>
        </w:rPr>
        <w:t>kA</w:t>
      </w:r>
      <w:r>
        <w:rPr>
          <w:rFonts w:hAnsi="宋体"/>
          <w:color w:val="auto"/>
          <w:highlight w:val="none"/>
          <w:shd w:val="clear" w:color="auto" w:fill="auto"/>
        </w:rPr>
        <w:tab/>
      </w:r>
      <w:r>
        <w:rPr>
          <w:rFonts w:hint="eastAsia" w:hAnsi="宋体"/>
          <w:color w:val="auto"/>
          <w:highlight w:val="none"/>
          <w:shd w:val="clear" w:color="auto" w:fill="auto"/>
        </w:rPr>
        <w:tab/>
      </w:r>
      <w:r>
        <w:rPr>
          <w:rFonts w:hint="eastAsia" w:hAnsi="宋体"/>
          <w:color w:val="auto"/>
          <w:highlight w:val="none"/>
          <w:shd w:val="clear" w:color="auto" w:fill="auto"/>
        </w:rPr>
        <w:t>63</w:t>
      </w:r>
    </w:p>
    <w:p>
      <w:pPr>
        <w:tabs>
          <w:tab w:val="left" w:pos="3268"/>
          <w:tab w:val="left" w:pos="5248"/>
        </w:tabs>
        <w:spacing w:after="0" w:line="360" w:lineRule="auto"/>
        <w:ind w:right="70" w:firstLine="480" w:firstLineChars="200"/>
        <w:rPr>
          <w:rFonts w:hAnsi="宋体"/>
          <w:color w:val="auto"/>
          <w:highlight w:val="none"/>
          <w:shd w:val="clear" w:color="auto" w:fill="auto"/>
        </w:rPr>
      </w:pPr>
      <w:r>
        <w:rPr>
          <w:rFonts w:hint="eastAsia" w:hAnsi="宋体"/>
          <w:color w:val="auto"/>
          <w:highlight w:val="none"/>
          <w:shd w:val="clear" w:color="auto" w:fill="auto"/>
        </w:rPr>
        <w:t>额定雷电冲击耐受电压kV</w:t>
      </w:r>
      <w:r>
        <w:rPr>
          <w:rFonts w:hint="eastAsia" w:hAnsi="宋体"/>
          <w:color w:val="auto"/>
          <w:highlight w:val="none"/>
          <w:shd w:val="clear" w:color="auto" w:fill="auto"/>
        </w:rPr>
        <w:tab/>
      </w:r>
      <w:r>
        <w:rPr>
          <w:rFonts w:hint="eastAsia" w:hAnsi="宋体"/>
          <w:color w:val="auto"/>
          <w:highlight w:val="none"/>
          <w:shd w:val="clear" w:color="auto" w:fill="auto"/>
        </w:rPr>
        <w:t>75（相-相，相-地）</w:t>
      </w:r>
    </w:p>
    <w:p>
      <w:pPr>
        <w:tabs>
          <w:tab w:val="left" w:pos="3268"/>
          <w:tab w:val="left" w:pos="5248"/>
        </w:tabs>
        <w:spacing w:after="0" w:line="360" w:lineRule="auto"/>
        <w:ind w:left="28" w:right="70" w:firstLine="420"/>
        <w:rPr>
          <w:rFonts w:hAnsi="宋体"/>
          <w:color w:val="auto"/>
          <w:highlight w:val="none"/>
          <w:shd w:val="clear" w:color="auto" w:fill="auto"/>
        </w:rPr>
      </w:pPr>
      <w:r>
        <w:rPr>
          <w:rFonts w:hint="eastAsia" w:hAnsi="宋体"/>
          <w:color w:val="auto"/>
          <w:highlight w:val="none"/>
          <w:shd w:val="clear" w:color="auto" w:fill="auto"/>
        </w:rPr>
        <w:tab/>
      </w:r>
      <w:r>
        <w:rPr>
          <w:rFonts w:hint="eastAsia" w:hAnsi="宋体"/>
          <w:color w:val="auto"/>
          <w:highlight w:val="none"/>
          <w:shd w:val="clear" w:color="auto" w:fill="auto"/>
        </w:rPr>
        <w:tab/>
      </w:r>
      <w:r>
        <w:rPr>
          <w:rFonts w:hint="eastAsia" w:hAnsi="宋体"/>
          <w:color w:val="auto"/>
          <w:highlight w:val="none"/>
          <w:shd w:val="clear" w:color="auto" w:fill="auto"/>
        </w:rPr>
        <w:t>82（断口）</w:t>
      </w:r>
    </w:p>
    <w:p>
      <w:pPr>
        <w:tabs>
          <w:tab w:val="left" w:pos="3268"/>
          <w:tab w:val="left" w:pos="5248"/>
        </w:tabs>
        <w:spacing w:after="0" w:line="360" w:lineRule="auto"/>
        <w:ind w:right="70" w:firstLine="480" w:firstLineChars="200"/>
        <w:rPr>
          <w:rFonts w:hAnsi="宋体"/>
          <w:color w:val="auto"/>
          <w:highlight w:val="none"/>
          <w:shd w:val="clear" w:color="auto" w:fill="auto"/>
        </w:rPr>
      </w:pPr>
      <w:r>
        <w:rPr>
          <w:rFonts w:hint="eastAsia" w:hAnsi="宋体"/>
          <w:color w:val="auto"/>
          <w:highlight w:val="none"/>
          <w:shd w:val="clear" w:color="auto" w:fill="auto"/>
        </w:rPr>
        <w:t>一分钟工频耐受电压kV</w:t>
      </w:r>
      <w:r>
        <w:rPr>
          <w:rFonts w:hint="eastAsia" w:hAnsi="宋体"/>
          <w:color w:val="auto"/>
          <w:highlight w:val="none"/>
          <w:shd w:val="clear" w:color="auto" w:fill="auto"/>
        </w:rPr>
        <w:tab/>
      </w:r>
      <w:r>
        <w:rPr>
          <w:rFonts w:hint="eastAsia" w:hAnsi="宋体"/>
          <w:color w:val="auto"/>
          <w:highlight w:val="none"/>
          <w:shd w:val="clear" w:color="auto" w:fill="auto"/>
        </w:rPr>
        <w:t>42（相-相，相-地）</w:t>
      </w:r>
    </w:p>
    <w:p>
      <w:pPr>
        <w:tabs>
          <w:tab w:val="left" w:pos="3268"/>
          <w:tab w:val="left" w:pos="5248"/>
        </w:tabs>
        <w:spacing w:after="0" w:line="360" w:lineRule="auto"/>
        <w:ind w:left="28" w:right="70" w:firstLine="420"/>
        <w:rPr>
          <w:rFonts w:hAnsi="宋体"/>
          <w:color w:val="auto"/>
          <w:highlight w:val="none"/>
          <w:shd w:val="clear" w:color="auto" w:fill="auto"/>
        </w:rPr>
      </w:pPr>
      <w:r>
        <w:rPr>
          <w:rFonts w:hint="eastAsia" w:hAnsi="宋体"/>
          <w:color w:val="auto"/>
          <w:highlight w:val="none"/>
          <w:shd w:val="clear" w:color="auto" w:fill="auto"/>
        </w:rPr>
        <w:tab/>
      </w:r>
      <w:r>
        <w:rPr>
          <w:rFonts w:hint="eastAsia" w:hAnsi="宋体"/>
          <w:color w:val="auto"/>
          <w:highlight w:val="none"/>
          <w:shd w:val="clear" w:color="auto" w:fill="auto"/>
        </w:rPr>
        <w:tab/>
      </w:r>
      <w:r>
        <w:rPr>
          <w:rFonts w:hint="eastAsia" w:hAnsi="宋体"/>
          <w:color w:val="auto"/>
          <w:highlight w:val="none"/>
          <w:shd w:val="clear" w:color="auto" w:fill="auto"/>
        </w:rPr>
        <w:t>49（断口）</w:t>
      </w:r>
    </w:p>
    <w:p>
      <w:pPr>
        <w:tabs>
          <w:tab w:val="left" w:pos="3268"/>
          <w:tab w:val="left" w:pos="5248"/>
        </w:tabs>
        <w:spacing w:after="0" w:line="360" w:lineRule="auto"/>
        <w:ind w:right="70" w:firstLine="480" w:firstLineChars="200"/>
        <w:rPr>
          <w:rFonts w:hAnsi="宋体"/>
          <w:color w:val="auto"/>
          <w:highlight w:val="none"/>
          <w:shd w:val="clear" w:color="auto" w:fill="auto"/>
        </w:rPr>
      </w:pPr>
      <w:r>
        <w:rPr>
          <w:rFonts w:hint="eastAsia" w:hAnsi="宋体"/>
          <w:color w:val="auto"/>
          <w:highlight w:val="none"/>
          <w:shd w:val="clear" w:color="auto" w:fill="auto"/>
        </w:rPr>
        <w:t>额定有功负载开断电流A</w:t>
      </w:r>
      <w:r>
        <w:rPr>
          <w:rFonts w:hint="eastAsia" w:hAnsi="宋体"/>
          <w:color w:val="auto"/>
          <w:highlight w:val="none"/>
          <w:shd w:val="clear" w:color="auto" w:fill="auto"/>
        </w:rPr>
        <w:tab/>
      </w:r>
      <w:r>
        <w:rPr>
          <w:rFonts w:hint="eastAsia" w:hAnsi="宋体"/>
          <w:color w:val="auto"/>
          <w:highlight w:val="none"/>
          <w:shd w:val="clear" w:color="auto" w:fill="auto"/>
        </w:rPr>
        <w:t>630</w:t>
      </w:r>
    </w:p>
    <w:p>
      <w:pPr>
        <w:tabs>
          <w:tab w:val="left" w:pos="3268"/>
          <w:tab w:val="left" w:pos="5248"/>
        </w:tabs>
        <w:spacing w:after="0" w:line="360" w:lineRule="auto"/>
        <w:ind w:right="70" w:firstLine="480" w:firstLineChars="200"/>
        <w:rPr>
          <w:rFonts w:hAnsi="宋体"/>
          <w:color w:val="auto"/>
          <w:highlight w:val="none"/>
          <w:shd w:val="clear" w:color="auto" w:fill="auto"/>
        </w:rPr>
      </w:pPr>
      <w:r>
        <w:rPr>
          <w:rFonts w:hint="eastAsia" w:hAnsi="宋体"/>
          <w:color w:val="auto"/>
          <w:highlight w:val="none"/>
          <w:shd w:val="clear" w:color="auto" w:fill="auto"/>
        </w:rPr>
        <w:t>额定闭环开断电流A</w:t>
      </w:r>
      <w:r>
        <w:rPr>
          <w:rFonts w:hint="eastAsia" w:hAnsi="宋体"/>
          <w:color w:val="auto"/>
          <w:highlight w:val="none"/>
          <w:shd w:val="clear" w:color="auto" w:fill="auto"/>
        </w:rPr>
        <w:tab/>
      </w:r>
      <w:r>
        <w:rPr>
          <w:rFonts w:hint="eastAsia" w:hAnsi="宋体"/>
          <w:color w:val="auto"/>
          <w:highlight w:val="none"/>
          <w:shd w:val="clear" w:color="auto" w:fill="auto"/>
        </w:rPr>
        <w:tab/>
      </w:r>
      <w:r>
        <w:rPr>
          <w:rFonts w:hint="eastAsia" w:hAnsi="宋体"/>
          <w:color w:val="auto"/>
          <w:highlight w:val="none"/>
          <w:shd w:val="clear" w:color="auto" w:fill="auto"/>
        </w:rPr>
        <w:t>630</w:t>
      </w:r>
    </w:p>
    <w:p>
      <w:pPr>
        <w:tabs>
          <w:tab w:val="left" w:pos="3268"/>
          <w:tab w:val="left" w:pos="5248"/>
        </w:tabs>
        <w:spacing w:after="0" w:line="360" w:lineRule="auto"/>
        <w:ind w:right="70" w:firstLine="480" w:firstLineChars="200"/>
        <w:rPr>
          <w:rFonts w:hAnsi="宋体"/>
          <w:color w:val="auto"/>
          <w:highlight w:val="none"/>
          <w:shd w:val="clear" w:color="auto" w:fill="auto"/>
        </w:rPr>
      </w:pPr>
      <w:r>
        <w:rPr>
          <w:rFonts w:hint="eastAsia" w:hAnsi="宋体"/>
          <w:color w:val="auto"/>
          <w:highlight w:val="none"/>
          <w:shd w:val="clear" w:color="auto" w:fill="auto"/>
        </w:rPr>
        <w:t>额定电缆充电开断电流A</w:t>
      </w:r>
      <w:r>
        <w:rPr>
          <w:rFonts w:hint="eastAsia" w:hAnsi="宋体"/>
          <w:color w:val="auto"/>
          <w:highlight w:val="none"/>
          <w:shd w:val="clear" w:color="auto" w:fill="auto"/>
        </w:rPr>
        <w:tab/>
      </w:r>
      <w:r>
        <w:rPr>
          <w:rFonts w:hint="eastAsia" w:hAnsi="宋体"/>
          <w:color w:val="auto"/>
          <w:highlight w:val="none"/>
          <w:shd w:val="clear" w:color="auto" w:fill="auto"/>
        </w:rPr>
        <w:t>10</w:t>
      </w:r>
    </w:p>
    <w:p>
      <w:pPr>
        <w:tabs>
          <w:tab w:val="left" w:pos="3270"/>
          <w:tab w:val="left" w:pos="5248"/>
        </w:tabs>
        <w:spacing w:after="0" w:line="360" w:lineRule="auto"/>
        <w:ind w:right="70" w:firstLine="480" w:firstLineChars="200"/>
        <w:rPr>
          <w:rFonts w:hAnsi="宋体"/>
          <w:color w:val="auto"/>
          <w:highlight w:val="none"/>
          <w:shd w:val="clear" w:color="auto" w:fill="auto"/>
        </w:rPr>
      </w:pPr>
      <w:r>
        <w:rPr>
          <w:rFonts w:hint="eastAsia" w:hAnsi="宋体"/>
          <w:color w:val="auto"/>
          <w:highlight w:val="none"/>
          <w:shd w:val="clear" w:color="auto" w:fill="auto"/>
        </w:rPr>
        <w:t>额定线路充电开断电流A</w:t>
      </w:r>
      <w:r>
        <w:rPr>
          <w:rFonts w:hint="eastAsia" w:hAnsi="宋体"/>
          <w:color w:val="auto"/>
          <w:highlight w:val="none"/>
          <w:shd w:val="clear" w:color="auto" w:fill="auto"/>
        </w:rPr>
        <w:tab/>
      </w:r>
      <w:r>
        <w:rPr>
          <w:rFonts w:hint="eastAsia" w:hAnsi="宋体"/>
          <w:color w:val="auto"/>
          <w:highlight w:val="none"/>
          <w:shd w:val="clear" w:color="auto" w:fill="auto"/>
        </w:rPr>
        <w:t>20</w:t>
      </w:r>
    </w:p>
    <w:p>
      <w:pPr>
        <w:tabs>
          <w:tab w:val="left" w:pos="3270"/>
          <w:tab w:val="left" w:pos="5248"/>
        </w:tabs>
        <w:spacing w:after="0" w:line="360" w:lineRule="auto"/>
        <w:ind w:right="70" w:firstLine="480" w:firstLineChars="200"/>
        <w:rPr>
          <w:rFonts w:hAnsi="宋体"/>
          <w:color w:val="auto"/>
          <w:highlight w:val="none"/>
          <w:shd w:val="clear" w:color="auto" w:fill="auto"/>
        </w:rPr>
      </w:pPr>
      <w:r>
        <w:rPr>
          <w:rFonts w:hint="eastAsia" w:hAnsi="宋体"/>
          <w:color w:val="auto"/>
          <w:highlight w:val="none"/>
          <w:shd w:val="clear" w:color="auto" w:fill="auto"/>
        </w:rPr>
        <w:t>额定接地故障时电缆和线路充电开断电流A</w:t>
      </w:r>
      <w:r>
        <w:rPr>
          <w:rFonts w:hint="eastAsia" w:hAnsi="宋体"/>
          <w:color w:val="auto"/>
          <w:highlight w:val="none"/>
          <w:shd w:val="clear" w:color="auto" w:fill="auto"/>
        </w:rPr>
        <w:tab/>
      </w:r>
      <w:r>
        <w:rPr>
          <w:rFonts w:hint="eastAsia" w:hAnsi="宋体"/>
          <w:color w:val="auto"/>
          <w:highlight w:val="none"/>
          <w:shd w:val="clear" w:color="auto" w:fill="auto"/>
        </w:rPr>
        <w:t>87</w:t>
      </w:r>
    </w:p>
    <w:p>
      <w:pPr>
        <w:tabs>
          <w:tab w:val="left" w:pos="3270"/>
          <w:tab w:val="left" w:pos="5248"/>
        </w:tabs>
        <w:spacing w:after="0" w:line="360" w:lineRule="auto"/>
        <w:ind w:right="70" w:firstLine="480" w:firstLineChars="200"/>
        <w:rPr>
          <w:rFonts w:hAnsi="宋体"/>
          <w:color w:val="auto"/>
          <w:highlight w:val="none"/>
          <w:shd w:val="clear" w:color="auto" w:fill="auto"/>
        </w:rPr>
      </w:pPr>
      <w:r>
        <w:rPr>
          <w:rFonts w:hint="eastAsia" w:hAnsi="宋体"/>
          <w:color w:val="auto"/>
          <w:highlight w:val="none"/>
          <w:shd w:val="clear" w:color="auto" w:fill="auto"/>
        </w:rPr>
        <w:t>额定短路关合电流kA</w:t>
      </w:r>
      <w:r>
        <w:rPr>
          <w:rFonts w:hint="eastAsia" w:hAnsi="宋体"/>
          <w:color w:val="auto"/>
          <w:highlight w:val="none"/>
          <w:shd w:val="clear" w:color="auto" w:fill="auto"/>
        </w:rPr>
        <w:tab/>
      </w:r>
      <w:r>
        <w:rPr>
          <w:rFonts w:hint="eastAsia" w:hAnsi="宋体"/>
          <w:color w:val="auto"/>
          <w:highlight w:val="none"/>
          <w:shd w:val="clear" w:color="auto" w:fill="auto"/>
        </w:rPr>
        <w:tab/>
      </w:r>
      <w:r>
        <w:rPr>
          <w:rFonts w:hint="eastAsia" w:hAnsi="宋体"/>
          <w:color w:val="auto"/>
          <w:highlight w:val="none"/>
          <w:shd w:val="clear" w:color="auto" w:fill="auto"/>
        </w:rPr>
        <w:t>63</w:t>
      </w:r>
    </w:p>
    <w:p>
      <w:pPr>
        <w:tabs>
          <w:tab w:val="left" w:pos="3270"/>
          <w:tab w:val="left" w:pos="5248"/>
        </w:tabs>
        <w:spacing w:after="0" w:line="360" w:lineRule="auto"/>
        <w:ind w:right="70" w:firstLine="480" w:firstLineChars="200"/>
        <w:rPr>
          <w:rFonts w:hAnsi="宋体"/>
          <w:color w:val="auto"/>
          <w:highlight w:val="none"/>
          <w:shd w:val="clear" w:color="auto" w:fill="auto"/>
        </w:rPr>
      </w:pPr>
      <w:r>
        <w:rPr>
          <w:rFonts w:hint="eastAsia" w:hAnsi="宋体"/>
          <w:color w:val="auto"/>
          <w:highlight w:val="none"/>
          <w:shd w:val="clear" w:color="auto" w:fill="auto"/>
        </w:rPr>
        <w:t>额定转移电流A</w:t>
      </w:r>
      <w:r>
        <w:rPr>
          <w:rFonts w:hint="eastAsia" w:hAnsi="宋体"/>
          <w:color w:val="auto"/>
          <w:highlight w:val="none"/>
          <w:shd w:val="clear" w:color="auto" w:fill="auto"/>
        </w:rPr>
        <w:tab/>
      </w:r>
      <w:r>
        <w:rPr>
          <w:rFonts w:hint="eastAsia" w:hAnsi="宋体"/>
          <w:color w:val="auto"/>
          <w:highlight w:val="none"/>
          <w:shd w:val="clear" w:color="auto" w:fill="auto"/>
        </w:rPr>
        <w:tab/>
      </w:r>
      <w:r>
        <w:rPr>
          <w:rFonts w:hint="eastAsia" w:hAnsi="宋体"/>
          <w:color w:val="auto"/>
          <w:highlight w:val="none"/>
          <w:shd w:val="clear" w:color="auto" w:fill="auto"/>
        </w:rPr>
        <w:t>1500</w:t>
      </w:r>
    </w:p>
    <w:p>
      <w:pPr>
        <w:tabs>
          <w:tab w:val="left" w:pos="3268"/>
          <w:tab w:val="left" w:pos="5248"/>
        </w:tabs>
        <w:spacing w:after="0" w:line="360" w:lineRule="auto"/>
        <w:ind w:right="70" w:firstLine="480" w:firstLineChars="200"/>
        <w:rPr>
          <w:rFonts w:hAnsi="宋体"/>
          <w:color w:val="auto"/>
          <w:highlight w:val="none"/>
          <w:shd w:val="clear" w:color="auto" w:fill="auto"/>
        </w:rPr>
      </w:pPr>
      <w:r>
        <w:rPr>
          <w:rFonts w:hint="eastAsia" w:hAnsi="宋体"/>
          <w:color w:val="auto"/>
          <w:highlight w:val="none"/>
          <w:shd w:val="clear" w:color="auto" w:fill="auto"/>
        </w:rPr>
        <w:t>负荷开关机械寿命</w:t>
      </w:r>
      <w:r>
        <w:rPr>
          <w:rFonts w:hint="eastAsia" w:hAnsi="宋体"/>
          <w:color w:val="auto"/>
          <w:highlight w:val="none"/>
          <w:shd w:val="clear" w:color="auto" w:fill="auto"/>
        </w:rPr>
        <w:tab/>
      </w:r>
      <w:r>
        <w:rPr>
          <w:rFonts w:hint="eastAsia" w:hAnsi="宋体"/>
          <w:color w:val="auto"/>
          <w:highlight w:val="none"/>
          <w:shd w:val="clear" w:color="auto" w:fill="auto"/>
        </w:rPr>
        <w:tab/>
      </w:r>
      <w:r>
        <w:rPr>
          <w:rFonts w:hint="eastAsia" w:hAnsi="宋体"/>
          <w:color w:val="auto"/>
          <w:highlight w:val="none"/>
          <w:shd w:val="clear" w:color="auto" w:fill="auto"/>
        </w:rPr>
        <w:t>5000次</w:t>
      </w:r>
    </w:p>
    <w:p>
      <w:pPr>
        <w:tabs>
          <w:tab w:val="left" w:pos="3165"/>
          <w:tab w:val="left" w:pos="5248"/>
        </w:tabs>
        <w:spacing w:after="0" w:line="360" w:lineRule="auto"/>
        <w:ind w:right="70" w:firstLine="480" w:firstLineChars="200"/>
        <w:rPr>
          <w:rFonts w:hAnsi="宋体"/>
          <w:color w:val="auto"/>
          <w:highlight w:val="none"/>
          <w:shd w:val="clear" w:color="auto" w:fill="auto"/>
        </w:rPr>
      </w:pPr>
      <w:r>
        <w:rPr>
          <w:rFonts w:hint="eastAsia" w:hAnsi="宋体"/>
          <w:color w:val="auto"/>
          <w:highlight w:val="none"/>
          <w:shd w:val="clear" w:color="auto" w:fill="auto"/>
        </w:rPr>
        <w:t>接地开关机械寿命</w:t>
      </w:r>
      <w:r>
        <w:rPr>
          <w:rFonts w:hint="eastAsia" w:hAnsi="宋体"/>
          <w:color w:val="auto"/>
          <w:highlight w:val="none"/>
          <w:shd w:val="clear" w:color="auto" w:fill="auto"/>
        </w:rPr>
        <w:tab/>
      </w:r>
      <w:r>
        <w:rPr>
          <w:rFonts w:hint="eastAsia" w:hAnsi="宋体"/>
          <w:color w:val="auto"/>
          <w:highlight w:val="none"/>
          <w:shd w:val="clear" w:color="auto" w:fill="auto"/>
        </w:rPr>
        <w:tab/>
      </w:r>
      <w:r>
        <w:rPr>
          <w:rFonts w:hint="eastAsia" w:hAnsi="宋体"/>
          <w:color w:val="auto"/>
          <w:highlight w:val="none"/>
          <w:shd w:val="clear" w:color="auto" w:fill="auto"/>
        </w:rPr>
        <w:t>1000次</w:t>
      </w:r>
    </w:p>
    <w:p>
      <w:pPr>
        <w:spacing w:after="0" w:line="360" w:lineRule="auto"/>
        <w:ind w:right="70" w:firstLine="480" w:firstLineChars="200"/>
        <w:rPr>
          <w:rFonts w:hAnsi="宋体"/>
          <w:bCs/>
          <w:color w:val="auto"/>
          <w:highlight w:val="none"/>
          <w:shd w:val="clear" w:color="auto" w:fill="auto"/>
        </w:rPr>
      </w:pPr>
      <w:r>
        <w:rPr>
          <w:rFonts w:hint="eastAsia" w:hAnsi="宋体"/>
          <w:bCs/>
          <w:color w:val="auto"/>
          <w:highlight w:val="none"/>
          <w:shd w:val="clear" w:color="auto" w:fill="auto"/>
        </w:rPr>
        <w:t>（5）接地开关</w:t>
      </w:r>
    </w:p>
    <w:p>
      <w:pPr>
        <w:spacing w:after="0" w:line="360" w:lineRule="auto"/>
        <w:ind w:right="70" w:firstLine="410" w:firstLineChars="171"/>
        <w:rPr>
          <w:rFonts w:hAnsi="宋体"/>
          <w:bCs/>
          <w:color w:val="auto"/>
          <w:highlight w:val="none"/>
          <w:shd w:val="clear" w:color="auto" w:fill="auto"/>
        </w:rPr>
      </w:pPr>
      <w:r>
        <w:rPr>
          <w:rFonts w:hint="eastAsia" w:hAnsi="宋体"/>
          <w:bCs/>
          <w:color w:val="auto"/>
          <w:highlight w:val="none"/>
          <w:shd w:val="clear" w:color="auto" w:fill="auto"/>
        </w:rPr>
        <w:t>接地开关短路关合容量应能够满足可能出现的短路电流最大值。接地开关的位置通过低压室门上的位置指示器显示，并受前面的主操动轴操动。</w:t>
      </w:r>
    </w:p>
    <w:p>
      <w:pPr>
        <w:spacing w:after="0" w:line="360" w:lineRule="auto"/>
        <w:ind w:right="70" w:firstLine="420"/>
        <w:rPr>
          <w:rFonts w:hAnsi="宋体"/>
          <w:bCs/>
          <w:color w:val="auto"/>
          <w:highlight w:val="none"/>
          <w:shd w:val="clear" w:color="auto" w:fill="auto"/>
        </w:rPr>
      </w:pPr>
      <w:r>
        <w:rPr>
          <w:rFonts w:hint="eastAsia" w:hAnsi="宋体"/>
          <w:bCs/>
          <w:color w:val="auto"/>
          <w:highlight w:val="none"/>
          <w:shd w:val="clear" w:color="auto" w:fill="auto"/>
        </w:rPr>
        <w:t>（6）互感器技术要求需符合电力部门要求。</w:t>
      </w:r>
    </w:p>
    <w:p>
      <w:pPr>
        <w:spacing w:after="0" w:line="360" w:lineRule="auto"/>
        <w:ind w:right="70" w:firstLine="420"/>
        <w:rPr>
          <w:rFonts w:hAnsi="宋体"/>
          <w:bCs/>
          <w:color w:val="auto"/>
          <w:highlight w:val="none"/>
          <w:shd w:val="clear" w:color="auto" w:fill="auto"/>
        </w:rPr>
      </w:pPr>
      <w:r>
        <w:rPr>
          <w:rFonts w:hint="eastAsia" w:hAnsi="宋体"/>
          <w:bCs/>
          <w:color w:val="auto"/>
          <w:highlight w:val="none"/>
          <w:shd w:val="clear" w:color="auto" w:fill="auto"/>
        </w:rPr>
        <w:t>（7）结构要求：</w:t>
      </w:r>
    </w:p>
    <w:p>
      <w:pPr>
        <w:spacing w:after="0" w:line="360" w:lineRule="auto"/>
        <w:ind w:right="70" w:firstLine="410" w:firstLineChars="171"/>
        <w:rPr>
          <w:rFonts w:hAnsi="宋体"/>
          <w:bCs/>
          <w:color w:val="auto"/>
          <w:highlight w:val="none"/>
          <w:shd w:val="clear" w:color="auto" w:fill="auto"/>
        </w:rPr>
      </w:pPr>
      <w:r>
        <w:rPr>
          <w:rFonts w:hint="eastAsia" w:hAnsi="宋体"/>
          <w:bCs/>
          <w:color w:val="auto"/>
          <w:highlight w:val="none"/>
          <w:shd w:val="clear" w:color="auto" w:fill="auto"/>
        </w:rPr>
        <w:t>1)开关柜内分为4个独立隔室：母线室、开关室、电缆室、低压控制室，各部分进行金属全分隔。</w:t>
      </w:r>
    </w:p>
    <w:p>
      <w:pPr>
        <w:spacing w:after="0" w:line="360" w:lineRule="auto"/>
        <w:ind w:right="70" w:firstLine="410" w:firstLineChars="171"/>
        <w:rPr>
          <w:rFonts w:hAnsi="宋体"/>
          <w:bCs/>
          <w:color w:val="auto"/>
          <w:highlight w:val="none"/>
          <w:shd w:val="clear" w:color="auto" w:fill="auto"/>
        </w:rPr>
      </w:pPr>
      <w:r>
        <w:rPr>
          <w:rFonts w:hint="eastAsia" w:hAnsi="宋体"/>
          <w:bCs/>
          <w:color w:val="auto"/>
          <w:highlight w:val="none"/>
          <w:shd w:val="clear" w:color="auto" w:fill="auto"/>
        </w:rPr>
        <w:t>2)</w:t>
      </w:r>
      <w:r>
        <w:rPr>
          <w:rFonts w:hAnsi="宋体"/>
          <w:bCs/>
          <w:color w:val="auto"/>
          <w:highlight w:val="none"/>
          <w:shd w:val="clear" w:color="auto" w:fill="auto"/>
        </w:rPr>
        <w:t>柜体的外壳和各功能单元之间的隔板均采用</w:t>
      </w:r>
      <w:r>
        <w:rPr>
          <w:rFonts w:hint="eastAsia" w:hAnsi="宋体"/>
          <w:bCs/>
          <w:color w:val="auto"/>
          <w:highlight w:val="none"/>
          <w:shd w:val="clear" w:color="auto" w:fill="auto"/>
        </w:rPr>
        <w:t>镀</w:t>
      </w:r>
      <w:r>
        <w:rPr>
          <w:rFonts w:hAnsi="宋体"/>
          <w:bCs/>
          <w:color w:val="auto"/>
          <w:highlight w:val="none"/>
          <w:shd w:val="clear" w:color="auto" w:fill="auto"/>
        </w:rPr>
        <w:t>铝锌钢板弯折后栓接而成。开关柜宜从结构上考虑内故障电弧的影响并提供内部故障试验报告，应设压力释放板。</w:t>
      </w:r>
    </w:p>
    <w:p>
      <w:pPr>
        <w:spacing w:after="0" w:line="360" w:lineRule="auto"/>
        <w:ind w:right="70" w:firstLine="410" w:firstLineChars="171"/>
        <w:rPr>
          <w:rFonts w:hAnsi="宋体"/>
          <w:bCs/>
          <w:color w:val="auto"/>
          <w:highlight w:val="none"/>
          <w:shd w:val="clear" w:color="auto" w:fill="auto"/>
        </w:rPr>
      </w:pPr>
      <w:r>
        <w:rPr>
          <w:rFonts w:hint="eastAsia" w:hAnsi="宋体"/>
          <w:bCs/>
          <w:color w:val="auto"/>
          <w:highlight w:val="none"/>
          <w:shd w:val="clear" w:color="auto" w:fill="auto"/>
        </w:rPr>
        <w:t>3)开关装置的布置便于监视、检查和维修。</w:t>
      </w:r>
    </w:p>
    <w:p>
      <w:pPr>
        <w:spacing w:after="0" w:line="360" w:lineRule="auto"/>
        <w:ind w:right="70" w:firstLine="410" w:firstLineChars="171"/>
        <w:rPr>
          <w:rFonts w:hAnsi="宋体"/>
          <w:bCs/>
          <w:color w:val="auto"/>
          <w:highlight w:val="none"/>
          <w:shd w:val="clear" w:color="auto" w:fill="auto"/>
        </w:rPr>
      </w:pPr>
      <w:r>
        <w:rPr>
          <w:rFonts w:hint="eastAsia" w:hAnsi="宋体"/>
          <w:bCs/>
          <w:color w:val="auto"/>
          <w:highlight w:val="none"/>
          <w:shd w:val="clear" w:color="auto" w:fill="auto"/>
        </w:rPr>
        <w:t>4)低压室内设观察窗，运行人员可通过观察窗检查开关是否处于分闸或接地状态。在运行时也可透过前门窗口容易地观察到电缆连接和故障指示。</w:t>
      </w:r>
    </w:p>
    <w:p>
      <w:pPr>
        <w:spacing w:after="0" w:line="360" w:lineRule="auto"/>
        <w:ind w:right="70" w:firstLine="410" w:firstLineChars="171"/>
        <w:rPr>
          <w:rFonts w:hAnsi="宋体"/>
          <w:bCs/>
          <w:color w:val="auto"/>
          <w:highlight w:val="none"/>
          <w:shd w:val="clear" w:color="auto" w:fill="auto"/>
        </w:rPr>
      </w:pPr>
      <w:r>
        <w:rPr>
          <w:rFonts w:hint="eastAsia" w:hAnsi="宋体"/>
          <w:bCs/>
          <w:color w:val="auto"/>
          <w:highlight w:val="none"/>
          <w:shd w:val="clear" w:color="auto" w:fill="auto"/>
        </w:rPr>
        <w:t>5)相关的负荷开关和接地开关有联锁装置以防误操作。</w:t>
      </w:r>
    </w:p>
    <w:p>
      <w:pPr>
        <w:spacing w:after="0" w:line="360" w:lineRule="auto"/>
        <w:ind w:right="70" w:firstLine="410" w:firstLineChars="171"/>
        <w:rPr>
          <w:rFonts w:hAnsi="宋体"/>
          <w:bCs/>
          <w:color w:val="auto"/>
          <w:highlight w:val="none"/>
          <w:shd w:val="clear" w:color="auto" w:fill="auto"/>
        </w:rPr>
      </w:pPr>
      <w:r>
        <w:rPr>
          <w:rFonts w:hint="eastAsia" w:hAnsi="宋体"/>
          <w:bCs/>
          <w:color w:val="auto"/>
          <w:highlight w:val="none"/>
          <w:shd w:val="clear" w:color="auto" w:fill="auto"/>
        </w:rPr>
        <w:t>6)每只开关柜均设置不锈钢铭牌，铭牌上标有制造厂家名称、设备名称及型号、制造年月、设备主要技术规格和参数、制造编号等。</w:t>
      </w:r>
    </w:p>
    <w:p>
      <w:pPr>
        <w:spacing w:after="0" w:line="360" w:lineRule="auto"/>
        <w:ind w:right="70" w:firstLine="410" w:firstLineChars="171"/>
        <w:rPr>
          <w:rFonts w:hAnsi="宋体"/>
          <w:bCs/>
          <w:color w:val="auto"/>
          <w:highlight w:val="none"/>
          <w:shd w:val="clear" w:color="auto" w:fill="auto"/>
        </w:rPr>
      </w:pPr>
      <w:r>
        <w:rPr>
          <w:rFonts w:hint="eastAsia" w:hAnsi="宋体"/>
          <w:bCs/>
          <w:color w:val="auto"/>
          <w:highlight w:val="none"/>
          <w:shd w:val="clear" w:color="auto" w:fill="auto"/>
        </w:rPr>
        <w:t>7)柜内设置照明，照明灯泡易于更换，以保证运行人员安全。</w:t>
      </w:r>
    </w:p>
    <w:p>
      <w:pPr>
        <w:spacing w:after="0" w:line="360" w:lineRule="auto"/>
        <w:ind w:right="70" w:firstLine="410" w:firstLineChars="171"/>
        <w:rPr>
          <w:rFonts w:hAnsi="宋体"/>
          <w:bCs/>
          <w:color w:val="auto"/>
          <w:highlight w:val="none"/>
          <w:shd w:val="clear" w:color="auto" w:fill="auto"/>
        </w:rPr>
      </w:pPr>
      <w:r>
        <w:rPr>
          <w:rFonts w:hint="eastAsia" w:hAnsi="宋体"/>
          <w:bCs/>
          <w:color w:val="auto"/>
          <w:highlight w:val="none"/>
          <w:shd w:val="clear" w:color="auto" w:fill="auto"/>
        </w:rPr>
        <w:t>8)所有绝缘材料采用高强度阻燃型工程塑料。</w:t>
      </w:r>
    </w:p>
    <w:p>
      <w:pPr>
        <w:spacing w:after="0" w:line="360" w:lineRule="auto"/>
        <w:ind w:right="70" w:firstLine="410" w:firstLineChars="171"/>
        <w:rPr>
          <w:rFonts w:hAnsi="宋体"/>
          <w:bCs/>
          <w:color w:val="auto"/>
          <w:highlight w:val="none"/>
          <w:shd w:val="clear" w:color="auto" w:fill="auto"/>
        </w:rPr>
      </w:pPr>
      <w:r>
        <w:rPr>
          <w:rFonts w:hint="eastAsia" w:hAnsi="宋体"/>
          <w:bCs/>
          <w:color w:val="auto"/>
          <w:highlight w:val="none"/>
          <w:shd w:val="clear" w:color="auto" w:fill="auto"/>
        </w:rPr>
        <w:t>9)开关柜具有可靠的防止误操作的联锁装置，满足“五防”要求。</w:t>
      </w:r>
    </w:p>
    <w:p>
      <w:pPr>
        <w:spacing w:after="0" w:line="360" w:lineRule="auto"/>
        <w:ind w:right="70" w:firstLine="410" w:firstLineChars="171"/>
        <w:rPr>
          <w:rFonts w:hAnsi="宋体"/>
          <w:bCs/>
          <w:color w:val="auto"/>
          <w:highlight w:val="none"/>
          <w:shd w:val="clear" w:color="auto" w:fill="auto"/>
        </w:rPr>
      </w:pPr>
      <w:r>
        <w:rPr>
          <w:rFonts w:hint="eastAsia" w:hAnsi="宋体"/>
          <w:bCs/>
          <w:color w:val="auto"/>
          <w:highlight w:val="none"/>
          <w:shd w:val="clear" w:color="auto" w:fill="auto"/>
        </w:rPr>
        <w:t>10)开关柜采用环氧树脂粉末喷涂，具体颜色将提供色标供业主选择指定。</w:t>
      </w:r>
    </w:p>
    <w:p>
      <w:pPr>
        <w:spacing w:after="0" w:line="360" w:lineRule="auto"/>
        <w:ind w:right="70" w:firstLine="410" w:firstLineChars="171"/>
        <w:rPr>
          <w:rFonts w:hAnsi="宋体"/>
          <w:bCs/>
          <w:color w:val="auto"/>
          <w:highlight w:val="none"/>
          <w:shd w:val="clear" w:color="auto" w:fill="auto"/>
        </w:rPr>
      </w:pPr>
      <w:r>
        <w:rPr>
          <w:rFonts w:hint="eastAsia" w:hAnsi="宋体"/>
          <w:bCs/>
          <w:color w:val="auto"/>
          <w:highlight w:val="none"/>
          <w:shd w:val="clear" w:color="auto" w:fill="auto"/>
        </w:rPr>
        <w:t>11)母排系统符合IEC694并且全封闭，母排排列便于电缆连接、观察及维修。</w:t>
      </w:r>
    </w:p>
    <w:p>
      <w:pPr>
        <w:spacing w:after="0" w:line="360" w:lineRule="auto"/>
        <w:ind w:right="70" w:firstLine="410" w:firstLineChars="171"/>
        <w:rPr>
          <w:rFonts w:hAnsi="宋体"/>
          <w:bCs/>
          <w:color w:val="auto"/>
          <w:highlight w:val="none"/>
          <w:shd w:val="clear" w:color="auto" w:fill="auto"/>
        </w:rPr>
      </w:pPr>
      <w:r>
        <w:rPr>
          <w:rFonts w:hint="eastAsia" w:hAnsi="宋体"/>
          <w:bCs/>
          <w:color w:val="auto"/>
          <w:highlight w:val="none"/>
          <w:shd w:val="clear" w:color="auto" w:fill="auto"/>
        </w:rPr>
        <w:t>12)设备完全满足技术规范及设计图纸的要求，达到要求的各项性能。</w:t>
      </w:r>
    </w:p>
    <w:p>
      <w:pPr>
        <w:spacing w:after="0" w:line="360" w:lineRule="auto"/>
        <w:ind w:right="70" w:firstLine="410" w:firstLineChars="171"/>
        <w:rPr>
          <w:rFonts w:hAnsi="宋体"/>
          <w:bCs/>
          <w:color w:val="auto"/>
          <w:highlight w:val="none"/>
          <w:shd w:val="clear" w:color="auto" w:fill="auto"/>
        </w:rPr>
      </w:pPr>
      <w:r>
        <w:rPr>
          <w:rFonts w:hint="eastAsia" w:hAnsi="宋体"/>
          <w:bCs/>
          <w:color w:val="auto"/>
          <w:highlight w:val="none"/>
          <w:shd w:val="clear" w:color="auto" w:fill="auto"/>
        </w:rPr>
        <w:t>13)所有开关柜和控制柜按总要求及相关规范要求（IEC439、IEC等）在制造厂进行检查和试验；常规检查和试验包括：视觉检查；所有控制、保护和检测设备的电器操作；功能性试验包括模拟操作试验；熔断器的型式及额定值的视觉检查；高压工频和直流耐压试验。</w:t>
      </w:r>
    </w:p>
    <w:p>
      <w:pPr>
        <w:spacing w:after="0" w:line="360" w:lineRule="auto"/>
        <w:ind w:firstLine="420"/>
        <w:rPr>
          <w:rFonts w:hAnsi="宋体"/>
          <w:bCs/>
          <w:color w:val="auto"/>
          <w:highlight w:val="none"/>
          <w:shd w:val="clear" w:color="auto" w:fill="auto"/>
        </w:rPr>
      </w:pPr>
      <w:r>
        <w:rPr>
          <w:rFonts w:hint="eastAsia" w:hAnsi="宋体"/>
          <w:bCs/>
          <w:color w:val="auto"/>
          <w:highlight w:val="none"/>
          <w:shd w:val="clear" w:color="auto" w:fill="auto"/>
        </w:rPr>
        <w:t>（8）</w:t>
      </w:r>
      <w:r>
        <w:rPr>
          <w:rFonts w:hint="eastAsia" w:hAnsi="宋体"/>
          <w:color w:val="auto"/>
          <w:highlight w:val="none"/>
          <w:shd w:val="clear" w:color="auto" w:fill="auto"/>
        </w:rPr>
        <w:t>系统组成：见附后配电系统图高压配电柜部分</w:t>
      </w:r>
    </w:p>
    <w:p>
      <w:pPr>
        <w:pStyle w:val="3"/>
        <w:spacing w:before="0" w:line="360" w:lineRule="auto"/>
        <w:jc w:val="left"/>
        <w:rPr>
          <w:color w:val="auto"/>
          <w:sz w:val="24"/>
          <w:szCs w:val="24"/>
          <w:highlight w:val="none"/>
          <w:shd w:val="clear" w:color="auto" w:fill="auto"/>
        </w:rPr>
      </w:pPr>
      <w:r>
        <w:rPr>
          <w:rFonts w:hint="eastAsia"/>
          <w:color w:val="auto"/>
          <w:sz w:val="24"/>
          <w:szCs w:val="24"/>
          <w:highlight w:val="none"/>
          <w:shd w:val="clear" w:color="auto" w:fill="auto"/>
        </w:rPr>
        <w:t>低压配电柜</w:t>
      </w:r>
    </w:p>
    <w:p>
      <w:pPr>
        <w:spacing w:after="0" w:line="360" w:lineRule="auto"/>
        <w:ind w:right="70" w:firstLine="240" w:firstLineChars="100"/>
        <w:rPr>
          <w:rFonts w:hAnsi="宋体"/>
          <w:color w:val="auto"/>
          <w:highlight w:val="none"/>
          <w:shd w:val="clear" w:color="auto" w:fill="auto"/>
        </w:rPr>
      </w:pPr>
      <w:r>
        <w:rPr>
          <w:rFonts w:hint="eastAsia" w:hAnsi="宋体"/>
          <w:bCs/>
          <w:color w:val="auto"/>
          <w:highlight w:val="none"/>
          <w:shd w:val="clear" w:color="auto" w:fill="auto"/>
        </w:rPr>
        <w:t>（1）</w:t>
      </w:r>
      <w:r>
        <w:rPr>
          <w:rFonts w:hint="eastAsia" w:hAnsi="宋体"/>
          <w:color w:val="auto"/>
          <w:highlight w:val="none"/>
          <w:shd w:val="clear" w:color="auto" w:fill="auto"/>
        </w:rPr>
        <w:t>配电柜技术参数：</w:t>
      </w:r>
    </w:p>
    <w:p>
      <w:pPr>
        <w:spacing w:after="0" w:line="360" w:lineRule="auto"/>
        <w:ind w:firstLine="420"/>
        <w:rPr>
          <w:rFonts w:hAnsi="宋体"/>
          <w:color w:val="auto"/>
          <w:highlight w:val="none"/>
          <w:shd w:val="clear" w:color="auto" w:fill="auto"/>
        </w:rPr>
      </w:pPr>
      <w:r>
        <w:rPr>
          <w:rFonts w:hint="eastAsia" w:hAnsi="宋体"/>
          <w:color w:val="auto"/>
          <w:highlight w:val="none"/>
          <w:shd w:val="clear" w:color="auto" w:fill="auto"/>
        </w:rPr>
        <w:t>额定工作电压：380</w:t>
      </w:r>
      <w:r>
        <w:rPr>
          <w:rFonts w:hAnsi="宋体"/>
          <w:color w:val="auto"/>
          <w:highlight w:val="none"/>
          <w:shd w:val="clear" w:color="auto" w:fill="auto"/>
        </w:rPr>
        <w:t>V</w:t>
      </w:r>
    </w:p>
    <w:p>
      <w:pPr>
        <w:spacing w:after="0" w:line="360" w:lineRule="auto"/>
        <w:ind w:firstLine="420"/>
        <w:rPr>
          <w:rFonts w:hAnsi="宋体"/>
          <w:color w:val="auto"/>
          <w:highlight w:val="none"/>
          <w:shd w:val="clear" w:color="auto" w:fill="auto"/>
        </w:rPr>
      </w:pPr>
      <w:r>
        <w:rPr>
          <w:rFonts w:hint="eastAsia" w:hAnsi="宋体"/>
          <w:color w:val="auto"/>
          <w:highlight w:val="none"/>
          <w:shd w:val="clear" w:color="auto" w:fill="auto"/>
        </w:rPr>
        <w:t>额定绝缘电压：660V</w:t>
      </w:r>
    </w:p>
    <w:p>
      <w:pPr>
        <w:spacing w:after="0" w:line="360" w:lineRule="auto"/>
        <w:ind w:firstLine="420"/>
        <w:rPr>
          <w:rFonts w:hAnsi="宋体"/>
          <w:color w:val="auto"/>
          <w:highlight w:val="none"/>
          <w:shd w:val="clear" w:color="auto" w:fill="auto"/>
        </w:rPr>
      </w:pPr>
      <w:r>
        <w:rPr>
          <w:rFonts w:hint="eastAsia" w:hAnsi="宋体"/>
          <w:color w:val="auto"/>
          <w:highlight w:val="none"/>
          <w:shd w:val="clear" w:color="auto" w:fill="auto"/>
        </w:rPr>
        <w:t>额定频率：50</w:t>
      </w:r>
      <w:r>
        <w:rPr>
          <w:rFonts w:hAnsi="宋体"/>
          <w:color w:val="auto"/>
          <w:highlight w:val="none"/>
          <w:shd w:val="clear" w:color="auto" w:fill="auto"/>
        </w:rPr>
        <w:t>Hz</w:t>
      </w:r>
    </w:p>
    <w:p>
      <w:pPr>
        <w:spacing w:after="0" w:line="360" w:lineRule="auto"/>
        <w:ind w:firstLine="420"/>
        <w:rPr>
          <w:rFonts w:hAnsi="宋体"/>
          <w:color w:val="auto"/>
          <w:highlight w:val="none"/>
          <w:shd w:val="clear" w:color="auto" w:fill="auto"/>
        </w:rPr>
      </w:pPr>
      <w:r>
        <w:rPr>
          <w:rFonts w:hint="eastAsia" w:hAnsi="宋体"/>
          <w:color w:val="auto"/>
          <w:highlight w:val="none"/>
          <w:shd w:val="clear" w:color="auto" w:fill="auto"/>
        </w:rPr>
        <w:t>相数：三相（三相五线制）</w:t>
      </w:r>
    </w:p>
    <w:p>
      <w:pPr>
        <w:spacing w:after="0" w:line="360" w:lineRule="auto"/>
        <w:ind w:firstLine="420"/>
        <w:rPr>
          <w:rFonts w:hAnsi="宋体"/>
          <w:color w:val="auto"/>
          <w:highlight w:val="none"/>
          <w:shd w:val="clear" w:color="auto" w:fill="auto"/>
        </w:rPr>
      </w:pPr>
      <w:r>
        <w:rPr>
          <w:rFonts w:hint="eastAsia" w:hAnsi="宋体"/>
          <w:color w:val="auto"/>
          <w:highlight w:val="none"/>
          <w:shd w:val="clear" w:color="auto" w:fill="auto"/>
        </w:rPr>
        <w:t>额定电流（根据变压器容量确定）：见一次系统图</w:t>
      </w:r>
    </w:p>
    <w:p>
      <w:pPr>
        <w:spacing w:after="0" w:line="360" w:lineRule="auto"/>
        <w:ind w:firstLine="420"/>
        <w:rPr>
          <w:rFonts w:hAnsi="宋体"/>
          <w:color w:val="auto"/>
          <w:highlight w:val="none"/>
          <w:shd w:val="clear" w:color="auto" w:fill="auto"/>
        </w:rPr>
      </w:pPr>
      <w:r>
        <w:rPr>
          <w:rFonts w:hint="eastAsia" w:hAnsi="宋体"/>
          <w:bCs/>
          <w:color w:val="auto"/>
          <w:highlight w:val="none"/>
          <w:shd w:val="clear" w:color="auto" w:fill="auto"/>
        </w:rPr>
        <w:t>（2）</w:t>
      </w:r>
      <w:r>
        <w:rPr>
          <w:rFonts w:hint="eastAsia" w:hAnsi="宋体"/>
          <w:color w:val="auto"/>
          <w:highlight w:val="none"/>
          <w:shd w:val="clear" w:color="auto" w:fill="auto"/>
        </w:rPr>
        <w:t>柜型要求：</w:t>
      </w:r>
    </w:p>
    <w:p>
      <w:pPr>
        <w:spacing w:after="0" w:line="360" w:lineRule="auto"/>
        <w:ind w:firstLine="420"/>
        <w:rPr>
          <w:rFonts w:hAnsi="宋体"/>
          <w:color w:val="auto"/>
          <w:highlight w:val="none"/>
          <w:shd w:val="clear" w:color="auto" w:fill="auto"/>
        </w:rPr>
      </w:pPr>
      <w:r>
        <w:rPr>
          <w:rFonts w:hint="eastAsia" w:hAnsi="宋体"/>
          <w:color w:val="auto"/>
          <w:highlight w:val="none"/>
          <w:shd w:val="clear" w:color="auto" w:fill="auto"/>
        </w:rPr>
        <w:t>主构架采用型钢，开关柜柜体为全拼装式组合结构，基本骨架采用专用型材，拼装而成。全部柜架及内层隔板都作镀锌钝化处理。四周门板，侧板则作喷塑处理。内部塑料部件采用阻燃材料，内部应有明确功能分区，分为水平母线隔室、功能单元隔室、电缆隔室、控制回路隔室。各功能单元室相对独立，彼此间有连续接地金属板或阻燃材料严格分隔。</w:t>
      </w:r>
    </w:p>
    <w:p>
      <w:pPr>
        <w:spacing w:after="0" w:line="360" w:lineRule="auto"/>
        <w:ind w:firstLine="480" w:firstLineChars="200"/>
        <w:rPr>
          <w:rFonts w:cs="仿宋"/>
          <w:color w:val="auto"/>
          <w:highlight w:val="none"/>
          <w:shd w:val="clear" w:color="auto" w:fill="auto"/>
        </w:rPr>
      </w:pPr>
      <w:r>
        <w:rPr>
          <w:rFonts w:hint="eastAsia" w:cs="仿宋"/>
          <w:bCs/>
          <w:color w:val="auto"/>
          <w:highlight w:val="none"/>
          <w:shd w:val="clear" w:color="auto" w:fill="auto"/>
        </w:rPr>
        <w:t>（3）</w:t>
      </w:r>
      <w:r>
        <w:rPr>
          <w:rFonts w:hint="eastAsia" w:cs="仿宋"/>
          <w:color w:val="auto"/>
          <w:highlight w:val="none"/>
          <w:shd w:val="clear" w:color="auto" w:fill="auto"/>
        </w:rPr>
        <w:t>外壳</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外壳防护等级为IP40。</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每回路出线均应有可标出回路名称的相应辅件。</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柜底部（或柜顶部）提供开有电缆孔的底板并带有阻燃橡皮圈。</w:t>
      </w:r>
    </w:p>
    <w:p>
      <w:pPr>
        <w:spacing w:after="0" w:line="360" w:lineRule="auto"/>
        <w:ind w:firstLine="420"/>
        <w:rPr>
          <w:rFonts w:cs="仿宋"/>
          <w:color w:val="auto"/>
          <w:highlight w:val="none"/>
          <w:shd w:val="clear" w:color="auto" w:fill="auto"/>
        </w:rPr>
      </w:pPr>
      <w:r>
        <w:rPr>
          <w:rFonts w:hint="eastAsia" w:cs="仿宋"/>
          <w:bCs/>
          <w:color w:val="auto"/>
          <w:highlight w:val="none"/>
          <w:shd w:val="clear" w:color="auto" w:fill="auto"/>
        </w:rPr>
        <w:t>（4）</w:t>
      </w:r>
      <w:r>
        <w:rPr>
          <w:rFonts w:hint="eastAsia" w:cs="仿宋"/>
          <w:color w:val="auto"/>
          <w:highlight w:val="none"/>
          <w:shd w:val="clear" w:color="auto" w:fill="auto"/>
        </w:rPr>
        <w:t>母线</w:t>
      </w:r>
    </w:p>
    <w:p>
      <w:pPr>
        <w:pStyle w:val="11"/>
        <w:spacing w:line="360" w:lineRule="auto"/>
        <w:ind w:firstLine="480" w:firstLineChars="200"/>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本开关柜采用三相五线制，本柜母线应采用高导电率铜导体。</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PE、N线及连接排上均开有模数孔用于电缆的连接。</w:t>
      </w:r>
    </w:p>
    <w:p>
      <w:pPr>
        <w:spacing w:after="0" w:line="360" w:lineRule="auto"/>
        <w:ind w:firstLine="420"/>
        <w:rPr>
          <w:rFonts w:hAnsi="宋体"/>
          <w:color w:val="auto"/>
          <w:highlight w:val="none"/>
          <w:shd w:val="clear" w:color="auto" w:fill="auto"/>
        </w:rPr>
      </w:pPr>
      <w:r>
        <w:rPr>
          <w:rFonts w:hint="eastAsia" w:hAnsi="宋体"/>
          <w:bCs/>
          <w:color w:val="auto"/>
          <w:highlight w:val="none"/>
          <w:shd w:val="clear" w:color="auto" w:fill="auto"/>
        </w:rPr>
        <w:t>（5）</w:t>
      </w:r>
      <w:r>
        <w:rPr>
          <w:rFonts w:hint="eastAsia" w:hAnsi="宋体"/>
          <w:color w:val="auto"/>
          <w:highlight w:val="none"/>
          <w:shd w:val="clear" w:color="auto" w:fill="auto"/>
        </w:rPr>
        <w:t>主要元件</w:t>
      </w:r>
    </w:p>
    <w:p>
      <w:pPr>
        <w:tabs>
          <w:tab w:val="left" w:pos="-4320"/>
        </w:tabs>
        <w:spacing w:after="0" w:line="360" w:lineRule="auto"/>
        <w:ind w:firstLine="420"/>
        <w:rPr>
          <w:rFonts w:hAnsi="宋体"/>
          <w:color w:val="auto"/>
          <w:highlight w:val="none"/>
          <w:shd w:val="clear" w:color="auto" w:fill="auto"/>
        </w:rPr>
      </w:pPr>
      <w:r>
        <w:rPr>
          <w:rFonts w:hint="eastAsia" w:hAnsi="宋体"/>
          <w:bCs/>
          <w:color w:val="auto"/>
          <w:highlight w:val="none"/>
          <w:shd w:val="clear" w:color="auto" w:fill="auto"/>
        </w:rPr>
        <w:t>（6</w:t>
      </w:r>
      <w:r>
        <w:rPr>
          <w:rFonts w:hint="eastAsia" w:hAnsi="宋体"/>
          <w:color w:val="auto"/>
          <w:highlight w:val="none"/>
          <w:shd w:val="clear" w:color="auto" w:fill="auto"/>
        </w:rPr>
        <w:t>）800</w:t>
      </w:r>
      <w:r>
        <w:rPr>
          <w:rFonts w:hAnsi="宋体"/>
          <w:color w:val="auto"/>
          <w:highlight w:val="none"/>
          <w:shd w:val="clear" w:color="auto" w:fill="auto"/>
        </w:rPr>
        <w:t>A</w:t>
      </w:r>
      <w:r>
        <w:rPr>
          <w:rFonts w:hint="eastAsia" w:hAnsi="宋体"/>
          <w:color w:val="auto"/>
          <w:highlight w:val="none"/>
          <w:shd w:val="clear" w:color="auto" w:fill="auto"/>
        </w:rPr>
        <w:t>以上的进线、联络、馈电开关采用抽出式框架空气断路器。</w:t>
      </w:r>
    </w:p>
    <w:p>
      <w:pPr>
        <w:spacing w:after="0" w:line="360" w:lineRule="auto"/>
        <w:ind w:firstLine="660" w:firstLineChars="275"/>
        <w:rPr>
          <w:rFonts w:hAnsi="宋体"/>
          <w:color w:val="auto"/>
          <w:highlight w:val="none"/>
          <w:shd w:val="clear" w:color="auto" w:fill="auto"/>
        </w:rPr>
      </w:pPr>
      <w:r>
        <w:rPr>
          <w:rFonts w:hAnsi="宋体"/>
          <w:color w:val="auto"/>
          <w:highlight w:val="none"/>
          <w:shd w:val="clear" w:color="auto" w:fill="auto"/>
        </w:rPr>
        <w:t>1）额定</w:t>
      </w:r>
      <w:r>
        <w:rPr>
          <w:rFonts w:hint="eastAsia" w:hAnsi="宋体"/>
          <w:color w:val="auto"/>
          <w:highlight w:val="none"/>
          <w:shd w:val="clear" w:color="auto" w:fill="auto"/>
        </w:rPr>
        <w:t>绝缘</w:t>
      </w:r>
      <w:r>
        <w:rPr>
          <w:rFonts w:hAnsi="宋体"/>
          <w:color w:val="auto"/>
          <w:highlight w:val="none"/>
          <w:shd w:val="clear" w:color="auto" w:fill="auto"/>
        </w:rPr>
        <w:t>电压        U</w:t>
      </w:r>
      <w:r>
        <w:rPr>
          <w:rFonts w:hint="eastAsia" w:hAnsi="宋体"/>
          <w:color w:val="auto"/>
          <w:highlight w:val="none"/>
          <w:shd w:val="clear" w:color="auto" w:fill="auto"/>
        </w:rPr>
        <w:t>i1000V/50HZ</w:t>
      </w:r>
    </w:p>
    <w:p>
      <w:pPr>
        <w:spacing w:after="0" w:line="360" w:lineRule="auto"/>
        <w:ind w:firstLine="660" w:firstLineChars="275"/>
        <w:rPr>
          <w:rFonts w:hAnsi="宋体"/>
          <w:color w:val="auto"/>
          <w:highlight w:val="none"/>
          <w:shd w:val="clear" w:color="auto" w:fill="auto"/>
        </w:rPr>
      </w:pPr>
      <w:r>
        <w:rPr>
          <w:rFonts w:hAnsi="宋体"/>
          <w:color w:val="auto"/>
          <w:highlight w:val="none"/>
          <w:shd w:val="clear" w:color="auto" w:fill="auto"/>
        </w:rPr>
        <w:t>2）额定工作电压        U</w:t>
      </w:r>
      <w:r>
        <w:rPr>
          <w:rFonts w:hint="eastAsia" w:hAnsi="宋体"/>
          <w:color w:val="auto"/>
          <w:highlight w:val="none"/>
          <w:shd w:val="clear" w:color="auto" w:fill="auto"/>
        </w:rPr>
        <w:t>eAC380V</w:t>
      </w:r>
    </w:p>
    <w:p>
      <w:pPr>
        <w:spacing w:after="0" w:line="360" w:lineRule="auto"/>
        <w:ind w:firstLine="660" w:firstLineChars="275"/>
        <w:rPr>
          <w:rFonts w:hAnsi="宋体"/>
          <w:color w:val="auto"/>
          <w:highlight w:val="none"/>
          <w:shd w:val="clear" w:color="auto" w:fill="auto"/>
        </w:rPr>
      </w:pPr>
      <w:r>
        <w:rPr>
          <w:rFonts w:hAnsi="宋体"/>
          <w:color w:val="auto"/>
          <w:highlight w:val="none"/>
          <w:shd w:val="clear" w:color="auto" w:fill="auto"/>
        </w:rPr>
        <w:t>3）额定极限短路分断容量及使用分断能力（KA）：≥</w:t>
      </w:r>
      <w:r>
        <w:rPr>
          <w:rFonts w:hint="eastAsia" w:hAnsi="宋体"/>
          <w:color w:val="auto"/>
          <w:highlight w:val="none"/>
          <w:shd w:val="clear" w:color="auto" w:fill="auto"/>
        </w:rPr>
        <w:t>65</w:t>
      </w:r>
      <w:r>
        <w:rPr>
          <w:rFonts w:hAnsi="宋体"/>
          <w:color w:val="auto"/>
          <w:highlight w:val="none"/>
          <w:shd w:val="clear" w:color="auto" w:fill="auto"/>
        </w:rPr>
        <w:t>KA</w:t>
      </w:r>
    </w:p>
    <w:p>
      <w:pPr>
        <w:spacing w:after="0" w:line="360" w:lineRule="auto"/>
        <w:ind w:firstLine="660" w:firstLineChars="275"/>
        <w:rPr>
          <w:rFonts w:hAnsi="宋体"/>
          <w:color w:val="auto"/>
          <w:highlight w:val="none"/>
          <w:shd w:val="clear" w:color="auto" w:fill="auto"/>
        </w:rPr>
      </w:pPr>
      <w:r>
        <w:rPr>
          <w:rFonts w:hAnsi="宋体"/>
          <w:color w:val="auto"/>
          <w:highlight w:val="none"/>
          <w:shd w:val="clear" w:color="auto" w:fill="auto"/>
        </w:rPr>
        <w:t>4）机械使用寿命操作次数：≥10000次</w:t>
      </w:r>
    </w:p>
    <w:p>
      <w:pPr>
        <w:spacing w:after="0" w:line="360" w:lineRule="auto"/>
        <w:ind w:firstLine="660" w:firstLineChars="275"/>
        <w:rPr>
          <w:rFonts w:hAnsi="宋体"/>
          <w:color w:val="auto"/>
          <w:highlight w:val="none"/>
          <w:shd w:val="clear" w:color="auto" w:fill="auto"/>
        </w:rPr>
      </w:pPr>
      <w:r>
        <w:rPr>
          <w:rFonts w:hAnsi="宋体"/>
          <w:color w:val="auto"/>
          <w:highlight w:val="none"/>
          <w:shd w:val="clear" w:color="auto" w:fill="auto"/>
        </w:rPr>
        <w:t>5）电气使用寿命操作次数：≥5000次</w:t>
      </w:r>
    </w:p>
    <w:p>
      <w:pPr>
        <w:spacing w:after="0" w:line="360" w:lineRule="auto"/>
        <w:ind w:firstLine="480" w:firstLineChars="200"/>
        <w:rPr>
          <w:rFonts w:hAnsi="宋体"/>
          <w:color w:val="auto"/>
          <w:highlight w:val="none"/>
          <w:shd w:val="clear" w:color="auto" w:fill="auto"/>
        </w:rPr>
      </w:pPr>
      <w:r>
        <w:rPr>
          <w:rFonts w:hint="eastAsia" w:hAnsi="宋体"/>
          <w:bCs/>
          <w:color w:val="auto"/>
          <w:highlight w:val="none"/>
          <w:shd w:val="clear" w:color="auto" w:fill="auto"/>
        </w:rPr>
        <w:t>（7）</w:t>
      </w:r>
      <w:r>
        <w:rPr>
          <w:rFonts w:hint="eastAsia" w:hAnsi="宋体"/>
          <w:color w:val="auto"/>
          <w:highlight w:val="none"/>
          <w:shd w:val="clear" w:color="auto" w:fill="auto"/>
        </w:rPr>
        <w:t>操作机构</w:t>
      </w:r>
    </w:p>
    <w:p>
      <w:pPr>
        <w:spacing w:after="0" w:line="360" w:lineRule="auto"/>
        <w:ind w:firstLine="480" w:firstLineChars="200"/>
        <w:rPr>
          <w:rFonts w:hAnsi="宋体"/>
          <w:color w:val="auto"/>
          <w:highlight w:val="none"/>
          <w:shd w:val="clear" w:color="auto" w:fill="auto"/>
        </w:rPr>
      </w:pPr>
      <w:r>
        <w:rPr>
          <w:rFonts w:hint="eastAsia" w:hAnsi="宋体"/>
          <w:color w:val="auto"/>
          <w:highlight w:val="none"/>
          <w:shd w:val="clear" w:color="auto" w:fill="auto"/>
        </w:rPr>
        <w:t>型式：进线开关采用电动执行机构，应能在面板操作。操作电源：</w:t>
      </w:r>
      <w:r>
        <w:rPr>
          <w:rFonts w:hAnsi="宋体"/>
          <w:color w:val="auto"/>
          <w:highlight w:val="none"/>
          <w:shd w:val="clear" w:color="auto" w:fill="auto"/>
        </w:rPr>
        <w:t>AC</w:t>
      </w:r>
      <w:r>
        <w:rPr>
          <w:rFonts w:hint="eastAsia" w:hAnsi="宋体"/>
          <w:color w:val="auto"/>
          <w:highlight w:val="none"/>
          <w:shd w:val="clear" w:color="auto" w:fill="auto"/>
        </w:rPr>
        <w:t>220</w:t>
      </w:r>
      <w:r>
        <w:rPr>
          <w:rFonts w:hAnsi="宋体"/>
          <w:color w:val="auto"/>
          <w:highlight w:val="none"/>
          <w:shd w:val="clear" w:color="auto" w:fill="auto"/>
        </w:rPr>
        <w:t>V</w:t>
      </w:r>
    </w:p>
    <w:p>
      <w:pPr>
        <w:spacing w:after="0" w:line="360" w:lineRule="auto"/>
        <w:ind w:left="720" w:leftChars="200" w:hanging="240" w:hangingChars="100"/>
        <w:rPr>
          <w:rFonts w:hAnsi="宋体"/>
          <w:color w:val="auto"/>
          <w:highlight w:val="none"/>
          <w:shd w:val="clear" w:color="auto" w:fill="auto"/>
        </w:rPr>
      </w:pPr>
      <w:r>
        <w:rPr>
          <w:rFonts w:hint="eastAsia" w:hAnsi="宋体"/>
          <w:bCs/>
          <w:color w:val="auto"/>
          <w:highlight w:val="none"/>
          <w:shd w:val="clear" w:color="auto" w:fill="auto"/>
        </w:rPr>
        <w:t>（8）</w:t>
      </w:r>
      <w:r>
        <w:rPr>
          <w:rFonts w:hAnsi="宋体"/>
          <w:bCs/>
          <w:color w:val="auto"/>
          <w:highlight w:val="none"/>
          <w:shd w:val="clear" w:color="auto" w:fill="auto"/>
        </w:rPr>
        <w:t>进线开关需配欠压脱扣线圈，0.</w:t>
      </w:r>
      <w:r>
        <w:rPr>
          <w:rFonts w:hint="eastAsia" w:hAnsi="宋体"/>
          <w:bCs/>
          <w:color w:val="auto"/>
          <w:highlight w:val="none"/>
          <w:shd w:val="clear" w:color="auto" w:fill="auto"/>
        </w:rPr>
        <w:t>3</w:t>
      </w:r>
      <w:r>
        <w:rPr>
          <w:rFonts w:hAnsi="宋体"/>
          <w:bCs/>
          <w:color w:val="auto"/>
          <w:highlight w:val="none"/>
          <w:shd w:val="clear" w:color="auto" w:fill="auto"/>
        </w:rPr>
        <w:t>秒可调。</w:t>
      </w:r>
      <w:r>
        <w:rPr>
          <w:rFonts w:hint="eastAsia" w:hAnsi="宋体"/>
          <w:bCs/>
          <w:color w:val="auto"/>
          <w:highlight w:val="none"/>
          <w:shd w:val="clear" w:color="auto" w:fill="auto"/>
        </w:rPr>
        <w:t>预留故障信号辅助触点。</w:t>
      </w:r>
    </w:p>
    <w:p>
      <w:pPr>
        <w:spacing w:after="0" w:line="360" w:lineRule="auto"/>
        <w:ind w:left="480" w:leftChars="200"/>
        <w:rPr>
          <w:rFonts w:hAnsi="宋体"/>
          <w:color w:val="auto"/>
          <w:highlight w:val="none"/>
          <w:shd w:val="clear" w:color="auto" w:fill="auto"/>
        </w:rPr>
      </w:pPr>
      <w:r>
        <w:rPr>
          <w:rFonts w:hint="eastAsia" w:hAnsi="宋体"/>
          <w:bCs/>
          <w:color w:val="auto"/>
          <w:highlight w:val="none"/>
          <w:shd w:val="clear" w:color="auto" w:fill="auto"/>
        </w:rPr>
        <w:t>（9）</w:t>
      </w:r>
      <w:r>
        <w:rPr>
          <w:rFonts w:hint="eastAsia" w:hAnsi="宋体"/>
          <w:color w:val="auto"/>
          <w:highlight w:val="none"/>
          <w:shd w:val="clear" w:color="auto" w:fill="auto"/>
        </w:rPr>
        <w:t>市电进线开关、联络开关应可根据系统要求（参见系统图）采用机械及电气的方式实现开关之间的互锁。</w:t>
      </w:r>
    </w:p>
    <w:p>
      <w:pPr>
        <w:spacing w:after="0" w:line="360" w:lineRule="auto"/>
        <w:ind w:left="715" w:leftChars="200" w:hanging="235" w:hangingChars="98"/>
        <w:rPr>
          <w:rFonts w:hAnsi="宋体"/>
          <w:color w:val="auto"/>
          <w:highlight w:val="none"/>
          <w:shd w:val="clear" w:color="auto" w:fill="auto"/>
        </w:rPr>
      </w:pPr>
      <w:r>
        <w:rPr>
          <w:rFonts w:hint="eastAsia" w:hAnsi="宋体"/>
          <w:bCs/>
          <w:color w:val="auto"/>
          <w:highlight w:val="none"/>
          <w:shd w:val="clear" w:color="auto" w:fill="auto"/>
        </w:rPr>
        <w:t>（10）</w:t>
      </w:r>
      <w:r>
        <w:rPr>
          <w:rFonts w:hint="eastAsia" w:hAnsi="宋体"/>
          <w:color w:val="auto"/>
          <w:highlight w:val="none"/>
          <w:shd w:val="clear" w:color="auto" w:fill="auto"/>
        </w:rPr>
        <w:t>800</w:t>
      </w:r>
      <w:r>
        <w:rPr>
          <w:rFonts w:hAnsi="宋体"/>
          <w:color w:val="auto"/>
          <w:highlight w:val="none"/>
          <w:shd w:val="clear" w:color="auto" w:fill="auto"/>
        </w:rPr>
        <w:t>A</w:t>
      </w:r>
      <w:r>
        <w:rPr>
          <w:rFonts w:hint="eastAsia" w:hAnsi="宋体"/>
          <w:color w:val="auto"/>
          <w:highlight w:val="none"/>
          <w:shd w:val="clear" w:color="auto" w:fill="auto"/>
        </w:rPr>
        <w:t>及以下馈电开关采用低压塑壳断路器</w:t>
      </w:r>
    </w:p>
    <w:p>
      <w:pPr>
        <w:spacing w:after="0" w:line="360" w:lineRule="auto"/>
        <w:ind w:firstLine="420"/>
        <w:rPr>
          <w:rFonts w:hAnsi="宋体"/>
          <w:color w:val="auto"/>
          <w:highlight w:val="none"/>
          <w:shd w:val="clear" w:color="auto" w:fill="auto"/>
        </w:rPr>
      </w:pPr>
      <w:r>
        <w:rPr>
          <w:rFonts w:hint="eastAsia" w:hAnsi="宋体"/>
          <w:bCs/>
          <w:color w:val="auto"/>
          <w:highlight w:val="none"/>
          <w:shd w:val="clear" w:color="auto" w:fill="auto"/>
        </w:rPr>
        <w:t>（11）</w:t>
      </w:r>
      <w:r>
        <w:rPr>
          <w:rFonts w:hint="eastAsia" w:hAnsi="宋体"/>
          <w:color w:val="auto"/>
          <w:highlight w:val="none"/>
          <w:shd w:val="clear" w:color="auto" w:fill="auto"/>
        </w:rPr>
        <w:t>所配低压塑壳断路器额定极限短路分断容量及使用分断能力≥50</w:t>
      </w:r>
      <w:r>
        <w:rPr>
          <w:rFonts w:hAnsi="宋体"/>
          <w:color w:val="auto"/>
          <w:highlight w:val="none"/>
          <w:shd w:val="clear" w:color="auto" w:fill="auto"/>
        </w:rPr>
        <w:t>KA</w:t>
      </w:r>
      <w:r>
        <w:rPr>
          <w:rFonts w:hint="eastAsia" w:hAnsi="宋体"/>
          <w:color w:val="auto"/>
          <w:highlight w:val="none"/>
          <w:shd w:val="clear" w:color="auto" w:fill="auto"/>
        </w:rPr>
        <w:t>（有效值）。</w:t>
      </w:r>
    </w:p>
    <w:p>
      <w:pPr>
        <w:spacing w:after="0" w:line="360" w:lineRule="auto"/>
        <w:ind w:firstLine="420"/>
        <w:rPr>
          <w:rFonts w:hAnsi="宋体"/>
          <w:color w:val="auto"/>
          <w:highlight w:val="none"/>
          <w:shd w:val="clear" w:color="auto" w:fill="auto"/>
        </w:rPr>
      </w:pPr>
      <w:r>
        <w:rPr>
          <w:rFonts w:hint="eastAsia" w:hAnsi="宋体"/>
          <w:color w:val="auto"/>
          <w:highlight w:val="none"/>
          <w:shd w:val="clear" w:color="auto" w:fill="auto"/>
        </w:rPr>
        <w:t>（12）接触器配置和断路器同一品牌的切换电容器组的专用接触器。</w:t>
      </w:r>
    </w:p>
    <w:p>
      <w:pPr>
        <w:spacing w:after="0" w:line="360" w:lineRule="auto"/>
        <w:ind w:firstLine="420"/>
        <w:rPr>
          <w:rFonts w:hAnsi="宋体"/>
          <w:color w:val="auto"/>
          <w:highlight w:val="none"/>
          <w:shd w:val="clear" w:color="auto" w:fill="auto"/>
        </w:rPr>
      </w:pPr>
      <w:r>
        <w:rPr>
          <w:rFonts w:hint="eastAsia" w:hAnsi="宋体"/>
          <w:color w:val="auto"/>
          <w:highlight w:val="none"/>
          <w:shd w:val="clear" w:color="auto" w:fill="auto"/>
        </w:rPr>
        <w:t>（13）电容电抗器组及补偿控制器。</w:t>
      </w:r>
    </w:p>
    <w:p>
      <w:pPr>
        <w:spacing w:after="0" w:line="360" w:lineRule="auto"/>
        <w:ind w:firstLine="616" w:firstLineChars="257"/>
        <w:rPr>
          <w:rFonts w:hAnsi="宋体"/>
          <w:color w:val="auto"/>
          <w:highlight w:val="none"/>
          <w:shd w:val="clear" w:color="auto" w:fill="auto"/>
        </w:rPr>
      </w:pPr>
      <w:r>
        <w:rPr>
          <w:rFonts w:hAnsi="宋体"/>
          <w:color w:val="auto"/>
          <w:highlight w:val="none"/>
          <w:shd w:val="clear" w:color="auto" w:fill="auto"/>
        </w:rPr>
        <w:t>电容器应具有不浸油、不渗漏、不燃烧、不污染环境以及寿命长、损耗低等先进指标，同时应与配套设备的技术参数相适应并满足电压波动的允许条件。</w:t>
      </w:r>
    </w:p>
    <w:p>
      <w:pPr>
        <w:spacing w:after="0" w:line="360" w:lineRule="auto"/>
        <w:ind w:firstLine="616" w:firstLineChars="257"/>
        <w:rPr>
          <w:rFonts w:hAnsi="宋体"/>
          <w:color w:val="auto"/>
          <w:highlight w:val="none"/>
          <w:shd w:val="clear" w:color="auto" w:fill="auto"/>
        </w:rPr>
      </w:pPr>
      <w:r>
        <w:rPr>
          <w:rFonts w:hAnsi="宋体"/>
          <w:color w:val="auto"/>
          <w:highlight w:val="none"/>
          <w:shd w:val="clear" w:color="auto" w:fill="auto"/>
        </w:rPr>
        <w:t>电容器采用金属化薄膜自愈式，额定电压要求450V。容量选择按照图纸要求。</w:t>
      </w:r>
    </w:p>
    <w:p>
      <w:pPr>
        <w:spacing w:after="0" w:line="360" w:lineRule="auto"/>
        <w:ind w:firstLine="616" w:firstLineChars="257"/>
        <w:rPr>
          <w:rFonts w:hAnsi="宋体"/>
          <w:color w:val="auto"/>
          <w:highlight w:val="none"/>
          <w:shd w:val="clear" w:color="auto" w:fill="auto"/>
        </w:rPr>
      </w:pPr>
      <w:r>
        <w:rPr>
          <w:rFonts w:hAnsi="宋体"/>
          <w:color w:val="auto"/>
          <w:highlight w:val="none"/>
          <w:shd w:val="clear" w:color="auto" w:fill="auto"/>
        </w:rPr>
        <w:t>电容器应具有自愈性能。</w:t>
      </w:r>
    </w:p>
    <w:p>
      <w:pPr>
        <w:spacing w:after="0" w:line="360" w:lineRule="auto"/>
        <w:ind w:firstLine="616" w:firstLineChars="257"/>
        <w:rPr>
          <w:rFonts w:hAnsi="宋体"/>
          <w:color w:val="auto"/>
          <w:highlight w:val="none"/>
          <w:shd w:val="clear" w:color="auto" w:fill="auto"/>
        </w:rPr>
      </w:pPr>
      <w:r>
        <w:rPr>
          <w:rFonts w:hAnsi="宋体"/>
          <w:color w:val="auto"/>
          <w:highlight w:val="none"/>
          <w:shd w:val="clear" w:color="auto" w:fill="auto"/>
        </w:rPr>
        <w:t>电容器被永久击穿时仅故障元件退出运行，其他元件仍可正常运行。</w:t>
      </w:r>
    </w:p>
    <w:p>
      <w:pPr>
        <w:spacing w:after="0" w:line="360" w:lineRule="auto"/>
        <w:ind w:firstLine="616" w:firstLineChars="257"/>
        <w:rPr>
          <w:rFonts w:hAnsi="宋体"/>
          <w:color w:val="auto"/>
          <w:highlight w:val="none"/>
          <w:shd w:val="clear" w:color="auto" w:fill="auto"/>
        </w:rPr>
      </w:pPr>
      <w:r>
        <w:rPr>
          <w:rFonts w:hAnsi="宋体"/>
          <w:color w:val="auto"/>
          <w:highlight w:val="none"/>
          <w:shd w:val="clear" w:color="auto" w:fill="auto"/>
        </w:rPr>
        <w:t>内装放电电阻，在1分钟内端子间的电压降到50V以下。</w:t>
      </w:r>
    </w:p>
    <w:p>
      <w:pPr>
        <w:spacing w:after="0" w:line="360" w:lineRule="auto"/>
        <w:ind w:firstLine="616" w:firstLineChars="257"/>
        <w:rPr>
          <w:rFonts w:hAnsi="宋体"/>
          <w:color w:val="auto"/>
          <w:highlight w:val="none"/>
          <w:shd w:val="clear" w:color="auto" w:fill="auto"/>
        </w:rPr>
      </w:pPr>
      <w:r>
        <w:rPr>
          <w:rFonts w:hAnsi="宋体"/>
          <w:color w:val="auto"/>
          <w:highlight w:val="none"/>
          <w:shd w:val="clear" w:color="auto" w:fill="auto"/>
        </w:rPr>
        <w:t>电容器投切步进应与设计相同,补偿柜应具有手动/自动功能。</w:t>
      </w:r>
    </w:p>
    <w:p>
      <w:pPr>
        <w:spacing w:after="0" w:line="360" w:lineRule="auto"/>
        <w:ind w:firstLine="616" w:firstLineChars="257"/>
        <w:rPr>
          <w:rFonts w:hAnsi="宋体"/>
          <w:color w:val="auto"/>
          <w:highlight w:val="none"/>
          <w:shd w:val="clear" w:color="auto" w:fill="auto"/>
        </w:rPr>
      </w:pPr>
      <w:r>
        <w:rPr>
          <w:rFonts w:hAnsi="宋体"/>
          <w:color w:val="auto"/>
          <w:highlight w:val="none"/>
          <w:shd w:val="clear" w:color="auto" w:fill="auto"/>
        </w:rPr>
        <w:t>自动投切电容器的装置使功率因数保持在0.9以上。分组切投时，不应产生谐振。</w:t>
      </w:r>
    </w:p>
    <w:p>
      <w:pPr>
        <w:spacing w:after="0" w:line="360" w:lineRule="auto"/>
        <w:ind w:firstLine="616" w:firstLineChars="257"/>
        <w:rPr>
          <w:rFonts w:hAnsi="宋体"/>
          <w:color w:val="auto"/>
          <w:highlight w:val="none"/>
          <w:shd w:val="clear" w:color="auto" w:fill="auto"/>
        </w:rPr>
      </w:pPr>
      <w:r>
        <w:rPr>
          <w:rFonts w:hint="eastAsia" w:hAnsi="宋体"/>
          <w:color w:val="auto"/>
          <w:highlight w:val="none"/>
          <w:shd w:val="clear" w:color="auto" w:fill="auto"/>
        </w:rPr>
        <w:t>电抗率7％。</w:t>
      </w:r>
    </w:p>
    <w:p>
      <w:pPr>
        <w:spacing w:after="0" w:line="360" w:lineRule="auto"/>
        <w:ind w:firstLine="420"/>
        <w:rPr>
          <w:rFonts w:hAnsi="宋体"/>
          <w:color w:val="auto"/>
          <w:highlight w:val="none"/>
          <w:shd w:val="clear" w:color="auto" w:fill="auto"/>
        </w:rPr>
      </w:pPr>
      <w:r>
        <w:rPr>
          <w:rFonts w:hint="eastAsia" w:hAnsi="宋体"/>
          <w:bCs/>
          <w:color w:val="auto"/>
          <w:highlight w:val="none"/>
          <w:shd w:val="clear" w:color="auto" w:fill="auto"/>
        </w:rPr>
        <w:t>（14）</w:t>
      </w:r>
      <w:r>
        <w:rPr>
          <w:rFonts w:hint="eastAsia" w:hAnsi="宋体"/>
          <w:color w:val="auto"/>
          <w:highlight w:val="none"/>
          <w:shd w:val="clear" w:color="auto" w:fill="auto"/>
        </w:rPr>
        <w:t>绝缘水平</w:t>
      </w:r>
    </w:p>
    <w:p>
      <w:pPr>
        <w:spacing w:after="0" w:line="360" w:lineRule="auto"/>
        <w:ind w:left="424" w:firstLine="420"/>
        <w:rPr>
          <w:rFonts w:hAnsi="宋体"/>
          <w:color w:val="auto"/>
          <w:highlight w:val="none"/>
          <w:shd w:val="clear" w:color="auto" w:fill="auto"/>
        </w:rPr>
      </w:pPr>
      <w:r>
        <w:rPr>
          <w:rFonts w:hint="eastAsia" w:hAnsi="宋体"/>
          <w:color w:val="auto"/>
          <w:highlight w:val="none"/>
          <w:shd w:val="clear" w:color="auto" w:fill="auto"/>
        </w:rPr>
        <w:t>工频耐受电压（有效值）</w:t>
      </w:r>
      <w:r>
        <w:rPr>
          <w:rFonts w:hAnsi="宋体"/>
          <w:color w:val="auto"/>
          <w:highlight w:val="none"/>
          <w:shd w:val="clear" w:color="auto" w:fill="auto"/>
        </w:rPr>
        <w:t xml:space="preserve">    2KV       1min</w:t>
      </w:r>
    </w:p>
    <w:p>
      <w:pPr>
        <w:spacing w:after="0" w:line="360" w:lineRule="auto"/>
        <w:ind w:left="424" w:firstLine="420"/>
        <w:rPr>
          <w:rFonts w:hAnsi="宋体"/>
          <w:color w:val="auto"/>
          <w:highlight w:val="none"/>
          <w:shd w:val="clear" w:color="auto" w:fill="auto"/>
        </w:rPr>
      </w:pPr>
      <w:r>
        <w:rPr>
          <w:rFonts w:hint="eastAsia" w:hAnsi="宋体"/>
          <w:color w:val="auto"/>
          <w:highlight w:val="none"/>
          <w:shd w:val="clear" w:color="auto" w:fill="auto"/>
        </w:rPr>
        <w:t>控制和辅助回路工频耐受电压（有效值）</w:t>
      </w:r>
      <w:r>
        <w:rPr>
          <w:rFonts w:hAnsi="宋体"/>
          <w:color w:val="auto"/>
          <w:highlight w:val="none"/>
          <w:shd w:val="clear" w:color="auto" w:fill="auto"/>
        </w:rPr>
        <w:t xml:space="preserve">    1.5KV</w:t>
      </w:r>
    </w:p>
    <w:p>
      <w:pPr>
        <w:spacing w:after="0" w:line="360" w:lineRule="auto"/>
        <w:ind w:firstLine="420"/>
        <w:rPr>
          <w:rFonts w:hAnsi="宋体"/>
          <w:color w:val="auto"/>
          <w:highlight w:val="none"/>
          <w:shd w:val="clear" w:color="auto" w:fill="auto"/>
        </w:rPr>
      </w:pPr>
      <w:r>
        <w:rPr>
          <w:rFonts w:hint="eastAsia" w:hAnsi="宋体"/>
          <w:bCs/>
          <w:color w:val="auto"/>
          <w:highlight w:val="none"/>
          <w:shd w:val="clear" w:color="auto" w:fill="auto"/>
        </w:rPr>
        <w:t>（15）</w:t>
      </w:r>
      <w:r>
        <w:rPr>
          <w:rFonts w:hint="eastAsia" w:hAnsi="宋体"/>
          <w:color w:val="auto"/>
          <w:highlight w:val="none"/>
          <w:shd w:val="clear" w:color="auto" w:fill="auto"/>
        </w:rPr>
        <w:t>允许温升</w:t>
      </w:r>
    </w:p>
    <w:p>
      <w:pPr>
        <w:spacing w:after="0" w:line="360" w:lineRule="auto"/>
        <w:ind w:left="424" w:firstLine="420"/>
        <w:rPr>
          <w:rFonts w:hAnsi="宋体"/>
          <w:color w:val="auto"/>
          <w:highlight w:val="none"/>
          <w:shd w:val="clear" w:color="auto" w:fill="auto"/>
        </w:rPr>
      </w:pPr>
      <w:r>
        <w:rPr>
          <w:rFonts w:hint="eastAsia" w:hAnsi="宋体"/>
          <w:color w:val="auto"/>
          <w:highlight w:val="none"/>
          <w:shd w:val="clear" w:color="auto" w:fill="auto"/>
        </w:rPr>
        <w:t>在环境温度不高于+35℃时，在额定频率下长期通过额定电流，其温升不应超过下列数值：</w:t>
      </w:r>
    </w:p>
    <w:p>
      <w:pPr>
        <w:spacing w:after="0" w:line="360" w:lineRule="auto"/>
        <w:ind w:left="424" w:firstLine="420"/>
        <w:rPr>
          <w:rFonts w:hAnsi="宋体"/>
          <w:color w:val="auto"/>
          <w:highlight w:val="none"/>
          <w:shd w:val="clear" w:color="auto" w:fill="auto"/>
        </w:rPr>
      </w:pPr>
      <w:r>
        <w:rPr>
          <w:rFonts w:hint="eastAsia" w:hAnsi="宋体"/>
          <w:color w:val="auto"/>
          <w:highlight w:val="none"/>
          <w:shd w:val="clear" w:color="auto" w:fill="auto"/>
        </w:rPr>
        <w:t>空气中铜触头</w:t>
      </w:r>
      <w:r>
        <w:rPr>
          <w:rFonts w:hAnsi="宋体"/>
          <w:color w:val="auto"/>
          <w:highlight w:val="none"/>
          <w:shd w:val="clear" w:color="auto" w:fill="auto"/>
        </w:rPr>
        <w:t>65K</w:t>
      </w:r>
    </w:p>
    <w:p>
      <w:pPr>
        <w:spacing w:after="0" w:line="360" w:lineRule="auto"/>
        <w:ind w:left="424" w:firstLine="420"/>
        <w:rPr>
          <w:rFonts w:hAnsi="宋体"/>
          <w:color w:val="auto"/>
          <w:highlight w:val="none"/>
          <w:shd w:val="clear" w:color="auto" w:fill="auto"/>
        </w:rPr>
      </w:pPr>
      <w:r>
        <w:rPr>
          <w:rFonts w:hint="eastAsia" w:hAnsi="宋体"/>
          <w:color w:val="auto"/>
          <w:highlight w:val="none"/>
          <w:shd w:val="clear" w:color="auto" w:fill="auto"/>
        </w:rPr>
        <w:t>外壳及支架</w:t>
      </w:r>
      <w:r>
        <w:rPr>
          <w:rFonts w:hAnsi="宋体"/>
          <w:color w:val="auto"/>
          <w:highlight w:val="none"/>
          <w:shd w:val="clear" w:color="auto" w:fill="auto"/>
        </w:rPr>
        <w:t>20K</w:t>
      </w:r>
    </w:p>
    <w:p>
      <w:pPr>
        <w:tabs>
          <w:tab w:val="left" w:pos="3075"/>
        </w:tabs>
        <w:spacing w:after="0" w:line="360" w:lineRule="auto"/>
        <w:ind w:right="420"/>
        <w:outlineLvl w:val="0"/>
        <w:rPr>
          <w:rFonts w:cs="仿宋"/>
          <w:b/>
          <w:bCs/>
          <w:color w:val="auto"/>
          <w:highlight w:val="none"/>
          <w:shd w:val="clear" w:color="auto" w:fill="auto"/>
        </w:rPr>
      </w:pPr>
      <w:bookmarkStart w:id="41" w:name="_Toc177212852"/>
      <w:bookmarkStart w:id="42" w:name="_Toc286065778"/>
      <w:bookmarkStart w:id="43" w:name="_Toc189032714"/>
      <w:bookmarkStart w:id="44" w:name="_Toc224025377"/>
      <w:bookmarkStart w:id="45" w:name="_Toc189035650"/>
      <w:bookmarkStart w:id="46" w:name="_Toc283973859"/>
      <w:r>
        <w:rPr>
          <w:rFonts w:hint="eastAsia" w:cs="仿宋"/>
          <w:b/>
          <w:bCs/>
          <w:color w:val="auto"/>
          <w:highlight w:val="none"/>
          <w:shd w:val="clear" w:color="auto" w:fill="auto"/>
        </w:rPr>
        <w:t>4.5光伏支架</w:t>
      </w:r>
    </w:p>
    <w:p>
      <w:pPr>
        <w:pStyle w:val="29"/>
        <w:ind w:firstLine="480"/>
        <w:rPr>
          <w:rFonts w:eastAsia="仿宋"/>
          <w:color w:val="auto"/>
          <w:sz w:val="24"/>
          <w:highlight w:val="none"/>
          <w:shd w:val="clear" w:color="auto" w:fill="auto"/>
        </w:rPr>
      </w:pPr>
      <w:r>
        <w:rPr>
          <w:rFonts w:hint="eastAsia" w:eastAsia="仿宋"/>
          <w:color w:val="auto"/>
          <w:sz w:val="24"/>
          <w:highlight w:val="none"/>
          <w:shd w:val="clear" w:color="auto" w:fill="auto"/>
        </w:rPr>
        <w:t>本</w:t>
      </w:r>
      <w:r>
        <w:rPr>
          <w:rFonts w:eastAsia="仿宋"/>
          <w:color w:val="auto"/>
          <w:sz w:val="24"/>
          <w:highlight w:val="none"/>
          <w:shd w:val="clear" w:color="auto" w:fill="auto"/>
        </w:rPr>
        <w:t>项目处于自来水厂内，湿气较重，材料</w:t>
      </w:r>
      <w:r>
        <w:rPr>
          <w:rFonts w:hint="eastAsia" w:eastAsia="仿宋"/>
          <w:color w:val="auto"/>
          <w:sz w:val="24"/>
          <w:highlight w:val="none"/>
          <w:shd w:val="clear" w:color="auto" w:fill="auto"/>
        </w:rPr>
        <w:t>强度</w:t>
      </w:r>
      <w:r>
        <w:rPr>
          <w:rFonts w:eastAsia="仿宋"/>
          <w:color w:val="auto"/>
          <w:sz w:val="24"/>
          <w:highlight w:val="none"/>
          <w:shd w:val="clear" w:color="auto" w:fill="auto"/>
        </w:rPr>
        <w:t>厚度和热浸锌膜厚</w:t>
      </w:r>
      <w:r>
        <w:rPr>
          <w:rFonts w:hint="eastAsia" w:eastAsia="仿宋"/>
          <w:color w:val="auto"/>
          <w:sz w:val="24"/>
          <w:highlight w:val="none"/>
          <w:shd w:val="clear" w:color="auto" w:fill="auto"/>
        </w:rPr>
        <w:t>需</w:t>
      </w:r>
      <w:r>
        <w:rPr>
          <w:rFonts w:eastAsia="仿宋"/>
          <w:color w:val="auto"/>
          <w:sz w:val="24"/>
          <w:highlight w:val="none"/>
          <w:shd w:val="clear" w:color="auto" w:fill="auto"/>
        </w:rPr>
        <w:t>达到如下标准：</w:t>
      </w:r>
    </w:p>
    <w:p>
      <w:pPr>
        <w:pStyle w:val="29"/>
        <w:ind w:firstLine="482"/>
        <w:rPr>
          <w:rFonts w:eastAsia="仿宋"/>
          <w:color w:val="auto"/>
          <w:sz w:val="24"/>
          <w:highlight w:val="none"/>
          <w:shd w:val="clear" w:color="auto" w:fill="auto"/>
        </w:rPr>
      </w:pPr>
      <w:r>
        <w:rPr>
          <w:rFonts w:hint="eastAsia" w:eastAsia="仿宋"/>
          <w:b/>
          <w:bCs/>
          <w:color w:val="auto"/>
          <w:sz w:val="24"/>
          <w:highlight w:val="none"/>
          <w:shd w:val="clear" w:color="auto" w:fill="auto"/>
        </w:rPr>
        <w:t>4.5.</w:t>
      </w:r>
      <w:r>
        <w:rPr>
          <w:rFonts w:eastAsia="仿宋"/>
          <w:b/>
          <w:bCs/>
          <w:color w:val="auto"/>
          <w:sz w:val="24"/>
          <w:highlight w:val="none"/>
          <w:shd w:val="clear" w:color="auto" w:fill="auto"/>
        </w:rPr>
        <w:t>1</w:t>
      </w:r>
      <w:r>
        <w:rPr>
          <w:rFonts w:eastAsia="仿宋"/>
          <w:color w:val="auto"/>
          <w:sz w:val="24"/>
          <w:highlight w:val="none"/>
          <w:shd w:val="clear" w:color="auto" w:fill="auto"/>
        </w:rPr>
        <w:t>Q235B 黑件材料厚度不得低2mm, 不允许走下差</w:t>
      </w:r>
      <w:r>
        <w:rPr>
          <w:rFonts w:hint="eastAsia" w:eastAsia="仿宋"/>
          <w:color w:val="auto"/>
          <w:sz w:val="24"/>
          <w:highlight w:val="none"/>
          <w:shd w:val="clear" w:color="auto" w:fill="auto"/>
        </w:rPr>
        <w:t>。</w:t>
      </w:r>
    </w:p>
    <w:p>
      <w:pPr>
        <w:pStyle w:val="29"/>
        <w:ind w:firstLineChars="71"/>
        <w:rPr>
          <w:rFonts w:eastAsia="仿宋"/>
          <w:color w:val="auto"/>
          <w:sz w:val="24"/>
          <w:highlight w:val="none"/>
          <w:shd w:val="clear" w:color="auto" w:fill="auto"/>
        </w:rPr>
      </w:pPr>
      <w:r>
        <w:rPr>
          <w:rFonts w:hint="eastAsia" w:eastAsia="仿宋" w:cs="仿宋"/>
          <w:b/>
          <w:bCs/>
          <w:color w:val="auto"/>
          <w:szCs w:val="21"/>
          <w:highlight w:val="none"/>
          <w:shd w:val="clear" w:color="auto" w:fill="auto"/>
        </w:rPr>
        <w:t>■</w:t>
      </w:r>
      <w:r>
        <w:rPr>
          <w:rFonts w:hint="eastAsia" w:eastAsia="仿宋"/>
          <w:b/>
          <w:bCs/>
          <w:color w:val="auto"/>
          <w:sz w:val="24"/>
          <w:highlight w:val="none"/>
          <w:shd w:val="clear" w:color="auto" w:fill="auto"/>
        </w:rPr>
        <w:t>4.5.</w:t>
      </w:r>
      <w:r>
        <w:rPr>
          <w:rFonts w:eastAsia="仿宋"/>
          <w:b/>
          <w:bCs/>
          <w:color w:val="auto"/>
          <w:sz w:val="24"/>
          <w:highlight w:val="none"/>
          <w:shd w:val="clear" w:color="auto" w:fill="auto"/>
        </w:rPr>
        <w:t xml:space="preserve">2 </w:t>
      </w:r>
      <w:r>
        <w:rPr>
          <w:rFonts w:eastAsia="仿宋"/>
          <w:color w:val="auto"/>
          <w:sz w:val="24"/>
          <w:highlight w:val="none"/>
          <w:shd w:val="clear" w:color="auto" w:fill="auto"/>
        </w:rPr>
        <w:t>热镀锌平均85um ，局部不低于75um</w:t>
      </w:r>
      <w:r>
        <w:rPr>
          <w:rFonts w:hint="eastAsia" w:eastAsia="仿宋"/>
          <w:color w:val="auto"/>
          <w:sz w:val="24"/>
          <w:highlight w:val="none"/>
          <w:shd w:val="clear" w:color="auto" w:fill="auto"/>
        </w:rPr>
        <w:t>。</w:t>
      </w:r>
    </w:p>
    <w:p>
      <w:pPr>
        <w:pStyle w:val="29"/>
        <w:ind w:firstLineChars="71"/>
        <w:rPr>
          <w:rFonts w:eastAsia="仿宋"/>
          <w:color w:val="auto"/>
          <w:sz w:val="24"/>
          <w:highlight w:val="none"/>
          <w:shd w:val="clear" w:color="auto" w:fill="auto"/>
        </w:rPr>
      </w:pPr>
      <w:r>
        <w:rPr>
          <w:rFonts w:hint="eastAsia" w:eastAsia="仿宋" w:cs="仿宋"/>
          <w:b/>
          <w:bCs/>
          <w:color w:val="auto"/>
          <w:szCs w:val="21"/>
          <w:highlight w:val="none"/>
          <w:shd w:val="clear" w:color="auto" w:fill="auto"/>
        </w:rPr>
        <w:t>■</w:t>
      </w:r>
      <w:r>
        <w:rPr>
          <w:rFonts w:hint="eastAsia" w:eastAsia="仿宋"/>
          <w:b/>
          <w:bCs/>
          <w:color w:val="auto"/>
          <w:sz w:val="24"/>
          <w:highlight w:val="none"/>
          <w:shd w:val="clear" w:color="auto" w:fill="auto"/>
        </w:rPr>
        <w:t>4.5.3</w:t>
      </w:r>
      <w:r>
        <w:rPr>
          <w:rFonts w:hint="eastAsia" w:eastAsia="仿宋"/>
          <w:color w:val="auto"/>
          <w:sz w:val="24"/>
          <w:highlight w:val="none"/>
          <w:shd w:val="clear" w:color="auto" w:fill="auto"/>
        </w:rPr>
        <w:t>铝夹具最大力值大于或等于2KN，并出具相应第三方检测报告。</w:t>
      </w:r>
    </w:p>
    <w:p>
      <w:pPr>
        <w:spacing w:after="0" w:line="360" w:lineRule="auto"/>
        <w:outlineLvl w:val="1"/>
        <w:rPr>
          <w:rFonts w:hAnsi="宋体"/>
          <w:b/>
          <w:bCs/>
          <w:color w:val="auto"/>
          <w:highlight w:val="none"/>
          <w:shd w:val="clear" w:color="auto" w:fill="auto"/>
        </w:rPr>
      </w:pPr>
      <w:r>
        <w:rPr>
          <w:rFonts w:hint="eastAsia" w:hAnsi="宋体"/>
          <w:b/>
          <w:bCs/>
          <w:color w:val="auto"/>
          <w:highlight w:val="none"/>
          <w:shd w:val="clear" w:color="auto" w:fill="auto"/>
        </w:rPr>
        <w:t>4.6直流屏</w:t>
      </w:r>
    </w:p>
    <w:p>
      <w:pPr>
        <w:spacing w:after="0" w:line="360" w:lineRule="auto"/>
        <w:outlineLvl w:val="1"/>
        <w:rPr>
          <w:rFonts w:hAnsi="宋体"/>
          <w:b/>
          <w:bCs/>
          <w:color w:val="auto"/>
          <w:highlight w:val="none"/>
          <w:shd w:val="clear" w:color="auto" w:fill="auto"/>
        </w:rPr>
      </w:pPr>
      <w:r>
        <w:rPr>
          <w:rFonts w:hint="eastAsia" w:hAnsi="宋体"/>
          <w:b/>
          <w:bCs/>
          <w:color w:val="auto"/>
          <w:highlight w:val="none"/>
          <w:shd w:val="clear" w:color="auto" w:fill="auto"/>
        </w:rPr>
        <w:t>4.6.1技术规范</w:t>
      </w:r>
    </w:p>
    <w:bookmarkEnd w:id="41"/>
    <w:bookmarkEnd w:id="42"/>
    <w:bookmarkEnd w:id="43"/>
    <w:bookmarkEnd w:id="44"/>
    <w:bookmarkEnd w:id="45"/>
    <w:bookmarkEnd w:id="46"/>
    <w:p>
      <w:pPr>
        <w:spacing w:after="0" w:line="360" w:lineRule="auto"/>
        <w:ind w:firstLine="482" w:firstLineChars="200"/>
        <w:outlineLvl w:val="1"/>
        <w:rPr>
          <w:rFonts w:hAnsi="宋体"/>
          <w:color w:val="auto"/>
          <w:highlight w:val="none"/>
          <w:shd w:val="clear" w:color="auto" w:fill="auto"/>
        </w:rPr>
      </w:pPr>
      <w:r>
        <w:rPr>
          <w:rFonts w:hint="eastAsia" w:hAnsi="宋体"/>
          <w:b/>
          <w:bCs/>
          <w:color w:val="auto"/>
          <w:highlight w:val="none"/>
          <w:shd w:val="clear" w:color="auto" w:fill="auto"/>
        </w:rPr>
        <w:t>采用标准</w:t>
      </w:r>
    </w:p>
    <w:p>
      <w:pPr>
        <w:spacing w:after="0" w:line="360" w:lineRule="auto"/>
        <w:ind w:firstLine="360" w:firstLineChars="150"/>
        <w:rPr>
          <w:rFonts w:cs="仿宋"/>
          <w:color w:val="auto"/>
          <w:highlight w:val="none"/>
          <w:shd w:val="clear" w:color="auto" w:fill="auto"/>
        </w:rPr>
      </w:pPr>
      <w:r>
        <w:rPr>
          <w:rFonts w:hint="eastAsia" w:cs="仿宋"/>
          <w:color w:val="auto"/>
          <w:highlight w:val="none"/>
          <w:shd w:val="clear" w:color="auto" w:fill="auto"/>
        </w:rPr>
        <w:t>（1）本技术标书适用于直流系统中采用高频开关电源的直流成套装置的功能设计、结构、性能、安装和试验等方面的技术要求。</w:t>
      </w:r>
    </w:p>
    <w:p>
      <w:pPr>
        <w:spacing w:after="0" w:line="360" w:lineRule="auto"/>
        <w:ind w:firstLine="360" w:firstLineChars="150"/>
        <w:rPr>
          <w:rFonts w:cs="仿宋"/>
          <w:color w:val="auto"/>
          <w:highlight w:val="none"/>
          <w:shd w:val="clear" w:color="auto" w:fill="auto"/>
        </w:rPr>
      </w:pPr>
      <w:r>
        <w:rPr>
          <w:rFonts w:hint="eastAsia" w:cs="仿宋"/>
          <w:color w:val="auto"/>
          <w:highlight w:val="none"/>
          <w:shd w:val="clear" w:color="auto" w:fill="auto"/>
        </w:rPr>
        <w:t>（2）本技术标书充分引述有关标准和规范的条文，投标方提供产品符合本规范书和工业标准。</w:t>
      </w:r>
    </w:p>
    <w:p>
      <w:pPr>
        <w:spacing w:after="0" w:line="360" w:lineRule="auto"/>
        <w:ind w:firstLine="360" w:firstLineChars="150"/>
        <w:rPr>
          <w:rFonts w:cs="仿宋"/>
          <w:color w:val="auto"/>
          <w:highlight w:val="none"/>
          <w:shd w:val="clear" w:color="auto" w:fill="auto"/>
        </w:rPr>
      </w:pPr>
      <w:r>
        <w:rPr>
          <w:rFonts w:hint="eastAsia" w:cs="仿宋"/>
          <w:color w:val="auto"/>
          <w:highlight w:val="none"/>
          <w:shd w:val="clear" w:color="auto" w:fill="auto"/>
        </w:rPr>
        <w:t>（3）供货方应使用最新颁布执行的国家标准、行业标准和IEC标准。</w:t>
      </w:r>
    </w:p>
    <w:tbl>
      <w:tblPr>
        <w:tblStyle w:val="30"/>
        <w:tblW w:w="9214" w:type="dxa"/>
        <w:tblInd w:w="-34" w:type="dxa"/>
        <w:tblLayout w:type="fixed"/>
        <w:tblCellMar>
          <w:top w:w="0" w:type="dxa"/>
          <w:left w:w="108" w:type="dxa"/>
          <w:bottom w:w="0" w:type="dxa"/>
          <w:right w:w="108" w:type="dxa"/>
        </w:tblCellMar>
      </w:tblPr>
      <w:tblGrid>
        <w:gridCol w:w="1985"/>
        <w:gridCol w:w="7229"/>
      </w:tblGrid>
      <w:tr>
        <w:tblPrEx>
          <w:tblCellMar>
            <w:top w:w="0" w:type="dxa"/>
            <w:left w:w="108" w:type="dxa"/>
            <w:bottom w:w="0" w:type="dxa"/>
            <w:right w:w="108" w:type="dxa"/>
          </w:tblCellMar>
        </w:tblPrEx>
        <w:trPr>
          <w:trHeight w:val="485" w:hRule="atLeast"/>
        </w:trPr>
        <w:tc>
          <w:tcPr>
            <w:tcW w:w="1985"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DL/T459-2000</w:t>
            </w:r>
          </w:p>
        </w:tc>
        <w:tc>
          <w:tcPr>
            <w:tcW w:w="7229"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《电力系统直流电源柜订货技术条件》</w:t>
            </w:r>
          </w:p>
        </w:tc>
      </w:tr>
      <w:tr>
        <w:tblPrEx>
          <w:tblCellMar>
            <w:top w:w="0" w:type="dxa"/>
            <w:left w:w="108" w:type="dxa"/>
            <w:bottom w:w="0" w:type="dxa"/>
            <w:right w:w="108" w:type="dxa"/>
          </w:tblCellMar>
        </w:tblPrEx>
        <w:trPr>
          <w:trHeight w:val="485" w:hRule="atLeast"/>
        </w:trPr>
        <w:tc>
          <w:tcPr>
            <w:tcW w:w="1985"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DL/T637-1997</w:t>
            </w:r>
          </w:p>
        </w:tc>
        <w:tc>
          <w:tcPr>
            <w:tcW w:w="7229"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《阀控式密封铅酸蓄电池订货技术》</w:t>
            </w:r>
          </w:p>
        </w:tc>
      </w:tr>
      <w:tr>
        <w:tblPrEx>
          <w:tblCellMar>
            <w:top w:w="0" w:type="dxa"/>
            <w:left w:w="108" w:type="dxa"/>
            <w:bottom w:w="0" w:type="dxa"/>
            <w:right w:w="108" w:type="dxa"/>
          </w:tblCellMar>
        </w:tblPrEx>
        <w:trPr>
          <w:trHeight w:val="486" w:hRule="atLeast"/>
        </w:trPr>
        <w:tc>
          <w:tcPr>
            <w:tcW w:w="1985"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GB/T17626-1998</w:t>
            </w:r>
          </w:p>
        </w:tc>
        <w:tc>
          <w:tcPr>
            <w:tcW w:w="7229"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《电磁兼容试验和测量技术》</w:t>
            </w:r>
          </w:p>
        </w:tc>
      </w:tr>
      <w:tr>
        <w:tblPrEx>
          <w:tblCellMar>
            <w:top w:w="0" w:type="dxa"/>
            <w:left w:w="108" w:type="dxa"/>
            <w:bottom w:w="0" w:type="dxa"/>
            <w:right w:w="108" w:type="dxa"/>
          </w:tblCellMar>
        </w:tblPrEx>
        <w:trPr>
          <w:trHeight w:val="485" w:hRule="atLeast"/>
        </w:trPr>
        <w:tc>
          <w:tcPr>
            <w:tcW w:w="1985"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GB/T7261-1987</w:t>
            </w:r>
          </w:p>
        </w:tc>
        <w:tc>
          <w:tcPr>
            <w:tcW w:w="7229"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《继电器及继电器保护装置基本试验方法》</w:t>
            </w:r>
          </w:p>
        </w:tc>
      </w:tr>
      <w:tr>
        <w:tblPrEx>
          <w:tblCellMar>
            <w:top w:w="0" w:type="dxa"/>
            <w:left w:w="108" w:type="dxa"/>
            <w:bottom w:w="0" w:type="dxa"/>
            <w:right w:w="108" w:type="dxa"/>
          </w:tblCellMar>
        </w:tblPrEx>
        <w:trPr>
          <w:trHeight w:val="485" w:hRule="atLeast"/>
        </w:trPr>
        <w:tc>
          <w:tcPr>
            <w:tcW w:w="1985"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国电公司文件</w:t>
            </w:r>
          </w:p>
        </w:tc>
        <w:tc>
          <w:tcPr>
            <w:tcW w:w="7229"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《防止电力生产重大事故的二十五项重点要求继电保护实施细则》</w:t>
            </w:r>
          </w:p>
        </w:tc>
      </w:tr>
      <w:tr>
        <w:tblPrEx>
          <w:tblCellMar>
            <w:top w:w="0" w:type="dxa"/>
            <w:left w:w="108" w:type="dxa"/>
            <w:bottom w:w="0" w:type="dxa"/>
            <w:right w:w="108" w:type="dxa"/>
          </w:tblCellMar>
        </w:tblPrEx>
        <w:trPr>
          <w:trHeight w:val="485" w:hRule="atLeast"/>
        </w:trPr>
        <w:tc>
          <w:tcPr>
            <w:tcW w:w="1985"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部颁</w:t>
            </w:r>
          </w:p>
        </w:tc>
        <w:tc>
          <w:tcPr>
            <w:tcW w:w="7229"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《电力系统继电保护及安全自动装置反事故措施要点》</w:t>
            </w:r>
          </w:p>
        </w:tc>
      </w:tr>
      <w:tr>
        <w:tblPrEx>
          <w:tblCellMar>
            <w:top w:w="0" w:type="dxa"/>
            <w:left w:w="108" w:type="dxa"/>
            <w:bottom w:w="0" w:type="dxa"/>
            <w:right w:w="108" w:type="dxa"/>
          </w:tblCellMar>
        </w:tblPrEx>
        <w:trPr>
          <w:trHeight w:val="485" w:hRule="atLeast"/>
        </w:trPr>
        <w:tc>
          <w:tcPr>
            <w:tcW w:w="1985"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GB7261-87</w:t>
            </w:r>
          </w:p>
        </w:tc>
        <w:tc>
          <w:tcPr>
            <w:tcW w:w="7229"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bookmarkStart w:id="47" w:name="_Hlt185398374"/>
            <w:bookmarkStart w:id="48" w:name="_Hlt185398373"/>
            <w:r>
              <w:rPr>
                <w:rFonts w:hint="eastAsia" w:cs="仿宋"/>
                <w:color w:val="auto"/>
                <w:highlight w:val="none"/>
                <w:shd w:val="clear" w:color="auto" w:fill="auto"/>
              </w:rPr>
              <w:t>《继电器及继电保护装置基本试验方法》</w:t>
            </w:r>
            <w:bookmarkEnd w:id="47"/>
            <w:bookmarkEnd w:id="48"/>
          </w:p>
        </w:tc>
      </w:tr>
      <w:tr>
        <w:tblPrEx>
          <w:tblCellMar>
            <w:top w:w="0" w:type="dxa"/>
            <w:left w:w="108" w:type="dxa"/>
            <w:bottom w:w="0" w:type="dxa"/>
            <w:right w:w="108" w:type="dxa"/>
          </w:tblCellMar>
        </w:tblPrEx>
        <w:trPr>
          <w:trHeight w:val="486" w:hRule="atLeast"/>
        </w:trPr>
        <w:tc>
          <w:tcPr>
            <w:tcW w:w="1985"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GB2681-81</w:t>
            </w:r>
          </w:p>
        </w:tc>
        <w:tc>
          <w:tcPr>
            <w:tcW w:w="7229"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《电工成套装置中导线颜色》</w:t>
            </w:r>
          </w:p>
        </w:tc>
      </w:tr>
      <w:tr>
        <w:tblPrEx>
          <w:tblCellMar>
            <w:top w:w="0" w:type="dxa"/>
            <w:left w:w="108" w:type="dxa"/>
            <w:bottom w:w="0" w:type="dxa"/>
            <w:right w:w="108" w:type="dxa"/>
          </w:tblCellMar>
        </w:tblPrEx>
        <w:trPr>
          <w:trHeight w:val="486" w:hRule="atLeast"/>
        </w:trPr>
        <w:tc>
          <w:tcPr>
            <w:tcW w:w="1985"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GB/17478-1998</w:t>
            </w:r>
          </w:p>
        </w:tc>
        <w:tc>
          <w:tcPr>
            <w:tcW w:w="7229"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《低压直流设备的特性及安全要求》</w:t>
            </w:r>
          </w:p>
        </w:tc>
      </w:tr>
      <w:tr>
        <w:tblPrEx>
          <w:tblCellMar>
            <w:top w:w="0" w:type="dxa"/>
            <w:left w:w="108" w:type="dxa"/>
            <w:bottom w:w="0" w:type="dxa"/>
            <w:right w:w="108" w:type="dxa"/>
          </w:tblCellMar>
        </w:tblPrEx>
        <w:trPr>
          <w:trHeight w:val="485" w:hRule="atLeast"/>
        </w:trPr>
        <w:tc>
          <w:tcPr>
            <w:tcW w:w="1985"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DL/T720-2000</w:t>
            </w:r>
          </w:p>
        </w:tc>
        <w:tc>
          <w:tcPr>
            <w:tcW w:w="7229"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《电力系统继电保护柜、屏通用技术条件》</w:t>
            </w:r>
          </w:p>
        </w:tc>
      </w:tr>
      <w:tr>
        <w:tblPrEx>
          <w:tblCellMar>
            <w:top w:w="0" w:type="dxa"/>
            <w:left w:w="108" w:type="dxa"/>
            <w:bottom w:w="0" w:type="dxa"/>
            <w:right w:w="108" w:type="dxa"/>
          </w:tblCellMar>
        </w:tblPrEx>
        <w:trPr>
          <w:cantSplit/>
          <w:trHeight w:val="486" w:hRule="atLeast"/>
        </w:trPr>
        <w:tc>
          <w:tcPr>
            <w:tcW w:w="1985"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GB50062-92</w:t>
            </w:r>
          </w:p>
        </w:tc>
        <w:tc>
          <w:tcPr>
            <w:tcW w:w="7229"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《电力装置的继电保护及安全自动装置设计规范》</w:t>
            </w:r>
          </w:p>
        </w:tc>
      </w:tr>
      <w:tr>
        <w:tblPrEx>
          <w:tblCellMar>
            <w:top w:w="0" w:type="dxa"/>
            <w:left w:w="108" w:type="dxa"/>
            <w:bottom w:w="0" w:type="dxa"/>
            <w:right w:w="108" w:type="dxa"/>
          </w:tblCellMar>
        </w:tblPrEx>
        <w:trPr>
          <w:trHeight w:val="485" w:hRule="atLeast"/>
        </w:trPr>
        <w:tc>
          <w:tcPr>
            <w:tcW w:w="1985"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GB50171-92</w:t>
            </w:r>
          </w:p>
        </w:tc>
        <w:tc>
          <w:tcPr>
            <w:tcW w:w="7229"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《电气装置安装工程盘、柜及二次回路结线施工及验收规范》</w:t>
            </w:r>
          </w:p>
        </w:tc>
      </w:tr>
      <w:tr>
        <w:tblPrEx>
          <w:tblCellMar>
            <w:top w:w="0" w:type="dxa"/>
            <w:left w:w="108" w:type="dxa"/>
            <w:bottom w:w="0" w:type="dxa"/>
            <w:right w:w="108" w:type="dxa"/>
          </w:tblCellMar>
        </w:tblPrEx>
        <w:trPr>
          <w:trHeight w:val="486" w:hRule="atLeast"/>
        </w:trPr>
        <w:tc>
          <w:tcPr>
            <w:tcW w:w="1985"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GB/14537-93</w:t>
            </w:r>
          </w:p>
        </w:tc>
        <w:tc>
          <w:tcPr>
            <w:tcW w:w="7229"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《量度继电器和保护装置的冲击和碰撞试验》</w:t>
            </w:r>
          </w:p>
        </w:tc>
      </w:tr>
      <w:tr>
        <w:tblPrEx>
          <w:tblCellMar>
            <w:top w:w="0" w:type="dxa"/>
            <w:left w:w="108" w:type="dxa"/>
            <w:bottom w:w="0" w:type="dxa"/>
            <w:right w:w="108" w:type="dxa"/>
          </w:tblCellMar>
        </w:tblPrEx>
        <w:trPr>
          <w:trHeight w:val="486" w:hRule="atLeast"/>
        </w:trPr>
        <w:tc>
          <w:tcPr>
            <w:tcW w:w="1985"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DL-T5044-2014</w:t>
            </w:r>
          </w:p>
        </w:tc>
        <w:tc>
          <w:tcPr>
            <w:tcW w:w="7229"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《电力工程直流系统设计技术规程》</w:t>
            </w:r>
          </w:p>
        </w:tc>
      </w:tr>
      <w:tr>
        <w:tblPrEx>
          <w:tblCellMar>
            <w:top w:w="0" w:type="dxa"/>
            <w:left w:w="108" w:type="dxa"/>
            <w:bottom w:w="0" w:type="dxa"/>
            <w:right w:w="108" w:type="dxa"/>
          </w:tblCellMar>
        </w:tblPrEx>
        <w:trPr>
          <w:trHeight w:val="486" w:hRule="atLeast"/>
        </w:trPr>
        <w:tc>
          <w:tcPr>
            <w:tcW w:w="1985" w:type="dxa"/>
            <w:tcBorders>
              <w:top w:val="single" w:color="auto" w:sz="4" w:space="0"/>
              <w:left w:val="single" w:color="auto" w:sz="4" w:space="0"/>
              <w:bottom w:val="single" w:color="auto" w:sz="4" w:space="0"/>
              <w:right w:val="single" w:color="auto" w:sz="4" w:space="0"/>
            </w:tcBorders>
            <w:noWrap/>
            <w:vAlign w:val="center"/>
          </w:tcPr>
          <w:p>
            <w:pPr>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DL/T 5136-2001</w:t>
            </w:r>
          </w:p>
        </w:tc>
        <w:tc>
          <w:tcPr>
            <w:tcW w:w="7229" w:type="dxa"/>
            <w:tcBorders>
              <w:top w:val="single" w:color="auto" w:sz="4" w:space="0"/>
              <w:left w:val="single" w:color="auto" w:sz="4" w:space="0"/>
              <w:bottom w:val="single" w:color="auto" w:sz="4" w:space="0"/>
              <w:right w:val="single" w:color="auto" w:sz="4" w:space="0"/>
            </w:tcBorders>
            <w:noWrap/>
            <w:vAlign w:val="center"/>
          </w:tcPr>
          <w:p>
            <w:pPr>
              <w:snapToGrid w:val="0"/>
              <w:spacing w:after="0" w:line="360" w:lineRule="auto"/>
              <w:jc w:val="center"/>
              <w:rPr>
                <w:rFonts w:cs="仿宋"/>
                <w:color w:val="auto"/>
                <w:highlight w:val="none"/>
                <w:shd w:val="clear" w:color="auto" w:fill="auto"/>
              </w:rPr>
            </w:pPr>
            <w:r>
              <w:rPr>
                <w:rFonts w:hint="eastAsia" w:cs="仿宋"/>
                <w:color w:val="auto"/>
                <w:highlight w:val="none"/>
                <w:shd w:val="clear" w:color="auto" w:fill="auto"/>
              </w:rPr>
              <w:t>《火力发电厂、变电所二次接线设计技术规定》</w:t>
            </w:r>
          </w:p>
        </w:tc>
      </w:tr>
    </w:tbl>
    <w:p>
      <w:pPr>
        <w:snapToGrid w:val="0"/>
        <w:spacing w:after="0" w:line="360" w:lineRule="auto"/>
        <w:ind w:firstLine="480" w:firstLineChars="200"/>
        <w:rPr>
          <w:rFonts w:cs="仿宋"/>
          <w:color w:val="auto"/>
          <w:highlight w:val="none"/>
          <w:shd w:val="clear" w:color="auto" w:fill="auto"/>
        </w:rPr>
      </w:pPr>
    </w:p>
    <w:p>
      <w:pPr>
        <w:snapToGrid w:val="0"/>
        <w:spacing w:after="0" w:line="360" w:lineRule="auto"/>
        <w:ind w:firstLine="482" w:firstLineChars="200"/>
        <w:outlineLvl w:val="1"/>
        <w:rPr>
          <w:rFonts w:cs="仿宋"/>
          <w:b/>
          <w:bCs/>
          <w:color w:val="auto"/>
          <w:highlight w:val="none"/>
          <w:shd w:val="clear" w:color="auto" w:fill="auto"/>
        </w:rPr>
      </w:pPr>
      <w:r>
        <w:rPr>
          <w:rFonts w:hint="eastAsia" w:cs="仿宋"/>
          <w:b/>
          <w:bCs/>
          <w:color w:val="auto"/>
          <w:highlight w:val="none"/>
          <w:shd w:val="clear" w:color="auto" w:fill="auto"/>
        </w:rPr>
        <w:t>环境条件</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（1）周围空气温度：最高平均温度 +45 ℃最低平均温度 -20 ℃</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 xml:space="preserve">（2）海拔高度：≤2000m </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（3） 环境相对湿度：≤ 95%（相对环境温度20±5℃）</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（4）地震烈度： 8 度</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（5）运行地点无导电尘埃，没有腐蚀金属和破坏绝缘的气体或蒸汽</w:t>
      </w:r>
    </w:p>
    <w:p>
      <w:pPr>
        <w:spacing w:after="0" w:line="360" w:lineRule="auto"/>
        <w:ind w:firstLine="482" w:firstLineChars="200"/>
        <w:outlineLvl w:val="1"/>
        <w:rPr>
          <w:rFonts w:cs="仿宋"/>
          <w:b/>
          <w:bCs/>
          <w:color w:val="auto"/>
          <w:highlight w:val="none"/>
          <w:shd w:val="clear" w:color="auto" w:fill="auto"/>
        </w:rPr>
      </w:pPr>
      <w:r>
        <w:rPr>
          <w:rFonts w:hint="eastAsia" w:cs="仿宋"/>
          <w:b/>
          <w:bCs/>
          <w:color w:val="auto"/>
          <w:highlight w:val="none"/>
          <w:shd w:val="clear" w:color="auto" w:fill="auto"/>
        </w:rPr>
        <w:t>产品技术条件参数</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技术参数</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交流输入：二路交流电源AC380V，自动切换，输入频率50Hz 。</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直流输出：直流输出系统电压DC220V（KM），输出额定电流20A 。</w:t>
      </w:r>
    </w:p>
    <w:p>
      <w:pPr>
        <w:snapToGrid w:val="0"/>
        <w:spacing w:after="0" w:line="360" w:lineRule="auto"/>
        <w:ind w:firstLine="480" w:firstLineChars="200"/>
        <w:rPr>
          <w:rFonts w:cs="仿宋"/>
          <w:color w:val="auto"/>
          <w:highlight w:val="none"/>
          <w:u w:val="single"/>
          <w:shd w:val="clear" w:color="auto" w:fill="auto"/>
        </w:rPr>
      </w:pPr>
      <w:r>
        <w:rPr>
          <w:rFonts w:hint="eastAsia" w:cs="仿宋"/>
          <w:color w:val="auto"/>
          <w:highlight w:val="none"/>
          <w:shd w:val="clear" w:color="auto" w:fill="auto"/>
        </w:rPr>
        <w:t>整流模块：选用智能直流模块，单模块电流10A，数量4个，满足N+1冗余配置。</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空气开关：直流馈出回路32路，合闸16路 32A，控制16路 20A。</w:t>
      </w:r>
    </w:p>
    <w:p>
      <w:pPr>
        <w:spacing w:after="0" w:line="360" w:lineRule="auto"/>
        <w:ind w:firstLine="560" w:firstLineChars="200"/>
        <w:rPr>
          <w:rFonts w:cs="仿宋"/>
          <w:color w:val="auto"/>
          <w:highlight w:val="none"/>
          <w:shd w:val="clear" w:color="auto" w:fill="auto"/>
        </w:rPr>
      </w:pPr>
      <w:r>
        <w:rPr>
          <w:rFonts w:hint="eastAsia" w:cs="仿宋"/>
          <w:color w:val="auto"/>
          <w:spacing w:val="20"/>
          <w:highlight w:val="none"/>
          <w:shd w:val="clear" w:color="auto" w:fill="auto"/>
        </w:rPr>
        <w:t>蓄电池组充电方式：以浮充电、均衡充电运行。</w:t>
      </w:r>
    </w:p>
    <w:p>
      <w:pPr>
        <w:spacing w:after="0" w:line="360" w:lineRule="auto"/>
        <w:ind w:right="420" w:firstLine="480" w:firstLineChars="200"/>
        <w:rPr>
          <w:rFonts w:cs="仿宋"/>
          <w:color w:val="auto"/>
          <w:highlight w:val="none"/>
          <w:shd w:val="clear" w:color="auto" w:fill="auto"/>
        </w:rPr>
      </w:pPr>
      <w:r>
        <w:rPr>
          <w:rFonts w:hint="eastAsia" w:cs="仿宋"/>
          <w:color w:val="auto"/>
          <w:highlight w:val="none"/>
          <w:shd w:val="clear" w:color="auto" w:fill="auto"/>
        </w:rPr>
        <w:t>柜内充电回路和蓄电池回路装设数显电流、电压等表计。</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蓄电池组：</w:t>
      </w:r>
    </w:p>
    <w:p>
      <w:pPr>
        <w:spacing w:after="0" w:line="360" w:lineRule="auto"/>
        <w:rPr>
          <w:rFonts w:cs="仿宋"/>
          <w:color w:val="auto"/>
          <w:highlight w:val="none"/>
          <w:shd w:val="clear" w:color="auto" w:fill="auto"/>
        </w:rPr>
      </w:pPr>
      <w:r>
        <w:rPr>
          <w:rFonts w:hint="eastAsia" w:cs="仿宋"/>
          <w:color w:val="auto"/>
          <w:highlight w:val="none"/>
          <w:shd w:val="clear" w:color="auto" w:fill="auto"/>
        </w:rPr>
        <w:t>蓄电池组技术指标</w:t>
      </w:r>
    </w:p>
    <w:p>
      <w:pPr>
        <w:pStyle w:val="11"/>
        <w:tabs>
          <w:tab w:val="left" w:pos="54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组数：一组；</w:t>
      </w:r>
    </w:p>
    <w:p>
      <w:pPr>
        <w:pStyle w:val="11"/>
        <w:tabs>
          <w:tab w:val="left" w:pos="54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蓄电池型式：采用密封阀控铅酸免维护铅酸蓄电池；</w:t>
      </w:r>
      <w:r>
        <w:rPr>
          <w:rFonts w:hint="eastAsia" w:ascii="仿宋" w:hAnsi="仿宋" w:eastAsia="仿宋" w:cs="仿宋"/>
          <w:color w:val="auto"/>
          <w:sz w:val="24"/>
          <w:szCs w:val="24"/>
          <w:highlight w:val="none"/>
          <w:shd w:val="clear" w:color="auto" w:fill="auto"/>
        </w:rPr>
        <w:tab/>
      </w:r>
    </w:p>
    <w:p>
      <w:pPr>
        <w:pStyle w:val="11"/>
        <w:tabs>
          <w:tab w:val="left" w:pos="54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蓄电池组容量：65AH；</w:t>
      </w:r>
    </w:p>
    <w:p>
      <w:pPr>
        <w:pStyle w:val="11"/>
        <w:tabs>
          <w:tab w:val="left" w:pos="54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蓄电池个数：9只；</w:t>
      </w:r>
    </w:p>
    <w:p>
      <w:pPr>
        <w:pStyle w:val="11"/>
        <w:tabs>
          <w:tab w:val="left" w:pos="54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事故放电时间：1小时；</w:t>
      </w:r>
      <w:r>
        <w:rPr>
          <w:rFonts w:hint="eastAsia" w:ascii="仿宋" w:hAnsi="仿宋" w:eastAsia="仿宋" w:cs="仿宋"/>
          <w:color w:val="auto"/>
          <w:sz w:val="24"/>
          <w:szCs w:val="24"/>
          <w:highlight w:val="none"/>
          <w:shd w:val="clear" w:color="auto" w:fill="auto"/>
        </w:rPr>
        <w:tab/>
      </w:r>
      <w:r>
        <w:rPr>
          <w:rFonts w:hint="eastAsia" w:ascii="仿宋" w:hAnsi="仿宋" w:eastAsia="仿宋" w:cs="仿宋"/>
          <w:color w:val="auto"/>
          <w:sz w:val="24"/>
          <w:szCs w:val="24"/>
          <w:highlight w:val="none"/>
          <w:shd w:val="clear" w:color="auto" w:fill="auto"/>
        </w:rPr>
        <w:tab/>
      </w:r>
    </w:p>
    <w:p>
      <w:pPr>
        <w:pStyle w:val="11"/>
        <w:tabs>
          <w:tab w:val="left" w:pos="54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蓄电池放电终止电压：11.22V；</w:t>
      </w:r>
      <w:r>
        <w:rPr>
          <w:rFonts w:hint="eastAsia" w:ascii="仿宋" w:hAnsi="仿宋" w:eastAsia="仿宋" w:cs="仿宋"/>
          <w:color w:val="auto"/>
          <w:sz w:val="24"/>
          <w:szCs w:val="24"/>
          <w:highlight w:val="none"/>
          <w:shd w:val="clear" w:color="auto" w:fill="auto"/>
        </w:rPr>
        <w:tab/>
      </w:r>
    </w:p>
    <w:p>
      <w:pPr>
        <w:pStyle w:val="11"/>
        <w:tabs>
          <w:tab w:val="left" w:pos="54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单体电池额定电压：12V；</w:t>
      </w:r>
      <w:r>
        <w:rPr>
          <w:rFonts w:hint="eastAsia" w:ascii="仿宋" w:hAnsi="仿宋" w:eastAsia="仿宋" w:cs="仿宋"/>
          <w:color w:val="auto"/>
          <w:sz w:val="24"/>
          <w:szCs w:val="24"/>
          <w:highlight w:val="none"/>
          <w:shd w:val="clear" w:color="auto" w:fill="auto"/>
        </w:rPr>
        <w:tab/>
      </w:r>
    </w:p>
    <w:p>
      <w:pPr>
        <w:pStyle w:val="11"/>
        <w:tabs>
          <w:tab w:val="left" w:pos="54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单体电池浮充电电压：13.38～13.62V；</w:t>
      </w:r>
    </w:p>
    <w:p>
      <w:pPr>
        <w:pStyle w:val="11"/>
        <w:tabs>
          <w:tab w:val="left" w:pos="54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单体电池均充电电压：13.8～14.1V；</w:t>
      </w:r>
    </w:p>
    <w:p>
      <w:pPr>
        <w:pStyle w:val="11"/>
        <w:spacing w:line="360" w:lineRule="auto"/>
        <w:ind w:firstLine="480" w:firstLineChars="200"/>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蓄电池组技术性能:</w:t>
      </w:r>
    </w:p>
    <w:p>
      <w:pPr>
        <w:pStyle w:val="11"/>
        <w:tabs>
          <w:tab w:val="left" w:pos="540"/>
          <w:tab w:val="left" w:pos="78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具有独立的充/放电功能；</w:t>
      </w:r>
    </w:p>
    <w:p>
      <w:pPr>
        <w:pStyle w:val="11"/>
        <w:tabs>
          <w:tab w:val="left" w:pos="540"/>
          <w:tab w:val="left" w:pos="78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能监测各单只电池电压；</w:t>
      </w:r>
    </w:p>
    <w:p>
      <w:pPr>
        <w:pStyle w:val="11"/>
        <w:tabs>
          <w:tab w:val="left" w:pos="540"/>
          <w:tab w:val="left" w:pos="78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运行期间无需添加溶液；</w:t>
      </w:r>
    </w:p>
    <w:p>
      <w:pPr>
        <w:pStyle w:val="11"/>
        <w:tabs>
          <w:tab w:val="left" w:pos="540"/>
          <w:tab w:val="left" w:pos="78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在整个寿命期间无需维修；</w:t>
      </w:r>
    </w:p>
    <w:p>
      <w:pPr>
        <w:pStyle w:val="11"/>
        <w:tabs>
          <w:tab w:val="left" w:pos="540"/>
          <w:tab w:val="left" w:pos="78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可任意角度放置使用；</w:t>
      </w:r>
    </w:p>
    <w:p>
      <w:pPr>
        <w:pStyle w:val="11"/>
        <w:tabs>
          <w:tab w:val="left" w:pos="540"/>
          <w:tab w:val="left" w:pos="78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正常使用无酸液渗漏或酸雾排出；</w:t>
      </w:r>
    </w:p>
    <w:p>
      <w:pPr>
        <w:pStyle w:val="11"/>
        <w:tabs>
          <w:tab w:val="left" w:pos="540"/>
          <w:tab w:val="left" w:pos="78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电池结构适合大电流放电使用，并有良好的充电接受能力；</w:t>
      </w:r>
    </w:p>
    <w:p>
      <w:pPr>
        <w:pStyle w:val="11"/>
        <w:tabs>
          <w:tab w:val="left" w:pos="540"/>
          <w:tab w:val="left" w:pos="78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当室内温度在+5℃～+35℃时仍能满足直流负荷供电；</w:t>
      </w:r>
    </w:p>
    <w:p>
      <w:pPr>
        <w:pStyle w:val="11"/>
        <w:tabs>
          <w:tab w:val="left" w:pos="540"/>
          <w:tab w:val="left" w:pos="78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蓄电池连接电缆满足1小时率放电电流时温升不超过30℃设计；</w:t>
      </w:r>
    </w:p>
    <w:p>
      <w:pPr>
        <w:pStyle w:val="11"/>
        <w:tabs>
          <w:tab w:val="left" w:pos="540"/>
          <w:tab w:val="left" w:pos="78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蓄电池间连接电缆、终端接头选择铜质材料，具有良好的导电性能、并有防腐蚀措施。蓄电池槽、盖、安全阀、极柱封口剂等材料具有阻燃性。</w:t>
      </w:r>
    </w:p>
    <w:p>
      <w:pPr>
        <w:pStyle w:val="11"/>
        <w:tabs>
          <w:tab w:val="left" w:pos="540"/>
          <w:tab w:val="left" w:pos="78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蓄电池外壳无变形，裂纹及污迹，极性正确，正负极性及端子有明显标志，便于连接；</w:t>
      </w:r>
      <w:r>
        <w:rPr>
          <w:rFonts w:hint="eastAsia" w:ascii="仿宋" w:hAnsi="仿宋" w:eastAsia="仿宋" w:cs="仿宋"/>
          <w:color w:val="auto"/>
          <w:sz w:val="24"/>
          <w:szCs w:val="24"/>
          <w:highlight w:val="none"/>
          <w:shd w:val="clear" w:color="auto" w:fill="auto"/>
        </w:rPr>
        <w:tab/>
      </w:r>
    </w:p>
    <w:p>
      <w:pPr>
        <w:pStyle w:val="11"/>
        <w:tabs>
          <w:tab w:val="left" w:pos="540"/>
          <w:tab w:val="left" w:pos="78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电池组间互连接线电缆绝缘良好，终端电池提供外接铜芯电缆至直流屏的接线端子；</w:t>
      </w:r>
    </w:p>
    <w:p>
      <w:pPr>
        <w:pStyle w:val="11"/>
        <w:tabs>
          <w:tab w:val="left" w:pos="540"/>
          <w:tab w:val="left" w:pos="78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蓄电池在大电流放电后，极柱不会熔断，其外观不会出现异常。</w:t>
      </w:r>
    </w:p>
    <w:p>
      <w:pPr>
        <w:pStyle w:val="11"/>
        <w:tabs>
          <w:tab w:val="left" w:pos="540"/>
          <w:tab w:val="left" w:pos="78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蓄电池封置90天后，其荷电保持能力不低于80％；</w:t>
      </w:r>
    </w:p>
    <w:p>
      <w:pPr>
        <w:pStyle w:val="11"/>
        <w:tabs>
          <w:tab w:val="left" w:pos="540"/>
          <w:tab w:val="left" w:pos="78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蓄电池的密封反应效率不低于95％；</w:t>
      </w:r>
      <w:r>
        <w:rPr>
          <w:rFonts w:hint="eastAsia" w:ascii="仿宋" w:hAnsi="仿宋" w:eastAsia="仿宋" w:cs="仿宋"/>
          <w:color w:val="auto"/>
          <w:sz w:val="24"/>
          <w:szCs w:val="24"/>
          <w:highlight w:val="none"/>
          <w:shd w:val="clear" w:color="auto" w:fill="auto"/>
        </w:rPr>
        <w:tab/>
      </w:r>
    </w:p>
    <w:p>
      <w:pPr>
        <w:pStyle w:val="11"/>
        <w:tabs>
          <w:tab w:val="left" w:pos="540"/>
          <w:tab w:val="left" w:pos="78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蓄电池具有很强的耐过充能力和过充寿命；</w:t>
      </w:r>
    </w:p>
    <w:p>
      <w:pPr>
        <w:pStyle w:val="11"/>
        <w:tabs>
          <w:tab w:val="left" w:pos="540"/>
          <w:tab w:val="left" w:pos="780"/>
        </w:tabs>
        <w:spacing w:line="360" w:lineRule="auto"/>
        <w:rPr>
          <w:rFonts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蓄电池有制造厂名及商标、型号及规格、极性符号、生产日期等。</w:t>
      </w:r>
    </w:p>
    <w:p>
      <w:pPr>
        <w:pStyle w:val="84"/>
        <w:spacing w:beforeLines="0" w:afterLines="0" w:line="360" w:lineRule="auto"/>
        <w:ind w:firstLine="480"/>
        <w:outlineLvl w:val="9"/>
        <w:rPr>
          <w:rFonts w:ascii="仿宋" w:eastAsia="仿宋" w:cs="仿宋"/>
          <w:b w:val="0"/>
          <w:color w:val="auto"/>
          <w:highlight w:val="none"/>
          <w:shd w:val="clear" w:color="auto" w:fill="auto"/>
        </w:rPr>
      </w:pPr>
      <w:r>
        <w:rPr>
          <w:rFonts w:hint="eastAsia" w:ascii="仿宋" w:eastAsia="仿宋" w:cs="仿宋"/>
          <w:b w:val="0"/>
          <w:color w:val="auto"/>
          <w:highlight w:val="none"/>
          <w:shd w:val="clear" w:color="auto" w:fill="auto"/>
        </w:rPr>
        <w:t>系统设备性能与功能要求</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交流电源：充电设备采用双路交流电源互为备用、自动投切，并可任选一路为工作电源。额定电压允许波动范围（-10％～+20％）。</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系统接线：直流母线分为合闸母线和控制母线，合闸母线与控制母线之间通过硅链分开。</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设立一组蓄电池，蓄电池均按单组电池为整个变电所直流系统供电考虑。</w:t>
      </w:r>
    </w:p>
    <w:p>
      <w:pPr>
        <w:shd w:val="clear" w:color="auto" w:fill="FFFFFF"/>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设一套工作整流装置2模块（N+1备份），供充电及浮充之用。</w:t>
      </w:r>
    </w:p>
    <w:p>
      <w:pPr>
        <w:shd w:val="clear" w:color="auto" w:fill="FFFFFF"/>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直流屏上设一段母线，一组蓄电池和一套整流装置分别接于一段直流母线上。</w:t>
      </w:r>
    </w:p>
    <w:p>
      <w:pPr>
        <w:shd w:val="clear" w:color="auto" w:fill="FFFFFF"/>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直流母线及各直流支路配置绝缘检查装置、蓄电池巡检装置、监控装置和各种配电指示。</w:t>
      </w:r>
    </w:p>
    <w:p>
      <w:pPr>
        <w:shd w:val="clear" w:color="auto" w:fill="FFFFFF"/>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充电装置</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在充电状态运行时，应按限流—恒压方式自动完成对电池组的充电、补充充电或均衡充电。</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充电与浮充电方式转换：应有自动和手动两种转换控制方式。</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在稳流状态下，输出电压在（80～130）％额定值范围内，交流电压在额定值的（-10～+20）％范围内变化，输出电流在（0.1～1）I</w:t>
      </w:r>
      <w:r>
        <w:rPr>
          <w:rFonts w:hint="eastAsia" w:cs="仿宋"/>
          <w:color w:val="auto"/>
          <w:highlight w:val="none"/>
          <w:shd w:val="clear" w:color="auto" w:fill="auto"/>
          <w:vertAlign w:val="subscript"/>
        </w:rPr>
        <w:t>e</w:t>
      </w:r>
      <w:r>
        <w:rPr>
          <w:rFonts w:hint="eastAsia" w:cs="仿宋"/>
          <w:color w:val="auto"/>
          <w:highlight w:val="none"/>
          <w:shd w:val="clear" w:color="auto" w:fill="auto"/>
        </w:rPr>
        <w:t>范围内任一点上保持稳定，其稳流精度应不大于±0.5％，输出电压纹波系数应小于0.5％。</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在稳压状态下，交流电压在规定范围内变化，输出电流在（0～100）％额定值范围内变化时，输出电压在额定值的（80～130）％范围内任一点上保持稳定，稳压精度应不大于±0.5％；输出电压纹波系数应小于0.5％。</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过压、欠压保护的动作电压误差应不大于整定值的±1％，其返回系数过压应不小于整定值的99％，欠压不大于整定值的101％，在达到整定值时，过电压经2秒、欠电压经5秒延时可靠动作。</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过流保护的动作电流精度应不大于整定值的±1％，在达到整定值时，应瞬时可靠动作。</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整流模块并联运行均分负载性能，输出电流在（0.1～1）I</w:t>
      </w:r>
      <w:r>
        <w:rPr>
          <w:rFonts w:hint="eastAsia" w:cs="仿宋"/>
          <w:color w:val="auto"/>
          <w:highlight w:val="none"/>
          <w:shd w:val="clear" w:color="auto" w:fill="auto"/>
          <w:vertAlign w:val="subscript"/>
        </w:rPr>
        <w:t>e</w:t>
      </w:r>
      <w:r>
        <w:rPr>
          <w:rFonts w:hint="eastAsia" w:cs="仿宋"/>
          <w:color w:val="auto"/>
          <w:highlight w:val="none"/>
          <w:shd w:val="clear" w:color="auto" w:fill="auto"/>
        </w:rPr>
        <w:t>范围内其均分负载的不平均度应小于±5％额定电流值。</w:t>
      </w:r>
    </w:p>
    <w:p>
      <w:pPr>
        <w:pStyle w:val="84"/>
        <w:spacing w:beforeLines="0" w:afterLines="0" w:line="360" w:lineRule="auto"/>
        <w:ind w:firstLine="480"/>
        <w:outlineLvl w:val="9"/>
        <w:rPr>
          <w:rFonts w:ascii="仿宋" w:eastAsia="仿宋" w:cs="仿宋"/>
          <w:b w:val="0"/>
          <w:color w:val="auto"/>
          <w:highlight w:val="none"/>
          <w:shd w:val="clear" w:color="auto" w:fill="auto"/>
        </w:rPr>
      </w:pPr>
      <w:r>
        <w:rPr>
          <w:rFonts w:hint="eastAsia" w:ascii="仿宋" w:eastAsia="仿宋" w:cs="仿宋"/>
          <w:b w:val="0"/>
          <w:color w:val="auto"/>
          <w:highlight w:val="none"/>
          <w:shd w:val="clear" w:color="auto" w:fill="auto"/>
        </w:rPr>
        <w:t>整流模块性能</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整流模块必须满足电池组充电、浮充电特性的要求，能承受短时冲击电流，并具有软启动特性。</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整流模块工作效率应大于90％；功率因数应大于0.95。</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整流模块应具有过压、欠压、过流故障报警功能。其中之一动作时，整流模块应可靠自动关机，同时发出“整流模块故障”信号，在故障排除后，应能人工恢复工作。</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充电装置在监控装置故障时，应可靠独立工作并满足各项性能指标，同时应具备良好的互换性，可在保证系统正常工作时，进行单个整流模块的故障处理和更换。</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屏体及二次回路技术要求</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信号灯</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各种信号灯、指示灯采用新型节能灯。</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熔断器或空气开关</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交流进线、电池组处的熔断器和空气开关配置报警辅助信号点。</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空气开关应具有相应的直流灭弧能力。</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屏体及二次回路技术要求</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屏体包括所有安装在上面的成套设备或单个组件，皆应有足够的机械强度和正确的安装方式，保证屏在起吊、运输、存放和安装过程中不会损坏，供方还应提供运输存放和安装说明书，供用户使用。</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供方应对屏内部接线的正确性全面负责，在指定的环境条件下，所供应的设备的特性和功能应完全满足技术条件的要求。</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屏应前后有门,前门上应有玻璃窗。可监视内部的装置信号及信号灯。</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屏体内部接线应采用耐热耐潮和阻燃的具有足够强度的绝缘铜线。</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导线应无损伤，导线的端头应采用压紧型的连接件。</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屏内二次线在端子排处均接在端子排内侧，外侧为电缆连接用。并提供走线槽，以便于固定电缆及端子排的接线。</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端子排应保证有足够的绝缘水平。</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屏体各元件布置和回路接线，应保证有运行维护工作人员更换元件、拆接连线的距离空间，特别是屏体两侧安装元件与端子排应保证有足够的距离。</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指示仪表：监控装置满足直流系统各单元显示功能，数字式显示。</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蓄电池检测仪：蓄电池组配置一套电池巡检装置，在线检测单只电池电压，当单只电池电压异常发出报警信号。</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绝缘监察：采用绝缘模块，满足直流母线绝缘检测和馈线直流接地检测。</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元器件安装应便于维护、检验和更换。</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系统接线</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直流屏采用2面柜组屏方式，屏面布置直流馈线回路4路控制回路，4路合闸回路。</w:t>
      </w:r>
    </w:p>
    <w:p>
      <w:pPr>
        <w:spacing w:after="0" w:line="360" w:lineRule="auto"/>
        <w:ind w:right="420" w:firstLine="480" w:firstLineChars="200"/>
        <w:rPr>
          <w:rFonts w:cs="仿宋"/>
          <w:color w:val="auto"/>
          <w:highlight w:val="none"/>
          <w:shd w:val="clear" w:color="auto" w:fill="auto"/>
        </w:rPr>
      </w:pPr>
      <w:r>
        <w:rPr>
          <w:rFonts w:hint="eastAsia" w:cs="仿宋"/>
          <w:color w:val="auto"/>
          <w:highlight w:val="none"/>
          <w:shd w:val="clear" w:color="auto" w:fill="auto"/>
        </w:rPr>
        <w:t>试验</w:t>
      </w:r>
    </w:p>
    <w:p>
      <w:pPr>
        <w:spacing w:after="0" w:line="360" w:lineRule="auto"/>
        <w:ind w:right="420" w:firstLine="482" w:firstLineChars="200"/>
        <w:rPr>
          <w:rFonts w:cs="仿宋"/>
          <w:b/>
          <w:bCs/>
          <w:color w:val="auto"/>
          <w:highlight w:val="none"/>
          <w:shd w:val="clear" w:color="auto" w:fill="auto"/>
        </w:rPr>
      </w:pPr>
      <w:r>
        <w:rPr>
          <w:rFonts w:hint="eastAsia" w:cs="仿宋"/>
          <w:b/>
          <w:bCs/>
          <w:color w:val="auto"/>
          <w:szCs w:val="21"/>
          <w:highlight w:val="none"/>
          <w:shd w:val="clear" w:color="auto" w:fill="auto"/>
        </w:rPr>
        <w:t>■</w:t>
      </w:r>
      <w:r>
        <w:rPr>
          <w:rFonts w:hint="eastAsia" w:cs="仿宋"/>
          <w:b/>
          <w:bCs/>
          <w:color w:val="auto"/>
          <w:highlight w:val="none"/>
          <w:shd w:val="clear" w:color="auto" w:fill="auto"/>
        </w:rPr>
        <w:t>直流屏型式试验和出厂试验按招国家标准及企业生产标准完成，并提供试验报告。</w:t>
      </w:r>
    </w:p>
    <w:p>
      <w:pPr>
        <w:pStyle w:val="84"/>
        <w:spacing w:beforeLines="0" w:afterLines="0" w:line="360" w:lineRule="auto"/>
        <w:ind w:firstLine="480"/>
        <w:outlineLvl w:val="9"/>
        <w:rPr>
          <w:rFonts w:ascii="仿宋" w:eastAsia="仿宋" w:cs="仿宋"/>
          <w:b w:val="0"/>
          <w:color w:val="auto"/>
          <w:highlight w:val="none"/>
          <w:shd w:val="clear" w:color="auto" w:fill="auto"/>
        </w:rPr>
      </w:pPr>
      <w:r>
        <w:rPr>
          <w:rFonts w:hint="eastAsia" w:ascii="仿宋" w:eastAsia="仿宋" w:cs="仿宋"/>
          <w:b w:val="0"/>
          <w:color w:val="auto"/>
          <w:highlight w:val="none"/>
          <w:shd w:val="clear" w:color="auto" w:fill="auto"/>
        </w:rPr>
        <w:t>质量保证和售后服务</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在遵守保管、安装、使用和运行规则的条件下，自供货之日起的24个月内，产品因制造质量不良或器件选择不当发生损坏或不能正常运行时，制造厂有责任及时为用户免费调试、修理或更换元器件；</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保修期外，制造厂有义务对产品实行有偿终身维护。无论何时，制造厂不应延误产品抢修时间；</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产品安装调试时，制造厂应根据用户要求协助指导用户对设备进行安装调试工作。</w:t>
      </w:r>
    </w:p>
    <w:p>
      <w:pPr>
        <w:pStyle w:val="84"/>
        <w:spacing w:beforeLines="0" w:afterLines="0" w:line="360" w:lineRule="auto"/>
        <w:ind w:firstLine="480"/>
        <w:outlineLvl w:val="9"/>
        <w:rPr>
          <w:rFonts w:ascii="仿宋" w:eastAsia="仿宋" w:cs="仿宋"/>
          <w:b w:val="0"/>
          <w:color w:val="auto"/>
          <w:highlight w:val="none"/>
          <w:shd w:val="clear" w:color="auto" w:fill="auto"/>
        </w:rPr>
      </w:pPr>
      <w:r>
        <w:rPr>
          <w:rFonts w:hint="eastAsia" w:ascii="仿宋" w:eastAsia="仿宋" w:cs="仿宋"/>
          <w:b w:val="0"/>
          <w:color w:val="auto"/>
          <w:highlight w:val="none"/>
          <w:shd w:val="clear" w:color="auto" w:fill="auto"/>
        </w:rPr>
        <w:t>其他要求及协议</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本条件中未涉及到的影响产品性能和质量的其他技术要求，均应符合有关的国家标准和行业标准中的规定。</w:t>
      </w:r>
    </w:p>
    <w:p>
      <w:pPr>
        <w:pStyle w:val="84"/>
        <w:spacing w:beforeLines="0" w:afterLines="0" w:line="360" w:lineRule="auto"/>
        <w:ind w:firstLine="480"/>
        <w:outlineLvl w:val="9"/>
        <w:rPr>
          <w:rFonts w:ascii="仿宋" w:eastAsia="仿宋" w:cs="仿宋"/>
          <w:b w:val="0"/>
          <w:color w:val="auto"/>
          <w:highlight w:val="none"/>
          <w:shd w:val="clear" w:color="auto" w:fill="auto"/>
        </w:rPr>
      </w:pPr>
      <w:r>
        <w:rPr>
          <w:rFonts w:hint="eastAsia" w:ascii="仿宋" w:eastAsia="仿宋" w:cs="仿宋"/>
          <w:b w:val="0"/>
          <w:color w:val="auto"/>
          <w:highlight w:val="none"/>
          <w:shd w:val="clear" w:color="auto" w:fill="auto"/>
        </w:rPr>
        <w:t>标志包装运输贮存及其他</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标志</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直流电源柜必须有铭牌，铭牌应装在柜的正面。铭牌上应标明以下内容：</w:t>
      </w:r>
    </w:p>
    <w:p>
      <w:pPr>
        <w:shd w:val="clear" w:color="auto" w:fill="FFFFFF"/>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产品名称；型号；技术参数；包括：交流输入电压（V）、直流额定电压（V）、电池额定容量（AH）；出厂编号、制造日期、制造厂名称。</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装箱资料</w:t>
      </w:r>
    </w:p>
    <w:p>
      <w:pPr>
        <w:spacing w:after="0" w:line="360" w:lineRule="auto"/>
        <w:ind w:left="420"/>
        <w:rPr>
          <w:rFonts w:cs="仿宋"/>
          <w:color w:val="auto"/>
          <w:highlight w:val="none"/>
          <w:shd w:val="clear" w:color="auto" w:fill="auto"/>
        </w:rPr>
      </w:pPr>
      <w:r>
        <w:rPr>
          <w:rFonts w:hint="eastAsia" w:cs="仿宋"/>
          <w:color w:val="auto"/>
          <w:highlight w:val="none"/>
          <w:shd w:val="clear" w:color="auto" w:fill="auto"/>
        </w:rPr>
        <w:t>随产品提供的技术资料完整无缺。</w:t>
      </w:r>
    </w:p>
    <w:p>
      <w:pPr>
        <w:adjustRightInd w:val="0"/>
        <w:snapToGrid w:val="0"/>
        <w:spacing w:after="0" w:line="360" w:lineRule="auto"/>
        <w:ind w:firstLine="480" w:firstLineChars="200"/>
        <w:textAlignment w:val="baseline"/>
        <w:rPr>
          <w:rFonts w:cs="仿宋"/>
          <w:color w:val="auto"/>
          <w:highlight w:val="none"/>
          <w:shd w:val="clear" w:color="auto" w:fill="auto"/>
        </w:rPr>
      </w:pPr>
      <w:r>
        <w:rPr>
          <w:rFonts w:hint="eastAsia" w:cs="仿宋"/>
          <w:color w:val="auto"/>
          <w:highlight w:val="none"/>
          <w:shd w:val="clear" w:color="auto" w:fill="auto"/>
        </w:rPr>
        <w:t>1）装箱资料清单；</w:t>
      </w:r>
    </w:p>
    <w:p>
      <w:pPr>
        <w:adjustRightInd w:val="0"/>
        <w:snapToGrid w:val="0"/>
        <w:spacing w:after="0" w:line="360" w:lineRule="auto"/>
        <w:ind w:firstLine="480" w:firstLineChars="200"/>
        <w:textAlignment w:val="baseline"/>
        <w:rPr>
          <w:rFonts w:cs="仿宋"/>
          <w:color w:val="auto"/>
          <w:highlight w:val="none"/>
          <w:shd w:val="clear" w:color="auto" w:fill="auto"/>
        </w:rPr>
      </w:pPr>
      <w:r>
        <w:rPr>
          <w:rFonts w:hint="eastAsia" w:cs="仿宋"/>
          <w:color w:val="auto"/>
          <w:highlight w:val="none"/>
          <w:shd w:val="clear" w:color="auto" w:fill="auto"/>
        </w:rPr>
        <w:t>2）出厂试验报告；</w:t>
      </w:r>
    </w:p>
    <w:p>
      <w:pPr>
        <w:adjustRightInd w:val="0"/>
        <w:snapToGrid w:val="0"/>
        <w:spacing w:after="0" w:line="360" w:lineRule="auto"/>
        <w:ind w:firstLine="480" w:firstLineChars="200"/>
        <w:textAlignment w:val="baseline"/>
        <w:rPr>
          <w:rFonts w:cs="仿宋"/>
          <w:color w:val="auto"/>
          <w:highlight w:val="none"/>
          <w:shd w:val="clear" w:color="auto" w:fill="auto"/>
        </w:rPr>
      </w:pPr>
      <w:r>
        <w:rPr>
          <w:rFonts w:hint="eastAsia" w:cs="仿宋"/>
          <w:color w:val="auto"/>
          <w:highlight w:val="none"/>
          <w:shd w:val="clear" w:color="auto" w:fill="auto"/>
        </w:rPr>
        <w:t>3）出厂合格证（可粘贴于柜内易查看处，装箱清单应说明位置）；</w:t>
      </w:r>
    </w:p>
    <w:p>
      <w:pPr>
        <w:adjustRightInd w:val="0"/>
        <w:snapToGrid w:val="0"/>
        <w:spacing w:after="0" w:line="360" w:lineRule="auto"/>
        <w:ind w:firstLine="480" w:firstLineChars="200"/>
        <w:textAlignment w:val="baseline"/>
        <w:rPr>
          <w:rFonts w:cs="仿宋"/>
          <w:color w:val="auto"/>
          <w:highlight w:val="none"/>
          <w:shd w:val="clear" w:color="auto" w:fill="auto"/>
        </w:rPr>
      </w:pPr>
      <w:r>
        <w:rPr>
          <w:rFonts w:hint="eastAsia" w:cs="仿宋"/>
          <w:color w:val="auto"/>
          <w:highlight w:val="none"/>
          <w:shd w:val="clear" w:color="auto" w:fill="auto"/>
        </w:rPr>
        <w:t>4）电气原理图和接线图；</w:t>
      </w:r>
    </w:p>
    <w:p>
      <w:pPr>
        <w:adjustRightInd w:val="0"/>
        <w:snapToGrid w:val="0"/>
        <w:spacing w:after="0" w:line="360" w:lineRule="auto"/>
        <w:ind w:firstLine="480" w:firstLineChars="200"/>
        <w:textAlignment w:val="baseline"/>
        <w:rPr>
          <w:rFonts w:cs="仿宋"/>
          <w:color w:val="auto"/>
          <w:highlight w:val="none"/>
          <w:shd w:val="clear" w:color="auto" w:fill="auto"/>
        </w:rPr>
      </w:pPr>
      <w:r>
        <w:rPr>
          <w:rFonts w:hint="eastAsia" w:cs="仿宋"/>
          <w:color w:val="auto"/>
          <w:highlight w:val="none"/>
          <w:shd w:val="clear" w:color="auto" w:fill="auto"/>
        </w:rPr>
        <w:t>5）安装使用说明书。</w:t>
      </w:r>
    </w:p>
    <w:p>
      <w:pPr>
        <w:spacing w:after="0" w:line="360" w:lineRule="auto"/>
        <w:ind w:left="-185" w:leftChars="-77" w:right="420" w:firstLine="597" w:firstLineChars="249"/>
        <w:rPr>
          <w:rFonts w:cs="仿宋"/>
          <w:color w:val="auto"/>
          <w:highlight w:val="none"/>
          <w:shd w:val="clear" w:color="auto" w:fill="auto"/>
        </w:rPr>
      </w:pPr>
      <w:r>
        <w:rPr>
          <w:rFonts w:hint="eastAsia" w:cs="仿宋"/>
          <w:color w:val="auto"/>
          <w:highlight w:val="none"/>
          <w:shd w:val="clear" w:color="auto" w:fill="auto"/>
        </w:rPr>
        <w:t>包装、运输和贮存</w:t>
      </w:r>
    </w:p>
    <w:p>
      <w:pPr>
        <w:spacing w:after="0" w:line="360" w:lineRule="auto"/>
        <w:ind w:left="420"/>
        <w:rPr>
          <w:rFonts w:cs="仿宋"/>
          <w:color w:val="auto"/>
          <w:highlight w:val="none"/>
          <w:shd w:val="clear" w:color="auto" w:fill="auto"/>
        </w:rPr>
      </w:pPr>
      <w:r>
        <w:rPr>
          <w:rFonts w:hint="eastAsia" w:cs="仿宋"/>
          <w:color w:val="auto"/>
          <w:highlight w:val="none"/>
          <w:shd w:val="clear" w:color="auto" w:fill="auto"/>
        </w:rPr>
        <w:t>设备制造完成并通过试验后及时包装，或者进行切实的保护，确保其不受污损。</w:t>
      </w:r>
    </w:p>
    <w:p>
      <w:pPr>
        <w:spacing w:after="0" w:line="360" w:lineRule="auto"/>
        <w:ind w:left="420"/>
        <w:rPr>
          <w:rFonts w:cs="仿宋"/>
          <w:color w:val="auto"/>
          <w:highlight w:val="none"/>
          <w:shd w:val="clear" w:color="auto" w:fill="auto"/>
        </w:rPr>
      </w:pPr>
      <w:r>
        <w:rPr>
          <w:rFonts w:hint="eastAsia" w:cs="仿宋"/>
          <w:color w:val="auto"/>
          <w:highlight w:val="none"/>
          <w:shd w:val="clear" w:color="auto" w:fill="auto"/>
        </w:rPr>
        <w:t>所有部件经妥善包装后，在运输过程中采取防护措施，以免遭到损坏、丢失、变形、受潮或腐蚀。</w:t>
      </w:r>
    </w:p>
    <w:p>
      <w:pPr>
        <w:spacing w:after="0" w:line="360" w:lineRule="auto"/>
        <w:ind w:left="420"/>
        <w:rPr>
          <w:rFonts w:cs="仿宋"/>
          <w:color w:val="auto"/>
          <w:highlight w:val="none"/>
          <w:shd w:val="clear" w:color="auto" w:fill="auto"/>
        </w:rPr>
      </w:pPr>
      <w:r>
        <w:rPr>
          <w:rFonts w:hint="eastAsia" w:cs="仿宋"/>
          <w:color w:val="auto"/>
          <w:highlight w:val="none"/>
          <w:shd w:val="clear" w:color="auto" w:fill="auto"/>
        </w:rPr>
        <w:t>在包装箱外标明买方的订货号、发货号等有关资料。</w:t>
      </w:r>
    </w:p>
    <w:p>
      <w:pPr>
        <w:spacing w:after="0" w:line="360" w:lineRule="auto"/>
        <w:ind w:left="420"/>
        <w:rPr>
          <w:rFonts w:cs="仿宋"/>
          <w:color w:val="auto"/>
          <w:highlight w:val="none"/>
          <w:shd w:val="clear" w:color="auto" w:fill="auto"/>
        </w:rPr>
      </w:pPr>
      <w:r>
        <w:rPr>
          <w:rFonts w:hint="eastAsia" w:cs="仿宋"/>
          <w:color w:val="auto"/>
          <w:highlight w:val="none"/>
          <w:shd w:val="clear" w:color="auto" w:fill="auto"/>
        </w:rPr>
        <w:t>整体产品或分别运输的部件都适合运输和装载的要求。</w:t>
      </w:r>
    </w:p>
    <w:p>
      <w:pPr>
        <w:tabs>
          <w:tab w:val="left" w:pos="3075"/>
        </w:tabs>
        <w:spacing w:after="0" w:line="360" w:lineRule="auto"/>
        <w:ind w:right="420"/>
        <w:outlineLvl w:val="0"/>
        <w:rPr>
          <w:color w:val="auto"/>
          <w:highlight w:val="none"/>
          <w:shd w:val="clear" w:color="auto" w:fill="auto"/>
        </w:rPr>
      </w:pPr>
      <w:r>
        <w:rPr>
          <w:rFonts w:hint="eastAsia" w:cs="仿宋"/>
          <w:b/>
          <w:bCs/>
          <w:color w:val="auto"/>
          <w:highlight w:val="none"/>
          <w:shd w:val="clear" w:color="auto" w:fill="auto"/>
        </w:rPr>
        <w:t>4.7.电力监控及后台</w:t>
      </w:r>
    </w:p>
    <w:p>
      <w:pPr>
        <w:pStyle w:val="85"/>
        <w:spacing w:before="0" w:beforeAutospacing="0" w:after="0" w:afterAutospacing="0" w:line="360" w:lineRule="auto"/>
        <w:ind w:firstLine="482" w:firstLineChars="200"/>
        <w:rPr>
          <w:rFonts w:ascii="仿宋" w:hAnsi="仿宋" w:eastAsia="仿宋" w:cs="仿宋"/>
          <w:color w:val="auto"/>
          <w:kern w:val="2"/>
          <w:highlight w:val="none"/>
          <w:shd w:val="clear" w:color="auto" w:fill="auto"/>
        </w:rPr>
      </w:pPr>
      <w:r>
        <w:rPr>
          <w:rFonts w:hint="eastAsia" w:ascii="仿宋" w:hAnsi="仿宋" w:eastAsia="仿宋" w:cs="仿宋"/>
          <w:b/>
          <w:bCs/>
          <w:color w:val="auto"/>
          <w:kern w:val="2"/>
          <w:highlight w:val="none"/>
          <w:shd w:val="clear" w:color="auto" w:fill="auto"/>
        </w:rPr>
        <w:t>4.7.1</w:t>
      </w:r>
      <w:r>
        <w:rPr>
          <w:rFonts w:hint="eastAsia" w:ascii="仿宋" w:hAnsi="仿宋" w:eastAsia="仿宋" w:cs="仿宋"/>
          <w:color w:val="auto"/>
          <w:kern w:val="2"/>
          <w:highlight w:val="none"/>
          <w:shd w:val="clear" w:color="auto" w:fill="auto"/>
        </w:rPr>
        <w:t>、制造商必须具有有效的ISO9000系列质量管理体系、ISO14000系列环境管理体系认证证书（处于有效期内，若证书要求附加其他资料方为继续有效的，须按要求附加其他资料），提供复印件查验；</w:t>
      </w:r>
    </w:p>
    <w:p>
      <w:pPr>
        <w:pStyle w:val="85"/>
        <w:spacing w:before="0" w:beforeAutospacing="0" w:after="0" w:afterAutospacing="0" w:line="360" w:lineRule="auto"/>
        <w:ind w:firstLine="482" w:firstLineChars="200"/>
        <w:rPr>
          <w:rFonts w:ascii="仿宋" w:hAnsi="仿宋" w:eastAsia="仿宋" w:cs="仿宋"/>
          <w:color w:val="auto"/>
          <w:kern w:val="2"/>
          <w:highlight w:val="none"/>
          <w:shd w:val="clear" w:color="auto" w:fill="auto"/>
        </w:rPr>
      </w:pPr>
      <w:r>
        <w:rPr>
          <w:rFonts w:hint="eastAsia" w:cs="仿宋"/>
          <w:b/>
          <w:bCs/>
          <w:color w:val="auto"/>
          <w:szCs w:val="21"/>
          <w:highlight w:val="none"/>
          <w:shd w:val="clear" w:color="auto" w:fill="auto"/>
        </w:rPr>
        <w:t>■</w:t>
      </w:r>
      <w:r>
        <w:rPr>
          <w:rFonts w:hint="eastAsia" w:ascii="仿宋" w:eastAsia="仿宋" w:cs="仿宋"/>
          <w:b/>
          <w:bCs/>
          <w:color w:val="auto"/>
          <w:szCs w:val="21"/>
          <w:highlight w:val="none"/>
          <w:shd w:val="clear" w:color="auto" w:fill="auto"/>
        </w:rPr>
        <w:t>4.7</w:t>
      </w:r>
      <w:r>
        <w:rPr>
          <w:rFonts w:hint="eastAsia" w:ascii="仿宋" w:hAnsi="仿宋" w:eastAsia="仿宋" w:cs="仿宋"/>
          <w:b/>
          <w:bCs/>
          <w:color w:val="auto"/>
          <w:kern w:val="2"/>
          <w:highlight w:val="none"/>
          <w:shd w:val="clear" w:color="auto" w:fill="auto"/>
        </w:rPr>
        <w:t>.2</w:t>
      </w:r>
      <w:r>
        <w:rPr>
          <w:rFonts w:hint="eastAsia" w:ascii="仿宋" w:hAnsi="仿宋" w:eastAsia="仿宋" w:cs="仿宋"/>
          <w:color w:val="auto"/>
          <w:kern w:val="2"/>
          <w:highlight w:val="none"/>
          <w:shd w:val="clear" w:color="auto" w:fill="auto"/>
        </w:rPr>
        <w:t>、制造商必须为具备本项目履约能力的在中华人民共和国境内注册的独立的企业法人且必须为具备本项目履约能力的在中华人民共和国境内注册的独立的企业法人且必须是具备中国电子信息行业联合会颁发的信息系统集成及服务资质二级或以上等级资质，需具备信息系统运行维护分项资质三级或以上等级资质，可在国家工业和信息化部官方网站上查询；委派的项目经理必须具备国家信息产业部颁发的计算机信息系统集成项目经理证书；制造商所提供软件产品必须具备中华人民共和国国家版板局颁发的计算机软件著作权登记证书，原件待查。</w:t>
      </w:r>
    </w:p>
    <w:p>
      <w:pPr>
        <w:pStyle w:val="85"/>
        <w:spacing w:before="0" w:beforeAutospacing="0" w:after="0" w:afterAutospacing="0" w:line="360" w:lineRule="auto"/>
        <w:ind w:firstLine="482" w:firstLineChars="200"/>
        <w:rPr>
          <w:rFonts w:ascii="仿宋" w:hAnsi="仿宋" w:eastAsia="仿宋" w:cs="仿宋"/>
          <w:color w:val="auto"/>
          <w:kern w:val="2"/>
          <w:highlight w:val="none"/>
          <w:shd w:val="clear" w:color="auto" w:fill="auto"/>
        </w:rPr>
      </w:pPr>
      <w:r>
        <w:rPr>
          <w:rFonts w:hint="eastAsia" w:cs="仿宋"/>
          <w:b/>
          <w:bCs/>
          <w:color w:val="auto"/>
          <w:szCs w:val="21"/>
          <w:highlight w:val="none"/>
          <w:shd w:val="clear" w:color="auto" w:fill="auto"/>
        </w:rPr>
        <w:t>■</w:t>
      </w:r>
      <w:r>
        <w:rPr>
          <w:rFonts w:hint="eastAsia" w:ascii="仿宋" w:eastAsia="仿宋" w:cs="仿宋"/>
          <w:b/>
          <w:bCs/>
          <w:color w:val="auto"/>
          <w:szCs w:val="21"/>
          <w:highlight w:val="none"/>
          <w:shd w:val="clear" w:color="auto" w:fill="auto"/>
        </w:rPr>
        <w:t>4.7</w:t>
      </w:r>
      <w:r>
        <w:rPr>
          <w:rFonts w:hint="eastAsia" w:ascii="仿宋" w:hAnsi="仿宋" w:eastAsia="仿宋" w:cs="仿宋"/>
          <w:b/>
          <w:bCs/>
          <w:color w:val="auto"/>
          <w:kern w:val="2"/>
          <w:highlight w:val="none"/>
          <w:shd w:val="clear" w:color="auto" w:fill="auto"/>
        </w:rPr>
        <w:t>.</w:t>
      </w:r>
      <w:r>
        <w:rPr>
          <w:rFonts w:hint="eastAsia" w:ascii="仿宋" w:hAnsi="仿宋" w:eastAsia="仿宋" w:cs="仿宋"/>
          <w:color w:val="auto"/>
          <w:kern w:val="2"/>
          <w:highlight w:val="none"/>
          <w:shd w:val="clear" w:color="auto" w:fill="auto"/>
        </w:rPr>
        <w:t>3、制造商必须具有CMMI5级认证资质；</w:t>
      </w:r>
    </w:p>
    <w:p>
      <w:pPr>
        <w:spacing w:after="0" w:line="360" w:lineRule="auto"/>
        <w:ind w:firstLine="482" w:firstLineChars="200"/>
        <w:rPr>
          <w:rFonts w:cs="仿宋"/>
          <w:color w:val="auto"/>
          <w:highlight w:val="none"/>
          <w:shd w:val="clear" w:color="auto" w:fill="auto"/>
        </w:rPr>
      </w:pPr>
      <w:r>
        <w:rPr>
          <w:rFonts w:hint="eastAsia" w:cs="仿宋"/>
          <w:b/>
          <w:bCs/>
          <w:color w:val="auto"/>
          <w:szCs w:val="21"/>
          <w:highlight w:val="none"/>
          <w:shd w:val="clear" w:color="auto" w:fill="auto"/>
        </w:rPr>
        <w:t>4.7.4</w:t>
      </w:r>
      <w:r>
        <w:rPr>
          <w:rFonts w:hint="eastAsia" w:cs="仿宋"/>
          <w:color w:val="auto"/>
          <w:highlight w:val="none"/>
          <w:shd w:val="clear" w:color="auto" w:fill="auto"/>
        </w:rPr>
        <w:t>、为保证电力监控系统完整性，高、低压柜内所有保护装置和通讯层智能通讯管理机、多功能电表需与电力监控系统为同一品牌。</w:t>
      </w:r>
    </w:p>
    <w:p>
      <w:pPr>
        <w:spacing w:after="0" w:line="360" w:lineRule="auto"/>
        <w:ind w:firstLine="482" w:firstLineChars="200"/>
        <w:rPr>
          <w:rFonts w:cs="仿宋"/>
          <w:color w:val="auto"/>
          <w:highlight w:val="none"/>
          <w:shd w:val="clear" w:color="auto" w:fill="auto"/>
        </w:rPr>
      </w:pPr>
      <w:r>
        <w:rPr>
          <w:rFonts w:hint="eastAsia" w:cs="仿宋"/>
          <w:b/>
          <w:bCs/>
          <w:color w:val="auto"/>
          <w:szCs w:val="21"/>
          <w:highlight w:val="none"/>
          <w:shd w:val="clear" w:color="auto" w:fill="auto"/>
        </w:rPr>
        <w:t>■4.7.5</w:t>
      </w:r>
      <w:r>
        <w:rPr>
          <w:rFonts w:hint="eastAsia" w:cs="仿宋"/>
          <w:color w:val="auto"/>
          <w:highlight w:val="none"/>
          <w:shd w:val="clear" w:color="auto" w:fill="auto"/>
        </w:rPr>
        <w:t>厂家需提供相关继电保护检测报告（电科院或国家继电器检测中心开普实验室），投标人不得混装。</w:t>
      </w:r>
    </w:p>
    <w:p>
      <w:pPr>
        <w:autoSpaceDE w:val="0"/>
        <w:autoSpaceDN w:val="0"/>
        <w:adjustRightIn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（1）智能通信管理机</w:t>
      </w:r>
    </w:p>
    <w:p>
      <w:pPr>
        <w:spacing w:after="0" w:line="360" w:lineRule="auto"/>
        <w:ind w:firstLine="465" w:firstLineChars="194"/>
        <w:rPr>
          <w:rFonts w:cs="仿宋"/>
          <w:color w:val="auto"/>
          <w:highlight w:val="none"/>
          <w:shd w:val="clear" w:color="auto" w:fill="auto"/>
        </w:rPr>
      </w:pPr>
      <w:r>
        <w:rPr>
          <w:rFonts w:hint="eastAsia" w:cs="仿宋"/>
          <w:color w:val="auto"/>
          <w:highlight w:val="none"/>
          <w:shd w:val="clear" w:color="auto" w:fill="auto"/>
        </w:rPr>
        <w:t>1）采用自有品牌的通信管理机。</w:t>
      </w:r>
    </w:p>
    <w:p>
      <w:pPr>
        <w:spacing w:after="0" w:line="360" w:lineRule="auto"/>
        <w:ind w:firstLine="465" w:firstLineChars="194"/>
        <w:rPr>
          <w:rFonts w:cs="仿宋"/>
          <w:color w:val="auto"/>
          <w:highlight w:val="none"/>
          <w:shd w:val="clear" w:color="auto" w:fill="auto"/>
        </w:rPr>
      </w:pPr>
      <w:r>
        <w:rPr>
          <w:rFonts w:hint="eastAsia" w:cs="仿宋"/>
          <w:color w:val="auto"/>
          <w:highlight w:val="none"/>
          <w:shd w:val="clear" w:color="auto" w:fill="auto"/>
        </w:rPr>
        <w:t>2）应具有强大的通信和数据处理能力，为后台管理系统、保护装置、多功能仪表等各种智能设备提供接口和协议的转换以及数据处理功能，实现不同系统的数据的透明传输。</w:t>
      </w:r>
    </w:p>
    <w:p>
      <w:pPr>
        <w:spacing w:after="0" w:line="360" w:lineRule="auto"/>
        <w:ind w:firstLine="465" w:firstLineChars="194"/>
        <w:rPr>
          <w:rFonts w:cs="仿宋"/>
          <w:color w:val="auto"/>
          <w:highlight w:val="none"/>
          <w:shd w:val="clear" w:color="auto" w:fill="auto"/>
        </w:rPr>
      </w:pPr>
      <w:r>
        <w:rPr>
          <w:rFonts w:hint="eastAsia" w:cs="仿宋"/>
          <w:color w:val="auto"/>
          <w:highlight w:val="none"/>
          <w:shd w:val="clear" w:color="auto" w:fill="auto"/>
        </w:rPr>
        <w:t>3）具有良好的开放性，除了支持Modbus、IEC 61850、IEC 60870-5-103、IEC 60870-5-101、IEC 60870-5-104、Modbus TCP/IP等标准规约外，还可根据第三方提供的规约文本开发新规约，兼容第三方设备。</w:t>
      </w:r>
    </w:p>
    <w:p>
      <w:pPr>
        <w:spacing w:after="0" w:line="360" w:lineRule="auto"/>
        <w:ind w:firstLine="439" w:firstLineChars="183"/>
        <w:rPr>
          <w:rFonts w:cs="仿宋"/>
          <w:color w:val="auto"/>
          <w:highlight w:val="none"/>
          <w:shd w:val="clear" w:color="auto" w:fill="auto"/>
        </w:rPr>
      </w:pPr>
      <w:r>
        <w:rPr>
          <w:rFonts w:hint="eastAsia" w:cs="仿宋"/>
          <w:color w:val="auto"/>
          <w:highlight w:val="none"/>
          <w:shd w:val="clear" w:color="auto" w:fill="auto"/>
        </w:rPr>
        <w:t>通信管理机应实时性强、可靠性高。</w:t>
      </w:r>
    </w:p>
    <w:p>
      <w:pPr>
        <w:spacing w:after="0" w:line="360" w:lineRule="auto"/>
        <w:ind w:firstLine="465" w:firstLineChars="194"/>
        <w:rPr>
          <w:rFonts w:cs="仿宋"/>
          <w:color w:val="auto"/>
          <w:highlight w:val="none"/>
          <w:shd w:val="clear" w:color="auto" w:fill="auto"/>
        </w:rPr>
      </w:pPr>
      <w:r>
        <w:rPr>
          <w:rFonts w:hint="eastAsia" w:cs="仿宋"/>
          <w:color w:val="auto"/>
          <w:highlight w:val="none"/>
          <w:shd w:val="clear" w:color="auto" w:fill="auto"/>
        </w:rPr>
        <w:t>4）可存储从底层设备读取的实时数据、历史数据、SOE及波形记录等信息，存储容量不低于16G，数据掉电不丢失。</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5）提供基于Web的状态监视和维护功能，可利用Web功能整定，通过浏览器对设备进行诊断、维护及参数下载。支持在线对智能通信管理机的配置文件进行备份和更新。提供基于Web的状态监视和维护功能。可提供离线配置功能，将配置后的生成文件导入装置即可完成整定，不受现场环境影响。</w:t>
      </w:r>
    </w:p>
    <w:p>
      <w:pPr>
        <w:spacing w:after="0" w:line="360" w:lineRule="auto"/>
        <w:ind w:firstLine="465" w:firstLineChars="194"/>
        <w:rPr>
          <w:rFonts w:cs="仿宋"/>
          <w:color w:val="auto"/>
          <w:highlight w:val="none"/>
          <w:shd w:val="clear" w:color="auto" w:fill="auto"/>
        </w:rPr>
      </w:pPr>
      <w:r>
        <w:rPr>
          <w:rFonts w:hint="eastAsia" w:cs="仿宋"/>
          <w:color w:val="auto"/>
          <w:highlight w:val="none"/>
          <w:shd w:val="clear" w:color="auto" w:fill="auto"/>
        </w:rPr>
        <w:t>6）支持多通讯口，可根据现场需要选择，应可选以太网口(光口、电口)；支持通信链路的冗余，支持光纤通讯。</w:t>
      </w:r>
    </w:p>
    <w:p>
      <w:pPr>
        <w:spacing w:after="0" w:line="360" w:lineRule="auto"/>
        <w:ind w:firstLine="465" w:firstLineChars="194"/>
        <w:rPr>
          <w:rFonts w:cs="仿宋"/>
          <w:color w:val="auto"/>
          <w:highlight w:val="none"/>
          <w:shd w:val="clear" w:color="auto" w:fill="auto"/>
        </w:rPr>
      </w:pPr>
      <w:r>
        <w:rPr>
          <w:rFonts w:hint="eastAsia" w:cs="仿宋"/>
          <w:color w:val="auto"/>
          <w:highlight w:val="none"/>
          <w:shd w:val="clear" w:color="auto" w:fill="auto"/>
        </w:rPr>
        <w:t>7）应具备在强电磁场干扰、高湿度、高粉尘、腐蚀性气体等环境下正常工作的性能。全金属机身，密封设计，电磁兼容性能应不低于EMC4级，防护性能等级应不低于IP52。</w:t>
      </w:r>
    </w:p>
    <w:p>
      <w:pPr>
        <w:spacing w:after="0" w:line="360" w:lineRule="auto"/>
        <w:ind w:firstLine="465" w:firstLineChars="194"/>
        <w:rPr>
          <w:rFonts w:cs="仿宋"/>
          <w:color w:val="auto"/>
          <w:highlight w:val="none"/>
          <w:shd w:val="clear" w:color="auto" w:fill="auto"/>
        </w:rPr>
      </w:pPr>
      <w:r>
        <w:rPr>
          <w:rFonts w:hint="eastAsia" w:cs="仿宋"/>
          <w:color w:val="auto"/>
          <w:highlight w:val="none"/>
          <w:shd w:val="clear" w:color="auto" w:fill="auto"/>
        </w:rPr>
        <w:t>8）对时功能：支持GPS、内部时钟、SNTP三种时钟源，内部时钟走时精度误差小于0.5秒/天。</w:t>
      </w:r>
    </w:p>
    <w:p>
      <w:pPr>
        <w:spacing w:after="0" w:line="360" w:lineRule="auto"/>
        <w:ind w:firstLine="348" w:firstLineChars="145"/>
        <w:rPr>
          <w:rFonts w:cs="仿宋"/>
          <w:color w:val="auto"/>
          <w:highlight w:val="none"/>
          <w:shd w:val="clear" w:color="auto" w:fill="auto"/>
        </w:rPr>
      </w:pPr>
      <w:r>
        <w:rPr>
          <w:rFonts w:hint="eastAsia" w:cs="仿宋"/>
          <w:color w:val="auto"/>
          <w:highlight w:val="none"/>
          <w:shd w:val="clear" w:color="auto" w:fill="auto"/>
        </w:rPr>
        <w:t>9）扩展性能：支持多台通信管理机级联，方便系统扩容。</w:t>
      </w:r>
    </w:p>
    <w:p>
      <w:pPr>
        <w:spacing w:after="0" w:line="360" w:lineRule="auto"/>
        <w:ind w:firstLine="348" w:firstLineChars="145"/>
        <w:rPr>
          <w:rFonts w:cs="仿宋"/>
          <w:color w:val="auto"/>
          <w:highlight w:val="none"/>
          <w:shd w:val="clear" w:color="auto" w:fill="auto"/>
        </w:rPr>
      </w:pPr>
      <w:r>
        <w:rPr>
          <w:rFonts w:hint="eastAsia" w:cs="仿宋"/>
          <w:color w:val="auto"/>
          <w:highlight w:val="none"/>
          <w:shd w:val="clear" w:color="auto" w:fill="auto"/>
        </w:rPr>
        <w:t>10）质量保证</w:t>
      </w:r>
    </w:p>
    <w:p>
      <w:pPr>
        <w:spacing w:after="0" w:line="360" w:lineRule="auto"/>
        <w:ind w:firstLine="348" w:firstLineChars="145"/>
        <w:rPr>
          <w:rFonts w:cs="仿宋"/>
          <w:color w:val="auto"/>
          <w:highlight w:val="none"/>
          <w:shd w:val="clear" w:color="auto" w:fill="auto"/>
        </w:rPr>
      </w:pPr>
      <w:r>
        <w:rPr>
          <w:rFonts w:hint="eastAsia" w:cs="仿宋"/>
          <w:color w:val="auto"/>
          <w:highlight w:val="none"/>
          <w:shd w:val="clear" w:color="auto" w:fill="auto"/>
        </w:rPr>
        <w:t>①智能通信管理机设计使用寿命应不低于15年。</w:t>
      </w:r>
    </w:p>
    <w:p>
      <w:pPr>
        <w:spacing w:after="0" w:line="360" w:lineRule="auto"/>
        <w:ind w:firstLine="348" w:firstLineChars="145"/>
        <w:rPr>
          <w:rFonts w:cs="仿宋"/>
          <w:color w:val="auto"/>
          <w:highlight w:val="none"/>
          <w:shd w:val="clear" w:color="auto" w:fill="auto"/>
        </w:rPr>
      </w:pPr>
      <w:r>
        <w:rPr>
          <w:rFonts w:hint="eastAsia" w:cs="仿宋"/>
          <w:color w:val="auto"/>
          <w:highlight w:val="none"/>
          <w:shd w:val="clear" w:color="auto" w:fill="auto"/>
        </w:rPr>
        <w:t>②智能通信管理机应提供不低于10年质量保证，质保期内因智能通信管理机本身质量问题造成故障提供免费维修或者更换。</w:t>
      </w:r>
    </w:p>
    <w:p>
      <w:pPr>
        <w:autoSpaceDE w:val="0"/>
        <w:autoSpaceDN w:val="0"/>
        <w:adjustRightInd w:val="0"/>
        <w:spacing w:after="0" w:line="360" w:lineRule="auto"/>
        <w:ind w:firstLine="240" w:firstLineChars="100"/>
        <w:rPr>
          <w:rFonts w:cs="仿宋"/>
          <w:color w:val="auto"/>
          <w:highlight w:val="none"/>
          <w:shd w:val="clear" w:color="auto" w:fill="auto"/>
        </w:rPr>
      </w:pPr>
      <w:r>
        <w:rPr>
          <w:rFonts w:hint="eastAsia" w:cs="仿宋"/>
          <w:color w:val="auto"/>
          <w:highlight w:val="none"/>
          <w:shd w:val="clear" w:color="auto" w:fill="auto"/>
        </w:rPr>
        <w:t>（2）交换机。</w:t>
      </w:r>
    </w:p>
    <w:p>
      <w:pPr>
        <w:autoSpaceDE w:val="0"/>
        <w:autoSpaceDN w:val="0"/>
        <w:adjustRightInd w:val="0"/>
        <w:spacing w:after="0" w:line="360" w:lineRule="auto"/>
        <w:ind w:firstLine="240" w:firstLineChars="100"/>
        <w:rPr>
          <w:rFonts w:cs="仿宋"/>
          <w:color w:val="auto"/>
          <w:highlight w:val="none"/>
          <w:shd w:val="clear" w:color="auto" w:fill="auto"/>
        </w:rPr>
      </w:pPr>
      <w:r>
        <w:rPr>
          <w:rFonts w:hint="eastAsia" w:cs="仿宋"/>
          <w:color w:val="auto"/>
          <w:highlight w:val="none"/>
          <w:shd w:val="clear" w:color="auto" w:fill="auto"/>
        </w:rPr>
        <w:t>1）工业光纤环网交换机。因分站与主站之间的组网方式为光纤环网，故应使用专用的环网交换机。</w:t>
      </w:r>
    </w:p>
    <w:p>
      <w:pPr>
        <w:autoSpaceDE w:val="0"/>
        <w:autoSpaceDN w:val="0"/>
        <w:adjustRightInd w:val="0"/>
        <w:spacing w:after="0" w:line="360" w:lineRule="auto"/>
        <w:ind w:firstLine="240" w:firstLineChars="100"/>
        <w:rPr>
          <w:rFonts w:cs="仿宋"/>
          <w:color w:val="auto"/>
          <w:highlight w:val="none"/>
          <w:shd w:val="clear" w:color="auto" w:fill="auto"/>
        </w:rPr>
      </w:pPr>
      <w:r>
        <w:rPr>
          <w:rFonts w:hint="eastAsia" w:cs="仿宋"/>
          <w:color w:val="auto"/>
          <w:highlight w:val="none"/>
          <w:shd w:val="clear" w:color="auto" w:fill="auto"/>
        </w:rPr>
        <w:t>①工业光纤环网交换机需为无风扇式超薄设计，高强度合金外壳，需满足工业环境应用高可靠性需求。</w:t>
      </w:r>
    </w:p>
    <w:p>
      <w:pPr>
        <w:autoSpaceDE w:val="0"/>
        <w:autoSpaceDN w:val="0"/>
        <w:adjustRightInd w:val="0"/>
        <w:spacing w:after="0" w:line="360" w:lineRule="auto"/>
        <w:ind w:firstLine="240" w:firstLineChars="100"/>
        <w:rPr>
          <w:rFonts w:cs="仿宋"/>
          <w:color w:val="auto"/>
          <w:highlight w:val="none"/>
          <w:shd w:val="clear" w:color="auto" w:fill="auto"/>
        </w:rPr>
      </w:pPr>
      <w:r>
        <w:rPr>
          <w:rFonts w:hint="eastAsia" w:cs="仿宋"/>
          <w:color w:val="auto"/>
          <w:highlight w:val="none"/>
          <w:shd w:val="clear" w:color="auto" w:fill="auto"/>
        </w:rPr>
        <w:t>②至少8个以太网端口。</w:t>
      </w:r>
    </w:p>
    <w:p>
      <w:pPr>
        <w:autoSpaceDE w:val="0"/>
        <w:autoSpaceDN w:val="0"/>
        <w:adjustRightInd w:val="0"/>
        <w:spacing w:after="0" w:line="360" w:lineRule="auto"/>
        <w:ind w:firstLine="240" w:firstLineChars="100"/>
        <w:rPr>
          <w:rFonts w:cs="仿宋"/>
          <w:color w:val="auto"/>
          <w:highlight w:val="none"/>
          <w:shd w:val="clear" w:color="auto" w:fill="auto"/>
        </w:rPr>
      </w:pPr>
      <w:r>
        <w:rPr>
          <w:rFonts w:hint="eastAsia" w:cs="仿宋"/>
          <w:color w:val="auto"/>
          <w:highlight w:val="none"/>
          <w:shd w:val="clear" w:color="auto" w:fill="auto"/>
        </w:rPr>
        <w:t>③需支持静态IGMP多播过滤。</w:t>
      </w:r>
    </w:p>
    <w:p>
      <w:pPr>
        <w:autoSpaceDE w:val="0"/>
        <w:autoSpaceDN w:val="0"/>
        <w:adjustRightInd w:val="0"/>
        <w:spacing w:after="0" w:line="360" w:lineRule="auto"/>
        <w:ind w:firstLine="240" w:firstLineChars="100"/>
        <w:rPr>
          <w:rFonts w:cs="仿宋"/>
          <w:color w:val="auto"/>
          <w:highlight w:val="none"/>
          <w:shd w:val="clear" w:color="auto" w:fill="auto"/>
        </w:rPr>
      </w:pPr>
      <w:r>
        <w:rPr>
          <w:rFonts w:hint="eastAsia" w:cs="仿宋"/>
          <w:color w:val="auto"/>
          <w:highlight w:val="none"/>
          <w:shd w:val="clear" w:color="auto" w:fill="auto"/>
        </w:rPr>
        <w:t>④需支持端口聚合、端口镜像。</w:t>
      </w:r>
    </w:p>
    <w:p>
      <w:pPr>
        <w:autoSpaceDE w:val="0"/>
        <w:autoSpaceDN w:val="0"/>
        <w:adjustRightInd w:val="0"/>
        <w:spacing w:after="0" w:line="360" w:lineRule="auto"/>
        <w:ind w:firstLine="240" w:firstLineChars="100"/>
        <w:rPr>
          <w:rFonts w:cs="仿宋"/>
          <w:color w:val="auto"/>
          <w:highlight w:val="none"/>
          <w:shd w:val="clear" w:color="auto" w:fill="auto"/>
        </w:rPr>
      </w:pPr>
      <w:r>
        <w:rPr>
          <w:rFonts w:hint="eastAsia" w:cs="仿宋"/>
          <w:color w:val="auto"/>
          <w:highlight w:val="none"/>
          <w:shd w:val="clear" w:color="auto" w:fill="auto"/>
        </w:rPr>
        <w:t>⑤需支持端口设置、端口带宽限制、端口流量控制及端口优先级。</w:t>
      </w:r>
    </w:p>
    <w:p>
      <w:pPr>
        <w:autoSpaceDE w:val="0"/>
        <w:autoSpaceDN w:val="0"/>
        <w:adjustRightInd w:val="0"/>
        <w:spacing w:after="0" w:line="360" w:lineRule="auto"/>
        <w:ind w:firstLine="240" w:firstLineChars="100"/>
        <w:rPr>
          <w:rFonts w:cs="仿宋"/>
          <w:color w:val="auto"/>
          <w:highlight w:val="none"/>
          <w:shd w:val="clear" w:color="auto" w:fill="auto"/>
        </w:rPr>
      </w:pPr>
      <w:r>
        <w:rPr>
          <w:rFonts w:hint="eastAsia" w:cs="仿宋"/>
          <w:color w:val="auto"/>
          <w:highlight w:val="none"/>
          <w:shd w:val="clear" w:color="auto" w:fill="auto"/>
        </w:rPr>
        <w:t>⑥需支持多功能的全局网管/单机网管命令。</w:t>
      </w:r>
    </w:p>
    <w:p>
      <w:pPr>
        <w:autoSpaceDE w:val="0"/>
        <w:autoSpaceDN w:val="0"/>
        <w:adjustRightInd w:val="0"/>
        <w:spacing w:after="0" w:line="360" w:lineRule="auto"/>
        <w:ind w:firstLine="240" w:firstLineChars="100"/>
        <w:rPr>
          <w:rFonts w:cs="仿宋"/>
          <w:color w:val="auto"/>
          <w:highlight w:val="none"/>
          <w:shd w:val="clear" w:color="auto" w:fill="auto"/>
        </w:rPr>
      </w:pPr>
      <w:r>
        <w:rPr>
          <w:rFonts w:hint="eastAsia" w:cs="仿宋"/>
          <w:color w:val="auto"/>
          <w:highlight w:val="none"/>
          <w:shd w:val="clear" w:color="auto" w:fill="auto"/>
        </w:rPr>
        <w:t>（3）通讯机柜。</w:t>
      </w:r>
    </w:p>
    <w:p>
      <w:pPr>
        <w:spacing w:after="0" w:line="360" w:lineRule="auto"/>
        <w:ind w:firstLine="360" w:firstLineChars="150"/>
        <w:rPr>
          <w:rFonts w:cs="仿宋"/>
          <w:color w:val="auto"/>
          <w:highlight w:val="none"/>
          <w:shd w:val="clear" w:color="auto" w:fill="auto"/>
        </w:rPr>
      </w:pPr>
      <w:r>
        <w:rPr>
          <w:rFonts w:hint="eastAsia" w:cs="仿宋"/>
          <w:color w:val="auto"/>
          <w:highlight w:val="none"/>
          <w:shd w:val="clear" w:color="auto" w:fill="auto"/>
        </w:rPr>
        <w:t>1）每个变电所内配置1面通讯机柜，尺寸及颜色与开关柜保持一致。用于放置通讯管理机、交换机、光纤转换机等设备。</w:t>
      </w:r>
    </w:p>
    <w:p>
      <w:pPr>
        <w:spacing w:after="0" w:line="360" w:lineRule="auto"/>
        <w:ind w:firstLine="360" w:firstLineChars="150"/>
        <w:rPr>
          <w:rFonts w:cs="仿宋"/>
          <w:color w:val="auto"/>
          <w:highlight w:val="none"/>
          <w:shd w:val="clear" w:color="auto" w:fill="auto"/>
        </w:rPr>
      </w:pPr>
      <w:r>
        <w:rPr>
          <w:rFonts w:hint="eastAsia" w:cs="仿宋"/>
          <w:color w:val="auto"/>
          <w:highlight w:val="none"/>
          <w:shd w:val="clear" w:color="auto" w:fill="auto"/>
        </w:rPr>
        <w:t>（4）通讯介质。</w:t>
      </w:r>
    </w:p>
    <w:p>
      <w:pPr>
        <w:spacing w:after="0" w:line="360" w:lineRule="auto"/>
        <w:ind w:firstLine="360" w:firstLineChars="150"/>
        <w:rPr>
          <w:rFonts w:cs="仿宋"/>
          <w:color w:val="auto"/>
          <w:highlight w:val="none"/>
          <w:shd w:val="clear" w:color="auto" w:fill="auto"/>
        </w:rPr>
      </w:pPr>
      <w:r>
        <w:rPr>
          <w:rFonts w:hint="eastAsia" w:cs="仿宋"/>
          <w:color w:val="auto"/>
          <w:highlight w:val="none"/>
          <w:shd w:val="clear" w:color="auto" w:fill="auto"/>
        </w:rPr>
        <w:t>1）变电所与变电所、变电所与主控室之间采用综合布线系统预留给电力监控系统的专用接口。</w:t>
      </w:r>
    </w:p>
    <w:p>
      <w:pPr>
        <w:spacing w:after="0" w:line="360" w:lineRule="auto"/>
        <w:rPr>
          <w:rFonts w:cs="仿宋"/>
          <w:color w:val="auto"/>
          <w:highlight w:val="none"/>
          <w:shd w:val="clear" w:color="auto" w:fill="auto"/>
        </w:rPr>
      </w:pPr>
      <w:r>
        <w:rPr>
          <w:rFonts w:hint="eastAsia" w:cs="仿宋"/>
          <w:color w:val="auto"/>
          <w:highlight w:val="none"/>
          <w:shd w:val="clear" w:color="auto" w:fill="auto"/>
        </w:rPr>
        <w:t xml:space="preserve">  2）其它智能装置与通讯管理机之间采用2芯屏蔽双绞线。</w:t>
      </w:r>
    </w:p>
    <w:p>
      <w:pPr>
        <w:spacing w:after="0" w:line="360" w:lineRule="auto"/>
        <w:rPr>
          <w:rFonts w:cs="仿宋"/>
          <w:color w:val="auto"/>
          <w:highlight w:val="none"/>
          <w:shd w:val="clear" w:color="auto" w:fill="auto"/>
        </w:rPr>
      </w:pPr>
      <w:r>
        <w:rPr>
          <w:rFonts w:hint="eastAsia" w:cs="仿宋"/>
          <w:color w:val="auto"/>
          <w:highlight w:val="none"/>
          <w:shd w:val="clear" w:color="auto" w:fill="auto"/>
        </w:rPr>
        <w:t xml:space="preserve">  3）通讯管理机与各变电所监控主机、交换机与通讯管理机之间连接采用网络五类线。</w:t>
      </w:r>
    </w:p>
    <w:p>
      <w:pPr>
        <w:tabs>
          <w:tab w:val="left" w:pos="0"/>
        </w:tabs>
        <w:spacing w:after="0" w:line="360" w:lineRule="auto"/>
        <w:ind w:firstLine="482" w:firstLineChars="200"/>
        <w:outlineLvl w:val="1"/>
        <w:rPr>
          <w:rFonts w:cs="仿宋"/>
          <w:b/>
          <w:bCs/>
          <w:color w:val="auto"/>
          <w:highlight w:val="none"/>
          <w:shd w:val="clear" w:color="auto" w:fill="auto"/>
        </w:rPr>
      </w:pPr>
      <w:r>
        <w:rPr>
          <w:rFonts w:hint="eastAsia" w:cs="仿宋"/>
          <w:b/>
          <w:bCs/>
          <w:color w:val="auto"/>
          <w:highlight w:val="none"/>
          <w:shd w:val="clear" w:color="auto" w:fill="auto"/>
        </w:rPr>
        <w:t>4.7.6电力监控系统软件要求</w:t>
      </w:r>
    </w:p>
    <w:p>
      <w:pPr>
        <w:spacing w:after="0" w:line="360" w:lineRule="auto"/>
        <w:ind w:firstLine="482" w:firstLineChars="200"/>
        <w:rPr>
          <w:rFonts w:cs="仿宋"/>
          <w:b/>
          <w:bCs/>
          <w:color w:val="auto"/>
          <w:highlight w:val="none"/>
          <w:shd w:val="clear" w:color="auto" w:fill="auto"/>
        </w:rPr>
      </w:pPr>
      <w:r>
        <w:rPr>
          <w:rFonts w:hint="eastAsia" w:cs="仿宋"/>
          <w:b/>
          <w:bCs/>
          <w:color w:val="auto"/>
          <w:highlight w:val="none"/>
          <w:shd w:val="clear" w:color="auto" w:fill="auto"/>
        </w:rPr>
        <w:t>（1）总体要求</w:t>
      </w:r>
    </w:p>
    <w:p>
      <w:pPr>
        <w:pStyle w:val="50"/>
        <w:snapToGrid w:val="0"/>
        <w:spacing w:after="0" w:line="360" w:lineRule="auto"/>
        <w:ind w:left="0" w:firstLine="480" w:firstLineChars="200"/>
        <w:rPr>
          <w:rFonts w:cs="仿宋"/>
          <w:color w:val="auto"/>
          <w:highlight w:val="none"/>
          <w:shd w:val="clear" w:color="auto" w:fill="auto"/>
        </w:rPr>
      </w:pPr>
      <w:r>
        <w:rPr>
          <w:rFonts w:hint="eastAsia" w:cs="仿宋"/>
          <w:color w:val="auto"/>
          <w:highlight w:val="none"/>
          <w:shd w:val="clear" w:color="auto" w:fill="auto"/>
        </w:rPr>
        <w:t>1）系统扩展性和接入能力强，系统兼容性和集成开发能力，保证各第三方系统对接数据传输和存储的可靠。</w:t>
      </w:r>
    </w:p>
    <w:p>
      <w:pPr>
        <w:pStyle w:val="50"/>
        <w:snapToGrid w:val="0"/>
        <w:spacing w:after="0" w:line="360" w:lineRule="auto"/>
        <w:ind w:left="0" w:firstLine="480" w:firstLineChars="200"/>
        <w:rPr>
          <w:rFonts w:cs="仿宋"/>
          <w:color w:val="auto"/>
          <w:highlight w:val="none"/>
          <w:shd w:val="clear" w:color="auto" w:fill="auto"/>
        </w:rPr>
      </w:pPr>
      <w:r>
        <w:rPr>
          <w:rFonts w:hint="eastAsia" w:cs="仿宋"/>
          <w:color w:val="auto"/>
          <w:highlight w:val="none"/>
          <w:shd w:val="clear" w:color="auto" w:fill="auto"/>
        </w:rPr>
        <w:t>2）完全自主开发的软件，要求获得相关的软件著作权证书。</w:t>
      </w:r>
    </w:p>
    <w:p>
      <w:pPr>
        <w:pStyle w:val="50"/>
        <w:snapToGrid w:val="0"/>
        <w:spacing w:after="0" w:line="360" w:lineRule="auto"/>
        <w:ind w:left="0" w:firstLine="480" w:firstLineChars="200"/>
        <w:rPr>
          <w:rFonts w:cs="仿宋"/>
          <w:color w:val="auto"/>
          <w:highlight w:val="none"/>
          <w:shd w:val="clear" w:color="auto" w:fill="auto"/>
        </w:rPr>
      </w:pPr>
      <w:r>
        <w:rPr>
          <w:rFonts w:hint="eastAsia" w:cs="仿宋"/>
          <w:color w:val="auto"/>
          <w:highlight w:val="none"/>
          <w:shd w:val="clear" w:color="auto" w:fill="auto"/>
        </w:rPr>
        <w:t>3）电力监控系统应用软件必须是现场验证过稳定的软件，且须使用专业的变配电监控软件，不接受组态软件，该软件须有等同或大于本项目规模的项目的实际运行经验。</w:t>
      </w:r>
    </w:p>
    <w:p>
      <w:pPr>
        <w:pStyle w:val="50"/>
        <w:snapToGrid w:val="0"/>
        <w:spacing w:after="0" w:line="360" w:lineRule="auto"/>
        <w:ind w:left="0" w:firstLine="480" w:firstLineChars="200"/>
        <w:rPr>
          <w:rFonts w:cs="仿宋"/>
          <w:color w:val="auto"/>
          <w:highlight w:val="none"/>
          <w:shd w:val="clear" w:color="auto" w:fill="auto"/>
        </w:rPr>
      </w:pPr>
      <w:r>
        <w:rPr>
          <w:rFonts w:hint="eastAsia" w:cs="仿宋"/>
          <w:color w:val="auto"/>
          <w:highlight w:val="none"/>
          <w:shd w:val="clear" w:color="auto" w:fill="auto"/>
        </w:rPr>
        <w:t>4）系统支持物业日常运行管理页面，可实时发布管理信息。</w:t>
      </w:r>
    </w:p>
    <w:p>
      <w:pPr>
        <w:pStyle w:val="50"/>
        <w:snapToGrid w:val="0"/>
        <w:spacing w:after="0" w:line="360" w:lineRule="auto"/>
        <w:ind w:left="0" w:firstLine="480" w:firstLineChars="200"/>
        <w:rPr>
          <w:rFonts w:cs="仿宋"/>
          <w:color w:val="auto"/>
          <w:highlight w:val="none"/>
          <w:shd w:val="clear" w:color="auto" w:fill="auto"/>
        </w:rPr>
      </w:pPr>
      <w:r>
        <w:rPr>
          <w:rFonts w:hint="eastAsia" w:cs="仿宋"/>
          <w:color w:val="auto"/>
          <w:highlight w:val="none"/>
          <w:shd w:val="clear" w:color="auto" w:fill="auto"/>
        </w:rPr>
        <w:t>5）系统具备丰富多样的能耗分析手段和强大的报表分析功能，能按照客户定制化需求输出统计报表，减少人工操作，提高效率。</w:t>
      </w:r>
    </w:p>
    <w:p>
      <w:pPr>
        <w:pStyle w:val="50"/>
        <w:snapToGrid w:val="0"/>
        <w:spacing w:after="0" w:line="360" w:lineRule="auto"/>
        <w:ind w:left="0" w:firstLine="480" w:firstLineChars="200"/>
        <w:rPr>
          <w:rFonts w:cs="仿宋"/>
          <w:color w:val="auto"/>
          <w:highlight w:val="none"/>
          <w:shd w:val="clear" w:color="auto" w:fill="auto"/>
        </w:rPr>
      </w:pPr>
      <w:r>
        <w:rPr>
          <w:rFonts w:hint="eastAsia" w:cs="仿宋"/>
          <w:color w:val="auto"/>
          <w:highlight w:val="none"/>
          <w:shd w:val="clear" w:color="auto" w:fill="auto"/>
        </w:rPr>
        <w:t>6）系统兼容B/S与C/S模式。使用人员可通过IE、FireFox等主流浏览器软件直接访问浏览数据，无需额外安装客户端程序。</w:t>
      </w:r>
    </w:p>
    <w:p>
      <w:pPr>
        <w:pStyle w:val="50"/>
        <w:snapToGrid w:val="0"/>
        <w:spacing w:after="0" w:line="360" w:lineRule="auto"/>
        <w:ind w:left="0" w:firstLine="480" w:firstLineChars="200"/>
        <w:rPr>
          <w:rFonts w:cs="仿宋"/>
          <w:color w:val="auto"/>
          <w:highlight w:val="none"/>
          <w:shd w:val="clear" w:color="auto" w:fill="auto"/>
        </w:rPr>
      </w:pPr>
      <w:r>
        <w:rPr>
          <w:rFonts w:hint="eastAsia" w:cs="仿宋"/>
          <w:color w:val="auto"/>
          <w:highlight w:val="none"/>
          <w:shd w:val="clear" w:color="auto" w:fill="auto"/>
        </w:rPr>
        <w:t>7）系统软件应具有冗余机制，支持数据采集主/备机自动切换，并支持数据双机(主、备数据库服务器)存储，保证系统的可靠性和安全性。</w:t>
      </w:r>
    </w:p>
    <w:p>
      <w:pPr>
        <w:pStyle w:val="50"/>
        <w:snapToGrid w:val="0"/>
        <w:spacing w:after="0" w:line="360" w:lineRule="auto"/>
        <w:ind w:left="0" w:firstLine="480" w:firstLineChars="200"/>
        <w:rPr>
          <w:rFonts w:cs="仿宋"/>
          <w:color w:val="auto"/>
          <w:highlight w:val="none"/>
          <w:shd w:val="clear" w:color="auto" w:fill="auto"/>
        </w:rPr>
      </w:pPr>
      <w:r>
        <w:rPr>
          <w:rFonts w:hint="eastAsia" w:cs="仿宋"/>
          <w:color w:val="auto"/>
          <w:highlight w:val="none"/>
          <w:shd w:val="clear" w:color="auto" w:fill="auto"/>
        </w:rPr>
        <w:t>8）系统软件应具有自检和联机诊断校验能力，以及容错能力。当运行人员出现一般性操作错误时，不影响系统的正常运行；对意外情况引起的故障，系统具备恢复能力。</w:t>
      </w:r>
    </w:p>
    <w:p>
      <w:pPr>
        <w:pStyle w:val="50"/>
        <w:snapToGrid w:val="0"/>
        <w:spacing w:after="0" w:line="360" w:lineRule="auto"/>
        <w:ind w:left="0" w:firstLine="480" w:firstLineChars="200"/>
        <w:rPr>
          <w:rFonts w:cs="仿宋"/>
          <w:color w:val="auto"/>
          <w:highlight w:val="none"/>
          <w:shd w:val="clear" w:color="auto" w:fill="auto"/>
        </w:rPr>
      </w:pPr>
      <w:r>
        <w:rPr>
          <w:rFonts w:hint="eastAsia" w:cs="仿宋"/>
          <w:color w:val="auto"/>
          <w:highlight w:val="none"/>
          <w:shd w:val="clear" w:color="auto" w:fill="auto"/>
        </w:rPr>
        <w:t>9）系统软件应具有通信接口扩展能力并预留扩展性，可快速实现各类能源采集计量装置的接入和集成。</w:t>
      </w:r>
    </w:p>
    <w:p>
      <w:pPr>
        <w:pStyle w:val="50"/>
        <w:snapToGrid w:val="0"/>
        <w:spacing w:after="0" w:line="360" w:lineRule="auto"/>
        <w:ind w:left="0" w:firstLine="480" w:firstLineChars="200"/>
        <w:rPr>
          <w:rFonts w:cs="仿宋"/>
          <w:color w:val="auto"/>
          <w:highlight w:val="none"/>
          <w:shd w:val="clear" w:color="auto" w:fill="auto"/>
        </w:rPr>
      </w:pPr>
      <w:r>
        <w:rPr>
          <w:rFonts w:hint="eastAsia" w:cs="仿宋"/>
          <w:color w:val="auto"/>
          <w:highlight w:val="none"/>
          <w:shd w:val="clear" w:color="auto" w:fill="auto"/>
        </w:rPr>
        <w:t>10）系统软件应提供灵活的系统配置及组态功能。可实现用户按需搭建个性化系统，并提供报表二次开发，图形监视画面组态等工具满足不同用户的管理需求。</w:t>
      </w:r>
    </w:p>
    <w:p>
      <w:pPr>
        <w:pStyle w:val="50"/>
        <w:snapToGrid w:val="0"/>
        <w:spacing w:after="0" w:line="360" w:lineRule="auto"/>
        <w:ind w:left="0" w:firstLine="480" w:firstLineChars="200"/>
        <w:rPr>
          <w:rFonts w:cs="仿宋"/>
          <w:color w:val="auto"/>
          <w:highlight w:val="none"/>
          <w:shd w:val="clear" w:color="auto" w:fill="auto"/>
        </w:rPr>
      </w:pPr>
      <w:r>
        <w:rPr>
          <w:rFonts w:hint="eastAsia" w:cs="仿宋"/>
          <w:color w:val="auto"/>
          <w:highlight w:val="none"/>
          <w:shd w:val="clear" w:color="auto" w:fill="auto"/>
        </w:rPr>
        <w:t>11） 系统软件应支持Windows 7、 Windows 2008 Server等操作系统。</w:t>
      </w:r>
    </w:p>
    <w:p>
      <w:pPr>
        <w:pStyle w:val="50"/>
        <w:snapToGrid w:val="0"/>
        <w:spacing w:after="0" w:line="360" w:lineRule="auto"/>
        <w:ind w:left="0" w:firstLine="480" w:firstLineChars="200"/>
        <w:rPr>
          <w:rFonts w:cs="仿宋"/>
          <w:color w:val="auto"/>
          <w:highlight w:val="none"/>
          <w:shd w:val="clear" w:color="auto" w:fill="auto"/>
        </w:rPr>
      </w:pPr>
      <w:r>
        <w:rPr>
          <w:rFonts w:hint="eastAsia" w:cs="仿宋"/>
          <w:color w:val="auto"/>
          <w:highlight w:val="none"/>
          <w:shd w:val="clear" w:color="auto" w:fill="auto"/>
        </w:rPr>
        <w:t>12）提供便捷的数据库维护工具，方便对系统的配置和数据进行备份和还原。</w:t>
      </w:r>
    </w:p>
    <w:p>
      <w:pPr>
        <w:spacing w:after="0" w:line="360" w:lineRule="auto"/>
        <w:ind w:firstLine="482" w:firstLineChars="200"/>
        <w:outlineLvl w:val="1"/>
        <w:rPr>
          <w:rFonts w:cs="仿宋"/>
          <w:color w:val="auto"/>
          <w:highlight w:val="none"/>
          <w:shd w:val="clear" w:color="auto" w:fill="auto"/>
        </w:rPr>
      </w:pPr>
      <w:r>
        <w:rPr>
          <w:rFonts w:hint="eastAsia" w:cs="仿宋"/>
          <w:b/>
          <w:bCs/>
          <w:color w:val="auto"/>
          <w:highlight w:val="none"/>
          <w:shd w:val="clear" w:color="auto" w:fill="auto"/>
        </w:rPr>
        <w:t>（2）功能要求</w:t>
      </w:r>
    </w:p>
    <w:p>
      <w:pPr>
        <w:snapToGrid w:val="0"/>
        <w:spacing w:after="0" w:line="360" w:lineRule="auto"/>
        <w:ind w:firstLine="482" w:firstLineChars="200"/>
        <w:rPr>
          <w:rFonts w:cs="仿宋"/>
          <w:b/>
          <w:color w:val="auto"/>
          <w:highlight w:val="none"/>
          <w:shd w:val="clear" w:color="auto" w:fill="auto"/>
        </w:rPr>
      </w:pPr>
      <w:r>
        <w:rPr>
          <w:rFonts w:hint="eastAsia" w:cs="仿宋"/>
          <w:b/>
          <w:color w:val="auto"/>
          <w:highlight w:val="none"/>
          <w:shd w:val="clear" w:color="auto" w:fill="auto"/>
        </w:rPr>
        <w:t>1）数据采集要求</w:t>
      </w:r>
    </w:p>
    <w:p>
      <w:pPr>
        <w:pStyle w:val="50"/>
        <w:snapToGrid w:val="0"/>
        <w:spacing w:after="0" w:line="360" w:lineRule="auto"/>
        <w:ind w:left="454"/>
        <w:rPr>
          <w:rFonts w:cs="仿宋"/>
          <w:color w:val="auto"/>
          <w:highlight w:val="none"/>
          <w:shd w:val="clear" w:color="auto" w:fill="auto"/>
        </w:rPr>
      </w:pPr>
      <w:r>
        <w:rPr>
          <w:rFonts w:hint="eastAsia" w:cs="仿宋"/>
          <w:color w:val="auto"/>
          <w:highlight w:val="none"/>
          <w:shd w:val="clear" w:color="auto" w:fill="auto"/>
        </w:rPr>
        <w:t>①数据采集方式包括人工采集方式和自动实时采集方式。</w:t>
      </w:r>
    </w:p>
    <w:p>
      <w:pPr>
        <w:pStyle w:val="50"/>
        <w:snapToGrid w:val="0"/>
        <w:spacing w:after="0" w:line="360" w:lineRule="auto"/>
        <w:ind w:left="454"/>
        <w:rPr>
          <w:rFonts w:cs="仿宋"/>
          <w:color w:val="auto"/>
          <w:highlight w:val="none"/>
          <w:shd w:val="clear" w:color="auto" w:fill="auto"/>
        </w:rPr>
      </w:pPr>
      <w:r>
        <w:rPr>
          <w:rFonts w:hint="eastAsia" w:cs="仿宋"/>
          <w:color w:val="auto"/>
          <w:highlight w:val="none"/>
          <w:shd w:val="clear" w:color="auto" w:fill="auto"/>
        </w:rPr>
        <w:t>②人工采集方式采集的数据包括：不能通过自动实时方式采集的能耗数据和产品产量数据。</w:t>
      </w:r>
    </w:p>
    <w:p>
      <w:pPr>
        <w:pStyle w:val="50"/>
        <w:snapToGrid w:val="0"/>
        <w:spacing w:after="0" w:line="360" w:lineRule="auto"/>
        <w:ind w:left="454"/>
        <w:rPr>
          <w:rFonts w:cs="仿宋"/>
          <w:color w:val="auto"/>
          <w:highlight w:val="none"/>
          <w:shd w:val="clear" w:color="auto" w:fill="auto"/>
        </w:rPr>
      </w:pPr>
      <w:r>
        <w:rPr>
          <w:rFonts w:hint="eastAsia" w:cs="仿宋"/>
          <w:color w:val="auto"/>
          <w:highlight w:val="none"/>
          <w:shd w:val="clear" w:color="auto" w:fill="auto"/>
        </w:rPr>
        <w:t>③自动采集的智能仪表数据，支持RS-485、M-BUS或以太网标准接口和标准MODBUS、DLT-645、CJT-188等通信协议，针对采用非标准规约的仪表支持通讯接口程序的开发。</w:t>
      </w:r>
    </w:p>
    <w:p>
      <w:pPr>
        <w:pStyle w:val="50"/>
        <w:snapToGrid w:val="0"/>
        <w:spacing w:after="0" w:line="360" w:lineRule="auto"/>
        <w:ind w:left="454"/>
        <w:rPr>
          <w:rFonts w:cs="仿宋"/>
          <w:color w:val="auto"/>
          <w:highlight w:val="none"/>
          <w:shd w:val="clear" w:color="auto" w:fill="auto"/>
        </w:rPr>
      </w:pPr>
      <w:r>
        <w:rPr>
          <w:rFonts w:hint="eastAsia" w:cs="仿宋"/>
          <w:color w:val="auto"/>
          <w:highlight w:val="none"/>
          <w:shd w:val="clear" w:color="auto" w:fill="auto"/>
        </w:rPr>
        <w:t>④数据自动采集间隔不超过1分钟，数据存储间隔可根据实际需求灵活设置，最小支持5分钟。</w:t>
      </w:r>
    </w:p>
    <w:p>
      <w:pPr>
        <w:pStyle w:val="50"/>
        <w:snapToGrid w:val="0"/>
        <w:spacing w:after="0" w:line="360" w:lineRule="auto"/>
        <w:ind w:left="454"/>
        <w:rPr>
          <w:rFonts w:cs="仿宋"/>
          <w:color w:val="auto"/>
          <w:highlight w:val="none"/>
          <w:shd w:val="clear" w:color="auto" w:fill="auto"/>
        </w:rPr>
      </w:pPr>
      <w:r>
        <w:rPr>
          <w:rFonts w:hint="eastAsia" w:cs="仿宋"/>
          <w:color w:val="auto"/>
          <w:highlight w:val="none"/>
          <w:shd w:val="clear" w:color="auto" w:fill="auto"/>
        </w:rPr>
        <w:t>⑤主要采集的分类数据参数包括：</w:t>
      </w:r>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电：包括但不限于电压、电流、有功、无功、功率因数、电度等；</w:t>
      </w:r>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水/气等：温度、压力、瞬时量、累计量等；</w:t>
      </w:r>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其他参数：环境温度、湿度等、产量数据；</w:t>
      </w:r>
    </w:p>
    <w:p>
      <w:pPr>
        <w:spacing w:after="0" w:line="360" w:lineRule="auto"/>
        <w:ind w:firstLine="482" w:firstLineChars="200"/>
        <w:rPr>
          <w:rFonts w:cs="仿宋"/>
          <w:b/>
          <w:color w:val="auto"/>
          <w:highlight w:val="none"/>
          <w:shd w:val="clear" w:color="auto" w:fill="auto"/>
        </w:rPr>
      </w:pPr>
      <w:r>
        <w:rPr>
          <w:rFonts w:hint="eastAsia" w:cs="仿宋"/>
          <w:b/>
          <w:color w:val="auto"/>
          <w:highlight w:val="none"/>
          <w:shd w:val="clear" w:color="auto" w:fill="auto"/>
        </w:rPr>
        <w:t>2）数据处理要求</w:t>
      </w:r>
    </w:p>
    <w:p>
      <w:pPr>
        <w:pStyle w:val="50"/>
        <w:snapToGrid w:val="0"/>
        <w:spacing w:after="0" w:line="360" w:lineRule="auto"/>
        <w:ind w:left="454"/>
        <w:rPr>
          <w:rFonts w:cs="仿宋"/>
          <w:color w:val="auto"/>
          <w:highlight w:val="none"/>
          <w:shd w:val="clear" w:color="auto" w:fill="auto"/>
        </w:rPr>
      </w:pPr>
      <w:r>
        <w:rPr>
          <w:rFonts w:hint="eastAsia" w:cs="仿宋"/>
          <w:color w:val="auto"/>
          <w:highlight w:val="none"/>
          <w:shd w:val="clear" w:color="auto" w:fill="auto"/>
        </w:rPr>
        <w:t>系统支持对原始能耗数据的有效性验证，并能对原始数据进行预处理。</w:t>
      </w:r>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支持对能耗原始数据满刻度翻转的处理。</w:t>
      </w:r>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支持对能耗原始数据有效性验证和数据剔除。对于超过测量范围最大、最小值范围的无效数据进行剔除，确保计量结果的正确性。</w:t>
      </w:r>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支持对缺失或错误数据的数据修补。授权情况下，人工可通过Web页面在线完成缺失数据录入和错误数据修正，确保数据的完整性和正确性。</w:t>
      </w:r>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支持将能耗原始累计数据转化为最小统计间隔和固定间隔的消耗量数据。最小统计间隔支持5分钟，固定间隔统计数据包含日、周、月、季、年数据。</w:t>
      </w:r>
    </w:p>
    <w:p>
      <w:pPr>
        <w:snapToGrid w:val="0"/>
        <w:spacing w:after="0" w:line="360" w:lineRule="auto"/>
        <w:ind w:firstLine="482" w:firstLineChars="200"/>
        <w:rPr>
          <w:rFonts w:cs="仿宋"/>
          <w:b/>
          <w:color w:val="auto"/>
          <w:highlight w:val="none"/>
          <w:shd w:val="clear" w:color="auto" w:fill="auto"/>
        </w:rPr>
      </w:pPr>
      <w:r>
        <w:rPr>
          <w:rFonts w:hint="eastAsia" w:cs="仿宋"/>
          <w:b/>
          <w:color w:val="auto"/>
          <w:highlight w:val="none"/>
          <w:shd w:val="clear" w:color="auto" w:fill="auto"/>
        </w:rPr>
        <w:t>3）数据归类及管理模型</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系统建立符合项目实际管理需求的能源计量管理模型，并按照分类、分项、区域、组织架构等多个维度确保构建的能耗计量对象的结构模型最大程度地保持与项目实际能源管理和考核要求一致性。</w:t>
      </w:r>
    </w:p>
    <w:p>
      <w:pPr>
        <w:adjustRightInd w:val="0"/>
        <w:snapToGrid w:val="0"/>
        <w:spacing w:after="0" w:line="360" w:lineRule="auto"/>
        <w:ind w:firstLine="482" w:firstLineChars="200"/>
        <w:rPr>
          <w:rFonts w:cs="仿宋"/>
          <w:b/>
          <w:bCs/>
          <w:color w:val="auto"/>
          <w:highlight w:val="none"/>
          <w:shd w:val="clear" w:color="auto" w:fill="auto"/>
        </w:rPr>
      </w:pPr>
      <w:bookmarkStart w:id="49" w:name="_Toc479874615"/>
      <w:r>
        <w:rPr>
          <w:rFonts w:hint="eastAsia" w:cs="仿宋"/>
          <w:b/>
          <w:bCs/>
          <w:color w:val="auto"/>
          <w:highlight w:val="none"/>
          <w:shd w:val="clear" w:color="auto" w:fill="auto"/>
        </w:rPr>
        <w:t>4）系统软件功能要求</w:t>
      </w:r>
      <w:bookmarkEnd w:id="49"/>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系统将实时采集的各种模拟量、开关量、事件信息等类型参数，进行分析处理并存入数据库。系统软件功能应包括但不限于如下功能模块：包括数据展示、能效分析、统计查询、可视化监测、电力监控、系统管理、基础信息管理和扩展功能应用等功能模块。</w:t>
      </w:r>
    </w:p>
    <w:p>
      <w:pPr>
        <w:adjustRightInd w:val="0"/>
        <w:snapToGrid w:val="0"/>
        <w:spacing w:after="0" w:line="360" w:lineRule="auto"/>
        <w:ind w:firstLine="482" w:firstLineChars="200"/>
        <w:rPr>
          <w:rFonts w:cs="仿宋"/>
          <w:b/>
          <w:color w:val="auto"/>
          <w:highlight w:val="none"/>
          <w:shd w:val="clear" w:color="auto" w:fill="auto"/>
        </w:rPr>
      </w:pPr>
      <w:r>
        <w:rPr>
          <w:rFonts w:hint="eastAsia" w:cs="仿宋"/>
          <w:b/>
          <w:color w:val="auto"/>
          <w:highlight w:val="none"/>
          <w:shd w:val="clear" w:color="auto" w:fill="auto"/>
        </w:rPr>
        <w:t>5）电力监控</w:t>
      </w:r>
    </w:p>
    <w:p>
      <w:pPr>
        <w:pStyle w:val="50"/>
        <w:adjustRightInd w:val="0"/>
        <w:snapToGrid w:val="0"/>
        <w:spacing w:after="0" w:line="360" w:lineRule="auto"/>
        <w:ind w:left="0" w:firstLine="480" w:firstLineChars="200"/>
        <w:rPr>
          <w:rFonts w:cs="仿宋"/>
          <w:color w:val="auto"/>
          <w:highlight w:val="none"/>
          <w:shd w:val="clear" w:color="auto" w:fill="auto"/>
        </w:rPr>
      </w:pPr>
      <w:r>
        <w:rPr>
          <w:rFonts w:hint="eastAsia" w:cs="仿宋"/>
          <w:color w:val="auto"/>
          <w:highlight w:val="none"/>
          <w:shd w:val="clear" w:color="auto" w:fill="auto"/>
        </w:rPr>
        <w:t>①实现对供配电回路、主要用能系统的监测，新系统应具备将上述系统接入到能管平台进行统一的监视、统计、管理和分析。</w:t>
      </w:r>
    </w:p>
    <w:p>
      <w:pPr>
        <w:pStyle w:val="50"/>
        <w:adjustRightInd w:val="0"/>
        <w:snapToGrid w:val="0"/>
        <w:spacing w:after="0" w:line="360" w:lineRule="auto"/>
        <w:ind w:left="0" w:firstLine="480" w:firstLineChars="200"/>
        <w:rPr>
          <w:rFonts w:cs="仿宋"/>
          <w:color w:val="auto"/>
          <w:highlight w:val="none"/>
          <w:shd w:val="clear" w:color="auto" w:fill="auto"/>
        </w:rPr>
      </w:pPr>
      <w:r>
        <w:rPr>
          <w:rFonts w:hint="eastAsia" w:cs="仿宋"/>
          <w:color w:val="auto"/>
          <w:highlight w:val="none"/>
          <w:shd w:val="clear" w:color="auto" w:fill="auto"/>
        </w:rPr>
        <w:t>②用电负荷分析</w:t>
      </w:r>
    </w:p>
    <w:p>
      <w:pPr>
        <w:adjustRightInd w:val="0"/>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能监控、计算各单元功率的实时、最小、最大及平均值；计量表不同时间的电压、电流、功率、线路负载率及用电量的分析变化趋势、峰谷差等，并以曲线、棒图等体现。</w:t>
      </w:r>
    </w:p>
    <w:p>
      <w:pPr>
        <w:pStyle w:val="50"/>
        <w:adjustRightInd w:val="0"/>
        <w:snapToGrid w:val="0"/>
        <w:spacing w:after="0" w:line="360" w:lineRule="auto"/>
        <w:ind w:left="0" w:firstLine="480" w:firstLineChars="200"/>
        <w:rPr>
          <w:rFonts w:cs="仿宋"/>
          <w:color w:val="auto"/>
          <w:highlight w:val="none"/>
          <w:shd w:val="clear" w:color="auto" w:fill="auto"/>
        </w:rPr>
      </w:pPr>
      <w:r>
        <w:rPr>
          <w:rFonts w:hint="eastAsia" w:cs="仿宋"/>
          <w:color w:val="auto"/>
          <w:highlight w:val="none"/>
          <w:shd w:val="clear" w:color="auto" w:fill="auto"/>
        </w:rPr>
        <w:t>③功率因素分析</w:t>
      </w:r>
    </w:p>
    <w:p>
      <w:pPr>
        <w:adjustRightInd w:val="0"/>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监控各仪表采集的功率因素，并可以设置考核目标（如0.95），以确定是否达标及补充改进。</w:t>
      </w:r>
    </w:p>
    <w:p>
      <w:pPr>
        <w:adjustRightInd w:val="0"/>
        <w:snapToGrid w:val="0"/>
        <w:spacing w:after="0" w:line="360" w:lineRule="auto"/>
        <w:ind w:firstLine="482" w:firstLineChars="200"/>
        <w:rPr>
          <w:rFonts w:cs="仿宋"/>
          <w:b/>
          <w:color w:val="auto"/>
          <w:highlight w:val="none"/>
          <w:shd w:val="clear" w:color="auto" w:fill="auto"/>
        </w:rPr>
      </w:pPr>
      <w:r>
        <w:rPr>
          <w:rFonts w:hint="eastAsia" w:cs="仿宋"/>
          <w:b/>
          <w:color w:val="auto"/>
          <w:highlight w:val="none"/>
          <w:shd w:val="clear" w:color="auto" w:fill="auto"/>
        </w:rPr>
        <w:t>6）系统管理</w:t>
      </w:r>
    </w:p>
    <w:p>
      <w:pPr>
        <w:pStyle w:val="50"/>
        <w:adjustRightInd w:val="0"/>
        <w:snapToGrid w:val="0"/>
        <w:spacing w:after="0" w:line="360" w:lineRule="auto"/>
        <w:ind w:left="0" w:firstLine="482" w:firstLineChars="200"/>
        <w:rPr>
          <w:rFonts w:cs="仿宋"/>
          <w:b/>
          <w:color w:val="auto"/>
          <w:highlight w:val="none"/>
          <w:shd w:val="clear" w:color="auto" w:fill="auto"/>
        </w:rPr>
      </w:pPr>
      <w:r>
        <w:rPr>
          <w:rFonts w:hint="eastAsia" w:cs="仿宋"/>
          <w:b/>
          <w:color w:val="auto"/>
          <w:highlight w:val="none"/>
          <w:shd w:val="clear" w:color="auto" w:fill="auto"/>
        </w:rPr>
        <w:t>① 用户管理</w:t>
      </w:r>
    </w:p>
    <w:p>
      <w:pPr>
        <w:pStyle w:val="50"/>
        <w:numPr>
          <w:ilvl w:val="0"/>
          <w:numId w:val="6"/>
        </w:numPr>
        <w:adjustRightInd w:val="0"/>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根据需要创建用户、删除用户、定义用户角色及权限分配，用户角色包括系统管理员、操作员、普通用户等。</w:t>
      </w:r>
    </w:p>
    <w:p>
      <w:pPr>
        <w:pStyle w:val="50"/>
        <w:numPr>
          <w:ilvl w:val="0"/>
          <w:numId w:val="6"/>
        </w:numPr>
        <w:adjustRightInd w:val="0"/>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支持用户组和用户分级管理，允许设置用户组内管理员负责管理组内用户。组内管理员可新增、删除组内用户和重置用户密码，普通用户仅能修改自身密码。</w:t>
      </w:r>
    </w:p>
    <w:p>
      <w:pPr>
        <w:pStyle w:val="50"/>
        <w:adjustRightInd w:val="0"/>
        <w:snapToGrid w:val="0"/>
        <w:spacing w:after="0" w:line="360" w:lineRule="auto"/>
        <w:ind w:left="0" w:firstLine="482" w:firstLineChars="200"/>
        <w:rPr>
          <w:rFonts w:cs="仿宋"/>
          <w:b/>
          <w:color w:val="auto"/>
          <w:highlight w:val="none"/>
          <w:shd w:val="clear" w:color="auto" w:fill="auto"/>
        </w:rPr>
      </w:pPr>
      <w:r>
        <w:rPr>
          <w:rFonts w:hint="eastAsia" w:cs="仿宋"/>
          <w:b/>
          <w:color w:val="auto"/>
          <w:highlight w:val="none"/>
          <w:shd w:val="clear" w:color="auto" w:fill="auto"/>
        </w:rPr>
        <w:t>② 权限管理</w:t>
      </w:r>
    </w:p>
    <w:p>
      <w:pPr>
        <w:pStyle w:val="50"/>
        <w:snapToGrid w:val="0"/>
        <w:spacing w:after="0" w:line="360" w:lineRule="auto"/>
        <w:ind w:left="454"/>
        <w:rPr>
          <w:rFonts w:cs="仿宋"/>
          <w:color w:val="auto"/>
          <w:highlight w:val="none"/>
          <w:shd w:val="clear" w:color="auto" w:fill="auto"/>
        </w:rPr>
      </w:pPr>
      <w:r>
        <w:rPr>
          <w:rFonts w:hint="eastAsia" w:cs="仿宋"/>
          <w:color w:val="auto"/>
          <w:highlight w:val="none"/>
          <w:shd w:val="clear" w:color="auto" w:fill="auto"/>
        </w:rPr>
        <w:t>系统登陆需通过用户密码和权限验证，并对所有操作自动进行带时标事件记录。</w:t>
      </w:r>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能基于角色授权，支持集中式的用户批量授权。</w:t>
      </w:r>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能够针对单个用户进行独立授权，支持单一用户授权。</w:t>
      </w:r>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支持分级授权机制。</w:t>
      </w:r>
    </w:p>
    <w:p>
      <w:pPr>
        <w:pStyle w:val="50"/>
        <w:numPr>
          <w:ilvl w:val="0"/>
          <w:numId w:val="5"/>
        </w:numPr>
        <w:adjustRightInd w:val="0"/>
        <w:snapToGrid w:val="0"/>
        <w:spacing w:after="0" w:line="360" w:lineRule="auto"/>
        <w:ind w:left="720" w:firstLine="0"/>
        <w:rPr>
          <w:rFonts w:cs="仿宋"/>
          <w:b/>
          <w:color w:val="auto"/>
          <w:highlight w:val="none"/>
          <w:shd w:val="clear" w:color="auto" w:fill="auto"/>
        </w:rPr>
      </w:pPr>
      <w:r>
        <w:rPr>
          <w:rFonts w:hint="eastAsia" w:cs="仿宋"/>
          <w:color w:val="auto"/>
          <w:highlight w:val="none"/>
          <w:shd w:val="clear" w:color="auto" w:fill="auto"/>
        </w:rPr>
        <w:t>授权范围：支持针对模块、功能点、管理对象节点等进行权限分配。</w:t>
      </w:r>
    </w:p>
    <w:p>
      <w:pPr>
        <w:pStyle w:val="50"/>
        <w:adjustRightInd w:val="0"/>
        <w:snapToGrid w:val="0"/>
        <w:spacing w:after="0" w:line="360" w:lineRule="auto"/>
        <w:ind w:left="0" w:firstLine="482" w:firstLineChars="200"/>
        <w:rPr>
          <w:rFonts w:cs="仿宋"/>
          <w:b/>
          <w:color w:val="auto"/>
          <w:highlight w:val="none"/>
          <w:shd w:val="clear" w:color="auto" w:fill="auto"/>
        </w:rPr>
      </w:pPr>
      <w:r>
        <w:rPr>
          <w:rFonts w:hint="eastAsia" w:cs="仿宋"/>
          <w:b/>
          <w:color w:val="auto"/>
          <w:highlight w:val="none"/>
          <w:shd w:val="clear" w:color="auto" w:fill="auto"/>
        </w:rPr>
        <w:t>③ 日志管理</w:t>
      </w:r>
    </w:p>
    <w:p>
      <w:pPr>
        <w:pStyle w:val="50"/>
        <w:numPr>
          <w:ilvl w:val="0"/>
          <w:numId w:val="7"/>
        </w:numPr>
        <w:adjustRightInd w:val="0"/>
        <w:snapToGrid w:val="0"/>
        <w:spacing w:after="0" w:line="360" w:lineRule="auto"/>
        <w:ind w:left="0" w:firstLine="420"/>
        <w:rPr>
          <w:rFonts w:cs="仿宋"/>
          <w:color w:val="auto"/>
          <w:highlight w:val="none"/>
          <w:shd w:val="clear" w:color="auto" w:fill="auto"/>
        </w:rPr>
      </w:pPr>
      <w:r>
        <w:rPr>
          <w:rFonts w:hint="eastAsia" w:cs="仿宋"/>
          <w:color w:val="auto"/>
          <w:highlight w:val="none"/>
          <w:shd w:val="clear" w:color="auto" w:fill="auto"/>
        </w:rPr>
        <w:t>系统可记录/查询用户的登录日志、各项操作、报警信息等。</w:t>
      </w:r>
    </w:p>
    <w:p>
      <w:pPr>
        <w:pStyle w:val="50"/>
        <w:numPr>
          <w:ilvl w:val="0"/>
          <w:numId w:val="7"/>
        </w:numPr>
        <w:adjustRightInd w:val="0"/>
        <w:snapToGrid w:val="0"/>
        <w:spacing w:after="0" w:line="360" w:lineRule="auto"/>
        <w:ind w:left="0" w:firstLine="420"/>
        <w:rPr>
          <w:rFonts w:cs="仿宋"/>
          <w:color w:val="auto"/>
          <w:highlight w:val="none"/>
          <w:shd w:val="clear" w:color="auto" w:fill="auto"/>
        </w:rPr>
      </w:pPr>
      <w:r>
        <w:rPr>
          <w:rFonts w:hint="eastAsia" w:cs="仿宋"/>
          <w:color w:val="auto"/>
          <w:highlight w:val="none"/>
          <w:shd w:val="clear" w:color="auto" w:fill="auto"/>
        </w:rPr>
        <w:t>系统可记录/查询自身运行过程中错误、诊断日志信息。</w:t>
      </w:r>
    </w:p>
    <w:p>
      <w:pPr>
        <w:pStyle w:val="50"/>
        <w:adjustRightInd w:val="0"/>
        <w:snapToGrid w:val="0"/>
        <w:spacing w:after="0" w:line="360" w:lineRule="auto"/>
        <w:ind w:left="0" w:firstLine="482" w:firstLineChars="200"/>
        <w:rPr>
          <w:rFonts w:cs="仿宋"/>
          <w:b/>
          <w:color w:val="auto"/>
          <w:highlight w:val="none"/>
          <w:shd w:val="clear" w:color="auto" w:fill="auto"/>
        </w:rPr>
      </w:pPr>
      <w:r>
        <w:rPr>
          <w:rFonts w:hint="eastAsia" w:cs="仿宋"/>
          <w:b/>
          <w:color w:val="auto"/>
          <w:highlight w:val="none"/>
          <w:shd w:val="clear" w:color="auto" w:fill="auto"/>
        </w:rPr>
        <w:t>④ 数据录入</w:t>
      </w:r>
    </w:p>
    <w:p>
      <w:pPr>
        <w:pStyle w:val="50"/>
        <w:adjustRightInd w:val="0"/>
        <w:snapToGrid w:val="0"/>
        <w:spacing w:after="0" w:line="360" w:lineRule="auto"/>
        <w:rPr>
          <w:rFonts w:cs="仿宋"/>
          <w:b/>
          <w:color w:val="auto"/>
          <w:highlight w:val="none"/>
          <w:shd w:val="clear" w:color="auto" w:fill="auto"/>
        </w:rPr>
      </w:pPr>
      <w:r>
        <w:rPr>
          <w:rFonts w:hint="eastAsia" w:cs="仿宋"/>
          <w:color w:val="auto"/>
          <w:highlight w:val="none"/>
          <w:shd w:val="clear" w:color="auto" w:fill="auto"/>
        </w:rPr>
        <w:t>系统提供专门的离线能耗数据录入功能允许用户通过Web网页进行该类能源消耗数据的手动录入。</w:t>
      </w:r>
    </w:p>
    <w:p>
      <w:pPr>
        <w:pStyle w:val="50"/>
        <w:adjustRightInd w:val="0"/>
        <w:snapToGrid w:val="0"/>
        <w:spacing w:after="0" w:line="360" w:lineRule="auto"/>
        <w:ind w:left="0" w:firstLine="482" w:firstLineChars="200"/>
        <w:rPr>
          <w:rFonts w:cs="仿宋"/>
          <w:b/>
          <w:color w:val="auto"/>
          <w:highlight w:val="none"/>
          <w:shd w:val="clear" w:color="auto" w:fill="auto"/>
        </w:rPr>
      </w:pPr>
      <w:r>
        <w:rPr>
          <w:rFonts w:hint="eastAsia" w:cs="仿宋"/>
          <w:b/>
          <w:color w:val="auto"/>
          <w:highlight w:val="none"/>
          <w:shd w:val="clear" w:color="auto" w:fill="auto"/>
        </w:rPr>
        <w:t>⑤ 在线维护</w:t>
      </w:r>
    </w:p>
    <w:p>
      <w:pPr>
        <w:pStyle w:val="50"/>
        <w:adjustRightInd w:val="0"/>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具有在线维护功能，经授权的用户可在线对系统配置、数据展示画面及报表、运行参数及报警限值、设备参数、系统历史数据等进行修改和维护。</w:t>
      </w:r>
    </w:p>
    <w:p>
      <w:pPr>
        <w:pStyle w:val="50"/>
        <w:adjustRightInd w:val="0"/>
        <w:snapToGrid w:val="0"/>
        <w:spacing w:after="0" w:line="360" w:lineRule="auto"/>
        <w:ind w:left="0" w:firstLine="482" w:firstLineChars="200"/>
        <w:rPr>
          <w:rFonts w:cs="仿宋"/>
          <w:b/>
          <w:color w:val="auto"/>
          <w:highlight w:val="none"/>
          <w:shd w:val="clear" w:color="auto" w:fill="auto"/>
        </w:rPr>
      </w:pPr>
      <w:r>
        <w:rPr>
          <w:rFonts w:hint="eastAsia" w:cs="仿宋"/>
          <w:b/>
          <w:color w:val="auto"/>
          <w:highlight w:val="none"/>
          <w:shd w:val="clear" w:color="auto" w:fill="auto"/>
        </w:rPr>
        <w:t>⑥ 数据完整性统计</w:t>
      </w:r>
    </w:p>
    <w:p>
      <w:pPr>
        <w:pStyle w:val="50"/>
        <w:adjustRightInd w:val="0"/>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系统提供数据完整性统计，方便使用人员查看各个计量表计的数据缺失情况，并考虑评估该回路的能耗统计数据的有效性、发现通信异常问题。</w:t>
      </w:r>
    </w:p>
    <w:p>
      <w:pPr>
        <w:adjustRightInd w:val="0"/>
        <w:snapToGrid w:val="0"/>
        <w:spacing w:after="0" w:line="360" w:lineRule="auto"/>
        <w:ind w:firstLine="482" w:firstLineChars="200"/>
        <w:rPr>
          <w:rFonts w:cs="仿宋"/>
          <w:b/>
          <w:color w:val="auto"/>
          <w:highlight w:val="none"/>
          <w:shd w:val="clear" w:color="auto" w:fill="auto"/>
        </w:rPr>
      </w:pPr>
      <w:r>
        <w:rPr>
          <w:rFonts w:hint="eastAsia" w:cs="仿宋"/>
          <w:b/>
          <w:color w:val="auto"/>
          <w:highlight w:val="none"/>
          <w:shd w:val="clear" w:color="auto" w:fill="auto"/>
        </w:rPr>
        <w:t>7）基础信息管理</w:t>
      </w:r>
    </w:p>
    <w:p>
      <w:pPr>
        <w:pStyle w:val="50"/>
        <w:adjustRightInd w:val="0"/>
        <w:snapToGrid w:val="0"/>
        <w:spacing w:after="0" w:line="360" w:lineRule="auto"/>
        <w:ind w:left="0" w:firstLine="482" w:firstLineChars="200"/>
        <w:rPr>
          <w:rFonts w:cs="仿宋"/>
          <w:b/>
          <w:color w:val="auto"/>
          <w:highlight w:val="none"/>
          <w:shd w:val="clear" w:color="auto" w:fill="auto"/>
        </w:rPr>
      </w:pPr>
      <w:r>
        <w:rPr>
          <w:rFonts w:hint="eastAsia" w:cs="仿宋"/>
          <w:b/>
          <w:color w:val="auto"/>
          <w:highlight w:val="none"/>
          <w:shd w:val="clear" w:color="auto" w:fill="auto"/>
        </w:rPr>
        <w:t>① 设备基表信息</w:t>
      </w:r>
    </w:p>
    <w:p>
      <w:pPr>
        <w:adjustRightInd w:val="0"/>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建立设备仪表分布信息等，包括仪表数量、名称、资产编号、位置、部门、品牌等信息，以便进行系统管理析和设备的维护。</w:t>
      </w:r>
    </w:p>
    <w:p>
      <w:pPr>
        <w:pStyle w:val="50"/>
        <w:adjustRightInd w:val="0"/>
        <w:snapToGrid w:val="0"/>
        <w:spacing w:after="0" w:line="360" w:lineRule="auto"/>
        <w:ind w:left="0" w:firstLine="482" w:firstLineChars="200"/>
        <w:rPr>
          <w:rFonts w:cs="仿宋"/>
          <w:b/>
          <w:color w:val="auto"/>
          <w:highlight w:val="none"/>
          <w:shd w:val="clear" w:color="auto" w:fill="auto"/>
        </w:rPr>
      </w:pPr>
      <w:r>
        <w:rPr>
          <w:rFonts w:hint="eastAsia" w:cs="仿宋"/>
          <w:b/>
          <w:color w:val="auto"/>
          <w:highlight w:val="none"/>
          <w:shd w:val="clear" w:color="auto" w:fill="auto"/>
        </w:rPr>
        <w:t>② 仪表空间分布图</w:t>
      </w:r>
    </w:p>
    <w:p>
      <w:pPr>
        <w:pStyle w:val="50"/>
        <w:adjustRightInd w:val="0"/>
        <w:snapToGrid w:val="0"/>
        <w:spacing w:after="0" w:line="360" w:lineRule="auto"/>
        <w:ind w:left="0" w:firstLine="480" w:firstLineChars="200"/>
        <w:rPr>
          <w:rFonts w:cs="仿宋"/>
          <w:color w:val="auto"/>
          <w:highlight w:val="none"/>
          <w:shd w:val="clear" w:color="auto" w:fill="auto"/>
        </w:rPr>
      </w:pPr>
      <w:r>
        <w:rPr>
          <w:rFonts w:hint="eastAsia" w:cs="仿宋"/>
          <w:color w:val="auto"/>
          <w:highlight w:val="none"/>
          <w:shd w:val="clear" w:color="auto" w:fill="auto"/>
        </w:rPr>
        <w:t>通过平面效果图的方式，展示各仪表的安装位置、设备类型，通过动画等方式显示区分通信状态或安装情况，对项目的进度、表计配备率、设备运行情况一目了然。</w:t>
      </w:r>
    </w:p>
    <w:p>
      <w:pPr>
        <w:pStyle w:val="50"/>
        <w:adjustRightInd w:val="0"/>
        <w:snapToGrid w:val="0"/>
        <w:spacing w:after="0" w:line="360" w:lineRule="auto"/>
        <w:ind w:left="0" w:firstLine="482" w:firstLineChars="200"/>
        <w:rPr>
          <w:rFonts w:cs="仿宋"/>
          <w:b/>
          <w:color w:val="auto"/>
          <w:highlight w:val="none"/>
          <w:shd w:val="clear" w:color="auto" w:fill="auto"/>
        </w:rPr>
      </w:pPr>
      <w:r>
        <w:rPr>
          <w:rFonts w:hint="eastAsia" w:cs="仿宋"/>
          <w:b/>
          <w:color w:val="auto"/>
          <w:highlight w:val="none"/>
          <w:shd w:val="clear" w:color="auto" w:fill="auto"/>
        </w:rPr>
        <w:t>③ 信息管理</w:t>
      </w:r>
    </w:p>
    <w:p>
      <w:pPr>
        <w:pStyle w:val="50"/>
        <w:adjustRightInd w:val="0"/>
        <w:snapToGrid w:val="0"/>
        <w:spacing w:after="0" w:line="360" w:lineRule="auto"/>
        <w:ind w:left="0" w:firstLine="480" w:firstLineChars="200"/>
        <w:rPr>
          <w:rFonts w:cs="仿宋"/>
          <w:color w:val="auto"/>
          <w:highlight w:val="none"/>
          <w:shd w:val="clear" w:color="auto" w:fill="auto"/>
        </w:rPr>
      </w:pPr>
      <w:r>
        <w:rPr>
          <w:rFonts w:hint="eastAsia" w:cs="仿宋"/>
          <w:color w:val="auto"/>
          <w:highlight w:val="none"/>
          <w:shd w:val="clear" w:color="auto" w:fill="auto"/>
        </w:rPr>
        <w:t>提供信息布告的编辑界面，业主可根据管理需要在系统编辑页面录入通知、消息，供登录人员浏览消息。</w:t>
      </w:r>
    </w:p>
    <w:p>
      <w:pPr>
        <w:pStyle w:val="50"/>
        <w:adjustRightInd w:val="0"/>
        <w:snapToGrid w:val="0"/>
        <w:spacing w:after="0" w:line="360" w:lineRule="auto"/>
        <w:ind w:left="0" w:firstLine="482" w:firstLineChars="200"/>
        <w:rPr>
          <w:rFonts w:cs="仿宋"/>
          <w:b/>
          <w:color w:val="auto"/>
          <w:highlight w:val="none"/>
          <w:shd w:val="clear" w:color="auto" w:fill="auto"/>
        </w:rPr>
      </w:pPr>
      <w:r>
        <w:rPr>
          <w:rFonts w:hint="eastAsia" w:cs="仿宋"/>
          <w:b/>
          <w:color w:val="auto"/>
          <w:highlight w:val="none"/>
          <w:shd w:val="clear" w:color="auto" w:fill="auto"/>
        </w:rPr>
        <w:t>④ 楼栋信息</w:t>
      </w:r>
    </w:p>
    <w:p>
      <w:pPr>
        <w:pStyle w:val="50"/>
        <w:adjustRightInd w:val="0"/>
        <w:snapToGrid w:val="0"/>
        <w:spacing w:after="0" w:line="360" w:lineRule="auto"/>
        <w:ind w:left="0" w:firstLine="480" w:firstLineChars="200"/>
        <w:rPr>
          <w:rFonts w:cs="仿宋"/>
          <w:color w:val="auto"/>
          <w:highlight w:val="none"/>
          <w:shd w:val="clear" w:color="auto" w:fill="auto"/>
        </w:rPr>
      </w:pPr>
      <w:r>
        <w:rPr>
          <w:rFonts w:hint="eastAsia" w:cs="仿宋"/>
          <w:color w:val="auto"/>
          <w:highlight w:val="none"/>
          <w:shd w:val="clear" w:color="auto" w:fill="auto"/>
        </w:rPr>
        <w:t>楼宇基本信息表，包括楼栋名称、建筑面积，主要用途等，格式可参考国家大型公建导则要求。</w:t>
      </w:r>
    </w:p>
    <w:p>
      <w:pPr>
        <w:adjustRightInd w:val="0"/>
        <w:snapToGrid w:val="0"/>
        <w:spacing w:after="0" w:line="360" w:lineRule="auto"/>
        <w:ind w:firstLine="482" w:firstLineChars="200"/>
        <w:rPr>
          <w:rFonts w:cs="仿宋"/>
          <w:color w:val="auto"/>
          <w:highlight w:val="none"/>
          <w:shd w:val="clear" w:color="auto" w:fill="auto"/>
        </w:rPr>
      </w:pPr>
      <w:r>
        <w:rPr>
          <w:rFonts w:hint="eastAsia" w:cs="仿宋"/>
          <w:b/>
          <w:color w:val="auto"/>
          <w:highlight w:val="none"/>
          <w:shd w:val="clear" w:color="auto" w:fill="auto"/>
        </w:rPr>
        <w:t>8）扩展功能应用</w:t>
      </w:r>
    </w:p>
    <w:p>
      <w:pPr>
        <w:pStyle w:val="50"/>
        <w:adjustRightInd w:val="0"/>
        <w:snapToGrid w:val="0"/>
        <w:spacing w:after="0" w:line="360" w:lineRule="auto"/>
        <w:ind w:left="0" w:firstLine="482" w:firstLineChars="200"/>
        <w:rPr>
          <w:rFonts w:cs="仿宋"/>
          <w:b/>
          <w:color w:val="auto"/>
          <w:highlight w:val="none"/>
          <w:shd w:val="clear" w:color="auto" w:fill="auto"/>
        </w:rPr>
      </w:pPr>
      <w:r>
        <w:rPr>
          <w:rFonts w:hint="eastAsia" w:cs="仿宋"/>
          <w:b/>
          <w:color w:val="auto"/>
          <w:highlight w:val="none"/>
          <w:shd w:val="clear" w:color="auto" w:fill="auto"/>
        </w:rPr>
        <w:t>① 移动客户端应用</w:t>
      </w:r>
    </w:p>
    <w:p>
      <w:pPr>
        <w:pStyle w:val="50"/>
        <w:numPr>
          <w:ilvl w:val="0"/>
          <w:numId w:val="8"/>
        </w:numPr>
        <w:adjustRightInd w:val="0"/>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系统提供移动端应用方便用户随时随地查看具体设备的能耗及参数数据。</w:t>
      </w:r>
    </w:p>
    <w:p>
      <w:pPr>
        <w:pStyle w:val="50"/>
        <w:numPr>
          <w:ilvl w:val="0"/>
          <w:numId w:val="8"/>
        </w:numPr>
        <w:adjustRightInd w:val="0"/>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移动端支持统一系统管理、实时监控、历史数据查询分析、故障告警与记录等功能。</w:t>
      </w:r>
    </w:p>
    <w:p>
      <w:pPr>
        <w:pStyle w:val="50"/>
        <w:adjustRightInd w:val="0"/>
        <w:snapToGrid w:val="0"/>
        <w:spacing w:after="0" w:line="360" w:lineRule="auto"/>
        <w:ind w:left="0" w:firstLine="482" w:firstLineChars="200"/>
        <w:rPr>
          <w:rFonts w:cs="仿宋"/>
          <w:b/>
          <w:color w:val="auto"/>
          <w:highlight w:val="none"/>
          <w:shd w:val="clear" w:color="auto" w:fill="auto"/>
        </w:rPr>
      </w:pPr>
      <w:r>
        <w:rPr>
          <w:rFonts w:hint="eastAsia" w:cs="仿宋"/>
          <w:b/>
          <w:color w:val="auto"/>
          <w:highlight w:val="none"/>
          <w:shd w:val="clear" w:color="auto" w:fill="auto"/>
        </w:rPr>
        <w:t>② 第三方系统对接交互</w:t>
      </w:r>
    </w:p>
    <w:p>
      <w:pPr>
        <w:pStyle w:val="50"/>
        <w:adjustRightInd w:val="0"/>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为了实现企业内数据共享，提高企业综合管理水平，能源管理系统平台预留与信息化系统进行数据交互。</w:t>
      </w:r>
    </w:p>
    <w:p>
      <w:pPr>
        <w:pStyle w:val="50"/>
        <w:adjustRightInd w:val="0"/>
        <w:snapToGrid w:val="0"/>
        <w:spacing w:after="0" w:line="360" w:lineRule="auto"/>
        <w:ind w:left="0" w:firstLine="482" w:firstLineChars="200"/>
        <w:rPr>
          <w:rFonts w:cs="仿宋"/>
          <w:b/>
          <w:color w:val="auto"/>
          <w:highlight w:val="none"/>
          <w:shd w:val="clear" w:color="auto" w:fill="auto"/>
        </w:rPr>
      </w:pPr>
      <w:r>
        <w:rPr>
          <w:rFonts w:hint="eastAsia" w:cs="仿宋"/>
          <w:b/>
          <w:color w:val="auto"/>
          <w:highlight w:val="none"/>
          <w:shd w:val="clear" w:color="auto" w:fill="auto"/>
        </w:rPr>
        <w:t>③ 能耗告警</w:t>
      </w:r>
    </w:p>
    <w:p>
      <w:pPr>
        <w:pStyle w:val="50"/>
        <w:numPr>
          <w:ilvl w:val="0"/>
          <w:numId w:val="9"/>
        </w:numPr>
        <w:adjustRightInd w:val="0"/>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系统应支持至少4种类型的告警管理功能：越限告警、能耗超标告警、KPI限额告警、空载告警。</w:t>
      </w:r>
    </w:p>
    <w:p>
      <w:pPr>
        <w:pStyle w:val="50"/>
        <w:numPr>
          <w:ilvl w:val="0"/>
          <w:numId w:val="9"/>
        </w:numPr>
        <w:adjustRightInd w:val="0"/>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可灵活设置不同的预报警条件、目标限值，及报警方式、告警等级。</w:t>
      </w:r>
    </w:p>
    <w:p>
      <w:pPr>
        <w:pStyle w:val="50"/>
        <w:numPr>
          <w:ilvl w:val="0"/>
          <w:numId w:val="9"/>
        </w:numPr>
        <w:adjustRightInd w:val="0"/>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所有报警事件可记录和写盘保存(存储时长5年以上)。</w:t>
      </w:r>
    </w:p>
    <w:p>
      <w:pPr>
        <w:pStyle w:val="50"/>
        <w:numPr>
          <w:ilvl w:val="0"/>
          <w:numId w:val="9"/>
        </w:numPr>
        <w:adjustRightInd w:val="0"/>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报警事件记录应包含：事件类型、事件等级、报警参数、报警时间、处理人、处理状态等。</w:t>
      </w:r>
    </w:p>
    <w:p>
      <w:pPr>
        <w:pStyle w:val="50"/>
        <w:numPr>
          <w:ilvl w:val="0"/>
          <w:numId w:val="9"/>
        </w:numPr>
        <w:adjustRightInd w:val="0"/>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所有报警信息均支持通过Email或短信方式提醒管理人员。</w:t>
      </w:r>
    </w:p>
    <w:p>
      <w:pPr>
        <w:pStyle w:val="3"/>
        <w:spacing w:before="0" w:line="360" w:lineRule="auto"/>
        <w:ind w:firstLine="354" w:firstLineChars="147"/>
        <w:jc w:val="left"/>
        <w:rPr>
          <w:rFonts w:cs="仿宋"/>
          <w:color w:val="auto"/>
          <w:sz w:val="24"/>
          <w:szCs w:val="24"/>
          <w:highlight w:val="none"/>
          <w:shd w:val="clear" w:color="auto" w:fill="auto"/>
        </w:rPr>
      </w:pPr>
      <w:bookmarkStart w:id="50" w:name="_Toc479874616"/>
      <w:r>
        <w:rPr>
          <w:rFonts w:hint="eastAsia" w:cs="仿宋"/>
          <w:color w:val="auto"/>
          <w:sz w:val="24"/>
          <w:szCs w:val="24"/>
          <w:highlight w:val="none"/>
          <w:shd w:val="clear" w:color="auto" w:fill="auto"/>
        </w:rPr>
        <w:t>（3）系统性能要求</w:t>
      </w:r>
      <w:bookmarkEnd w:id="50"/>
    </w:p>
    <w:p>
      <w:pPr>
        <w:pStyle w:val="50"/>
        <w:snapToGrid w:val="0"/>
        <w:spacing w:after="0" w:line="360" w:lineRule="auto"/>
        <w:ind w:left="454"/>
        <w:rPr>
          <w:rFonts w:cs="仿宋"/>
          <w:color w:val="auto"/>
          <w:highlight w:val="none"/>
          <w:shd w:val="clear" w:color="auto" w:fill="auto"/>
        </w:rPr>
      </w:pPr>
      <w:bookmarkStart w:id="51" w:name="_Toc479874617"/>
      <w:r>
        <w:rPr>
          <w:rFonts w:hint="eastAsia" w:cs="仿宋"/>
          <w:b/>
          <w:bCs/>
          <w:color w:val="auto"/>
          <w:highlight w:val="none"/>
          <w:shd w:val="clear" w:color="auto" w:fill="auto"/>
        </w:rPr>
        <w:t>1）</w:t>
      </w:r>
      <w:r>
        <w:rPr>
          <w:rFonts w:hint="eastAsia" w:cs="仿宋"/>
          <w:color w:val="auto"/>
          <w:highlight w:val="none"/>
          <w:shd w:val="clear" w:color="auto" w:fill="auto"/>
        </w:rPr>
        <w:t>系统负载率指标</w:t>
      </w:r>
      <w:bookmarkEnd w:id="51"/>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任意30分钟内，服务器CPU的平均负荷率≤20%</w:t>
      </w:r>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任意30分钟内，监控主机CPU的平均负荷率≤15%</w:t>
      </w:r>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任意30分钟内，后台工作站CPU的平均负荷率≤15%</w:t>
      </w:r>
    </w:p>
    <w:p>
      <w:pPr>
        <w:pStyle w:val="50"/>
        <w:snapToGrid w:val="0"/>
        <w:spacing w:after="0" w:line="360" w:lineRule="auto"/>
        <w:ind w:left="454"/>
        <w:rPr>
          <w:rFonts w:cs="仿宋"/>
          <w:color w:val="auto"/>
          <w:highlight w:val="none"/>
          <w:shd w:val="clear" w:color="auto" w:fill="auto"/>
        </w:rPr>
      </w:pPr>
      <w:bookmarkStart w:id="52" w:name="_Toc479874618"/>
      <w:r>
        <w:rPr>
          <w:rFonts w:hint="eastAsia" w:cs="仿宋"/>
          <w:b/>
          <w:bCs/>
          <w:color w:val="auto"/>
          <w:highlight w:val="none"/>
          <w:shd w:val="clear" w:color="auto" w:fill="auto"/>
        </w:rPr>
        <w:t>2）</w:t>
      </w:r>
      <w:r>
        <w:rPr>
          <w:rFonts w:hint="eastAsia" w:cs="仿宋"/>
          <w:color w:val="auto"/>
          <w:highlight w:val="none"/>
          <w:shd w:val="clear" w:color="auto" w:fill="auto"/>
        </w:rPr>
        <w:t>数据采集和响应时间指标</w:t>
      </w:r>
      <w:bookmarkEnd w:id="52"/>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运行状态变位传送时间（从仪表到后台工作站显示）≤ 3s</w:t>
      </w:r>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运行参数变化传送时间（从仪表到后台工作站显示）≤ 3s</w:t>
      </w:r>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能耗数据变化传送时间（从仪表到后台工作站显示）≤ 3s</w:t>
      </w:r>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告警信息传送时间（从仪表到后台工作站显示）≤ 3s</w:t>
      </w:r>
    </w:p>
    <w:p>
      <w:pPr>
        <w:pStyle w:val="50"/>
        <w:snapToGrid w:val="0"/>
        <w:spacing w:after="0" w:line="360" w:lineRule="auto"/>
        <w:ind w:left="454"/>
        <w:rPr>
          <w:rFonts w:cs="仿宋"/>
          <w:color w:val="auto"/>
          <w:highlight w:val="none"/>
          <w:shd w:val="clear" w:color="auto" w:fill="auto"/>
        </w:rPr>
      </w:pPr>
      <w:bookmarkStart w:id="53" w:name="_Toc350867326"/>
      <w:bookmarkStart w:id="54" w:name="_Toc479874619"/>
      <w:bookmarkStart w:id="55" w:name="_Toc350847763"/>
      <w:r>
        <w:rPr>
          <w:rFonts w:hint="eastAsia" w:cs="仿宋"/>
          <w:b/>
          <w:bCs/>
          <w:color w:val="auto"/>
          <w:highlight w:val="none"/>
          <w:shd w:val="clear" w:color="auto" w:fill="auto"/>
        </w:rPr>
        <w:t>3）</w:t>
      </w:r>
      <w:r>
        <w:rPr>
          <w:rFonts w:hint="eastAsia" w:cs="仿宋"/>
          <w:color w:val="auto"/>
          <w:highlight w:val="none"/>
          <w:shd w:val="clear" w:color="auto" w:fill="auto"/>
        </w:rPr>
        <w:t>数据查询和刷新速度指标</w:t>
      </w:r>
      <w:bookmarkEnd w:id="53"/>
      <w:bookmarkEnd w:id="54"/>
      <w:bookmarkEnd w:id="55"/>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画面调用响应时间：90%的画面&lt;2s，其它画面&lt;4s</w:t>
      </w:r>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画面实时数据刷新周期≤ 2s</w:t>
      </w:r>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系统时钟同步精度≤ 3ms</w:t>
      </w:r>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告警事件分辨率</w:t>
      </w:r>
      <w:r>
        <w:rPr>
          <w:rFonts w:hint="eastAsia" w:cs="仿宋"/>
          <w:color w:val="auto"/>
          <w:highlight w:val="none"/>
          <w:shd w:val="clear" w:color="auto" w:fill="auto"/>
        </w:rPr>
        <w:sym w:font="Symbol" w:char="00A3"/>
      </w:r>
      <w:r>
        <w:rPr>
          <w:rFonts w:hint="eastAsia" w:cs="仿宋"/>
          <w:color w:val="auto"/>
          <w:highlight w:val="none"/>
          <w:shd w:val="clear" w:color="auto" w:fill="auto"/>
        </w:rPr>
        <w:t xml:space="preserve"> 3ms</w:t>
      </w:r>
    </w:p>
    <w:p>
      <w:pPr>
        <w:pStyle w:val="50"/>
        <w:snapToGrid w:val="0"/>
        <w:spacing w:after="0" w:line="360" w:lineRule="auto"/>
        <w:ind w:left="454"/>
        <w:rPr>
          <w:rFonts w:cs="仿宋"/>
          <w:color w:val="auto"/>
          <w:highlight w:val="none"/>
          <w:shd w:val="clear" w:color="auto" w:fill="auto"/>
        </w:rPr>
      </w:pPr>
      <w:bookmarkStart w:id="56" w:name="_Toc350847764"/>
      <w:bookmarkStart w:id="57" w:name="_Toc350867327"/>
      <w:bookmarkStart w:id="58" w:name="_Toc479874620"/>
      <w:r>
        <w:rPr>
          <w:rFonts w:hint="eastAsia" w:cs="仿宋"/>
          <w:b/>
          <w:bCs/>
          <w:color w:val="auto"/>
          <w:highlight w:val="none"/>
          <w:shd w:val="clear" w:color="auto" w:fill="auto"/>
        </w:rPr>
        <w:t>4）</w:t>
      </w:r>
      <w:r>
        <w:rPr>
          <w:rFonts w:hint="eastAsia" w:cs="仿宋"/>
          <w:color w:val="auto"/>
          <w:highlight w:val="none"/>
          <w:shd w:val="clear" w:color="auto" w:fill="auto"/>
        </w:rPr>
        <w:t>系统可用性和可靠性指标</w:t>
      </w:r>
      <w:bookmarkEnd w:id="56"/>
      <w:bookmarkEnd w:id="57"/>
      <w:bookmarkEnd w:id="58"/>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系统年可用率≥ 99.99%</w:t>
      </w:r>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服务器、工作站及网络设备的MTBF ≥ 50,000小时</w:t>
      </w:r>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运行参数、能耗数据采集准确率≥ 99.99%</w:t>
      </w:r>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运行状态正确率 = 100%</w:t>
      </w:r>
    </w:p>
    <w:p>
      <w:pPr>
        <w:pStyle w:val="50"/>
        <w:snapToGrid w:val="0"/>
        <w:spacing w:after="0" w:line="360" w:lineRule="auto"/>
        <w:ind w:left="454"/>
        <w:rPr>
          <w:rFonts w:cs="仿宋"/>
          <w:color w:val="auto"/>
          <w:highlight w:val="none"/>
          <w:shd w:val="clear" w:color="auto" w:fill="auto"/>
        </w:rPr>
      </w:pPr>
      <w:bookmarkStart w:id="59" w:name="_Toc479874621"/>
      <w:r>
        <w:rPr>
          <w:rFonts w:hint="eastAsia" w:cs="仿宋"/>
          <w:b/>
          <w:bCs/>
          <w:color w:val="auto"/>
          <w:highlight w:val="none"/>
          <w:shd w:val="clear" w:color="auto" w:fill="auto"/>
        </w:rPr>
        <w:t>5）</w:t>
      </w:r>
      <w:r>
        <w:rPr>
          <w:rFonts w:hint="eastAsia" w:cs="仿宋"/>
          <w:color w:val="auto"/>
          <w:highlight w:val="none"/>
          <w:shd w:val="clear" w:color="auto" w:fill="auto"/>
        </w:rPr>
        <w:t>系统可用性和可靠性指标</w:t>
      </w:r>
      <w:bookmarkEnd w:id="59"/>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双机自动切换时间≤ 30s</w:t>
      </w:r>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双网自动切换时间≤ 30s</w:t>
      </w:r>
    </w:p>
    <w:p>
      <w:pPr>
        <w:pStyle w:val="50"/>
        <w:snapToGrid w:val="0"/>
        <w:spacing w:after="0" w:line="360" w:lineRule="auto"/>
        <w:ind w:left="454"/>
        <w:rPr>
          <w:rFonts w:cs="仿宋"/>
          <w:color w:val="auto"/>
          <w:highlight w:val="none"/>
          <w:shd w:val="clear" w:color="auto" w:fill="auto"/>
        </w:rPr>
      </w:pPr>
      <w:bookmarkStart w:id="60" w:name="_Toc479874622"/>
      <w:r>
        <w:rPr>
          <w:rFonts w:hint="eastAsia" w:cs="仿宋"/>
          <w:b/>
          <w:bCs/>
          <w:color w:val="auto"/>
          <w:highlight w:val="none"/>
          <w:shd w:val="clear" w:color="auto" w:fill="auto"/>
        </w:rPr>
        <w:t>6）</w:t>
      </w:r>
      <w:r>
        <w:rPr>
          <w:rFonts w:hint="eastAsia" w:cs="仿宋"/>
          <w:color w:val="auto"/>
          <w:highlight w:val="none"/>
          <w:shd w:val="clear" w:color="auto" w:fill="auto"/>
        </w:rPr>
        <w:t>系统容量</w:t>
      </w:r>
      <w:bookmarkEnd w:id="60"/>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不少于600个计量数据点的接入能力</w:t>
      </w:r>
    </w:p>
    <w:p>
      <w:pPr>
        <w:pStyle w:val="50"/>
        <w:numPr>
          <w:ilvl w:val="0"/>
          <w:numId w:val="5"/>
        </w:numPr>
        <w:snapToGrid w:val="0"/>
        <w:spacing w:after="0" w:line="360" w:lineRule="auto"/>
        <w:rPr>
          <w:rFonts w:cs="仿宋"/>
          <w:color w:val="auto"/>
          <w:highlight w:val="none"/>
          <w:shd w:val="clear" w:color="auto" w:fill="auto"/>
        </w:rPr>
      </w:pPr>
      <w:r>
        <w:rPr>
          <w:rFonts w:hint="eastAsia" w:cs="仿宋"/>
          <w:color w:val="auto"/>
          <w:highlight w:val="none"/>
          <w:shd w:val="clear" w:color="auto" w:fill="auto"/>
        </w:rPr>
        <w:t>后续可扩展至不少于1500个计量数据点的接入能力</w:t>
      </w:r>
    </w:p>
    <w:p>
      <w:pPr>
        <w:pStyle w:val="29"/>
        <w:ind w:firstLine="0" w:firstLineChars="0"/>
        <w:outlineLvl w:val="0"/>
        <w:rPr>
          <w:rFonts w:eastAsia="仿宋" w:cs="仿宋"/>
          <w:b/>
          <w:bCs/>
          <w:color w:val="auto"/>
          <w:sz w:val="24"/>
          <w:highlight w:val="none"/>
          <w:shd w:val="clear" w:color="auto" w:fill="auto"/>
        </w:rPr>
      </w:pPr>
      <w:r>
        <w:rPr>
          <w:rFonts w:hint="eastAsia" w:eastAsia="仿宋" w:cs="仿宋"/>
          <w:b/>
          <w:bCs/>
          <w:color w:val="auto"/>
          <w:sz w:val="24"/>
          <w:highlight w:val="none"/>
          <w:shd w:val="clear" w:color="auto" w:fill="auto"/>
        </w:rPr>
        <w:t>4.8.微机保护</w:t>
      </w:r>
    </w:p>
    <w:p>
      <w:pPr>
        <w:spacing w:after="0" w:line="360" w:lineRule="auto"/>
        <w:ind w:firstLine="480" w:firstLineChars="200"/>
        <w:rPr>
          <w:color w:val="auto"/>
          <w:highlight w:val="none"/>
          <w:shd w:val="clear" w:color="auto" w:fill="auto"/>
        </w:rPr>
      </w:pPr>
      <w:r>
        <w:rPr>
          <w:rFonts w:hint="eastAsia"/>
          <w:color w:val="auto"/>
          <w:highlight w:val="none"/>
          <w:shd w:val="clear" w:color="auto" w:fill="auto"/>
        </w:rPr>
        <w:t>微机保护功能：大电流闭锁保护、相电流充电保护、相电流加速保护、速断保护、限时速断保护、过流保护(1段)、过负荷保护、反时限过流保护、零序过流保护(3段)、零序反时限保护、负序过流保护(1段) 、负序反时限保护、过电压保护(1段) 、低电压保护(1段) 、低压解列保护、过压保护(1段) 低压保护(1段) 、高周保护(1段) 、低周保护(1段) 、功率保护(1段) 、检同期功能、重合闸功能、绝缘监视、电动机运行状态判断、起动时间过长、过热保护、堵转保护、开关量保护(IN3～IN10)</w:t>
      </w:r>
    </w:p>
    <w:p>
      <w:pPr>
        <w:spacing w:after="0" w:line="360" w:lineRule="auto"/>
        <w:ind w:firstLine="480" w:firstLineChars="200"/>
        <w:rPr>
          <w:color w:val="auto"/>
          <w:highlight w:val="none"/>
          <w:shd w:val="clear" w:color="auto" w:fill="auto"/>
        </w:rPr>
      </w:pPr>
      <w:r>
        <w:rPr>
          <w:rFonts w:hint="eastAsia"/>
          <w:color w:val="auto"/>
          <w:highlight w:val="none"/>
          <w:shd w:val="clear" w:color="auto" w:fill="auto"/>
        </w:rPr>
        <w:t>测量：相电压、线电压、相电流、频率、有功功率、无功功率、视在功率、功率因数等</w:t>
      </w:r>
    </w:p>
    <w:p>
      <w:pPr>
        <w:spacing w:after="0" w:line="360" w:lineRule="auto"/>
        <w:ind w:firstLine="480" w:firstLineChars="200"/>
        <w:rPr>
          <w:color w:val="auto"/>
          <w:highlight w:val="none"/>
          <w:shd w:val="clear" w:color="auto" w:fill="auto"/>
        </w:rPr>
      </w:pPr>
      <w:r>
        <w:rPr>
          <w:rFonts w:hint="eastAsia"/>
          <w:color w:val="auto"/>
          <w:highlight w:val="none"/>
          <w:shd w:val="clear" w:color="auto" w:fill="auto"/>
        </w:rPr>
        <w:t>计量：正向/反向有功电能、正向/反向无功电能；电能数据可通过装置维护菜单设置电能初值或者清零</w:t>
      </w:r>
    </w:p>
    <w:p>
      <w:pPr>
        <w:spacing w:after="0" w:line="360" w:lineRule="auto"/>
        <w:ind w:firstLine="480" w:firstLineChars="200"/>
        <w:rPr>
          <w:color w:val="auto"/>
          <w:highlight w:val="none"/>
          <w:shd w:val="clear" w:color="auto" w:fill="auto"/>
        </w:rPr>
      </w:pPr>
      <w:r>
        <w:rPr>
          <w:rFonts w:hint="eastAsia"/>
          <w:color w:val="auto"/>
          <w:highlight w:val="none"/>
          <w:shd w:val="clear" w:color="auto" w:fill="auto"/>
        </w:rPr>
        <w:t>输入输出</w:t>
      </w:r>
    </w:p>
    <w:p>
      <w:pPr>
        <w:spacing w:after="0" w:line="360" w:lineRule="auto"/>
        <w:ind w:firstLine="480" w:firstLineChars="200"/>
        <w:rPr>
          <w:color w:val="auto"/>
          <w:highlight w:val="none"/>
          <w:shd w:val="clear" w:color="auto" w:fill="auto"/>
        </w:rPr>
      </w:pPr>
      <w:r>
        <w:rPr>
          <w:rFonts w:hint="eastAsia"/>
          <w:color w:val="auto"/>
          <w:highlight w:val="none"/>
          <w:shd w:val="clear" w:color="auto" w:fill="auto"/>
        </w:rPr>
        <w:t xml:space="preserve">4路电压输入：三相电压(VA、VB、VC)、辅助电压(VX) </w:t>
      </w:r>
    </w:p>
    <w:p>
      <w:pPr>
        <w:spacing w:after="0" w:line="360" w:lineRule="auto"/>
        <w:ind w:firstLine="480" w:firstLineChars="200"/>
        <w:rPr>
          <w:color w:val="auto"/>
          <w:highlight w:val="none"/>
          <w:shd w:val="clear" w:color="auto" w:fill="auto"/>
        </w:rPr>
      </w:pPr>
      <w:r>
        <w:rPr>
          <w:rFonts w:hint="eastAsia"/>
          <w:color w:val="auto"/>
          <w:highlight w:val="none"/>
          <w:shd w:val="clear" w:color="auto" w:fill="auto"/>
        </w:rPr>
        <w:t xml:space="preserve">4路电流输入：保护电流(IA、IB、IC)、零序电流(IN) </w:t>
      </w:r>
    </w:p>
    <w:p>
      <w:pPr>
        <w:spacing w:after="0" w:line="360" w:lineRule="auto"/>
        <w:ind w:firstLine="480" w:firstLineChars="200"/>
        <w:rPr>
          <w:color w:val="auto"/>
          <w:highlight w:val="none"/>
          <w:shd w:val="clear" w:color="auto" w:fill="auto"/>
        </w:rPr>
      </w:pPr>
      <w:r>
        <w:rPr>
          <w:rFonts w:hint="eastAsia"/>
          <w:color w:val="auto"/>
          <w:highlight w:val="none"/>
          <w:shd w:val="clear" w:color="auto" w:fill="auto"/>
        </w:rPr>
        <w:t xml:space="preserve">10路开关量输入：IN1～IN10(IN1为合闸回路监视，IN2为跳闸回路监视) </w:t>
      </w:r>
    </w:p>
    <w:p>
      <w:pPr>
        <w:spacing w:after="0" w:line="360" w:lineRule="auto"/>
        <w:ind w:firstLine="480" w:firstLineChars="200"/>
        <w:rPr>
          <w:color w:val="auto"/>
          <w:highlight w:val="none"/>
          <w:shd w:val="clear" w:color="auto" w:fill="auto"/>
        </w:rPr>
      </w:pPr>
      <w:r>
        <w:rPr>
          <w:rFonts w:hint="eastAsia"/>
          <w:color w:val="auto"/>
          <w:highlight w:val="none"/>
          <w:shd w:val="clear" w:color="auto" w:fill="auto"/>
        </w:rPr>
        <w:t>多路继电器输出：Alarm、OUT1～OUT5（不带操作板）、 OUT1～OUT6（带操作板）</w:t>
      </w:r>
    </w:p>
    <w:p>
      <w:pPr>
        <w:spacing w:after="0" w:line="360" w:lineRule="auto"/>
        <w:rPr>
          <w:color w:val="auto"/>
          <w:highlight w:val="none"/>
          <w:shd w:val="clear" w:color="auto" w:fill="auto"/>
        </w:rPr>
      </w:pPr>
      <w:r>
        <w:rPr>
          <w:rFonts w:hint="eastAsia"/>
          <w:color w:val="auto"/>
          <w:highlight w:val="none"/>
          <w:shd w:val="clear" w:color="auto" w:fill="auto"/>
        </w:rPr>
        <w:t>记录功能</w:t>
      </w:r>
    </w:p>
    <w:p>
      <w:pPr>
        <w:spacing w:after="0" w:line="360" w:lineRule="auto"/>
        <w:rPr>
          <w:color w:val="auto"/>
          <w:highlight w:val="none"/>
          <w:shd w:val="clear" w:color="auto" w:fill="auto"/>
        </w:rPr>
      </w:pPr>
      <w:r>
        <w:rPr>
          <w:rFonts w:hint="eastAsia"/>
          <w:color w:val="auto"/>
          <w:highlight w:val="none"/>
          <w:shd w:val="clear" w:color="auto" w:fill="auto"/>
        </w:rPr>
        <w:t>事件记录</w:t>
      </w:r>
    </w:p>
    <w:p>
      <w:pPr>
        <w:spacing w:after="0" w:line="360" w:lineRule="auto"/>
        <w:rPr>
          <w:color w:val="auto"/>
          <w:highlight w:val="none"/>
          <w:shd w:val="clear" w:color="auto" w:fill="auto"/>
        </w:rPr>
      </w:pPr>
      <w:r>
        <w:rPr>
          <w:rFonts w:hint="eastAsia"/>
          <w:color w:val="auto"/>
          <w:highlight w:val="none"/>
          <w:shd w:val="clear" w:color="auto" w:fill="auto"/>
        </w:rPr>
        <w:t>256个支持分类查询的SOE功能</w:t>
      </w:r>
    </w:p>
    <w:p>
      <w:pPr>
        <w:spacing w:after="0" w:line="360" w:lineRule="auto"/>
        <w:rPr>
          <w:color w:val="auto"/>
          <w:highlight w:val="none"/>
          <w:shd w:val="clear" w:color="auto" w:fill="auto"/>
        </w:rPr>
      </w:pPr>
      <w:r>
        <w:rPr>
          <w:rFonts w:hint="eastAsia"/>
          <w:color w:val="auto"/>
          <w:highlight w:val="none"/>
          <w:shd w:val="clear" w:color="auto" w:fill="auto"/>
        </w:rPr>
        <w:t>包括遥信变位记录、保护事件记录、装置自检记录、装置操作记录</w:t>
      </w:r>
    </w:p>
    <w:p>
      <w:pPr>
        <w:spacing w:after="0" w:line="360" w:lineRule="auto"/>
        <w:rPr>
          <w:color w:val="auto"/>
          <w:highlight w:val="none"/>
          <w:shd w:val="clear" w:color="auto" w:fill="auto"/>
        </w:rPr>
      </w:pPr>
      <w:r>
        <w:rPr>
          <w:rFonts w:hint="eastAsia"/>
          <w:color w:val="auto"/>
          <w:highlight w:val="none"/>
          <w:shd w:val="clear" w:color="auto" w:fill="auto"/>
        </w:rPr>
        <w:t>故障录波</w:t>
      </w:r>
    </w:p>
    <w:p>
      <w:pPr>
        <w:spacing w:after="0" w:line="360" w:lineRule="auto"/>
        <w:rPr>
          <w:color w:val="auto"/>
          <w:highlight w:val="none"/>
          <w:shd w:val="clear" w:color="auto" w:fill="auto"/>
        </w:rPr>
      </w:pPr>
      <w:r>
        <w:rPr>
          <w:rFonts w:hint="eastAsia"/>
          <w:color w:val="auto"/>
          <w:highlight w:val="none"/>
          <w:shd w:val="clear" w:color="auto" w:fill="auto"/>
        </w:rPr>
        <w:t>保留最近发生的8次故障录波波形</w:t>
      </w:r>
    </w:p>
    <w:p>
      <w:pPr>
        <w:spacing w:after="0" w:line="360" w:lineRule="auto"/>
        <w:rPr>
          <w:color w:val="auto"/>
          <w:highlight w:val="none"/>
          <w:shd w:val="clear" w:color="auto" w:fill="auto"/>
        </w:rPr>
      </w:pPr>
      <w:r>
        <w:rPr>
          <w:rFonts w:hint="eastAsia"/>
          <w:color w:val="auto"/>
          <w:highlight w:val="none"/>
          <w:shd w:val="clear" w:color="auto" w:fill="auto"/>
        </w:rPr>
        <w:t>故障录波总长度为50个（故障前5个周波、故障后45个周波）</w:t>
      </w:r>
    </w:p>
    <w:p>
      <w:pPr>
        <w:spacing w:after="0" w:line="360" w:lineRule="auto"/>
        <w:rPr>
          <w:color w:val="auto"/>
          <w:highlight w:val="none"/>
          <w:shd w:val="clear" w:color="auto" w:fill="auto"/>
        </w:rPr>
      </w:pPr>
      <w:r>
        <w:rPr>
          <w:rFonts w:hint="eastAsia"/>
          <w:color w:val="auto"/>
          <w:highlight w:val="none"/>
          <w:shd w:val="clear" w:color="auto" w:fill="auto"/>
        </w:rPr>
        <w:t>兼容COMTRADE格式录波文件输出</w:t>
      </w:r>
    </w:p>
    <w:p>
      <w:pPr>
        <w:spacing w:after="0" w:line="360" w:lineRule="auto"/>
        <w:rPr>
          <w:color w:val="auto"/>
          <w:highlight w:val="none"/>
          <w:shd w:val="clear" w:color="auto" w:fill="auto"/>
        </w:rPr>
      </w:pPr>
      <w:r>
        <w:rPr>
          <w:rFonts w:hint="eastAsia"/>
          <w:color w:val="auto"/>
          <w:highlight w:val="none"/>
          <w:shd w:val="clear" w:color="auto" w:fill="auto"/>
        </w:rPr>
        <w:t>支持遥控触发故障录波</w:t>
      </w:r>
    </w:p>
    <w:p>
      <w:pPr>
        <w:spacing w:after="0" w:line="360" w:lineRule="auto"/>
        <w:rPr>
          <w:color w:val="auto"/>
          <w:highlight w:val="none"/>
          <w:shd w:val="clear" w:color="auto" w:fill="auto"/>
        </w:rPr>
      </w:pPr>
      <w:r>
        <w:rPr>
          <w:rFonts w:hint="eastAsia"/>
          <w:color w:val="auto"/>
          <w:highlight w:val="none"/>
          <w:shd w:val="clear" w:color="auto" w:fill="auto"/>
        </w:rPr>
        <w:t>起动报告</w:t>
      </w:r>
    </w:p>
    <w:p>
      <w:pPr>
        <w:spacing w:after="0" w:line="360" w:lineRule="auto"/>
        <w:rPr>
          <w:color w:val="auto"/>
          <w:highlight w:val="none"/>
          <w:shd w:val="clear" w:color="auto" w:fill="auto"/>
        </w:rPr>
      </w:pPr>
      <w:r>
        <w:rPr>
          <w:rFonts w:hint="eastAsia"/>
          <w:color w:val="auto"/>
          <w:highlight w:val="none"/>
          <w:shd w:val="clear" w:color="auto" w:fill="auto"/>
        </w:rPr>
        <w:t>电动机每次起动时，装置会产生一个起动报告，可通信读取。</w:t>
      </w:r>
    </w:p>
    <w:p>
      <w:pPr>
        <w:spacing w:after="0" w:line="360" w:lineRule="auto"/>
        <w:rPr>
          <w:color w:val="auto"/>
          <w:highlight w:val="none"/>
          <w:shd w:val="clear" w:color="auto" w:fill="auto"/>
        </w:rPr>
      </w:pPr>
      <w:r>
        <w:rPr>
          <w:rFonts w:hint="eastAsia"/>
          <w:color w:val="auto"/>
          <w:highlight w:val="none"/>
          <w:shd w:val="clear" w:color="auto" w:fill="auto"/>
        </w:rPr>
        <w:t>通信功能</w:t>
      </w:r>
    </w:p>
    <w:p>
      <w:pPr>
        <w:spacing w:after="0" w:line="360" w:lineRule="auto"/>
        <w:rPr>
          <w:b/>
          <w:bCs/>
          <w:color w:val="auto"/>
          <w:highlight w:val="none"/>
          <w:shd w:val="clear" w:color="auto" w:fill="auto"/>
        </w:rPr>
      </w:pPr>
      <w:r>
        <w:rPr>
          <w:rFonts w:hint="eastAsia" w:cs="仿宋"/>
          <w:b/>
          <w:bCs/>
          <w:color w:val="auto"/>
          <w:szCs w:val="21"/>
          <w:highlight w:val="none"/>
          <w:shd w:val="clear" w:color="auto" w:fill="auto"/>
        </w:rPr>
        <w:t>■</w:t>
      </w:r>
      <w:r>
        <w:rPr>
          <w:rFonts w:hint="eastAsia"/>
          <w:b/>
          <w:bCs/>
          <w:color w:val="auto"/>
          <w:highlight w:val="none"/>
          <w:shd w:val="clear" w:color="auto" w:fill="auto"/>
        </w:rPr>
        <w:t>支持MODBUS-RTU协议和IEC 60870-5-103协议，装置支持软件对时，装置内部时钟24小时误差小于 1s，精度在100ms左右</w:t>
      </w:r>
    </w:p>
    <w:p>
      <w:pPr>
        <w:spacing w:after="0" w:line="360" w:lineRule="auto"/>
        <w:rPr>
          <w:b/>
          <w:bCs/>
          <w:color w:val="auto"/>
          <w:highlight w:val="none"/>
          <w:shd w:val="clear" w:color="auto" w:fill="auto"/>
        </w:rPr>
      </w:pPr>
      <w:r>
        <w:rPr>
          <w:rFonts w:hint="eastAsia" w:cs="仿宋"/>
          <w:b/>
          <w:bCs/>
          <w:color w:val="auto"/>
          <w:szCs w:val="21"/>
          <w:highlight w:val="none"/>
          <w:shd w:val="clear" w:color="auto" w:fill="auto"/>
        </w:rPr>
        <w:t>■</w:t>
      </w:r>
      <w:r>
        <w:rPr>
          <w:rFonts w:hint="eastAsia"/>
          <w:b/>
          <w:bCs/>
          <w:color w:val="auto"/>
          <w:highlight w:val="none"/>
          <w:shd w:val="clear" w:color="auto" w:fill="auto"/>
        </w:rPr>
        <w:t>需提供设备厂家针对本项目的授权及承诺函。</w:t>
      </w:r>
    </w:p>
    <w:p>
      <w:pPr>
        <w:pStyle w:val="82"/>
        <w:spacing w:line="360" w:lineRule="auto"/>
        <w:outlineLvl w:val="0"/>
        <w:rPr>
          <w:rFonts w:ascii="仿宋" w:hAnsi="仿宋" w:eastAsia="仿宋" w:cs="仿宋"/>
          <w:b/>
          <w:color w:val="auto"/>
          <w:sz w:val="24"/>
          <w:szCs w:val="28"/>
          <w:highlight w:val="none"/>
          <w:u w:val="single"/>
          <w:shd w:val="clear" w:color="auto" w:fill="auto"/>
        </w:rPr>
      </w:pPr>
      <w:r>
        <w:rPr>
          <w:rFonts w:hint="eastAsia" w:ascii="仿宋" w:hAnsi="仿宋" w:eastAsia="仿宋" w:cs="仿宋"/>
          <w:b/>
          <w:color w:val="auto"/>
          <w:sz w:val="24"/>
          <w:szCs w:val="28"/>
          <w:highlight w:val="none"/>
          <w:shd w:val="clear" w:color="auto" w:fill="auto"/>
        </w:rPr>
        <w:t>4.9.光伏电站技术要点</w:t>
      </w:r>
    </w:p>
    <w:p>
      <w:pPr>
        <w:snapToGrid w:val="0"/>
        <w:spacing w:after="0" w:line="360" w:lineRule="auto"/>
        <w:outlineLvl w:val="1"/>
        <w:rPr>
          <w:rFonts w:cs="仿宋"/>
          <w:b/>
          <w:color w:val="auto"/>
          <w:highlight w:val="none"/>
          <w:shd w:val="clear" w:color="auto" w:fill="auto"/>
        </w:rPr>
      </w:pPr>
      <w:r>
        <w:rPr>
          <w:rFonts w:hint="eastAsia" w:cs="仿宋"/>
          <w:b/>
          <w:color w:val="auto"/>
          <w:highlight w:val="none"/>
          <w:shd w:val="clear" w:color="auto" w:fill="auto"/>
        </w:rPr>
        <w:t>4.9.1标准和规范</w:t>
      </w:r>
    </w:p>
    <w:p>
      <w:pPr>
        <w:pStyle w:val="82"/>
        <w:adjustRightInd w:val="0"/>
        <w:spacing w:line="360" w:lineRule="auto"/>
        <w:ind w:firstLine="480" w:firstLineChars="200"/>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设计、设备、材料和施工安装工艺符合下列有关法律法规、规范、标准</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 《光伏电站接入电网技术规定》Q/GDW617</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(2)  (光伏发电站接入电力系统技术规定》GB/T19964</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(3) 《光伏发电站无功补偿技术规范》 GB/T19964</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(4) 《电能质量三相电压不平衡》GB/T15543</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(5) 《电能质量供电电压偏差》GB/T12325</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(6) 《电能质量公用电网谐波》GB/T14549</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(7) 《电能质量电力系统频率偏差》GB/T15945</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(8) 《继电保护和安全自动装置技术规程》GB/T14285</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(9) 《电力系统调度自动化设计技术规程》DL/T5003</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(10)《电力系统通信系统设计内容深度规定》DLGJ165</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(11)《光伏发电站设计规范》GB50797</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(12)《20kW及以下变电所设计规范》GB/50053</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(13)《光伏发电站无功补偿技术规范》GB/T29321</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(14)《电力系统调度自动化设计技术规程》DL/T5003</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(15)《建筑结构荷载规范》(CB50009-2012)</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(16)《钢结构设计标准》(GB50017-2017)</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(17)《冷弯薄壁型钢结构技术规范》(GB50018-2002)</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(18)《铝合金结构设计规范》(GB50429-2007)</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(19)《结构工程工质量会收规范》(GB50205-2020)</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(20)《光伏发电站施工规范》(GB50794-2012)</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(21)《光伏发电站设计规范》(GB50797-2012)</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(22)《构筑物抗震设计规程》(GB50191-2012)</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(23)《建筑地基基础工程施工质量验收规范》(GB50202-2002)</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(24)《混凝土结构设计规范》(GB50010-2010)(2015版)</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(25)国家电网公司文件《分布式光伏发电项目接入系统典型设计》</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(26)《光伏发电站设计规范》GB50797-2012</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(27)《建筑物防图雷设时规范》GB50057-2010</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(28)《电力工程电缆设计规范》 GB50217-2007</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(29)《光伏电站接入电网技术规定》 Q/GDW617-2011</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(30)《光伏发电站接入电力系统技术规定》 GB/T19964-2012</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(31)《民用建筑太阳能光代系统应用技术规范》 JGJ203-2010</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(32)《光伏(PV)发电系统过电压保护导则》SJ/T11127-1997</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结构、土建等相关专业提供的图纸及设计规范</w:t>
      </w:r>
    </w:p>
    <w:p>
      <w:pPr>
        <w:pStyle w:val="82"/>
        <w:adjustRightInd w:val="0"/>
        <w:spacing w:line="360" w:lineRule="auto"/>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其他现行的国家、省、市相关节能标准、规范。</w:t>
      </w:r>
    </w:p>
    <w:p>
      <w:pPr>
        <w:pStyle w:val="82"/>
        <w:spacing w:line="360" w:lineRule="auto"/>
        <w:ind w:firstLine="482" w:firstLineChars="200"/>
        <w:outlineLvl w:val="1"/>
        <w:rPr>
          <w:rFonts w:ascii="仿宋" w:hAnsi="仿宋" w:eastAsia="仿宋" w:cs="仿宋"/>
          <w:b/>
          <w:color w:val="auto"/>
          <w:sz w:val="24"/>
          <w:highlight w:val="none"/>
          <w:shd w:val="clear" w:color="auto" w:fill="auto"/>
        </w:rPr>
      </w:pPr>
      <w:r>
        <w:rPr>
          <w:rFonts w:hint="eastAsia" w:ascii="仿宋" w:hAnsi="仿宋" w:eastAsia="仿宋" w:cs="仿宋"/>
          <w:b/>
          <w:color w:val="auto"/>
          <w:sz w:val="24"/>
          <w:highlight w:val="none"/>
          <w:shd w:val="clear" w:color="auto" w:fill="auto"/>
        </w:rPr>
        <w:t>4.9.2技术要点</w:t>
      </w:r>
    </w:p>
    <w:p>
      <w:pPr>
        <w:pStyle w:val="82"/>
        <w:adjustRightInd w:val="0"/>
        <w:spacing w:line="360" w:lineRule="auto"/>
        <w:ind w:firstLine="480" w:firstLineChars="200"/>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太阳能光伏发电属国家大力支持的可再生能源产业，具有明显的环保和节能效果。光伏发电是直接利用太阳能发电的一项高新技术，它具有许多优点，如：安全可靠、无噪声、无污染，能量随处可得，不受地域限制，无需消耗燃料，无机械转动部件，故障率低，维护简便，可以无人值守，建站周期短，规模大小随意，无需额外架设输电线路，可以方便地与建筑物相结合等。这些优点都是常规发电和其他发电方式所不可比拟的。本项目技术上有如下特点：</w:t>
      </w:r>
    </w:p>
    <w:p>
      <w:pPr>
        <w:pStyle w:val="82"/>
        <w:adjustRightInd w:val="0"/>
        <w:spacing w:line="360" w:lineRule="auto"/>
        <w:ind w:firstLine="480" w:firstLineChars="200"/>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可靠性高：设备余量充分，系统配置先进、合理，设备、部件质量可靠。</w:t>
      </w:r>
    </w:p>
    <w:p>
      <w:pPr>
        <w:pStyle w:val="82"/>
        <w:adjustRightInd w:val="0"/>
        <w:spacing w:line="360" w:lineRule="auto"/>
        <w:ind w:firstLine="480" w:firstLineChars="200"/>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通用性强：设备选型尽可能一致，互换性好，维修方便。通信接口、监控软件、充电接口配置一致，兼容性好,便于管理。</w:t>
      </w:r>
    </w:p>
    <w:p>
      <w:pPr>
        <w:pStyle w:val="82"/>
        <w:adjustRightInd w:val="0"/>
        <w:spacing w:line="360" w:lineRule="auto"/>
        <w:ind w:firstLine="480" w:firstLineChars="200"/>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安全性好：着重解决防雷击、抗大风、防火、防爆、防触电和关键设备的防寒、防人为破坏等安全问题。</w:t>
      </w:r>
    </w:p>
    <w:p>
      <w:pPr>
        <w:pStyle w:val="82"/>
        <w:adjustRightInd w:val="0"/>
        <w:spacing w:line="360" w:lineRule="auto"/>
        <w:ind w:firstLine="480" w:firstLineChars="200"/>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操作性好：自动化程度高，监控界面好，平时能做到无人值守，设备做到免维护或少维护。</w:t>
      </w:r>
    </w:p>
    <w:p>
      <w:pPr>
        <w:pStyle w:val="82"/>
        <w:adjustRightInd w:val="0"/>
        <w:spacing w:line="360" w:lineRule="auto"/>
        <w:ind w:firstLine="480" w:firstLineChars="200"/>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直观可视性好：现场安装有显示屏，可实时显示电站的发电量、太阳辐射、温度、瞬时功率以及二氧化碳减排量。</w:t>
      </w:r>
    </w:p>
    <w:p>
      <w:pPr>
        <w:pStyle w:val="82"/>
        <w:adjustRightInd w:val="0"/>
        <w:spacing w:line="360" w:lineRule="auto"/>
        <w:ind w:firstLine="480" w:firstLineChars="200"/>
        <w:rPr>
          <w:rFonts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rPr>
        <w:t>性能价格比高：在设备选型和土建工程设计中，在保证系统质量、性能的前提下，尽量采用性价比最优的设备，注重经济性和实用性，以节省项目费用，减少投资。</w:t>
      </w:r>
    </w:p>
    <w:p>
      <w:pPr>
        <w:spacing w:after="0" w:line="360" w:lineRule="auto"/>
        <w:outlineLvl w:val="1"/>
        <w:rPr>
          <w:rFonts w:cs="仿宋"/>
          <w:b/>
          <w:color w:val="auto"/>
          <w:highlight w:val="none"/>
          <w:shd w:val="clear" w:color="auto" w:fill="auto"/>
        </w:rPr>
      </w:pPr>
      <w:r>
        <w:rPr>
          <w:rFonts w:hint="eastAsia" w:cs="仿宋"/>
          <w:b/>
          <w:color w:val="auto"/>
          <w:highlight w:val="none"/>
          <w:shd w:val="clear" w:color="auto" w:fill="auto"/>
        </w:rPr>
        <w:t>4.9.3光伏电站的设备配置</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（1）并网太阳能光伏电站应由太阳能电池组件、支架、交直流配电设备、逆变器、电缆及避雷装置等主要设备组成。</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（2）逆变器输入端应具有过流过压保护措施，输出端应具有电网电压和电流自动捕捉功能。</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（3）能将电源系统的各种信息传送至远端达到即时动态显示效果，并能在远端进行遥测、遥控的电源监控系统。数据通讯接口RS485/以太网，具有完善的数据采集、远程监控、故障诊断功能。</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（4）设计方案需通过系统设计，体现系统中主要设备的匹配过程、选优过程，最后确定集成方案。</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（5）系统设计必须有解决发生“孤岛效应”的应急措施和相关方案。</w:t>
      </w:r>
    </w:p>
    <w:p>
      <w:pPr>
        <w:spacing w:after="0" w:line="360" w:lineRule="auto"/>
        <w:outlineLvl w:val="1"/>
        <w:rPr>
          <w:rFonts w:cs="仿宋"/>
          <w:b/>
          <w:color w:val="auto"/>
          <w:highlight w:val="none"/>
          <w:shd w:val="clear" w:color="auto" w:fill="auto"/>
        </w:rPr>
      </w:pPr>
      <w:r>
        <w:rPr>
          <w:rFonts w:hint="eastAsia" w:cs="仿宋"/>
          <w:b/>
          <w:color w:val="auto"/>
          <w:highlight w:val="none"/>
          <w:shd w:val="clear" w:color="auto" w:fill="auto"/>
        </w:rPr>
        <w:t>4.9.4、其他事项说明</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1、未列技术指标及参数按国家有关光电建筑规范执行。</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2，为更好的做好本项目工程施工，建议您到实地勘察及与业主及时沟通。</w:t>
      </w:r>
    </w:p>
    <w:p>
      <w:pPr>
        <w:spacing w:after="0" w:line="360" w:lineRule="auto"/>
        <w:outlineLvl w:val="1"/>
        <w:rPr>
          <w:rFonts w:cs="仿宋"/>
          <w:b/>
          <w:color w:val="auto"/>
          <w:highlight w:val="none"/>
          <w:shd w:val="clear" w:color="auto" w:fill="auto"/>
        </w:rPr>
      </w:pPr>
      <w:r>
        <w:rPr>
          <w:rFonts w:hint="eastAsia" w:cs="仿宋"/>
          <w:b/>
          <w:color w:val="auto"/>
          <w:highlight w:val="none"/>
          <w:shd w:val="clear" w:color="auto" w:fill="auto"/>
        </w:rPr>
        <w:t>4.9.5、工程设计及施工使用的规范</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1、《陆地用太阳能电池组件总规范》。</w:t>
      </w:r>
    </w:p>
    <w:p>
      <w:pPr>
        <w:spacing w:after="0" w:line="360" w:lineRule="auto"/>
        <w:ind w:firstLine="480" w:firstLineChars="200"/>
        <w:rPr>
          <w:rFonts w:cs="仿宋"/>
          <w:color w:val="auto"/>
          <w:highlight w:val="none"/>
          <w:shd w:val="clear" w:color="auto" w:fill="auto"/>
          <w:lang w:val="zh-CN"/>
        </w:rPr>
      </w:pPr>
      <w:r>
        <w:rPr>
          <w:rFonts w:hint="eastAsia" w:cs="仿宋"/>
          <w:color w:val="auto"/>
          <w:highlight w:val="none"/>
          <w:shd w:val="clear" w:color="auto" w:fill="auto"/>
        </w:rPr>
        <w:t>2、《光伏组件的测试认证规范》。</w:t>
      </w:r>
    </w:p>
    <w:p>
      <w:pPr>
        <w:spacing w:after="0" w:line="360" w:lineRule="auto"/>
        <w:outlineLvl w:val="1"/>
        <w:rPr>
          <w:rFonts w:cs="仿宋"/>
          <w:b/>
          <w:color w:val="auto"/>
          <w:highlight w:val="none"/>
          <w:shd w:val="clear" w:color="auto" w:fill="auto"/>
        </w:rPr>
      </w:pPr>
      <w:r>
        <w:rPr>
          <w:rFonts w:hint="eastAsia" w:cs="仿宋"/>
          <w:b/>
          <w:color w:val="auto"/>
          <w:highlight w:val="none"/>
          <w:shd w:val="clear" w:color="auto" w:fill="auto"/>
        </w:rPr>
        <w:t>4.9.6、验收</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1、中标供应商按照要求进行设计、制作、安装、施工，满足维护范围的要求直至通过采购人组织的验收，验收过程中，如有不满足维护清单、采购文件规定要求及不符合国家相关规范要求的，由中标供应商负责整改，费用自理；</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2、中标供应商应提供设备的有效检验文件，经采购人认可后，与合同的性能指标一起作为设备验收标准，采购人对设备验收合格后，双方共同签署验收合格证书，验收中发现设备达不到验收标准或合同规定的性能指标，中标供应商必须无条件更换设备，并负担由此给用户造成的损失，直到验收合格为止。</w:t>
      </w:r>
    </w:p>
    <w:p>
      <w:pPr>
        <w:pStyle w:val="13"/>
        <w:spacing w:after="0" w:line="360" w:lineRule="auto"/>
        <w:rPr>
          <w:color w:val="auto"/>
          <w:highlight w:val="none"/>
          <w:shd w:val="clear" w:color="auto" w:fill="auto"/>
        </w:rPr>
      </w:pPr>
    </w:p>
    <w:p>
      <w:pPr>
        <w:adjustRightInd w:val="0"/>
        <w:snapToGrid w:val="0"/>
        <w:spacing w:after="0" w:line="360" w:lineRule="auto"/>
        <w:rPr>
          <w:rFonts w:cs="仿宋"/>
          <w:b/>
          <w:bCs/>
          <w:color w:val="auto"/>
          <w:sz w:val="28"/>
          <w:szCs w:val="28"/>
          <w:highlight w:val="none"/>
          <w:shd w:val="clear" w:color="auto" w:fill="auto"/>
        </w:rPr>
      </w:pPr>
      <w:r>
        <w:rPr>
          <w:rFonts w:hint="eastAsia" w:cs="仿宋"/>
          <w:b/>
          <w:bCs/>
          <w:color w:val="auto"/>
          <w:sz w:val="28"/>
          <w:szCs w:val="28"/>
          <w:highlight w:val="none"/>
          <w:shd w:val="clear" w:color="auto" w:fill="auto"/>
        </w:rPr>
        <w:t>（二）商务需求</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1.交货时间及地点</w:t>
      </w:r>
    </w:p>
    <w:p>
      <w:pPr>
        <w:spacing w:after="0" w:line="360" w:lineRule="auto"/>
        <w:ind w:firstLine="235" w:firstLineChars="98"/>
        <w:rPr>
          <w:rFonts w:cs="仿宋"/>
          <w:b/>
          <w:bCs/>
          <w:color w:val="auto"/>
          <w:highlight w:val="none"/>
          <w:shd w:val="clear" w:color="auto" w:fill="auto"/>
        </w:rPr>
      </w:pPr>
      <w:r>
        <w:rPr>
          <w:rFonts w:hint="eastAsia" w:cs="仿宋"/>
          <w:color w:val="auto"/>
          <w:highlight w:val="none"/>
          <w:shd w:val="clear" w:color="auto" w:fill="auto"/>
        </w:rPr>
        <w:t>▲</w:t>
      </w:r>
      <w:r>
        <w:rPr>
          <w:rFonts w:hint="eastAsia" w:cs="仿宋"/>
          <w:b/>
          <w:color w:val="auto"/>
          <w:highlight w:val="none"/>
          <w:shd w:val="clear" w:color="auto" w:fill="auto"/>
        </w:rPr>
        <w:t>(1)</w:t>
      </w:r>
      <w:r>
        <w:rPr>
          <w:rFonts w:hint="eastAsia" w:cs="仿宋"/>
          <w:color w:val="auto"/>
          <w:highlight w:val="none"/>
          <w:shd w:val="clear" w:color="auto" w:fill="auto"/>
        </w:rPr>
        <w:t>交货期：合同签订后，在三个月内</w:t>
      </w:r>
      <w:r>
        <w:rPr>
          <w:rFonts w:hint="eastAsia" w:cs="仿宋"/>
          <w:b/>
          <w:bCs/>
          <w:color w:val="auto"/>
          <w:highlight w:val="none"/>
          <w:shd w:val="clear" w:color="auto" w:fill="auto"/>
        </w:rPr>
        <w:t>完成所有设备的安装、调试工作。</w:t>
      </w:r>
    </w:p>
    <w:p>
      <w:pPr>
        <w:spacing w:after="0" w:line="360" w:lineRule="auto"/>
        <w:ind w:firstLine="352" w:firstLineChars="147"/>
        <w:rPr>
          <w:rFonts w:cs="仿宋"/>
          <w:color w:val="auto"/>
          <w:highlight w:val="none"/>
          <w:shd w:val="clear" w:color="auto" w:fill="auto"/>
        </w:rPr>
      </w:pPr>
      <w:r>
        <w:rPr>
          <w:rFonts w:hint="eastAsia" w:cs="仿宋"/>
          <w:color w:val="auto"/>
          <w:highlight w:val="none"/>
          <w:shd w:val="clear" w:color="auto" w:fill="auto"/>
        </w:rPr>
        <w:t xml:space="preserve"> (2)交货地点：采购人指定地点内。</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2.质量保证</w:t>
      </w:r>
    </w:p>
    <w:p>
      <w:pPr>
        <w:snapToGrid w:val="0"/>
        <w:spacing w:after="0" w:line="360" w:lineRule="auto"/>
        <w:ind w:firstLine="470" w:firstLineChars="196"/>
        <w:rPr>
          <w:rFonts w:cs="仿宋"/>
          <w:color w:val="auto"/>
          <w:highlight w:val="none"/>
          <w:shd w:val="clear" w:color="auto" w:fill="auto"/>
        </w:rPr>
      </w:pPr>
      <w:r>
        <w:rPr>
          <w:rFonts w:hint="eastAsia" w:cs="仿宋"/>
          <w:color w:val="auto"/>
          <w:highlight w:val="none"/>
          <w:shd w:val="clear" w:color="auto" w:fill="auto"/>
        </w:rPr>
        <w:t>▲(1)</w:t>
      </w:r>
      <w:r>
        <w:rPr>
          <w:rFonts w:hint="eastAsia" w:cs="仿宋"/>
          <w:b/>
          <w:bCs/>
          <w:color w:val="auto"/>
          <w:highlight w:val="none"/>
          <w:shd w:val="clear" w:color="auto" w:fill="auto"/>
        </w:rPr>
        <w:t>整体项目质保期3年（通过当地电力部门验收并且并网发电后开始计算）。</w:t>
      </w:r>
      <w:r>
        <w:rPr>
          <w:rFonts w:hint="eastAsia" w:cs="仿宋"/>
          <w:color w:val="auto"/>
          <w:highlight w:val="none"/>
          <w:shd w:val="clear" w:color="auto" w:fill="auto"/>
        </w:rPr>
        <w:t>所有设备材料的质保期应从并网运行之日起算；原则上光伏发电系统的质保期不应低于3年；光伏组件质保期不应低于10年；项目设计运行年限不应低于25年，功率有限质保不应低于25年；并网逆变器质保不应低于10年；线缆、配电箱的质保不应低于3年。</w:t>
      </w:r>
    </w:p>
    <w:p>
      <w:pPr>
        <w:snapToGrid w:val="0"/>
        <w:spacing w:after="0" w:line="360" w:lineRule="auto"/>
        <w:ind w:firstLine="470" w:firstLineChars="196"/>
        <w:rPr>
          <w:rFonts w:cs="仿宋"/>
          <w:color w:val="auto"/>
          <w:highlight w:val="none"/>
          <w:shd w:val="clear" w:color="auto" w:fill="auto"/>
        </w:rPr>
      </w:pPr>
      <w:r>
        <w:rPr>
          <w:rFonts w:hint="eastAsia" w:cs="仿宋"/>
          <w:color w:val="auto"/>
          <w:highlight w:val="none"/>
          <w:shd w:val="clear" w:color="auto" w:fill="auto"/>
        </w:rPr>
        <w:t xml:space="preserve"> (2)采购人有权对送达工地的所有设备和材料随机抽检，若发现成交供应商以伪劣产品充抵采购人确认的设备和材料，采购人可要求成交供应商重新采购，伪劣产品已被安装的，采购人有权要求成交供应商拆除返工；经抽检为伪劣产品而发生的设备、材料损失，均由成交供应商承担全部责任。</w:t>
      </w:r>
    </w:p>
    <w:p>
      <w:pPr>
        <w:snapToGrid w:val="0"/>
        <w:spacing w:after="0" w:line="360" w:lineRule="auto"/>
        <w:ind w:firstLine="470" w:firstLineChars="196"/>
        <w:rPr>
          <w:rFonts w:cs="仿宋"/>
          <w:color w:val="auto"/>
          <w:highlight w:val="none"/>
          <w:shd w:val="clear" w:color="auto" w:fill="auto"/>
        </w:rPr>
      </w:pPr>
      <w:r>
        <w:rPr>
          <w:rFonts w:hint="eastAsia" w:cs="仿宋"/>
          <w:color w:val="auto"/>
          <w:highlight w:val="none"/>
          <w:shd w:val="clear" w:color="auto" w:fill="auto"/>
        </w:rPr>
        <w:t>(3)成交供应商应确保太阳能光伏发电系统整体功能完整，转换及并网系统相应配件性能稳定，满足系统性能要求。</w:t>
      </w:r>
    </w:p>
    <w:p>
      <w:pPr>
        <w:snapToGrid w:val="0"/>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(4)成交供应商应确保项目实施屋顶不漏水，若项目实施致使屋顶漏水，成交供应商应进行修复，所产生的费用由成交供应商自行承担。</w:t>
      </w:r>
    </w:p>
    <w:p>
      <w:pPr>
        <w:pStyle w:val="13"/>
        <w:spacing w:after="0" w:line="360" w:lineRule="auto"/>
        <w:rPr>
          <w:color w:val="auto"/>
          <w:sz w:val="24"/>
          <w:highlight w:val="none"/>
          <w:shd w:val="clear" w:color="auto" w:fill="auto"/>
        </w:rPr>
      </w:pPr>
      <w:r>
        <w:rPr>
          <w:rFonts w:hint="eastAsia"/>
          <w:color w:val="auto"/>
          <w:sz w:val="24"/>
          <w:highlight w:val="none"/>
          <w:shd w:val="clear" w:color="auto" w:fill="auto"/>
        </w:rPr>
        <w:t xml:space="preserve">  3.售后服务</w:t>
      </w:r>
    </w:p>
    <w:p>
      <w:pPr>
        <w:pStyle w:val="14"/>
        <w:spacing w:line="360" w:lineRule="auto"/>
        <w:ind w:firstLine="480" w:firstLineChars="200"/>
        <w:rPr>
          <w:rFonts w:ascii="仿宋" w:eastAsia="仿宋" w:cs="仿宋"/>
          <w:color w:val="auto"/>
          <w:highlight w:val="none"/>
          <w:shd w:val="clear" w:color="auto" w:fill="auto"/>
        </w:rPr>
      </w:pPr>
      <w:r>
        <w:rPr>
          <w:rFonts w:hint="eastAsia" w:ascii="仿宋" w:eastAsia="仿宋" w:cs="仿宋"/>
          <w:color w:val="auto"/>
          <w:highlight w:val="none"/>
          <w:shd w:val="clear" w:color="auto" w:fill="auto"/>
        </w:rPr>
        <w:t>(1)在设备、系统最终验收后的质量保证期（保修期），投标人应对由于设备、系统运行产生的任何不足或故障负责，费用由投标人负担。</w:t>
      </w:r>
    </w:p>
    <w:p>
      <w:pPr>
        <w:pStyle w:val="14"/>
        <w:spacing w:line="360" w:lineRule="auto"/>
        <w:ind w:firstLine="480" w:firstLineChars="200"/>
        <w:rPr>
          <w:rFonts w:ascii="仿宋" w:eastAsia="仿宋" w:cs="仿宋"/>
          <w:color w:val="auto"/>
          <w:highlight w:val="none"/>
          <w:shd w:val="clear" w:color="auto" w:fill="auto"/>
        </w:rPr>
      </w:pPr>
      <w:r>
        <w:rPr>
          <w:rFonts w:hint="eastAsia" w:ascii="仿宋" w:eastAsia="仿宋" w:cs="仿宋"/>
          <w:color w:val="auto"/>
          <w:highlight w:val="none"/>
          <w:shd w:val="clear" w:color="auto" w:fill="auto"/>
        </w:rPr>
        <w:t>(2)保修期之内如投标人提供的设备、系统出现质量问题或故障，投标人在接到通知后 8 小时内应免费维修或更换有缺陷的部件。</w:t>
      </w:r>
    </w:p>
    <w:p>
      <w:pPr>
        <w:pStyle w:val="14"/>
        <w:spacing w:line="360" w:lineRule="auto"/>
        <w:ind w:firstLine="480" w:firstLineChars="200"/>
        <w:rPr>
          <w:rFonts w:ascii="仿宋" w:eastAsia="仿宋" w:cs="仿宋"/>
          <w:color w:val="auto"/>
          <w:highlight w:val="none"/>
          <w:shd w:val="clear" w:color="auto" w:fill="auto"/>
        </w:rPr>
      </w:pPr>
      <w:r>
        <w:rPr>
          <w:rFonts w:hint="eastAsia" w:ascii="仿宋" w:eastAsia="仿宋" w:cs="仿宋"/>
          <w:color w:val="auto"/>
          <w:highlight w:val="none"/>
          <w:shd w:val="clear" w:color="auto" w:fill="auto"/>
        </w:rPr>
        <w:t>(3)保修期之内如果投标人在收到通知后 12 小时内，没有维修或弥补缺陷，招标人可采取必要的补救措施，但风险和费用将由投标人承担。</w:t>
      </w:r>
    </w:p>
    <w:p>
      <w:pPr>
        <w:pStyle w:val="14"/>
        <w:spacing w:line="360" w:lineRule="auto"/>
        <w:ind w:firstLine="480" w:firstLineChars="200"/>
        <w:rPr>
          <w:rFonts w:ascii="仿宋" w:eastAsia="仿宋" w:cs="仿宋"/>
          <w:color w:val="auto"/>
          <w:highlight w:val="none"/>
          <w:shd w:val="clear" w:color="auto" w:fill="auto"/>
        </w:rPr>
      </w:pPr>
      <w:r>
        <w:rPr>
          <w:rFonts w:hint="eastAsia" w:ascii="仿宋" w:eastAsia="仿宋" w:cs="仿宋"/>
          <w:color w:val="auto"/>
          <w:highlight w:val="none"/>
          <w:shd w:val="clear" w:color="auto" w:fill="auto"/>
        </w:rPr>
        <w:t>(4)安装完设备、系统后乙方免费为甲方提供不少于3次，每次不少于2小时的系统使用培训。</w:t>
      </w:r>
    </w:p>
    <w:p>
      <w:pPr>
        <w:snapToGrid w:val="0"/>
        <w:spacing w:after="0" w:line="360" w:lineRule="auto"/>
        <w:ind w:firstLine="472" w:firstLineChars="196"/>
        <w:rPr>
          <w:rFonts w:cs="仿宋"/>
          <w:b/>
          <w:color w:val="auto"/>
          <w:highlight w:val="none"/>
          <w:shd w:val="clear" w:color="auto" w:fill="auto"/>
        </w:rPr>
      </w:pPr>
      <w:r>
        <w:rPr>
          <w:rFonts w:hint="eastAsia" w:cs="仿宋"/>
          <w:b/>
          <w:color w:val="auto"/>
          <w:highlight w:val="none"/>
          <w:shd w:val="clear" w:color="auto" w:fill="auto"/>
        </w:rPr>
        <w:t>4.付款方式</w:t>
      </w:r>
    </w:p>
    <w:p>
      <w:pPr>
        <w:spacing w:after="0" w:line="360" w:lineRule="auto"/>
        <w:ind w:firstLine="480" w:firstLineChars="200"/>
        <w:rPr>
          <w:rFonts w:cs="仿宋"/>
          <w:color w:val="auto"/>
          <w:highlight w:val="none"/>
          <w:shd w:val="clear" w:color="auto" w:fill="auto"/>
        </w:rPr>
      </w:pPr>
      <w:r>
        <w:rPr>
          <w:rFonts w:hint="eastAsia" w:cs="仿宋"/>
          <w:color w:val="auto"/>
          <w:highlight w:val="none"/>
          <w:shd w:val="clear" w:color="auto" w:fill="auto"/>
        </w:rPr>
        <w:t>合同签订后中标供应商支付总价的1%作为履约保证金（接受保函）；合同生效后7个工作日内预付合同总价款30％；组件逆变器货到现场甲方验收合格并签收后支付至合同总价款的60%，电站并网正常发电并审计完成后三个月内支付至合同总价款的95%，并无息退还履约保证金，5%余款质保期满后支付。</w:t>
      </w:r>
    </w:p>
    <w:p>
      <w:pPr>
        <w:spacing w:after="0" w:line="360" w:lineRule="auto"/>
        <w:rPr>
          <w:color w:val="auto"/>
          <w:highlight w:val="none"/>
          <w:shd w:val="clear" w:color="auto" w:fill="auto"/>
        </w:rPr>
      </w:pPr>
    </w:p>
    <w:p>
      <w:pPr>
        <w:spacing w:after="0" w:line="360" w:lineRule="auto"/>
        <w:rPr>
          <w:rFonts w:cs="仿宋"/>
          <w:color w:val="auto"/>
          <w:highlight w:val="none"/>
          <w:shd w:val="clear" w:color="auto" w:fill="auto"/>
        </w:rPr>
      </w:pPr>
      <w:r>
        <w:rPr>
          <w:rFonts w:hint="eastAsia" w:cs="仿宋"/>
          <w:color w:val="auto"/>
          <w:highlight w:val="none"/>
          <w:shd w:val="clear" w:color="auto" w:fill="auto"/>
        </w:rPr>
        <w:t>注：</w:t>
      </w:r>
    </w:p>
    <w:p>
      <w:pPr>
        <w:keepNext w:val="0"/>
        <w:keepLines w:val="0"/>
        <w:pageBreakBefore w:val="0"/>
        <w:widowControl/>
        <w:kinsoku/>
        <w:wordWrap/>
        <w:overflowPunct/>
        <w:topLinePunct w:val="0"/>
        <w:autoSpaceDE/>
        <w:autoSpaceDN/>
        <w:bidi w:val="0"/>
        <w:adjustRightInd/>
        <w:snapToGrid/>
        <w:spacing w:after="0" w:line="240" w:lineRule="auto"/>
        <w:ind w:firstLine="480" w:firstLineChars="200"/>
        <w:textAlignment w:val="auto"/>
        <w:rPr>
          <w:rFonts w:cs="仿宋"/>
          <w:color w:val="auto"/>
          <w:highlight w:val="none"/>
          <w:shd w:val="clear" w:color="auto" w:fill="auto"/>
        </w:rPr>
      </w:pPr>
      <w:r>
        <w:rPr>
          <w:rFonts w:hint="eastAsia" w:cs="仿宋"/>
          <w:color w:val="auto"/>
          <w:highlight w:val="none"/>
          <w:shd w:val="clear" w:color="auto" w:fill="auto"/>
        </w:rPr>
        <w:t>1、除标注的参考品牌外，欢迎其它能满足本项目技术需求且性能与所注品牌相当的产品参与。</w:t>
      </w:r>
    </w:p>
    <w:p>
      <w:pPr>
        <w:keepNext w:val="0"/>
        <w:keepLines w:val="0"/>
        <w:pageBreakBefore w:val="0"/>
        <w:widowControl/>
        <w:kinsoku/>
        <w:wordWrap/>
        <w:overflowPunct/>
        <w:topLinePunct w:val="0"/>
        <w:autoSpaceDE/>
        <w:autoSpaceDN/>
        <w:bidi w:val="0"/>
        <w:adjustRightInd/>
        <w:snapToGrid/>
        <w:spacing w:after="0" w:line="240" w:lineRule="auto"/>
        <w:ind w:firstLine="480" w:firstLineChars="200"/>
        <w:textAlignment w:val="auto"/>
        <w:rPr>
          <w:rFonts w:cs="仿宋"/>
          <w:color w:val="auto"/>
          <w:highlight w:val="none"/>
          <w:shd w:val="clear" w:color="auto" w:fill="auto"/>
        </w:rPr>
      </w:pPr>
      <w:r>
        <w:rPr>
          <w:rFonts w:hint="eastAsia" w:cs="仿宋"/>
          <w:color w:val="auto"/>
          <w:highlight w:val="none"/>
          <w:shd w:val="clear" w:color="auto" w:fill="auto"/>
        </w:rPr>
        <w:t>2、如有附图，仅作参考。</w:t>
      </w:r>
    </w:p>
    <w:p>
      <w:pPr>
        <w:keepNext w:val="0"/>
        <w:keepLines w:val="0"/>
        <w:pageBreakBefore w:val="0"/>
        <w:widowControl/>
        <w:kinsoku/>
        <w:wordWrap/>
        <w:overflowPunct/>
        <w:topLinePunct w:val="0"/>
        <w:autoSpaceDE/>
        <w:autoSpaceDN/>
        <w:bidi w:val="0"/>
        <w:adjustRightInd/>
        <w:snapToGrid/>
        <w:spacing w:after="0" w:line="240" w:lineRule="auto"/>
        <w:ind w:firstLine="480" w:firstLineChars="200"/>
        <w:textAlignment w:val="auto"/>
        <w:rPr>
          <w:rFonts w:cs="仿宋"/>
          <w:color w:val="auto"/>
          <w:highlight w:val="none"/>
          <w:shd w:val="clear" w:color="auto" w:fill="auto"/>
        </w:rPr>
      </w:pPr>
      <w:r>
        <w:rPr>
          <w:rFonts w:hint="eastAsia" w:cs="仿宋"/>
          <w:color w:val="auto"/>
          <w:highlight w:val="none"/>
          <w:shd w:val="clear" w:color="auto" w:fill="auto"/>
        </w:rPr>
        <w:t>3、打▲内容为实质性要求，不允许有负偏离，否则将以涉及无效投标条款作无效投标。</w:t>
      </w:r>
    </w:p>
    <w:p>
      <w:pPr>
        <w:keepNext w:val="0"/>
        <w:keepLines w:val="0"/>
        <w:pageBreakBefore w:val="0"/>
        <w:widowControl/>
        <w:kinsoku/>
        <w:wordWrap/>
        <w:overflowPunct/>
        <w:topLinePunct w:val="0"/>
        <w:autoSpaceDE/>
        <w:autoSpaceDN/>
        <w:bidi w:val="0"/>
        <w:adjustRightInd/>
        <w:snapToGrid/>
        <w:spacing w:line="240" w:lineRule="auto"/>
        <w:ind w:firstLine="480" w:firstLineChars="200"/>
        <w:textAlignment w:val="auto"/>
        <w:rPr>
          <w:color w:val="auto"/>
          <w:highlight w:val="none"/>
          <w:shd w:val="clear" w:color="auto" w:fill="auto"/>
        </w:rPr>
      </w:pPr>
      <w:r>
        <w:rPr>
          <w:rFonts w:hint="eastAsia" w:cs="仿宋"/>
          <w:color w:val="auto"/>
          <w:highlight w:val="none"/>
          <w:shd w:val="clear" w:color="auto" w:fill="auto"/>
        </w:rPr>
        <w:t>4、中标人所提供的货物、服务须与投标承诺一致，不得以次充好、偷工减料，若在项目验收中发现有上述情况，将向有关部门举报，根据相关规定进行处理。</w:t>
      </w:r>
    </w:p>
    <w:p>
      <w:pPr>
        <w:spacing w:line="276" w:lineRule="auto"/>
        <w:rPr>
          <w:color w:val="auto"/>
          <w:highlight w:val="none"/>
          <w:shd w:val="clear" w:color="auto" w:fill="auto"/>
        </w:rPr>
      </w:pPr>
      <w:r>
        <w:rPr>
          <w:color w:val="auto"/>
          <w:highlight w:val="none"/>
          <w:shd w:val="clear" w:color="auto" w:fill="auto"/>
        </w:rPr>
        <w:br w:type="page"/>
      </w:r>
    </w:p>
    <w:p>
      <w:pPr>
        <w:pStyle w:val="2"/>
        <w:rPr>
          <w:color w:val="auto"/>
          <w:highlight w:val="none"/>
          <w:shd w:val="clear" w:color="auto" w:fill="auto"/>
        </w:rPr>
      </w:pPr>
      <w:r>
        <w:rPr>
          <w:rFonts w:hint="eastAsia"/>
          <w:color w:val="auto"/>
          <w:highlight w:val="none"/>
          <w:shd w:val="clear" w:color="auto" w:fill="auto"/>
        </w:rPr>
        <w:t>第四部分</w:t>
      </w:r>
      <w:r>
        <w:rPr>
          <w:color w:val="auto"/>
          <w:highlight w:val="none"/>
          <w:shd w:val="clear" w:color="auto" w:fill="auto"/>
        </w:rPr>
        <w:t xml:space="preserve">   </w:t>
      </w:r>
      <w:bookmarkStart w:id="61" w:name="_Toc184310327"/>
      <w:bookmarkEnd w:id="61"/>
      <w:bookmarkStart w:id="62" w:name="_Toc184308083"/>
      <w:bookmarkEnd w:id="62"/>
      <w:bookmarkStart w:id="63" w:name="_Toc184308076"/>
      <w:bookmarkEnd w:id="63"/>
      <w:bookmarkStart w:id="64" w:name="_Toc184310292"/>
      <w:bookmarkEnd w:id="64"/>
      <w:bookmarkStart w:id="65" w:name="_Toc184310330"/>
      <w:bookmarkEnd w:id="65"/>
      <w:bookmarkStart w:id="66" w:name="_Toc184314410"/>
      <w:bookmarkEnd w:id="66"/>
      <w:bookmarkStart w:id="67" w:name="_Toc184312084"/>
      <w:bookmarkEnd w:id="67"/>
      <w:bookmarkStart w:id="68" w:name="_Toc184313281"/>
      <w:bookmarkEnd w:id="68"/>
      <w:bookmarkStart w:id="69" w:name="_Toc184312132"/>
      <w:bookmarkEnd w:id="69"/>
      <w:bookmarkStart w:id="70" w:name="_Toc184308043"/>
      <w:bookmarkEnd w:id="70"/>
      <w:bookmarkStart w:id="71" w:name="_Toc184310344"/>
      <w:bookmarkEnd w:id="71"/>
      <w:bookmarkStart w:id="72" w:name="_Toc184308060"/>
      <w:bookmarkEnd w:id="72"/>
      <w:bookmarkStart w:id="73" w:name="_Toc184310275"/>
      <w:bookmarkEnd w:id="73"/>
      <w:bookmarkStart w:id="74" w:name="_Toc184314430"/>
      <w:bookmarkEnd w:id="74"/>
      <w:bookmarkStart w:id="75" w:name="_Toc184312133"/>
      <w:bookmarkEnd w:id="75"/>
      <w:bookmarkStart w:id="76" w:name="_Toc184312119"/>
      <w:bookmarkEnd w:id="76"/>
      <w:bookmarkStart w:id="77" w:name="_Toc184308036"/>
      <w:bookmarkEnd w:id="77"/>
      <w:bookmarkStart w:id="78" w:name="_Toc184313307"/>
      <w:bookmarkEnd w:id="78"/>
      <w:bookmarkStart w:id="79" w:name="_Toc184312090"/>
      <w:bookmarkEnd w:id="79"/>
      <w:bookmarkStart w:id="80" w:name="_Toc184314471"/>
      <w:bookmarkEnd w:id="80"/>
      <w:bookmarkStart w:id="81" w:name="_Toc184308063"/>
      <w:bookmarkEnd w:id="81"/>
      <w:bookmarkStart w:id="82" w:name="_Toc184313280"/>
      <w:bookmarkEnd w:id="82"/>
      <w:bookmarkStart w:id="83" w:name="_Toc184312131"/>
      <w:bookmarkEnd w:id="83"/>
      <w:bookmarkStart w:id="84" w:name="_Toc184313268"/>
      <w:bookmarkEnd w:id="84"/>
      <w:bookmarkStart w:id="85" w:name="_Toc184314455"/>
      <w:bookmarkEnd w:id="85"/>
      <w:bookmarkStart w:id="86" w:name="_Toc184310343"/>
      <w:bookmarkEnd w:id="86"/>
      <w:bookmarkStart w:id="87" w:name="_Toc184314464"/>
      <w:bookmarkEnd w:id="87"/>
      <w:bookmarkStart w:id="88" w:name="_Toc184312095"/>
      <w:bookmarkEnd w:id="88"/>
      <w:bookmarkStart w:id="89" w:name="_Toc184313289"/>
      <w:bookmarkEnd w:id="89"/>
      <w:bookmarkStart w:id="90" w:name="_Toc184308050"/>
      <w:bookmarkEnd w:id="90"/>
      <w:bookmarkStart w:id="91" w:name="_Toc184313255"/>
      <w:bookmarkEnd w:id="91"/>
      <w:bookmarkStart w:id="92" w:name="_Toc184314418"/>
      <w:bookmarkEnd w:id="92"/>
      <w:bookmarkStart w:id="93" w:name="_Toc184314463"/>
      <w:bookmarkEnd w:id="93"/>
      <w:bookmarkStart w:id="94" w:name="_Toc184314435"/>
      <w:bookmarkEnd w:id="94"/>
      <w:bookmarkStart w:id="95" w:name="_Toc184308053"/>
      <w:bookmarkEnd w:id="95"/>
      <w:bookmarkStart w:id="96" w:name="_Toc184310302"/>
      <w:bookmarkEnd w:id="96"/>
      <w:bookmarkStart w:id="97" w:name="_Toc184308057"/>
      <w:bookmarkEnd w:id="97"/>
      <w:bookmarkStart w:id="98" w:name="_Toc184308038"/>
      <w:bookmarkEnd w:id="98"/>
      <w:bookmarkStart w:id="99" w:name="_Toc184313305"/>
      <w:bookmarkEnd w:id="99"/>
      <w:bookmarkStart w:id="100" w:name="_Toc184308097"/>
      <w:bookmarkEnd w:id="100"/>
      <w:bookmarkStart w:id="101" w:name="_Toc184308072"/>
      <w:bookmarkEnd w:id="101"/>
      <w:bookmarkStart w:id="102" w:name="_Toc184310273"/>
      <w:bookmarkEnd w:id="102"/>
      <w:bookmarkStart w:id="103" w:name="_Toc184310282"/>
      <w:bookmarkEnd w:id="103"/>
      <w:bookmarkStart w:id="104" w:name="_Toc184312089"/>
      <w:bookmarkEnd w:id="104"/>
      <w:bookmarkStart w:id="105" w:name="_Toc184308106"/>
      <w:bookmarkEnd w:id="105"/>
      <w:bookmarkStart w:id="106" w:name="_Toc184313309"/>
      <w:bookmarkEnd w:id="106"/>
      <w:bookmarkStart w:id="107" w:name="_Toc184312139"/>
      <w:bookmarkEnd w:id="107"/>
      <w:bookmarkStart w:id="108" w:name="_Toc184314437"/>
      <w:bookmarkEnd w:id="108"/>
      <w:bookmarkStart w:id="109" w:name="_Toc184308069"/>
      <w:bookmarkEnd w:id="109"/>
      <w:bookmarkStart w:id="110" w:name="_Toc184310336"/>
      <w:bookmarkEnd w:id="110"/>
      <w:bookmarkStart w:id="111" w:name="_Toc184313245"/>
      <w:bookmarkEnd w:id="111"/>
      <w:bookmarkStart w:id="112" w:name="_Toc184308052"/>
      <w:bookmarkEnd w:id="112"/>
      <w:bookmarkStart w:id="113" w:name="_Toc184312081"/>
      <w:bookmarkEnd w:id="113"/>
      <w:bookmarkStart w:id="114" w:name="_Toc184312082"/>
      <w:bookmarkEnd w:id="114"/>
      <w:bookmarkStart w:id="115" w:name="_Toc184312083"/>
      <w:bookmarkEnd w:id="115"/>
      <w:bookmarkStart w:id="116" w:name="_Toc184314450"/>
      <w:bookmarkEnd w:id="116"/>
      <w:bookmarkStart w:id="117" w:name="_Toc184312107"/>
      <w:bookmarkEnd w:id="117"/>
      <w:bookmarkStart w:id="118" w:name="_Toc184313275"/>
      <w:bookmarkEnd w:id="118"/>
      <w:bookmarkStart w:id="119" w:name="_Toc184308095"/>
      <w:bookmarkEnd w:id="119"/>
      <w:bookmarkStart w:id="120" w:name="_Toc184308048"/>
      <w:bookmarkEnd w:id="120"/>
      <w:bookmarkStart w:id="121" w:name="_Toc184310295"/>
      <w:bookmarkEnd w:id="121"/>
      <w:bookmarkStart w:id="122" w:name="_Toc184310324"/>
      <w:bookmarkEnd w:id="122"/>
      <w:bookmarkStart w:id="123" w:name="_Toc184308087"/>
      <w:bookmarkEnd w:id="123"/>
      <w:bookmarkStart w:id="124" w:name="_Toc184314479"/>
      <w:bookmarkEnd w:id="124"/>
      <w:bookmarkStart w:id="125" w:name="_Toc184312086"/>
      <w:bookmarkEnd w:id="125"/>
      <w:bookmarkStart w:id="126" w:name="_Toc184313248"/>
      <w:bookmarkEnd w:id="126"/>
      <w:bookmarkStart w:id="127" w:name="_Toc184310274"/>
      <w:bookmarkEnd w:id="127"/>
      <w:bookmarkStart w:id="128" w:name="_Toc184310332"/>
      <w:bookmarkEnd w:id="128"/>
      <w:bookmarkStart w:id="129" w:name="_Toc184314457"/>
      <w:bookmarkEnd w:id="129"/>
      <w:bookmarkStart w:id="130" w:name="_Toc184314411"/>
      <w:bookmarkEnd w:id="130"/>
      <w:bookmarkStart w:id="131" w:name="_Toc184308082"/>
      <w:bookmarkEnd w:id="131"/>
      <w:bookmarkStart w:id="132" w:name="_Toc184314429"/>
      <w:bookmarkEnd w:id="132"/>
      <w:bookmarkStart w:id="133" w:name="_Toc184313269"/>
      <w:bookmarkEnd w:id="133"/>
      <w:bookmarkStart w:id="134" w:name="_Toc184310283"/>
      <w:bookmarkEnd w:id="134"/>
      <w:bookmarkStart w:id="135" w:name="_Toc184314451"/>
      <w:bookmarkEnd w:id="135"/>
      <w:bookmarkStart w:id="136" w:name="_Toc184308071"/>
      <w:bookmarkEnd w:id="136"/>
      <w:bookmarkStart w:id="137" w:name="_Toc184312075"/>
      <w:bookmarkEnd w:id="137"/>
      <w:bookmarkStart w:id="138" w:name="_Toc184313259"/>
      <w:bookmarkEnd w:id="138"/>
      <w:bookmarkStart w:id="139" w:name="_Toc184310342"/>
      <w:bookmarkEnd w:id="139"/>
      <w:bookmarkStart w:id="140" w:name="_Toc184314426"/>
      <w:bookmarkEnd w:id="140"/>
      <w:bookmarkStart w:id="141" w:name="_Toc184313301"/>
      <w:bookmarkEnd w:id="141"/>
      <w:bookmarkStart w:id="142" w:name="_Toc184313282"/>
      <w:bookmarkEnd w:id="142"/>
      <w:bookmarkStart w:id="143" w:name="_Toc184312105"/>
      <w:bookmarkEnd w:id="143"/>
      <w:bookmarkStart w:id="144" w:name="_Toc184313251"/>
      <w:bookmarkEnd w:id="144"/>
      <w:bookmarkStart w:id="145" w:name="_Toc184312138"/>
      <w:bookmarkEnd w:id="145"/>
      <w:bookmarkStart w:id="146" w:name="_Toc184312110"/>
      <w:bookmarkEnd w:id="146"/>
      <w:bookmarkStart w:id="147" w:name="_Toc184308096"/>
      <w:bookmarkEnd w:id="147"/>
      <w:bookmarkStart w:id="148" w:name="_Toc184308100"/>
      <w:bookmarkEnd w:id="148"/>
      <w:bookmarkStart w:id="149" w:name="_Toc184312078"/>
      <w:bookmarkEnd w:id="149"/>
      <w:bookmarkStart w:id="150" w:name="_Toc184308056"/>
      <w:bookmarkEnd w:id="150"/>
      <w:bookmarkStart w:id="151" w:name="_Toc184312115"/>
      <w:bookmarkEnd w:id="151"/>
      <w:bookmarkStart w:id="152" w:name="_Toc184313291"/>
      <w:bookmarkEnd w:id="152"/>
      <w:bookmarkStart w:id="153" w:name="_Toc184308074"/>
      <w:bookmarkEnd w:id="153"/>
      <w:bookmarkStart w:id="154" w:name="_Toc184312101"/>
      <w:bookmarkEnd w:id="154"/>
      <w:bookmarkStart w:id="155" w:name="_Toc184313283"/>
      <w:bookmarkEnd w:id="155"/>
      <w:bookmarkStart w:id="156" w:name="_Toc184312135"/>
      <w:bookmarkEnd w:id="156"/>
      <w:bookmarkStart w:id="157" w:name="_Toc184313295"/>
      <w:bookmarkEnd w:id="157"/>
      <w:bookmarkStart w:id="158" w:name="_Toc184308041"/>
      <w:bookmarkEnd w:id="158"/>
      <w:bookmarkStart w:id="159" w:name="_Toc184308055"/>
      <w:bookmarkEnd w:id="159"/>
      <w:bookmarkStart w:id="160" w:name="_Toc184313266"/>
      <w:bookmarkEnd w:id="160"/>
      <w:bookmarkStart w:id="161" w:name="_Toc184310279"/>
      <w:bookmarkEnd w:id="161"/>
      <w:bookmarkStart w:id="162" w:name="_Toc184313277"/>
      <w:bookmarkEnd w:id="162"/>
      <w:bookmarkStart w:id="163" w:name="_Toc184313267"/>
      <w:bookmarkEnd w:id="163"/>
      <w:bookmarkStart w:id="164" w:name="_Toc184313284"/>
      <w:bookmarkEnd w:id="164"/>
      <w:bookmarkStart w:id="165" w:name="_Toc184312093"/>
      <w:bookmarkEnd w:id="165"/>
      <w:bookmarkStart w:id="166" w:name="_Toc184310289"/>
      <w:bookmarkEnd w:id="166"/>
      <w:bookmarkStart w:id="167" w:name="_Toc184312104"/>
      <w:bookmarkEnd w:id="167"/>
      <w:bookmarkStart w:id="168" w:name="_Toc184313239"/>
      <w:bookmarkEnd w:id="168"/>
      <w:bookmarkStart w:id="169" w:name="_Toc184308044"/>
      <w:bookmarkEnd w:id="169"/>
      <w:bookmarkStart w:id="170" w:name="_Toc184310291"/>
      <w:bookmarkEnd w:id="170"/>
      <w:bookmarkStart w:id="171" w:name="_Toc184314473"/>
      <w:bookmarkEnd w:id="171"/>
      <w:bookmarkStart w:id="172" w:name="_Toc184314477"/>
      <w:bookmarkEnd w:id="172"/>
      <w:bookmarkStart w:id="173" w:name="_Toc184314462"/>
      <w:bookmarkEnd w:id="173"/>
      <w:bookmarkStart w:id="174" w:name="_Toc184313286"/>
      <w:bookmarkEnd w:id="174"/>
      <w:bookmarkStart w:id="175" w:name="_Toc184308091"/>
      <w:bookmarkEnd w:id="175"/>
      <w:bookmarkStart w:id="176" w:name="_Toc184312079"/>
      <w:bookmarkEnd w:id="176"/>
      <w:bookmarkStart w:id="177" w:name="_Toc184308080"/>
      <w:bookmarkEnd w:id="177"/>
      <w:bookmarkStart w:id="178" w:name="_Toc184312111"/>
      <w:bookmarkEnd w:id="178"/>
      <w:bookmarkStart w:id="179" w:name="_Toc184308065"/>
      <w:bookmarkEnd w:id="179"/>
      <w:bookmarkStart w:id="180" w:name="_Toc184308108"/>
      <w:bookmarkEnd w:id="180"/>
      <w:bookmarkStart w:id="181" w:name="_Toc184310339"/>
      <w:bookmarkEnd w:id="181"/>
      <w:bookmarkStart w:id="182" w:name="_Toc184314433"/>
      <w:bookmarkEnd w:id="182"/>
      <w:bookmarkStart w:id="183" w:name="_Toc184314458"/>
      <w:bookmarkEnd w:id="183"/>
      <w:bookmarkStart w:id="184" w:name="_Toc184312070"/>
      <w:bookmarkEnd w:id="184"/>
      <w:bookmarkStart w:id="185" w:name="_Toc184310314"/>
      <w:bookmarkEnd w:id="185"/>
      <w:bookmarkStart w:id="186" w:name="_Toc184313261"/>
      <w:bookmarkEnd w:id="186"/>
      <w:bookmarkStart w:id="187" w:name="_Toc184308090"/>
      <w:bookmarkEnd w:id="187"/>
      <w:bookmarkStart w:id="188" w:name="_Toc184313290"/>
      <w:bookmarkEnd w:id="188"/>
      <w:bookmarkStart w:id="189" w:name="_Toc184310328"/>
      <w:bookmarkEnd w:id="189"/>
      <w:bookmarkStart w:id="190" w:name="_Toc184310284"/>
      <w:bookmarkEnd w:id="190"/>
      <w:bookmarkStart w:id="191" w:name="_Toc184312125"/>
      <w:bookmarkEnd w:id="191"/>
      <w:bookmarkStart w:id="192" w:name="_Toc184312106"/>
      <w:bookmarkEnd w:id="192"/>
      <w:bookmarkStart w:id="193" w:name="_Toc184313265"/>
      <w:bookmarkEnd w:id="193"/>
      <w:bookmarkStart w:id="194" w:name="_Toc184310318"/>
      <w:bookmarkEnd w:id="194"/>
      <w:bookmarkStart w:id="195" w:name="_Toc184314449"/>
      <w:bookmarkEnd w:id="195"/>
      <w:bookmarkStart w:id="196" w:name="_Toc184310311"/>
      <w:bookmarkEnd w:id="196"/>
      <w:bookmarkStart w:id="197" w:name="_Toc184314460"/>
      <w:bookmarkEnd w:id="197"/>
      <w:bookmarkStart w:id="198" w:name="_Toc184313303"/>
      <w:bookmarkEnd w:id="198"/>
      <w:bookmarkStart w:id="199" w:name="_Toc184312096"/>
      <w:bookmarkEnd w:id="199"/>
      <w:bookmarkStart w:id="200" w:name="_Toc184313272"/>
      <w:bookmarkEnd w:id="200"/>
      <w:bookmarkStart w:id="201" w:name="_Toc184314444"/>
      <w:bookmarkEnd w:id="201"/>
      <w:bookmarkStart w:id="202" w:name="_Toc184310338"/>
      <w:bookmarkEnd w:id="202"/>
      <w:bookmarkStart w:id="203" w:name="_Toc184310323"/>
      <w:bookmarkEnd w:id="203"/>
      <w:bookmarkStart w:id="204" w:name="_Toc184313264"/>
      <w:bookmarkEnd w:id="204"/>
      <w:bookmarkStart w:id="205" w:name="_Toc184310299"/>
      <w:bookmarkEnd w:id="205"/>
      <w:bookmarkStart w:id="206" w:name="_Toc184314478"/>
      <w:bookmarkEnd w:id="206"/>
      <w:bookmarkStart w:id="207" w:name="_Toc184312074"/>
      <w:bookmarkEnd w:id="207"/>
      <w:bookmarkStart w:id="208" w:name="_Toc184310297"/>
      <w:bookmarkEnd w:id="208"/>
      <w:bookmarkStart w:id="209" w:name="_Toc184310278"/>
      <w:bookmarkEnd w:id="209"/>
      <w:bookmarkStart w:id="210" w:name="_Toc184308062"/>
      <w:bookmarkEnd w:id="210"/>
      <w:bookmarkStart w:id="211" w:name="_Toc184313238"/>
      <w:bookmarkEnd w:id="211"/>
      <w:bookmarkStart w:id="212" w:name="_Toc184313306"/>
      <w:bookmarkEnd w:id="212"/>
      <w:bookmarkStart w:id="213" w:name="_Toc184310287"/>
      <w:bookmarkEnd w:id="213"/>
      <w:bookmarkStart w:id="214" w:name="_Toc184308039"/>
      <w:bookmarkEnd w:id="214"/>
      <w:bookmarkStart w:id="215" w:name="_Toc184312102"/>
      <w:bookmarkEnd w:id="215"/>
      <w:bookmarkStart w:id="216" w:name="_Toc184308066"/>
      <w:bookmarkEnd w:id="216"/>
      <w:bookmarkStart w:id="217" w:name="_Toc184310312"/>
      <w:bookmarkEnd w:id="217"/>
      <w:bookmarkStart w:id="218" w:name="_Toc184312085"/>
      <w:bookmarkEnd w:id="218"/>
      <w:bookmarkStart w:id="219" w:name="_Toc184308079"/>
      <w:bookmarkEnd w:id="219"/>
      <w:bookmarkStart w:id="220" w:name="_Toc184312073"/>
      <w:bookmarkEnd w:id="220"/>
      <w:bookmarkStart w:id="221" w:name="_Toc184314415"/>
      <w:bookmarkEnd w:id="221"/>
      <w:bookmarkStart w:id="222" w:name="_Toc184314459"/>
      <w:bookmarkEnd w:id="222"/>
      <w:bookmarkStart w:id="223" w:name="_Toc184314465"/>
      <w:bookmarkEnd w:id="223"/>
      <w:bookmarkStart w:id="224" w:name="_Toc184313249"/>
      <w:bookmarkEnd w:id="224"/>
      <w:bookmarkStart w:id="225" w:name="_Toc184312099"/>
      <w:bookmarkEnd w:id="225"/>
      <w:bookmarkStart w:id="226" w:name="_Toc184308102"/>
      <w:bookmarkEnd w:id="226"/>
      <w:bookmarkStart w:id="227" w:name="_Toc184313243"/>
      <w:bookmarkEnd w:id="227"/>
      <w:bookmarkStart w:id="228" w:name="_Toc184314445"/>
      <w:bookmarkEnd w:id="228"/>
      <w:bookmarkStart w:id="229" w:name="_Toc184314442"/>
      <w:bookmarkEnd w:id="229"/>
      <w:bookmarkStart w:id="230" w:name="_Toc184308047"/>
      <w:bookmarkEnd w:id="230"/>
      <w:bookmarkStart w:id="231" w:name="_Toc184312130"/>
      <w:bookmarkEnd w:id="231"/>
      <w:bookmarkStart w:id="232" w:name="_Toc184308105"/>
      <w:bookmarkEnd w:id="232"/>
      <w:bookmarkStart w:id="233" w:name="_Toc184314417"/>
      <w:bookmarkEnd w:id="233"/>
      <w:bookmarkStart w:id="234" w:name="_Toc184313262"/>
      <w:bookmarkEnd w:id="234"/>
      <w:bookmarkStart w:id="235" w:name="_Toc184313274"/>
      <w:bookmarkEnd w:id="235"/>
      <w:bookmarkStart w:id="236" w:name="_Toc184308064"/>
      <w:bookmarkEnd w:id="236"/>
      <w:bookmarkStart w:id="237" w:name="_Toc184308067"/>
      <w:bookmarkEnd w:id="237"/>
      <w:bookmarkStart w:id="238" w:name="_Toc184312092"/>
      <w:bookmarkEnd w:id="238"/>
      <w:bookmarkStart w:id="239" w:name="_Toc184308059"/>
      <w:bookmarkEnd w:id="239"/>
      <w:bookmarkStart w:id="240" w:name="_Toc184313254"/>
      <w:bookmarkEnd w:id="240"/>
      <w:bookmarkStart w:id="241" w:name="_Toc184314470"/>
      <w:bookmarkEnd w:id="241"/>
      <w:bookmarkStart w:id="242" w:name="_Toc184312087"/>
      <w:bookmarkEnd w:id="242"/>
      <w:bookmarkStart w:id="243" w:name="_Toc184308088"/>
      <w:bookmarkEnd w:id="243"/>
      <w:bookmarkStart w:id="244" w:name="_Toc184313260"/>
      <w:bookmarkEnd w:id="244"/>
      <w:bookmarkStart w:id="245" w:name="_Toc184314446"/>
      <w:bookmarkEnd w:id="245"/>
      <w:bookmarkStart w:id="246" w:name="_Toc184310285"/>
      <w:bookmarkEnd w:id="246"/>
      <w:bookmarkStart w:id="247" w:name="_Toc184314428"/>
      <w:bookmarkEnd w:id="247"/>
      <w:bookmarkStart w:id="248" w:name="_Toc184310329"/>
      <w:bookmarkEnd w:id="248"/>
      <w:bookmarkStart w:id="249" w:name="_Toc184308084"/>
      <w:bookmarkEnd w:id="249"/>
      <w:bookmarkStart w:id="250" w:name="_Toc184308042"/>
      <w:bookmarkEnd w:id="250"/>
      <w:bookmarkStart w:id="251" w:name="_Toc184308086"/>
      <w:bookmarkEnd w:id="251"/>
      <w:bookmarkStart w:id="252" w:name="_Toc184312134"/>
      <w:bookmarkEnd w:id="252"/>
      <w:bookmarkStart w:id="253" w:name="_Toc184312072"/>
      <w:bookmarkEnd w:id="253"/>
      <w:bookmarkStart w:id="254" w:name="_Toc184314439"/>
      <w:bookmarkEnd w:id="254"/>
      <w:bookmarkStart w:id="255" w:name="_Toc184312076"/>
      <w:bookmarkEnd w:id="255"/>
      <w:bookmarkStart w:id="256" w:name="_Toc184310310"/>
      <w:bookmarkEnd w:id="256"/>
      <w:bookmarkStart w:id="257" w:name="_Toc184308085"/>
      <w:bookmarkEnd w:id="257"/>
      <w:bookmarkStart w:id="258" w:name="_Toc184310286"/>
      <w:bookmarkEnd w:id="258"/>
      <w:bookmarkStart w:id="259" w:name="_Toc184312116"/>
      <w:bookmarkEnd w:id="259"/>
      <w:bookmarkStart w:id="260" w:name="_Toc184312091"/>
      <w:bookmarkEnd w:id="260"/>
      <w:bookmarkStart w:id="261" w:name="_Toc184312109"/>
      <w:bookmarkEnd w:id="261"/>
      <w:bookmarkStart w:id="262" w:name="_Toc184308068"/>
      <w:bookmarkEnd w:id="262"/>
      <w:bookmarkStart w:id="263" w:name="_Toc184314475"/>
      <w:bookmarkEnd w:id="263"/>
      <w:bookmarkStart w:id="264" w:name="_Toc184308089"/>
      <w:bookmarkEnd w:id="264"/>
      <w:bookmarkStart w:id="265" w:name="_Toc184310340"/>
      <w:bookmarkEnd w:id="265"/>
      <w:bookmarkStart w:id="266" w:name="_Toc184314421"/>
      <w:bookmarkEnd w:id="266"/>
      <w:bookmarkStart w:id="267" w:name="_Toc184308040"/>
      <w:bookmarkEnd w:id="267"/>
      <w:bookmarkStart w:id="268" w:name="_Toc184314466"/>
      <w:bookmarkEnd w:id="268"/>
      <w:bookmarkStart w:id="269" w:name="_Toc184314480"/>
      <w:bookmarkEnd w:id="269"/>
      <w:bookmarkStart w:id="270" w:name="_Toc184310334"/>
      <w:bookmarkEnd w:id="270"/>
      <w:bookmarkStart w:id="271" w:name="_Toc184310296"/>
      <w:bookmarkEnd w:id="271"/>
      <w:bookmarkStart w:id="272" w:name="_Toc184314476"/>
      <w:bookmarkEnd w:id="272"/>
      <w:bookmarkStart w:id="273" w:name="_Toc184314472"/>
      <w:bookmarkEnd w:id="273"/>
      <w:bookmarkStart w:id="274" w:name="_Toc184312067"/>
      <w:bookmarkEnd w:id="274"/>
      <w:bookmarkStart w:id="275" w:name="_Toc184314440"/>
      <w:bookmarkEnd w:id="275"/>
      <w:bookmarkStart w:id="276" w:name="_Toc184314432"/>
      <w:bookmarkEnd w:id="276"/>
      <w:bookmarkStart w:id="277" w:name="_Toc184313247"/>
      <w:bookmarkEnd w:id="277"/>
      <w:bookmarkStart w:id="278" w:name="_Toc184310305"/>
      <w:bookmarkEnd w:id="278"/>
      <w:bookmarkStart w:id="279" w:name="_Toc184312088"/>
      <w:bookmarkEnd w:id="279"/>
      <w:bookmarkStart w:id="280" w:name="_Toc184310272"/>
      <w:bookmarkEnd w:id="280"/>
      <w:bookmarkStart w:id="281" w:name="_Toc184314414"/>
      <w:bookmarkEnd w:id="281"/>
      <w:bookmarkStart w:id="282" w:name="_Toc184310331"/>
      <w:bookmarkEnd w:id="282"/>
      <w:bookmarkStart w:id="283" w:name="_Toc184313288"/>
      <w:bookmarkEnd w:id="283"/>
      <w:bookmarkStart w:id="284" w:name="_Toc184313263"/>
      <w:bookmarkEnd w:id="284"/>
      <w:bookmarkStart w:id="285" w:name="_Toc184312137"/>
      <w:bookmarkEnd w:id="285"/>
      <w:bookmarkStart w:id="286" w:name="_Toc184310301"/>
      <w:bookmarkEnd w:id="286"/>
      <w:bookmarkStart w:id="287" w:name="_Toc184310277"/>
      <w:bookmarkEnd w:id="287"/>
      <w:bookmarkStart w:id="288" w:name="_Toc184308093"/>
      <w:bookmarkEnd w:id="288"/>
      <w:bookmarkStart w:id="289" w:name="_Toc184310308"/>
      <w:bookmarkEnd w:id="289"/>
      <w:bookmarkStart w:id="290" w:name="_Toc184314443"/>
      <w:bookmarkEnd w:id="290"/>
      <w:bookmarkStart w:id="291" w:name="_Toc184313299"/>
      <w:bookmarkEnd w:id="291"/>
      <w:bookmarkStart w:id="292" w:name="_Toc184314427"/>
      <w:bookmarkEnd w:id="292"/>
      <w:bookmarkStart w:id="293" w:name="_Toc184312068"/>
      <w:bookmarkEnd w:id="293"/>
      <w:bookmarkStart w:id="294" w:name="_Toc184313250"/>
      <w:bookmarkEnd w:id="294"/>
      <w:bookmarkStart w:id="295" w:name="_Toc184312108"/>
      <w:bookmarkEnd w:id="295"/>
      <w:bookmarkStart w:id="296" w:name="_Toc184312124"/>
      <w:bookmarkEnd w:id="296"/>
      <w:bookmarkStart w:id="297" w:name="_Toc184310280"/>
      <w:bookmarkEnd w:id="297"/>
      <w:bookmarkStart w:id="298" w:name="_Toc184313287"/>
      <w:bookmarkEnd w:id="298"/>
      <w:bookmarkStart w:id="299" w:name="_Toc184308104"/>
      <w:bookmarkEnd w:id="299"/>
      <w:bookmarkStart w:id="300" w:name="_Toc184313304"/>
      <w:bookmarkEnd w:id="300"/>
      <w:bookmarkStart w:id="301" w:name="_Toc184312122"/>
      <w:bookmarkEnd w:id="301"/>
      <w:bookmarkStart w:id="302" w:name="_Toc184313244"/>
      <w:bookmarkEnd w:id="302"/>
      <w:bookmarkStart w:id="303" w:name="_Toc184313241"/>
      <w:bookmarkEnd w:id="303"/>
      <w:bookmarkStart w:id="304" w:name="_Toc184310325"/>
      <w:bookmarkEnd w:id="304"/>
      <w:bookmarkStart w:id="305" w:name="_Toc184312103"/>
      <w:bookmarkEnd w:id="305"/>
      <w:bookmarkStart w:id="306" w:name="_Toc184312121"/>
      <w:bookmarkEnd w:id="306"/>
      <w:bookmarkStart w:id="307" w:name="_Toc184313310"/>
      <w:bookmarkEnd w:id="307"/>
      <w:bookmarkStart w:id="308" w:name="_Toc184314412"/>
      <w:bookmarkEnd w:id="308"/>
      <w:bookmarkStart w:id="309" w:name="_Toc184312136"/>
      <w:bookmarkEnd w:id="309"/>
      <w:bookmarkStart w:id="310" w:name="_Toc184308092"/>
      <w:bookmarkEnd w:id="310"/>
      <w:bookmarkStart w:id="311" w:name="_Toc184312117"/>
      <w:bookmarkEnd w:id="311"/>
      <w:bookmarkStart w:id="312" w:name="_Toc184314452"/>
      <w:bookmarkEnd w:id="312"/>
      <w:bookmarkStart w:id="313" w:name="_Toc184312100"/>
      <w:bookmarkEnd w:id="313"/>
      <w:bookmarkStart w:id="314" w:name="_Toc184313253"/>
      <w:bookmarkEnd w:id="314"/>
      <w:bookmarkStart w:id="315" w:name="_Toc184308054"/>
      <w:bookmarkEnd w:id="315"/>
      <w:bookmarkStart w:id="316" w:name="_Toc184310304"/>
      <w:bookmarkEnd w:id="316"/>
      <w:bookmarkStart w:id="317" w:name="_Toc184314447"/>
      <w:bookmarkEnd w:id="317"/>
      <w:bookmarkStart w:id="318" w:name="_Toc184314481"/>
      <w:bookmarkEnd w:id="318"/>
      <w:bookmarkStart w:id="319" w:name="_Toc184312129"/>
      <w:bookmarkEnd w:id="319"/>
      <w:bookmarkStart w:id="320" w:name="_Toc184310315"/>
      <w:bookmarkEnd w:id="320"/>
      <w:bookmarkStart w:id="321" w:name="_Toc184314467"/>
      <w:bookmarkEnd w:id="321"/>
      <w:bookmarkStart w:id="322" w:name="_Toc184313279"/>
      <w:bookmarkEnd w:id="322"/>
      <w:bookmarkStart w:id="323" w:name="_Toc184313308"/>
      <w:bookmarkEnd w:id="323"/>
      <w:bookmarkStart w:id="324" w:name="_Toc184312098"/>
      <w:bookmarkEnd w:id="324"/>
      <w:bookmarkStart w:id="325" w:name="_Toc184313285"/>
      <w:bookmarkEnd w:id="325"/>
      <w:bookmarkStart w:id="326" w:name="_Toc184310319"/>
      <w:bookmarkEnd w:id="326"/>
      <w:bookmarkStart w:id="327" w:name="_Toc184313300"/>
      <w:bookmarkEnd w:id="327"/>
      <w:bookmarkStart w:id="328" w:name="_Toc184314413"/>
      <w:bookmarkEnd w:id="328"/>
      <w:bookmarkStart w:id="329" w:name="_Toc184312120"/>
      <w:bookmarkEnd w:id="329"/>
      <w:bookmarkStart w:id="330" w:name="_Toc184313297"/>
      <w:bookmarkEnd w:id="330"/>
      <w:bookmarkStart w:id="331" w:name="_Toc184308081"/>
      <w:bookmarkEnd w:id="331"/>
      <w:bookmarkStart w:id="332" w:name="_Toc184310306"/>
      <w:bookmarkEnd w:id="332"/>
      <w:bookmarkStart w:id="333" w:name="_Toc184313294"/>
      <w:bookmarkEnd w:id="333"/>
      <w:bookmarkStart w:id="334" w:name="_Toc184310300"/>
      <w:bookmarkEnd w:id="334"/>
      <w:bookmarkStart w:id="335" w:name="_Toc184314425"/>
      <w:bookmarkEnd w:id="335"/>
      <w:bookmarkStart w:id="336" w:name="_Toc184314420"/>
      <w:bookmarkEnd w:id="336"/>
      <w:bookmarkStart w:id="337" w:name="_Toc184313293"/>
      <w:bookmarkEnd w:id="337"/>
      <w:bookmarkStart w:id="338" w:name="_Toc184313270"/>
      <w:bookmarkEnd w:id="338"/>
      <w:bookmarkStart w:id="339" w:name="_Toc184312094"/>
      <w:bookmarkEnd w:id="339"/>
      <w:bookmarkStart w:id="340" w:name="_Toc184314441"/>
      <w:bookmarkEnd w:id="340"/>
      <w:bookmarkStart w:id="341" w:name="_Toc184310322"/>
      <w:bookmarkEnd w:id="341"/>
      <w:bookmarkStart w:id="342" w:name="_Toc184313298"/>
      <w:bookmarkEnd w:id="342"/>
      <w:bookmarkStart w:id="343" w:name="_Toc184313276"/>
      <w:bookmarkEnd w:id="343"/>
      <w:bookmarkStart w:id="344" w:name="_Toc184310326"/>
      <w:bookmarkEnd w:id="344"/>
      <w:bookmarkStart w:id="345" w:name="_Toc184310335"/>
      <w:bookmarkEnd w:id="345"/>
      <w:bookmarkStart w:id="346" w:name="_Toc184314453"/>
      <w:bookmarkEnd w:id="346"/>
      <w:bookmarkStart w:id="347" w:name="_Toc184312113"/>
      <w:bookmarkEnd w:id="347"/>
      <w:bookmarkStart w:id="348" w:name="_Toc184312123"/>
      <w:bookmarkEnd w:id="348"/>
      <w:bookmarkStart w:id="349" w:name="_Toc184312077"/>
      <w:bookmarkEnd w:id="349"/>
      <w:bookmarkStart w:id="350" w:name="_Toc184310337"/>
      <w:bookmarkEnd w:id="350"/>
      <w:bookmarkStart w:id="351" w:name="_Toc184314482"/>
      <w:bookmarkEnd w:id="351"/>
      <w:bookmarkStart w:id="352" w:name="_Toc184308046"/>
      <w:bookmarkEnd w:id="352"/>
      <w:bookmarkStart w:id="353" w:name="_Toc184314419"/>
      <w:bookmarkEnd w:id="353"/>
      <w:bookmarkStart w:id="354" w:name="_Toc184310294"/>
      <w:bookmarkEnd w:id="354"/>
      <w:bookmarkStart w:id="355" w:name="_Toc184308061"/>
      <w:bookmarkEnd w:id="355"/>
      <w:bookmarkStart w:id="356" w:name="_Toc184310293"/>
      <w:bookmarkEnd w:id="356"/>
      <w:bookmarkStart w:id="357" w:name="_Toc184312071"/>
      <w:bookmarkEnd w:id="357"/>
      <w:bookmarkStart w:id="358" w:name="_Toc184310316"/>
      <w:bookmarkEnd w:id="358"/>
      <w:bookmarkStart w:id="359" w:name="_Toc184313242"/>
      <w:bookmarkEnd w:id="359"/>
      <w:bookmarkStart w:id="360" w:name="_Toc184310320"/>
      <w:bookmarkEnd w:id="360"/>
      <w:bookmarkStart w:id="361" w:name="_Toc184312127"/>
      <w:bookmarkEnd w:id="361"/>
      <w:bookmarkStart w:id="362" w:name="_Toc184312097"/>
      <w:bookmarkEnd w:id="362"/>
      <w:bookmarkStart w:id="363" w:name="_Toc184314474"/>
      <w:bookmarkEnd w:id="363"/>
      <w:bookmarkStart w:id="364" w:name="_Toc184310276"/>
      <w:bookmarkEnd w:id="364"/>
      <w:bookmarkStart w:id="365" w:name="_Toc184310309"/>
      <w:bookmarkEnd w:id="365"/>
      <w:bookmarkStart w:id="366" w:name="_Toc184312112"/>
      <w:bookmarkEnd w:id="366"/>
      <w:bookmarkStart w:id="367" w:name="_Toc184314468"/>
      <w:bookmarkEnd w:id="367"/>
      <w:bookmarkStart w:id="368" w:name="_Toc184310317"/>
      <w:bookmarkEnd w:id="368"/>
      <w:bookmarkStart w:id="369" w:name="_Toc184314436"/>
      <w:bookmarkEnd w:id="369"/>
      <w:bookmarkStart w:id="370" w:name="_Toc184314461"/>
      <w:bookmarkEnd w:id="370"/>
      <w:bookmarkStart w:id="371" w:name="_Toc184314424"/>
      <w:bookmarkEnd w:id="371"/>
      <w:bookmarkStart w:id="372" w:name="_Toc184314438"/>
      <w:bookmarkEnd w:id="372"/>
      <w:bookmarkStart w:id="373" w:name="_Toc184313278"/>
      <w:bookmarkEnd w:id="373"/>
      <w:bookmarkStart w:id="374" w:name="_Toc184314423"/>
      <w:bookmarkEnd w:id="374"/>
      <w:bookmarkStart w:id="375" w:name="_Toc184313246"/>
      <w:bookmarkEnd w:id="375"/>
      <w:bookmarkStart w:id="376" w:name="_Toc184312128"/>
      <w:bookmarkEnd w:id="376"/>
      <w:bookmarkStart w:id="377" w:name="_Toc184310313"/>
      <w:bookmarkEnd w:id="377"/>
      <w:bookmarkStart w:id="378" w:name="_Toc184308075"/>
      <w:bookmarkEnd w:id="378"/>
      <w:bookmarkStart w:id="379" w:name="_Toc184308094"/>
      <w:bookmarkEnd w:id="379"/>
      <w:bookmarkStart w:id="380" w:name="_Toc184308037"/>
      <w:bookmarkEnd w:id="380"/>
      <w:bookmarkStart w:id="381" w:name="_Toc184308077"/>
      <w:bookmarkEnd w:id="381"/>
      <w:bookmarkStart w:id="382" w:name="_Toc184310290"/>
      <w:bookmarkEnd w:id="382"/>
      <w:bookmarkStart w:id="383" w:name="_Toc184313271"/>
      <w:bookmarkEnd w:id="383"/>
      <w:bookmarkStart w:id="384" w:name="_Toc184314456"/>
      <w:bookmarkEnd w:id="384"/>
      <w:bookmarkStart w:id="385" w:name="_Toc184314416"/>
      <w:bookmarkEnd w:id="385"/>
      <w:bookmarkStart w:id="386" w:name="_Toc184308099"/>
      <w:bookmarkEnd w:id="386"/>
      <w:bookmarkStart w:id="387" w:name="_Toc184312080"/>
      <w:bookmarkEnd w:id="387"/>
      <w:bookmarkStart w:id="388" w:name="_Toc184312114"/>
      <w:bookmarkEnd w:id="388"/>
      <w:bookmarkStart w:id="389" w:name="_Toc184308103"/>
      <w:bookmarkEnd w:id="389"/>
      <w:bookmarkStart w:id="390" w:name="_Toc184314422"/>
      <w:bookmarkEnd w:id="390"/>
      <w:bookmarkStart w:id="391" w:name="_Toc184314469"/>
      <w:bookmarkEnd w:id="391"/>
      <w:bookmarkStart w:id="392" w:name="_Toc184312069"/>
      <w:bookmarkEnd w:id="392"/>
      <w:bookmarkStart w:id="393" w:name="_Toc184310341"/>
      <w:bookmarkEnd w:id="393"/>
      <w:bookmarkStart w:id="394" w:name="_Toc184308045"/>
      <w:bookmarkEnd w:id="394"/>
      <w:bookmarkStart w:id="395" w:name="_Toc184310303"/>
      <w:bookmarkEnd w:id="395"/>
      <w:bookmarkStart w:id="396" w:name="_Toc184314448"/>
      <w:bookmarkEnd w:id="396"/>
      <w:bookmarkStart w:id="397" w:name="_Toc184314434"/>
      <w:bookmarkEnd w:id="397"/>
      <w:bookmarkStart w:id="398" w:name="_Toc184313257"/>
      <w:bookmarkEnd w:id="398"/>
      <w:bookmarkStart w:id="399" w:name="_Toc184308078"/>
      <w:bookmarkEnd w:id="399"/>
      <w:bookmarkStart w:id="400" w:name="_Toc184313296"/>
      <w:bookmarkEnd w:id="400"/>
      <w:bookmarkStart w:id="401" w:name="_Toc184312118"/>
      <w:bookmarkEnd w:id="401"/>
      <w:bookmarkStart w:id="402" w:name="_Toc184313240"/>
      <w:bookmarkEnd w:id="402"/>
      <w:bookmarkStart w:id="403" w:name="_Toc184313252"/>
      <w:bookmarkEnd w:id="403"/>
      <w:bookmarkStart w:id="404" w:name="_Toc184310321"/>
      <w:bookmarkEnd w:id="404"/>
      <w:bookmarkStart w:id="405" w:name="_Toc184314431"/>
      <w:bookmarkEnd w:id="405"/>
      <w:bookmarkStart w:id="406" w:name="_Toc184313256"/>
      <w:bookmarkEnd w:id="406"/>
      <w:bookmarkStart w:id="407" w:name="_Toc184313302"/>
      <w:bookmarkEnd w:id="407"/>
      <w:bookmarkStart w:id="408" w:name="_Toc184313258"/>
      <w:bookmarkEnd w:id="408"/>
      <w:bookmarkStart w:id="409" w:name="_Toc184308049"/>
      <w:bookmarkEnd w:id="409"/>
      <w:bookmarkStart w:id="410" w:name="_Toc184308058"/>
      <w:bookmarkEnd w:id="410"/>
      <w:bookmarkStart w:id="411" w:name="_Toc184308098"/>
      <w:bookmarkEnd w:id="411"/>
      <w:bookmarkStart w:id="412" w:name="_Toc184308107"/>
      <w:bookmarkEnd w:id="412"/>
      <w:bookmarkStart w:id="413" w:name="_Toc184312126"/>
      <w:bookmarkEnd w:id="413"/>
      <w:bookmarkStart w:id="414" w:name="_Toc184310298"/>
      <w:bookmarkEnd w:id="414"/>
      <w:bookmarkStart w:id="415" w:name="_Toc184308073"/>
      <w:bookmarkEnd w:id="415"/>
      <w:bookmarkStart w:id="416" w:name="_Toc184314454"/>
      <w:bookmarkEnd w:id="416"/>
      <w:bookmarkStart w:id="417" w:name="_Toc184308070"/>
      <w:bookmarkEnd w:id="417"/>
      <w:bookmarkStart w:id="418" w:name="_Toc184313273"/>
      <w:bookmarkEnd w:id="418"/>
      <w:bookmarkStart w:id="419" w:name="_Toc184313292"/>
      <w:bookmarkEnd w:id="419"/>
      <w:bookmarkStart w:id="420" w:name="_Toc184310333"/>
      <w:bookmarkEnd w:id="420"/>
      <w:bookmarkStart w:id="421" w:name="_Toc184310288"/>
      <w:bookmarkEnd w:id="421"/>
      <w:bookmarkStart w:id="422" w:name="_Toc184310281"/>
      <w:bookmarkEnd w:id="422"/>
      <w:bookmarkStart w:id="423" w:name="_Toc184310307"/>
      <w:bookmarkEnd w:id="423"/>
      <w:bookmarkStart w:id="424" w:name="_Toc184308051"/>
      <w:bookmarkEnd w:id="424"/>
      <w:bookmarkStart w:id="425" w:name="_Toc184308101"/>
      <w:bookmarkEnd w:id="425"/>
      <w:r>
        <w:rPr>
          <w:rFonts w:hint="eastAsia"/>
          <w:color w:val="auto"/>
          <w:highlight w:val="none"/>
          <w:shd w:val="clear" w:color="auto" w:fill="auto"/>
        </w:rPr>
        <w:t>评标办法</w:t>
      </w:r>
    </w:p>
    <w:p>
      <w:pPr>
        <w:pStyle w:val="3"/>
        <w:rPr>
          <w:color w:val="auto"/>
          <w:highlight w:val="none"/>
          <w:shd w:val="clear" w:color="auto" w:fill="auto"/>
        </w:rPr>
      </w:pPr>
      <w:r>
        <w:rPr>
          <w:rFonts w:hint="eastAsia"/>
          <w:color w:val="auto"/>
          <w:highlight w:val="none"/>
          <w:shd w:val="clear" w:color="auto" w:fill="auto"/>
        </w:rPr>
        <w:t>评标办法前附表</w:t>
      </w:r>
    </w:p>
    <w:p>
      <w:pPr>
        <w:rPr>
          <w:b/>
          <w:color w:val="auto"/>
          <w:highlight w:val="none"/>
          <w:shd w:val="clear" w:color="auto" w:fill="auto"/>
        </w:rPr>
      </w:pPr>
      <w:r>
        <w:rPr>
          <w:rFonts w:hint="eastAsia"/>
          <w:b/>
          <w:color w:val="auto"/>
          <w:highlight w:val="none"/>
          <w:shd w:val="clear" w:color="auto" w:fill="auto"/>
        </w:rPr>
        <w:t>商务技术分（</w:t>
      </w:r>
      <w:r>
        <w:rPr>
          <w:rFonts w:hint="eastAsia"/>
          <w:b/>
          <w:color w:val="auto"/>
          <w:highlight w:val="none"/>
          <w:shd w:val="clear" w:color="auto" w:fill="auto"/>
          <w:lang w:val="en-US" w:eastAsia="zh-CN"/>
        </w:rPr>
        <w:t>50</w:t>
      </w:r>
      <w:r>
        <w:rPr>
          <w:rFonts w:hint="eastAsia"/>
          <w:b/>
          <w:color w:val="auto"/>
          <w:highlight w:val="none"/>
          <w:shd w:val="clear" w:color="auto" w:fill="auto"/>
        </w:rPr>
        <w:t>分）</w:t>
      </w:r>
    </w:p>
    <w:tbl>
      <w:tblPr>
        <w:tblStyle w:val="31"/>
        <w:tblW w:w="93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9"/>
        <w:gridCol w:w="553"/>
        <w:gridCol w:w="2126"/>
        <w:gridCol w:w="4394"/>
        <w:gridCol w:w="709"/>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tcPr>
          <w:p>
            <w:pPr>
              <w:spacing w:after="0"/>
              <w:jc w:val="center"/>
              <w:rPr>
                <w:color w:val="auto"/>
                <w:highlight w:val="none"/>
                <w:shd w:val="clear" w:color="auto" w:fill="auto"/>
              </w:rPr>
            </w:pPr>
          </w:p>
        </w:tc>
        <w:tc>
          <w:tcPr>
            <w:tcW w:w="553" w:type="dxa"/>
            <w:vAlign w:val="center"/>
          </w:tcPr>
          <w:p>
            <w:pPr>
              <w:spacing w:after="0"/>
              <w:jc w:val="center"/>
              <w:rPr>
                <w:color w:val="auto"/>
                <w:highlight w:val="none"/>
                <w:shd w:val="clear" w:color="auto" w:fill="auto"/>
              </w:rPr>
            </w:pPr>
            <w:r>
              <w:rPr>
                <w:rFonts w:hint="eastAsia"/>
                <w:color w:val="auto"/>
                <w:highlight w:val="none"/>
                <w:shd w:val="clear" w:color="auto" w:fill="auto"/>
              </w:rPr>
              <w:t>序号</w:t>
            </w:r>
          </w:p>
        </w:tc>
        <w:tc>
          <w:tcPr>
            <w:tcW w:w="6520" w:type="dxa"/>
            <w:gridSpan w:val="2"/>
            <w:vAlign w:val="center"/>
          </w:tcPr>
          <w:p>
            <w:pPr>
              <w:spacing w:after="0"/>
              <w:jc w:val="center"/>
              <w:rPr>
                <w:color w:val="auto"/>
                <w:highlight w:val="none"/>
                <w:shd w:val="clear" w:color="auto" w:fill="auto"/>
              </w:rPr>
            </w:pPr>
            <w:r>
              <w:rPr>
                <w:rFonts w:hint="eastAsia"/>
                <w:color w:val="auto"/>
                <w:highlight w:val="none"/>
                <w:shd w:val="clear" w:color="auto" w:fill="auto"/>
              </w:rPr>
              <w:t>评分内容和标准</w:t>
            </w:r>
          </w:p>
        </w:tc>
        <w:tc>
          <w:tcPr>
            <w:tcW w:w="709" w:type="dxa"/>
            <w:vAlign w:val="center"/>
          </w:tcPr>
          <w:p>
            <w:pPr>
              <w:spacing w:after="0"/>
              <w:jc w:val="center"/>
              <w:rPr>
                <w:color w:val="auto"/>
                <w:highlight w:val="none"/>
                <w:shd w:val="clear" w:color="auto" w:fill="auto"/>
              </w:rPr>
            </w:pPr>
            <w:r>
              <w:rPr>
                <w:rFonts w:hint="eastAsia"/>
                <w:color w:val="auto"/>
                <w:highlight w:val="none"/>
                <w:shd w:val="clear" w:color="auto" w:fill="auto"/>
              </w:rPr>
              <w:t>分值区间</w:t>
            </w:r>
          </w:p>
        </w:tc>
        <w:tc>
          <w:tcPr>
            <w:tcW w:w="850" w:type="dxa"/>
            <w:vAlign w:val="center"/>
          </w:tcPr>
          <w:p>
            <w:pPr>
              <w:spacing w:after="0"/>
              <w:jc w:val="center"/>
              <w:rPr>
                <w:color w:val="auto"/>
                <w:highlight w:val="none"/>
                <w:shd w:val="clear" w:color="auto" w:fill="auto"/>
              </w:rPr>
            </w:pPr>
            <w:r>
              <w:rPr>
                <w:rFonts w:hint="eastAsia"/>
                <w:color w:val="auto"/>
                <w:highlight w:val="none"/>
                <w:shd w:val="clear" w:color="auto" w:fill="auto"/>
              </w:rPr>
              <w:t>主客观分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restart"/>
          </w:tcPr>
          <w:p>
            <w:pPr>
              <w:spacing w:after="0"/>
              <w:rPr>
                <w:rFonts w:hint="eastAsia" w:eastAsia="仿宋"/>
                <w:color w:val="auto"/>
                <w:highlight w:val="none"/>
                <w:shd w:val="clear" w:color="auto" w:fill="auto"/>
                <w:lang w:eastAsia="zh-CN"/>
              </w:rPr>
            </w:pPr>
            <w:r>
              <w:rPr>
                <w:rFonts w:hint="eastAsia"/>
                <w:color w:val="auto"/>
                <w:highlight w:val="none"/>
                <w:shd w:val="clear" w:color="auto" w:fill="auto"/>
              </w:rPr>
              <w:t>商务资信分</w:t>
            </w:r>
            <w:r>
              <w:rPr>
                <w:rFonts w:hint="eastAsia"/>
                <w:color w:val="auto"/>
                <w:highlight w:val="none"/>
                <w:shd w:val="clear" w:color="auto" w:fill="auto"/>
                <w:lang w:eastAsia="zh-CN"/>
              </w:rPr>
              <w:t>（</w:t>
            </w:r>
            <w:r>
              <w:rPr>
                <w:rFonts w:hint="eastAsia"/>
                <w:color w:val="auto"/>
                <w:highlight w:val="none"/>
                <w:shd w:val="clear" w:color="auto" w:fill="auto"/>
                <w:lang w:val="en-US" w:eastAsia="zh-CN"/>
              </w:rPr>
              <w:t>10分</w:t>
            </w:r>
            <w:r>
              <w:rPr>
                <w:rFonts w:hint="eastAsia"/>
                <w:color w:val="auto"/>
                <w:highlight w:val="none"/>
                <w:shd w:val="clear" w:color="auto" w:fill="auto"/>
                <w:lang w:eastAsia="zh-CN"/>
              </w:rPr>
              <w:t>）</w:t>
            </w:r>
          </w:p>
        </w:tc>
        <w:tc>
          <w:tcPr>
            <w:tcW w:w="553" w:type="dxa"/>
            <w:vAlign w:val="center"/>
          </w:tcPr>
          <w:p>
            <w:pPr>
              <w:pStyle w:val="50"/>
              <w:numPr>
                <w:ilvl w:val="0"/>
                <w:numId w:val="10"/>
              </w:numPr>
              <w:spacing w:after="0"/>
              <w:jc w:val="center"/>
              <w:rPr>
                <w:color w:val="auto"/>
                <w:highlight w:val="none"/>
                <w:shd w:val="clear" w:color="auto" w:fill="auto"/>
              </w:rPr>
            </w:pPr>
          </w:p>
        </w:tc>
        <w:tc>
          <w:tcPr>
            <w:tcW w:w="2126" w:type="dxa"/>
            <w:vAlign w:val="center"/>
          </w:tcPr>
          <w:p>
            <w:pPr>
              <w:spacing w:after="0"/>
              <w:rPr>
                <w:color w:val="auto"/>
                <w:highlight w:val="none"/>
                <w:shd w:val="clear" w:color="auto" w:fill="auto"/>
              </w:rPr>
            </w:pPr>
            <w:r>
              <w:rPr>
                <w:color w:val="auto"/>
                <w:highlight w:val="none"/>
                <w:shd w:val="clear" w:color="auto" w:fill="auto"/>
              </w:rPr>
              <w:t>综合实力</w:t>
            </w:r>
          </w:p>
        </w:tc>
        <w:tc>
          <w:tcPr>
            <w:tcW w:w="4394" w:type="dxa"/>
            <w:vAlign w:val="center"/>
          </w:tcPr>
          <w:p>
            <w:pPr>
              <w:tabs>
                <w:tab w:val="left" w:pos="630"/>
              </w:tabs>
              <w:adjustRightInd w:val="0"/>
              <w:snapToGrid w:val="0"/>
              <w:spacing w:after="0"/>
              <w:jc w:val="left"/>
              <w:rPr>
                <w:color w:val="auto"/>
                <w:highlight w:val="none"/>
                <w:shd w:val="clear" w:color="auto" w:fill="auto"/>
              </w:rPr>
            </w:pPr>
            <w:r>
              <w:rPr>
                <w:rFonts w:hint="eastAsia" w:cs="仿宋"/>
                <w:color w:val="auto"/>
                <w:highlight w:val="none"/>
                <w:shd w:val="clear" w:color="auto" w:fill="auto"/>
              </w:rPr>
              <w:t>根据投标人综合实力、履约能力等情况综合评定打分</w:t>
            </w:r>
          </w:p>
        </w:tc>
        <w:tc>
          <w:tcPr>
            <w:tcW w:w="709" w:type="dxa"/>
            <w:vAlign w:val="center"/>
          </w:tcPr>
          <w:p>
            <w:pPr>
              <w:spacing w:after="0"/>
              <w:jc w:val="center"/>
              <w:rPr>
                <w:color w:val="auto"/>
                <w:highlight w:val="none"/>
                <w:shd w:val="clear" w:color="auto" w:fill="auto"/>
              </w:rPr>
            </w:pPr>
            <w:r>
              <w:rPr>
                <w:rFonts w:hint="eastAsia"/>
                <w:color w:val="auto"/>
                <w:highlight w:val="none"/>
                <w:shd w:val="clear" w:color="auto" w:fill="auto"/>
                <w:lang w:val="en-US" w:eastAsia="zh-CN"/>
              </w:rPr>
              <w:t>0-</w:t>
            </w:r>
            <w:r>
              <w:rPr>
                <w:rFonts w:hint="eastAsia"/>
                <w:color w:val="auto"/>
                <w:highlight w:val="none"/>
                <w:shd w:val="clear" w:color="auto" w:fill="auto"/>
              </w:rPr>
              <w:t>3</w:t>
            </w:r>
          </w:p>
        </w:tc>
        <w:tc>
          <w:tcPr>
            <w:tcW w:w="850" w:type="dxa"/>
            <w:vAlign w:val="center"/>
          </w:tcPr>
          <w:p>
            <w:pPr>
              <w:spacing w:after="0"/>
              <w:jc w:val="center"/>
              <w:rPr>
                <w:color w:val="auto"/>
                <w:highlight w:val="none"/>
                <w:shd w:val="clear" w:color="auto" w:fill="auto"/>
              </w:rPr>
            </w:pPr>
            <w:r>
              <w:rPr>
                <w:rFonts w:hint="eastAsia"/>
                <w:color w:val="auto"/>
                <w:highlight w:val="none"/>
                <w:shd w:val="clear" w:color="auto" w:fill="auto"/>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tcPr>
          <w:p>
            <w:pPr>
              <w:pStyle w:val="50"/>
              <w:spacing w:after="0"/>
              <w:ind w:left="420"/>
              <w:rPr>
                <w:color w:val="auto"/>
                <w:highlight w:val="none"/>
                <w:shd w:val="clear" w:color="auto" w:fill="auto"/>
              </w:rPr>
            </w:pPr>
          </w:p>
        </w:tc>
        <w:tc>
          <w:tcPr>
            <w:tcW w:w="553" w:type="dxa"/>
            <w:vAlign w:val="center"/>
          </w:tcPr>
          <w:p>
            <w:pPr>
              <w:pStyle w:val="50"/>
              <w:numPr>
                <w:ilvl w:val="0"/>
                <w:numId w:val="10"/>
              </w:numPr>
              <w:spacing w:after="0"/>
              <w:jc w:val="center"/>
              <w:rPr>
                <w:color w:val="auto"/>
                <w:highlight w:val="none"/>
                <w:shd w:val="clear" w:color="auto" w:fill="auto"/>
              </w:rPr>
            </w:pPr>
          </w:p>
        </w:tc>
        <w:tc>
          <w:tcPr>
            <w:tcW w:w="2126" w:type="dxa"/>
            <w:vAlign w:val="center"/>
          </w:tcPr>
          <w:p>
            <w:pPr>
              <w:spacing w:after="0"/>
              <w:rPr>
                <w:color w:val="auto"/>
                <w:highlight w:val="none"/>
                <w:shd w:val="clear" w:color="auto" w:fill="auto"/>
              </w:rPr>
            </w:pPr>
            <w:r>
              <w:rPr>
                <w:rFonts w:hint="eastAsia"/>
                <w:color w:val="auto"/>
                <w:highlight w:val="none"/>
                <w:shd w:val="clear" w:color="auto" w:fill="auto"/>
              </w:rPr>
              <w:t>相关证书</w:t>
            </w:r>
          </w:p>
        </w:tc>
        <w:tc>
          <w:tcPr>
            <w:tcW w:w="4394" w:type="dxa"/>
            <w:vAlign w:val="top"/>
          </w:tcPr>
          <w:p>
            <w:pPr>
              <w:tabs>
                <w:tab w:val="left" w:pos="630"/>
              </w:tabs>
              <w:adjustRightInd w:val="0"/>
              <w:snapToGrid w:val="0"/>
              <w:spacing w:after="0"/>
              <w:jc w:val="left"/>
              <w:rPr>
                <w:rFonts w:cs="仿宋"/>
                <w:color w:val="auto"/>
                <w:szCs w:val="21"/>
                <w:highlight w:val="none"/>
                <w:shd w:val="clear" w:color="auto" w:fill="auto"/>
              </w:rPr>
            </w:pPr>
            <w:r>
              <w:rPr>
                <w:rFonts w:hint="eastAsia" w:cs="仿宋"/>
                <w:color w:val="auto"/>
                <w:szCs w:val="21"/>
                <w:highlight w:val="none"/>
                <w:shd w:val="clear" w:color="auto" w:fill="auto"/>
              </w:rPr>
              <w:t>1）投标人具有有效期内的ISO9001质量管理体系认证证书、ISO14001环境管理体系认证证书，ISO45001职业健康安全管理体系认证证书的，每项得1分，满分3分。</w:t>
            </w:r>
          </w:p>
          <w:p>
            <w:pPr>
              <w:tabs>
                <w:tab w:val="left" w:pos="630"/>
              </w:tabs>
              <w:adjustRightInd w:val="0"/>
              <w:snapToGrid w:val="0"/>
              <w:spacing w:after="0"/>
              <w:jc w:val="left"/>
              <w:rPr>
                <w:rFonts w:cs="仿宋"/>
                <w:color w:val="auto"/>
                <w:szCs w:val="21"/>
                <w:highlight w:val="none"/>
                <w:shd w:val="clear" w:color="auto" w:fill="auto"/>
              </w:rPr>
            </w:pPr>
            <w:r>
              <w:rPr>
                <w:rFonts w:hint="eastAsia" w:cs="仿宋"/>
                <w:color w:val="auto"/>
                <w:szCs w:val="21"/>
                <w:highlight w:val="none"/>
                <w:shd w:val="clear" w:color="auto" w:fill="auto"/>
              </w:rPr>
              <w:t>2）</w:t>
            </w:r>
            <w:r>
              <w:rPr>
                <w:rFonts w:hint="eastAsia" w:cs="仿宋"/>
                <w:color w:val="auto"/>
                <w:highlight w:val="none"/>
                <w:shd w:val="clear" w:color="auto" w:fill="auto"/>
              </w:rPr>
              <w:t>具有承装（修、试）电力设施许可证三级及以上资质证书的，得1分。</w:t>
            </w:r>
          </w:p>
          <w:p>
            <w:pPr>
              <w:tabs>
                <w:tab w:val="left" w:pos="630"/>
              </w:tabs>
              <w:adjustRightInd w:val="0"/>
              <w:snapToGrid w:val="0"/>
              <w:spacing w:after="0"/>
              <w:jc w:val="left"/>
              <w:rPr>
                <w:color w:val="auto"/>
                <w:highlight w:val="none"/>
                <w:shd w:val="clear" w:color="auto" w:fill="auto"/>
              </w:rPr>
            </w:pPr>
            <w:r>
              <w:rPr>
                <w:rFonts w:hint="eastAsia" w:cs="仿宋"/>
                <w:color w:val="auto"/>
                <w:szCs w:val="21"/>
                <w:highlight w:val="none"/>
                <w:shd w:val="clear" w:color="auto" w:fill="auto"/>
              </w:rPr>
              <w:t>(投标文件中提供有效期内的证书原件扫描件并加盖公章，不提供不得分)</w:t>
            </w:r>
          </w:p>
        </w:tc>
        <w:tc>
          <w:tcPr>
            <w:tcW w:w="709" w:type="dxa"/>
            <w:vAlign w:val="center"/>
          </w:tcPr>
          <w:p>
            <w:pPr>
              <w:spacing w:after="0"/>
              <w:jc w:val="center"/>
              <w:rPr>
                <w:color w:val="auto"/>
                <w:highlight w:val="none"/>
                <w:shd w:val="clear" w:color="auto" w:fill="auto"/>
              </w:rPr>
            </w:pPr>
            <w:r>
              <w:rPr>
                <w:rFonts w:hint="eastAsia"/>
                <w:color w:val="auto"/>
                <w:highlight w:val="none"/>
                <w:shd w:val="clear" w:color="auto" w:fill="auto"/>
                <w:lang w:val="en-US" w:eastAsia="zh-CN"/>
              </w:rPr>
              <w:t>0-</w:t>
            </w:r>
            <w:r>
              <w:rPr>
                <w:rFonts w:hint="eastAsia"/>
                <w:color w:val="auto"/>
                <w:highlight w:val="none"/>
                <w:shd w:val="clear" w:color="auto" w:fill="auto"/>
              </w:rPr>
              <w:t>4</w:t>
            </w:r>
          </w:p>
        </w:tc>
        <w:tc>
          <w:tcPr>
            <w:tcW w:w="850" w:type="dxa"/>
            <w:vAlign w:val="center"/>
          </w:tcPr>
          <w:p>
            <w:pPr>
              <w:spacing w:after="0"/>
              <w:jc w:val="center"/>
              <w:rPr>
                <w:color w:val="auto"/>
                <w:highlight w:val="none"/>
                <w:shd w:val="clear" w:color="auto" w:fill="auto"/>
              </w:rPr>
            </w:pPr>
            <w:r>
              <w:rPr>
                <w:rFonts w:hint="eastAsia"/>
                <w:color w:val="auto"/>
                <w:highlight w:val="none"/>
                <w:shd w:val="clear" w:color="auto" w:fill="auto"/>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tcPr>
          <w:p>
            <w:pPr>
              <w:pStyle w:val="50"/>
              <w:spacing w:after="0"/>
              <w:ind w:left="420"/>
              <w:rPr>
                <w:color w:val="auto"/>
                <w:highlight w:val="none"/>
                <w:shd w:val="clear" w:color="auto" w:fill="auto"/>
              </w:rPr>
            </w:pPr>
          </w:p>
        </w:tc>
        <w:tc>
          <w:tcPr>
            <w:tcW w:w="553" w:type="dxa"/>
            <w:vAlign w:val="center"/>
          </w:tcPr>
          <w:p>
            <w:pPr>
              <w:pStyle w:val="50"/>
              <w:numPr>
                <w:ilvl w:val="0"/>
                <w:numId w:val="10"/>
              </w:numPr>
              <w:spacing w:after="0"/>
              <w:jc w:val="center"/>
              <w:rPr>
                <w:color w:val="auto"/>
                <w:highlight w:val="none"/>
                <w:shd w:val="clear" w:color="auto" w:fill="auto"/>
              </w:rPr>
            </w:pPr>
          </w:p>
        </w:tc>
        <w:tc>
          <w:tcPr>
            <w:tcW w:w="2126" w:type="dxa"/>
            <w:vAlign w:val="center"/>
          </w:tcPr>
          <w:p>
            <w:pPr>
              <w:spacing w:after="0"/>
              <w:rPr>
                <w:color w:val="auto"/>
                <w:highlight w:val="none"/>
                <w:shd w:val="clear" w:color="auto" w:fill="auto"/>
              </w:rPr>
            </w:pPr>
            <w:r>
              <w:rPr>
                <w:rFonts w:hint="eastAsia"/>
                <w:color w:val="auto"/>
                <w:highlight w:val="none"/>
                <w:shd w:val="clear" w:color="auto" w:fill="auto"/>
              </w:rPr>
              <w:t>类似业绩</w:t>
            </w:r>
          </w:p>
        </w:tc>
        <w:tc>
          <w:tcPr>
            <w:tcW w:w="4394" w:type="dxa"/>
            <w:vAlign w:val="top"/>
          </w:tcPr>
          <w:p>
            <w:pPr>
              <w:spacing w:after="0"/>
              <w:jc w:val="left"/>
              <w:rPr>
                <w:color w:val="auto"/>
                <w:highlight w:val="none"/>
                <w:shd w:val="clear" w:color="auto" w:fill="auto"/>
              </w:rPr>
            </w:pPr>
            <w:r>
              <w:rPr>
                <w:rFonts w:hint="eastAsia"/>
                <w:color w:val="auto"/>
                <w:highlight w:val="none"/>
                <w:shd w:val="clear" w:color="auto" w:fill="auto"/>
              </w:rPr>
              <w:t>投标企业自2019年1月1日以来已完成的光伏发电项目，单个分布式光伏项目不少于1MWp的，每个得1分，最高得3分。</w:t>
            </w:r>
            <w:r>
              <w:rPr>
                <w:rFonts w:hint="eastAsia" w:cs="仿宋"/>
                <w:color w:val="auto"/>
                <w:szCs w:val="21"/>
                <w:highlight w:val="none"/>
                <w:shd w:val="clear" w:color="auto" w:fill="auto"/>
              </w:rPr>
              <w:t>(投标文件中提供合同及验收报告扫描件并加盖公章，不提供不得分)</w:t>
            </w:r>
          </w:p>
        </w:tc>
        <w:tc>
          <w:tcPr>
            <w:tcW w:w="709" w:type="dxa"/>
            <w:vAlign w:val="center"/>
          </w:tcPr>
          <w:p>
            <w:pPr>
              <w:spacing w:after="0"/>
              <w:jc w:val="center"/>
              <w:rPr>
                <w:color w:val="auto"/>
                <w:highlight w:val="none"/>
                <w:shd w:val="clear" w:color="auto" w:fill="auto"/>
              </w:rPr>
            </w:pPr>
            <w:r>
              <w:rPr>
                <w:rFonts w:hint="eastAsia"/>
                <w:color w:val="auto"/>
                <w:highlight w:val="none"/>
                <w:shd w:val="clear" w:color="auto" w:fill="auto"/>
                <w:lang w:val="en-US" w:eastAsia="zh-CN"/>
              </w:rPr>
              <w:t>0-</w:t>
            </w:r>
            <w:r>
              <w:rPr>
                <w:rFonts w:hint="eastAsia"/>
                <w:color w:val="auto"/>
                <w:highlight w:val="none"/>
                <w:shd w:val="clear" w:color="auto" w:fill="auto"/>
              </w:rPr>
              <w:t>3</w:t>
            </w:r>
          </w:p>
        </w:tc>
        <w:tc>
          <w:tcPr>
            <w:tcW w:w="850" w:type="dxa"/>
            <w:vAlign w:val="center"/>
          </w:tcPr>
          <w:p>
            <w:pPr>
              <w:spacing w:after="0"/>
              <w:jc w:val="center"/>
              <w:rPr>
                <w:color w:val="auto"/>
                <w:highlight w:val="none"/>
                <w:shd w:val="clear" w:color="auto" w:fill="auto"/>
              </w:rPr>
            </w:pPr>
            <w:r>
              <w:rPr>
                <w:rFonts w:hint="eastAsia"/>
                <w:color w:val="auto"/>
                <w:highlight w:val="none"/>
                <w:shd w:val="clear" w:color="auto" w:fill="auto"/>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restart"/>
          </w:tcPr>
          <w:p>
            <w:pPr>
              <w:spacing w:after="0"/>
              <w:rPr>
                <w:rFonts w:hint="eastAsia" w:eastAsia="仿宋"/>
                <w:color w:val="auto"/>
                <w:highlight w:val="none"/>
                <w:shd w:val="clear" w:color="auto" w:fill="auto"/>
                <w:lang w:eastAsia="zh-CN"/>
              </w:rPr>
            </w:pPr>
            <w:r>
              <w:rPr>
                <w:rFonts w:hint="eastAsia"/>
                <w:color w:val="auto"/>
                <w:highlight w:val="none"/>
                <w:shd w:val="clear" w:color="auto" w:fill="auto"/>
              </w:rPr>
              <w:t>技术服务分</w:t>
            </w:r>
            <w:r>
              <w:rPr>
                <w:rFonts w:hint="eastAsia"/>
                <w:color w:val="auto"/>
                <w:highlight w:val="none"/>
                <w:shd w:val="clear" w:color="auto" w:fill="auto"/>
                <w:lang w:eastAsia="zh-CN"/>
              </w:rPr>
              <w:t>（</w:t>
            </w:r>
            <w:r>
              <w:rPr>
                <w:rFonts w:hint="eastAsia"/>
                <w:color w:val="auto"/>
                <w:highlight w:val="none"/>
                <w:shd w:val="clear" w:color="auto" w:fill="auto"/>
                <w:lang w:val="en-US" w:eastAsia="zh-CN"/>
              </w:rPr>
              <w:t>40分</w:t>
            </w:r>
            <w:r>
              <w:rPr>
                <w:rFonts w:hint="eastAsia"/>
                <w:color w:val="auto"/>
                <w:highlight w:val="none"/>
                <w:shd w:val="clear" w:color="auto" w:fill="auto"/>
                <w:lang w:eastAsia="zh-CN"/>
              </w:rPr>
              <w:t>）</w:t>
            </w:r>
          </w:p>
        </w:tc>
        <w:tc>
          <w:tcPr>
            <w:tcW w:w="553" w:type="dxa"/>
            <w:vAlign w:val="center"/>
          </w:tcPr>
          <w:p>
            <w:pPr>
              <w:pStyle w:val="50"/>
              <w:numPr>
                <w:ilvl w:val="0"/>
                <w:numId w:val="10"/>
              </w:numPr>
              <w:spacing w:after="0"/>
              <w:jc w:val="center"/>
              <w:rPr>
                <w:color w:val="auto"/>
                <w:highlight w:val="none"/>
                <w:shd w:val="clear" w:color="auto" w:fill="auto"/>
              </w:rPr>
            </w:pPr>
          </w:p>
        </w:tc>
        <w:tc>
          <w:tcPr>
            <w:tcW w:w="2126" w:type="dxa"/>
            <w:vMerge w:val="restart"/>
            <w:vAlign w:val="center"/>
          </w:tcPr>
          <w:p>
            <w:pPr>
              <w:spacing w:after="0"/>
              <w:rPr>
                <w:color w:val="auto"/>
                <w:highlight w:val="none"/>
                <w:shd w:val="clear" w:color="auto" w:fill="auto"/>
              </w:rPr>
            </w:pPr>
            <w:r>
              <w:rPr>
                <w:color w:val="auto"/>
                <w:highlight w:val="none"/>
                <w:shd w:val="clear" w:color="auto" w:fill="auto"/>
              </w:rPr>
              <w:t>项目实施方案</w:t>
            </w:r>
          </w:p>
        </w:tc>
        <w:tc>
          <w:tcPr>
            <w:tcW w:w="4394" w:type="dxa"/>
            <w:vAlign w:val="center"/>
          </w:tcPr>
          <w:p>
            <w:pPr>
              <w:spacing w:after="0"/>
              <w:rPr>
                <w:color w:val="auto"/>
                <w:highlight w:val="none"/>
                <w:shd w:val="clear" w:color="auto" w:fill="auto"/>
              </w:rPr>
            </w:pPr>
            <w:r>
              <w:rPr>
                <w:rFonts w:hint="eastAsia"/>
                <w:color w:val="auto"/>
                <w:highlight w:val="none"/>
                <w:shd w:val="clear" w:color="auto" w:fill="auto"/>
              </w:rPr>
              <w:t>根据投标人提供的</w:t>
            </w:r>
            <w:r>
              <w:rPr>
                <w:color w:val="auto"/>
                <w:highlight w:val="none"/>
                <w:shd w:val="clear" w:color="auto" w:fill="auto"/>
              </w:rPr>
              <w:t>配送</w:t>
            </w:r>
            <w:r>
              <w:rPr>
                <w:rFonts w:hint="eastAsia"/>
                <w:color w:val="auto"/>
                <w:highlight w:val="none"/>
                <w:shd w:val="clear" w:color="auto" w:fill="auto"/>
              </w:rPr>
              <w:t>安装</w:t>
            </w:r>
            <w:r>
              <w:rPr>
                <w:color w:val="auto"/>
                <w:highlight w:val="none"/>
                <w:shd w:val="clear" w:color="auto" w:fill="auto"/>
              </w:rPr>
              <w:t>计划</w:t>
            </w:r>
            <w:r>
              <w:rPr>
                <w:rFonts w:hint="eastAsia"/>
                <w:color w:val="auto"/>
                <w:highlight w:val="none"/>
                <w:shd w:val="clear" w:color="auto" w:fill="auto"/>
              </w:rPr>
              <w:t>、进度计划打分。配送</w:t>
            </w:r>
            <w:r>
              <w:rPr>
                <w:rFonts w:hint="eastAsia"/>
                <w:color w:val="auto"/>
                <w:szCs w:val="21"/>
                <w:highlight w:val="none"/>
                <w:shd w:val="clear" w:color="auto" w:fill="auto"/>
              </w:rPr>
              <w:t>、安装计划科学、合理，得4-5分；</w:t>
            </w:r>
            <w:r>
              <w:rPr>
                <w:rFonts w:hint="eastAsia"/>
                <w:color w:val="auto"/>
                <w:highlight w:val="none"/>
                <w:shd w:val="clear" w:color="auto" w:fill="auto"/>
              </w:rPr>
              <w:t>配送</w:t>
            </w:r>
            <w:r>
              <w:rPr>
                <w:rFonts w:hint="eastAsia"/>
                <w:color w:val="auto"/>
                <w:szCs w:val="21"/>
                <w:highlight w:val="none"/>
                <w:shd w:val="clear" w:color="auto" w:fill="auto"/>
              </w:rPr>
              <w:t>、安装计划基本合理，得2-3.9分；</w:t>
            </w:r>
            <w:r>
              <w:rPr>
                <w:rFonts w:hint="eastAsia"/>
                <w:color w:val="auto"/>
                <w:highlight w:val="none"/>
                <w:shd w:val="clear" w:color="auto" w:fill="auto"/>
              </w:rPr>
              <w:t>配送</w:t>
            </w:r>
            <w:r>
              <w:rPr>
                <w:rFonts w:hint="eastAsia"/>
                <w:color w:val="auto"/>
                <w:szCs w:val="21"/>
                <w:highlight w:val="none"/>
                <w:shd w:val="clear" w:color="auto" w:fill="auto"/>
              </w:rPr>
              <w:t>、安装计划较差或未描述完整的，得0-1.9分。</w:t>
            </w:r>
          </w:p>
        </w:tc>
        <w:tc>
          <w:tcPr>
            <w:tcW w:w="709" w:type="dxa"/>
            <w:vAlign w:val="center"/>
          </w:tcPr>
          <w:p>
            <w:pPr>
              <w:spacing w:after="0"/>
              <w:jc w:val="center"/>
              <w:rPr>
                <w:rFonts w:hint="default" w:eastAsia="仿宋"/>
                <w:color w:val="auto"/>
                <w:highlight w:val="none"/>
                <w:shd w:val="clear" w:color="auto" w:fill="auto"/>
                <w:lang w:val="en-US" w:eastAsia="zh-CN"/>
              </w:rPr>
            </w:pPr>
            <w:r>
              <w:rPr>
                <w:rFonts w:hint="eastAsia"/>
                <w:color w:val="auto"/>
                <w:highlight w:val="none"/>
                <w:shd w:val="clear" w:color="auto" w:fill="auto"/>
                <w:lang w:val="en-US" w:eastAsia="zh-CN"/>
              </w:rPr>
              <w:t>0-5</w:t>
            </w:r>
          </w:p>
        </w:tc>
        <w:tc>
          <w:tcPr>
            <w:tcW w:w="850" w:type="dxa"/>
            <w:vAlign w:val="center"/>
          </w:tcPr>
          <w:p>
            <w:pPr>
              <w:spacing w:after="0"/>
              <w:jc w:val="center"/>
              <w:rPr>
                <w:color w:val="auto"/>
                <w:highlight w:val="none"/>
                <w:shd w:val="clear" w:color="auto" w:fill="auto"/>
              </w:rPr>
            </w:pPr>
            <w:r>
              <w:rPr>
                <w:rFonts w:hint="eastAsia"/>
                <w:color w:val="auto"/>
                <w:highlight w:val="none"/>
                <w:shd w:val="clear" w:color="auto" w:fill="auto"/>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tcPr>
          <w:p>
            <w:pPr>
              <w:pStyle w:val="50"/>
              <w:spacing w:after="0"/>
              <w:ind w:left="420"/>
              <w:rPr>
                <w:color w:val="auto"/>
                <w:highlight w:val="none"/>
                <w:shd w:val="clear" w:color="auto" w:fill="auto"/>
              </w:rPr>
            </w:pPr>
          </w:p>
        </w:tc>
        <w:tc>
          <w:tcPr>
            <w:tcW w:w="553" w:type="dxa"/>
            <w:vAlign w:val="center"/>
          </w:tcPr>
          <w:p>
            <w:pPr>
              <w:pStyle w:val="50"/>
              <w:numPr>
                <w:ilvl w:val="0"/>
                <w:numId w:val="10"/>
              </w:numPr>
              <w:spacing w:after="0"/>
              <w:jc w:val="center"/>
              <w:rPr>
                <w:color w:val="auto"/>
                <w:highlight w:val="none"/>
                <w:shd w:val="clear" w:color="auto" w:fill="auto"/>
              </w:rPr>
            </w:pPr>
          </w:p>
        </w:tc>
        <w:tc>
          <w:tcPr>
            <w:tcW w:w="2126" w:type="dxa"/>
            <w:vMerge w:val="continue"/>
            <w:vAlign w:val="center"/>
          </w:tcPr>
          <w:p>
            <w:pPr>
              <w:spacing w:after="0"/>
              <w:rPr>
                <w:color w:val="auto"/>
                <w:highlight w:val="none"/>
                <w:shd w:val="clear" w:color="auto" w:fill="auto"/>
              </w:rPr>
            </w:pPr>
          </w:p>
        </w:tc>
        <w:tc>
          <w:tcPr>
            <w:tcW w:w="4394" w:type="dxa"/>
            <w:vAlign w:val="center"/>
          </w:tcPr>
          <w:p>
            <w:pPr>
              <w:spacing w:after="0"/>
              <w:rPr>
                <w:color w:val="auto"/>
                <w:highlight w:val="none"/>
                <w:shd w:val="clear" w:color="auto" w:fill="auto"/>
              </w:rPr>
            </w:pPr>
            <w:r>
              <w:rPr>
                <w:rFonts w:hint="eastAsia"/>
                <w:color w:val="auto"/>
                <w:highlight w:val="none"/>
                <w:shd w:val="clear" w:color="auto" w:fill="auto"/>
              </w:rPr>
              <w:t>根据投标人提供的供货、安装过程中现场安全措施方案的可行性、合理性及科学性进行打分。安全措施方案科学、合理</w:t>
            </w:r>
            <w:r>
              <w:rPr>
                <w:rFonts w:hint="eastAsia"/>
                <w:color w:val="auto"/>
                <w:szCs w:val="21"/>
                <w:highlight w:val="none"/>
                <w:shd w:val="clear" w:color="auto" w:fill="auto"/>
              </w:rPr>
              <w:t>得4-5分；</w:t>
            </w:r>
            <w:r>
              <w:rPr>
                <w:rFonts w:hint="eastAsia"/>
                <w:color w:val="auto"/>
                <w:highlight w:val="none"/>
                <w:shd w:val="clear" w:color="auto" w:fill="auto"/>
              </w:rPr>
              <w:t>安全措施方案基本合理</w:t>
            </w:r>
            <w:r>
              <w:rPr>
                <w:rFonts w:hint="eastAsia"/>
                <w:color w:val="auto"/>
                <w:szCs w:val="21"/>
                <w:highlight w:val="none"/>
                <w:shd w:val="clear" w:color="auto" w:fill="auto"/>
              </w:rPr>
              <w:t>得2-3.9分；</w:t>
            </w:r>
            <w:r>
              <w:rPr>
                <w:rFonts w:hint="eastAsia"/>
                <w:color w:val="auto"/>
                <w:highlight w:val="none"/>
                <w:shd w:val="clear" w:color="auto" w:fill="auto"/>
              </w:rPr>
              <w:t>安全措施方案</w:t>
            </w:r>
            <w:r>
              <w:rPr>
                <w:rFonts w:hint="eastAsia"/>
                <w:color w:val="auto"/>
                <w:szCs w:val="21"/>
                <w:highlight w:val="none"/>
                <w:shd w:val="clear" w:color="auto" w:fill="auto"/>
              </w:rPr>
              <w:t>较差或未描述完整的，得0-1.9分。</w:t>
            </w:r>
          </w:p>
        </w:tc>
        <w:tc>
          <w:tcPr>
            <w:tcW w:w="709" w:type="dxa"/>
            <w:vAlign w:val="center"/>
          </w:tcPr>
          <w:p>
            <w:pPr>
              <w:spacing w:after="0"/>
              <w:jc w:val="center"/>
              <w:rPr>
                <w:color w:val="auto"/>
                <w:highlight w:val="none"/>
                <w:shd w:val="clear" w:color="auto" w:fill="auto"/>
              </w:rPr>
            </w:pPr>
            <w:r>
              <w:rPr>
                <w:rFonts w:hint="eastAsia"/>
                <w:color w:val="auto"/>
                <w:highlight w:val="none"/>
                <w:shd w:val="clear" w:color="auto" w:fill="auto"/>
                <w:lang w:val="en-US" w:eastAsia="zh-CN"/>
              </w:rPr>
              <w:t>0-5</w:t>
            </w:r>
          </w:p>
        </w:tc>
        <w:tc>
          <w:tcPr>
            <w:tcW w:w="850" w:type="dxa"/>
            <w:vAlign w:val="center"/>
          </w:tcPr>
          <w:p>
            <w:pPr>
              <w:spacing w:after="0"/>
              <w:jc w:val="center"/>
              <w:rPr>
                <w:color w:val="auto"/>
                <w:highlight w:val="none"/>
                <w:shd w:val="clear" w:color="auto" w:fill="auto"/>
              </w:rPr>
            </w:pPr>
            <w:r>
              <w:rPr>
                <w:rFonts w:hint="eastAsia"/>
                <w:color w:val="auto"/>
                <w:highlight w:val="none"/>
                <w:shd w:val="clear" w:color="auto" w:fill="auto"/>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tcPr>
          <w:p>
            <w:pPr>
              <w:pStyle w:val="50"/>
              <w:spacing w:after="0"/>
              <w:ind w:left="420"/>
              <w:rPr>
                <w:color w:val="auto"/>
                <w:highlight w:val="none"/>
                <w:shd w:val="clear" w:color="auto" w:fill="auto"/>
              </w:rPr>
            </w:pPr>
          </w:p>
        </w:tc>
        <w:tc>
          <w:tcPr>
            <w:tcW w:w="553" w:type="dxa"/>
            <w:vAlign w:val="center"/>
          </w:tcPr>
          <w:p>
            <w:pPr>
              <w:pStyle w:val="50"/>
              <w:numPr>
                <w:ilvl w:val="0"/>
                <w:numId w:val="10"/>
              </w:numPr>
              <w:spacing w:after="0"/>
              <w:jc w:val="center"/>
              <w:rPr>
                <w:color w:val="auto"/>
                <w:highlight w:val="none"/>
                <w:shd w:val="clear" w:color="auto" w:fill="auto"/>
              </w:rPr>
            </w:pPr>
          </w:p>
        </w:tc>
        <w:tc>
          <w:tcPr>
            <w:tcW w:w="2126" w:type="dxa"/>
            <w:vAlign w:val="center"/>
          </w:tcPr>
          <w:p>
            <w:pPr>
              <w:spacing w:after="0"/>
              <w:rPr>
                <w:color w:val="auto"/>
                <w:highlight w:val="none"/>
                <w:shd w:val="clear" w:color="auto" w:fill="auto"/>
              </w:rPr>
            </w:pPr>
            <w:r>
              <w:rPr>
                <w:rFonts w:hint="eastAsia" w:cs="仿宋_GB2312"/>
                <w:color w:val="auto"/>
                <w:highlight w:val="none"/>
                <w:shd w:val="clear" w:color="auto" w:fill="auto"/>
              </w:rPr>
              <w:t>设备技术参数偏离情况</w:t>
            </w:r>
          </w:p>
        </w:tc>
        <w:tc>
          <w:tcPr>
            <w:tcW w:w="4394" w:type="dxa"/>
            <w:vAlign w:val="center"/>
          </w:tcPr>
          <w:p>
            <w:pPr>
              <w:pStyle w:val="27"/>
              <w:keepNext w:val="0"/>
              <w:keepLines w:val="0"/>
              <w:pageBreakBefore w:val="0"/>
              <w:widowControl/>
              <w:kinsoku/>
              <w:wordWrap/>
              <w:overflowPunct/>
              <w:topLinePunct w:val="0"/>
              <w:autoSpaceDE/>
              <w:autoSpaceDN/>
              <w:bidi w:val="0"/>
              <w:adjustRightInd/>
              <w:snapToGrid w:val="0"/>
              <w:spacing w:after="0" w:afterLines="0" w:line="240" w:lineRule="auto"/>
              <w:jc w:val="left"/>
              <w:textAlignment w:val="auto"/>
              <w:rPr>
                <w:color w:val="auto"/>
                <w:highlight w:val="none"/>
                <w:shd w:val="clear" w:color="auto" w:fill="auto"/>
              </w:rPr>
            </w:pPr>
            <w:r>
              <w:rPr>
                <w:rFonts w:hint="eastAsia" w:ascii="仿宋" w:eastAsia="仿宋" w:cs="仿宋"/>
                <w:bCs w:val="0"/>
                <w:color w:val="auto"/>
                <w:sz w:val="24"/>
                <w:szCs w:val="21"/>
                <w:highlight w:val="none"/>
                <w:shd w:val="clear" w:color="auto" w:fill="auto"/>
              </w:rPr>
              <w:t>投标人所投设备产品，其中打</w:t>
            </w:r>
            <w:r>
              <w:rPr>
                <w:rFonts w:hint="eastAsia" w:ascii="仿宋" w:eastAsia="仿宋" w:cs="仿宋"/>
                <w:b/>
                <w:bCs w:val="0"/>
                <w:color w:val="auto"/>
                <w:sz w:val="24"/>
                <w:szCs w:val="21"/>
                <w:highlight w:val="none"/>
                <w:shd w:val="clear" w:color="auto" w:fill="auto"/>
              </w:rPr>
              <w:t>■</w:t>
            </w:r>
            <w:r>
              <w:rPr>
                <w:rFonts w:hint="eastAsia" w:ascii="仿宋" w:eastAsia="仿宋" w:cs="仿宋"/>
                <w:bCs w:val="0"/>
                <w:color w:val="auto"/>
                <w:sz w:val="24"/>
                <w:szCs w:val="21"/>
                <w:highlight w:val="none"/>
                <w:shd w:val="clear" w:color="auto" w:fill="auto"/>
              </w:rPr>
              <w:t>项技术参数低于招标需求（负偏离）的每1项扣1分，扣完为止。</w:t>
            </w:r>
          </w:p>
        </w:tc>
        <w:tc>
          <w:tcPr>
            <w:tcW w:w="709" w:type="dxa"/>
            <w:vAlign w:val="center"/>
          </w:tcPr>
          <w:p>
            <w:pPr>
              <w:spacing w:after="0"/>
              <w:jc w:val="center"/>
              <w:rPr>
                <w:color w:val="auto"/>
                <w:highlight w:val="none"/>
                <w:shd w:val="clear" w:color="auto" w:fill="auto"/>
              </w:rPr>
            </w:pPr>
            <w:r>
              <w:rPr>
                <w:rFonts w:hint="eastAsia" w:cs="仿宋"/>
                <w:color w:val="auto"/>
                <w:szCs w:val="21"/>
                <w:highlight w:val="none"/>
                <w:shd w:val="clear" w:color="auto" w:fill="auto"/>
                <w:lang w:val="en-US" w:eastAsia="zh-CN"/>
              </w:rPr>
              <w:t>0-</w:t>
            </w:r>
            <w:r>
              <w:rPr>
                <w:rFonts w:hint="eastAsia" w:cs="仿宋"/>
                <w:color w:val="auto"/>
                <w:szCs w:val="21"/>
                <w:highlight w:val="none"/>
                <w:shd w:val="clear" w:color="auto" w:fill="auto"/>
              </w:rPr>
              <w:t>20</w:t>
            </w:r>
          </w:p>
        </w:tc>
        <w:tc>
          <w:tcPr>
            <w:tcW w:w="850" w:type="dxa"/>
            <w:vAlign w:val="center"/>
          </w:tcPr>
          <w:p>
            <w:pPr>
              <w:spacing w:after="0"/>
              <w:jc w:val="center"/>
              <w:rPr>
                <w:color w:val="auto"/>
                <w:highlight w:val="none"/>
                <w:shd w:val="clear" w:color="auto" w:fill="auto"/>
              </w:rPr>
            </w:pPr>
            <w:r>
              <w:rPr>
                <w:rFonts w:hint="eastAsia"/>
                <w:color w:val="auto"/>
                <w:highlight w:val="none"/>
                <w:shd w:val="clear" w:color="auto" w:fill="auto"/>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tcPr>
          <w:p>
            <w:pPr>
              <w:pStyle w:val="50"/>
              <w:spacing w:after="0"/>
              <w:ind w:left="420"/>
              <w:rPr>
                <w:color w:val="auto"/>
                <w:highlight w:val="none"/>
                <w:shd w:val="clear" w:color="auto" w:fill="auto"/>
              </w:rPr>
            </w:pPr>
          </w:p>
        </w:tc>
        <w:tc>
          <w:tcPr>
            <w:tcW w:w="553" w:type="dxa"/>
            <w:vAlign w:val="center"/>
          </w:tcPr>
          <w:p>
            <w:pPr>
              <w:pStyle w:val="50"/>
              <w:numPr>
                <w:ilvl w:val="0"/>
                <w:numId w:val="10"/>
              </w:numPr>
              <w:spacing w:after="0"/>
              <w:jc w:val="center"/>
              <w:rPr>
                <w:color w:val="auto"/>
                <w:highlight w:val="none"/>
                <w:shd w:val="clear" w:color="auto" w:fill="auto"/>
              </w:rPr>
            </w:pPr>
          </w:p>
        </w:tc>
        <w:tc>
          <w:tcPr>
            <w:tcW w:w="2126" w:type="dxa"/>
            <w:vAlign w:val="center"/>
          </w:tcPr>
          <w:p>
            <w:pPr>
              <w:spacing w:after="0"/>
              <w:rPr>
                <w:color w:val="auto"/>
                <w:highlight w:val="none"/>
                <w:shd w:val="clear" w:color="auto" w:fill="auto"/>
              </w:rPr>
            </w:pPr>
            <w:r>
              <w:rPr>
                <w:rFonts w:hint="eastAsia"/>
                <w:color w:val="auto"/>
                <w:highlight w:val="none"/>
                <w:shd w:val="clear" w:color="auto" w:fill="auto"/>
              </w:rPr>
              <w:t>项目团队人员情况</w:t>
            </w:r>
          </w:p>
        </w:tc>
        <w:tc>
          <w:tcPr>
            <w:tcW w:w="4394" w:type="dxa"/>
            <w:vAlign w:val="top"/>
          </w:tcPr>
          <w:p>
            <w:pPr>
              <w:spacing w:after="0"/>
              <w:rPr>
                <w:color w:val="auto"/>
                <w:highlight w:val="none"/>
                <w:shd w:val="clear" w:color="auto" w:fill="auto"/>
              </w:rPr>
            </w:pPr>
            <w:r>
              <w:rPr>
                <w:rFonts w:hint="eastAsia" w:cs="仿宋"/>
                <w:color w:val="auto"/>
                <w:szCs w:val="21"/>
                <w:highlight w:val="none"/>
                <w:shd w:val="clear" w:color="auto" w:fill="auto"/>
              </w:rPr>
              <w:t>1）</w:t>
            </w:r>
            <w:r>
              <w:rPr>
                <w:rFonts w:hint="eastAsia"/>
                <w:color w:val="auto"/>
                <w:highlight w:val="none"/>
                <w:shd w:val="clear" w:color="auto" w:fill="auto"/>
              </w:rPr>
              <w:t>拟派项目负责人具有机电工程专业一级建造师执业资格的，得2分；</w:t>
            </w:r>
          </w:p>
          <w:p>
            <w:pPr>
              <w:tabs>
                <w:tab w:val="left" w:pos="630"/>
              </w:tabs>
              <w:snapToGrid w:val="0"/>
              <w:spacing w:after="0"/>
              <w:rPr>
                <w:rFonts w:cs="仿宋"/>
                <w:bCs/>
                <w:color w:val="auto"/>
                <w:szCs w:val="21"/>
                <w:highlight w:val="none"/>
                <w:shd w:val="clear" w:color="auto" w:fill="auto"/>
              </w:rPr>
            </w:pPr>
            <w:r>
              <w:rPr>
                <w:rFonts w:hint="eastAsia" w:cs="仿宋"/>
                <w:color w:val="auto"/>
                <w:highlight w:val="none"/>
                <w:shd w:val="clear" w:color="auto" w:fill="auto"/>
              </w:rPr>
              <w:t>2）</w:t>
            </w:r>
            <w:r>
              <w:rPr>
                <w:rFonts w:hint="eastAsia" w:cs="仿宋"/>
                <w:bCs/>
                <w:color w:val="auto"/>
                <w:szCs w:val="21"/>
                <w:highlight w:val="none"/>
                <w:shd w:val="clear" w:color="auto" w:fill="auto"/>
              </w:rPr>
              <w:t>团队人员配备安全员、资料员、施工员、质量员，每个得0.5分，最高得2分；</w:t>
            </w:r>
          </w:p>
          <w:p>
            <w:pPr>
              <w:snapToGrid w:val="0"/>
              <w:spacing w:after="0"/>
              <w:rPr>
                <w:color w:val="auto"/>
                <w:highlight w:val="none"/>
                <w:shd w:val="clear" w:color="auto" w:fill="auto"/>
              </w:rPr>
            </w:pPr>
            <w:r>
              <w:rPr>
                <w:rFonts w:hint="eastAsia" w:cs="仿宋"/>
                <w:bCs/>
                <w:color w:val="auto"/>
                <w:szCs w:val="21"/>
                <w:highlight w:val="none"/>
                <w:shd w:val="clear" w:color="auto" w:fill="auto"/>
              </w:rPr>
              <w:t>（同一个人只记一次得分，投标文件中须提供人员相关证书复印件加盖投标人公章、提供投标人为其缴纳的2022年6月、7月、8月参保证明，不提供不得分。）</w:t>
            </w:r>
          </w:p>
        </w:tc>
        <w:tc>
          <w:tcPr>
            <w:tcW w:w="709" w:type="dxa"/>
            <w:vAlign w:val="center"/>
          </w:tcPr>
          <w:p>
            <w:pPr>
              <w:tabs>
                <w:tab w:val="left" w:pos="630"/>
              </w:tabs>
              <w:jc w:val="center"/>
              <w:rPr>
                <w:color w:val="auto"/>
                <w:highlight w:val="none"/>
                <w:shd w:val="clear" w:color="auto" w:fill="auto"/>
              </w:rPr>
            </w:pPr>
            <w:r>
              <w:rPr>
                <w:rFonts w:hint="eastAsia" w:cs="仿宋"/>
                <w:color w:val="auto"/>
                <w:szCs w:val="21"/>
                <w:highlight w:val="none"/>
                <w:shd w:val="clear" w:color="auto" w:fill="auto"/>
                <w:lang w:val="en-US" w:eastAsia="zh-CN"/>
              </w:rPr>
              <w:t>0-</w:t>
            </w:r>
            <w:r>
              <w:rPr>
                <w:rFonts w:hint="eastAsia" w:cs="仿宋"/>
                <w:color w:val="auto"/>
                <w:szCs w:val="21"/>
                <w:highlight w:val="none"/>
                <w:shd w:val="clear" w:color="auto" w:fill="auto"/>
              </w:rPr>
              <w:t>4</w:t>
            </w:r>
          </w:p>
        </w:tc>
        <w:tc>
          <w:tcPr>
            <w:tcW w:w="850" w:type="dxa"/>
            <w:vAlign w:val="center"/>
          </w:tcPr>
          <w:p>
            <w:pPr>
              <w:spacing w:after="0"/>
              <w:jc w:val="center"/>
              <w:rPr>
                <w:color w:val="auto"/>
                <w:highlight w:val="none"/>
                <w:shd w:val="clear" w:color="auto" w:fill="auto"/>
              </w:rPr>
            </w:pPr>
            <w:r>
              <w:rPr>
                <w:rFonts w:hint="eastAsia" w:cs="仿宋"/>
                <w:color w:val="auto"/>
                <w:highlight w:val="none"/>
                <w:shd w:val="clear" w:color="auto" w:fill="auto"/>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tcPr>
          <w:p>
            <w:pPr>
              <w:pStyle w:val="50"/>
              <w:spacing w:after="0"/>
              <w:ind w:left="420"/>
              <w:rPr>
                <w:color w:val="auto"/>
                <w:highlight w:val="none"/>
                <w:shd w:val="clear" w:color="auto" w:fill="auto"/>
              </w:rPr>
            </w:pPr>
          </w:p>
        </w:tc>
        <w:tc>
          <w:tcPr>
            <w:tcW w:w="553" w:type="dxa"/>
            <w:vAlign w:val="center"/>
          </w:tcPr>
          <w:p>
            <w:pPr>
              <w:pStyle w:val="50"/>
              <w:numPr>
                <w:ilvl w:val="0"/>
                <w:numId w:val="10"/>
              </w:numPr>
              <w:spacing w:after="0"/>
              <w:jc w:val="center"/>
              <w:rPr>
                <w:color w:val="auto"/>
                <w:highlight w:val="none"/>
                <w:shd w:val="clear" w:color="auto" w:fill="auto"/>
              </w:rPr>
            </w:pPr>
          </w:p>
        </w:tc>
        <w:tc>
          <w:tcPr>
            <w:tcW w:w="2126" w:type="dxa"/>
            <w:vAlign w:val="center"/>
          </w:tcPr>
          <w:p>
            <w:pPr>
              <w:tabs>
                <w:tab w:val="left" w:pos="630"/>
              </w:tabs>
              <w:rPr>
                <w:color w:val="auto"/>
                <w:highlight w:val="none"/>
                <w:shd w:val="clear" w:color="auto" w:fill="auto"/>
              </w:rPr>
            </w:pPr>
            <w:r>
              <w:rPr>
                <w:rFonts w:hint="eastAsia" w:cs="仿宋"/>
                <w:color w:val="auto"/>
                <w:szCs w:val="21"/>
                <w:highlight w:val="none"/>
                <w:shd w:val="clear" w:color="auto" w:fill="auto"/>
              </w:rPr>
              <w:t>售后服务方案</w:t>
            </w:r>
          </w:p>
        </w:tc>
        <w:tc>
          <w:tcPr>
            <w:tcW w:w="4394" w:type="dxa"/>
            <w:vAlign w:val="center"/>
          </w:tcPr>
          <w:p>
            <w:pPr>
              <w:tabs>
                <w:tab w:val="left" w:pos="630"/>
              </w:tabs>
              <w:snapToGrid w:val="0"/>
              <w:spacing w:after="0"/>
              <w:rPr>
                <w:color w:val="auto"/>
                <w:highlight w:val="none"/>
                <w:shd w:val="clear" w:color="auto" w:fill="auto"/>
              </w:rPr>
            </w:pPr>
            <w:r>
              <w:rPr>
                <w:rFonts w:cs="仿宋"/>
                <w:color w:val="auto"/>
                <w:highlight w:val="none"/>
                <w:shd w:val="clear" w:color="auto" w:fill="auto"/>
              </w:rPr>
              <w:t>对提供的售后服务的响应情况（维修网点</w:t>
            </w:r>
            <w:r>
              <w:rPr>
                <w:rFonts w:hint="eastAsia" w:cs="仿宋"/>
                <w:color w:val="auto"/>
                <w:highlight w:val="none"/>
                <w:shd w:val="clear" w:color="auto" w:fill="auto"/>
              </w:rPr>
              <w:t>距离</w:t>
            </w:r>
            <w:r>
              <w:rPr>
                <w:rFonts w:cs="仿宋"/>
                <w:color w:val="auto"/>
                <w:highlight w:val="none"/>
                <w:shd w:val="clear" w:color="auto" w:fill="auto"/>
              </w:rPr>
              <w:t>、维修人员</w:t>
            </w:r>
            <w:r>
              <w:rPr>
                <w:rFonts w:hint="eastAsia" w:cs="仿宋"/>
                <w:color w:val="auto"/>
                <w:highlight w:val="none"/>
                <w:shd w:val="clear" w:color="auto" w:fill="auto"/>
              </w:rPr>
              <w:t>配备</w:t>
            </w:r>
            <w:r>
              <w:rPr>
                <w:rFonts w:cs="仿宋"/>
                <w:color w:val="auto"/>
                <w:highlight w:val="none"/>
                <w:shd w:val="clear" w:color="auto" w:fill="auto"/>
              </w:rPr>
              <w:t>、维修能力</w:t>
            </w:r>
            <w:r>
              <w:rPr>
                <w:rFonts w:hint="eastAsia" w:cs="仿宋"/>
                <w:color w:val="auto"/>
                <w:highlight w:val="none"/>
                <w:shd w:val="clear" w:color="auto" w:fill="auto"/>
              </w:rPr>
              <w:t>评定</w:t>
            </w:r>
            <w:r>
              <w:rPr>
                <w:rFonts w:cs="仿宋"/>
                <w:color w:val="auto"/>
                <w:highlight w:val="none"/>
                <w:shd w:val="clear" w:color="auto" w:fill="auto"/>
              </w:rPr>
              <w:t>、故障响应</w:t>
            </w:r>
            <w:r>
              <w:rPr>
                <w:rFonts w:hint="eastAsia" w:cs="仿宋"/>
                <w:color w:val="auto"/>
                <w:highlight w:val="none"/>
                <w:shd w:val="clear" w:color="auto" w:fill="auto"/>
              </w:rPr>
              <w:t>时间，修复时间限定，备件准备情况</w:t>
            </w:r>
            <w:r>
              <w:rPr>
                <w:rFonts w:cs="仿宋"/>
                <w:color w:val="auto"/>
                <w:highlight w:val="none"/>
                <w:shd w:val="clear" w:color="auto" w:fill="auto"/>
              </w:rPr>
              <w:t>）等方面综合评定打分</w:t>
            </w:r>
            <w:r>
              <w:rPr>
                <w:rFonts w:hint="eastAsia" w:cs="仿宋"/>
                <w:color w:val="auto"/>
                <w:highlight w:val="none"/>
                <w:shd w:val="clear" w:color="auto" w:fill="auto"/>
              </w:rPr>
              <w:t>。</w:t>
            </w:r>
          </w:p>
        </w:tc>
        <w:tc>
          <w:tcPr>
            <w:tcW w:w="709" w:type="dxa"/>
            <w:vAlign w:val="center"/>
          </w:tcPr>
          <w:p>
            <w:pPr>
              <w:jc w:val="center"/>
              <w:rPr>
                <w:color w:val="auto"/>
                <w:highlight w:val="none"/>
                <w:shd w:val="clear" w:color="auto" w:fill="auto"/>
              </w:rPr>
            </w:pPr>
            <w:r>
              <w:rPr>
                <w:rFonts w:hint="eastAsia" w:cs="仿宋"/>
                <w:color w:val="auto"/>
                <w:highlight w:val="none"/>
                <w:shd w:val="clear" w:color="auto" w:fill="auto"/>
                <w:lang w:val="en-US" w:eastAsia="zh-CN"/>
              </w:rPr>
              <w:t>0-</w:t>
            </w:r>
            <w:r>
              <w:rPr>
                <w:rFonts w:hint="eastAsia" w:cs="仿宋"/>
                <w:color w:val="auto"/>
                <w:highlight w:val="none"/>
                <w:shd w:val="clear" w:color="auto" w:fill="auto"/>
              </w:rPr>
              <w:t>4</w:t>
            </w:r>
          </w:p>
        </w:tc>
        <w:tc>
          <w:tcPr>
            <w:tcW w:w="850" w:type="dxa"/>
            <w:vAlign w:val="center"/>
          </w:tcPr>
          <w:p>
            <w:pPr>
              <w:spacing w:after="0"/>
              <w:jc w:val="center"/>
              <w:rPr>
                <w:color w:val="auto"/>
                <w:highlight w:val="none"/>
                <w:shd w:val="clear" w:color="auto" w:fill="auto"/>
              </w:rPr>
            </w:pPr>
            <w:r>
              <w:rPr>
                <w:rFonts w:hint="eastAsia" w:cs="仿宋"/>
                <w:color w:val="auto"/>
                <w:highlight w:val="none"/>
                <w:shd w:val="clear" w:color="auto" w:fill="auto"/>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tcPr>
          <w:p>
            <w:pPr>
              <w:pStyle w:val="50"/>
              <w:spacing w:after="0"/>
              <w:ind w:left="420"/>
              <w:rPr>
                <w:color w:val="auto"/>
                <w:highlight w:val="none"/>
                <w:shd w:val="clear" w:color="auto" w:fill="auto"/>
              </w:rPr>
            </w:pPr>
          </w:p>
        </w:tc>
        <w:tc>
          <w:tcPr>
            <w:tcW w:w="553" w:type="dxa"/>
            <w:vAlign w:val="center"/>
          </w:tcPr>
          <w:p>
            <w:pPr>
              <w:pStyle w:val="50"/>
              <w:numPr>
                <w:ilvl w:val="0"/>
                <w:numId w:val="10"/>
              </w:numPr>
              <w:spacing w:after="0"/>
              <w:jc w:val="center"/>
              <w:rPr>
                <w:color w:val="auto"/>
                <w:highlight w:val="none"/>
                <w:shd w:val="clear" w:color="auto" w:fill="auto"/>
              </w:rPr>
            </w:pPr>
          </w:p>
        </w:tc>
        <w:tc>
          <w:tcPr>
            <w:tcW w:w="2126" w:type="dxa"/>
            <w:vAlign w:val="center"/>
          </w:tcPr>
          <w:p>
            <w:pPr>
              <w:tabs>
                <w:tab w:val="left" w:pos="630"/>
              </w:tabs>
              <w:rPr>
                <w:color w:val="auto"/>
                <w:highlight w:val="none"/>
                <w:shd w:val="clear" w:color="auto" w:fill="auto"/>
              </w:rPr>
            </w:pPr>
            <w:r>
              <w:rPr>
                <w:rFonts w:hint="eastAsia" w:cs="仿宋"/>
                <w:color w:val="auto"/>
                <w:szCs w:val="21"/>
                <w:highlight w:val="none"/>
                <w:shd w:val="clear" w:color="auto" w:fill="auto"/>
              </w:rPr>
              <w:t>培训方案</w:t>
            </w:r>
          </w:p>
        </w:tc>
        <w:tc>
          <w:tcPr>
            <w:tcW w:w="4394" w:type="dxa"/>
            <w:vAlign w:val="center"/>
          </w:tcPr>
          <w:p>
            <w:pPr>
              <w:tabs>
                <w:tab w:val="left" w:pos="630"/>
              </w:tabs>
              <w:snapToGrid w:val="0"/>
              <w:spacing w:after="0"/>
              <w:rPr>
                <w:color w:val="auto"/>
                <w:highlight w:val="none"/>
                <w:shd w:val="clear" w:color="auto" w:fill="auto"/>
              </w:rPr>
            </w:pPr>
            <w:r>
              <w:rPr>
                <w:rFonts w:hint="eastAsia" w:cs="仿宋"/>
                <w:color w:val="auto"/>
                <w:szCs w:val="21"/>
                <w:highlight w:val="none"/>
                <w:shd w:val="clear" w:color="auto" w:fill="auto"/>
              </w:rPr>
              <w:t>提供针对此项目投标产品详细的培训计划，包含培训内容，课程，时间，地点，培训人数等情况。是否针对水厂特殊情况等，根据方案的合理性、措施内容是否详尽综合评定打分。</w:t>
            </w:r>
          </w:p>
        </w:tc>
        <w:tc>
          <w:tcPr>
            <w:tcW w:w="709" w:type="dxa"/>
            <w:vAlign w:val="center"/>
          </w:tcPr>
          <w:p>
            <w:pPr>
              <w:spacing w:after="0"/>
              <w:jc w:val="center"/>
              <w:rPr>
                <w:color w:val="auto"/>
                <w:highlight w:val="none"/>
                <w:shd w:val="clear" w:color="auto" w:fill="auto"/>
              </w:rPr>
            </w:pPr>
            <w:r>
              <w:rPr>
                <w:rFonts w:hint="eastAsia" w:cs="仿宋"/>
                <w:color w:val="auto"/>
                <w:highlight w:val="none"/>
                <w:shd w:val="clear" w:color="auto" w:fill="auto"/>
                <w:lang w:val="en-US" w:eastAsia="zh-CN"/>
              </w:rPr>
              <w:t>0-</w:t>
            </w:r>
            <w:r>
              <w:rPr>
                <w:rFonts w:hint="eastAsia" w:cs="仿宋"/>
                <w:color w:val="auto"/>
                <w:highlight w:val="none"/>
                <w:shd w:val="clear" w:color="auto" w:fill="auto"/>
              </w:rPr>
              <w:t>2</w:t>
            </w:r>
          </w:p>
        </w:tc>
        <w:tc>
          <w:tcPr>
            <w:tcW w:w="850" w:type="dxa"/>
            <w:vAlign w:val="center"/>
          </w:tcPr>
          <w:p>
            <w:pPr>
              <w:spacing w:after="0"/>
              <w:jc w:val="center"/>
              <w:rPr>
                <w:color w:val="auto"/>
                <w:highlight w:val="none"/>
                <w:shd w:val="clear" w:color="auto" w:fill="auto"/>
              </w:rPr>
            </w:pPr>
            <w:r>
              <w:rPr>
                <w:rFonts w:hint="eastAsia" w:cs="仿宋"/>
                <w:color w:val="auto"/>
                <w:highlight w:val="none"/>
                <w:shd w:val="clear" w:color="auto" w:fill="auto"/>
              </w:rPr>
              <w:t>主观分</w:t>
            </w:r>
          </w:p>
        </w:tc>
      </w:tr>
    </w:tbl>
    <w:p>
      <w:pPr>
        <w:spacing w:line="360" w:lineRule="auto"/>
        <w:rPr>
          <w:rFonts w:cs="仿宋_GB2312"/>
          <w:b/>
          <w:color w:val="auto"/>
          <w:highlight w:val="none"/>
          <w:shd w:val="clear" w:color="auto" w:fill="auto"/>
        </w:rPr>
      </w:pPr>
      <w:r>
        <w:rPr>
          <w:rFonts w:hint="eastAsia" w:cs="仿宋_GB2312"/>
          <w:b/>
          <w:color w:val="auto"/>
          <w:highlight w:val="none"/>
          <w:shd w:val="clear" w:color="auto" w:fill="auto"/>
        </w:rPr>
        <w:t>价格分（</w:t>
      </w:r>
      <w:r>
        <w:rPr>
          <w:rFonts w:hint="eastAsia" w:cs="仿宋_GB2312"/>
          <w:b/>
          <w:color w:val="auto"/>
          <w:highlight w:val="none"/>
          <w:shd w:val="clear" w:color="auto" w:fill="auto"/>
          <w:lang w:val="en-US" w:eastAsia="zh-CN"/>
        </w:rPr>
        <w:t>50</w:t>
      </w:r>
      <w:r>
        <w:rPr>
          <w:rFonts w:hint="eastAsia" w:cs="仿宋_GB2312"/>
          <w:b/>
          <w:color w:val="auto"/>
          <w:highlight w:val="none"/>
          <w:shd w:val="clear" w:color="auto" w:fill="auto"/>
        </w:rPr>
        <w:t>分）</w:t>
      </w:r>
    </w:p>
    <w:tbl>
      <w:tblPr>
        <w:tblStyle w:val="31"/>
        <w:tblW w:w="93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9"/>
        <w:gridCol w:w="553"/>
        <w:gridCol w:w="2126"/>
        <w:gridCol w:w="4394"/>
        <w:gridCol w:w="709"/>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7" w:hRule="atLeast"/>
          <w:jc w:val="center"/>
        </w:trPr>
        <w:tc>
          <w:tcPr>
            <w:tcW w:w="709" w:type="dxa"/>
          </w:tcPr>
          <w:p>
            <w:pPr>
              <w:spacing w:after="0"/>
              <w:rPr>
                <w:color w:val="auto"/>
                <w:highlight w:val="none"/>
                <w:shd w:val="clear" w:color="auto" w:fill="auto"/>
              </w:rPr>
            </w:pPr>
            <w:r>
              <w:rPr>
                <w:rFonts w:hint="eastAsia" w:cs="仿宋_GB2312"/>
                <w:color w:val="auto"/>
                <w:highlight w:val="none"/>
                <w:shd w:val="clear" w:color="auto" w:fill="auto"/>
              </w:rPr>
              <w:t>价格分</w:t>
            </w:r>
          </w:p>
        </w:tc>
        <w:tc>
          <w:tcPr>
            <w:tcW w:w="553" w:type="dxa"/>
            <w:vAlign w:val="center"/>
          </w:tcPr>
          <w:p>
            <w:pPr>
              <w:pStyle w:val="50"/>
              <w:numPr>
                <w:ilvl w:val="0"/>
                <w:numId w:val="10"/>
              </w:numPr>
              <w:spacing w:after="0"/>
              <w:jc w:val="center"/>
              <w:rPr>
                <w:color w:val="auto"/>
                <w:highlight w:val="none"/>
                <w:shd w:val="clear" w:color="auto" w:fill="auto"/>
              </w:rPr>
            </w:pPr>
          </w:p>
        </w:tc>
        <w:tc>
          <w:tcPr>
            <w:tcW w:w="2126" w:type="dxa"/>
            <w:vAlign w:val="center"/>
          </w:tcPr>
          <w:p>
            <w:pPr>
              <w:spacing w:after="0"/>
              <w:rPr>
                <w:rFonts w:hint="default" w:eastAsia="仿宋"/>
                <w:color w:val="auto"/>
                <w:highlight w:val="none"/>
                <w:shd w:val="clear" w:color="auto" w:fill="auto"/>
                <w:lang w:val="en-US" w:eastAsia="zh-CN"/>
              </w:rPr>
            </w:pPr>
            <w:r>
              <w:rPr>
                <w:rFonts w:hint="eastAsia" w:cs="仿宋_GB2312"/>
                <w:color w:val="auto"/>
                <w:highlight w:val="none"/>
                <w:shd w:val="clear" w:color="auto" w:fill="auto"/>
              </w:rPr>
              <w:t>价格权值</w:t>
            </w:r>
            <w:r>
              <w:rPr>
                <w:rFonts w:hint="eastAsia" w:cs="仿宋_GB2312"/>
                <w:color w:val="auto"/>
                <w:highlight w:val="none"/>
                <w:shd w:val="clear" w:color="auto" w:fill="auto"/>
                <w:lang w:val="en-US" w:eastAsia="zh-CN"/>
              </w:rPr>
              <w:t>0.50</w:t>
            </w:r>
          </w:p>
        </w:tc>
        <w:tc>
          <w:tcPr>
            <w:tcW w:w="4394" w:type="dxa"/>
          </w:tcPr>
          <w:p>
            <w:pPr>
              <w:spacing w:after="0" w:line="360" w:lineRule="auto"/>
              <w:ind w:firstLine="480" w:firstLineChars="200"/>
              <w:rPr>
                <w:rFonts w:cs="仿宋_GB2312"/>
                <w:color w:val="auto"/>
                <w:highlight w:val="none"/>
                <w:shd w:val="clear" w:color="auto" w:fill="auto"/>
              </w:rPr>
            </w:pPr>
            <w:r>
              <w:rPr>
                <w:rFonts w:hint="eastAsia" w:cs="仿宋_GB2312"/>
                <w:color w:val="auto"/>
                <w:highlight w:val="none"/>
                <w:shd w:val="clear" w:color="auto" w:fill="auto"/>
              </w:rPr>
              <w:t>最低有效投标价格为评标基准价</w:t>
            </w:r>
          </w:p>
          <w:p>
            <w:pPr>
              <w:spacing w:after="0" w:line="360" w:lineRule="auto"/>
              <w:ind w:firstLine="480" w:firstLineChars="200"/>
              <w:rPr>
                <w:rFonts w:cs="仿宋_GB2312"/>
                <w:color w:val="auto"/>
                <w:highlight w:val="none"/>
                <w:shd w:val="clear" w:color="auto" w:fill="auto"/>
              </w:rPr>
            </w:pPr>
            <w:r>
              <w:rPr>
                <w:rFonts w:hint="eastAsia" w:cs="仿宋_GB2312"/>
                <w:color w:val="auto"/>
                <w:highlight w:val="none"/>
                <w:shd w:val="clear" w:color="auto" w:fill="auto"/>
              </w:rPr>
              <w:t>投标报价得分</w:t>
            </w:r>
            <w:r>
              <w:rPr>
                <w:rFonts w:cs="仿宋_GB2312"/>
                <w:color w:val="auto"/>
                <w:highlight w:val="none"/>
                <w:shd w:val="clear" w:color="auto" w:fill="auto"/>
              </w:rPr>
              <w:t>=(</w:t>
            </w:r>
            <w:r>
              <w:rPr>
                <w:rFonts w:hint="eastAsia" w:cs="仿宋_GB2312"/>
                <w:color w:val="auto"/>
                <w:highlight w:val="none"/>
                <w:shd w:val="clear" w:color="auto" w:fill="auto"/>
              </w:rPr>
              <w:t>评标基准价／投标报价</w:t>
            </w:r>
            <w:r>
              <w:rPr>
                <w:rFonts w:cs="仿宋_GB2312"/>
                <w:color w:val="auto"/>
                <w:highlight w:val="none"/>
                <w:shd w:val="clear" w:color="auto" w:fill="auto"/>
              </w:rPr>
              <w:t>)</w:t>
            </w:r>
            <w:r>
              <w:rPr>
                <w:rFonts w:hint="eastAsia" w:cs="仿宋_GB2312"/>
                <w:color w:val="auto"/>
                <w:highlight w:val="none"/>
                <w:shd w:val="clear" w:color="auto" w:fill="auto"/>
              </w:rPr>
              <w:t>×价格权值×</w:t>
            </w:r>
            <w:r>
              <w:rPr>
                <w:rFonts w:cs="仿宋_GB2312"/>
                <w:color w:val="auto"/>
                <w:highlight w:val="none"/>
                <w:shd w:val="clear" w:color="auto" w:fill="auto"/>
              </w:rPr>
              <w:t xml:space="preserve">100 </w:t>
            </w:r>
          </w:p>
          <w:p>
            <w:pPr>
              <w:spacing w:after="0"/>
              <w:rPr>
                <w:color w:val="auto"/>
                <w:highlight w:val="none"/>
                <w:shd w:val="clear" w:color="auto" w:fill="auto"/>
              </w:rPr>
            </w:pPr>
            <w:r>
              <w:rPr>
                <w:rFonts w:hint="eastAsia" w:cs="仿宋_GB2312"/>
                <w:color w:val="auto"/>
                <w:highlight w:val="none"/>
                <w:shd w:val="clear" w:color="auto" w:fill="auto"/>
              </w:rPr>
              <w:t>（计算得分保留小数点后</w:t>
            </w:r>
            <w:r>
              <w:rPr>
                <w:rFonts w:cs="仿宋_GB2312"/>
                <w:color w:val="auto"/>
                <w:highlight w:val="none"/>
                <w:shd w:val="clear" w:color="auto" w:fill="auto"/>
              </w:rPr>
              <w:t>2</w:t>
            </w:r>
            <w:r>
              <w:rPr>
                <w:rFonts w:hint="eastAsia" w:cs="仿宋_GB2312"/>
                <w:color w:val="auto"/>
                <w:highlight w:val="none"/>
                <w:shd w:val="clear" w:color="auto" w:fill="auto"/>
              </w:rPr>
              <w:t>位）</w:t>
            </w:r>
          </w:p>
        </w:tc>
        <w:tc>
          <w:tcPr>
            <w:tcW w:w="709" w:type="dxa"/>
            <w:vAlign w:val="center"/>
          </w:tcPr>
          <w:p>
            <w:pPr>
              <w:spacing w:after="0"/>
              <w:jc w:val="center"/>
              <w:rPr>
                <w:rFonts w:hint="default" w:eastAsia="仿宋"/>
                <w:color w:val="auto"/>
                <w:highlight w:val="none"/>
                <w:shd w:val="clear" w:color="auto" w:fill="auto"/>
                <w:lang w:val="en-US" w:eastAsia="zh-CN"/>
              </w:rPr>
            </w:pPr>
            <w:r>
              <w:rPr>
                <w:rFonts w:hint="eastAsia"/>
                <w:color w:val="auto"/>
                <w:highlight w:val="none"/>
                <w:shd w:val="clear" w:color="auto" w:fill="auto"/>
                <w:lang w:val="en-US" w:eastAsia="zh-CN"/>
              </w:rPr>
              <w:t>0-50</w:t>
            </w:r>
          </w:p>
        </w:tc>
        <w:tc>
          <w:tcPr>
            <w:tcW w:w="850" w:type="dxa"/>
            <w:vAlign w:val="center"/>
          </w:tcPr>
          <w:p>
            <w:pPr>
              <w:spacing w:after="0"/>
              <w:jc w:val="center"/>
              <w:rPr>
                <w:color w:val="auto"/>
                <w:highlight w:val="none"/>
                <w:shd w:val="clear" w:color="auto" w:fill="auto"/>
              </w:rPr>
            </w:pPr>
            <w:r>
              <w:rPr>
                <w:rFonts w:hint="eastAsia"/>
                <w:color w:val="auto"/>
                <w:highlight w:val="none"/>
                <w:shd w:val="clear" w:color="auto" w:fill="auto"/>
              </w:rPr>
              <w:t>客观分</w:t>
            </w:r>
          </w:p>
        </w:tc>
      </w:tr>
    </w:tbl>
    <w:p>
      <w:pPr>
        <w:keepNext w:val="0"/>
        <w:keepLines w:val="0"/>
        <w:pageBreakBefore w:val="0"/>
        <w:widowControl/>
        <w:kinsoku/>
        <w:wordWrap/>
        <w:overflowPunct/>
        <w:topLinePunct w:val="0"/>
        <w:autoSpaceDE/>
        <w:autoSpaceDN/>
        <w:bidi w:val="0"/>
        <w:adjustRightInd/>
        <w:snapToGrid/>
        <w:spacing w:after="0" w:line="360" w:lineRule="auto"/>
        <w:textAlignment w:val="auto"/>
        <w:rPr>
          <w:rFonts w:cs="仿宋_GB2312"/>
          <w:color w:val="auto"/>
          <w:highlight w:val="none"/>
          <w:shd w:val="clear" w:color="auto" w:fill="auto"/>
        </w:rPr>
      </w:pPr>
      <w:r>
        <w:rPr>
          <w:rFonts w:hint="eastAsia" w:cs="仿宋_GB2312"/>
          <w:b/>
          <w:color w:val="auto"/>
          <w:highlight w:val="none"/>
          <w:shd w:val="clear" w:color="auto" w:fill="auto"/>
        </w:rPr>
        <w:t>备注：</w:t>
      </w:r>
      <w:r>
        <w:rPr>
          <w:rFonts w:hint="eastAsia" w:cs="仿宋_GB2312"/>
          <w:color w:val="auto"/>
          <w:highlight w:val="none"/>
          <w:shd w:val="clear" w:color="auto" w:fill="auto"/>
        </w:rPr>
        <w:t>1、评分条款中涉及的业绩、荣誉、人员、社保等分公司均有效。</w:t>
      </w:r>
    </w:p>
    <w:p>
      <w:pPr>
        <w:keepNext w:val="0"/>
        <w:keepLines w:val="0"/>
        <w:pageBreakBefore w:val="0"/>
        <w:widowControl/>
        <w:kinsoku/>
        <w:wordWrap/>
        <w:overflowPunct/>
        <w:topLinePunct w:val="0"/>
        <w:autoSpaceDE/>
        <w:autoSpaceDN/>
        <w:bidi w:val="0"/>
        <w:adjustRightInd/>
        <w:snapToGrid/>
        <w:spacing w:after="0" w:line="360" w:lineRule="auto"/>
        <w:textAlignment w:val="auto"/>
        <w:rPr>
          <w:rFonts w:cs="仿宋_GB2312"/>
          <w:color w:val="auto"/>
          <w:highlight w:val="none"/>
          <w:shd w:val="clear" w:color="auto" w:fill="auto"/>
        </w:rPr>
      </w:pPr>
      <w:r>
        <w:rPr>
          <w:rFonts w:hint="eastAsia" w:cs="仿宋_GB2312"/>
          <w:color w:val="auto"/>
          <w:highlight w:val="none"/>
          <w:shd w:val="clear" w:color="auto" w:fill="auto"/>
        </w:rPr>
        <w:t>2、投标文件中如附有外文资料，必须逐一对应翻译成中文并加盖投标人公章后附在相关外文资料后面，否则外文资料不予认可。翻译的中文资料与外文资料不符的，均不予认可。翻译严重错误的，将视同提供虚假资料。</w:t>
      </w:r>
    </w:p>
    <w:p>
      <w:pPr>
        <w:keepNext w:val="0"/>
        <w:keepLines w:val="0"/>
        <w:pageBreakBefore w:val="0"/>
        <w:widowControl/>
        <w:kinsoku/>
        <w:wordWrap/>
        <w:overflowPunct/>
        <w:topLinePunct w:val="0"/>
        <w:autoSpaceDE/>
        <w:autoSpaceDN/>
        <w:bidi w:val="0"/>
        <w:adjustRightInd/>
        <w:snapToGrid/>
        <w:spacing w:after="0" w:line="360" w:lineRule="auto"/>
        <w:textAlignment w:val="auto"/>
        <w:rPr>
          <w:rFonts w:cs="仿宋_GB2312"/>
          <w:color w:val="auto"/>
          <w:highlight w:val="none"/>
          <w:shd w:val="clear" w:color="auto" w:fill="auto"/>
        </w:rPr>
      </w:pPr>
      <w:r>
        <w:rPr>
          <w:rFonts w:hint="eastAsia" w:cs="仿宋_GB2312"/>
          <w:color w:val="auto"/>
          <w:highlight w:val="none"/>
          <w:shd w:val="clear" w:color="auto" w:fill="auto"/>
        </w:rPr>
        <w:t>3、投标人编制投标文件（商务技术文件部分）时，建议按此目录（序号和内容）提供评标标准相应的商务技术资料。</w:t>
      </w:r>
      <w:r>
        <w:rPr>
          <w:rFonts w:cs="仿宋_GB2312"/>
          <w:color w:val="auto"/>
          <w:highlight w:val="none"/>
          <w:shd w:val="clear" w:color="auto" w:fill="auto"/>
        </w:rPr>
        <w:t> </w:t>
      </w:r>
    </w:p>
    <w:p>
      <w:pPr>
        <w:rPr>
          <w:color w:val="auto"/>
          <w:highlight w:val="none"/>
          <w:shd w:val="clear" w:color="auto" w:fill="auto"/>
        </w:rPr>
      </w:pPr>
    </w:p>
    <w:p>
      <w:pPr>
        <w:pStyle w:val="3"/>
        <w:rPr>
          <w:color w:val="auto"/>
          <w:highlight w:val="none"/>
          <w:shd w:val="clear" w:color="auto" w:fill="auto"/>
        </w:rPr>
      </w:pPr>
      <w:r>
        <w:rPr>
          <w:rFonts w:hint="eastAsia"/>
          <w:color w:val="auto"/>
          <w:highlight w:val="none"/>
          <w:shd w:val="clear" w:color="auto" w:fill="auto"/>
        </w:rPr>
        <w:t>一、评标方法</w:t>
      </w:r>
    </w:p>
    <w:p>
      <w:pPr>
        <w:keepNext w:val="0"/>
        <w:keepLines w:val="0"/>
        <w:pageBreakBefore w:val="0"/>
        <w:widowControl/>
        <w:kinsoku/>
        <w:wordWrap/>
        <w:overflowPunct/>
        <w:topLinePunct w:val="0"/>
        <w:autoSpaceDE/>
        <w:autoSpaceDN/>
        <w:bidi w:val="0"/>
        <w:adjustRightInd/>
        <w:snapToGrid/>
        <w:spacing w:after="0" w:line="360" w:lineRule="auto"/>
        <w:ind w:firstLine="472" w:firstLineChars="196"/>
        <w:textAlignment w:val="auto"/>
        <w:rPr>
          <w:rFonts w:ascii="仿宋_GB2312" w:eastAsia="仿宋_GB2312" w:cs="Arial"/>
          <w:color w:val="auto"/>
          <w:highlight w:val="none"/>
          <w:shd w:val="clear" w:color="auto" w:fill="auto"/>
        </w:rPr>
      </w:pPr>
      <w:r>
        <w:rPr>
          <w:rStyle w:val="40"/>
          <w:color w:val="auto"/>
          <w:highlight w:val="none"/>
          <w:shd w:val="clear" w:color="auto" w:fill="auto"/>
        </w:rPr>
        <w:t>1.</w:t>
      </w:r>
      <w:r>
        <w:rPr>
          <w:rStyle w:val="40"/>
          <w:rFonts w:hint="eastAsia"/>
          <w:color w:val="auto"/>
          <w:highlight w:val="none"/>
          <w:shd w:val="clear" w:color="auto" w:fill="auto"/>
        </w:rPr>
        <w:t>本项目采用综合评分法。</w:t>
      </w:r>
      <w:r>
        <w:rPr>
          <w:rFonts w:hint="eastAsia" w:ascii="仿宋_GB2312" w:eastAsia="仿宋_GB2312" w:cs="Arial"/>
          <w:color w:val="auto"/>
          <w:highlight w:val="none"/>
          <w:shd w:val="clear" w:color="auto" w:fill="auto"/>
        </w:rPr>
        <w:t>综合评分法，是指投标文件满足招标文件全部实质性要求，且按照评审因素的量化指标评审得分最高的投标人为中标候选人的评标方法。</w:t>
      </w:r>
    </w:p>
    <w:p>
      <w:pPr>
        <w:pStyle w:val="3"/>
        <w:rPr>
          <w:rFonts w:cs="Arial"/>
          <w:color w:val="auto"/>
          <w:sz w:val="24"/>
          <w:highlight w:val="none"/>
          <w:shd w:val="clear" w:color="auto" w:fill="auto"/>
        </w:rPr>
      </w:pPr>
      <w:r>
        <w:rPr>
          <w:rFonts w:hint="eastAsia"/>
          <w:color w:val="auto"/>
          <w:highlight w:val="none"/>
          <w:shd w:val="clear" w:color="auto" w:fill="auto"/>
        </w:rPr>
        <w:t>二、评标标准</w:t>
      </w:r>
    </w:p>
    <w:p>
      <w:pPr>
        <w:keepNext w:val="0"/>
        <w:keepLines w:val="0"/>
        <w:pageBreakBefore w:val="0"/>
        <w:widowControl/>
        <w:kinsoku/>
        <w:wordWrap/>
        <w:overflowPunct/>
        <w:topLinePunct w:val="0"/>
        <w:autoSpaceDE/>
        <w:autoSpaceDN/>
        <w:bidi w:val="0"/>
        <w:adjustRightInd/>
        <w:snapToGrid/>
        <w:spacing w:after="0" w:line="360" w:lineRule="auto"/>
        <w:ind w:firstLine="472" w:firstLineChars="196"/>
        <w:textAlignment w:val="auto"/>
        <w:rPr>
          <w:rFonts w:ascii="仿宋_GB2312" w:hAnsi="仿宋_GB2312" w:eastAsia="仿宋_GB2312" w:cs="仿宋_GB2312"/>
          <w:b/>
          <w:color w:val="auto"/>
          <w:highlight w:val="none"/>
          <w:shd w:val="clear" w:color="auto" w:fill="auto"/>
        </w:rPr>
      </w:pPr>
      <w:r>
        <w:rPr>
          <w:rStyle w:val="40"/>
          <w:color w:val="auto"/>
          <w:highlight w:val="none"/>
          <w:shd w:val="clear" w:color="auto" w:fill="auto"/>
        </w:rPr>
        <w:t xml:space="preserve">2. </w:t>
      </w:r>
      <w:r>
        <w:rPr>
          <w:rStyle w:val="40"/>
          <w:rFonts w:hint="eastAsia"/>
          <w:color w:val="auto"/>
          <w:highlight w:val="none"/>
          <w:shd w:val="clear" w:color="auto" w:fill="auto"/>
        </w:rPr>
        <w:t>评标标准：</w:t>
      </w:r>
      <w:r>
        <w:rPr>
          <w:rFonts w:hint="eastAsia" w:ascii="仿宋_GB2312" w:eastAsia="仿宋_GB2312" w:cs="Arial"/>
          <w:color w:val="auto"/>
          <w:highlight w:val="none"/>
          <w:shd w:val="clear" w:color="auto" w:fill="auto"/>
        </w:rPr>
        <w:t>见评标办法前附表。</w:t>
      </w:r>
    </w:p>
    <w:p>
      <w:pPr>
        <w:pStyle w:val="3"/>
        <w:rPr>
          <w:color w:val="auto"/>
          <w:highlight w:val="none"/>
          <w:shd w:val="clear" w:color="auto" w:fill="auto"/>
        </w:rPr>
      </w:pPr>
      <w:r>
        <w:rPr>
          <w:rFonts w:hint="eastAsia"/>
          <w:color w:val="auto"/>
          <w:highlight w:val="none"/>
          <w:shd w:val="clear" w:color="auto" w:fill="auto"/>
        </w:rPr>
        <w:t>三、评标程序</w:t>
      </w:r>
    </w:p>
    <w:p>
      <w:pPr>
        <w:keepNext w:val="0"/>
        <w:keepLines w:val="0"/>
        <w:pageBreakBefore w:val="0"/>
        <w:widowControl/>
        <w:kinsoku/>
        <w:wordWrap/>
        <w:overflowPunct/>
        <w:topLinePunct w:val="0"/>
        <w:autoSpaceDE/>
        <w:autoSpaceDN/>
        <w:bidi w:val="0"/>
        <w:adjustRightInd/>
        <w:spacing w:after="0" w:line="360" w:lineRule="auto"/>
        <w:ind w:firstLine="472" w:firstLineChars="196"/>
        <w:textAlignment w:val="auto"/>
        <w:rPr>
          <w:rFonts w:ascii="仿宋_GB2312" w:eastAsia="仿宋_GB2312" w:cs="Arial"/>
          <w:color w:val="auto"/>
          <w:highlight w:val="none"/>
          <w:shd w:val="clear" w:color="auto" w:fill="auto"/>
        </w:rPr>
      </w:pPr>
      <w:r>
        <w:rPr>
          <w:rStyle w:val="40"/>
          <w:color w:val="auto"/>
          <w:highlight w:val="none"/>
          <w:shd w:val="clear" w:color="auto" w:fill="auto"/>
        </w:rPr>
        <w:t>3.1符合性审查。</w:t>
      </w:r>
      <w:r>
        <w:rPr>
          <w:rFonts w:ascii="仿宋_GB2312" w:eastAsia="仿宋_GB2312" w:cs="Arial"/>
          <w:color w:val="auto"/>
          <w:highlight w:val="none"/>
          <w:shd w:val="clear" w:color="auto" w:fill="auto"/>
        </w:rPr>
        <w:t>评标委员会应当对符合资格的投标人的投标文件进行符合性审查，以确定其是否满足招标文件的实质性要求。</w:t>
      </w:r>
      <w:r>
        <w:rPr>
          <w:rFonts w:hint="eastAsia" w:ascii="仿宋_GB2312" w:eastAsia="仿宋_GB2312" w:cs="Arial"/>
          <w:color w:val="auto"/>
          <w:highlight w:val="none"/>
          <w:shd w:val="clear" w:color="auto" w:fill="auto"/>
        </w:rPr>
        <w:t>不</w:t>
      </w:r>
      <w:r>
        <w:rPr>
          <w:rFonts w:ascii="仿宋_GB2312" w:eastAsia="仿宋_GB2312" w:cs="Arial"/>
          <w:color w:val="auto"/>
          <w:highlight w:val="none"/>
          <w:shd w:val="clear" w:color="auto" w:fill="auto"/>
        </w:rPr>
        <w:t>满足招标文件的实质性要求</w:t>
      </w:r>
      <w:r>
        <w:rPr>
          <w:rFonts w:hint="eastAsia" w:ascii="仿宋_GB2312" w:eastAsia="仿宋_GB2312" w:cs="Arial"/>
          <w:color w:val="auto"/>
          <w:highlight w:val="none"/>
          <w:shd w:val="clear" w:color="auto" w:fill="auto"/>
        </w:rPr>
        <w:t>的，投标无效。</w:t>
      </w:r>
    </w:p>
    <w:p>
      <w:pPr>
        <w:keepNext w:val="0"/>
        <w:keepLines w:val="0"/>
        <w:pageBreakBefore w:val="0"/>
        <w:widowControl/>
        <w:kinsoku/>
        <w:wordWrap/>
        <w:overflowPunct/>
        <w:topLinePunct w:val="0"/>
        <w:autoSpaceDE/>
        <w:autoSpaceDN/>
        <w:bidi w:val="0"/>
        <w:adjustRightInd/>
        <w:spacing w:after="0" w:line="360" w:lineRule="auto"/>
        <w:ind w:firstLine="472" w:firstLineChars="196"/>
        <w:textAlignment w:val="auto"/>
        <w:rPr>
          <w:rFonts w:ascii="仿宋_GB2312" w:eastAsia="仿宋_GB2312" w:cs="Arial"/>
          <w:color w:val="auto"/>
          <w:highlight w:val="none"/>
          <w:shd w:val="clear" w:color="auto" w:fill="auto"/>
        </w:rPr>
      </w:pPr>
      <w:r>
        <w:rPr>
          <w:rStyle w:val="40"/>
          <w:color w:val="auto"/>
          <w:highlight w:val="none"/>
          <w:shd w:val="clear" w:color="auto" w:fill="auto"/>
        </w:rPr>
        <w:t xml:space="preserve">3.2 </w:t>
      </w:r>
      <w:r>
        <w:rPr>
          <w:rStyle w:val="40"/>
          <w:rFonts w:hint="eastAsia"/>
          <w:color w:val="auto"/>
          <w:highlight w:val="none"/>
          <w:shd w:val="clear" w:color="auto" w:fill="auto"/>
        </w:rPr>
        <w:t>比较与评价。</w:t>
      </w:r>
      <w:r>
        <w:rPr>
          <w:rFonts w:ascii="仿宋_GB2312" w:eastAsia="仿宋_GB2312" w:cs="Arial"/>
          <w:color w:val="auto"/>
          <w:highlight w:val="none"/>
          <w:shd w:val="clear" w:color="auto" w:fill="auto"/>
        </w:rPr>
        <w:t>评标委员会应当按照招标文件中规定的评标方法和标准，对符合性审查合格的投标文件进行商务和技术评估，综合比较与评价。</w:t>
      </w:r>
    </w:p>
    <w:p>
      <w:pPr>
        <w:keepNext w:val="0"/>
        <w:keepLines w:val="0"/>
        <w:pageBreakBefore w:val="0"/>
        <w:widowControl/>
        <w:kinsoku/>
        <w:wordWrap/>
        <w:overflowPunct/>
        <w:topLinePunct w:val="0"/>
        <w:autoSpaceDE/>
        <w:autoSpaceDN/>
        <w:bidi w:val="0"/>
        <w:adjustRightInd/>
        <w:spacing w:after="0" w:line="360" w:lineRule="auto"/>
        <w:ind w:firstLine="472" w:firstLineChars="196"/>
        <w:textAlignment w:val="auto"/>
        <w:rPr>
          <w:rFonts w:ascii="仿宋_GB2312" w:eastAsia="仿宋_GB2312" w:cs="Arial"/>
          <w:color w:val="auto"/>
          <w:highlight w:val="none"/>
          <w:shd w:val="clear" w:color="auto" w:fill="auto"/>
        </w:rPr>
      </w:pPr>
      <w:r>
        <w:rPr>
          <w:rStyle w:val="40"/>
          <w:color w:val="auto"/>
          <w:highlight w:val="none"/>
          <w:shd w:val="clear" w:color="auto" w:fill="auto"/>
        </w:rPr>
        <w:t>3.3汇总商务技术得分。</w:t>
      </w:r>
      <w:r>
        <w:rPr>
          <w:rFonts w:hint="eastAsia" w:ascii="仿宋_GB2312" w:eastAsia="仿宋_GB2312" w:cs="Arial"/>
          <w:color w:val="auto"/>
          <w:highlight w:val="none"/>
          <w:shd w:val="clear" w:color="auto" w:fill="auto"/>
        </w:rPr>
        <w:t>评标委员会各成员应当独立对每个投标人的商务和技术文件进行评价，并汇总商务技术得分情况。</w:t>
      </w:r>
    </w:p>
    <w:p>
      <w:pPr>
        <w:pStyle w:val="4"/>
        <w:keepNext w:val="0"/>
        <w:keepLines w:val="0"/>
        <w:pageBreakBefore w:val="0"/>
        <w:widowControl/>
        <w:kinsoku/>
        <w:wordWrap/>
        <w:overflowPunct/>
        <w:topLinePunct w:val="0"/>
        <w:autoSpaceDE/>
        <w:autoSpaceDN/>
        <w:bidi w:val="0"/>
        <w:adjustRightInd/>
        <w:spacing w:after="0" w:line="360" w:lineRule="auto"/>
        <w:textAlignment w:val="auto"/>
        <w:rPr>
          <w:color w:val="auto"/>
          <w:highlight w:val="none"/>
          <w:shd w:val="clear" w:color="auto" w:fill="auto"/>
        </w:rPr>
      </w:pPr>
      <w:r>
        <w:rPr>
          <w:color w:val="auto"/>
          <w:highlight w:val="none"/>
          <w:shd w:val="clear" w:color="auto" w:fill="auto"/>
        </w:rPr>
        <w:tab/>
      </w:r>
      <w:r>
        <w:rPr>
          <w:color w:val="auto"/>
          <w:highlight w:val="none"/>
          <w:shd w:val="clear" w:color="auto" w:fill="auto"/>
        </w:rPr>
        <w:t>3.4报价评审。</w:t>
      </w:r>
    </w:p>
    <w:p>
      <w:pPr>
        <w:pStyle w:val="64"/>
        <w:keepNext w:val="0"/>
        <w:keepLines w:val="0"/>
        <w:pageBreakBefore w:val="0"/>
        <w:widowControl/>
        <w:kinsoku/>
        <w:wordWrap/>
        <w:overflowPunct/>
        <w:topLinePunct w:val="0"/>
        <w:autoSpaceDE/>
        <w:autoSpaceDN/>
        <w:bidi w:val="0"/>
        <w:adjustRightInd/>
        <w:spacing w:after="0" w:line="360" w:lineRule="auto"/>
        <w:textAlignment w:val="auto"/>
        <w:rPr>
          <w:color w:val="auto"/>
          <w:highlight w:val="none"/>
          <w:shd w:val="clear" w:color="auto" w:fill="auto"/>
        </w:rPr>
      </w:pPr>
      <w:r>
        <w:rPr>
          <w:color w:val="auto"/>
          <w:highlight w:val="none"/>
          <w:shd w:val="clear" w:color="auto" w:fill="auto"/>
        </w:rPr>
        <w:t>3.4.1投标文件报价出现前后不一致的，按照下列规定修正：</w:t>
      </w:r>
    </w:p>
    <w:p>
      <w:pPr>
        <w:pStyle w:val="64"/>
        <w:keepNext w:val="0"/>
        <w:keepLines w:val="0"/>
        <w:pageBreakBefore w:val="0"/>
        <w:widowControl/>
        <w:kinsoku/>
        <w:wordWrap/>
        <w:overflowPunct/>
        <w:topLinePunct w:val="0"/>
        <w:autoSpaceDE/>
        <w:autoSpaceDN/>
        <w:bidi w:val="0"/>
        <w:adjustRightInd/>
        <w:spacing w:after="0" w:line="360" w:lineRule="auto"/>
        <w:textAlignment w:val="auto"/>
        <w:rPr>
          <w:color w:val="auto"/>
          <w:highlight w:val="none"/>
          <w:shd w:val="clear" w:color="auto" w:fill="auto"/>
        </w:rPr>
      </w:pPr>
      <w:r>
        <w:rPr>
          <w:color w:val="auto"/>
          <w:highlight w:val="none"/>
          <w:shd w:val="clear" w:color="auto" w:fill="auto"/>
        </w:rPr>
        <w:t>3.4.1.1投标文件中开标一览表(报价表)内容与投标文件中相应内容不一致的，以开标一览表(报价表)为准;</w:t>
      </w:r>
    </w:p>
    <w:p>
      <w:pPr>
        <w:pStyle w:val="64"/>
        <w:keepNext w:val="0"/>
        <w:keepLines w:val="0"/>
        <w:pageBreakBefore w:val="0"/>
        <w:widowControl/>
        <w:kinsoku/>
        <w:wordWrap/>
        <w:overflowPunct/>
        <w:topLinePunct w:val="0"/>
        <w:autoSpaceDE/>
        <w:autoSpaceDN/>
        <w:bidi w:val="0"/>
        <w:adjustRightInd/>
        <w:spacing w:after="0" w:line="360" w:lineRule="auto"/>
        <w:textAlignment w:val="auto"/>
        <w:rPr>
          <w:color w:val="auto"/>
          <w:highlight w:val="none"/>
          <w:shd w:val="clear" w:color="auto" w:fill="auto"/>
        </w:rPr>
      </w:pPr>
      <w:r>
        <w:rPr>
          <w:color w:val="auto"/>
          <w:highlight w:val="none"/>
          <w:shd w:val="clear" w:color="auto" w:fill="auto"/>
        </w:rPr>
        <w:t>3.4.1.2大写金额和小写金额不一致的，以大写金额为准;</w:t>
      </w:r>
    </w:p>
    <w:p>
      <w:pPr>
        <w:pStyle w:val="64"/>
        <w:keepNext w:val="0"/>
        <w:keepLines w:val="0"/>
        <w:pageBreakBefore w:val="0"/>
        <w:widowControl/>
        <w:kinsoku/>
        <w:wordWrap/>
        <w:overflowPunct/>
        <w:topLinePunct w:val="0"/>
        <w:autoSpaceDE/>
        <w:autoSpaceDN/>
        <w:bidi w:val="0"/>
        <w:adjustRightInd/>
        <w:spacing w:after="0" w:line="360" w:lineRule="auto"/>
        <w:textAlignment w:val="auto"/>
        <w:rPr>
          <w:color w:val="auto"/>
          <w:highlight w:val="none"/>
          <w:shd w:val="clear" w:color="auto" w:fill="auto"/>
        </w:rPr>
      </w:pPr>
      <w:r>
        <w:rPr>
          <w:color w:val="auto"/>
          <w:highlight w:val="none"/>
          <w:shd w:val="clear" w:color="auto" w:fill="auto"/>
        </w:rPr>
        <w:t>3.4.1.3单价金额小数点或者百分比有明显错位的，以开标一览表的总价为准，并修改单价;</w:t>
      </w:r>
    </w:p>
    <w:p>
      <w:pPr>
        <w:pStyle w:val="64"/>
        <w:keepNext w:val="0"/>
        <w:keepLines w:val="0"/>
        <w:pageBreakBefore w:val="0"/>
        <w:widowControl/>
        <w:kinsoku/>
        <w:wordWrap/>
        <w:overflowPunct/>
        <w:topLinePunct w:val="0"/>
        <w:autoSpaceDE/>
        <w:autoSpaceDN/>
        <w:bidi w:val="0"/>
        <w:adjustRightInd/>
        <w:spacing w:after="0" w:line="360" w:lineRule="auto"/>
        <w:textAlignment w:val="auto"/>
        <w:rPr>
          <w:color w:val="auto"/>
          <w:highlight w:val="none"/>
          <w:shd w:val="clear" w:color="auto" w:fill="auto"/>
        </w:rPr>
      </w:pPr>
      <w:r>
        <w:rPr>
          <w:color w:val="auto"/>
          <w:highlight w:val="none"/>
          <w:shd w:val="clear" w:color="auto" w:fill="auto"/>
        </w:rPr>
        <w:t>3.4.1.4总价金额与按单价汇总金额不一致的，以单价金额计算结果为准。</w:t>
      </w:r>
    </w:p>
    <w:p>
      <w:pPr>
        <w:pStyle w:val="64"/>
        <w:keepNext w:val="0"/>
        <w:keepLines w:val="0"/>
        <w:pageBreakBefore w:val="0"/>
        <w:widowControl/>
        <w:kinsoku/>
        <w:wordWrap/>
        <w:overflowPunct/>
        <w:topLinePunct w:val="0"/>
        <w:autoSpaceDE/>
        <w:autoSpaceDN/>
        <w:bidi w:val="0"/>
        <w:adjustRightInd/>
        <w:spacing w:after="0" w:line="360" w:lineRule="auto"/>
        <w:textAlignment w:val="auto"/>
        <w:rPr>
          <w:color w:val="auto"/>
          <w:highlight w:val="none"/>
          <w:shd w:val="clear" w:color="auto" w:fill="auto"/>
        </w:rPr>
      </w:pPr>
      <w:r>
        <w:rPr>
          <w:color w:val="auto"/>
          <w:highlight w:val="none"/>
          <w:shd w:val="clear" w:color="auto" w:fill="auto"/>
        </w:rPr>
        <w:t>3.4.1.5同时出现两种以上不一致的，按照3.4.1</w:t>
      </w:r>
      <w:r>
        <w:rPr>
          <w:rFonts w:hint="eastAsia"/>
          <w:color w:val="auto"/>
          <w:highlight w:val="none"/>
          <w:shd w:val="clear" w:color="auto" w:fill="auto"/>
        </w:rPr>
        <w:t>规定的顺序修正。修正后的报价按照财政部第</w:t>
      </w:r>
      <w:r>
        <w:rPr>
          <w:color w:val="auto"/>
          <w:highlight w:val="none"/>
          <w:shd w:val="clear" w:color="auto" w:fill="auto"/>
        </w:rPr>
        <w:t xml:space="preserve">87号令 </w:t>
      </w:r>
      <w:r>
        <w:rPr>
          <w:rFonts w:hint="eastAsia"/>
          <w:color w:val="auto"/>
          <w:highlight w:val="none"/>
          <w:shd w:val="clear" w:color="auto" w:fill="auto"/>
        </w:rPr>
        <w:t>《政府采购货物和服务招标投标管理办法》第五十一条第二款的规定经投标人确认后产生约束力。</w:t>
      </w:r>
    </w:p>
    <w:p>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cs="仿宋"/>
          <w:color w:val="auto"/>
          <w:highlight w:val="none"/>
          <w:shd w:val="clear" w:color="auto" w:fill="auto"/>
        </w:rPr>
      </w:pPr>
      <w:r>
        <w:rPr>
          <w:rFonts w:cs="仿宋"/>
          <w:color w:val="auto"/>
          <w:highlight w:val="none"/>
          <w:shd w:val="clear" w:color="auto" w:fill="auto"/>
        </w:rPr>
        <w:t>3.4.2</w:t>
      </w:r>
      <w:r>
        <w:rPr>
          <w:rFonts w:hint="eastAsia" w:cs="仿宋"/>
          <w:color w:val="auto"/>
          <w:highlight w:val="none"/>
          <w:shd w:val="clear" w:color="auto" w:fill="auto"/>
        </w:rPr>
        <w:t>投标文件出现不是唯一的、有选择性投标报价的，投标无效。</w:t>
      </w:r>
    </w:p>
    <w:p>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cs="仿宋"/>
          <w:color w:val="auto"/>
          <w:highlight w:val="none"/>
          <w:shd w:val="clear" w:color="auto" w:fill="auto"/>
        </w:rPr>
      </w:pPr>
      <w:r>
        <w:rPr>
          <w:rFonts w:cs="仿宋"/>
          <w:color w:val="auto"/>
          <w:highlight w:val="none"/>
          <w:shd w:val="clear" w:color="auto" w:fill="auto"/>
        </w:rPr>
        <w:t>3.4.3</w:t>
      </w:r>
      <w:r>
        <w:rPr>
          <w:rFonts w:hint="eastAsia" w:cs="仿宋"/>
          <w:color w:val="auto"/>
          <w:highlight w:val="none"/>
          <w:shd w:val="clear" w:color="auto" w:fill="auto"/>
        </w:rPr>
        <w:t>投标报价超过招标文件中规定的预算金额或者最高限价的，投标无效。</w:t>
      </w:r>
    </w:p>
    <w:p>
      <w:pPr>
        <w:pStyle w:val="64"/>
        <w:keepNext w:val="0"/>
        <w:keepLines w:val="0"/>
        <w:pageBreakBefore w:val="0"/>
        <w:widowControl/>
        <w:kinsoku/>
        <w:wordWrap/>
        <w:overflowPunct/>
        <w:topLinePunct w:val="0"/>
        <w:autoSpaceDE/>
        <w:autoSpaceDN/>
        <w:bidi w:val="0"/>
        <w:adjustRightInd/>
        <w:spacing w:after="0" w:line="360" w:lineRule="auto"/>
        <w:textAlignment w:val="auto"/>
        <w:rPr>
          <w:color w:val="auto"/>
          <w:highlight w:val="none"/>
          <w:shd w:val="clear" w:color="auto" w:fill="auto"/>
        </w:rPr>
      </w:pPr>
      <w:r>
        <w:rPr>
          <w:color w:val="auto"/>
          <w:highlight w:val="none"/>
          <w:shd w:val="clear" w:color="auto" w:fill="auto"/>
        </w:rPr>
        <w:t>3.4.4</w:t>
      </w:r>
      <w:r>
        <w:rPr>
          <w:rFonts w:hint="eastAsia"/>
          <w:color w:val="auto"/>
          <w:highlight w:val="none"/>
          <w:shd w:val="clear" w:color="auto" w:fill="auto"/>
        </w:rPr>
        <w:t>评标委员会认为投标人的报价明显低于其他通过符合性审查投标人的报价，有可能影响产品质量或者不能诚信履约的，应当要求其在合理的时间内提供书面说明，必要时提交相关证明材料</w:t>
      </w:r>
      <w:r>
        <w:rPr>
          <w:color w:val="auto"/>
          <w:highlight w:val="none"/>
          <w:shd w:val="clear" w:color="auto" w:fill="auto"/>
        </w:rPr>
        <w:t>;投标人不能证明其报价合理性的，评标委员会应当将其作为无效投标处理。</w:t>
      </w:r>
    </w:p>
    <w:p>
      <w:pPr>
        <w:pStyle w:val="64"/>
        <w:keepNext w:val="0"/>
        <w:keepLines w:val="0"/>
        <w:pageBreakBefore w:val="0"/>
        <w:widowControl/>
        <w:kinsoku/>
        <w:wordWrap/>
        <w:overflowPunct/>
        <w:topLinePunct w:val="0"/>
        <w:autoSpaceDE/>
        <w:autoSpaceDN/>
        <w:bidi w:val="0"/>
        <w:adjustRightInd/>
        <w:spacing w:after="0" w:line="360" w:lineRule="auto"/>
        <w:textAlignment w:val="auto"/>
        <w:rPr>
          <w:color w:val="auto"/>
          <w:highlight w:val="none"/>
          <w:shd w:val="clear" w:color="auto" w:fill="auto"/>
        </w:rPr>
      </w:pPr>
      <w:r>
        <w:rPr>
          <w:color w:val="auto"/>
          <w:highlight w:val="none"/>
          <w:shd w:val="clear" w:color="auto" w:fill="auto"/>
        </w:rPr>
        <w:t>3.4.5</w:t>
      </w:r>
      <w:r>
        <w:rPr>
          <w:rFonts w:hint="eastAsia"/>
          <w:color w:val="auto"/>
          <w:highlight w:val="none"/>
          <w:shd w:val="clear" w:color="auto" w:fill="auto"/>
        </w:rPr>
        <w:t>对于未预留份额专门面向中小企业的政府采购货物或服务项目，以及预留份额政府采购货物或服务项目中的非预留部分标项，对小型和微型企业的投标报价给予2</w:t>
      </w:r>
      <w:r>
        <w:rPr>
          <w:color w:val="auto"/>
          <w:highlight w:val="none"/>
          <w:shd w:val="clear" w:color="auto" w:fill="auto"/>
        </w:rPr>
        <w:t>0%的扣除，用扣除后的价格参与评审。接受大中型企业与小</w:t>
      </w:r>
      <w:r>
        <w:rPr>
          <w:rFonts w:hint="eastAsia"/>
          <w:color w:val="auto"/>
          <w:highlight w:val="none"/>
          <w:shd w:val="clear" w:color="auto" w:fill="auto"/>
        </w:rPr>
        <w:t>微企业组成联合体或者允许大中型企业向一家或者多家小微企业分包的政府采购货物或服务项目，对于联合协议或者分包意向协议约定小微企业的合同份额占到合同总金额</w:t>
      </w:r>
      <w:r>
        <w:rPr>
          <w:color w:val="auto"/>
          <w:highlight w:val="none"/>
          <w:shd w:val="clear" w:color="auto" w:fill="auto"/>
        </w:rPr>
        <w:t>30%以上的，对联合体或者大中型企业的报价给予</w:t>
      </w:r>
      <w:r>
        <w:rPr>
          <w:rFonts w:hint="eastAsia"/>
          <w:color w:val="auto"/>
          <w:highlight w:val="none"/>
          <w:shd w:val="clear" w:color="auto" w:fill="auto"/>
        </w:rPr>
        <w:t>6</w:t>
      </w:r>
      <w:r>
        <w:rPr>
          <w:color w:val="auto"/>
          <w:highlight w:val="none"/>
          <w:shd w:val="clear" w:color="auto" w:fill="auto"/>
        </w:rPr>
        <w:t>%的扣除，用扣除后的价格参加评审。组成联合体或者接受分包的小</w:t>
      </w:r>
      <w:r>
        <w:rPr>
          <w:rFonts w:hint="eastAsia"/>
          <w:color w:val="auto"/>
          <w:highlight w:val="none"/>
          <w:shd w:val="clear" w:color="auto" w:fill="auto"/>
        </w:rPr>
        <w:t>微企业与联合体内其他企业、分包企业之间存在直接控股、管理关系的，不享受价格扣除优惠政策。</w:t>
      </w:r>
    </w:p>
    <w:p>
      <w:pPr>
        <w:keepNext w:val="0"/>
        <w:keepLines w:val="0"/>
        <w:pageBreakBefore w:val="0"/>
        <w:widowControl/>
        <w:kinsoku/>
        <w:wordWrap/>
        <w:overflowPunct/>
        <w:topLinePunct w:val="0"/>
        <w:autoSpaceDE/>
        <w:autoSpaceDN/>
        <w:bidi w:val="0"/>
        <w:adjustRightInd/>
        <w:spacing w:after="0" w:line="360" w:lineRule="auto"/>
        <w:ind w:firstLine="482" w:firstLineChars="200"/>
        <w:textAlignment w:val="auto"/>
        <w:rPr>
          <w:rFonts w:ascii="仿宋_GB2312" w:eastAsia="仿宋_GB2312" w:cs="Arial"/>
          <w:color w:val="auto"/>
          <w:highlight w:val="none"/>
          <w:shd w:val="clear" w:color="auto" w:fill="auto"/>
        </w:rPr>
      </w:pPr>
      <w:r>
        <w:rPr>
          <w:rStyle w:val="40"/>
          <w:color w:val="auto"/>
          <w:highlight w:val="none"/>
          <w:shd w:val="clear" w:color="auto" w:fill="auto"/>
        </w:rPr>
        <w:t>3.5</w:t>
      </w:r>
      <w:r>
        <w:rPr>
          <w:rStyle w:val="40"/>
          <w:rFonts w:hint="eastAsia"/>
          <w:color w:val="auto"/>
          <w:highlight w:val="none"/>
          <w:shd w:val="clear" w:color="auto" w:fill="auto"/>
        </w:rPr>
        <w:t>排序与推荐。</w:t>
      </w:r>
      <w:r>
        <w:rPr>
          <w:rFonts w:ascii="仿宋_GB2312" w:eastAsia="仿宋_GB2312" w:cs="Arial"/>
          <w:color w:val="auto"/>
          <w:highlight w:val="none"/>
          <w:shd w:val="clear" w:color="auto" w:fill="auto"/>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_GB2312" w:eastAsia="仿宋_GB2312" w:cs="Arial"/>
          <w:color w:val="auto"/>
          <w:highlight w:val="none"/>
          <w:shd w:val="clear" w:color="auto" w:fill="auto"/>
        </w:rPr>
        <w:t>。</w:t>
      </w:r>
    </w:p>
    <w:p>
      <w:pPr>
        <w:keepNext w:val="0"/>
        <w:keepLines w:val="0"/>
        <w:pageBreakBefore w:val="0"/>
        <w:widowControl/>
        <w:kinsoku/>
        <w:wordWrap/>
        <w:overflowPunct/>
        <w:topLinePunct w:val="0"/>
        <w:autoSpaceDE/>
        <w:autoSpaceDN/>
        <w:bidi w:val="0"/>
        <w:adjustRightInd/>
        <w:spacing w:after="0" w:line="360" w:lineRule="auto"/>
        <w:textAlignment w:val="auto"/>
        <w:rPr>
          <w:rFonts w:ascii="仿宋_GB2312" w:eastAsia="仿宋_GB2312" w:cs="Arial"/>
          <w:b/>
          <w:color w:val="auto"/>
          <w:highlight w:val="none"/>
          <w:shd w:val="clear" w:color="auto" w:fill="auto"/>
        </w:rPr>
      </w:pPr>
      <w:r>
        <w:rPr>
          <w:rFonts w:hint="eastAsia" w:ascii="仿宋_GB2312" w:eastAsia="仿宋_GB2312" w:cs="Arial"/>
          <w:color w:val="auto"/>
          <w:highlight w:val="none"/>
          <w:shd w:val="clear" w:color="auto" w:fill="auto"/>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keepNext w:val="0"/>
        <w:keepLines w:val="0"/>
        <w:pageBreakBefore w:val="0"/>
        <w:widowControl/>
        <w:kinsoku/>
        <w:wordWrap/>
        <w:overflowPunct/>
        <w:topLinePunct w:val="0"/>
        <w:autoSpaceDE/>
        <w:autoSpaceDN/>
        <w:bidi w:val="0"/>
        <w:adjustRightInd/>
        <w:spacing w:after="0" w:line="360" w:lineRule="auto"/>
        <w:ind w:firstLine="472" w:firstLineChars="196"/>
        <w:textAlignment w:val="auto"/>
        <w:rPr>
          <w:rFonts w:ascii="仿宋_GB2312" w:eastAsia="仿宋_GB2312" w:cs="Arial"/>
          <w:color w:val="auto"/>
          <w:highlight w:val="none"/>
          <w:shd w:val="clear" w:color="auto" w:fill="auto"/>
        </w:rPr>
      </w:pPr>
      <w:r>
        <w:rPr>
          <w:rStyle w:val="40"/>
          <w:color w:val="auto"/>
          <w:highlight w:val="none"/>
          <w:shd w:val="clear" w:color="auto" w:fill="auto"/>
        </w:rPr>
        <w:t>3.6编写评标报告。</w:t>
      </w:r>
      <w:r>
        <w:rPr>
          <w:rFonts w:ascii="仿宋_GB2312" w:eastAsia="仿宋_GB2312" w:cs="Arial"/>
          <w:color w:val="auto"/>
          <w:highlight w:val="none"/>
          <w:shd w:val="clear" w:color="auto" w:fill="auto"/>
        </w:rPr>
        <w:t>评标委员会根据全体评标成员签字的原始评标记录和评标结果编写评标报告。</w:t>
      </w:r>
      <w:r>
        <w:rPr>
          <w:rFonts w:hint="eastAsia" w:ascii="仿宋_GB2312" w:eastAsia="仿宋_GB2312" w:cs="Arial"/>
          <w:color w:val="auto"/>
          <w:highlight w:val="none"/>
          <w:shd w:val="clear" w:color="auto" w:fill="auto"/>
        </w:rPr>
        <w:t>评标委员会成员对需要共同认定的事项存在争议的，应当按照少数服从多数的原则作出结论。持不同意见的评标委员会成员应当在评标报告上签署不同意见及理由，否则视为同意评标报告。</w:t>
      </w:r>
    </w:p>
    <w:p>
      <w:pPr>
        <w:pStyle w:val="3"/>
        <w:rPr>
          <w:color w:val="auto"/>
          <w:highlight w:val="none"/>
          <w:shd w:val="clear" w:color="auto" w:fill="auto"/>
        </w:rPr>
      </w:pPr>
      <w:r>
        <w:rPr>
          <w:rFonts w:hint="eastAsia"/>
          <w:color w:val="auto"/>
          <w:highlight w:val="none"/>
          <w:shd w:val="clear" w:color="auto" w:fill="auto"/>
        </w:rPr>
        <w:t>四、评标中的其他事项</w:t>
      </w:r>
    </w:p>
    <w:p>
      <w:pPr>
        <w:pStyle w:val="64"/>
        <w:keepNext w:val="0"/>
        <w:keepLines w:val="0"/>
        <w:pageBreakBefore w:val="0"/>
        <w:kinsoku/>
        <w:wordWrap/>
        <w:overflowPunct/>
        <w:topLinePunct w:val="0"/>
        <w:autoSpaceDE/>
        <w:autoSpaceDN/>
        <w:bidi w:val="0"/>
        <w:spacing w:after="0" w:line="360" w:lineRule="auto"/>
        <w:ind w:firstLine="482" w:firstLineChars="200"/>
        <w:textAlignment w:val="auto"/>
        <w:rPr>
          <w:color w:val="auto"/>
          <w:highlight w:val="none"/>
          <w:shd w:val="clear" w:color="auto" w:fill="auto"/>
        </w:rPr>
      </w:pPr>
      <w:r>
        <w:rPr>
          <w:rStyle w:val="40"/>
          <w:color w:val="auto"/>
          <w:highlight w:val="none"/>
          <w:shd w:val="clear" w:color="auto" w:fill="auto"/>
        </w:rPr>
        <w:t>4.1</w:t>
      </w:r>
      <w:r>
        <w:rPr>
          <w:rStyle w:val="40"/>
          <w:rFonts w:hint="eastAsia"/>
          <w:color w:val="auto"/>
          <w:highlight w:val="none"/>
          <w:shd w:val="clear" w:color="auto" w:fill="auto"/>
        </w:rPr>
        <w:t>投标人澄清、说明或者补正。</w:t>
      </w:r>
      <w:r>
        <w:rPr>
          <w:rFonts w:hint="eastAsia"/>
          <w:color w:val="auto"/>
          <w:highlight w:val="none"/>
          <w:shd w:val="clear" w:color="auto" w:fill="auto"/>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19"/>
        <w:keepNext w:val="0"/>
        <w:keepLines w:val="0"/>
        <w:pageBreakBefore w:val="0"/>
        <w:kinsoku/>
        <w:wordWrap/>
        <w:overflowPunct/>
        <w:topLinePunct w:val="0"/>
        <w:autoSpaceDE/>
        <w:autoSpaceDN/>
        <w:bidi w:val="0"/>
        <w:spacing w:after="0" w:line="360" w:lineRule="auto"/>
        <w:textAlignment w:val="auto"/>
        <w:rPr>
          <w:rFonts w:ascii="仿宋_GB2312" w:hAnsi="仿宋" w:eastAsia="仿宋_GB2312" w:cs="仿宋_GB2312"/>
          <w:color w:val="auto"/>
          <w:szCs w:val="21"/>
          <w:highlight w:val="none"/>
          <w:shd w:val="clear" w:color="auto" w:fill="auto"/>
        </w:rPr>
      </w:pPr>
      <w:r>
        <w:rPr>
          <w:rStyle w:val="40"/>
          <w:color w:val="auto"/>
          <w:highlight w:val="none"/>
          <w:shd w:val="clear" w:color="auto" w:fill="auto"/>
        </w:rPr>
        <w:t>4.2投标无效。</w:t>
      </w:r>
      <w:r>
        <w:rPr>
          <w:rFonts w:hint="eastAsia" w:ascii="仿宋_GB2312" w:hAnsi="仿宋" w:eastAsia="仿宋_GB2312" w:cs="仿宋_GB2312"/>
          <w:color w:val="auto"/>
          <w:szCs w:val="21"/>
          <w:highlight w:val="none"/>
          <w:shd w:val="clear" w:color="auto" w:fill="auto"/>
        </w:rPr>
        <w:t>有下列情形之一的，投标无效：</w:t>
      </w:r>
    </w:p>
    <w:p>
      <w:pPr>
        <w:keepNext w:val="0"/>
        <w:keepLines w:val="0"/>
        <w:pageBreakBefore w:val="0"/>
        <w:kinsoku/>
        <w:wordWrap/>
        <w:overflowPunct/>
        <w:topLinePunct w:val="0"/>
        <w:autoSpaceDE/>
        <w:autoSpaceDN/>
        <w:bidi w:val="0"/>
        <w:spacing w:after="0" w:line="360" w:lineRule="auto"/>
        <w:ind w:firstLine="480" w:firstLineChars="200"/>
        <w:textAlignment w:val="auto"/>
        <w:rPr>
          <w:rFonts w:ascii="仿宋_GB2312" w:eastAsia="仿宋_GB2312" w:cs="Arial"/>
          <w:color w:val="auto"/>
          <w:highlight w:val="none"/>
          <w:shd w:val="clear" w:color="auto" w:fill="auto"/>
        </w:rPr>
      </w:pPr>
      <w:r>
        <w:rPr>
          <w:rFonts w:ascii="仿宋_GB2312" w:eastAsia="仿宋_GB2312" w:cs="Arial"/>
          <w:color w:val="auto"/>
          <w:highlight w:val="none"/>
          <w:shd w:val="clear" w:color="auto" w:fill="auto"/>
        </w:rPr>
        <w:t>4.2.1投标人不具备招标文件中规定的资格要求的（投标人未提供有效的资格文件的，视为投标人不具备招标文件中规定的资格要求）；</w:t>
      </w:r>
    </w:p>
    <w:p>
      <w:pPr>
        <w:keepNext w:val="0"/>
        <w:keepLines w:val="0"/>
        <w:pageBreakBefore w:val="0"/>
        <w:kinsoku/>
        <w:wordWrap/>
        <w:overflowPunct/>
        <w:topLinePunct w:val="0"/>
        <w:autoSpaceDE/>
        <w:autoSpaceDN/>
        <w:bidi w:val="0"/>
        <w:spacing w:after="0" w:line="360" w:lineRule="auto"/>
        <w:ind w:firstLine="480" w:firstLineChars="200"/>
        <w:textAlignment w:val="auto"/>
        <w:rPr>
          <w:rFonts w:ascii="仿宋_GB2312" w:eastAsia="仿宋_GB2312" w:cs="Arial"/>
          <w:color w:val="auto"/>
          <w:highlight w:val="none"/>
          <w:shd w:val="clear" w:color="auto" w:fill="auto"/>
        </w:rPr>
      </w:pPr>
      <w:r>
        <w:rPr>
          <w:rFonts w:ascii="仿宋_GB2312" w:eastAsia="仿宋_GB2312" w:cs="Arial"/>
          <w:color w:val="auto"/>
          <w:highlight w:val="none"/>
          <w:shd w:val="clear" w:color="auto" w:fill="auto"/>
        </w:rPr>
        <w:t>4.2.2投标文件未按照招标文件要求签署、盖章的；</w:t>
      </w:r>
    </w:p>
    <w:p>
      <w:pPr>
        <w:keepNext w:val="0"/>
        <w:keepLines w:val="0"/>
        <w:pageBreakBefore w:val="0"/>
        <w:kinsoku/>
        <w:wordWrap/>
        <w:overflowPunct/>
        <w:topLinePunct w:val="0"/>
        <w:autoSpaceDE/>
        <w:autoSpaceDN/>
        <w:bidi w:val="0"/>
        <w:spacing w:after="0" w:line="360" w:lineRule="auto"/>
        <w:ind w:firstLine="480" w:firstLineChars="200"/>
        <w:textAlignment w:val="auto"/>
        <w:rPr>
          <w:rFonts w:ascii="仿宋_GB2312" w:eastAsia="仿宋_GB2312" w:cs="Arial"/>
          <w:color w:val="auto"/>
          <w:highlight w:val="none"/>
          <w:shd w:val="clear" w:color="auto" w:fill="auto"/>
        </w:rPr>
      </w:pPr>
      <w:r>
        <w:rPr>
          <w:rFonts w:ascii="仿宋_GB2312" w:eastAsia="仿宋_GB2312" w:cs="Arial"/>
          <w:color w:val="auto"/>
          <w:highlight w:val="none"/>
          <w:shd w:val="clear" w:color="auto" w:fill="auto"/>
        </w:rPr>
        <w:t>4.2.3采购人拟采购的产品属于政府强制采购的节能产品品目清单范围的，投标人未按招标文件要求提供国家确定的认证机构出具的、处于有效期之内的节能产品认证证书</w:t>
      </w:r>
      <w:r>
        <w:rPr>
          <w:rFonts w:hint="eastAsia" w:ascii="仿宋_GB2312" w:eastAsia="仿宋_GB2312" w:cs="Arial"/>
          <w:color w:val="auto"/>
          <w:highlight w:val="none"/>
          <w:shd w:val="clear" w:color="auto" w:fill="auto"/>
        </w:rPr>
        <w:t>的；</w:t>
      </w:r>
    </w:p>
    <w:p>
      <w:pPr>
        <w:keepNext w:val="0"/>
        <w:keepLines w:val="0"/>
        <w:pageBreakBefore w:val="0"/>
        <w:kinsoku/>
        <w:wordWrap/>
        <w:overflowPunct/>
        <w:topLinePunct w:val="0"/>
        <w:autoSpaceDE/>
        <w:autoSpaceDN/>
        <w:bidi w:val="0"/>
        <w:spacing w:after="0" w:line="360" w:lineRule="auto"/>
        <w:ind w:firstLine="480" w:firstLineChars="200"/>
        <w:textAlignment w:val="auto"/>
        <w:rPr>
          <w:rFonts w:ascii="仿宋_GB2312" w:eastAsia="仿宋_GB2312" w:cs="Arial"/>
          <w:color w:val="auto"/>
          <w:highlight w:val="none"/>
          <w:shd w:val="clear" w:color="auto" w:fill="auto"/>
        </w:rPr>
      </w:pPr>
      <w:r>
        <w:rPr>
          <w:rFonts w:ascii="仿宋_GB2312" w:eastAsia="仿宋_GB2312" w:cs="Arial"/>
          <w:color w:val="auto"/>
          <w:highlight w:val="none"/>
          <w:shd w:val="clear" w:color="auto" w:fill="auto"/>
        </w:rPr>
        <w:t>4.2.4投标文件含有采购人不能接受的附加条件的；</w:t>
      </w:r>
    </w:p>
    <w:p>
      <w:pPr>
        <w:keepNext w:val="0"/>
        <w:keepLines w:val="0"/>
        <w:pageBreakBefore w:val="0"/>
        <w:kinsoku/>
        <w:wordWrap/>
        <w:overflowPunct/>
        <w:topLinePunct w:val="0"/>
        <w:autoSpaceDE/>
        <w:autoSpaceDN/>
        <w:bidi w:val="0"/>
        <w:spacing w:after="0" w:line="360" w:lineRule="auto"/>
        <w:ind w:firstLine="480" w:firstLineChars="200"/>
        <w:textAlignment w:val="auto"/>
        <w:rPr>
          <w:rFonts w:ascii="仿宋_GB2312" w:eastAsia="仿宋_GB2312" w:cs="Arial"/>
          <w:color w:val="auto"/>
          <w:highlight w:val="none"/>
          <w:shd w:val="clear" w:color="auto" w:fill="auto"/>
        </w:rPr>
      </w:pPr>
      <w:r>
        <w:rPr>
          <w:rFonts w:ascii="仿宋_GB2312" w:eastAsia="仿宋_GB2312" w:cs="Arial"/>
          <w:color w:val="auto"/>
          <w:highlight w:val="none"/>
          <w:shd w:val="clear" w:color="auto" w:fill="auto"/>
        </w:rPr>
        <w:t>4.2.5投标文件中承诺的投标有效期少于招标文件中载明的投标有效期的；</w:t>
      </w:r>
    </w:p>
    <w:p>
      <w:pPr>
        <w:keepNext w:val="0"/>
        <w:keepLines w:val="0"/>
        <w:pageBreakBefore w:val="0"/>
        <w:kinsoku/>
        <w:wordWrap/>
        <w:overflowPunct/>
        <w:topLinePunct w:val="0"/>
        <w:autoSpaceDE/>
        <w:autoSpaceDN/>
        <w:bidi w:val="0"/>
        <w:snapToGrid w:val="0"/>
        <w:spacing w:after="0" w:line="360" w:lineRule="auto"/>
        <w:ind w:firstLine="480" w:firstLineChars="200"/>
        <w:textAlignment w:val="auto"/>
        <w:rPr>
          <w:rFonts w:ascii="仿宋_GB2312" w:eastAsia="仿宋_GB2312" w:cs="Arial"/>
          <w:color w:val="auto"/>
          <w:highlight w:val="none"/>
          <w:shd w:val="clear" w:color="auto" w:fill="auto"/>
        </w:rPr>
      </w:pPr>
      <w:r>
        <w:rPr>
          <w:rFonts w:ascii="仿宋_GB2312" w:eastAsia="仿宋_GB2312" w:cs="Arial"/>
          <w:color w:val="auto"/>
          <w:highlight w:val="none"/>
          <w:shd w:val="clear" w:color="auto" w:fill="auto"/>
        </w:rPr>
        <w:t>4.2.6投标文件出现不是唯一的、有选择性投标报价的;</w:t>
      </w:r>
    </w:p>
    <w:p>
      <w:pPr>
        <w:keepNext w:val="0"/>
        <w:keepLines w:val="0"/>
        <w:pageBreakBefore w:val="0"/>
        <w:kinsoku/>
        <w:wordWrap/>
        <w:overflowPunct/>
        <w:topLinePunct w:val="0"/>
        <w:autoSpaceDE/>
        <w:autoSpaceDN/>
        <w:bidi w:val="0"/>
        <w:spacing w:after="0" w:line="360" w:lineRule="auto"/>
        <w:ind w:firstLine="480" w:firstLineChars="200"/>
        <w:textAlignment w:val="auto"/>
        <w:rPr>
          <w:rFonts w:ascii="仿宋_GB2312" w:eastAsia="仿宋_GB2312" w:cs="Arial"/>
          <w:color w:val="auto"/>
          <w:highlight w:val="none"/>
          <w:shd w:val="clear" w:color="auto" w:fill="auto"/>
        </w:rPr>
      </w:pPr>
      <w:r>
        <w:rPr>
          <w:rFonts w:ascii="仿宋_GB2312" w:eastAsia="仿宋_GB2312" w:cs="Arial"/>
          <w:color w:val="auto"/>
          <w:highlight w:val="none"/>
          <w:shd w:val="clear" w:color="auto" w:fill="auto"/>
        </w:rPr>
        <w:t>4.2.7投标报价超过招标文件中规定的预算金额或者最高限价的;</w:t>
      </w:r>
    </w:p>
    <w:p>
      <w:pPr>
        <w:keepNext w:val="0"/>
        <w:keepLines w:val="0"/>
        <w:pageBreakBefore w:val="0"/>
        <w:kinsoku/>
        <w:wordWrap/>
        <w:overflowPunct/>
        <w:topLinePunct w:val="0"/>
        <w:autoSpaceDE/>
        <w:autoSpaceDN/>
        <w:bidi w:val="0"/>
        <w:spacing w:after="0" w:line="360" w:lineRule="auto"/>
        <w:ind w:firstLine="480" w:firstLineChars="200"/>
        <w:textAlignment w:val="auto"/>
        <w:rPr>
          <w:rFonts w:ascii="仿宋_GB2312" w:eastAsia="仿宋_GB2312" w:cs="Arial"/>
          <w:color w:val="auto"/>
          <w:highlight w:val="none"/>
          <w:shd w:val="clear" w:color="auto" w:fill="auto"/>
        </w:rPr>
      </w:pPr>
      <w:r>
        <w:rPr>
          <w:rFonts w:ascii="仿宋_GB2312" w:eastAsia="仿宋_GB2312" w:cs="Arial"/>
          <w:color w:val="auto"/>
          <w:highlight w:val="none"/>
          <w:shd w:val="clear" w:color="auto" w:fill="auto"/>
        </w:rPr>
        <w:t>4.2.8报价明显低于其他通过符合性审查投标人的报价，有可能影响产品质量或者不能诚信履约的，未能按要求提供书面说明或者提交相关证明材料，不能证明其报价合理性的;</w:t>
      </w:r>
    </w:p>
    <w:p>
      <w:pPr>
        <w:keepNext w:val="0"/>
        <w:keepLines w:val="0"/>
        <w:pageBreakBefore w:val="0"/>
        <w:kinsoku/>
        <w:wordWrap/>
        <w:overflowPunct/>
        <w:topLinePunct w:val="0"/>
        <w:autoSpaceDE/>
        <w:autoSpaceDN/>
        <w:bidi w:val="0"/>
        <w:spacing w:after="0" w:line="360" w:lineRule="auto"/>
        <w:ind w:firstLine="480" w:firstLineChars="200"/>
        <w:textAlignment w:val="auto"/>
        <w:rPr>
          <w:rFonts w:ascii="仿宋_GB2312" w:eastAsia="仿宋_GB2312" w:cs="Arial"/>
          <w:color w:val="auto"/>
          <w:highlight w:val="none"/>
          <w:shd w:val="clear" w:color="auto" w:fill="auto"/>
        </w:rPr>
      </w:pPr>
      <w:r>
        <w:rPr>
          <w:rFonts w:ascii="仿宋_GB2312" w:eastAsia="仿宋_GB2312" w:cs="Arial"/>
          <w:color w:val="auto"/>
          <w:highlight w:val="none"/>
          <w:shd w:val="clear" w:color="auto" w:fill="auto"/>
        </w:rPr>
        <w:t>4.2.9投标人对根据修正原则修正后的报价不确认的；</w:t>
      </w:r>
    </w:p>
    <w:p>
      <w:pPr>
        <w:keepNext w:val="0"/>
        <w:keepLines w:val="0"/>
        <w:pageBreakBefore w:val="0"/>
        <w:kinsoku/>
        <w:wordWrap/>
        <w:overflowPunct/>
        <w:topLinePunct w:val="0"/>
        <w:autoSpaceDE/>
        <w:autoSpaceDN/>
        <w:bidi w:val="0"/>
        <w:spacing w:after="0" w:line="360" w:lineRule="auto"/>
        <w:ind w:firstLine="480" w:firstLineChars="200"/>
        <w:textAlignment w:val="auto"/>
        <w:rPr>
          <w:rFonts w:ascii="仿宋_GB2312" w:eastAsia="仿宋_GB2312" w:cs="Arial"/>
          <w:color w:val="auto"/>
          <w:highlight w:val="none"/>
          <w:shd w:val="clear" w:color="auto" w:fill="auto"/>
        </w:rPr>
      </w:pPr>
      <w:r>
        <w:rPr>
          <w:rFonts w:ascii="仿宋_GB2312" w:eastAsia="仿宋_GB2312" w:cs="Arial"/>
          <w:color w:val="auto"/>
          <w:highlight w:val="none"/>
          <w:shd w:val="clear" w:color="auto" w:fill="auto"/>
        </w:rPr>
        <w:t>4.2.10投标人提供虚假材料投标的；</w:t>
      </w:r>
    </w:p>
    <w:p>
      <w:pPr>
        <w:keepNext w:val="0"/>
        <w:keepLines w:val="0"/>
        <w:pageBreakBefore w:val="0"/>
        <w:kinsoku/>
        <w:wordWrap/>
        <w:overflowPunct/>
        <w:topLinePunct w:val="0"/>
        <w:autoSpaceDE/>
        <w:autoSpaceDN/>
        <w:bidi w:val="0"/>
        <w:spacing w:after="0" w:line="360" w:lineRule="auto"/>
        <w:ind w:firstLine="480" w:firstLineChars="200"/>
        <w:textAlignment w:val="auto"/>
        <w:rPr>
          <w:rFonts w:ascii="仿宋_GB2312" w:eastAsia="仿宋_GB2312" w:cs="Arial"/>
          <w:color w:val="auto"/>
          <w:highlight w:val="none"/>
          <w:shd w:val="clear" w:color="auto" w:fill="auto"/>
        </w:rPr>
      </w:pPr>
      <w:r>
        <w:rPr>
          <w:rFonts w:ascii="仿宋_GB2312" w:eastAsia="仿宋_GB2312" w:cs="Arial"/>
          <w:color w:val="auto"/>
          <w:highlight w:val="none"/>
          <w:shd w:val="clear" w:color="auto" w:fill="auto"/>
        </w:rPr>
        <w:t xml:space="preserve">  4.2.11投标人有恶意串通、妨碍其他投标人的竞争行为、损害采购人或者其他投标人的合法权益情形的；</w:t>
      </w:r>
    </w:p>
    <w:p>
      <w:pPr>
        <w:keepNext w:val="0"/>
        <w:keepLines w:val="0"/>
        <w:pageBreakBefore w:val="0"/>
        <w:kinsoku/>
        <w:wordWrap/>
        <w:overflowPunct/>
        <w:topLinePunct w:val="0"/>
        <w:autoSpaceDE/>
        <w:autoSpaceDN/>
        <w:bidi w:val="0"/>
        <w:spacing w:after="0" w:line="360" w:lineRule="auto"/>
        <w:ind w:firstLine="480" w:firstLineChars="200"/>
        <w:textAlignment w:val="auto"/>
        <w:rPr>
          <w:rFonts w:ascii="仿宋_GB2312" w:eastAsia="仿宋_GB2312" w:cs="Arial"/>
          <w:color w:val="auto"/>
          <w:highlight w:val="none"/>
          <w:shd w:val="clear" w:color="auto" w:fill="auto"/>
        </w:rPr>
      </w:pPr>
      <w:r>
        <w:rPr>
          <w:rFonts w:ascii="仿宋_GB2312" w:eastAsia="仿宋_GB2312" w:cs="Arial"/>
          <w:color w:val="auto"/>
          <w:highlight w:val="none"/>
          <w:shd w:val="clear" w:color="auto" w:fill="auto"/>
        </w:rPr>
        <w:t>4.2.12投标人仅提交备份投标文件，</w:t>
      </w:r>
      <w:r>
        <w:rPr>
          <w:rFonts w:hint="eastAsia" w:ascii="仿宋_GB2312" w:eastAsia="仿宋_GB2312" w:cs="Arial"/>
          <w:color w:val="auto"/>
          <w:highlight w:val="none"/>
          <w:shd w:val="clear" w:color="auto" w:fill="auto"/>
        </w:rPr>
        <w:t>未</w:t>
      </w:r>
      <w:r>
        <w:rPr>
          <w:rFonts w:ascii="仿宋_GB2312" w:eastAsia="仿宋_GB2312" w:cs="Arial"/>
          <w:color w:val="auto"/>
          <w:highlight w:val="none"/>
          <w:shd w:val="clear" w:color="auto" w:fill="auto"/>
        </w:rPr>
        <w:t>在电子交易平台传输递交投标文件的，投标无效；</w:t>
      </w:r>
    </w:p>
    <w:p>
      <w:pPr>
        <w:keepNext w:val="0"/>
        <w:keepLines w:val="0"/>
        <w:pageBreakBefore w:val="0"/>
        <w:kinsoku/>
        <w:wordWrap/>
        <w:overflowPunct/>
        <w:topLinePunct w:val="0"/>
        <w:autoSpaceDE/>
        <w:autoSpaceDN/>
        <w:bidi w:val="0"/>
        <w:spacing w:after="0" w:line="360" w:lineRule="auto"/>
        <w:ind w:firstLine="480" w:firstLineChars="200"/>
        <w:textAlignment w:val="auto"/>
        <w:rPr>
          <w:b/>
          <w:bCs/>
          <w:color w:val="auto"/>
          <w:highlight w:val="none"/>
          <w:shd w:val="clear" w:color="auto" w:fill="auto"/>
        </w:rPr>
      </w:pPr>
      <w:r>
        <w:rPr>
          <w:color w:val="auto"/>
          <w:highlight w:val="none"/>
          <w:shd w:val="clear" w:color="auto" w:fill="auto"/>
        </w:rPr>
        <w:t xml:space="preserve">4.2.13 </w:t>
      </w:r>
      <w:r>
        <w:rPr>
          <w:rFonts w:hint="eastAsia"/>
          <w:color w:val="auto"/>
          <w:highlight w:val="none"/>
          <w:shd w:val="clear" w:color="auto" w:fill="auto"/>
        </w:rPr>
        <w:t>投标文件不满足招标文件的其它实质性要求的；</w:t>
      </w:r>
    </w:p>
    <w:p>
      <w:pPr>
        <w:keepNext w:val="0"/>
        <w:keepLines w:val="0"/>
        <w:pageBreakBefore w:val="0"/>
        <w:kinsoku/>
        <w:wordWrap/>
        <w:overflowPunct/>
        <w:topLinePunct w:val="0"/>
        <w:autoSpaceDE/>
        <w:autoSpaceDN/>
        <w:bidi w:val="0"/>
        <w:spacing w:after="0" w:line="360" w:lineRule="auto"/>
        <w:ind w:firstLine="480" w:firstLineChars="200"/>
        <w:textAlignment w:val="auto"/>
        <w:rPr>
          <w:rFonts w:ascii="仿宋_GB2312" w:eastAsia="仿宋_GB2312" w:cs="Arial"/>
          <w:color w:val="auto"/>
          <w:highlight w:val="none"/>
          <w:shd w:val="clear" w:color="auto" w:fill="auto"/>
        </w:rPr>
      </w:pPr>
      <w:r>
        <w:rPr>
          <w:rFonts w:ascii="仿宋_GB2312" w:eastAsia="仿宋_GB2312" w:cs="Arial"/>
          <w:color w:val="auto"/>
          <w:highlight w:val="none"/>
          <w:shd w:val="clear" w:color="auto" w:fill="auto"/>
        </w:rPr>
        <w:t>4.2.14法律、法规、规章（适用本市的）及省级以上规范性文件（适用本市的）规定的其他无效情形。</w:t>
      </w:r>
    </w:p>
    <w:p>
      <w:pPr>
        <w:pStyle w:val="19"/>
        <w:keepNext w:val="0"/>
        <w:keepLines w:val="0"/>
        <w:pageBreakBefore w:val="0"/>
        <w:kinsoku/>
        <w:wordWrap/>
        <w:overflowPunct/>
        <w:topLinePunct w:val="0"/>
        <w:autoSpaceDE/>
        <w:autoSpaceDN/>
        <w:bidi w:val="0"/>
        <w:snapToGrid w:val="0"/>
        <w:spacing w:after="0" w:line="360" w:lineRule="auto"/>
        <w:ind w:firstLine="482" w:firstLineChars="200"/>
        <w:textAlignment w:val="auto"/>
        <w:rPr>
          <w:rFonts w:ascii="仿宋_GB2312" w:hAnsi="仿宋" w:eastAsia="仿宋_GB2312" w:cs="仿宋_GB2312"/>
          <w:color w:val="auto"/>
          <w:highlight w:val="none"/>
          <w:shd w:val="clear" w:color="auto" w:fill="auto"/>
        </w:rPr>
      </w:pPr>
      <w:r>
        <w:rPr>
          <w:rStyle w:val="40"/>
          <w:color w:val="auto"/>
          <w:highlight w:val="none"/>
          <w:shd w:val="clear" w:color="auto" w:fill="auto"/>
        </w:rPr>
        <w:t>5.废标。</w:t>
      </w:r>
      <w:r>
        <w:rPr>
          <w:rFonts w:hint="eastAsia" w:ascii="仿宋_GB2312" w:hAnsi="仿宋" w:eastAsia="仿宋_GB2312" w:cs="仿宋_GB2312"/>
          <w:color w:val="auto"/>
          <w:highlight w:val="none"/>
          <w:shd w:val="clear" w:color="auto" w:fill="auto"/>
        </w:rPr>
        <w:t>根据《中华人民共和国政府采购法》第三十六条之规定，在采购中，出现下列情形之一的，应予废标：</w:t>
      </w:r>
    </w:p>
    <w:p>
      <w:pPr>
        <w:pStyle w:val="19"/>
        <w:keepNext w:val="0"/>
        <w:keepLines w:val="0"/>
        <w:pageBreakBefore w:val="0"/>
        <w:kinsoku/>
        <w:wordWrap/>
        <w:overflowPunct/>
        <w:topLinePunct w:val="0"/>
        <w:autoSpaceDE/>
        <w:autoSpaceDN/>
        <w:bidi w:val="0"/>
        <w:snapToGrid w:val="0"/>
        <w:spacing w:after="0" w:line="360" w:lineRule="auto"/>
        <w:ind w:firstLine="480" w:firstLineChars="200"/>
        <w:textAlignment w:val="auto"/>
        <w:rPr>
          <w:rFonts w:ascii="仿宋_GB2312" w:hAnsi="仿宋" w:eastAsia="仿宋_GB2312" w:cs="仿宋_GB2312"/>
          <w:color w:val="auto"/>
          <w:highlight w:val="none"/>
          <w:shd w:val="clear" w:color="auto" w:fill="auto"/>
        </w:rPr>
      </w:pPr>
      <w:r>
        <w:rPr>
          <w:rFonts w:ascii="仿宋_GB2312" w:hAnsi="仿宋" w:eastAsia="仿宋_GB2312" w:cs="仿宋_GB2312"/>
          <w:color w:val="auto"/>
          <w:highlight w:val="none"/>
          <w:shd w:val="clear" w:color="auto" w:fill="auto"/>
        </w:rPr>
        <w:t>5.1符合专业条件的供应商或者对招标文件作实质响应的供应商不足3家的；</w:t>
      </w:r>
    </w:p>
    <w:p>
      <w:pPr>
        <w:pStyle w:val="19"/>
        <w:keepNext w:val="0"/>
        <w:keepLines w:val="0"/>
        <w:pageBreakBefore w:val="0"/>
        <w:kinsoku/>
        <w:wordWrap/>
        <w:overflowPunct/>
        <w:topLinePunct w:val="0"/>
        <w:autoSpaceDE/>
        <w:autoSpaceDN/>
        <w:bidi w:val="0"/>
        <w:snapToGrid w:val="0"/>
        <w:spacing w:after="0" w:line="360" w:lineRule="auto"/>
        <w:ind w:firstLine="480" w:firstLineChars="200"/>
        <w:textAlignment w:val="auto"/>
        <w:rPr>
          <w:rFonts w:ascii="仿宋_GB2312" w:hAnsi="仿宋" w:eastAsia="仿宋_GB2312" w:cs="仿宋_GB2312"/>
          <w:color w:val="auto"/>
          <w:highlight w:val="none"/>
          <w:shd w:val="clear" w:color="auto" w:fill="auto"/>
        </w:rPr>
      </w:pPr>
      <w:r>
        <w:rPr>
          <w:rFonts w:ascii="仿宋_GB2312" w:hAnsi="仿宋" w:eastAsia="仿宋_GB2312" w:cs="仿宋_GB2312"/>
          <w:color w:val="auto"/>
          <w:highlight w:val="none"/>
          <w:shd w:val="clear" w:color="auto" w:fill="auto"/>
        </w:rPr>
        <w:t>5.2出现影响采购公正的违法、违规行为的；</w:t>
      </w:r>
    </w:p>
    <w:p>
      <w:pPr>
        <w:pStyle w:val="19"/>
        <w:keepNext w:val="0"/>
        <w:keepLines w:val="0"/>
        <w:pageBreakBefore w:val="0"/>
        <w:kinsoku/>
        <w:wordWrap/>
        <w:overflowPunct/>
        <w:topLinePunct w:val="0"/>
        <w:autoSpaceDE/>
        <w:autoSpaceDN/>
        <w:bidi w:val="0"/>
        <w:snapToGrid w:val="0"/>
        <w:spacing w:after="0" w:line="360" w:lineRule="auto"/>
        <w:ind w:firstLine="480" w:firstLineChars="200"/>
        <w:textAlignment w:val="auto"/>
        <w:rPr>
          <w:rFonts w:ascii="仿宋_GB2312" w:hAnsi="仿宋" w:eastAsia="仿宋_GB2312" w:cs="仿宋_GB2312"/>
          <w:color w:val="auto"/>
          <w:highlight w:val="none"/>
          <w:shd w:val="clear" w:color="auto" w:fill="auto"/>
        </w:rPr>
      </w:pPr>
      <w:r>
        <w:rPr>
          <w:rFonts w:ascii="仿宋_GB2312" w:hAnsi="仿宋" w:eastAsia="仿宋_GB2312" w:cs="仿宋_GB2312"/>
          <w:color w:val="auto"/>
          <w:highlight w:val="none"/>
          <w:shd w:val="clear" w:color="auto" w:fill="auto"/>
        </w:rPr>
        <w:t>5.3投标人的报价均超过了采购预算，采购人不能支付的；</w:t>
      </w:r>
    </w:p>
    <w:p>
      <w:pPr>
        <w:pStyle w:val="19"/>
        <w:keepNext w:val="0"/>
        <w:keepLines w:val="0"/>
        <w:pageBreakBefore w:val="0"/>
        <w:kinsoku/>
        <w:wordWrap/>
        <w:overflowPunct/>
        <w:topLinePunct w:val="0"/>
        <w:autoSpaceDE/>
        <w:autoSpaceDN/>
        <w:bidi w:val="0"/>
        <w:snapToGrid w:val="0"/>
        <w:spacing w:after="0" w:line="360" w:lineRule="auto"/>
        <w:ind w:firstLine="480" w:firstLineChars="200"/>
        <w:textAlignment w:val="auto"/>
        <w:rPr>
          <w:rFonts w:ascii="仿宋_GB2312" w:hAnsi="仿宋" w:eastAsia="仿宋_GB2312" w:cs="仿宋_GB2312"/>
          <w:color w:val="auto"/>
          <w:highlight w:val="none"/>
          <w:shd w:val="clear" w:color="auto" w:fill="auto"/>
        </w:rPr>
      </w:pPr>
      <w:r>
        <w:rPr>
          <w:rFonts w:ascii="仿宋_GB2312" w:hAnsi="仿宋" w:eastAsia="仿宋_GB2312" w:cs="仿宋_GB2312"/>
          <w:color w:val="auto"/>
          <w:highlight w:val="none"/>
          <w:shd w:val="clear" w:color="auto" w:fill="auto"/>
        </w:rPr>
        <w:t>5.4因重大变故，采购任务取消的。</w:t>
      </w:r>
    </w:p>
    <w:p>
      <w:pPr>
        <w:pStyle w:val="19"/>
        <w:keepNext w:val="0"/>
        <w:keepLines w:val="0"/>
        <w:pageBreakBefore w:val="0"/>
        <w:kinsoku/>
        <w:wordWrap/>
        <w:overflowPunct/>
        <w:topLinePunct w:val="0"/>
        <w:autoSpaceDE/>
        <w:autoSpaceDN/>
        <w:bidi w:val="0"/>
        <w:snapToGrid w:val="0"/>
        <w:spacing w:after="0" w:line="360" w:lineRule="auto"/>
        <w:ind w:firstLine="480" w:firstLineChars="200"/>
        <w:textAlignment w:val="auto"/>
        <w:rPr>
          <w:rFonts w:ascii="仿宋_GB2312" w:hAnsi="仿宋" w:eastAsia="仿宋_GB2312" w:cs="仿宋_GB2312"/>
          <w:color w:val="auto"/>
          <w:highlight w:val="none"/>
          <w:shd w:val="clear" w:color="auto" w:fill="auto"/>
        </w:rPr>
      </w:pPr>
      <w:r>
        <w:rPr>
          <w:rFonts w:hint="eastAsia" w:ascii="仿宋_GB2312" w:hAnsi="仿宋" w:eastAsia="仿宋_GB2312" w:cs="仿宋_GB2312"/>
          <w:color w:val="auto"/>
          <w:highlight w:val="none"/>
          <w:shd w:val="clear" w:color="auto" w:fill="auto"/>
        </w:rPr>
        <w:t>废标后，采购机构应当将废标理由通知所有投标人。</w:t>
      </w:r>
    </w:p>
    <w:p>
      <w:pPr>
        <w:pStyle w:val="19"/>
        <w:keepNext w:val="0"/>
        <w:keepLines w:val="0"/>
        <w:pageBreakBefore w:val="0"/>
        <w:kinsoku/>
        <w:wordWrap/>
        <w:overflowPunct/>
        <w:topLinePunct w:val="0"/>
        <w:autoSpaceDE/>
        <w:autoSpaceDN/>
        <w:bidi w:val="0"/>
        <w:snapToGrid w:val="0"/>
        <w:spacing w:after="0" w:line="360" w:lineRule="auto"/>
        <w:ind w:firstLine="482" w:firstLineChars="200"/>
        <w:textAlignment w:val="auto"/>
        <w:rPr>
          <w:rFonts w:ascii="仿宋_GB2312" w:hAnsi="仿宋" w:eastAsia="仿宋_GB2312" w:cs="仿宋_GB2312"/>
          <w:color w:val="auto"/>
          <w:highlight w:val="none"/>
          <w:shd w:val="clear" w:color="auto" w:fill="auto"/>
        </w:rPr>
      </w:pPr>
      <w:r>
        <w:rPr>
          <w:rStyle w:val="40"/>
          <w:color w:val="auto"/>
          <w:highlight w:val="none"/>
          <w:shd w:val="clear" w:color="auto" w:fill="auto"/>
        </w:rPr>
        <w:t>6.修改招标文件，重新组织采购活动。</w:t>
      </w:r>
      <w:r>
        <w:rPr>
          <w:rFonts w:hint="eastAsia" w:ascii="仿宋_GB2312" w:hAnsi="仿宋" w:eastAsia="仿宋_GB2312" w:cs="仿宋_GB2312"/>
          <w:color w:val="auto"/>
          <w:highlight w:val="none"/>
          <w:shd w:val="clear" w:color="auto" w:fill="auto"/>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19"/>
        <w:keepNext w:val="0"/>
        <w:keepLines w:val="0"/>
        <w:pageBreakBefore w:val="0"/>
        <w:kinsoku/>
        <w:wordWrap/>
        <w:overflowPunct/>
        <w:topLinePunct w:val="0"/>
        <w:autoSpaceDE/>
        <w:autoSpaceDN/>
        <w:bidi w:val="0"/>
        <w:snapToGrid w:val="0"/>
        <w:spacing w:after="0" w:line="360" w:lineRule="auto"/>
        <w:ind w:firstLine="482" w:firstLineChars="200"/>
        <w:textAlignment w:val="auto"/>
        <w:rPr>
          <w:rFonts w:ascii="仿宋_GB2312" w:hAnsi="仿宋" w:eastAsia="仿宋_GB2312" w:cs="仿宋_GB2312"/>
          <w:color w:val="auto"/>
          <w:highlight w:val="none"/>
          <w:shd w:val="clear" w:color="auto" w:fill="auto"/>
        </w:rPr>
      </w:pPr>
      <w:r>
        <w:rPr>
          <w:rStyle w:val="40"/>
          <w:rFonts w:hint="eastAsia"/>
          <w:color w:val="auto"/>
          <w:highlight w:val="none"/>
          <w:shd w:val="clear" w:color="auto" w:fill="auto"/>
        </w:rPr>
        <w:t>7.重新开展采购。</w:t>
      </w:r>
      <w:r>
        <w:rPr>
          <w:rFonts w:hint="eastAsia" w:ascii="仿宋_GB2312" w:hAnsi="仿宋" w:eastAsia="仿宋_GB2312" w:cs="仿宋_GB2312"/>
          <w:color w:val="auto"/>
          <w:highlight w:val="none"/>
          <w:shd w:val="clear" w:color="auto" w:fill="auto"/>
        </w:rPr>
        <w:t>有政府采购法第七十一条、第七十二条规定的违法行为之一，影响或者可能影响中标、成交结果的，依照下列规定处理：</w:t>
      </w:r>
    </w:p>
    <w:p>
      <w:pPr>
        <w:pStyle w:val="19"/>
        <w:keepNext w:val="0"/>
        <w:keepLines w:val="0"/>
        <w:pageBreakBefore w:val="0"/>
        <w:kinsoku/>
        <w:wordWrap/>
        <w:overflowPunct/>
        <w:topLinePunct w:val="0"/>
        <w:autoSpaceDE/>
        <w:autoSpaceDN/>
        <w:bidi w:val="0"/>
        <w:snapToGrid w:val="0"/>
        <w:spacing w:after="0" w:line="360" w:lineRule="auto"/>
        <w:ind w:firstLine="480" w:firstLineChars="200"/>
        <w:textAlignment w:val="auto"/>
        <w:rPr>
          <w:rFonts w:ascii="仿宋_GB2312" w:hAnsi="仿宋" w:eastAsia="仿宋_GB2312" w:cs="仿宋_GB2312"/>
          <w:color w:val="auto"/>
          <w:highlight w:val="none"/>
          <w:shd w:val="clear" w:color="auto" w:fill="auto"/>
        </w:rPr>
      </w:pPr>
      <w:r>
        <w:rPr>
          <w:rFonts w:ascii="仿宋_GB2312" w:hAnsi="仿宋" w:eastAsia="仿宋_GB2312" w:cs="仿宋_GB2312"/>
          <w:color w:val="auto"/>
          <w:highlight w:val="none"/>
          <w:shd w:val="clear" w:color="auto" w:fill="auto"/>
        </w:rPr>
        <w:t>7.1未确定中标或者中标人的，终止本次政府采购活动，重新开展政府采购</w:t>
      </w:r>
      <w:r>
        <w:rPr>
          <w:rFonts w:hint="eastAsia" w:ascii="仿宋_GB2312" w:hAnsi="仿宋" w:eastAsia="仿宋_GB2312" w:cs="仿宋_GB2312"/>
          <w:color w:val="auto"/>
          <w:highlight w:val="none"/>
          <w:shd w:val="clear" w:color="auto" w:fill="auto"/>
        </w:rPr>
        <w:t>活动。</w:t>
      </w:r>
    </w:p>
    <w:p>
      <w:pPr>
        <w:pStyle w:val="19"/>
        <w:keepNext w:val="0"/>
        <w:keepLines w:val="0"/>
        <w:pageBreakBefore w:val="0"/>
        <w:kinsoku/>
        <w:wordWrap/>
        <w:overflowPunct/>
        <w:topLinePunct w:val="0"/>
        <w:autoSpaceDE/>
        <w:autoSpaceDN/>
        <w:bidi w:val="0"/>
        <w:snapToGrid w:val="0"/>
        <w:spacing w:after="0" w:line="360" w:lineRule="auto"/>
        <w:ind w:firstLine="480" w:firstLineChars="200"/>
        <w:textAlignment w:val="auto"/>
        <w:rPr>
          <w:rFonts w:ascii="仿宋_GB2312" w:hAnsi="仿宋" w:eastAsia="仿宋_GB2312" w:cs="仿宋_GB2312"/>
          <w:color w:val="auto"/>
          <w:highlight w:val="none"/>
          <w:shd w:val="clear" w:color="auto" w:fill="auto"/>
        </w:rPr>
      </w:pPr>
      <w:r>
        <w:rPr>
          <w:rFonts w:ascii="仿宋_GB2312" w:hAnsi="仿宋" w:eastAsia="仿宋_GB2312" w:cs="仿宋_GB2312"/>
          <w:color w:val="auto"/>
          <w:highlight w:val="none"/>
          <w:shd w:val="clear" w:color="auto" w:fill="auto"/>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19"/>
        <w:keepNext w:val="0"/>
        <w:keepLines w:val="0"/>
        <w:pageBreakBefore w:val="0"/>
        <w:kinsoku/>
        <w:wordWrap/>
        <w:overflowPunct/>
        <w:topLinePunct w:val="0"/>
        <w:autoSpaceDE/>
        <w:autoSpaceDN/>
        <w:bidi w:val="0"/>
        <w:snapToGrid w:val="0"/>
        <w:spacing w:after="0" w:line="360" w:lineRule="auto"/>
        <w:ind w:firstLine="480" w:firstLineChars="200"/>
        <w:textAlignment w:val="auto"/>
        <w:rPr>
          <w:rFonts w:ascii="仿宋_GB2312" w:hAnsi="仿宋" w:eastAsia="仿宋_GB2312" w:cs="仿宋_GB2312"/>
          <w:color w:val="auto"/>
          <w:highlight w:val="none"/>
          <w:shd w:val="clear" w:color="auto" w:fill="auto"/>
        </w:rPr>
      </w:pPr>
      <w:r>
        <w:rPr>
          <w:rFonts w:ascii="仿宋_GB2312" w:hAnsi="仿宋" w:eastAsia="仿宋_GB2312" w:cs="仿宋_GB2312"/>
          <w:color w:val="auto"/>
          <w:highlight w:val="none"/>
          <w:shd w:val="clear" w:color="auto" w:fill="auto"/>
        </w:rPr>
        <w:t>7.3政府采购合同已签订但尚未履行的，撤销合同，从合格的中标或者成交候选人中另行确定中标或者中标人；没有合格的中标或者成交候选人的，重新开展政府采购活动。</w:t>
      </w:r>
    </w:p>
    <w:p>
      <w:pPr>
        <w:pStyle w:val="19"/>
        <w:keepNext w:val="0"/>
        <w:keepLines w:val="0"/>
        <w:pageBreakBefore w:val="0"/>
        <w:kinsoku/>
        <w:wordWrap/>
        <w:overflowPunct/>
        <w:topLinePunct w:val="0"/>
        <w:autoSpaceDE/>
        <w:autoSpaceDN/>
        <w:bidi w:val="0"/>
        <w:snapToGrid w:val="0"/>
        <w:spacing w:after="0" w:line="360" w:lineRule="auto"/>
        <w:ind w:firstLine="480" w:firstLineChars="200"/>
        <w:textAlignment w:val="auto"/>
        <w:rPr>
          <w:rFonts w:ascii="仿宋_GB2312" w:hAnsi="仿宋" w:eastAsia="仿宋_GB2312" w:cs="仿宋_GB2312"/>
          <w:color w:val="auto"/>
          <w:highlight w:val="none"/>
          <w:shd w:val="clear" w:color="auto" w:fill="auto"/>
        </w:rPr>
      </w:pPr>
      <w:r>
        <w:rPr>
          <w:rFonts w:ascii="仿宋_GB2312" w:hAnsi="仿宋" w:eastAsia="仿宋_GB2312" w:cs="仿宋_GB2312"/>
          <w:color w:val="auto"/>
          <w:highlight w:val="none"/>
          <w:shd w:val="clear" w:color="auto" w:fill="auto"/>
        </w:rPr>
        <w:t>7.4政府采购合同已经履行，给采购人、供应</w:t>
      </w:r>
      <w:r>
        <w:rPr>
          <w:rFonts w:hint="eastAsia" w:ascii="仿宋_GB2312" w:hAnsi="仿宋" w:eastAsia="仿宋_GB2312" w:cs="仿宋_GB2312"/>
          <w:color w:val="auto"/>
          <w:highlight w:val="none"/>
          <w:shd w:val="clear" w:color="auto" w:fill="auto"/>
        </w:rPr>
        <w:t>商造成损失的，由责任人承担赔偿责任。</w:t>
      </w:r>
    </w:p>
    <w:p>
      <w:pPr>
        <w:pStyle w:val="19"/>
        <w:keepNext w:val="0"/>
        <w:keepLines w:val="0"/>
        <w:pageBreakBefore w:val="0"/>
        <w:kinsoku/>
        <w:wordWrap/>
        <w:overflowPunct/>
        <w:topLinePunct w:val="0"/>
        <w:autoSpaceDE/>
        <w:autoSpaceDN/>
        <w:bidi w:val="0"/>
        <w:snapToGrid w:val="0"/>
        <w:spacing w:after="0" w:line="360" w:lineRule="auto"/>
        <w:ind w:firstLine="480" w:firstLineChars="200"/>
        <w:textAlignment w:val="auto"/>
        <w:rPr>
          <w:rFonts w:ascii="仿宋_GB2312" w:hAnsi="仿宋" w:eastAsia="仿宋_GB2312" w:cs="仿宋_GB2312"/>
          <w:color w:val="auto"/>
          <w:highlight w:val="none"/>
          <w:shd w:val="clear" w:color="auto" w:fill="auto"/>
        </w:rPr>
      </w:pPr>
      <w:r>
        <w:rPr>
          <w:rFonts w:ascii="仿宋_GB2312" w:hAnsi="仿宋" w:eastAsia="仿宋_GB2312" w:cs="仿宋_GB2312"/>
          <w:color w:val="auto"/>
          <w:highlight w:val="none"/>
          <w:shd w:val="clear" w:color="auto" w:fill="auto"/>
        </w:rPr>
        <w:t>7.5政府采购当事人有其他违反政府采购</w:t>
      </w:r>
      <w:r>
        <w:rPr>
          <w:rFonts w:hint="eastAsia" w:ascii="仿宋_GB2312" w:hAnsi="仿宋" w:eastAsia="仿宋_GB2312" w:cs="仿宋_GB2312"/>
          <w:color w:val="auto"/>
          <w:highlight w:val="none"/>
          <w:shd w:val="clear" w:color="auto" w:fill="auto"/>
        </w:rPr>
        <w:t>法</w:t>
      </w:r>
      <w:r>
        <w:rPr>
          <w:rFonts w:hint="eastAsia" w:ascii="仿宋_GB2312" w:hAnsi="仿宋" w:eastAsia="仿宋_GB2312" w:cs="Arial"/>
          <w:color w:val="auto"/>
          <w:kern w:val="0"/>
          <w:highlight w:val="none"/>
          <w:shd w:val="clear" w:color="auto" w:fill="auto"/>
        </w:rPr>
        <w:t>或者政府采购法实施条例等法律法规规定</w:t>
      </w:r>
      <w:r>
        <w:rPr>
          <w:rFonts w:hint="eastAsia" w:ascii="仿宋_GB2312" w:hAnsi="仿宋" w:eastAsia="仿宋_GB2312" w:cs="仿宋_GB2312"/>
          <w:color w:val="auto"/>
          <w:highlight w:val="none"/>
          <w:shd w:val="clear" w:color="auto" w:fill="auto"/>
        </w:rPr>
        <w:t>的行为，经改正后仍然影响或者可能影响中标、成交结果或者依法被认定为中标、成交无效的，依照</w:t>
      </w:r>
      <w:r>
        <w:rPr>
          <w:rFonts w:ascii="仿宋_GB2312" w:hAnsi="仿宋" w:eastAsia="仿宋_GB2312" w:cs="仿宋_GB2312"/>
          <w:color w:val="auto"/>
          <w:highlight w:val="none"/>
          <w:shd w:val="clear" w:color="auto" w:fill="auto"/>
        </w:rPr>
        <w:t>7.1-7.4规定处理。</w:t>
      </w:r>
    </w:p>
    <w:p>
      <w:pPr>
        <w:spacing w:line="276" w:lineRule="auto"/>
        <w:rPr>
          <w:rFonts w:ascii="仿宋_GB2312" w:eastAsia="仿宋_GB2312"/>
          <w:b/>
          <w:smallCaps/>
          <w:color w:val="auto"/>
          <w:spacing w:val="5"/>
          <w:sz w:val="36"/>
          <w:szCs w:val="36"/>
          <w:highlight w:val="none"/>
          <w:shd w:val="clear" w:color="auto" w:fill="auto"/>
        </w:rPr>
      </w:pPr>
      <w:r>
        <w:rPr>
          <w:color w:val="auto"/>
          <w:highlight w:val="none"/>
          <w:shd w:val="clear" w:color="auto" w:fill="auto"/>
        </w:rPr>
        <w:br w:type="page"/>
      </w:r>
    </w:p>
    <w:p>
      <w:pPr>
        <w:pStyle w:val="2"/>
        <w:rPr>
          <w:rFonts w:cs="仿宋_GB2312"/>
          <w:color w:val="auto"/>
          <w:kern w:val="2"/>
          <w:highlight w:val="none"/>
          <w:shd w:val="clear" w:color="auto" w:fill="auto"/>
        </w:rPr>
      </w:pPr>
      <w:r>
        <w:rPr>
          <w:rFonts w:hint="eastAsia"/>
          <w:color w:val="auto"/>
          <w:highlight w:val="none"/>
          <w:shd w:val="clear" w:color="auto" w:fill="auto"/>
        </w:rPr>
        <w:t>第五部分</w:t>
      </w:r>
      <w:r>
        <w:rPr>
          <w:color w:val="auto"/>
          <w:highlight w:val="none"/>
          <w:shd w:val="clear" w:color="auto" w:fill="auto"/>
        </w:rPr>
        <w:t xml:space="preserve"> </w:t>
      </w:r>
      <w:r>
        <w:rPr>
          <w:rFonts w:hint="eastAsia"/>
          <w:color w:val="auto"/>
          <w:highlight w:val="none"/>
          <w:shd w:val="clear" w:color="auto" w:fill="auto"/>
        </w:rPr>
        <w:t>拟签订的合同文本</w:t>
      </w:r>
    </w:p>
    <w:p>
      <w:pPr>
        <w:rPr>
          <w:color w:val="auto"/>
          <w:highlight w:val="none"/>
          <w:shd w:val="clear" w:color="auto" w:fill="auto"/>
        </w:rPr>
      </w:pPr>
      <w:r>
        <w:rPr>
          <w:rFonts w:hint="eastAsia"/>
          <w:color w:val="auto"/>
          <w:highlight w:val="none"/>
          <w:shd w:val="clear" w:color="auto" w:fill="auto"/>
        </w:rPr>
        <w:t>服务类合同建议可按照参考格式按照实际情况调整修改。</w:t>
      </w:r>
    </w:p>
    <w:p>
      <w:pPr>
        <w:pStyle w:val="3"/>
        <w:rPr>
          <w:color w:val="auto"/>
          <w:highlight w:val="none"/>
          <w:shd w:val="clear" w:color="auto" w:fill="auto"/>
        </w:rPr>
      </w:pPr>
      <w:r>
        <w:rPr>
          <w:color w:val="auto"/>
          <w:highlight w:val="none"/>
          <w:shd w:val="clear" w:color="auto" w:fill="auto"/>
        </w:rPr>
        <w:t>货物类参考范本</w:t>
      </w:r>
    </w:p>
    <w:p>
      <w:pPr>
        <w:jc w:val="right"/>
        <w:rPr>
          <w:rFonts w:ascii="楷体" w:hAnsi="楷体" w:eastAsia="楷体"/>
          <w:color w:val="auto"/>
          <w:highlight w:val="none"/>
          <w:u w:val="single"/>
          <w:shd w:val="clear" w:color="auto" w:fill="auto"/>
        </w:rPr>
      </w:pPr>
      <w:r>
        <w:rPr>
          <w:rFonts w:hint="eastAsia" w:ascii="楷体" w:hAnsi="楷体" w:eastAsia="楷体"/>
          <w:color w:val="auto"/>
          <w:highlight w:val="none"/>
          <w:shd w:val="clear" w:color="auto" w:fill="auto"/>
        </w:rPr>
        <w:t>合同编号：</w:t>
      </w:r>
      <w:r>
        <w:rPr>
          <w:rFonts w:ascii="楷体" w:hAnsi="楷体" w:eastAsia="楷体"/>
          <w:color w:val="auto"/>
          <w:highlight w:val="none"/>
          <w:u w:val="single"/>
          <w:shd w:val="clear" w:color="auto" w:fill="auto"/>
        </w:rPr>
        <w:t xml:space="preserve">           </w:t>
      </w:r>
    </w:p>
    <w:p>
      <w:pPr>
        <w:pStyle w:val="19"/>
        <w:snapToGrid w:val="0"/>
        <w:spacing w:line="360" w:lineRule="auto"/>
        <w:rPr>
          <w:rFonts w:ascii="仿宋_GB2312" w:hAnsi="仿宋" w:eastAsia="仿宋_GB2312" w:cs="仿宋_GB2312"/>
          <w:color w:val="auto"/>
          <w:highlight w:val="none"/>
          <w:shd w:val="clear" w:color="auto" w:fill="auto"/>
        </w:rPr>
      </w:pPr>
    </w:p>
    <w:p>
      <w:pPr>
        <w:spacing w:line="480" w:lineRule="auto"/>
        <w:jc w:val="center"/>
        <w:rPr>
          <w:rFonts w:ascii="仿宋_GB2312" w:eastAsia="仿宋_GB2312" w:cs="仿宋_GB2312"/>
          <w:b/>
          <w:color w:val="auto"/>
          <w:sz w:val="36"/>
          <w:szCs w:val="36"/>
          <w:highlight w:val="none"/>
          <w:shd w:val="clear" w:color="auto" w:fill="auto"/>
        </w:rPr>
      </w:pPr>
      <w:r>
        <w:rPr>
          <w:rFonts w:hint="eastAsia" w:ascii="仿宋_GB2312" w:eastAsia="仿宋_GB2312" w:cs="仿宋_GB2312"/>
          <w:b/>
          <w:color w:val="auto"/>
          <w:sz w:val="36"/>
          <w:szCs w:val="36"/>
          <w:highlight w:val="none"/>
          <w:shd w:val="clear" w:color="auto" w:fill="auto"/>
        </w:rPr>
        <w:t>政府采购合同参考范本</w:t>
      </w:r>
    </w:p>
    <w:p>
      <w:pPr>
        <w:spacing w:line="480" w:lineRule="auto"/>
        <w:jc w:val="center"/>
        <w:rPr>
          <w:rFonts w:ascii="仿宋_GB2312" w:eastAsia="仿宋_GB2312" w:cs="仿宋_GB2312"/>
          <w:b/>
          <w:color w:val="auto"/>
          <w:sz w:val="36"/>
          <w:szCs w:val="36"/>
          <w:highlight w:val="none"/>
          <w:shd w:val="clear" w:color="auto" w:fill="auto"/>
        </w:rPr>
      </w:pPr>
      <w:r>
        <w:rPr>
          <w:rFonts w:hint="eastAsia" w:ascii="仿宋_GB2312" w:eastAsia="仿宋_GB2312" w:cs="仿宋_GB2312"/>
          <w:b/>
          <w:color w:val="auto"/>
          <w:sz w:val="36"/>
          <w:szCs w:val="36"/>
          <w:highlight w:val="none"/>
          <w:shd w:val="clear" w:color="auto" w:fill="auto"/>
        </w:rPr>
        <w:t>（货物类）</w:t>
      </w:r>
    </w:p>
    <w:p>
      <w:pPr>
        <w:pStyle w:val="75"/>
        <w:ind w:left="480"/>
        <w:jc w:val="center"/>
        <w:rPr>
          <w:rFonts w:ascii="仿宋" w:hAnsi="仿宋" w:eastAsia="仿宋"/>
          <w:color w:val="auto"/>
          <w:szCs w:val="24"/>
          <w:highlight w:val="none"/>
          <w:shd w:val="clear" w:color="auto" w:fill="auto"/>
        </w:rPr>
      </w:pPr>
    </w:p>
    <w:p>
      <w:pPr>
        <w:pStyle w:val="3"/>
        <w:rPr>
          <w:color w:val="auto"/>
          <w:highlight w:val="none"/>
          <w:shd w:val="clear" w:color="auto" w:fill="auto"/>
        </w:rPr>
      </w:pPr>
      <w:r>
        <w:rPr>
          <w:rFonts w:hint="eastAsia"/>
          <w:color w:val="auto"/>
          <w:highlight w:val="none"/>
          <w:shd w:val="clear" w:color="auto" w:fill="auto"/>
        </w:rPr>
        <w:t>第一部分</w:t>
      </w:r>
      <w:r>
        <w:rPr>
          <w:color w:val="auto"/>
          <w:highlight w:val="none"/>
          <w:shd w:val="clear" w:color="auto" w:fill="auto"/>
        </w:rPr>
        <w:t xml:space="preserve"> </w:t>
      </w:r>
      <w:r>
        <w:rPr>
          <w:rFonts w:hint="eastAsia"/>
          <w:color w:val="auto"/>
          <w:highlight w:val="none"/>
          <w:shd w:val="clear" w:color="auto" w:fill="auto"/>
        </w:rPr>
        <w:t>合同书</w:t>
      </w:r>
    </w:p>
    <w:p>
      <w:pPr>
        <w:pStyle w:val="75"/>
        <w:ind w:left="480"/>
        <w:rPr>
          <w:rFonts w:ascii="仿宋" w:hAnsi="仿宋" w:eastAsia="仿宋"/>
          <w:color w:val="auto"/>
          <w:szCs w:val="24"/>
          <w:highlight w:val="none"/>
          <w:shd w:val="clear" w:color="auto" w:fill="auto"/>
        </w:rPr>
      </w:pPr>
    </w:p>
    <w:p>
      <w:pPr>
        <w:spacing w:before="120" w:line="22" w:lineRule="atLeast"/>
        <w:rPr>
          <w:color w:val="auto"/>
          <w:highlight w:val="none"/>
          <w:shd w:val="clear" w:color="auto" w:fill="auto"/>
        </w:rPr>
      </w:pPr>
    </w:p>
    <w:p>
      <w:pPr>
        <w:spacing w:before="120" w:line="22" w:lineRule="atLeast"/>
        <w:ind w:left="960"/>
        <w:rPr>
          <w:color w:val="auto"/>
          <w:highlight w:val="none"/>
          <w:shd w:val="clear" w:color="auto" w:fill="auto"/>
        </w:rPr>
      </w:pPr>
      <w:r>
        <w:rPr>
          <w:rFonts w:hint="eastAsia"/>
          <w:color w:val="auto"/>
          <w:highlight w:val="none"/>
          <w:shd w:val="clear" w:color="auto" w:fill="auto"/>
        </w:rPr>
        <w:t>项目名称：</w:t>
      </w:r>
      <w:r>
        <w:rPr>
          <w:color w:val="auto"/>
          <w:highlight w:val="none"/>
          <w:u w:val="single"/>
          <w:shd w:val="clear" w:color="auto" w:fill="auto"/>
        </w:rPr>
        <w:t xml:space="preserve">                                   </w:t>
      </w:r>
    </w:p>
    <w:p>
      <w:pPr>
        <w:pStyle w:val="74"/>
        <w:spacing w:before="120" w:line="22" w:lineRule="atLeast"/>
        <w:rPr>
          <w:rFonts w:ascii="仿宋" w:hAnsi="仿宋" w:eastAsia="仿宋"/>
          <w:color w:val="auto"/>
          <w:szCs w:val="24"/>
          <w:highlight w:val="none"/>
          <w:shd w:val="clear" w:color="auto" w:fill="auto"/>
        </w:rPr>
      </w:pPr>
    </w:p>
    <w:p>
      <w:pPr>
        <w:pStyle w:val="74"/>
        <w:spacing w:before="120" w:line="22" w:lineRule="atLeast"/>
        <w:rPr>
          <w:rFonts w:ascii="仿宋" w:hAnsi="仿宋" w:eastAsia="仿宋"/>
          <w:color w:val="auto"/>
          <w:szCs w:val="24"/>
          <w:highlight w:val="none"/>
          <w:shd w:val="clear" w:color="auto" w:fill="auto"/>
        </w:rPr>
      </w:pPr>
    </w:p>
    <w:p>
      <w:pPr>
        <w:rPr>
          <w:color w:val="auto"/>
          <w:highlight w:val="none"/>
          <w:shd w:val="clear" w:color="auto" w:fill="auto"/>
        </w:rPr>
      </w:pPr>
    </w:p>
    <w:p>
      <w:pPr>
        <w:spacing w:before="120" w:line="22" w:lineRule="atLeast"/>
        <w:ind w:left="960"/>
        <w:rPr>
          <w:color w:val="auto"/>
          <w:highlight w:val="none"/>
          <w:u w:val="single"/>
          <w:shd w:val="clear" w:color="auto" w:fill="auto"/>
        </w:rPr>
      </w:pPr>
      <w:r>
        <w:rPr>
          <w:rFonts w:hint="eastAsia"/>
          <w:color w:val="auto"/>
          <w:highlight w:val="none"/>
          <w:shd w:val="clear" w:color="auto" w:fill="auto"/>
        </w:rPr>
        <w:t>甲方：</w:t>
      </w:r>
      <w:r>
        <w:rPr>
          <w:color w:val="auto"/>
          <w:highlight w:val="none"/>
          <w:u w:val="single"/>
          <w:shd w:val="clear" w:color="auto" w:fill="auto"/>
        </w:rPr>
        <w:t xml:space="preserve">                                       </w:t>
      </w:r>
    </w:p>
    <w:p>
      <w:pPr>
        <w:spacing w:before="120" w:line="22" w:lineRule="atLeast"/>
        <w:rPr>
          <w:color w:val="auto"/>
          <w:highlight w:val="none"/>
          <w:shd w:val="clear" w:color="auto" w:fill="auto"/>
        </w:rPr>
      </w:pPr>
    </w:p>
    <w:p>
      <w:pPr>
        <w:spacing w:before="120" w:line="22" w:lineRule="atLeast"/>
        <w:ind w:left="960"/>
        <w:rPr>
          <w:color w:val="auto"/>
          <w:highlight w:val="none"/>
          <w:u w:val="single"/>
          <w:shd w:val="clear" w:color="auto" w:fill="auto"/>
        </w:rPr>
      </w:pPr>
      <w:r>
        <w:rPr>
          <w:rFonts w:hint="eastAsia"/>
          <w:color w:val="auto"/>
          <w:highlight w:val="none"/>
          <w:shd w:val="clear" w:color="auto" w:fill="auto"/>
        </w:rPr>
        <w:t>乙方：</w:t>
      </w:r>
      <w:r>
        <w:rPr>
          <w:color w:val="auto"/>
          <w:highlight w:val="none"/>
          <w:u w:val="single"/>
          <w:shd w:val="clear" w:color="auto" w:fill="auto"/>
        </w:rPr>
        <w:t xml:space="preserve">                                       </w:t>
      </w:r>
    </w:p>
    <w:p>
      <w:pPr>
        <w:spacing w:before="120" w:line="22" w:lineRule="atLeast"/>
        <w:rPr>
          <w:color w:val="auto"/>
          <w:highlight w:val="none"/>
          <w:shd w:val="clear" w:color="auto" w:fill="auto"/>
        </w:rPr>
      </w:pPr>
    </w:p>
    <w:p>
      <w:pPr>
        <w:spacing w:before="120" w:line="22" w:lineRule="atLeast"/>
        <w:ind w:firstLine="960" w:firstLineChars="400"/>
        <w:rPr>
          <w:color w:val="auto"/>
          <w:highlight w:val="none"/>
          <w:u w:val="single"/>
          <w:shd w:val="clear" w:color="auto" w:fill="auto"/>
        </w:rPr>
      </w:pPr>
      <w:r>
        <w:rPr>
          <w:rFonts w:hint="eastAsia"/>
          <w:color w:val="auto"/>
          <w:highlight w:val="none"/>
          <w:shd w:val="clear" w:color="auto" w:fill="auto"/>
        </w:rPr>
        <w:t>签订地：</w:t>
      </w:r>
      <w:r>
        <w:rPr>
          <w:color w:val="auto"/>
          <w:highlight w:val="none"/>
          <w:u w:val="single"/>
          <w:shd w:val="clear" w:color="auto" w:fill="auto"/>
        </w:rPr>
        <w:t xml:space="preserve">                                     </w:t>
      </w:r>
    </w:p>
    <w:p>
      <w:pPr>
        <w:spacing w:before="120" w:line="22" w:lineRule="atLeast"/>
        <w:rPr>
          <w:color w:val="auto"/>
          <w:highlight w:val="none"/>
          <w:shd w:val="clear" w:color="auto" w:fill="auto"/>
        </w:rPr>
      </w:pPr>
    </w:p>
    <w:p>
      <w:pPr>
        <w:spacing w:before="120" w:line="22" w:lineRule="atLeast"/>
        <w:ind w:firstLine="960" w:firstLineChars="400"/>
        <w:rPr>
          <w:color w:val="auto"/>
          <w:highlight w:val="none"/>
          <w:u w:val="single"/>
          <w:shd w:val="clear" w:color="auto" w:fill="auto"/>
        </w:rPr>
      </w:pPr>
      <w:r>
        <w:rPr>
          <w:rFonts w:hint="eastAsia"/>
          <w:color w:val="auto"/>
          <w:highlight w:val="none"/>
          <w:shd w:val="clear" w:color="auto" w:fill="auto"/>
        </w:rPr>
        <w:t>签订日期：</w:t>
      </w:r>
      <w:r>
        <w:rPr>
          <w:color w:val="auto"/>
          <w:highlight w:val="none"/>
          <w:u w:val="single"/>
          <w:shd w:val="clear" w:color="auto" w:fill="auto"/>
        </w:rPr>
        <w:t xml:space="preserve">               </w:t>
      </w:r>
      <w:r>
        <w:rPr>
          <w:rFonts w:hint="eastAsia"/>
          <w:color w:val="auto"/>
          <w:highlight w:val="none"/>
          <w:shd w:val="clear" w:color="auto" w:fill="auto"/>
        </w:rPr>
        <w:t>年</w:t>
      </w:r>
      <w:r>
        <w:rPr>
          <w:color w:val="auto"/>
          <w:highlight w:val="none"/>
          <w:u w:val="single"/>
          <w:shd w:val="clear" w:color="auto" w:fill="auto"/>
        </w:rPr>
        <w:t xml:space="preserve">       </w:t>
      </w:r>
      <w:r>
        <w:rPr>
          <w:rFonts w:hint="eastAsia"/>
          <w:color w:val="auto"/>
          <w:highlight w:val="none"/>
          <w:shd w:val="clear" w:color="auto" w:fill="auto"/>
        </w:rPr>
        <w:t>月</w:t>
      </w:r>
      <w:r>
        <w:rPr>
          <w:color w:val="auto"/>
          <w:highlight w:val="none"/>
          <w:u w:val="single"/>
          <w:shd w:val="clear" w:color="auto" w:fill="auto"/>
        </w:rPr>
        <w:t xml:space="preserve">       </w:t>
      </w:r>
      <w:r>
        <w:rPr>
          <w:rFonts w:hint="eastAsia"/>
          <w:color w:val="auto"/>
          <w:highlight w:val="none"/>
          <w:shd w:val="clear" w:color="auto" w:fill="auto"/>
        </w:rPr>
        <w:t>日</w:t>
      </w:r>
    </w:p>
    <w:p>
      <w:pPr>
        <w:rPr>
          <w:color w:val="auto"/>
          <w:highlight w:val="none"/>
          <w:shd w:val="clear" w:color="auto" w:fill="auto"/>
        </w:rPr>
        <w:sectPr>
          <w:headerReference r:id="rId4" w:type="default"/>
          <w:footerReference r:id="rId5" w:type="default"/>
          <w:pgSz w:w="11907" w:h="16840"/>
          <w:pgMar w:top="1474" w:right="1814" w:bottom="1474" w:left="1814" w:header="851" w:footer="851" w:gutter="0"/>
          <w:pgBorders>
            <w:top w:val="none" w:sz="0" w:space="0"/>
            <w:left w:val="none" w:sz="0" w:space="0"/>
            <w:bottom w:val="none" w:sz="0" w:space="0"/>
            <w:right w:val="none" w:sz="0" w:space="0"/>
          </w:pgBorders>
          <w:cols w:space="720" w:num="1"/>
        </w:sectPr>
      </w:pP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u w:val="single"/>
          <w:shd w:val="clear" w:color="auto" w:fill="auto"/>
          <w:lang w:val="zh-CN"/>
        </w:rPr>
        <w:t xml:space="preserve">        </w:t>
      </w:r>
      <w:r>
        <w:rPr>
          <w:rFonts w:hint="eastAsia"/>
          <w:color w:val="auto"/>
          <w:highlight w:val="none"/>
          <w:shd w:val="clear" w:color="auto" w:fill="auto"/>
          <w:lang w:val="zh-CN"/>
        </w:rPr>
        <w:t>年</w:t>
      </w:r>
      <w:r>
        <w:rPr>
          <w:color w:val="auto"/>
          <w:highlight w:val="none"/>
          <w:u w:val="single"/>
          <w:shd w:val="clear" w:color="auto" w:fill="auto"/>
          <w:lang w:val="zh-CN"/>
        </w:rPr>
        <w:t xml:space="preserve">    </w:t>
      </w:r>
      <w:r>
        <w:rPr>
          <w:rFonts w:hint="eastAsia"/>
          <w:color w:val="auto"/>
          <w:highlight w:val="none"/>
          <w:shd w:val="clear" w:color="auto" w:fill="auto"/>
          <w:lang w:val="zh-CN"/>
        </w:rPr>
        <w:t>月</w:t>
      </w:r>
      <w:r>
        <w:rPr>
          <w:color w:val="auto"/>
          <w:highlight w:val="none"/>
          <w:u w:val="single"/>
          <w:shd w:val="clear" w:color="auto" w:fill="auto"/>
          <w:lang w:val="zh-CN"/>
        </w:rPr>
        <w:t xml:space="preserve">    </w:t>
      </w:r>
      <w:r>
        <w:rPr>
          <w:rFonts w:hint="eastAsia"/>
          <w:color w:val="auto"/>
          <w:highlight w:val="none"/>
          <w:shd w:val="clear" w:color="auto" w:fill="auto"/>
          <w:lang w:val="zh-CN"/>
        </w:rPr>
        <w:t>日</w:t>
      </w:r>
      <w:r>
        <w:rPr>
          <w:rFonts w:hint="eastAsia"/>
          <w:color w:val="auto"/>
          <w:highlight w:val="none"/>
          <w:shd w:val="clear" w:color="auto" w:fill="auto"/>
        </w:rPr>
        <w:t>，</w:t>
      </w:r>
      <w:r>
        <w:rPr>
          <w:color w:val="auto"/>
          <w:highlight w:val="none"/>
          <w:u w:val="single"/>
          <w:shd w:val="clear" w:color="auto" w:fill="auto"/>
        </w:rPr>
        <w:t xml:space="preserve">   </w:t>
      </w:r>
      <w:r>
        <w:rPr>
          <w:rFonts w:hint="eastAsia"/>
          <w:color w:val="auto"/>
          <w:highlight w:val="none"/>
          <w:u w:val="single"/>
          <w:shd w:val="clear" w:color="auto" w:fill="auto"/>
        </w:rPr>
        <w:t>（采购人）</w:t>
      </w:r>
      <w:r>
        <w:rPr>
          <w:color w:val="auto"/>
          <w:highlight w:val="none"/>
          <w:u w:val="single"/>
          <w:shd w:val="clear" w:color="auto" w:fill="auto"/>
        </w:rPr>
        <w:t xml:space="preserve">   </w:t>
      </w:r>
      <w:r>
        <w:rPr>
          <w:rFonts w:hint="eastAsia"/>
          <w:color w:val="auto"/>
          <w:highlight w:val="none"/>
          <w:shd w:val="clear" w:color="auto" w:fill="auto"/>
        </w:rPr>
        <w:t>以</w:t>
      </w:r>
      <w:r>
        <w:rPr>
          <w:color w:val="auto"/>
          <w:highlight w:val="none"/>
          <w:u w:val="single"/>
          <w:shd w:val="clear" w:color="auto" w:fill="auto"/>
        </w:rPr>
        <w:t xml:space="preserve">   （政府采购方式）  </w:t>
      </w:r>
      <w:r>
        <w:rPr>
          <w:rFonts w:hint="eastAsia"/>
          <w:color w:val="auto"/>
          <w:highlight w:val="none"/>
          <w:shd w:val="clear" w:color="auto" w:fill="auto"/>
        </w:rPr>
        <w:t>对</w:t>
      </w:r>
      <w:r>
        <w:rPr>
          <w:color w:val="auto"/>
          <w:highlight w:val="none"/>
          <w:u w:val="single"/>
          <w:shd w:val="clear" w:color="auto" w:fill="auto"/>
        </w:rPr>
        <w:t xml:space="preserve">   （同前</w:t>
      </w:r>
      <w:r>
        <w:rPr>
          <w:rFonts w:hint="eastAsia"/>
          <w:color w:val="auto"/>
          <w:highlight w:val="none"/>
          <w:u w:val="single"/>
          <w:shd w:val="clear" w:color="auto" w:fill="auto"/>
        </w:rPr>
        <w:t>页项目名称）</w:t>
      </w:r>
      <w:r>
        <w:rPr>
          <w:color w:val="auto"/>
          <w:highlight w:val="none"/>
          <w:u w:val="single"/>
          <w:shd w:val="clear" w:color="auto" w:fill="auto"/>
        </w:rPr>
        <w:t xml:space="preserve">   </w:t>
      </w:r>
      <w:r>
        <w:rPr>
          <w:rFonts w:hint="eastAsia"/>
          <w:color w:val="auto"/>
          <w:highlight w:val="none"/>
          <w:shd w:val="clear" w:color="auto" w:fill="auto"/>
        </w:rPr>
        <w:t>项目进行了采购。经</w:t>
      </w:r>
      <w:r>
        <w:rPr>
          <w:color w:val="auto"/>
          <w:highlight w:val="none"/>
          <w:u w:val="single"/>
          <w:shd w:val="clear" w:color="auto" w:fill="auto"/>
        </w:rPr>
        <w:t xml:space="preserve">   （相关评定主体名称）   </w:t>
      </w:r>
      <w:r>
        <w:rPr>
          <w:rFonts w:hint="eastAsia"/>
          <w:color w:val="auto"/>
          <w:highlight w:val="none"/>
          <w:shd w:val="clear" w:color="auto" w:fill="auto"/>
        </w:rPr>
        <w:t>评定，</w:t>
      </w:r>
      <w:r>
        <w:rPr>
          <w:color w:val="auto"/>
          <w:highlight w:val="none"/>
          <w:u w:val="single"/>
          <w:shd w:val="clear" w:color="auto" w:fill="auto"/>
        </w:rPr>
        <w:t xml:space="preserve">   （中标供应商名称）</w:t>
      </w:r>
      <w:r>
        <w:rPr>
          <w:rFonts w:hint="eastAsia"/>
          <w:color w:val="auto"/>
          <w:highlight w:val="none"/>
          <w:shd w:val="clear" w:color="auto" w:fill="auto"/>
        </w:rPr>
        <w:t>为该项目中标供应商。现于中标通知书发出之日起三十日内，按照采购文件确定的事项签订本合同。</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lang w:val="zh-CN"/>
        </w:rPr>
        <w:t>根据《中华人民共和国民法典》、《中华人民共和国政府采购法》等相关法律法规之规定，按照平等、自愿、公平、诚实信用和绿色的原则，经</w:t>
      </w:r>
      <w:r>
        <w:rPr>
          <w:color w:val="auto"/>
          <w:highlight w:val="none"/>
          <w:u w:val="single"/>
          <w:shd w:val="clear" w:color="auto" w:fill="auto"/>
        </w:rPr>
        <w:t xml:space="preserve">   </w:t>
      </w:r>
      <w:r>
        <w:rPr>
          <w:rFonts w:hint="eastAsia"/>
          <w:color w:val="auto"/>
          <w:highlight w:val="none"/>
          <w:u w:val="single"/>
          <w:shd w:val="clear" w:color="auto" w:fill="auto"/>
        </w:rPr>
        <w:t>（采购人）</w:t>
      </w:r>
      <w:r>
        <w:rPr>
          <w:color w:val="auto"/>
          <w:highlight w:val="none"/>
          <w:u w:val="single"/>
          <w:shd w:val="clear" w:color="auto" w:fill="auto"/>
        </w:rPr>
        <w:t xml:space="preserve">   </w:t>
      </w:r>
      <w:r>
        <w:rPr>
          <w:color w:val="auto"/>
          <w:highlight w:val="none"/>
          <w:shd w:val="clear" w:color="auto" w:fill="auto"/>
          <w:lang w:val="zh-CN"/>
        </w:rPr>
        <w:t>(以下简称：甲方)和</w:t>
      </w:r>
      <w:r>
        <w:rPr>
          <w:color w:val="auto"/>
          <w:highlight w:val="none"/>
          <w:u w:val="single"/>
          <w:shd w:val="clear" w:color="auto" w:fill="auto"/>
        </w:rPr>
        <w:t xml:space="preserve">   （中标供应商名称）   </w:t>
      </w:r>
      <w:r>
        <w:rPr>
          <w:color w:val="auto"/>
          <w:highlight w:val="none"/>
          <w:shd w:val="clear" w:color="auto" w:fill="auto"/>
          <w:lang w:val="zh-CN"/>
        </w:rPr>
        <w:t>(以下简称：乙方)协商一致，约定以下合同</w:t>
      </w:r>
      <w:r>
        <w:rPr>
          <w:rFonts w:hint="eastAsia"/>
          <w:color w:val="auto"/>
          <w:highlight w:val="none"/>
          <w:shd w:val="clear" w:color="auto" w:fill="auto"/>
        </w:rPr>
        <w:t>条款，以兹共同遵守、全面履行。</w:t>
      </w:r>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426" w:name="_Toc24059"/>
      <w:bookmarkStart w:id="427" w:name="_Toc2232"/>
      <w:bookmarkStart w:id="428" w:name="_Toc3029"/>
      <w:r>
        <w:rPr>
          <w:color w:val="auto"/>
          <w:highlight w:val="none"/>
          <w:shd w:val="clear" w:color="auto" w:fill="auto"/>
        </w:rPr>
        <w:t xml:space="preserve">1.1 </w:t>
      </w:r>
      <w:r>
        <w:rPr>
          <w:rFonts w:hint="eastAsia"/>
          <w:color w:val="auto"/>
          <w:highlight w:val="none"/>
          <w:shd w:val="clear" w:color="auto" w:fill="auto"/>
        </w:rPr>
        <w:t>合同组成部分</w:t>
      </w:r>
      <w:bookmarkEnd w:id="426"/>
      <w:bookmarkEnd w:id="427"/>
      <w:bookmarkEnd w:id="428"/>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下列文件为本合同的组成部分，并构成一个整体，需综合解释、相互补充。如果下列文件内容出现不一致的情形，那么在保证按照采购文件确定的事项的前提下，组成本合同的多个文件的优先适用顺序如下：</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1.1.1 </w:t>
      </w:r>
      <w:r>
        <w:rPr>
          <w:rFonts w:hint="eastAsia"/>
          <w:color w:val="auto"/>
          <w:highlight w:val="none"/>
          <w:shd w:val="clear" w:color="auto" w:fill="auto"/>
        </w:rPr>
        <w:t>本合同及其补充合同、变更协议；</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1.1.2 </w:t>
      </w:r>
      <w:r>
        <w:rPr>
          <w:rFonts w:hint="eastAsia"/>
          <w:color w:val="auto"/>
          <w:highlight w:val="none"/>
          <w:shd w:val="clear" w:color="auto" w:fill="auto"/>
        </w:rPr>
        <w:t>中标通知书；</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1.1.3 </w:t>
      </w:r>
      <w:r>
        <w:rPr>
          <w:rFonts w:hint="eastAsia"/>
          <w:color w:val="auto"/>
          <w:highlight w:val="none"/>
          <w:shd w:val="clear" w:color="auto" w:fill="auto"/>
        </w:rPr>
        <w:t>投标文件（含澄清或者说明文件）；</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1.1.4 </w:t>
      </w:r>
      <w:r>
        <w:rPr>
          <w:rFonts w:hint="eastAsia"/>
          <w:color w:val="auto"/>
          <w:highlight w:val="none"/>
          <w:shd w:val="clear" w:color="auto" w:fill="auto"/>
        </w:rPr>
        <w:t>招标文件（含澄清或者修改文件）；</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1.1.5 </w:t>
      </w:r>
      <w:r>
        <w:rPr>
          <w:rFonts w:hint="eastAsia"/>
          <w:color w:val="auto"/>
          <w:highlight w:val="none"/>
          <w:shd w:val="clear" w:color="auto" w:fill="auto"/>
        </w:rPr>
        <w:t>其他相关采购文件。</w:t>
      </w:r>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429" w:name="_Toc24300"/>
      <w:bookmarkStart w:id="430" w:name="_Toc27126"/>
      <w:bookmarkStart w:id="431" w:name="_Toc21295"/>
      <w:r>
        <w:rPr>
          <w:color w:val="auto"/>
          <w:highlight w:val="none"/>
          <w:shd w:val="clear" w:color="auto" w:fill="auto"/>
        </w:rPr>
        <w:t xml:space="preserve">1.2 </w:t>
      </w:r>
      <w:r>
        <w:rPr>
          <w:rFonts w:hint="eastAsia"/>
          <w:color w:val="auto"/>
          <w:highlight w:val="none"/>
          <w:shd w:val="clear" w:color="auto" w:fill="auto"/>
        </w:rPr>
        <w:t>货物</w:t>
      </w:r>
      <w:bookmarkEnd w:id="429"/>
      <w:bookmarkEnd w:id="430"/>
      <w:bookmarkEnd w:id="431"/>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u w:val="single"/>
          <w:shd w:val="clear" w:color="auto" w:fill="auto"/>
        </w:rPr>
      </w:pPr>
      <w:r>
        <w:rPr>
          <w:color w:val="auto"/>
          <w:highlight w:val="none"/>
          <w:shd w:val="clear" w:color="auto" w:fill="auto"/>
        </w:rPr>
        <w:t xml:space="preserve">1.2.1 </w:t>
      </w:r>
      <w:r>
        <w:rPr>
          <w:rFonts w:hint="eastAsia"/>
          <w:color w:val="auto"/>
          <w:highlight w:val="none"/>
          <w:shd w:val="clear" w:color="auto" w:fill="auto"/>
        </w:rPr>
        <w:t>货物名称：</w:t>
      </w:r>
      <w:r>
        <w:rPr>
          <w:color w:val="auto"/>
          <w:highlight w:val="none"/>
          <w:u w:val="single"/>
          <w:shd w:val="clear" w:color="auto" w:fill="auto"/>
        </w:rPr>
        <w:t xml:space="preserve">                                                </w:t>
      </w:r>
      <w:r>
        <w:rPr>
          <w:rFonts w:hint="eastAsia"/>
          <w:color w:val="auto"/>
          <w:highlight w:val="none"/>
          <w:shd w:val="clear" w:color="auto" w:fill="auto"/>
        </w:rPr>
        <w:t>；</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u w:val="single"/>
          <w:shd w:val="clear" w:color="auto" w:fill="auto"/>
        </w:rPr>
      </w:pPr>
      <w:r>
        <w:rPr>
          <w:color w:val="auto"/>
          <w:highlight w:val="none"/>
          <w:shd w:val="clear" w:color="auto" w:fill="auto"/>
        </w:rPr>
        <w:t xml:space="preserve">1.2.2 </w:t>
      </w:r>
      <w:r>
        <w:rPr>
          <w:rFonts w:hint="eastAsia"/>
          <w:color w:val="auto"/>
          <w:highlight w:val="none"/>
          <w:shd w:val="clear" w:color="auto" w:fill="auto"/>
        </w:rPr>
        <w:t>货物数量：</w:t>
      </w:r>
      <w:r>
        <w:rPr>
          <w:color w:val="auto"/>
          <w:highlight w:val="none"/>
          <w:u w:val="single"/>
          <w:shd w:val="clear" w:color="auto" w:fill="auto"/>
        </w:rPr>
        <w:t xml:space="preserve">                                                </w:t>
      </w:r>
      <w:r>
        <w:rPr>
          <w:rFonts w:hint="eastAsia"/>
          <w:color w:val="auto"/>
          <w:highlight w:val="none"/>
          <w:shd w:val="clear" w:color="auto" w:fill="auto"/>
        </w:rPr>
        <w:t>；</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1.2.3 </w:t>
      </w:r>
      <w:r>
        <w:rPr>
          <w:rFonts w:hint="eastAsia"/>
          <w:color w:val="auto"/>
          <w:highlight w:val="none"/>
          <w:shd w:val="clear" w:color="auto" w:fill="auto"/>
        </w:rPr>
        <w:t>货物质量：</w:t>
      </w:r>
      <w:r>
        <w:rPr>
          <w:rFonts w:hint="eastAsia"/>
          <w:color w:val="auto"/>
          <w:highlight w:val="none"/>
          <w:u w:val="single"/>
          <w:shd w:val="clear" w:color="auto" w:fill="auto"/>
        </w:rPr>
        <w:t>　　　　　　　　　</w:t>
      </w:r>
      <w:r>
        <w:rPr>
          <w:color w:val="auto"/>
          <w:highlight w:val="none"/>
          <w:u w:val="single"/>
          <w:shd w:val="clear" w:color="auto" w:fill="auto"/>
        </w:rPr>
        <w:t xml:space="preserve">                      　      </w:t>
      </w:r>
      <w:r>
        <w:rPr>
          <w:rFonts w:hint="eastAsia"/>
          <w:color w:val="auto"/>
          <w:highlight w:val="none"/>
          <w:shd w:val="clear" w:color="auto" w:fill="auto"/>
        </w:rPr>
        <w:t>。</w:t>
      </w:r>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432" w:name="_Toc21551"/>
      <w:bookmarkStart w:id="433" w:name="_Toc23292"/>
      <w:bookmarkStart w:id="434" w:name="_Toc21631"/>
      <w:r>
        <w:rPr>
          <w:color w:val="auto"/>
          <w:highlight w:val="none"/>
          <w:shd w:val="clear" w:color="auto" w:fill="auto"/>
        </w:rPr>
        <w:t xml:space="preserve">1.3 </w:t>
      </w:r>
      <w:r>
        <w:rPr>
          <w:rFonts w:hint="eastAsia"/>
          <w:color w:val="auto"/>
          <w:highlight w:val="none"/>
          <w:shd w:val="clear" w:color="auto" w:fill="auto"/>
        </w:rPr>
        <w:t>价款</w:t>
      </w:r>
      <w:bookmarkEnd w:id="432"/>
      <w:bookmarkEnd w:id="433"/>
      <w:bookmarkEnd w:id="434"/>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本合同总价为：￥</w:t>
      </w:r>
      <w:r>
        <w:rPr>
          <w:color w:val="auto"/>
          <w:highlight w:val="none"/>
          <w:u w:val="single"/>
          <w:shd w:val="clear" w:color="auto" w:fill="auto"/>
        </w:rPr>
        <w:t xml:space="preserve">           </w:t>
      </w:r>
      <w:r>
        <w:rPr>
          <w:rFonts w:hint="eastAsia"/>
          <w:color w:val="auto"/>
          <w:highlight w:val="none"/>
          <w:shd w:val="clear" w:color="auto" w:fill="auto"/>
        </w:rPr>
        <w:t>元（大写：</w:t>
      </w:r>
      <w:r>
        <w:rPr>
          <w:color w:val="auto"/>
          <w:highlight w:val="none"/>
          <w:u w:val="single"/>
          <w:shd w:val="clear" w:color="auto" w:fill="auto"/>
        </w:rPr>
        <w:t xml:space="preserve">                 </w:t>
      </w:r>
      <w:r>
        <w:rPr>
          <w:rFonts w:hint="eastAsia"/>
          <w:color w:val="auto"/>
          <w:highlight w:val="none"/>
          <w:shd w:val="clear" w:color="auto" w:fill="auto"/>
        </w:rPr>
        <w:t>元人民币）。</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u w:val="single"/>
          <w:shd w:val="clear" w:color="auto" w:fill="auto"/>
        </w:rPr>
      </w:pPr>
      <w:r>
        <w:rPr>
          <w:rFonts w:hint="eastAsia"/>
          <w:color w:val="auto"/>
          <w:highlight w:val="none"/>
          <w:shd w:val="clear" w:color="auto" w:fill="auto"/>
        </w:rPr>
        <w:t>分项价格：</w:t>
      </w:r>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71"/>
              <w:spacing w:line="560" w:lineRule="exact"/>
              <w:jc w:val="center"/>
              <w:rPr>
                <w:rFonts w:ascii="仿宋" w:hAnsi="仿宋" w:eastAsia="仿宋"/>
                <w:color w:val="auto"/>
                <w:sz w:val="24"/>
                <w:szCs w:val="24"/>
                <w:highlight w:val="none"/>
                <w:shd w:val="clear" w:color="auto" w:fill="auto"/>
              </w:rPr>
            </w:pPr>
            <w:r>
              <w:rPr>
                <w:rFonts w:hint="eastAsia" w:ascii="仿宋" w:hAnsi="仿宋" w:eastAsia="仿宋"/>
                <w:color w:val="auto"/>
                <w:sz w:val="24"/>
                <w:szCs w:val="24"/>
                <w:highlight w:val="none"/>
                <w:shd w:val="clear" w:color="auto" w:fill="auto"/>
              </w:rPr>
              <w:t>序号</w:t>
            </w:r>
          </w:p>
        </w:tc>
        <w:tc>
          <w:tcPr>
            <w:tcW w:w="3402" w:type="dxa"/>
            <w:tcBorders>
              <w:top w:val="single" w:color="auto" w:sz="4" w:space="0"/>
              <w:left w:val="single" w:color="auto" w:sz="4" w:space="0"/>
              <w:bottom w:val="single" w:color="auto" w:sz="4" w:space="0"/>
              <w:right w:val="single" w:color="auto" w:sz="4" w:space="0"/>
            </w:tcBorders>
            <w:vAlign w:val="center"/>
          </w:tcPr>
          <w:p>
            <w:pPr>
              <w:pStyle w:val="71"/>
              <w:spacing w:line="560" w:lineRule="exact"/>
              <w:ind w:firstLine="200"/>
              <w:jc w:val="center"/>
              <w:rPr>
                <w:rFonts w:ascii="仿宋" w:hAnsi="仿宋" w:eastAsia="仿宋"/>
                <w:color w:val="auto"/>
                <w:sz w:val="24"/>
                <w:szCs w:val="24"/>
                <w:highlight w:val="none"/>
                <w:shd w:val="clear" w:color="auto" w:fill="auto"/>
              </w:rPr>
            </w:pPr>
            <w:r>
              <w:rPr>
                <w:rFonts w:hint="eastAsia" w:ascii="仿宋" w:hAnsi="仿宋" w:eastAsia="仿宋"/>
                <w:color w:val="auto"/>
                <w:sz w:val="24"/>
                <w:szCs w:val="24"/>
                <w:highlight w:val="none"/>
                <w:shd w:val="clear" w:color="auto" w:fill="auto"/>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pPr>
              <w:pStyle w:val="71"/>
              <w:spacing w:line="560" w:lineRule="exact"/>
              <w:jc w:val="center"/>
              <w:rPr>
                <w:rFonts w:ascii="仿宋" w:hAnsi="仿宋" w:eastAsia="仿宋"/>
                <w:color w:val="auto"/>
                <w:sz w:val="24"/>
                <w:szCs w:val="24"/>
                <w:highlight w:val="none"/>
                <w:shd w:val="clear" w:color="auto" w:fill="auto"/>
              </w:rPr>
            </w:pPr>
            <w:r>
              <w:rPr>
                <w:rFonts w:hint="eastAsia" w:ascii="仿宋" w:hAnsi="仿宋" w:eastAsia="仿宋"/>
                <w:color w:val="auto"/>
                <w:sz w:val="24"/>
                <w:szCs w:val="24"/>
                <w:highlight w:val="none"/>
                <w:shd w:val="clear" w:color="auto" w:fill="auto"/>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71"/>
              <w:spacing w:line="560" w:lineRule="exact"/>
              <w:ind w:firstLine="200"/>
              <w:jc w:val="center"/>
              <w:rPr>
                <w:rFonts w:ascii="仿宋" w:hAnsi="仿宋" w:eastAsia="仿宋"/>
                <w:color w:val="auto"/>
                <w:sz w:val="24"/>
                <w:szCs w:val="24"/>
                <w:highlight w:val="none"/>
                <w:shd w:val="clear" w:color="auto" w:fill="auto"/>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71"/>
              <w:spacing w:line="560" w:lineRule="exact"/>
              <w:ind w:firstLine="200"/>
              <w:jc w:val="center"/>
              <w:rPr>
                <w:rFonts w:ascii="仿宋" w:hAnsi="仿宋" w:eastAsia="仿宋"/>
                <w:color w:val="auto"/>
                <w:sz w:val="24"/>
                <w:szCs w:val="24"/>
                <w:highlight w:val="none"/>
                <w:shd w:val="clear" w:color="auto" w:fill="auto"/>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71"/>
              <w:spacing w:line="560" w:lineRule="exact"/>
              <w:ind w:firstLine="200"/>
              <w:jc w:val="center"/>
              <w:rPr>
                <w:rFonts w:ascii="仿宋" w:hAnsi="仿宋" w:eastAsia="仿宋"/>
                <w:color w:val="auto"/>
                <w:sz w:val="24"/>
                <w:szCs w:val="24"/>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71"/>
              <w:spacing w:line="560" w:lineRule="exact"/>
              <w:ind w:firstLine="200"/>
              <w:jc w:val="center"/>
              <w:rPr>
                <w:rFonts w:ascii="仿宋" w:hAnsi="仿宋" w:eastAsia="仿宋"/>
                <w:color w:val="auto"/>
                <w:sz w:val="24"/>
                <w:szCs w:val="24"/>
                <w:highlight w:val="none"/>
                <w:shd w:val="clear" w:color="auto" w:fill="auto"/>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71"/>
              <w:spacing w:line="560" w:lineRule="exact"/>
              <w:ind w:firstLine="200"/>
              <w:jc w:val="center"/>
              <w:rPr>
                <w:rFonts w:ascii="仿宋" w:hAnsi="仿宋" w:eastAsia="仿宋"/>
                <w:color w:val="auto"/>
                <w:sz w:val="24"/>
                <w:szCs w:val="24"/>
                <w:highlight w:val="none"/>
                <w:shd w:val="clear" w:color="auto" w:fill="auto"/>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71"/>
              <w:spacing w:line="560" w:lineRule="exact"/>
              <w:ind w:firstLine="200"/>
              <w:jc w:val="center"/>
              <w:rPr>
                <w:rFonts w:ascii="仿宋" w:hAnsi="仿宋" w:eastAsia="仿宋"/>
                <w:color w:val="auto"/>
                <w:sz w:val="24"/>
                <w:szCs w:val="24"/>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71"/>
              <w:spacing w:line="560" w:lineRule="exact"/>
              <w:ind w:firstLine="200"/>
              <w:jc w:val="center"/>
              <w:rPr>
                <w:rFonts w:ascii="仿宋" w:hAnsi="仿宋" w:eastAsia="仿宋"/>
                <w:color w:val="auto"/>
                <w:sz w:val="24"/>
                <w:szCs w:val="24"/>
                <w:highlight w:val="none"/>
                <w:shd w:val="clear" w:color="auto" w:fill="auto"/>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71"/>
              <w:spacing w:line="560" w:lineRule="exact"/>
              <w:ind w:firstLine="200"/>
              <w:jc w:val="center"/>
              <w:rPr>
                <w:rFonts w:ascii="仿宋" w:hAnsi="仿宋" w:eastAsia="仿宋"/>
                <w:color w:val="auto"/>
                <w:sz w:val="24"/>
                <w:szCs w:val="24"/>
                <w:highlight w:val="none"/>
                <w:shd w:val="clear" w:color="auto" w:fill="auto"/>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71"/>
              <w:spacing w:line="560" w:lineRule="exact"/>
              <w:ind w:firstLine="200"/>
              <w:jc w:val="center"/>
              <w:rPr>
                <w:rFonts w:ascii="仿宋" w:hAnsi="仿宋" w:eastAsia="仿宋"/>
                <w:color w:val="auto"/>
                <w:sz w:val="24"/>
                <w:szCs w:val="24"/>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71"/>
              <w:spacing w:line="560" w:lineRule="exact"/>
              <w:ind w:firstLine="200"/>
              <w:jc w:val="center"/>
              <w:rPr>
                <w:rFonts w:ascii="仿宋" w:hAnsi="仿宋" w:eastAsia="仿宋"/>
                <w:color w:val="auto"/>
                <w:sz w:val="24"/>
                <w:szCs w:val="24"/>
                <w:highlight w:val="none"/>
                <w:shd w:val="clear" w:color="auto" w:fill="auto"/>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71"/>
              <w:spacing w:line="560" w:lineRule="exact"/>
              <w:ind w:firstLine="200"/>
              <w:jc w:val="center"/>
              <w:rPr>
                <w:rFonts w:ascii="仿宋" w:hAnsi="仿宋" w:eastAsia="仿宋"/>
                <w:color w:val="auto"/>
                <w:sz w:val="24"/>
                <w:szCs w:val="24"/>
                <w:highlight w:val="none"/>
                <w:shd w:val="clear" w:color="auto" w:fill="auto"/>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71"/>
              <w:spacing w:line="560" w:lineRule="exact"/>
              <w:ind w:firstLine="200"/>
              <w:jc w:val="center"/>
              <w:rPr>
                <w:rFonts w:ascii="仿宋" w:hAnsi="仿宋" w:eastAsia="仿宋"/>
                <w:color w:val="auto"/>
                <w:sz w:val="24"/>
                <w:szCs w:val="24"/>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pPr>
              <w:pStyle w:val="71"/>
              <w:spacing w:line="560" w:lineRule="exact"/>
              <w:ind w:firstLine="200"/>
              <w:jc w:val="center"/>
              <w:rPr>
                <w:rFonts w:ascii="仿宋" w:hAnsi="仿宋" w:eastAsia="仿宋"/>
                <w:color w:val="auto"/>
                <w:sz w:val="24"/>
                <w:szCs w:val="24"/>
                <w:highlight w:val="none"/>
                <w:shd w:val="clear" w:color="auto" w:fill="auto"/>
              </w:rPr>
            </w:pPr>
            <w:r>
              <w:rPr>
                <w:rFonts w:hint="eastAsia" w:ascii="仿宋" w:hAnsi="仿宋" w:eastAsia="仿宋"/>
                <w:color w:val="auto"/>
                <w:sz w:val="24"/>
                <w:szCs w:val="24"/>
                <w:highlight w:val="none"/>
                <w:shd w:val="clear" w:color="auto" w:fill="auto"/>
              </w:rPr>
              <w:t>总价</w:t>
            </w:r>
          </w:p>
        </w:tc>
        <w:tc>
          <w:tcPr>
            <w:tcW w:w="2552" w:type="dxa"/>
            <w:tcBorders>
              <w:top w:val="single" w:color="auto" w:sz="4" w:space="0"/>
              <w:left w:val="single" w:color="auto" w:sz="4" w:space="0"/>
              <w:bottom w:val="single" w:color="auto" w:sz="4" w:space="0"/>
              <w:right w:val="single" w:color="auto" w:sz="4" w:space="0"/>
            </w:tcBorders>
            <w:vAlign w:val="center"/>
          </w:tcPr>
          <w:p>
            <w:pPr>
              <w:pStyle w:val="71"/>
              <w:spacing w:line="560" w:lineRule="exact"/>
              <w:ind w:firstLine="200"/>
              <w:jc w:val="center"/>
              <w:rPr>
                <w:rFonts w:ascii="仿宋" w:hAnsi="仿宋" w:eastAsia="仿宋"/>
                <w:color w:val="auto"/>
                <w:sz w:val="24"/>
                <w:szCs w:val="24"/>
                <w:highlight w:val="none"/>
                <w:shd w:val="clear" w:color="auto" w:fill="auto"/>
              </w:rPr>
            </w:pPr>
          </w:p>
        </w:tc>
      </w:tr>
    </w:tbl>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435" w:name="_Toc22618"/>
      <w:bookmarkStart w:id="436" w:name="_Toc10340"/>
      <w:bookmarkStart w:id="437" w:name="_Toc1814"/>
      <w:r>
        <w:rPr>
          <w:color w:val="auto"/>
          <w:highlight w:val="none"/>
          <w:shd w:val="clear" w:color="auto" w:fill="auto"/>
        </w:rPr>
        <w:t xml:space="preserve">1.4 </w:t>
      </w:r>
      <w:r>
        <w:rPr>
          <w:rFonts w:hint="eastAsia"/>
          <w:color w:val="auto"/>
          <w:highlight w:val="none"/>
          <w:shd w:val="clear" w:color="auto" w:fill="auto"/>
        </w:rPr>
        <w:t>付款</w:t>
      </w:r>
      <w:bookmarkEnd w:id="435"/>
      <w:bookmarkEnd w:id="436"/>
      <w:bookmarkEnd w:id="437"/>
      <w:r>
        <w:rPr>
          <w:rFonts w:hint="eastAsia"/>
          <w:color w:val="auto"/>
          <w:highlight w:val="none"/>
          <w:shd w:val="clear" w:color="auto" w:fill="auto"/>
        </w:rPr>
        <w:t>方式、时间和条件</w:t>
      </w:r>
    </w:p>
    <w:p>
      <w:pPr>
        <w:pStyle w:val="76"/>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textAlignment w:val="auto"/>
        <w:rPr>
          <w:rFonts w:ascii="仿宋" w:hAnsi="仿宋" w:eastAsia="仿宋" w:cs="Times New Roman"/>
          <w:color w:val="auto"/>
          <w:highlight w:val="none"/>
          <w:shd w:val="clear" w:color="auto" w:fill="auto"/>
        </w:rPr>
      </w:pPr>
      <w:r>
        <w:rPr>
          <w:rFonts w:ascii="仿宋" w:hAnsi="仿宋" w:eastAsia="仿宋" w:cs="Times New Roman"/>
          <w:color w:val="auto"/>
          <w:highlight w:val="none"/>
          <w:shd w:val="clear" w:color="auto" w:fill="auto"/>
        </w:rPr>
        <w:t>1.4.1</w:t>
      </w:r>
      <w:r>
        <w:rPr>
          <w:rFonts w:hint="eastAsia" w:ascii="仿宋" w:hAnsi="仿宋" w:eastAsia="仿宋" w:cs="Times New Roman"/>
          <w:color w:val="auto"/>
          <w:highlight w:val="none"/>
          <w:shd w:val="clear" w:color="auto" w:fill="auto"/>
        </w:rPr>
        <w:t>甲方应严格履行合同，及时组织验收，验收合格后及时将合同款支付完毕。对于满足合同约定支付条件的，甲方自收到发票后</w:t>
      </w:r>
      <w:r>
        <w:rPr>
          <w:rFonts w:ascii="仿宋" w:hAnsi="仿宋" w:eastAsia="仿宋" w:cs="Times New Roman"/>
          <w:color w:val="auto"/>
          <w:highlight w:val="none"/>
          <w:shd w:val="clear" w:color="auto" w:fill="auto"/>
        </w:rPr>
        <w:t>5个工作日内将资金支付到合同约定的乙方账户，有条件的甲方可以即时支付。甲方不得以机构变动、人员更替、政策调整、单位放假等为由延迟付款。</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1.4.2</w:t>
      </w:r>
      <w:r>
        <w:rPr>
          <w:rFonts w:hint="eastAsia"/>
          <w:color w:val="auto"/>
          <w:highlight w:val="none"/>
          <w:shd w:val="clear" w:color="auto" w:fill="auto"/>
        </w:rPr>
        <w:t>甲方在政府采购合同中约定预付款，预付款比例为合同金额的30％,对中小企业合同预付款比例为合同金额的40％；项目分年安排预算的，每年预付款比例为项目年度计划支付资金额的40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乙方可登录</w:t>
      </w:r>
      <w:r>
        <w:rPr>
          <w:rFonts w:hint="eastAsia"/>
          <w:color w:val="auto"/>
          <w:highlight w:val="none"/>
          <w:shd w:val="clear" w:color="auto" w:fill="auto"/>
          <w:lang w:eastAsia="zh-CN"/>
        </w:rPr>
        <w:t>乐采云（萧采云）</w:t>
      </w:r>
      <w:r>
        <w:rPr>
          <w:rFonts w:hint="eastAsia"/>
          <w:color w:val="auto"/>
          <w:highlight w:val="none"/>
          <w:shd w:val="clear" w:color="auto" w:fill="auto"/>
        </w:rPr>
        <w:t>前台大厅选择金融服务 - 【保函保险服务】出具预付款保函，具体步骤：选择产品—填写供应商信息—选择中标项目—确认信息—等待保险/保函受理—确认保单—支付保费—成功出单。</w:t>
      </w:r>
      <w:r>
        <w:rPr>
          <w:rFonts w:hint="eastAsia"/>
          <w:color w:val="auto"/>
          <w:highlight w:val="none"/>
          <w:shd w:val="clear" w:color="auto" w:fill="auto"/>
          <w:lang w:eastAsia="zh-CN"/>
        </w:rPr>
        <w:t>乐采云（萧采云）</w:t>
      </w:r>
      <w:r>
        <w:rPr>
          <w:rFonts w:hint="eastAsia"/>
          <w:color w:val="auto"/>
          <w:highlight w:val="none"/>
          <w:shd w:val="clear" w:color="auto" w:fill="auto"/>
        </w:rPr>
        <w:t>金融专线400-903-9583。</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1.4.3</w:t>
      </w:r>
      <w:r>
        <w:rPr>
          <w:rFonts w:hint="eastAsia"/>
          <w:color w:val="auto"/>
          <w:highlight w:val="none"/>
          <w:shd w:val="clear" w:color="auto" w:fill="auto"/>
        </w:rPr>
        <w:t>甲方迟延支付乙方款项的，向乙方支付逾期利息。双方可以在合同专用条款中约定逾期利率，约定利率不得低于合同订立时</w:t>
      </w:r>
      <w:r>
        <w:rPr>
          <w:color w:val="auto"/>
          <w:highlight w:val="none"/>
          <w:shd w:val="clear" w:color="auto" w:fill="auto"/>
        </w:rPr>
        <w:t>1年</w:t>
      </w:r>
      <w:r>
        <w:rPr>
          <w:rFonts w:hint="eastAsia"/>
          <w:color w:val="auto"/>
          <w:highlight w:val="none"/>
          <w:shd w:val="clear" w:color="auto" w:fill="auto"/>
        </w:rPr>
        <w:t>期贷款市场报价利率；未作约定的，按照每日利率万分之五支付逾期利息。</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1.4.4资金支付的方式、时间和条件详见</w:t>
      </w:r>
      <w:r>
        <w:rPr>
          <w:rFonts w:hint="eastAsia"/>
          <w:b/>
          <w:i/>
          <w:color w:val="auto"/>
          <w:highlight w:val="none"/>
          <w:u w:val="single"/>
          <w:shd w:val="clear" w:color="auto" w:fill="auto"/>
        </w:rPr>
        <w:t>合同专用条款</w:t>
      </w:r>
      <w:r>
        <w:rPr>
          <w:rFonts w:hint="eastAsia"/>
          <w:color w:val="auto"/>
          <w:highlight w:val="none"/>
          <w:shd w:val="clear" w:color="auto" w:fill="auto"/>
        </w:rPr>
        <w:t>。</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1.4.5</w:t>
      </w:r>
      <w:r>
        <w:rPr>
          <w:rFonts w:hint="eastAsia"/>
          <w:color w:val="auto"/>
          <w:highlight w:val="none"/>
          <w:shd w:val="clear" w:color="auto" w:fill="auto"/>
        </w:rPr>
        <w:t>乙方</w:t>
      </w:r>
      <w:r>
        <w:rPr>
          <w:color w:val="auto"/>
          <w:highlight w:val="none"/>
          <w:shd w:val="clear" w:color="auto" w:fill="auto"/>
        </w:rPr>
        <w:t>可以登录：http://czj.hangzhou.gov.cn/zfcg（杭州市政府采购网），在线发起付款申请和提交发票，并可以在线查询支付信息。具体操作指南可以查询该网站文件《杭州市财政局关于进一步加强政府采购信息公开优化营商环境的通知》（</w:t>
      </w:r>
      <w:r>
        <w:rPr>
          <w:rFonts w:hint="eastAsia"/>
          <w:color w:val="auto"/>
          <w:highlight w:val="none"/>
          <w:shd w:val="clear" w:color="auto" w:fill="auto"/>
        </w:rPr>
        <w:t>杭财采监〔</w:t>
      </w:r>
      <w:r>
        <w:rPr>
          <w:color w:val="auto"/>
          <w:highlight w:val="none"/>
          <w:shd w:val="clear" w:color="auto" w:fill="auto"/>
        </w:rPr>
        <w:t>2021〕17号）。</w:t>
      </w:r>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438" w:name="_Toc2846"/>
      <w:bookmarkStart w:id="439" w:name="_Toc19304"/>
      <w:bookmarkStart w:id="440" w:name="_Toc32071"/>
      <w:r>
        <w:rPr>
          <w:color w:val="auto"/>
          <w:highlight w:val="none"/>
          <w:shd w:val="clear" w:color="auto" w:fill="auto"/>
        </w:rPr>
        <w:t xml:space="preserve">1.5 </w:t>
      </w:r>
      <w:r>
        <w:rPr>
          <w:rFonts w:hint="eastAsia"/>
          <w:color w:val="auto"/>
          <w:highlight w:val="none"/>
          <w:shd w:val="clear" w:color="auto" w:fill="auto"/>
        </w:rPr>
        <w:t>货物交付期限、地点和方式</w:t>
      </w:r>
      <w:bookmarkEnd w:id="438"/>
      <w:bookmarkEnd w:id="439"/>
      <w:bookmarkEnd w:id="440"/>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u w:val="single"/>
          <w:shd w:val="clear" w:color="auto" w:fill="auto"/>
        </w:rPr>
      </w:pPr>
      <w:r>
        <w:rPr>
          <w:color w:val="auto"/>
          <w:highlight w:val="none"/>
          <w:shd w:val="clear" w:color="auto" w:fill="auto"/>
        </w:rPr>
        <w:t xml:space="preserve">1.5.1 </w:t>
      </w:r>
      <w:r>
        <w:rPr>
          <w:rFonts w:hint="eastAsia"/>
          <w:color w:val="auto"/>
          <w:highlight w:val="none"/>
          <w:shd w:val="clear" w:color="auto" w:fill="auto"/>
        </w:rPr>
        <w:t>交付期限：</w:t>
      </w:r>
      <w:r>
        <w:rPr>
          <w:color w:val="auto"/>
          <w:highlight w:val="none"/>
          <w:shd w:val="clear" w:color="auto" w:fill="auto"/>
        </w:rPr>
        <w:t>详见</w:t>
      </w:r>
      <w:r>
        <w:rPr>
          <w:rFonts w:hint="eastAsia"/>
          <w:b/>
          <w:i/>
          <w:color w:val="auto"/>
          <w:highlight w:val="none"/>
          <w:u w:val="single"/>
          <w:shd w:val="clear" w:color="auto" w:fill="auto"/>
        </w:rPr>
        <w:t>合同专用条款</w:t>
      </w:r>
      <w:r>
        <w:rPr>
          <w:rFonts w:hint="eastAsia"/>
          <w:color w:val="auto"/>
          <w:highlight w:val="none"/>
          <w:shd w:val="clear" w:color="auto" w:fill="auto"/>
        </w:rPr>
        <w:t>；</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1.5.2 </w:t>
      </w:r>
      <w:r>
        <w:rPr>
          <w:rFonts w:hint="eastAsia"/>
          <w:color w:val="auto"/>
          <w:highlight w:val="none"/>
          <w:shd w:val="clear" w:color="auto" w:fill="auto"/>
        </w:rPr>
        <w:t>交付地点：</w:t>
      </w:r>
      <w:r>
        <w:rPr>
          <w:rFonts w:hint="eastAsia"/>
          <w:b/>
          <w:i/>
          <w:color w:val="auto"/>
          <w:highlight w:val="none"/>
          <w:u w:val="single"/>
          <w:shd w:val="clear" w:color="auto" w:fill="auto"/>
        </w:rPr>
        <w:t>合同专用条款</w:t>
      </w:r>
      <w:r>
        <w:rPr>
          <w:rFonts w:hint="eastAsia"/>
          <w:color w:val="auto"/>
          <w:highlight w:val="none"/>
          <w:shd w:val="clear" w:color="auto" w:fill="auto"/>
        </w:rPr>
        <w:t>；</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1.5.3 </w:t>
      </w:r>
      <w:r>
        <w:rPr>
          <w:rFonts w:hint="eastAsia"/>
          <w:color w:val="auto"/>
          <w:highlight w:val="none"/>
          <w:shd w:val="clear" w:color="auto" w:fill="auto"/>
        </w:rPr>
        <w:t>交付方式：</w:t>
      </w:r>
      <w:r>
        <w:rPr>
          <w:rFonts w:hint="eastAsia"/>
          <w:b/>
          <w:i/>
          <w:color w:val="auto"/>
          <w:highlight w:val="none"/>
          <w:u w:val="single"/>
          <w:shd w:val="clear" w:color="auto" w:fill="auto"/>
        </w:rPr>
        <w:t>合同专用条款</w:t>
      </w:r>
      <w:r>
        <w:rPr>
          <w:rFonts w:hint="eastAsia"/>
          <w:color w:val="auto"/>
          <w:highlight w:val="none"/>
          <w:shd w:val="clear" w:color="auto" w:fill="auto"/>
        </w:rPr>
        <w:t>。</w:t>
      </w:r>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441" w:name="_Toc21423"/>
      <w:bookmarkStart w:id="442" w:name="_Toc27250"/>
      <w:bookmarkStart w:id="443" w:name="_Toc19554"/>
      <w:r>
        <w:rPr>
          <w:color w:val="auto"/>
          <w:highlight w:val="none"/>
          <w:shd w:val="clear" w:color="auto" w:fill="auto"/>
        </w:rPr>
        <w:t xml:space="preserve">1.6 </w:t>
      </w:r>
      <w:r>
        <w:rPr>
          <w:rFonts w:hint="eastAsia"/>
          <w:color w:val="auto"/>
          <w:highlight w:val="none"/>
          <w:shd w:val="clear" w:color="auto" w:fill="auto"/>
        </w:rPr>
        <w:t>违约责任</w:t>
      </w:r>
      <w:bookmarkEnd w:id="441"/>
      <w:bookmarkEnd w:id="442"/>
      <w:bookmarkEnd w:id="443"/>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1.6.1 </w:t>
      </w:r>
      <w:r>
        <w:rPr>
          <w:rFonts w:hint="eastAsia"/>
          <w:color w:val="auto"/>
          <w:highlight w:val="none"/>
          <w:shd w:val="clear" w:color="auto" w:fill="auto"/>
        </w:rPr>
        <w:t>除不可抗力外，如果乙方没有按照本合同约定的期限、地点和方式交付货物，那么甲方可要求乙方支付违约金，违约金按每迟延交付货物一日的应交付而未交付货物价格的</w:t>
      </w:r>
      <w:r>
        <w:rPr>
          <w:color w:val="auto"/>
          <w:highlight w:val="none"/>
          <w:u w:val="single"/>
          <w:shd w:val="clear" w:color="auto" w:fill="auto"/>
        </w:rPr>
        <w:t xml:space="preserve">  </w:t>
      </w:r>
      <w:r>
        <w:rPr>
          <w:rFonts w:hint="eastAsia"/>
          <w:color w:val="auto"/>
          <w:highlight w:val="none"/>
          <w:u w:val="single"/>
          <w:shd w:val="clear" w:color="auto" w:fill="auto"/>
        </w:rPr>
        <w:t>0.05</w:t>
      </w:r>
      <w:r>
        <w:rPr>
          <w:color w:val="auto"/>
          <w:highlight w:val="none"/>
          <w:u w:val="single"/>
          <w:shd w:val="clear" w:color="auto" w:fill="auto"/>
        </w:rPr>
        <w:t xml:space="preserve">  </w:t>
      </w:r>
      <w:r>
        <w:rPr>
          <w:color w:val="auto"/>
          <w:highlight w:val="none"/>
          <w:shd w:val="clear" w:color="auto" w:fill="auto"/>
        </w:rPr>
        <w:t>%计算，最高限额为本合同总价的</w:t>
      </w:r>
      <w:r>
        <w:rPr>
          <w:color w:val="auto"/>
          <w:highlight w:val="none"/>
          <w:u w:val="single"/>
          <w:shd w:val="clear" w:color="auto" w:fill="auto"/>
        </w:rPr>
        <w:t xml:space="preserve"> </w:t>
      </w:r>
      <w:r>
        <w:rPr>
          <w:rFonts w:hint="eastAsia"/>
          <w:color w:val="auto"/>
          <w:highlight w:val="none"/>
          <w:u w:val="single"/>
          <w:shd w:val="clear" w:color="auto" w:fill="auto"/>
        </w:rPr>
        <w:t>20</w:t>
      </w:r>
      <w:r>
        <w:rPr>
          <w:color w:val="auto"/>
          <w:highlight w:val="none"/>
          <w:u w:val="single"/>
          <w:shd w:val="clear" w:color="auto" w:fill="auto"/>
        </w:rPr>
        <w:t xml:space="preserve">  </w:t>
      </w:r>
      <w:r>
        <w:rPr>
          <w:color w:val="auto"/>
          <w:highlight w:val="none"/>
          <w:shd w:val="clear" w:color="auto" w:fill="auto"/>
        </w:rPr>
        <w:t>%；迟延交付货物的违约金计算数额达到前述最高限额之日起，甲方有权在要求乙方支付违约金的同时，书面通知乙方解除本合同；</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1.6.2 </w:t>
      </w:r>
      <w:r>
        <w:rPr>
          <w:rFonts w:hint="eastAsia"/>
          <w:color w:val="auto"/>
          <w:highlight w:val="none"/>
          <w:shd w:val="clear" w:color="auto" w:fill="auto"/>
        </w:rPr>
        <w:t>除不可抗力外，如果甲方没有按照本合同约定的付款方式付款，那么乙方可要求甲方支付违约金，违约金按每迟延付款一日的应付而未付款的</w:t>
      </w:r>
      <w:r>
        <w:rPr>
          <w:color w:val="auto"/>
          <w:highlight w:val="none"/>
          <w:u w:val="single"/>
          <w:shd w:val="clear" w:color="auto" w:fill="auto"/>
        </w:rPr>
        <w:t xml:space="preserve">  </w:t>
      </w:r>
      <w:r>
        <w:rPr>
          <w:rFonts w:hint="eastAsia"/>
          <w:color w:val="auto"/>
          <w:highlight w:val="none"/>
          <w:u w:val="single"/>
          <w:shd w:val="clear" w:color="auto" w:fill="auto"/>
        </w:rPr>
        <w:t>0.05</w:t>
      </w:r>
      <w:r>
        <w:rPr>
          <w:color w:val="auto"/>
          <w:highlight w:val="none"/>
          <w:u w:val="single"/>
          <w:shd w:val="clear" w:color="auto" w:fill="auto"/>
        </w:rPr>
        <w:t xml:space="preserve">  </w:t>
      </w:r>
      <w:r>
        <w:rPr>
          <w:color w:val="auto"/>
          <w:highlight w:val="none"/>
          <w:shd w:val="clear" w:color="auto" w:fill="auto"/>
        </w:rPr>
        <w:t>%计算，最高限额为本合同总价的</w:t>
      </w:r>
      <w:r>
        <w:rPr>
          <w:color w:val="auto"/>
          <w:highlight w:val="none"/>
          <w:u w:val="single"/>
          <w:shd w:val="clear" w:color="auto" w:fill="auto"/>
        </w:rPr>
        <w:t xml:space="preserve">  </w:t>
      </w:r>
      <w:r>
        <w:rPr>
          <w:rFonts w:hint="eastAsia"/>
          <w:color w:val="auto"/>
          <w:highlight w:val="none"/>
          <w:u w:val="single"/>
          <w:shd w:val="clear" w:color="auto" w:fill="auto"/>
        </w:rPr>
        <w:t>20</w:t>
      </w:r>
      <w:r>
        <w:rPr>
          <w:color w:val="auto"/>
          <w:highlight w:val="none"/>
          <w:u w:val="single"/>
          <w:shd w:val="clear" w:color="auto" w:fill="auto"/>
        </w:rPr>
        <w:t xml:space="preserve">   </w:t>
      </w:r>
      <w:r>
        <w:rPr>
          <w:color w:val="auto"/>
          <w:highlight w:val="none"/>
          <w:shd w:val="clear" w:color="auto" w:fill="auto"/>
        </w:rPr>
        <w:t>%；迟延付款的违约金计算数额达到前述最高限额之日起，乙方有权在要求甲方支付违约金的同时，书面通知甲方解除本合同；</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1.6.3 </w:t>
      </w:r>
      <w:r>
        <w:rPr>
          <w:rFonts w:hint="eastAsia"/>
          <w:color w:val="auto"/>
          <w:highlight w:val="none"/>
          <w:shd w:val="clear" w:color="auto" w:fill="auto"/>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1.6.4 </w:t>
      </w:r>
      <w:r>
        <w:rPr>
          <w:rFonts w:hint="eastAsia"/>
          <w:color w:val="auto"/>
          <w:highlight w:val="none"/>
          <w:shd w:val="clear" w:color="auto" w:fill="auto"/>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1.6.5 </w:t>
      </w:r>
      <w:r>
        <w:rPr>
          <w:rFonts w:hint="eastAsia"/>
          <w:color w:val="auto"/>
          <w:highlight w:val="none"/>
          <w:shd w:val="clear" w:color="auto" w:fill="auto"/>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1.6.6 </w:t>
      </w:r>
      <w:r>
        <w:rPr>
          <w:rFonts w:hint="eastAsia"/>
          <w:color w:val="auto"/>
          <w:highlight w:val="none"/>
          <w:shd w:val="clear" w:color="auto" w:fill="auto"/>
        </w:rPr>
        <w:t>如果出现政府采购监督管理部门在处理投诉事项期间，书面通知甲方暂停采购活动的情形，或者询问或质疑事项可能影响中标结果的，导致甲方中止履行合同的情形，均不视为甲方违约。</w:t>
      </w:r>
    </w:p>
    <w:p>
      <w:pPr>
        <w:keepNext w:val="0"/>
        <w:keepLines w:val="0"/>
        <w:pageBreakBefore w:val="0"/>
        <w:widowControl/>
        <w:kinsoku/>
        <w:wordWrap/>
        <w:overflowPunct/>
        <w:topLinePunct w:val="0"/>
        <w:autoSpaceDE/>
        <w:autoSpaceDN/>
        <w:bidi w:val="0"/>
        <w:adjustRightInd/>
        <w:snapToGrid/>
        <w:spacing w:after="0" w:line="360" w:lineRule="auto"/>
        <w:ind w:left="-480" w:leftChars="-200" w:right="-480" w:rightChars="-200" w:firstLine="960" w:firstLineChars="400"/>
        <w:textAlignment w:val="auto"/>
        <w:rPr>
          <w:color w:val="auto"/>
          <w:highlight w:val="none"/>
          <w:shd w:val="clear" w:color="auto" w:fill="auto"/>
        </w:rPr>
      </w:pPr>
      <w:r>
        <w:rPr>
          <w:rFonts w:hint="eastAsia"/>
          <w:color w:val="auto"/>
          <w:highlight w:val="none"/>
          <w:shd w:val="clear" w:color="auto" w:fill="auto"/>
        </w:rPr>
        <w:t>1.6.7违约责任</w:t>
      </w:r>
      <w:r>
        <w:rPr>
          <w:rFonts w:hint="eastAsia"/>
          <w:b/>
          <w:i/>
          <w:color w:val="auto"/>
          <w:highlight w:val="none"/>
          <w:u w:val="single"/>
          <w:shd w:val="clear" w:color="auto" w:fill="auto"/>
        </w:rPr>
        <w:t>合同专用条款</w:t>
      </w:r>
      <w:r>
        <w:rPr>
          <w:rFonts w:hint="eastAsia"/>
          <w:color w:val="auto"/>
          <w:highlight w:val="none"/>
          <w:shd w:val="clear" w:color="auto" w:fill="auto"/>
        </w:rPr>
        <w:t>另有约定的，从其约定。</w:t>
      </w:r>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444" w:name="_Toc15583"/>
      <w:bookmarkStart w:id="445" w:name="_Toc28375"/>
      <w:bookmarkStart w:id="446" w:name="_Toc16021"/>
      <w:r>
        <w:rPr>
          <w:color w:val="auto"/>
          <w:highlight w:val="none"/>
          <w:shd w:val="clear" w:color="auto" w:fill="auto"/>
        </w:rPr>
        <w:t xml:space="preserve">1.7 </w:t>
      </w:r>
      <w:r>
        <w:rPr>
          <w:rFonts w:hint="eastAsia"/>
          <w:color w:val="auto"/>
          <w:highlight w:val="none"/>
          <w:shd w:val="clear" w:color="auto" w:fill="auto"/>
        </w:rPr>
        <w:t>合同争议的解决</w:t>
      </w:r>
      <w:bookmarkEnd w:id="444"/>
      <w:bookmarkEnd w:id="445"/>
      <w:bookmarkEnd w:id="446"/>
    </w:p>
    <w:p>
      <w:pPr>
        <w:keepNext w:val="0"/>
        <w:keepLines w:val="0"/>
        <w:pageBreakBefore w:val="0"/>
        <w:widowControl/>
        <w:kinsoku/>
        <w:wordWrap/>
        <w:overflowPunct/>
        <w:topLinePunct w:val="0"/>
        <w:autoSpaceDE/>
        <w:autoSpaceDN/>
        <w:bidi w:val="0"/>
        <w:adjustRightInd/>
        <w:snapToGrid/>
        <w:spacing w:after="0" w:line="360" w:lineRule="auto"/>
        <w:ind w:left="-70" w:leftChars="-29" w:right="-480" w:rightChars="-200" w:firstLine="240" w:firstLineChars="100"/>
        <w:textAlignment w:val="auto"/>
        <w:rPr>
          <w:rFonts w:hint="eastAsia"/>
          <w:color w:val="auto"/>
          <w:highlight w:val="none"/>
          <w:shd w:val="clear" w:color="auto" w:fill="auto"/>
        </w:rPr>
      </w:pPr>
      <w:r>
        <w:rPr>
          <w:rFonts w:hint="eastAsia"/>
          <w:color w:val="auto"/>
          <w:highlight w:val="none"/>
          <w:shd w:val="clear" w:color="auto" w:fill="auto"/>
        </w:rPr>
        <w:t xml:space="preserve">  本合同履行过程中发生的任何争议，双方当事人均可通过和解或者调解解决；不愿和解、调解或者和解、调解不成的，可以选择以下第</w:t>
      </w:r>
      <w:r>
        <w:rPr>
          <w:rFonts w:hint="eastAsia"/>
          <w:b/>
          <w:i/>
          <w:color w:val="auto"/>
          <w:highlight w:val="none"/>
          <w:u w:val="single"/>
          <w:shd w:val="clear" w:color="auto" w:fill="auto"/>
        </w:rPr>
        <w:t xml:space="preserve"> 合同专用条款  </w:t>
      </w:r>
      <w:r>
        <w:rPr>
          <w:rFonts w:hint="eastAsia"/>
          <w:color w:val="auto"/>
          <w:highlight w:val="none"/>
          <w:shd w:val="clear" w:color="auto" w:fill="auto"/>
        </w:rPr>
        <w:t>条款规定的方式解决：</w:t>
      </w:r>
    </w:p>
    <w:p>
      <w:pPr>
        <w:keepNext w:val="0"/>
        <w:keepLines w:val="0"/>
        <w:pageBreakBefore w:val="0"/>
        <w:widowControl/>
        <w:kinsoku/>
        <w:wordWrap/>
        <w:overflowPunct/>
        <w:topLinePunct w:val="0"/>
        <w:autoSpaceDE/>
        <w:autoSpaceDN/>
        <w:bidi w:val="0"/>
        <w:adjustRightInd/>
        <w:snapToGrid/>
        <w:spacing w:after="0" w:line="360" w:lineRule="auto"/>
        <w:ind w:right="-480" w:rightChars="-200" w:firstLine="480" w:firstLineChars="200"/>
        <w:textAlignment w:val="auto"/>
        <w:rPr>
          <w:rFonts w:hint="eastAsia"/>
          <w:color w:val="auto"/>
          <w:highlight w:val="none"/>
          <w:shd w:val="clear" w:color="auto" w:fill="auto"/>
        </w:rPr>
      </w:pPr>
      <w:r>
        <w:rPr>
          <w:color w:val="auto"/>
          <w:highlight w:val="none"/>
          <w:shd w:val="clear" w:color="auto" w:fill="auto"/>
        </w:rPr>
        <w:t xml:space="preserve">1.7.1 </w:t>
      </w:r>
      <w:r>
        <w:rPr>
          <w:rFonts w:hint="eastAsia"/>
          <w:color w:val="auto"/>
          <w:highlight w:val="none"/>
          <w:shd w:val="clear" w:color="auto" w:fill="auto"/>
        </w:rPr>
        <w:t>将争议提交</w:t>
      </w:r>
      <w:r>
        <w:rPr>
          <w:rFonts w:hint="eastAsia"/>
          <w:b/>
          <w:i/>
          <w:color w:val="auto"/>
          <w:highlight w:val="none"/>
          <w:u w:val="single"/>
          <w:shd w:val="clear" w:color="auto" w:fill="auto"/>
        </w:rPr>
        <w:t>合同专用条款</w:t>
      </w:r>
      <w:r>
        <w:rPr>
          <w:rFonts w:hint="eastAsia"/>
          <w:color w:val="auto"/>
          <w:highlight w:val="none"/>
          <w:shd w:val="clear" w:color="auto" w:fill="auto"/>
        </w:rPr>
        <w:t>仲裁委员会依申请仲裁时其现行有效的仲裁规则裁决；</w:t>
      </w:r>
    </w:p>
    <w:p>
      <w:pPr>
        <w:keepNext w:val="0"/>
        <w:keepLines w:val="0"/>
        <w:pageBreakBefore w:val="0"/>
        <w:widowControl/>
        <w:kinsoku/>
        <w:wordWrap/>
        <w:overflowPunct/>
        <w:topLinePunct w:val="0"/>
        <w:autoSpaceDE/>
        <w:autoSpaceDN/>
        <w:bidi w:val="0"/>
        <w:adjustRightInd/>
        <w:snapToGrid/>
        <w:spacing w:after="0" w:line="360" w:lineRule="auto"/>
        <w:ind w:right="-480" w:rightChars="-200" w:firstLine="480" w:firstLineChars="200"/>
        <w:textAlignment w:val="auto"/>
        <w:rPr>
          <w:color w:val="auto"/>
          <w:highlight w:val="none"/>
          <w:shd w:val="clear" w:color="auto" w:fill="auto"/>
        </w:rPr>
      </w:pPr>
      <w:r>
        <w:rPr>
          <w:color w:val="auto"/>
          <w:highlight w:val="none"/>
          <w:shd w:val="clear" w:color="auto" w:fill="auto"/>
        </w:rPr>
        <w:t xml:space="preserve">1.7.2 </w:t>
      </w:r>
      <w:r>
        <w:rPr>
          <w:rFonts w:hint="eastAsia"/>
          <w:color w:val="auto"/>
          <w:highlight w:val="none"/>
          <w:shd w:val="clear" w:color="auto" w:fill="auto"/>
        </w:rPr>
        <w:t>向</w:t>
      </w:r>
      <w:r>
        <w:rPr>
          <w:rFonts w:hint="eastAsia"/>
          <w:b/>
          <w:i/>
          <w:color w:val="auto"/>
          <w:highlight w:val="none"/>
          <w:u w:val="single"/>
          <w:shd w:val="clear" w:color="auto" w:fill="auto"/>
        </w:rPr>
        <w:t>合同专用条款</w:t>
      </w:r>
      <w:r>
        <w:rPr>
          <w:rFonts w:hint="eastAsia"/>
          <w:color w:val="auto"/>
          <w:highlight w:val="none"/>
          <w:shd w:val="clear" w:color="auto" w:fill="auto"/>
        </w:rPr>
        <w:t>人民法院起诉。</w:t>
      </w:r>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447" w:name="_Toc7245"/>
      <w:bookmarkStart w:id="448" w:name="_Toc15322"/>
      <w:bookmarkStart w:id="449" w:name="_Toc11173"/>
      <w:r>
        <w:rPr>
          <w:color w:val="auto"/>
          <w:highlight w:val="none"/>
          <w:shd w:val="clear" w:color="auto" w:fill="auto"/>
        </w:rPr>
        <w:t xml:space="preserve">1.8 </w:t>
      </w:r>
      <w:r>
        <w:rPr>
          <w:rFonts w:hint="eastAsia"/>
          <w:color w:val="auto"/>
          <w:highlight w:val="none"/>
          <w:shd w:val="clear" w:color="auto" w:fill="auto"/>
        </w:rPr>
        <w:t>合同生效</w:t>
      </w:r>
      <w:bookmarkEnd w:id="447"/>
      <w:bookmarkEnd w:id="448"/>
      <w:bookmarkEnd w:id="449"/>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b/>
          <w:color w:val="auto"/>
          <w:highlight w:val="none"/>
          <w:shd w:val="clear" w:color="auto" w:fill="auto"/>
        </w:rPr>
      </w:pPr>
      <w:r>
        <w:rPr>
          <w:rFonts w:hint="eastAsia"/>
          <w:color w:val="auto"/>
          <w:highlight w:val="none"/>
          <w:shd w:val="clear" w:color="auto" w:fill="auto"/>
        </w:rPr>
        <w:t>本合同自双方当事人盖章或者签字时生效。</w:t>
      </w:r>
    </w:p>
    <w:p>
      <w:pPr>
        <w:autoSpaceDE w:val="0"/>
        <w:autoSpaceDN w:val="0"/>
        <w:spacing w:line="560" w:lineRule="exact"/>
        <w:rPr>
          <w:color w:val="auto"/>
          <w:highlight w:val="none"/>
          <w:shd w:val="clear" w:color="auto" w:fill="auto"/>
          <w:lang w:val="zh-CN"/>
        </w:rPr>
      </w:pPr>
    </w:p>
    <w:p>
      <w:pPr>
        <w:autoSpaceDE w:val="0"/>
        <w:autoSpaceDN w:val="0"/>
        <w:spacing w:line="560" w:lineRule="exact"/>
        <w:rPr>
          <w:color w:val="auto"/>
          <w:highlight w:val="none"/>
          <w:shd w:val="clear" w:color="auto" w:fill="auto"/>
          <w:lang w:val="zh-CN"/>
        </w:rPr>
      </w:pPr>
      <w:r>
        <w:rPr>
          <w:rFonts w:hint="eastAsia"/>
          <w:b/>
          <w:color w:val="auto"/>
          <w:highlight w:val="none"/>
          <w:shd w:val="clear" w:color="auto" w:fill="auto"/>
          <w:lang w:val="zh-CN"/>
        </w:rPr>
        <w:t>甲方</w:t>
      </w:r>
      <w:r>
        <w:rPr>
          <w:rFonts w:hint="eastAsia"/>
          <w:color w:val="auto"/>
          <w:highlight w:val="none"/>
          <w:shd w:val="clear" w:color="auto" w:fill="auto"/>
          <w:lang w:val="zh-CN"/>
        </w:rPr>
        <w:t>：</w:t>
      </w:r>
      <w:r>
        <w:rPr>
          <w:color w:val="auto"/>
          <w:highlight w:val="none"/>
          <w:shd w:val="clear" w:color="auto" w:fill="auto"/>
          <w:lang w:val="zh-CN"/>
        </w:rPr>
        <w:t xml:space="preserve">                             </w:t>
      </w:r>
      <w:r>
        <w:rPr>
          <w:b/>
          <w:color w:val="auto"/>
          <w:highlight w:val="none"/>
          <w:shd w:val="clear" w:color="auto" w:fill="auto"/>
          <w:lang w:val="zh-CN"/>
        </w:rPr>
        <w:t xml:space="preserve">      乙方</w:t>
      </w:r>
      <w:r>
        <w:rPr>
          <w:rFonts w:hint="eastAsia"/>
          <w:color w:val="auto"/>
          <w:highlight w:val="none"/>
          <w:shd w:val="clear" w:color="auto" w:fill="auto"/>
          <w:lang w:val="zh-CN"/>
        </w:rPr>
        <w:t>：</w:t>
      </w:r>
    </w:p>
    <w:p>
      <w:pPr>
        <w:autoSpaceDE w:val="0"/>
        <w:autoSpaceDN w:val="0"/>
        <w:spacing w:line="560" w:lineRule="exact"/>
        <w:rPr>
          <w:color w:val="auto"/>
          <w:highlight w:val="none"/>
          <w:shd w:val="clear" w:color="auto" w:fill="auto"/>
          <w:lang w:val="zh-CN"/>
        </w:rPr>
      </w:pPr>
      <w:r>
        <w:rPr>
          <w:rFonts w:hint="eastAsia"/>
          <w:color w:val="auto"/>
          <w:highlight w:val="none"/>
          <w:shd w:val="clear" w:color="auto" w:fill="auto"/>
          <w:lang w:val="zh-CN"/>
        </w:rPr>
        <w:t>统一社会信用代码：</w:t>
      </w:r>
      <w:r>
        <w:rPr>
          <w:color w:val="auto"/>
          <w:highlight w:val="none"/>
          <w:shd w:val="clear" w:color="auto" w:fill="auto"/>
          <w:lang w:val="zh-CN"/>
        </w:rPr>
        <w:t xml:space="preserve">                        </w:t>
      </w:r>
      <w:r>
        <w:rPr>
          <w:rFonts w:hint="eastAsia"/>
          <w:color w:val="auto"/>
          <w:highlight w:val="none"/>
          <w:shd w:val="clear" w:color="auto" w:fill="auto"/>
          <w:lang w:val="zh-CN"/>
        </w:rPr>
        <w:t>统一社会信用代码或身份证号码：</w:t>
      </w:r>
    </w:p>
    <w:p>
      <w:pPr>
        <w:autoSpaceDE w:val="0"/>
        <w:autoSpaceDN w:val="0"/>
        <w:spacing w:line="560" w:lineRule="exact"/>
        <w:rPr>
          <w:color w:val="auto"/>
          <w:highlight w:val="none"/>
          <w:shd w:val="clear" w:color="auto" w:fill="auto"/>
          <w:lang w:val="zh-CN"/>
        </w:rPr>
      </w:pPr>
    </w:p>
    <w:p>
      <w:pPr>
        <w:autoSpaceDE w:val="0"/>
        <w:autoSpaceDN w:val="0"/>
        <w:spacing w:line="560" w:lineRule="exact"/>
        <w:rPr>
          <w:color w:val="auto"/>
          <w:highlight w:val="none"/>
          <w:shd w:val="clear" w:color="auto" w:fill="auto"/>
          <w:lang w:val="zh-CN"/>
        </w:rPr>
      </w:pPr>
      <w:r>
        <w:rPr>
          <w:rFonts w:hint="eastAsia"/>
          <w:color w:val="auto"/>
          <w:highlight w:val="none"/>
          <w:shd w:val="clear" w:color="auto" w:fill="auto"/>
          <w:lang w:val="zh-CN"/>
        </w:rPr>
        <w:t>住所：</w:t>
      </w:r>
      <w:r>
        <w:rPr>
          <w:color w:val="auto"/>
          <w:highlight w:val="none"/>
          <w:shd w:val="clear" w:color="auto" w:fill="auto"/>
          <w:lang w:val="zh-CN"/>
        </w:rPr>
        <w:t xml:space="preserve">                                   </w:t>
      </w:r>
      <w:r>
        <w:rPr>
          <w:rFonts w:hint="eastAsia"/>
          <w:color w:val="auto"/>
          <w:highlight w:val="none"/>
          <w:shd w:val="clear" w:color="auto" w:fill="auto"/>
          <w:lang w:val="zh-CN"/>
        </w:rPr>
        <w:t>住所：</w:t>
      </w:r>
    </w:p>
    <w:p>
      <w:pPr>
        <w:autoSpaceDE w:val="0"/>
        <w:autoSpaceDN w:val="0"/>
        <w:spacing w:line="560" w:lineRule="exact"/>
        <w:rPr>
          <w:color w:val="auto"/>
          <w:highlight w:val="none"/>
          <w:shd w:val="clear" w:color="auto" w:fill="auto"/>
          <w:lang w:val="zh-CN"/>
        </w:rPr>
      </w:pPr>
      <w:r>
        <w:rPr>
          <w:rFonts w:hint="eastAsia"/>
          <w:color w:val="auto"/>
          <w:highlight w:val="none"/>
          <w:shd w:val="clear" w:color="auto" w:fill="auto"/>
          <w:lang w:val="zh-CN"/>
        </w:rPr>
        <w:t>法定代表人或</w:t>
      </w:r>
      <w:r>
        <w:rPr>
          <w:color w:val="auto"/>
          <w:highlight w:val="none"/>
          <w:shd w:val="clear" w:color="auto" w:fill="auto"/>
          <w:lang w:val="zh-CN"/>
        </w:rPr>
        <w:t xml:space="preserve">                             </w:t>
      </w:r>
      <w:r>
        <w:rPr>
          <w:rFonts w:hint="eastAsia"/>
          <w:color w:val="auto"/>
          <w:highlight w:val="none"/>
          <w:shd w:val="clear" w:color="auto" w:fill="auto"/>
          <w:lang w:val="zh-CN"/>
        </w:rPr>
        <w:t>法定代表人</w:t>
      </w:r>
    </w:p>
    <w:p>
      <w:pPr>
        <w:autoSpaceDE w:val="0"/>
        <w:autoSpaceDN w:val="0"/>
        <w:spacing w:line="560" w:lineRule="exact"/>
        <w:rPr>
          <w:color w:val="auto"/>
          <w:highlight w:val="none"/>
          <w:shd w:val="clear" w:color="auto" w:fill="auto"/>
          <w:lang w:val="zh-CN"/>
        </w:rPr>
      </w:pPr>
      <w:r>
        <w:rPr>
          <w:rFonts w:hint="eastAsia"/>
          <w:color w:val="auto"/>
          <w:highlight w:val="none"/>
          <w:shd w:val="clear" w:color="auto" w:fill="auto"/>
          <w:lang w:val="zh-CN"/>
        </w:rPr>
        <w:t>授权代表（签字）：</w:t>
      </w:r>
      <w:r>
        <w:rPr>
          <w:color w:val="auto"/>
          <w:highlight w:val="none"/>
          <w:shd w:val="clear" w:color="auto" w:fill="auto"/>
          <w:lang w:val="zh-CN"/>
        </w:rPr>
        <w:t xml:space="preserve">                        或授权代表（签字）: </w:t>
      </w:r>
    </w:p>
    <w:p>
      <w:pPr>
        <w:autoSpaceDE w:val="0"/>
        <w:autoSpaceDN w:val="0"/>
        <w:spacing w:line="560" w:lineRule="exact"/>
        <w:rPr>
          <w:color w:val="auto"/>
          <w:highlight w:val="none"/>
          <w:shd w:val="clear" w:color="auto" w:fill="auto"/>
          <w:lang w:val="zh-CN"/>
        </w:rPr>
      </w:pPr>
      <w:r>
        <w:rPr>
          <w:rFonts w:hint="eastAsia"/>
          <w:color w:val="auto"/>
          <w:highlight w:val="none"/>
          <w:shd w:val="clear" w:color="auto" w:fill="auto"/>
          <w:lang w:val="zh-CN"/>
        </w:rPr>
        <w:t>联系人：</w:t>
      </w:r>
      <w:r>
        <w:rPr>
          <w:color w:val="auto"/>
          <w:highlight w:val="none"/>
          <w:shd w:val="clear" w:color="auto" w:fill="auto"/>
          <w:lang w:val="zh-CN"/>
        </w:rPr>
        <w:t xml:space="preserve">                                 </w:t>
      </w:r>
      <w:r>
        <w:rPr>
          <w:rFonts w:hint="eastAsia"/>
          <w:color w:val="auto"/>
          <w:highlight w:val="none"/>
          <w:shd w:val="clear" w:color="auto" w:fill="auto"/>
          <w:lang w:val="zh-CN"/>
        </w:rPr>
        <w:t>联系人：</w:t>
      </w:r>
    </w:p>
    <w:p>
      <w:pPr>
        <w:autoSpaceDE w:val="0"/>
        <w:autoSpaceDN w:val="0"/>
        <w:spacing w:line="560" w:lineRule="exact"/>
        <w:rPr>
          <w:color w:val="auto"/>
          <w:highlight w:val="none"/>
          <w:shd w:val="clear" w:color="auto" w:fill="auto"/>
          <w:lang w:val="zh-CN"/>
        </w:rPr>
      </w:pPr>
      <w:r>
        <w:rPr>
          <w:rFonts w:hint="eastAsia"/>
          <w:color w:val="auto"/>
          <w:highlight w:val="none"/>
          <w:shd w:val="clear" w:color="auto" w:fill="auto"/>
          <w:lang w:val="zh-CN"/>
        </w:rPr>
        <w:t>约定送达地址：</w:t>
      </w:r>
      <w:r>
        <w:rPr>
          <w:color w:val="auto"/>
          <w:highlight w:val="none"/>
          <w:shd w:val="clear" w:color="auto" w:fill="auto"/>
          <w:lang w:val="zh-CN"/>
        </w:rPr>
        <w:t xml:space="preserve">                           </w:t>
      </w:r>
      <w:r>
        <w:rPr>
          <w:rFonts w:hint="eastAsia"/>
          <w:color w:val="auto"/>
          <w:highlight w:val="none"/>
          <w:shd w:val="clear" w:color="auto" w:fill="auto"/>
          <w:lang w:val="zh-CN"/>
        </w:rPr>
        <w:t>约定送达地址：</w:t>
      </w:r>
    </w:p>
    <w:p>
      <w:pPr>
        <w:autoSpaceDE w:val="0"/>
        <w:autoSpaceDN w:val="0"/>
        <w:spacing w:line="560" w:lineRule="exact"/>
        <w:rPr>
          <w:color w:val="auto"/>
          <w:highlight w:val="none"/>
          <w:shd w:val="clear" w:color="auto" w:fill="auto"/>
          <w:lang w:val="zh-CN"/>
        </w:rPr>
      </w:pPr>
      <w:r>
        <w:rPr>
          <w:rFonts w:hint="eastAsia"/>
          <w:color w:val="auto"/>
          <w:highlight w:val="none"/>
          <w:shd w:val="clear" w:color="auto" w:fill="auto"/>
          <w:lang w:val="zh-CN"/>
        </w:rPr>
        <w:t>邮政编码：</w:t>
      </w:r>
      <w:r>
        <w:rPr>
          <w:color w:val="auto"/>
          <w:highlight w:val="none"/>
          <w:shd w:val="clear" w:color="auto" w:fill="auto"/>
          <w:lang w:val="zh-CN"/>
        </w:rPr>
        <w:t xml:space="preserve">                               </w:t>
      </w:r>
      <w:r>
        <w:rPr>
          <w:rFonts w:hint="eastAsia"/>
          <w:color w:val="auto"/>
          <w:highlight w:val="none"/>
          <w:shd w:val="clear" w:color="auto" w:fill="auto"/>
          <w:lang w:val="zh-CN"/>
        </w:rPr>
        <w:t>邮政编码：</w:t>
      </w:r>
    </w:p>
    <w:p>
      <w:pPr>
        <w:autoSpaceDE w:val="0"/>
        <w:autoSpaceDN w:val="0"/>
        <w:spacing w:line="560" w:lineRule="exact"/>
        <w:rPr>
          <w:color w:val="auto"/>
          <w:highlight w:val="none"/>
          <w:shd w:val="clear" w:color="auto" w:fill="auto"/>
          <w:lang w:val="zh-CN"/>
        </w:rPr>
      </w:pPr>
      <w:r>
        <w:rPr>
          <w:rFonts w:hint="eastAsia"/>
          <w:color w:val="auto"/>
          <w:highlight w:val="none"/>
          <w:shd w:val="clear" w:color="auto" w:fill="auto"/>
          <w:lang w:val="zh-CN"/>
        </w:rPr>
        <w:t>电话</w:t>
      </w:r>
      <w:r>
        <w:rPr>
          <w:color w:val="auto"/>
          <w:highlight w:val="none"/>
          <w:shd w:val="clear" w:color="auto" w:fill="auto"/>
          <w:lang w:val="zh-CN"/>
        </w:rPr>
        <w:t xml:space="preserve">:                                    电话: </w:t>
      </w:r>
    </w:p>
    <w:p>
      <w:pPr>
        <w:autoSpaceDE w:val="0"/>
        <w:autoSpaceDN w:val="0"/>
        <w:spacing w:line="560" w:lineRule="exact"/>
        <w:rPr>
          <w:color w:val="auto"/>
          <w:highlight w:val="none"/>
          <w:shd w:val="clear" w:color="auto" w:fill="auto"/>
          <w:lang w:val="zh-CN"/>
        </w:rPr>
      </w:pPr>
      <w:r>
        <w:rPr>
          <w:rFonts w:hint="eastAsia"/>
          <w:color w:val="auto"/>
          <w:highlight w:val="none"/>
          <w:shd w:val="clear" w:color="auto" w:fill="auto"/>
          <w:lang w:val="zh-CN"/>
        </w:rPr>
        <w:t>传真</w:t>
      </w:r>
      <w:r>
        <w:rPr>
          <w:color w:val="auto"/>
          <w:highlight w:val="none"/>
          <w:shd w:val="clear" w:color="auto" w:fill="auto"/>
          <w:lang w:val="zh-CN"/>
        </w:rPr>
        <w:t xml:space="preserve">:                                    </w:t>
      </w:r>
      <w:r>
        <w:rPr>
          <w:rFonts w:hint="eastAsia"/>
          <w:color w:val="auto"/>
          <w:highlight w:val="none"/>
          <w:shd w:val="clear" w:color="auto" w:fill="auto"/>
          <w:lang w:val="zh-CN"/>
        </w:rPr>
        <w:t>传真</w:t>
      </w:r>
      <w:r>
        <w:rPr>
          <w:color w:val="auto"/>
          <w:highlight w:val="none"/>
          <w:shd w:val="clear" w:color="auto" w:fill="auto"/>
          <w:lang w:val="zh-CN"/>
        </w:rPr>
        <w:t>:</w:t>
      </w:r>
    </w:p>
    <w:p>
      <w:pPr>
        <w:autoSpaceDE w:val="0"/>
        <w:autoSpaceDN w:val="0"/>
        <w:spacing w:line="560" w:lineRule="exact"/>
        <w:rPr>
          <w:color w:val="auto"/>
          <w:highlight w:val="none"/>
          <w:shd w:val="clear" w:color="auto" w:fill="auto"/>
        </w:rPr>
      </w:pPr>
      <w:r>
        <w:rPr>
          <w:rFonts w:hint="eastAsia"/>
          <w:color w:val="auto"/>
          <w:highlight w:val="none"/>
          <w:shd w:val="clear" w:color="auto" w:fill="auto"/>
          <w:lang w:val="zh-CN"/>
        </w:rPr>
        <w:t>电子邮箱：</w:t>
      </w:r>
      <w:r>
        <w:rPr>
          <w:color w:val="auto"/>
          <w:highlight w:val="none"/>
          <w:shd w:val="clear" w:color="auto" w:fill="auto"/>
          <w:lang w:val="zh-CN"/>
        </w:rPr>
        <w:t xml:space="preserve">                               </w:t>
      </w:r>
      <w:r>
        <w:rPr>
          <w:rFonts w:hint="eastAsia"/>
          <w:color w:val="auto"/>
          <w:highlight w:val="none"/>
          <w:shd w:val="clear" w:color="auto" w:fill="auto"/>
          <w:lang w:val="zh-CN"/>
        </w:rPr>
        <w:t>电子邮箱：</w:t>
      </w:r>
    </w:p>
    <w:p>
      <w:pPr>
        <w:autoSpaceDE w:val="0"/>
        <w:autoSpaceDN w:val="0"/>
        <w:spacing w:line="560" w:lineRule="exact"/>
        <w:rPr>
          <w:color w:val="auto"/>
          <w:highlight w:val="none"/>
          <w:shd w:val="clear" w:color="auto" w:fill="auto"/>
        </w:rPr>
      </w:pPr>
      <w:r>
        <w:rPr>
          <w:rFonts w:hint="eastAsia"/>
          <w:color w:val="auto"/>
          <w:highlight w:val="none"/>
          <w:shd w:val="clear" w:color="auto" w:fill="auto"/>
        </w:rPr>
        <w:t>开户银行：</w:t>
      </w:r>
      <w:r>
        <w:rPr>
          <w:color w:val="auto"/>
          <w:highlight w:val="none"/>
          <w:shd w:val="clear" w:color="auto" w:fill="auto"/>
        </w:rPr>
        <w:t xml:space="preserve">                               开户银行： </w:t>
      </w:r>
    </w:p>
    <w:p>
      <w:pPr>
        <w:autoSpaceDE w:val="0"/>
        <w:autoSpaceDN w:val="0"/>
        <w:spacing w:line="560" w:lineRule="exact"/>
        <w:rPr>
          <w:color w:val="auto"/>
          <w:highlight w:val="none"/>
          <w:shd w:val="clear" w:color="auto" w:fill="auto"/>
        </w:rPr>
      </w:pPr>
      <w:r>
        <w:rPr>
          <w:rFonts w:hint="eastAsia"/>
          <w:color w:val="auto"/>
          <w:highlight w:val="none"/>
          <w:shd w:val="clear" w:color="auto" w:fill="auto"/>
        </w:rPr>
        <w:t>开户名称：</w:t>
      </w:r>
      <w:r>
        <w:rPr>
          <w:color w:val="auto"/>
          <w:highlight w:val="none"/>
          <w:shd w:val="clear" w:color="auto" w:fill="auto"/>
        </w:rPr>
        <w:t xml:space="preserve">                               开户名称： </w:t>
      </w:r>
    </w:p>
    <w:p>
      <w:pPr>
        <w:autoSpaceDE w:val="0"/>
        <w:autoSpaceDN w:val="0"/>
        <w:spacing w:line="560" w:lineRule="exact"/>
        <w:rPr>
          <w:color w:val="auto"/>
          <w:highlight w:val="none"/>
          <w:shd w:val="clear" w:color="auto" w:fill="auto"/>
        </w:rPr>
      </w:pPr>
      <w:r>
        <w:rPr>
          <w:rFonts w:hint="eastAsia"/>
          <w:color w:val="auto"/>
          <w:highlight w:val="none"/>
          <w:shd w:val="clear" w:color="auto" w:fill="auto"/>
        </w:rPr>
        <w:t>开户账号：</w:t>
      </w:r>
      <w:r>
        <w:rPr>
          <w:color w:val="auto"/>
          <w:highlight w:val="none"/>
          <w:shd w:val="clear" w:color="auto" w:fill="auto"/>
          <w:lang w:val="zh-CN"/>
        </w:rPr>
        <w:t xml:space="preserve">                               </w:t>
      </w:r>
      <w:r>
        <w:rPr>
          <w:rFonts w:hint="eastAsia"/>
          <w:color w:val="auto"/>
          <w:highlight w:val="none"/>
          <w:shd w:val="clear" w:color="auto" w:fill="auto"/>
        </w:rPr>
        <w:t>开户账号：</w:t>
      </w:r>
    </w:p>
    <w:p>
      <w:pPr>
        <w:spacing w:line="560" w:lineRule="exact"/>
        <w:rPr>
          <w:b/>
          <w:color w:val="auto"/>
          <w:highlight w:val="none"/>
          <w:shd w:val="clear" w:color="auto" w:fill="auto"/>
        </w:rPr>
      </w:pPr>
      <w:bookmarkStart w:id="450" w:name="_Toc331685783"/>
    </w:p>
    <w:p>
      <w:pPr>
        <w:pStyle w:val="3"/>
        <w:rPr>
          <w:color w:val="auto"/>
          <w:highlight w:val="none"/>
          <w:shd w:val="clear" w:color="auto" w:fill="auto"/>
        </w:rPr>
      </w:pPr>
      <w:r>
        <w:rPr>
          <w:rFonts w:hint="eastAsia"/>
          <w:color w:val="auto"/>
          <w:highlight w:val="none"/>
          <w:shd w:val="clear" w:color="auto" w:fill="auto"/>
        </w:rPr>
        <w:t>第二部分</w:t>
      </w:r>
      <w:r>
        <w:rPr>
          <w:color w:val="auto"/>
          <w:highlight w:val="none"/>
          <w:shd w:val="clear" w:color="auto" w:fill="auto"/>
        </w:rPr>
        <w:t xml:space="preserve"> </w:t>
      </w:r>
      <w:r>
        <w:rPr>
          <w:rFonts w:hint="eastAsia"/>
          <w:color w:val="auto"/>
          <w:highlight w:val="none"/>
          <w:shd w:val="clear" w:color="auto" w:fill="auto"/>
        </w:rPr>
        <w:t>合同一般条款</w:t>
      </w:r>
      <w:bookmarkEnd w:id="450"/>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451" w:name="_Ref467378499"/>
      <w:bookmarkStart w:id="452" w:name="_Ref467378404"/>
      <w:bookmarkStart w:id="453" w:name="_Toc19614"/>
      <w:bookmarkStart w:id="454" w:name="_Toc279701240"/>
      <w:bookmarkStart w:id="455" w:name="_Ref467379225"/>
      <w:bookmarkStart w:id="456" w:name="_Ref467379109"/>
      <w:bookmarkStart w:id="457" w:name="_Toc28763"/>
      <w:bookmarkStart w:id="458" w:name="_Ref467379214"/>
      <w:bookmarkStart w:id="459" w:name="_Ref467378463"/>
      <w:bookmarkStart w:id="460" w:name="_Toc487900349"/>
      <w:bookmarkStart w:id="461" w:name="_Toc259093669"/>
      <w:bookmarkStart w:id="462" w:name="_Ref467379205"/>
      <w:bookmarkStart w:id="463" w:name="_Ref467379094"/>
      <w:bookmarkStart w:id="464" w:name="_Ref467379195"/>
      <w:bookmarkStart w:id="465" w:name="_Ref467379101"/>
      <w:bookmarkStart w:id="466" w:name="_Toc16917"/>
      <w:r>
        <w:rPr>
          <w:color w:val="auto"/>
          <w:highlight w:val="none"/>
          <w:shd w:val="clear" w:color="auto" w:fill="auto"/>
        </w:rPr>
        <w:t xml:space="preserve">2.1 </w:t>
      </w:r>
      <w:r>
        <w:rPr>
          <w:rFonts w:hint="eastAsia"/>
          <w:color w:val="auto"/>
          <w:highlight w:val="none"/>
          <w:shd w:val="clear" w:color="auto" w:fill="auto"/>
        </w:rPr>
        <w:t>定义</w:t>
      </w:r>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本合同中的下列词语应按以下内容进行解释：</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2.1.1 </w:t>
      </w:r>
      <w:r>
        <w:rPr>
          <w:rFonts w:hint="eastAsia"/>
          <w:color w:val="auto"/>
          <w:highlight w:val="none"/>
          <w:shd w:val="clear" w:color="auto" w:fill="auto"/>
        </w:rPr>
        <w:t>“合同”系指采购人和中标供应商签订的载明双方当事人所达成的协议，并包括所有的附件、附录和构成合同的其他文件。</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2.1.2 </w:t>
      </w:r>
      <w:r>
        <w:rPr>
          <w:rFonts w:hint="eastAsia"/>
          <w:color w:val="auto"/>
          <w:highlight w:val="none"/>
          <w:shd w:val="clear" w:color="auto" w:fill="auto"/>
        </w:rPr>
        <w:t>“合同价”系指根据合同约定，中标供应商在完全履行合同义务后，采购人应支付给中标供应商的价格。</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2.1.3 </w:t>
      </w:r>
      <w:r>
        <w:rPr>
          <w:rFonts w:hint="eastAsia"/>
          <w:color w:val="auto"/>
          <w:highlight w:val="none"/>
          <w:shd w:val="clear" w:color="auto" w:fill="auto"/>
        </w:rPr>
        <w:t>“货物”系指中标供应商根据合同约定应向采购人交付的一切各种形态和种类的物品，包括原材料、燃料、设备、机械、仪表、备件、计算机软件、产品等，并包括工具、手册等其他相关资料。</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bookmarkStart w:id="467" w:name="_Ref467378840"/>
      <w:r>
        <w:rPr>
          <w:color w:val="auto"/>
          <w:highlight w:val="none"/>
          <w:shd w:val="clear" w:color="auto" w:fill="auto"/>
        </w:rPr>
        <w:t xml:space="preserve">2.1.4 </w:t>
      </w:r>
      <w:r>
        <w:rPr>
          <w:rFonts w:hint="eastAsia"/>
          <w:color w:val="auto"/>
          <w:highlight w:val="none"/>
          <w:shd w:val="clear" w:color="auto" w:fill="auto"/>
        </w:rPr>
        <w:t>“甲方”系指与中标供应商签署合同的采购人</w:t>
      </w:r>
      <w:bookmarkEnd w:id="467"/>
      <w:r>
        <w:rPr>
          <w:rFonts w:hint="eastAsia"/>
          <w:color w:val="auto"/>
          <w:highlight w:val="none"/>
          <w:shd w:val="clear" w:color="auto" w:fill="auto"/>
        </w:rPr>
        <w:t>；采购人委托采购代理机构代表其与乙方签订合同的，采购人的授权委托书作为合同附件。</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bookmarkStart w:id="468" w:name="_Ref467379400"/>
      <w:r>
        <w:rPr>
          <w:color w:val="auto"/>
          <w:highlight w:val="none"/>
          <w:shd w:val="clear" w:color="auto" w:fill="auto"/>
        </w:rPr>
        <w:t xml:space="preserve">2.1.5 </w:t>
      </w:r>
      <w:r>
        <w:rPr>
          <w:rFonts w:hint="eastAsia"/>
          <w:color w:val="auto"/>
          <w:highlight w:val="none"/>
          <w:shd w:val="clear" w:color="auto" w:fill="auto"/>
        </w:rPr>
        <w:t>“乙方”系指根据合同约定交付货物的中标供应商</w:t>
      </w:r>
      <w:bookmarkEnd w:id="468"/>
      <w:r>
        <w:rPr>
          <w:rFonts w:hint="eastAsia"/>
          <w:color w:val="auto"/>
          <w:highlight w:val="none"/>
          <w:shd w:val="clear" w:color="auto" w:fill="auto"/>
        </w:rPr>
        <w:t>；两个以上的自然人、法人或者其他组织组成一个联合体，以一个供应商的身份共同参加政府采购的，联合体各方均应为乙方或者与乙方相同地位的合同当事人，并就合同约定的事项对甲方承担连带责任。</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bookmarkStart w:id="469" w:name="_Ref467379436"/>
      <w:r>
        <w:rPr>
          <w:color w:val="auto"/>
          <w:highlight w:val="none"/>
          <w:shd w:val="clear" w:color="auto" w:fill="auto"/>
        </w:rPr>
        <w:t xml:space="preserve">2.1.6 </w:t>
      </w:r>
      <w:r>
        <w:rPr>
          <w:rFonts w:hint="eastAsia"/>
          <w:color w:val="auto"/>
          <w:highlight w:val="none"/>
          <w:shd w:val="clear" w:color="auto" w:fill="auto"/>
        </w:rPr>
        <w:t>“现场”系指合同约定货物将要运至或者安装的地点。</w:t>
      </w:r>
      <w:bookmarkEnd w:id="469"/>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470" w:name="_Toc13336"/>
      <w:bookmarkStart w:id="471" w:name="_Toc259093670"/>
      <w:bookmarkStart w:id="472" w:name="_Toc487900350"/>
      <w:bookmarkStart w:id="473" w:name="_Toc279701241"/>
      <w:bookmarkStart w:id="474" w:name="_Toc32504"/>
      <w:bookmarkStart w:id="475" w:name="_Toc27635"/>
      <w:r>
        <w:rPr>
          <w:color w:val="auto"/>
          <w:highlight w:val="none"/>
          <w:shd w:val="clear" w:color="auto" w:fill="auto"/>
        </w:rPr>
        <w:t xml:space="preserve">2.2 </w:t>
      </w:r>
      <w:r>
        <w:rPr>
          <w:rFonts w:hint="eastAsia"/>
          <w:color w:val="auto"/>
          <w:highlight w:val="none"/>
          <w:shd w:val="clear" w:color="auto" w:fill="auto"/>
        </w:rPr>
        <w:t>技术规范</w:t>
      </w:r>
      <w:bookmarkEnd w:id="470"/>
      <w:bookmarkEnd w:id="471"/>
      <w:bookmarkEnd w:id="472"/>
      <w:bookmarkEnd w:id="473"/>
      <w:bookmarkEnd w:id="474"/>
      <w:bookmarkEnd w:id="475"/>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货物所应遵守的技术规范应与采购文件规定的技术规范和技术规范附件</w:t>
      </w:r>
      <w:r>
        <w:rPr>
          <w:color w:val="auto"/>
          <w:highlight w:val="none"/>
          <w:shd w:val="clear" w:color="auto" w:fill="auto"/>
        </w:rPr>
        <w:t>(如果有的话)及其技术规范偏差表(如果被甲方接受的话)相一致；如果采购文件中没有技术规范的相应说明，那么应以国家有关部门最新颁布的相应标准和规范为准。</w:t>
      </w:r>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476" w:name="_Toc259093671"/>
      <w:bookmarkStart w:id="477" w:name="_Toc487900351"/>
      <w:bookmarkStart w:id="478" w:name="_Toc9829"/>
      <w:bookmarkStart w:id="479" w:name="_Toc279701242"/>
      <w:bookmarkStart w:id="480" w:name="_Toc27853"/>
      <w:bookmarkStart w:id="481" w:name="_Toc31634"/>
      <w:r>
        <w:rPr>
          <w:color w:val="auto"/>
          <w:highlight w:val="none"/>
          <w:shd w:val="clear" w:color="auto" w:fill="auto"/>
        </w:rPr>
        <w:t xml:space="preserve">2.3 </w:t>
      </w:r>
      <w:r>
        <w:rPr>
          <w:rFonts w:hint="eastAsia"/>
          <w:color w:val="auto"/>
          <w:highlight w:val="none"/>
          <w:shd w:val="clear" w:color="auto" w:fill="auto"/>
        </w:rPr>
        <w:t>知识产权</w:t>
      </w:r>
      <w:bookmarkEnd w:id="476"/>
      <w:bookmarkEnd w:id="477"/>
      <w:bookmarkEnd w:id="478"/>
      <w:bookmarkEnd w:id="479"/>
      <w:bookmarkEnd w:id="480"/>
      <w:bookmarkEnd w:id="481"/>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2.3.1 </w:t>
      </w:r>
      <w:r>
        <w:rPr>
          <w:rFonts w:hint="eastAsia"/>
          <w:color w:val="auto"/>
          <w:highlight w:val="none"/>
          <w:shd w:val="clear" w:color="auto" w:fill="auto"/>
        </w:rPr>
        <w:t>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2.3.2具有知识产权的计算机软件等货物的知识产权归属，详见</w:t>
      </w:r>
      <w:r>
        <w:rPr>
          <w:rFonts w:hint="eastAsia"/>
          <w:b/>
          <w:i/>
          <w:color w:val="auto"/>
          <w:highlight w:val="none"/>
          <w:u w:val="single"/>
          <w:shd w:val="clear" w:color="auto" w:fill="auto"/>
        </w:rPr>
        <w:t>合同专用条款</w:t>
      </w:r>
      <w:r>
        <w:rPr>
          <w:rFonts w:hint="eastAsia"/>
          <w:color w:val="auto"/>
          <w:highlight w:val="none"/>
          <w:shd w:val="clear" w:color="auto" w:fill="auto"/>
        </w:rPr>
        <w:t>。</w:t>
      </w:r>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482" w:name="_Toc11932"/>
      <w:bookmarkStart w:id="483" w:name="_Toc29149"/>
      <w:bookmarkStart w:id="484" w:name="_Toc4194"/>
      <w:r>
        <w:rPr>
          <w:color w:val="auto"/>
          <w:highlight w:val="none"/>
          <w:shd w:val="clear" w:color="auto" w:fill="auto"/>
        </w:rPr>
        <w:t xml:space="preserve">2.4 </w:t>
      </w:r>
      <w:r>
        <w:rPr>
          <w:rFonts w:hint="eastAsia"/>
          <w:color w:val="auto"/>
          <w:highlight w:val="none"/>
          <w:shd w:val="clear" w:color="auto" w:fill="auto"/>
        </w:rPr>
        <w:t>包装和装运</w:t>
      </w:r>
      <w:bookmarkEnd w:id="482"/>
      <w:bookmarkEnd w:id="483"/>
      <w:bookmarkEnd w:id="484"/>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2.4.1除</w:t>
      </w:r>
      <w:r>
        <w:rPr>
          <w:rFonts w:hint="eastAsia"/>
          <w:b/>
          <w:i/>
          <w:color w:val="auto"/>
          <w:highlight w:val="none"/>
          <w:u w:val="single"/>
          <w:shd w:val="clear" w:color="auto" w:fill="auto"/>
        </w:rPr>
        <w:t>合同专用条款</w:t>
      </w:r>
      <w:r>
        <w:rPr>
          <w:rFonts w:hint="eastAsia"/>
          <w:color w:val="auto"/>
          <w:highlight w:val="none"/>
          <w:shd w:val="clear" w:color="auto" w:fill="auto"/>
        </w:rPr>
        <w:t>另有约定外</w:t>
      </w:r>
      <w:r>
        <w:rPr>
          <w:color w:val="auto"/>
          <w:highlight w:val="none"/>
          <w:shd w:val="clear" w:color="auto" w:fill="auto"/>
        </w:rPr>
        <w:t>,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2.4.2 </w:t>
      </w:r>
      <w:r>
        <w:rPr>
          <w:rFonts w:hint="eastAsia"/>
          <w:color w:val="auto"/>
          <w:highlight w:val="none"/>
          <w:shd w:val="clear" w:color="auto" w:fill="auto"/>
        </w:rPr>
        <w:t>装运货物的要求和通知，详见</w:t>
      </w:r>
      <w:r>
        <w:rPr>
          <w:rFonts w:hint="eastAsia"/>
          <w:b/>
          <w:i/>
          <w:color w:val="auto"/>
          <w:highlight w:val="none"/>
          <w:u w:val="single"/>
          <w:shd w:val="clear" w:color="auto" w:fill="auto"/>
        </w:rPr>
        <w:t>合同专用条款</w:t>
      </w:r>
      <w:r>
        <w:rPr>
          <w:rFonts w:hint="eastAsia"/>
          <w:color w:val="auto"/>
          <w:highlight w:val="none"/>
          <w:shd w:val="clear" w:color="auto" w:fill="auto"/>
        </w:rPr>
        <w:t>。</w:t>
      </w:r>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485" w:name="_Ref467379542"/>
      <w:bookmarkStart w:id="486" w:name="_Ref467379536"/>
      <w:bookmarkStart w:id="487" w:name="_Ref467379527"/>
      <w:bookmarkStart w:id="488" w:name="_Ref467378591"/>
      <w:bookmarkStart w:id="489" w:name="_Toc487900354"/>
      <w:bookmarkStart w:id="490" w:name="_Ref467378541"/>
      <w:bookmarkStart w:id="491" w:name="_Toc279701245"/>
      <w:bookmarkStart w:id="492" w:name="_Toc259093674"/>
      <w:bookmarkStart w:id="493" w:name="_Toc26182"/>
      <w:bookmarkStart w:id="494" w:name="_Toc19074"/>
      <w:bookmarkStart w:id="495" w:name="_Toc30272"/>
      <w:r>
        <w:rPr>
          <w:color w:val="auto"/>
          <w:highlight w:val="none"/>
          <w:shd w:val="clear" w:color="auto" w:fill="auto"/>
        </w:rPr>
        <w:t>2.</w:t>
      </w:r>
      <w:bookmarkEnd w:id="485"/>
      <w:bookmarkEnd w:id="486"/>
      <w:bookmarkEnd w:id="487"/>
      <w:bookmarkEnd w:id="488"/>
      <w:bookmarkEnd w:id="489"/>
      <w:bookmarkEnd w:id="490"/>
      <w:bookmarkEnd w:id="491"/>
      <w:bookmarkEnd w:id="492"/>
      <w:r>
        <w:rPr>
          <w:color w:val="auto"/>
          <w:highlight w:val="none"/>
          <w:shd w:val="clear" w:color="auto" w:fill="auto"/>
        </w:rPr>
        <w:t xml:space="preserve">5 </w:t>
      </w:r>
      <w:r>
        <w:rPr>
          <w:rFonts w:hint="eastAsia"/>
          <w:color w:val="auto"/>
          <w:highlight w:val="none"/>
          <w:shd w:val="clear" w:color="auto" w:fill="auto"/>
        </w:rPr>
        <w:t>履约检查和问题反馈</w:t>
      </w:r>
      <w:bookmarkEnd w:id="493"/>
      <w:bookmarkEnd w:id="494"/>
      <w:bookmarkEnd w:id="495"/>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bookmarkStart w:id="496" w:name="_Ref467379657"/>
      <w:r>
        <w:rPr>
          <w:color w:val="auto"/>
          <w:highlight w:val="none"/>
          <w:shd w:val="clear" w:color="auto" w:fill="auto"/>
        </w:rPr>
        <w:t>2.5.1</w:t>
      </w:r>
      <w:bookmarkEnd w:id="496"/>
      <w:bookmarkStart w:id="497" w:name="_Toc186431854"/>
      <w:bookmarkStart w:id="498" w:name="_Toc279701247"/>
      <w:bookmarkStart w:id="499" w:name="_Ref467379793"/>
      <w:bookmarkStart w:id="500" w:name="_Ref467379807"/>
      <w:bookmarkStart w:id="501" w:name="_Toc487900357"/>
      <w:bookmarkStart w:id="502" w:name="_Toc259093676"/>
      <w:r>
        <w:rPr>
          <w:rFonts w:hint="eastAsia"/>
          <w:color w:val="auto"/>
          <w:highlight w:val="none"/>
          <w:shd w:val="clear" w:color="auto" w:fill="auto"/>
        </w:rPr>
        <w:t>甲方有权在其认为必要时，对乙方是否能够按照合同约定交付货物进行履约检查，以确保乙方所交付的货物能够依约满足甲方之项目需求，但不得因履约检查妨碍乙方的正常工作，乙方应予积极配合；</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2.5.2 </w:t>
      </w:r>
      <w:r>
        <w:rPr>
          <w:rFonts w:hint="eastAsia"/>
          <w:color w:val="auto"/>
          <w:highlight w:val="none"/>
          <w:shd w:val="clear" w:color="auto" w:fill="auto"/>
        </w:rPr>
        <w:t>合同履行期间，甲方有权将履行过程中出现的问题反馈给乙方，双方当事人应以书面形式约定需要完善和改进的内容</w:t>
      </w:r>
      <w:bookmarkEnd w:id="497"/>
      <w:bookmarkStart w:id="503" w:name="_Toc186431855"/>
      <w:r>
        <w:rPr>
          <w:rFonts w:hint="eastAsia"/>
          <w:color w:val="auto"/>
          <w:highlight w:val="none"/>
          <w:shd w:val="clear" w:color="auto" w:fill="auto"/>
        </w:rPr>
        <w:t>。</w:t>
      </w:r>
    </w:p>
    <w:bookmarkEnd w:id="498"/>
    <w:bookmarkEnd w:id="499"/>
    <w:bookmarkEnd w:id="500"/>
    <w:bookmarkEnd w:id="501"/>
    <w:bookmarkEnd w:id="502"/>
    <w:bookmarkEnd w:id="503"/>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504" w:name="_Ref467379923"/>
      <w:bookmarkStart w:id="505" w:name="_Toc487900358"/>
      <w:bookmarkStart w:id="506" w:name="_Toc279701248"/>
      <w:bookmarkStart w:id="507" w:name="_Toc259093677"/>
      <w:bookmarkStart w:id="508" w:name="_Ref467379863"/>
      <w:bookmarkStart w:id="509" w:name="_Ref467379852"/>
      <w:bookmarkStart w:id="510" w:name="_Toc16110"/>
      <w:bookmarkStart w:id="511" w:name="_Toc774"/>
      <w:bookmarkStart w:id="512" w:name="_Toc3225"/>
      <w:r>
        <w:rPr>
          <w:color w:val="auto"/>
          <w:highlight w:val="none"/>
          <w:shd w:val="clear" w:color="auto" w:fill="auto"/>
        </w:rPr>
        <w:t xml:space="preserve">2.6 </w:t>
      </w:r>
      <w:r>
        <w:rPr>
          <w:rFonts w:hint="eastAsia"/>
          <w:color w:val="auto"/>
          <w:highlight w:val="none"/>
          <w:shd w:val="clear" w:color="auto" w:fill="auto"/>
        </w:rPr>
        <w:t>技术资料</w:t>
      </w:r>
      <w:bookmarkEnd w:id="504"/>
      <w:bookmarkEnd w:id="505"/>
      <w:bookmarkEnd w:id="506"/>
      <w:bookmarkEnd w:id="507"/>
      <w:bookmarkEnd w:id="508"/>
      <w:bookmarkEnd w:id="509"/>
      <w:r>
        <w:rPr>
          <w:rFonts w:hint="eastAsia"/>
          <w:color w:val="auto"/>
          <w:highlight w:val="none"/>
          <w:shd w:val="clear" w:color="auto" w:fill="auto"/>
        </w:rPr>
        <w:t>和保密义务</w:t>
      </w:r>
      <w:bookmarkEnd w:id="510"/>
      <w:bookmarkEnd w:id="511"/>
      <w:bookmarkEnd w:id="512"/>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2.6.1 </w:t>
      </w:r>
      <w:r>
        <w:rPr>
          <w:rFonts w:hint="eastAsia"/>
          <w:color w:val="auto"/>
          <w:highlight w:val="none"/>
          <w:shd w:val="clear" w:color="auto" w:fill="auto"/>
        </w:rPr>
        <w:t>乙方有权依据合同约定和项目需要，向甲方了解有关情况，调阅有关资料等，甲方应予积极配合；</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2.6.2 </w:t>
      </w:r>
      <w:r>
        <w:rPr>
          <w:rFonts w:hint="eastAsia"/>
          <w:color w:val="auto"/>
          <w:highlight w:val="none"/>
          <w:shd w:val="clear" w:color="auto" w:fill="auto"/>
        </w:rPr>
        <w:t>乙方有义务妥善保管和保护由甲方提供的前款信息和资料等；</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2.6.3 </w:t>
      </w:r>
      <w:r>
        <w:rPr>
          <w:rFonts w:hint="eastAsia"/>
          <w:color w:val="auto"/>
          <w:highlight w:val="none"/>
          <w:shd w:val="clear" w:color="auto" w:fill="auto"/>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513" w:name="_Toc7860"/>
      <w:r>
        <w:rPr>
          <w:color w:val="auto"/>
          <w:highlight w:val="none"/>
          <w:shd w:val="clear" w:color="auto" w:fill="auto"/>
        </w:rPr>
        <w:t xml:space="preserve">2.7 </w:t>
      </w:r>
      <w:r>
        <w:rPr>
          <w:rFonts w:hint="eastAsia"/>
          <w:color w:val="auto"/>
          <w:highlight w:val="none"/>
          <w:shd w:val="clear" w:color="auto" w:fill="auto"/>
        </w:rPr>
        <w:t>质量保证</w:t>
      </w:r>
      <w:bookmarkEnd w:id="513"/>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2.7.1 </w:t>
      </w:r>
      <w:r>
        <w:rPr>
          <w:rFonts w:hint="eastAsia"/>
          <w:color w:val="auto"/>
          <w:highlight w:val="none"/>
          <w:shd w:val="clear" w:color="auto" w:fill="auto"/>
        </w:rPr>
        <w:t>乙方应建立和完善履行合同的内部质量保证体系，并提供相关内部规章制度给甲方，以便甲方进行监督检查；</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2.7.2 </w:t>
      </w:r>
      <w:r>
        <w:rPr>
          <w:rFonts w:hint="eastAsia"/>
          <w:color w:val="auto"/>
          <w:highlight w:val="none"/>
          <w:shd w:val="clear" w:color="auto" w:fill="auto"/>
        </w:rPr>
        <w:t>乙方应保证履行合同的人员数量和素质、软件和硬件设备的配置、场地、环境和设施等满足全面履行合同的要求，并应接受甲方的监督检查。</w:t>
      </w:r>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514" w:name="_Toc17244"/>
      <w:bookmarkStart w:id="515" w:name="_Toc279701252"/>
      <w:bookmarkStart w:id="516" w:name="_Toc487900362"/>
      <w:bookmarkStart w:id="517" w:name="_Toc259093681"/>
      <w:r>
        <w:rPr>
          <w:color w:val="auto"/>
          <w:highlight w:val="none"/>
          <w:shd w:val="clear" w:color="auto" w:fill="auto"/>
        </w:rPr>
        <w:t xml:space="preserve">2.8 </w:t>
      </w:r>
      <w:r>
        <w:rPr>
          <w:rFonts w:hint="eastAsia"/>
          <w:color w:val="auto"/>
          <w:highlight w:val="none"/>
          <w:shd w:val="clear" w:color="auto" w:fill="auto"/>
        </w:rPr>
        <w:t>货物的风险负担</w:t>
      </w:r>
      <w:bookmarkEnd w:id="514"/>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b/>
          <w:color w:val="auto"/>
          <w:highlight w:val="none"/>
          <w:shd w:val="clear" w:color="auto" w:fill="auto"/>
        </w:rPr>
      </w:pPr>
      <w:r>
        <w:rPr>
          <w:rFonts w:hint="eastAsia"/>
          <w:color w:val="auto"/>
          <w:highlight w:val="none"/>
          <w:shd w:val="clear" w:color="auto" w:fill="auto"/>
        </w:rPr>
        <w:t>货物或者在途货物或者交付给第一承运人后的货物毁损、灭失的风险负担详见</w:t>
      </w:r>
      <w:r>
        <w:rPr>
          <w:rFonts w:hint="eastAsia"/>
          <w:b/>
          <w:i/>
          <w:color w:val="auto"/>
          <w:highlight w:val="none"/>
          <w:u w:val="single"/>
          <w:shd w:val="clear" w:color="auto" w:fill="auto"/>
        </w:rPr>
        <w:t>合同专用条款</w:t>
      </w:r>
      <w:r>
        <w:rPr>
          <w:rFonts w:hint="eastAsia"/>
          <w:color w:val="auto"/>
          <w:highlight w:val="none"/>
          <w:shd w:val="clear" w:color="auto" w:fill="auto"/>
        </w:rPr>
        <w:t>。</w:t>
      </w:r>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518" w:name="_Toc14055"/>
      <w:r>
        <w:rPr>
          <w:color w:val="auto"/>
          <w:highlight w:val="none"/>
          <w:shd w:val="clear" w:color="auto" w:fill="auto"/>
        </w:rPr>
        <w:t xml:space="preserve">2.9 </w:t>
      </w:r>
      <w:r>
        <w:rPr>
          <w:rFonts w:hint="eastAsia"/>
          <w:color w:val="auto"/>
          <w:highlight w:val="none"/>
          <w:shd w:val="clear" w:color="auto" w:fill="auto"/>
        </w:rPr>
        <w:t>延迟交货</w:t>
      </w:r>
      <w:bookmarkEnd w:id="515"/>
      <w:bookmarkEnd w:id="516"/>
      <w:bookmarkEnd w:id="517"/>
      <w:bookmarkEnd w:id="518"/>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519" w:name="_Toc7502"/>
      <w:bookmarkStart w:id="520" w:name="_Toc279701254"/>
      <w:bookmarkStart w:id="521" w:name="_Toc487900364"/>
      <w:bookmarkStart w:id="522" w:name="_Ref467378121"/>
      <w:bookmarkStart w:id="523" w:name="_Toc259093683"/>
      <w:r>
        <w:rPr>
          <w:color w:val="auto"/>
          <w:highlight w:val="none"/>
          <w:shd w:val="clear" w:color="auto" w:fill="auto"/>
        </w:rPr>
        <w:t xml:space="preserve">2.10 </w:t>
      </w:r>
      <w:r>
        <w:rPr>
          <w:rFonts w:hint="eastAsia"/>
          <w:color w:val="auto"/>
          <w:highlight w:val="none"/>
          <w:shd w:val="clear" w:color="auto" w:fill="auto"/>
        </w:rPr>
        <w:t>合同变更</w:t>
      </w:r>
      <w:bookmarkEnd w:id="519"/>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合同继续履行将损害国家利益和社会公共利益的，双方当事人应当以书面形式变更合同。有过错的一方应当承担赔偿责任，双方当事人都有过错的，各自承担相应的责任。</w:t>
      </w:r>
      <w:bookmarkStart w:id="524" w:name="_Toc487900369"/>
      <w:bookmarkStart w:id="525" w:name="_Toc279701259"/>
      <w:bookmarkStart w:id="526" w:name="_Toc259093688"/>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527" w:name="_Toc15237"/>
      <w:bookmarkStart w:id="528" w:name="_Toc10366"/>
      <w:bookmarkStart w:id="529" w:name="_Toc22955"/>
      <w:r>
        <w:rPr>
          <w:color w:val="auto"/>
          <w:highlight w:val="none"/>
          <w:shd w:val="clear" w:color="auto" w:fill="auto"/>
        </w:rPr>
        <w:t xml:space="preserve">2.11 </w:t>
      </w:r>
      <w:r>
        <w:rPr>
          <w:rFonts w:hint="eastAsia"/>
          <w:color w:val="auto"/>
          <w:highlight w:val="none"/>
          <w:shd w:val="clear" w:color="auto" w:fill="auto"/>
        </w:rPr>
        <w:t>合同转让</w:t>
      </w:r>
      <w:bookmarkEnd w:id="524"/>
      <w:bookmarkEnd w:id="525"/>
      <w:bookmarkEnd w:id="526"/>
      <w:r>
        <w:rPr>
          <w:rFonts w:hint="eastAsia"/>
          <w:color w:val="auto"/>
          <w:highlight w:val="none"/>
          <w:shd w:val="clear" w:color="auto" w:fill="auto"/>
        </w:rPr>
        <w:t>和分包</w:t>
      </w:r>
      <w:bookmarkEnd w:id="527"/>
      <w:bookmarkEnd w:id="528"/>
      <w:bookmarkEnd w:id="529"/>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2.11.2乙方采取分包方式履行合同的，甲方可直接向分包供应商支付款项。</w:t>
      </w:r>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530" w:name="_Toc14066"/>
      <w:bookmarkStart w:id="531" w:name="_Toc13566"/>
      <w:bookmarkStart w:id="532" w:name="_Toc16508"/>
      <w:r>
        <w:rPr>
          <w:color w:val="auto"/>
          <w:highlight w:val="none"/>
          <w:shd w:val="clear" w:color="auto" w:fill="auto"/>
        </w:rPr>
        <w:t xml:space="preserve">2.12 </w:t>
      </w:r>
      <w:r>
        <w:rPr>
          <w:rFonts w:hint="eastAsia"/>
          <w:color w:val="auto"/>
          <w:highlight w:val="none"/>
          <w:shd w:val="clear" w:color="auto" w:fill="auto"/>
        </w:rPr>
        <w:t>不可抗力</w:t>
      </w:r>
      <w:bookmarkEnd w:id="530"/>
      <w:bookmarkEnd w:id="531"/>
      <w:bookmarkEnd w:id="532"/>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2.12.1如果任何一方遭遇法律规定的不可抗力，致使合同履行受阻时，履行合同的期限应予延长，延长的期限应相当于不可抗力所影响的时间；</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2.12.2 </w:t>
      </w:r>
      <w:r>
        <w:rPr>
          <w:rFonts w:hint="eastAsia"/>
          <w:color w:val="auto"/>
          <w:highlight w:val="none"/>
          <w:shd w:val="clear" w:color="auto" w:fill="auto"/>
        </w:rPr>
        <w:t>因不可抗力致使不能实现合同目的的，当事人可以解除合同；</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2.12.3 </w:t>
      </w:r>
      <w:r>
        <w:rPr>
          <w:rFonts w:hint="eastAsia"/>
          <w:color w:val="auto"/>
          <w:highlight w:val="none"/>
          <w:shd w:val="clear" w:color="auto" w:fill="auto"/>
        </w:rPr>
        <w:t>因不可抗力致使合同有变更必要的，双方当事人应在</w:t>
      </w:r>
      <w:r>
        <w:rPr>
          <w:rFonts w:hint="eastAsia"/>
          <w:b/>
          <w:i/>
          <w:color w:val="auto"/>
          <w:highlight w:val="none"/>
          <w:u w:val="single"/>
          <w:shd w:val="clear" w:color="auto" w:fill="auto"/>
        </w:rPr>
        <w:t>合同专用条款</w:t>
      </w:r>
      <w:r>
        <w:rPr>
          <w:rFonts w:hint="eastAsia"/>
          <w:color w:val="auto"/>
          <w:highlight w:val="none"/>
          <w:shd w:val="clear" w:color="auto" w:fill="auto"/>
        </w:rPr>
        <w:t>约定时间内以书面形式变更合同；</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2.12.4受不可抗力影响的一方在不可抗力发生后，应在</w:t>
      </w:r>
      <w:r>
        <w:rPr>
          <w:rFonts w:hint="eastAsia"/>
          <w:b/>
          <w:i/>
          <w:color w:val="auto"/>
          <w:highlight w:val="none"/>
          <w:u w:val="single"/>
          <w:shd w:val="clear" w:color="auto" w:fill="auto"/>
        </w:rPr>
        <w:t>合同专用条款</w:t>
      </w:r>
      <w:r>
        <w:rPr>
          <w:rFonts w:hint="eastAsia"/>
          <w:color w:val="auto"/>
          <w:highlight w:val="none"/>
          <w:shd w:val="clear" w:color="auto" w:fill="auto"/>
        </w:rPr>
        <w:t>约定时间内以书面形式通知对方当事人，并在</w:t>
      </w:r>
      <w:r>
        <w:rPr>
          <w:rFonts w:hint="eastAsia"/>
          <w:b/>
          <w:i/>
          <w:color w:val="auto"/>
          <w:highlight w:val="none"/>
          <w:u w:val="single"/>
          <w:shd w:val="clear" w:color="auto" w:fill="auto"/>
        </w:rPr>
        <w:t>合同专用条款</w:t>
      </w:r>
      <w:r>
        <w:rPr>
          <w:rFonts w:hint="eastAsia"/>
          <w:color w:val="auto"/>
          <w:highlight w:val="none"/>
          <w:shd w:val="clear" w:color="auto" w:fill="auto"/>
        </w:rPr>
        <w:t>约定时间内，将有关部门出具的证明文件送达对方当事人。</w:t>
      </w:r>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533" w:name="_Toc259093684"/>
      <w:bookmarkStart w:id="534" w:name="_Toc689"/>
      <w:bookmarkStart w:id="535" w:name="_Toc30676"/>
      <w:bookmarkStart w:id="536" w:name="_Toc487900365"/>
      <w:bookmarkStart w:id="537" w:name="_Toc279701255"/>
      <w:bookmarkStart w:id="538" w:name="_Toc6969"/>
      <w:r>
        <w:rPr>
          <w:color w:val="auto"/>
          <w:highlight w:val="none"/>
          <w:shd w:val="clear" w:color="auto" w:fill="auto"/>
        </w:rPr>
        <w:t xml:space="preserve">2.13 </w:t>
      </w:r>
      <w:r>
        <w:rPr>
          <w:rFonts w:hint="eastAsia"/>
          <w:color w:val="auto"/>
          <w:highlight w:val="none"/>
          <w:shd w:val="clear" w:color="auto" w:fill="auto"/>
        </w:rPr>
        <w:t>税费</w:t>
      </w:r>
      <w:bookmarkEnd w:id="533"/>
      <w:bookmarkEnd w:id="534"/>
      <w:bookmarkEnd w:id="535"/>
      <w:bookmarkEnd w:id="536"/>
      <w:bookmarkEnd w:id="537"/>
      <w:bookmarkEnd w:id="538"/>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与合同有关的一切税费，均按照中华人民共和国法律的相关规定。</w:t>
      </w:r>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539" w:name="_Toc7102"/>
      <w:bookmarkStart w:id="540" w:name="_Toc16959"/>
      <w:bookmarkStart w:id="541" w:name="_Toc259093687"/>
      <w:bookmarkStart w:id="542" w:name="_Toc8298"/>
      <w:bookmarkStart w:id="543" w:name="_Toc487900368"/>
      <w:bookmarkStart w:id="544" w:name="_Toc279701258"/>
      <w:r>
        <w:rPr>
          <w:color w:val="auto"/>
          <w:highlight w:val="none"/>
          <w:shd w:val="clear" w:color="auto" w:fill="auto"/>
        </w:rPr>
        <w:t>2.14乙方破产</w:t>
      </w:r>
      <w:bookmarkEnd w:id="539"/>
      <w:bookmarkEnd w:id="540"/>
      <w:bookmarkEnd w:id="541"/>
      <w:bookmarkEnd w:id="542"/>
      <w:bookmarkEnd w:id="543"/>
      <w:bookmarkEnd w:id="544"/>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545" w:name="_Toc15387"/>
      <w:bookmarkStart w:id="546" w:name="_Toc6134"/>
      <w:bookmarkStart w:id="547" w:name="_Toc29333"/>
      <w:r>
        <w:rPr>
          <w:color w:val="auto"/>
          <w:highlight w:val="none"/>
          <w:shd w:val="clear" w:color="auto" w:fill="auto"/>
        </w:rPr>
        <w:t xml:space="preserve">2.15 </w:t>
      </w:r>
      <w:r>
        <w:rPr>
          <w:rFonts w:hint="eastAsia"/>
          <w:color w:val="auto"/>
          <w:highlight w:val="none"/>
          <w:shd w:val="clear" w:color="auto" w:fill="auto"/>
        </w:rPr>
        <w:t>合同中止、终止</w:t>
      </w:r>
      <w:bookmarkEnd w:id="545"/>
      <w:bookmarkEnd w:id="546"/>
      <w:bookmarkEnd w:id="547"/>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2.15.1 </w:t>
      </w:r>
      <w:r>
        <w:rPr>
          <w:rFonts w:hint="eastAsia"/>
          <w:color w:val="auto"/>
          <w:highlight w:val="none"/>
          <w:shd w:val="clear" w:color="auto" w:fill="auto"/>
        </w:rPr>
        <w:t>双方当事人不得擅自中止或者终止合同；</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2.15.2合同继续履行将损害国家利益和社会公共利益的，双方当事人应当中止或者终止合同。有过错的一方应当承担赔偿责任，双方当事人都有过错的，各自承担相应的责任。</w:t>
      </w:r>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548" w:name="_Toc1125"/>
      <w:bookmarkStart w:id="549" w:name="_Toc6596"/>
      <w:bookmarkStart w:id="550" w:name="_Toc14563"/>
      <w:r>
        <w:rPr>
          <w:color w:val="auto"/>
          <w:highlight w:val="none"/>
          <w:shd w:val="clear" w:color="auto" w:fill="auto"/>
        </w:rPr>
        <w:t>2.16检验和验收</w:t>
      </w:r>
      <w:bookmarkEnd w:id="548"/>
      <w:bookmarkEnd w:id="549"/>
      <w:bookmarkEnd w:id="550"/>
    </w:p>
    <w:p>
      <w:pPr>
        <w:keepNext w:val="0"/>
        <w:keepLines w:val="0"/>
        <w:pageBreakBefore w:val="0"/>
        <w:widowControl/>
        <w:tabs>
          <w:tab w:val="left" w:pos="360"/>
          <w:tab w:val="left" w:pos="540"/>
          <w:tab w:val="left" w:pos="1080"/>
        </w:tabs>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2.16.1货物交付前，乙方应对货物的质量、数量等方面进行详细、全面的检验，并向甲方出具证明货物符合合同约定的文件；货物交付时，乙方在</w:t>
      </w:r>
      <w:r>
        <w:rPr>
          <w:rFonts w:hint="eastAsia"/>
          <w:b/>
          <w:i/>
          <w:color w:val="auto"/>
          <w:highlight w:val="none"/>
          <w:u w:val="single"/>
          <w:shd w:val="clear" w:color="auto" w:fill="auto"/>
        </w:rPr>
        <w:t>合同专用条款</w:t>
      </w:r>
      <w:r>
        <w:rPr>
          <w:rFonts w:hint="eastAsia"/>
          <w:color w:val="auto"/>
          <w:highlight w:val="none"/>
          <w:shd w:val="clear" w:color="auto" w:fill="auto"/>
        </w:rPr>
        <w:t>约定时间内组织验收，并可依法邀请相关方参加，验收应出具验收书。</w:t>
      </w:r>
    </w:p>
    <w:p>
      <w:pPr>
        <w:keepNext w:val="0"/>
        <w:keepLines w:val="0"/>
        <w:pageBreakBefore w:val="0"/>
        <w:widowControl/>
        <w:tabs>
          <w:tab w:val="left" w:pos="360"/>
          <w:tab w:val="left" w:pos="540"/>
          <w:tab w:val="left" w:pos="1080"/>
        </w:tabs>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keepNext w:val="0"/>
        <w:keepLines w:val="0"/>
        <w:pageBreakBefore w:val="0"/>
        <w:widowControl/>
        <w:tabs>
          <w:tab w:val="left" w:pos="360"/>
          <w:tab w:val="left" w:pos="540"/>
          <w:tab w:val="left" w:pos="1080"/>
        </w:tabs>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2.16.3 </w:t>
      </w:r>
      <w:r>
        <w:rPr>
          <w:rFonts w:hint="eastAsia"/>
          <w:color w:val="auto"/>
          <w:highlight w:val="none"/>
          <w:shd w:val="clear" w:color="auto" w:fill="auto"/>
        </w:rPr>
        <w:t>检验和验收标准、程序等具体内容以及前述验收书的效力详见</w:t>
      </w:r>
      <w:r>
        <w:rPr>
          <w:rFonts w:hint="eastAsia"/>
          <w:b/>
          <w:i/>
          <w:color w:val="auto"/>
          <w:highlight w:val="none"/>
          <w:u w:val="single"/>
          <w:shd w:val="clear" w:color="auto" w:fill="auto"/>
        </w:rPr>
        <w:t>合同专用条款</w:t>
      </w:r>
      <w:r>
        <w:rPr>
          <w:rFonts w:hint="eastAsia"/>
          <w:i/>
          <w:color w:val="auto"/>
          <w:highlight w:val="none"/>
          <w:shd w:val="clear" w:color="auto" w:fill="auto"/>
        </w:rPr>
        <w:t>。</w:t>
      </w:r>
    </w:p>
    <w:bookmarkEnd w:id="520"/>
    <w:bookmarkEnd w:id="521"/>
    <w:bookmarkEnd w:id="522"/>
    <w:bookmarkEnd w:id="523"/>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551" w:name="_Toc279701261"/>
      <w:bookmarkStart w:id="552" w:name="_Toc487900371"/>
      <w:bookmarkStart w:id="553" w:name="_Toc259093690"/>
      <w:bookmarkStart w:id="554" w:name="_Toc19604"/>
      <w:bookmarkStart w:id="555" w:name="_Toc25182"/>
      <w:bookmarkStart w:id="556" w:name="_Toc11284"/>
      <w:r>
        <w:rPr>
          <w:color w:val="auto"/>
          <w:highlight w:val="none"/>
          <w:shd w:val="clear" w:color="auto" w:fill="auto"/>
        </w:rPr>
        <w:t xml:space="preserve">2.17 </w:t>
      </w:r>
      <w:r>
        <w:rPr>
          <w:rFonts w:hint="eastAsia"/>
          <w:color w:val="auto"/>
          <w:highlight w:val="none"/>
          <w:shd w:val="clear" w:color="auto" w:fill="auto"/>
        </w:rPr>
        <w:t>通知</w:t>
      </w:r>
      <w:bookmarkEnd w:id="551"/>
      <w:bookmarkEnd w:id="552"/>
      <w:bookmarkEnd w:id="553"/>
      <w:r>
        <w:rPr>
          <w:rFonts w:hint="eastAsia"/>
          <w:color w:val="auto"/>
          <w:highlight w:val="none"/>
          <w:shd w:val="clear" w:color="auto" w:fill="auto"/>
        </w:rPr>
        <w:t>和送达</w:t>
      </w:r>
      <w:bookmarkEnd w:id="554"/>
      <w:bookmarkEnd w:id="555"/>
      <w:bookmarkEnd w:id="556"/>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bookmarkStart w:id="557" w:name="_Toc6698"/>
      <w:bookmarkStart w:id="558" w:name="_Toc3135"/>
      <w:bookmarkStart w:id="559" w:name="_Toc259093691"/>
      <w:bookmarkStart w:id="560" w:name="_Toc487900372"/>
      <w:bookmarkStart w:id="561" w:name="_Toc279701262"/>
      <w:r>
        <w:rPr>
          <w:color w:val="auto"/>
          <w:highlight w:val="none"/>
          <w:shd w:val="clear" w:color="auto" w:fill="auto"/>
        </w:rPr>
        <w:t>2.17.1</w:t>
      </w:r>
      <w:r>
        <w:rPr>
          <w:rFonts w:hint="eastAsia"/>
          <w:color w:val="auto"/>
          <w:highlight w:val="none"/>
          <w:shd w:val="clear" w:color="auto" w:fill="auto"/>
        </w:rPr>
        <w:t>任何一方因履行合同而以合同第一部分尾部所列明的传真或电子邮件</w:t>
      </w:r>
      <w:r>
        <w:rPr>
          <w:color w:val="auto"/>
          <w:highlight w:val="none"/>
          <w:shd w:val="clear" w:color="auto" w:fill="auto"/>
        </w:rPr>
        <w:t xml:space="preserve"> </w:t>
      </w:r>
      <w:r>
        <w:rPr>
          <w:color w:val="auto"/>
          <w:highlight w:val="none"/>
          <w:u w:val="single"/>
          <w:shd w:val="clear" w:color="auto" w:fill="auto"/>
        </w:rPr>
        <w:t xml:space="preserve">       </w:t>
      </w:r>
      <w:r>
        <w:rPr>
          <w:rFonts w:hint="eastAsia"/>
          <w:color w:val="auto"/>
          <w:highlight w:val="none"/>
          <w:shd w:val="clear" w:color="auto" w:fill="auto"/>
        </w:rPr>
        <w:t>发出的所有通知、文件、材料，均视为已向对方当事人送达；任何一方变更上述送达方式或者地址的，应于</w:t>
      </w:r>
      <w:r>
        <w:rPr>
          <w:rFonts w:hint="eastAsia"/>
          <w:color w:val="auto"/>
          <w:highlight w:val="none"/>
          <w:u w:val="single"/>
          <w:shd w:val="clear" w:color="auto" w:fill="auto"/>
        </w:rPr>
        <w:t>3</w:t>
      </w:r>
      <w:r>
        <w:rPr>
          <w:rFonts w:hint="eastAsia"/>
          <w:color w:val="auto"/>
          <w:highlight w:val="none"/>
          <w:shd w:val="clear" w:color="auto" w:fill="auto"/>
        </w:rPr>
        <w:t>个工作日内书面通知对方当事人，在对方当事人收到有关变更通知之前，变更前的约定送达方式或者地址仍视为有效。</w:t>
      </w:r>
      <w:bookmarkEnd w:id="557"/>
      <w:bookmarkEnd w:id="558"/>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bookmarkStart w:id="562" w:name="_Toc23128"/>
      <w:bookmarkStart w:id="563" w:name="_Toc23294"/>
      <w:r>
        <w:rPr>
          <w:color w:val="auto"/>
          <w:highlight w:val="none"/>
          <w:shd w:val="clear" w:color="auto" w:fill="auto"/>
        </w:rPr>
        <w:t>2.17.2以当面交付方式送达的，交付之时视为送达；以电子邮件方式送达的，发出电子邮件之时视为送达；以传真方式送达的，发出传真之时视为送达；以邮寄方式送达</w:t>
      </w:r>
      <w:r>
        <w:rPr>
          <w:rFonts w:hint="eastAsia"/>
          <w:color w:val="auto"/>
          <w:highlight w:val="none"/>
          <w:shd w:val="clear" w:color="auto" w:fill="auto"/>
        </w:rPr>
        <w:t>的，邮件挂号寄出或者交邮之日之次日视为送达。</w:t>
      </w:r>
      <w:bookmarkEnd w:id="562"/>
      <w:bookmarkEnd w:id="563"/>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564" w:name="_Toc4355"/>
      <w:bookmarkStart w:id="565" w:name="_Toc18540"/>
      <w:bookmarkStart w:id="566" w:name="_Toc30599"/>
      <w:r>
        <w:rPr>
          <w:color w:val="auto"/>
          <w:highlight w:val="none"/>
          <w:shd w:val="clear" w:color="auto" w:fill="auto"/>
        </w:rPr>
        <w:t xml:space="preserve">2.18 </w:t>
      </w:r>
      <w:r>
        <w:rPr>
          <w:rFonts w:hint="eastAsia"/>
          <w:color w:val="auto"/>
          <w:highlight w:val="none"/>
          <w:shd w:val="clear" w:color="auto" w:fill="auto"/>
        </w:rPr>
        <w:t>计量单位</w:t>
      </w:r>
      <w:bookmarkEnd w:id="559"/>
      <w:bookmarkEnd w:id="560"/>
      <w:bookmarkEnd w:id="561"/>
      <w:bookmarkEnd w:id="564"/>
      <w:bookmarkEnd w:id="565"/>
      <w:bookmarkEnd w:id="566"/>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除技术规范中另有规定外</w:t>
      </w:r>
      <w:r>
        <w:rPr>
          <w:color w:val="auto"/>
          <w:highlight w:val="none"/>
          <w:shd w:val="clear" w:color="auto" w:fill="auto"/>
        </w:rPr>
        <w:t>,合同的计量单位均使用国家法定计量单位。</w:t>
      </w:r>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567" w:name="_Toc279701263"/>
      <w:bookmarkStart w:id="568" w:name="_Toc18567"/>
      <w:bookmarkStart w:id="569" w:name="_Toc259093692"/>
      <w:bookmarkStart w:id="570" w:name="_Toc12773"/>
      <w:bookmarkStart w:id="571" w:name="_Toc10330"/>
      <w:bookmarkStart w:id="572" w:name="_Toc487900373"/>
      <w:r>
        <w:rPr>
          <w:color w:val="auto"/>
          <w:highlight w:val="none"/>
          <w:shd w:val="clear" w:color="auto" w:fill="auto"/>
        </w:rPr>
        <w:t xml:space="preserve">2.19 </w:t>
      </w:r>
      <w:r>
        <w:rPr>
          <w:rFonts w:hint="eastAsia"/>
          <w:color w:val="auto"/>
          <w:highlight w:val="none"/>
          <w:shd w:val="clear" w:color="auto" w:fill="auto"/>
        </w:rPr>
        <w:t>合同使用的文字和适用的法律</w:t>
      </w:r>
      <w:bookmarkEnd w:id="567"/>
      <w:bookmarkEnd w:id="568"/>
      <w:bookmarkEnd w:id="569"/>
      <w:bookmarkEnd w:id="570"/>
      <w:bookmarkEnd w:id="571"/>
      <w:bookmarkEnd w:id="572"/>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2.19.1 </w:t>
      </w:r>
      <w:r>
        <w:rPr>
          <w:rFonts w:hint="eastAsia"/>
          <w:color w:val="auto"/>
          <w:highlight w:val="none"/>
          <w:shd w:val="clear" w:color="auto" w:fill="auto"/>
        </w:rPr>
        <w:t>合同使用汉语书就、变更和解释；</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2.19.2 </w:t>
      </w:r>
      <w:r>
        <w:rPr>
          <w:rFonts w:hint="eastAsia"/>
          <w:color w:val="auto"/>
          <w:highlight w:val="none"/>
          <w:shd w:val="clear" w:color="auto" w:fill="auto"/>
        </w:rPr>
        <w:t>合同适用中华人民共和国法律。</w:t>
      </w:r>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573" w:name="_Toc3148"/>
      <w:bookmarkStart w:id="574" w:name="_Toc12004"/>
      <w:bookmarkStart w:id="575" w:name="_Toc16673"/>
      <w:bookmarkStart w:id="576" w:name="_Toc259093693"/>
      <w:bookmarkStart w:id="577" w:name="_Toc279701264"/>
      <w:bookmarkStart w:id="578" w:name="_Toc487900374"/>
      <w:r>
        <w:rPr>
          <w:color w:val="auto"/>
          <w:highlight w:val="none"/>
          <w:shd w:val="clear" w:color="auto" w:fill="auto"/>
        </w:rPr>
        <w:t xml:space="preserve">2.20 </w:t>
      </w:r>
      <w:r>
        <w:rPr>
          <w:rFonts w:hint="eastAsia"/>
          <w:color w:val="auto"/>
          <w:highlight w:val="none"/>
          <w:shd w:val="clear" w:color="auto" w:fill="auto"/>
        </w:rPr>
        <w:t>履约保证金</w:t>
      </w:r>
      <w:bookmarkEnd w:id="573"/>
      <w:bookmarkEnd w:id="574"/>
      <w:bookmarkEnd w:id="575"/>
      <w:bookmarkEnd w:id="576"/>
      <w:bookmarkEnd w:id="577"/>
    </w:p>
    <w:p>
      <w:pPr>
        <w:pStyle w:val="76"/>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textAlignment w:val="auto"/>
        <w:rPr>
          <w:rFonts w:ascii="仿宋" w:hAnsi="仿宋" w:eastAsia="仿宋"/>
          <w:color w:val="auto"/>
          <w:highlight w:val="none"/>
          <w:shd w:val="clear" w:color="auto" w:fill="auto"/>
        </w:rPr>
      </w:pPr>
      <w:r>
        <w:rPr>
          <w:rFonts w:ascii="仿宋" w:hAnsi="仿宋" w:eastAsia="仿宋"/>
          <w:color w:val="auto"/>
          <w:highlight w:val="none"/>
          <w:shd w:val="clear" w:color="auto" w:fill="auto"/>
        </w:rPr>
        <w:t xml:space="preserve">2.20.1 </w:t>
      </w:r>
      <w:r>
        <w:rPr>
          <w:rFonts w:hint="eastAsia" w:ascii="仿宋" w:hAnsi="仿宋" w:eastAsia="仿宋"/>
          <w:color w:val="auto"/>
          <w:highlight w:val="none"/>
          <w:shd w:val="clear" w:color="auto" w:fill="auto"/>
        </w:rPr>
        <w:t>采购文件要求乙方提交履约保证金的，乙方应按</w:t>
      </w:r>
      <w:r>
        <w:rPr>
          <w:rFonts w:hint="eastAsia" w:ascii="仿宋" w:hAnsi="仿宋" w:eastAsia="仿宋"/>
          <w:b/>
          <w:i/>
          <w:color w:val="auto"/>
          <w:highlight w:val="none"/>
          <w:u w:val="single"/>
          <w:shd w:val="clear" w:color="auto" w:fill="auto"/>
        </w:rPr>
        <w:t>合同专用条款</w:t>
      </w:r>
      <w:r>
        <w:rPr>
          <w:rFonts w:hint="eastAsia" w:ascii="仿宋" w:hAnsi="仿宋" w:eastAsia="仿宋"/>
          <w:color w:val="auto"/>
          <w:highlight w:val="none"/>
          <w:shd w:val="clear" w:color="auto" w:fill="auto"/>
        </w:rPr>
        <w:t>约定的方式，以支票、汇票、本票或者金融机构、担保机构出具的保函等非现金形式，提交不超过合同金额1</w:t>
      </w:r>
      <w:r>
        <w:rPr>
          <w:rFonts w:ascii="仿宋" w:hAnsi="仿宋" w:eastAsia="仿宋"/>
          <w:color w:val="auto"/>
          <w:highlight w:val="none"/>
          <w:shd w:val="clear" w:color="auto" w:fill="auto"/>
        </w:rPr>
        <w:t>%的履约保证金；鼓励和支持乙方以银行、保险公司出具的保函形式提供履约保证</w:t>
      </w:r>
      <w:r>
        <w:rPr>
          <w:rFonts w:hint="eastAsia" w:ascii="仿宋" w:hAnsi="仿宋" w:eastAsia="仿宋"/>
          <w:color w:val="auto"/>
          <w:highlight w:val="none"/>
          <w:shd w:val="clear" w:color="auto" w:fill="auto"/>
        </w:rPr>
        <w:t>，乙方以银行、保险公司出具保函形式提交履约保证金的，甲方不得拒收。</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2.20.2  </w:t>
      </w:r>
      <w:r>
        <w:rPr>
          <w:rFonts w:hint="eastAsia"/>
          <w:color w:val="auto"/>
          <w:highlight w:val="none"/>
          <w:shd w:val="clear" w:color="auto" w:fill="auto"/>
        </w:rPr>
        <w:t>甲方在项目验收结束后及时退还履约保证金。甲方在项目通过验收之日起</w:t>
      </w:r>
      <w:r>
        <w:rPr>
          <w:color w:val="auto"/>
          <w:highlight w:val="none"/>
          <w:u w:val="single"/>
          <w:shd w:val="clear" w:color="auto" w:fill="auto"/>
        </w:rPr>
        <w:t xml:space="preserve"> </w:t>
      </w:r>
      <w:r>
        <w:rPr>
          <w:rFonts w:hint="eastAsia"/>
          <w:color w:val="auto"/>
          <w:highlight w:val="none"/>
          <w:u w:val="single"/>
          <w:shd w:val="clear" w:color="auto" w:fill="auto"/>
        </w:rPr>
        <w:t>5</w:t>
      </w:r>
      <w:r>
        <w:rPr>
          <w:color w:val="auto"/>
          <w:highlight w:val="none"/>
          <w:u w:val="single"/>
          <w:shd w:val="clear" w:color="auto" w:fill="auto"/>
        </w:rPr>
        <w:t xml:space="preserve"> </w:t>
      </w:r>
      <w:r>
        <w:rPr>
          <w:rFonts w:hint="eastAsia"/>
          <w:color w:val="auto"/>
          <w:highlight w:val="none"/>
          <w:shd w:val="clear" w:color="auto" w:fill="auto"/>
        </w:rPr>
        <w:t>个工作日内，按</w:t>
      </w:r>
      <w:r>
        <w:rPr>
          <w:rFonts w:hint="eastAsia"/>
          <w:b/>
          <w:i/>
          <w:color w:val="auto"/>
          <w:highlight w:val="none"/>
          <w:u w:val="single"/>
          <w:shd w:val="clear" w:color="auto" w:fill="auto"/>
        </w:rPr>
        <w:t>合同专用条款</w:t>
      </w:r>
      <w:r>
        <w:rPr>
          <w:rFonts w:hint="eastAsia"/>
          <w:color w:val="auto"/>
          <w:highlight w:val="none"/>
          <w:shd w:val="clear" w:color="auto" w:fill="auto"/>
        </w:rPr>
        <w:t>约定的方式将履约保证金退还乙方，逾期退还的，乙方可要求甲方支付违约金，违约金按每迟延退还一日的应退还而未退还金额的</w:t>
      </w:r>
      <w:r>
        <w:rPr>
          <w:color w:val="auto"/>
          <w:highlight w:val="none"/>
          <w:u w:val="single"/>
          <w:shd w:val="clear" w:color="auto" w:fill="auto"/>
        </w:rPr>
        <w:t xml:space="preserve">  </w:t>
      </w:r>
      <w:r>
        <w:rPr>
          <w:rFonts w:hint="eastAsia"/>
          <w:color w:val="auto"/>
          <w:highlight w:val="none"/>
          <w:u w:val="single"/>
          <w:shd w:val="clear" w:color="auto" w:fill="auto"/>
        </w:rPr>
        <w:t>0.05</w:t>
      </w:r>
      <w:r>
        <w:rPr>
          <w:color w:val="auto"/>
          <w:highlight w:val="none"/>
          <w:u w:val="single"/>
          <w:shd w:val="clear" w:color="auto" w:fill="auto"/>
        </w:rPr>
        <w:t xml:space="preserve">  </w:t>
      </w:r>
      <w:r>
        <w:rPr>
          <w:color w:val="auto"/>
          <w:highlight w:val="none"/>
          <w:shd w:val="clear" w:color="auto" w:fill="auto"/>
        </w:rPr>
        <w:t>%计算，最高限额为本合同履约保证金的</w:t>
      </w:r>
      <w:r>
        <w:rPr>
          <w:color w:val="auto"/>
          <w:highlight w:val="none"/>
          <w:u w:val="single"/>
          <w:shd w:val="clear" w:color="auto" w:fill="auto"/>
        </w:rPr>
        <w:t xml:space="preserve">  </w:t>
      </w:r>
      <w:r>
        <w:rPr>
          <w:rFonts w:hint="eastAsia"/>
          <w:color w:val="auto"/>
          <w:highlight w:val="none"/>
          <w:u w:val="single"/>
          <w:shd w:val="clear" w:color="auto" w:fill="auto"/>
        </w:rPr>
        <w:t>20</w:t>
      </w:r>
      <w:r>
        <w:rPr>
          <w:color w:val="auto"/>
          <w:highlight w:val="none"/>
          <w:u w:val="single"/>
          <w:shd w:val="clear" w:color="auto" w:fill="auto"/>
        </w:rPr>
        <w:t xml:space="preserve">   </w:t>
      </w:r>
      <w:r>
        <w:rPr>
          <w:color w:val="auto"/>
          <w:highlight w:val="none"/>
          <w:shd w:val="clear" w:color="auto" w:fill="auto"/>
        </w:rPr>
        <w:t xml:space="preserve">%； </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 xml:space="preserve">2.20.3 </w:t>
      </w:r>
      <w:r>
        <w:rPr>
          <w:rFonts w:hint="eastAsia"/>
          <w:color w:val="auto"/>
          <w:highlight w:val="none"/>
          <w:shd w:val="clear" w:color="auto" w:fill="auto"/>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2.2</w:t>
      </w:r>
      <w:r>
        <w:rPr>
          <w:rFonts w:hint="eastAsia"/>
          <w:color w:val="auto"/>
          <w:highlight w:val="none"/>
          <w:shd w:val="clear" w:color="auto" w:fill="auto"/>
        </w:rPr>
        <w:t>0</w:t>
      </w:r>
      <w:r>
        <w:rPr>
          <w:color w:val="auto"/>
          <w:highlight w:val="none"/>
          <w:shd w:val="clear" w:color="auto" w:fill="auto"/>
        </w:rPr>
        <w:t>.4</w:t>
      </w:r>
      <w:r>
        <w:rPr>
          <w:rFonts w:hint="eastAsia"/>
          <w:color w:val="auto"/>
          <w:highlight w:val="none"/>
          <w:shd w:val="clear" w:color="auto" w:fill="auto"/>
        </w:rPr>
        <w:t> 甲方根据杭州市政府采购网公布的供应商履约评价情况减免履约保证金。乙方履约验收评价总分为</w:t>
      </w:r>
      <w:r>
        <w:rPr>
          <w:color w:val="auto"/>
          <w:highlight w:val="none"/>
          <w:shd w:val="clear" w:color="auto" w:fill="auto"/>
        </w:rPr>
        <w:t>100分的，甲方免收履约保证金。</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color w:val="auto"/>
          <w:highlight w:val="none"/>
          <w:shd w:val="clear" w:color="auto" w:fill="auto"/>
        </w:rPr>
        <w:t>2.2</w:t>
      </w:r>
      <w:r>
        <w:rPr>
          <w:rFonts w:hint="eastAsia"/>
          <w:color w:val="auto"/>
          <w:highlight w:val="none"/>
          <w:shd w:val="clear" w:color="auto" w:fill="auto"/>
        </w:rPr>
        <w:t>0</w:t>
      </w:r>
      <w:r>
        <w:rPr>
          <w:color w:val="auto"/>
          <w:highlight w:val="none"/>
          <w:shd w:val="clear" w:color="auto" w:fill="auto"/>
        </w:rPr>
        <w:t>.5</w:t>
      </w:r>
      <w:r>
        <w:rPr>
          <w:rFonts w:hint="eastAsia"/>
          <w:color w:val="auto"/>
          <w:highlight w:val="none"/>
          <w:shd w:val="clear" w:color="auto" w:fill="auto"/>
        </w:rPr>
        <w:t>甲方</w:t>
      </w:r>
      <w:r>
        <w:rPr>
          <w:color w:val="auto"/>
          <w:highlight w:val="none"/>
          <w:shd w:val="clear" w:color="auto" w:fill="auto"/>
        </w:rPr>
        <w:t>在</w:t>
      </w:r>
      <w:r>
        <w:rPr>
          <w:rFonts w:hint="eastAsia"/>
          <w:color w:val="auto"/>
          <w:highlight w:val="none"/>
          <w:shd w:val="clear" w:color="auto" w:fill="auto"/>
        </w:rPr>
        <w:t>乙方</w:t>
      </w:r>
      <w:r>
        <w:rPr>
          <w:color w:val="auto"/>
          <w:highlight w:val="none"/>
          <w:shd w:val="clear" w:color="auto" w:fill="auto"/>
        </w:rPr>
        <w:t>履行完合同约定义务事项后及时退还，延迟退还的，应当按照合同约定和法律规定承担相应的赔偿责任。</w:t>
      </w:r>
    </w:p>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r>
        <w:rPr>
          <w:color w:val="auto"/>
          <w:highlight w:val="none"/>
          <w:shd w:val="clear" w:color="auto" w:fill="auto"/>
        </w:rPr>
        <w:t>2.2</w:t>
      </w:r>
      <w:r>
        <w:rPr>
          <w:rFonts w:hint="eastAsia"/>
          <w:color w:val="auto"/>
          <w:highlight w:val="none"/>
          <w:shd w:val="clear" w:color="auto" w:fill="auto"/>
        </w:rPr>
        <w:t>1</w:t>
      </w:r>
      <w:r>
        <w:rPr>
          <w:color w:val="auto"/>
          <w:highlight w:val="none"/>
          <w:shd w:val="clear" w:color="auto" w:fill="auto"/>
        </w:rPr>
        <w:t>对于因甲方原因导致变更、中止或者终止政府采购合同的，甲方应当依照合同约定对供应商受到的损失予以赔偿或者补偿。</w:t>
      </w:r>
    </w:p>
    <w:bookmarkEnd w:id="578"/>
    <w:p>
      <w:pPr>
        <w:pStyle w:val="4"/>
        <w:keepNext w:val="0"/>
        <w:keepLines w:val="0"/>
        <w:pageBreakBefore w:val="0"/>
        <w:widowControl/>
        <w:kinsoku/>
        <w:wordWrap/>
        <w:overflowPunct/>
        <w:topLinePunct w:val="0"/>
        <w:autoSpaceDE/>
        <w:autoSpaceDN/>
        <w:bidi w:val="0"/>
        <w:adjustRightInd/>
        <w:snapToGrid/>
        <w:spacing w:after="0" w:line="360" w:lineRule="auto"/>
        <w:textAlignment w:val="auto"/>
        <w:rPr>
          <w:color w:val="auto"/>
          <w:highlight w:val="none"/>
          <w:shd w:val="clear" w:color="auto" w:fill="auto"/>
        </w:rPr>
      </w:pPr>
      <w:bookmarkStart w:id="579" w:name="_Toc19890"/>
      <w:bookmarkStart w:id="580" w:name="_Toc6885"/>
      <w:bookmarkStart w:id="581" w:name="_Toc14001"/>
      <w:r>
        <w:rPr>
          <w:color w:val="auto"/>
          <w:highlight w:val="none"/>
          <w:shd w:val="clear" w:color="auto" w:fill="auto"/>
        </w:rPr>
        <w:t>2.2</w:t>
      </w:r>
      <w:r>
        <w:rPr>
          <w:rFonts w:hint="eastAsia"/>
          <w:color w:val="auto"/>
          <w:highlight w:val="none"/>
          <w:shd w:val="clear" w:color="auto" w:fill="auto"/>
        </w:rPr>
        <w:t>2合同份数</w:t>
      </w:r>
      <w:bookmarkEnd w:id="579"/>
      <w:bookmarkEnd w:id="580"/>
      <w:bookmarkEnd w:id="581"/>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color w:val="auto"/>
          <w:highlight w:val="none"/>
          <w:shd w:val="clear" w:color="auto" w:fill="auto"/>
        </w:rPr>
      </w:pPr>
      <w:r>
        <w:rPr>
          <w:rFonts w:hint="eastAsia"/>
          <w:color w:val="auto"/>
          <w:highlight w:val="none"/>
          <w:shd w:val="clear" w:color="auto" w:fill="auto"/>
        </w:rPr>
        <w:t>合同份数按</w:t>
      </w:r>
      <w:r>
        <w:rPr>
          <w:rFonts w:hint="eastAsia"/>
          <w:b/>
          <w:i/>
          <w:color w:val="auto"/>
          <w:highlight w:val="none"/>
          <w:u w:val="single"/>
          <w:shd w:val="clear" w:color="auto" w:fill="auto"/>
        </w:rPr>
        <w:t>合同专用条款</w:t>
      </w:r>
      <w:r>
        <w:rPr>
          <w:rFonts w:hint="eastAsia"/>
          <w:color w:val="auto"/>
          <w:highlight w:val="none"/>
          <w:shd w:val="clear" w:color="auto" w:fill="auto"/>
        </w:rPr>
        <w:t>规定，每份均具有同等法律效力。</w:t>
      </w:r>
    </w:p>
    <w:p>
      <w:pPr>
        <w:pStyle w:val="3"/>
        <w:rPr>
          <w:color w:val="auto"/>
          <w:highlight w:val="none"/>
          <w:shd w:val="clear" w:color="auto" w:fill="auto"/>
        </w:rPr>
      </w:pPr>
      <w:r>
        <w:rPr>
          <w:rFonts w:hint="eastAsia"/>
          <w:color w:val="auto"/>
          <w:highlight w:val="none"/>
          <w:shd w:val="clear" w:color="auto" w:fill="auto"/>
        </w:rPr>
        <w:t>第三部分</w:t>
      </w:r>
      <w:r>
        <w:rPr>
          <w:color w:val="auto"/>
          <w:highlight w:val="none"/>
          <w:shd w:val="clear" w:color="auto" w:fill="auto"/>
        </w:rPr>
        <w:t xml:space="preserve">  </w:t>
      </w:r>
      <w:r>
        <w:rPr>
          <w:rFonts w:hint="eastAsia"/>
          <w:color w:val="auto"/>
          <w:highlight w:val="none"/>
          <w:shd w:val="clear" w:color="auto" w:fill="auto"/>
        </w:rPr>
        <w:t>合同专用条款</w:t>
      </w:r>
    </w:p>
    <w:p>
      <w:pPr>
        <w:spacing w:line="560" w:lineRule="exact"/>
        <w:ind w:left="-480" w:leftChars="-200" w:right="-480" w:rightChars="-200" w:firstLine="480" w:firstLineChars="200"/>
        <w:rPr>
          <w:color w:val="auto"/>
          <w:highlight w:val="none"/>
          <w:shd w:val="clear" w:color="auto" w:fill="auto"/>
        </w:rPr>
      </w:pPr>
      <w:r>
        <w:rPr>
          <w:rFonts w:hint="eastAsia"/>
          <w:color w:val="auto"/>
          <w:highlight w:val="none"/>
          <w:shd w:val="clear" w:color="auto" w:fill="auto"/>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30"/>
        <w:tblW w:w="527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31"/>
        <w:gridCol w:w="8088"/>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86" w:hRule="atLeast"/>
        </w:trPr>
        <w:tc>
          <w:tcPr>
            <w:tcW w:w="466" w:type="pct"/>
            <w:tcBorders>
              <w:left w:val="single" w:color="auto" w:sz="4" w:space="0"/>
            </w:tcBorders>
            <w:vAlign w:val="center"/>
          </w:tcPr>
          <w:p>
            <w:pPr>
              <w:spacing w:line="360" w:lineRule="auto"/>
              <w:jc w:val="center"/>
              <w:rPr>
                <w:rFonts w:ascii="仿宋_GB2312" w:hAnsi="楷体" w:eastAsia="仿宋_GB2312"/>
                <w:b/>
                <w:color w:val="auto"/>
                <w:highlight w:val="none"/>
                <w:shd w:val="clear" w:color="auto" w:fill="auto"/>
              </w:rPr>
            </w:pPr>
            <w:r>
              <w:rPr>
                <w:rFonts w:hint="eastAsia" w:ascii="仿宋_GB2312" w:hAnsi="楷体" w:eastAsia="仿宋_GB2312"/>
                <w:b/>
                <w:color w:val="auto"/>
                <w:highlight w:val="none"/>
                <w:shd w:val="clear" w:color="auto" w:fill="auto"/>
              </w:rPr>
              <w:t>条款号</w:t>
            </w:r>
          </w:p>
        </w:tc>
        <w:tc>
          <w:tcPr>
            <w:tcW w:w="4534" w:type="pct"/>
            <w:vAlign w:val="center"/>
          </w:tcPr>
          <w:p>
            <w:pPr>
              <w:spacing w:line="360" w:lineRule="auto"/>
              <w:jc w:val="center"/>
              <w:rPr>
                <w:rFonts w:ascii="仿宋_GB2312" w:hAnsi="楷体" w:eastAsia="仿宋_GB2312"/>
                <w:b/>
                <w:color w:val="auto"/>
                <w:highlight w:val="none"/>
                <w:shd w:val="clear" w:color="auto" w:fill="auto"/>
              </w:rPr>
            </w:pPr>
            <w:r>
              <w:rPr>
                <w:rFonts w:hint="eastAsia" w:ascii="仿宋_GB2312" w:hAnsi="楷体" w:eastAsia="仿宋_GB2312"/>
                <w:b/>
                <w:color w:val="auto"/>
                <w:highlight w:val="none"/>
                <w:shd w:val="clear" w:color="auto" w:fill="auto"/>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color w:val="auto"/>
                <w:highlight w:val="none"/>
                <w:shd w:val="clear" w:color="auto" w:fill="auto"/>
              </w:rPr>
            </w:pPr>
            <w:r>
              <w:rPr>
                <w:color w:val="auto"/>
                <w:highlight w:val="none"/>
                <w:shd w:val="clear" w:color="auto" w:fill="auto"/>
              </w:rPr>
              <w:t>1.4.4</w:t>
            </w:r>
          </w:p>
        </w:tc>
        <w:tc>
          <w:tcPr>
            <w:tcW w:w="4534" w:type="pct"/>
            <w:vAlign w:val="center"/>
          </w:tcPr>
          <w:p>
            <w:pPr>
              <w:spacing w:line="360" w:lineRule="auto"/>
              <w:rPr>
                <w:color w:val="auto"/>
                <w:highlight w:val="none"/>
                <w:shd w:val="clear" w:color="auto" w:fill="auto"/>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color w:val="auto"/>
                <w:highlight w:val="none"/>
                <w:shd w:val="clear" w:color="auto" w:fill="auto"/>
              </w:rPr>
            </w:pPr>
            <w:r>
              <w:rPr>
                <w:color w:val="auto"/>
                <w:highlight w:val="none"/>
                <w:shd w:val="clear" w:color="auto" w:fill="auto"/>
              </w:rPr>
              <w:t xml:space="preserve">1.5.1 </w:t>
            </w:r>
          </w:p>
        </w:tc>
        <w:tc>
          <w:tcPr>
            <w:tcW w:w="4534" w:type="pct"/>
            <w:vAlign w:val="center"/>
          </w:tcPr>
          <w:p>
            <w:pPr>
              <w:spacing w:line="360" w:lineRule="auto"/>
              <w:rPr>
                <w:color w:val="auto"/>
                <w:highlight w:val="none"/>
                <w:shd w:val="clear" w:color="auto" w:fill="auto"/>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color w:val="auto"/>
                <w:highlight w:val="none"/>
                <w:shd w:val="clear" w:color="auto" w:fill="auto"/>
              </w:rPr>
            </w:pPr>
            <w:r>
              <w:rPr>
                <w:color w:val="auto"/>
                <w:highlight w:val="none"/>
                <w:shd w:val="clear" w:color="auto" w:fill="auto"/>
              </w:rPr>
              <w:t>1.5.2</w:t>
            </w:r>
          </w:p>
        </w:tc>
        <w:tc>
          <w:tcPr>
            <w:tcW w:w="4534" w:type="pct"/>
            <w:vAlign w:val="center"/>
          </w:tcPr>
          <w:p>
            <w:pPr>
              <w:spacing w:line="360" w:lineRule="auto"/>
              <w:rPr>
                <w:color w:val="auto"/>
                <w:highlight w:val="none"/>
                <w:shd w:val="clear" w:color="auto" w:fill="auto"/>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color w:val="auto"/>
                <w:highlight w:val="none"/>
                <w:shd w:val="clear" w:color="auto" w:fill="auto"/>
              </w:rPr>
            </w:pPr>
            <w:r>
              <w:rPr>
                <w:color w:val="auto"/>
                <w:highlight w:val="none"/>
                <w:shd w:val="clear" w:color="auto" w:fill="auto"/>
              </w:rPr>
              <w:t xml:space="preserve">1.5.3 </w:t>
            </w:r>
          </w:p>
        </w:tc>
        <w:tc>
          <w:tcPr>
            <w:tcW w:w="4534" w:type="pct"/>
            <w:vAlign w:val="center"/>
          </w:tcPr>
          <w:p>
            <w:pPr>
              <w:spacing w:line="360" w:lineRule="auto"/>
              <w:rPr>
                <w:color w:val="auto"/>
                <w:highlight w:val="none"/>
                <w:shd w:val="clear" w:color="auto" w:fill="auto"/>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color w:val="auto"/>
                <w:highlight w:val="none"/>
                <w:shd w:val="clear" w:color="auto" w:fill="auto"/>
              </w:rPr>
            </w:pPr>
            <w:r>
              <w:rPr>
                <w:rFonts w:hint="eastAsia"/>
                <w:color w:val="auto"/>
                <w:highlight w:val="none"/>
                <w:shd w:val="clear" w:color="auto" w:fill="auto"/>
              </w:rPr>
              <w:t>1.6.7</w:t>
            </w:r>
          </w:p>
        </w:tc>
        <w:tc>
          <w:tcPr>
            <w:tcW w:w="4534" w:type="pct"/>
            <w:vAlign w:val="center"/>
          </w:tcPr>
          <w:p>
            <w:pPr>
              <w:spacing w:line="360" w:lineRule="auto"/>
              <w:rPr>
                <w:color w:val="auto"/>
                <w:highlight w:val="none"/>
                <w:shd w:val="clear" w:color="auto" w:fill="auto"/>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color w:val="auto"/>
                <w:highlight w:val="none"/>
                <w:shd w:val="clear" w:color="auto" w:fill="auto"/>
              </w:rPr>
            </w:pPr>
            <w:r>
              <w:rPr>
                <w:rFonts w:hint="eastAsia"/>
                <w:color w:val="auto"/>
                <w:highlight w:val="none"/>
                <w:shd w:val="clear" w:color="auto" w:fill="auto"/>
              </w:rPr>
              <w:t>1.7</w:t>
            </w:r>
          </w:p>
        </w:tc>
        <w:tc>
          <w:tcPr>
            <w:tcW w:w="4534" w:type="pct"/>
            <w:vAlign w:val="center"/>
          </w:tcPr>
          <w:p>
            <w:pPr>
              <w:spacing w:line="360" w:lineRule="auto"/>
              <w:rPr>
                <w:color w:val="auto"/>
                <w:highlight w:val="none"/>
                <w:shd w:val="clear" w:color="auto" w:fill="auto"/>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color w:val="auto"/>
                <w:highlight w:val="none"/>
                <w:shd w:val="clear" w:color="auto" w:fill="auto"/>
              </w:rPr>
            </w:pPr>
            <w:r>
              <w:rPr>
                <w:rFonts w:hint="eastAsia"/>
                <w:color w:val="auto"/>
                <w:highlight w:val="none"/>
                <w:shd w:val="clear" w:color="auto" w:fill="auto"/>
              </w:rPr>
              <w:t>1.7.1</w:t>
            </w:r>
          </w:p>
        </w:tc>
        <w:tc>
          <w:tcPr>
            <w:tcW w:w="4534" w:type="pct"/>
            <w:vAlign w:val="center"/>
          </w:tcPr>
          <w:p>
            <w:pPr>
              <w:spacing w:line="360" w:lineRule="auto"/>
              <w:rPr>
                <w:color w:val="auto"/>
                <w:highlight w:val="none"/>
                <w:shd w:val="clear" w:color="auto" w:fill="auto"/>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color w:val="auto"/>
                <w:highlight w:val="none"/>
                <w:shd w:val="clear" w:color="auto" w:fill="auto"/>
              </w:rPr>
            </w:pPr>
            <w:r>
              <w:rPr>
                <w:rFonts w:hint="eastAsia"/>
                <w:color w:val="auto"/>
                <w:highlight w:val="none"/>
                <w:shd w:val="clear" w:color="auto" w:fill="auto"/>
              </w:rPr>
              <w:t>1.7.2</w:t>
            </w:r>
          </w:p>
        </w:tc>
        <w:tc>
          <w:tcPr>
            <w:tcW w:w="4534" w:type="pct"/>
            <w:vAlign w:val="center"/>
          </w:tcPr>
          <w:p>
            <w:pPr>
              <w:spacing w:line="360" w:lineRule="auto"/>
              <w:rPr>
                <w:color w:val="auto"/>
                <w:highlight w:val="none"/>
                <w:shd w:val="clear" w:color="auto" w:fill="auto"/>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color w:val="auto"/>
                <w:highlight w:val="none"/>
                <w:shd w:val="clear" w:color="auto" w:fill="auto"/>
              </w:rPr>
            </w:pPr>
            <w:r>
              <w:rPr>
                <w:color w:val="auto"/>
                <w:highlight w:val="none"/>
                <w:shd w:val="clear" w:color="auto" w:fill="auto"/>
              </w:rPr>
              <w:t>2.3.2</w:t>
            </w:r>
          </w:p>
        </w:tc>
        <w:tc>
          <w:tcPr>
            <w:tcW w:w="4534" w:type="pct"/>
            <w:vAlign w:val="center"/>
          </w:tcPr>
          <w:p>
            <w:pPr>
              <w:spacing w:line="360" w:lineRule="auto"/>
              <w:ind w:left="-480" w:leftChars="-200" w:right="-480" w:rightChars="-200" w:firstLine="480" w:firstLineChars="200"/>
              <w:rPr>
                <w:color w:val="auto"/>
                <w:highlight w:val="none"/>
                <w:shd w:val="clear" w:color="auto" w:fill="auto"/>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color w:val="auto"/>
                <w:highlight w:val="none"/>
                <w:shd w:val="clear" w:color="auto" w:fill="auto"/>
              </w:rPr>
            </w:pPr>
            <w:r>
              <w:rPr>
                <w:color w:val="auto"/>
                <w:highlight w:val="none"/>
                <w:shd w:val="clear" w:color="auto" w:fill="auto"/>
              </w:rPr>
              <w:t>2.4.1</w:t>
            </w:r>
          </w:p>
        </w:tc>
        <w:tc>
          <w:tcPr>
            <w:tcW w:w="4534" w:type="pct"/>
            <w:vAlign w:val="center"/>
          </w:tcPr>
          <w:p>
            <w:pPr>
              <w:spacing w:line="360" w:lineRule="auto"/>
              <w:ind w:left="-480" w:leftChars="-200" w:right="-480" w:rightChars="-200" w:firstLine="480" w:firstLineChars="200"/>
              <w:rPr>
                <w:color w:val="auto"/>
                <w:highlight w:val="none"/>
                <w:shd w:val="clear" w:color="auto" w:fill="auto"/>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color w:val="auto"/>
                <w:highlight w:val="none"/>
                <w:shd w:val="clear" w:color="auto" w:fill="auto"/>
              </w:rPr>
            </w:pPr>
            <w:r>
              <w:rPr>
                <w:rFonts w:hint="eastAsia"/>
                <w:color w:val="auto"/>
                <w:highlight w:val="none"/>
                <w:shd w:val="clear" w:color="auto" w:fill="auto"/>
              </w:rPr>
              <w:t>2.4.2</w:t>
            </w:r>
          </w:p>
        </w:tc>
        <w:tc>
          <w:tcPr>
            <w:tcW w:w="4534" w:type="pct"/>
            <w:vAlign w:val="center"/>
          </w:tcPr>
          <w:p>
            <w:pPr>
              <w:spacing w:line="360" w:lineRule="auto"/>
              <w:rPr>
                <w:color w:val="auto"/>
                <w:highlight w:val="none"/>
                <w:shd w:val="clear" w:color="auto" w:fill="auto"/>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tcPr>
          <w:p>
            <w:pPr>
              <w:spacing w:line="360" w:lineRule="auto"/>
              <w:rPr>
                <w:color w:val="auto"/>
                <w:highlight w:val="none"/>
                <w:shd w:val="clear" w:color="auto" w:fill="auto"/>
              </w:rPr>
            </w:pPr>
            <w:r>
              <w:rPr>
                <w:rFonts w:hint="eastAsia"/>
                <w:color w:val="auto"/>
                <w:highlight w:val="none"/>
                <w:shd w:val="clear" w:color="auto" w:fill="auto"/>
              </w:rPr>
              <w:t xml:space="preserve">2.8 </w:t>
            </w:r>
          </w:p>
        </w:tc>
        <w:tc>
          <w:tcPr>
            <w:tcW w:w="4534" w:type="pct"/>
          </w:tcPr>
          <w:p>
            <w:pPr>
              <w:spacing w:line="360" w:lineRule="auto"/>
              <w:rPr>
                <w:color w:val="auto"/>
                <w:highlight w:val="none"/>
                <w:shd w:val="clear" w:color="auto" w:fill="auto"/>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color w:val="auto"/>
                <w:highlight w:val="none"/>
                <w:shd w:val="clear" w:color="auto" w:fill="auto"/>
              </w:rPr>
            </w:pPr>
            <w:r>
              <w:rPr>
                <w:color w:val="auto"/>
                <w:highlight w:val="none"/>
                <w:shd w:val="clear" w:color="auto" w:fill="auto"/>
              </w:rPr>
              <w:t>2.12.3</w:t>
            </w:r>
          </w:p>
        </w:tc>
        <w:tc>
          <w:tcPr>
            <w:tcW w:w="4534" w:type="pct"/>
            <w:vAlign w:val="center"/>
          </w:tcPr>
          <w:p>
            <w:pPr>
              <w:spacing w:line="360" w:lineRule="auto"/>
              <w:rPr>
                <w:color w:val="auto"/>
                <w:highlight w:val="none"/>
                <w:shd w:val="clear" w:color="auto" w:fill="auto"/>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color w:val="auto"/>
                <w:highlight w:val="none"/>
                <w:shd w:val="clear" w:color="auto" w:fill="auto"/>
              </w:rPr>
            </w:pPr>
            <w:r>
              <w:rPr>
                <w:color w:val="auto"/>
                <w:highlight w:val="none"/>
                <w:shd w:val="clear" w:color="auto" w:fill="auto"/>
              </w:rPr>
              <w:t>2.12.4</w:t>
            </w:r>
          </w:p>
        </w:tc>
        <w:tc>
          <w:tcPr>
            <w:tcW w:w="4534" w:type="pct"/>
            <w:vAlign w:val="center"/>
          </w:tcPr>
          <w:p>
            <w:pPr>
              <w:spacing w:line="360" w:lineRule="auto"/>
              <w:rPr>
                <w:color w:val="auto"/>
                <w:highlight w:val="none"/>
                <w:shd w:val="clear" w:color="auto" w:fill="auto"/>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rPr>
                <w:color w:val="auto"/>
                <w:highlight w:val="none"/>
                <w:shd w:val="clear" w:color="auto" w:fill="auto"/>
              </w:rPr>
            </w:pPr>
            <w:r>
              <w:rPr>
                <w:color w:val="auto"/>
                <w:highlight w:val="none"/>
                <w:shd w:val="clear" w:color="auto" w:fill="auto"/>
              </w:rPr>
              <w:t>2.16.1</w:t>
            </w:r>
          </w:p>
        </w:tc>
        <w:tc>
          <w:tcPr>
            <w:tcW w:w="4534" w:type="pct"/>
            <w:vAlign w:val="center"/>
          </w:tcPr>
          <w:p>
            <w:pPr>
              <w:spacing w:line="360" w:lineRule="auto"/>
              <w:rPr>
                <w:color w:val="auto"/>
                <w:highlight w:val="none"/>
                <w:shd w:val="clear" w:color="auto" w:fill="auto"/>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57" w:hRule="atLeast"/>
        </w:trPr>
        <w:tc>
          <w:tcPr>
            <w:tcW w:w="466" w:type="pct"/>
            <w:tcBorders>
              <w:left w:val="single" w:color="auto" w:sz="4" w:space="0"/>
            </w:tcBorders>
            <w:vAlign w:val="center"/>
          </w:tcPr>
          <w:p>
            <w:pPr>
              <w:spacing w:line="360" w:lineRule="auto"/>
              <w:rPr>
                <w:color w:val="auto"/>
                <w:highlight w:val="none"/>
                <w:shd w:val="clear" w:color="auto" w:fill="auto"/>
              </w:rPr>
            </w:pPr>
            <w:r>
              <w:rPr>
                <w:color w:val="auto"/>
                <w:highlight w:val="none"/>
                <w:shd w:val="clear" w:color="auto" w:fill="auto"/>
              </w:rPr>
              <w:t>2.16.3</w:t>
            </w:r>
          </w:p>
        </w:tc>
        <w:tc>
          <w:tcPr>
            <w:tcW w:w="4534" w:type="pct"/>
            <w:vAlign w:val="center"/>
          </w:tcPr>
          <w:p>
            <w:pPr>
              <w:spacing w:line="360" w:lineRule="auto"/>
              <w:rPr>
                <w:color w:val="auto"/>
                <w:highlight w:val="none"/>
                <w:shd w:val="clear" w:color="auto" w:fill="auto"/>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57" w:hRule="atLeast"/>
        </w:trPr>
        <w:tc>
          <w:tcPr>
            <w:tcW w:w="466" w:type="pct"/>
            <w:tcBorders>
              <w:left w:val="single" w:color="auto" w:sz="4" w:space="0"/>
            </w:tcBorders>
          </w:tcPr>
          <w:p>
            <w:pPr>
              <w:spacing w:line="360" w:lineRule="auto"/>
              <w:rPr>
                <w:color w:val="auto"/>
                <w:highlight w:val="none"/>
                <w:shd w:val="clear" w:color="auto" w:fill="auto"/>
              </w:rPr>
            </w:pPr>
            <w:r>
              <w:rPr>
                <w:rFonts w:hint="eastAsia"/>
                <w:color w:val="auto"/>
                <w:highlight w:val="none"/>
                <w:shd w:val="clear" w:color="auto" w:fill="auto"/>
              </w:rPr>
              <w:t>2.20.1</w:t>
            </w:r>
          </w:p>
        </w:tc>
        <w:tc>
          <w:tcPr>
            <w:tcW w:w="4534" w:type="pct"/>
          </w:tcPr>
          <w:p>
            <w:pPr>
              <w:spacing w:line="360" w:lineRule="auto"/>
              <w:rPr>
                <w:color w:val="auto"/>
                <w:highlight w:val="none"/>
                <w:shd w:val="clear" w:color="auto" w:fill="auto"/>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8" w:hRule="atLeast"/>
        </w:trPr>
        <w:tc>
          <w:tcPr>
            <w:tcW w:w="466" w:type="pct"/>
            <w:tcBorders>
              <w:left w:val="single" w:color="auto" w:sz="4" w:space="0"/>
            </w:tcBorders>
            <w:vAlign w:val="center"/>
          </w:tcPr>
          <w:p>
            <w:pPr>
              <w:spacing w:line="360" w:lineRule="auto"/>
              <w:rPr>
                <w:color w:val="auto"/>
                <w:highlight w:val="none"/>
                <w:shd w:val="clear" w:color="auto" w:fill="auto"/>
              </w:rPr>
            </w:pPr>
            <w:r>
              <w:rPr>
                <w:color w:val="auto"/>
                <w:highlight w:val="none"/>
                <w:shd w:val="clear" w:color="auto" w:fill="auto"/>
              </w:rPr>
              <w:t xml:space="preserve">2.20.2 </w:t>
            </w:r>
          </w:p>
        </w:tc>
        <w:tc>
          <w:tcPr>
            <w:tcW w:w="4534" w:type="pct"/>
            <w:vAlign w:val="center"/>
          </w:tcPr>
          <w:p>
            <w:pPr>
              <w:spacing w:line="360" w:lineRule="auto"/>
              <w:rPr>
                <w:color w:val="auto"/>
                <w:highlight w:val="none"/>
                <w:shd w:val="clear" w:color="auto" w:fill="auto"/>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8" w:hRule="atLeast"/>
        </w:trPr>
        <w:tc>
          <w:tcPr>
            <w:tcW w:w="466" w:type="pct"/>
            <w:tcBorders>
              <w:left w:val="single" w:color="auto" w:sz="4" w:space="0"/>
            </w:tcBorders>
            <w:vAlign w:val="center"/>
          </w:tcPr>
          <w:p>
            <w:pPr>
              <w:spacing w:line="360" w:lineRule="auto"/>
              <w:ind w:left="-480" w:leftChars="-200" w:right="-480" w:rightChars="-200" w:firstLine="480" w:firstLineChars="200"/>
              <w:outlineLvl w:val="0"/>
              <w:rPr>
                <w:color w:val="auto"/>
                <w:highlight w:val="none"/>
                <w:shd w:val="clear" w:color="auto" w:fill="auto"/>
              </w:rPr>
            </w:pPr>
            <w:r>
              <w:rPr>
                <w:color w:val="auto"/>
                <w:highlight w:val="none"/>
                <w:shd w:val="clear" w:color="auto" w:fill="auto"/>
              </w:rPr>
              <w:t>2.2</w:t>
            </w:r>
            <w:r>
              <w:rPr>
                <w:rFonts w:hint="eastAsia"/>
                <w:color w:val="auto"/>
                <w:highlight w:val="none"/>
                <w:shd w:val="clear" w:color="auto" w:fill="auto"/>
              </w:rPr>
              <w:t>2</w:t>
            </w:r>
            <w:r>
              <w:rPr>
                <w:color w:val="auto"/>
                <w:highlight w:val="none"/>
                <w:shd w:val="clear" w:color="auto" w:fill="auto"/>
              </w:rPr>
              <w:t xml:space="preserve"> </w:t>
            </w:r>
          </w:p>
        </w:tc>
        <w:tc>
          <w:tcPr>
            <w:tcW w:w="4534" w:type="pct"/>
            <w:vAlign w:val="center"/>
          </w:tcPr>
          <w:p>
            <w:pPr>
              <w:spacing w:line="360" w:lineRule="auto"/>
              <w:rPr>
                <w:color w:val="auto"/>
                <w:highlight w:val="none"/>
                <w:shd w:val="clear" w:color="auto" w:fill="auto"/>
              </w:rPr>
            </w:pPr>
          </w:p>
        </w:tc>
      </w:tr>
    </w:tbl>
    <w:p>
      <w:pPr>
        <w:rPr>
          <w:color w:val="auto"/>
          <w:highlight w:val="none"/>
          <w:shd w:val="clear" w:color="auto" w:fill="auto"/>
        </w:rPr>
      </w:pPr>
    </w:p>
    <w:p>
      <w:pPr>
        <w:spacing w:line="276" w:lineRule="auto"/>
        <w:rPr>
          <w:color w:val="auto"/>
          <w:highlight w:val="none"/>
          <w:shd w:val="clear" w:color="auto" w:fill="auto"/>
        </w:rPr>
      </w:pPr>
      <w:r>
        <w:rPr>
          <w:color w:val="auto"/>
          <w:highlight w:val="none"/>
          <w:shd w:val="clear" w:color="auto" w:fill="auto"/>
        </w:rPr>
        <w:br w:type="page"/>
      </w:r>
    </w:p>
    <w:p>
      <w:pPr>
        <w:pStyle w:val="2"/>
        <w:rPr>
          <w:color w:val="auto"/>
          <w:highlight w:val="none"/>
          <w:shd w:val="clear" w:color="auto" w:fill="auto"/>
        </w:rPr>
      </w:pPr>
      <w:r>
        <w:rPr>
          <w:rFonts w:hint="eastAsia"/>
          <w:color w:val="auto"/>
          <w:highlight w:val="none"/>
          <w:shd w:val="clear" w:color="auto" w:fill="auto"/>
        </w:rPr>
        <w:t>第六部分</w:t>
      </w:r>
      <w:r>
        <w:rPr>
          <w:color w:val="auto"/>
          <w:highlight w:val="none"/>
          <w:shd w:val="clear" w:color="auto" w:fill="auto"/>
        </w:rPr>
        <w:t xml:space="preserve"> </w:t>
      </w:r>
      <w:r>
        <w:rPr>
          <w:rFonts w:hint="eastAsia"/>
          <w:color w:val="auto"/>
          <w:highlight w:val="none"/>
          <w:shd w:val="clear" w:color="auto" w:fill="auto"/>
        </w:rPr>
        <w:t>应提交的有关格式范例</w:t>
      </w:r>
    </w:p>
    <w:p>
      <w:pPr>
        <w:pStyle w:val="3"/>
        <w:rPr>
          <w:color w:val="auto"/>
          <w:highlight w:val="none"/>
          <w:shd w:val="clear" w:color="auto" w:fill="auto"/>
        </w:rPr>
      </w:pPr>
      <w:r>
        <w:rPr>
          <w:rFonts w:hint="eastAsia"/>
          <w:color w:val="auto"/>
          <w:highlight w:val="none"/>
          <w:shd w:val="clear" w:color="auto" w:fill="auto"/>
        </w:rPr>
        <w:t>资格文件部分</w:t>
      </w:r>
    </w:p>
    <w:p>
      <w:pPr>
        <w:jc w:val="center"/>
        <w:rPr>
          <w:b/>
          <w:color w:val="auto"/>
          <w:sz w:val="40"/>
          <w:highlight w:val="none"/>
          <w:shd w:val="clear" w:color="auto" w:fill="auto"/>
        </w:rPr>
      </w:pPr>
      <w:r>
        <w:rPr>
          <w:rFonts w:hint="eastAsia"/>
          <w:b/>
          <w:color w:val="auto"/>
          <w:sz w:val="40"/>
          <w:highlight w:val="none"/>
          <w:shd w:val="clear" w:color="auto" w:fill="auto"/>
        </w:rPr>
        <w:t>目录</w:t>
      </w:r>
    </w:p>
    <w:p>
      <w:pPr>
        <w:snapToGrid w:val="0"/>
        <w:spacing w:line="360" w:lineRule="auto"/>
        <w:rPr>
          <w:rFonts w:ascii="仿宋_GB2312" w:eastAsia="仿宋_GB2312" w:cs="仿宋_GB2312"/>
          <w:color w:val="auto"/>
          <w:highlight w:val="none"/>
          <w:shd w:val="clear" w:color="auto" w:fill="auto"/>
        </w:rPr>
      </w:pPr>
      <w:r>
        <w:rPr>
          <w:rFonts w:hint="eastAsia" w:ascii="仿宋_GB2312" w:eastAsia="仿宋_GB2312" w:cs="仿宋_GB2312"/>
          <w:color w:val="auto"/>
          <w:highlight w:val="none"/>
          <w:shd w:val="clear" w:color="auto" w:fill="auto"/>
        </w:rPr>
        <w:t>（</w:t>
      </w:r>
      <w:r>
        <w:rPr>
          <w:rFonts w:ascii="仿宋_GB2312" w:eastAsia="仿宋_GB2312" w:cs="仿宋_GB2312"/>
          <w:color w:val="auto"/>
          <w:highlight w:val="none"/>
          <w:shd w:val="clear" w:color="auto" w:fill="auto"/>
        </w:rPr>
        <w:t>1）符合参加政府采购活动应当具备的一般条件的承诺函……</w:t>
      </w:r>
      <w:r>
        <w:rPr>
          <w:rFonts w:hint="eastAsia" w:ascii="仿宋_GB2312" w:eastAsia="仿宋_GB2312" w:cs="仿宋_GB2312"/>
          <w:color w:val="auto"/>
          <w:highlight w:val="none"/>
          <w:shd w:val="clear" w:color="auto" w:fill="auto"/>
        </w:rPr>
        <w:t>………（页码）</w:t>
      </w:r>
    </w:p>
    <w:p>
      <w:pPr>
        <w:snapToGrid w:val="0"/>
        <w:spacing w:line="360" w:lineRule="auto"/>
        <w:rPr>
          <w:rFonts w:ascii="仿宋_GB2312" w:eastAsia="仿宋_GB2312" w:cs="仿宋_GB2312"/>
          <w:color w:val="auto"/>
          <w:highlight w:val="none"/>
          <w:shd w:val="clear" w:color="auto" w:fill="auto"/>
        </w:rPr>
      </w:pPr>
      <w:r>
        <w:rPr>
          <w:rFonts w:hint="eastAsia" w:ascii="仿宋_GB2312" w:eastAsia="仿宋_GB2312" w:cs="仿宋_GB2312"/>
          <w:color w:val="auto"/>
          <w:highlight w:val="none"/>
          <w:shd w:val="clear" w:color="auto" w:fill="auto"/>
        </w:rPr>
        <w:t>（</w:t>
      </w:r>
      <w:r>
        <w:rPr>
          <w:rFonts w:ascii="仿宋_GB2312" w:eastAsia="仿宋_GB2312" w:cs="仿宋_GB2312"/>
          <w:color w:val="auto"/>
          <w:highlight w:val="none"/>
          <w:shd w:val="clear" w:color="auto" w:fill="auto"/>
        </w:rPr>
        <w:t>2）落实政府采购政策需满足的资格要求……</w:t>
      </w:r>
      <w:r>
        <w:rPr>
          <w:rFonts w:hint="eastAsia" w:ascii="仿宋_GB2312" w:eastAsia="仿宋_GB2312" w:cs="仿宋_GB2312"/>
          <w:color w:val="auto"/>
          <w:highlight w:val="none"/>
          <w:shd w:val="clear" w:color="auto" w:fill="auto"/>
        </w:rPr>
        <w:t>…………………………（页码）</w:t>
      </w:r>
    </w:p>
    <w:p>
      <w:pPr>
        <w:snapToGrid w:val="0"/>
        <w:spacing w:line="360" w:lineRule="auto"/>
        <w:rPr>
          <w:rFonts w:ascii="仿宋_GB2312" w:eastAsia="仿宋_GB2312" w:cs="仿宋_GB2312"/>
          <w:color w:val="auto"/>
          <w:highlight w:val="none"/>
          <w:shd w:val="clear" w:color="auto" w:fill="auto"/>
        </w:rPr>
      </w:pPr>
      <w:r>
        <w:rPr>
          <w:rFonts w:hint="eastAsia" w:ascii="仿宋_GB2312" w:eastAsia="仿宋_GB2312" w:cs="仿宋_GB2312"/>
          <w:color w:val="auto"/>
          <w:highlight w:val="none"/>
          <w:shd w:val="clear" w:color="auto" w:fill="auto"/>
        </w:rPr>
        <w:t>（</w:t>
      </w:r>
      <w:r>
        <w:rPr>
          <w:rFonts w:ascii="仿宋_GB2312" w:eastAsia="仿宋_GB2312" w:cs="仿宋_GB2312"/>
          <w:color w:val="auto"/>
          <w:highlight w:val="none"/>
          <w:shd w:val="clear" w:color="auto" w:fill="auto"/>
        </w:rPr>
        <w:t>3）本项目的特定资格要求……</w:t>
      </w:r>
      <w:r>
        <w:rPr>
          <w:rFonts w:hint="eastAsia" w:ascii="仿宋_GB2312" w:eastAsia="仿宋_GB2312" w:cs="仿宋_GB2312"/>
          <w:color w:val="auto"/>
          <w:highlight w:val="none"/>
          <w:shd w:val="clear" w:color="auto" w:fill="auto"/>
        </w:rPr>
        <w:t>…………………………………………（页码）</w:t>
      </w:r>
    </w:p>
    <w:p>
      <w:pPr>
        <w:spacing w:line="276" w:lineRule="auto"/>
        <w:rPr>
          <w:rFonts w:ascii="仿宋_GB2312" w:eastAsia="仿宋_GB2312" w:cs="仿宋_GB2312"/>
          <w:color w:val="auto"/>
          <w:highlight w:val="none"/>
          <w:shd w:val="clear" w:color="auto" w:fill="auto"/>
        </w:rPr>
      </w:pPr>
      <w:r>
        <w:rPr>
          <w:rFonts w:ascii="仿宋_GB2312" w:eastAsia="仿宋_GB2312" w:cs="仿宋_GB2312"/>
          <w:color w:val="auto"/>
          <w:highlight w:val="none"/>
          <w:shd w:val="clear" w:color="auto" w:fill="auto"/>
        </w:rPr>
        <w:br w:type="page"/>
      </w:r>
    </w:p>
    <w:p>
      <w:pPr>
        <w:pStyle w:val="3"/>
        <w:rPr>
          <w:color w:val="auto"/>
          <w:highlight w:val="none"/>
          <w:shd w:val="clear" w:color="auto" w:fill="auto"/>
        </w:rPr>
      </w:pPr>
      <w:r>
        <w:rPr>
          <w:color w:val="auto"/>
          <w:highlight w:val="none"/>
          <w:shd w:val="clear" w:color="auto" w:fill="auto"/>
        </w:rPr>
        <w:t>一、 符合参加政府采购活动应当具备的一般条件的承诺函</w:t>
      </w:r>
    </w:p>
    <w:p>
      <w:pPr>
        <w:snapToGrid w:val="0"/>
        <w:spacing w:line="360" w:lineRule="auto"/>
        <w:rPr>
          <w:rFonts w:ascii="仿宋_GB2312" w:eastAsia="仿宋_GB2312" w:cs="仿宋_GB2312"/>
          <w:color w:val="auto"/>
          <w:highlight w:val="none"/>
          <w:shd w:val="clear" w:color="auto" w:fill="auto"/>
        </w:rPr>
      </w:pPr>
      <w:r>
        <w:rPr>
          <w:rFonts w:hint="eastAsia" w:ascii="仿宋_GB2312" w:eastAsia="仿宋_GB2312" w:cs="仿宋_GB2312"/>
          <w:color w:val="auto"/>
          <w:highlight w:val="none"/>
          <w:shd w:val="clear" w:color="auto" w:fill="auto"/>
        </w:rPr>
        <w:t>（采购人）、（采购代理机构）：</w:t>
      </w:r>
    </w:p>
    <w:p>
      <w:pPr>
        <w:snapToGrid w:val="0"/>
        <w:spacing w:line="360" w:lineRule="auto"/>
        <w:ind w:firstLine="480" w:firstLineChars="200"/>
        <w:rPr>
          <w:rFonts w:ascii="仿宋_GB2312" w:eastAsia="仿宋_GB2312" w:cs="仿宋_GB2312"/>
          <w:color w:val="auto"/>
          <w:highlight w:val="none"/>
          <w:shd w:val="clear" w:color="auto" w:fill="auto"/>
        </w:rPr>
      </w:pPr>
      <w:r>
        <w:rPr>
          <w:rFonts w:hint="eastAsia" w:ascii="仿宋_GB2312" w:eastAsia="仿宋_GB2312" w:cs="仿宋_GB2312"/>
          <w:color w:val="auto"/>
          <w:highlight w:val="none"/>
          <w:shd w:val="clear" w:color="auto" w:fill="auto"/>
        </w:rPr>
        <w:t>我方参与（项目名称）【招标编号：</w:t>
      </w:r>
      <w:r>
        <w:rPr>
          <w:rFonts w:hint="eastAsia" w:ascii="仿宋_GB2312" w:eastAsia="仿宋_GB2312"/>
          <w:color w:val="auto"/>
          <w:highlight w:val="none"/>
          <w:shd w:val="clear" w:color="auto" w:fill="auto"/>
        </w:rPr>
        <w:t>（采购编号）</w:t>
      </w:r>
      <w:r>
        <w:rPr>
          <w:rFonts w:hint="eastAsia" w:ascii="仿宋_GB2312" w:eastAsia="仿宋_GB2312" w:cs="仿宋_GB2312"/>
          <w:color w:val="auto"/>
          <w:highlight w:val="none"/>
          <w:shd w:val="clear" w:color="auto" w:fill="auto"/>
        </w:rPr>
        <w:t>】政府采购活动，郑重承诺：</w:t>
      </w:r>
    </w:p>
    <w:p>
      <w:pPr>
        <w:snapToGrid w:val="0"/>
        <w:spacing w:line="360" w:lineRule="auto"/>
        <w:ind w:firstLine="360" w:firstLineChars="150"/>
        <w:rPr>
          <w:rFonts w:ascii="仿宋_GB2312" w:eastAsia="仿宋_GB2312" w:cs="仿宋_GB2312"/>
          <w:color w:val="auto"/>
          <w:highlight w:val="none"/>
          <w:shd w:val="clear" w:color="auto" w:fill="auto"/>
        </w:rPr>
      </w:pPr>
      <w:r>
        <w:rPr>
          <w:rFonts w:hint="eastAsia" w:ascii="仿宋_GB2312" w:eastAsia="仿宋_GB2312" w:cs="仿宋_GB2312"/>
          <w:color w:val="auto"/>
          <w:highlight w:val="none"/>
          <w:shd w:val="clear" w:color="auto" w:fill="auto"/>
        </w:rPr>
        <w:t>（一）具备《中华人民共和国政府采购法》第二十二条第一款规定的条件：</w:t>
      </w:r>
    </w:p>
    <w:p>
      <w:pPr>
        <w:snapToGrid w:val="0"/>
        <w:spacing w:line="360" w:lineRule="auto"/>
        <w:ind w:firstLine="480" w:firstLineChars="200"/>
        <w:rPr>
          <w:rFonts w:ascii="仿宋_GB2312" w:eastAsia="仿宋_GB2312" w:cs="仿宋_GB2312"/>
          <w:color w:val="auto"/>
          <w:highlight w:val="none"/>
          <w:shd w:val="clear" w:color="auto" w:fill="auto"/>
        </w:rPr>
      </w:pPr>
      <w:r>
        <w:rPr>
          <w:rFonts w:hint="eastAsia" w:ascii="仿宋_GB2312" w:eastAsia="仿宋_GB2312" w:cs="仿宋_GB2312"/>
          <w:color w:val="auto"/>
          <w:highlight w:val="none"/>
          <w:shd w:val="clear" w:color="auto" w:fill="auto"/>
        </w:rPr>
        <w:t>1、</w:t>
      </w:r>
      <w:r>
        <w:rPr>
          <w:rFonts w:ascii="仿宋_GB2312" w:eastAsia="仿宋_GB2312" w:cs="仿宋_GB2312"/>
          <w:color w:val="auto"/>
          <w:highlight w:val="none"/>
          <w:shd w:val="clear" w:color="auto" w:fill="auto"/>
        </w:rPr>
        <w:t>具有独立承担民事责任的能力；</w:t>
      </w:r>
    </w:p>
    <w:p>
      <w:pPr>
        <w:snapToGrid w:val="0"/>
        <w:spacing w:line="360" w:lineRule="auto"/>
        <w:ind w:firstLine="480" w:firstLineChars="200"/>
        <w:rPr>
          <w:rFonts w:ascii="仿宋_GB2312" w:eastAsia="仿宋_GB2312"/>
          <w:color w:val="auto"/>
          <w:highlight w:val="none"/>
          <w:shd w:val="clear" w:color="auto" w:fill="auto"/>
        </w:rPr>
      </w:pPr>
      <w:r>
        <w:rPr>
          <w:rFonts w:hint="eastAsia" w:ascii="仿宋_GB2312" w:eastAsia="仿宋_GB2312"/>
          <w:color w:val="auto"/>
          <w:highlight w:val="none"/>
          <w:shd w:val="clear" w:color="auto" w:fill="auto"/>
        </w:rPr>
        <w:t>2、</w:t>
      </w:r>
      <w:r>
        <w:rPr>
          <w:rFonts w:ascii="仿宋_GB2312" w:eastAsia="仿宋_GB2312"/>
          <w:color w:val="auto"/>
          <w:highlight w:val="none"/>
          <w:shd w:val="clear" w:color="auto" w:fill="auto"/>
        </w:rPr>
        <w:t xml:space="preserve">具有良好的商业信誉和健全的财务会计制度； </w:t>
      </w:r>
    </w:p>
    <w:p>
      <w:pPr>
        <w:snapToGrid w:val="0"/>
        <w:spacing w:line="360" w:lineRule="auto"/>
        <w:ind w:firstLine="480" w:firstLineChars="200"/>
        <w:rPr>
          <w:rFonts w:ascii="仿宋_GB2312" w:eastAsia="仿宋_GB2312"/>
          <w:color w:val="auto"/>
          <w:highlight w:val="none"/>
          <w:shd w:val="clear" w:color="auto" w:fill="auto"/>
        </w:rPr>
      </w:pPr>
      <w:r>
        <w:rPr>
          <w:rFonts w:hint="eastAsia" w:ascii="仿宋_GB2312" w:eastAsia="仿宋_GB2312"/>
          <w:color w:val="auto"/>
          <w:highlight w:val="none"/>
          <w:shd w:val="clear" w:color="auto" w:fill="auto"/>
        </w:rPr>
        <w:t>3、</w:t>
      </w:r>
      <w:r>
        <w:rPr>
          <w:rFonts w:ascii="仿宋_GB2312" w:eastAsia="仿宋_GB2312"/>
          <w:color w:val="auto"/>
          <w:highlight w:val="none"/>
          <w:shd w:val="clear" w:color="auto" w:fill="auto"/>
        </w:rPr>
        <w:t>具有履行合同所必需的设备和专业技术能力；</w:t>
      </w:r>
    </w:p>
    <w:p>
      <w:pPr>
        <w:snapToGrid w:val="0"/>
        <w:spacing w:line="360" w:lineRule="auto"/>
        <w:ind w:firstLine="480" w:firstLineChars="200"/>
        <w:rPr>
          <w:rFonts w:ascii="仿宋_GB2312" w:eastAsia="仿宋_GB2312"/>
          <w:color w:val="auto"/>
          <w:highlight w:val="none"/>
          <w:shd w:val="clear" w:color="auto" w:fill="auto"/>
        </w:rPr>
      </w:pPr>
      <w:r>
        <w:rPr>
          <w:rFonts w:hint="eastAsia" w:ascii="仿宋_GB2312" w:eastAsia="仿宋_GB2312"/>
          <w:color w:val="auto"/>
          <w:highlight w:val="none"/>
          <w:shd w:val="clear" w:color="auto" w:fill="auto"/>
        </w:rPr>
        <w:t>4、</w:t>
      </w:r>
      <w:r>
        <w:rPr>
          <w:rFonts w:ascii="仿宋_GB2312" w:eastAsia="仿宋_GB2312"/>
          <w:color w:val="auto"/>
          <w:highlight w:val="none"/>
          <w:shd w:val="clear" w:color="auto" w:fill="auto"/>
        </w:rPr>
        <w:t>有依法缴纳税收和社会保障资金的良好记录；</w:t>
      </w:r>
    </w:p>
    <w:p>
      <w:pPr>
        <w:snapToGrid w:val="0"/>
        <w:spacing w:line="360" w:lineRule="auto"/>
        <w:ind w:firstLine="480" w:firstLineChars="200"/>
        <w:rPr>
          <w:rFonts w:ascii="仿宋_GB2312" w:eastAsia="仿宋_GB2312"/>
          <w:color w:val="auto"/>
          <w:highlight w:val="none"/>
          <w:shd w:val="clear" w:color="auto" w:fill="auto"/>
        </w:rPr>
      </w:pPr>
      <w:r>
        <w:rPr>
          <w:rFonts w:hint="eastAsia" w:ascii="仿宋_GB2312" w:eastAsia="仿宋_GB2312"/>
          <w:color w:val="auto"/>
          <w:highlight w:val="none"/>
          <w:shd w:val="clear" w:color="auto" w:fill="auto"/>
        </w:rPr>
        <w:t>5、</w:t>
      </w:r>
      <w:r>
        <w:rPr>
          <w:rFonts w:ascii="仿宋_GB2312" w:eastAsia="仿宋_GB2312"/>
          <w:color w:val="auto"/>
          <w:highlight w:val="none"/>
          <w:shd w:val="clear" w:color="auto" w:fill="auto"/>
        </w:rPr>
        <w:t>参加政府采购活动前三年内，在经营活动中没有重大违法记录；</w:t>
      </w:r>
    </w:p>
    <w:p>
      <w:pPr>
        <w:snapToGrid w:val="0"/>
        <w:spacing w:line="360" w:lineRule="auto"/>
        <w:ind w:firstLine="480" w:firstLineChars="200"/>
        <w:rPr>
          <w:rFonts w:ascii="仿宋_GB2312" w:eastAsia="仿宋_GB2312"/>
          <w:color w:val="auto"/>
          <w:highlight w:val="none"/>
          <w:shd w:val="clear" w:color="auto" w:fill="auto"/>
        </w:rPr>
      </w:pPr>
      <w:r>
        <w:rPr>
          <w:rFonts w:hint="eastAsia" w:ascii="仿宋_GB2312" w:eastAsia="仿宋_GB2312"/>
          <w:color w:val="auto"/>
          <w:highlight w:val="none"/>
          <w:shd w:val="clear" w:color="auto" w:fill="auto"/>
        </w:rPr>
        <w:t>6、</w:t>
      </w:r>
      <w:r>
        <w:rPr>
          <w:rFonts w:ascii="仿宋_GB2312" w:eastAsia="仿宋_GB2312"/>
          <w:color w:val="auto"/>
          <w:highlight w:val="none"/>
          <w:shd w:val="clear" w:color="auto" w:fill="auto"/>
        </w:rPr>
        <w:t>具有法律、行政法规规定的其他条件。</w:t>
      </w:r>
    </w:p>
    <w:p>
      <w:pPr>
        <w:snapToGrid w:val="0"/>
        <w:spacing w:line="360" w:lineRule="auto"/>
        <w:ind w:firstLine="480" w:firstLineChars="200"/>
        <w:rPr>
          <w:rFonts w:ascii="仿宋_GB2312" w:eastAsia="仿宋_GB2312"/>
          <w:color w:val="auto"/>
          <w:highlight w:val="none"/>
          <w:shd w:val="clear" w:color="auto" w:fill="auto"/>
        </w:rPr>
      </w:pPr>
      <w:r>
        <w:rPr>
          <w:rFonts w:hint="eastAsia" w:ascii="仿宋_GB2312" w:eastAsia="仿宋_GB2312"/>
          <w:color w:val="auto"/>
          <w:highlight w:val="none"/>
          <w:shd w:val="clear" w:color="auto" w:fill="auto"/>
        </w:rPr>
        <w:t>（二）未被信用中国（</w:t>
      </w:r>
      <w:r>
        <w:rPr>
          <w:rFonts w:ascii="仿宋_GB2312" w:eastAsia="仿宋_GB2312"/>
          <w:color w:val="auto"/>
          <w:highlight w:val="none"/>
          <w:shd w:val="clear" w:color="auto" w:fill="auto"/>
        </w:rPr>
        <w:t>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仿宋_GB2312" w:eastAsia="仿宋_GB2312"/>
          <w:color w:val="auto"/>
          <w:highlight w:val="none"/>
          <w:shd w:val="clear" w:color="auto" w:fill="auto"/>
        </w:rPr>
      </w:pPr>
      <w:r>
        <w:rPr>
          <w:rFonts w:hint="eastAsia" w:ascii="仿宋_GB2312" w:eastAsia="仿宋_GB2312"/>
          <w:color w:val="auto"/>
          <w:highlight w:val="none"/>
          <w:shd w:val="clear" w:color="auto" w:fill="auto"/>
        </w:rPr>
        <w:t>（三）不存在以下情况：</w:t>
      </w:r>
    </w:p>
    <w:p>
      <w:pPr>
        <w:snapToGrid w:val="0"/>
        <w:spacing w:line="360" w:lineRule="auto"/>
        <w:ind w:firstLine="480" w:firstLineChars="200"/>
        <w:rPr>
          <w:rFonts w:ascii="仿宋_GB2312" w:eastAsia="仿宋_GB2312" w:cs="仿宋_GB2312"/>
          <w:color w:val="auto"/>
          <w:highlight w:val="none"/>
          <w:shd w:val="clear" w:color="auto" w:fill="auto"/>
        </w:rPr>
      </w:pPr>
      <w:r>
        <w:rPr>
          <w:rFonts w:hint="eastAsia" w:ascii="仿宋_GB2312" w:eastAsia="仿宋_GB2312" w:cs="仿宋_GB2312"/>
          <w:color w:val="auto"/>
          <w:highlight w:val="none"/>
          <w:shd w:val="clear" w:color="auto" w:fill="auto"/>
        </w:rPr>
        <w:t>1、</w:t>
      </w:r>
      <w:r>
        <w:rPr>
          <w:rFonts w:ascii="仿宋_GB2312" w:eastAsia="仿宋_GB2312" w:cs="仿宋_GB2312"/>
          <w:color w:val="auto"/>
          <w:highlight w:val="none"/>
          <w:shd w:val="clear" w:color="auto" w:fill="auto"/>
        </w:rPr>
        <w:t>单位负责人为同一人或者存在直接控股、管理关系的不同供应商参加同一合同项下的政府采购活动的；</w:t>
      </w:r>
    </w:p>
    <w:p>
      <w:pPr>
        <w:snapToGrid w:val="0"/>
        <w:spacing w:line="360" w:lineRule="auto"/>
        <w:ind w:firstLine="480" w:firstLineChars="200"/>
        <w:rPr>
          <w:rFonts w:ascii="仿宋_GB2312" w:eastAsia="仿宋_GB2312" w:cs="仿宋_GB2312"/>
          <w:color w:val="auto"/>
          <w:highlight w:val="none"/>
          <w:shd w:val="clear" w:color="auto" w:fill="auto"/>
        </w:rPr>
      </w:pPr>
      <w:r>
        <w:rPr>
          <w:rFonts w:hint="eastAsia" w:ascii="仿宋_GB2312" w:eastAsia="仿宋_GB2312" w:cs="仿宋_GB2312"/>
          <w:color w:val="auto"/>
          <w:highlight w:val="none"/>
          <w:shd w:val="clear" w:color="auto" w:fill="auto"/>
        </w:rPr>
        <w:t>2、</w:t>
      </w:r>
      <w:r>
        <w:rPr>
          <w:rFonts w:ascii="仿宋_GB2312" w:eastAsia="仿宋_GB2312" w:cs="仿宋_GB2312"/>
          <w:color w:val="auto"/>
          <w:highlight w:val="none"/>
          <w:shd w:val="clear" w:color="auto" w:fill="auto"/>
        </w:rPr>
        <w:t>为采购项目提供整体设计、规范编制或者项目管理、监理、检测等服务后再参加该采购项目的其他采购活动的。</w:t>
      </w:r>
    </w:p>
    <w:p>
      <w:pPr>
        <w:snapToGrid w:val="0"/>
        <w:spacing w:line="360" w:lineRule="auto"/>
        <w:ind w:firstLine="5520" w:firstLineChars="2300"/>
        <w:rPr>
          <w:rFonts w:ascii="仿宋_GB2312" w:eastAsia="仿宋_GB2312" w:cs="仿宋_GB2312"/>
          <w:color w:val="auto"/>
          <w:highlight w:val="none"/>
          <w:shd w:val="clear" w:color="auto" w:fill="auto"/>
        </w:rPr>
      </w:pPr>
      <w:r>
        <w:rPr>
          <w:rFonts w:hint="eastAsia" w:ascii="仿宋_GB2312" w:eastAsia="仿宋_GB2312" w:cs="仿宋_GB2312"/>
          <w:color w:val="auto"/>
          <w:highlight w:val="none"/>
          <w:shd w:val="clear" w:color="auto" w:fill="auto"/>
          <w:lang w:val="zh-CN"/>
        </w:rPr>
        <w:t>投标人名称</w:t>
      </w:r>
      <w:r>
        <w:rPr>
          <w:rFonts w:ascii="仿宋_GB2312" w:eastAsia="仿宋_GB2312" w:cs="仿宋_GB2312"/>
          <w:color w:val="auto"/>
          <w:highlight w:val="none"/>
          <w:shd w:val="clear" w:color="auto" w:fill="auto"/>
          <w:lang w:val="zh-CN"/>
        </w:rPr>
        <w:t>(电子签名)：</w:t>
      </w:r>
    </w:p>
    <w:p>
      <w:pPr>
        <w:snapToGrid w:val="0"/>
        <w:spacing w:line="360" w:lineRule="auto"/>
        <w:rPr>
          <w:rFonts w:ascii="仿宋_GB2312" w:eastAsia="仿宋_GB2312" w:cs="仿宋_GB2312"/>
          <w:color w:val="auto"/>
          <w:highlight w:val="none"/>
          <w:shd w:val="clear" w:color="auto" w:fill="auto"/>
        </w:rPr>
      </w:pPr>
      <w:r>
        <w:rPr>
          <w:rFonts w:ascii="仿宋_GB2312" w:eastAsia="仿宋_GB2312" w:cs="仿宋_GB2312"/>
          <w:color w:val="auto"/>
          <w:highlight w:val="none"/>
          <w:shd w:val="clear" w:color="auto" w:fill="auto"/>
          <w:lang w:val="zh-CN"/>
        </w:rPr>
        <w:t xml:space="preserve">                        </w:t>
      </w:r>
      <w:r>
        <w:rPr>
          <w:rFonts w:ascii="仿宋_GB2312" w:eastAsia="仿宋_GB2312" w:cs="仿宋_GB2312"/>
          <w:color w:val="auto"/>
          <w:highlight w:val="none"/>
          <w:shd w:val="clear" w:color="auto" w:fill="auto"/>
        </w:rPr>
        <w:t xml:space="preserve">                      </w:t>
      </w:r>
      <w:r>
        <w:rPr>
          <w:rFonts w:hint="eastAsia" w:ascii="仿宋_GB2312" w:eastAsia="仿宋_GB2312" w:cs="仿宋_GB2312"/>
          <w:color w:val="auto"/>
          <w:highlight w:val="none"/>
          <w:shd w:val="clear" w:color="auto" w:fill="auto"/>
          <w:lang w:val="zh-CN"/>
        </w:rPr>
        <w:t>日期</w:t>
      </w:r>
      <w:r>
        <w:rPr>
          <w:rFonts w:hint="eastAsia" w:ascii="仿宋_GB2312" w:eastAsia="仿宋_GB2312" w:cs="仿宋_GB2312"/>
          <w:color w:val="auto"/>
          <w:highlight w:val="none"/>
          <w:shd w:val="clear" w:color="auto" w:fill="auto"/>
        </w:rPr>
        <w:t>：</w:t>
      </w:r>
      <w:r>
        <w:rPr>
          <w:rFonts w:ascii="仿宋_GB2312" w:eastAsia="仿宋_GB2312" w:cs="仿宋_GB2312"/>
          <w:color w:val="auto"/>
          <w:highlight w:val="none"/>
          <w:shd w:val="clear" w:color="auto" w:fill="auto"/>
        </w:rPr>
        <w:t xml:space="preserve">  年  </w:t>
      </w:r>
      <w:r>
        <w:rPr>
          <w:rFonts w:hint="eastAsia" w:ascii="仿宋_GB2312" w:eastAsia="仿宋_GB2312" w:cs="仿宋_GB2312"/>
          <w:color w:val="auto"/>
          <w:highlight w:val="none"/>
          <w:shd w:val="clear" w:color="auto" w:fill="auto"/>
          <w:lang w:val="zh-CN"/>
        </w:rPr>
        <w:t>月</w:t>
      </w:r>
      <w:r>
        <w:rPr>
          <w:rFonts w:ascii="仿宋_GB2312" w:eastAsia="仿宋_GB2312" w:cs="仿宋_GB2312"/>
          <w:color w:val="auto"/>
          <w:highlight w:val="none"/>
          <w:shd w:val="clear" w:color="auto" w:fill="auto"/>
        </w:rPr>
        <w:t xml:space="preserve">   </w:t>
      </w:r>
      <w:r>
        <w:rPr>
          <w:rFonts w:hint="eastAsia" w:ascii="仿宋_GB2312" w:eastAsia="仿宋_GB2312" w:cs="仿宋_GB2312"/>
          <w:color w:val="auto"/>
          <w:highlight w:val="none"/>
          <w:shd w:val="clear" w:color="auto" w:fill="auto"/>
          <w:lang w:val="zh-CN"/>
        </w:rPr>
        <w:t>日</w:t>
      </w:r>
    </w:p>
    <w:p>
      <w:pPr>
        <w:snapToGrid w:val="0"/>
        <w:spacing w:line="360" w:lineRule="auto"/>
        <w:ind w:right="480"/>
        <w:jc w:val="center"/>
        <w:rPr>
          <w:rFonts w:ascii="仿宋_GB2312" w:eastAsia="仿宋_GB2312" w:cs="仿宋_GB2312"/>
          <w:b/>
          <w:color w:val="auto"/>
          <w:sz w:val="32"/>
          <w:szCs w:val="32"/>
          <w:highlight w:val="none"/>
          <w:shd w:val="clear" w:color="auto" w:fill="auto"/>
        </w:rPr>
      </w:pPr>
    </w:p>
    <w:p>
      <w:pPr>
        <w:pStyle w:val="3"/>
        <w:rPr>
          <w:color w:val="auto"/>
          <w:highlight w:val="none"/>
          <w:shd w:val="clear" w:color="auto" w:fill="auto"/>
        </w:rPr>
      </w:pPr>
      <w:r>
        <w:rPr>
          <w:rFonts w:hint="eastAsia"/>
          <w:color w:val="auto"/>
          <w:highlight w:val="none"/>
          <w:shd w:val="clear" w:color="auto" w:fill="auto"/>
        </w:rPr>
        <w:t>二、落实政府采购政策需满足的资格要求</w:t>
      </w:r>
    </w:p>
    <w:p>
      <w:pPr>
        <w:rPr>
          <w:color w:val="auto"/>
          <w:highlight w:val="none"/>
          <w:shd w:val="clear" w:color="auto" w:fill="auto"/>
        </w:rPr>
      </w:pPr>
      <w:r>
        <w:rPr>
          <w:rFonts w:hint="eastAsia" w:cs="仿宋_GB2312"/>
          <w:color w:val="auto"/>
          <w:highlight w:val="none"/>
          <w:shd w:val="clear" w:color="auto" w:fill="auto"/>
        </w:rPr>
        <w:t>（根据招标公告</w:t>
      </w:r>
      <w:r>
        <w:rPr>
          <w:rFonts w:hint="eastAsia"/>
          <w:color w:val="auto"/>
          <w:highlight w:val="none"/>
          <w:shd w:val="clear" w:color="auto" w:fill="auto"/>
        </w:rPr>
        <w:t>落实政府采购政策需满足的资格要求选择提供相应的材料；未要求的，无需提供</w:t>
      </w:r>
      <w:r>
        <w:rPr>
          <w:rFonts w:hint="eastAsia" w:cs="仿宋_GB2312"/>
          <w:color w:val="auto"/>
          <w:highlight w:val="none"/>
          <w:shd w:val="clear" w:color="auto" w:fill="auto"/>
        </w:rPr>
        <w:t>）</w:t>
      </w:r>
    </w:p>
    <w:p>
      <w:pPr>
        <w:rPr>
          <w:rFonts w:cs="仿宋_GB2312"/>
          <w:color w:val="auto"/>
          <w:highlight w:val="none"/>
          <w:shd w:val="clear" w:color="auto" w:fill="auto"/>
        </w:rPr>
      </w:pPr>
      <w:r>
        <w:rPr>
          <w:rFonts w:cs="仿宋_GB2312"/>
          <w:b/>
          <w:color w:val="auto"/>
          <w:highlight w:val="none"/>
          <w:shd w:val="clear" w:color="auto" w:fill="auto"/>
        </w:rPr>
        <w:t>A</w:t>
      </w:r>
      <w:r>
        <w:rPr>
          <w:rFonts w:cs="仿宋_GB2312"/>
          <w:color w:val="auto"/>
          <w:highlight w:val="none"/>
          <w:shd w:val="clear" w:color="auto" w:fill="auto"/>
        </w:rPr>
        <w:t>.</w:t>
      </w:r>
      <w:r>
        <w:rPr>
          <w:rFonts w:hint="eastAsia" w:cs="仿宋_GB2312"/>
          <w:color w:val="auto"/>
          <w:highlight w:val="none"/>
          <w:shd w:val="clear" w:color="auto" w:fill="auto"/>
        </w:rPr>
        <w:t>专门面向中小企业，货物全部由符合政策要求的中小企业（或小微企业）制造或者服务全部由符合政策要求的中小企业（或小微企业）承接的，提供相应的中小企业声明函（附件</w:t>
      </w:r>
      <w:r>
        <w:rPr>
          <w:rFonts w:cs="仿宋_GB2312"/>
          <w:color w:val="auto"/>
          <w:highlight w:val="none"/>
          <w:shd w:val="clear" w:color="auto" w:fill="auto"/>
        </w:rPr>
        <w:t>5</w:t>
      </w:r>
      <w:r>
        <w:rPr>
          <w:rFonts w:hint="eastAsia" w:cs="仿宋_GB2312"/>
          <w:color w:val="auto"/>
          <w:highlight w:val="none"/>
          <w:shd w:val="clear" w:color="auto" w:fill="auto"/>
        </w:rPr>
        <w:t>）。</w:t>
      </w:r>
      <w:r>
        <w:rPr>
          <w:rFonts w:cs="仿宋_GB2312"/>
          <w:color w:val="auto"/>
          <w:highlight w:val="none"/>
          <w:shd w:val="clear" w:color="auto" w:fill="auto"/>
        </w:rPr>
        <w:t xml:space="preserve"> </w:t>
      </w:r>
    </w:p>
    <w:p>
      <w:pPr>
        <w:rPr>
          <w:rFonts w:cs="仿宋_GB2312"/>
          <w:color w:val="auto"/>
          <w:highlight w:val="none"/>
          <w:shd w:val="clear" w:color="auto" w:fill="auto"/>
        </w:rPr>
      </w:pPr>
      <w:r>
        <w:rPr>
          <w:rFonts w:cs="仿宋_GB2312"/>
          <w:b/>
          <w:color w:val="auto"/>
          <w:highlight w:val="none"/>
          <w:shd w:val="clear" w:color="auto" w:fill="auto"/>
        </w:rPr>
        <w:t>B.</w:t>
      </w:r>
      <w:r>
        <w:rPr>
          <w:rFonts w:hint="eastAsia" w:cs="仿宋_GB2312"/>
          <w:color w:val="auto"/>
          <w:highlight w:val="none"/>
          <w:shd w:val="clear" w:color="auto" w:fill="auto"/>
        </w:rPr>
        <w:t>要求以联合体形式参加的，提供联合协议和中小企业声明函（附件</w:t>
      </w:r>
      <w:r>
        <w:rPr>
          <w:rFonts w:cs="仿宋_GB2312"/>
          <w:color w:val="auto"/>
          <w:highlight w:val="none"/>
          <w:shd w:val="clear" w:color="auto" w:fill="auto"/>
        </w:rPr>
        <w:t>5</w:t>
      </w:r>
      <w:r>
        <w:rPr>
          <w:rFonts w:hint="eastAsia" w:cs="仿宋_GB2312"/>
          <w:color w:val="auto"/>
          <w:highlight w:val="none"/>
          <w:shd w:val="clear" w:color="auto" w:fill="auto"/>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rPr>
          <w:color w:val="auto"/>
          <w:highlight w:val="none"/>
          <w:shd w:val="clear" w:color="auto" w:fill="auto"/>
        </w:rPr>
      </w:pPr>
      <w:r>
        <w:rPr>
          <w:rFonts w:cs="仿宋_GB2312"/>
          <w:b/>
          <w:color w:val="auto"/>
          <w:highlight w:val="none"/>
          <w:shd w:val="clear" w:color="auto" w:fill="auto"/>
        </w:rPr>
        <w:t>C、</w:t>
      </w:r>
      <w:r>
        <w:rPr>
          <w:rFonts w:hint="eastAsia" w:cs="仿宋_GB2312"/>
          <w:color w:val="auto"/>
          <w:highlight w:val="none"/>
          <w:shd w:val="clear" w:color="auto" w:fill="auto"/>
        </w:rPr>
        <w:t>要求合同分包的，提供分包意向协议和中小企业声明函（附件</w:t>
      </w:r>
      <w:r>
        <w:rPr>
          <w:rFonts w:cs="仿宋_GB2312"/>
          <w:color w:val="auto"/>
          <w:highlight w:val="none"/>
          <w:shd w:val="clear" w:color="auto" w:fill="auto"/>
        </w:rPr>
        <w:t>5</w:t>
      </w:r>
      <w:r>
        <w:rPr>
          <w:rFonts w:hint="eastAsia" w:cs="仿宋_GB2312"/>
          <w:color w:val="auto"/>
          <w:highlight w:val="none"/>
          <w:shd w:val="clear" w:color="auto" w:fill="auto"/>
        </w:rPr>
        <w:t>），分包意向协议中中小企业合同金额应当达到招标公告载明的比例；如果供应商本身提供所有标的均由中小企业制造或承接，视同符合了资格条件，无需再向中小企业分包，无需提供分包意向协议。</w:t>
      </w:r>
    </w:p>
    <w:p>
      <w:pPr>
        <w:jc w:val="center"/>
        <w:rPr>
          <w:rFonts w:cs="仿宋_GB2312"/>
          <w:b/>
          <w:color w:val="auto"/>
          <w:sz w:val="32"/>
          <w:szCs w:val="32"/>
          <w:highlight w:val="none"/>
          <w:shd w:val="clear" w:color="auto" w:fill="auto"/>
          <w:lang w:val="zh-CN"/>
        </w:rPr>
      </w:pPr>
      <w:r>
        <w:rPr>
          <w:rFonts w:hint="eastAsia" w:cs="仿宋_GB2312"/>
          <w:b/>
          <w:color w:val="auto"/>
          <w:sz w:val="32"/>
          <w:szCs w:val="32"/>
          <w:highlight w:val="none"/>
          <w:shd w:val="clear" w:color="auto" w:fill="auto"/>
          <w:lang w:val="zh-CN"/>
        </w:rPr>
        <w:t>联合协议</w:t>
      </w:r>
    </w:p>
    <w:p>
      <w:pPr>
        <w:rPr>
          <w:rFonts w:cs="仿宋_GB2312"/>
          <w:color w:val="auto"/>
          <w:highlight w:val="none"/>
          <w:shd w:val="clear" w:color="auto" w:fill="auto"/>
          <w:lang w:val="zh-CN"/>
        </w:rPr>
      </w:pPr>
      <w:r>
        <w:rPr>
          <w:rFonts w:hint="eastAsia" w:cs="仿宋_GB2312"/>
          <w:color w:val="auto"/>
          <w:highlight w:val="none"/>
          <w:u w:val="single"/>
          <w:shd w:val="clear" w:color="auto" w:fill="auto"/>
        </w:rPr>
        <w:t>（联合体所有成员名称）</w:t>
      </w:r>
      <w:r>
        <w:rPr>
          <w:rFonts w:hint="eastAsia" w:cs="仿宋_GB2312"/>
          <w:color w:val="auto"/>
          <w:highlight w:val="none"/>
          <w:shd w:val="clear" w:color="auto" w:fill="auto"/>
        </w:rPr>
        <w:t>自愿</w:t>
      </w:r>
      <w:r>
        <w:rPr>
          <w:rFonts w:hint="eastAsia" w:cs="仿宋_GB2312"/>
          <w:color w:val="auto"/>
          <w:highlight w:val="none"/>
          <w:shd w:val="clear" w:color="auto" w:fill="auto"/>
          <w:lang w:val="zh-CN"/>
        </w:rPr>
        <w:t>组成一个联合体，以一个投标人的身份</w:t>
      </w:r>
      <w:r>
        <w:rPr>
          <w:rFonts w:hint="eastAsia" w:cs="仿宋_GB2312"/>
          <w:color w:val="auto"/>
          <w:highlight w:val="none"/>
          <w:shd w:val="clear" w:color="auto" w:fill="auto"/>
        </w:rPr>
        <w:t>参加（项目名称）【招标编号：</w:t>
      </w:r>
      <w:r>
        <w:rPr>
          <w:rFonts w:hint="eastAsia"/>
          <w:color w:val="auto"/>
          <w:highlight w:val="none"/>
          <w:shd w:val="clear" w:color="auto" w:fill="auto"/>
        </w:rPr>
        <w:t>（采购编号）</w:t>
      </w:r>
      <w:r>
        <w:rPr>
          <w:rFonts w:hint="eastAsia" w:cs="仿宋_GB2312"/>
          <w:color w:val="auto"/>
          <w:highlight w:val="none"/>
          <w:shd w:val="clear" w:color="auto" w:fill="auto"/>
        </w:rPr>
        <w:t>】</w:t>
      </w:r>
      <w:r>
        <w:rPr>
          <w:rFonts w:hint="eastAsia" w:cs="仿宋_GB2312"/>
          <w:color w:val="auto"/>
          <w:highlight w:val="none"/>
          <w:shd w:val="clear" w:color="auto" w:fill="auto"/>
          <w:lang w:val="zh-CN"/>
        </w:rPr>
        <w:t>投标。</w:t>
      </w:r>
      <w:r>
        <w:rPr>
          <w:rFonts w:cs="仿宋_GB2312"/>
          <w:color w:val="auto"/>
          <w:highlight w:val="none"/>
          <w:shd w:val="clear" w:color="auto" w:fill="auto"/>
          <w:lang w:val="zh-CN"/>
        </w:rPr>
        <w:t xml:space="preserve"> </w:t>
      </w:r>
    </w:p>
    <w:p>
      <w:pPr>
        <w:rPr>
          <w:rFonts w:cs="仿宋_GB2312"/>
          <w:color w:val="auto"/>
          <w:highlight w:val="none"/>
          <w:shd w:val="clear" w:color="auto" w:fill="auto"/>
          <w:lang w:val="zh-CN"/>
        </w:rPr>
      </w:pPr>
      <w:r>
        <w:rPr>
          <w:rFonts w:hint="eastAsia" w:cs="仿宋_GB2312"/>
          <w:color w:val="auto"/>
          <w:highlight w:val="none"/>
          <w:shd w:val="clear" w:color="auto" w:fill="auto"/>
          <w:lang w:val="zh-CN"/>
        </w:rPr>
        <w:t>一、各方一致决定，</w:t>
      </w:r>
      <w:r>
        <w:rPr>
          <w:rFonts w:hint="eastAsia" w:cs="仿宋_GB2312"/>
          <w:color w:val="auto"/>
          <w:highlight w:val="none"/>
          <w:u w:val="single"/>
          <w:shd w:val="clear" w:color="auto" w:fill="auto"/>
        </w:rPr>
        <w:t>（某联合体成员名称）</w:t>
      </w:r>
      <w:r>
        <w:rPr>
          <w:rFonts w:hint="eastAsia" w:cs="仿宋_GB2312"/>
          <w:color w:val="auto"/>
          <w:highlight w:val="none"/>
          <w:shd w:val="clear" w:color="auto" w:fill="auto"/>
        </w:rPr>
        <w:t>为联合体</w:t>
      </w:r>
      <w:r>
        <w:rPr>
          <w:rFonts w:hint="eastAsia" w:cs="仿宋_GB2312"/>
          <w:color w:val="auto"/>
          <w:highlight w:val="none"/>
          <w:shd w:val="clear" w:color="auto" w:fill="auto"/>
          <w:lang w:val="zh-CN"/>
        </w:rPr>
        <w:t>牵头人</w:t>
      </w:r>
      <w:r>
        <w:rPr>
          <w:rFonts w:hint="eastAsia" w:cs="Arial"/>
          <w:color w:val="auto"/>
          <w:highlight w:val="none"/>
          <w:shd w:val="clear" w:color="auto" w:fill="auto"/>
        </w:rPr>
        <w:t>，代表所有联合体成员负责投标和合同实施阶段的主办、协调工作</w:t>
      </w:r>
      <w:r>
        <w:rPr>
          <w:rFonts w:hint="eastAsia" w:cs="仿宋_GB2312"/>
          <w:color w:val="auto"/>
          <w:highlight w:val="none"/>
          <w:shd w:val="clear" w:color="auto" w:fill="auto"/>
          <w:lang w:val="zh-CN"/>
        </w:rPr>
        <w:t>。</w:t>
      </w:r>
    </w:p>
    <w:p>
      <w:pPr>
        <w:rPr>
          <w:rFonts w:cs="仿宋_GB2312"/>
          <w:color w:val="auto"/>
          <w:highlight w:val="none"/>
          <w:shd w:val="clear" w:color="auto" w:fill="auto"/>
          <w:lang w:val="zh-CN"/>
        </w:rPr>
      </w:pPr>
      <w:r>
        <w:rPr>
          <w:rFonts w:hint="eastAsia" w:cs="仿宋_GB2312"/>
          <w:color w:val="auto"/>
          <w:highlight w:val="none"/>
          <w:shd w:val="clear" w:color="auto" w:fill="auto"/>
          <w:lang w:val="zh-CN"/>
        </w:rPr>
        <w:t>二、</w:t>
      </w:r>
      <w:r>
        <w:rPr>
          <w:rFonts w:hint="eastAsia" w:cs="Arial"/>
          <w:color w:val="auto"/>
          <w:highlight w:val="none"/>
          <w:shd w:val="clear" w:color="auto" w:fill="auto"/>
        </w:rPr>
        <w:t>所有联合体成员各方签署授权书，授权书载明的</w:t>
      </w:r>
      <w:r>
        <w:rPr>
          <w:rFonts w:hint="eastAsia" w:cs="仿宋_GB2312"/>
          <w:color w:val="auto"/>
          <w:highlight w:val="none"/>
          <w:shd w:val="clear" w:color="auto" w:fill="auto"/>
          <w:lang w:val="zh-CN"/>
        </w:rPr>
        <w:t>授权代表根据招标文件规定及投标内容而对采购人、采购机构所作的任何合法承诺，包括书面澄清及相应等均对联合投标各方产生约束力。</w:t>
      </w:r>
    </w:p>
    <w:p>
      <w:pPr>
        <w:rPr>
          <w:rFonts w:cs="仿宋_GB2312"/>
          <w:color w:val="auto"/>
          <w:highlight w:val="none"/>
          <w:shd w:val="clear" w:color="auto" w:fill="auto"/>
          <w:lang w:val="zh-CN"/>
        </w:rPr>
      </w:pPr>
      <w:r>
        <w:rPr>
          <w:rFonts w:hint="eastAsia" w:cs="仿宋_GB2312"/>
          <w:color w:val="auto"/>
          <w:highlight w:val="none"/>
          <w:shd w:val="clear" w:color="auto" w:fill="auto"/>
          <w:lang w:val="zh-CN"/>
        </w:rPr>
        <w:t>三、本次联合投标中，分工如下：</w:t>
      </w:r>
      <w:r>
        <w:rPr>
          <w:rFonts w:hint="eastAsia" w:cs="仿宋_GB2312"/>
          <w:color w:val="auto"/>
          <w:highlight w:val="none"/>
          <w:u w:val="single"/>
          <w:shd w:val="clear" w:color="auto" w:fill="auto"/>
        </w:rPr>
        <w:t>（联合体其中一方成员名称）</w:t>
      </w:r>
      <w:r>
        <w:rPr>
          <w:rFonts w:hint="eastAsia" w:cs="仿宋_GB2312"/>
          <w:color w:val="auto"/>
          <w:highlight w:val="none"/>
          <w:shd w:val="clear" w:color="auto" w:fill="auto"/>
          <w:lang w:val="zh-CN"/>
        </w:rPr>
        <w:t>承担的工作和义务为：</w:t>
      </w:r>
      <w:r>
        <w:rPr>
          <w:color w:val="auto"/>
          <w:highlight w:val="none"/>
          <w:u w:val="single"/>
          <w:shd w:val="clear" w:color="auto" w:fill="auto"/>
        </w:rPr>
        <w:t xml:space="preserve">             </w:t>
      </w:r>
      <w:r>
        <w:rPr>
          <w:rFonts w:hint="eastAsia" w:cs="仿宋_GB2312"/>
          <w:color w:val="auto"/>
          <w:highlight w:val="none"/>
          <w:shd w:val="clear" w:color="auto" w:fill="auto"/>
          <w:lang w:val="zh-CN"/>
        </w:rPr>
        <w:t>；</w:t>
      </w:r>
      <w:r>
        <w:rPr>
          <w:rFonts w:hint="eastAsia" w:cs="仿宋_GB2312"/>
          <w:color w:val="auto"/>
          <w:highlight w:val="none"/>
          <w:u w:val="single"/>
          <w:shd w:val="clear" w:color="auto" w:fill="auto"/>
        </w:rPr>
        <w:t>（联合体其中一方成员名称）</w:t>
      </w:r>
      <w:r>
        <w:rPr>
          <w:rFonts w:hint="eastAsia" w:cs="仿宋_GB2312"/>
          <w:color w:val="auto"/>
          <w:highlight w:val="none"/>
          <w:shd w:val="clear" w:color="auto" w:fill="auto"/>
          <w:lang w:val="zh-CN"/>
        </w:rPr>
        <w:t>承担的工作和义务为：</w:t>
      </w:r>
      <w:r>
        <w:rPr>
          <w:color w:val="auto"/>
          <w:highlight w:val="none"/>
          <w:u w:val="single"/>
          <w:shd w:val="clear" w:color="auto" w:fill="auto"/>
        </w:rPr>
        <w:t xml:space="preserve">            </w:t>
      </w:r>
      <w:r>
        <w:rPr>
          <w:rFonts w:cs="仿宋_GB2312"/>
          <w:color w:val="auto"/>
          <w:highlight w:val="none"/>
          <w:shd w:val="clear" w:color="auto" w:fill="auto"/>
          <w:lang w:val="zh-CN"/>
        </w:rPr>
        <w:t xml:space="preserve"> ；……。</w:t>
      </w:r>
    </w:p>
    <w:p>
      <w:pPr>
        <w:rPr>
          <w:rFonts w:cs="仿宋_GB2312"/>
          <w:color w:val="auto"/>
          <w:highlight w:val="none"/>
          <w:shd w:val="clear" w:color="auto" w:fill="auto"/>
          <w:lang w:val="zh-CN"/>
        </w:rPr>
      </w:pPr>
      <w:r>
        <w:rPr>
          <w:rFonts w:hint="eastAsia" w:cs="仿宋_GB2312"/>
          <w:color w:val="auto"/>
          <w:highlight w:val="none"/>
          <w:shd w:val="clear" w:color="auto" w:fill="auto"/>
          <w:lang w:val="zh-CN"/>
        </w:rPr>
        <w:t>四、</w:t>
      </w:r>
      <w:r>
        <w:rPr>
          <w:rFonts w:hint="eastAsia"/>
          <w:color w:val="auto"/>
          <w:highlight w:val="none"/>
          <w:shd w:val="clear" w:color="auto" w:fill="auto"/>
        </w:rPr>
        <w:t>中小企业合同金额达到</w:t>
      </w:r>
      <w:r>
        <w:rPr>
          <w:color w:val="auto"/>
          <w:highlight w:val="none"/>
          <w:u w:val="single"/>
          <w:shd w:val="clear" w:color="auto" w:fill="auto"/>
        </w:rPr>
        <w:t xml:space="preserve">  </w:t>
      </w:r>
      <w:r>
        <w:rPr>
          <w:color w:val="auto"/>
          <w:highlight w:val="none"/>
          <w:shd w:val="clear" w:color="auto" w:fill="auto"/>
        </w:rPr>
        <w:t>%，小</w:t>
      </w:r>
      <w:r>
        <w:rPr>
          <w:rFonts w:hint="eastAsia"/>
          <w:color w:val="auto"/>
          <w:highlight w:val="none"/>
          <w:shd w:val="clear" w:color="auto" w:fill="auto"/>
        </w:rPr>
        <w:t>微企业合同金额达到</w:t>
      </w:r>
      <w:r>
        <w:rPr>
          <w:color w:val="auto"/>
          <w:highlight w:val="none"/>
          <w:u w:val="single"/>
          <w:shd w:val="clear" w:color="auto" w:fill="auto"/>
        </w:rPr>
        <w:t xml:space="preserve"> </w:t>
      </w:r>
      <w:r>
        <w:rPr>
          <w:color w:val="auto"/>
          <w:highlight w:val="none"/>
          <w:shd w:val="clear" w:color="auto" w:fill="auto"/>
        </w:rPr>
        <w:t>%</w:t>
      </w:r>
      <w:r>
        <w:rPr>
          <w:rFonts w:hint="eastAsia" w:cs="仿宋_GB2312"/>
          <w:color w:val="auto"/>
          <w:highlight w:val="none"/>
          <w:shd w:val="clear" w:color="auto" w:fill="auto"/>
          <w:lang w:val="zh-CN"/>
        </w:rPr>
        <w:t>。</w:t>
      </w:r>
    </w:p>
    <w:p>
      <w:pPr>
        <w:rPr>
          <w:rFonts w:cs="仿宋_GB2312"/>
          <w:color w:val="auto"/>
          <w:highlight w:val="none"/>
          <w:shd w:val="clear" w:color="auto" w:fill="auto"/>
          <w:lang w:val="zh-CN"/>
        </w:rPr>
      </w:pPr>
      <w:r>
        <w:rPr>
          <w:rFonts w:hint="eastAsia" w:cs="仿宋_GB2312"/>
          <w:color w:val="auto"/>
          <w:highlight w:val="none"/>
          <w:shd w:val="clear" w:color="auto" w:fill="auto"/>
          <w:lang w:val="zh-CN"/>
        </w:rPr>
        <w:t>五、如果中标，</w:t>
      </w:r>
      <w:r>
        <w:rPr>
          <w:rFonts w:hint="eastAsia"/>
          <w:color w:val="auto"/>
          <w:highlight w:val="none"/>
          <w:shd w:val="clear" w:color="auto" w:fill="auto"/>
        </w:rPr>
        <w:t>联合体各成员方共同与采购人签订合同，并就采购合同约定的事项对采购人承担连带责任。</w:t>
      </w:r>
    </w:p>
    <w:p>
      <w:pPr>
        <w:rPr>
          <w:rFonts w:cs="仿宋_GB2312"/>
          <w:color w:val="auto"/>
          <w:highlight w:val="none"/>
          <w:shd w:val="clear" w:color="auto" w:fill="auto"/>
          <w:lang w:val="zh-CN"/>
        </w:rPr>
      </w:pPr>
      <w:r>
        <w:rPr>
          <w:rFonts w:hint="eastAsia" w:cs="仿宋_GB2312"/>
          <w:color w:val="auto"/>
          <w:highlight w:val="none"/>
          <w:shd w:val="clear" w:color="auto" w:fill="auto"/>
          <w:lang w:val="zh-CN"/>
        </w:rPr>
        <w:t>六、有关本次联合投标的其他事宜：</w:t>
      </w:r>
    </w:p>
    <w:p>
      <w:pPr>
        <w:rPr>
          <w:rFonts w:cs="仿宋_GB2312"/>
          <w:color w:val="auto"/>
          <w:highlight w:val="none"/>
          <w:shd w:val="clear" w:color="auto" w:fill="auto"/>
          <w:lang w:val="zh-CN"/>
        </w:rPr>
      </w:pPr>
      <w:r>
        <w:rPr>
          <w:rFonts w:cs="仿宋_GB2312"/>
          <w:color w:val="auto"/>
          <w:highlight w:val="none"/>
          <w:shd w:val="clear" w:color="auto" w:fill="auto"/>
          <w:lang w:val="zh-CN"/>
        </w:rPr>
        <w:t>1、联合体各方不再单独参加或者与其</w:t>
      </w:r>
      <w:r>
        <w:rPr>
          <w:rFonts w:hint="eastAsia" w:cs="仿宋_GB2312"/>
          <w:color w:val="auto"/>
          <w:highlight w:val="none"/>
          <w:shd w:val="clear" w:color="auto" w:fill="auto"/>
          <w:lang w:val="zh-CN"/>
        </w:rPr>
        <w:t>他供应商另外组成联合体参加同一合同项下的政府采购活动。</w:t>
      </w:r>
    </w:p>
    <w:p>
      <w:pPr>
        <w:rPr>
          <w:rFonts w:cs="仿宋_GB2312"/>
          <w:color w:val="auto"/>
          <w:highlight w:val="none"/>
          <w:shd w:val="clear" w:color="auto" w:fill="auto"/>
          <w:lang w:val="zh-CN"/>
        </w:rPr>
      </w:pPr>
      <w:r>
        <w:rPr>
          <w:rFonts w:cs="仿宋_GB2312"/>
          <w:color w:val="auto"/>
          <w:highlight w:val="none"/>
          <w:shd w:val="clear" w:color="auto" w:fill="auto"/>
          <w:lang w:val="zh-CN"/>
        </w:rPr>
        <w:t>2、联合体中有同类资质的各方按照联合体分工承担相同工作的，按照资质等级较低的供应商确定资质等级。</w:t>
      </w:r>
    </w:p>
    <w:p>
      <w:pPr>
        <w:rPr>
          <w:rFonts w:cs="仿宋_GB2312"/>
          <w:color w:val="auto"/>
          <w:highlight w:val="none"/>
          <w:shd w:val="clear" w:color="auto" w:fill="auto"/>
          <w:lang w:val="zh-CN"/>
        </w:rPr>
      </w:pPr>
      <w:r>
        <w:rPr>
          <w:rFonts w:cs="仿宋_GB2312"/>
          <w:color w:val="auto"/>
          <w:highlight w:val="none"/>
          <w:shd w:val="clear" w:color="auto" w:fill="auto"/>
          <w:lang w:val="zh-CN"/>
        </w:rPr>
        <w:t>3、本协议提交采购人、采购机构后，联合体各方不得以任何形式对上述内容进行修改或撤销。</w:t>
      </w:r>
    </w:p>
    <w:p>
      <w:pPr>
        <w:rPr>
          <w:rFonts w:cs="仿宋_GB2312"/>
          <w:color w:val="auto"/>
          <w:highlight w:val="none"/>
          <w:shd w:val="clear" w:color="auto" w:fill="auto"/>
          <w:lang w:val="zh-CN"/>
        </w:rPr>
      </w:pPr>
      <w:r>
        <w:rPr>
          <w:rFonts w:hint="eastAsia" w:cs="仿宋_GB2312"/>
          <w:color w:val="auto"/>
          <w:highlight w:val="none"/>
          <w:shd w:val="clear" w:color="auto" w:fill="auto"/>
          <w:lang w:val="zh-CN"/>
        </w:rPr>
        <w:t>联合体成员名称</w:t>
      </w:r>
      <w:r>
        <w:rPr>
          <w:rFonts w:cs="仿宋_GB2312"/>
          <w:color w:val="auto"/>
          <w:highlight w:val="none"/>
          <w:shd w:val="clear" w:color="auto" w:fill="auto"/>
          <w:lang w:val="zh-CN"/>
        </w:rPr>
        <w:t>(电子签名/公章)：</w:t>
      </w:r>
    </w:p>
    <w:p>
      <w:pPr>
        <w:rPr>
          <w:rFonts w:cs="仿宋_GB2312"/>
          <w:color w:val="auto"/>
          <w:highlight w:val="none"/>
          <w:shd w:val="clear" w:color="auto" w:fill="auto"/>
          <w:lang w:val="zh-CN"/>
        </w:rPr>
      </w:pPr>
      <w:r>
        <w:rPr>
          <w:rFonts w:hint="eastAsia" w:cs="仿宋_GB2312"/>
          <w:color w:val="auto"/>
          <w:highlight w:val="none"/>
          <w:shd w:val="clear" w:color="auto" w:fill="auto"/>
          <w:lang w:val="zh-CN"/>
        </w:rPr>
        <w:t>联合体成员名称</w:t>
      </w:r>
      <w:r>
        <w:rPr>
          <w:rFonts w:cs="仿宋_GB2312"/>
          <w:color w:val="auto"/>
          <w:highlight w:val="none"/>
          <w:shd w:val="clear" w:color="auto" w:fill="auto"/>
          <w:lang w:val="zh-CN"/>
        </w:rPr>
        <w:t>(电子签名/公章)：</w:t>
      </w:r>
    </w:p>
    <w:p>
      <w:pPr>
        <w:rPr>
          <w:rFonts w:cs="仿宋_GB2312"/>
          <w:color w:val="auto"/>
          <w:highlight w:val="none"/>
          <w:shd w:val="clear" w:color="auto" w:fill="auto"/>
          <w:lang w:val="zh-CN"/>
        </w:rPr>
      </w:pPr>
      <w:r>
        <w:rPr>
          <w:rFonts w:cs="仿宋_GB2312"/>
          <w:color w:val="auto"/>
          <w:highlight w:val="none"/>
          <w:shd w:val="clear" w:color="auto" w:fill="auto"/>
          <w:lang w:val="zh-CN"/>
        </w:rPr>
        <w:t xml:space="preserve">                                               日期：  年  月   日</w:t>
      </w:r>
    </w:p>
    <w:p>
      <w:pPr>
        <w:jc w:val="center"/>
        <w:rPr>
          <w:rFonts w:cs="仿宋_GB2312"/>
          <w:b/>
          <w:color w:val="auto"/>
          <w:sz w:val="32"/>
          <w:szCs w:val="32"/>
          <w:highlight w:val="none"/>
          <w:shd w:val="clear" w:color="auto" w:fill="auto"/>
        </w:rPr>
      </w:pPr>
      <w:r>
        <w:rPr>
          <w:rFonts w:hint="eastAsia" w:cs="仿宋_GB2312"/>
          <w:b/>
          <w:color w:val="auto"/>
          <w:sz w:val="32"/>
          <w:szCs w:val="32"/>
          <w:highlight w:val="none"/>
          <w:shd w:val="clear" w:color="auto" w:fill="auto"/>
        </w:rPr>
        <w:t>分包意向协议</w:t>
      </w:r>
    </w:p>
    <w:p>
      <w:pPr>
        <w:rPr>
          <w:rFonts w:cs="仿宋_GB2312"/>
          <w:color w:val="auto"/>
          <w:highlight w:val="none"/>
          <w:shd w:val="clear" w:color="auto" w:fill="auto"/>
        </w:rPr>
      </w:pPr>
      <w:r>
        <w:rPr>
          <w:rFonts w:hint="eastAsia" w:cs="仿宋_GB2312"/>
          <w:color w:val="auto"/>
          <w:highlight w:val="none"/>
          <w:shd w:val="clear" w:color="auto" w:fill="auto"/>
        </w:rPr>
        <w:t>（</w:t>
      </w:r>
      <w:r>
        <w:rPr>
          <w:rFonts w:hint="eastAsia" w:cs="仿宋_GB2312"/>
          <w:b/>
          <w:color w:val="auto"/>
          <w:highlight w:val="none"/>
          <w:shd w:val="clear" w:color="auto" w:fill="auto"/>
        </w:rPr>
        <w:t>中标后以分包方式履行合同的，提供分包意向协议；采购人不同意分包或者投标人中标后不以分包方式履行合同的，则不需要提供。</w:t>
      </w:r>
      <w:r>
        <w:rPr>
          <w:rFonts w:hint="eastAsia" w:cs="仿宋_GB2312"/>
          <w:color w:val="auto"/>
          <w:highlight w:val="none"/>
          <w:shd w:val="clear" w:color="auto" w:fill="auto"/>
        </w:rPr>
        <w:t>）</w:t>
      </w:r>
    </w:p>
    <w:p>
      <w:pPr>
        <w:rPr>
          <w:rFonts w:cs="仿宋_GB2312"/>
          <w:color w:val="auto"/>
          <w:highlight w:val="none"/>
          <w:shd w:val="clear" w:color="auto" w:fill="auto"/>
          <w:lang w:val="zh-CN"/>
        </w:rPr>
      </w:pPr>
      <w:r>
        <w:rPr>
          <w:rFonts w:hint="eastAsia" w:cs="仿宋_GB2312"/>
          <w:color w:val="auto"/>
          <w:highlight w:val="none"/>
          <w:u w:val="single"/>
          <w:shd w:val="clear" w:color="auto" w:fill="auto"/>
        </w:rPr>
        <w:t>（投标人名称）</w:t>
      </w:r>
      <w:r>
        <w:rPr>
          <w:rFonts w:hint="eastAsia" w:cs="仿宋_GB2312"/>
          <w:color w:val="auto"/>
          <w:highlight w:val="none"/>
          <w:shd w:val="clear" w:color="auto" w:fill="auto"/>
          <w:lang w:val="zh-CN"/>
        </w:rPr>
        <w:t>若成为</w:t>
      </w:r>
      <w:r>
        <w:rPr>
          <w:rFonts w:hint="eastAsia" w:cs="仿宋_GB2312"/>
          <w:color w:val="auto"/>
          <w:highlight w:val="none"/>
          <w:shd w:val="clear" w:color="auto" w:fill="auto"/>
        </w:rPr>
        <w:t>（项目名称）【招标编号：</w:t>
      </w:r>
      <w:r>
        <w:rPr>
          <w:rFonts w:hint="eastAsia"/>
          <w:color w:val="auto"/>
          <w:highlight w:val="none"/>
          <w:shd w:val="clear" w:color="auto" w:fill="auto"/>
        </w:rPr>
        <w:t>（采购编号）</w:t>
      </w:r>
      <w:r>
        <w:rPr>
          <w:rFonts w:hint="eastAsia" w:cs="仿宋_GB2312"/>
          <w:color w:val="auto"/>
          <w:highlight w:val="none"/>
          <w:shd w:val="clear" w:color="auto" w:fill="auto"/>
        </w:rPr>
        <w:t>】</w:t>
      </w:r>
      <w:r>
        <w:rPr>
          <w:rFonts w:hint="eastAsia" w:cs="仿宋_GB2312"/>
          <w:color w:val="auto"/>
          <w:highlight w:val="none"/>
          <w:shd w:val="clear" w:color="auto" w:fill="auto"/>
          <w:lang w:val="zh-CN"/>
        </w:rPr>
        <w:t>的中标供应商，将依法采取分包方式履行合同。</w:t>
      </w:r>
      <w:r>
        <w:rPr>
          <w:rFonts w:hint="eastAsia" w:cs="仿宋_GB2312"/>
          <w:color w:val="auto"/>
          <w:highlight w:val="none"/>
          <w:u w:val="single"/>
          <w:shd w:val="clear" w:color="auto" w:fill="auto"/>
        </w:rPr>
        <w:t>（投标人名称）</w:t>
      </w:r>
      <w:r>
        <w:rPr>
          <w:rFonts w:hint="eastAsia" w:cs="仿宋_GB2312"/>
          <w:color w:val="auto"/>
          <w:highlight w:val="none"/>
          <w:shd w:val="clear" w:color="auto" w:fill="auto"/>
        </w:rPr>
        <w:t>与</w:t>
      </w:r>
      <w:r>
        <w:rPr>
          <w:rFonts w:hint="eastAsia" w:cs="仿宋_GB2312"/>
          <w:color w:val="auto"/>
          <w:highlight w:val="none"/>
          <w:u w:val="single"/>
          <w:shd w:val="clear" w:color="auto" w:fill="auto"/>
        </w:rPr>
        <w:t>（所有分包供应商名称）</w:t>
      </w:r>
      <w:r>
        <w:rPr>
          <w:rFonts w:hint="eastAsia" w:cs="仿宋_GB2312"/>
          <w:color w:val="auto"/>
          <w:highlight w:val="none"/>
          <w:shd w:val="clear" w:color="auto" w:fill="auto"/>
        </w:rPr>
        <w:t>达成分包意向协议</w:t>
      </w:r>
      <w:r>
        <w:rPr>
          <w:rFonts w:hint="eastAsia" w:cs="仿宋_GB2312"/>
          <w:color w:val="auto"/>
          <w:highlight w:val="none"/>
          <w:shd w:val="clear" w:color="auto" w:fill="auto"/>
          <w:lang w:val="zh-CN"/>
        </w:rPr>
        <w:t>。</w:t>
      </w:r>
      <w:r>
        <w:rPr>
          <w:rFonts w:cs="仿宋_GB2312"/>
          <w:color w:val="auto"/>
          <w:highlight w:val="none"/>
          <w:shd w:val="clear" w:color="auto" w:fill="auto"/>
          <w:lang w:val="zh-CN"/>
        </w:rPr>
        <w:t xml:space="preserve"> </w:t>
      </w:r>
    </w:p>
    <w:p>
      <w:pPr>
        <w:rPr>
          <w:rFonts w:cs="仿宋_GB2312"/>
          <w:color w:val="auto"/>
          <w:highlight w:val="none"/>
          <w:shd w:val="clear" w:color="auto" w:fill="auto"/>
          <w:lang w:val="zh-CN"/>
        </w:rPr>
      </w:pPr>
      <w:r>
        <w:rPr>
          <w:rFonts w:hint="eastAsia" w:cs="仿宋_GB2312"/>
          <w:color w:val="auto"/>
          <w:highlight w:val="none"/>
          <w:shd w:val="clear" w:color="auto" w:fill="auto"/>
          <w:lang w:val="zh-CN"/>
        </w:rPr>
        <w:t>一、分包标的及数量</w:t>
      </w:r>
    </w:p>
    <w:p>
      <w:pPr>
        <w:rPr>
          <w:rFonts w:cs="仿宋_GB2312"/>
          <w:color w:val="auto"/>
          <w:highlight w:val="none"/>
          <w:shd w:val="clear" w:color="auto" w:fill="auto"/>
          <w:lang w:val="zh-CN"/>
        </w:rPr>
      </w:pPr>
      <w:r>
        <w:rPr>
          <w:rFonts w:hint="eastAsia" w:cs="仿宋_GB2312"/>
          <w:color w:val="auto"/>
          <w:highlight w:val="none"/>
          <w:u w:val="single"/>
          <w:shd w:val="clear" w:color="auto" w:fill="auto"/>
        </w:rPr>
        <w:t>（投标人名称）</w:t>
      </w:r>
      <w:r>
        <w:rPr>
          <w:rFonts w:hint="eastAsia" w:cs="仿宋_GB2312"/>
          <w:color w:val="auto"/>
          <w:highlight w:val="none"/>
          <w:shd w:val="clear" w:color="auto" w:fill="auto"/>
          <w:lang w:val="zh-CN"/>
        </w:rPr>
        <w:t>将</w:t>
      </w:r>
      <w:r>
        <w:rPr>
          <w:color w:val="auto"/>
          <w:highlight w:val="none"/>
          <w:u w:val="single"/>
          <w:shd w:val="clear" w:color="auto" w:fill="auto"/>
        </w:rPr>
        <w:t xml:space="preserve">   XX工作内容   </w:t>
      </w:r>
      <w:r>
        <w:rPr>
          <w:rFonts w:hint="eastAsia" w:cs="Arial"/>
          <w:color w:val="auto"/>
          <w:highlight w:val="none"/>
          <w:shd w:val="clear" w:color="auto" w:fill="auto"/>
        </w:rPr>
        <w:t>分包给</w:t>
      </w:r>
      <w:r>
        <w:rPr>
          <w:rFonts w:hint="eastAsia" w:cs="仿宋_GB2312"/>
          <w:color w:val="auto"/>
          <w:highlight w:val="none"/>
          <w:u w:val="single"/>
          <w:shd w:val="clear" w:color="auto" w:fill="auto"/>
        </w:rPr>
        <w:t>（某分包供应商名称）</w:t>
      </w:r>
      <w:r>
        <w:rPr>
          <w:rFonts w:hint="eastAsia" w:cs="仿宋_GB2312"/>
          <w:color w:val="auto"/>
          <w:highlight w:val="none"/>
          <w:shd w:val="clear" w:color="auto" w:fill="auto"/>
          <w:lang w:val="zh-CN"/>
        </w:rPr>
        <w:t>，</w:t>
      </w:r>
      <w:r>
        <w:rPr>
          <w:rFonts w:hint="eastAsia" w:cs="仿宋_GB2312"/>
          <w:color w:val="auto"/>
          <w:highlight w:val="none"/>
          <w:u w:val="single"/>
          <w:shd w:val="clear" w:color="auto" w:fill="auto"/>
        </w:rPr>
        <w:t>（某分包供应商名称），</w:t>
      </w:r>
      <w:r>
        <w:rPr>
          <w:rFonts w:hint="eastAsia" w:cs="仿宋_GB2312"/>
          <w:color w:val="auto"/>
          <w:highlight w:val="none"/>
          <w:shd w:val="clear" w:color="auto" w:fill="auto"/>
          <w:lang w:val="zh-CN"/>
        </w:rPr>
        <w:t>具备承</w:t>
      </w:r>
      <w:r>
        <w:rPr>
          <w:rFonts w:hint="eastAsia" w:cs="仿宋_GB2312"/>
          <w:color w:val="auto"/>
          <w:highlight w:val="none"/>
          <w:shd w:val="clear" w:color="auto" w:fill="auto"/>
        </w:rPr>
        <w:t>担</w:t>
      </w:r>
      <w:r>
        <w:rPr>
          <w:rFonts w:cs="仿宋_GB2312"/>
          <w:color w:val="auto"/>
          <w:highlight w:val="none"/>
          <w:u w:val="single"/>
          <w:shd w:val="clear" w:color="auto" w:fill="auto"/>
          <w:lang w:val="zh-CN"/>
        </w:rPr>
        <w:t>XX工作内容</w:t>
      </w:r>
      <w:r>
        <w:rPr>
          <w:rFonts w:hint="eastAsia" w:cs="仿宋_GB2312"/>
          <w:color w:val="auto"/>
          <w:highlight w:val="none"/>
          <w:shd w:val="clear" w:color="auto" w:fill="auto"/>
          <w:lang w:val="zh-CN"/>
        </w:rPr>
        <w:t>相应资质条件且不得再次分包；</w:t>
      </w:r>
    </w:p>
    <w:p>
      <w:pPr>
        <w:rPr>
          <w:rFonts w:cs="仿宋_GB2312"/>
          <w:color w:val="auto"/>
          <w:highlight w:val="none"/>
          <w:shd w:val="clear" w:color="auto" w:fill="auto"/>
          <w:lang w:val="zh-CN"/>
        </w:rPr>
      </w:pPr>
      <w:r>
        <w:rPr>
          <w:rFonts w:hint="eastAsia" w:cs="仿宋_GB2312"/>
          <w:color w:val="auto"/>
          <w:highlight w:val="none"/>
          <w:shd w:val="clear" w:color="auto" w:fill="auto"/>
          <w:lang w:val="zh-CN"/>
        </w:rPr>
        <w:t>二、分包工作履行期限、地点、方式</w:t>
      </w:r>
    </w:p>
    <w:p>
      <w:pPr>
        <w:rPr>
          <w:color w:val="auto"/>
          <w:highlight w:val="none"/>
          <w:u w:val="single"/>
          <w:shd w:val="clear" w:color="auto" w:fill="auto"/>
        </w:rPr>
      </w:pPr>
      <w:r>
        <w:rPr>
          <w:color w:val="auto"/>
          <w:highlight w:val="none"/>
          <w:u w:val="single"/>
          <w:shd w:val="clear" w:color="auto" w:fill="auto"/>
        </w:rPr>
        <w:t xml:space="preserve">                                                                                  </w:t>
      </w:r>
    </w:p>
    <w:p>
      <w:pPr>
        <w:rPr>
          <w:rFonts w:cs="仿宋_GB2312"/>
          <w:color w:val="auto"/>
          <w:highlight w:val="none"/>
          <w:shd w:val="clear" w:color="auto" w:fill="auto"/>
          <w:lang w:val="zh-CN"/>
        </w:rPr>
      </w:pPr>
      <w:r>
        <w:rPr>
          <w:rFonts w:hint="eastAsia" w:cs="仿宋_GB2312"/>
          <w:color w:val="auto"/>
          <w:highlight w:val="none"/>
          <w:shd w:val="clear" w:color="auto" w:fill="auto"/>
          <w:lang w:val="zh-CN"/>
        </w:rPr>
        <w:t>三、质量</w:t>
      </w:r>
    </w:p>
    <w:p>
      <w:pPr>
        <w:rPr>
          <w:rFonts w:cs="仿宋_GB2312"/>
          <w:color w:val="auto"/>
          <w:highlight w:val="none"/>
          <w:shd w:val="clear" w:color="auto" w:fill="auto"/>
          <w:lang w:val="zh-CN"/>
        </w:rPr>
      </w:pPr>
      <w:r>
        <w:rPr>
          <w:color w:val="auto"/>
          <w:highlight w:val="none"/>
          <w:u w:val="single"/>
          <w:shd w:val="clear" w:color="auto" w:fill="auto"/>
        </w:rPr>
        <w:t xml:space="preserve">                                                                                       </w:t>
      </w:r>
    </w:p>
    <w:p>
      <w:pPr>
        <w:rPr>
          <w:rFonts w:cs="仿宋_GB2312"/>
          <w:color w:val="auto"/>
          <w:highlight w:val="none"/>
          <w:shd w:val="clear" w:color="auto" w:fill="auto"/>
          <w:lang w:val="zh-CN"/>
        </w:rPr>
      </w:pPr>
      <w:r>
        <w:rPr>
          <w:rFonts w:hint="eastAsia" w:cs="仿宋_GB2312"/>
          <w:color w:val="auto"/>
          <w:highlight w:val="none"/>
          <w:shd w:val="clear" w:color="auto" w:fill="auto"/>
          <w:lang w:val="zh-CN"/>
        </w:rPr>
        <w:t>四、价款或者报酬</w:t>
      </w:r>
    </w:p>
    <w:p>
      <w:pPr>
        <w:rPr>
          <w:rFonts w:cs="仿宋_GB2312"/>
          <w:color w:val="auto"/>
          <w:highlight w:val="none"/>
          <w:shd w:val="clear" w:color="auto" w:fill="auto"/>
          <w:lang w:val="zh-CN"/>
        </w:rPr>
      </w:pPr>
      <w:r>
        <w:rPr>
          <w:color w:val="auto"/>
          <w:highlight w:val="none"/>
          <w:u w:val="single"/>
          <w:shd w:val="clear" w:color="auto" w:fill="auto"/>
        </w:rPr>
        <w:t xml:space="preserve">                                                                                     </w:t>
      </w:r>
    </w:p>
    <w:p>
      <w:pPr>
        <w:rPr>
          <w:rFonts w:cs="仿宋_GB2312"/>
          <w:color w:val="auto"/>
          <w:highlight w:val="none"/>
          <w:shd w:val="clear" w:color="auto" w:fill="auto"/>
          <w:lang w:val="zh-CN"/>
        </w:rPr>
      </w:pPr>
      <w:r>
        <w:rPr>
          <w:rFonts w:hint="eastAsia" w:cs="仿宋_GB2312"/>
          <w:color w:val="auto"/>
          <w:highlight w:val="none"/>
          <w:shd w:val="clear" w:color="auto" w:fill="auto"/>
          <w:lang w:val="zh-CN"/>
        </w:rPr>
        <w:t>五、违约责任</w:t>
      </w:r>
    </w:p>
    <w:p>
      <w:pPr>
        <w:rPr>
          <w:rFonts w:cs="仿宋_GB2312"/>
          <w:color w:val="auto"/>
          <w:highlight w:val="none"/>
          <w:shd w:val="clear" w:color="auto" w:fill="auto"/>
          <w:lang w:val="zh-CN"/>
        </w:rPr>
      </w:pPr>
      <w:r>
        <w:rPr>
          <w:color w:val="auto"/>
          <w:highlight w:val="none"/>
          <w:u w:val="single"/>
          <w:shd w:val="clear" w:color="auto" w:fill="auto"/>
        </w:rPr>
        <w:t xml:space="preserve">                                                                                     </w:t>
      </w:r>
    </w:p>
    <w:p>
      <w:pPr>
        <w:rPr>
          <w:rFonts w:cs="仿宋_GB2312"/>
          <w:color w:val="auto"/>
          <w:highlight w:val="none"/>
          <w:shd w:val="clear" w:color="auto" w:fill="auto"/>
          <w:lang w:val="zh-CN"/>
        </w:rPr>
      </w:pPr>
      <w:r>
        <w:rPr>
          <w:rFonts w:hint="eastAsia" w:cs="仿宋_GB2312"/>
          <w:color w:val="auto"/>
          <w:highlight w:val="none"/>
          <w:shd w:val="clear" w:color="auto" w:fill="auto"/>
          <w:lang w:val="zh-CN"/>
        </w:rPr>
        <w:t>六、争议解决的办法</w:t>
      </w:r>
    </w:p>
    <w:p>
      <w:pPr>
        <w:rPr>
          <w:rFonts w:cs="仿宋_GB2312"/>
          <w:color w:val="auto"/>
          <w:highlight w:val="none"/>
          <w:shd w:val="clear" w:color="auto" w:fill="auto"/>
          <w:lang w:val="zh-CN"/>
        </w:rPr>
      </w:pPr>
      <w:r>
        <w:rPr>
          <w:color w:val="auto"/>
          <w:highlight w:val="none"/>
          <w:u w:val="single"/>
          <w:shd w:val="clear" w:color="auto" w:fill="auto"/>
        </w:rPr>
        <w:t xml:space="preserve">                                                                                  </w:t>
      </w:r>
    </w:p>
    <w:p>
      <w:pPr>
        <w:rPr>
          <w:rFonts w:cs="仿宋_GB2312"/>
          <w:color w:val="auto"/>
          <w:highlight w:val="none"/>
          <w:shd w:val="clear" w:color="auto" w:fill="auto"/>
          <w:lang w:val="zh-CN"/>
        </w:rPr>
      </w:pPr>
      <w:r>
        <w:rPr>
          <w:rFonts w:hint="eastAsia" w:cs="仿宋_GB2312"/>
          <w:color w:val="auto"/>
          <w:highlight w:val="none"/>
          <w:shd w:val="clear" w:color="auto" w:fill="auto"/>
          <w:lang w:val="zh-CN"/>
        </w:rPr>
        <w:t>七、其他</w:t>
      </w:r>
    </w:p>
    <w:p>
      <w:pPr>
        <w:rPr>
          <w:rFonts w:cs="仿宋_GB2312"/>
          <w:color w:val="auto"/>
          <w:highlight w:val="none"/>
          <w:shd w:val="clear" w:color="auto" w:fill="auto"/>
          <w:lang w:val="zh-CN"/>
        </w:rPr>
      </w:pPr>
      <w:r>
        <w:rPr>
          <w:rFonts w:hint="eastAsia"/>
          <w:color w:val="auto"/>
          <w:highlight w:val="none"/>
          <w:shd w:val="clear" w:color="auto" w:fill="auto"/>
        </w:rPr>
        <w:t>中小企业合同金额达到</w:t>
      </w:r>
      <w:r>
        <w:rPr>
          <w:color w:val="auto"/>
          <w:highlight w:val="none"/>
          <w:u w:val="single"/>
          <w:shd w:val="clear" w:color="auto" w:fill="auto"/>
        </w:rPr>
        <w:t xml:space="preserve">  </w:t>
      </w:r>
      <w:r>
        <w:rPr>
          <w:color w:val="auto"/>
          <w:highlight w:val="none"/>
          <w:shd w:val="clear" w:color="auto" w:fill="auto"/>
        </w:rPr>
        <w:t>%，小</w:t>
      </w:r>
      <w:r>
        <w:rPr>
          <w:rFonts w:hint="eastAsia"/>
          <w:color w:val="auto"/>
          <w:highlight w:val="none"/>
          <w:shd w:val="clear" w:color="auto" w:fill="auto"/>
        </w:rPr>
        <w:t>微企业合同金额达到</w:t>
      </w:r>
      <w:r>
        <w:rPr>
          <w:color w:val="auto"/>
          <w:highlight w:val="none"/>
          <w:u w:val="single"/>
          <w:shd w:val="clear" w:color="auto" w:fill="auto"/>
        </w:rPr>
        <w:t xml:space="preserve"> </w:t>
      </w:r>
      <w:r>
        <w:rPr>
          <w:color w:val="auto"/>
          <w:highlight w:val="none"/>
          <w:shd w:val="clear" w:color="auto" w:fill="auto"/>
        </w:rPr>
        <w:t>%</w:t>
      </w:r>
      <w:r>
        <w:rPr>
          <w:rFonts w:cs="仿宋_GB2312"/>
          <w:color w:val="auto"/>
          <w:highlight w:val="none"/>
          <w:shd w:val="clear" w:color="auto" w:fill="auto"/>
          <w:lang w:val="zh-CN"/>
        </w:rPr>
        <w:t xml:space="preserve">  。                                           投标人名称(电子签名)：</w:t>
      </w:r>
    </w:p>
    <w:p>
      <w:pPr>
        <w:rPr>
          <w:rFonts w:cs="仿宋_GB2312"/>
          <w:color w:val="auto"/>
          <w:highlight w:val="none"/>
          <w:shd w:val="clear" w:color="auto" w:fill="auto"/>
          <w:lang w:val="zh-CN"/>
        </w:rPr>
      </w:pPr>
      <w:r>
        <w:rPr>
          <w:rFonts w:hint="eastAsia" w:cs="仿宋_GB2312"/>
          <w:color w:val="auto"/>
          <w:highlight w:val="none"/>
          <w:shd w:val="clear" w:color="auto" w:fill="auto"/>
          <w:lang w:val="zh-CN"/>
        </w:rPr>
        <w:t>分包供应商名称：</w:t>
      </w:r>
    </w:p>
    <w:p>
      <w:pPr>
        <w:jc w:val="right"/>
        <w:rPr>
          <w:color w:val="auto"/>
          <w:highlight w:val="none"/>
          <w:shd w:val="clear" w:color="auto" w:fill="auto"/>
        </w:rPr>
      </w:pPr>
      <w:r>
        <w:rPr>
          <w:rFonts w:hint="eastAsia" w:cs="仿宋_GB2312"/>
          <w:color w:val="auto"/>
          <w:highlight w:val="none"/>
          <w:shd w:val="clear" w:color="auto" w:fill="auto"/>
          <w:lang w:val="zh-CN"/>
        </w:rPr>
        <w:t>……</w:t>
      </w:r>
      <w:r>
        <w:rPr>
          <w:rFonts w:cs="仿宋_GB2312"/>
          <w:color w:val="auto"/>
          <w:highlight w:val="none"/>
          <w:shd w:val="clear" w:color="auto" w:fill="auto"/>
          <w:lang w:val="zh-CN"/>
        </w:rPr>
        <w:t xml:space="preserve">    日期：  年  月   日</w:t>
      </w:r>
    </w:p>
    <w:p>
      <w:pPr>
        <w:pStyle w:val="3"/>
        <w:rPr>
          <w:color w:val="auto"/>
          <w:highlight w:val="none"/>
          <w:shd w:val="clear" w:color="auto" w:fill="auto"/>
        </w:rPr>
      </w:pPr>
      <w:r>
        <w:rPr>
          <w:rFonts w:hint="eastAsia"/>
          <w:color w:val="auto"/>
          <w:highlight w:val="none"/>
          <w:shd w:val="clear" w:color="auto" w:fill="auto"/>
        </w:rPr>
        <w:t>三、本项目的特定资格要求</w:t>
      </w:r>
    </w:p>
    <w:p>
      <w:pPr>
        <w:spacing w:line="360" w:lineRule="auto"/>
        <w:jc w:val="center"/>
        <w:rPr>
          <w:rFonts w:ascii="仿宋_GB2312" w:eastAsia="仿宋_GB2312"/>
          <w:color w:val="auto"/>
          <w:highlight w:val="none"/>
          <w:shd w:val="clear" w:color="auto" w:fill="auto"/>
        </w:rPr>
      </w:pPr>
      <w:r>
        <w:rPr>
          <w:rFonts w:hint="eastAsia" w:ascii="仿宋_GB2312" w:eastAsia="仿宋_GB2312" w:cs="仿宋_GB2312"/>
          <w:color w:val="auto"/>
          <w:highlight w:val="none"/>
          <w:shd w:val="clear" w:color="auto" w:fill="auto"/>
        </w:rPr>
        <w:t>（根据招标公告本项目的特定资格要求</w:t>
      </w:r>
      <w:r>
        <w:rPr>
          <w:rFonts w:hint="eastAsia" w:ascii="仿宋_GB2312" w:eastAsia="仿宋_GB2312"/>
          <w:color w:val="auto"/>
          <w:highlight w:val="none"/>
          <w:shd w:val="clear" w:color="auto" w:fill="auto"/>
        </w:rPr>
        <w:t>提供相应的材料；未要求的，无需提供</w:t>
      </w:r>
      <w:r>
        <w:rPr>
          <w:rFonts w:hint="eastAsia" w:ascii="仿宋_GB2312" w:eastAsia="仿宋_GB2312" w:cs="仿宋_GB2312"/>
          <w:color w:val="auto"/>
          <w:highlight w:val="none"/>
          <w:shd w:val="clear" w:color="auto" w:fill="auto"/>
        </w:rPr>
        <w:t>）</w:t>
      </w:r>
    </w:p>
    <w:p>
      <w:pPr>
        <w:spacing w:line="276" w:lineRule="auto"/>
        <w:rPr>
          <w:color w:val="auto"/>
          <w:highlight w:val="none"/>
          <w:shd w:val="clear" w:color="auto" w:fill="auto"/>
        </w:rPr>
      </w:pPr>
      <w:r>
        <w:rPr>
          <w:color w:val="auto"/>
          <w:highlight w:val="none"/>
          <w:shd w:val="clear" w:color="auto" w:fill="auto"/>
        </w:rPr>
        <w:br w:type="page"/>
      </w:r>
    </w:p>
    <w:p>
      <w:pPr>
        <w:pStyle w:val="3"/>
        <w:rPr>
          <w:color w:val="auto"/>
          <w:highlight w:val="none"/>
          <w:shd w:val="clear" w:color="auto" w:fill="auto"/>
        </w:rPr>
      </w:pPr>
      <w:r>
        <w:rPr>
          <w:rFonts w:hint="eastAsia"/>
          <w:color w:val="auto"/>
          <w:highlight w:val="none"/>
          <w:shd w:val="clear" w:color="auto" w:fill="auto"/>
        </w:rPr>
        <w:t>商务技术文件部分</w:t>
      </w:r>
    </w:p>
    <w:p>
      <w:pPr>
        <w:jc w:val="center"/>
        <w:rPr>
          <w:color w:val="auto"/>
          <w:sz w:val="40"/>
          <w:highlight w:val="none"/>
          <w:shd w:val="clear" w:color="auto" w:fill="auto"/>
        </w:rPr>
      </w:pPr>
      <w:r>
        <w:rPr>
          <w:rFonts w:hint="eastAsia"/>
          <w:color w:val="auto"/>
          <w:sz w:val="40"/>
          <w:highlight w:val="none"/>
          <w:shd w:val="clear" w:color="auto" w:fill="auto"/>
        </w:rPr>
        <w:t>目录</w:t>
      </w:r>
    </w:p>
    <w:p>
      <w:pPr>
        <w:keepNext w:val="0"/>
        <w:keepLines w:val="0"/>
        <w:pageBreakBefore w:val="0"/>
        <w:widowControl/>
        <w:kinsoku/>
        <w:wordWrap/>
        <w:overflowPunct/>
        <w:topLinePunct w:val="0"/>
        <w:autoSpaceDE/>
        <w:autoSpaceDN/>
        <w:bidi w:val="0"/>
        <w:adjustRightInd/>
        <w:snapToGrid/>
        <w:spacing w:after="0" w:line="480" w:lineRule="auto"/>
        <w:textAlignment w:val="auto"/>
        <w:rPr>
          <w:color w:val="auto"/>
          <w:highlight w:val="none"/>
          <w:shd w:val="clear" w:color="auto" w:fill="auto"/>
        </w:rPr>
      </w:pPr>
      <w:r>
        <w:rPr>
          <w:rFonts w:hint="eastAsia" w:ascii="仿宋_GB2312" w:eastAsia="仿宋_GB2312"/>
          <w:color w:val="auto"/>
          <w:highlight w:val="none"/>
          <w:shd w:val="clear" w:color="auto" w:fill="auto"/>
        </w:rPr>
        <w:t>（</w:t>
      </w:r>
      <w:r>
        <w:rPr>
          <w:rFonts w:ascii="仿宋_GB2312" w:eastAsia="仿宋_GB2312"/>
          <w:color w:val="auto"/>
          <w:highlight w:val="none"/>
          <w:shd w:val="clear" w:color="auto" w:fill="auto"/>
        </w:rPr>
        <w:t>1）投标函</w:t>
      </w:r>
      <w:r>
        <w:rPr>
          <w:rFonts w:hint="eastAsia"/>
          <w:color w:val="auto"/>
          <w:highlight w:val="none"/>
          <w:shd w:val="clear" w:color="auto" w:fill="auto"/>
        </w:rPr>
        <w:t>……………………………………………………………………（页码）</w:t>
      </w:r>
    </w:p>
    <w:p>
      <w:pPr>
        <w:keepNext w:val="0"/>
        <w:keepLines w:val="0"/>
        <w:pageBreakBefore w:val="0"/>
        <w:widowControl/>
        <w:kinsoku/>
        <w:wordWrap/>
        <w:overflowPunct/>
        <w:topLinePunct w:val="0"/>
        <w:autoSpaceDE/>
        <w:autoSpaceDN/>
        <w:bidi w:val="0"/>
        <w:adjustRightInd/>
        <w:snapToGrid/>
        <w:spacing w:after="0" w:line="480" w:lineRule="auto"/>
        <w:textAlignment w:val="auto"/>
        <w:rPr>
          <w:color w:val="auto"/>
          <w:highlight w:val="none"/>
          <w:shd w:val="clear" w:color="auto" w:fill="auto"/>
        </w:rPr>
      </w:pPr>
      <w:r>
        <w:rPr>
          <w:rFonts w:hint="eastAsia" w:ascii="仿宋_GB2312" w:eastAsia="仿宋_GB2312"/>
          <w:color w:val="auto"/>
          <w:highlight w:val="none"/>
          <w:shd w:val="clear" w:color="auto" w:fill="auto"/>
        </w:rPr>
        <w:t>（</w:t>
      </w:r>
      <w:r>
        <w:rPr>
          <w:rFonts w:ascii="仿宋_GB2312" w:eastAsia="仿宋_GB2312"/>
          <w:color w:val="auto"/>
          <w:highlight w:val="none"/>
          <w:shd w:val="clear" w:color="auto" w:fill="auto"/>
        </w:rPr>
        <w:t>2）授权委托书或法定代表人（单位负责人、自然人本人）身份证明</w:t>
      </w:r>
      <w:r>
        <w:rPr>
          <w:rFonts w:hint="eastAsia"/>
          <w:color w:val="auto"/>
          <w:highlight w:val="none"/>
          <w:shd w:val="clear" w:color="auto" w:fill="auto"/>
        </w:rPr>
        <w:t>……（页码）</w:t>
      </w:r>
    </w:p>
    <w:p>
      <w:pPr>
        <w:keepNext w:val="0"/>
        <w:keepLines w:val="0"/>
        <w:pageBreakBefore w:val="0"/>
        <w:widowControl/>
        <w:kinsoku/>
        <w:wordWrap/>
        <w:overflowPunct/>
        <w:topLinePunct w:val="0"/>
        <w:autoSpaceDE/>
        <w:autoSpaceDN/>
        <w:bidi w:val="0"/>
        <w:adjustRightInd/>
        <w:snapToGrid/>
        <w:spacing w:after="0" w:line="480" w:lineRule="auto"/>
        <w:textAlignment w:val="auto"/>
        <w:rPr>
          <w:color w:val="auto"/>
          <w:highlight w:val="none"/>
          <w:shd w:val="clear" w:color="auto" w:fill="auto"/>
        </w:rPr>
      </w:pPr>
      <w:r>
        <w:rPr>
          <w:rFonts w:hint="eastAsia" w:ascii="仿宋_GB2312" w:eastAsia="仿宋_GB2312"/>
          <w:color w:val="auto"/>
          <w:highlight w:val="none"/>
          <w:shd w:val="clear" w:color="auto" w:fill="auto"/>
        </w:rPr>
        <w:t>（</w:t>
      </w:r>
      <w:r>
        <w:rPr>
          <w:rFonts w:ascii="仿宋_GB2312" w:eastAsia="仿宋_GB2312"/>
          <w:color w:val="auto"/>
          <w:highlight w:val="none"/>
          <w:shd w:val="clear" w:color="auto" w:fill="auto"/>
        </w:rPr>
        <w:t>3）联合协议</w:t>
      </w:r>
      <w:r>
        <w:rPr>
          <w:rFonts w:hint="eastAsia"/>
          <w:color w:val="auto"/>
          <w:highlight w:val="none"/>
          <w:shd w:val="clear" w:color="auto" w:fill="auto"/>
        </w:rPr>
        <w:t>……………………………………………………………………（页码）</w:t>
      </w:r>
    </w:p>
    <w:p>
      <w:pPr>
        <w:keepNext w:val="0"/>
        <w:keepLines w:val="0"/>
        <w:pageBreakBefore w:val="0"/>
        <w:widowControl/>
        <w:kinsoku/>
        <w:wordWrap/>
        <w:overflowPunct/>
        <w:topLinePunct w:val="0"/>
        <w:autoSpaceDE/>
        <w:autoSpaceDN/>
        <w:bidi w:val="0"/>
        <w:adjustRightInd/>
        <w:snapToGrid/>
        <w:spacing w:after="0" w:line="480" w:lineRule="auto"/>
        <w:textAlignment w:val="auto"/>
        <w:rPr>
          <w:color w:val="auto"/>
          <w:highlight w:val="none"/>
          <w:shd w:val="clear" w:color="auto" w:fill="auto"/>
        </w:rPr>
      </w:pPr>
      <w:r>
        <w:rPr>
          <w:rFonts w:hint="eastAsia" w:ascii="仿宋_GB2312" w:eastAsia="仿宋_GB2312"/>
          <w:color w:val="auto"/>
          <w:highlight w:val="none"/>
          <w:shd w:val="clear" w:color="auto" w:fill="auto"/>
        </w:rPr>
        <w:t>（</w:t>
      </w:r>
      <w:r>
        <w:rPr>
          <w:rFonts w:ascii="仿宋_GB2312" w:eastAsia="仿宋_GB2312"/>
          <w:color w:val="auto"/>
          <w:highlight w:val="none"/>
          <w:shd w:val="clear" w:color="auto" w:fill="auto"/>
        </w:rPr>
        <w:t>4）分包意向协议</w:t>
      </w:r>
      <w:r>
        <w:rPr>
          <w:rFonts w:hint="eastAsia"/>
          <w:color w:val="auto"/>
          <w:highlight w:val="none"/>
          <w:shd w:val="clear" w:color="auto" w:fill="auto"/>
        </w:rPr>
        <w:t>………………………………………………………………（页码）</w:t>
      </w:r>
    </w:p>
    <w:p>
      <w:pPr>
        <w:keepNext w:val="0"/>
        <w:keepLines w:val="0"/>
        <w:pageBreakBefore w:val="0"/>
        <w:widowControl/>
        <w:kinsoku/>
        <w:wordWrap/>
        <w:overflowPunct/>
        <w:topLinePunct w:val="0"/>
        <w:autoSpaceDE/>
        <w:autoSpaceDN/>
        <w:bidi w:val="0"/>
        <w:adjustRightInd/>
        <w:snapToGrid/>
        <w:spacing w:after="0" w:line="480" w:lineRule="auto"/>
        <w:textAlignment w:val="auto"/>
        <w:rPr>
          <w:color w:val="auto"/>
          <w:highlight w:val="none"/>
          <w:shd w:val="clear" w:color="auto" w:fill="auto"/>
        </w:rPr>
      </w:pPr>
      <w:r>
        <w:rPr>
          <w:rFonts w:hint="eastAsia" w:ascii="仿宋_GB2312" w:eastAsia="仿宋_GB2312"/>
          <w:color w:val="auto"/>
          <w:highlight w:val="none"/>
          <w:shd w:val="clear" w:color="auto" w:fill="auto"/>
        </w:rPr>
        <w:t>（</w:t>
      </w:r>
      <w:r>
        <w:rPr>
          <w:rFonts w:ascii="仿宋_GB2312" w:eastAsia="仿宋_GB2312"/>
          <w:color w:val="auto"/>
          <w:highlight w:val="none"/>
          <w:shd w:val="clear" w:color="auto" w:fill="auto"/>
        </w:rPr>
        <w:t>5）符合性审查资料</w:t>
      </w:r>
      <w:r>
        <w:rPr>
          <w:rFonts w:hint="eastAsia"/>
          <w:color w:val="auto"/>
          <w:highlight w:val="none"/>
          <w:shd w:val="clear" w:color="auto" w:fill="auto"/>
        </w:rPr>
        <w:t>…………………………………………………………（页码）</w:t>
      </w:r>
    </w:p>
    <w:p>
      <w:pPr>
        <w:keepNext w:val="0"/>
        <w:keepLines w:val="0"/>
        <w:pageBreakBefore w:val="0"/>
        <w:widowControl/>
        <w:kinsoku/>
        <w:wordWrap/>
        <w:overflowPunct/>
        <w:topLinePunct w:val="0"/>
        <w:autoSpaceDE/>
        <w:autoSpaceDN/>
        <w:bidi w:val="0"/>
        <w:adjustRightInd/>
        <w:snapToGrid/>
        <w:spacing w:after="0" w:line="480" w:lineRule="auto"/>
        <w:textAlignment w:val="auto"/>
        <w:rPr>
          <w:color w:val="auto"/>
          <w:highlight w:val="none"/>
          <w:shd w:val="clear" w:color="auto" w:fill="auto"/>
        </w:rPr>
      </w:pPr>
      <w:r>
        <w:rPr>
          <w:rFonts w:hint="eastAsia" w:ascii="仿宋_GB2312" w:eastAsia="仿宋_GB2312"/>
          <w:color w:val="auto"/>
          <w:highlight w:val="none"/>
          <w:shd w:val="clear" w:color="auto" w:fill="auto"/>
        </w:rPr>
        <w:t>（</w:t>
      </w:r>
      <w:r>
        <w:rPr>
          <w:rFonts w:ascii="仿宋_GB2312" w:eastAsia="仿宋_GB2312"/>
          <w:color w:val="auto"/>
          <w:highlight w:val="none"/>
          <w:shd w:val="clear" w:color="auto" w:fill="auto"/>
        </w:rPr>
        <w:t>6）评标标准相应的商务技术资料</w:t>
      </w:r>
      <w:r>
        <w:rPr>
          <w:rFonts w:hint="eastAsia"/>
          <w:color w:val="auto"/>
          <w:highlight w:val="none"/>
          <w:shd w:val="clear" w:color="auto" w:fill="auto"/>
        </w:rPr>
        <w:t>…………………………</w:t>
      </w:r>
      <w:r>
        <w:rPr>
          <w:rFonts w:hint="eastAsia" w:ascii="仿宋_GB2312" w:eastAsia="仿宋_GB2312"/>
          <w:color w:val="auto"/>
          <w:highlight w:val="none"/>
          <w:shd w:val="clear" w:color="auto" w:fill="auto"/>
        </w:rPr>
        <w:t>………</w:t>
      </w:r>
      <w:r>
        <w:rPr>
          <w:rFonts w:hint="eastAsia"/>
          <w:color w:val="auto"/>
          <w:highlight w:val="none"/>
          <w:shd w:val="clear" w:color="auto" w:fill="auto"/>
        </w:rPr>
        <w:t>…………（页码）（</w:t>
      </w:r>
      <w:r>
        <w:rPr>
          <w:color w:val="auto"/>
          <w:highlight w:val="none"/>
          <w:shd w:val="clear" w:color="auto" w:fill="auto"/>
        </w:rPr>
        <w:t>7）</w:t>
      </w:r>
      <w:r>
        <w:rPr>
          <w:rFonts w:hint="eastAsia"/>
          <w:color w:val="auto"/>
          <w:highlight w:val="none"/>
          <w:shd w:val="clear" w:color="auto" w:fill="auto"/>
        </w:rPr>
        <w:t>投标标的清单………………………………………………………………（页码）</w:t>
      </w:r>
      <w:r>
        <w:rPr>
          <w:rFonts w:hint="eastAsia" w:ascii="仿宋_GB2312" w:eastAsia="仿宋_GB2312"/>
          <w:color w:val="auto"/>
          <w:highlight w:val="none"/>
          <w:shd w:val="clear" w:color="auto" w:fill="auto"/>
        </w:rPr>
        <w:t>（8</w:t>
      </w:r>
      <w:r>
        <w:rPr>
          <w:rFonts w:ascii="仿宋_GB2312" w:eastAsia="仿宋_GB2312"/>
          <w:color w:val="auto"/>
          <w:highlight w:val="none"/>
          <w:shd w:val="clear" w:color="auto" w:fill="auto"/>
        </w:rPr>
        <w:t>）商务技术偏离表</w:t>
      </w:r>
      <w:r>
        <w:rPr>
          <w:rFonts w:hint="eastAsia"/>
          <w:color w:val="auto"/>
          <w:highlight w:val="none"/>
          <w:shd w:val="clear" w:color="auto" w:fill="auto"/>
        </w:rPr>
        <w:t>……………………………………………………………（页码）</w:t>
      </w:r>
    </w:p>
    <w:p>
      <w:pPr>
        <w:keepNext w:val="0"/>
        <w:keepLines w:val="0"/>
        <w:pageBreakBefore w:val="0"/>
        <w:widowControl/>
        <w:kinsoku/>
        <w:wordWrap/>
        <w:overflowPunct/>
        <w:topLinePunct w:val="0"/>
        <w:autoSpaceDE/>
        <w:autoSpaceDN/>
        <w:bidi w:val="0"/>
        <w:adjustRightInd/>
        <w:snapToGrid/>
        <w:spacing w:after="0" w:line="480" w:lineRule="auto"/>
        <w:textAlignment w:val="auto"/>
        <w:rPr>
          <w:color w:val="auto"/>
          <w:highlight w:val="none"/>
          <w:shd w:val="clear" w:color="auto" w:fill="auto"/>
        </w:rPr>
      </w:pPr>
      <w:r>
        <w:rPr>
          <w:rFonts w:hint="eastAsia" w:ascii="仿宋_GB2312" w:eastAsia="仿宋_GB2312"/>
          <w:color w:val="auto"/>
          <w:highlight w:val="none"/>
          <w:shd w:val="clear" w:color="auto" w:fill="auto"/>
          <w:lang w:val="zh-CN"/>
        </w:rPr>
        <w:t>（</w:t>
      </w:r>
      <w:r>
        <w:rPr>
          <w:rFonts w:hint="eastAsia" w:ascii="仿宋_GB2312" w:eastAsia="仿宋_GB2312"/>
          <w:color w:val="auto"/>
          <w:highlight w:val="none"/>
          <w:shd w:val="clear" w:color="auto" w:fill="auto"/>
        </w:rPr>
        <w:t>9</w:t>
      </w:r>
      <w:r>
        <w:rPr>
          <w:rFonts w:hint="eastAsia" w:ascii="仿宋_GB2312" w:eastAsia="仿宋_GB2312"/>
          <w:color w:val="auto"/>
          <w:highlight w:val="none"/>
          <w:shd w:val="clear" w:color="auto" w:fill="auto"/>
          <w:lang w:val="zh-CN"/>
        </w:rPr>
        <w:t>）政府采购供应商廉洁自律承诺书</w:t>
      </w:r>
      <w:r>
        <w:rPr>
          <w:rFonts w:hint="eastAsia"/>
          <w:color w:val="auto"/>
          <w:highlight w:val="none"/>
          <w:shd w:val="clear" w:color="auto" w:fill="auto"/>
        </w:rPr>
        <w:t>…………………………………………（页码）</w:t>
      </w:r>
    </w:p>
    <w:p>
      <w:pPr>
        <w:spacing w:line="360" w:lineRule="auto"/>
        <w:rPr>
          <w:color w:val="auto"/>
          <w:highlight w:val="none"/>
          <w:shd w:val="clear" w:color="auto" w:fill="auto"/>
        </w:rPr>
      </w:pPr>
      <w:r>
        <w:rPr>
          <w:color w:val="auto"/>
          <w:highlight w:val="none"/>
          <w:shd w:val="clear" w:color="auto" w:fill="auto"/>
        </w:rPr>
        <w:br w:type="page"/>
      </w:r>
    </w:p>
    <w:p>
      <w:pPr>
        <w:pStyle w:val="3"/>
        <w:rPr>
          <w:color w:val="auto"/>
          <w:highlight w:val="none"/>
          <w:shd w:val="clear" w:color="auto" w:fill="auto"/>
        </w:rPr>
      </w:pPr>
      <w:r>
        <w:rPr>
          <w:rFonts w:hint="eastAsia"/>
          <w:color w:val="auto"/>
          <w:highlight w:val="none"/>
          <w:shd w:val="clear" w:color="auto" w:fill="auto"/>
        </w:rPr>
        <w:t>一、投标函</w:t>
      </w:r>
    </w:p>
    <w:p>
      <w:pPr>
        <w:rPr>
          <w:color w:val="auto"/>
          <w:highlight w:val="none"/>
          <w:shd w:val="clear" w:color="auto" w:fill="auto"/>
        </w:rPr>
      </w:pPr>
      <w:r>
        <w:rPr>
          <w:rFonts w:hint="eastAsia"/>
          <w:color w:val="auto"/>
          <w:highlight w:val="none"/>
          <w:shd w:val="clear" w:color="auto" w:fill="auto"/>
        </w:rPr>
        <w:t>（采购人）、（采购代理机构）：</w:t>
      </w:r>
    </w:p>
    <w:p>
      <w:pPr>
        <w:rPr>
          <w:color w:val="auto"/>
          <w:highlight w:val="none"/>
          <w:shd w:val="clear" w:color="auto" w:fill="auto"/>
        </w:rPr>
      </w:pPr>
      <w:r>
        <w:rPr>
          <w:rFonts w:hint="eastAsia"/>
          <w:color w:val="auto"/>
          <w:highlight w:val="none"/>
          <w:shd w:val="clear" w:color="auto" w:fill="auto"/>
        </w:rPr>
        <w:t>我方参加你方组织的（项目名称）【招标编号：（采购编号）】招标的有关活动，并对此项目进行投标。为此：</w:t>
      </w:r>
    </w:p>
    <w:p>
      <w:pPr>
        <w:rPr>
          <w:color w:val="auto"/>
          <w:highlight w:val="none"/>
          <w:shd w:val="clear" w:color="auto" w:fill="auto"/>
        </w:rPr>
      </w:pPr>
      <w:r>
        <w:rPr>
          <w:color w:val="auto"/>
          <w:highlight w:val="none"/>
          <w:shd w:val="clear" w:color="auto" w:fill="auto"/>
        </w:rPr>
        <w:t>1、我方承诺投标有效期从提交投标文件的截止之日起</w:t>
      </w:r>
      <w:r>
        <w:rPr>
          <w:color w:val="auto"/>
          <w:highlight w:val="none"/>
          <w:u w:val="single"/>
          <w:shd w:val="clear" w:color="auto" w:fill="auto"/>
        </w:rPr>
        <w:t xml:space="preserve">     </w:t>
      </w:r>
      <w:r>
        <w:rPr>
          <w:rFonts w:hint="eastAsia"/>
          <w:color w:val="auto"/>
          <w:highlight w:val="none"/>
          <w:shd w:val="clear" w:color="auto" w:fill="auto"/>
        </w:rPr>
        <w:t>天（不少于</w:t>
      </w:r>
      <w:r>
        <w:rPr>
          <w:color w:val="auto"/>
          <w:highlight w:val="none"/>
          <w:shd w:val="clear" w:color="auto" w:fill="auto"/>
        </w:rPr>
        <w:t>90天）</w:t>
      </w:r>
      <w:r>
        <w:rPr>
          <w:rFonts w:hint="eastAsia"/>
          <w:color w:val="auto"/>
          <w:highlight w:val="none"/>
          <w:shd w:val="clear" w:color="auto" w:fill="auto"/>
        </w:rPr>
        <w:t>，本投标文件在投标有效期满之前均具有约束力。</w:t>
      </w:r>
    </w:p>
    <w:p>
      <w:pPr>
        <w:rPr>
          <w:color w:val="auto"/>
          <w:highlight w:val="none"/>
          <w:shd w:val="clear" w:color="auto" w:fill="auto"/>
        </w:rPr>
      </w:pPr>
      <w:r>
        <w:rPr>
          <w:color w:val="auto"/>
          <w:highlight w:val="none"/>
          <w:shd w:val="clear" w:color="auto" w:fill="auto"/>
        </w:rPr>
        <w:t>2、我方的投标文件包括以下内容：</w:t>
      </w:r>
    </w:p>
    <w:p>
      <w:pPr>
        <w:rPr>
          <w:color w:val="auto"/>
          <w:highlight w:val="none"/>
          <w:shd w:val="clear" w:color="auto" w:fill="auto"/>
        </w:rPr>
      </w:pPr>
      <w:r>
        <w:rPr>
          <w:color w:val="auto"/>
          <w:highlight w:val="none"/>
          <w:shd w:val="clear" w:color="auto" w:fill="auto"/>
        </w:rPr>
        <w:t>2.1资格文件：</w:t>
      </w:r>
    </w:p>
    <w:p>
      <w:pPr>
        <w:rPr>
          <w:color w:val="auto"/>
          <w:highlight w:val="none"/>
          <w:shd w:val="clear" w:color="auto" w:fill="auto"/>
        </w:rPr>
      </w:pPr>
      <w:r>
        <w:rPr>
          <w:color w:val="auto"/>
          <w:highlight w:val="none"/>
          <w:shd w:val="clear" w:color="auto" w:fill="auto"/>
        </w:rPr>
        <w:t>2.1.1</w:t>
      </w:r>
      <w:r>
        <w:rPr>
          <w:rFonts w:hint="eastAsia"/>
          <w:color w:val="auto"/>
          <w:highlight w:val="none"/>
          <w:shd w:val="clear" w:color="auto" w:fill="auto"/>
        </w:rPr>
        <w:t>承诺函；</w:t>
      </w:r>
    </w:p>
    <w:p>
      <w:pPr>
        <w:rPr>
          <w:color w:val="auto"/>
          <w:highlight w:val="none"/>
          <w:shd w:val="clear" w:color="auto" w:fill="auto"/>
        </w:rPr>
      </w:pPr>
      <w:r>
        <w:rPr>
          <w:color w:val="auto"/>
          <w:highlight w:val="none"/>
          <w:shd w:val="clear" w:color="auto" w:fill="auto"/>
        </w:rPr>
        <w:t>2.1.2落实政府采购政策需满足的资格要求</w:t>
      </w:r>
      <w:r>
        <w:rPr>
          <w:rFonts w:hint="eastAsia"/>
          <w:color w:val="auto"/>
          <w:highlight w:val="none"/>
          <w:shd w:val="clear" w:color="auto" w:fill="auto"/>
        </w:rPr>
        <w:t>（如果有）；</w:t>
      </w:r>
    </w:p>
    <w:p>
      <w:pPr>
        <w:rPr>
          <w:color w:val="auto"/>
          <w:highlight w:val="none"/>
          <w:shd w:val="clear" w:color="auto" w:fill="auto"/>
        </w:rPr>
      </w:pPr>
      <w:r>
        <w:rPr>
          <w:color w:val="auto"/>
          <w:highlight w:val="none"/>
          <w:shd w:val="clear" w:color="auto" w:fill="auto"/>
        </w:rPr>
        <w:t>2.1.3本项目的特定资格要求</w:t>
      </w:r>
      <w:r>
        <w:rPr>
          <w:rFonts w:hint="eastAsia"/>
          <w:color w:val="auto"/>
          <w:highlight w:val="none"/>
          <w:shd w:val="clear" w:color="auto" w:fill="auto"/>
        </w:rPr>
        <w:t>（如果有）。</w:t>
      </w:r>
    </w:p>
    <w:p>
      <w:pPr>
        <w:rPr>
          <w:color w:val="auto"/>
          <w:highlight w:val="none"/>
          <w:shd w:val="clear" w:color="auto" w:fill="auto"/>
          <w:lang w:val="zh-CN"/>
        </w:rPr>
      </w:pPr>
      <w:r>
        <w:rPr>
          <w:color w:val="auto"/>
          <w:highlight w:val="none"/>
          <w:shd w:val="clear" w:color="auto" w:fill="auto"/>
        </w:rPr>
        <w:t>2</w:t>
      </w:r>
      <w:r>
        <w:rPr>
          <w:color w:val="auto"/>
          <w:highlight w:val="none"/>
          <w:shd w:val="clear" w:color="auto" w:fill="auto"/>
          <w:lang w:val="zh-CN"/>
        </w:rPr>
        <w:t>.</w:t>
      </w:r>
      <w:r>
        <w:rPr>
          <w:color w:val="auto"/>
          <w:highlight w:val="none"/>
          <w:shd w:val="clear" w:color="auto" w:fill="auto"/>
        </w:rPr>
        <w:t>2</w:t>
      </w:r>
      <w:r>
        <w:rPr>
          <w:color w:val="auto"/>
          <w:highlight w:val="none"/>
          <w:shd w:val="clear" w:color="auto" w:fill="auto"/>
          <w:lang w:val="zh-CN"/>
        </w:rPr>
        <w:t xml:space="preserve"> </w:t>
      </w:r>
      <w:r>
        <w:rPr>
          <w:rFonts w:hint="eastAsia"/>
          <w:color w:val="auto"/>
          <w:highlight w:val="none"/>
          <w:shd w:val="clear" w:color="auto" w:fill="auto"/>
        </w:rPr>
        <w:t>商务技术</w:t>
      </w:r>
      <w:r>
        <w:rPr>
          <w:rFonts w:hint="eastAsia"/>
          <w:color w:val="auto"/>
          <w:highlight w:val="none"/>
          <w:shd w:val="clear" w:color="auto" w:fill="auto"/>
          <w:lang w:val="zh-CN"/>
        </w:rPr>
        <w:t>文件：</w:t>
      </w:r>
    </w:p>
    <w:p>
      <w:pPr>
        <w:rPr>
          <w:color w:val="auto"/>
          <w:highlight w:val="none"/>
          <w:shd w:val="clear" w:color="auto" w:fill="auto"/>
        </w:rPr>
      </w:pPr>
      <w:r>
        <w:rPr>
          <w:color w:val="auto"/>
          <w:highlight w:val="none"/>
          <w:shd w:val="clear" w:color="auto" w:fill="auto"/>
        </w:rPr>
        <w:t>2.2.1投标函；</w:t>
      </w:r>
      <w:r>
        <w:rPr>
          <w:color w:val="auto"/>
          <w:highlight w:val="none"/>
          <w:shd w:val="clear" w:color="auto" w:fill="auto"/>
          <w:lang w:val="zh-CN"/>
        </w:rPr>
        <w:t xml:space="preserve"> </w:t>
      </w:r>
    </w:p>
    <w:p>
      <w:pPr>
        <w:rPr>
          <w:color w:val="auto"/>
          <w:highlight w:val="none"/>
          <w:shd w:val="clear" w:color="auto" w:fill="auto"/>
        </w:rPr>
      </w:pPr>
      <w:r>
        <w:rPr>
          <w:color w:val="auto"/>
          <w:highlight w:val="none"/>
          <w:shd w:val="clear" w:color="auto" w:fill="auto"/>
        </w:rPr>
        <w:t>2.2.2授权委托书或法定代表人（单位负责人）身份证明；</w:t>
      </w:r>
    </w:p>
    <w:p>
      <w:pPr>
        <w:rPr>
          <w:color w:val="auto"/>
          <w:highlight w:val="none"/>
          <w:shd w:val="clear" w:color="auto" w:fill="auto"/>
        </w:rPr>
      </w:pPr>
      <w:r>
        <w:rPr>
          <w:color w:val="auto"/>
          <w:highlight w:val="none"/>
          <w:shd w:val="clear" w:color="auto" w:fill="auto"/>
        </w:rPr>
        <w:t>2.2.3联合协议</w:t>
      </w:r>
      <w:r>
        <w:rPr>
          <w:rFonts w:hint="eastAsia"/>
          <w:color w:val="auto"/>
          <w:highlight w:val="none"/>
          <w:shd w:val="clear" w:color="auto" w:fill="auto"/>
        </w:rPr>
        <w:t>（如果有）；</w:t>
      </w:r>
    </w:p>
    <w:p>
      <w:pPr>
        <w:rPr>
          <w:color w:val="auto"/>
          <w:highlight w:val="none"/>
          <w:shd w:val="clear" w:color="auto" w:fill="auto"/>
        </w:rPr>
      </w:pPr>
      <w:r>
        <w:rPr>
          <w:color w:val="auto"/>
          <w:highlight w:val="none"/>
          <w:shd w:val="clear" w:color="auto" w:fill="auto"/>
        </w:rPr>
        <w:t>2.2.4分包意向协议</w:t>
      </w:r>
      <w:r>
        <w:rPr>
          <w:rFonts w:hint="eastAsia"/>
          <w:color w:val="auto"/>
          <w:highlight w:val="none"/>
          <w:shd w:val="clear" w:color="auto" w:fill="auto"/>
        </w:rPr>
        <w:t>（如果有）；</w:t>
      </w:r>
    </w:p>
    <w:p>
      <w:pPr>
        <w:rPr>
          <w:color w:val="auto"/>
          <w:highlight w:val="none"/>
          <w:shd w:val="clear" w:color="auto" w:fill="auto"/>
        </w:rPr>
      </w:pPr>
      <w:r>
        <w:rPr>
          <w:color w:val="auto"/>
          <w:highlight w:val="none"/>
          <w:shd w:val="clear" w:color="auto" w:fill="auto"/>
        </w:rPr>
        <w:t>2.2.5符合性审查资料；</w:t>
      </w:r>
    </w:p>
    <w:p>
      <w:pPr>
        <w:rPr>
          <w:color w:val="auto"/>
          <w:highlight w:val="none"/>
          <w:shd w:val="clear" w:color="auto" w:fill="auto"/>
        </w:rPr>
      </w:pPr>
      <w:r>
        <w:rPr>
          <w:color w:val="auto"/>
          <w:highlight w:val="none"/>
          <w:shd w:val="clear" w:color="auto" w:fill="auto"/>
        </w:rPr>
        <w:t>2.2.6评标标准相应的商务技术资料；</w:t>
      </w:r>
    </w:p>
    <w:p>
      <w:pPr>
        <w:rPr>
          <w:color w:val="auto"/>
          <w:highlight w:val="none"/>
          <w:shd w:val="clear" w:color="auto" w:fill="auto"/>
        </w:rPr>
      </w:pPr>
      <w:r>
        <w:rPr>
          <w:rFonts w:hint="eastAsia"/>
          <w:color w:val="auto"/>
          <w:highlight w:val="none"/>
          <w:shd w:val="clear" w:color="auto" w:fill="auto"/>
        </w:rPr>
        <w:t>2.2.7投标标的清单；</w:t>
      </w:r>
    </w:p>
    <w:p>
      <w:pPr>
        <w:rPr>
          <w:color w:val="auto"/>
          <w:highlight w:val="none"/>
          <w:shd w:val="clear" w:color="auto" w:fill="auto"/>
        </w:rPr>
      </w:pPr>
      <w:r>
        <w:rPr>
          <w:color w:val="auto"/>
          <w:highlight w:val="none"/>
          <w:shd w:val="clear" w:color="auto" w:fill="auto"/>
        </w:rPr>
        <w:t>2.2.</w:t>
      </w:r>
      <w:r>
        <w:rPr>
          <w:rFonts w:hint="eastAsia"/>
          <w:color w:val="auto"/>
          <w:highlight w:val="none"/>
          <w:shd w:val="clear" w:color="auto" w:fill="auto"/>
        </w:rPr>
        <w:t>8</w:t>
      </w:r>
      <w:r>
        <w:rPr>
          <w:color w:val="auto"/>
          <w:highlight w:val="none"/>
          <w:shd w:val="clear" w:color="auto" w:fill="auto"/>
        </w:rPr>
        <w:t>商务技术偏离表；</w:t>
      </w:r>
    </w:p>
    <w:p>
      <w:pPr>
        <w:rPr>
          <w:color w:val="auto"/>
          <w:highlight w:val="none"/>
          <w:shd w:val="clear" w:color="auto" w:fill="auto"/>
          <w:lang w:val="zh-CN"/>
        </w:rPr>
      </w:pPr>
      <w:r>
        <w:rPr>
          <w:color w:val="auto"/>
          <w:highlight w:val="none"/>
          <w:shd w:val="clear" w:color="auto" w:fill="auto"/>
        </w:rPr>
        <w:t>2</w:t>
      </w:r>
      <w:r>
        <w:rPr>
          <w:color w:val="auto"/>
          <w:highlight w:val="none"/>
          <w:shd w:val="clear" w:color="auto" w:fill="auto"/>
          <w:lang w:val="zh-CN"/>
        </w:rPr>
        <w:t>.</w:t>
      </w:r>
      <w:r>
        <w:rPr>
          <w:color w:val="auto"/>
          <w:highlight w:val="none"/>
          <w:shd w:val="clear" w:color="auto" w:fill="auto"/>
        </w:rPr>
        <w:t>2</w:t>
      </w:r>
      <w:r>
        <w:rPr>
          <w:color w:val="auto"/>
          <w:highlight w:val="none"/>
          <w:shd w:val="clear" w:color="auto" w:fill="auto"/>
          <w:lang w:val="zh-CN"/>
        </w:rPr>
        <w:t>.</w:t>
      </w:r>
      <w:r>
        <w:rPr>
          <w:rFonts w:hint="eastAsia"/>
          <w:color w:val="auto"/>
          <w:highlight w:val="none"/>
          <w:shd w:val="clear" w:color="auto" w:fill="auto"/>
        </w:rPr>
        <w:t>9</w:t>
      </w:r>
      <w:r>
        <w:rPr>
          <w:rFonts w:hint="eastAsia"/>
          <w:color w:val="auto"/>
          <w:highlight w:val="none"/>
          <w:shd w:val="clear" w:color="auto" w:fill="auto"/>
          <w:lang w:val="zh-CN"/>
        </w:rPr>
        <w:t>政府采购供应商廉洁自律承诺书；</w:t>
      </w:r>
    </w:p>
    <w:p>
      <w:pPr>
        <w:rPr>
          <w:color w:val="auto"/>
          <w:highlight w:val="none"/>
          <w:shd w:val="clear" w:color="auto" w:fill="auto"/>
        </w:rPr>
      </w:pPr>
      <w:r>
        <w:rPr>
          <w:color w:val="auto"/>
          <w:highlight w:val="none"/>
          <w:shd w:val="clear" w:color="auto" w:fill="auto"/>
        </w:rPr>
        <w:t>2</w:t>
      </w:r>
      <w:r>
        <w:rPr>
          <w:color w:val="auto"/>
          <w:highlight w:val="none"/>
          <w:shd w:val="clear" w:color="auto" w:fill="auto"/>
          <w:lang w:val="zh-CN"/>
        </w:rPr>
        <w:t>.</w:t>
      </w:r>
      <w:r>
        <w:rPr>
          <w:color w:val="auto"/>
          <w:highlight w:val="none"/>
          <w:shd w:val="clear" w:color="auto" w:fill="auto"/>
        </w:rPr>
        <w:t>3报价文件</w:t>
      </w:r>
    </w:p>
    <w:p>
      <w:pPr>
        <w:rPr>
          <w:color w:val="auto"/>
          <w:highlight w:val="none"/>
          <w:shd w:val="clear" w:color="auto" w:fill="auto"/>
        </w:rPr>
      </w:pPr>
      <w:r>
        <w:rPr>
          <w:color w:val="auto"/>
          <w:highlight w:val="none"/>
          <w:shd w:val="clear" w:color="auto" w:fill="auto"/>
        </w:rPr>
        <w:t>2.3.1开标一览表（报价表）；</w:t>
      </w:r>
    </w:p>
    <w:p>
      <w:pPr>
        <w:rPr>
          <w:color w:val="auto"/>
          <w:highlight w:val="none"/>
          <w:shd w:val="clear" w:color="auto" w:fill="auto"/>
        </w:rPr>
      </w:pPr>
      <w:r>
        <w:rPr>
          <w:color w:val="auto"/>
          <w:highlight w:val="none"/>
          <w:shd w:val="clear" w:color="auto" w:fill="auto"/>
        </w:rPr>
        <w:t>2.3.2中小企业声明函</w:t>
      </w:r>
      <w:r>
        <w:rPr>
          <w:rFonts w:hint="eastAsia"/>
          <w:color w:val="auto"/>
          <w:highlight w:val="none"/>
          <w:shd w:val="clear" w:color="auto" w:fill="auto"/>
        </w:rPr>
        <w:t>（如果有）。</w:t>
      </w:r>
    </w:p>
    <w:p>
      <w:pPr>
        <w:rPr>
          <w:color w:val="auto"/>
          <w:highlight w:val="none"/>
          <w:shd w:val="clear" w:color="auto" w:fill="auto"/>
        </w:rPr>
      </w:pPr>
      <w:r>
        <w:rPr>
          <w:color w:val="auto"/>
          <w:highlight w:val="none"/>
          <w:shd w:val="clear" w:color="auto" w:fill="auto"/>
        </w:rPr>
        <w:t>3、我方承诺除商务技术偏离表列出的偏离外，我方响应招标文件的全部要求。</w:t>
      </w:r>
    </w:p>
    <w:p>
      <w:pPr>
        <w:rPr>
          <w:color w:val="auto"/>
          <w:highlight w:val="none"/>
          <w:shd w:val="clear" w:color="auto" w:fill="auto"/>
        </w:rPr>
      </w:pPr>
      <w:r>
        <w:rPr>
          <w:color w:val="auto"/>
          <w:highlight w:val="none"/>
          <w:shd w:val="clear" w:color="auto" w:fill="auto"/>
        </w:rPr>
        <w:t>4、如我方中标，我方承诺：</w:t>
      </w:r>
    </w:p>
    <w:p>
      <w:pPr>
        <w:rPr>
          <w:color w:val="auto"/>
          <w:highlight w:val="none"/>
          <w:shd w:val="clear" w:color="auto" w:fill="auto"/>
        </w:rPr>
      </w:pPr>
      <w:r>
        <w:rPr>
          <w:color w:val="auto"/>
          <w:highlight w:val="none"/>
          <w:shd w:val="clear" w:color="auto" w:fill="auto"/>
        </w:rPr>
        <w:t xml:space="preserve">4.1在收到中标通知书后，在中标通知书规定的期限内与你方签订合同； </w:t>
      </w:r>
    </w:p>
    <w:p>
      <w:pPr>
        <w:rPr>
          <w:color w:val="auto"/>
          <w:highlight w:val="none"/>
          <w:shd w:val="clear" w:color="auto" w:fill="auto"/>
        </w:rPr>
      </w:pPr>
      <w:r>
        <w:rPr>
          <w:color w:val="auto"/>
          <w:highlight w:val="none"/>
          <w:shd w:val="clear" w:color="auto" w:fill="auto"/>
        </w:rPr>
        <w:t xml:space="preserve">4.2在签订合同时不向你方提出附加条件； </w:t>
      </w:r>
    </w:p>
    <w:p>
      <w:pPr>
        <w:rPr>
          <w:color w:val="auto"/>
          <w:highlight w:val="none"/>
          <w:shd w:val="clear" w:color="auto" w:fill="auto"/>
        </w:rPr>
      </w:pPr>
      <w:r>
        <w:rPr>
          <w:color w:val="auto"/>
          <w:highlight w:val="none"/>
          <w:shd w:val="clear" w:color="auto" w:fill="auto"/>
        </w:rPr>
        <w:t xml:space="preserve">4.3按照招标文件要求提交履约保证金； </w:t>
      </w:r>
    </w:p>
    <w:p>
      <w:pPr>
        <w:rPr>
          <w:color w:val="auto"/>
          <w:highlight w:val="none"/>
          <w:shd w:val="clear" w:color="auto" w:fill="auto"/>
        </w:rPr>
      </w:pPr>
      <w:r>
        <w:rPr>
          <w:color w:val="auto"/>
          <w:highlight w:val="none"/>
          <w:shd w:val="clear" w:color="auto" w:fill="auto"/>
        </w:rPr>
        <w:t xml:space="preserve">4.4在合同约定的期限内完成合同规定的全部义务。 </w:t>
      </w:r>
    </w:p>
    <w:p>
      <w:pPr>
        <w:rPr>
          <w:color w:val="auto"/>
          <w:highlight w:val="none"/>
          <w:shd w:val="clear" w:color="auto" w:fill="auto"/>
        </w:rPr>
      </w:pPr>
      <w:r>
        <w:rPr>
          <w:color w:val="auto"/>
          <w:highlight w:val="none"/>
          <w:shd w:val="clear" w:color="auto" w:fill="auto"/>
        </w:rPr>
        <w:t>5、其他补充说明:</w:t>
      </w:r>
      <w:r>
        <w:rPr>
          <w:color w:val="auto"/>
          <w:highlight w:val="none"/>
          <w:u w:val="single"/>
          <w:shd w:val="clear" w:color="auto" w:fill="auto"/>
        </w:rPr>
        <w:t xml:space="preserve">                                        </w:t>
      </w:r>
      <w:r>
        <w:rPr>
          <w:rFonts w:hint="eastAsia"/>
          <w:color w:val="auto"/>
          <w:highlight w:val="none"/>
          <w:shd w:val="clear" w:color="auto" w:fill="auto"/>
        </w:rPr>
        <w:t>。</w:t>
      </w:r>
    </w:p>
    <w:p>
      <w:pPr>
        <w:rPr>
          <w:color w:val="auto"/>
          <w:highlight w:val="none"/>
          <w:shd w:val="clear" w:color="auto" w:fill="auto"/>
        </w:rPr>
      </w:pPr>
      <w:r>
        <w:rPr>
          <w:rFonts w:hint="eastAsia"/>
          <w:color w:val="auto"/>
          <w:highlight w:val="none"/>
          <w:shd w:val="clear" w:color="auto" w:fill="auto"/>
        </w:rPr>
        <w:t>投标人名称（电子签名）：</w:t>
      </w:r>
      <w:r>
        <w:rPr>
          <w:color w:val="auto"/>
          <w:highlight w:val="none"/>
          <w:shd w:val="clear" w:color="auto" w:fill="auto"/>
        </w:rPr>
        <w:t xml:space="preserve">                          </w:t>
      </w:r>
    </w:p>
    <w:p>
      <w:pPr>
        <w:rPr>
          <w:color w:val="auto"/>
          <w:highlight w:val="none"/>
          <w:shd w:val="clear" w:color="auto" w:fill="auto"/>
        </w:rPr>
      </w:pPr>
      <w:r>
        <w:rPr>
          <w:color w:val="auto"/>
          <w:highlight w:val="none"/>
          <w:shd w:val="clear" w:color="auto" w:fill="auto"/>
        </w:rPr>
        <w:t xml:space="preserve">     日期：  年   月   日</w:t>
      </w:r>
    </w:p>
    <w:p>
      <w:pPr>
        <w:rPr>
          <w:color w:val="auto"/>
          <w:highlight w:val="none"/>
          <w:u w:val="single"/>
          <w:shd w:val="clear" w:color="auto" w:fill="auto"/>
        </w:rPr>
      </w:pPr>
    </w:p>
    <w:p>
      <w:pPr>
        <w:rPr>
          <w:color w:val="auto"/>
          <w:highlight w:val="none"/>
          <w:shd w:val="clear" w:color="auto" w:fill="auto"/>
        </w:rPr>
      </w:pPr>
      <w:r>
        <w:rPr>
          <w:color w:val="auto"/>
          <w:highlight w:val="none"/>
          <w:shd w:val="clear" w:color="auto" w:fill="auto"/>
        </w:rPr>
        <w:t>注：</w:t>
      </w:r>
      <w:r>
        <w:rPr>
          <w:rFonts w:hint="eastAsia"/>
          <w:color w:val="auto"/>
          <w:highlight w:val="none"/>
          <w:shd w:val="clear" w:color="auto" w:fill="auto"/>
        </w:rPr>
        <w:t>按本格式和要求提供。</w:t>
      </w:r>
    </w:p>
    <w:p>
      <w:pPr>
        <w:spacing w:line="276" w:lineRule="auto"/>
        <w:rPr>
          <w:color w:val="auto"/>
          <w:highlight w:val="none"/>
          <w:shd w:val="clear" w:color="auto" w:fill="auto"/>
        </w:rPr>
      </w:pPr>
      <w:r>
        <w:rPr>
          <w:color w:val="auto"/>
          <w:highlight w:val="none"/>
          <w:shd w:val="clear" w:color="auto" w:fill="auto"/>
        </w:rPr>
        <w:br w:type="page"/>
      </w:r>
    </w:p>
    <w:p>
      <w:pPr>
        <w:pStyle w:val="3"/>
        <w:rPr>
          <w:color w:val="auto"/>
          <w:highlight w:val="none"/>
          <w:shd w:val="clear" w:color="auto" w:fill="auto"/>
          <w:lang w:val="zh-CN"/>
        </w:rPr>
      </w:pPr>
      <w:r>
        <w:rPr>
          <w:rFonts w:hint="eastAsia"/>
          <w:color w:val="auto"/>
          <w:highlight w:val="none"/>
          <w:shd w:val="clear" w:color="auto" w:fill="auto"/>
          <w:lang w:val="zh-CN"/>
        </w:rPr>
        <w:t>二、授权委托书或法定代表人（单位负责人、自然人本人）身份证明</w:t>
      </w:r>
    </w:p>
    <w:p>
      <w:pPr>
        <w:snapToGrid w:val="0"/>
        <w:spacing w:line="360" w:lineRule="auto"/>
        <w:rPr>
          <w:rFonts w:ascii="仿宋_GB2312" w:eastAsia="仿宋_GB2312" w:cs="仿宋_GB2312"/>
          <w:color w:val="auto"/>
          <w:highlight w:val="none"/>
          <w:shd w:val="clear" w:color="auto" w:fill="auto"/>
        </w:rPr>
      </w:pPr>
      <w:r>
        <w:rPr>
          <w:rFonts w:ascii="仿宋_GB2312" w:eastAsia="仿宋_GB2312" w:cs="仿宋_GB2312"/>
          <w:color w:val="auto"/>
          <w:highlight w:val="none"/>
          <w:shd w:val="clear" w:color="auto" w:fill="auto"/>
        </w:rPr>
        <w:t xml:space="preserve">                                </w:t>
      </w:r>
    </w:p>
    <w:p>
      <w:pPr>
        <w:snapToGrid w:val="0"/>
        <w:spacing w:line="360" w:lineRule="auto"/>
        <w:jc w:val="center"/>
        <w:rPr>
          <w:color w:val="auto"/>
          <w:highlight w:val="none"/>
          <w:shd w:val="clear" w:color="auto" w:fill="auto"/>
        </w:rPr>
      </w:pPr>
      <w:r>
        <w:rPr>
          <w:rFonts w:hint="eastAsia" w:ascii="仿宋_GB2312" w:eastAsia="仿宋_GB2312" w:cs="仿宋_GB2312"/>
          <w:b/>
          <w:color w:val="auto"/>
          <w:sz w:val="32"/>
          <w:szCs w:val="32"/>
          <w:highlight w:val="none"/>
          <w:shd w:val="clear" w:color="auto" w:fill="auto"/>
          <w:lang w:val="zh-CN"/>
        </w:rPr>
        <w:t>授权委托书（适用于非联合体投标）</w:t>
      </w:r>
    </w:p>
    <w:p>
      <w:pPr>
        <w:rPr>
          <w:color w:val="auto"/>
          <w:highlight w:val="none"/>
          <w:shd w:val="clear" w:color="auto" w:fill="auto"/>
        </w:rPr>
      </w:pPr>
      <w:r>
        <w:rPr>
          <w:rFonts w:hint="eastAsia"/>
          <w:color w:val="auto"/>
          <w:highlight w:val="none"/>
          <w:shd w:val="clear" w:color="auto" w:fill="auto"/>
        </w:rPr>
        <w:t>（采购人）、（采购代理机构）</w:t>
      </w:r>
      <w:r>
        <w:rPr>
          <w:rFonts w:hint="eastAsia"/>
          <w:color w:val="auto"/>
          <w:highlight w:val="none"/>
          <w:shd w:val="clear" w:color="auto" w:fill="auto"/>
          <w:lang w:val="zh-CN"/>
        </w:rPr>
        <w:t>：</w:t>
      </w:r>
    </w:p>
    <w:p>
      <w:pPr>
        <w:rPr>
          <w:color w:val="auto"/>
          <w:highlight w:val="none"/>
          <w:shd w:val="clear" w:color="auto" w:fill="auto"/>
        </w:rPr>
      </w:pPr>
      <w:r>
        <w:rPr>
          <w:rFonts w:hint="eastAsia"/>
          <w:color w:val="auto"/>
          <w:highlight w:val="none"/>
          <w:shd w:val="clear" w:color="auto" w:fill="auto"/>
        </w:rPr>
        <w:t>现</w:t>
      </w:r>
      <w:r>
        <w:rPr>
          <w:rFonts w:hint="eastAsia"/>
          <w:color w:val="auto"/>
          <w:highlight w:val="none"/>
          <w:shd w:val="clear" w:color="auto" w:fill="auto"/>
          <w:lang w:val="zh-CN"/>
        </w:rPr>
        <w:t>委托</w:t>
      </w:r>
      <w:r>
        <w:rPr>
          <w:color w:val="auto"/>
          <w:highlight w:val="none"/>
          <w:u w:val="single"/>
          <w:shd w:val="clear" w:color="auto" w:fill="auto"/>
          <w:lang w:val="zh-CN"/>
        </w:rPr>
        <w:t xml:space="preserve">          </w:t>
      </w:r>
      <w:r>
        <w:rPr>
          <w:rFonts w:hint="eastAsia"/>
          <w:color w:val="auto"/>
          <w:highlight w:val="none"/>
          <w:shd w:val="clear" w:color="auto" w:fill="auto"/>
          <w:lang w:val="zh-CN"/>
        </w:rPr>
        <w:t>（姓名）为我方代理人（身份证号码：</w:t>
      </w:r>
      <w:r>
        <w:rPr>
          <w:color w:val="auto"/>
          <w:highlight w:val="none"/>
          <w:u w:val="single"/>
          <w:shd w:val="clear" w:color="auto" w:fill="auto"/>
          <w:lang w:val="zh-CN"/>
        </w:rPr>
        <w:t xml:space="preserve">          </w:t>
      </w:r>
      <w:r>
        <w:rPr>
          <w:rFonts w:hint="eastAsia"/>
          <w:color w:val="auto"/>
          <w:highlight w:val="none"/>
          <w:shd w:val="clear" w:color="auto" w:fill="auto"/>
          <w:lang w:val="zh-CN"/>
        </w:rPr>
        <w:t>，手机：</w:t>
      </w:r>
      <w:r>
        <w:rPr>
          <w:color w:val="auto"/>
          <w:highlight w:val="none"/>
          <w:u w:val="single"/>
          <w:shd w:val="clear" w:color="auto" w:fill="auto"/>
          <w:lang w:val="zh-CN"/>
        </w:rPr>
        <w:t xml:space="preserve">          </w:t>
      </w:r>
      <w:r>
        <w:rPr>
          <w:rFonts w:hint="eastAsia"/>
          <w:color w:val="auto"/>
          <w:highlight w:val="none"/>
          <w:shd w:val="clear" w:color="auto" w:fill="auto"/>
          <w:lang w:val="zh-CN"/>
        </w:rPr>
        <w:t>），以我方名义处理</w:t>
      </w:r>
      <w:r>
        <w:rPr>
          <w:rFonts w:hint="eastAsia"/>
          <w:color w:val="auto"/>
          <w:highlight w:val="none"/>
          <w:shd w:val="clear" w:color="auto" w:fill="auto"/>
        </w:rPr>
        <w:t>（项目名称）【招标编号：（采购编号）】</w:t>
      </w:r>
      <w:r>
        <w:rPr>
          <w:rFonts w:hint="eastAsia"/>
          <w:color w:val="auto"/>
          <w:highlight w:val="none"/>
          <w:shd w:val="clear" w:color="auto" w:fill="auto"/>
          <w:lang w:val="zh-CN"/>
        </w:rPr>
        <w:t>政府采购投标的一切事项，其法律后果由我方承担。</w:t>
      </w:r>
    </w:p>
    <w:p>
      <w:pPr>
        <w:rPr>
          <w:color w:val="auto"/>
          <w:highlight w:val="none"/>
          <w:shd w:val="clear" w:color="auto" w:fill="auto"/>
        </w:rPr>
      </w:pPr>
      <w:r>
        <w:rPr>
          <w:color w:val="auto"/>
          <w:highlight w:val="none"/>
          <w:shd w:val="clear" w:color="auto" w:fill="auto"/>
        </w:rPr>
        <w:t xml:space="preserve">    </w:t>
      </w:r>
      <w:r>
        <w:rPr>
          <w:rFonts w:hint="eastAsia"/>
          <w:color w:val="auto"/>
          <w:highlight w:val="none"/>
          <w:shd w:val="clear" w:color="auto" w:fill="auto"/>
          <w:lang w:val="zh-CN"/>
        </w:rPr>
        <w:t>委托期限</w:t>
      </w:r>
      <w:r>
        <w:rPr>
          <w:rFonts w:hint="eastAsia"/>
          <w:color w:val="auto"/>
          <w:highlight w:val="none"/>
          <w:shd w:val="clear" w:color="auto" w:fill="auto"/>
        </w:rPr>
        <w:t>：</w:t>
      </w:r>
      <w:r>
        <w:rPr>
          <w:rFonts w:hint="eastAsia"/>
          <w:color w:val="auto"/>
          <w:highlight w:val="none"/>
          <w:shd w:val="clear" w:color="auto" w:fill="auto"/>
          <w:lang w:val="zh-CN"/>
        </w:rPr>
        <w:t>自</w:t>
      </w:r>
      <w:r>
        <w:rPr>
          <w:color w:val="auto"/>
          <w:highlight w:val="none"/>
          <w:shd w:val="clear" w:color="auto" w:fill="auto"/>
        </w:rPr>
        <w:t xml:space="preserve">   </w:t>
      </w:r>
      <w:r>
        <w:rPr>
          <w:rFonts w:hint="eastAsia"/>
          <w:color w:val="auto"/>
          <w:highlight w:val="none"/>
          <w:shd w:val="clear" w:color="auto" w:fill="auto"/>
          <w:lang w:val="zh-CN"/>
        </w:rPr>
        <w:t>年</w:t>
      </w:r>
      <w:r>
        <w:rPr>
          <w:color w:val="auto"/>
          <w:highlight w:val="none"/>
          <w:shd w:val="clear" w:color="auto" w:fill="auto"/>
        </w:rPr>
        <w:t xml:space="preserve"> </w:t>
      </w:r>
      <w:r>
        <w:rPr>
          <w:rFonts w:hint="eastAsia"/>
          <w:color w:val="auto"/>
          <w:highlight w:val="none"/>
          <w:shd w:val="clear" w:color="auto" w:fill="auto"/>
          <w:lang w:val="zh-CN"/>
        </w:rPr>
        <w:t>月</w:t>
      </w:r>
      <w:r>
        <w:rPr>
          <w:color w:val="auto"/>
          <w:highlight w:val="none"/>
          <w:shd w:val="clear" w:color="auto" w:fill="auto"/>
        </w:rPr>
        <w:t xml:space="preserve">  </w:t>
      </w:r>
      <w:r>
        <w:rPr>
          <w:rFonts w:hint="eastAsia"/>
          <w:color w:val="auto"/>
          <w:highlight w:val="none"/>
          <w:shd w:val="clear" w:color="auto" w:fill="auto"/>
          <w:lang w:val="zh-CN"/>
        </w:rPr>
        <w:t>日起至</w:t>
      </w:r>
      <w:r>
        <w:rPr>
          <w:color w:val="auto"/>
          <w:highlight w:val="none"/>
          <w:shd w:val="clear" w:color="auto" w:fill="auto"/>
        </w:rPr>
        <w:t xml:space="preserve">  </w:t>
      </w:r>
      <w:r>
        <w:rPr>
          <w:rFonts w:hint="eastAsia"/>
          <w:color w:val="auto"/>
          <w:highlight w:val="none"/>
          <w:shd w:val="clear" w:color="auto" w:fill="auto"/>
          <w:lang w:val="zh-CN"/>
        </w:rPr>
        <w:t>年</w:t>
      </w:r>
      <w:r>
        <w:rPr>
          <w:color w:val="auto"/>
          <w:highlight w:val="none"/>
          <w:shd w:val="clear" w:color="auto" w:fill="auto"/>
        </w:rPr>
        <w:t xml:space="preserve">  </w:t>
      </w:r>
      <w:r>
        <w:rPr>
          <w:rFonts w:hint="eastAsia"/>
          <w:color w:val="auto"/>
          <w:highlight w:val="none"/>
          <w:shd w:val="clear" w:color="auto" w:fill="auto"/>
          <w:lang w:val="zh-CN"/>
        </w:rPr>
        <w:t>月</w:t>
      </w:r>
      <w:r>
        <w:rPr>
          <w:color w:val="auto"/>
          <w:highlight w:val="none"/>
          <w:shd w:val="clear" w:color="auto" w:fill="auto"/>
        </w:rPr>
        <w:t xml:space="preserve">  </w:t>
      </w:r>
      <w:r>
        <w:rPr>
          <w:rFonts w:hint="eastAsia"/>
          <w:color w:val="auto"/>
          <w:highlight w:val="none"/>
          <w:shd w:val="clear" w:color="auto" w:fill="auto"/>
          <w:lang w:val="zh-CN"/>
        </w:rPr>
        <w:t>日止。</w:t>
      </w:r>
    </w:p>
    <w:p>
      <w:pPr>
        <w:rPr>
          <w:color w:val="auto"/>
          <w:highlight w:val="none"/>
          <w:shd w:val="clear" w:color="auto" w:fill="auto"/>
        </w:rPr>
      </w:pPr>
      <w:r>
        <w:rPr>
          <w:color w:val="auto"/>
          <w:highlight w:val="none"/>
          <w:shd w:val="clear" w:color="auto" w:fill="auto"/>
        </w:rPr>
        <w:t xml:space="preserve">    </w:t>
      </w:r>
      <w:r>
        <w:rPr>
          <w:rFonts w:hint="eastAsia"/>
          <w:color w:val="auto"/>
          <w:highlight w:val="none"/>
          <w:shd w:val="clear" w:color="auto" w:fill="auto"/>
          <w:lang w:val="zh-CN"/>
        </w:rPr>
        <w:t>特此告知。</w:t>
      </w:r>
    </w:p>
    <w:p>
      <w:pPr>
        <w:rPr>
          <w:color w:val="auto"/>
          <w:highlight w:val="none"/>
          <w:shd w:val="clear" w:color="auto" w:fill="auto"/>
        </w:rPr>
      </w:pPr>
      <w:r>
        <w:rPr>
          <w:color w:val="auto"/>
          <w:highlight w:val="none"/>
          <w:shd w:val="clear" w:color="auto" w:fill="auto"/>
          <w:lang w:val="zh-CN"/>
        </w:rPr>
        <w:t xml:space="preserve">                                                 投标人名称(电子签名)：</w:t>
      </w:r>
    </w:p>
    <w:p>
      <w:pPr>
        <w:rPr>
          <w:color w:val="auto"/>
          <w:highlight w:val="none"/>
          <w:shd w:val="clear" w:color="auto" w:fill="auto"/>
          <w:lang w:val="zh-CN"/>
        </w:rPr>
      </w:pPr>
      <w:r>
        <w:rPr>
          <w:color w:val="auto"/>
          <w:highlight w:val="none"/>
          <w:shd w:val="clear" w:color="auto" w:fill="auto"/>
          <w:lang w:val="zh-CN"/>
        </w:rPr>
        <w:t xml:space="preserve">                                                签发日期：  年  月   日</w:t>
      </w:r>
    </w:p>
    <w:p>
      <w:pPr>
        <w:jc w:val="center"/>
        <w:rPr>
          <w:rFonts w:ascii="仿宋_GB2312" w:eastAsia="仿宋_GB2312" w:cs="仿宋_GB2312"/>
          <w:b/>
          <w:color w:val="auto"/>
          <w:sz w:val="32"/>
          <w:szCs w:val="32"/>
          <w:highlight w:val="none"/>
          <w:shd w:val="clear" w:color="auto" w:fill="auto"/>
        </w:rPr>
      </w:pPr>
      <w:r>
        <w:rPr>
          <w:rFonts w:hint="eastAsia" w:ascii="仿宋_GB2312" w:eastAsia="仿宋_GB2312" w:cs="仿宋_GB2312"/>
          <w:b/>
          <w:color w:val="auto"/>
          <w:sz w:val="32"/>
          <w:szCs w:val="32"/>
          <w:highlight w:val="none"/>
          <w:shd w:val="clear" w:color="auto" w:fill="auto"/>
          <w:lang w:val="zh-CN"/>
        </w:rPr>
        <w:t>授权委托书（适用于联合体投标）</w:t>
      </w:r>
    </w:p>
    <w:p>
      <w:pPr>
        <w:rPr>
          <w:color w:val="auto"/>
          <w:highlight w:val="none"/>
          <w:shd w:val="clear" w:color="auto" w:fill="auto"/>
        </w:rPr>
      </w:pPr>
      <w:r>
        <w:rPr>
          <w:rFonts w:hint="eastAsia"/>
          <w:color w:val="auto"/>
          <w:highlight w:val="none"/>
          <w:shd w:val="clear" w:color="auto" w:fill="auto"/>
        </w:rPr>
        <w:t>（采购人）、（采购代理机构）</w:t>
      </w:r>
      <w:r>
        <w:rPr>
          <w:rFonts w:hint="eastAsia"/>
          <w:color w:val="auto"/>
          <w:highlight w:val="none"/>
          <w:shd w:val="clear" w:color="auto" w:fill="auto"/>
          <w:lang w:val="zh-CN"/>
        </w:rPr>
        <w:t>：</w:t>
      </w:r>
    </w:p>
    <w:p>
      <w:pPr>
        <w:rPr>
          <w:color w:val="auto"/>
          <w:highlight w:val="none"/>
          <w:shd w:val="clear" w:color="auto" w:fill="auto"/>
        </w:rPr>
      </w:pPr>
      <w:r>
        <w:rPr>
          <w:rFonts w:hint="eastAsia"/>
          <w:color w:val="auto"/>
          <w:highlight w:val="none"/>
          <w:shd w:val="clear" w:color="auto" w:fill="auto"/>
        </w:rPr>
        <w:t>现</w:t>
      </w:r>
      <w:r>
        <w:rPr>
          <w:rFonts w:hint="eastAsia"/>
          <w:color w:val="auto"/>
          <w:highlight w:val="none"/>
          <w:shd w:val="clear" w:color="auto" w:fill="auto"/>
          <w:lang w:val="zh-CN"/>
        </w:rPr>
        <w:t>委托</w:t>
      </w:r>
      <w:r>
        <w:rPr>
          <w:color w:val="auto"/>
          <w:highlight w:val="none"/>
          <w:u w:val="single"/>
          <w:shd w:val="clear" w:color="auto" w:fill="auto"/>
          <w:lang w:val="zh-CN"/>
        </w:rPr>
        <w:t xml:space="preserve">          </w:t>
      </w:r>
      <w:r>
        <w:rPr>
          <w:rFonts w:hint="eastAsia"/>
          <w:color w:val="auto"/>
          <w:highlight w:val="none"/>
          <w:shd w:val="clear" w:color="auto" w:fill="auto"/>
          <w:lang w:val="zh-CN"/>
        </w:rPr>
        <w:t>（姓名）为我方代理人（身份证号码：</w:t>
      </w:r>
      <w:r>
        <w:rPr>
          <w:color w:val="auto"/>
          <w:highlight w:val="none"/>
          <w:u w:val="single"/>
          <w:shd w:val="clear" w:color="auto" w:fill="auto"/>
          <w:lang w:val="zh-CN"/>
        </w:rPr>
        <w:t xml:space="preserve">          </w:t>
      </w:r>
      <w:r>
        <w:rPr>
          <w:rFonts w:hint="eastAsia"/>
          <w:color w:val="auto"/>
          <w:highlight w:val="none"/>
          <w:shd w:val="clear" w:color="auto" w:fill="auto"/>
          <w:lang w:val="zh-CN"/>
        </w:rPr>
        <w:t>，手机：</w:t>
      </w:r>
      <w:r>
        <w:rPr>
          <w:color w:val="auto"/>
          <w:highlight w:val="none"/>
          <w:u w:val="single"/>
          <w:shd w:val="clear" w:color="auto" w:fill="auto"/>
          <w:lang w:val="zh-CN"/>
        </w:rPr>
        <w:t xml:space="preserve">          </w:t>
      </w:r>
      <w:r>
        <w:rPr>
          <w:rFonts w:hint="eastAsia"/>
          <w:color w:val="auto"/>
          <w:highlight w:val="none"/>
          <w:shd w:val="clear" w:color="auto" w:fill="auto"/>
          <w:lang w:val="zh-CN"/>
        </w:rPr>
        <w:t>），以我方名义处理</w:t>
      </w:r>
      <w:r>
        <w:rPr>
          <w:rFonts w:hint="eastAsia"/>
          <w:color w:val="auto"/>
          <w:highlight w:val="none"/>
          <w:shd w:val="clear" w:color="auto" w:fill="auto"/>
        </w:rPr>
        <w:t>（项目名称）【招标编号：（采购编号）】</w:t>
      </w:r>
      <w:r>
        <w:rPr>
          <w:rFonts w:hint="eastAsia"/>
          <w:color w:val="auto"/>
          <w:highlight w:val="none"/>
          <w:shd w:val="clear" w:color="auto" w:fill="auto"/>
          <w:lang w:val="zh-CN"/>
        </w:rPr>
        <w:t>政府采购投标的一切事项，其法律后果由我方承担。</w:t>
      </w:r>
    </w:p>
    <w:p>
      <w:pPr>
        <w:rPr>
          <w:color w:val="auto"/>
          <w:highlight w:val="none"/>
          <w:shd w:val="clear" w:color="auto" w:fill="auto"/>
        </w:rPr>
      </w:pPr>
      <w:r>
        <w:rPr>
          <w:color w:val="auto"/>
          <w:highlight w:val="none"/>
          <w:shd w:val="clear" w:color="auto" w:fill="auto"/>
        </w:rPr>
        <w:t xml:space="preserve">    </w:t>
      </w:r>
      <w:r>
        <w:rPr>
          <w:rFonts w:hint="eastAsia"/>
          <w:color w:val="auto"/>
          <w:highlight w:val="none"/>
          <w:shd w:val="clear" w:color="auto" w:fill="auto"/>
          <w:lang w:val="zh-CN"/>
        </w:rPr>
        <w:t>委托期限</w:t>
      </w:r>
      <w:r>
        <w:rPr>
          <w:rFonts w:hint="eastAsia"/>
          <w:color w:val="auto"/>
          <w:highlight w:val="none"/>
          <w:shd w:val="clear" w:color="auto" w:fill="auto"/>
        </w:rPr>
        <w:t>：</w:t>
      </w:r>
      <w:r>
        <w:rPr>
          <w:rFonts w:hint="eastAsia"/>
          <w:color w:val="auto"/>
          <w:highlight w:val="none"/>
          <w:shd w:val="clear" w:color="auto" w:fill="auto"/>
          <w:lang w:val="zh-CN"/>
        </w:rPr>
        <w:t>自</w:t>
      </w:r>
      <w:r>
        <w:rPr>
          <w:color w:val="auto"/>
          <w:highlight w:val="none"/>
          <w:shd w:val="clear" w:color="auto" w:fill="auto"/>
        </w:rPr>
        <w:t xml:space="preserve">   </w:t>
      </w:r>
      <w:r>
        <w:rPr>
          <w:rFonts w:hint="eastAsia"/>
          <w:color w:val="auto"/>
          <w:highlight w:val="none"/>
          <w:shd w:val="clear" w:color="auto" w:fill="auto"/>
          <w:lang w:val="zh-CN"/>
        </w:rPr>
        <w:t>年</w:t>
      </w:r>
      <w:r>
        <w:rPr>
          <w:color w:val="auto"/>
          <w:highlight w:val="none"/>
          <w:shd w:val="clear" w:color="auto" w:fill="auto"/>
        </w:rPr>
        <w:t xml:space="preserve"> </w:t>
      </w:r>
      <w:r>
        <w:rPr>
          <w:rFonts w:hint="eastAsia"/>
          <w:color w:val="auto"/>
          <w:highlight w:val="none"/>
          <w:shd w:val="clear" w:color="auto" w:fill="auto"/>
          <w:lang w:val="zh-CN"/>
        </w:rPr>
        <w:t>月</w:t>
      </w:r>
      <w:r>
        <w:rPr>
          <w:color w:val="auto"/>
          <w:highlight w:val="none"/>
          <w:shd w:val="clear" w:color="auto" w:fill="auto"/>
        </w:rPr>
        <w:t xml:space="preserve">  </w:t>
      </w:r>
      <w:r>
        <w:rPr>
          <w:rFonts w:hint="eastAsia"/>
          <w:color w:val="auto"/>
          <w:highlight w:val="none"/>
          <w:shd w:val="clear" w:color="auto" w:fill="auto"/>
          <w:lang w:val="zh-CN"/>
        </w:rPr>
        <w:t>日起至</w:t>
      </w:r>
      <w:r>
        <w:rPr>
          <w:color w:val="auto"/>
          <w:highlight w:val="none"/>
          <w:shd w:val="clear" w:color="auto" w:fill="auto"/>
        </w:rPr>
        <w:t xml:space="preserve">  </w:t>
      </w:r>
      <w:r>
        <w:rPr>
          <w:rFonts w:hint="eastAsia"/>
          <w:color w:val="auto"/>
          <w:highlight w:val="none"/>
          <w:shd w:val="clear" w:color="auto" w:fill="auto"/>
          <w:lang w:val="zh-CN"/>
        </w:rPr>
        <w:t>年</w:t>
      </w:r>
      <w:r>
        <w:rPr>
          <w:color w:val="auto"/>
          <w:highlight w:val="none"/>
          <w:shd w:val="clear" w:color="auto" w:fill="auto"/>
        </w:rPr>
        <w:t xml:space="preserve">  </w:t>
      </w:r>
      <w:r>
        <w:rPr>
          <w:rFonts w:hint="eastAsia"/>
          <w:color w:val="auto"/>
          <w:highlight w:val="none"/>
          <w:shd w:val="clear" w:color="auto" w:fill="auto"/>
          <w:lang w:val="zh-CN"/>
        </w:rPr>
        <w:t>月</w:t>
      </w:r>
      <w:r>
        <w:rPr>
          <w:color w:val="auto"/>
          <w:highlight w:val="none"/>
          <w:shd w:val="clear" w:color="auto" w:fill="auto"/>
        </w:rPr>
        <w:t xml:space="preserve">  </w:t>
      </w:r>
      <w:r>
        <w:rPr>
          <w:rFonts w:hint="eastAsia"/>
          <w:color w:val="auto"/>
          <w:highlight w:val="none"/>
          <w:shd w:val="clear" w:color="auto" w:fill="auto"/>
          <w:lang w:val="zh-CN"/>
        </w:rPr>
        <w:t>日止。</w:t>
      </w:r>
    </w:p>
    <w:p>
      <w:pPr>
        <w:rPr>
          <w:color w:val="auto"/>
          <w:highlight w:val="none"/>
          <w:shd w:val="clear" w:color="auto" w:fill="auto"/>
        </w:rPr>
      </w:pPr>
      <w:r>
        <w:rPr>
          <w:color w:val="auto"/>
          <w:highlight w:val="none"/>
          <w:shd w:val="clear" w:color="auto" w:fill="auto"/>
        </w:rPr>
        <w:t xml:space="preserve">    </w:t>
      </w:r>
      <w:r>
        <w:rPr>
          <w:rFonts w:hint="eastAsia"/>
          <w:color w:val="auto"/>
          <w:highlight w:val="none"/>
          <w:shd w:val="clear" w:color="auto" w:fill="auto"/>
          <w:lang w:val="zh-CN"/>
        </w:rPr>
        <w:t>特此告知。</w:t>
      </w:r>
    </w:p>
    <w:p>
      <w:pPr>
        <w:rPr>
          <w:color w:val="auto"/>
          <w:highlight w:val="none"/>
          <w:shd w:val="clear" w:color="auto" w:fill="auto"/>
        </w:rPr>
      </w:pPr>
    </w:p>
    <w:p>
      <w:pPr>
        <w:snapToGrid w:val="0"/>
        <w:spacing w:line="360" w:lineRule="auto"/>
        <w:rPr>
          <w:rFonts w:ascii="仿宋_GB2312" w:eastAsia="仿宋_GB2312" w:cs="仿宋_GB2312"/>
          <w:color w:val="auto"/>
          <w:highlight w:val="none"/>
          <w:shd w:val="clear" w:color="auto" w:fill="auto"/>
          <w:lang w:val="zh-CN"/>
        </w:rPr>
      </w:pPr>
      <w:r>
        <w:rPr>
          <w:rFonts w:hint="eastAsia" w:ascii="仿宋_GB2312" w:eastAsia="仿宋_GB2312" w:cs="仿宋_GB2312"/>
          <w:color w:val="auto"/>
          <w:highlight w:val="none"/>
          <w:shd w:val="clear" w:color="auto" w:fill="auto"/>
          <w:lang w:val="zh-CN"/>
        </w:rPr>
        <w:t>联合体成员名称</w:t>
      </w:r>
      <w:r>
        <w:rPr>
          <w:rFonts w:ascii="仿宋_GB2312" w:eastAsia="仿宋_GB2312" w:cs="仿宋_GB2312"/>
          <w:color w:val="auto"/>
          <w:highlight w:val="none"/>
          <w:shd w:val="clear" w:color="auto" w:fill="auto"/>
          <w:lang w:val="zh-CN"/>
        </w:rPr>
        <w:t>(电子签名/公章)：</w:t>
      </w:r>
    </w:p>
    <w:p>
      <w:pPr>
        <w:snapToGrid w:val="0"/>
        <w:spacing w:line="360" w:lineRule="auto"/>
        <w:rPr>
          <w:rFonts w:ascii="仿宋_GB2312" w:eastAsia="仿宋_GB2312" w:cs="仿宋_GB2312"/>
          <w:color w:val="auto"/>
          <w:highlight w:val="none"/>
          <w:shd w:val="clear" w:color="auto" w:fill="auto"/>
          <w:lang w:val="zh-CN"/>
        </w:rPr>
      </w:pPr>
      <w:r>
        <w:rPr>
          <w:rFonts w:hint="eastAsia" w:ascii="仿宋_GB2312" w:eastAsia="仿宋_GB2312" w:cs="仿宋_GB2312"/>
          <w:color w:val="auto"/>
          <w:highlight w:val="none"/>
          <w:shd w:val="clear" w:color="auto" w:fill="auto"/>
          <w:lang w:val="zh-CN"/>
        </w:rPr>
        <w:t>联合体成员名称</w:t>
      </w:r>
      <w:r>
        <w:rPr>
          <w:rFonts w:ascii="仿宋_GB2312" w:eastAsia="仿宋_GB2312" w:cs="仿宋_GB2312"/>
          <w:color w:val="auto"/>
          <w:highlight w:val="none"/>
          <w:shd w:val="clear" w:color="auto" w:fill="auto"/>
          <w:lang w:val="zh-CN"/>
        </w:rPr>
        <w:t>(电子签名/公章)：</w:t>
      </w:r>
    </w:p>
    <w:p>
      <w:pPr>
        <w:snapToGrid w:val="0"/>
        <w:spacing w:line="360" w:lineRule="auto"/>
        <w:rPr>
          <w:rFonts w:ascii="仿宋_GB2312" w:eastAsia="仿宋_GB2312" w:cs="仿宋_GB2312"/>
          <w:color w:val="auto"/>
          <w:highlight w:val="none"/>
          <w:shd w:val="clear" w:color="auto" w:fill="auto"/>
          <w:lang w:val="zh-CN"/>
        </w:rPr>
      </w:pPr>
      <w:r>
        <w:rPr>
          <w:rFonts w:ascii="仿宋_GB2312" w:eastAsia="仿宋_GB2312" w:cs="仿宋_GB2312"/>
          <w:color w:val="auto"/>
          <w:highlight w:val="none"/>
          <w:shd w:val="clear" w:color="auto" w:fill="auto"/>
          <w:lang w:val="zh-CN"/>
        </w:rPr>
        <w:t xml:space="preserve">                                               日期：  年  月   日</w:t>
      </w:r>
    </w:p>
    <w:p>
      <w:pPr>
        <w:spacing w:line="276" w:lineRule="auto"/>
        <w:rPr>
          <w:rFonts w:ascii="仿宋_GB2312" w:eastAsia="仿宋_GB2312" w:cs="仿宋_GB2312"/>
          <w:b/>
          <w:color w:val="auto"/>
          <w:sz w:val="32"/>
          <w:szCs w:val="32"/>
          <w:highlight w:val="none"/>
          <w:shd w:val="clear" w:color="auto" w:fill="auto"/>
          <w:lang w:val="zh-CN"/>
        </w:rPr>
      </w:pPr>
      <w:r>
        <w:rPr>
          <w:rFonts w:ascii="仿宋_GB2312" w:eastAsia="仿宋_GB2312" w:cs="仿宋_GB2312"/>
          <w:b/>
          <w:color w:val="auto"/>
          <w:sz w:val="32"/>
          <w:szCs w:val="32"/>
          <w:highlight w:val="none"/>
          <w:shd w:val="clear" w:color="auto" w:fill="auto"/>
          <w:lang w:val="zh-CN"/>
        </w:rPr>
        <w:br w:type="page"/>
      </w:r>
    </w:p>
    <w:p>
      <w:pPr>
        <w:autoSpaceDE w:val="0"/>
        <w:autoSpaceDN w:val="0"/>
        <w:spacing w:line="360" w:lineRule="auto"/>
        <w:jc w:val="center"/>
        <w:rPr>
          <w:rFonts w:ascii="仿宋_GB2312" w:eastAsia="仿宋_GB2312" w:cs="仿宋_GB2312"/>
          <w:b/>
          <w:color w:val="auto"/>
          <w:highlight w:val="none"/>
          <w:shd w:val="clear" w:color="auto" w:fill="auto"/>
        </w:rPr>
      </w:pPr>
      <w:r>
        <w:rPr>
          <w:rFonts w:hint="eastAsia" w:ascii="仿宋_GB2312" w:eastAsia="仿宋_GB2312" w:cs="仿宋_GB2312"/>
          <w:b/>
          <w:color w:val="auto"/>
          <w:sz w:val="32"/>
          <w:szCs w:val="32"/>
          <w:highlight w:val="none"/>
          <w:shd w:val="clear" w:color="auto" w:fill="auto"/>
          <w:lang w:val="zh-CN"/>
        </w:rPr>
        <w:t>法定代表人、单位负责人或自然人本人</w:t>
      </w:r>
      <w:r>
        <w:rPr>
          <w:rFonts w:hint="eastAsia" w:ascii="仿宋_GB2312" w:eastAsia="仿宋_GB2312" w:cs="仿宋_GB2312"/>
          <w:b/>
          <w:color w:val="auto"/>
          <w:sz w:val="30"/>
          <w:szCs w:val="30"/>
          <w:highlight w:val="none"/>
          <w:shd w:val="clear" w:color="auto" w:fill="auto"/>
        </w:rPr>
        <w:t>的身份证明（适用于法定代表人、单位负责人或者自然人本人代表投标人参加投标）</w:t>
      </w:r>
    </w:p>
    <w:p>
      <w:pPr>
        <w:pStyle w:val="78"/>
        <w:spacing w:line="360" w:lineRule="auto"/>
        <w:rPr>
          <w:rFonts w:ascii="仿宋_GB2312" w:hAnsi="仿宋" w:eastAsia="仿宋_GB2312"/>
          <w:bCs/>
          <w:color w:val="auto"/>
          <w:sz w:val="24"/>
          <w:highlight w:val="none"/>
          <w:shd w:val="clear" w:color="auto" w:fill="auto"/>
        </w:rPr>
      </w:pPr>
      <w:r>
        <w:rPr>
          <w:rFonts w:hint="eastAsia" w:ascii="仿宋_GB2312" w:hAnsi="仿宋" w:eastAsia="仿宋_GB2312"/>
          <w:bCs/>
          <w:color w:val="auto"/>
          <w:sz w:val="24"/>
          <w:highlight w:val="none"/>
          <w:shd w:val="clear" w:color="auto" w:fill="auto"/>
        </w:rPr>
        <w:t>身份证件扫描件：</w:t>
      </w:r>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78"/>
              <w:adjustRightInd w:val="0"/>
              <w:spacing w:line="360" w:lineRule="auto"/>
              <w:rPr>
                <w:rFonts w:ascii="仿宋_GB2312" w:hAnsi="仿宋" w:eastAsia="仿宋_GB2312"/>
                <w:bCs/>
                <w:color w:val="auto"/>
                <w:sz w:val="24"/>
                <w:highlight w:val="none"/>
                <w:shd w:val="clear" w:color="auto" w:fill="auto"/>
              </w:rPr>
            </w:pPr>
            <w:r>
              <w:rPr>
                <w:rFonts w:hint="eastAsia" w:ascii="仿宋_GB2312" w:hAnsi="仿宋" w:eastAsia="仿宋_GB2312"/>
                <w:bCs/>
                <w:color w:val="auto"/>
                <w:sz w:val="24"/>
                <w:highlight w:val="none"/>
                <w:shd w:val="clear" w:color="auto" w:fill="auto"/>
              </w:rPr>
              <w:t>正面：</w:t>
            </w:r>
            <w:r>
              <w:rPr>
                <w:rFonts w:ascii="仿宋_GB2312" w:hAnsi="仿宋" w:eastAsia="仿宋_GB2312"/>
                <w:bCs/>
                <w:color w:val="auto"/>
                <w:sz w:val="24"/>
                <w:highlight w:val="none"/>
                <w:shd w:val="clear" w:color="auto" w:fill="auto"/>
              </w:rPr>
              <w:t xml:space="preserve">                                 </w:t>
            </w:r>
            <w:r>
              <w:rPr>
                <w:rFonts w:hint="eastAsia" w:ascii="仿宋_GB2312" w:hAnsi="仿宋" w:eastAsia="仿宋_GB2312"/>
                <w:bCs/>
                <w:color w:val="auto"/>
                <w:sz w:val="24"/>
                <w:highlight w:val="none"/>
                <w:shd w:val="clear" w:color="auto" w:fill="auto"/>
              </w:rPr>
              <w:t>反面：</w:t>
            </w:r>
          </w:p>
          <w:p>
            <w:pPr>
              <w:pStyle w:val="78"/>
              <w:adjustRightInd w:val="0"/>
              <w:spacing w:line="360" w:lineRule="auto"/>
              <w:rPr>
                <w:rFonts w:ascii="仿宋_GB2312" w:hAnsi="仿宋" w:eastAsia="仿宋_GB2312"/>
                <w:bCs/>
                <w:color w:val="auto"/>
                <w:sz w:val="24"/>
                <w:highlight w:val="none"/>
                <w:shd w:val="clear" w:color="auto" w:fill="auto"/>
              </w:rPr>
            </w:pPr>
          </w:p>
        </w:tc>
      </w:tr>
    </w:tbl>
    <w:p>
      <w:pPr>
        <w:snapToGrid w:val="0"/>
        <w:spacing w:line="360" w:lineRule="auto"/>
        <w:ind w:firstLine="576"/>
        <w:jc w:val="center"/>
        <w:rPr>
          <w:rFonts w:ascii="仿宋_GB2312" w:eastAsia="仿宋_GB2312" w:cs="仿宋_GB2312"/>
          <w:color w:val="auto"/>
          <w:highlight w:val="none"/>
          <w:shd w:val="clear" w:color="auto" w:fill="auto"/>
          <w:lang w:val="zh-CN"/>
        </w:rPr>
      </w:pPr>
      <w:r>
        <w:rPr>
          <w:rFonts w:ascii="仿宋_GB2312" w:eastAsia="仿宋_GB2312" w:cs="仿宋_GB2312"/>
          <w:color w:val="auto"/>
          <w:highlight w:val="none"/>
          <w:shd w:val="clear" w:color="auto" w:fill="auto"/>
          <w:lang w:val="zh-CN"/>
        </w:rPr>
        <w:t xml:space="preserve">                 </w:t>
      </w:r>
    </w:p>
    <w:p>
      <w:pPr>
        <w:snapToGrid w:val="0"/>
        <w:spacing w:line="360" w:lineRule="auto"/>
        <w:ind w:firstLine="576"/>
        <w:jc w:val="center"/>
        <w:rPr>
          <w:rFonts w:ascii="仿宋_GB2312" w:eastAsia="仿宋_GB2312" w:cs="仿宋_GB2312"/>
          <w:color w:val="auto"/>
          <w:highlight w:val="none"/>
          <w:shd w:val="clear" w:color="auto" w:fill="auto"/>
          <w:lang w:val="zh-CN"/>
        </w:rPr>
      </w:pPr>
      <w:r>
        <w:rPr>
          <w:rFonts w:ascii="仿宋_GB2312" w:eastAsia="仿宋_GB2312" w:cs="仿宋_GB2312"/>
          <w:color w:val="auto"/>
          <w:highlight w:val="none"/>
          <w:shd w:val="clear" w:color="auto" w:fill="auto"/>
          <w:lang w:val="zh-CN"/>
        </w:rPr>
        <w:t xml:space="preserve">                  投标人名称(电子签名)：                              </w:t>
      </w:r>
    </w:p>
    <w:p>
      <w:pPr>
        <w:spacing w:line="360" w:lineRule="auto"/>
        <w:jc w:val="center"/>
        <w:rPr>
          <w:rFonts w:ascii="仿宋_GB2312" w:eastAsia="仿宋_GB2312" w:cs="仿宋_GB2312"/>
          <w:color w:val="auto"/>
          <w:highlight w:val="none"/>
          <w:shd w:val="clear" w:color="auto" w:fill="auto"/>
          <w:lang w:val="zh-CN"/>
        </w:rPr>
      </w:pPr>
      <w:r>
        <w:rPr>
          <w:rFonts w:ascii="仿宋_GB2312" w:eastAsia="仿宋_GB2312" w:cs="仿宋_GB2312"/>
          <w:color w:val="auto"/>
          <w:highlight w:val="none"/>
          <w:shd w:val="clear" w:color="auto" w:fill="auto"/>
          <w:lang w:val="zh-CN"/>
        </w:rPr>
        <w:t xml:space="preserve">                   日期：  年  月  日</w:t>
      </w:r>
    </w:p>
    <w:p>
      <w:pPr>
        <w:spacing w:line="276" w:lineRule="auto"/>
        <w:rPr>
          <w:rFonts w:ascii="仿宋_GB2312" w:eastAsia="仿宋_GB2312" w:cs="仿宋_GB2312"/>
          <w:color w:val="auto"/>
          <w:highlight w:val="none"/>
          <w:shd w:val="clear" w:color="auto" w:fill="auto"/>
          <w:lang w:val="zh-CN"/>
        </w:rPr>
      </w:pPr>
      <w:r>
        <w:rPr>
          <w:rFonts w:ascii="仿宋_GB2312" w:eastAsia="仿宋_GB2312" w:cs="仿宋_GB2312"/>
          <w:color w:val="auto"/>
          <w:highlight w:val="none"/>
          <w:shd w:val="clear" w:color="auto" w:fill="auto"/>
          <w:lang w:val="zh-CN"/>
        </w:rPr>
        <w:br w:type="page"/>
      </w:r>
    </w:p>
    <w:p>
      <w:pPr>
        <w:pStyle w:val="3"/>
        <w:rPr>
          <w:color w:val="auto"/>
          <w:highlight w:val="none"/>
          <w:shd w:val="clear" w:color="auto" w:fill="auto"/>
          <w:lang w:val="zh-CN"/>
        </w:rPr>
      </w:pPr>
      <w:r>
        <w:rPr>
          <w:rFonts w:hint="eastAsia"/>
          <w:color w:val="auto"/>
          <w:highlight w:val="none"/>
          <w:shd w:val="clear" w:color="auto" w:fill="auto"/>
        </w:rPr>
        <w:t>三、</w:t>
      </w:r>
      <w:r>
        <w:rPr>
          <w:rFonts w:hint="eastAsia"/>
          <w:color w:val="auto"/>
          <w:highlight w:val="none"/>
          <w:shd w:val="clear" w:color="auto" w:fill="auto"/>
          <w:lang w:val="zh-CN"/>
        </w:rPr>
        <w:t>联合协议</w:t>
      </w:r>
    </w:p>
    <w:p>
      <w:pPr>
        <w:rPr>
          <w:color w:val="auto"/>
          <w:highlight w:val="none"/>
          <w:shd w:val="clear" w:color="auto" w:fill="auto"/>
        </w:rPr>
      </w:pPr>
      <w:r>
        <w:rPr>
          <w:rFonts w:hint="eastAsia"/>
          <w:color w:val="auto"/>
          <w:highlight w:val="none"/>
          <w:shd w:val="clear" w:color="auto" w:fill="auto"/>
        </w:rPr>
        <w:t>（以联合体形式投标的，提供联合协议；本项目不接受联合体投标或者投标人不以联合体形式投标的，则不需要提供）</w:t>
      </w:r>
    </w:p>
    <w:p>
      <w:pPr>
        <w:rPr>
          <w:color w:val="auto"/>
          <w:highlight w:val="none"/>
          <w:shd w:val="clear" w:color="auto" w:fill="auto"/>
          <w:lang w:val="zh-CN"/>
        </w:rPr>
      </w:pPr>
      <w:r>
        <w:rPr>
          <w:rFonts w:hint="eastAsia"/>
          <w:color w:val="auto"/>
          <w:highlight w:val="none"/>
          <w:u w:val="single"/>
          <w:shd w:val="clear" w:color="auto" w:fill="auto"/>
        </w:rPr>
        <w:t>（联合体所有成员名称）</w:t>
      </w:r>
      <w:r>
        <w:rPr>
          <w:rFonts w:hint="eastAsia"/>
          <w:color w:val="auto"/>
          <w:highlight w:val="none"/>
          <w:shd w:val="clear" w:color="auto" w:fill="auto"/>
        </w:rPr>
        <w:t>自愿</w:t>
      </w:r>
      <w:r>
        <w:rPr>
          <w:rFonts w:hint="eastAsia"/>
          <w:color w:val="auto"/>
          <w:highlight w:val="none"/>
          <w:shd w:val="clear" w:color="auto" w:fill="auto"/>
          <w:lang w:val="zh-CN"/>
        </w:rPr>
        <w:t>组成一个联合体，以一个投标人的身份</w:t>
      </w:r>
      <w:r>
        <w:rPr>
          <w:rFonts w:hint="eastAsia"/>
          <w:color w:val="auto"/>
          <w:highlight w:val="none"/>
          <w:shd w:val="clear" w:color="auto" w:fill="auto"/>
        </w:rPr>
        <w:t>参加（项目名称）【招标编号：（采购编号）】</w:t>
      </w:r>
      <w:r>
        <w:rPr>
          <w:rFonts w:hint="eastAsia"/>
          <w:color w:val="auto"/>
          <w:highlight w:val="none"/>
          <w:shd w:val="clear" w:color="auto" w:fill="auto"/>
          <w:lang w:val="zh-CN"/>
        </w:rPr>
        <w:t>投标。</w:t>
      </w:r>
      <w:r>
        <w:rPr>
          <w:color w:val="auto"/>
          <w:highlight w:val="none"/>
          <w:shd w:val="clear" w:color="auto" w:fill="auto"/>
          <w:lang w:val="zh-CN"/>
        </w:rPr>
        <w:t xml:space="preserve"> </w:t>
      </w:r>
    </w:p>
    <w:p>
      <w:pPr>
        <w:rPr>
          <w:color w:val="auto"/>
          <w:highlight w:val="none"/>
          <w:shd w:val="clear" w:color="auto" w:fill="auto"/>
          <w:lang w:val="zh-CN"/>
        </w:rPr>
      </w:pPr>
      <w:r>
        <w:rPr>
          <w:rFonts w:hint="eastAsia"/>
          <w:color w:val="auto"/>
          <w:highlight w:val="none"/>
          <w:shd w:val="clear" w:color="auto" w:fill="auto"/>
          <w:lang w:val="zh-CN"/>
        </w:rPr>
        <w:t>一、各方一致决定，</w:t>
      </w:r>
      <w:r>
        <w:rPr>
          <w:rFonts w:hint="eastAsia"/>
          <w:color w:val="auto"/>
          <w:highlight w:val="none"/>
          <w:u w:val="single"/>
          <w:shd w:val="clear" w:color="auto" w:fill="auto"/>
        </w:rPr>
        <w:t>（某联合体成员名称）</w:t>
      </w:r>
      <w:r>
        <w:rPr>
          <w:rFonts w:hint="eastAsia"/>
          <w:color w:val="auto"/>
          <w:highlight w:val="none"/>
          <w:shd w:val="clear" w:color="auto" w:fill="auto"/>
        </w:rPr>
        <w:t>为联合体</w:t>
      </w:r>
      <w:r>
        <w:rPr>
          <w:rFonts w:hint="eastAsia"/>
          <w:color w:val="auto"/>
          <w:highlight w:val="none"/>
          <w:shd w:val="clear" w:color="auto" w:fill="auto"/>
          <w:lang w:val="zh-CN"/>
        </w:rPr>
        <w:t>牵头人</w:t>
      </w:r>
      <w:r>
        <w:rPr>
          <w:rFonts w:hint="eastAsia" w:cs="Arial"/>
          <w:color w:val="auto"/>
          <w:highlight w:val="none"/>
          <w:shd w:val="clear" w:color="auto" w:fill="auto"/>
        </w:rPr>
        <w:t>，代表所有联合体成员负责投标和合同实施阶段的主办、协调工作</w:t>
      </w:r>
      <w:r>
        <w:rPr>
          <w:rFonts w:hint="eastAsia"/>
          <w:color w:val="auto"/>
          <w:highlight w:val="none"/>
          <w:shd w:val="clear" w:color="auto" w:fill="auto"/>
          <w:lang w:val="zh-CN"/>
        </w:rPr>
        <w:t>。</w:t>
      </w:r>
    </w:p>
    <w:p>
      <w:pPr>
        <w:rPr>
          <w:color w:val="auto"/>
          <w:highlight w:val="none"/>
          <w:shd w:val="clear" w:color="auto" w:fill="auto"/>
          <w:lang w:val="zh-CN"/>
        </w:rPr>
      </w:pPr>
      <w:r>
        <w:rPr>
          <w:rFonts w:hint="eastAsia"/>
          <w:color w:val="auto"/>
          <w:highlight w:val="none"/>
          <w:shd w:val="clear" w:color="auto" w:fill="auto"/>
          <w:lang w:val="zh-CN"/>
        </w:rPr>
        <w:t>二、</w:t>
      </w:r>
      <w:r>
        <w:rPr>
          <w:rFonts w:hint="eastAsia" w:cs="Arial"/>
          <w:color w:val="auto"/>
          <w:highlight w:val="none"/>
          <w:shd w:val="clear" w:color="auto" w:fill="auto"/>
        </w:rPr>
        <w:t>所有联合体成员各方签署授权书，授权书载明的</w:t>
      </w:r>
      <w:r>
        <w:rPr>
          <w:rFonts w:hint="eastAsia"/>
          <w:color w:val="auto"/>
          <w:highlight w:val="none"/>
          <w:shd w:val="clear" w:color="auto" w:fill="auto"/>
          <w:lang w:val="zh-CN"/>
        </w:rPr>
        <w:t>授权代表根据招标文件规定及投标内容而对采购人、采购机构所作的任何合法承诺，包括书面澄清及相应等均对联合投标各方产生约束力。</w:t>
      </w:r>
    </w:p>
    <w:p>
      <w:pPr>
        <w:rPr>
          <w:color w:val="auto"/>
          <w:highlight w:val="none"/>
          <w:shd w:val="clear" w:color="auto" w:fill="auto"/>
          <w:lang w:val="zh-CN"/>
        </w:rPr>
      </w:pPr>
      <w:r>
        <w:rPr>
          <w:rFonts w:hint="eastAsia"/>
          <w:color w:val="auto"/>
          <w:highlight w:val="none"/>
          <w:shd w:val="clear" w:color="auto" w:fill="auto"/>
          <w:lang w:val="zh-CN"/>
        </w:rPr>
        <w:t>三、本次联合投标中，分工如下：</w:t>
      </w:r>
      <w:r>
        <w:rPr>
          <w:rFonts w:hint="eastAsia"/>
          <w:color w:val="auto"/>
          <w:highlight w:val="none"/>
          <w:u w:val="single"/>
          <w:shd w:val="clear" w:color="auto" w:fill="auto"/>
        </w:rPr>
        <w:t>（联合体其中一方成员名称）</w:t>
      </w:r>
      <w:r>
        <w:rPr>
          <w:rFonts w:hint="eastAsia"/>
          <w:color w:val="auto"/>
          <w:highlight w:val="none"/>
          <w:shd w:val="clear" w:color="auto" w:fill="auto"/>
          <w:lang w:val="zh-CN"/>
        </w:rPr>
        <w:t>承担的工作和义务为：</w:t>
      </w:r>
      <w:r>
        <w:rPr>
          <w:color w:val="auto"/>
          <w:highlight w:val="none"/>
          <w:u w:val="single"/>
          <w:shd w:val="clear" w:color="auto" w:fill="auto"/>
        </w:rPr>
        <w:t xml:space="preserve">             </w:t>
      </w:r>
      <w:r>
        <w:rPr>
          <w:rFonts w:hint="eastAsia"/>
          <w:color w:val="auto"/>
          <w:highlight w:val="none"/>
          <w:shd w:val="clear" w:color="auto" w:fill="auto"/>
          <w:lang w:val="zh-CN"/>
        </w:rPr>
        <w:t>；</w:t>
      </w:r>
      <w:r>
        <w:rPr>
          <w:color w:val="auto"/>
          <w:highlight w:val="none"/>
          <w:shd w:val="clear" w:color="auto" w:fill="auto"/>
          <w:lang w:val="zh-CN"/>
        </w:rPr>
        <w:t>……。</w:t>
      </w:r>
    </w:p>
    <w:p>
      <w:pPr>
        <w:rPr>
          <w:color w:val="auto"/>
          <w:highlight w:val="none"/>
          <w:shd w:val="clear" w:color="auto" w:fill="auto"/>
          <w:lang w:val="zh-CN"/>
        </w:rPr>
      </w:pPr>
      <w:r>
        <w:rPr>
          <w:rFonts w:hint="eastAsia"/>
          <w:color w:val="auto"/>
          <w:highlight w:val="none"/>
          <w:shd w:val="clear" w:color="auto" w:fill="auto"/>
          <w:lang w:val="zh-CN"/>
        </w:rPr>
        <w:t>四、</w:t>
      </w:r>
      <w:r>
        <w:rPr>
          <w:rFonts w:hint="eastAsia"/>
          <w:color w:val="auto"/>
          <w:highlight w:val="none"/>
          <w:u w:val="single"/>
          <w:shd w:val="clear" w:color="auto" w:fill="auto"/>
        </w:rPr>
        <w:t>（联合体其中一方成员名称）</w:t>
      </w:r>
      <w:r>
        <w:rPr>
          <w:rFonts w:hint="eastAsia"/>
          <w:color w:val="auto"/>
          <w:highlight w:val="none"/>
          <w:shd w:val="clear" w:color="auto" w:fill="auto"/>
        </w:rPr>
        <w:t>提供的全部货物由小微企业制造，其合同份额占到合同总金额</w:t>
      </w:r>
      <w:r>
        <w:rPr>
          <w:color w:val="auto"/>
          <w:highlight w:val="none"/>
          <w:u w:val="single"/>
          <w:shd w:val="clear" w:color="auto" w:fill="auto"/>
        </w:rPr>
        <w:t xml:space="preserve">     </w:t>
      </w:r>
      <w:r>
        <w:rPr>
          <w:color w:val="auto"/>
          <w:highlight w:val="none"/>
          <w:shd w:val="clear" w:color="auto" w:fill="auto"/>
        </w:rPr>
        <w:t>%以上；</w:t>
      </w:r>
      <w:r>
        <w:rPr>
          <w:rFonts w:hint="eastAsia"/>
          <w:color w:val="auto"/>
          <w:highlight w:val="none"/>
          <w:shd w:val="clear" w:color="auto" w:fill="auto"/>
          <w:lang w:val="zh-CN"/>
        </w:rPr>
        <w:t>……。（未预留份额专门面向中小企业采购的的采购项目，以及预留份额中的非预留部分采购包，接受联合体投标的，联合体其中一方提供的货物全部由小微企业制造，且其合同份额占到合同总金额</w:t>
      </w:r>
      <w:r>
        <w:rPr>
          <w:color w:val="auto"/>
          <w:highlight w:val="none"/>
          <w:shd w:val="clear" w:color="auto" w:fill="auto"/>
          <w:lang w:val="zh-CN"/>
        </w:rPr>
        <w:t xml:space="preserve"> 30%以上</w:t>
      </w:r>
      <w:r>
        <w:rPr>
          <w:rFonts w:hint="eastAsia"/>
          <w:color w:val="auto"/>
          <w:highlight w:val="none"/>
          <w:shd w:val="clear" w:color="auto" w:fill="auto"/>
          <w:lang w:val="zh-CN"/>
        </w:rPr>
        <w:t>，对联合体报价给予6</w:t>
      </w:r>
      <w:r>
        <w:rPr>
          <w:color w:val="auto"/>
          <w:highlight w:val="none"/>
          <w:shd w:val="clear" w:color="auto" w:fill="auto"/>
          <w:lang w:val="zh-CN"/>
        </w:rPr>
        <w:t>%的扣除</w:t>
      </w:r>
      <w:r>
        <w:rPr>
          <w:rFonts w:hint="eastAsia"/>
          <w:color w:val="auto"/>
          <w:highlight w:val="none"/>
          <w:shd w:val="clear" w:color="auto" w:fill="auto"/>
          <w:lang w:val="zh-CN"/>
        </w:rPr>
        <w:t>）</w:t>
      </w:r>
    </w:p>
    <w:p>
      <w:pPr>
        <w:rPr>
          <w:color w:val="auto"/>
          <w:highlight w:val="none"/>
          <w:shd w:val="clear" w:color="auto" w:fill="auto"/>
          <w:lang w:val="zh-CN"/>
        </w:rPr>
      </w:pPr>
      <w:r>
        <w:rPr>
          <w:rFonts w:hint="eastAsia"/>
          <w:color w:val="auto"/>
          <w:highlight w:val="none"/>
          <w:shd w:val="clear" w:color="auto" w:fill="auto"/>
          <w:lang w:val="zh-CN"/>
        </w:rPr>
        <w:t>五、如果中标，</w:t>
      </w:r>
      <w:r>
        <w:rPr>
          <w:rFonts w:hint="eastAsia"/>
          <w:color w:val="auto"/>
          <w:highlight w:val="none"/>
          <w:shd w:val="clear" w:color="auto" w:fill="auto"/>
        </w:rPr>
        <w:t>联合体各成员方共同与采购人签订合同，并就采购合同约定的事项对采购人承担连带责任。</w:t>
      </w:r>
    </w:p>
    <w:p>
      <w:pPr>
        <w:rPr>
          <w:color w:val="auto"/>
          <w:highlight w:val="none"/>
          <w:shd w:val="clear" w:color="auto" w:fill="auto"/>
          <w:lang w:val="zh-CN"/>
        </w:rPr>
      </w:pPr>
      <w:r>
        <w:rPr>
          <w:rFonts w:hint="eastAsia"/>
          <w:color w:val="auto"/>
          <w:highlight w:val="none"/>
          <w:shd w:val="clear" w:color="auto" w:fill="auto"/>
          <w:lang w:val="zh-CN"/>
        </w:rPr>
        <w:t>六、有关本次联合投标的其他事宜：</w:t>
      </w:r>
    </w:p>
    <w:p>
      <w:pPr>
        <w:rPr>
          <w:color w:val="auto"/>
          <w:highlight w:val="none"/>
          <w:shd w:val="clear" w:color="auto" w:fill="auto"/>
          <w:lang w:val="zh-CN"/>
        </w:rPr>
      </w:pPr>
      <w:r>
        <w:rPr>
          <w:color w:val="auto"/>
          <w:highlight w:val="none"/>
          <w:shd w:val="clear" w:color="auto" w:fill="auto"/>
          <w:lang w:val="zh-CN"/>
        </w:rPr>
        <w:t>1、联合体各方不再单独参加或者与其</w:t>
      </w:r>
      <w:r>
        <w:rPr>
          <w:rFonts w:hint="eastAsia"/>
          <w:color w:val="auto"/>
          <w:highlight w:val="none"/>
          <w:shd w:val="clear" w:color="auto" w:fill="auto"/>
          <w:lang w:val="zh-CN"/>
        </w:rPr>
        <w:t>他供应商另外组成联合体参加同一合同项下的政府采购活动。</w:t>
      </w:r>
    </w:p>
    <w:p>
      <w:pPr>
        <w:rPr>
          <w:color w:val="auto"/>
          <w:highlight w:val="none"/>
          <w:shd w:val="clear" w:color="auto" w:fill="auto"/>
          <w:lang w:val="zh-CN"/>
        </w:rPr>
      </w:pPr>
      <w:r>
        <w:rPr>
          <w:color w:val="auto"/>
          <w:highlight w:val="none"/>
          <w:shd w:val="clear" w:color="auto" w:fill="auto"/>
          <w:lang w:val="zh-CN"/>
        </w:rPr>
        <w:t>2、联合体中有同类资质的各方按照联合体分工承担相同工作的，按照资质等级较低的供应商确定资质等级。</w:t>
      </w:r>
    </w:p>
    <w:p>
      <w:pPr>
        <w:rPr>
          <w:color w:val="auto"/>
          <w:highlight w:val="none"/>
          <w:shd w:val="clear" w:color="auto" w:fill="auto"/>
          <w:lang w:val="zh-CN"/>
        </w:rPr>
      </w:pPr>
      <w:r>
        <w:rPr>
          <w:color w:val="auto"/>
          <w:highlight w:val="none"/>
          <w:shd w:val="clear" w:color="auto" w:fill="auto"/>
          <w:lang w:val="zh-CN"/>
        </w:rPr>
        <w:t>3、本协议提交采购人、采购机构后，联合体各方不得以任何形式对上述内容进行修改或撤销。</w:t>
      </w:r>
    </w:p>
    <w:p>
      <w:pPr>
        <w:rPr>
          <w:color w:val="auto"/>
          <w:highlight w:val="none"/>
          <w:shd w:val="clear" w:color="auto" w:fill="auto"/>
          <w:lang w:val="zh-CN"/>
        </w:rPr>
      </w:pPr>
      <w:r>
        <w:rPr>
          <w:rFonts w:hint="eastAsia"/>
          <w:color w:val="auto"/>
          <w:highlight w:val="none"/>
          <w:shd w:val="clear" w:color="auto" w:fill="auto"/>
          <w:lang w:val="zh-CN"/>
        </w:rPr>
        <w:t>联合体成员名称</w:t>
      </w:r>
      <w:r>
        <w:rPr>
          <w:color w:val="auto"/>
          <w:highlight w:val="none"/>
          <w:shd w:val="clear" w:color="auto" w:fill="auto"/>
          <w:lang w:val="zh-CN"/>
        </w:rPr>
        <w:t>(电子签名/公章)：</w:t>
      </w:r>
    </w:p>
    <w:p>
      <w:pPr>
        <w:rPr>
          <w:color w:val="auto"/>
          <w:highlight w:val="none"/>
          <w:shd w:val="clear" w:color="auto" w:fill="auto"/>
          <w:lang w:val="zh-CN"/>
        </w:rPr>
      </w:pPr>
      <w:r>
        <w:rPr>
          <w:color w:val="auto"/>
          <w:highlight w:val="none"/>
          <w:shd w:val="clear" w:color="auto" w:fill="auto"/>
          <w:lang w:val="zh-CN"/>
        </w:rPr>
        <w:t xml:space="preserve">                                               日期：  年  月   日</w:t>
      </w:r>
    </w:p>
    <w:p>
      <w:pPr>
        <w:rPr>
          <w:color w:val="auto"/>
          <w:highlight w:val="none"/>
          <w:shd w:val="clear" w:color="auto" w:fill="auto"/>
        </w:rPr>
      </w:pPr>
      <w:r>
        <w:rPr>
          <w:color w:val="auto"/>
          <w:highlight w:val="none"/>
          <w:shd w:val="clear" w:color="auto" w:fill="auto"/>
        </w:rPr>
        <w:t>注：</w:t>
      </w:r>
      <w:r>
        <w:rPr>
          <w:rFonts w:hint="eastAsia"/>
          <w:color w:val="auto"/>
          <w:highlight w:val="none"/>
          <w:shd w:val="clear" w:color="auto" w:fill="auto"/>
        </w:rPr>
        <w:t>按本格式和要求提供。</w:t>
      </w:r>
    </w:p>
    <w:p>
      <w:pPr>
        <w:spacing w:line="276" w:lineRule="auto"/>
        <w:rPr>
          <w:color w:val="auto"/>
          <w:highlight w:val="none"/>
          <w:shd w:val="clear" w:color="auto" w:fill="auto"/>
        </w:rPr>
      </w:pPr>
      <w:r>
        <w:rPr>
          <w:color w:val="auto"/>
          <w:highlight w:val="none"/>
          <w:shd w:val="clear" w:color="auto" w:fill="auto"/>
        </w:rPr>
        <w:br w:type="page"/>
      </w:r>
    </w:p>
    <w:p>
      <w:pPr>
        <w:pStyle w:val="3"/>
        <w:rPr>
          <w:color w:val="auto"/>
          <w:highlight w:val="none"/>
          <w:shd w:val="clear" w:color="auto" w:fill="auto"/>
        </w:rPr>
      </w:pPr>
      <w:r>
        <w:rPr>
          <w:rFonts w:hint="eastAsia"/>
          <w:color w:val="auto"/>
          <w:highlight w:val="none"/>
          <w:shd w:val="clear" w:color="auto" w:fill="auto"/>
        </w:rPr>
        <w:t>四、分包意向协议</w:t>
      </w:r>
    </w:p>
    <w:p>
      <w:pPr>
        <w:rPr>
          <w:b/>
          <w:color w:val="auto"/>
          <w:highlight w:val="none"/>
          <w:shd w:val="clear" w:color="auto" w:fill="auto"/>
        </w:rPr>
      </w:pPr>
      <w:r>
        <w:rPr>
          <w:rFonts w:hint="eastAsia"/>
          <w:b/>
          <w:color w:val="auto"/>
          <w:highlight w:val="none"/>
          <w:shd w:val="clear" w:color="auto" w:fill="auto"/>
        </w:rPr>
        <w:t>（中标后以分包方式履行合同的，提供分包意向协议；采购人不同意分包或者投标人中标后不以分包方式履行合同的，则不需要提供。）</w:t>
      </w:r>
    </w:p>
    <w:p>
      <w:pPr>
        <w:rPr>
          <w:color w:val="auto"/>
          <w:highlight w:val="none"/>
          <w:shd w:val="clear" w:color="auto" w:fill="auto"/>
          <w:lang w:val="zh-CN"/>
        </w:rPr>
      </w:pPr>
      <w:r>
        <w:rPr>
          <w:rFonts w:hint="eastAsia"/>
          <w:color w:val="auto"/>
          <w:highlight w:val="none"/>
          <w:u w:val="single"/>
          <w:shd w:val="clear" w:color="auto" w:fill="auto"/>
        </w:rPr>
        <w:t>（投标人名称）</w:t>
      </w:r>
      <w:r>
        <w:rPr>
          <w:rFonts w:hint="eastAsia"/>
          <w:color w:val="auto"/>
          <w:highlight w:val="none"/>
          <w:shd w:val="clear" w:color="auto" w:fill="auto"/>
          <w:lang w:val="zh-CN"/>
        </w:rPr>
        <w:t>若成为</w:t>
      </w:r>
      <w:r>
        <w:rPr>
          <w:rFonts w:hint="eastAsia"/>
          <w:color w:val="auto"/>
          <w:highlight w:val="none"/>
          <w:shd w:val="clear" w:color="auto" w:fill="auto"/>
        </w:rPr>
        <w:t>（项目名称）【招标编号：（采购编号）】</w:t>
      </w:r>
      <w:r>
        <w:rPr>
          <w:rFonts w:hint="eastAsia"/>
          <w:color w:val="auto"/>
          <w:highlight w:val="none"/>
          <w:shd w:val="clear" w:color="auto" w:fill="auto"/>
          <w:lang w:val="zh-CN"/>
        </w:rPr>
        <w:t>的中标供应商，将依法采取分包方式履行合同。</w:t>
      </w:r>
      <w:r>
        <w:rPr>
          <w:rFonts w:hint="eastAsia"/>
          <w:color w:val="auto"/>
          <w:highlight w:val="none"/>
          <w:u w:val="single"/>
          <w:shd w:val="clear" w:color="auto" w:fill="auto"/>
        </w:rPr>
        <w:t>（投标人名称）</w:t>
      </w:r>
      <w:r>
        <w:rPr>
          <w:rFonts w:hint="eastAsia"/>
          <w:color w:val="auto"/>
          <w:highlight w:val="none"/>
          <w:shd w:val="clear" w:color="auto" w:fill="auto"/>
        </w:rPr>
        <w:t>与</w:t>
      </w:r>
      <w:r>
        <w:rPr>
          <w:rFonts w:hint="eastAsia"/>
          <w:color w:val="auto"/>
          <w:highlight w:val="none"/>
          <w:u w:val="single"/>
          <w:shd w:val="clear" w:color="auto" w:fill="auto"/>
        </w:rPr>
        <w:t>（所有分包供应商名称）</w:t>
      </w:r>
      <w:r>
        <w:rPr>
          <w:rFonts w:hint="eastAsia"/>
          <w:color w:val="auto"/>
          <w:highlight w:val="none"/>
          <w:shd w:val="clear" w:color="auto" w:fill="auto"/>
        </w:rPr>
        <w:t>达成分包意向协议</w:t>
      </w:r>
      <w:r>
        <w:rPr>
          <w:rFonts w:hint="eastAsia"/>
          <w:color w:val="auto"/>
          <w:highlight w:val="none"/>
          <w:shd w:val="clear" w:color="auto" w:fill="auto"/>
          <w:lang w:val="zh-CN"/>
        </w:rPr>
        <w:t>。</w:t>
      </w:r>
      <w:r>
        <w:rPr>
          <w:color w:val="auto"/>
          <w:highlight w:val="none"/>
          <w:shd w:val="clear" w:color="auto" w:fill="auto"/>
          <w:lang w:val="zh-CN"/>
        </w:rPr>
        <w:t xml:space="preserve"> </w:t>
      </w:r>
    </w:p>
    <w:p>
      <w:pPr>
        <w:rPr>
          <w:color w:val="auto"/>
          <w:highlight w:val="none"/>
          <w:shd w:val="clear" w:color="auto" w:fill="auto"/>
          <w:lang w:val="zh-CN"/>
        </w:rPr>
      </w:pPr>
      <w:r>
        <w:rPr>
          <w:rFonts w:hint="eastAsia"/>
          <w:color w:val="auto"/>
          <w:highlight w:val="none"/>
          <w:shd w:val="clear" w:color="auto" w:fill="auto"/>
          <w:lang w:val="zh-CN"/>
        </w:rPr>
        <w:t>一、分包标的及数量</w:t>
      </w:r>
    </w:p>
    <w:p>
      <w:pPr>
        <w:rPr>
          <w:color w:val="auto"/>
          <w:highlight w:val="none"/>
          <w:shd w:val="clear" w:color="auto" w:fill="auto"/>
          <w:lang w:val="zh-CN"/>
        </w:rPr>
      </w:pPr>
      <w:r>
        <w:rPr>
          <w:rFonts w:hint="eastAsia"/>
          <w:color w:val="auto"/>
          <w:highlight w:val="none"/>
          <w:u w:val="single"/>
          <w:shd w:val="clear" w:color="auto" w:fill="auto"/>
        </w:rPr>
        <w:t>（投标人名称）</w:t>
      </w:r>
      <w:r>
        <w:rPr>
          <w:rFonts w:hint="eastAsia"/>
          <w:color w:val="auto"/>
          <w:highlight w:val="none"/>
          <w:shd w:val="clear" w:color="auto" w:fill="auto"/>
          <w:lang w:val="zh-CN"/>
        </w:rPr>
        <w:t>将</w:t>
      </w:r>
      <w:r>
        <w:rPr>
          <w:color w:val="auto"/>
          <w:highlight w:val="none"/>
          <w:u w:val="single"/>
          <w:shd w:val="clear" w:color="auto" w:fill="auto"/>
        </w:rPr>
        <w:t xml:space="preserve">   XX工作内容   </w:t>
      </w:r>
      <w:r>
        <w:rPr>
          <w:rFonts w:hint="eastAsia" w:cs="Arial"/>
          <w:color w:val="auto"/>
          <w:highlight w:val="none"/>
          <w:shd w:val="clear" w:color="auto" w:fill="auto"/>
        </w:rPr>
        <w:t>分包给</w:t>
      </w:r>
      <w:r>
        <w:rPr>
          <w:rFonts w:hint="eastAsia"/>
          <w:color w:val="auto"/>
          <w:highlight w:val="none"/>
          <w:u w:val="single"/>
          <w:shd w:val="clear" w:color="auto" w:fill="auto"/>
        </w:rPr>
        <w:t>（某分包供应商名称）</w:t>
      </w:r>
      <w:r>
        <w:rPr>
          <w:rFonts w:hint="eastAsia"/>
          <w:color w:val="auto"/>
          <w:highlight w:val="none"/>
          <w:shd w:val="clear" w:color="auto" w:fill="auto"/>
          <w:lang w:val="zh-CN"/>
        </w:rPr>
        <w:t>，</w:t>
      </w:r>
      <w:r>
        <w:rPr>
          <w:rFonts w:hint="eastAsia"/>
          <w:color w:val="auto"/>
          <w:highlight w:val="none"/>
          <w:u w:val="single"/>
          <w:shd w:val="clear" w:color="auto" w:fill="auto"/>
        </w:rPr>
        <w:t>（某分包供应商名称），</w:t>
      </w:r>
      <w:r>
        <w:rPr>
          <w:rFonts w:hint="eastAsia"/>
          <w:color w:val="auto"/>
          <w:highlight w:val="none"/>
          <w:shd w:val="clear" w:color="auto" w:fill="auto"/>
          <w:lang w:val="zh-CN"/>
        </w:rPr>
        <w:t>具备承</w:t>
      </w:r>
      <w:r>
        <w:rPr>
          <w:rFonts w:hint="eastAsia"/>
          <w:color w:val="auto"/>
          <w:highlight w:val="none"/>
          <w:shd w:val="clear" w:color="auto" w:fill="auto"/>
        </w:rPr>
        <w:t>担</w:t>
      </w:r>
      <w:r>
        <w:rPr>
          <w:color w:val="auto"/>
          <w:highlight w:val="none"/>
          <w:u w:val="single"/>
          <w:shd w:val="clear" w:color="auto" w:fill="auto"/>
          <w:lang w:val="zh-CN"/>
        </w:rPr>
        <w:t>XX工作内容</w:t>
      </w:r>
      <w:r>
        <w:rPr>
          <w:rFonts w:hint="eastAsia"/>
          <w:color w:val="auto"/>
          <w:highlight w:val="none"/>
          <w:shd w:val="clear" w:color="auto" w:fill="auto"/>
          <w:lang w:val="zh-CN"/>
        </w:rPr>
        <w:t>相应资质条件且不得再次分包；</w:t>
      </w:r>
    </w:p>
    <w:p>
      <w:pPr>
        <w:rPr>
          <w:color w:val="auto"/>
          <w:highlight w:val="none"/>
          <w:shd w:val="clear" w:color="auto" w:fill="auto"/>
        </w:rPr>
      </w:pPr>
      <w:r>
        <w:rPr>
          <w:rFonts w:hint="eastAsia"/>
          <w:color w:val="auto"/>
          <w:highlight w:val="none"/>
          <w:shd w:val="clear" w:color="auto" w:fill="auto"/>
        </w:rPr>
        <w:t>……</w:t>
      </w:r>
    </w:p>
    <w:p>
      <w:pPr>
        <w:rPr>
          <w:color w:val="auto"/>
          <w:highlight w:val="none"/>
          <w:shd w:val="clear" w:color="auto" w:fill="auto"/>
          <w:lang w:val="zh-CN"/>
        </w:rPr>
      </w:pPr>
      <w:r>
        <w:rPr>
          <w:rFonts w:hint="eastAsia"/>
          <w:color w:val="auto"/>
          <w:highlight w:val="none"/>
          <w:shd w:val="clear" w:color="auto" w:fill="auto"/>
          <w:lang w:val="zh-CN"/>
        </w:rPr>
        <w:t>二、分包工作履行期限、地点、方式</w:t>
      </w:r>
    </w:p>
    <w:p>
      <w:pPr>
        <w:rPr>
          <w:color w:val="auto"/>
          <w:highlight w:val="none"/>
          <w:u w:val="single"/>
          <w:shd w:val="clear" w:color="auto" w:fill="auto"/>
        </w:rPr>
      </w:pPr>
      <w:r>
        <w:rPr>
          <w:color w:val="auto"/>
          <w:highlight w:val="none"/>
          <w:u w:val="single"/>
          <w:shd w:val="clear" w:color="auto" w:fill="auto"/>
        </w:rPr>
        <w:t xml:space="preserve">                                                                                  </w:t>
      </w:r>
    </w:p>
    <w:p>
      <w:pPr>
        <w:rPr>
          <w:color w:val="auto"/>
          <w:highlight w:val="none"/>
          <w:shd w:val="clear" w:color="auto" w:fill="auto"/>
          <w:lang w:val="zh-CN"/>
        </w:rPr>
      </w:pPr>
      <w:r>
        <w:rPr>
          <w:rFonts w:hint="eastAsia"/>
          <w:color w:val="auto"/>
          <w:highlight w:val="none"/>
          <w:shd w:val="clear" w:color="auto" w:fill="auto"/>
          <w:lang w:val="zh-CN"/>
        </w:rPr>
        <w:t>三、质量</w:t>
      </w:r>
    </w:p>
    <w:p>
      <w:pPr>
        <w:rPr>
          <w:color w:val="auto"/>
          <w:highlight w:val="none"/>
          <w:shd w:val="clear" w:color="auto" w:fill="auto"/>
          <w:lang w:val="zh-CN"/>
        </w:rPr>
      </w:pPr>
      <w:r>
        <w:rPr>
          <w:color w:val="auto"/>
          <w:highlight w:val="none"/>
          <w:u w:val="single"/>
          <w:shd w:val="clear" w:color="auto" w:fill="auto"/>
        </w:rPr>
        <w:t xml:space="preserve">                                                                                       </w:t>
      </w:r>
    </w:p>
    <w:p>
      <w:pPr>
        <w:rPr>
          <w:color w:val="auto"/>
          <w:highlight w:val="none"/>
          <w:shd w:val="clear" w:color="auto" w:fill="auto"/>
          <w:lang w:val="zh-CN"/>
        </w:rPr>
      </w:pPr>
      <w:r>
        <w:rPr>
          <w:rFonts w:hint="eastAsia"/>
          <w:color w:val="auto"/>
          <w:highlight w:val="none"/>
          <w:shd w:val="clear" w:color="auto" w:fill="auto"/>
          <w:lang w:val="zh-CN"/>
        </w:rPr>
        <w:t>四、价款或者报酬</w:t>
      </w:r>
    </w:p>
    <w:p>
      <w:pPr>
        <w:rPr>
          <w:color w:val="auto"/>
          <w:highlight w:val="none"/>
          <w:shd w:val="clear" w:color="auto" w:fill="auto"/>
          <w:lang w:val="zh-CN"/>
        </w:rPr>
      </w:pPr>
      <w:r>
        <w:rPr>
          <w:color w:val="auto"/>
          <w:highlight w:val="none"/>
          <w:u w:val="single"/>
          <w:shd w:val="clear" w:color="auto" w:fill="auto"/>
        </w:rPr>
        <w:t xml:space="preserve">                                                                                     </w:t>
      </w:r>
    </w:p>
    <w:p>
      <w:pPr>
        <w:rPr>
          <w:color w:val="auto"/>
          <w:highlight w:val="none"/>
          <w:shd w:val="clear" w:color="auto" w:fill="auto"/>
          <w:lang w:val="zh-CN"/>
        </w:rPr>
      </w:pPr>
      <w:r>
        <w:rPr>
          <w:rFonts w:hint="eastAsia"/>
          <w:color w:val="auto"/>
          <w:highlight w:val="none"/>
          <w:shd w:val="clear" w:color="auto" w:fill="auto"/>
          <w:lang w:val="zh-CN"/>
        </w:rPr>
        <w:t>五、违约责任</w:t>
      </w:r>
    </w:p>
    <w:p>
      <w:pPr>
        <w:rPr>
          <w:color w:val="auto"/>
          <w:highlight w:val="none"/>
          <w:shd w:val="clear" w:color="auto" w:fill="auto"/>
          <w:lang w:val="zh-CN"/>
        </w:rPr>
      </w:pPr>
      <w:r>
        <w:rPr>
          <w:color w:val="auto"/>
          <w:highlight w:val="none"/>
          <w:u w:val="single"/>
          <w:shd w:val="clear" w:color="auto" w:fill="auto"/>
        </w:rPr>
        <w:t xml:space="preserve">                                                                                     </w:t>
      </w:r>
    </w:p>
    <w:p>
      <w:pPr>
        <w:rPr>
          <w:color w:val="auto"/>
          <w:highlight w:val="none"/>
          <w:shd w:val="clear" w:color="auto" w:fill="auto"/>
          <w:lang w:val="zh-CN"/>
        </w:rPr>
      </w:pPr>
      <w:r>
        <w:rPr>
          <w:rFonts w:hint="eastAsia"/>
          <w:color w:val="auto"/>
          <w:highlight w:val="none"/>
          <w:shd w:val="clear" w:color="auto" w:fill="auto"/>
          <w:lang w:val="zh-CN"/>
        </w:rPr>
        <w:t>六、争议解决的办法</w:t>
      </w:r>
    </w:p>
    <w:p>
      <w:pPr>
        <w:rPr>
          <w:color w:val="auto"/>
          <w:highlight w:val="none"/>
          <w:shd w:val="clear" w:color="auto" w:fill="auto"/>
          <w:lang w:val="zh-CN"/>
        </w:rPr>
      </w:pPr>
      <w:r>
        <w:rPr>
          <w:color w:val="auto"/>
          <w:highlight w:val="none"/>
          <w:u w:val="single"/>
          <w:shd w:val="clear" w:color="auto" w:fill="auto"/>
        </w:rPr>
        <w:t xml:space="preserve">                                                                                  </w:t>
      </w:r>
    </w:p>
    <w:p>
      <w:pPr>
        <w:rPr>
          <w:color w:val="auto"/>
          <w:highlight w:val="none"/>
          <w:shd w:val="clear" w:color="auto" w:fill="auto"/>
          <w:lang w:val="zh-CN"/>
        </w:rPr>
      </w:pPr>
      <w:r>
        <w:rPr>
          <w:rFonts w:hint="eastAsia"/>
          <w:color w:val="auto"/>
          <w:highlight w:val="none"/>
          <w:shd w:val="clear" w:color="auto" w:fill="auto"/>
          <w:lang w:val="zh-CN"/>
        </w:rPr>
        <w:t>七、其他</w:t>
      </w:r>
    </w:p>
    <w:p>
      <w:pPr>
        <w:rPr>
          <w:color w:val="auto"/>
          <w:highlight w:val="none"/>
          <w:shd w:val="clear" w:color="auto" w:fill="auto"/>
          <w:lang w:val="zh-CN"/>
        </w:rPr>
      </w:pPr>
      <w:r>
        <w:rPr>
          <w:rFonts w:hint="eastAsia"/>
          <w:color w:val="auto"/>
          <w:highlight w:val="none"/>
          <w:u w:val="single"/>
          <w:shd w:val="clear" w:color="auto" w:fill="auto"/>
        </w:rPr>
        <w:t>（分包供应商名称）提供的货物全部由小微企业制造，</w:t>
      </w:r>
      <w:r>
        <w:rPr>
          <w:rFonts w:hint="eastAsia"/>
          <w:color w:val="auto"/>
          <w:highlight w:val="none"/>
          <w:shd w:val="clear" w:color="auto" w:fill="auto"/>
        </w:rPr>
        <w:t>其合同份额占到合同总金额</w:t>
      </w:r>
      <w:r>
        <w:rPr>
          <w:color w:val="auto"/>
          <w:highlight w:val="none"/>
          <w:u w:val="single"/>
          <w:shd w:val="clear" w:color="auto" w:fill="auto"/>
        </w:rPr>
        <w:t xml:space="preserve">     </w:t>
      </w:r>
      <w:r>
        <w:rPr>
          <w:color w:val="auto"/>
          <w:highlight w:val="none"/>
          <w:shd w:val="clear" w:color="auto" w:fill="auto"/>
        </w:rPr>
        <w:t>%以上</w:t>
      </w:r>
      <w:r>
        <w:rPr>
          <w:rFonts w:hint="eastAsia"/>
          <w:color w:val="auto"/>
          <w:highlight w:val="none"/>
          <w:shd w:val="clear" w:color="auto" w:fill="auto"/>
        </w:rPr>
        <w:t>。</w:t>
      </w:r>
      <w:r>
        <w:rPr>
          <w:rFonts w:hint="eastAsia"/>
          <w:color w:val="auto"/>
          <w:highlight w:val="none"/>
          <w:shd w:val="clear" w:color="auto" w:fill="auto"/>
          <w:lang w:val="zh-CN"/>
        </w:rPr>
        <w:t>（未预留份额专门面向中小企业采购的的采购项目，以及预留份额中的非预留部分采购包，允许分包的，分包供应商提供的货物全部由小微企业制造，且其合同份额占到合同总金额</w:t>
      </w:r>
      <w:r>
        <w:rPr>
          <w:color w:val="auto"/>
          <w:highlight w:val="none"/>
          <w:shd w:val="clear" w:color="auto" w:fill="auto"/>
          <w:lang w:val="zh-CN"/>
        </w:rPr>
        <w:t xml:space="preserve"> 30%以上</w:t>
      </w:r>
      <w:r>
        <w:rPr>
          <w:rFonts w:hint="eastAsia"/>
          <w:color w:val="auto"/>
          <w:highlight w:val="none"/>
          <w:shd w:val="clear" w:color="auto" w:fill="auto"/>
          <w:lang w:val="zh-CN"/>
        </w:rPr>
        <w:t>的，对大中型企业的报价给予6</w:t>
      </w:r>
      <w:r>
        <w:rPr>
          <w:color w:val="auto"/>
          <w:highlight w:val="none"/>
          <w:shd w:val="clear" w:color="auto" w:fill="auto"/>
          <w:lang w:val="zh-CN"/>
        </w:rPr>
        <w:t>%的扣除</w:t>
      </w:r>
      <w:r>
        <w:rPr>
          <w:rFonts w:hint="eastAsia"/>
          <w:color w:val="auto"/>
          <w:highlight w:val="none"/>
          <w:shd w:val="clear" w:color="auto" w:fill="auto"/>
          <w:lang w:val="zh-CN"/>
        </w:rPr>
        <w:t>）</w:t>
      </w:r>
    </w:p>
    <w:p>
      <w:pPr>
        <w:rPr>
          <w:color w:val="auto"/>
          <w:highlight w:val="none"/>
          <w:shd w:val="clear" w:color="auto" w:fill="auto"/>
          <w:lang w:val="zh-CN"/>
        </w:rPr>
      </w:pPr>
      <w:r>
        <w:rPr>
          <w:color w:val="auto"/>
          <w:highlight w:val="none"/>
          <w:shd w:val="clear" w:color="auto" w:fill="auto"/>
          <w:lang w:val="zh-CN"/>
        </w:rPr>
        <w:t xml:space="preserve">                                               投标人名称(电子签名)：</w:t>
      </w:r>
    </w:p>
    <w:p>
      <w:pPr>
        <w:rPr>
          <w:color w:val="auto"/>
          <w:highlight w:val="none"/>
          <w:shd w:val="clear" w:color="auto" w:fill="auto"/>
          <w:lang w:val="zh-CN"/>
        </w:rPr>
      </w:pPr>
      <w:r>
        <w:rPr>
          <w:rFonts w:hint="eastAsia"/>
          <w:color w:val="auto"/>
          <w:highlight w:val="none"/>
          <w:shd w:val="clear" w:color="auto" w:fill="auto"/>
          <w:lang w:val="zh-CN"/>
        </w:rPr>
        <w:t>分包供应商名称：</w:t>
      </w:r>
    </w:p>
    <w:p>
      <w:pPr>
        <w:rPr>
          <w:color w:val="auto"/>
          <w:highlight w:val="none"/>
          <w:shd w:val="clear" w:color="auto" w:fill="auto"/>
          <w:lang w:val="zh-CN"/>
        </w:rPr>
      </w:pPr>
      <w:r>
        <w:rPr>
          <w:color w:val="auto"/>
          <w:highlight w:val="none"/>
          <w:shd w:val="clear" w:color="auto" w:fill="auto"/>
          <w:lang w:val="zh-CN"/>
        </w:rPr>
        <w:t xml:space="preserve">                                               日期：  年  月   日</w:t>
      </w:r>
    </w:p>
    <w:p>
      <w:pPr>
        <w:rPr>
          <w:color w:val="auto"/>
          <w:highlight w:val="none"/>
          <w:shd w:val="clear" w:color="auto" w:fill="auto"/>
        </w:rPr>
      </w:pPr>
      <w:r>
        <w:rPr>
          <w:color w:val="auto"/>
          <w:highlight w:val="none"/>
          <w:shd w:val="clear" w:color="auto" w:fill="auto"/>
        </w:rPr>
        <w:t>注：</w:t>
      </w:r>
      <w:r>
        <w:rPr>
          <w:rFonts w:hint="eastAsia"/>
          <w:color w:val="auto"/>
          <w:highlight w:val="none"/>
          <w:shd w:val="clear" w:color="auto" w:fill="auto"/>
        </w:rPr>
        <w:t>按本格式和要求提供。</w:t>
      </w:r>
    </w:p>
    <w:p>
      <w:pPr>
        <w:pStyle w:val="3"/>
        <w:rPr>
          <w:color w:val="auto"/>
          <w:highlight w:val="none"/>
          <w:shd w:val="clear" w:color="auto" w:fill="auto"/>
        </w:rPr>
      </w:pPr>
      <w:r>
        <w:rPr>
          <w:color w:val="auto"/>
          <w:highlight w:val="none"/>
          <w:shd w:val="clear" w:color="auto" w:fill="auto"/>
        </w:rPr>
        <w:br w:type="page"/>
      </w:r>
      <w:r>
        <w:rPr>
          <w:rFonts w:hint="eastAsia"/>
          <w:color w:val="auto"/>
          <w:highlight w:val="none"/>
          <w:shd w:val="clear" w:color="auto" w:fill="auto"/>
        </w:rPr>
        <w:t>五、符合性审查资料</w:t>
      </w:r>
    </w:p>
    <w:tbl>
      <w:tblPr>
        <w:tblStyle w:val="30"/>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140"/>
        <w:gridCol w:w="2410"/>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b/>
                <w:color w:val="auto"/>
                <w:highlight w:val="none"/>
                <w:shd w:val="clear" w:color="auto" w:fill="auto"/>
              </w:rPr>
            </w:pPr>
            <w:r>
              <w:rPr>
                <w:rFonts w:hint="eastAsia"/>
                <w:b/>
                <w:color w:val="auto"/>
                <w:highlight w:val="none"/>
                <w:shd w:val="clear" w:color="auto" w:fill="auto"/>
              </w:rPr>
              <w:t>序号</w:t>
            </w:r>
          </w:p>
        </w:tc>
        <w:tc>
          <w:tcPr>
            <w:tcW w:w="4140" w:type="dxa"/>
            <w:vAlign w:val="center"/>
          </w:tcPr>
          <w:p>
            <w:pPr>
              <w:snapToGrid w:val="0"/>
              <w:spacing w:line="240" w:lineRule="atLeast"/>
              <w:jc w:val="center"/>
              <w:rPr>
                <w:b/>
                <w:color w:val="auto"/>
                <w:highlight w:val="none"/>
                <w:shd w:val="clear" w:color="auto" w:fill="auto"/>
              </w:rPr>
            </w:pPr>
            <w:r>
              <w:rPr>
                <w:rFonts w:hint="eastAsia"/>
                <w:b/>
                <w:color w:val="auto"/>
                <w:highlight w:val="none"/>
                <w:shd w:val="clear" w:color="auto" w:fill="auto"/>
              </w:rPr>
              <w:t>实质性要求</w:t>
            </w:r>
          </w:p>
        </w:tc>
        <w:tc>
          <w:tcPr>
            <w:tcW w:w="2410" w:type="dxa"/>
            <w:vAlign w:val="center"/>
          </w:tcPr>
          <w:p>
            <w:pPr>
              <w:snapToGrid w:val="0"/>
              <w:spacing w:line="240" w:lineRule="atLeast"/>
              <w:jc w:val="center"/>
              <w:rPr>
                <w:b/>
                <w:color w:val="auto"/>
                <w:highlight w:val="none"/>
                <w:shd w:val="clear" w:color="auto" w:fill="auto"/>
              </w:rPr>
            </w:pPr>
            <w:r>
              <w:rPr>
                <w:rFonts w:hint="eastAsia"/>
                <w:b/>
                <w:color w:val="auto"/>
                <w:highlight w:val="none"/>
                <w:shd w:val="clear" w:color="auto" w:fill="auto"/>
              </w:rPr>
              <w:t>需要提供的符合性审查资料</w:t>
            </w:r>
          </w:p>
        </w:tc>
        <w:tc>
          <w:tcPr>
            <w:tcW w:w="1701" w:type="dxa"/>
            <w:vAlign w:val="center"/>
          </w:tcPr>
          <w:p>
            <w:pPr>
              <w:snapToGrid w:val="0"/>
              <w:spacing w:line="240" w:lineRule="atLeast"/>
              <w:jc w:val="center"/>
              <w:rPr>
                <w:b/>
                <w:color w:val="auto"/>
                <w:highlight w:val="none"/>
                <w:shd w:val="clear" w:color="auto" w:fill="auto"/>
              </w:rPr>
            </w:pPr>
            <w:r>
              <w:rPr>
                <w:rFonts w:hint="eastAsia"/>
                <w:b/>
                <w:color w:val="auto"/>
                <w:highlight w:val="none"/>
                <w:shd w:val="clear" w:color="auto" w:fill="auto"/>
              </w:rPr>
              <w:t>投标文件中的</w:t>
            </w:r>
          </w:p>
          <w:p>
            <w:pPr>
              <w:snapToGrid w:val="0"/>
              <w:spacing w:line="240" w:lineRule="atLeast"/>
              <w:jc w:val="center"/>
              <w:rPr>
                <w:b/>
                <w:color w:val="auto"/>
                <w:highlight w:val="none"/>
                <w:shd w:val="clear" w:color="auto" w:fill="auto"/>
              </w:rPr>
            </w:pPr>
            <w:r>
              <w:rPr>
                <w:rFonts w:hint="eastAsia"/>
                <w:b/>
                <w:color w:val="auto"/>
                <w:highlight w:val="none"/>
                <w:shd w:val="clear" w:color="auto" w:fill="auto"/>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color w:val="auto"/>
                <w:highlight w:val="none"/>
                <w:shd w:val="clear" w:color="auto" w:fill="auto"/>
              </w:rPr>
            </w:pPr>
            <w:r>
              <w:rPr>
                <w:color w:val="auto"/>
                <w:highlight w:val="none"/>
                <w:shd w:val="clear" w:color="auto" w:fill="auto"/>
              </w:rPr>
              <w:t>1</w:t>
            </w:r>
          </w:p>
        </w:tc>
        <w:tc>
          <w:tcPr>
            <w:tcW w:w="4140" w:type="dxa"/>
          </w:tcPr>
          <w:p>
            <w:pPr>
              <w:rPr>
                <w:rFonts w:ascii="仿宋_GB2312" w:eastAsia="仿宋_GB2312" w:cs="仿宋_GB2312"/>
                <w:color w:val="auto"/>
                <w:highlight w:val="none"/>
                <w:shd w:val="clear" w:color="auto" w:fill="auto"/>
              </w:rPr>
            </w:pPr>
            <w:r>
              <w:rPr>
                <w:rFonts w:hint="eastAsia" w:ascii="仿宋_GB2312" w:eastAsia="仿宋_GB2312" w:cs="仿宋_GB2312"/>
                <w:color w:val="auto"/>
                <w:highlight w:val="none"/>
                <w:shd w:val="clear" w:color="auto" w:fill="auto"/>
              </w:rPr>
              <w:t>投标文件按照招标文件要求签署、盖章。</w:t>
            </w:r>
          </w:p>
        </w:tc>
        <w:tc>
          <w:tcPr>
            <w:tcW w:w="2410" w:type="dxa"/>
            <w:vAlign w:val="center"/>
          </w:tcPr>
          <w:p>
            <w:pPr>
              <w:rPr>
                <w:color w:val="auto"/>
                <w:highlight w:val="none"/>
                <w:shd w:val="clear" w:color="auto" w:fill="auto"/>
              </w:rPr>
            </w:pPr>
            <w:r>
              <w:rPr>
                <w:rFonts w:hint="eastAsia"/>
                <w:color w:val="auto"/>
                <w:highlight w:val="none"/>
                <w:shd w:val="clear" w:color="auto" w:fill="auto"/>
              </w:rPr>
              <w:t>需要使用电子签名或者签字盖章的投标文件的组成部分</w:t>
            </w:r>
          </w:p>
        </w:tc>
        <w:tc>
          <w:tcPr>
            <w:tcW w:w="1701" w:type="dxa"/>
          </w:tcPr>
          <w:p>
            <w:pPr>
              <w:rPr>
                <w:rFonts w:cs="仿宋_GB2312"/>
                <w:color w:val="auto"/>
                <w:highlight w:val="none"/>
                <w:shd w:val="clear" w:color="auto" w:fill="auto"/>
              </w:rPr>
            </w:pPr>
          </w:p>
          <w:p>
            <w:pPr>
              <w:rPr>
                <w:rFonts w:cs="仿宋_GB2312"/>
                <w:color w:val="auto"/>
                <w:highlight w:val="none"/>
                <w:shd w:val="clear" w:color="auto" w:fill="auto"/>
              </w:rPr>
            </w:pPr>
            <w:r>
              <w:rPr>
                <w:rFonts w:hint="eastAsia" w:cs="仿宋_GB2312"/>
                <w:color w:val="auto"/>
                <w:highlight w:val="none"/>
                <w:shd w:val="clear" w:color="auto" w:fill="auto"/>
              </w:rPr>
              <w:t>见投标文件</w:t>
            </w:r>
          </w:p>
          <w:p>
            <w:pPr>
              <w:rPr>
                <w:color w:val="auto"/>
                <w:highlight w:val="none"/>
                <w:shd w:val="clear" w:color="auto" w:fill="auto"/>
              </w:rPr>
            </w:pPr>
            <w:r>
              <w:rPr>
                <w:rFonts w:hint="eastAsia" w:cs="仿宋_GB2312"/>
                <w:color w:val="auto"/>
                <w:highlight w:val="none"/>
                <w:shd w:val="clear" w:color="auto" w:fill="auto"/>
              </w:rPr>
              <w:t>第</w:t>
            </w:r>
            <w:r>
              <w:rPr>
                <w:rFonts w:cs="仿宋_GB2312"/>
                <w:color w:val="auto"/>
                <w:highlight w:val="none"/>
                <w:u w:val="single"/>
                <w:shd w:val="clear" w:color="auto" w:fill="auto"/>
              </w:rPr>
              <w:t xml:space="preserve">  </w:t>
            </w:r>
            <w:r>
              <w:rPr>
                <w:rFonts w:hint="eastAsia" w:cs="仿宋_GB2312"/>
                <w:color w:val="auto"/>
                <w:highlight w:val="none"/>
                <w:shd w:val="clear" w:color="auto" w:fill="auto"/>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仿宋_GB2312" w:eastAsia="仿宋_GB2312"/>
                <w:color w:val="auto"/>
                <w:highlight w:val="none"/>
                <w:shd w:val="clear" w:color="auto" w:fill="auto"/>
              </w:rPr>
            </w:pPr>
            <w:r>
              <w:rPr>
                <w:rFonts w:ascii="仿宋_GB2312" w:eastAsia="仿宋_GB2312"/>
                <w:color w:val="auto"/>
                <w:highlight w:val="none"/>
                <w:shd w:val="clear" w:color="auto" w:fill="auto"/>
              </w:rPr>
              <w:t>2</w:t>
            </w:r>
          </w:p>
        </w:tc>
        <w:tc>
          <w:tcPr>
            <w:tcW w:w="4140" w:type="dxa"/>
          </w:tcPr>
          <w:p>
            <w:pPr>
              <w:rPr>
                <w:rFonts w:ascii="仿宋_GB2312" w:eastAsia="仿宋_GB2312"/>
                <w:color w:val="auto"/>
                <w:highlight w:val="none"/>
                <w:shd w:val="clear" w:color="auto" w:fill="auto"/>
              </w:rPr>
            </w:pPr>
            <w:r>
              <w:rPr>
                <w:rFonts w:hint="eastAsia" w:ascii="仿宋_GB2312" w:eastAsia="仿宋_GB2312"/>
                <w:color w:val="auto"/>
                <w:highlight w:val="none"/>
                <w:shd w:val="clear" w:color="auto" w:fill="auto"/>
              </w:rPr>
              <w:t>采购人拟采购的产品属于政府强制采购的节能产品品目清单范围的，投标人按招标文件要求提供国家确定的认证机构出具的、处于有效期之内的节能产品认证证书。</w:t>
            </w:r>
          </w:p>
        </w:tc>
        <w:tc>
          <w:tcPr>
            <w:tcW w:w="2410" w:type="dxa"/>
            <w:vAlign w:val="center"/>
          </w:tcPr>
          <w:p>
            <w:pPr>
              <w:rPr>
                <w:color w:val="auto"/>
                <w:highlight w:val="none"/>
                <w:shd w:val="clear" w:color="auto" w:fill="auto"/>
              </w:rPr>
            </w:pPr>
            <w:r>
              <w:rPr>
                <w:rFonts w:hint="eastAsia" w:ascii="仿宋_GB2312" w:eastAsia="仿宋_GB2312" w:cs="仿宋_GB2312"/>
                <w:color w:val="auto"/>
                <w:highlight w:val="none"/>
                <w:shd w:val="clear" w:color="auto" w:fill="auto"/>
              </w:rPr>
              <w:t>节能产品认证证书（本项目</w:t>
            </w:r>
            <w:r>
              <w:rPr>
                <w:rFonts w:hint="eastAsia" w:ascii="仿宋_GB2312" w:eastAsia="仿宋_GB2312"/>
                <w:color w:val="auto"/>
                <w:highlight w:val="none"/>
                <w:shd w:val="clear" w:color="auto" w:fill="auto"/>
              </w:rPr>
              <w:t>拟采购的产品不属于政府强制采购的节能产品品目清单范围的</w:t>
            </w:r>
            <w:r>
              <w:rPr>
                <w:rFonts w:hint="eastAsia" w:ascii="仿宋_GB2312" w:eastAsia="仿宋_GB2312" w:cs="仿宋_GB2312"/>
                <w:color w:val="auto"/>
                <w:highlight w:val="none"/>
                <w:shd w:val="clear" w:color="auto" w:fill="auto"/>
              </w:rPr>
              <w:t>，无需提供）</w:t>
            </w:r>
          </w:p>
        </w:tc>
        <w:tc>
          <w:tcPr>
            <w:tcW w:w="1701" w:type="dxa"/>
          </w:tcPr>
          <w:p>
            <w:pPr>
              <w:rPr>
                <w:rFonts w:cs="仿宋_GB2312"/>
                <w:color w:val="auto"/>
                <w:highlight w:val="none"/>
                <w:shd w:val="clear" w:color="auto" w:fill="auto"/>
              </w:rPr>
            </w:pPr>
          </w:p>
          <w:p>
            <w:pPr>
              <w:rPr>
                <w:rFonts w:cs="仿宋_GB2312"/>
                <w:color w:val="auto"/>
                <w:highlight w:val="none"/>
                <w:shd w:val="clear" w:color="auto" w:fill="auto"/>
              </w:rPr>
            </w:pPr>
          </w:p>
          <w:p>
            <w:pPr>
              <w:rPr>
                <w:rFonts w:cs="仿宋_GB2312"/>
                <w:color w:val="auto"/>
                <w:highlight w:val="none"/>
                <w:shd w:val="clear" w:color="auto" w:fill="auto"/>
              </w:rPr>
            </w:pPr>
            <w:r>
              <w:rPr>
                <w:rFonts w:hint="eastAsia" w:cs="仿宋_GB2312"/>
                <w:color w:val="auto"/>
                <w:highlight w:val="none"/>
                <w:shd w:val="clear" w:color="auto" w:fill="auto"/>
              </w:rPr>
              <w:t>见投标文件</w:t>
            </w:r>
          </w:p>
          <w:p>
            <w:pPr>
              <w:rPr>
                <w:color w:val="auto"/>
                <w:highlight w:val="none"/>
                <w:shd w:val="clear" w:color="auto" w:fill="auto"/>
              </w:rPr>
            </w:pPr>
            <w:r>
              <w:rPr>
                <w:rFonts w:hint="eastAsia" w:cs="仿宋_GB2312"/>
                <w:color w:val="auto"/>
                <w:highlight w:val="none"/>
                <w:shd w:val="clear" w:color="auto" w:fill="auto"/>
              </w:rPr>
              <w:t>第</w:t>
            </w:r>
            <w:r>
              <w:rPr>
                <w:rFonts w:cs="仿宋_GB2312"/>
                <w:color w:val="auto"/>
                <w:highlight w:val="none"/>
                <w:u w:val="single"/>
                <w:shd w:val="clear" w:color="auto" w:fill="auto"/>
              </w:rPr>
              <w:t xml:space="preserve">  </w:t>
            </w:r>
            <w:r>
              <w:rPr>
                <w:rFonts w:hint="eastAsia" w:cs="仿宋_GB2312"/>
                <w:color w:val="auto"/>
                <w:highlight w:val="none"/>
                <w:shd w:val="clear" w:color="auto" w:fill="auto"/>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color w:val="auto"/>
                <w:highlight w:val="none"/>
                <w:shd w:val="clear" w:color="auto" w:fill="auto"/>
              </w:rPr>
            </w:pPr>
            <w:r>
              <w:rPr>
                <w:color w:val="auto"/>
                <w:highlight w:val="none"/>
                <w:shd w:val="clear" w:color="auto" w:fill="auto"/>
              </w:rPr>
              <w:t>3</w:t>
            </w:r>
          </w:p>
        </w:tc>
        <w:tc>
          <w:tcPr>
            <w:tcW w:w="4140" w:type="dxa"/>
          </w:tcPr>
          <w:p>
            <w:pPr>
              <w:rPr>
                <w:rFonts w:ascii="仿宋_GB2312" w:eastAsia="仿宋_GB2312" w:cs="仿宋_GB2312"/>
                <w:color w:val="auto"/>
                <w:highlight w:val="none"/>
                <w:shd w:val="clear" w:color="auto" w:fill="auto"/>
              </w:rPr>
            </w:pPr>
            <w:r>
              <w:rPr>
                <w:rFonts w:hint="eastAsia" w:ascii="仿宋_GB2312" w:eastAsia="仿宋_GB2312"/>
                <w:color w:val="auto"/>
                <w:highlight w:val="none"/>
                <w:shd w:val="clear" w:color="auto" w:fill="auto"/>
              </w:rPr>
              <w:t>投标文件中承诺的投标有效期不少于招标文件中载明的投标有效期。</w:t>
            </w:r>
          </w:p>
        </w:tc>
        <w:tc>
          <w:tcPr>
            <w:tcW w:w="2410" w:type="dxa"/>
            <w:vAlign w:val="center"/>
          </w:tcPr>
          <w:p>
            <w:pPr>
              <w:rPr>
                <w:color w:val="auto"/>
                <w:highlight w:val="none"/>
                <w:shd w:val="clear" w:color="auto" w:fill="auto"/>
              </w:rPr>
            </w:pPr>
            <w:r>
              <w:rPr>
                <w:rFonts w:hint="eastAsia"/>
                <w:color w:val="auto"/>
                <w:highlight w:val="none"/>
                <w:shd w:val="clear" w:color="auto" w:fill="auto"/>
              </w:rPr>
              <w:t>投标函</w:t>
            </w:r>
          </w:p>
        </w:tc>
        <w:tc>
          <w:tcPr>
            <w:tcW w:w="1701" w:type="dxa"/>
          </w:tcPr>
          <w:p>
            <w:pPr>
              <w:rPr>
                <w:color w:val="auto"/>
                <w:highlight w:val="none"/>
                <w:shd w:val="clear" w:color="auto" w:fill="auto"/>
              </w:rPr>
            </w:pPr>
            <w:r>
              <w:rPr>
                <w:rFonts w:hint="eastAsia" w:cs="仿宋_GB2312"/>
                <w:color w:val="auto"/>
                <w:highlight w:val="none"/>
                <w:shd w:val="clear" w:color="auto" w:fill="auto"/>
              </w:rPr>
              <w:t>见投标文件第</w:t>
            </w:r>
            <w:r>
              <w:rPr>
                <w:rFonts w:cs="仿宋_GB2312"/>
                <w:color w:val="auto"/>
                <w:highlight w:val="none"/>
                <w:u w:val="single"/>
                <w:shd w:val="clear" w:color="auto" w:fill="auto"/>
              </w:rPr>
              <w:t xml:space="preserve">  </w:t>
            </w:r>
            <w:r>
              <w:rPr>
                <w:rFonts w:hint="eastAsia" w:cs="仿宋_GB2312"/>
                <w:color w:val="auto"/>
                <w:highlight w:val="none"/>
                <w:shd w:val="clear" w:color="auto" w:fill="auto"/>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color w:val="auto"/>
                <w:highlight w:val="none"/>
                <w:shd w:val="clear" w:color="auto" w:fill="auto"/>
              </w:rPr>
            </w:pPr>
            <w:r>
              <w:rPr>
                <w:color w:val="auto"/>
                <w:highlight w:val="none"/>
                <w:shd w:val="clear" w:color="auto" w:fill="auto"/>
              </w:rPr>
              <w:t>4</w:t>
            </w:r>
          </w:p>
        </w:tc>
        <w:tc>
          <w:tcPr>
            <w:tcW w:w="4140" w:type="dxa"/>
          </w:tcPr>
          <w:p>
            <w:pPr>
              <w:rPr>
                <w:rFonts w:ascii="仿宋_GB2312" w:eastAsia="仿宋_GB2312"/>
                <w:color w:val="auto"/>
                <w:highlight w:val="none"/>
                <w:shd w:val="clear" w:color="auto" w:fill="auto"/>
              </w:rPr>
            </w:pPr>
            <w:r>
              <w:rPr>
                <w:rFonts w:hint="eastAsia" w:ascii="仿宋_GB2312" w:eastAsia="仿宋_GB2312"/>
                <w:color w:val="auto"/>
                <w:highlight w:val="none"/>
                <w:shd w:val="clear" w:color="auto" w:fill="auto"/>
              </w:rPr>
              <w:t>投标文件满足招标文件的其它实质性要求。</w:t>
            </w:r>
          </w:p>
        </w:tc>
        <w:tc>
          <w:tcPr>
            <w:tcW w:w="2410" w:type="dxa"/>
            <w:vAlign w:val="center"/>
          </w:tcPr>
          <w:p>
            <w:pPr>
              <w:rPr>
                <w:color w:val="auto"/>
                <w:highlight w:val="none"/>
                <w:shd w:val="clear" w:color="auto" w:fill="auto"/>
              </w:rPr>
            </w:pPr>
            <w:r>
              <w:rPr>
                <w:rFonts w:hint="eastAsia" w:ascii="仿宋_GB2312" w:eastAsia="仿宋_GB2312" w:cs="仿宋_GB2312"/>
                <w:color w:val="auto"/>
                <w:highlight w:val="none"/>
                <w:shd w:val="clear" w:color="auto" w:fill="auto"/>
              </w:rPr>
              <w:t>招标文件其它实质性要求相应的材料（“▲”</w:t>
            </w:r>
            <w:r>
              <w:rPr>
                <w:rFonts w:ascii="仿宋_GB2312" w:eastAsia="仿宋_GB2312" w:cs="仿宋_GB2312"/>
                <w:color w:val="auto"/>
                <w:highlight w:val="none"/>
                <w:shd w:val="clear" w:color="auto" w:fill="auto"/>
              </w:rPr>
              <w:t xml:space="preserve"> </w:t>
            </w:r>
            <w:r>
              <w:rPr>
                <w:rFonts w:hint="eastAsia" w:ascii="仿宋_GB2312" w:eastAsia="仿宋_GB2312" w:cs="仿宋_GB2312"/>
                <w:color w:val="auto"/>
                <w:highlight w:val="none"/>
                <w:shd w:val="clear" w:color="auto" w:fill="auto"/>
              </w:rPr>
              <w:t>系指实质性要求条款，招标文件无其它实质性要求的，无需提供）</w:t>
            </w:r>
          </w:p>
        </w:tc>
        <w:tc>
          <w:tcPr>
            <w:tcW w:w="1701" w:type="dxa"/>
          </w:tcPr>
          <w:p>
            <w:pPr>
              <w:rPr>
                <w:color w:val="auto"/>
                <w:highlight w:val="none"/>
                <w:shd w:val="clear" w:color="auto" w:fill="auto"/>
              </w:rPr>
            </w:pPr>
            <w:r>
              <w:rPr>
                <w:rFonts w:hint="eastAsia" w:cs="仿宋_GB2312"/>
                <w:color w:val="auto"/>
                <w:highlight w:val="none"/>
                <w:shd w:val="clear" w:color="auto" w:fill="auto"/>
              </w:rPr>
              <w:t>见投标文件第</w:t>
            </w:r>
            <w:r>
              <w:rPr>
                <w:rFonts w:cs="仿宋_GB2312"/>
                <w:color w:val="auto"/>
                <w:highlight w:val="none"/>
                <w:u w:val="single"/>
                <w:shd w:val="clear" w:color="auto" w:fill="auto"/>
              </w:rPr>
              <w:t xml:space="preserve">  </w:t>
            </w:r>
            <w:r>
              <w:rPr>
                <w:rFonts w:hint="eastAsia" w:cs="仿宋_GB2312"/>
                <w:color w:val="auto"/>
                <w:highlight w:val="none"/>
                <w:shd w:val="clear" w:color="auto" w:fill="auto"/>
              </w:rPr>
              <w:t>页</w:t>
            </w:r>
          </w:p>
        </w:tc>
      </w:tr>
    </w:tbl>
    <w:p>
      <w:pPr>
        <w:rPr>
          <w:rFonts w:ascii="仿宋_GB2312" w:eastAsia="仿宋_GB2312" w:cs="仿宋_GB2312"/>
          <w:color w:val="auto"/>
          <w:highlight w:val="none"/>
          <w:shd w:val="clear" w:color="auto" w:fill="auto"/>
        </w:rPr>
      </w:pPr>
      <w:r>
        <w:rPr>
          <w:rFonts w:ascii="仿宋_GB2312" w:eastAsia="仿宋_GB2312" w:cs="仿宋_GB2312"/>
          <w:color w:val="auto"/>
          <w:highlight w:val="none"/>
          <w:shd w:val="clear" w:color="auto" w:fill="auto"/>
        </w:rPr>
        <w:t>注：</w:t>
      </w:r>
      <w:r>
        <w:rPr>
          <w:rFonts w:hint="eastAsia" w:ascii="仿宋_GB2312" w:eastAsia="仿宋_GB2312" w:cs="仿宋_GB2312"/>
          <w:color w:val="auto"/>
          <w:highlight w:val="none"/>
          <w:shd w:val="clear" w:color="auto" w:fill="auto"/>
        </w:rPr>
        <w:t>按本格式和要求提供。</w:t>
      </w:r>
    </w:p>
    <w:p>
      <w:pPr>
        <w:rPr>
          <w:rFonts w:ascii="仿宋_GB2312" w:eastAsia="仿宋_GB2312" w:cs="仿宋_GB2312"/>
          <w:color w:val="auto"/>
          <w:highlight w:val="none"/>
          <w:shd w:val="clear" w:color="auto" w:fill="auto"/>
        </w:rPr>
      </w:pPr>
      <w:r>
        <w:rPr>
          <w:rFonts w:ascii="仿宋_GB2312" w:eastAsia="仿宋_GB2312" w:cs="仿宋_GB2312"/>
          <w:color w:val="auto"/>
          <w:highlight w:val="none"/>
          <w:shd w:val="clear" w:color="auto" w:fill="auto"/>
        </w:rPr>
        <w:br w:type="page"/>
      </w:r>
    </w:p>
    <w:p>
      <w:pPr>
        <w:pStyle w:val="3"/>
        <w:rPr>
          <w:color w:val="auto"/>
          <w:highlight w:val="none"/>
          <w:shd w:val="clear" w:color="auto" w:fill="auto"/>
        </w:rPr>
      </w:pPr>
      <w:r>
        <w:rPr>
          <w:rFonts w:hint="eastAsia"/>
          <w:color w:val="auto"/>
          <w:highlight w:val="none"/>
          <w:shd w:val="clear" w:color="auto" w:fill="auto"/>
        </w:rPr>
        <w:t>六、评标标准相应的商务技术资料</w:t>
      </w:r>
    </w:p>
    <w:p>
      <w:pPr>
        <w:snapToGrid w:val="0"/>
        <w:spacing w:line="360" w:lineRule="auto"/>
        <w:rPr>
          <w:rFonts w:ascii="仿宋_GB2312" w:eastAsia="仿宋_GB2312" w:cs="仿宋_GB2312"/>
          <w:b/>
          <w:color w:val="auto"/>
          <w:highlight w:val="none"/>
          <w:shd w:val="clear" w:color="auto" w:fill="auto"/>
        </w:rPr>
      </w:pPr>
      <w:r>
        <w:rPr>
          <w:rFonts w:hint="eastAsia" w:ascii="仿宋_GB2312" w:eastAsia="仿宋_GB2312" w:cs="仿宋_GB2312"/>
          <w:b/>
          <w:color w:val="auto"/>
          <w:highlight w:val="none"/>
          <w:shd w:val="clear" w:color="auto" w:fill="auto"/>
        </w:rPr>
        <w:t>（按招标文件第四部分评标办法前附表中“投标文件中评标标准相应的商务技术资料目录”提供资料。）</w:t>
      </w:r>
    </w:p>
    <w:p>
      <w:pPr>
        <w:spacing w:line="276" w:lineRule="auto"/>
        <w:rPr>
          <w:rFonts w:ascii="仿宋_GB2312" w:eastAsia="仿宋_GB2312" w:cs="仿宋_GB2312"/>
          <w:b/>
          <w:color w:val="auto"/>
          <w:highlight w:val="none"/>
          <w:shd w:val="clear" w:color="auto" w:fill="auto"/>
        </w:rPr>
      </w:pPr>
      <w:r>
        <w:rPr>
          <w:rFonts w:ascii="仿宋_GB2312" w:eastAsia="仿宋_GB2312" w:cs="仿宋_GB2312"/>
          <w:b/>
          <w:color w:val="auto"/>
          <w:highlight w:val="none"/>
          <w:shd w:val="clear" w:color="auto" w:fill="auto"/>
        </w:rPr>
        <w:br w:type="page"/>
      </w:r>
    </w:p>
    <w:p>
      <w:pPr>
        <w:pStyle w:val="3"/>
        <w:rPr>
          <w:color w:val="auto"/>
          <w:highlight w:val="none"/>
          <w:shd w:val="clear" w:color="auto" w:fill="auto"/>
        </w:rPr>
      </w:pPr>
      <w:r>
        <w:rPr>
          <w:rFonts w:hint="eastAsia"/>
          <w:color w:val="auto"/>
          <w:highlight w:val="none"/>
          <w:shd w:val="clear" w:color="auto" w:fill="auto"/>
        </w:rPr>
        <w:t>七、投标标的清单</w:t>
      </w:r>
    </w:p>
    <w:tbl>
      <w:tblPr>
        <w:tblStyle w:val="30"/>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r>
              <w:rPr>
                <w:rFonts w:hint="eastAsia"/>
                <w:color w:val="auto"/>
                <w:highlight w:val="none"/>
                <w:shd w:val="clear" w:color="auto" w:fill="auto"/>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r>
              <w:rPr>
                <w:rFonts w:hint="eastAsia"/>
                <w:color w:val="auto"/>
                <w:highlight w:val="none"/>
                <w:shd w:val="clear" w:color="auto" w:fill="auto"/>
              </w:rPr>
              <w:t>名称</w:t>
            </w:r>
          </w:p>
        </w:tc>
        <w:tc>
          <w:tcPr>
            <w:tcW w:w="1114"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r>
              <w:rPr>
                <w:rFonts w:hint="eastAsia"/>
                <w:color w:val="auto"/>
                <w:highlight w:val="none"/>
                <w:shd w:val="clear" w:color="auto" w:fill="auto"/>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r>
              <w:rPr>
                <w:rFonts w:hint="eastAsia"/>
                <w:color w:val="auto"/>
                <w:highlight w:val="none"/>
                <w:shd w:val="clear" w:color="auto" w:fill="auto"/>
              </w:rPr>
              <w:t>型号（如果有）</w:t>
            </w:r>
          </w:p>
        </w:tc>
        <w:tc>
          <w:tcPr>
            <w:tcW w:w="2775"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r>
              <w:rPr>
                <w:rFonts w:hint="eastAsia"/>
                <w:color w:val="auto"/>
                <w:highlight w:val="none"/>
                <w:shd w:val="clear" w:color="auto" w:fill="auto"/>
              </w:rPr>
              <w:t>规格配置详细说明</w:t>
            </w:r>
          </w:p>
        </w:tc>
        <w:tc>
          <w:tcPr>
            <w:tcW w:w="930"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r>
              <w:rPr>
                <w:rFonts w:hint="eastAsia"/>
                <w:color w:val="auto"/>
                <w:highlight w:val="none"/>
                <w:shd w:val="clear" w:color="auto" w:fill="auto"/>
              </w:rPr>
              <w:t>数量</w:t>
            </w:r>
          </w:p>
        </w:tc>
        <w:tc>
          <w:tcPr>
            <w:tcW w:w="1526"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r>
              <w:rPr>
                <w:rFonts w:hint="eastAsia"/>
                <w:color w:val="auto"/>
                <w:highlight w:val="none"/>
                <w:shd w:val="clear" w:color="auto" w:fill="auto"/>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r>
              <w:rPr>
                <w:rFonts w:hint="eastAsia"/>
                <w:color w:val="auto"/>
                <w:highlight w:val="none"/>
                <w:shd w:val="clear" w:color="auto" w:fill="auto"/>
              </w:rPr>
              <w:t>1</w:t>
            </w:r>
          </w:p>
        </w:tc>
        <w:tc>
          <w:tcPr>
            <w:tcW w:w="1369"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p>
        </w:tc>
        <w:tc>
          <w:tcPr>
            <w:tcW w:w="1114"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p>
        </w:tc>
        <w:tc>
          <w:tcPr>
            <w:tcW w:w="1260"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p>
        </w:tc>
        <w:tc>
          <w:tcPr>
            <w:tcW w:w="2775"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p>
        </w:tc>
        <w:tc>
          <w:tcPr>
            <w:tcW w:w="930"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p>
        </w:tc>
        <w:tc>
          <w:tcPr>
            <w:tcW w:w="1526"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r>
              <w:rPr>
                <w:rFonts w:hint="eastAsia"/>
                <w:color w:val="auto"/>
                <w:highlight w:val="none"/>
                <w:shd w:val="clear" w:color="auto" w:fill="auto"/>
              </w:rPr>
              <w:t>2</w:t>
            </w:r>
          </w:p>
        </w:tc>
        <w:tc>
          <w:tcPr>
            <w:tcW w:w="1369"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p>
        </w:tc>
        <w:tc>
          <w:tcPr>
            <w:tcW w:w="1114"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p>
        </w:tc>
        <w:tc>
          <w:tcPr>
            <w:tcW w:w="1260"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p>
        </w:tc>
        <w:tc>
          <w:tcPr>
            <w:tcW w:w="2775"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p>
        </w:tc>
        <w:tc>
          <w:tcPr>
            <w:tcW w:w="930"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p>
        </w:tc>
        <w:tc>
          <w:tcPr>
            <w:tcW w:w="1526"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r>
              <w:rPr>
                <w:rFonts w:hint="eastAsia"/>
                <w:color w:val="auto"/>
                <w:highlight w:val="none"/>
                <w:shd w:val="clear" w:color="auto" w:fill="auto"/>
              </w:rPr>
              <w:t>……</w:t>
            </w:r>
          </w:p>
        </w:tc>
        <w:tc>
          <w:tcPr>
            <w:tcW w:w="1369"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p>
        </w:tc>
        <w:tc>
          <w:tcPr>
            <w:tcW w:w="1114"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p>
        </w:tc>
        <w:tc>
          <w:tcPr>
            <w:tcW w:w="1260"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p>
        </w:tc>
        <w:tc>
          <w:tcPr>
            <w:tcW w:w="2775"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p>
        </w:tc>
        <w:tc>
          <w:tcPr>
            <w:tcW w:w="930"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p>
        </w:tc>
        <w:tc>
          <w:tcPr>
            <w:tcW w:w="1526" w:type="dxa"/>
            <w:tcBorders>
              <w:top w:val="single" w:color="auto" w:sz="4" w:space="0"/>
              <w:left w:val="single" w:color="auto" w:sz="4" w:space="0"/>
              <w:bottom w:val="single" w:color="auto" w:sz="4" w:space="0"/>
              <w:right w:val="single" w:color="auto" w:sz="4" w:space="0"/>
            </w:tcBorders>
            <w:vAlign w:val="center"/>
          </w:tcPr>
          <w:p>
            <w:pPr>
              <w:rPr>
                <w:color w:val="auto"/>
                <w:highlight w:val="none"/>
                <w:shd w:val="clear" w:color="auto" w:fill="auto"/>
              </w:rPr>
            </w:pPr>
          </w:p>
        </w:tc>
      </w:tr>
    </w:tbl>
    <w:p>
      <w:pPr>
        <w:rPr>
          <w:rFonts w:cs="仿宋_GB2312"/>
          <w:color w:val="auto"/>
          <w:highlight w:val="none"/>
          <w:shd w:val="clear" w:color="auto" w:fill="auto"/>
        </w:rPr>
      </w:pPr>
      <w:r>
        <w:rPr>
          <w:rFonts w:cs="仿宋_GB2312"/>
          <w:color w:val="auto"/>
          <w:highlight w:val="none"/>
          <w:shd w:val="clear" w:color="auto" w:fill="auto"/>
        </w:rPr>
        <w:t>注：</w:t>
      </w:r>
      <w:r>
        <w:rPr>
          <w:rFonts w:hint="eastAsia" w:cs="仿宋_GB2312"/>
          <w:color w:val="auto"/>
          <w:highlight w:val="none"/>
          <w:shd w:val="clear" w:color="auto" w:fill="auto"/>
        </w:rPr>
        <w:t>按本格式和要求提供。</w:t>
      </w:r>
    </w:p>
    <w:p>
      <w:pPr>
        <w:pStyle w:val="3"/>
        <w:rPr>
          <w:color w:val="auto"/>
          <w:highlight w:val="none"/>
          <w:shd w:val="clear" w:color="auto" w:fill="auto"/>
        </w:rPr>
      </w:pPr>
      <w:r>
        <w:rPr>
          <w:rFonts w:hint="eastAsia"/>
          <w:color w:val="auto"/>
          <w:highlight w:val="none"/>
          <w:shd w:val="clear" w:color="auto" w:fill="auto"/>
        </w:rPr>
        <w:t>八、商务技术偏离表</w:t>
      </w:r>
    </w:p>
    <w:tbl>
      <w:tblPr>
        <w:tblStyle w:val="31"/>
        <w:tblW w:w="9464" w:type="dxa"/>
        <w:tblInd w:w="-58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spacing w:after="0"/>
              <w:jc w:val="center"/>
              <w:rPr>
                <w:rFonts w:ascii="仿宋_GB2312" w:eastAsia="仿宋_GB2312"/>
                <w:b/>
                <w:bCs/>
                <w:color w:val="auto"/>
                <w:highlight w:val="none"/>
                <w:shd w:val="clear" w:color="auto" w:fill="auto"/>
              </w:rPr>
            </w:pPr>
            <w:r>
              <w:rPr>
                <w:rFonts w:hint="eastAsia" w:ascii="仿宋_GB2312" w:eastAsia="仿宋_GB2312"/>
                <w:b/>
                <w:bCs/>
                <w:color w:val="auto"/>
                <w:highlight w:val="none"/>
                <w:shd w:val="clear" w:color="auto" w:fill="auto"/>
              </w:rPr>
              <w:t>序号</w:t>
            </w:r>
          </w:p>
        </w:tc>
        <w:tc>
          <w:tcPr>
            <w:tcW w:w="3683" w:type="dxa"/>
          </w:tcPr>
          <w:p>
            <w:pPr>
              <w:spacing w:after="0"/>
              <w:jc w:val="center"/>
              <w:rPr>
                <w:rFonts w:ascii="仿宋_GB2312" w:eastAsia="仿宋_GB2312"/>
                <w:b/>
                <w:bCs/>
                <w:color w:val="auto"/>
                <w:highlight w:val="none"/>
                <w:shd w:val="clear" w:color="auto" w:fill="auto"/>
              </w:rPr>
            </w:pPr>
            <w:r>
              <w:rPr>
                <w:rFonts w:hint="eastAsia" w:ascii="仿宋_GB2312" w:eastAsia="仿宋_GB2312"/>
                <w:b/>
                <w:bCs/>
                <w:color w:val="auto"/>
                <w:highlight w:val="none"/>
                <w:shd w:val="clear" w:color="auto" w:fill="auto"/>
              </w:rPr>
              <w:t>招标文件章节及具体内容</w:t>
            </w:r>
          </w:p>
        </w:tc>
        <w:tc>
          <w:tcPr>
            <w:tcW w:w="3546" w:type="dxa"/>
          </w:tcPr>
          <w:p>
            <w:pPr>
              <w:spacing w:after="0"/>
              <w:jc w:val="center"/>
              <w:rPr>
                <w:rFonts w:ascii="仿宋_GB2312" w:eastAsia="仿宋_GB2312"/>
                <w:b/>
                <w:bCs/>
                <w:color w:val="auto"/>
                <w:highlight w:val="none"/>
                <w:shd w:val="clear" w:color="auto" w:fill="auto"/>
              </w:rPr>
            </w:pPr>
            <w:r>
              <w:rPr>
                <w:rFonts w:hint="eastAsia" w:ascii="仿宋_GB2312" w:eastAsia="仿宋_GB2312"/>
                <w:b/>
                <w:bCs/>
                <w:color w:val="auto"/>
                <w:highlight w:val="none"/>
                <w:shd w:val="clear" w:color="auto" w:fill="auto"/>
              </w:rPr>
              <w:t>投标文件章节及具体内容</w:t>
            </w:r>
          </w:p>
        </w:tc>
        <w:tc>
          <w:tcPr>
            <w:tcW w:w="1276" w:type="dxa"/>
          </w:tcPr>
          <w:p>
            <w:pPr>
              <w:spacing w:after="0"/>
              <w:jc w:val="center"/>
              <w:rPr>
                <w:rFonts w:ascii="仿宋_GB2312" w:eastAsia="仿宋_GB2312"/>
                <w:b/>
                <w:bCs/>
                <w:color w:val="auto"/>
                <w:highlight w:val="none"/>
                <w:shd w:val="clear" w:color="auto" w:fill="auto"/>
              </w:rPr>
            </w:pPr>
            <w:r>
              <w:rPr>
                <w:rFonts w:hint="eastAsia" w:ascii="仿宋_GB2312" w:eastAsia="仿宋_GB2312"/>
                <w:b/>
                <w:bCs/>
                <w:color w:val="auto"/>
                <w:highlight w:val="none"/>
                <w:shd w:val="clear" w:color="auto" w:fill="auto"/>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spacing w:after="0"/>
              <w:jc w:val="center"/>
              <w:rPr>
                <w:rFonts w:ascii="仿宋_GB2312" w:eastAsia="仿宋_GB2312" w:cs="仿宋_GB2312"/>
                <w:color w:val="auto"/>
                <w:highlight w:val="none"/>
                <w:shd w:val="clear" w:color="auto" w:fill="auto"/>
              </w:rPr>
            </w:pPr>
            <w:r>
              <w:rPr>
                <w:rFonts w:ascii="仿宋_GB2312" w:eastAsia="仿宋_GB2312" w:cs="仿宋_GB2312"/>
                <w:color w:val="auto"/>
                <w:highlight w:val="none"/>
                <w:shd w:val="clear" w:color="auto" w:fill="auto"/>
              </w:rPr>
              <w:t>1</w:t>
            </w:r>
          </w:p>
        </w:tc>
        <w:tc>
          <w:tcPr>
            <w:tcW w:w="3683" w:type="dxa"/>
          </w:tcPr>
          <w:p>
            <w:pPr>
              <w:spacing w:after="0"/>
              <w:jc w:val="center"/>
              <w:rPr>
                <w:rFonts w:ascii="仿宋_GB2312" w:eastAsia="仿宋_GB2312" w:cs="仿宋_GB2312"/>
                <w:b/>
                <w:color w:val="auto"/>
                <w:sz w:val="32"/>
                <w:szCs w:val="32"/>
                <w:highlight w:val="none"/>
                <w:shd w:val="clear" w:color="auto" w:fill="auto"/>
              </w:rPr>
            </w:pPr>
          </w:p>
        </w:tc>
        <w:tc>
          <w:tcPr>
            <w:tcW w:w="3546" w:type="dxa"/>
          </w:tcPr>
          <w:p>
            <w:pPr>
              <w:spacing w:after="0"/>
              <w:jc w:val="center"/>
              <w:rPr>
                <w:rFonts w:ascii="仿宋_GB2312" w:eastAsia="仿宋_GB2312" w:cs="仿宋_GB2312"/>
                <w:b/>
                <w:color w:val="auto"/>
                <w:sz w:val="32"/>
                <w:szCs w:val="32"/>
                <w:highlight w:val="none"/>
                <w:shd w:val="clear" w:color="auto" w:fill="auto"/>
              </w:rPr>
            </w:pPr>
          </w:p>
        </w:tc>
        <w:tc>
          <w:tcPr>
            <w:tcW w:w="1276" w:type="dxa"/>
          </w:tcPr>
          <w:p>
            <w:pPr>
              <w:spacing w:after="0"/>
              <w:jc w:val="center"/>
              <w:rPr>
                <w:rFonts w:ascii="仿宋_GB2312" w:eastAsia="仿宋_GB2312" w:cs="仿宋_GB2312"/>
                <w:b/>
                <w:color w:val="auto"/>
                <w:sz w:val="32"/>
                <w:szCs w:val="32"/>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spacing w:after="0"/>
              <w:jc w:val="center"/>
              <w:rPr>
                <w:rFonts w:ascii="仿宋_GB2312" w:eastAsia="仿宋_GB2312" w:cs="仿宋_GB2312"/>
                <w:color w:val="auto"/>
                <w:highlight w:val="none"/>
                <w:shd w:val="clear" w:color="auto" w:fill="auto"/>
              </w:rPr>
            </w:pPr>
            <w:r>
              <w:rPr>
                <w:rFonts w:ascii="仿宋_GB2312" w:eastAsia="仿宋_GB2312" w:cs="仿宋_GB2312"/>
                <w:color w:val="auto"/>
                <w:highlight w:val="none"/>
                <w:shd w:val="clear" w:color="auto" w:fill="auto"/>
              </w:rPr>
              <w:t>2</w:t>
            </w:r>
          </w:p>
        </w:tc>
        <w:tc>
          <w:tcPr>
            <w:tcW w:w="3683" w:type="dxa"/>
          </w:tcPr>
          <w:p>
            <w:pPr>
              <w:spacing w:after="0"/>
              <w:jc w:val="center"/>
              <w:rPr>
                <w:rFonts w:ascii="仿宋_GB2312" w:eastAsia="仿宋_GB2312" w:cs="仿宋_GB2312"/>
                <w:b/>
                <w:color w:val="auto"/>
                <w:sz w:val="32"/>
                <w:szCs w:val="32"/>
                <w:highlight w:val="none"/>
                <w:shd w:val="clear" w:color="auto" w:fill="auto"/>
              </w:rPr>
            </w:pPr>
          </w:p>
        </w:tc>
        <w:tc>
          <w:tcPr>
            <w:tcW w:w="3546" w:type="dxa"/>
          </w:tcPr>
          <w:p>
            <w:pPr>
              <w:spacing w:after="0"/>
              <w:jc w:val="center"/>
              <w:rPr>
                <w:rFonts w:ascii="仿宋_GB2312" w:eastAsia="仿宋_GB2312" w:cs="仿宋_GB2312"/>
                <w:b/>
                <w:color w:val="auto"/>
                <w:sz w:val="32"/>
                <w:szCs w:val="32"/>
                <w:highlight w:val="none"/>
                <w:shd w:val="clear" w:color="auto" w:fill="auto"/>
              </w:rPr>
            </w:pPr>
          </w:p>
        </w:tc>
        <w:tc>
          <w:tcPr>
            <w:tcW w:w="1276" w:type="dxa"/>
          </w:tcPr>
          <w:p>
            <w:pPr>
              <w:spacing w:after="0"/>
              <w:jc w:val="center"/>
              <w:rPr>
                <w:rFonts w:ascii="仿宋_GB2312" w:eastAsia="仿宋_GB2312" w:cs="仿宋_GB2312"/>
                <w:b/>
                <w:color w:val="auto"/>
                <w:sz w:val="32"/>
                <w:szCs w:val="32"/>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spacing w:after="0"/>
              <w:jc w:val="center"/>
              <w:rPr>
                <w:rFonts w:ascii="仿宋_GB2312" w:eastAsia="仿宋_GB2312" w:cs="仿宋_GB2312"/>
                <w:color w:val="auto"/>
                <w:highlight w:val="none"/>
                <w:shd w:val="clear" w:color="auto" w:fill="auto"/>
              </w:rPr>
            </w:pPr>
            <w:r>
              <w:rPr>
                <w:rFonts w:hint="eastAsia" w:ascii="仿宋_GB2312" w:eastAsia="仿宋_GB2312" w:cs="仿宋_GB2312"/>
                <w:color w:val="auto"/>
                <w:highlight w:val="none"/>
                <w:shd w:val="clear" w:color="auto" w:fill="auto"/>
              </w:rPr>
              <w:t>……</w:t>
            </w:r>
          </w:p>
        </w:tc>
        <w:tc>
          <w:tcPr>
            <w:tcW w:w="3683" w:type="dxa"/>
          </w:tcPr>
          <w:p>
            <w:pPr>
              <w:spacing w:after="0"/>
              <w:jc w:val="center"/>
              <w:rPr>
                <w:rFonts w:ascii="仿宋_GB2312" w:eastAsia="仿宋_GB2312" w:cs="仿宋_GB2312"/>
                <w:b/>
                <w:color w:val="auto"/>
                <w:sz w:val="32"/>
                <w:szCs w:val="32"/>
                <w:highlight w:val="none"/>
                <w:shd w:val="clear" w:color="auto" w:fill="auto"/>
              </w:rPr>
            </w:pPr>
          </w:p>
        </w:tc>
        <w:tc>
          <w:tcPr>
            <w:tcW w:w="3546" w:type="dxa"/>
          </w:tcPr>
          <w:p>
            <w:pPr>
              <w:spacing w:after="0"/>
              <w:jc w:val="center"/>
              <w:rPr>
                <w:rFonts w:ascii="仿宋_GB2312" w:eastAsia="仿宋_GB2312" w:cs="仿宋_GB2312"/>
                <w:b/>
                <w:color w:val="auto"/>
                <w:sz w:val="32"/>
                <w:szCs w:val="32"/>
                <w:highlight w:val="none"/>
                <w:shd w:val="clear" w:color="auto" w:fill="auto"/>
              </w:rPr>
            </w:pPr>
          </w:p>
        </w:tc>
        <w:tc>
          <w:tcPr>
            <w:tcW w:w="1276" w:type="dxa"/>
          </w:tcPr>
          <w:p>
            <w:pPr>
              <w:spacing w:after="0"/>
              <w:jc w:val="center"/>
              <w:rPr>
                <w:rFonts w:ascii="仿宋_GB2312" w:eastAsia="仿宋_GB2312" w:cs="仿宋_GB2312"/>
                <w:b/>
                <w:color w:val="auto"/>
                <w:sz w:val="32"/>
                <w:szCs w:val="32"/>
                <w:highlight w:val="none"/>
                <w:shd w:val="clear" w:color="auto" w:fill="auto"/>
              </w:rPr>
            </w:pPr>
          </w:p>
        </w:tc>
      </w:tr>
    </w:tbl>
    <w:p>
      <w:pPr>
        <w:rPr>
          <w:rFonts w:ascii="仿宋_GB2312" w:eastAsia="仿宋_GB2312" w:cs="仿宋_GB2312"/>
          <w:color w:val="auto"/>
          <w:highlight w:val="none"/>
          <w:shd w:val="clear" w:color="auto" w:fill="auto"/>
        </w:rPr>
      </w:pPr>
      <w:r>
        <w:rPr>
          <w:rFonts w:hint="eastAsia" w:ascii="仿宋_GB2312" w:eastAsia="仿宋_GB2312" w:cs="仿宋_GB2312"/>
          <w:color w:val="auto"/>
          <w:highlight w:val="none"/>
          <w:shd w:val="clear" w:color="auto" w:fill="auto"/>
        </w:rPr>
        <w:t>投标人保证：除商务技术偏离表列出的偏离外，投标人响应招标文件的全部要求</w:t>
      </w:r>
    </w:p>
    <w:p>
      <w:pPr>
        <w:spacing w:line="360" w:lineRule="auto"/>
        <w:ind w:right="420"/>
        <w:rPr>
          <w:rFonts w:ascii="仿宋_GB2312" w:eastAsia="仿宋_GB2312" w:cs="仿宋_GB2312"/>
          <w:color w:val="auto"/>
          <w:highlight w:val="none"/>
          <w:shd w:val="clear" w:color="auto" w:fill="auto"/>
        </w:rPr>
      </w:pPr>
      <w:r>
        <w:rPr>
          <w:rFonts w:ascii="仿宋_GB2312" w:eastAsia="仿宋_GB2312" w:cs="仿宋_GB2312"/>
          <w:color w:val="auto"/>
          <w:highlight w:val="none"/>
          <w:shd w:val="clear" w:color="auto" w:fill="auto"/>
        </w:rPr>
        <w:t>注：</w:t>
      </w:r>
      <w:r>
        <w:rPr>
          <w:rFonts w:hint="eastAsia" w:ascii="仿宋_GB2312" w:eastAsia="仿宋_GB2312" w:cs="仿宋_GB2312"/>
          <w:color w:val="auto"/>
          <w:highlight w:val="none"/>
          <w:shd w:val="clear" w:color="auto" w:fill="auto"/>
        </w:rPr>
        <w:t>按本格式和要求提供。</w:t>
      </w:r>
    </w:p>
    <w:p>
      <w:pPr>
        <w:spacing w:line="276" w:lineRule="auto"/>
        <w:rPr>
          <w:rFonts w:ascii="仿宋_GB2312" w:eastAsia="仿宋_GB2312" w:cs="仿宋_GB2312"/>
          <w:b/>
          <w:color w:val="auto"/>
          <w:highlight w:val="none"/>
          <w:shd w:val="clear" w:color="auto" w:fill="auto"/>
        </w:rPr>
      </w:pPr>
      <w:r>
        <w:rPr>
          <w:rFonts w:ascii="仿宋_GB2312" w:eastAsia="仿宋_GB2312" w:cs="仿宋_GB2312"/>
          <w:b/>
          <w:color w:val="auto"/>
          <w:highlight w:val="none"/>
          <w:shd w:val="clear" w:color="auto" w:fill="auto"/>
        </w:rPr>
        <w:br w:type="page"/>
      </w:r>
    </w:p>
    <w:p>
      <w:pPr>
        <w:pStyle w:val="3"/>
        <w:rPr>
          <w:color w:val="auto"/>
          <w:highlight w:val="none"/>
          <w:shd w:val="clear" w:color="auto" w:fill="auto"/>
        </w:rPr>
      </w:pPr>
      <w:r>
        <w:rPr>
          <w:rFonts w:hint="eastAsia"/>
          <w:bCs/>
          <w:color w:val="auto"/>
          <w:highlight w:val="none"/>
          <w:shd w:val="clear" w:color="auto" w:fill="auto"/>
        </w:rPr>
        <w:t>九</w:t>
      </w:r>
      <w:r>
        <w:rPr>
          <w:rFonts w:hint="eastAsia"/>
          <w:color w:val="auto"/>
          <w:highlight w:val="none"/>
          <w:shd w:val="clear" w:color="auto" w:fill="auto"/>
        </w:rPr>
        <w:t>、</w:t>
      </w:r>
      <w:r>
        <w:rPr>
          <w:rFonts w:hint="eastAsia"/>
          <w:color w:val="auto"/>
          <w:highlight w:val="none"/>
          <w:shd w:val="clear" w:color="auto" w:fill="auto"/>
          <w:lang w:val="zh-CN"/>
        </w:rPr>
        <w:t>政府采购供应商廉洁自律承诺书</w:t>
      </w:r>
    </w:p>
    <w:p>
      <w:pPr>
        <w:rPr>
          <w:color w:val="auto"/>
          <w:highlight w:val="none"/>
          <w:shd w:val="clear" w:color="auto" w:fill="auto"/>
        </w:rPr>
      </w:pPr>
      <w:r>
        <w:rPr>
          <w:rFonts w:hint="eastAsia"/>
          <w:color w:val="auto"/>
          <w:highlight w:val="none"/>
          <w:shd w:val="clear" w:color="auto" w:fill="auto"/>
        </w:rPr>
        <w:t>（采购人）、（采购代理机构）</w:t>
      </w:r>
      <w:r>
        <w:rPr>
          <w:rFonts w:hint="eastAsia"/>
          <w:color w:val="auto"/>
          <w:highlight w:val="none"/>
          <w:shd w:val="clear" w:color="auto" w:fill="auto"/>
          <w:lang w:val="zh-CN"/>
        </w:rPr>
        <w:t>：</w:t>
      </w:r>
    </w:p>
    <w:p>
      <w:pPr>
        <w:rPr>
          <w:rFonts w:hAnsi="仿宋_GB2312"/>
          <w:color w:val="auto"/>
          <w:highlight w:val="none"/>
          <w:shd w:val="clear" w:color="auto" w:fill="auto"/>
          <w:lang w:val="zh-CN"/>
        </w:rPr>
      </w:pPr>
      <w:r>
        <w:rPr>
          <w:rFonts w:hint="eastAsia" w:hAnsi="仿宋_GB2312"/>
          <w:color w:val="auto"/>
          <w:highlight w:val="none"/>
          <w:shd w:val="clear" w:color="auto" w:fill="auto"/>
          <w:lang w:val="zh-CN"/>
        </w:rPr>
        <w:t>我单位响应你</w:t>
      </w:r>
      <w:r>
        <w:rPr>
          <w:rFonts w:hint="eastAsia" w:hAnsi="仿宋_GB2312"/>
          <w:color w:val="auto"/>
          <w:highlight w:val="none"/>
          <w:shd w:val="clear" w:color="auto" w:fill="auto"/>
        </w:rPr>
        <w:t>单位</w:t>
      </w:r>
      <w:r>
        <w:rPr>
          <w:rFonts w:hint="eastAsia" w:hAnsi="仿宋_GB2312"/>
          <w:color w:val="auto"/>
          <w:highlight w:val="none"/>
          <w:shd w:val="clear" w:color="auto" w:fill="auto"/>
          <w:lang w:val="zh-CN"/>
        </w:rPr>
        <w:t>项目招标要求参加投标。在这次投标过程中和中标后，我们将严格遵守国家法律法规要求，并郑重承诺：</w:t>
      </w:r>
    </w:p>
    <w:p>
      <w:pPr>
        <w:rPr>
          <w:rFonts w:hAnsi="仿宋_GB2312"/>
          <w:color w:val="auto"/>
          <w:highlight w:val="none"/>
          <w:shd w:val="clear" w:color="auto" w:fill="auto"/>
          <w:lang w:val="zh-CN"/>
        </w:rPr>
      </w:pPr>
      <w:r>
        <w:rPr>
          <w:rFonts w:hint="eastAsia" w:hAnsi="仿宋_GB2312"/>
          <w:color w:val="auto"/>
          <w:highlight w:val="none"/>
          <w:shd w:val="clear" w:color="auto" w:fill="auto"/>
          <w:lang w:val="zh-CN"/>
        </w:rPr>
        <w:t>一、不向项目有关人员及部门赠送礼金礼物、有价证券、回扣以及中介费、介绍费、咨询费等好处费；</w:t>
      </w:r>
      <w:r>
        <w:rPr>
          <w:rFonts w:hAnsi="仿宋_GB2312"/>
          <w:color w:val="auto"/>
          <w:highlight w:val="none"/>
          <w:shd w:val="clear" w:color="auto" w:fill="auto"/>
          <w:lang w:val="zh-CN"/>
        </w:rPr>
        <w:t xml:space="preserve"> </w:t>
      </w:r>
    </w:p>
    <w:p>
      <w:pPr>
        <w:rPr>
          <w:rFonts w:hAnsi="仿宋_GB2312"/>
          <w:color w:val="auto"/>
          <w:highlight w:val="none"/>
          <w:shd w:val="clear" w:color="auto" w:fill="auto"/>
          <w:lang w:val="zh-CN"/>
        </w:rPr>
      </w:pPr>
      <w:r>
        <w:rPr>
          <w:rFonts w:hint="eastAsia" w:hAnsi="仿宋_GB2312"/>
          <w:color w:val="auto"/>
          <w:highlight w:val="none"/>
          <w:shd w:val="clear" w:color="auto" w:fill="auto"/>
          <w:lang w:val="zh-CN"/>
        </w:rPr>
        <w:t>二、不为项目有关人员及部门报销应由你方单位或个人支付的费用；</w:t>
      </w:r>
      <w:r>
        <w:rPr>
          <w:rFonts w:hAnsi="仿宋_GB2312"/>
          <w:color w:val="auto"/>
          <w:highlight w:val="none"/>
          <w:shd w:val="clear" w:color="auto" w:fill="auto"/>
          <w:lang w:val="zh-CN"/>
        </w:rPr>
        <w:t xml:space="preserve"> </w:t>
      </w:r>
    </w:p>
    <w:p>
      <w:pPr>
        <w:rPr>
          <w:rFonts w:hAnsi="仿宋_GB2312"/>
          <w:color w:val="auto"/>
          <w:highlight w:val="none"/>
          <w:shd w:val="clear" w:color="auto" w:fill="auto"/>
          <w:lang w:val="zh-CN"/>
        </w:rPr>
      </w:pPr>
      <w:r>
        <w:rPr>
          <w:rFonts w:hint="eastAsia" w:hAnsi="仿宋_GB2312"/>
          <w:color w:val="auto"/>
          <w:highlight w:val="none"/>
          <w:shd w:val="clear" w:color="auto" w:fill="auto"/>
          <w:lang w:val="zh-CN"/>
        </w:rPr>
        <w:t>三、不向项目有关人员及部门提供有可能影响公正的宴请和健身娱乐等活动；</w:t>
      </w:r>
      <w:r>
        <w:rPr>
          <w:rFonts w:hAnsi="仿宋_GB2312"/>
          <w:color w:val="auto"/>
          <w:highlight w:val="none"/>
          <w:shd w:val="clear" w:color="auto" w:fill="auto"/>
          <w:lang w:val="zh-CN"/>
        </w:rPr>
        <w:t xml:space="preserve"> </w:t>
      </w:r>
    </w:p>
    <w:p>
      <w:pPr>
        <w:rPr>
          <w:rFonts w:hAnsi="仿宋_GB2312"/>
          <w:color w:val="auto"/>
          <w:highlight w:val="none"/>
          <w:shd w:val="clear" w:color="auto" w:fill="auto"/>
          <w:lang w:val="zh-CN"/>
        </w:rPr>
      </w:pPr>
      <w:r>
        <w:rPr>
          <w:rFonts w:hint="eastAsia" w:hAnsi="仿宋_GB2312"/>
          <w:color w:val="auto"/>
          <w:highlight w:val="none"/>
          <w:shd w:val="clear" w:color="auto" w:fill="auto"/>
          <w:lang w:val="zh-CN"/>
        </w:rPr>
        <w:t>四、不为项目有关人员及部门出国（境）、旅游等提供方便；</w:t>
      </w:r>
    </w:p>
    <w:p>
      <w:pPr>
        <w:rPr>
          <w:rFonts w:hAnsi="仿宋_GB2312"/>
          <w:color w:val="auto"/>
          <w:highlight w:val="none"/>
          <w:shd w:val="clear" w:color="auto" w:fill="auto"/>
          <w:lang w:val="zh-CN"/>
        </w:rPr>
      </w:pPr>
      <w:r>
        <w:rPr>
          <w:rFonts w:hint="eastAsia" w:hAnsi="仿宋_GB2312"/>
          <w:color w:val="auto"/>
          <w:highlight w:val="none"/>
          <w:shd w:val="clear" w:color="auto" w:fill="auto"/>
          <w:lang w:val="zh-CN"/>
        </w:rPr>
        <w:t>五、不为项目有关人员个人装修住房、婚丧嫁娶、配偶子女工作安排等提供</w:t>
      </w:r>
    </w:p>
    <w:p>
      <w:pPr>
        <w:rPr>
          <w:rFonts w:hAnsi="仿宋_GB2312"/>
          <w:color w:val="auto"/>
          <w:highlight w:val="none"/>
          <w:shd w:val="clear" w:color="auto" w:fill="auto"/>
          <w:lang w:val="zh-CN"/>
        </w:rPr>
      </w:pPr>
      <w:r>
        <w:rPr>
          <w:rFonts w:hint="eastAsia" w:hAnsi="仿宋_GB2312"/>
          <w:color w:val="auto"/>
          <w:highlight w:val="none"/>
          <w:shd w:val="clear" w:color="auto" w:fill="auto"/>
          <w:lang w:val="zh-CN"/>
        </w:rPr>
        <w:t>好处；</w:t>
      </w:r>
    </w:p>
    <w:p>
      <w:pPr>
        <w:rPr>
          <w:rFonts w:hAnsi="仿宋_GB2312"/>
          <w:color w:val="auto"/>
          <w:highlight w:val="none"/>
          <w:shd w:val="clear" w:color="auto" w:fill="auto"/>
          <w:lang w:val="zh-CN"/>
        </w:rPr>
      </w:pPr>
      <w:r>
        <w:rPr>
          <w:rFonts w:hint="eastAsia" w:hAnsi="仿宋_GB2312"/>
          <w:color w:val="auto"/>
          <w:highlight w:val="none"/>
          <w:shd w:val="clear" w:color="auto" w:fill="auto"/>
          <w:lang w:val="zh-CN"/>
        </w:rPr>
        <w:t>六、严格遵守《</w:t>
      </w:r>
      <w:r>
        <w:rPr>
          <w:rFonts w:hint="eastAsia" w:hAnsi="楷体"/>
          <w:color w:val="auto"/>
          <w:highlight w:val="none"/>
          <w:shd w:val="clear" w:color="auto" w:fill="auto"/>
          <w:lang w:val="zh-CN"/>
        </w:rPr>
        <w:t>中华人民共和国</w:t>
      </w:r>
      <w:r>
        <w:rPr>
          <w:rFonts w:hint="eastAsia" w:hAnsi="仿宋_GB2312"/>
          <w:color w:val="auto"/>
          <w:highlight w:val="none"/>
          <w:shd w:val="clear" w:color="auto" w:fill="auto"/>
          <w:lang w:val="zh-CN"/>
        </w:rPr>
        <w:t>政府采购法》《</w:t>
      </w:r>
      <w:r>
        <w:rPr>
          <w:rFonts w:hint="eastAsia" w:hAnsi="楷体"/>
          <w:color w:val="auto"/>
          <w:highlight w:val="none"/>
          <w:shd w:val="clear" w:color="auto" w:fill="auto"/>
          <w:lang w:val="zh-CN"/>
        </w:rPr>
        <w:t>中华人民共和国</w:t>
      </w:r>
      <w:r>
        <w:rPr>
          <w:rFonts w:hint="eastAsia" w:hAnsi="仿宋_GB2312"/>
          <w:color w:val="auto"/>
          <w:highlight w:val="none"/>
          <w:shd w:val="clear" w:color="auto" w:fill="auto"/>
          <w:lang w:val="zh-CN"/>
        </w:rPr>
        <w:t>招标投标</w:t>
      </w:r>
    </w:p>
    <w:p>
      <w:pPr>
        <w:rPr>
          <w:rFonts w:hAnsi="仿宋_GB2312"/>
          <w:color w:val="auto"/>
          <w:highlight w:val="none"/>
          <w:shd w:val="clear" w:color="auto" w:fill="auto"/>
          <w:lang w:val="zh-CN"/>
        </w:rPr>
      </w:pPr>
      <w:r>
        <w:rPr>
          <w:rFonts w:hint="eastAsia" w:hAnsi="仿宋_GB2312"/>
          <w:color w:val="auto"/>
          <w:highlight w:val="none"/>
          <w:shd w:val="clear" w:color="auto" w:fill="auto"/>
          <w:lang w:val="zh-CN"/>
        </w:rPr>
        <w:t>法》</w:t>
      </w:r>
      <w:r>
        <w:rPr>
          <w:rFonts w:hint="eastAsia" w:hAnsi="楷体"/>
          <w:color w:val="auto"/>
          <w:highlight w:val="none"/>
          <w:shd w:val="clear" w:color="auto" w:fill="auto"/>
          <w:lang w:val="zh-CN"/>
        </w:rPr>
        <w:t>《中华人民共和国民法典》</w:t>
      </w:r>
      <w:r>
        <w:rPr>
          <w:rFonts w:hint="eastAsia" w:hAnsi="仿宋_GB2312"/>
          <w:color w:val="auto"/>
          <w:highlight w:val="none"/>
          <w:shd w:val="clear" w:color="auto" w:fill="auto"/>
          <w:lang w:val="zh-CN"/>
        </w:rPr>
        <w:t>等法律法规，诚实守信，合法经营，坚决抵制各种违法违纪行为。</w:t>
      </w:r>
      <w:r>
        <w:rPr>
          <w:rFonts w:hAnsi="仿宋_GB2312"/>
          <w:color w:val="auto"/>
          <w:highlight w:val="none"/>
          <w:shd w:val="clear" w:color="auto" w:fill="auto"/>
          <w:lang w:val="zh-CN"/>
        </w:rPr>
        <w:t xml:space="preserve"> </w:t>
      </w:r>
    </w:p>
    <w:p>
      <w:pPr>
        <w:rPr>
          <w:rFonts w:hAnsi="仿宋_GB2312"/>
          <w:color w:val="auto"/>
          <w:highlight w:val="none"/>
          <w:shd w:val="clear" w:color="auto" w:fill="auto"/>
          <w:lang w:val="zh-CN"/>
        </w:rPr>
      </w:pPr>
      <w:r>
        <w:rPr>
          <w:rFonts w:hint="eastAsia" w:hAnsi="仿宋_GB2312"/>
          <w:color w:val="auto"/>
          <w:highlight w:val="none"/>
          <w:shd w:val="clear" w:color="auto" w:fill="auto"/>
          <w:lang w:val="zh-CN"/>
        </w:rPr>
        <w:t>如违反上述承诺，你</w:t>
      </w:r>
      <w:r>
        <w:rPr>
          <w:rFonts w:hint="eastAsia" w:hAnsi="仿宋_GB2312"/>
          <w:color w:val="auto"/>
          <w:highlight w:val="none"/>
          <w:shd w:val="clear" w:color="auto" w:fill="auto"/>
        </w:rPr>
        <w:t>单位</w:t>
      </w:r>
      <w:r>
        <w:rPr>
          <w:rFonts w:hint="eastAsia" w:hAnsi="仿宋_GB2312"/>
          <w:color w:val="auto"/>
          <w:highlight w:val="none"/>
          <w:shd w:val="clear" w:color="auto" w:fill="auto"/>
          <w:lang w:val="zh-CN"/>
        </w:rPr>
        <w:t>有权立即取消我单位投标、中标或在建项目的建设资格，有权拒绝我单位在一定时期内进入你</w:t>
      </w:r>
      <w:r>
        <w:rPr>
          <w:rFonts w:hint="eastAsia" w:hAnsi="仿宋_GB2312"/>
          <w:color w:val="auto"/>
          <w:highlight w:val="none"/>
          <w:shd w:val="clear" w:color="auto" w:fill="auto"/>
        </w:rPr>
        <w:t>单位</w:t>
      </w:r>
      <w:r>
        <w:rPr>
          <w:rFonts w:hint="eastAsia" w:hAnsi="仿宋_GB2312"/>
          <w:color w:val="auto"/>
          <w:highlight w:val="none"/>
          <w:shd w:val="clear" w:color="auto" w:fill="auto"/>
          <w:lang w:val="zh-CN"/>
        </w:rPr>
        <w:t>进行项目建设或其他经营活动，并通报市财政局。由此引起的相应损失均由我单位承担。</w:t>
      </w:r>
    </w:p>
    <w:p>
      <w:pPr>
        <w:rPr>
          <w:rFonts w:hAnsi="仿宋_GB2312"/>
          <w:color w:val="auto"/>
          <w:highlight w:val="none"/>
          <w:shd w:val="clear" w:color="auto" w:fill="auto"/>
          <w:lang w:val="zh-CN"/>
        </w:rPr>
      </w:pPr>
    </w:p>
    <w:p>
      <w:pPr>
        <w:rPr>
          <w:rFonts w:hAnsi="仿宋_GB2312"/>
          <w:color w:val="auto"/>
          <w:highlight w:val="none"/>
          <w:shd w:val="clear" w:color="auto" w:fill="auto"/>
          <w:lang w:val="zh-CN"/>
        </w:rPr>
      </w:pPr>
    </w:p>
    <w:p>
      <w:pPr>
        <w:jc w:val="right"/>
        <w:rPr>
          <w:rFonts w:hAnsi="仿宋_GB2312"/>
          <w:color w:val="auto"/>
          <w:highlight w:val="none"/>
          <w:shd w:val="clear" w:color="auto" w:fill="auto"/>
          <w:lang w:val="zh-CN"/>
        </w:rPr>
      </w:pPr>
      <w:r>
        <w:rPr>
          <w:rFonts w:hint="eastAsia" w:hAnsi="仿宋_GB2312"/>
          <w:color w:val="auto"/>
          <w:highlight w:val="none"/>
          <w:shd w:val="clear" w:color="auto" w:fill="auto"/>
          <w:lang w:val="zh-CN"/>
        </w:rPr>
        <w:t>投标人名称（</w:t>
      </w:r>
      <w:r>
        <w:rPr>
          <w:rFonts w:hint="eastAsia"/>
          <w:color w:val="auto"/>
          <w:highlight w:val="none"/>
          <w:shd w:val="clear" w:color="auto" w:fill="auto"/>
        </w:rPr>
        <w:t>电子签名</w:t>
      </w:r>
      <w:r>
        <w:rPr>
          <w:rFonts w:hint="eastAsia" w:hAnsi="仿宋_GB2312"/>
          <w:color w:val="auto"/>
          <w:highlight w:val="none"/>
          <w:shd w:val="clear" w:color="auto" w:fill="auto"/>
          <w:lang w:val="zh-CN"/>
        </w:rPr>
        <w:t>）：</w:t>
      </w:r>
      <w:r>
        <w:rPr>
          <w:rFonts w:hAnsi="仿宋_GB2312"/>
          <w:color w:val="auto"/>
          <w:highlight w:val="none"/>
          <w:shd w:val="clear" w:color="auto" w:fill="auto"/>
          <w:lang w:val="zh-CN"/>
        </w:rPr>
        <w:t xml:space="preserve"> </w:t>
      </w:r>
    </w:p>
    <w:p>
      <w:pPr>
        <w:jc w:val="right"/>
        <w:rPr>
          <w:color w:val="auto"/>
          <w:highlight w:val="none"/>
          <w:shd w:val="clear" w:color="auto" w:fill="auto"/>
        </w:rPr>
      </w:pPr>
      <w:r>
        <w:rPr>
          <w:rFonts w:hint="eastAsia" w:hAnsi="仿宋_GB2312"/>
          <w:color w:val="auto"/>
          <w:highlight w:val="none"/>
          <w:shd w:val="clear" w:color="auto" w:fill="auto"/>
          <w:lang w:val="zh-CN"/>
        </w:rPr>
        <w:t>日期</w:t>
      </w:r>
      <w:r>
        <w:rPr>
          <w:rFonts w:hint="eastAsia" w:hAnsi="仿宋_GB2312"/>
          <w:color w:val="auto"/>
          <w:highlight w:val="none"/>
          <w:shd w:val="clear" w:color="auto" w:fill="auto"/>
        </w:rPr>
        <w:t>：</w:t>
      </w:r>
      <w:r>
        <w:rPr>
          <w:rFonts w:hAnsi="仿宋_GB2312"/>
          <w:color w:val="auto"/>
          <w:highlight w:val="none"/>
          <w:shd w:val="clear" w:color="auto" w:fill="auto"/>
          <w:lang w:val="zh-CN"/>
        </w:rPr>
        <w:t xml:space="preserve">   年   月   日</w:t>
      </w:r>
    </w:p>
    <w:p>
      <w:pPr>
        <w:rPr>
          <w:b/>
          <w:bCs/>
          <w:color w:val="auto"/>
          <w:highlight w:val="none"/>
          <w:shd w:val="clear" w:color="auto" w:fill="auto"/>
        </w:rPr>
      </w:pPr>
    </w:p>
    <w:p>
      <w:pPr>
        <w:rPr>
          <w:color w:val="auto"/>
          <w:highlight w:val="none"/>
          <w:shd w:val="clear" w:color="auto" w:fill="auto"/>
        </w:rPr>
      </w:pPr>
      <w:r>
        <w:rPr>
          <w:color w:val="auto"/>
          <w:highlight w:val="none"/>
          <w:shd w:val="clear" w:color="auto" w:fill="auto"/>
        </w:rPr>
        <w:t>注：</w:t>
      </w:r>
      <w:r>
        <w:rPr>
          <w:rFonts w:hint="eastAsia"/>
          <w:color w:val="auto"/>
          <w:highlight w:val="none"/>
          <w:shd w:val="clear" w:color="auto" w:fill="auto"/>
        </w:rPr>
        <w:t>按本格式和要求提供。</w:t>
      </w:r>
    </w:p>
    <w:p>
      <w:pPr>
        <w:spacing w:line="276" w:lineRule="auto"/>
        <w:rPr>
          <w:color w:val="auto"/>
          <w:highlight w:val="none"/>
          <w:shd w:val="clear" w:color="auto" w:fill="auto"/>
        </w:rPr>
      </w:pPr>
      <w:r>
        <w:rPr>
          <w:color w:val="auto"/>
          <w:highlight w:val="none"/>
          <w:shd w:val="clear" w:color="auto" w:fill="auto"/>
        </w:rPr>
        <w:br w:type="page"/>
      </w:r>
    </w:p>
    <w:p>
      <w:pPr>
        <w:pStyle w:val="3"/>
        <w:rPr>
          <w:color w:val="auto"/>
          <w:highlight w:val="none"/>
          <w:shd w:val="clear" w:color="auto" w:fill="auto"/>
        </w:rPr>
      </w:pPr>
      <w:r>
        <w:rPr>
          <w:rFonts w:hint="eastAsia"/>
          <w:color w:val="auto"/>
          <w:highlight w:val="none"/>
          <w:shd w:val="clear" w:color="auto" w:fill="auto"/>
        </w:rPr>
        <w:t>报价文件部分</w:t>
      </w:r>
    </w:p>
    <w:p>
      <w:pPr>
        <w:jc w:val="center"/>
        <w:rPr>
          <w:color w:val="auto"/>
          <w:sz w:val="40"/>
          <w:highlight w:val="none"/>
          <w:shd w:val="clear" w:color="auto" w:fill="auto"/>
        </w:rPr>
      </w:pPr>
      <w:r>
        <w:rPr>
          <w:rFonts w:hint="eastAsia"/>
          <w:color w:val="auto"/>
          <w:sz w:val="40"/>
          <w:highlight w:val="none"/>
          <w:shd w:val="clear" w:color="auto" w:fill="auto"/>
        </w:rPr>
        <w:t>目录</w:t>
      </w:r>
    </w:p>
    <w:p>
      <w:pPr>
        <w:rPr>
          <w:color w:val="auto"/>
          <w:highlight w:val="none"/>
          <w:shd w:val="clear" w:color="auto" w:fill="auto"/>
        </w:rPr>
      </w:pPr>
      <w:r>
        <w:rPr>
          <w:rFonts w:hint="eastAsia"/>
          <w:color w:val="auto"/>
          <w:highlight w:val="none"/>
          <w:shd w:val="clear" w:color="auto" w:fill="auto"/>
        </w:rPr>
        <w:t>（</w:t>
      </w:r>
      <w:r>
        <w:rPr>
          <w:color w:val="auto"/>
          <w:highlight w:val="none"/>
          <w:shd w:val="clear" w:color="auto" w:fill="auto"/>
        </w:rPr>
        <w:t>1）开标一览表（报价表）……</w:t>
      </w:r>
      <w:r>
        <w:rPr>
          <w:rFonts w:hint="eastAsia"/>
          <w:color w:val="auto"/>
          <w:highlight w:val="none"/>
          <w:shd w:val="clear" w:color="auto" w:fill="auto"/>
        </w:rPr>
        <w:t>……………………………………………（页码）</w:t>
      </w:r>
    </w:p>
    <w:p>
      <w:pPr>
        <w:rPr>
          <w:color w:val="auto"/>
          <w:highlight w:val="none"/>
          <w:shd w:val="clear" w:color="auto" w:fill="auto"/>
        </w:rPr>
      </w:pPr>
      <w:r>
        <w:rPr>
          <w:rFonts w:hint="eastAsia"/>
          <w:color w:val="auto"/>
          <w:highlight w:val="none"/>
          <w:shd w:val="clear" w:color="auto" w:fill="auto"/>
        </w:rPr>
        <w:t>（</w:t>
      </w:r>
      <w:r>
        <w:rPr>
          <w:color w:val="auto"/>
          <w:highlight w:val="none"/>
          <w:shd w:val="clear" w:color="auto" w:fill="auto"/>
        </w:rPr>
        <w:t>2）中小企业声明函……</w:t>
      </w:r>
      <w:r>
        <w:rPr>
          <w:rFonts w:hint="eastAsia"/>
          <w:color w:val="auto"/>
          <w:highlight w:val="none"/>
          <w:shd w:val="clear" w:color="auto" w:fill="auto"/>
        </w:rPr>
        <w:t>……………………………………………………（页码）</w:t>
      </w:r>
    </w:p>
    <w:p>
      <w:pPr>
        <w:snapToGrid w:val="0"/>
        <w:spacing w:line="360" w:lineRule="auto"/>
        <w:ind w:right="480"/>
        <w:jc w:val="center"/>
        <w:rPr>
          <w:rFonts w:ascii="仿宋_GB2312" w:eastAsia="仿宋_GB2312" w:cs="仿宋_GB2312"/>
          <w:b/>
          <w:color w:val="auto"/>
          <w:sz w:val="32"/>
          <w:szCs w:val="32"/>
          <w:highlight w:val="none"/>
          <w:shd w:val="clear" w:color="auto" w:fill="auto"/>
        </w:rPr>
      </w:pPr>
    </w:p>
    <w:p>
      <w:pPr>
        <w:pStyle w:val="79"/>
        <w:keepNext w:val="0"/>
        <w:pageBreakBefore w:val="0"/>
        <w:tabs>
          <w:tab w:val="clear" w:pos="720"/>
        </w:tabs>
        <w:snapToGrid w:val="0"/>
        <w:spacing w:before="120" w:after="120"/>
        <w:ind w:firstLine="643"/>
        <w:outlineLvl w:val="9"/>
        <w:rPr>
          <w:rFonts w:ascii="仿宋_GB2312" w:hAnsi="仿宋" w:eastAsia="仿宋_GB2312" w:cs="仿宋_GB2312"/>
          <w:color w:val="auto"/>
          <w:kern w:val="2"/>
          <w:sz w:val="32"/>
          <w:szCs w:val="32"/>
          <w:highlight w:val="none"/>
          <w:shd w:val="clear" w:color="auto" w:fill="auto"/>
        </w:rPr>
        <w:sectPr>
          <w:headerReference r:id="rId6" w:type="default"/>
          <w:pgSz w:w="11906" w:h="16838"/>
          <w:pgMar w:top="1440" w:right="17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pStyle w:val="3"/>
        <w:rPr>
          <w:color w:val="auto"/>
          <w:highlight w:val="none"/>
          <w:shd w:val="clear" w:color="auto" w:fill="auto"/>
        </w:rPr>
      </w:pPr>
      <w:r>
        <w:rPr>
          <w:rFonts w:hint="eastAsia"/>
          <w:color w:val="auto"/>
          <w:highlight w:val="none"/>
          <w:shd w:val="clear" w:color="auto" w:fill="auto"/>
        </w:rPr>
        <w:t>一、开标一览表（报价表）</w:t>
      </w:r>
    </w:p>
    <w:p>
      <w:pPr>
        <w:rPr>
          <w:color w:val="auto"/>
          <w:highlight w:val="none"/>
          <w:shd w:val="clear" w:color="auto" w:fill="auto"/>
        </w:rPr>
      </w:pPr>
      <w:r>
        <w:rPr>
          <w:rFonts w:hint="eastAsia"/>
          <w:color w:val="auto"/>
          <w:highlight w:val="none"/>
          <w:shd w:val="clear" w:color="auto" w:fill="auto"/>
        </w:rPr>
        <w:t>（采购人）、（采购代理机构）</w:t>
      </w:r>
      <w:r>
        <w:rPr>
          <w:rFonts w:hint="eastAsia"/>
          <w:color w:val="auto"/>
          <w:highlight w:val="none"/>
          <w:shd w:val="clear" w:color="auto" w:fill="auto"/>
          <w:lang w:val="zh-CN"/>
        </w:rPr>
        <w:t>：</w:t>
      </w:r>
    </w:p>
    <w:p>
      <w:pPr>
        <w:rPr>
          <w:color w:val="auto"/>
          <w:highlight w:val="none"/>
          <w:shd w:val="clear" w:color="auto" w:fill="auto"/>
          <w:lang w:val="zh-CN"/>
        </w:rPr>
      </w:pPr>
      <w:r>
        <w:rPr>
          <w:rFonts w:hint="eastAsia"/>
          <w:color w:val="auto"/>
          <w:highlight w:val="none"/>
          <w:shd w:val="clear" w:color="auto" w:fill="auto"/>
          <w:lang w:val="zh-CN"/>
        </w:rPr>
        <w:t>按你方招标文件要求，我们，本投标文件签字方，谨此向你方发出要约如下：如你方接受本投标，我方承诺按照如下开标一览表（报价表）的价格完成</w:t>
      </w:r>
      <w:r>
        <w:rPr>
          <w:rFonts w:hint="eastAsia"/>
          <w:color w:val="auto"/>
          <w:highlight w:val="none"/>
          <w:shd w:val="clear" w:color="auto" w:fill="auto"/>
        </w:rPr>
        <w:t>（项目名称）</w:t>
      </w:r>
      <w:r>
        <w:rPr>
          <w:rFonts w:hint="eastAsia"/>
          <w:color w:val="auto"/>
          <w:highlight w:val="none"/>
          <w:shd w:val="clear" w:color="auto" w:fill="auto"/>
          <w:lang w:val="zh-CN"/>
        </w:rPr>
        <w:t>【招标编号：</w:t>
      </w:r>
      <w:r>
        <w:rPr>
          <w:rFonts w:hint="eastAsia"/>
          <w:color w:val="auto"/>
          <w:highlight w:val="none"/>
          <w:shd w:val="clear" w:color="auto" w:fill="auto"/>
        </w:rPr>
        <w:t>（采购编号）】的实施</w:t>
      </w:r>
      <w:r>
        <w:rPr>
          <w:rFonts w:hint="eastAsia"/>
          <w:color w:val="auto"/>
          <w:highlight w:val="none"/>
          <w:shd w:val="clear" w:color="auto" w:fill="auto"/>
          <w:lang w:val="zh-CN"/>
        </w:rPr>
        <w:t>。</w:t>
      </w:r>
    </w:p>
    <w:p>
      <w:pPr>
        <w:rPr>
          <w:b/>
          <w:color w:val="auto"/>
          <w:highlight w:val="none"/>
          <w:shd w:val="clear" w:color="auto" w:fill="auto"/>
          <w:lang w:val="zh-CN"/>
        </w:rPr>
      </w:pPr>
      <w:r>
        <w:rPr>
          <w:rFonts w:hint="eastAsia"/>
          <w:b/>
          <w:color w:val="auto"/>
          <w:highlight w:val="none"/>
          <w:shd w:val="clear" w:color="auto" w:fill="auto"/>
          <w:lang w:val="zh-CN"/>
        </w:rPr>
        <w:t>开标一览表（报价表）</w:t>
      </w:r>
      <w:r>
        <w:rPr>
          <w:b/>
          <w:color w:val="auto"/>
          <w:highlight w:val="none"/>
          <w:shd w:val="clear" w:color="auto" w:fill="auto"/>
          <w:lang w:val="zh-CN"/>
        </w:rPr>
        <w:t>(单位均为人民币元)</w:t>
      </w:r>
    </w:p>
    <w:tbl>
      <w:tblPr>
        <w:tblStyle w:val="30"/>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rPr>
                <w:b/>
                <w:color w:val="auto"/>
                <w:highlight w:val="none"/>
                <w:shd w:val="clear" w:color="auto" w:fill="auto"/>
              </w:rPr>
            </w:pPr>
            <w:r>
              <w:rPr>
                <w:rFonts w:hint="eastAsia"/>
                <w:b/>
                <w:color w:val="auto"/>
                <w:highlight w:val="none"/>
                <w:shd w:val="clear" w:color="auto" w:fill="auto"/>
              </w:rPr>
              <w:t>序号</w:t>
            </w:r>
          </w:p>
        </w:tc>
        <w:tc>
          <w:tcPr>
            <w:tcW w:w="1417" w:type="dxa"/>
            <w:vAlign w:val="center"/>
          </w:tcPr>
          <w:p>
            <w:pPr>
              <w:rPr>
                <w:b/>
                <w:color w:val="auto"/>
                <w:highlight w:val="none"/>
                <w:shd w:val="clear" w:color="auto" w:fill="auto"/>
              </w:rPr>
            </w:pPr>
            <w:r>
              <w:rPr>
                <w:rFonts w:hint="eastAsia"/>
                <w:b/>
                <w:color w:val="auto"/>
                <w:highlight w:val="none"/>
                <w:shd w:val="clear" w:color="auto" w:fill="auto"/>
              </w:rPr>
              <w:t>名称</w:t>
            </w:r>
          </w:p>
        </w:tc>
        <w:tc>
          <w:tcPr>
            <w:tcW w:w="1843" w:type="dxa"/>
          </w:tcPr>
          <w:p>
            <w:pPr>
              <w:rPr>
                <w:b/>
                <w:color w:val="auto"/>
                <w:highlight w:val="none"/>
                <w:shd w:val="clear" w:color="auto" w:fill="auto"/>
              </w:rPr>
            </w:pPr>
          </w:p>
          <w:p>
            <w:pPr>
              <w:rPr>
                <w:b/>
                <w:color w:val="auto"/>
                <w:highlight w:val="none"/>
                <w:shd w:val="clear" w:color="auto" w:fill="auto"/>
              </w:rPr>
            </w:pPr>
            <w:r>
              <w:rPr>
                <w:rFonts w:hint="eastAsia"/>
                <w:b/>
                <w:color w:val="auto"/>
                <w:highlight w:val="none"/>
                <w:shd w:val="clear" w:color="auto" w:fill="auto"/>
              </w:rPr>
              <w:t>品牌（如果有）</w:t>
            </w:r>
          </w:p>
        </w:tc>
        <w:tc>
          <w:tcPr>
            <w:tcW w:w="3118" w:type="dxa"/>
            <w:vAlign w:val="center"/>
          </w:tcPr>
          <w:p>
            <w:pPr>
              <w:rPr>
                <w:b/>
                <w:color w:val="auto"/>
                <w:highlight w:val="none"/>
                <w:shd w:val="clear" w:color="auto" w:fill="auto"/>
              </w:rPr>
            </w:pPr>
            <w:r>
              <w:rPr>
                <w:rFonts w:hint="eastAsia"/>
                <w:b/>
                <w:color w:val="auto"/>
                <w:highlight w:val="none"/>
                <w:shd w:val="clear" w:color="auto" w:fill="auto"/>
              </w:rPr>
              <w:t>规格型号（或具体服务）</w:t>
            </w:r>
          </w:p>
        </w:tc>
        <w:tc>
          <w:tcPr>
            <w:tcW w:w="993" w:type="dxa"/>
            <w:vAlign w:val="center"/>
          </w:tcPr>
          <w:p>
            <w:pPr>
              <w:rPr>
                <w:b/>
                <w:color w:val="auto"/>
                <w:highlight w:val="none"/>
                <w:shd w:val="clear" w:color="auto" w:fill="auto"/>
              </w:rPr>
            </w:pPr>
            <w:r>
              <w:rPr>
                <w:rFonts w:hint="eastAsia"/>
                <w:b/>
                <w:color w:val="auto"/>
                <w:highlight w:val="none"/>
                <w:shd w:val="clear" w:color="auto" w:fill="auto"/>
              </w:rPr>
              <w:t>数量</w:t>
            </w:r>
          </w:p>
        </w:tc>
        <w:tc>
          <w:tcPr>
            <w:tcW w:w="1559" w:type="dxa"/>
            <w:vAlign w:val="center"/>
          </w:tcPr>
          <w:p>
            <w:pPr>
              <w:rPr>
                <w:b/>
                <w:color w:val="auto"/>
                <w:highlight w:val="none"/>
                <w:shd w:val="clear" w:color="auto" w:fill="auto"/>
              </w:rPr>
            </w:pPr>
            <w:r>
              <w:rPr>
                <w:rFonts w:hint="eastAsia"/>
                <w:b/>
                <w:color w:val="auto"/>
                <w:highlight w:val="none"/>
                <w:shd w:val="clear" w:color="auto" w:fill="auto"/>
              </w:rPr>
              <w:t>单价</w:t>
            </w:r>
          </w:p>
        </w:tc>
        <w:tc>
          <w:tcPr>
            <w:tcW w:w="1984" w:type="dxa"/>
            <w:vAlign w:val="center"/>
          </w:tcPr>
          <w:p>
            <w:pPr>
              <w:rPr>
                <w:b/>
                <w:color w:val="auto"/>
                <w:highlight w:val="none"/>
                <w:shd w:val="clear" w:color="auto" w:fill="auto"/>
              </w:rPr>
            </w:pPr>
            <w:r>
              <w:rPr>
                <w:rFonts w:hint="eastAsia"/>
                <w:b/>
                <w:color w:val="auto"/>
                <w:highlight w:val="none"/>
                <w:shd w:val="clear" w:color="auto" w:fill="auto"/>
              </w:rPr>
              <w:t>总价</w:t>
            </w:r>
          </w:p>
        </w:tc>
        <w:tc>
          <w:tcPr>
            <w:tcW w:w="3119" w:type="dxa"/>
            <w:vAlign w:val="center"/>
          </w:tcPr>
          <w:p>
            <w:pPr>
              <w:rPr>
                <w:b/>
                <w:color w:val="auto"/>
                <w:highlight w:val="none"/>
                <w:shd w:val="clear" w:color="auto" w:fill="auto"/>
              </w:rPr>
            </w:pPr>
          </w:p>
          <w:p>
            <w:pPr>
              <w:rPr>
                <w:b/>
                <w:color w:val="auto"/>
                <w:highlight w:val="none"/>
                <w:shd w:val="clear" w:color="auto" w:fill="auto"/>
              </w:rPr>
            </w:pPr>
            <w:r>
              <w:rPr>
                <w:rFonts w:hint="eastAsia"/>
                <w:b/>
                <w:color w:val="auto"/>
                <w:highlight w:val="none"/>
                <w:shd w:val="clear" w:color="auto" w:fill="auto"/>
              </w:rPr>
              <w:t>质保或服务年限</w:t>
            </w:r>
          </w:p>
          <w:p>
            <w:pPr>
              <w:rPr>
                <w:b/>
                <w:color w:val="auto"/>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rPr>
                <w:color w:val="auto"/>
                <w:highlight w:val="none"/>
                <w:shd w:val="clear" w:color="auto" w:fill="auto"/>
              </w:rPr>
            </w:pPr>
            <w:r>
              <w:rPr>
                <w:color w:val="auto"/>
                <w:highlight w:val="none"/>
                <w:shd w:val="clear" w:color="auto" w:fill="auto"/>
              </w:rPr>
              <w:t>1</w:t>
            </w:r>
          </w:p>
        </w:tc>
        <w:tc>
          <w:tcPr>
            <w:tcW w:w="1417" w:type="dxa"/>
            <w:vAlign w:val="center"/>
          </w:tcPr>
          <w:p>
            <w:pPr>
              <w:rPr>
                <w:color w:val="auto"/>
                <w:highlight w:val="none"/>
                <w:shd w:val="clear" w:color="auto" w:fill="auto"/>
              </w:rPr>
            </w:pPr>
          </w:p>
        </w:tc>
        <w:tc>
          <w:tcPr>
            <w:tcW w:w="1843" w:type="dxa"/>
            <w:vAlign w:val="center"/>
          </w:tcPr>
          <w:p>
            <w:pPr>
              <w:rPr>
                <w:color w:val="auto"/>
                <w:highlight w:val="none"/>
                <w:shd w:val="clear" w:color="auto" w:fill="auto"/>
              </w:rPr>
            </w:pPr>
          </w:p>
        </w:tc>
        <w:tc>
          <w:tcPr>
            <w:tcW w:w="3118" w:type="dxa"/>
            <w:vAlign w:val="center"/>
          </w:tcPr>
          <w:p>
            <w:pPr>
              <w:rPr>
                <w:color w:val="auto"/>
                <w:highlight w:val="none"/>
                <w:shd w:val="clear" w:color="auto" w:fill="auto"/>
              </w:rPr>
            </w:pPr>
          </w:p>
        </w:tc>
        <w:tc>
          <w:tcPr>
            <w:tcW w:w="993" w:type="dxa"/>
            <w:vAlign w:val="center"/>
          </w:tcPr>
          <w:p>
            <w:pPr>
              <w:rPr>
                <w:color w:val="auto"/>
                <w:highlight w:val="none"/>
                <w:shd w:val="clear" w:color="auto" w:fill="auto"/>
              </w:rPr>
            </w:pPr>
          </w:p>
        </w:tc>
        <w:tc>
          <w:tcPr>
            <w:tcW w:w="1559" w:type="dxa"/>
            <w:vAlign w:val="center"/>
          </w:tcPr>
          <w:p>
            <w:pPr>
              <w:rPr>
                <w:color w:val="auto"/>
                <w:highlight w:val="none"/>
                <w:shd w:val="clear" w:color="auto" w:fill="auto"/>
              </w:rPr>
            </w:pPr>
          </w:p>
        </w:tc>
        <w:tc>
          <w:tcPr>
            <w:tcW w:w="1984" w:type="dxa"/>
            <w:vAlign w:val="center"/>
          </w:tcPr>
          <w:p>
            <w:pPr>
              <w:rPr>
                <w:color w:val="auto"/>
                <w:highlight w:val="none"/>
                <w:shd w:val="clear" w:color="auto" w:fill="auto"/>
              </w:rPr>
            </w:pPr>
          </w:p>
        </w:tc>
        <w:tc>
          <w:tcPr>
            <w:tcW w:w="3119" w:type="dxa"/>
            <w:vAlign w:val="center"/>
          </w:tcPr>
          <w:p>
            <w:pPr>
              <w:rPr>
                <w:color w:val="auto"/>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rPr>
                <w:color w:val="auto"/>
                <w:highlight w:val="none"/>
                <w:shd w:val="clear" w:color="auto" w:fill="auto"/>
              </w:rPr>
            </w:pPr>
            <w:r>
              <w:rPr>
                <w:color w:val="auto"/>
                <w:highlight w:val="none"/>
                <w:shd w:val="clear" w:color="auto" w:fill="auto"/>
              </w:rPr>
              <w:t>2</w:t>
            </w:r>
          </w:p>
        </w:tc>
        <w:tc>
          <w:tcPr>
            <w:tcW w:w="1417" w:type="dxa"/>
            <w:vAlign w:val="center"/>
          </w:tcPr>
          <w:p>
            <w:pPr>
              <w:rPr>
                <w:color w:val="auto"/>
                <w:highlight w:val="none"/>
                <w:shd w:val="clear" w:color="auto" w:fill="auto"/>
              </w:rPr>
            </w:pPr>
          </w:p>
        </w:tc>
        <w:tc>
          <w:tcPr>
            <w:tcW w:w="1843" w:type="dxa"/>
            <w:vAlign w:val="center"/>
          </w:tcPr>
          <w:p>
            <w:pPr>
              <w:rPr>
                <w:color w:val="auto"/>
                <w:highlight w:val="none"/>
                <w:shd w:val="clear" w:color="auto" w:fill="auto"/>
              </w:rPr>
            </w:pPr>
          </w:p>
        </w:tc>
        <w:tc>
          <w:tcPr>
            <w:tcW w:w="3118" w:type="dxa"/>
            <w:vAlign w:val="center"/>
          </w:tcPr>
          <w:p>
            <w:pPr>
              <w:rPr>
                <w:color w:val="auto"/>
                <w:highlight w:val="none"/>
                <w:shd w:val="clear" w:color="auto" w:fill="auto"/>
              </w:rPr>
            </w:pPr>
          </w:p>
        </w:tc>
        <w:tc>
          <w:tcPr>
            <w:tcW w:w="993" w:type="dxa"/>
            <w:vAlign w:val="center"/>
          </w:tcPr>
          <w:p>
            <w:pPr>
              <w:rPr>
                <w:color w:val="auto"/>
                <w:highlight w:val="none"/>
                <w:shd w:val="clear" w:color="auto" w:fill="auto"/>
              </w:rPr>
            </w:pPr>
          </w:p>
        </w:tc>
        <w:tc>
          <w:tcPr>
            <w:tcW w:w="1559" w:type="dxa"/>
            <w:vAlign w:val="center"/>
          </w:tcPr>
          <w:p>
            <w:pPr>
              <w:rPr>
                <w:color w:val="auto"/>
                <w:highlight w:val="none"/>
                <w:shd w:val="clear" w:color="auto" w:fill="auto"/>
              </w:rPr>
            </w:pPr>
          </w:p>
        </w:tc>
        <w:tc>
          <w:tcPr>
            <w:tcW w:w="1984" w:type="dxa"/>
            <w:vAlign w:val="center"/>
          </w:tcPr>
          <w:p>
            <w:pPr>
              <w:rPr>
                <w:color w:val="auto"/>
                <w:highlight w:val="none"/>
                <w:shd w:val="clear" w:color="auto" w:fill="auto"/>
              </w:rPr>
            </w:pPr>
          </w:p>
        </w:tc>
        <w:tc>
          <w:tcPr>
            <w:tcW w:w="3119" w:type="dxa"/>
            <w:vAlign w:val="center"/>
          </w:tcPr>
          <w:p>
            <w:pPr>
              <w:rPr>
                <w:color w:val="auto"/>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rPr>
                <w:color w:val="auto"/>
                <w:highlight w:val="none"/>
                <w:shd w:val="clear" w:color="auto" w:fill="auto"/>
              </w:rPr>
            </w:pPr>
            <w:r>
              <w:rPr>
                <w:rFonts w:hint="eastAsia"/>
                <w:color w:val="auto"/>
                <w:highlight w:val="none"/>
                <w:shd w:val="clear" w:color="auto" w:fill="auto"/>
              </w:rPr>
              <w:t>…</w:t>
            </w:r>
          </w:p>
        </w:tc>
        <w:tc>
          <w:tcPr>
            <w:tcW w:w="1417" w:type="dxa"/>
            <w:vAlign w:val="center"/>
          </w:tcPr>
          <w:p>
            <w:pPr>
              <w:rPr>
                <w:color w:val="auto"/>
                <w:highlight w:val="none"/>
                <w:shd w:val="clear" w:color="auto" w:fill="auto"/>
              </w:rPr>
            </w:pPr>
          </w:p>
        </w:tc>
        <w:tc>
          <w:tcPr>
            <w:tcW w:w="1843" w:type="dxa"/>
            <w:vAlign w:val="center"/>
          </w:tcPr>
          <w:p>
            <w:pPr>
              <w:rPr>
                <w:color w:val="auto"/>
                <w:highlight w:val="none"/>
                <w:shd w:val="clear" w:color="auto" w:fill="auto"/>
              </w:rPr>
            </w:pPr>
          </w:p>
        </w:tc>
        <w:tc>
          <w:tcPr>
            <w:tcW w:w="3118" w:type="dxa"/>
            <w:vAlign w:val="center"/>
          </w:tcPr>
          <w:p>
            <w:pPr>
              <w:rPr>
                <w:color w:val="auto"/>
                <w:highlight w:val="none"/>
                <w:shd w:val="clear" w:color="auto" w:fill="auto"/>
              </w:rPr>
            </w:pPr>
          </w:p>
        </w:tc>
        <w:tc>
          <w:tcPr>
            <w:tcW w:w="993" w:type="dxa"/>
            <w:vAlign w:val="center"/>
          </w:tcPr>
          <w:p>
            <w:pPr>
              <w:rPr>
                <w:color w:val="auto"/>
                <w:highlight w:val="none"/>
                <w:shd w:val="clear" w:color="auto" w:fill="auto"/>
              </w:rPr>
            </w:pPr>
          </w:p>
        </w:tc>
        <w:tc>
          <w:tcPr>
            <w:tcW w:w="1559" w:type="dxa"/>
            <w:vAlign w:val="center"/>
          </w:tcPr>
          <w:p>
            <w:pPr>
              <w:rPr>
                <w:color w:val="auto"/>
                <w:highlight w:val="none"/>
                <w:shd w:val="clear" w:color="auto" w:fill="auto"/>
              </w:rPr>
            </w:pPr>
          </w:p>
        </w:tc>
        <w:tc>
          <w:tcPr>
            <w:tcW w:w="1984" w:type="dxa"/>
            <w:vAlign w:val="center"/>
          </w:tcPr>
          <w:p>
            <w:pPr>
              <w:rPr>
                <w:color w:val="auto"/>
                <w:highlight w:val="none"/>
                <w:shd w:val="clear" w:color="auto" w:fill="auto"/>
              </w:rPr>
            </w:pPr>
          </w:p>
        </w:tc>
        <w:tc>
          <w:tcPr>
            <w:tcW w:w="3119" w:type="dxa"/>
            <w:vAlign w:val="center"/>
          </w:tcPr>
          <w:p>
            <w:pPr>
              <w:rPr>
                <w:color w:val="auto"/>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rPr>
                <w:color w:val="auto"/>
                <w:highlight w:val="none"/>
                <w:shd w:val="clear" w:color="auto" w:fill="auto"/>
              </w:rPr>
            </w:pPr>
          </w:p>
        </w:tc>
        <w:tc>
          <w:tcPr>
            <w:tcW w:w="1417" w:type="dxa"/>
            <w:vAlign w:val="center"/>
          </w:tcPr>
          <w:p>
            <w:pPr>
              <w:rPr>
                <w:color w:val="auto"/>
                <w:highlight w:val="none"/>
                <w:shd w:val="clear" w:color="auto" w:fill="auto"/>
              </w:rPr>
            </w:pPr>
          </w:p>
        </w:tc>
        <w:tc>
          <w:tcPr>
            <w:tcW w:w="1843" w:type="dxa"/>
            <w:vAlign w:val="center"/>
          </w:tcPr>
          <w:p>
            <w:pPr>
              <w:rPr>
                <w:color w:val="auto"/>
                <w:highlight w:val="none"/>
                <w:shd w:val="clear" w:color="auto" w:fill="auto"/>
              </w:rPr>
            </w:pPr>
          </w:p>
        </w:tc>
        <w:tc>
          <w:tcPr>
            <w:tcW w:w="3118" w:type="dxa"/>
            <w:vAlign w:val="center"/>
          </w:tcPr>
          <w:p>
            <w:pPr>
              <w:rPr>
                <w:color w:val="auto"/>
                <w:highlight w:val="none"/>
                <w:shd w:val="clear" w:color="auto" w:fill="auto"/>
              </w:rPr>
            </w:pPr>
          </w:p>
        </w:tc>
        <w:tc>
          <w:tcPr>
            <w:tcW w:w="993" w:type="dxa"/>
            <w:vAlign w:val="center"/>
          </w:tcPr>
          <w:p>
            <w:pPr>
              <w:rPr>
                <w:color w:val="auto"/>
                <w:highlight w:val="none"/>
                <w:shd w:val="clear" w:color="auto" w:fill="auto"/>
              </w:rPr>
            </w:pPr>
          </w:p>
        </w:tc>
        <w:tc>
          <w:tcPr>
            <w:tcW w:w="1559" w:type="dxa"/>
            <w:vAlign w:val="center"/>
          </w:tcPr>
          <w:p>
            <w:pPr>
              <w:rPr>
                <w:color w:val="auto"/>
                <w:highlight w:val="none"/>
                <w:shd w:val="clear" w:color="auto" w:fill="auto"/>
              </w:rPr>
            </w:pPr>
          </w:p>
        </w:tc>
        <w:tc>
          <w:tcPr>
            <w:tcW w:w="1984" w:type="dxa"/>
            <w:vAlign w:val="center"/>
          </w:tcPr>
          <w:p>
            <w:pPr>
              <w:rPr>
                <w:color w:val="auto"/>
                <w:highlight w:val="none"/>
                <w:shd w:val="clear" w:color="auto" w:fill="auto"/>
              </w:rPr>
            </w:pPr>
          </w:p>
        </w:tc>
        <w:tc>
          <w:tcPr>
            <w:tcW w:w="3119" w:type="dxa"/>
            <w:vAlign w:val="center"/>
          </w:tcPr>
          <w:p>
            <w:pPr>
              <w:rPr>
                <w:color w:val="auto"/>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rPr>
                <w:color w:val="auto"/>
                <w:highlight w:val="none"/>
                <w:shd w:val="clear" w:color="auto" w:fill="auto"/>
              </w:rPr>
            </w:pPr>
          </w:p>
        </w:tc>
        <w:tc>
          <w:tcPr>
            <w:tcW w:w="1417" w:type="dxa"/>
            <w:vAlign w:val="center"/>
          </w:tcPr>
          <w:p>
            <w:pPr>
              <w:rPr>
                <w:color w:val="auto"/>
                <w:highlight w:val="none"/>
                <w:shd w:val="clear" w:color="auto" w:fill="auto"/>
              </w:rPr>
            </w:pPr>
          </w:p>
        </w:tc>
        <w:tc>
          <w:tcPr>
            <w:tcW w:w="1843" w:type="dxa"/>
            <w:vAlign w:val="center"/>
          </w:tcPr>
          <w:p>
            <w:pPr>
              <w:rPr>
                <w:color w:val="auto"/>
                <w:highlight w:val="none"/>
                <w:shd w:val="clear" w:color="auto" w:fill="auto"/>
              </w:rPr>
            </w:pPr>
          </w:p>
        </w:tc>
        <w:tc>
          <w:tcPr>
            <w:tcW w:w="3118" w:type="dxa"/>
            <w:vAlign w:val="center"/>
          </w:tcPr>
          <w:p>
            <w:pPr>
              <w:rPr>
                <w:color w:val="auto"/>
                <w:highlight w:val="none"/>
                <w:shd w:val="clear" w:color="auto" w:fill="auto"/>
              </w:rPr>
            </w:pPr>
          </w:p>
        </w:tc>
        <w:tc>
          <w:tcPr>
            <w:tcW w:w="993" w:type="dxa"/>
            <w:vAlign w:val="center"/>
          </w:tcPr>
          <w:p>
            <w:pPr>
              <w:rPr>
                <w:color w:val="auto"/>
                <w:highlight w:val="none"/>
                <w:shd w:val="clear" w:color="auto" w:fill="auto"/>
              </w:rPr>
            </w:pPr>
          </w:p>
        </w:tc>
        <w:tc>
          <w:tcPr>
            <w:tcW w:w="1559" w:type="dxa"/>
            <w:vAlign w:val="center"/>
          </w:tcPr>
          <w:p>
            <w:pPr>
              <w:rPr>
                <w:color w:val="auto"/>
                <w:highlight w:val="none"/>
                <w:shd w:val="clear" w:color="auto" w:fill="auto"/>
              </w:rPr>
            </w:pPr>
          </w:p>
        </w:tc>
        <w:tc>
          <w:tcPr>
            <w:tcW w:w="1984" w:type="dxa"/>
            <w:vAlign w:val="center"/>
          </w:tcPr>
          <w:p>
            <w:pPr>
              <w:rPr>
                <w:color w:val="auto"/>
                <w:highlight w:val="none"/>
                <w:shd w:val="clear" w:color="auto" w:fill="auto"/>
              </w:rPr>
            </w:pPr>
          </w:p>
        </w:tc>
        <w:tc>
          <w:tcPr>
            <w:tcW w:w="3119" w:type="dxa"/>
            <w:vAlign w:val="center"/>
          </w:tcPr>
          <w:p>
            <w:pPr>
              <w:rPr>
                <w:color w:val="auto"/>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rPr>
                <w:b/>
                <w:color w:val="auto"/>
                <w:highlight w:val="none"/>
                <w:shd w:val="clear" w:color="auto" w:fill="auto"/>
              </w:rPr>
            </w:pPr>
            <w:r>
              <w:rPr>
                <w:rFonts w:hint="eastAsia"/>
                <w:b/>
                <w:color w:val="auto"/>
                <w:highlight w:val="none"/>
                <w:shd w:val="clear" w:color="auto" w:fill="auto"/>
              </w:rPr>
              <w:t>投标报价（小写）</w:t>
            </w:r>
          </w:p>
        </w:tc>
        <w:tc>
          <w:tcPr>
            <w:tcW w:w="7655" w:type="dxa"/>
            <w:gridSpan w:val="4"/>
            <w:vAlign w:val="center"/>
          </w:tcPr>
          <w:p>
            <w:pPr>
              <w:rPr>
                <w:color w:val="auto"/>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rPr>
                <w:b/>
                <w:color w:val="auto"/>
                <w:highlight w:val="none"/>
                <w:shd w:val="clear" w:color="auto" w:fill="auto"/>
              </w:rPr>
            </w:pPr>
            <w:r>
              <w:rPr>
                <w:rFonts w:hint="eastAsia"/>
                <w:b/>
                <w:color w:val="auto"/>
                <w:highlight w:val="none"/>
                <w:shd w:val="clear" w:color="auto" w:fill="auto"/>
              </w:rPr>
              <w:t>投标报价（大写）</w:t>
            </w:r>
          </w:p>
        </w:tc>
        <w:tc>
          <w:tcPr>
            <w:tcW w:w="7655" w:type="dxa"/>
            <w:gridSpan w:val="4"/>
            <w:vAlign w:val="center"/>
          </w:tcPr>
          <w:p>
            <w:pPr>
              <w:rPr>
                <w:color w:val="auto"/>
                <w:highlight w:val="none"/>
                <w:shd w:val="clear" w:color="auto" w:fill="auto"/>
              </w:rPr>
            </w:pPr>
          </w:p>
        </w:tc>
      </w:tr>
    </w:tbl>
    <w:p>
      <w:pPr>
        <w:rPr>
          <w:b/>
          <w:color w:val="auto"/>
          <w:highlight w:val="none"/>
          <w:shd w:val="clear" w:color="auto" w:fill="auto"/>
          <w:lang w:val="zh-CN"/>
        </w:rPr>
      </w:pPr>
      <w:r>
        <w:rPr>
          <w:rFonts w:hint="eastAsia"/>
          <w:b/>
          <w:color w:val="auto"/>
          <w:highlight w:val="none"/>
          <w:shd w:val="clear" w:color="auto" w:fill="auto"/>
          <w:lang w:val="zh-CN"/>
        </w:rPr>
        <w:t>注：</w:t>
      </w:r>
    </w:p>
    <w:p>
      <w:pPr>
        <w:rPr>
          <w:color w:val="auto"/>
          <w:highlight w:val="none"/>
          <w:shd w:val="clear" w:color="auto" w:fill="auto"/>
          <w:lang w:val="zh-CN"/>
        </w:rPr>
      </w:pPr>
      <w:r>
        <w:rPr>
          <w:color w:val="auto"/>
          <w:highlight w:val="none"/>
          <w:shd w:val="clear" w:color="auto" w:fill="auto"/>
          <w:lang w:val="zh-CN"/>
        </w:rPr>
        <w:t>1、投标人需按本表格式填写，不得自行更改。</w:t>
      </w:r>
      <w:r>
        <w:rPr>
          <w:color w:val="auto"/>
          <w:highlight w:val="none"/>
          <w:shd w:val="clear" w:color="auto" w:fill="auto"/>
          <w:lang w:val="zh-CN"/>
        </w:rPr>
        <w:tab/>
      </w:r>
    </w:p>
    <w:p>
      <w:pPr>
        <w:rPr>
          <w:color w:val="auto"/>
          <w:highlight w:val="none"/>
          <w:shd w:val="clear" w:color="auto" w:fill="auto"/>
        </w:rPr>
      </w:pPr>
      <w:r>
        <w:rPr>
          <w:color w:val="auto"/>
          <w:highlight w:val="none"/>
          <w:shd w:val="clear" w:color="auto" w:fill="auto"/>
          <w:lang w:val="zh-CN"/>
        </w:rPr>
        <w:t>2、有关本项目实施所涉及的一切费用均计入报价。</w:t>
      </w:r>
      <w:r>
        <w:rPr>
          <w:rFonts w:hint="eastAsia"/>
          <w:b/>
          <w:color w:val="auto"/>
          <w:highlight w:val="none"/>
          <w:shd w:val="clear" w:color="auto" w:fill="auto"/>
          <w:lang w:val="zh-CN"/>
        </w:rPr>
        <w:t>采购人将以合同形式有偿取得货物或服务，不接受投标人给予的赠品、回扣或者与采购无关的其他商品、服务</w:t>
      </w:r>
      <w:r>
        <w:rPr>
          <w:rFonts w:hint="eastAsia"/>
          <w:color w:val="auto"/>
          <w:highlight w:val="none"/>
          <w:shd w:val="clear" w:color="auto" w:fill="auto"/>
          <w:lang w:val="zh-CN"/>
        </w:rPr>
        <w:t>，</w:t>
      </w:r>
      <w:r>
        <w:rPr>
          <w:rFonts w:hint="eastAsia"/>
          <w:b/>
          <w:color w:val="auto"/>
          <w:highlight w:val="none"/>
          <w:shd w:val="clear" w:color="auto" w:fill="auto"/>
          <w:lang w:val="zh-CN"/>
        </w:rPr>
        <w:t>不得出现“</w:t>
      </w:r>
      <w:r>
        <w:rPr>
          <w:b/>
          <w:color w:val="auto"/>
          <w:highlight w:val="none"/>
          <w:shd w:val="clear" w:color="auto" w:fill="auto"/>
          <w:lang w:val="zh-CN"/>
        </w:rPr>
        <w:t>0元”“免费赠送”等形式的无偿报价</w:t>
      </w:r>
      <w:r>
        <w:rPr>
          <w:rFonts w:hint="eastAsia"/>
          <w:b/>
          <w:color w:val="auto"/>
          <w:highlight w:val="none"/>
          <w:shd w:val="clear" w:color="auto" w:fill="auto"/>
          <w:lang w:val="zh-CN"/>
        </w:rPr>
        <w:t>，</w:t>
      </w:r>
      <w:r>
        <w:rPr>
          <w:rFonts w:hint="eastAsia"/>
          <w:b/>
          <w:color w:val="auto"/>
          <w:highlight w:val="none"/>
          <w:shd w:val="clear" w:color="auto" w:fill="auto"/>
        </w:rPr>
        <w:t>否则视为投标文件含有采购人不能接受的附加条件的，投标无效</w:t>
      </w:r>
      <w:r>
        <w:rPr>
          <w:rFonts w:hint="eastAsia"/>
          <w:b/>
          <w:color w:val="auto"/>
          <w:highlight w:val="none"/>
          <w:shd w:val="clear" w:color="auto" w:fill="auto"/>
          <w:lang w:val="zh-CN"/>
        </w:rPr>
        <w:t>；采购内容未包含在《开标一览表（报价表）》名称栏中，投标人不能作出合理解释的，</w:t>
      </w:r>
      <w:r>
        <w:rPr>
          <w:rFonts w:hint="eastAsia"/>
          <w:b/>
          <w:color w:val="auto"/>
          <w:highlight w:val="none"/>
          <w:shd w:val="clear" w:color="auto" w:fill="auto"/>
        </w:rPr>
        <w:t>视为投标文件含有采购人不能接受的附加条件的，投标无效。</w:t>
      </w:r>
    </w:p>
    <w:p>
      <w:pPr>
        <w:rPr>
          <w:color w:val="auto"/>
          <w:highlight w:val="none"/>
          <w:shd w:val="clear" w:color="auto" w:fill="auto"/>
          <w:lang w:val="zh-CN"/>
        </w:rPr>
      </w:pPr>
      <w:r>
        <w:rPr>
          <w:color w:val="auto"/>
          <w:highlight w:val="none"/>
          <w:shd w:val="clear" w:color="auto" w:fill="auto"/>
          <w:lang w:val="zh-CN"/>
        </w:rPr>
        <w:t>3、以上表格要求细分项目及报价，在“规格型号（或具体服务）”一栏中，货物类项目填写规格型号，服务类项目填写具体服务。</w:t>
      </w:r>
    </w:p>
    <w:p>
      <w:pPr>
        <w:rPr>
          <w:color w:val="auto"/>
          <w:highlight w:val="none"/>
          <w:shd w:val="clear" w:color="auto" w:fill="auto"/>
          <w:lang w:val="zh-CN"/>
        </w:rPr>
      </w:pPr>
      <w:r>
        <w:rPr>
          <w:color w:val="auto"/>
          <w:highlight w:val="none"/>
          <w:shd w:val="clear" w:color="auto" w:fill="auto"/>
          <w:lang w:val="zh-CN"/>
        </w:rPr>
        <w:t>4、特别提示：采购机构将对项目名称和项目编号，中标供应商名称、地址和中标金额，主要中标标的</w:t>
      </w:r>
      <w:r>
        <w:rPr>
          <w:rFonts w:hint="eastAsia"/>
          <w:color w:val="auto"/>
          <w:highlight w:val="none"/>
          <w:shd w:val="clear" w:color="auto" w:fill="auto"/>
          <w:lang w:val="zh-CN"/>
        </w:rPr>
        <w:t>的名称、规格型号、数量、单价、服务要求等予以公示。</w:t>
      </w:r>
    </w:p>
    <w:p>
      <w:pPr>
        <w:rPr>
          <w:color w:val="auto"/>
          <w:highlight w:val="none"/>
          <w:shd w:val="clear" w:color="auto" w:fill="auto"/>
          <w:lang w:val="zh-CN"/>
        </w:rPr>
      </w:pPr>
      <w:r>
        <w:rPr>
          <w:color w:val="auto"/>
          <w:szCs w:val="22"/>
          <w:highlight w:val="none"/>
          <w:shd w:val="clear" w:color="auto" w:fill="auto"/>
          <w:lang w:val="zh-CN"/>
        </w:rPr>
        <w:t>5、</w:t>
      </w:r>
      <w:r>
        <w:rPr>
          <w:rFonts w:hint="eastAsia"/>
          <w:color w:val="auto"/>
          <w:highlight w:val="none"/>
          <w:shd w:val="clear" w:color="auto" w:fill="auto"/>
          <w:lang w:val="zh-CN"/>
        </w:rPr>
        <w:t>符合招标文件中列明的可享受中小企业扶持政策的投标人，请填写中小企业声明函。注：投标人</w:t>
      </w:r>
      <w:r>
        <w:rPr>
          <w:color w:val="auto"/>
          <w:highlight w:val="none"/>
          <w:shd w:val="clear" w:color="auto" w:fill="auto"/>
          <w:lang w:val="zh-CN"/>
        </w:rPr>
        <w:t>提供</w:t>
      </w:r>
      <w:r>
        <w:rPr>
          <w:rFonts w:hint="eastAsia"/>
          <w:color w:val="auto"/>
          <w:highlight w:val="none"/>
          <w:shd w:val="clear" w:color="auto" w:fill="auto"/>
          <w:lang w:val="zh-CN"/>
        </w:rPr>
        <w:t>的中小企业</w:t>
      </w:r>
      <w:r>
        <w:rPr>
          <w:color w:val="auto"/>
          <w:highlight w:val="none"/>
          <w:shd w:val="clear" w:color="auto" w:fill="auto"/>
          <w:lang w:val="zh-CN"/>
        </w:rPr>
        <w:t>声明函内容不实的，属于提供虚假材料谋取中标、成交，依照《中华人民共和国政府采购法》等国家有关规定追究相应责任。</w:t>
      </w:r>
    </w:p>
    <w:p>
      <w:pPr>
        <w:spacing w:line="360" w:lineRule="auto"/>
        <w:ind w:firstLine="482" w:firstLineChars="200"/>
        <w:rPr>
          <w:rFonts w:ascii="仿宋_GB2312" w:eastAsia="仿宋_GB2312"/>
          <w:b/>
          <w:color w:val="auto"/>
          <w:highlight w:val="none"/>
          <w:shd w:val="clear" w:color="auto" w:fill="auto"/>
        </w:rPr>
        <w:sectPr>
          <w:pgSz w:w="16838" w:h="11906" w:orient="landscape"/>
          <w:pgMar w:top="1800" w:right="1440" w:bottom="1700" w:left="1440" w:header="851" w:footer="992" w:gutter="0"/>
          <w:pgBorders>
            <w:top w:val="none" w:sz="0" w:space="0"/>
            <w:left w:val="none" w:sz="0" w:space="0"/>
            <w:bottom w:val="none" w:sz="0" w:space="0"/>
            <w:right w:val="none" w:sz="0" w:space="0"/>
          </w:pgBorders>
          <w:cols w:space="425" w:num="1"/>
          <w:docGrid w:type="lines" w:linePitch="326" w:charSpace="0"/>
        </w:sectPr>
      </w:pPr>
    </w:p>
    <w:p>
      <w:pPr>
        <w:pStyle w:val="3"/>
        <w:rPr>
          <w:color w:val="auto"/>
          <w:highlight w:val="none"/>
          <w:shd w:val="clear" w:color="auto" w:fill="auto"/>
        </w:rPr>
      </w:pPr>
      <w:r>
        <w:rPr>
          <w:rFonts w:hint="eastAsia" w:cs="仿宋_GB2312"/>
          <w:color w:val="auto"/>
          <w:kern w:val="2"/>
          <w:highlight w:val="none"/>
          <w:shd w:val="clear" w:color="auto" w:fill="auto"/>
        </w:rPr>
        <w:t>二、</w:t>
      </w:r>
      <w:r>
        <w:rPr>
          <w:rFonts w:hint="eastAsia"/>
          <w:color w:val="auto"/>
          <w:highlight w:val="none"/>
          <w:shd w:val="clear" w:color="auto" w:fill="auto"/>
        </w:rPr>
        <w:t>中小企业声明函</w:t>
      </w:r>
    </w:p>
    <w:p>
      <w:pPr>
        <w:spacing w:line="360" w:lineRule="auto"/>
        <w:ind w:firstLine="120" w:firstLineChars="50"/>
        <w:rPr>
          <w:rFonts w:ascii="仿宋_GB2312" w:eastAsia="仿宋_GB2312" w:cs="仿宋_GB2312"/>
          <w:b/>
          <w:color w:val="auto"/>
          <w:highlight w:val="none"/>
          <w:shd w:val="clear" w:color="auto" w:fill="auto"/>
        </w:rPr>
      </w:pPr>
      <w:r>
        <w:rPr>
          <w:rFonts w:hint="eastAsia" w:ascii="仿宋_GB2312" w:eastAsia="仿宋_GB2312" w:cs="仿宋_GB2312"/>
          <w:b/>
          <w:color w:val="auto"/>
          <w:highlight w:val="none"/>
          <w:shd w:val="clear" w:color="auto" w:fill="auto"/>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_GB2312" w:eastAsia="仿宋_GB2312" w:cs="仿宋_GB2312"/>
          <w:b/>
          <w:color w:val="auto"/>
          <w:highlight w:val="none"/>
          <w:shd w:val="clear" w:color="auto" w:fill="auto"/>
        </w:rPr>
        <w:t>5）。</w:t>
      </w:r>
      <w:r>
        <w:rPr>
          <w:rFonts w:hint="eastAsia" w:ascii="仿宋_GB2312" w:eastAsia="仿宋_GB2312" w:cs="仿宋_GB2312"/>
          <w:b/>
          <w:color w:val="auto"/>
          <w:highlight w:val="none"/>
          <w:shd w:val="clear" w:color="auto" w:fill="auto"/>
        </w:rPr>
        <w:t>]</w:t>
      </w:r>
    </w:p>
    <w:p>
      <w:pPr>
        <w:spacing w:line="276" w:lineRule="auto"/>
        <w:rPr>
          <w:rFonts w:ascii="仿宋_GB2312" w:eastAsia="仿宋_GB2312" w:cs="仿宋_GB2312"/>
          <w:b/>
          <w:color w:val="auto"/>
          <w:highlight w:val="none"/>
          <w:shd w:val="clear" w:color="auto" w:fill="auto"/>
        </w:rPr>
      </w:pPr>
      <w:r>
        <w:rPr>
          <w:rFonts w:ascii="仿宋_GB2312" w:eastAsia="仿宋_GB2312" w:cs="仿宋_GB2312"/>
          <w:b/>
          <w:color w:val="auto"/>
          <w:highlight w:val="none"/>
          <w:shd w:val="clear" w:color="auto" w:fill="auto"/>
        </w:rPr>
        <w:br w:type="page"/>
      </w:r>
    </w:p>
    <w:p>
      <w:pPr>
        <w:pStyle w:val="3"/>
        <w:rPr>
          <w:color w:val="auto"/>
          <w:highlight w:val="none"/>
          <w:shd w:val="clear" w:color="auto" w:fill="auto"/>
        </w:rPr>
      </w:pPr>
      <w:r>
        <w:rPr>
          <w:rFonts w:hint="eastAsia"/>
          <w:color w:val="auto"/>
          <w:highlight w:val="none"/>
          <w:shd w:val="clear" w:color="auto" w:fill="auto"/>
        </w:rPr>
        <w:t>政府采购支持中小企业信用融资相关事项通知</w:t>
      </w:r>
    </w:p>
    <w:p>
      <w:pPr>
        <w:rPr>
          <w:color w:val="auto"/>
          <w:highlight w:val="none"/>
          <w:shd w:val="clear" w:color="auto" w:fill="auto"/>
          <w:lang w:val="zh-CN"/>
        </w:rPr>
      </w:pPr>
      <w:r>
        <w:rPr>
          <w:rFonts w:hint="eastAsia"/>
          <w:color w:val="auto"/>
          <w:highlight w:val="none"/>
          <w:shd w:val="clear" w:color="auto" w:fill="auto"/>
          <w:lang w:val="zh-CN"/>
        </w:rPr>
        <w:t>为贯彻落实中央、省、市关于支持民营经济健康发展有关精神，发挥政府采购在促进中小企业发展中的政策引导作用，缓解中小企业融资难、融资贵问题，杭州市财政局、</w:t>
      </w:r>
    </w:p>
    <w:p>
      <w:pPr>
        <w:rPr>
          <w:color w:val="auto"/>
          <w:highlight w:val="none"/>
          <w:shd w:val="clear" w:color="auto" w:fill="auto"/>
          <w:lang w:val="zh-CN"/>
        </w:rPr>
      </w:pPr>
      <w:r>
        <w:rPr>
          <w:rFonts w:hint="eastAsia"/>
          <w:color w:val="auto"/>
          <w:highlight w:val="none"/>
          <w:shd w:val="clear" w:color="auto" w:fill="auto"/>
          <w:lang w:val="zh-CN"/>
        </w:rPr>
        <w:t>中国银保监会浙江监管局、杭州市地方金融监督管理局、杭州市经济和信息化局制定《杭州市政府采购支持中小企业信用融资管理办法》。相关事项通知如下：</w:t>
      </w:r>
    </w:p>
    <w:p>
      <w:pPr>
        <w:rPr>
          <w:b/>
          <w:color w:val="auto"/>
          <w:highlight w:val="none"/>
          <w:shd w:val="clear" w:color="auto" w:fill="auto"/>
        </w:rPr>
      </w:pPr>
      <w:r>
        <w:rPr>
          <w:rFonts w:hint="eastAsia"/>
          <w:b/>
          <w:color w:val="auto"/>
          <w:highlight w:val="none"/>
          <w:shd w:val="clear" w:color="auto" w:fill="auto"/>
        </w:rPr>
        <w:t>一、适用对象</w:t>
      </w:r>
    </w:p>
    <w:p>
      <w:pPr>
        <w:rPr>
          <w:color w:val="auto"/>
          <w:highlight w:val="none"/>
          <w:shd w:val="clear" w:color="auto" w:fill="auto"/>
        </w:rPr>
      </w:pPr>
      <w:r>
        <w:rPr>
          <w:rFonts w:hint="eastAsia"/>
          <w:color w:val="auto"/>
          <w:highlight w:val="none"/>
          <w:shd w:val="clear" w:color="auto" w:fill="auto"/>
        </w:rPr>
        <w:t>凡已在浙江政府采购网上注册入库，并取得杭州市政府采购合同的中小企业供应商（以下简称“供应商”），均可申请政府采购信用融资。</w:t>
      </w:r>
    </w:p>
    <w:p>
      <w:pPr>
        <w:rPr>
          <w:b/>
          <w:color w:val="auto"/>
          <w:highlight w:val="none"/>
          <w:shd w:val="clear" w:color="auto" w:fill="auto"/>
        </w:rPr>
      </w:pPr>
      <w:r>
        <w:rPr>
          <w:rFonts w:hint="eastAsia"/>
          <w:b/>
          <w:color w:val="auto"/>
          <w:highlight w:val="none"/>
          <w:shd w:val="clear" w:color="auto" w:fill="auto"/>
        </w:rPr>
        <w:t>二、相关信息获取方式</w:t>
      </w:r>
    </w:p>
    <w:p>
      <w:pPr>
        <w:rPr>
          <w:color w:val="auto"/>
          <w:highlight w:val="none"/>
          <w:shd w:val="clear" w:color="auto" w:fill="auto"/>
        </w:rPr>
      </w:pPr>
      <w:r>
        <w:rPr>
          <w:rFonts w:hint="eastAsia"/>
          <w:color w:val="auto"/>
          <w:highlight w:val="none"/>
          <w:shd w:val="clear" w:color="auto" w:fill="auto"/>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rPr>
          <w:b/>
          <w:color w:val="auto"/>
          <w:highlight w:val="none"/>
          <w:shd w:val="clear" w:color="auto" w:fill="auto"/>
        </w:rPr>
      </w:pPr>
      <w:r>
        <w:rPr>
          <w:rFonts w:hint="eastAsia"/>
          <w:b/>
          <w:color w:val="auto"/>
          <w:highlight w:val="none"/>
          <w:shd w:val="clear" w:color="auto" w:fill="auto"/>
        </w:rPr>
        <w:t>三、　政府采购信用融资操作流程：</w:t>
      </w:r>
    </w:p>
    <w:p>
      <w:pPr>
        <w:rPr>
          <w:color w:val="auto"/>
          <w:highlight w:val="none"/>
          <w:shd w:val="clear" w:color="auto" w:fill="auto"/>
        </w:rPr>
      </w:pPr>
      <w:r>
        <w:rPr>
          <w:rFonts w:hint="eastAsia"/>
          <w:color w:val="auto"/>
          <w:highlight w:val="none"/>
          <w:shd w:val="clear" w:color="auto" w:fill="auto"/>
        </w:rPr>
        <w:t>（一）线上融资模式：</w:t>
      </w:r>
    </w:p>
    <w:p>
      <w:pPr>
        <w:rPr>
          <w:color w:val="auto"/>
          <w:highlight w:val="none"/>
          <w:shd w:val="clear" w:color="auto" w:fill="auto"/>
        </w:rPr>
      </w:pPr>
      <w:r>
        <w:rPr>
          <w:rFonts w:hint="eastAsia"/>
          <w:color w:val="auto"/>
          <w:highlight w:val="none"/>
          <w:shd w:val="clear" w:color="auto" w:fill="auto"/>
        </w:rPr>
        <w:t>　　</w:t>
      </w:r>
      <w:r>
        <w:rPr>
          <w:color w:val="auto"/>
          <w:highlight w:val="none"/>
          <w:shd w:val="clear" w:color="auto" w:fill="auto"/>
        </w:rPr>
        <w:t>1.供应商根据合作银行提供的方案，自行选择金融产品，并办理开户等手续；</w:t>
      </w:r>
    </w:p>
    <w:p>
      <w:pPr>
        <w:rPr>
          <w:color w:val="auto"/>
          <w:highlight w:val="none"/>
          <w:shd w:val="clear" w:color="auto" w:fill="auto"/>
        </w:rPr>
      </w:pPr>
      <w:r>
        <w:rPr>
          <w:rFonts w:hint="eastAsia"/>
          <w:color w:val="auto"/>
          <w:highlight w:val="none"/>
          <w:shd w:val="clear" w:color="auto" w:fill="auto"/>
        </w:rPr>
        <w:t>　　</w:t>
      </w:r>
      <w:r>
        <w:rPr>
          <w:color w:val="auto"/>
          <w:highlight w:val="none"/>
          <w:shd w:val="clear" w:color="auto" w:fill="auto"/>
        </w:rPr>
        <w:t>2.供应商中标后，可通过杭州市政府采购网或“浙里办”测算授信额度；</w:t>
      </w:r>
    </w:p>
    <w:p>
      <w:pPr>
        <w:rPr>
          <w:color w:val="auto"/>
          <w:highlight w:val="none"/>
          <w:shd w:val="clear" w:color="auto" w:fill="auto"/>
        </w:rPr>
      </w:pPr>
      <w:r>
        <w:rPr>
          <w:rFonts w:hint="eastAsia"/>
          <w:color w:val="auto"/>
          <w:highlight w:val="none"/>
          <w:shd w:val="clear" w:color="auto" w:fill="auto"/>
        </w:rPr>
        <w:t>　　</w:t>
      </w:r>
      <w:r>
        <w:rPr>
          <w:color w:val="auto"/>
          <w:highlight w:val="none"/>
          <w:shd w:val="clear" w:color="auto" w:fill="auto"/>
        </w:rPr>
        <w:t>3.采购合同签订后，供应商在杭州市政府采购网或“浙里办”向合作银行发出融资申请；</w:t>
      </w:r>
    </w:p>
    <w:p>
      <w:pPr>
        <w:rPr>
          <w:color w:val="auto"/>
          <w:highlight w:val="none"/>
          <w:shd w:val="clear" w:color="auto" w:fill="auto"/>
        </w:rPr>
      </w:pPr>
      <w:r>
        <w:rPr>
          <w:rFonts w:hint="eastAsia"/>
          <w:color w:val="auto"/>
          <w:highlight w:val="none"/>
          <w:shd w:val="clear" w:color="auto" w:fill="auto"/>
        </w:rPr>
        <w:t>　　</w:t>
      </w:r>
      <w:r>
        <w:rPr>
          <w:color w:val="auto"/>
          <w:highlight w:val="none"/>
          <w:shd w:val="clear" w:color="auto" w:fill="auto"/>
        </w:rPr>
        <w:t>4.审批通过后，在线办理放贷手续。</w:t>
      </w:r>
    </w:p>
    <w:p>
      <w:pPr>
        <w:rPr>
          <w:color w:val="auto"/>
          <w:highlight w:val="none"/>
          <w:shd w:val="clear" w:color="auto" w:fill="auto"/>
        </w:rPr>
      </w:pPr>
      <w:r>
        <w:rPr>
          <w:rFonts w:hint="eastAsia"/>
          <w:color w:val="auto"/>
          <w:highlight w:val="none"/>
          <w:shd w:val="clear" w:color="auto" w:fill="auto"/>
        </w:rPr>
        <w:t>　　（二）线下融资模式：</w:t>
      </w:r>
    </w:p>
    <w:p>
      <w:pPr>
        <w:rPr>
          <w:color w:val="auto"/>
          <w:highlight w:val="none"/>
          <w:shd w:val="clear" w:color="auto" w:fill="auto"/>
        </w:rPr>
      </w:pPr>
      <w:r>
        <w:rPr>
          <w:rFonts w:hint="eastAsia"/>
          <w:color w:val="auto"/>
          <w:highlight w:val="none"/>
          <w:shd w:val="clear" w:color="auto" w:fill="auto"/>
        </w:rPr>
        <w:t>　　</w:t>
      </w:r>
      <w:r>
        <w:rPr>
          <w:color w:val="auto"/>
          <w:highlight w:val="none"/>
          <w:shd w:val="clear" w:color="auto" w:fill="auto"/>
        </w:rPr>
        <w:t>1.供应商根据合作银行提供的方案，自行选择金融产品，向合作银行提出信用资格预审，并办理开户等手续；</w:t>
      </w:r>
    </w:p>
    <w:p>
      <w:pPr>
        <w:rPr>
          <w:color w:val="auto"/>
          <w:highlight w:val="none"/>
          <w:shd w:val="clear" w:color="auto" w:fill="auto"/>
        </w:rPr>
      </w:pPr>
      <w:r>
        <w:rPr>
          <w:rFonts w:hint="eastAsia"/>
          <w:color w:val="auto"/>
          <w:highlight w:val="none"/>
          <w:shd w:val="clear" w:color="auto" w:fill="auto"/>
        </w:rPr>
        <w:t>　　</w:t>
      </w:r>
      <w:r>
        <w:rPr>
          <w:color w:val="auto"/>
          <w:highlight w:val="none"/>
          <w:shd w:val="clear" w:color="auto" w:fill="auto"/>
        </w:rPr>
        <w:t>2.采购合同签订后，供应商在杭州市政府采购网或“浙里办”向合作银行发出融资申请；</w:t>
      </w:r>
    </w:p>
    <w:p>
      <w:pPr>
        <w:rPr>
          <w:color w:val="auto"/>
          <w:highlight w:val="none"/>
          <w:shd w:val="clear" w:color="auto" w:fill="auto"/>
        </w:rPr>
      </w:pPr>
      <w:r>
        <w:rPr>
          <w:rFonts w:hint="eastAsia"/>
          <w:color w:val="auto"/>
          <w:highlight w:val="none"/>
          <w:shd w:val="clear" w:color="auto" w:fill="auto"/>
        </w:rPr>
        <w:t>　　</w:t>
      </w:r>
      <w:r>
        <w:rPr>
          <w:color w:val="auto"/>
          <w:highlight w:val="none"/>
          <w:shd w:val="clear" w:color="auto" w:fill="auto"/>
        </w:rPr>
        <w:t>3.合作银行在信用融资模块受理申请后，供应商提供审批材料。合作银行应对申请信用融资的供应商及备案的政府采购合同信息进行核对和审查；</w:t>
      </w:r>
    </w:p>
    <w:p>
      <w:pPr>
        <w:rPr>
          <w:color w:val="auto"/>
          <w:highlight w:val="none"/>
          <w:shd w:val="clear" w:color="auto" w:fill="auto"/>
        </w:rPr>
      </w:pPr>
      <w:r>
        <w:rPr>
          <w:rFonts w:hint="eastAsia"/>
          <w:color w:val="auto"/>
          <w:highlight w:val="none"/>
          <w:shd w:val="clear" w:color="auto" w:fill="auto"/>
        </w:rPr>
        <w:t>　　</w:t>
      </w:r>
      <w:r>
        <w:rPr>
          <w:color w:val="auto"/>
          <w:highlight w:val="none"/>
          <w:shd w:val="clear" w:color="auto" w:fill="auto"/>
        </w:rPr>
        <w:t>4.审批通过后，合作银行应按照合作备忘录中约定的审批放款期限和优惠利率及时予以放款。</w:t>
      </w:r>
    </w:p>
    <w:p>
      <w:pPr>
        <w:rPr>
          <w:b/>
          <w:bCs/>
          <w:color w:val="auto"/>
          <w:highlight w:val="none"/>
          <w:shd w:val="clear" w:color="auto" w:fill="auto"/>
        </w:rPr>
      </w:pPr>
      <w:r>
        <w:rPr>
          <w:rFonts w:hint="eastAsia"/>
          <w:color w:val="auto"/>
          <w:highlight w:val="none"/>
          <w:shd w:val="clear" w:color="auto" w:fill="auto"/>
        </w:rPr>
        <w:t>（三）杭州e融平台申请融资</w:t>
      </w:r>
    </w:p>
    <w:p>
      <w:pPr>
        <w:rPr>
          <w:b/>
          <w:bCs/>
          <w:color w:val="auto"/>
          <w:highlight w:val="none"/>
          <w:shd w:val="clear" w:color="auto" w:fill="auto"/>
        </w:rPr>
      </w:pPr>
      <w:r>
        <w:rPr>
          <w:rFonts w:hint="eastAsia"/>
          <w:color w:val="auto"/>
          <w:highlight w:val="none"/>
          <w:shd w:val="clear" w:color="auto" w:fill="auto"/>
        </w:rPr>
        <w:t>供应商通过杭州e融平台政采贷专区，自行选择金融产品，按规定手续办理贷款流程。</w:t>
      </w:r>
    </w:p>
    <w:p>
      <w:pPr>
        <w:rPr>
          <w:b/>
          <w:color w:val="auto"/>
          <w:highlight w:val="none"/>
          <w:shd w:val="clear" w:color="auto" w:fill="auto"/>
        </w:rPr>
      </w:pPr>
      <w:r>
        <w:rPr>
          <w:rFonts w:hint="eastAsia"/>
          <w:b/>
          <w:color w:val="auto"/>
          <w:highlight w:val="none"/>
          <w:shd w:val="clear" w:color="auto" w:fill="auto"/>
        </w:rPr>
        <w:t>四、注意事项</w:t>
      </w:r>
    </w:p>
    <w:p>
      <w:pPr>
        <w:rPr>
          <w:color w:val="auto"/>
          <w:highlight w:val="none"/>
          <w:shd w:val="clear" w:color="auto" w:fill="auto"/>
        </w:rPr>
      </w:pPr>
      <w:r>
        <w:rPr>
          <w:color w:val="auto"/>
          <w:highlight w:val="none"/>
          <w:shd w:val="clear" w:color="auto" w:fill="auto"/>
        </w:rPr>
        <w:t>1、</w:t>
      </w:r>
      <w:r>
        <w:rPr>
          <w:rFonts w:hint="eastAsia"/>
          <w:color w:val="auto"/>
          <w:highlight w:val="none"/>
          <w:shd w:val="clear" w:color="auto" w:fill="auto"/>
        </w:rPr>
        <w:t>对拟用于信用融资的政府采购合同，供应商在签订合同时应当在合同中注明融资银行名称及账号，作为在该银行的唯一收款账号。</w:t>
      </w:r>
    </w:p>
    <w:p>
      <w:pPr>
        <w:rPr>
          <w:rFonts w:ascii="仿宋_GB2312" w:eastAsia="仿宋_GB2312"/>
          <w:color w:val="auto"/>
          <w:highlight w:val="none"/>
          <w:shd w:val="clear" w:color="auto" w:fill="auto"/>
        </w:rPr>
      </w:pPr>
      <w:r>
        <w:rPr>
          <w:color w:val="auto"/>
          <w:highlight w:val="none"/>
          <w:shd w:val="clear" w:color="auto" w:fill="auto"/>
        </w:rPr>
        <w:t>2</w:t>
      </w:r>
      <w:r>
        <w:rPr>
          <w:rFonts w:hint="eastAsia"/>
          <w:color w:val="auto"/>
          <w:highlight w:val="none"/>
          <w:shd w:val="clear" w:color="auto" w:fill="auto"/>
        </w:rPr>
        <w:t>、供应商弄虚作假或以伪造政府采购合同等方式违规获取政府采购信用融资，或不及时还款，或出现其他违反本办法规定情形的，按融资合同约定承担违约责任；涉嫌犯罪的，移送司法机关处理</w:t>
      </w:r>
      <w:r>
        <w:rPr>
          <w:rFonts w:hint="eastAsia" w:ascii="仿宋_GB2312" w:eastAsia="仿宋_GB2312"/>
          <w:color w:val="auto"/>
          <w:highlight w:val="none"/>
          <w:shd w:val="clear" w:color="auto" w:fill="auto"/>
        </w:rPr>
        <w:t>。</w:t>
      </w:r>
    </w:p>
    <w:p>
      <w:pPr>
        <w:spacing w:line="360" w:lineRule="auto"/>
        <w:ind w:left="5060" w:hanging="5060" w:hangingChars="2100"/>
        <w:rPr>
          <w:rFonts w:ascii="仿宋_GB2312" w:eastAsia="仿宋_GB2312" w:cs="仿宋_GB2312"/>
          <w:b/>
          <w:bCs/>
          <w:color w:val="auto"/>
          <w:highlight w:val="none"/>
          <w:shd w:val="clear" w:color="auto" w:fill="auto"/>
        </w:rPr>
      </w:pPr>
    </w:p>
    <w:p>
      <w:pPr>
        <w:spacing w:line="360" w:lineRule="auto"/>
        <w:ind w:firstLine="120" w:firstLineChars="50"/>
        <w:rPr>
          <w:rFonts w:ascii="仿宋_GB2312" w:eastAsia="仿宋_GB2312" w:cs="仿宋_GB2312"/>
          <w:b/>
          <w:color w:val="auto"/>
          <w:highlight w:val="none"/>
          <w:shd w:val="clear" w:color="auto" w:fill="auto"/>
        </w:rPr>
      </w:pPr>
    </w:p>
    <w:p>
      <w:pPr>
        <w:spacing w:line="360" w:lineRule="auto"/>
        <w:ind w:firstLine="482" w:firstLineChars="200"/>
        <w:rPr>
          <w:rFonts w:ascii="仿宋_GB2312" w:eastAsia="仿宋_GB2312"/>
          <w:b/>
          <w:color w:val="auto"/>
          <w:highlight w:val="none"/>
          <w:shd w:val="clear" w:color="auto" w:fill="auto"/>
        </w:rPr>
      </w:pPr>
    </w:p>
    <w:p>
      <w:pPr>
        <w:pStyle w:val="79"/>
        <w:keepNext w:val="0"/>
        <w:pageBreakBefore w:val="0"/>
        <w:tabs>
          <w:tab w:val="clear" w:pos="720"/>
        </w:tabs>
        <w:snapToGrid w:val="0"/>
        <w:spacing w:before="120" w:after="120"/>
        <w:ind w:firstLine="643"/>
        <w:outlineLvl w:val="9"/>
        <w:rPr>
          <w:rFonts w:ascii="仿宋_GB2312" w:hAnsi="仿宋" w:eastAsia="仿宋_GB2312" w:cs="仿宋_GB2312"/>
          <w:color w:val="auto"/>
          <w:kern w:val="2"/>
          <w:sz w:val="32"/>
          <w:szCs w:val="32"/>
          <w:highlight w:val="none"/>
          <w:shd w:val="clear" w:color="auto" w:fill="auto"/>
        </w:rPr>
      </w:pPr>
    </w:p>
    <w:p>
      <w:pPr>
        <w:spacing w:line="276" w:lineRule="auto"/>
        <w:rPr>
          <w:rFonts w:ascii="仿宋_GB2312" w:eastAsia="仿宋_GB2312" w:cs="仿宋_GB2312"/>
          <w:color w:val="auto"/>
          <w:highlight w:val="none"/>
          <w:shd w:val="clear" w:color="auto" w:fill="auto"/>
        </w:rPr>
      </w:pPr>
      <w:r>
        <w:rPr>
          <w:rFonts w:ascii="仿宋_GB2312" w:eastAsia="仿宋_GB2312" w:cs="仿宋_GB2312"/>
          <w:color w:val="auto"/>
          <w:highlight w:val="none"/>
          <w:shd w:val="clear" w:color="auto" w:fill="auto"/>
        </w:rPr>
        <w:br w:type="page"/>
      </w:r>
    </w:p>
    <w:p>
      <w:pPr>
        <w:pStyle w:val="2"/>
        <w:rPr>
          <w:color w:val="auto"/>
          <w:highlight w:val="none"/>
          <w:shd w:val="clear" w:color="auto" w:fill="auto"/>
        </w:rPr>
      </w:pPr>
      <w:bookmarkStart w:id="582" w:name="_Toc465665161"/>
      <w:r>
        <w:rPr>
          <w:rFonts w:hint="eastAsia"/>
          <w:color w:val="auto"/>
          <w:highlight w:val="none"/>
          <w:shd w:val="clear" w:color="auto" w:fill="auto"/>
        </w:rPr>
        <w:t>附件</w:t>
      </w:r>
      <w:bookmarkEnd w:id="582"/>
    </w:p>
    <w:p>
      <w:pPr>
        <w:pStyle w:val="3"/>
        <w:jc w:val="left"/>
        <w:rPr>
          <w:color w:val="auto"/>
          <w:highlight w:val="none"/>
          <w:shd w:val="clear" w:color="auto" w:fill="auto"/>
        </w:rPr>
      </w:pPr>
      <w:r>
        <w:rPr>
          <w:rFonts w:hint="eastAsia"/>
          <w:color w:val="auto"/>
          <w:highlight w:val="none"/>
          <w:shd w:val="clear" w:color="auto" w:fill="auto"/>
        </w:rPr>
        <w:t>附件</w:t>
      </w:r>
      <w:r>
        <w:rPr>
          <w:color w:val="auto"/>
          <w:highlight w:val="none"/>
          <w:shd w:val="clear" w:color="auto" w:fill="auto"/>
        </w:rPr>
        <w:t>1：</w:t>
      </w:r>
      <w:r>
        <w:rPr>
          <w:rFonts w:hint="eastAsia"/>
          <w:color w:val="auto"/>
          <w:highlight w:val="none"/>
          <w:shd w:val="clear" w:color="auto" w:fill="auto"/>
        </w:rPr>
        <w:t>残疾人福利性单位声明函</w:t>
      </w:r>
    </w:p>
    <w:p>
      <w:pPr>
        <w:spacing w:line="360" w:lineRule="auto"/>
        <w:jc w:val="center"/>
        <w:rPr>
          <w:rFonts w:ascii="仿宋_GB2312" w:eastAsia="仿宋_GB2312"/>
          <w:b/>
          <w:color w:val="auto"/>
          <w:spacing w:val="6"/>
          <w:sz w:val="32"/>
          <w:szCs w:val="32"/>
          <w:highlight w:val="none"/>
          <w:shd w:val="clear" w:color="auto" w:fill="auto"/>
        </w:rPr>
      </w:pPr>
      <w:bookmarkStart w:id="583" w:name="OLE_LINK13"/>
      <w:bookmarkStart w:id="584" w:name="OLE_LINK14"/>
      <w:r>
        <w:rPr>
          <w:rFonts w:hint="eastAsia" w:ascii="仿宋_GB2312" w:eastAsia="仿宋_GB2312"/>
          <w:b/>
          <w:color w:val="auto"/>
          <w:spacing w:val="6"/>
          <w:sz w:val="32"/>
          <w:szCs w:val="32"/>
          <w:highlight w:val="none"/>
          <w:shd w:val="clear" w:color="auto" w:fill="auto"/>
        </w:rPr>
        <w:t>残疾人福利性单位声明函</w:t>
      </w:r>
    </w:p>
    <w:bookmarkEnd w:id="583"/>
    <w:bookmarkEnd w:id="584"/>
    <w:p>
      <w:pPr>
        <w:spacing w:line="360" w:lineRule="auto"/>
        <w:rPr>
          <w:rFonts w:ascii="仿宋_GB2312" w:eastAsia="仿宋_GB2312"/>
          <w:b/>
          <w:color w:val="auto"/>
          <w:spacing w:val="6"/>
          <w:sz w:val="30"/>
          <w:szCs w:val="30"/>
          <w:highlight w:val="none"/>
          <w:shd w:val="clear" w:color="auto" w:fill="auto"/>
        </w:rPr>
      </w:pPr>
    </w:p>
    <w:p>
      <w:pPr>
        <w:pStyle w:val="64"/>
        <w:rPr>
          <w:color w:val="auto"/>
          <w:highlight w:val="none"/>
          <w:shd w:val="clear" w:color="auto" w:fill="auto"/>
        </w:rPr>
      </w:pPr>
      <w:r>
        <w:rPr>
          <w:rFonts w:hint="eastAsia"/>
          <w:color w:val="auto"/>
          <w:highlight w:val="none"/>
          <w:shd w:val="clear" w:color="auto" w:fill="auto"/>
        </w:rPr>
        <w:t>本单位郑重声明，根据《财政部</w:t>
      </w:r>
      <w:r>
        <w:rPr>
          <w:color w:val="auto"/>
          <w:highlight w:val="none"/>
          <w:shd w:val="clear" w:color="auto" w:fill="auto"/>
        </w:rPr>
        <w:t xml:space="preserve"> </w:t>
      </w:r>
      <w:r>
        <w:rPr>
          <w:rFonts w:hint="eastAsia"/>
          <w:color w:val="auto"/>
          <w:highlight w:val="none"/>
          <w:shd w:val="clear" w:color="auto" w:fill="auto"/>
        </w:rPr>
        <w:t>民政部</w:t>
      </w:r>
      <w:r>
        <w:rPr>
          <w:color w:val="auto"/>
          <w:highlight w:val="none"/>
          <w:shd w:val="clear" w:color="auto" w:fill="auto"/>
        </w:rPr>
        <w:t xml:space="preserve"> </w:t>
      </w:r>
      <w:r>
        <w:rPr>
          <w:rFonts w:hint="eastAsia"/>
          <w:color w:val="auto"/>
          <w:highlight w:val="none"/>
          <w:shd w:val="clear" w:color="auto" w:fill="auto"/>
        </w:rPr>
        <w:t>中国残疾人联合会关于促进残疾人就业政府采购政策的通知》（财库〔</w:t>
      </w:r>
      <w:r>
        <w:rPr>
          <w:color w:val="auto"/>
          <w:highlight w:val="none"/>
          <w:shd w:val="clear" w:color="auto" w:fill="auto"/>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pStyle w:val="64"/>
        <w:rPr>
          <w:color w:val="auto"/>
          <w:highlight w:val="none"/>
          <w:shd w:val="clear" w:color="auto" w:fill="auto"/>
        </w:rPr>
      </w:pPr>
      <w:r>
        <w:rPr>
          <w:rFonts w:hint="eastAsia"/>
          <w:color w:val="auto"/>
          <w:highlight w:val="none"/>
          <w:shd w:val="clear" w:color="auto" w:fill="auto"/>
        </w:rPr>
        <w:t>本单位对上述声明的真实性负责。如有虚假，将依法承担相应责任。</w:t>
      </w:r>
    </w:p>
    <w:p>
      <w:pPr>
        <w:pStyle w:val="64"/>
        <w:rPr>
          <w:color w:val="auto"/>
          <w:highlight w:val="none"/>
          <w:shd w:val="clear" w:color="auto" w:fill="auto"/>
        </w:rPr>
      </w:pPr>
    </w:p>
    <w:p>
      <w:pPr>
        <w:pStyle w:val="64"/>
        <w:rPr>
          <w:color w:val="auto"/>
          <w:highlight w:val="none"/>
          <w:shd w:val="clear" w:color="auto" w:fill="auto"/>
        </w:rPr>
      </w:pPr>
    </w:p>
    <w:p>
      <w:pPr>
        <w:pStyle w:val="64"/>
        <w:jc w:val="right"/>
        <w:rPr>
          <w:color w:val="auto"/>
          <w:highlight w:val="none"/>
          <w:shd w:val="clear" w:color="auto" w:fill="auto"/>
        </w:rPr>
      </w:pPr>
      <w:r>
        <w:rPr>
          <w:rFonts w:hint="eastAsia"/>
          <w:color w:val="auto"/>
          <w:highlight w:val="none"/>
          <w:shd w:val="clear" w:color="auto" w:fill="auto"/>
        </w:rPr>
        <w:t>投标人名称（电子签名）：</w:t>
      </w:r>
    </w:p>
    <w:p>
      <w:pPr>
        <w:pStyle w:val="64"/>
        <w:jc w:val="right"/>
        <w:rPr>
          <w:color w:val="auto"/>
          <w:highlight w:val="none"/>
          <w:shd w:val="clear" w:color="auto" w:fill="auto"/>
        </w:rPr>
      </w:pPr>
      <w:r>
        <w:rPr>
          <w:color w:val="auto"/>
          <w:highlight w:val="none"/>
          <w:shd w:val="clear" w:color="auto" w:fill="auto"/>
        </w:rPr>
        <w:t>日  期：</w:t>
      </w:r>
    </w:p>
    <w:p>
      <w:pPr>
        <w:spacing w:line="276" w:lineRule="auto"/>
        <w:rPr>
          <w:rFonts w:ascii="仿宋_GB2312" w:eastAsia="仿宋_GB2312" w:cs="仿宋_GB2312"/>
          <w:color w:val="auto"/>
          <w:highlight w:val="none"/>
          <w:shd w:val="clear" w:color="auto" w:fill="auto"/>
        </w:rPr>
      </w:pPr>
      <w:r>
        <w:rPr>
          <w:rFonts w:ascii="仿宋_GB2312" w:eastAsia="仿宋_GB2312" w:cs="仿宋_GB2312"/>
          <w:color w:val="auto"/>
          <w:highlight w:val="none"/>
          <w:shd w:val="clear" w:color="auto" w:fill="auto"/>
        </w:rPr>
        <w:br w:type="page"/>
      </w:r>
    </w:p>
    <w:p>
      <w:pPr>
        <w:pStyle w:val="3"/>
        <w:jc w:val="left"/>
        <w:rPr>
          <w:color w:val="auto"/>
          <w:highlight w:val="none"/>
          <w:shd w:val="clear" w:color="auto" w:fill="auto"/>
        </w:rPr>
      </w:pPr>
      <w:r>
        <w:rPr>
          <w:rFonts w:hint="eastAsia"/>
          <w:color w:val="auto"/>
          <w:highlight w:val="none"/>
          <w:shd w:val="clear" w:color="auto" w:fill="auto"/>
        </w:rPr>
        <w:t>附件</w:t>
      </w:r>
      <w:r>
        <w:rPr>
          <w:color w:val="auto"/>
          <w:highlight w:val="none"/>
          <w:shd w:val="clear" w:color="auto" w:fill="auto"/>
        </w:rPr>
        <w:t>2：质疑函范本及制作说明</w:t>
      </w:r>
    </w:p>
    <w:p>
      <w:pPr>
        <w:spacing w:line="360" w:lineRule="auto"/>
        <w:jc w:val="center"/>
        <w:rPr>
          <w:rFonts w:ascii="仿宋_GB2312" w:eastAsia="仿宋_GB2312"/>
          <w:b/>
          <w:color w:val="auto"/>
          <w:spacing w:val="6"/>
          <w:sz w:val="32"/>
          <w:szCs w:val="32"/>
          <w:highlight w:val="none"/>
          <w:shd w:val="clear" w:color="auto" w:fill="auto"/>
        </w:rPr>
      </w:pPr>
      <w:r>
        <w:rPr>
          <w:rFonts w:hint="eastAsia" w:ascii="仿宋_GB2312" w:eastAsia="仿宋_GB2312"/>
          <w:b/>
          <w:color w:val="auto"/>
          <w:spacing w:val="6"/>
          <w:sz w:val="32"/>
          <w:szCs w:val="32"/>
          <w:highlight w:val="none"/>
          <w:shd w:val="clear" w:color="auto" w:fill="auto"/>
        </w:rPr>
        <w:t>质疑函范本</w:t>
      </w:r>
    </w:p>
    <w:p>
      <w:pPr>
        <w:pStyle w:val="64"/>
        <w:rPr>
          <w:color w:val="auto"/>
          <w:highlight w:val="none"/>
          <w:shd w:val="clear" w:color="auto" w:fill="auto"/>
        </w:rPr>
      </w:pPr>
      <w:r>
        <w:rPr>
          <w:rFonts w:hint="eastAsia"/>
          <w:color w:val="auto"/>
          <w:highlight w:val="none"/>
          <w:shd w:val="clear" w:color="auto" w:fill="auto"/>
        </w:rPr>
        <w:t>一、质疑供应商基本信息</w:t>
      </w:r>
    </w:p>
    <w:p>
      <w:pPr>
        <w:pStyle w:val="64"/>
        <w:rPr>
          <w:color w:val="auto"/>
          <w:highlight w:val="none"/>
          <w:u w:val="dotted"/>
          <w:shd w:val="clear" w:color="auto" w:fill="auto"/>
        </w:rPr>
      </w:pPr>
      <w:r>
        <w:rPr>
          <w:rFonts w:hint="eastAsia"/>
          <w:color w:val="auto"/>
          <w:highlight w:val="none"/>
          <w:shd w:val="clear" w:color="auto" w:fill="auto"/>
        </w:rPr>
        <w:t>质疑供应商：</w:t>
      </w:r>
      <w:r>
        <w:rPr>
          <w:color w:val="auto"/>
          <w:highlight w:val="none"/>
          <w:u w:val="dotted"/>
          <w:shd w:val="clear" w:color="auto" w:fill="auto"/>
        </w:rPr>
        <w:t xml:space="preserve">                                        </w:t>
      </w:r>
    </w:p>
    <w:p>
      <w:pPr>
        <w:pStyle w:val="64"/>
        <w:rPr>
          <w:color w:val="auto"/>
          <w:highlight w:val="none"/>
          <w:shd w:val="clear" w:color="auto" w:fill="auto"/>
        </w:rPr>
      </w:pPr>
      <w:r>
        <w:rPr>
          <w:rFonts w:hint="eastAsia"/>
          <w:color w:val="auto"/>
          <w:highlight w:val="none"/>
          <w:shd w:val="clear" w:color="auto" w:fill="auto"/>
        </w:rPr>
        <w:t>地址：</w:t>
      </w:r>
      <w:r>
        <w:rPr>
          <w:color w:val="auto"/>
          <w:highlight w:val="none"/>
          <w:u w:val="dotted"/>
          <w:shd w:val="clear" w:color="auto" w:fill="auto"/>
        </w:rPr>
        <w:t xml:space="preserve">                          </w:t>
      </w:r>
      <w:r>
        <w:rPr>
          <w:rFonts w:hint="eastAsia"/>
          <w:color w:val="auto"/>
          <w:highlight w:val="none"/>
          <w:shd w:val="clear" w:color="auto" w:fill="auto"/>
        </w:rPr>
        <w:t>邮编：</w:t>
      </w:r>
      <w:r>
        <w:rPr>
          <w:color w:val="auto"/>
          <w:highlight w:val="none"/>
          <w:u w:val="dotted"/>
          <w:shd w:val="clear" w:color="auto" w:fill="auto"/>
        </w:rPr>
        <w:t xml:space="preserve">                                                   </w:t>
      </w:r>
    </w:p>
    <w:p>
      <w:pPr>
        <w:pStyle w:val="64"/>
        <w:rPr>
          <w:color w:val="auto"/>
          <w:highlight w:val="none"/>
          <w:shd w:val="clear" w:color="auto" w:fill="auto"/>
        </w:rPr>
      </w:pPr>
      <w:r>
        <w:rPr>
          <w:rFonts w:hint="eastAsia"/>
          <w:color w:val="auto"/>
          <w:highlight w:val="none"/>
          <w:shd w:val="clear" w:color="auto" w:fill="auto"/>
        </w:rPr>
        <w:t>联系人：</w:t>
      </w:r>
      <w:r>
        <w:rPr>
          <w:color w:val="auto"/>
          <w:highlight w:val="none"/>
          <w:u w:val="dotted"/>
          <w:shd w:val="clear" w:color="auto" w:fill="auto"/>
        </w:rPr>
        <w:t xml:space="preserve">                      </w:t>
      </w:r>
      <w:r>
        <w:rPr>
          <w:rFonts w:hint="eastAsia"/>
          <w:color w:val="auto"/>
          <w:highlight w:val="none"/>
          <w:shd w:val="clear" w:color="auto" w:fill="auto"/>
        </w:rPr>
        <w:t>联系电话：</w:t>
      </w:r>
      <w:r>
        <w:rPr>
          <w:color w:val="auto"/>
          <w:highlight w:val="none"/>
          <w:u w:val="dotted"/>
          <w:shd w:val="clear" w:color="auto" w:fill="auto"/>
        </w:rPr>
        <w:t xml:space="preserve">                              </w:t>
      </w:r>
    </w:p>
    <w:p>
      <w:pPr>
        <w:pStyle w:val="64"/>
        <w:rPr>
          <w:color w:val="auto"/>
          <w:highlight w:val="none"/>
          <w:u w:val="dotted"/>
          <w:shd w:val="clear" w:color="auto" w:fill="auto"/>
        </w:rPr>
      </w:pPr>
      <w:r>
        <w:rPr>
          <w:rFonts w:hint="eastAsia"/>
          <w:color w:val="auto"/>
          <w:highlight w:val="none"/>
          <w:shd w:val="clear" w:color="auto" w:fill="auto"/>
        </w:rPr>
        <w:t>授权代表：</w:t>
      </w:r>
      <w:r>
        <w:rPr>
          <w:color w:val="auto"/>
          <w:highlight w:val="none"/>
          <w:u w:val="dotted"/>
          <w:shd w:val="clear" w:color="auto" w:fill="auto"/>
        </w:rPr>
        <w:t xml:space="preserve">                                          </w:t>
      </w:r>
    </w:p>
    <w:p>
      <w:pPr>
        <w:pStyle w:val="64"/>
        <w:rPr>
          <w:color w:val="auto"/>
          <w:highlight w:val="none"/>
          <w:shd w:val="clear" w:color="auto" w:fill="auto"/>
        </w:rPr>
      </w:pPr>
      <w:r>
        <w:rPr>
          <w:rFonts w:hint="eastAsia"/>
          <w:color w:val="auto"/>
          <w:highlight w:val="none"/>
          <w:shd w:val="clear" w:color="auto" w:fill="auto"/>
        </w:rPr>
        <w:t>联系电话：</w:t>
      </w:r>
      <w:r>
        <w:rPr>
          <w:color w:val="auto"/>
          <w:highlight w:val="none"/>
          <w:u w:val="dotted"/>
          <w:shd w:val="clear" w:color="auto" w:fill="auto"/>
        </w:rPr>
        <w:t xml:space="preserve">                                           </w:t>
      </w:r>
      <w:r>
        <w:rPr>
          <w:color w:val="auto"/>
          <w:highlight w:val="none"/>
          <w:shd w:val="clear" w:color="auto" w:fill="auto"/>
        </w:rPr>
        <w:t xml:space="preserve"> </w:t>
      </w:r>
    </w:p>
    <w:p>
      <w:pPr>
        <w:pStyle w:val="64"/>
        <w:rPr>
          <w:color w:val="auto"/>
          <w:highlight w:val="none"/>
          <w:shd w:val="clear" w:color="auto" w:fill="auto"/>
        </w:rPr>
      </w:pPr>
      <w:r>
        <w:rPr>
          <w:rFonts w:hint="eastAsia"/>
          <w:color w:val="auto"/>
          <w:highlight w:val="none"/>
          <w:shd w:val="clear" w:color="auto" w:fill="auto"/>
        </w:rPr>
        <w:t>地址：</w:t>
      </w:r>
      <w:r>
        <w:rPr>
          <w:color w:val="auto"/>
          <w:highlight w:val="none"/>
          <w:shd w:val="clear" w:color="auto" w:fill="auto"/>
        </w:rPr>
        <w:t xml:space="preserve"> </w:t>
      </w:r>
      <w:r>
        <w:rPr>
          <w:color w:val="auto"/>
          <w:highlight w:val="none"/>
          <w:u w:val="dotted"/>
          <w:shd w:val="clear" w:color="auto" w:fill="auto"/>
        </w:rPr>
        <w:t xml:space="preserve">                        </w:t>
      </w:r>
      <w:r>
        <w:rPr>
          <w:rFonts w:hint="eastAsia"/>
          <w:color w:val="auto"/>
          <w:highlight w:val="none"/>
          <w:shd w:val="clear" w:color="auto" w:fill="auto"/>
        </w:rPr>
        <w:t>邮编：</w:t>
      </w:r>
      <w:r>
        <w:rPr>
          <w:color w:val="auto"/>
          <w:highlight w:val="none"/>
          <w:u w:val="dotted"/>
          <w:shd w:val="clear" w:color="auto" w:fill="auto"/>
        </w:rPr>
        <w:t xml:space="preserve">                                                </w:t>
      </w:r>
    </w:p>
    <w:p>
      <w:pPr>
        <w:pStyle w:val="64"/>
        <w:rPr>
          <w:color w:val="auto"/>
          <w:highlight w:val="none"/>
          <w:shd w:val="clear" w:color="auto" w:fill="auto"/>
        </w:rPr>
      </w:pPr>
      <w:r>
        <w:rPr>
          <w:rFonts w:hint="eastAsia"/>
          <w:color w:val="auto"/>
          <w:highlight w:val="none"/>
          <w:shd w:val="clear" w:color="auto" w:fill="auto"/>
        </w:rPr>
        <w:t>二、质疑项目基本情况</w:t>
      </w:r>
    </w:p>
    <w:p>
      <w:pPr>
        <w:pStyle w:val="64"/>
        <w:rPr>
          <w:color w:val="auto"/>
          <w:highlight w:val="none"/>
          <w:shd w:val="clear" w:color="auto" w:fill="auto"/>
        </w:rPr>
      </w:pPr>
      <w:r>
        <w:rPr>
          <w:rFonts w:hint="eastAsia"/>
          <w:color w:val="auto"/>
          <w:highlight w:val="none"/>
          <w:shd w:val="clear" w:color="auto" w:fill="auto"/>
        </w:rPr>
        <w:t>质疑项目的名称：</w:t>
      </w:r>
      <w:r>
        <w:rPr>
          <w:color w:val="auto"/>
          <w:highlight w:val="none"/>
          <w:u w:val="dotted"/>
          <w:shd w:val="clear" w:color="auto" w:fill="auto"/>
        </w:rPr>
        <w:t xml:space="preserve">                                      </w:t>
      </w:r>
    </w:p>
    <w:p>
      <w:pPr>
        <w:pStyle w:val="64"/>
        <w:rPr>
          <w:color w:val="auto"/>
          <w:highlight w:val="none"/>
          <w:shd w:val="clear" w:color="auto" w:fill="auto"/>
        </w:rPr>
      </w:pPr>
      <w:r>
        <w:rPr>
          <w:rFonts w:hint="eastAsia"/>
          <w:color w:val="auto"/>
          <w:highlight w:val="none"/>
          <w:shd w:val="clear" w:color="auto" w:fill="auto"/>
        </w:rPr>
        <w:t>质疑项目的编号：</w:t>
      </w:r>
      <w:r>
        <w:rPr>
          <w:color w:val="auto"/>
          <w:highlight w:val="none"/>
          <w:u w:val="dotted"/>
          <w:shd w:val="clear" w:color="auto" w:fill="auto"/>
        </w:rPr>
        <w:t xml:space="preserve">               </w:t>
      </w:r>
      <w:r>
        <w:rPr>
          <w:rFonts w:hint="eastAsia"/>
          <w:color w:val="auto"/>
          <w:highlight w:val="none"/>
          <w:shd w:val="clear" w:color="auto" w:fill="auto"/>
        </w:rPr>
        <w:t>包号：</w:t>
      </w:r>
      <w:r>
        <w:rPr>
          <w:color w:val="auto"/>
          <w:highlight w:val="none"/>
          <w:u w:val="dotted"/>
          <w:shd w:val="clear" w:color="auto" w:fill="auto"/>
        </w:rPr>
        <w:t xml:space="preserve">                 </w:t>
      </w:r>
    </w:p>
    <w:p>
      <w:pPr>
        <w:pStyle w:val="64"/>
        <w:rPr>
          <w:color w:val="auto"/>
          <w:highlight w:val="none"/>
          <w:u w:val="dotted"/>
          <w:shd w:val="clear" w:color="auto" w:fill="auto"/>
        </w:rPr>
      </w:pPr>
      <w:r>
        <w:rPr>
          <w:rFonts w:hint="eastAsia"/>
          <w:color w:val="auto"/>
          <w:highlight w:val="none"/>
          <w:shd w:val="clear" w:color="auto" w:fill="auto"/>
        </w:rPr>
        <w:t>采购人名称：</w:t>
      </w:r>
      <w:r>
        <w:rPr>
          <w:color w:val="auto"/>
          <w:highlight w:val="none"/>
          <w:u w:val="dotted"/>
          <w:shd w:val="clear" w:color="auto" w:fill="auto"/>
        </w:rPr>
        <w:t xml:space="preserve">                                         </w:t>
      </w:r>
    </w:p>
    <w:p>
      <w:pPr>
        <w:pStyle w:val="64"/>
        <w:rPr>
          <w:color w:val="auto"/>
          <w:highlight w:val="none"/>
          <w:shd w:val="clear" w:color="auto" w:fill="auto"/>
        </w:rPr>
      </w:pPr>
      <w:r>
        <w:rPr>
          <w:rFonts w:hint="eastAsia"/>
          <w:color w:val="auto"/>
          <w:highlight w:val="none"/>
          <w:shd w:val="clear" w:color="auto" w:fill="auto"/>
        </w:rPr>
        <w:t>采购文件获取日期：</w:t>
      </w:r>
      <w:r>
        <w:rPr>
          <w:color w:val="auto"/>
          <w:highlight w:val="none"/>
          <w:u w:val="dotted"/>
          <w:shd w:val="clear" w:color="auto" w:fill="auto"/>
        </w:rPr>
        <w:t xml:space="preserve">                                           </w:t>
      </w:r>
    </w:p>
    <w:p>
      <w:pPr>
        <w:pStyle w:val="64"/>
        <w:rPr>
          <w:color w:val="auto"/>
          <w:highlight w:val="none"/>
          <w:shd w:val="clear" w:color="auto" w:fill="auto"/>
        </w:rPr>
      </w:pPr>
      <w:r>
        <w:rPr>
          <w:rFonts w:hint="eastAsia"/>
          <w:color w:val="auto"/>
          <w:highlight w:val="none"/>
          <w:shd w:val="clear" w:color="auto" w:fill="auto"/>
        </w:rPr>
        <w:t>三、质疑事项具体内容</w:t>
      </w:r>
    </w:p>
    <w:p>
      <w:pPr>
        <w:pStyle w:val="64"/>
        <w:rPr>
          <w:color w:val="auto"/>
          <w:highlight w:val="none"/>
          <w:u w:val="dotted"/>
          <w:shd w:val="clear" w:color="auto" w:fill="auto"/>
        </w:rPr>
      </w:pPr>
      <w:r>
        <w:rPr>
          <w:rFonts w:hint="eastAsia"/>
          <w:color w:val="auto"/>
          <w:highlight w:val="none"/>
          <w:shd w:val="clear" w:color="auto" w:fill="auto"/>
        </w:rPr>
        <w:t>质疑事项</w:t>
      </w:r>
      <w:r>
        <w:rPr>
          <w:color w:val="auto"/>
          <w:highlight w:val="none"/>
          <w:shd w:val="clear" w:color="auto" w:fill="auto"/>
        </w:rPr>
        <w:t>1：</w:t>
      </w:r>
      <w:r>
        <w:rPr>
          <w:color w:val="auto"/>
          <w:highlight w:val="none"/>
          <w:u w:val="dotted"/>
          <w:shd w:val="clear" w:color="auto" w:fill="auto"/>
        </w:rPr>
        <w:t xml:space="preserve">                                         </w:t>
      </w:r>
    </w:p>
    <w:p>
      <w:pPr>
        <w:pStyle w:val="64"/>
        <w:rPr>
          <w:color w:val="auto"/>
          <w:highlight w:val="none"/>
          <w:u w:val="dotted"/>
          <w:shd w:val="clear" w:color="auto" w:fill="auto"/>
        </w:rPr>
      </w:pPr>
      <w:r>
        <w:rPr>
          <w:rFonts w:hint="eastAsia"/>
          <w:color w:val="auto"/>
          <w:highlight w:val="none"/>
          <w:shd w:val="clear" w:color="auto" w:fill="auto"/>
        </w:rPr>
        <w:t>事实依据：</w:t>
      </w:r>
      <w:r>
        <w:rPr>
          <w:color w:val="auto"/>
          <w:highlight w:val="none"/>
          <w:u w:val="dotted"/>
          <w:shd w:val="clear" w:color="auto" w:fill="auto"/>
        </w:rPr>
        <w:t xml:space="preserve">                                          </w:t>
      </w:r>
    </w:p>
    <w:p>
      <w:pPr>
        <w:pStyle w:val="64"/>
        <w:rPr>
          <w:color w:val="auto"/>
          <w:highlight w:val="none"/>
          <w:shd w:val="clear" w:color="auto" w:fill="auto"/>
        </w:rPr>
      </w:pPr>
      <w:r>
        <w:rPr>
          <w:color w:val="auto"/>
          <w:highlight w:val="none"/>
          <w:u w:val="dotted"/>
          <w:shd w:val="clear" w:color="auto" w:fill="auto"/>
        </w:rPr>
        <w:t xml:space="preserve">                                                       </w:t>
      </w:r>
    </w:p>
    <w:p>
      <w:pPr>
        <w:pStyle w:val="64"/>
        <w:rPr>
          <w:color w:val="auto"/>
          <w:highlight w:val="none"/>
          <w:u w:val="dotted"/>
          <w:shd w:val="clear" w:color="auto" w:fill="auto"/>
        </w:rPr>
      </w:pPr>
      <w:r>
        <w:rPr>
          <w:rFonts w:hint="eastAsia"/>
          <w:color w:val="auto"/>
          <w:highlight w:val="none"/>
          <w:shd w:val="clear" w:color="auto" w:fill="auto"/>
        </w:rPr>
        <w:t>法律依据：</w:t>
      </w:r>
      <w:r>
        <w:rPr>
          <w:color w:val="auto"/>
          <w:highlight w:val="none"/>
          <w:u w:val="dotted"/>
          <w:shd w:val="clear" w:color="auto" w:fill="auto"/>
        </w:rPr>
        <w:t xml:space="preserve">                                          </w:t>
      </w:r>
    </w:p>
    <w:p>
      <w:pPr>
        <w:pStyle w:val="64"/>
        <w:rPr>
          <w:color w:val="auto"/>
          <w:highlight w:val="none"/>
          <w:u w:val="dotted"/>
          <w:shd w:val="clear" w:color="auto" w:fill="auto"/>
        </w:rPr>
      </w:pPr>
      <w:r>
        <w:rPr>
          <w:color w:val="auto"/>
          <w:highlight w:val="none"/>
          <w:u w:val="dotted"/>
          <w:shd w:val="clear" w:color="auto" w:fill="auto"/>
        </w:rPr>
        <w:t xml:space="preserve">                                                     </w:t>
      </w:r>
    </w:p>
    <w:p>
      <w:pPr>
        <w:pStyle w:val="64"/>
        <w:rPr>
          <w:color w:val="auto"/>
          <w:highlight w:val="none"/>
          <w:u w:val="dotted"/>
          <w:shd w:val="clear" w:color="auto" w:fill="auto"/>
        </w:rPr>
      </w:pPr>
      <w:r>
        <w:rPr>
          <w:rFonts w:hint="eastAsia"/>
          <w:color w:val="auto"/>
          <w:highlight w:val="none"/>
          <w:shd w:val="clear" w:color="auto" w:fill="auto"/>
        </w:rPr>
        <w:t>质疑事项</w:t>
      </w:r>
      <w:r>
        <w:rPr>
          <w:color w:val="auto"/>
          <w:highlight w:val="none"/>
          <w:shd w:val="clear" w:color="auto" w:fill="auto"/>
        </w:rPr>
        <w:t>2</w:t>
      </w:r>
    </w:p>
    <w:p>
      <w:pPr>
        <w:pStyle w:val="64"/>
        <w:rPr>
          <w:color w:val="auto"/>
          <w:highlight w:val="none"/>
          <w:shd w:val="clear" w:color="auto" w:fill="auto"/>
        </w:rPr>
      </w:pPr>
      <w:r>
        <w:rPr>
          <w:rFonts w:hint="eastAsia"/>
          <w:color w:val="auto"/>
          <w:highlight w:val="none"/>
          <w:shd w:val="clear" w:color="auto" w:fill="auto"/>
        </w:rPr>
        <w:t>……</w:t>
      </w:r>
    </w:p>
    <w:p>
      <w:pPr>
        <w:pStyle w:val="64"/>
        <w:rPr>
          <w:color w:val="auto"/>
          <w:highlight w:val="none"/>
          <w:shd w:val="clear" w:color="auto" w:fill="auto"/>
        </w:rPr>
      </w:pPr>
      <w:r>
        <w:rPr>
          <w:rFonts w:hint="eastAsia"/>
          <w:color w:val="auto"/>
          <w:highlight w:val="none"/>
          <w:shd w:val="clear" w:color="auto" w:fill="auto"/>
        </w:rPr>
        <w:t>四、与质疑事项相关的质疑请求</w:t>
      </w:r>
    </w:p>
    <w:p>
      <w:pPr>
        <w:pStyle w:val="64"/>
        <w:rPr>
          <w:color w:val="auto"/>
          <w:highlight w:val="none"/>
          <w:u w:val="dotted"/>
          <w:shd w:val="clear" w:color="auto" w:fill="auto"/>
        </w:rPr>
      </w:pPr>
      <w:r>
        <w:rPr>
          <w:rFonts w:hint="eastAsia"/>
          <w:color w:val="auto"/>
          <w:highlight w:val="none"/>
          <w:shd w:val="clear" w:color="auto" w:fill="auto"/>
        </w:rPr>
        <w:t>请求：</w:t>
      </w:r>
      <w:r>
        <w:rPr>
          <w:color w:val="auto"/>
          <w:highlight w:val="none"/>
          <w:u w:val="dotted"/>
          <w:shd w:val="clear" w:color="auto" w:fill="auto"/>
        </w:rPr>
        <w:t xml:space="preserve">                                               </w:t>
      </w:r>
    </w:p>
    <w:p>
      <w:pPr>
        <w:pStyle w:val="64"/>
        <w:rPr>
          <w:color w:val="auto"/>
          <w:highlight w:val="none"/>
          <w:shd w:val="clear" w:color="auto" w:fill="auto"/>
        </w:rPr>
      </w:pPr>
      <w:r>
        <w:rPr>
          <w:rFonts w:hint="eastAsia"/>
          <w:color w:val="auto"/>
          <w:highlight w:val="none"/>
          <w:shd w:val="clear" w:color="auto" w:fill="auto"/>
        </w:rPr>
        <w:t>签字</w:t>
      </w:r>
      <w:r>
        <w:rPr>
          <w:color w:val="auto"/>
          <w:highlight w:val="none"/>
          <w:shd w:val="clear" w:color="auto" w:fill="auto"/>
        </w:rPr>
        <w:t xml:space="preserve">(签章)：                   公章：                      </w:t>
      </w:r>
    </w:p>
    <w:p>
      <w:pPr>
        <w:pStyle w:val="64"/>
        <w:rPr>
          <w:color w:val="auto"/>
          <w:highlight w:val="none"/>
          <w:shd w:val="clear" w:color="auto" w:fill="auto"/>
        </w:rPr>
      </w:pPr>
      <w:r>
        <w:rPr>
          <w:rFonts w:hint="eastAsia"/>
          <w:color w:val="auto"/>
          <w:highlight w:val="none"/>
          <w:shd w:val="clear" w:color="auto" w:fill="auto"/>
        </w:rPr>
        <w:t>日期：</w:t>
      </w:r>
      <w:r>
        <w:rPr>
          <w:color w:val="auto"/>
          <w:highlight w:val="none"/>
          <w:shd w:val="clear" w:color="auto" w:fill="auto"/>
        </w:rPr>
        <w:t xml:space="preserve">    </w:t>
      </w:r>
    </w:p>
    <w:p>
      <w:pPr>
        <w:spacing w:line="360" w:lineRule="auto"/>
        <w:rPr>
          <w:rFonts w:ascii="仿宋_GB2312" w:eastAsia="仿宋_GB2312"/>
          <w:b/>
          <w:color w:val="auto"/>
          <w:highlight w:val="none"/>
          <w:shd w:val="clear" w:color="auto" w:fill="auto"/>
        </w:rPr>
      </w:pPr>
      <w:r>
        <w:rPr>
          <w:rFonts w:hint="eastAsia" w:ascii="仿宋_GB2312" w:eastAsia="仿宋_GB2312"/>
          <w:b/>
          <w:color w:val="auto"/>
          <w:highlight w:val="none"/>
          <w:shd w:val="clear" w:color="auto" w:fill="auto"/>
        </w:rPr>
        <w:t>质疑函制作说明：</w:t>
      </w:r>
    </w:p>
    <w:p>
      <w:pPr>
        <w:pStyle w:val="64"/>
        <w:rPr>
          <w:color w:val="auto"/>
          <w:highlight w:val="none"/>
          <w:shd w:val="clear" w:color="auto" w:fill="auto"/>
        </w:rPr>
      </w:pPr>
      <w:r>
        <w:rPr>
          <w:color w:val="auto"/>
          <w:highlight w:val="none"/>
          <w:shd w:val="clear" w:color="auto" w:fill="auto"/>
        </w:rPr>
        <w:t>1.供应商提出质疑时，应提交质疑函和必要的证明材料。</w:t>
      </w:r>
    </w:p>
    <w:p>
      <w:pPr>
        <w:pStyle w:val="64"/>
        <w:rPr>
          <w:color w:val="auto"/>
          <w:highlight w:val="none"/>
          <w:shd w:val="clear" w:color="auto" w:fill="auto"/>
        </w:rPr>
      </w:pPr>
      <w:r>
        <w:rPr>
          <w:color w:val="auto"/>
          <w:highlight w:val="none"/>
          <w:shd w:val="clear" w:color="auto" w:fill="auto"/>
        </w:rPr>
        <w:t>2.质疑供应商若委托代理人进行质疑的，</w:t>
      </w:r>
      <w:r>
        <w:rPr>
          <w:rFonts w:hint="eastAsia"/>
          <w:color w:val="auto"/>
          <w:highlight w:val="none"/>
          <w:shd w:val="clear" w:color="auto" w:fill="auto"/>
        </w:rPr>
        <w:t>质疑函应按要求列明“授权代表”的有关内容，并在附件中提交由质疑</w:t>
      </w:r>
      <w:r>
        <w:rPr>
          <w:rFonts w:hint="eastAsia" w:cs="宋体"/>
          <w:color w:val="auto"/>
          <w:highlight w:val="none"/>
          <w:shd w:val="clear" w:color="auto" w:fill="auto"/>
        </w:rPr>
        <w:t>供应商签署的授权委托书。授权委托书应载明代理人的姓名或者名称、代理事项、具体权限、期限和相关事项。</w:t>
      </w:r>
    </w:p>
    <w:p>
      <w:pPr>
        <w:pStyle w:val="64"/>
        <w:rPr>
          <w:color w:val="auto"/>
          <w:highlight w:val="none"/>
          <w:shd w:val="clear" w:color="auto" w:fill="auto"/>
        </w:rPr>
      </w:pPr>
      <w:r>
        <w:rPr>
          <w:color w:val="auto"/>
          <w:highlight w:val="none"/>
          <w:shd w:val="clear" w:color="auto" w:fill="auto"/>
        </w:rPr>
        <w:t>3.质疑供应商若对项目的某一分包进行质疑，质疑函中应列明具体分包号。</w:t>
      </w:r>
    </w:p>
    <w:p>
      <w:pPr>
        <w:pStyle w:val="64"/>
        <w:rPr>
          <w:color w:val="auto"/>
          <w:highlight w:val="none"/>
          <w:shd w:val="clear" w:color="auto" w:fill="auto"/>
        </w:rPr>
      </w:pPr>
      <w:r>
        <w:rPr>
          <w:color w:val="auto"/>
          <w:highlight w:val="none"/>
          <w:shd w:val="clear" w:color="auto" w:fill="auto"/>
        </w:rPr>
        <w:t>4.质疑函的质疑事项应具体、明确，并有必要的事实依据和法律依据。</w:t>
      </w:r>
    </w:p>
    <w:p>
      <w:pPr>
        <w:pStyle w:val="64"/>
        <w:rPr>
          <w:color w:val="auto"/>
          <w:highlight w:val="none"/>
          <w:shd w:val="clear" w:color="auto" w:fill="auto"/>
        </w:rPr>
      </w:pPr>
      <w:r>
        <w:rPr>
          <w:color w:val="auto"/>
          <w:highlight w:val="none"/>
          <w:shd w:val="clear" w:color="auto" w:fill="auto"/>
        </w:rPr>
        <w:t>5.质疑函的质疑请求应与质疑事项相关。</w:t>
      </w:r>
    </w:p>
    <w:p>
      <w:pPr>
        <w:pStyle w:val="64"/>
        <w:rPr>
          <w:color w:val="auto"/>
          <w:highlight w:val="none"/>
          <w:shd w:val="clear" w:color="auto" w:fill="auto"/>
        </w:rPr>
      </w:pPr>
      <w:r>
        <w:rPr>
          <w:color w:val="auto"/>
          <w:highlight w:val="none"/>
          <w:shd w:val="clear" w:color="auto" w:fill="auto"/>
        </w:rPr>
        <w:t>6.质疑供应商为自然人的，</w:t>
      </w:r>
      <w:r>
        <w:rPr>
          <w:rFonts w:hint="eastAsia"/>
          <w:color w:val="auto"/>
          <w:highlight w:val="none"/>
          <w:shd w:val="clear" w:color="auto" w:fill="auto"/>
        </w:rPr>
        <w:t>质疑函应由本人签字；质疑供应商为法人或者其他组织的，质疑函应由法定代表人、主要负责人，或者其授权代表签字或者盖章，并加盖公章。</w:t>
      </w:r>
    </w:p>
    <w:p>
      <w:pPr>
        <w:spacing w:line="360" w:lineRule="auto"/>
        <w:ind w:firstLine="600" w:firstLineChars="200"/>
        <w:rPr>
          <w:rFonts w:ascii="仿宋_GB2312" w:eastAsia="仿宋_GB2312"/>
          <w:color w:val="auto"/>
          <w:sz w:val="30"/>
          <w:szCs w:val="30"/>
          <w:highlight w:val="none"/>
          <w:shd w:val="clear" w:color="auto" w:fill="auto"/>
        </w:rPr>
      </w:pPr>
    </w:p>
    <w:p>
      <w:pPr>
        <w:spacing w:line="360" w:lineRule="auto"/>
        <w:jc w:val="center"/>
        <w:rPr>
          <w:rFonts w:ascii="仿宋_GB2312" w:eastAsia="仿宋_GB2312"/>
          <w:b/>
          <w:color w:val="auto"/>
          <w:spacing w:val="6"/>
          <w:sz w:val="32"/>
          <w:szCs w:val="32"/>
          <w:highlight w:val="none"/>
          <w:shd w:val="clear" w:color="auto" w:fill="auto"/>
        </w:rPr>
      </w:pPr>
    </w:p>
    <w:p>
      <w:pPr>
        <w:spacing w:line="360" w:lineRule="auto"/>
        <w:jc w:val="center"/>
        <w:rPr>
          <w:rFonts w:ascii="仿宋_GB2312" w:eastAsia="仿宋_GB2312"/>
          <w:b/>
          <w:color w:val="auto"/>
          <w:spacing w:val="6"/>
          <w:sz w:val="32"/>
          <w:szCs w:val="32"/>
          <w:highlight w:val="none"/>
          <w:shd w:val="clear" w:color="auto" w:fill="auto"/>
        </w:rPr>
      </w:pPr>
    </w:p>
    <w:p>
      <w:pPr>
        <w:pStyle w:val="3"/>
        <w:jc w:val="left"/>
        <w:rPr>
          <w:color w:val="auto"/>
          <w:highlight w:val="none"/>
          <w:shd w:val="clear" w:color="auto" w:fill="auto"/>
        </w:rPr>
      </w:pPr>
      <w:r>
        <w:rPr>
          <w:rFonts w:hint="eastAsia"/>
          <w:color w:val="auto"/>
          <w:highlight w:val="none"/>
          <w:shd w:val="clear" w:color="auto" w:fill="auto"/>
        </w:rPr>
        <w:t>附件</w:t>
      </w:r>
      <w:r>
        <w:rPr>
          <w:color w:val="auto"/>
          <w:highlight w:val="none"/>
          <w:shd w:val="clear" w:color="auto" w:fill="auto"/>
        </w:rPr>
        <w:t>3：投诉书范本及制作说明</w:t>
      </w:r>
    </w:p>
    <w:p>
      <w:pPr>
        <w:spacing w:line="360" w:lineRule="auto"/>
        <w:jc w:val="center"/>
        <w:rPr>
          <w:rFonts w:ascii="仿宋_GB2312" w:eastAsia="仿宋_GB2312"/>
          <w:b/>
          <w:color w:val="auto"/>
          <w:highlight w:val="none"/>
          <w:shd w:val="clear" w:color="auto" w:fill="auto"/>
        </w:rPr>
      </w:pPr>
    </w:p>
    <w:p>
      <w:pPr>
        <w:spacing w:line="360" w:lineRule="auto"/>
        <w:jc w:val="center"/>
        <w:rPr>
          <w:rFonts w:ascii="仿宋_GB2312" w:eastAsia="仿宋_GB2312"/>
          <w:b/>
          <w:color w:val="auto"/>
          <w:spacing w:val="6"/>
          <w:sz w:val="32"/>
          <w:szCs w:val="32"/>
          <w:highlight w:val="none"/>
          <w:shd w:val="clear" w:color="auto" w:fill="auto"/>
        </w:rPr>
      </w:pPr>
      <w:r>
        <w:rPr>
          <w:rFonts w:hint="eastAsia" w:ascii="仿宋_GB2312" w:eastAsia="仿宋_GB2312"/>
          <w:b/>
          <w:color w:val="auto"/>
          <w:spacing w:val="6"/>
          <w:sz w:val="32"/>
          <w:szCs w:val="32"/>
          <w:highlight w:val="none"/>
          <w:shd w:val="clear" w:color="auto" w:fill="auto"/>
        </w:rPr>
        <w:t>投诉书范本</w:t>
      </w:r>
    </w:p>
    <w:p>
      <w:pPr>
        <w:spacing w:line="360" w:lineRule="auto"/>
        <w:rPr>
          <w:rFonts w:ascii="仿宋_GB2312" w:eastAsia="仿宋_GB2312"/>
          <w:color w:val="auto"/>
          <w:highlight w:val="none"/>
          <w:shd w:val="clear" w:color="auto" w:fill="auto"/>
        </w:rPr>
      </w:pPr>
      <w:r>
        <w:rPr>
          <w:rFonts w:hint="eastAsia" w:ascii="仿宋_GB2312" w:eastAsia="仿宋_GB2312"/>
          <w:color w:val="auto"/>
          <w:highlight w:val="none"/>
          <w:shd w:val="clear" w:color="auto" w:fill="auto"/>
        </w:rPr>
        <w:t>一、投诉相关主体基本情况</w:t>
      </w:r>
    </w:p>
    <w:p>
      <w:pPr>
        <w:spacing w:line="360" w:lineRule="auto"/>
        <w:rPr>
          <w:rFonts w:ascii="仿宋_GB2312" w:eastAsia="仿宋_GB2312"/>
          <w:color w:val="auto"/>
          <w:highlight w:val="none"/>
          <w:u w:val="dotted"/>
          <w:shd w:val="clear" w:color="auto" w:fill="auto"/>
        </w:rPr>
      </w:pPr>
      <w:r>
        <w:rPr>
          <w:rFonts w:hint="eastAsia" w:ascii="仿宋_GB2312" w:eastAsia="仿宋_GB2312"/>
          <w:color w:val="auto"/>
          <w:highlight w:val="none"/>
          <w:shd w:val="clear" w:color="auto" w:fill="auto"/>
        </w:rPr>
        <w:t>投诉人：</w:t>
      </w:r>
      <w:r>
        <w:rPr>
          <w:rFonts w:ascii="仿宋_GB2312" w:eastAsia="仿宋_GB2312"/>
          <w:color w:val="auto"/>
          <w:highlight w:val="none"/>
          <w:u w:val="dotted"/>
          <w:shd w:val="clear" w:color="auto" w:fill="auto"/>
        </w:rPr>
        <w:t xml:space="preserve">                                               </w:t>
      </w:r>
    </w:p>
    <w:p>
      <w:pPr>
        <w:spacing w:line="360" w:lineRule="auto"/>
        <w:rPr>
          <w:rFonts w:ascii="仿宋_GB2312" w:eastAsia="仿宋_GB2312"/>
          <w:color w:val="auto"/>
          <w:highlight w:val="none"/>
          <w:u w:val="single"/>
          <w:shd w:val="clear" w:color="auto" w:fill="auto"/>
        </w:rPr>
      </w:pPr>
      <w:r>
        <w:rPr>
          <w:rFonts w:hint="eastAsia" w:ascii="仿宋_GB2312" w:eastAsia="仿宋_GB2312"/>
          <w:color w:val="auto"/>
          <w:highlight w:val="none"/>
          <w:shd w:val="clear" w:color="auto" w:fill="auto"/>
        </w:rPr>
        <w:t>地</w:t>
      </w:r>
      <w:r>
        <w:rPr>
          <w:rFonts w:ascii="仿宋_GB2312" w:eastAsia="仿宋_GB2312"/>
          <w:color w:val="auto"/>
          <w:highlight w:val="none"/>
          <w:shd w:val="clear" w:color="auto" w:fill="auto"/>
        </w:rPr>
        <w:t xml:space="preserve">     </w:t>
      </w:r>
      <w:r>
        <w:rPr>
          <w:rFonts w:hint="eastAsia" w:ascii="仿宋_GB2312" w:eastAsia="仿宋_GB2312"/>
          <w:color w:val="auto"/>
          <w:highlight w:val="none"/>
          <w:shd w:val="clear" w:color="auto" w:fill="auto"/>
        </w:rPr>
        <w:t>址：</w:t>
      </w:r>
      <w:r>
        <w:rPr>
          <w:rFonts w:ascii="仿宋_GB2312" w:eastAsia="仿宋_GB2312"/>
          <w:color w:val="auto"/>
          <w:highlight w:val="none"/>
          <w:u w:val="dotted"/>
          <w:shd w:val="clear" w:color="auto" w:fill="auto"/>
        </w:rPr>
        <w:t xml:space="preserve">                             </w:t>
      </w:r>
      <w:r>
        <w:rPr>
          <w:rFonts w:hint="eastAsia" w:ascii="仿宋_GB2312" w:eastAsia="仿宋_GB2312"/>
          <w:color w:val="auto"/>
          <w:highlight w:val="none"/>
          <w:shd w:val="clear" w:color="auto" w:fill="auto"/>
        </w:rPr>
        <w:t>邮编：</w:t>
      </w:r>
      <w:r>
        <w:rPr>
          <w:rFonts w:ascii="仿宋_GB2312" w:eastAsia="仿宋_GB2312"/>
          <w:color w:val="auto"/>
          <w:highlight w:val="none"/>
          <w:u w:val="dotted"/>
          <w:shd w:val="clear" w:color="auto" w:fill="auto"/>
        </w:rPr>
        <w:t xml:space="preserve">         </w:t>
      </w:r>
      <w:r>
        <w:rPr>
          <w:rFonts w:ascii="仿宋_GB2312" w:eastAsia="仿宋_GB2312"/>
          <w:color w:val="auto"/>
          <w:highlight w:val="none"/>
          <w:u w:val="single"/>
          <w:shd w:val="clear" w:color="auto" w:fill="auto"/>
        </w:rPr>
        <w:t xml:space="preserve">   </w:t>
      </w:r>
    </w:p>
    <w:p>
      <w:pPr>
        <w:tabs>
          <w:tab w:val="left" w:pos="6510"/>
        </w:tabs>
        <w:spacing w:line="360" w:lineRule="auto"/>
        <w:rPr>
          <w:rFonts w:ascii="仿宋_GB2312" w:eastAsia="仿宋_GB2312"/>
          <w:color w:val="auto"/>
          <w:highlight w:val="none"/>
          <w:shd w:val="clear" w:color="auto" w:fill="auto"/>
        </w:rPr>
      </w:pPr>
      <w:r>
        <w:rPr>
          <w:rFonts w:hint="eastAsia" w:ascii="仿宋_GB2312" w:eastAsia="仿宋_GB2312"/>
          <w:color w:val="auto"/>
          <w:highlight w:val="none"/>
          <w:shd w:val="clear" w:color="auto" w:fill="auto"/>
        </w:rPr>
        <w:t>法定代表人</w:t>
      </w:r>
      <w:r>
        <w:rPr>
          <w:rFonts w:ascii="仿宋_GB2312" w:eastAsia="仿宋_GB2312"/>
          <w:color w:val="auto"/>
          <w:highlight w:val="none"/>
          <w:shd w:val="clear" w:color="auto" w:fill="auto"/>
        </w:rPr>
        <w:t>/主要负责人：</w:t>
      </w:r>
      <w:r>
        <w:rPr>
          <w:rFonts w:ascii="仿宋_GB2312" w:eastAsia="仿宋_GB2312"/>
          <w:color w:val="auto"/>
          <w:highlight w:val="none"/>
          <w:u w:val="dotted"/>
          <w:shd w:val="clear" w:color="auto" w:fill="auto"/>
        </w:rPr>
        <w:t xml:space="preserve">                                   </w:t>
      </w:r>
      <w:r>
        <w:rPr>
          <w:rFonts w:ascii="仿宋_GB2312" w:eastAsia="仿宋_GB2312"/>
          <w:color w:val="auto"/>
          <w:highlight w:val="none"/>
          <w:shd w:val="clear" w:color="auto" w:fill="auto"/>
        </w:rPr>
        <w:t xml:space="preserve">  </w:t>
      </w:r>
    </w:p>
    <w:p>
      <w:pPr>
        <w:tabs>
          <w:tab w:val="left" w:pos="6510"/>
        </w:tabs>
        <w:spacing w:line="360" w:lineRule="auto"/>
        <w:rPr>
          <w:rFonts w:ascii="仿宋_GB2312" w:eastAsia="仿宋_GB2312"/>
          <w:color w:val="auto"/>
          <w:highlight w:val="none"/>
          <w:u w:val="dotted"/>
          <w:shd w:val="clear" w:color="auto" w:fill="auto"/>
        </w:rPr>
      </w:pPr>
      <w:r>
        <w:rPr>
          <w:rFonts w:hint="eastAsia" w:ascii="仿宋_GB2312" w:eastAsia="仿宋_GB2312"/>
          <w:color w:val="auto"/>
          <w:highlight w:val="none"/>
          <w:shd w:val="clear" w:color="auto" w:fill="auto"/>
        </w:rPr>
        <w:t>联系电话：</w:t>
      </w:r>
      <w:r>
        <w:rPr>
          <w:rFonts w:ascii="仿宋_GB2312" w:eastAsia="仿宋_GB2312"/>
          <w:color w:val="auto"/>
          <w:highlight w:val="none"/>
          <w:u w:val="dotted"/>
          <w:shd w:val="clear" w:color="auto" w:fill="auto"/>
        </w:rPr>
        <w:t xml:space="preserve">                                             </w:t>
      </w:r>
    </w:p>
    <w:p>
      <w:pPr>
        <w:spacing w:line="360" w:lineRule="auto"/>
        <w:rPr>
          <w:rFonts w:ascii="仿宋_GB2312" w:eastAsia="仿宋_GB2312"/>
          <w:color w:val="auto"/>
          <w:highlight w:val="none"/>
          <w:u w:val="dotted"/>
          <w:shd w:val="clear" w:color="auto" w:fill="auto"/>
        </w:rPr>
      </w:pPr>
      <w:r>
        <w:rPr>
          <w:rFonts w:hint="eastAsia" w:ascii="仿宋_GB2312" w:eastAsia="仿宋_GB2312"/>
          <w:color w:val="auto"/>
          <w:highlight w:val="none"/>
          <w:shd w:val="clear" w:color="auto" w:fill="auto"/>
        </w:rPr>
        <w:t>授权代表：</w:t>
      </w:r>
      <w:r>
        <w:rPr>
          <w:rFonts w:ascii="仿宋_GB2312" w:eastAsia="仿宋_GB2312"/>
          <w:color w:val="auto"/>
          <w:highlight w:val="none"/>
          <w:u w:val="dotted"/>
          <w:shd w:val="clear" w:color="auto" w:fill="auto"/>
        </w:rPr>
        <w:t xml:space="preserve">             </w:t>
      </w:r>
      <w:r>
        <w:rPr>
          <w:rFonts w:hint="eastAsia" w:ascii="仿宋_GB2312" w:eastAsia="仿宋_GB2312"/>
          <w:color w:val="auto"/>
          <w:highlight w:val="none"/>
          <w:shd w:val="clear" w:color="auto" w:fill="auto"/>
        </w:rPr>
        <w:t>联系电话</w:t>
      </w:r>
      <w:r>
        <w:rPr>
          <w:rFonts w:hint="eastAsia" w:ascii="仿宋_GB2312" w:eastAsia="仿宋_GB2312"/>
          <w:color w:val="auto"/>
          <w:highlight w:val="none"/>
          <w:u w:val="dotted"/>
          <w:shd w:val="clear" w:color="auto" w:fill="auto"/>
        </w:rPr>
        <w:t>：</w:t>
      </w:r>
      <w:r>
        <w:rPr>
          <w:rFonts w:ascii="仿宋_GB2312" w:eastAsia="仿宋_GB2312"/>
          <w:color w:val="auto"/>
          <w:highlight w:val="none"/>
          <w:u w:val="dotted"/>
          <w:shd w:val="clear" w:color="auto" w:fill="auto"/>
        </w:rPr>
        <w:t xml:space="preserve">                  </w:t>
      </w:r>
    </w:p>
    <w:p>
      <w:pPr>
        <w:spacing w:line="360" w:lineRule="auto"/>
        <w:rPr>
          <w:rFonts w:ascii="仿宋_GB2312" w:eastAsia="仿宋_GB2312"/>
          <w:color w:val="auto"/>
          <w:highlight w:val="none"/>
          <w:u w:val="dotted"/>
          <w:shd w:val="clear" w:color="auto" w:fill="auto"/>
        </w:rPr>
      </w:pPr>
      <w:r>
        <w:rPr>
          <w:rFonts w:hint="eastAsia" w:ascii="仿宋_GB2312" w:eastAsia="仿宋_GB2312"/>
          <w:color w:val="auto"/>
          <w:highlight w:val="none"/>
          <w:shd w:val="clear" w:color="auto" w:fill="auto"/>
        </w:rPr>
        <w:t>地</w:t>
      </w:r>
      <w:r>
        <w:rPr>
          <w:rFonts w:ascii="仿宋_GB2312" w:eastAsia="仿宋_GB2312"/>
          <w:color w:val="auto"/>
          <w:highlight w:val="none"/>
          <w:shd w:val="clear" w:color="auto" w:fill="auto"/>
        </w:rPr>
        <w:t xml:space="preserve">     </w:t>
      </w:r>
      <w:r>
        <w:rPr>
          <w:rFonts w:hint="eastAsia" w:ascii="仿宋_GB2312" w:eastAsia="仿宋_GB2312"/>
          <w:color w:val="auto"/>
          <w:highlight w:val="none"/>
          <w:shd w:val="clear" w:color="auto" w:fill="auto"/>
        </w:rPr>
        <w:t>址：</w:t>
      </w:r>
      <w:r>
        <w:rPr>
          <w:rFonts w:ascii="仿宋_GB2312" w:eastAsia="仿宋_GB2312"/>
          <w:color w:val="auto"/>
          <w:highlight w:val="none"/>
          <w:u w:val="dotted"/>
          <w:shd w:val="clear" w:color="auto" w:fill="auto"/>
        </w:rPr>
        <w:t xml:space="preserve">                             </w:t>
      </w:r>
      <w:r>
        <w:rPr>
          <w:rFonts w:hint="eastAsia" w:ascii="仿宋_GB2312" w:eastAsia="仿宋_GB2312"/>
          <w:color w:val="auto"/>
          <w:highlight w:val="none"/>
          <w:shd w:val="clear" w:color="auto" w:fill="auto"/>
        </w:rPr>
        <w:t>邮编：</w:t>
      </w:r>
      <w:r>
        <w:rPr>
          <w:rFonts w:ascii="仿宋_GB2312" w:eastAsia="仿宋_GB2312"/>
          <w:color w:val="auto"/>
          <w:highlight w:val="none"/>
          <w:u w:val="dotted"/>
          <w:shd w:val="clear" w:color="auto" w:fill="auto"/>
        </w:rPr>
        <w:t xml:space="preserve">         </w:t>
      </w:r>
      <w:r>
        <w:rPr>
          <w:rFonts w:ascii="仿宋_GB2312" w:eastAsia="仿宋_GB2312"/>
          <w:color w:val="auto"/>
          <w:highlight w:val="none"/>
          <w:u w:val="single"/>
          <w:shd w:val="clear" w:color="auto" w:fill="auto"/>
        </w:rPr>
        <w:t xml:space="preserve"> </w:t>
      </w:r>
      <w:r>
        <w:rPr>
          <w:rFonts w:ascii="仿宋_GB2312" w:eastAsia="仿宋_GB2312"/>
          <w:color w:val="auto"/>
          <w:highlight w:val="none"/>
          <w:u w:val="dotted"/>
          <w:shd w:val="clear" w:color="auto" w:fill="auto"/>
        </w:rPr>
        <w:t xml:space="preserve">                   </w:t>
      </w:r>
    </w:p>
    <w:p>
      <w:pPr>
        <w:spacing w:line="360" w:lineRule="auto"/>
        <w:rPr>
          <w:rFonts w:ascii="仿宋_GB2312" w:eastAsia="仿宋_GB2312"/>
          <w:color w:val="auto"/>
          <w:highlight w:val="none"/>
          <w:u w:val="single"/>
          <w:shd w:val="clear" w:color="auto" w:fill="auto"/>
        </w:rPr>
      </w:pPr>
      <w:r>
        <w:rPr>
          <w:rFonts w:hint="eastAsia" w:ascii="仿宋_GB2312" w:eastAsia="仿宋_GB2312"/>
          <w:color w:val="auto"/>
          <w:highlight w:val="none"/>
          <w:shd w:val="clear" w:color="auto" w:fill="auto"/>
        </w:rPr>
        <w:t>被投诉人</w:t>
      </w:r>
      <w:r>
        <w:rPr>
          <w:rFonts w:ascii="仿宋_GB2312" w:eastAsia="仿宋_GB2312"/>
          <w:color w:val="auto"/>
          <w:highlight w:val="none"/>
          <w:shd w:val="clear" w:color="auto" w:fill="auto"/>
        </w:rPr>
        <w:t>1：</w:t>
      </w:r>
      <w:r>
        <w:rPr>
          <w:rFonts w:ascii="仿宋_GB2312" w:eastAsia="仿宋_GB2312"/>
          <w:color w:val="auto"/>
          <w:highlight w:val="none"/>
          <w:u w:val="dotted"/>
          <w:shd w:val="clear" w:color="auto" w:fill="auto"/>
        </w:rPr>
        <w:t xml:space="preserve">                                           </w:t>
      </w:r>
      <w:r>
        <w:rPr>
          <w:rFonts w:ascii="仿宋_GB2312" w:eastAsia="仿宋_GB2312"/>
          <w:color w:val="auto"/>
          <w:highlight w:val="none"/>
          <w:u w:val="single"/>
          <w:shd w:val="clear" w:color="auto" w:fill="auto"/>
        </w:rPr>
        <w:t xml:space="preserve">  </w:t>
      </w:r>
    </w:p>
    <w:p>
      <w:pPr>
        <w:spacing w:line="360" w:lineRule="auto"/>
        <w:rPr>
          <w:rFonts w:ascii="仿宋_GB2312" w:eastAsia="仿宋_GB2312"/>
          <w:color w:val="auto"/>
          <w:highlight w:val="none"/>
          <w:u w:val="single"/>
          <w:shd w:val="clear" w:color="auto" w:fill="auto"/>
        </w:rPr>
      </w:pPr>
      <w:r>
        <w:rPr>
          <w:rFonts w:hint="eastAsia" w:ascii="仿宋_GB2312" w:eastAsia="仿宋_GB2312"/>
          <w:color w:val="auto"/>
          <w:highlight w:val="none"/>
          <w:shd w:val="clear" w:color="auto" w:fill="auto"/>
        </w:rPr>
        <w:t>地</w:t>
      </w:r>
      <w:r>
        <w:rPr>
          <w:rFonts w:ascii="仿宋_GB2312" w:eastAsia="仿宋_GB2312"/>
          <w:color w:val="auto"/>
          <w:highlight w:val="none"/>
          <w:shd w:val="clear" w:color="auto" w:fill="auto"/>
        </w:rPr>
        <w:t xml:space="preserve">     </w:t>
      </w:r>
      <w:r>
        <w:rPr>
          <w:rFonts w:hint="eastAsia" w:ascii="仿宋_GB2312" w:eastAsia="仿宋_GB2312"/>
          <w:color w:val="auto"/>
          <w:highlight w:val="none"/>
          <w:shd w:val="clear" w:color="auto" w:fill="auto"/>
        </w:rPr>
        <w:t>址：</w:t>
      </w:r>
      <w:r>
        <w:rPr>
          <w:rFonts w:ascii="仿宋_GB2312" w:eastAsia="仿宋_GB2312"/>
          <w:color w:val="auto"/>
          <w:highlight w:val="none"/>
          <w:u w:val="dotted"/>
          <w:shd w:val="clear" w:color="auto" w:fill="auto"/>
        </w:rPr>
        <w:t xml:space="preserve">                             </w:t>
      </w:r>
      <w:r>
        <w:rPr>
          <w:rFonts w:hint="eastAsia" w:ascii="仿宋_GB2312" w:eastAsia="仿宋_GB2312"/>
          <w:color w:val="auto"/>
          <w:highlight w:val="none"/>
          <w:shd w:val="clear" w:color="auto" w:fill="auto"/>
        </w:rPr>
        <w:t>邮编：</w:t>
      </w:r>
      <w:r>
        <w:rPr>
          <w:rFonts w:ascii="仿宋_GB2312" w:eastAsia="仿宋_GB2312"/>
          <w:color w:val="auto"/>
          <w:highlight w:val="none"/>
          <w:u w:val="dotted"/>
          <w:shd w:val="clear" w:color="auto" w:fill="auto"/>
        </w:rPr>
        <w:t xml:space="preserve">          </w:t>
      </w:r>
      <w:r>
        <w:rPr>
          <w:rFonts w:ascii="仿宋_GB2312" w:eastAsia="仿宋_GB2312"/>
          <w:color w:val="auto"/>
          <w:highlight w:val="none"/>
          <w:u w:val="single"/>
          <w:shd w:val="clear" w:color="auto" w:fill="auto"/>
        </w:rPr>
        <w:t xml:space="preserve"> </w:t>
      </w:r>
    </w:p>
    <w:p>
      <w:pPr>
        <w:spacing w:line="360" w:lineRule="auto"/>
        <w:rPr>
          <w:rFonts w:ascii="仿宋_GB2312" w:eastAsia="仿宋_GB2312"/>
          <w:color w:val="auto"/>
          <w:highlight w:val="none"/>
          <w:u w:val="single"/>
          <w:shd w:val="clear" w:color="auto" w:fill="auto"/>
        </w:rPr>
      </w:pPr>
      <w:r>
        <w:rPr>
          <w:rFonts w:hint="eastAsia" w:ascii="仿宋_GB2312" w:eastAsia="仿宋_GB2312"/>
          <w:color w:val="auto"/>
          <w:highlight w:val="none"/>
          <w:shd w:val="clear" w:color="auto" w:fill="auto"/>
        </w:rPr>
        <w:t>联系人：</w:t>
      </w:r>
      <w:r>
        <w:rPr>
          <w:rFonts w:ascii="仿宋_GB2312" w:eastAsia="仿宋_GB2312"/>
          <w:color w:val="auto"/>
          <w:highlight w:val="none"/>
          <w:u w:val="dotted"/>
          <w:shd w:val="clear" w:color="auto" w:fill="auto"/>
        </w:rPr>
        <w:t xml:space="preserve">               </w:t>
      </w:r>
      <w:r>
        <w:rPr>
          <w:rFonts w:hint="eastAsia" w:ascii="仿宋_GB2312" w:eastAsia="仿宋_GB2312"/>
          <w:color w:val="auto"/>
          <w:highlight w:val="none"/>
          <w:shd w:val="clear" w:color="auto" w:fill="auto"/>
        </w:rPr>
        <w:t>联系电话：</w:t>
      </w:r>
      <w:r>
        <w:rPr>
          <w:rFonts w:ascii="仿宋_GB2312" w:eastAsia="仿宋_GB2312"/>
          <w:color w:val="auto"/>
          <w:highlight w:val="none"/>
          <w:u w:val="dotted"/>
          <w:shd w:val="clear" w:color="auto" w:fill="auto"/>
        </w:rPr>
        <w:t xml:space="preserve">                      </w:t>
      </w:r>
      <w:r>
        <w:rPr>
          <w:rFonts w:ascii="仿宋_GB2312" w:eastAsia="仿宋_GB2312"/>
          <w:color w:val="auto"/>
          <w:highlight w:val="none"/>
          <w:u w:val="single"/>
          <w:shd w:val="clear" w:color="auto" w:fill="auto"/>
        </w:rPr>
        <w:t xml:space="preserve"> </w:t>
      </w:r>
    </w:p>
    <w:p>
      <w:pPr>
        <w:spacing w:line="360" w:lineRule="auto"/>
        <w:rPr>
          <w:rFonts w:ascii="仿宋_GB2312" w:eastAsia="仿宋_GB2312"/>
          <w:color w:val="auto"/>
          <w:highlight w:val="none"/>
          <w:shd w:val="clear" w:color="auto" w:fill="auto"/>
        </w:rPr>
      </w:pPr>
      <w:r>
        <w:rPr>
          <w:rFonts w:hint="eastAsia" w:ascii="仿宋_GB2312" w:eastAsia="仿宋_GB2312"/>
          <w:color w:val="auto"/>
          <w:highlight w:val="none"/>
          <w:shd w:val="clear" w:color="auto" w:fill="auto"/>
        </w:rPr>
        <w:t>被投诉人</w:t>
      </w:r>
      <w:r>
        <w:rPr>
          <w:rFonts w:ascii="仿宋_GB2312" w:eastAsia="仿宋_GB2312"/>
          <w:color w:val="auto"/>
          <w:highlight w:val="none"/>
          <w:shd w:val="clear" w:color="auto" w:fill="auto"/>
        </w:rPr>
        <w:t>2</w:t>
      </w:r>
    </w:p>
    <w:p>
      <w:pPr>
        <w:spacing w:line="360" w:lineRule="auto"/>
        <w:rPr>
          <w:rFonts w:ascii="仿宋_GB2312" w:eastAsia="仿宋_GB2312"/>
          <w:color w:val="auto"/>
          <w:highlight w:val="none"/>
          <w:u w:val="dotted"/>
          <w:shd w:val="clear" w:color="auto" w:fill="auto"/>
        </w:rPr>
      </w:pPr>
      <w:r>
        <w:rPr>
          <w:rFonts w:hint="eastAsia" w:ascii="仿宋_GB2312" w:eastAsia="仿宋_GB2312"/>
          <w:color w:val="auto"/>
          <w:highlight w:val="none"/>
          <w:shd w:val="clear" w:color="auto" w:fill="auto"/>
        </w:rPr>
        <w:t>……</w:t>
      </w:r>
    </w:p>
    <w:p>
      <w:pPr>
        <w:spacing w:line="360" w:lineRule="auto"/>
        <w:rPr>
          <w:rFonts w:ascii="仿宋_GB2312" w:eastAsia="仿宋_GB2312"/>
          <w:color w:val="auto"/>
          <w:highlight w:val="none"/>
          <w:u w:val="single"/>
          <w:shd w:val="clear" w:color="auto" w:fill="auto"/>
        </w:rPr>
      </w:pPr>
      <w:r>
        <w:rPr>
          <w:rFonts w:hint="eastAsia" w:ascii="仿宋_GB2312" w:eastAsia="仿宋_GB2312"/>
          <w:color w:val="auto"/>
          <w:highlight w:val="none"/>
          <w:shd w:val="clear" w:color="auto" w:fill="auto"/>
        </w:rPr>
        <w:t>相关供应商：</w:t>
      </w:r>
      <w:r>
        <w:rPr>
          <w:rFonts w:ascii="仿宋_GB2312" w:eastAsia="仿宋_GB2312"/>
          <w:color w:val="auto"/>
          <w:highlight w:val="none"/>
          <w:u w:val="dotted"/>
          <w:shd w:val="clear" w:color="auto" w:fill="auto"/>
        </w:rPr>
        <w:t xml:space="preserve">                                           </w:t>
      </w:r>
      <w:r>
        <w:rPr>
          <w:rFonts w:ascii="仿宋_GB2312" w:eastAsia="仿宋_GB2312"/>
          <w:color w:val="auto"/>
          <w:highlight w:val="none"/>
          <w:u w:val="single"/>
          <w:shd w:val="clear" w:color="auto" w:fill="auto"/>
        </w:rPr>
        <w:t xml:space="preserve">    </w:t>
      </w:r>
    </w:p>
    <w:p>
      <w:pPr>
        <w:spacing w:line="360" w:lineRule="auto"/>
        <w:rPr>
          <w:rFonts w:ascii="仿宋_GB2312" w:eastAsia="仿宋_GB2312"/>
          <w:color w:val="auto"/>
          <w:highlight w:val="none"/>
          <w:u w:val="single"/>
          <w:shd w:val="clear" w:color="auto" w:fill="auto"/>
        </w:rPr>
      </w:pPr>
      <w:r>
        <w:rPr>
          <w:rFonts w:hint="eastAsia" w:ascii="仿宋_GB2312" w:eastAsia="仿宋_GB2312"/>
          <w:color w:val="auto"/>
          <w:highlight w:val="none"/>
          <w:shd w:val="clear" w:color="auto" w:fill="auto"/>
        </w:rPr>
        <w:t>地</w:t>
      </w:r>
      <w:r>
        <w:rPr>
          <w:rFonts w:ascii="仿宋_GB2312" w:eastAsia="仿宋_GB2312"/>
          <w:color w:val="auto"/>
          <w:highlight w:val="none"/>
          <w:shd w:val="clear" w:color="auto" w:fill="auto"/>
        </w:rPr>
        <w:t xml:space="preserve">     </w:t>
      </w:r>
      <w:r>
        <w:rPr>
          <w:rFonts w:hint="eastAsia" w:ascii="仿宋_GB2312" w:eastAsia="仿宋_GB2312"/>
          <w:color w:val="auto"/>
          <w:highlight w:val="none"/>
          <w:shd w:val="clear" w:color="auto" w:fill="auto"/>
        </w:rPr>
        <w:t>址：</w:t>
      </w:r>
      <w:r>
        <w:rPr>
          <w:rFonts w:ascii="仿宋_GB2312" w:eastAsia="仿宋_GB2312"/>
          <w:color w:val="auto"/>
          <w:highlight w:val="none"/>
          <w:u w:val="dotted"/>
          <w:shd w:val="clear" w:color="auto" w:fill="auto"/>
        </w:rPr>
        <w:t xml:space="preserve">                             </w:t>
      </w:r>
      <w:r>
        <w:rPr>
          <w:rFonts w:hint="eastAsia" w:ascii="仿宋_GB2312" w:eastAsia="仿宋_GB2312"/>
          <w:color w:val="auto"/>
          <w:highlight w:val="none"/>
          <w:shd w:val="clear" w:color="auto" w:fill="auto"/>
        </w:rPr>
        <w:t>邮编：</w:t>
      </w:r>
      <w:r>
        <w:rPr>
          <w:rFonts w:ascii="仿宋_GB2312" w:eastAsia="仿宋_GB2312"/>
          <w:color w:val="auto"/>
          <w:highlight w:val="none"/>
          <w:u w:val="dotted"/>
          <w:shd w:val="clear" w:color="auto" w:fill="auto"/>
        </w:rPr>
        <w:t xml:space="preserve">          </w:t>
      </w:r>
      <w:r>
        <w:rPr>
          <w:rFonts w:ascii="仿宋_GB2312" w:eastAsia="仿宋_GB2312"/>
          <w:color w:val="auto"/>
          <w:highlight w:val="none"/>
          <w:u w:val="single"/>
          <w:shd w:val="clear" w:color="auto" w:fill="auto"/>
        </w:rPr>
        <w:t xml:space="preserve"> </w:t>
      </w:r>
    </w:p>
    <w:p>
      <w:pPr>
        <w:spacing w:line="360" w:lineRule="auto"/>
        <w:rPr>
          <w:rFonts w:ascii="仿宋_GB2312" w:eastAsia="仿宋_GB2312"/>
          <w:color w:val="auto"/>
          <w:highlight w:val="none"/>
          <w:u w:val="single"/>
          <w:shd w:val="clear" w:color="auto" w:fill="auto"/>
        </w:rPr>
      </w:pPr>
      <w:r>
        <w:rPr>
          <w:rFonts w:hint="eastAsia" w:ascii="仿宋_GB2312" w:eastAsia="仿宋_GB2312"/>
          <w:color w:val="auto"/>
          <w:highlight w:val="none"/>
          <w:shd w:val="clear" w:color="auto" w:fill="auto"/>
        </w:rPr>
        <w:t>联系人：</w:t>
      </w:r>
      <w:r>
        <w:rPr>
          <w:rFonts w:ascii="仿宋_GB2312" w:eastAsia="仿宋_GB2312"/>
          <w:color w:val="auto"/>
          <w:highlight w:val="none"/>
          <w:u w:val="dotted"/>
          <w:shd w:val="clear" w:color="auto" w:fill="auto"/>
        </w:rPr>
        <w:t xml:space="preserve">               </w:t>
      </w:r>
      <w:r>
        <w:rPr>
          <w:rFonts w:hint="eastAsia" w:ascii="仿宋_GB2312" w:eastAsia="仿宋_GB2312"/>
          <w:color w:val="auto"/>
          <w:highlight w:val="none"/>
          <w:shd w:val="clear" w:color="auto" w:fill="auto"/>
        </w:rPr>
        <w:t>联系电话：</w:t>
      </w:r>
      <w:r>
        <w:rPr>
          <w:rFonts w:ascii="仿宋_GB2312" w:eastAsia="仿宋_GB2312"/>
          <w:color w:val="auto"/>
          <w:highlight w:val="none"/>
          <w:u w:val="dotted"/>
          <w:shd w:val="clear" w:color="auto" w:fill="auto"/>
        </w:rPr>
        <w:t xml:space="preserve">                      </w:t>
      </w:r>
      <w:r>
        <w:rPr>
          <w:rFonts w:ascii="仿宋_GB2312" w:eastAsia="仿宋_GB2312"/>
          <w:color w:val="auto"/>
          <w:highlight w:val="none"/>
          <w:u w:val="single"/>
          <w:shd w:val="clear" w:color="auto" w:fill="auto"/>
        </w:rPr>
        <w:t xml:space="preserve">      </w:t>
      </w:r>
    </w:p>
    <w:p>
      <w:pPr>
        <w:spacing w:line="360" w:lineRule="auto"/>
        <w:rPr>
          <w:rFonts w:ascii="仿宋_GB2312" w:eastAsia="仿宋_GB2312"/>
          <w:color w:val="auto"/>
          <w:highlight w:val="none"/>
          <w:shd w:val="clear" w:color="auto" w:fill="auto"/>
        </w:rPr>
      </w:pPr>
      <w:r>
        <w:rPr>
          <w:rFonts w:hint="eastAsia" w:ascii="仿宋_GB2312" w:eastAsia="仿宋_GB2312"/>
          <w:color w:val="auto"/>
          <w:highlight w:val="none"/>
          <w:shd w:val="clear" w:color="auto" w:fill="auto"/>
        </w:rPr>
        <w:t>二、投诉项目基本情况</w:t>
      </w:r>
    </w:p>
    <w:p>
      <w:pPr>
        <w:spacing w:line="360" w:lineRule="auto"/>
        <w:rPr>
          <w:rFonts w:ascii="仿宋_GB2312" w:eastAsia="仿宋_GB2312"/>
          <w:color w:val="auto"/>
          <w:highlight w:val="none"/>
          <w:u w:val="dotted"/>
          <w:shd w:val="clear" w:color="auto" w:fill="auto"/>
        </w:rPr>
      </w:pPr>
      <w:r>
        <w:rPr>
          <w:rFonts w:hint="eastAsia" w:ascii="仿宋_GB2312" w:eastAsia="仿宋_GB2312"/>
          <w:color w:val="auto"/>
          <w:highlight w:val="none"/>
          <w:shd w:val="clear" w:color="auto" w:fill="auto"/>
        </w:rPr>
        <w:t>采购项目名称：</w:t>
      </w:r>
      <w:r>
        <w:rPr>
          <w:rFonts w:ascii="仿宋_GB2312" w:eastAsia="仿宋_GB2312"/>
          <w:color w:val="auto"/>
          <w:highlight w:val="none"/>
          <w:u w:val="dotted"/>
          <w:shd w:val="clear" w:color="auto" w:fill="auto"/>
        </w:rPr>
        <w:t xml:space="preserve">                                        </w:t>
      </w:r>
    </w:p>
    <w:p>
      <w:pPr>
        <w:spacing w:line="360" w:lineRule="auto"/>
        <w:rPr>
          <w:rFonts w:ascii="仿宋_GB2312" w:eastAsia="仿宋_GB2312"/>
          <w:color w:val="auto"/>
          <w:highlight w:val="none"/>
          <w:u w:val="single"/>
          <w:shd w:val="clear" w:color="auto" w:fill="auto"/>
        </w:rPr>
      </w:pPr>
      <w:r>
        <w:rPr>
          <w:rFonts w:hint="eastAsia" w:ascii="仿宋_GB2312" w:eastAsia="仿宋_GB2312"/>
          <w:color w:val="auto"/>
          <w:highlight w:val="none"/>
          <w:shd w:val="clear" w:color="auto" w:fill="auto"/>
        </w:rPr>
        <w:t>采购项目编号：</w:t>
      </w:r>
      <w:r>
        <w:rPr>
          <w:rFonts w:ascii="仿宋_GB2312" w:eastAsia="仿宋_GB2312"/>
          <w:color w:val="auto"/>
          <w:highlight w:val="none"/>
          <w:u w:val="dotted"/>
          <w:shd w:val="clear" w:color="auto" w:fill="auto"/>
        </w:rPr>
        <w:t xml:space="preserve">                 </w:t>
      </w:r>
      <w:r>
        <w:rPr>
          <w:rFonts w:hint="eastAsia" w:ascii="仿宋_GB2312" w:eastAsia="仿宋_GB2312"/>
          <w:color w:val="auto"/>
          <w:highlight w:val="none"/>
          <w:shd w:val="clear" w:color="auto" w:fill="auto"/>
        </w:rPr>
        <w:t>包号：</w:t>
      </w:r>
      <w:r>
        <w:rPr>
          <w:rFonts w:ascii="仿宋_GB2312" w:eastAsia="仿宋_GB2312"/>
          <w:color w:val="auto"/>
          <w:highlight w:val="none"/>
          <w:u w:val="dotted"/>
          <w:shd w:val="clear" w:color="auto" w:fill="auto"/>
        </w:rPr>
        <w:t xml:space="preserve">              </w:t>
      </w:r>
    </w:p>
    <w:p>
      <w:pPr>
        <w:spacing w:line="360" w:lineRule="auto"/>
        <w:rPr>
          <w:rFonts w:ascii="仿宋_GB2312" w:eastAsia="仿宋_GB2312"/>
          <w:color w:val="auto"/>
          <w:highlight w:val="none"/>
          <w:shd w:val="clear" w:color="auto" w:fill="auto"/>
        </w:rPr>
      </w:pPr>
      <w:r>
        <w:rPr>
          <w:rFonts w:hint="eastAsia" w:ascii="仿宋_GB2312" w:eastAsia="仿宋_GB2312"/>
          <w:color w:val="auto"/>
          <w:highlight w:val="none"/>
          <w:shd w:val="clear" w:color="auto" w:fill="auto"/>
        </w:rPr>
        <w:t>采购人名称：</w:t>
      </w:r>
      <w:r>
        <w:rPr>
          <w:rFonts w:ascii="仿宋_GB2312" w:eastAsia="仿宋_GB2312"/>
          <w:color w:val="auto"/>
          <w:highlight w:val="none"/>
          <w:u w:val="dotted"/>
          <w:shd w:val="clear" w:color="auto" w:fill="auto"/>
        </w:rPr>
        <w:t xml:space="preserve">                                           </w:t>
      </w:r>
      <w:r>
        <w:rPr>
          <w:rFonts w:ascii="仿宋_GB2312" w:eastAsia="仿宋_GB2312"/>
          <w:color w:val="auto"/>
          <w:highlight w:val="none"/>
          <w:u w:val="single"/>
          <w:shd w:val="clear" w:color="auto" w:fill="auto"/>
        </w:rPr>
        <w:t xml:space="preserve">  </w:t>
      </w:r>
    </w:p>
    <w:p>
      <w:pPr>
        <w:spacing w:line="360" w:lineRule="auto"/>
        <w:rPr>
          <w:rFonts w:ascii="仿宋_GB2312" w:eastAsia="仿宋_GB2312"/>
          <w:color w:val="auto"/>
          <w:highlight w:val="none"/>
          <w:u w:val="single"/>
          <w:shd w:val="clear" w:color="auto" w:fill="auto"/>
        </w:rPr>
      </w:pPr>
      <w:r>
        <w:rPr>
          <w:rFonts w:hint="eastAsia" w:ascii="仿宋_GB2312" w:eastAsia="仿宋_GB2312"/>
          <w:color w:val="auto"/>
          <w:highlight w:val="none"/>
          <w:shd w:val="clear" w:color="auto" w:fill="auto"/>
        </w:rPr>
        <w:t>代理机构名称：</w:t>
      </w:r>
      <w:r>
        <w:rPr>
          <w:rFonts w:ascii="仿宋_GB2312" w:eastAsia="仿宋_GB2312"/>
          <w:color w:val="auto"/>
          <w:highlight w:val="none"/>
          <w:u w:val="dotted"/>
          <w:shd w:val="clear" w:color="auto" w:fill="auto"/>
        </w:rPr>
        <w:t xml:space="preserve">                                         </w:t>
      </w:r>
    </w:p>
    <w:p>
      <w:pPr>
        <w:spacing w:line="360" w:lineRule="auto"/>
        <w:rPr>
          <w:rFonts w:ascii="仿宋_GB2312" w:eastAsia="仿宋_GB2312"/>
          <w:color w:val="auto"/>
          <w:highlight w:val="none"/>
          <w:u w:val="dotted"/>
          <w:shd w:val="clear" w:color="auto" w:fill="auto"/>
        </w:rPr>
      </w:pPr>
      <w:r>
        <w:rPr>
          <w:rFonts w:hint="eastAsia" w:ascii="仿宋_GB2312" w:eastAsia="仿宋_GB2312"/>
          <w:color w:val="auto"/>
          <w:highlight w:val="none"/>
          <w:shd w:val="clear" w:color="auto" w:fill="auto"/>
        </w:rPr>
        <w:t>采购文件公告</w:t>
      </w:r>
      <w:r>
        <w:rPr>
          <w:rFonts w:ascii="仿宋_GB2312" w:eastAsia="仿宋_GB2312"/>
          <w:color w:val="auto"/>
          <w:highlight w:val="none"/>
          <w:shd w:val="clear" w:color="auto" w:fill="auto"/>
        </w:rPr>
        <w:t>:</w:t>
      </w:r>
      <w:r>
        <w:rPr>
          <w:rFonts w:hint="eastAsia" w:ascii="仿宋_GB2312" w:eastAsia="仿宋_GB2312"/>
          <w:color w:val="auto"/>
          <w:highlight w:val="none"/>
          <w:u w:val="dotted"/>
          <w:shd w:val="clear" w:color="auto" w:fill="auto"/>
        </w:rPr>
        <w:t>是</w:t>
      </w:r>
      <w:r>
        <w:rPr>
          <w:rFonts w:ascii="仿宋_GB2312" w:eastAsia="仿宋_GB2312"/>
          <w:color w:val="auto"/>
          <w:highlight w:val="none"/>
          <w:u w:val="dotted"/>
          <w:shd w:val="clear" w:color="auto" w:fill="auto"/>
        </w:rPr>
        <w:t xml:space="preserve">/否 </w:t>
      </w:r>
      <w:r>
        <w:rPr>
          <w:rFonts w:hint="eastAsia" w:ascii="仿宋_GB2312" w:eastAsia="仿宋_GB2312"/>
          <w:color w:val="auto"/>
          <w:highlight w:val="none"/>
          <w:shd w:val="clear" w:color="auto" w:fill="auto"/>
        </w:rPr>
        <w:t>公告期限：</w:t>
      </w:r>
      <w:r>
        <w:rPr>
          <w:rFonts w:ascii="仿宋_GB2312" w:eastAsia="仿宋_GB2312"/>
          <w:color w:val="auto"/>
          <w:highlight w:val="none"/>
          <w:u w:val="dotted"/>
          <w:shd w:val="clear" w:color="auto" w:fill="auto"/>
        </w:rPr>
        <w:t xml:space="preserve">                                 </w:t>
      </w:r>
    </w:p>
    <w:p>
      <w:pPr>
        <w:spacing w:line="360" w:lineRule="auto"/>
        <w:rPr>
          <w:rFonts w:ascii="仿宋_GB2312" w:eastAsia="仿宋_GB2312"/>
          <w:color w:val="auto"/>
          <w:highlight w:val="none"/>
          <w:u w:val="single"/>
          <w:shd w:val="clear" w:color="auto" w:fill="auto"/>
        </w:rPr>
      </w:pPr>
      <w:r>
        <w:rPr>
          <w:rFonts w:hint="eastAsia" w:ascii="仿宋_GB2312" w:eastAsia="仿宋_GB2312"/>
          <w:color w:val="auto"/>
          <w:highlight w:val="none"/>
          <w:shd w:val="clear" w:color="auto" w:fill="auto"/>
        </w:rPr>
        <w:t>采购结果公告</w:t>
      </w:r>
      <w:r>
        <w:rPr>
          <w:rFonts w:ascii="仿宋_GB2312" w:eastAsia="仿宋_GB2312"/>
          <w:color w:val="auto"/>
          <w:highlight w:val="none"/>
          <w:shd w:val="clear" w:color="auto" w:fill="auto"/>
        </w:rPr>
        <w:t>:</w:t>
      </w:r>
      <w:r>
        <w:rPr>
          <w:rFonts w:hint="eastAsia" w:ascii="仿宋_GB2312" w:eastAsia="仿宋_GB2312"/>
          <w:color w:val="auto"/>
          <w:highlight w:val="none"/>
          <w:u w:val="dotted"/>
          <w:shd w:val="clear" w:color="auto" w:fill="auto"/>
        </w:rPr>
        <w:t>是</w:t>
      </w:r>
      <w:r>
        <w:rPr>
          <w:rFonts w:ascii="仿宋_GB2312" w:eastAsia="仿宋_GB2312"/>
          <w:color w:val="auto"/>
          <w:highlight w:val="none"/>
          <w:u w:val="dotted"/>
          <w:shd w:val="clear" w:color="auto" w:fill="auto"/>
        </w:rPr>
        <w:t xml:space="preserve">/否 </w:t>
      </w:r>
      <w:r>
        <w:rPr>
          <w:rFonts w:hint="eastAsia" w:ascii="仿宋_GB2312" w:eastAsia="仿宋_GB2312"/>
          <w:color w:val="auto"/>
          <w:highlight w:val="none"/>
          <w:shd w:val="clear" w:color="auto" w:fill="auto"/>
        </w:rPr>
        <w:t>公告期限：</w:t>
      </w:r>
      <w:r>
        <w:rPr>
          <w:rFonts w:ascii="仿宋_GB2312" w:eastAsia="仿宋_GB2312"/>
          <w:color w:val="auto"/>
          <w:highlight w:val="none"/>
          <w:u w:val="dotted"/>
          <w:shd w:val="clear" w:color="auto" w:fill="auto"/>
        </w:rPr>
        <w:t xml:space="preserve">                        </w:t>
      </w:r>
    </w:p>
    <w:p>
      <w:pPr>
        <w:spacing w:line="360" w:lineRule="auto"/>
        <w:rPr>
          <w:rFonts w:ascii="仿宋_GB2312" w:eastAsia="仿宋_GB2312"/>
          <w:color w:val="auto"/>
          <w:highlight w:val="none"/>
          <w:shd w:val="clear" w:color="auto" w:fill="auto"/>
        </w:rPr>
      </w:pPr>
      <w:r>
        <w:rPr>
          <w:rFonts w:hint="eastAsia" w:ascii="仿宋_GB2312" w:eastAsia="仿宋_GB2312"/>
          <w:color w:val="auto"/>
          <w:highlight w:val="none"/>
          <w:shd w:val="clear" w:color="auto" w:fill="auto"/>
        </w:rPr>
        <w:t>三、质疑基本情况</w:t>
      </w:r>
    </w:p>
    <w:p>
      <w:pPr>
        <w:spacing w:line="360" w:lineRule="auto"/>
        <w:ind w:firstLine="480" w:firstLineChars="200"/>
        <w:rPr>
          <w:rFonts w:ascii="仿宋_GB2312" w:eastAsia="仿宋_GB2312"/>
          <w:color w:val="auto"/>
          <w:highlight w:val="none"/>
          <w:u w:val="dotted"/>
          <w:shd w:val="clear" w:color="auto" w:fill="auto"/>
        </w:rPr>
      </w:pPr>
      <w:r>
        <w:rPr>
          <w:rFonts w:hint="eastAsia" w:ascii="仿宋_GB2312" w:eastAsia="仿宋_GB2312"/>
          <w:color w:val="auto"/>
          <w:highlight w:val="none"/>
          <w:shd w:val="clear" w:color="auto" w:fill="auto"/>
        </w:rPr>
        <w:t>投诉人于</w:t>
      </w:r>
      <w:r>
        <w:rPr>
          <w:rFonts w:ascii="仿宋_GB2312" w:eastAsia="仿宋_GB2312"/>
          <w:color w:val="auto"/>
          <w:highlight w:val="none"/>
          <w:u w:val="dotted"/>
          <w:shd w:val="clear" w:color="auto" w:fill="auto"/>
        </w:rPr>
        <w:t xml:space="preserve">   </w:t>
      </w:r>
      <w:r>
        <w:rPr>
          <w:rFonts w:hint="eastAsia" w:ascii="仿宋_GB2312" w:eastAsia="仿宋_GB2312"/>
          <w:color w:val="auto"/>
          <w:highlight w:val="none"/>
          <w:shd w:val="clear" w:color="auto" w:fill="auto"/>
        </w:rPr>
        <w:t>年</w:t>
      </w:r>
      <w:r>
        <w:rPr>
          <w:rFonts w:ascii="仿宋_GB2312" w:eastAsia="仿宋_GB2312"/>
          <w:color w:val="auto"/>
          <w:highlight w:val="none"/>
          <w:u w:val="dotted"/>
          <w:shd w:val="clear" w:color="auto" w:fill="auto"/>
        </w:rPr>
        <w:t xml:space="preserve">   </w:t>
      </w:r>
      <w:r>
        <w:rPr>
          <w:rFonts w:hint="eastAsia" w:ascii="仿宋_GB2312" w:eastAsia="仿宋_GB2312"/>
          <w:color w:val="auto"/>
          <w:highlight w:val="none"/>
          <w:shd w:val="clear" w:color="auto" w:fill="auto"/>
        </w:rPr>
        <w:t>月</w:t>
      </w:r>
      <w:r>
        <w:rPr>
          <w:rFonts w:ascii="仿宋_GB2312" w:eastAsia="仿宋_GB2312"/>
          <w:color w:val="auto"/>
          <w:highlight w:val="none"/>
          <w:u w:val="dotted"/>
          <w:shd w:val="clear" w:color="auto" w:fill="auto"/>
        </w:rPr>
        <w:t xml:space="preserve">  </w:t>
      </w:r>
      <w:r>
        <w:rPr>
          <w:rFonts w:hint="eastAsia" w:ascii="仿宋_GB2312" w:eastAsia="仿宋_GB2312"/>
          <w:color w:val="auto"/>
          <w:highlight w:val="none"/>
          <w:shd w:val="clear" w:color="auto" w:fill="auto"/>
        </w:rPr>
        <w:t>日</w:t>
      </w:r>
      <w:r>
        <w:rPr>
          <w:rFonts w:ascii="仿宋_GB2312" w:eastAsia="仿宋_GB2312"/>
          <w:color w:val="auto"/>
          <w:highlight w:val="none"/>
          <w:shd w:val="clear" w:color="auto" w:fill="auto"/>
        </w:rPr>
        <w:t>,向</w:t>
      </w:r>
      <w:r>
        <w:rPr>
          <w:rFonts w:ascii="仿宋_GB2312" w:eastAsia="仿宋_GB2312"/>
          <w:color w:val="auto"/>
          <w:highlight w:val="none"/>
          <w:u w:val="dotted"/>
          <w:shd w:val="clear" w:color="auto" w:fill="auto"/>
        </w:rPr>
        <w:t xml:space="preserve">                   </w:t>
      </w:r>
      <w:r>
        <w:rPr>
          <w:rFonts w:hint="eastAsia" w:ascii="仿宋_GB2312" w:eastAsia="仿宋_GB2312"/>
          <w:color w:val="auto"/>
          <w:highlight w:val="none"/>
          <w:shd w:val="clear" w:color="auto" w:fill="auto"/>
        </w:rPr>
        <w:t>提出质疑，质疑事项为：</w:t>
      </w:r>
      <w:r>
        <w:rPr>
          <w:rFonts w:ascii="仿宋_GB2312" w:eastAsia="仿宋_GB2312"/>
          <w:color w:val="auto"/>
          <w:highlight w:val="none"/>
          <w:u w:val="dotted"/>
          <w:shd w:val="clear" w:color="auto" w:fill="auto"/>
        </w:rPr>
        <w:t xml:space="preserve">                                </w:t>
      </w:r>
    </w:p>
    <w:p>
      <w:pPr>
        <w:spacing w:line="360" w:lineRule="auto"/>
        <w:rPr>
          <w:rFonts w:ascii="仿宋_GB2312" w:eastAsia="仿宋_GB2312"/>
          <w:color w:val="auto"/>
          <w:highlight w:val="none"/>
          <w:u w:val="dotted"/>
          <w:shd w:val="clear" w:color="auto" w:fill="auto"/>
        </w:rPr>
      </w:pPr>
      <w:r>
        <w:rPr>
          <w:rFonts w:ascii="仿宋_GB2312" w:eastAsia="仿宋_GB2312"/>
          <w:color w:val="auto"/>
          <w:highlight w:val="none"/>
          <w:u w:val="dotted"/>
          <w:shd w:val="clear" w:color="auto" w:fill="auto"/>
        </w:rPr>
        <w:t xml:space="preserve">                                                     </w:t>
      </w:r>
      <w:r>
        <w:rPr>
          <w:rFonts w:ascii="仿宋_GB2312" w:eastAsia="仿宋_GB2312"/>
          <w:color w:val="auto"/>
          <w:highlight w:val="none"/>
          <w:shd w:val="clear" w:color="auto" w:fill="auto"/>
        </w:rPr>
        <w:t xml:space="preserve">  </w:t>
      </w:r>
    </w:p>
    <w:p>
      <w:pPr>
        <w:spacing w:line="360" w:lineRule="auto"/>
        <w:ind w:firstLine="360" w:firstLineChars="150"/>
        <w:rPr>
          <w:rFonts w:ascii="仿宋_GB2312" w:eastAsia="仿宋_GB2312"/>
          <w:color w:val="auto"/>
          <w:highlight w:val="none"/>
          <w:shd w:val="clear" w:color="auto" w:fill="auto"/>
        </w:rPr>
      </w:pPr>
      <w:r>
        <w:rPr>
          <w:rFonts w:hint="eastAsia" w:ascii="仿宋_GB2312" w:eastAsia="仿宋_GB2312"/>
          <w:color w:val="auto"/>
          <w:highlight w:val="none"/>
          <w:u w:val="dotted"/>
          <w:shd w:val="clear" w:color="auto" w:fill="auto"/>
        </w:rPr>
        <w:t>采购人</w:t>
      </w:r>
      <w:r>
        <w:rPr>
          <w:rFonts w:ascii="仿宋_GB2312" w:eastAsia="仿宋_GB2312"/>
          <w:color w:val="auto"/>
          <w:highlight w:val="none"/>
          <w:u w:val="dotted"/>
          <w:shd w:val="clear" w:color="auto" w:fill="auto"/>
        </w:rPr>
        <w:t>/代理机构</w:t>
      </w:r>
      <w:r>
        <w:rPr>
          <w:rFonts w:hint="eastAsia" w:ascii="仿宋_GB2312" w:eastAsia="仿宋_GB2312"/>
          <w:color w:val="auto"/>
          <w:highlight w:val="none"/>
          <w:shd w:val="clear" w:color="auto" w:fill="auto"/>
        </w:rPr>
        <w:t>于</w:t>
      </w:r>
      <w:r>
        <w:rPr>
          <w:rFonts w:ascii="仿宋_GB2312" w:eastAsia="仿宋_GB2312"/>
          <w:color w:val="auto"/>
          <w:highlight w:val="none"/>
          <w:u w:val="dotted"/>
          <w:shd w:val="clear" w:color="auto" w:fill="auto"/>
        </w:rPr>
        <w:t xml:space="preserve">   </w:t>
      </w:r>
      <w:r>
        <w:rPr>
          <w:rFonts w:hint="eastAsia" w:ascii="仿宋_GB2312" w:eastAsia="仿宋_GB2312"/>
          <w:color w:val="auto"/>
          <w:highlight w:val="none"/>
          <w:shd w:val="clear" w:color="auto" w:fill="auto"/>
        </w:rPr>
        <w:t>年</w:t>
      </w:r>
      <w:r>
        <w:rPr>
          <w:rFonts w:ascii="仿宋_GB2312" w:eastAsia="仿宋_GB2312"/>
          <w:color w:val="auto"/>
          <w:highlight w:val="none"/>
          <w:u w:val="dotted"/>
          <w:shd w:val="clear" w:color="auto" w:fill="auto"/>
        </w:rPr>
        <w:t xml:space="preserve">   </w:t>
      </w:r>
      <w:r>
        <w:rPr>
          <w:rFonts w:hint="eastAsia" w:ascii="仿宋_GB2312" w:eastAsia="仿宋_GB2312"/>
          <w:color w:val="auto"/>
          <w:highlight w:val="none"/>
          <w:shd w:val="clear" w:color="auto" w:fill="auto"/>
        </w:rPr>
        <w:t>月</w:t>
      </w:r>
      <w:r>
        <w:rPr>
          <w:rFonts w:ascii="仿宋_GB2312" w:eastAsia="仿宋_GB2312"/>
          <w:color w:val="auto"/>
          <w:highlight w:val="none"/>
          <w:u w:val="dotted"/>
          <w:shd w:val="clear" w:color="auto" w:fill="auto"/>
        </w:rPr>
        <w:t xml:space="preserve">   </w:t>
      </w:r>
      <w:r>
        <w:rPr>
          <w:rFonts w:hint="eastAsia" w:ascii="仿宋_GB2312" w:eastAsia="仿宋_GB2312"/>
          <w:color w:val="auto"/>
          <w:highlight w:val="none"/>
          <w:shd w:val="clear" w:color="auto" w:fill="auto"/>
        </w:rPr>
        <w:t>日</w:t>
      </w:r>
      <w:r>
        <w:rPr>
          <w:rFonts w:ascii="仿宋_GB2312" w:eastAsia="仿宋_GB2312"/>
          <w:color w:val="auto"/>
          <w:highlight w:val="none"/>
          <w:shd w:val="clear" w:color="auto" w:fill="auto"/>
        </w:rPr>
        <w:t>,就质疑事项</w:t>
      </w:r>
      <w:r>
        <w:rPr>
          <w:rFonts w:hint="eastAsia" w:ascii="仿宋_GB2312" w:eastAsia="仿宋_GB2312"/>
          <w:color w:val="auto"/>
          <w:highlight w:val="none"/>
          <w:shd w:val="clear" w:color="auto" w:fill="auto"/>
        </w:rPr>
        <w:t>作出了答复</w:t>
      </w:r>
      <w:r>
        <w:rPr>
          <w:rFonts w:ascii="仿宋_GB2312" w:eastAsia="仿宋_GB2312"/>
          <w:color w:val="auto"/>
          <w:highlight w:val="none"/>
          <w:shd w:val="clear" w:color="auto" w:fill="auto"/>
        </w:rPr>
        <w:t>/没有在法定期限内</w:t>
      </w:r>
      <w:r>
        <w:rPr>
          <w:rFonts w:hint="eastAsia" w:ascii="仿宋_GB2312" w:eastAsia="仿宋_GB2312"/>
          <w:color w:val="auto"/>
          <w:highlight w:val="none"/>
          <w:shd w:val="clear" w:color="auto" w:fill="auto"/>
        </w:rPr>
        <w:t>作出答复。</w:t>
      </w:r>
    </w:p>
    <w:p>
      <w:pPr>
        <w:spacing w:line="360" w:lineRule="auto"/>
        <w:rPr>
          <w:rFonts w:ascii="仿宋_GB2312" w:eastAsia="仿宋_GB2312"/>
          <w:color w:val="auto"/>
          <w:highlight w:val="none"/>
          <w:shd w:val="clear" w:color="auto" w:fill="auto"/>
        </w:rPr>
      </w:pPr>
      <w:r>
        <w:rPr>
          <w:rFonts w:hint="eastAsia" w:ascii="仿宋_GB2312" w:eastAsia="仿宋_GB2312"/>
          <w:color w:val="auto"/>
          <w:highlight w:val="none"/>
          <w:shd w:val="clear" w:color="auto" w:fill="auto"/>
        </w:rPr>
        <w:t>四、投诉事项具体内容</w:t>
      </w:r>
    </w:p>
    <w:p>
      <w:pPr>
        <w:spacing w:line="360" w:lineRule="auto"/>
        <w:rPr>
          <w:rFonts w:ascii="仿宋_GB2312" w:eastAsia="仿宋_GB2312"/>
          <w:color w:val="auto"/>
          <w:highlight w:val="none"/>
          <w:u w:val="single"/>
          <w:shd w:val="clear" w:color="auto" w:fill="auto"/>
        </w:rPr>
      </w:pPr>
      <w:r>
        <w:rPr>
          <w:rFonts w:hint="eastAsia" w:ascii="仿宋_GB2312" w:eastAsia="仿宋_GB2312"/>
          <w:color w:val="auto"/>
          <w:highlight w:val="none"/>
          <w:shd w:val="clear" w:color="auto" w:fill="auto"/>
        </w:rPr>
        <w:t>投诉事项</w:t>
      </w:r>
      <w:r>
        <w:rPr>
          <w:rFonts w:ascii="仿宋_GB2312" w:eastAsia="仿宋_GB2312"/>
          <w:color w:val="auto"/>
          <w:highlight w:val="none"/>
          <w:shd w:val="clear" w:color="auto" w:fill="auto"/>
        </w:rPr>
        <w:t xml:space="preserve"> 1：</w:t>
      </w:r>
      <w:r>
        <w:rPr>
          <w:rFonts w:ascii="仿宋_GB2312" w:eastAsia="仿宋_GB2312"/>
          <w:color w:val="auto"/>
          <w:highlight w:val="none"/>
          <w:u w:val="dotted"/>
          <w:shd w:val="clear" w:color="auto" w:fill="auto"/>
        </w:rPr>
        <w:t xml:space="preserve">                                       </w:t>
      </w:r>
    </w:p>
    <w:p>
      <w:pPr>
        <w:spacing w:line="360" w:lineRule="auto"/>
        <w:rPr>
          <w:rFonts w:ascii="仿宋_GB2312" w:eastAsia="仿宋_GB2312"/>
          <w:color w:val="auto"/>
          <w:highlight w:val="none"/>
          <w:shd w:val="clear" w:color="auto" w:fill="auto"/>
        </w:rPr>
      </w:pPr>
      <w:r>
        <w:rPr>
          <w:rFonts w:hint="eastAsia" w:ascii="仿宋_GB2312" w:eastAsia="仿宋_GB2312"/>
          <w:color w:val="auto"/>
          <w:highlight w:val="none"/>
          <w:shd w:val="clear" w:color="auto" w:fill="auto"/>
        </w:rPr>
        <w:t>事实依据：</w:t>
      </w:r>
      <w:r>
        <w:rPr>
          <w:rFonts w:ascii="仿宋_GB2312" w:eastAsia="仿宋_GB2312"/>
          <w:color w:val="auto"/>
          <w:highlight w:val="none"/>
          <w:u w:val="dotted"/>
          <w:shd w:val="clear" w:color="auto" w:fill="auto"/>
        </w:rPr>
        <w:t xml:space="preserve">                                         </w:t>
      </w:r>
    </w:p>
    <w:p>
      <w:pPr>
        <w:spacing w:line="360" w:lineRule="auto"/>
        <w:rPr>
          <w:rFonts w:ascii="仿宋_GB2312" w:eastAsia="仿宋_GB2312"/>
          <w:color w:val="auto"/>
          <w:highlight w:val="none"/>
          <w:u w:val="dotted"/>
          <w:shd w:val="clear" w:color="auto" w:fill="auto"/>
        </w:rPr>
      </w:pPr>
      <w:r>
        <w:rPr>
          <w:rFonts w:ascii="仿宋_GB2312" w:eastAsia="仿宋_GB2312"/>
          <w:color w:val="auto"/>
          <w:highlight w:val="none"/>
          <w:u w:val="dotted"/>
          <w:shd w:val="clear" w:color="auto" w:fill="auto"/>
        </w:rPr>
        <w:t xml:space="preserve">                                                      </w:t>
      </w:r>
    </w:p>
    <w:p>
      <w:pPr>
        <w:spacing w:line="360" w:lineRule="auto"/>
        <w:rPr>
          <w:rFonts w:ascii="仿宋_GB2312" w:eastAsia="仿宋_GB2312"/>
          <w:color w:val="auto"/>
          <w:highlight w:val="none"/>
          <w:u w:val="single"/>
          <w:shd w:val="clear" w:color="auto" w:fill="auto"/>
        </w:rPr>
      </w:pPr>
      <w:r>
        <w:rPr>
          <w:rFonts w:hint="eastAsia" w:ascii="仿宋_GB2312" w:eastAsia="仿宋_GB2312"/>
          <w:color w:val="auto"/>
          <w:highlight w:val="none"/>
          <w:shd w:val="clear" w:color="auto" w:fill="auto"/>
        </w:rPr>
        <w:t>法律依据：</w:t>
      </w:r>
      <w:r>
        <w:rPr>
          <w:rFonts w:ascii="仿宋_GB2312" w:eastAsia="仿宋_GB2312"/>
          <w:color w:val="auto"/>
          <w:highlight w:val="none"/>
          <w:u w:val="dotted"/>
          <w:shd w:val="clear" w:color="auto" w:fill="auto"/>
        </w:rPr>
        <w:t xml:space="preserve">                                          </w:t>
      </w:r>
    </w:p>
    <w:p>
      <w:pPr>
        <w:spacing w:line="360" w:lineRule="auto"/>
        <w:rPr>
          <w:rFonts w:ascii="仿宋_GB2312" w:eastAsia="仿宋_GB2312"/>
          <w:color w:val="auto"/>
          <w:highlight w:val="none"/>
          <w:u w:val="dotted"/>
          <w:shd w:val="clear" w:color="auto" w:fill="auto"/>
        </w:rPr>
      </w:pPr>
      <w:r>
        <w:rPr>
          <w:rFonts w:ascii="仿宋_GB2312" w:eastAsia="仿宋_GB2312"/>
          <w:color w:val="auto"/>
          <w:highlight w:val="none"/>
          <w:u w:val="dotted"/>
          <w:shd w:val="clear" w:color="auto" w:fill="auto"/>
        </w:rPr>
        <w:t xml:space="preserve">                                                      </w:t>
      </w:r>
    </w:p>
    <w:p>
      <w:pPr>
        <w:spacing w:line="360" w:lineRule="auto"/>
        <w:rPr>
          <w:rFonts w:ascii="仿宋_GB2312" w:eastAsia="仿宋_GB2312"/>
          <w:color w:val="auto"/>
          <w:highlight w:val="none"/>
          <w:shd w:val="clear" w:color="auto" w:fill="auto"/>
        </w:rPr>
      </w:pPr>
      <w:r>
        <w:rPr>
          <w:rFonts w:hint="eastAsia" w:ascii="仿宋_GB2312" w:eastAsia="仿宋_GB2312"/>
          <w:color w:val="auto"/>
          <w:highlight w:val="none"/>
          <w:shd w:val="clear" w:color="auto" w:fill="auto"/>
        </w:rPr>
        <w:t>投诉事项</w:t>
      </w:r>
      <w:r>
        <w:rPr>
          <w:rFonts w:ascii="仿宋_GB2312" w:eastAsia="仿宋_GB2312"/>
          <w:color w:val="auto"/>
          <w:highlight w:val="none"/>
          <w:shd w:val="clear" w:color="auto" w:fill="auto"/>
        </w:rPr>
        <w:t>2</w:t>
      </w:r>
    </w:p>
    <w:p>
      <w:pPr>
        <w:spacing w:line="360" w:lineRule="auto"/>
        <w:rPr>
          <w:rFonts w:ascii="仿宋_GB2312" w:eastAsia="仿宋_GB2312"/>
          <w:color w:val="auto"/>
          <w:highlight w:val="none"/>
          <w:u w:val="dotted"/>
          <w:shd w:val="clear" w:color="auto" w:fill="auto"/>
        </w:rPr>
      </w:pPr>
      <w:r>
        <w:rPr>
          <w:rFonts w:hint="eastAsia" w:ascii="仿宋_GB2312" w:eastAsia="仿宋_GB2312"/>
          <w:color w:val="auto"/>
          <w:highlight w:val="none"/>
          <w:shd w:val="clear" w:color="auto" w:fill="auto"/>
        </w:rPr>
        <w:t>……</w:t>
      </w:r>
    </w:p>
    <w:p>
      <w:pPr>
        <w:spacing w:line="360" w:lineRule="auto"/>
        <w:rPr>
          <w:rFonts w:ascii="仿宋_GB2312" w:eastAsia="仿宋_GB2312"/>
          <w:color w:val="auto"/>
          <w:highlight w:val="none"/>
          <w:shd w:val="clear" w:color="auto" w:fill="auto"/>
        </w:rPr>
      </w:pPr>
      <w:r>
        <w:rPr>
          <w:rFonts w:hint="eastAsia" w:ascii="仿宋_GB2312" w:eastAsia="仿宋_GB2312"/>
          <w:color w:val="auto"/>
          <w:highlight w:val="none"/>
          <w:shd w:val="clear" w:color="auto" w:fill="auto"/>
        </w:rPr>
        <w:t>五、与投诉事项相关的投诉请求</w:t>
      </w:r>
    </w:p>
    <w:p>
      <w:pPr>
        <w:spacing w:line="360" w:lineRule="auto"/>
        <w:rPr>
          <w:rFonts w:ascii="仿宋_GB2312" w:eastAsia="仿宋_GB2312"/>
          <w:color w:val="auto"/>
          <w:highlight w:val="none"/>
          <w:shd w:val="clear" w:color="auto" w:fill="auto"/>
        </w:rPr>
      </w:pPr>
      <w:r>
        <w:rPr>
          <w:rFonts w:hint="eastAsia" w:ascii="仿宋_GB2312" w:eastAsia="仿宋_GB2312"/>
          <w:color w:val="auto"/>
          <w:highlight w:val="none"/>
          <w:shd w:val="clear" w:color="auto" w:fill="auto"/>
        </w:rPr>
        <w:t>请求：</w:t>
      </w:r>
      <w:r>
        <w:rPr>
          <w:rFonts w:ascii="仿宋_GB2312" w:eastAsia="仿宋_GB2312"/>
          <w:color w:val="auto"/>
          <w:highlight w:val="none"/>
          <w:u w:val="dotted"/>
          <w:shd w:val="clear" w:color="auto" w:fill="auto"/>
        </w:rPr>
        <w:t xml:space="preserve">                                              </w:t>
      </w:r>
      <w:r>
        <w:rPr>
          <w:rFonts w:ascii="仿宋_GB2312" w:eastAsia="仿宋_GB2312"/>
          <w:color w:val="auto"/>
          <w:highlight w:val="none"/>
          <w:shd w:val="clear" w:color="auto" w:fill="auto"/>
        </w:rPr>
        <w:t xml:space="preserve"> </w:t>
      </w:r>
    </w:p>
    <w:p>
      <w:pPr>
        <w:spacing w:line="360" w:lineRule="auto"/>
        <w:rPr>
          <w:rFonts w:ascii="仿宋_GB2312" w:eastAsia="仿宋_GB2312"/>
          <w:color w:val="auto"/>
          <w:highlight w:val="none"/>
          <w:u w:val="single"/>
          <w:shd w:val="clear" w:color="auto" w:fill="auto"/>
        </w:rPr>
      </w:pPr>
      <w:r>
        <w:rPr>
          <w:rFonts w:ascii="仿宋_GB2312" w:eastAsia="仿宋_GB2312"/>
          <w:color w:val="auto"/>
          <w:highlight w:val="none"/>
          <w:shd w:val="clear" w:color="auto" w:fill="auto"/>
        </w:rPr>
        <w:t xml:space="preserve">                                                                                                    </w:t>
      </w:r>
    </w:p>
    <w:p>
      <w:pPr>
        <w:spacing w:line="360" w:lineRule="auto"/>
        <w:rPr>
          <w:rFonts w:ascii="仿宋_GB2312" w:eastAsia="仿宋_GB2312"/>
          <w:color w:val="auto"/>
          <w:highlight w:val="none"/>
          <w:shd w:val="clear" w:color="auto" w:fill="auto"/>
        </w:rPr>
      </w:pPr>
      <w:r>
        <w:rPr>
          <w:rFonts w:hint="eastAsia" w:ascii="仿宋_GB2312" w:eastAsia="仿宋_GB2312"/>
          <w:color w:val="auto"/>
          <w:highlight w:val="none"/>
          <w:shd w:val="clear" w:color="auto" w:fill="auto"/>
        </w:rPr>
        <w:t>签字</w:t>
      </w:r>
      <w:r>
        <w:rPr>
          <w:rFonts w:ascii="仿宋_GB2312" w:eastAsia="仿宋_GB2312"/>
          <w:color w:val="auto"/>
          <w:highlight w:val="none"/>
          <w:shd w:val="clear" w:color="auto" w:fill="auto"/>
        </w:rPr>
        <w:t xml:space="preserve">(签章)：                   公章：                      </w:t>
      </w:r>
    </w:p>
    <w:p>
      <w:pPr>
        <w:spacing w:line="360" w:lineRule="auto"/>
        <w:rPr>
          <w:rFonts w:ascii="仿宋_GB2312" w:eastAsia="仿宋_GB2312"/>
          <w:color w:val="auto"/>
          <w:highlight w:val="none"/>
          <w:shd w:val="clear" w:color="auto" w:fill="auto"/>
        </w:rPr>
      </w:pPr>
      <w:r>
        <w:rPr>
          <w:rFonts w:hint="eastAsia" w:ascii="仿宋_GB2312" w:eastAsia="仿宋_GB2312"/>
          <w:color w:val="auto"/>
          <w:highlight w:val="none"/>
          <w:shd w:val="clear" w:color="auto" w:fill="auto"/>
        </w:rPr>
        <w:t>日期：</w:t>
      </w:r>
      <w:r>
        <w:rPr>
          <w:rFonts w:ascii="仿宋_GB2312" w:eastAsia="仿宋_GB2312"/>
          <w:color w:val="auto"/>
          <w:highlight w:val="none"/>
          <w:shd w:val="clear" w:color="auto" w:fill="auto"/>
        </w:rPr>
        <w:t xml:space="preserve">    </w:t>
      </w:r>
    </w:p>
    <w:p>
      <w:pPr>
        <w:spacing w:line="360" w:lineRule="auto"/>
        <w:rPr>
          <w:rFonts w:ascii="仿宋_GB2312" w:eastAsia="仿宋_GB2312"/>
          <w:b/>
          <w:color w:val="auto"/>
          <w:highlight w:val="none"/>
          <w:shd w:val="clear" w:color="auto" w:fill="auto"/>
        </w:rPr>
      </w:pPr>
    </w:p>
    <w:p>
      <w:pPr>
        <w:spacing w:line="360" w:lineRule="auto"/>
        <w:rPr>
          <w:rFonts w:ascii="仿宋_GB2312" w:eastAsia="仿宋_GB2312"/>
          <w:b/>
          <w:color w:val="auto"/>
          <w:highlight w:val="none"/>
          <w:shd w:val="clear" w:color="auto" w:fill="auto"/>
        </w:rPr>
      </w:pPr>
    </w:p>
    <w:p>
      <w:pPr>
        <w:spacing w:line="360" w:lineRule="auto"/>
        <w:rPr>
          <w:rFonts w:ascii="仿宋_GB2312" w:eastAsia="仿宋_GB2312"/>
          <w:b/>
          <w:color w:val="auto"/>
          <w:highlight w:val="none"/>
          <w:shd w:val="clear" w:color="auto" w:fill="auto"/>
        </w:rPr>
      </w:pPr>
      <w:r>
        <w:rPr>
          <w:rFonts w:hint="eastAsia" w:ascii="仿宋_GB2312" w:eastAsia="仿宋_GB2312"/>
          <w:b/>
          <w:color w:val="auto"/>
          <w:highlight w:val="none"/>
          <w:shd w:val="clear" w:color="auto" w:fill="auto"/>
        </w:rPr>
        <w:t>投诉书制作说明：</w:t>
      </w:r>
    </w:p>
    <w:p>
      <w:pPr>
        <w:spacing w:line="360" w:lineRule="auto"/>
        <w:ind w:firstLine="480" w:firstLineChars="200"/>
        <w:rPr>
          <w:rFonts w:ascii="仿宋_GB2312" w:eastAsia="仿宋_GB2312" w:cs="宋体"/>
          <w:color w:val="auto"/>
          <w:highlight w:val="none"/>
          <w:shd w:val="clear" w:color="auto" w:fill="auto"/>
        </w:rPr>
      </w:pPr>
      <w:r>
        <w:rPr>
          <w:rFonts w:ascii="仿宋_GB2312" w:eastAsia="仿宋_GB2312"/>
          <w:color w:val="auto"/>
          <w:highlight w:val="none"/>
          <w:shd w:val="clear" w:color="auto" w:fill="auto"/>
        </w:rPr>
        <w:t>1.投诉人提起投诉时，应当提交投诉书和必要的证明材料，并按照被投诉人和与投诉事项有关的供应商数量提供投诉书副本。</w:t>
      </w:r>
    </w:p>
    <w:p>
      <w:pPr>
        <w:spacing w:line="360" w:lineRule="auto"/>
        <w:ind w:firstLine="480" w:firstLineChars="200"/>
        <w:rPr>
          <w:rFonts w:ascii="仿宋_GB2312" w:eastAsia="仿宋_GB2312" w:cs="宋体"/>
          <w:color w:val="auto"/>
          <w:highlight w:val="none"/>
          <w:shd w:val="clear" w:color="auto" w:fill="auto"/>
        </w:rPr>
      </w:pPr>
      <w:r>
        <w:rPr>
          <w:rFonts w:ascii="仿宋_GB2312" w:eastAsia="仿宋_GB2312"/>
          <w:color w:val="auto"/>
          <w:highlight w:val="none"/>
          <w:shd w:val="clear" w:color="auto" w:fill="auto"/>
        </w:rPr>
        <w:t>2.投诉人若委托代理人进行投诉的，投诉书应按照要求列明“授权代表”的有关内容，并在附件中提交由</w:t>
      </w:r>
      <w:r>
        <w:rPr>
          <w:rFonts w:hint="eastAsia" w:ascii="仿宋_GB2312" w:eastAsia="仿宋_GB2312" w:cs="宋体"/>
          <w:color w:val="auto"/>
          <w:highlight w:val="none"/>
          <w:shd w:val="clear" w:color="auto" w:fill="auto"/>
        </w:rPr>
        <w:t>投诉人签署的授权委托书。授权委托书应当载明代理人的姓名或者名称、代理事项、具体权限、期限和相关事项。</w:t>
      </w:r>
    </w:p>
    <w:p>
      <w:pPr>
        <w:spacing w:line="360" w:lineRule="auto"/>
        <w:ind w:firstLine="480" w:firstLineChars="200"/>
        <w:rPr>
          <w:rFonts w:ascii="仿宋_GB2312" w:eastAsia="仿宋_GB2312"/>
          <w:color w:val="auto"/>
          <w:highlight w:val="none"/>
          <w:shd w:val="clear" w:color="auto" w:fill="auto"/>
        </w:rPr>
      </w:pPr>
      <w:r>
        <w:rPr>
          <w:rFonts w:ascii="仿宋_GB2312" w:eastAsia="仿宋_GB2312"/>
          <w:color w:val="auto"/>
          <w:highlight w:val="none"/>
          <w:shd w:val="clear" w:color="auto" w:fill="auto"/>
        </w:rPr>
        <w:t>3.投诉人若对项目的某一分包进行投诉，投诉书应列明具体分包号。</w:t>
      </w:r>
    </w:p>
    <w:p>
      <w:pPr>
        <w:spacing w:line="360" w:lineRule="auto"/>
        <w:ind w:firstLine="480" w:firstLineChars="200"/>
        <w:rPr>
          <w:rFonts w:ascii="仿宋_GB2312" w:eastAsia="仿宋_GB2312"/>
          <w:color w:val="auto"/>
          <w:highlight w:val="none"/>
          <w:shd w:val="clear" w:color="auto" w:fill="auto"/>
        </w:rPr>
      </w:pPr>
      <w:r>
        <w:rPr>
          <w:rFonts w:ascii="仿宋_GB2312" w:eastAsia="仿宋_GB2312"/>
          <w:color w:val="auto"/>
          <w:highlight w:val="none"/>
          <w:shd w:val="clear" w:color="auto" w:fill="auto"/>
        </w:rPr>
        <w:t>4.投诉书应简要列明质疑事项，质疑函、质疑答复等作为附件材料提供。</w:t>
      </w:r>
    </w:p>
    <w:p>
      <w:pPr>
        <w:spacing w:line="360" w:lineRule="auto"/>
        <w:ind w:firstLine="480" w:firstLineChars="200"/>
        <w:rPr>
          <w:rFonts w:ascii="仿宋_GB2312" w:eastAsia="仿宋_GB2312"/>
          <w:color w:val="auto"/>
          <w:highlight w:val="none"/>
          <w:shd w:val="clear" w:color="auto" w:fill="auto"/>
        </w:rPr>
      </w:pPr>
      <w:r>
        <w:rPr>
          <w:rFonts w:ascii="仿宋_GB2312" w:eastAsia="仿宋_GB2312"/>
          <w:color w:val="auto"/>
          <w:highlight w:val="none"/>
          <w:shd w:val="clear" w:color="auto" w:fill="auto"/>
        </w:rPr>
        <w:t>5.投诉书的投诉事项应具体、明确，并有必要的事实依据和法律依据。</w:t>
      </w:r>
    </w:p>
    <w:p>
      <w:pPr>
        <w:spacing w:line="360" w:lineRule="auto"/>
        <w:ind w:firstLine="480" w:firstLineChars="200"/>
        <w:rPr>
          <w:rFonts w:ascii="仿宋_GB2312" w:eastAsia="仿宋_GB2312"/>
          <w:color w:val="auto"/>
          <w:highlight w:val="none"/>
          <w:shd w:val="clear" w:color="auto" w:fill="auto"/>
        </w:rPr>
      </w:pPr>
      <w:r>
        <w:rPr>
          <w:rFonts w:ascii="仿宋_GB2312" w:eastAsia="仿宋_GB2312"/>
          <w:color w:val="auto"/>
          <w:highlight w:val="none"/>
          <w:shd w:val="clear" w:color="auto" w:fill="auto"/>
        </w:rPr>
        <w:t>6.投诉书的投诉请求应与投诉事项相关。</w:t>
      </w:r>
    </w:p>
    <w:p>
      <w:pPr>
        <w:spacing w:line="360" w:lineRule="auto"/>
        <w:ind w:firstLine="480" w:firstLineChars="200"/>
        <w:rPr>
          <w:rFonts w:ascii="仿宋_GB2312" w:eastAsia="仿宋_GB2312" w:cs="宋体"/>
          <w:color w:val="auto"/>
          <w:highlight w:val="none"/>
          <w:shd w:val="clear" w:color="auto" w:fill="auto"/>
        </w:rPr>
      </w:pPr>
      <w:r>
        <w:rPr>
          <w:rFonts w:ascii="仿宋_GB2312" w:eastAsia="仿宋_GB2312"/>
          <w:color w:val="auto"/>
          <w:highlight w:val="none"/>
          <w:shd w:val="clear" w:color="auto" w:fill="auto"/>
        </w:rPr>
        <w:t>7.投诉人为自然人的，投诉书应当由本人签字；投诉人为法人或者其他组织的，投诉书应当由法定代表人、主要负责人，或者其授权代表签字或者盖章，并加盖公章。</w:t>
      </w:r>
    </w:p>
    <w:p>
      <w:pPr>
        <w:spacing w:line="276" w:lineRule="auto"/>
        <w:rPr>
          <w:rFonts w:ascii="仿宋_GB2312" w:eastAsia="仿宋_GB2312" w:cs="仿宋_GB2312"/>
          <w:b/>
          <w:color w:val="auto"/>
          <w:highlight w:val="none"/>
          <w:shd w:val="clear" w:color="auto" w:fill="auto"/>
        </w:rPr>
      </w:pPr>
      <w:r>
        <w:rPr>
          <w:rFonts w:ascii="仿宋_GB2312" w:eastAsia="仿宋_GB2312" w:cs="仿宋_GB2312"/>
          <w:b/>
          <w:color w:val="auto"/>
          <w:highlight w:val="none"/>
          <w:shd w:val="clear" w:color="auto" w:fill="auto"/>
        </w:rPr>
        <w:br w:type="page"/>
      </w:r>
    </w:p>
    <w:p>
      <w:pPr>
        <w:pStyle w:val="3"/>
        <w:jc w:val="left"/>
        <w:rPr>
          <w:color w:val="auto"/>
          <w:highlight w:val="none"/>
          <w:shd w:val="clear" w:color="auto" w:fill="auto"/>
        </w:rPr>
      </w:pPr>
      <w:r>
        <w:rPr>
          <w:rFonts w:hint="eastAsia"/>
          <w:color w:val="auto"/>
          <w:spacing w:val="6"/>
          <w:highlight w:val="none"/>
          <w:shd w:val="clear" w:color="auto" w:fill="auto"/>
        </w:rPr>
        <w:t>附件</w:t>
      </w:r>
      <w:r>
        <w:rPr>
          <w:color w:val="auto"/>
          <w:spacing w:val="6"/>
          <w:highlight w:val="none"/>
          <w:shd w:val="clear" w:color="auto" w:fill="auto"/>
        </w:rPr>
        <w:t>4：</w:t>
      </w:r>
      <w:r>
        <w:rPr>
          <w:rFonts w:hint="eastAsia"/>
          <w:color w:val="auto"/>
          <w:highlight w:val="none"/>
          <w:shd w:val="clear" w:color="auto" w:fill="auto"/>
        </w:rPr>
        <w:t>业务专用章使用说明函</w:t>
      </w:r>
    </w:p>
    <w:p>
      <w:pPr>
        <w:spacing w:line="276" w:lineRule="auto"/>
        <w:jc w:val="center"/>
        <w:rPr>
          <w:b/>
          <w:smallCaps/>
          <w:color w:val="auto"/>
          <w:spacing w:val="6"/>
          <w:sz w:val="36"/>
          <w:szCs w:val="28"/>
          <w:highlight w:val="none"/>
          <w:shd w:val="clear" w:color="auto" w:fill="auto"/>
        </w:rPr>
      </w:pPr>
      <w:r>
        <w:rPr>
          <w:rFonts w:hint="eastAsia"/>
          <w:b/>
          <w:color w:val="auto"/>
          <w:sz w:val="32"/>
          <w:highlight w:val="none"/>
          <w:shd w:val="clear" w:color="auto" w:fill="auto"/>
        </w:rPr>
        <w:t>业务专用章使用说明函</w:t>
      </w:r>
    </w:p>
    <w:p>
      <w:pPr>
        <w:spacing w:line="360" w:lineRule="auto"/>
        <w:rPr>
          <w:color w:val="auto"/>
          <w:highlight w:val="none"/>
          <w:shd w:val="clear" w:color="auto" w:fill="auto"/>
        </w:rPr>
      </w:pPr>
      <w:r>
        <w:rPr>
          <w:rFonts w:hint="eastAsia" w:cs="仿宋_GB2312"/>
          <w:color w:val="auto"/>
          <w:highlight w:val="none"/>
          <w:u w:val="single"/>
          <w:shd w:val="clear" w:color="auto" w:fill="auto"/>
        </w:rPr>
        <w:t>（采购人）、（采购代理机构）</w:t>
      </w:r>
    </w:p>
    <w:p>
      <w:pPr>
        <w:spacing w:line="360" w:lineRule="auto"/>
        <w:ind w:firstLine="480" w:firstLineChars="200"/>
        <w:rPr>
          <w:rFonts w:cs="宋体"/>
          <w:color w:val="auto"/>
          <w:highlight w:val="none"/>
          <w:shd w:val="clear" w:color="auto" w:fill="auto"/>
        </w:rPr>
      </w:pPr>
      <w:r>
        <w:rPr>
          <w:rFonts w:hint="eastAsia" w:cs="仿宋_GB2312"/>
          <w:color w:val="auto"/>
          <w:highlight w:val="none"/>
          <w:shd w:val="clear" w:color="auto" w:fill="auto"/>
          <w:lang w:val="zh-CN"/>
        </w:rPr>
        <w:t>我方</w:t>
      </w:r>
      <w:r>
        <w:rPr>
          <w:rFonts w:cs="仿宋_GB2312"/>
          <w:color w:val="auto"/>
          <w:highlight w:val="none"/>
          <w:u w:val="single"/>
          <w:shd w:val="clear" w:color="auto" w:fill="auto"/>
          <w:lang w:val="zh-CN"/>
        </w:rPr>
        <w:t xml:space="preserve">                         </w:t>
      </w:r>
      <w:r>
        <w:rPr>
          <w:rFonts w:cs="仿宋_GB2312"/>
          <w:color w:val="auto"/>
          <w:highlight w:val="none"/>
          <w:shd w:val="clear" w:color="auto" w:fill="auto"/>
        </w:rPr>
        <w:t>(投标人全称)</w:t>
      </w:r>
      <w:r>
        <w:rPr>
          <w:rFonts w:hint="eastAsia"/>
          <w:color w:val="auto"/>
          <w:highlight w:val="none"/>
          <w:shd w:val="clear" w:color="auto" w:fill="auto"/>
        </w:rPr>
        <w:t>是中华人民共和国依法登记注册的合法企业，</w:t>
      </w:r>
      <w:r>
        <w:rPr>
          <w:rFonts w:hint="eastAsia" w:cs="宋体"/>
          <w:bCs/>
          <w:color w:val="auto"/>
          <w:highlight w:val="none"/>
          <w:shd w:val="clear" w:color="auto" w:fill="auto"/>
        </w:rPr>
        <w:t>在参加</w:t>
      </w:r>
      <w:r>
        <w:rPr>
          <w:rFonts w:hint="eastAsia" w:cs="仿宋_GB2312"/>
          <w:color w:val="auto"/>
          <w:highlight w:val="none"/>
          <w:shd w:val="clear" w:color="auto" w:fill="auto"/>
        </w:rPr>
        <w:t>你方组织的</w:t>
      </w:r>
      <w:r>
        <w:rPr>
          <w:rFonts w:hint="eastAsia" w:ascii="仿宋_GB2312" w:eastAsia="仿宋_GB2312" w:cs="仿宋_GB2312"/>
          <w:color w:val="auto"/>
          <w:highlight w:val="none"/>
          <w:shd w:val="clear" w:color="auto" w:fill="auto"/>
        </w:rPr>
        <w:t>（项目名称）项目</w:t>
      </w:r>
      <w:r>
        <w:rPr>
          <w:rFonts w:hint="eastAsia" w:cs="仿宋_GB2312"/>
          <w:color w:val="auto"/>
          <w:highlight w:val="none"/>
          <w:shd w:val="clear" w:color="auto" w:fill="auto"/>
        </w:rPr>
        <w:t>【招标编号：（采购编号）</w:t>
      </w:r>
      <w:r>
        <w:rPr>
          <w:rFonts w:cs="仿宋_GB2312"/>
          <w:color w:val="auto"/>
          <w:highlight w:val="none"/>
          <w:shd w:val="clear" w:color="auto" w:fill="auto"/>
        </w:rPr>
        <w:t>】</w:t>
      </w:r>
      <w:r>
        <w:rPr>
          <w:rFonts w:hint="eastAsia" w:cs="宋体"/>
          <w:bCs/>
          <w:color w:val="auto"/>
          <w:highlight w:val="none"/>
          <w:shd w:val="clear" w:color="auto" w:fill="auto"/>
        </w:rPr>
        <w:t>投标活动中作如下说明：</w:t>
      </w:r>
      <w:r>
        <w:rPr>
          <w:rFonts w:hint="eastAsia" w:cs="宋体"/>
          <w:color w:val="auto"/>
          <w:highlight w:val="none"/>
          <w:shd w:val="clear" w:color="auto" w:fill="auto"/>
        </w:rPr>
        <w:t>我方所使用的“</w:t>
      </w:r>
      <w:r>
        <w:rPr>
          <w:rFonts w:cs="仿宋_GB2312"/>
          <w:color w:val="auto"/>
          <w:highlight w:val="none"/>
          <w:shd w:val="clear" w:color="auto" w:fill="auto"/>
        </w:rPr>
        <w:t>XX</w:t>
      </w:r>
      <w:r>
        <w:rPr>
          <w:rFonts w:hint="eastAsia" w:cs="宋体"/>
          <w:color w:val="auto"/>
          <w:highlight w:val="none"/>
          <w:shd w:val="clear" w:color="auto" w:fill="auto"/>
        </w:rPr>
        <w:t>专用章”与法定名称章具有同等的法律效力，对使用“</w:t>
      </w:r>
      <w:r>
        <w:rPr>
          <w:rFonts w:cs="仿宋_GB2312"/>
          <w:color w:val="auto"/>
          <w:highlight w:val="none"/>
          <w:shd w:val="clear" w:color="auto" w:fill="auto"/>
        </w:rPr>
        <w:t>XX</w:t>
      </w:r>
      <w:r>
        <w:rPr>
          <w:rFonts w:hint="eastAsia" w:cs="宋体"/>
          <w:color w:val="auto"/>
          <w:highlight w:val="none"/>
          <w:shd w:val="clear" w:color="auto" w:fill="auto"/>
        </w:rPr>
        <w:t>专用章”的行为予以完全承认，并愿意承担相应责任。</w:t>
      </w:r>
      <w:r>
        <w:rPr>
          <w:rFonts w:cs="宋体"/>
          <w:color w:val="auto"/>
          <w:highlight w:val="none"/>
          <w:shd w:val="clear" w:color="auto" w:fill="auto"/>
        </w:rPr>
        <w:t xml:space="preserve">   </w:t>
      </w:r>
    </w:p>
    <w:p>
      <w:pPr>
        <w:spacing w:line="360" w:lineRule="auto"/>
        <w:ind w:firstLine="480" w:firstLineChars="200"/>
        <w:rPr>
          <w:rFonts w:cs="宋体"/>
          <w:color w:val="auto"/>
          <w:highlight w:val="none"/>
          <w:shd w:val="clear" w:color="auto" w:fill="auto"/>
        </w:rPr>
      </w:pPr>
      <w:r>
        <w:rPr>
          <w:rFonts w:hint="eastAsia" w:cs="宋体"/>
          <w:color w:val="auto"/>
          <w:highlight w:val="none"/>
          <w:shd w:val="clear" w:color="auto" w:fill="auto"/>
        </w:rPr>
        <w:t>特此说明。</w:t>
      </w:r>
    </w:p>
    <w:p>
      <w:pPr>
        <w:spacing w:line="360" w:lineRule="auto"/>
        <w:ind w:firstLine="494"/>
        <w:rPr>
          <w:rFonts w:cs="宋体"/>
          <w:color w:val="auto"/>
          <w:highlight w:val="none"/>
          <w:shd w:val="clear" w:color="auto" w:fill="auto"/>
        </w:rPr>
      </w:pPr>
    </w:p>
    <w:p>
      <w:pPr>
        <w:spacing w:line="360" w:lineRule="auto"/>
        <w:ind w:firstLine="494"/>
        <w:rPr>
          <w:rFonts w:cs="宋体"/>
          <w:color w:val="auto"/>
          <w:highlight w:val="none"/>
          <w:shd w:val="clear" w:color="auto" w:fill="auto"/>
        </w:rPr>
      </w:pPr>
    </w:p>
    <w:p>
      <w:pPr>
        <w:spacing w:line="360" w:lineRule="auto"/>
        <w:ind w:firstLine="494"/>
        <w:rPr>
          <w:rFonts w:cs="宋体"/>
          <w:color w:val="auto"/>
          <w:highlight w:val="none"/>
          <w:shd w:val="clear" w:color="auto" w:fill="auto"/>
        </w:rPr>
      </w:pPr>
    </w:p>
    <w:p>
      <w:pPr>
        <w:spacing w:line="360" w:lineRule="auto"/>
        <w:ind w:firstLine="494"/>
        <w:rPr>
          <w:rFonts w:cs="宋体"/>
          <w:color w:val="auto"/>
          <w:highlight w:val="none"/>
          <w:shd w:val="clear" w:color="auto" w:fill="auto"/>
        </w:rPr>
      </w:pPr>
    </w:p>
    <w:p>
      <w:pPr>
        <w:spacing w:line="360" w:lineRule="auto"/>
        <w:ind w:right="480" w:firstLine="4080" w:firstLineChars="1700"/>
        <w:rPr>
          <w:rFonts w:cs="宋体"/>
          <w:color w:val="auto"/>
          <w:highlight w:val="none"/>
          <w:shd w:val="clear" w:color="auto" w:fill="auto"/>
        </w:rPr>
      </w:pPr>
      <w:r>
        <w:rPr>
          <w:rFonts w:hint="eastAsia" w:cs="宋体"/>
          <w:color w:val="auto"/>
          <w:highlight w:val="none"/>
          <w:shd w:val="clear" w:color="auto" w:fill="auto"/>
        </w:rPr>
        <w:t>投标单位（法定名称章）：</w:t>
      </w:r>
    </w:p>
    <w:p>
      <w:pPr>
        <w:ind w:right="1440" w:firstLine="494"/>
        <w:jc w:val="center"/>
        <w:rPr>
          <w:rFonts w:cs="宋体"/>
          <w:color w:val="auto"/>
          <w:highlight w:val="none"/>
          <w:shd w:val="clear" w:color="auto" w:fill="auto"/>
        </w:rPr>
      </w:pPr>
      <w:r>
        <w:rPr>
          <w:rFonts w:cs="宋体"/>
          <w:color w:val="auto"/>
          <w:highlight w:val="none"/>
          <w:shd w:val="clear" w:color="auto" w:fill="auto"/>
        </w:rPr>
        <w:t xml:space="preserve">                              日期：       年     月     日</w:t>
      </w:r>
    </w:p>
    <w:p>
      <w:pPr>
        <w:rPr>
          <w:rFonts w:cs="宋体"/>
          <w:color w:val="auto"/>
          <w:highlight w:val="none"/>
          <w:shd w:val="clear" w:color="auto" w:fill="auto"/>
        </w:rPr>
      </w:pPr>
      <w:r>
        <w:rPr>
          <w:rFonts w:hint="eastAsia" w:cs="宋体"/>
          <w:b/>
          <w:bCs/>
          <w:color w:val="auto"/>
          <w:highlight w:val="none"/>
          <w:shd w:val="clear" w:color="auto" w:fill="auto"/>
        </w:rPr>
        <w:t>附：</w:t>
      </w:r>
    </w:p>
    <w:p>
      <w:pPr>
        <w:spacing w:line="360" w:lineRule="auto"/>
        <w:rPr>
          <w:bCs/>
          <w:color w:val="auto"/>
          <w:highlight w:val="none"/>
          <w:shd w:val="clear" w:color="auto" w:fill="auto"/>
        </w:rPr>
      </w:pPr>
      <w:r>
        <w:rPr>
          <w:b/>
          <w:bCs/>
          <w:color w:val="auto"/>
          <w:highlight w:val="none"/>
          <w:shd w:val="clear" w:color="auto" w:fill="auto"/>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txbx>
                        <w:txbxContent>
                          <w:p>
                            <w:pPr>
                              <w:jc w:val="center"/>
                            </w:pP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ILD+2LwIAAH8EAAAOAAAAAAAAAAEAIAAAACcBAABkcnMvZTJvRG9jLnht&#10;bFBLBQYAAAAABgAGAFkBAADIBQAAAAA=&#10;">
                <v:fill on="t" focussize="0,0"/>
                <v:stroke color="#000000" miterlimit="2" joinstyle="miter"/>
                <v:imagedata o:title=""/>
                <o:lock v:ext="edit" aspectratio="f"/>
                <v:textbox>
                  <w:txbxContent>
                    <w:p>
                      <w:pPr>
                        <w:jc w:val="center"/>
                      </w:pPr>
                    </w:p>
                  </w:txbxContent>
                </v:textbox>
              </v:rect>
            </w:pict>
          </mc:Fallback>
        </mc:AlternateContent>
      </w:r>
      <w:r>
        <w:rPr>
          <w:b/>
          <w:bCs/>
          <w:color w:val="auto"/>
          <w:highlight w:val="none"/>
          <w:shd w:val="clear" w:color="auto" w:fill="auto"/>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txbx>
                        <w:txbxContent>
                          <w:p>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KL3uDLwIAAH8EAAAOAAAAAAAAAAEAIAAAACcBAABkcnMvZTJvRG9jLnht&#10;bFBLBQYAAAAABgAGAFkBAADIBQAAAAA=&#10;">
                <v:fill on="t" focussize="0,0"/>
                <v:stroke color="#000000" miterlimit="2" joinstyle="miter"/>
                <v:imagedata o:title=""/>
                <o:lock v:ext="edit" aspectratio="f"/>
                <v:textbox>
                  <w:txbxContent>
                    <w:p>
                      <w:pPr>
                        <w:jc w:val="center"/>
                      </w:pPr>
                    </w:p>
                  </w:txbxContent>
                </v:textbox>
              </v:rect>
            </w:pict>
          </mc:Fallback>
        </mc:AlternateContent>
      </w:r>
      <w:r>
        <w:rPr>
          <w:rFonts w:hint="eastAsia" w:cs="宋体"/>
          <w:color w:val="auto"/>
          <w:highlight w:val="none"/>
          <w:shd w:val="clear" w:color="auto" w:fill="auto"/>
        </w:rPr>
        <w:t>投标单位法定名称章（印模）</w:t>
      </w:r>
      <w:r>
        <w:rPr>
          <w:rFonts w:cs="宋体"/>
          <w:color w:val="auto"/>
          <w:highlight w:val="none"/>
          <w:shd w:val="clear" w:color="auto" w:fill="auto"/>
        </w:rPr>
        <w:t xml:space="preserve">                </w:t>
      </w:r>
      <w:r>
        <w:rPr>
          <w:rFonts w:hint="eastAsia" w:cs="宋体"/>
          <w:color w:val="auto"/>
          <w:highlight w:val="none"/>
          <w:shd w:val="clear" w:color="auto" w:fill="auto"/>
        </w:rPr>
        <w:t>投标单位“</w:t>
      </w:r>
      <w:r>
        <w:rPr>
          <w:rFonts w:cs="仿宋_GB2312"/>
          <w:color w:val="auto"/>
          <w:highlight w:val="none"/>
          <w:shd w:val="clear" w:color="auto" w:fill="auto"/>
        </w:rPr>
        <w:t>XX</w:t>
      </w:r>
      <w:r>
        <w:rPr>
          <w:rFonts w:hint="eastAsia" w:cs="宋体"/>
          <w:color w:val="auto"/>
          <w:highlight w:val="none"/>
          <w:shd w:val="clear" w:color="auto" w:fill="auto"/>
        </w:rPr>
        <w:t>专用章”（印模）</w:t>
      </w:r>
    </w:p>
    <w:p>
      <w:pPr>
        <w:spacing w:line="276" w:lineRule="auto"/>
        <w:rPr>
          <w:b/>
          <w:color w:val="auto"/>
          <w:spacing w:val="6"/>
          <w:sz w:val="32"/>
          <w:szCs w:val="32"/>
          <w:highlight w:val="none"/>
          <w:shd w:val="clear" w:color="auto" w:fill="auto"/>
        </w:rPr>
      </w:pPr>
    </w:p>
    <w:p>
      <w:pPr>
        <w:spacing w:line="276" w:lineRule="auto"/>
        <w:rPr>
          <w:b/>
          <w:smallCaps/>
          <w:color w:val="auto"/>
          <w:spacing w:val="6"/>
          <w:sz w:val="28"/>
          <w:szCs w:val="28"/>
          <w:highlight w:val="none"/>
          <w:shd w:val="clear" w:color="auto" w:fill="auto"/>
        </w:rPr>
      </w:pPr>
    </w:p>
    <w:p>
      <w:pPr>
        <w:spacing w:line="276" w:lineRule="auto"/>
        <w:rPr>
          <w:b/>
          <w:smallCaps/>
          <w:color w:val="auto"/>
          <w:spacing w:val="6"/>
          <w:sz w:val="28"/>
          <w:szCs w:val="28"/>
          <w:highlight w:val="none"/>
          <w:shd w:val="clear" w:color="auto" w:fill="auto"/>
        </w:rPr>
      </w:pPr>
      <w:r>
        <w:rPr>
          <w:color w:val="auto"/>
          <w:spacing w:val="6"/>
          <w:highlight w:val="none"/>
          <w:shd w:val="clear" w:color="auto" w:fill="auto"/>
        </w:rPr>
        <w:br w:type="page"/>
      </w:r>
    </w:p>
    <w:p>
      <w:pPr>
        <w:pStyle w:val="3"/>
        <w:rPr>
          <w:bCs/>
          <w:color w:val="auto"/>
          <w:highlight w:val="none"/>
          <w:shd w:val="clear" w:color="auto" w:fill="auto"/>
        </w:rPr>
      </w:pPr>
      <w:r>
        <w:rPr>
          <w:rFonts w:hint="eastAsia"/>
          <w:color w:val="auto"/>
          <w:spacing w:val="6"/>
          <w:highlight w:val="none"/>
          <w:shd w:val="clear" w:color="auto" w:fill="auto"/>
        </w:rPr>
        <w:t>附件</w:t>
      </w:r>
      <w:r>
        <w:rPr>
          <w:color w:val="auto"/>
          <w:spacing w:val="6"/>
          <w:highlight w:val="none"/>
          <w:shd w:val="clear" w:color="auto" w:fill="auto"/>
        </w:rPr>
        <w:t>5</w:t>
      </w:r>
      <w:r>
        <w:rPr>
          <w:rFonts w:hint="eastAsia"/>
          <w:color w:val="auto"/>
          <w:spacing w:val="6"/>
          <w:highlight w:val="none"/>
          <w:shd w:val="clear" w:color="auto" w:fill="auto"/>
        </w:rPr>
        <w:t>：</w:t>
      </w:r>
      <w:r>
        <w:rPr>
          <w:rFonts w:hint="eastAsia"/>
          <w:color w:val="auto"/>
          <w:highlight w:val="none"/>
          <w:shd w:val="clear" w:color="auto" w:fill="auto"/>
        </w:rPr>
        <w:t>中小企业声明函</w:t>
      </w:r>
    </w:p>
    <w:p>
      <w:pPr>
        <w:spacing w:line="360" w:lineRule="auto"/>
        <w:jc w:val="center"/>
        <w:rPr>
          <w:rFonts w:cs="仿宋_GB2312"/>
          <w:color w:val="auto"/>
          <w:highlight w:val="none"/>
          <w:u w:val="single"/>
          <w:shd w:val="clear" w:color="auto" w:fill="auto"/>
        </w:rPr>
      </w:pPr>
    </w:p>
    <w:p>
      <w:pPr>
        <w:spacing w:line="360" w:lineRule="auto"/>
        <w:jc w:val="center"/>
        <w:rPr>
          <w:rFonts w:ascii="仿宋_GB2312" w:hAnsi="宋体" w:eastAsia="仿宋_GB2312"/>
          <w:b/>
          <w:color w:val="auto"/>
          <w:sz w:val="32"/>
          <w:szCs w:val="32"/>
          <w:highlight w:val="none"/>
          <w:shd w:val="clear" w:color="auto" w:fill="auto"/>
        </w:rPr>
      </w:pPr>
      <w:r>
        <w:rPr>
          <w:rFonts w:hint="eastAsia" w:ascii="仿宋_GB2312" w:hAnsi="宋体" w:eastAsia="仿宋_GB2312"/>
          <w:b/>
          <w:color w:val="auto"/>
          <w:sz w:val="32"/>
          <w:szCs w:val="32"/>
          <w:highlight w:val="none"/>
          <w:shd w:val="clear" w:color="auto" w:fill="auto"/>
        </w:rPr>
        <w:t>中小企业声明函（货物）</w:t>
      </w:r>
    </w:p>
    <w:p>
      <w:pPr>
        <w:spacing w:line="360" w:lineRule="auto"/>
        <w:ind w:firstLine="480" w:firstLineChars="200"/>
        <w:rPr>
          <w:rFonts w:ascii="仿宋_GB2312" w:hAnsi="宋体" w:eastAsia="仿宋_GB2312"/>
          <w:color w:val="auto"/>
          <w:highlight w:val="none"/>
          <w:shd w:val="clear" w:color="auto" w:fill="auto"/>
        </w:rPr>
      </w:pPr>
      <w:r>
        <w:rPr>
          <w:rFonts w:hint="eastAsia" w:ascii="仿宋_GB2312" w:hAnsi="宋体" w:eastAsia="仿宋_GB2312"/>
          <w:color w:val="auto"/>
          <w:highlight w:val="none"/>
          <w:shd w:val="clear" w:color="auto" w:fill="auto"/>
        </w:rPr>
        <w:t>本公司（联合体）郑重声明，根据《政府采购促进中小企业发展管理办法》（财库</w:t>
      </w:r>
      <w:r>
        <w:rPr>
          <w:rFonts w:hint="eastAsia" w:ascii="宋体" w:hAnsi="宋体" w:cs="宋体"/>
          <w:color w:val="auto"/>
          <w:highlight w:val="none"/>
          <w:shd w:val="clear" w:color="auto" w:fill="auto"/>
        </w:rPr>
        <w:t>﹝</w:t>
      </w:r>
      <w:r>
        <w:rPr>
          <w:rFonts w:ascii="仿宋_GB2312" w:hAnsi="宋体" w:eastAsia="仿宋_GB2312"/>
          <w:color w:val="auto"/>
          <w:highlight w:val="none"/>
          <w:shd w:val="clear" w:color="auto" w:fill="auto"/>
        </w:rPr>
        <w:t>2020</w:t>
      </w:r>
      <w:r>
        <w:rPr>
          <w:rFonts w:hint="eastAsia" w:ascii="宋体" w:hAnsi="宋体" w:cs="宋体"/>
          <w:color w:val="auto"/>
          <w:highlight w:val="none"/>
          <w:shd w:val="clear" w:color="auto" w:fill="auto"/>
        </w:rPr>
        <w:t>﹞</w:t>
      </w:r>
      <w:r>
        <w:rPr>
          <w:rFonts w:ascii="仿宋_GB2312" w:hAnsi="宋体" w:eastAsia="仿宋_GB2312"/>
          <w:color w:val="auto"/>
          <w:highlight w:val="none"/>
          <w:shd w:val="clear" w:color="auto" w:fill="auto"/>
        </w:rPr>
        <w:t xml:space="preserve">46 </w:t>
      </w:r>
      <w:r>
        <w:rPr>
          <w:rFonts w:hint="eastAsia" w:ascii="仿宋_GB2312" w:hAnsi="宋体" w:eastAsia="仿宋_GB2312"/>
          <w:color w:val="auto"/>
          <w:highlight w:val="none"/>
          <w:shd w:val="clear" w:color="auto" w:fill="auto"/>
        </w:rPr>
        <w:t>号）的规定，本公司（联合体）参加</w:t>
      </w:r>
      <w:r>
        <w:rPr>
          <w:rFonts w:ascii="仿宋_GB2312" w:hAnsi="宋体" w:eastAsia="仿宋_GB2312"/>
          <w:color w:val="auto"/>
          <w:highlight w:val="none"/>
          <w:shd w:val="clear" w:color="auto" w:fill="auto"/>
        </w:rPr>
        <w:t xml:space="preserve"> </w:t>
      </w:r>
      <w:r>
        <w:rPr>
          <w:rFonts w:hint="eastAsia" w:ascii="仿宋_GB2312" w:hAnsi="宋体" w:eastAsia="仿宋_GB2312"/>
          <w:color w:val="auto"/>
          <w:highlight w:val="none"/>
          <w:u w:val="single"/>
          <w:shd w:val="clear" w:color="auto" w:fill="auto"/>
        </w:rPr>
        <w:t>（单位名称）</w:t>
      </w:r>
      <w:r>
        <w:rPr>
          <w:rFonts w:ascii="仿宋_GB2312" w:hAnsi="宋体" w:eastAsia="仿宋_GB2312"/>
          <w:color w:val="auto"/>
          <w:highlight w:val="none"/>
          <w:u w:val="single"/>
          <w:shd w:val="clear" w:color="auto" w:fill="auto"/>
        </w:rPr>
        <w:t xml:space="preserve"> </w:t>
      </w:r>
      <w:r>
        <w:rPr>
          <w:rFonts w:hint="eastAsia" w:ascii="仿宋_GB2312" w:hAnsi="宋体" w:eastAsia="仿宋_GB2312"/>
          <w:color w:val="auto"/>
          <w:highlight w:val="none"/>
          <w:shd w:val="clear" w:color="auto" w:fill="auto"/>
        </w:rPr>
        <w:t>的</w:t>
      </w:r>
      <w:r>
        <w:rPr>
          <w:rFonts w:ascii="仿宋_GB2312" w:hAnsi="宋体" w:eastAsia="仿宋_GB2312"/>
          <w:color w:val="auto"/>
          <w:highlight w:val="none"/>
          <w:shd w:val="clear" w:color="auto" w:fill="auto"/>
        </w:rPr>
        <w:t xml:space="preserve"> </w:t>
      </w:r>
      <w:r>
        <w:rPr>
          <w:rFonts w:hint="eastAsia" w:ascii="仿宋_GB2312" w:hAnsi="宋体" w:eastAsia="仿宋_GB2312"/>
          <w:color w:val="auto"/>
          <w:highlight w:val="none"/>
          <w:u w:val="single"/>
          <w:shd w:val="clear" w:color="auto" w:fill="auto"/>
        </w:rPr>
        <w:t>（项目名称）</w:t>
      </w:r>
      <w:r>
        <w:rPr>
          <w:rFonts w:ascii="仿宋_GB2312" w:hAnsi="宋体" w:eastAsia="仿宋_GB2312"/>
          <w:color w:val="auto"/>
          <w:highlight w:val="none"/>
          <w:shd w:val="clear" w:color="auto" w:fill="auto"/>
        </w:rPr>
        <w:t xml:space="preserve"> </w:t>
      </w:r>
      <w:r>
        <w:rPr>
          <w:rFonts w:hint="eastAsia" w:ascii="仿宋_GB2312" w:hAnsi="宋体" w:eastAsia="仿宋_GB2312"/>
          <w:color w:val="auto"/>
          <w:highlight w:val="none"/>
          <w:shd w:val="clear" w:color="auto" w:fill="auto"/>
        </w:rPr>
        <w:t>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仿宋_GB2312" w:hAnsi="宋体" w:eastAsia="仿宋_GB2312"/>
          <w:color w:val="auto"/>
          <w:highlight w:val="none"/>
          <w:shd w:val="clear" w:color="auto" w:fill="auto"/>
        </w:rPr>
      </w:pPr>
      <w:r>
        <w:rPr>
          <w:rFonts w:ascii="仿宋_GB2312" w:hAnsi="宋体" w:eastAsia="仿宋_GB2312"/>
          <w:color w:val="auto"/>
          <w:highlight w:val="none"/>
          <w:shd w:val="clear" w:color="auto" w:fill="auto"/>
        </w:rPr>
        <w:t>1.</w:t>
      </w:r>
      <w:r>
        <w:rPr>
          <w:color w:val="auto"/>
          <w:highlight w:val="none"/>
          <w:shd w:val="clear" w:color="auto" w:fill="auto"/>
        </w:rPr>
        <w:t xml:space="preserve"> </w:t>
      </w:r>
      <w:r>
        <w:rPr>
          <w:rFonts w:hint="eastAsia" w:ascii="仿宋_GB2312" w:hAnsi="宋体" w:eastAsia="仿宋_GB2312"/>
          <w:color w:val="auto"/>
          <w:highlight w:val="none"/>
          <w:u w:val="single"/>
          <w:shd w:val="clear" w:color="auto" w:fill="auto"/>
        </w:rPr>
        <w:t>（标的名称）</w:t>
      </w:r>
      <w:r>
        <w:rPr>
          <w:rFonts w:ascii="仿宋_GB2312" w:hAnsi="宋体" w:eastAsia="仿宋_GB2312"/>
          <w:color w:val="auto"/>
          <w:highlight w:val="none"/>
          <w:shd w:val="clear" w:color="auto" w:fill="auto"/>
        </w:rPr>
        <w:t xml:space="preserve"> ，属于 </w:t>
      </w:r>
      <w:r>
        <w:rPr>
          <w:rFonts w:hint="eastAsia" w:ascii="仿宋_GB2312" w:hAnsi="宋体" w:eastAsia="仿宋_GB2312"/>
          <w:color w:val="auto"/>
          <w:highlight w:val="none"/>
          <w:u w:val="single"/>
          <w:shd w:val="clear" w:color="auto" w:fill="auto"/>
        </w:rPr>
        <w:t>（采购文件中明确的所属行业）</w:t>
      </w:r>
      <w:r>
        <w:rPr>
          <w:rFonts w:hint="eastAsia" w:ascii="仿宋_GB2312" w:hAnsi="宋体" w:eastAsia="仿宋_GB2312"/>
          <w:color w:val="auto"/>
          <w:highlight w:val="none"/>
          <w:shd w:val="clear" w:color="auto" w:fill="auto"/>
        </w:rPr>
        <w:t>行业</w:t>
      </w:r>
      <w:r>
        <w:rPr>
          <w:rFonts w:ascii="仿宋_GB2312" w:hAnsi="宋体" w:eastAsia="仿宋_GB2312"/>
          <w:color w:val="auto"/>
          <w:highlight w:val="none"/>
          <w:shd w:val="clear" w:color="auto" w:fill="auto"/>
        </w:rPr>
        <w:t xml:space="preserve"> </w:t>
      </w:r>
      <w:r>
        <w:rPr>
          <w:rFonts w:hint="eastAsia" w:ascii="仿宋_GB2312" w:hAnsi="宋体" w:eastAsia="仿宋_GB2312"/>
          <w:color w:val="auto"/>
          <w:highlight w:val="none"/>
          <w:shd w:val="clear" w:color="auto" w:fill="auto"/>
        </w:rPr>
        <w:t>；制造商为</w:t>
      </w:r>
      <w:r>
        <w:rPr>
          <w:rFonts w:ascii="仿宋_GB2312" w:hAnsi="宋体" w:eastAsia="仿宋_GB2312"/>
          <w:color w:val="auto"/>
          <w:highlight w:val="none"/>
          <w:u w:val="single"/>
          <w:shd w:val="clear" w:color="auto" w:fill="auto"/>
        </w:rPr>
        <w:t xml:space="preserve"> （企业名称）</w:t>
      </w:r>
      <w:r>
        <w:rPr>
          <w:rFonts w:ascii="仿宋_GB2312" w:hAnsi="宋体" w:eastAsia="仿宋_GB2312"/>
          <w:color w:val="auto"/>
          <w:highlight w:val="none"/>
          <w:shd w:val="clear" w:color="auto" w:fill="auto"/>
        </w:rPr>
        <w:t xml:space="preserve"> ，从业人员</w:t>
      </w:r>
      <w:r>
        <w:rPr>
          <w:rFonts w:ascii="仿宋_GB2312" w:hAnsi="宋体" w:eastAsia="仿宋_GB2312"/>
          <w:color w:val="auto"/>
          <w:highlight w:val="none"/>
          <w:u w:val="single"/>
          <w:shd w:val="clear" w:color="auto" w:fill="auto"/>
        </w:rPr>
        <w:t xml:space="preserve">  </w:t>
      </w:r>
      <w:r>
        <w:rPr>
          <w:rFonts w:hint="eastAsia" w:ascii="仿宋_GB2312" w:hAnsi="宋体" w:eastAsia="仿宋_GB2312"/>
          <w:color w:val="auto"/>
          <w:highlight w:val="none"/>
          <w:shd w:val="clear" w:color="auto" w:fill="auto"/>
        </w:rPr>
        <w:t>人，营业收入为</w:t>
      </w:r>
      <w:r>
        <w:rPr>
          <w:rFonts w:ascii="仿宋_GB2312" w:hAnsi="宋体" w:eastAsia="仿宋_GB2312"/>
          <w:color w:val="auto"/>
          <w:highlight w:val="none"/>
          <w:u w:val="single"/>
          <w:shd w:val="clear" w:color="auto" w:fill="auto"/>
        </w:rPr>
        <w:t xml:space="preserve">  </w:t>
      </w:r>
      <w:r>
        <w:rPr>
          <w:rFonts w:hint="eastAsia" w:ascii="仿宋_GB2312" w:hAnsi="宋体" w:eastAsia="仿宋_GB2312"/>
          <w:color w:val="auto"/>
          <w:highlight w:val="none"/>
          <w:shd w:val="clear" w:color="auto" w:fill="auto"/>
        </w:rPr>
        <w:t>万元，资产总额为</w:t>
      </w:r>
      <w:r>
        <w:rPr>
          <w:rFonts w:ascii="仿宋_GB2312" w:hAnsi="宋体" w:eastAsia="仿宋_GB2312"/>
          <w:color w:val="auto"/>
          <w:highlight w:val="none"/>
          <w:u w:val="single"/>
          <w:shd w:val="clear" w:color="auto" w:fill="auto"/>
        </w:rPr>
        <w:t xml:space="preserve">   </w:t>
      </w:r>
      <w:r>
        <w:rPr>
          <w:rFonts w:hint="eastAsia" w:ascii="仿宋_GB2312" w:hAnsi="宋体" w:eastAsia="仿宋_GB2312"/>
          <w:color w:val="auto"/>
          <w:highlight w:val="none"/>
          <w:shd w:val="clear" w:color="auto" w:fill="auto"/>
        </w:rPr>
        <w:t>万元，属于</w:t>
      </w:r>
      <w:r>
        <w:rPr>
          <w:rFonts w:ascii="仿宋_GB2312" w:hAnsi="宋体" w:eastAsia="仿宋_GB2312"/>
          <w:color w:val="auto"/>
          <w:highlight w:val="none"/>
          <w:u w:val="single"/>
          <w:shd w:val="clear" w:color="auto" w:fill="auto"/>
        </w:rPr>
        <w:t xml:space="preserve"> （中型企业、小型企业、微型企业）</w:t>
      </w:r>
      <w:r>
        <w:rPr>
          <w:rFonts w:ascii="仿宋_GB2312" w:hAnsi="宋体" w:eastAsia="仿宋_GB2312"/>
          <w:color w:val="auto"/>
          <w:highlight w:val="none"/>
          <w:shd w:val="clear" w:color="auto" w:fill="auto"/>
        </w:rPr>
        <w:t xml:space="preserve"> ；</w:t>
      </w:r>
    </w:p>
    <w:p>
      <w:pPr>
        <w:spacing w:line="360" w:lineRule="auto"/>
        <w:ind w:firstLine="480" w:firstLineChars="200"/>
        <w:rPr>
          <w:rFonts w:ascii="仿宋_GB2312" w:hAnsi="宋体" w:eastAsia="仿宋_GB2312"/>
          <w:color w:val="auto"/>
          <w:highlight w:val="none"/>
          <w:shd w:val="clear" w:color="auto" w:fill="auto"/>
        </w:rPr>
      </w:pPr>
      <w:r>
        <w:rPr>
          <w:rFonts w:ascii="仿宋_GB2312" w:hAnsi="宋体" w:eastAsia="仿宋_GB2312"/>
          <w:color w:val="auto"/>
          <w:highlight w:val="none"/>
          <w:shd w:val="clear" w:color="auto" w:fill="auto"/>
        </w:rPr>
        <w:t>2.</w:t>
      </w:r>
      <w:r>
        <w:rPr>
          <w:color w:val="auto"/>
          <w:highlight w:val="none"/>
          <w:shd w:val="clear" w:color="auto" w:fill="auto"/>
        </w:rPr>
        <w:t xml:space="preserve"> </w:t>
      </w:r>
      <w:r>
        <w:rPr>
          <w:rFonts w:hint="eastAsia" w:ascii="仿宋_GB2312" w:hAnsi="宋体" w:eastAsia="仿宋_GB2312"/>
          <w:color w:val="auto"/>
          <w:highlight w:val="none"/>
          <w:u w:val="single"/>
          <w:shd w:val="clear" w:color="auto" w:fill="auto"/>
        </w:rPr>
        <w:t>（标的名称）</w:t>
      </w:r>
      <w:r>
        <w:rPr>
          <w:rFonts w:ascii="仿宋_GB2312" w:hAnsi="宋体" w:eastAsia="仿宋_GB2312"/>
          <w:color w:val="auto"/>
          <w:highlight w:val="none"/>
          <w:shd w:val="clear" w:color="auto" w:fill="auto"/>
        </w:rPr>
        <w:t xml:space="preserve"> ，属于 </w:t>
      </w:r>
      <w:r>
        <w:rPr>
          <w:rFonts w:hint="eastAsia" w:ascii="仿宋_GB2312" w:hAnsi="宋体" w:eastAsia="仿宋_GB2312"/>
          <w:color w:val="auto"/>
          <w:highlight w:val="none"/>
          <w:u w:val="single"/>
          <w:shd w:val="clear" w:color="auto" w:fill="auto"/>
        </w:rPr>
        <w:t>（采购文件中明确的所属行业）</w:t>
      </w:r>
      <w:r>
        <w:rPr>
          <w:rFonts w:hint="eastAsia" w:ascii="仿宋_GB2312" w:hAnsi="宋体" w:eastAsia="仿宋_GB2312"/>
          <w:color w:val="auto"/>
          <w:highlight w:val="none"/>
          <w:shd w:val="clear" w:color="auto" w:fill="auto"/>
        </w:rPr>
        <w:t>行业</w:t>
      </w:r>
      <w:r>
        <w:rPr>
          <w:rFonts w:ascii="仿宋_GB2312" w:hAnsi="宋体" w:eastAsia="仿宋_GB2312"/>
          <w:color w:val="auto"/>
          <w:highlight w:val="none"/>
          <w:shd w:val="clear" w:color="auto" w:fill="auto"/>
        </w:rPr>
        <w:t xml:space="preserve"> </w:t>
      </w:r>
      <w:r>
        <w:rPr>
          <w:rFonts w:hint="eastAsia" w:ascii="仿宋_GB2312" w:hAnsi="宋体" w:eastAsia="仿宋_GB2312"/>
          <w:color w:val="auto"/>
          <w:highlight w:val="none"/>
          <w:shd w:val="clear" w:color="auto" w:fill="auto"/>
        </w:rPr>
        <w:t>；制造商为</w:t>
      </w:r>
      <w:r>
        <w:rPr>
          <w:rFonts w:ascii="仿宋_GB2312" w:hAnsi="宋体" w:eastAsia="仿宋_GB2312"/>
          <w:color w:val="auto"/>
          <w:highlight w:val="none"/>
          <w:u w:val="single"/>
          <w:shd w:val="clear" w:color="auto" w:fill="auto"/>
        </w:rPr>
        <w:t xml:space="preserve"> （企业名称）</w:t>
      </w:r>
      <w:r>
        <w:rPr>
          <w:rFonts w:ascii="仿宋_GB2312" w:hAnsi="宋体" w:eastAsia="仿宋_GB2312"/>
          <w:color w:val="auto"/>
          <w:highlight w:val="none"/>
          <w:shd w:val="clear" w:color="auto" w:fill="auto"/>
        </w:rPr>
        <w:t xml:space="preserve"> ，从业人员</w:t>
      </w:r>
      <w:r>
        <w:rPr>
          <w:rFonts w:ascii="仿宋_GB2312" w:hAnsi="宋体" w:eastAsia="仿宋_GB2312"/>
          <w:color w:val="auto"/>
          <w:highlight w:val="none"/>
          <w:u w:val="single"/>
          <w:shd w:val="clear" w:color="auto" w:fill="auto"/>
        </w:rPr>
        <w:t xml:space="preserve">  </w:t>
      </w:r>
      <w:r>
        <w:rPr>
          <w:rFonts w:hint="eastAsia" w:ascii="仿宋_GB2312" w:hAnsi="宋体" w:eastAsia="仿宋_GB2312"/>
          <w:color w:val="auto"/>
          <w:highlight w:val="none"/>
          <w:shd w:val="clear" w:color="auto" w:fill="auto"/>
        </w:rPr>
        <w:t>人，营业收入为</w:t>
      </w:r>
      <w:r>
        <w:rPr>
          <w:rFonts w:ascii="仿宋_GB2312" w:hAnsi="宋体" w:eastAsia="仿宋_GB2312"/>
          <w:color w:val="auto"/>
          <w:highlight w:val="none"/>
          <w:u w:val="single"/>
          <w:shd w:val="clear" w:color="auto" w:fill="auto"/>
        </w:rPr>
        <w:t xml:space="preserve">  </w:t>
      </w:r>
      <w:r>
        <w:rPr>
          <w:rFonts w:hint="eastAsia" w:ascii="仿宋_GB2312" w:hAnsi="宋体" w:eastAsia="仿宋_GB2312"/>
          <w:color w:val="auto"/>
          <w:highlight w:val="none"/>
          <w:shd w:val="clear" w:color="auto" w:fill="auto"/>
        </w:rPr>
        <w:t>万元，资产总额为</w:t>
      </w:r>
      <w:r>
        <w:rPr>
          <w:rFonts w:ascii="仿宋_GB2312" w:hAnsi="宋体" w:eastAsia="仿宋_GB2312"/>
          <w:color w:val="auto"/>
          <w:highlight w:val="none"/>
          <w:u w:val="single"/>
          <w:shd w:val="clear" w:color="auto" w:fill="auto"/>
        </w:rPr>
        <w:t xml:space="preserve">   </w:t>
      </w:r>
      <w:r>
        <w:rPr>
          <w:rFonts w:hint="eastAsia" w:ascii="仿宋_GB2312" w:hAnsi="宋体" w:eastAsia="仿宋_GB2312"/>
          <w:color w:val="auto"/>
          <w:highlight w:val="none"/>
          <w:shd w:val="clear" w:color="auto" w:fill="auto"/>
        </w:rPr>
        <w:t>万元，属于</w:t>
      </w:r>
      <w:r>
        <w:rPr>
          <w:rFonts w:ascii="仿宋_GB2312" w:hAnsi="宋体" w:eastAsia="仿宋_GB2312"/>
          <w:color w:val="auto"/>
          <w:highlight w:val="none"/>
          <w:u w:val="single"/>
          <w:shd w:val="clear" w:color="auto" w:fill="auto"/>
        </w:rPr>
        <w:t xml:space="preserve"> （中型企业、小型企业、微型企业）</w:t>
      </w:r>
      <w:r>
        <w:rPr>
          <w:rFonts w:ascii="仿宋_GB2312" w:hAnsi="宋体" w:eastAsia="仿宋_GB2312"/>
          <w:color w:val="auto"/>
          <w:highlight w:val="none"/>
          <w:shd w:val="clear" w:color="auto" w:fill="auto"/>
        </w:rPr>
        <w:t xml:space="preserve"> ；</w:t>
      </w:r>
    </w:p>
    <w:p>
      <w:pPr>
        <w:spacing w:line="360" w:lineRule="auto"/>
        <w:ind w:firstLine="480" w:firstLineChars="200"/>
        <w:rPr>
          <w:rFonts w:ascii="仿宋_GB2312" w:hAnsi="宋体" w:eastAsia="仿宋_GB2312"/>
          <w:color w:val="auto"/>
          <w:highlight w:val="none"/>
          <w:shd w:val="clear" w:color="auto" w:fill="auto"/>
        </w:rPr>
      </w:pPr>
      <w:r>
        <w:rPr>
          <w:rFonts w:hint="eastAsia" w:ascii="仿宋_GB2312" w:hAnsi="宋体" w:eastAsia="仿宋_GB2312"/>
          <w:color w:val="auto"/>
          <w:highlight w:val="none"/>
          <w:shd w:val="clear" w:color="auto" w:fill="auto"/>
        </w:rPr>
        <w:t>……</w:t>
      </w:r>
    </w:p>
    <w:p>
      <w:pPr>
        <w:spacing w:line="360" w:lineRule="auto"/>
        <w:ind w:firstLine="480" w:firstLineChars="200"/>
        <w:rPr>
          <w:rFonts w:ascii="仿宋_GB2312" w:hAnsi="宋体" w:eastAsia="仿宋_GB2312"/>
          <w:color w:val="auto"/>
          <w:highlight w:val="none"/>
          <w:shd w:val="clear" w:color="auto" w:fill="auto"/>
        </w:rPr>
      </w:pPr>
      <w:r>
        <w:rPr>
          <w:rFonts w:hint="eastAsia" w:ascii="仿宋_GB2312" w:hAnsi="宋体" w:eastAsia="仿宋_GB2312"/>
          <w:color w:val="auto"/>
          <w:highlight w:val="none"/>
          <w:shd w:val="clear" w:color="auto" w:fill="auto"/>
        </w:rPr>
        <w:t>以上企业，不属于大企业的分支机构，不存在控股股东为大企业的情形，也不存在与大企业的负责人为同一人的情形。</w:t>
      </w:r>
    </w:p>
    <w:p>
      <w:pPr>
        <w:spacing w:line="360" w:lineRule="auto"/>
        <w:ind w:firstLine="480" w:firstLineChars="200"/>
        <w:rPr>
          <w:rFonts w:ascii="仿宋_GB2312" w:hAnsi="宋体" w:eastAsia="仿宋_GB2312"/>
          <w:color w:val="auto"/>
          <w:highlight w:val="none"/>
          <w:shd w:val="clear" w:color="auto" w:fill="auto"/>
        </w:rPr>
      </w:pPr>
      <w:r>
        <w:rPr>
          <w:rFonts w:hint="eastAsia" w:ascii="仿宋_GB2312" w:hAnsi="宋体" w:eastAsia="仿宋_GB2312"/>
          <w:color w:val="auto"/>
          <w:highlight w:val="none"/>
          <w:shd w:val="clear" w:color="auto" w:fill="auto"/>
        </w:rPr>
        <w:t>本企业对上述声明内容的真实性负责。如有虚假，将依法承担相应责任。</w:t>
      </w:r>
    </w:p>
    <w:p>
      <w:pPr>
        <w:snapToGrid w:val="0"/>
        <w:spacing w:line="360" w:lineRule="auto"/>
        <w:ind w:firstLine="5160" w:firstLineChars="2150"/>
        <w:rPr>
          <w:rFonts w:ascii="仿宋_GB2312" w:eastAsia="仿宋_GB2312" w:cs="仿宋_GB2312"/>
          <w:color w:val="auto"/>
          <w:highlight w:val="none"/>
          <w:shd w:val="clear" w:color="auto" w:fill="auto"/>
        </w:rPr>
      </w:pPr>
      <w:r>
        <w:rPr>
          <w:rFonts w:hint="eastAsia" w:ascii="仿宋_GB2312" w:eastAsia="仿宋_GB2312" w:cs="仿宋_GB2312"/>
          <w:color w:val="auto"/>
          <w:highlight w:val="none"/>
          <w:shd w:val="clear" w:color="auto" w:fill="auto"/>
          <w:lang w:val="zh-CN"/>
        </w:rPr>
        <w:t>投标人名称</w:t>
      </w:r>
      <w:r>
        <w:rPr>
          <w:rFonts w:ascii="仿宋_GB2312" w:eastAsia="仿宋_GB2312" w:cs="仿宋_GB2312"/>
          <w:color w:val="auto"/>
          <w:highlight w:val="none"/>
          <w:shd w:val="clear" w:color="auto" w:fill="auto"/>
          <w:lang w:val="zh-CN"/>
        </w:rPr>
        <w:t>(电子签名)：</w:t>
      </w:r>
    </w:p>
    <w:p>
      <w:pPr>
        <w:snapToGrid w:val="0"/>
        <w:spacing w:line="360" w:lineRule="auto"/>
        <w:rPr>
          <w:rFonts w:ascii="仿宋_GB2312" w:eastAsia="仿宋_GB2312" w:cs="仿宋_GB2312"/>
          <w:color w:val="auto"/>
          <w:highlight w:val="none"/>
          <w:shd w:val="clear" w:color="auto" w:fill="auto"/>
          <w:lang w:val="zh-CN"/>
        </w:rPr>
      </w:pPr>
      <w:r>
        <w:rPr>
          <w:rFonts w:ascii="仿宋_GB2312" w:eastAsia="仿宋_GB2312" w:cs="仿宋_GB2312"/>
          <w:color w:val="auto"/>
          <w:highlight w:val="none"/>
          <w:shd w:val="clear" w:color="auto" w:fill="auto"/>
          <w:lang w:val="zh-CN"/>
        </w:rPr>
        <w:t xml:space="preserve">                                           日期</w:t>
      </w:r>
      <w:r>
        <w:rPr>
          <w:rFonts w:hint="eastAsia" w:ascii="仿宋_GB2312" w:eastAsia="仿宋_GB2312" w:cs="仿宋_GB2312"/>
          <w:color w:val="auto"/>
          <w:highlight w:val="none"/>
          <w:shd w:val="clear" w:color="auto" w:fill="auto"/>
        </w:rPr>
        <w:t>：</w:t>
      </w:r>
      <w:r>
        <w:rPr>
          <w:rFonts w:ascii="仿宋_GB2312" w:eastAsia="仿宋_GB2312" w:cs="仿宋_GB2312"/>
          <w:color w:val="auto"/>
          <w:highlight w:val="none"/>
          <w:shd w:val="clear" w:color="auto" w:fill="auto"/>
        </w:rPr>
        <w:t xml:space="preserve">  年  </w:t>
      </w:r>
      <w:r>
        <w:rPr>
          <w:rFonts w:hint="eastAsia" w:ascii="仿宋_GB2312" w:eastAsia="仿宋_GB2312" w:cs="仿宋_GB2312"/>
          <w:color w:val="auto"/>
          <w:highlight w:val="none"/>
          <w:shd w:val="clear" w:color="auto" w:fill="auto"/>
          <w:lang w:val="zh-CN"/>
        </w:rPr>
        <w:t>月</w:t>
      </w:r>
      <w:r>
        <w:rPr>
          <w:rFonts w:ascii="仿宋_GB2312" w:eastAsia="仿宋_GB2312" w:cs="仿宋_GB2312"/>
          <w:color w:val="auto"/>
          <w:highlight w:val="none"/>
          <w:shd w:val="clear" w:color="auto" w:fill="auto"/>
        </w:rPr>
        <w:t xml:space="preserve">   </w:t>
      </w:r>
      <w:r>
        <w:rPr>
          <w:rFonts w:hint="eastAsia" w:ascii="仿宋_GB2312" w:eastAsia="仿宋_GB2312" w:cs="仿宋_GB2312"/>
          <w:color w:val="auto"/>
          <w:highlight w:val="none"/>
          <w:shd w:val="clear" w:color="auto" w:fill="auto"/>
          <w:lang w:val="zh-CN"/>
        </w:rPr>
        <w:t>日</w:t>
      </w:r>
    </w:p>
    <w:p>
      <w:pPr>
        <w:spacing w:line="360" w:lineRule="auto"/>
        <w:rPr>
          <w:rFonts w:ascii="仿宋_GB2312" w:hAnsi="宋体" w:eastAsia="仿宋_GB2312"/>
          <w:color w:val="auto"/>
          <w:sz w:val="18"/>
          <w:szCs w:val="18"/>
          <w:highlight w:val="none"/>
          <w:shd w:val="clear" w:color="auto" w:fill="auto"/>
        </w:rPr>
      </w:pPr>
      <w:r>
        <w:rPr>
          <w:rFonts w:hint="eastAsia" w:ascii="仿宋_GB2312" w:hAnsi="宋体" w:eastAsia="仿宋_GB2312"/>
          <w:color w:val="auto"/>
          <w:sz w:val="18"/>
          <w:szCs w:val="18"/>
          <w:highlight w:val="none"/>
          <w:shd w:val="clear" w:color="auto" w:fill="auto"/>
        </w:rPr>
        <w:t>从业人员、营业收入、资产总额填报上一年度数据，无上一年度数据的新成立企业可不填报。</w:t>
      </w:r>
    </w:p>
    <w:p>
      <w:pPr>
        <w:spacing w:line="360" w:lineRule="auto"/>
        <w:ind w:right="420" w:firstLine="480" w:firstLineChars="200"/>
        <w:rPr>
          <w:rFonts w:ascii="仿宋_GB2312" w:eastAsia="仿宋_GB2312"/>
          <w:color w:val="auto"/>
          <w:highlight w:val="none"/>
          <w:shd w:val="clear" w:color="auto" w:fill="auto"/>
        </w:rPr>
      </w:pPr>
      <w:r>
        <w:rPr>
          <w:rFonts w:hint="eastAsia" w:ascii="仿宋_GB2312" w:eastAsia="仿宋_GB2312" w:cs="仿宋_GB2312"/>
          <w:color w:val="auto"/>
          <w:highlight w:val="none"/>
          <w:shd w:val="clear" w:color="auto" w:fill="auto"/>
        </w:rPr>
        <w:t>注：1、填写要求：①“</w:t>
      </w:r>
      <w:r>
        <w:rPr>
          <w:rFonts w:hint="eastAsia" w:ascii="仿宋_GB2312" w:hAnsi="宋体" w:eastAsia="仿宋_GB2312"/>
          <w:color w:val="auto"/>
          <w:highlight w:val="none"/>
          <w:shd w:val="clear" w:color="auto" w:fill="auto"/>
        </w:rPr>
        <w:t>标的名称”、“采购文件中明确的所属行业”</w:t>
      </w:r>
      <w:r>
        <w:rPr>
          <w:rFonts w:hint="eastAsia" w:ascii="仿宋_GB2312" w:eastAsia="仿宋_GB2312" w:cs="仿宋_GB2312"/>
          <w:color w:val="auto"/>
          <w:highlight w:val="none"/>
          <w:shd w:val="clear" w:color="auto" w:fill="auto"/>
        </w:rPr>
        <w:t>依据招标文件第二部分投标人须知前附表中“采购标的对应的中小企业划分标准所属行业”填写，不得缺漏；②</w:t>
      </w:r>
      <w:r>
        <w:rPr>
          <w:rFonts w:hint="eastAsia" w:ascii="仿宋_GB2312" w:hAnsi="宋体" w:eastAsia="仿宋_GB2312"/>
          <w:color w:val="auto"/>
          <w:highlight w:val="none"/>
          <w:shd w:val="clear" w:color="auto" w:fill="auto"/>
        </w:rPr>
        <w:t>从业人员、营业收入、资产总额填报上一年度数据，无上一年度数据的新成立企业可不填报；</w:t>
      </w:r>
      <w:r>
        <w:rPr>
          <w:rFonts w:hint="eastAsia" w:ascii="仿宋_GB2312" w:eastAsia="仿宋_GB2312" w:cs="仿宋_GB2312"/>
          <w:color w:val="auto"/>
          <w:highlight w:val="none"/>
          <w:shd w:val="clear" w:color="auto" w:fill="auto"/>
        </w:rPr>
        <w:t>③</w:t>
      </w:r>
      <w:r>
        <w:rPr>
          <w:rFonts w:hint="eastAsia" w:ascii="仿宋_GB2312" w:hAnsi="宋体" w:eastAsia="仿宋_GB2312"/>
          <w:color w:val="auto"/>
          <w:highlight w:val="none"/>
          <w:shd w:val="clear" w:color="auto" w:fill="auto"/>
        </w:rPr>
        <w:t>中型企业、小型企业、微型企业等3种企业类型，结合以上数据，依据《中小企业划型标准规定》（工信部联企业〔2011〕300号）确定</w:t>
      </w:r>
      <w:r>
        <w:rPr>
          <w:rFonts w:hint="eastAsia" w:ascii="仿宋_GB2312" w:eastAsia="仿宋_GB2312" w:cs="仿宋_GB2312"/>
          <w:color w:val="auto"/>
          <w:highlight w:val="none"/>
          <w:shd w:val="clear" w:color="auto" w:fill="auto"/>
        </w:rPr>
        <w:t>；④</w:t>
      </w:r>
      <w:r>
        <w:rPr>
          <w:rFonts w:hint="eastAsia" w:ascii="仿宋_GB2312" w:eastAsia="仿宋_GB2312"/>
          <w:color w:val="auto"/>
          <w:highlight w:val="none"/>
          <w:shd w:val="clear" w:color="auto" w:fill="auto"/>
        </w:rPr>
        <w:t>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80" w:firstLineChars="200"/>
        <w:rPr>
          <w:rFonts w:ascii="仿宋_GB2312" w:eastAsia="仿宋_GB2312" w:cs="仿宋_GB2312"/>
          <w:color w:val="auto"/>
          <w:highlight w:val="none"/>
          <w:shd w:val="clear" w:color="auto" w:fill="auto"/>
        </w:rPr>
      </w:pPr>
      <w:r>
        <w:rPr>
          <w:rFonts w:hint="eastAsia" w:ascii="仿宋_GB2312" w:eastAsia="仿宋_GB2312" w:cs="仿宋_GB2312"/>
          <w:color w:val="auto"/>
          <w:highlight w:val="none"/>
          <w:shd w:val="clear" w:color="auto" w:fill="auto"/>
        </w:rPr>
        <w:t>2、</w:t>
      </w:r>
      <w:r>
        <w:rPr>
          <w:rFonts w:ascii="仿宋_GB2312" w:eastAsia="仿宋_GB2312" w:cs="仿宋_GB2312"/>
          <w:color w:val="auto"/>
          <w:highlight w:val="none"/>
          <w:shd w:val="clear" w:color="auto" w:fill="auto"/>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276" w:lineRule="auto"/>
        <w:rPr>
          <w:rFonts w:ascii="仿宋_GB2312" w:eastAsia="仿宋_GB2312" w:cs="仿宋_GB2312"/>
          <w:b/>
          <w:color w:val="auto"/>
          <w:sz w:val="32"/>
          <w:szCs w:val="32"/>
          <w:highlight w:val="none"/>
          <w:shd w:val="clear" w:color="auto" w:fill="auto"/>
        </w:rPr>
      </w:pPr>
      <w:r>
        <w:rPr>
          <w:rFonts w:ascii="仿宋_GB2312" w:eastAsia="仿宋_GB2312" w:cs="仿宋_GB2312"/>
          <w:b/>
          <w:color w:val="auto"/>
          <w:sz w:val="32"/>
          <w:szCs w:val="32"/>
          <w:highlight w:val="none"/>
          <w:shd w:val="clear" w:color="auto" w:fill="auto"/>
        </w:rPr>
        <w:br w:type="page"/>
      </w:r>
    </w:p>
    <w:p>
      <w:pPr>
        <w:spacing w:line="360" w:lineRule="auto"/>
        <w:jc w:val="center"/>
        <w:rPr>
          <w:rFonts w:ascii="仿宋_GB2312" w:hAnsi="宋体" w:eastAsia="仿宋_GB2312"/>
          <w:b/>
          <w:color w:val="auto"/>
          <w:sz w:val="32"/>
          <w:szCs w:val="32"/>
          <w:highlight w:val="none"/>
          <w:shd w:val="clear" w:color="auto" w:fill="auto"/>
        </w:rPr>
      </w:pPr>
      <w:r>
        <w:rPr>
          <w:rFonts w:hint="eastAsia" w:ascii="仿宋_GB2312" w:eastAsia="仿宋_GB2312" w:cs="仿宋_GB2312"/>
          <w:b/>
          <w:color w:val="auto"/>
          <w:sz w:val="32"/>
          <w:szCs w:val="32"/>
          <w:highlight w:val="none"/>
          <w:shd w:val="clear" w:color="auto" w:fill="auto"/>
        </w:rPr>
        <w:t>中小企业声明函</w:t>
      </w:r>
      <w:r>
        <w:rPr>
          <w:rFonts w:hint="eastAsia" w:ascii="仿宋_GB2312" w:hAnsi="宋体" w:eastAsia="仿宋_GB2312"/>
          <w:b/>
          <w:color w:val="auto"/>
          <w:sz w:val="32"/>
          <w:szCs w:val="32"/>
          <w:highlight w:val="none"/>
          <w:shd w:val="clear" w:color="auto" w:fill="auto"/>
        </w:rPr>
        <w:t>（工程、服务）</w:t>
      </w:r>
    </w:p>
    <w:p>
      <w:pPr>
        <w:spacing w:line="360" w:lineRule="auto"/>
        <w:rPr>
          <w:rFonts w:ascii="仿宋_GB2312" w:eastAsia="仿宋_GB2312"/>
          <w:color w:val="auto"/>
          <w:highlight w:val="none"/>
          <w:shd w:val="clear" w:color="auto" w:fill="auto"/>
        </w:rPr>
      </w:pPr>
    </w:p>
    <w:p>
      <w:pPr>
        <w:spacing w:line="360" w:lineRule="auto"/>
        <w:ind w:firstLine="360" w:firstLineChars="150"/>
        <w:rPr>
          <w:rFonts w:ascii="仿宋_GB2312" w:hAnsi="宋体" w:eastAsia="仿宋_GB2312"/>
          <w:color w:val="auto"/>
          <w:highlight w:val="none"/>
          <w:shd w:val="clear" w:color="auto" w:fill="auto"/>
        </w:rPr>
      </w:pPr>
      <w:r>
        <w:rPr>
          <w:rFonts w:hint="eastAsia" w:ascii="仿宋_GB2312" w:hAnsi="宋体" w:eastAsia="仿宋_GB2312"/>
          <w:color w:val="auto"/>
          <w:highlight w:val="none"/>
          <w:shd w:val="clear" w:color="auto" w:fill="auto"/>
        </w:rPr>
        <w:t>本公司（联合体）郑重声明，根据《政府采购促进中小企业发展管理办法》（财库﹝</w:t>
      </w:r>
      <w:r>
        <w:rPr>
          <w:rFonts w:ascii="仿宋_GB2312" w:hAnsi="宋体" w:eastAsia="仿宋_GB2312"/>
          <w:color w:val="auto"/>
          <w:highlight w:val="none"/>
          <w:shd w:val="clear" w:color="auto" w:fill="auto"/>
        </w:rPr>
        <w:t xml:space="preserve">2020﹞46 </w:t>
      </w:r>
      <w:r>
        <w:rPr>
          <w:rFonts w:hint="eastAsia" w:ascii="仿宋_GB2312" w:hAnsi="宋体" w:eastAsia="仿宋_GB2312"/>
          <w:color w:val="auto"/>
          <w:highlight w:val="none"/>
          <w:shd w:val="clear" w:color="auto" w:fill="auto"/>
        </w:rPr>
        <w:t>号）的规定，本公司（联合体）参加</w:t>
      </w:r>
      <w:r>
        <w:rPr>
          <w:rFonts w:ascii="仿宋_GB2312" w:hAnsi="宋体" w:eastAsia="仿宋_GB2312"/>
          <w:color w:val="auto"/>
          <w:highlight w:val="none"/>
          <w:shd w:val="clear" w:color="auto" w:fill="auto"/>
        </w:rPr>
        <w:t xml:space="preserve"> </w:t>
      </w:r>
      <w:r>
        <w:rPr>
          <w:rFonts w:hint="eastAsia" w:ascii="仿宋_GB2312" w:hAnsi="宋体" w:eastAsia="仿宋_GB2312"/>
          <w:color w:val="auto"/>
          <w:highlight w:val="none"/>
          <w:u w:val="single"/>
          <w:shd w:val="clear" w:color="auto" w:fill="auto"/>
        </w:rPr>
        <w:t>（单位名称）</w:t>
      </w:r>
      <w:r>
        <w:rPr>
          <w:rFonts w:ascii="仿宋_GB2312" w:hAnsi="宋体" w:eastAsia="仿宋_GB2312"/>
          <w:color w:val="auto"/>
          <w:highlight w:val="none"/>
          <w:u w:val="single"/>
          <w:shd w:val="clear" w:color="auto" w:fill="auto"/>
        </w:rPr>
        <w:t xml:space="preserve"> </w:t>
      </w:r>
      <w:r>
        <w:rPr>
          <w:rFonts w:hint="eastAsia" w:ascii="仿宋_GB2312" w:hAnsi="宋体" w:eastAsia="仿宋_GB2312"/>
          <w:color w:val="auto"/>
          <w:highlight w:val="none"/>
          <w:shd w:val="clear" w:color="auto" w:fill="auto"/>
        </w:rPr>
        <w:t>的</w:t>
      </w:r>
      <w:r>
        <w:rPr>
          <w:rFonts w:ascii="仿宋_GB2312" w:hAnsi="宋体" w:eastAsia="仿宋_GB2312"/>
          <w:color w:val="auto"/>
          <w:highlight w:val="none"/>
          <w:u w:val="single"/>
          <w:shd w:val="clear" w:color="auto" w:fill="auto"/>
        </w:rPr>
        <w:t xml:space="preserve"> </w:t>
      </w:r>
      <w:r>
        <w:rPr>
          <w:rFonts w:hint="eastAsia" w:ascii="仿宋_GB2312" w:hAnsi="宋体" w:eastAsia="仿宋_GB2312"/>
          <w:color w:val="auto"/>
          <w:highlight w:val="none"/>
          <w:u w:val="single"/>
          <w:shd w:val="clear" w:color="auto" w:fill="auto"/>
        </w:rPr>
        <w:t>（项目名称）</w:t>
      </w:r>
      <w:r>
        <w:rPr>
          <w:rFonts w:ascii="仿宋_GB2312" w:hAnsi="宋体" w:eastAsia="仿宋_GB2312"/>
          <w:color w:val="auto"/>
          <w:highlight w:val="none"/>
          <w:u w:val="single"/>
          <w:shd w:val="clear" w:color="auto" w:fill="auto"/>
        </w:rPr>
        <w:t xml:space="preserve"> </w:t>
      </w:r>
      <w:r>
        <w:rPr>
          <w:rFonts w:hint="eastAsia" w:ascii="仿宋_GB2312" w:hAnsi="宋体" w:eastAsia="仿宋_GB2312"/>
          <w:color w:val="auto"/>
          <w:highlight w:val="none"/>
          <w:shd w:val="clear" w:color="auto" w:fill="auto"/>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rPr>
          <w:rFonts w:ascii="仿宋_GB2312" w:hAnsi="宋体" w:eastAsia="仿宋_GB2312"/>
          <w:color w:val="auto"/>
          <w:highlight w:val="none"/>
          <w:shd w:val="clear" w:color="auto" w:fill="auto"/>
        </w:rPr>
      </w:pPr>
      <w:r>
        <w:rPr>
          <w:rFonts w:ascii="仿宋_GB2312" w:hAnsi="宋体" w:eastAsia="仿宋_GB2312"/>
          <w:color w:val="auto"/>
          <w:highlight w:val="none"/>
          <w:shd w:val="clear" w:color="auto" w:fill="auto"/>
        </w:rPr>
        <w:t>1.</w:t>
      </w:r>
      <w:r>
        <w:rPr>
          <w:color w:val="auto"/>
          <w:highlight w:val="none"/>
          <w:shd w:val="clear" w:color="auto" w:fill="auto"/>
        </w:rPr>
        <w:t xml:space="preserve"> </w:t>
      </w:r>
      <w:r>
        <w:rPr>
          <w:rFonts w:hint="eastAsia" w:ascii="仿宋_GB2312" w:hAnsi="宋体" w:eastAsia="仿宋_GB2312"/>
          <w:color w:val="auto"/>
          <w:highlight w:val="none"/>
          <w:u w:val="single"/>
          <w:shd w:val="clear" w:color="auto" w:fill="auto"/>
        </w:rPr>
        <w:t>（标的名称）</w:t>
      </w:r>
      <w:r>
        <w:rPr>
          <w:rFonts w:hint="eastAsia" w:ascii="仿宋_GB2312" w:hAnsi="宋体" w:eastAsia="仿宋_GB2312"/>
          <w:color w:val="auto"/>
          <w:highlight w:val="none"/>
          <w:shd w:val="clear" w:color="auto" w:fill="auto"/>
        </w:rPr>
        <w:t>，属于</w:t>
      </w:r>
      <w:r>
        <w:rPr>
          <w:rFonts w:ascii="仿宋_GB2312" w:hAnsi="宋体" w:eastAsia="仿宋_GB2312"/>
          <w:color w:val="auto"/>
          <w:highlight w:val="none"/>
          <w:shd w:val="clear" w:color="auto" w:fill="auto"/>
        </w:rPr>
        <w:t xml:space="preserve"> </w:t>
      </w:r>
      <w:r>
        <w:rPr>
          <w:rFonts w:hint="eastAsia" w:ascii="仿宋_GB2312" w:hAnsi="宋体" w:eastAsia="仿宋_GB2312"/>
          <w:color w:val="auto"/>
          <w:highlight w:val="none"/>
          <w:u w:val="single"/>
          <w:shd w:val="clear" w:color="auto" w:fill="auto"/>
        </w:rPr>
        <w:t>（采购文件中明确的所属行业）</w:t>
      </w:r>
      <w:r>
        <w:rPr>
          <w:rFonts w:ascii="仿宋_GB2312" w:hAnsi="宋体" w:eastAsia="仿宋_GB2312"/>
          <w:color w:val="auto"/>
          <w:highlight w:val="none"/>
          <w:shd w:val="clear" w:color="auto" w:fill="auto"/>
        </w:rPr>
        <w:t xml:space="preserve"> ；承建（承接）企业为 </w:t>
      </w:r>
      <w:r>
        <w:rPr>
          <w:rFonts w:hint="eastAsia" w:ascii="仿宋_GB2312" w:hAnsi="宋体" w:eastAsia="仿宋_GB2312"/>
          <w:color w:val="auto"/>
          <w:highlight w:val="none"/>
          <w:u w:val="single"/>
          <w:shd w:val="clear" w:color="auto" w:fill="auto"/>
        </w:rPr>
        <w:t>（企业名称）</w:t>
      </w:r>
      <w:r>
        <w:rPr>
          <w:rFonts w:ascii="仿宋_GB2312" w:hAnsi="宋体" w:eastAsia="仿宋_GB2312"/>
          <w:color w:val="auto"/>
          <w:highlight w:val="none"/>
          <w:shd w:val="clear" w:color="auto" w:fill="auto"/>
        </w:rPr>
        <w:t xml:space="preserve"> ，从业人员</w:t>
      </w:r>
      <w:r>
        <w:rPr>
          <w:rFonts w:ascii="仿宋_GB2312" w:hAnsi="宋体" w:eastAsia="仿宋_GB2312"/>
          <w:color w:val="auto"/>
          <w:highlight w:val="none"/>
          <w:u w:val="single"/>
          <w:shd w:val="clear" w:color="auto" w:fill="auto"/>
        </w:rPr>
        <w:t xml:space="preserve">   </w:t>
      </w:r>
      <w:r>
        <w:rPr>
          <w:rFonts w:hint="eastAsia" w:ascii="仿宋_GB2312" w:hAnsi="宋体" w:eastAsia="仿宋_GB2312"/>
          <w:color w:val="auto"/>
          <w:highlight w:val="none"/>
          <w:shd w:val="clear" w:color="auto" w:fill="auto"/>
        </w:rPr>
        <w:t>人，营业收入为</w:t>
      </w:r>
      <w:r>
        <w:rPr>
          <w:rFonts w:ascii="仿宋_GB2312" w:hAnsi="宋体" w:eastAsia="仿宋_GB2312"/>
          <w:color w:val="auto"/>
          <w:highlight w:val="none"/>
          <w:u w:val="single"/>
          <w:shd w:val="clear" w:color="auto" w:fill="auto"/>
        </w:rPr>
        <w:t xml:space="preserve">  </w:t>
      </w:r>
      <w:r>
        <w:rPr>
          <w:rFonts w:hint="eastAsia" w:ascii="仿宋_GB2312" w:hAnsi="宋体" w:eastAsia="仿宋_GB2312"/>
          <w:color w:val="auto"/>
          <w:highlight w:val="none"/>
          <w:shd w:val="clear" w:color="auto" w:fill="auto"/>
        </w:rPr>
        <w:t>万元，资产总额为</w:t>
      </w:r>
      <w:r>
        <w:rPr>
          <w:rFonts w:ascii="仿宋_GB2312" w:hAnsi="宋体" w:eastAsia="仿宋_GB2312"/>
          <w:color w:val="auto"/>
          <w:highlight w:val="none"/>
          <w:u w:val="single"/>
          <w:shd w:val="clear" w:color="auto" w:fill="auto"/>
        </w:rPr>
        <w:t xml:space="preserve">   </w:t>
      </w:r>
      <w:r>
        <w:rPr>
          <w:rFonts w:hint="eastAsia" w:ascii="仿宋_GB2312" w:hAnsi="宋体" w:eastAsia="仿宋_GB2312"/>
          <w:color w:val="auto"/>
          <w:highlight w:val="none"/>
          <w:shd w:val="clear" w:color="auto" w:fill="auto"/>
        </w:rPr>
        <w:t>万元属于</w:t>
      </w:r>
      <w:r>
        <w:rPr>
          <w:rFonts w:ascii="仿宋_GB2312" w:hAnsi="宋体" w:eastAsia="仿宋_GB2312"/>
          <w:color w:val="auto"/>
          <w:highlight w:val="none"/>
          <w:u w:val="single"/>
          <w:shd w:val="clear" w:color="auto" w:fill="auto"/>
        </w:rPr>
        <w:t xml:space="preserve"> （中型企业、小型企业、微型企业） </w:t>
      </w:r>
      <w:r>
        <w:rPr>
          <w:rFonts w:hint="eastAsia" w:ascii="仿宋_GB2312" w:hAnsi="宋体" w:eastAsia="仿宋_GB2312"/>
          <w:color w:val="auto"/>
          <w:highlight w:val="none"/>
          <w:shd w:val="clear" w:color="auto" w:fill="auto"/>
        </w:rPr>
        <w:t>；</w:t>
      </w:r>
    </w:p>
    <w:p>
      <w:pPr>
        <w:spacing w:line="360" w:lineRule="auto"/>
        <w:ind w:firstLine="480" w:firstLineChars="200"/>
        <w:rPr>
          <w:rFonts w:ascii="仿宋_GB2312" w:hAnsi="宋体" w:eastAsia="仿宋_GB2312"/>
          <w:color w:val="auto"/>
          <w:highlight w:val="none"/>
          <w:shd w:val="clear" w:color="auto" w:fill="auto"/>
        </w:rPr>
      </w:pPr>
      <w:r>
        <w:rPr>
          <w:rFonts w:ascii="仿宋_GB2312" w:hAnsi="宋体" w:eastAsia="仿宋_GB2312"/>
          <w:color w:val="auto"/>
          <w:highlight w:val="none"/>
          <w:shd w:val="clear" w:color="auto" w:fill="auto"/>
        </w:rPr>
        <w:t>2.</w:t>
      </w:r>
      <w:r>
        <w:rPr>
          <w:color w:val="auto"/>
          <w:highlight w:val="none"/>
          <w:shd w:val="clear" w:color="auto" w:fill="auto"/>
        </w:rPr>
        <w:t xml:space="preserve"> </w:t>
      </w:r>
      <w:r>
        <w:rPr>
          <w:rFonts w:hint="eastAsia" w:ascii="仿宋_GB2312" w:hAnsi="宋体" w:eastAsia="仿宋_GB2312"/>
          <w:color w:val="auto"/>
          <w:highlight w:val="none"/>
          <w:u w:val="single"/>
          <w:shd w:val="clear" w:color="auto" w:fill="auto"/>
        </w:rPr>
        <w:t>（标的名称）</w:t>
      </w:r>
      <w:r>
        <w:rPr>
          <w:rFonts w:hint="eastAsia" w:ascii="仿宋_GB2312" w:hAnsi="宋体" w:eastAsia="仿宋_GB2312"/>
          <w:color w:val="auto"/>
          <w:highlight w:val="none"/>
          <w:shd w:val="clear" w:color="auto" w:fill="auto"/>
        </w:rPr>
        <w:t>，属于</w:t>
      </w:r>
      <w:r>
        <w:rPr>
          <w:rFonts w:ascii="仿宋_GB2312" w:hAnsi="宋体" w:eastAsia="仿宋_GB2312"/>
          <w:color w:val="auto"/>
          <w:highlight w:val="none"/>
          <w:shd w:val="clear" w:color="auto" w:fill="auto"/>
        </w:rPr>
        <w:t xml:space="preserve"> </w:t>
      </w:r>
      <w:r>
        <w:rPr>
          <w:rFonts w:hint="eastAsia" w:ascii="仿宋_GB2312" w:hAnsi="宋体" w:eastAsia="仿宋_GB2312"/>
          <w:color w:val="auto"/>
          <w:highlight w:val="none"/>
          <w:u w:val="single"/>
          <w:shd w:val="clear" w:color="auto" w:fill="auto"/>
        </w:rPr>
        <w:t>（采购文件中明确的所属行业）</w:t>
      </w:r>
      <w:r>
        <w:rPr>
          <w:rFonts w:ascii="仿宋_GB2312" w:hAnsi="宋体" w:eastAsia="仿宋_GB2312"/>
          <w:color w:val="auto"/>
          <w:highlight w:val="none"/>
          <w:shd w:val="clear" w:color="auto" w:fill="auto"/>
        </w:rPr>
        <w:t xml:space="preserve"> ；承建（承接）企业为 </w:t>
      </w:r>
      <w:r>
        <w:rPr>
          <w:rFonts w:hint="eastAsia" w:ascii="仿宋_GB2312" w:hAnsi="宋体" w:eastAsia="仿宋_GB2312"/>
          <w:color w:val="auto"/>
          <w:highlight w:val="none"/>
          <w:u w:val="single"/>
          <w:shd w:val="clear" w:color="auto" w:fill="auto"/>
        </w:rPr>
        <w:t>（企业名称）</w:t>
      </w:r>
      <w:r>
        <w:rPr>
          <w:rFonts w:ascii="仿宋_GB2312" w:hAnsi="宋体" w:eastAsia="仿宋_GB2312"/>
          <w:color w:val="auto"/>
          <w:highlight w:val="none"/>
          <w:shd w:val="clear" w:color="auto" w:fill="auto"/>
        </w:rPr>
        <w:t xml:space="preserve"> ，从业人员</w:t>
      </w:r>
      <w:r>
        <w:rPr>
          <w:rFonts w:ascii="仿宋_GB2312" w:hAnsi="宋体" w:eastAsia="仿宋_GB2312"/>
          <w:color w:val="auto"/>
          <w:highlight w:val="none"/>
          <w:u w:val="single"/>
          <w:shd w:val="clear" w:color="auto" w:fill="auto"/>
        </w:rPr>
        <w:t xml:space="preserve">   </w:t>
      </w:r>
      <w:r>
        <w:rPr>
          <w:rFonts w:hint="eastAsia" w:ascii="仿宋_GB2312" w:hAnsi="宋体" w:eastAsia="仿宋_GB2312"/>
          <w:color w:val="auto"/>
          <w:highlight w:val="none"/>
          <w:shd w:val="clear" w:color="auto" w:fill="auto"/>
        </w:rPr>
        <w:t>人，营业收入为</w:t>
      </w:r>
      <w:r>
        <w:rPr>
          <w:rFonts w:ascii="仿宋_GB2312" w:hAnsi="宋体" w:eastAsia="仿宋_GB2312"/>
          <w:color w:val="auto"/>
          <w:highlight w:val="none"/>
          <w:u w:val="single"/>
          <w:shd w:val="clear" w:color="auto" w:fill="auto"/>
        </w:rPr>
        <w:t xml:space="preserve">  </w:t>
      </w:r>
      <w:r>
        <w:rPr>
          <w:rFonts w:hint="eastAsia" w:ascii="仿宋_GB2312" w:hAnsi="宋体" w:eastAsia="仿宋_GB2312"/>
          <w:color w:val="auto"/>
          <w:highlight w:val="none"/>
          <w:shd w:val="clear" w:color="auto" w:fill="auto"/>
        </w:rPr>
        <w:t>万元，资产总额为</w:t>
      </w:r>
      <w:r>
        <w:rPr>
          <w:rFonts w:ascii="仿宋_GB2312" w:hAnsi="宋体" w:eastAsia="仿宋_GB2312"/>
          <w:color w:val="auto"/>
          <w:highlight w:val="none"/>
          <w:u w:val="single"/>
          <w:shd w:val="clear" w:color="auto" w:fill="auto"/>
        </w:rPr>
        <w:t xml:space="preserve">   </w:t>
      </w:r>
      <w:r>
        <w:rPr>
          <w:rFonts w:hint="eastAsia" w:ascii="仿宋_GB2312" w:hAnsi="宋体" w:eastAsia="仿宋_GB2312"/>
          <w:color w:val="auto"/>
          <w:highlight w:val="none"/>
          <w:shd w:val="clear" w:color="auto" w:fill="auto"/>
        </w:rPr>
        <w:t>万元属于</w:t>
      </w:r>
      <w:r>
        <w:rPr>
          <w:rFonts w:ascii="仿宋_GB2312" w:hAnsi="宋体" w:eastAsia="仿宋_GB2312"/>
          <w:color w:val="auto"/>
          <w:highlight w:val="none"/>
          <w:u w:val="single"/>
          <w:shd w:val="clear" w:color="auto" w:fill="auto"/>
        </w:rPr>
        <w:t xml:space="preserve"> （中型企业、小型企业、微型企业） </w:t>
      </w:r>
      <w:r>
        <w:rPr>
          <w:rFonts w:hint="eastAsia" w:ascii="仿宋_GB2312" w:hAnsi="宋体" w:eastAsia="仿宋_GB2312"/>
          <w:color w:val="auto"/>
          <w:highlight w:val="none"/>
          <w:shd w:val="clear" w:color="auto" w:fill="auto"/>
        </w:rPr>
        <w:t>；</w:t>
      </w:r>
    </w:p>
    <w:p>
      <w:pPr>
        <w:spacing w:line="360" w:lineRule="auto"/>
        <w:ind w:firstLine="480" w:firstLineChars="200"/>
        <w:rPr>
          <w:rFonts w:ascii="仿宋_GB2312" w:hAnsi="宋体" w:eastAsia="仿宋_GB2312"/>
          <w:color w:val="auto"/>
          <w:highlight w:val="none"/>
          <w:shd w:val="clear" w:color="auto" w:fill="auto"/>
        </w:rPr>
      </w:pPr>
      <w:r>
        <w:rPr>
          <w:rFonts w:hint="eastAsia" w:ascii="仿宋_GB2312" w:hAnsi="宋体" w:eastAsia="仿宋_GB2312"/>
          <w:color w:val="auto"/>
          <w:highlight w:val="none"/>
          <w:shd w:val="clear" w:color="auto" w:fill="auto"/>
        </w:rPr>
        <w:t>……</w:t>
      </w:r>
    </w:p>
    <w:p>
      <w:pPr>
        <w:spacing w:line="360" w:lineRule="auto"/>
        <w:ind w:firstLine="480" w:firstLineChars="200"/>
        <w:rPr>
          <w:rFonts w:ascii="仿宋_GB2312" w:hAnsi="宋体" w:eastAsia="仿宋_GB2312"/>
          <w:color w:val="auto"/>
          <w:highlight w:val="none"/>
          <w:shd w:val="clear" w:color="auto" w:fill="auto"/>
        </w:rPr>
      </w:pPr>
      <w:r>
        <w:rPr>
          <w:rFonts w:hint="eastAsia" w:ascii="仿宋_GB2312" w:hAnsi="宋体" w:eastAsia="仿宋_GB2312"/>
          <w:color w:val="auto"/>
          <w:highlight w:val="none"/>
          <w:shd w:val="clear" w:color="auto" w:fill="auto"/>
        </w:rPr>
        <w:t>以上企业，不属于大企业的分支机构，不存在控股股东为大企业的情形，也不存在与大企业的负责人为同一人的情形。</w:t>
      </w:r>
    </w:p>
    <w:p>
      <w:pPr>
        <w:spacing w:line="360" w:lineRule="auto"/>
        <w:ind w:firstLine="480" w:firstLineChars="200"/>
        <w:rPr>
          <w:rFonts w:ascii="仿宋_GB2312" w:hAnsi="宋体" w:eastAsia="仿宋_GB2312"/>
          <w:color w:val="auto"/>
          <w:highlight w:val="none"/>
          <w:shd w:val="clear" w:color="auto" w:fill="auto"/>
        </w:rPr>
      </w:pPr>
      <w:r>
        <w:rPr>
          <w:rFonts w:hint="eastAsia" w:ascii="仿宋_GB2312" w:hAnsi="宋体" w:eastAsia="仿宋_GB2312"/>
          <w:color w:val="auto"/>
          <w:highlight w:val="none"/>
          <w:shd w:val="clear" w:color="auto" w:fill="auto"/>
        </w:rPr>
        <w:t>本企业对上述声明内容的真实性负责。如有虚假，将依法承担相应责任。</w:t>
      </w:r>
    </w:p>
    <w:p>
      <w:pPr>
        <w:spacing w:line="360" w:lineRule="auto"/>
        <w:ind w:right="1760"/>
        <w:jc w:val="right"/>
        <w:rPr>
          <w:rFonts w:ascii="仿宋_GB2312" w:hAnsi="宋体" w:eastAsia="仿宋_GB2312"/>
          <w:color w:val="auto"/>
          <w:highlight w:val="none"/>
          <w:shd w:val="clear" w:color="auto" w:fill="auto"/>
        </w:rPr>
      </w:pPr>
      <w:r>
        <w:rPr>
          <w:rFonts w:hint="eastAsia" w:ascii="仿宋_GB2312" w:eastAsia="仿宋_GB2312" w:cs="仿宋_GB2312"/>
          <w:color w:val="auto"/>
          <w:highlight w:val="none"/>
          <w:shd w:val="clear" w:color="auto" w:fill="auto"/>
        </w:rPr>
        <w:t>投标人</w:t>
      </w:r>
      <w:r>
        <w:rPr>
          <w:rFonts w:hint="eastAsia" w:ascii="仿宋_GB2312" w:hAnsi="宋体" w:eastAsia="仿宋_GB2312"/>
          <w:color w:val="auto"/>
          <w:highlight w:val="none"/>
          <w:shd w:val="clear" w:color="auto" w:fill="auto"/>
        </w:rPr>
        <w:t>名称（</w:t>
      </w:r>
      <w:r>
        <w:rPr>
          <w:rFonts w:hint="eastAsia" w:ascii="仿宋_GB2312" w:eastAsia="仿宋_GB2312" w:cs="仿宋_GB2312"/>
          <w:color w:val="auto"/>
          <w:highlight w:val="none"/>
          <w:shd w:val="clear" w:color="auto" w:fill="auto"/>
        </w:rPr>
        <w:t>电子签名</w:t>
      </w:r>
      <w:r>
        <w:rPr>
          <w:rFonts w:hint="eastAsia" w:ascii="仿宋_GB2312" w:hAnsi="宋体" w:eastAsia="仿宋_GB2312"/>
          <w:color w:val="auto"/>
          <w:highlight w:val="none"/>
          <w:shd w:val="clear" w:color="auto" w:fill="auto"/>
        </w:rPr>
        <w:t>）：</w:t>
      </w:r>
    </w:p>
    <w:p>
      <w:pPr>
        <w:spacing w:line="360" w:lineRule="auto"/>
        <w:ind w:right="1120" w:firstLine="4680" w:firstLineChars="1950"/>
        <w:rPr>
          <w:rFonts w:ascii="仿宋_GB2312" w:hAnsi="宋体" w:eastAsia="仿宋_GB2312"/>
          <w:color w:val="auto"/>
          <w:highlight w:val="none"/>
          <w:shd w:val="clear" w:color="auto" w:fill="auto"/>
        </w:rPr>
      </w:pPr>
      <w:r>
        <w:rPr>
          <w:rFonts w:hint="eastAsia" w:ascii="仿宋_GB2312" w:hAnsi="宋体" w:eastAsia="仿宋_GB2312"/>
          <w:color w:val="auto"/>
          <w:highlight w:val="none"/>
          <w:shd w:val="clear" w:color="auto" w:fill="auto"/>
        </w:rPr>
        <w:t>日</w:t>
      </w:r>
      <w:r>
        <w:rPr>
          <w:rFonts w:ascii="仿宋_GB2312" w:hAnsi="宋体" w:eastAsia="仿宋_GB2312"/>
          <w:color w:val="auto"/>
          <w:highlight w:val="none"/>
          <w:shd w:val="clear" w:color="auto" w:fill="auto"/>
        </w:rPr>
        <w:t xml:space="preserve"> </w:t>
      </w:r>
      <w:r>
        <w:rPr>
          <w:rFonts w:hint="eastAsia" w:ascii="仿宋_GB2312" w:hAnsi="宋体" w:eastAsia="仿宋_GB2312"/>
          <w:color w:val="auto"/>
          <w:highlight w:val="none"/>
          <w:shd w:val="clear" w:color="auto" w:fill="auto"/>
        </w:rPr>
        <w:t>期：</w:t>
      </w:r>
    </w:p>
    <w:p>
      <w:pPr>
        <w:spacing w:line="360" w:lineRule="auto"/>
        <w:ind w:firstLine="354" w:firstLineChars="147"/>
        <w:rPr>
          <w:rFonts w:ascii="仿宋_GB2312" w:hAnsi="宋体" w:eastAsia="仿宋_GB2312"/>
          <w:b/>
          <w:color w:val="auto"/>
          <w:szCs w:val="21"/>
          <w:highlight w:val="none"/>
          <w:shd w:val="clear" w:color="auto" w:fill="auto"/>
        </w:rPr>
      </w:pPr>
      <w:r>
        <w:rPr>
          <w:rFonts w:hint="eastAsia" w:ascii="仿宋_GB2312" w:hAnsi="宋体" w:eastAsia="仿宋_GB2312"/>
          <w:b/>
          <w:color w:val="auto"/>
          <w:szCs w:val="21"/>
          <w:highlight w:val="none"/>
          <w:shd w:val="clear" w:color="auto" w:fill="auto"/>
        </w:rPr>
        <w:t>从业人员、营业收入、资产总额填报上一年度数据，无上一年度数据的新成立企业可不填报。</w:t>
      </w:r>
    </w:p>
    <w:p>
      <w:pPr>
        <w:spacing w:line="360" w:lineRule="auto"/>
        <w:ind w:right="420"/>
        <w:rPr>
          <w:rFonts w:ascii="仿宋_GB2312" w:eastAsia="仿宋_GB2312" w:cs="仿宋_GB2312"/>
          <w:color w:val="auto"/>
          <w:highlight w:val="none"/>
          <w:shd w:val="clear" w:color="auto" w:fill="auto"/>
        </w:rPr>
      </w:pPr>
    </w:p>
    <w:p>
      <w:pPr>
        <w:spacing w:line="360" w:lineRule="auto"/>
        <w:ind w:right="420"/>
        <w:rPr>
          <w:rFonts w:ascii="仿宋_GB2312" w:eastAsia="仿宋_GB2312" w:cs="仿宋_GB2312"/>
          <w:color w:val="auto"/>
          <w:highlight w:val="none"/>
          <w:shd w:val="clear" w:color="auto" w:fill="auto"/>
        </w:rPr>
      </w:pPr>
      <w:r>
        <w:rPr>
          <w:rFonts w:ascii="仿宋_GB2312" w:eastAsia="仿宋_GB2312" w:cs="仿宋_GB2312"/>
          <w:color w:val="auto"/>
          <w:highlight w:val="none"/>
          <w:shd w:val="clear" w:color="auto" w:fill="auto"/>
        </w:rPr>
        <w:t xml:space="preserve">   注：</w:t>
      </w:r>
    </w:p>
    <w:p>
      <w:pPr>
        <w:spacing w:line="360" w:lineRule="auto"/>
        <w:ind w:right="420" w:firstLine="480" w:firstLineChars="200"/>
        <w:rPr>
          <w:rFonts w:ascii="仿宋_GB2312" w:eastAsia="仿宋_GB2312"/>
          <w:color w:val="auto"/>
          <w:highlight w:val="none"/>
          <w:shd w:val="clear" w:color="auto" w:fill="auto"/>
        </w:rPr>
      </w:pPr>
      <w:r>
        <w:rPr>
          <w:rFonts w:hint="eastAsia" w:ascii="仿宋_GB2312" w:eastAsia="仿宋_GB2312" w:cs="仿宋_GB2312"/>
          <w:color w:val="auto"/>
          <w:highlight w:val="none"/>
          <w:shd w:val="clear" w:color="auto" w:fill="auto"/>
        </w:rPr>
        <w:t>1、填写要求：①“</w:t>
      </w:r>
      <w:r>
        <w:rPr>
          <w:rFonts w:hint="eastAsia" w:ascii="仿宋_GB2312" w:hAnsi="宋体" w:eastAsia="仿宋_GB2312"/>
          <w:color w:val="auto"/>
          <w:highlight w:val="none"/>
          <w:shd w:val="clear" w:color="auto" w:fill="auto"/>
        </w:rPr>
        <w:t>标的名称”、“采购文件中明确的所属行业”</w:t>
      </w:r>
      <w:r>
        <w:rPr>
          <w:rFonts w:hint="eastAsia" w:ascii="仿宋_GB2312" w:eastAsia="仿宋_GB2312" w:cs="仿宋_GB2312"/>
          <w:color w:val="auto"/>
          <w:highlight w:val="none"/>
          <w:shd w:val="clear" w:color="auto" w:fill="auto"/>
        </w:rPr>
        <w:t>依据招标文件第二部分投标人须知前附表中“采购标的对应的中小企业划分标准所属行业”填写，不得缺漏；②</w:t>
      </w:r>
      <w:r>
        <w:rPr>
          <w:rFonts w:hint="eastAsia" w:ascii="仿宋_GB2312" w:hAnsi="宋体" w:eastAsia="仿宋_GB2312"/>
          <w:color w:val="auto"/>
          <w:highlight w:val="none"/>
          <w:shd w:val="clear" w:color="auto" w:fill="auto"/>
        </w:rPr>
        <w:t>从业人员、营业收入、资产总额填报上一年度数据，无上一年度数据的新成立企业可不填报；</w:t>
      </w:r>
      <w:r>
        <w:rPr>
          <w:rFonts w:hint="eastAsia" w:ascii="仿宋_GB2312" w:eastAsia="仿宋_GB2312" w:cs="仿宋_GB2312"/>
          <w:color w:val="auto"/>
          <w:highlight w:val="none"/>
          <w:shd w:val="clear" w:color="auto" w:fill="auto"/>
        </w:rPr>
        <w:t>③</w:t>
      </w:r>
      <w:r>
        <w:rPr>
          <w:rFonts w:hint="eastAsia" w:ascii="仿宋_GB2312" w:hAnsi="宋体" w:eastAsia="仿宋_GB2312"/>
          <w:color w:val="auto"/>
          <w:highlight w:val="none"/>
          <w:shd w:val="clear" w:color="auto" w:fill="auto"/>
        </w:rPr>
        <w:t>中型企业、小型企业、微型企业等3种企业类型，结合以上数据，依据《中小企业划型标准规定》（工信部联企业〔2011〕300号）确定</w:t>
      </w:r>
      <w:r>
        <w:rPr>
          <w:rFonts w:hint="eastAsia" w:ascii="仿宋_GB2312" w:eastAsia="仿宋_GB2312" w:cs="仿宋_GB2312"/>
          <w:color w:val="auto"/>
          <w:highlight w:val="none"/>
          <w:shd w:val="clear" w:color="auto" w:fill="auto"/>
        </w:rPr>
        <w:t>；④</w:t>
      </w:r>
      <w:r>
        <w:rPr>
          <w:rFonts w:hint="eastAsia" w:ascii="仿宋_GB2312" w:eastAsia="仿宋_GB2312"/>
          <w:color w:val="auto"/>
          <w:highlight w:val="none"/>
          <w:shd w:val="clear" w:color="auto" w:fill="auto"/>
        </w:rPr>
        <w:t>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ascii="仿宋_GB2312" w:eastAsia="仿宋_GB2312" w:cs="仿宋_GB2312"/>
          <w:color w:val="auto"/>
          <w:highlight w:val="none"/>
          <w:shd w:val="clear" w:color="auto" w:fill="auto"/>
        </w:rPr>
      </w:pPr>
      <w:r>
        <w:rPr>
          <w:rFonts w:hint="eastAsia" w:ascii="仿宋_GB2312" w:eastAsia="仿宋_GB2312" w:cs="仿宋_GB2312"/>
          <w:color w:val="auto"/>
          <w:highlight w:val="none"/>
          <w:shd w:val="clear" w:color="auto" w:fill="auto"/>
        </w:rPr>
        <w:t>2、</w:t>
      </w:r>
      <w:r>
        <w:rPr>
          <w:rFonts w:ascii="仿宋_GB2312" w:eastAsia="仿宋_GB2312" w:cs="仿宋_GB2312"/>
          <w:color w:val="auto"/>
          <w:highlight w:val="none"/>
          <w:shd w:val="clear" w:color="auto" w:fill="auto"/>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rPr>
          <w:rFonts w:ascii="仿宋_GB2312" w:eastAsia="仿宋_GB2312" w:cs="仿宋_GB2312"/>
          <w:color w:val="auto"/>
          <w:highlight w:val="none"/>
          <w:shd w:val="clear" w:color="auto" w:fill="auto"/>
        </w:rPr>
      </w:pPr>
      <w:r>
        <w:rPr>
          <w:rFonts w:ascii="仿宋_GB2312" w:eastAsia="仿宋_GB2312" w:cs="仿宋_GB2312"/>
          <w:color w:val="auto"/>
          <w:highlight w:val="none"/>
          <w:shd w:val="clear" w:color="auto" w:fill="auto"/>
        </w:rPr>
        <w:br w:type="page"/>
      </w:r>
    </w:p>
    <w:p>
      <w:pPr>
        <w:pStyle w:val="3"/>
        <w:jc w:val="left"/>
        <w:rPr>
          <w:rFonts w:cs="仿宋_GB2312"/>
          <w:color w:val="auto"/>
          <w:sz w:val="24"/>
          <w:highlight w:val="none"/>
          <w:shd w:val="clear" w:color="auto" w:fill="auto"/>
        </w:rPr>
      </w:pPr>
      <w:r>
        <w:rPr>
          <w:rFonts w:hint="eastAsia"/>
          <w:color w:val="auto"/>
          <w:highlight w:val="none"/>
          <w:shd w:val="clear" w:color="auto" w:fill="auto"/>
        </w:rPr>
        <w:t>附件6样品（演示）授权委托书</w:t>
      </w:r>
    </w:p>
    <w:p>
      <w:pPr>
        <w:jc w:val="center"/>
        <w:rPr>
          <w:color w:val="auto"/>
          <w:sz w:val="40"/>
          <w:highlight w:val="none"/>
          <w:shd w:val="clear" w:color="auto" w:fill="auto"/>
        </w:rPr>
      </w:pPr>
      <w:r>
        <w:rPr>
          <w:rFonts w:hint="eastAsia"/>
          <w:color w:val="auto"/>
          <w:sz w:val="40"/>
          <w:highlight w:val="none"/>
          <w:shd w:val="clear" w:color="auto" w:fill="auto"/>
        </w:rPr>
        <w:t>样品（演示）授权委托书</w:t>
      </w:r>
    </w:p>
    <w:p>
      <w:pPr>
        <w:jc w:val="center"/>
        <w:rPr>
          <w:color w:val="auto"/>
          <w:sz w:val="40"/>
          <w:highlight w:val="none"/>
          <w:shd w:val="clear" w:color="auto" w:fill="auto"/>
        </w:rPr>
      </w:pPr>
    </w:p>
    <w:p>
      <w:pPr>
        <w:snapToGrid w:val="0"/>
        <w:spacing w:line="360" w:lineRule="auto"/>
        <w:rPr>
          <w:rFonts w:cs="仿宋"/>
          <w:color w:val="auto"/>
          <w:highlight w:val="none"/>
          <w:shd w:val="clear" w:color="auto" w:fill="auto"/>
        </w:rPr>
      </w:pPr>
      <w:r>
        <w:rPr>
          <w:rFonts w:hint="eastAsia" w:cs="仿宋_GB2312"/>
          <w:color w:val="auto"/>
          <w:highlight w:val="none"/>
          <w:shd w:val="clear" w:color="auto" w:fill="auto"/>
        </w:rPr>
        <w:t>XXX（单位名称或采购机构名称）</w:t>
      </w:r>
      <w:r>
        <w:rPr>
          <w:rFonts w:hint="eastAsia" w:cs="仿宋"/>
          <w:color w:val="auto"/>
          <w:highlight w:val="none"/>
          <w:shd w:val="clear" w:color="auto" w:fill="auto"/>
          <w:lang w:val="zh-CN"/>
        </w:rPr>
        <w:t>：</w:t>
      </w:r>
    </w:p>
    <w:p>
      <w:pPr>
        <w:snapToGrid w:val="0"/>
        <w:spacing w:line="360" w:lineRule="auto"/>
        <w:ind w:left="290" w:leftChars="121" w:firstLine="480" w:firstLineChars="200"/>
        <w:rPr>
          <w:rFonts w:cs="仿宋"/>
          <w:color w:val="auto"/>
          <w:highlight w:val="none"/>
          <w:u w:val="single"/>
          <w:shd w:val="clear" w:color="auto" w:fill="auto"/>
          <w:lang w:val="zh-CN"/>
        </w:rPr>
      </w:pPr>
      <w:r>
        <w:rPr>
          <w:rFonts w:hint="eastAsia" w:cs="仿宋"/>
          <w:color w:val="auto"/>
          <w:highlight w:val="none"/>
          <w:shd w:val="clear" w:color="auto" w:fill="auto"/>
          <w:lang w:val="zh-CN"/>
        </w:rPr>
        <w:t>兹委派</w:t>
      </w:r>
      <w:r>
        <w:rPr>
          <w:rFonts w:hint="eastAsia" w:cs="仿宋"/>
          <w:color w:val="auto"/>
          <w:highlight w:val="none"/>
          <w:u w:val="single"/>
          <w:shd w:val="clear" w:color="auto" w:fill="auto"/>
          <w:lang w:val="zh-CN"/>
        </w:rPr>
        <w:t xml:space="preserve">                </w:t>
      </w:r>
      <w:r>
        <w:rPr>
          <w:rFonts w:hint="eastAsia" w:cs="仿宋"/>
          <w:color w:val="auto"/>
          <w:highlight w:val="none"/>
          <w:shd w:val="clear" w:color="auto" w:fill="auto"/>
          <w:lang w:val="zh-CN"/>
        </w:rPr>
        <w:t>先生/女士，身份证号：</w:t>
      </w:r>
      <w:r>
        <w:rPr>
          <w:rFonts w:hint="eastAsia" w:cs="仿宋"/>
          <w:color w:val="auto"/>
          <w:highlight w:val="none"/>
          <w:u w:val="single"/>
          <w:shd w:val="clear" w:color="auto" w:fill="auto"/>
          <w:lang w:val="zh-CN"/>
        </w:rPr>
        <w:t xml:space="preserve"> </w:t>
      </w:r>
      <w:r>
        <w:rPr>
          <w:rFonts w:cs="仿宋"/>
          <w:color w:val="auto"/>
          <w:highlight w:val="none"/>
          <w:u w:val="single"/>
          <w:shd w:val="clear" w:color="auto" w:fill="auto"/>
          <w:lang w:val="zh-CN"/>
        </w:rPr>
        <w:t xml:space="preserve">                  </w:t>
      </w:r>
    </w:p>
    <w:p>
      <w:pPr>
        <w:snapToGrid w:val="0"/>
        <w:spacing w:line="360" w:lineRule="auto"/>
        <w:ind w:left="290" w:leftChars="121" w:firstLine="480" w:firstLineChars="200"/>
        <w:rPr>
          <w:rFonts w:cs="仿宋"/>
          <w:color w:val="auto"/>
          <w:highlight w:val="none"/>
          <w:shd w:val="clear" w:color="auto" w:fill="auto"/>
        </w:rPr>
      </w:pPr>
      <w:r>
        <w:rPr>
          <w:rFonts w:hint="eastAsia" w:cs="仿宋"/>
          <w:color w:val="auto"/>
          <w:highlight w:val="none"/>
          <w:shd w:val="clear" w:color="auto" w:fill="auto"/>
          <w:lang w:val="zh-CN"/>
        </w:rPr>
        <w:t>手机：</w:t>
      </w:r>
      <w:r>
        <w:rPr>
          <w:rFonts w:hint="eastAsia" w:cs="仿宋"/>
          <w:color w:val="auto"/>
          <w:highlight w:val="none"/>
          <w:u w:val="single"/>
          <w:shd w:val="clear" w:color="auto" w:fill="auto"/>
          <w:lang w:val="zh-CN"/>
        </w:rPr>
        <w:t xml:space="preserve">      </w:t>
      </w:r>
      <w:r>
        <w:rPr>
          <w:rFonts w:cs="仿宋"/>
          <w:color w:val="auto"/>
          <w:highlight w:val="none"/>
          <w:u w:val="single"/>
          <w:shd w:val="clear" w:color="auto" w:fill="auto"/>
          <w:lang w:val="zh-CN"/>
        </w:rPr>
        <w:t xml:space="preserve">     </w:t>
      </w:r>
      <w:r>
        <w:rPr>
          <w:rFonts w:hint="eastAsia" w:cs="仿宋"/>
          <w:color w:val="auto"/>
          <w:highlight w:val="none"/>
          <w:u w:val="single"/>
          <w:shd w:val="clear" w:color="auto" w:fill="auto"/>
          <w:lang w:val="zh-CN"/>
        </w:rPr>
        <w:t xml:space="preserve">  </w:t>
      </w:r>
      <w:r>
        <w:rPr>
          <w:rFonts w:hint="eastAsia" w:cs="仿宋"/>
          <w:color w:val="auto"/>
          <w:highlight w:val="none"/>
          <w:shd w:val="clear" w:color="auto" w:fill="auto"/>
          <w:lang w:val="zh-CN"/>
        </w:rPr>
        <w:t>，代表我公司前来递交</w:t>
      </w:r>
      <w:r>
        <w:rPr>
          <w:rFonts w:cs="仿宋"/>
          <w:color w:val="auto"/>
          <w:highlight w:val="none"/>
          <w:u w:val="single"/>
          <w:shd w:val="clear" w:color="auto" w:fill="auto"/>
          <w:lang w:val="zh-CN"/>
        </w:rPr>
        <w:t xml:space="preserve">                           </w:t>
      </w:r>
      <w:r>
        <w:rPr>
          <w:rFonts w:hint="eastAsia" w:cs="仿宋"/>
          <w:color w:val="auto"/>
          <w:highlight w:val="none"/>
          <w:u w:val="single"/>
          <w:shd w:val="clear" w:color="auto" w:fill="auto"/>
          <w:lang w:val="zh-CN"/>
        </w:rPr>
        <w:t>采购项目</w:t>
      </w:r>
      <w:r>
        <w:rPr>
          <w:rFonts w:hint="eastAsia" w:cs="仿宋"/>
          <w:color w:val="auto"/>
          <w:highlight w:val="none"/>
          <w:shd w:val="clear" w:color="auto" w:fill="auto"/>
          <w:lang w:val="zh-CN"/>
        </w:rPr>
        <w:t>【项目编号：</w:t>
      </w:r>
      <w:r>
        <w:rPr>
          <w:rFonts w:cs="仿宋"/>
          <w:color w:val="auto"/>
          <w:highlight w:val="none"/>
          <w:shd w:val="clear" w:color="auto" w:fill="auto"/>
          <w:lang w:val="zh-CN"/>
        </w:rPr>
        <w:t xml:space="preserve">              </w:t>
      </w:r>
      <w:r>
        <w:rPr>
          <w:rFonts w:hint="eastAsia" w:cs="仿宋"/>
          <w:color w:val="auto"/>
          <w:highlight w:val="none"/>
          <w:shd w:val="clear" w:color="auto" w:fill="auto"/>
          <w:lang w:val="zh-CN"/>
        </w:rPr>
        <w:t xml:space="preserve">】（标项号： </w:t>
      </w:r>
      <w:r>
        <w:rPr>
          <w:rFonts w:cs="仿宋"/>
          <w:color w:val="auto"/>
          <w:highlight w:val="none"/>
          <w:shd w:val="clear" w:color="auto" w:fill="auto"/>
          <w:lang w:val="zh-CN"/>
        </w:rPr>
        <w:t xml:space="preserve"> </w:t>
      </w:r>
      <w:r>
        <w:rPr>
          <w:rFonts w:hint="eastAsia" w:cs="仿宋"/>
          <w:color w:val="auto"/>
          <w:highlight w:val="none"/>
          <w:shd w:val="clear" w:color="auto" w:fill="auto"/>
          <w:lang w:val="zh-CN"/>
        </w:rPr>
        <w:t>）投标样品或参加演示，并全权负责标后取回样品等其他处理事宜。</w:t>
      </w:r>
    </w:p>
    <w:p>
      <w:pPr>
        <w:snapToGrid w:val="0"/>
        <w:spacing w:line="360" w:lineRule="auto"/>
        <w:rPr>
          <w:rFonts w:cs="仿宋"/>
          <w:color w:val="auto"/>
          <w:highlight w:val="none"/>
          <w:shd w:val="clear" w:color="auto" w:fill="auto"/>
          <w:lang w:val="zh-CN"/>
        </w:rPr>
      </w:pPr>
      <w:r>
        <w:rPr>
          <w:rFonts w:hint="eastAsia" w:cs="仿宋"/>
          <w:color w:val="auto"/>
          <w:highlight w:val="none"/>
          <w:shd w:val="clear" w:color="auto" w:fill="auto"/>
          <w:lang w:val="zh-CN"/>
        </w:rPr>
        <w:t xml:space="preserve">  </w:t>
      </w:r>
    </w:p>
    <w:p>
      <w:pPr>
        <w:snapToGrid w:val="0"/>
        <w:spacing w:line="360" w:lineRule="auto"/>
        <w:rPr>
          <w:rFonts w:cs="仿宋"/>
          <w:color w:val="auto"/>
          <w:highlight w:val="none"/>
          <w:shd w:val="clear" w:color="auto" w:fill="auto"/>
        </w:rPr>
      </w:pPr>
      <w:r>
        <w:rPr>
          <w:rFonts w:hint="eastAsia" w:cs="仿宋"/>
          <w:color w:val="auto"/>
          <w:highlight w:val="none"/>
          <w:shd w:val="clear" w:color="auto" w:fill="auto"/>
          <w:lang w:val="zh-CN"/>
        </w:rPr>
        <w:t xml:space="preserve">    特此告知。</w:t>
      </w:r>
    </w:p>
    <w:p>
      <w:pPr>
        <w:snapToGrid w:val="0"/>
        <w:spacing w:line="360" w:lineRule="auto"/>
        <w:rPr>
          <w:rFonts w:cs="仿宋"/>
          <w:color w:val="auto"/>
          <w:highlight w:val="none"/>
          <w:shd w:val="clear" w:color="auto" w:fill="auto"/>
        </w:rPr>
      </w:pPr>
      <w:r>
        <w:rPr>
          <w:rFonts w:hint="eastAsia" w:cs="仿宋"/>
          <w:color w:val="auto"/>
          <w:highlight w:val="none"/>
          <w:shd w:val="clear" w:color="auto" w:fill="auto"/>
          <w:lang w:val="zh-CN"/>
        </w:rPr>
        <w:t xml:space="preserve">                                                  投标人名称(公章)：</w:t>
      </w:r>
    </w:p>
    <w:p>
      <w:pPr>
        <w:snapToGrid w:val="0"/>
        <w:spacing w:line="360" w:lineRule="auto"/>
        <w:rPr>
          <w:rFonts w:cs="仿宋"/>
          <w:color w:val="auto"/>
          <w:highlight w:val="none"/>
          <w:shd w:val="clear" w:color="auto" w:fill="auto"/>
        </w:rPr>
      </w:pPr>
      <w:r>
        <w:rPr>
          <w:rFonts w:hint="eastAsia" w:cs="仿宋"/>
          <w:color w:val="auto"/>
          <w:highlight w:val="none"/>
          <w:shd w:val="clear" w:color="auto" w:fill="auto"/>
          <w:lang w:val="zh-CN"/>
        </w:rPr>
        <w:t xml:space="preserve">                                                  </w:t>
      </w:r>
    </w:p>
    <w:p>
      <w:pPr>
        <w:snapToGrid w:val="0"/>
        <w:spacing w:line="360" w:lineRule="auto"/>
        <w:ind w:right="240"/>
        <w:jc w:val="right"/>
        <w:rPr>
          <w:rFonts w:cs="仿宋"/>
          <w:color w:val="auto"/>
          <w:highlight w:val="none"/>
          <w:shd w:val="clear" w:color="auto" w:fill="auto"/>
          <w:lang w:val="zh-CN"/>
        </w:rPr>
      </w:pPr>
      <w:r>
        <w:rPr>
          <w:rFonts w:hint="eastAsia" w:cs="仿宋"/>
          <w:color w:val="auto"/>
          <w:highlight w:val="none"/>
          <w:shd w:val="clear" w:color="auto" w:fill="auto"/>
          <w:lang w:val="zh-CN"/>
        </w:rPr>
        <w:t>签发日期：  年  月   日</w:t>
      </w:r>
    </w:p>
    <w:p>
      <w:pPr>
        <w:snapToGrid w:val="0"/>
        <w:spacing w:line="360" w:lineRule="auto"/>
        <w:ind w:right="240"/>
        <w:jc w:val="right"/>
        <w:rPr>
          <w:rFonts w:cs="仿宋"/>
          <w:color w:val="auto"/>
          <w:highlight w:val="none"/>
          <w:shd w:val="clear" w:color="auto" w:fill="auto"/>
          <w:lang w:val="zh-CN"/>
        </w:rPr>
      </w:pPr>
    </w:p>
    <w:p>
      <w:pPr>
        <w:snapToGrid w:val="0"/>
        <w:spacing w:line="360" w:lineRule="auto"/>
        <w:ind w:right="1920"/>
        <w:rPr>
          <w:rFonts w:cs="仿宋"/>
          <w:color w:val="auto"/>
          <w:highlight w:val="none"/>
          <w:shd w:val="clear" w:color="auto" w:fill="auto"/>
          <w:lang w:val="zh-CN"/>
        </w:rPr>
      </w:pPr>
    </w:p>
    <w:p>
      <w:pPr>
        <w:snapToGrid w:val="0"/>
        <w:spacing w:line="360" w:lineRule="auto"/>
        <w:ind w:right="240"/>
        <w:jc w:val="right"/>
        <w:rPr>
          <w:rFonts w:cs="仿宋"/>
          <w:color w:val="auto"/>
          <w:highlight w:val="none"/>
          <w:shd w:val="clear" w:color="auto" w:fill="auto"/>
          <w:lang w:val="zh-CN"/>
        </w:rPr>
      </w:pPr>
    </w:p>
    <w:p>
      <w:pPr>
        <w:snapToGrid w:val="0"/>
        <w:spacing w:line="360" w:lineRule="auto"/>
        <w:ind w:right="240"/>
        <w:rPr>
          <w:rFonts w:cs="仿宋"/>
          <w:color w:val="auto"/>
          <w:highlight w:val="none"/>
          <w:shd w:val="clear" w:color="auto" w:fill="auto"/>
          <w:lang w:val="zh-CN"/>
        </w:rPr>
      </w:pPr>
      <w:r>
        <w:rPr>
          <w:rFonts w:hint="eastAsia" w:cs="仿宋"/>
          <w:color w:val="auto"/>
          <w:highlight w:val="none"/>
          <w:shd w:val="clear" w:color="auto" w:fill="auto"/>
        </w:rPr>
        <w:t>受委托人</w:t>
      </w:r>
      <w:r>
        <w:rPr>
          <w:rFonts w:hint="eastAsia" w:cs="仿宋"/>
          <w:color w:val="auto"/>
          <w:highlight w:val="none"/>
          <w:shd w:val="clear" w:color="auto" w:fill="auto"/>
          <w:lang w:val="zh-CN"/>
        </w:rPr>
        <w:t>身份证复印件：</w:t>
      </w:r>
    </w:p>
    <w:p>
      <w:pPr>
        <w:snapToGrid w:val="0"/>
        <w:spacing w:line="360" w:lineRule="auto"/>
        <w:ind w:right="240"/>
        <w:rPr>
          <w:rFonts w:cs="仿宋"/>
          <w:color w:val="auto"/>
          <w:highlight w:val="none"/>
          <w:shd w:val="clear" w:color="auto" w:fill="auto"/>
          <w:lang w:val="zh-CN"/>
        </w:rPr>
      </w:pPr>
    </w:p>
    <w:p>
      <w:pPr>
        <w:snapToGrid w:val="0"/>
        <w:spacing w:line="360" w:lineRule="auto"/>
        <w:ind w:right="240"/>
        <w:rPr>
          <w:rFonts w:cs="仿宋"/>
          <w:color w:val="auto"/>
          <w:highlight w:val="none"/>
          <w:shd w:val="clear" w:color="auto" w:fill="auto"/>
          <w:lang w:val="zh-CN"/>
        </w:rPr>
      </w:pPr>
      <w:r>
        <w:rPr>
          <w:rFonts w:hint="eastAsia" w:cs="仿宋"/>
          <w:color w:val="auto"/>
          <w:highlight w:val="none"/>
          <w:shd w:val="clear" w:color="auto" w:fill="auto"/>
          <w:lang w:val="zh-CN"/>
        </w:rPr>
        <w:t>说明：本委托书在有样品或演示时由受委托人携带至指定地点。</w:t>
      </w:r>
    </w:p>
    <w:p>
      <w:pPr>
        <w:spacing w:line="360" w:lineRule="auto"/>
        <w:rPr>
          <w:rFonts w:cs="仿宋_GB2312"/>
          <w:b/>
          <w:color w:val="auto"/>
          <w:highlight w:val="none"/>
          <w:shd w:val="clear" w:color="auto" w:fill="auto"/>
        </w:rPr>
      </w:pPr>
      <w:r>
        <w:rPr>
          <w:rFonts w:cs="仿宋_GB2312"/>
          <w:b/>
          <w:color w:val="auto"/>
          <w:highlight w:val="none"/>
          <w:shd w:val="clear" w:color="auto" w:fill="auto"/>
        </w:rPr>
        <w:t>同时有样品和演示的</w:t>
      </w:r>
      <w:r>
        <w:rPr>
          <w:rFonts w:hint="eastAsia" w:cs="仿宋_GB2312"/>
          <w:b/>
          <w:color w:val="auto"/>
          <w:highlight w:val="none"/>
          <w:shd w:val="clear" w:color="auto" w:fill="auto"/>
        </w:rPr>
        <w:t>，</w:t>
      </w:r>
      <w:r>
        <w:rPr>
          <w:rFonts w:cs="仿宋_GB2312"/>
          <w:b/>
          <w:color w:val="auto"/>
          <w:highlight w:val="none"/>
          <w:shd w:val="clear" w:color="auto" w:fill="auto"/>
        </w:rPr>
        <w:t>可委托不同人员</w:t>
      </w:r>
      <w:r>
        <w:rPr>
          <w:rFonts w:hint="eastAsia" w:cs="仿宋_GB2312"/>
          <w:b/>
          <w:color w:val="auto"/>
          <w:highlight w:val="none"/>
          <w:shd w:val="clear" w:color="auto" w:fill="auto"/>
        </w:rPr>
        <w:t>。</w:t>
      </w:r>
    </w:p>
    <w:p>
      <w:pPr>
        <w:spacing w:line="360" w:lineRule="auto"/>
        <w:ind w:right="420"/>
        <w:rPr>
          <w:rFonts w:ascii="仿宋_GB2312" w:eastAsia="仿宋_GB2312" w:cs="仿宋_GB2312"/>
          <w:color w:val="auto"/>
          <w:highlight w:val="none"/>
          <w:shd w:val="clear" w:color="auto" w:fill="auto"/>
        </w:rPr>
      </w:pPr>
    </w:p>
    <w:sectPr>
      <w:pgSz w:w="11906" w:h="16838"/>
      <w:pgMar w:top="1440" w:right="1700" w:bottom="1440" w:left="1800" w:header="851" w:footer="992" w:gutter="0"/>
      <w:pgBorders>
        <w:top w:val="none" w:sz="0" w:space="0"/>
        <w:left w:val="none" w:sz="0" w:space="0"/>
        <w:bottom w:val="none" w:sz="0" w:space="0"/>
        <w:right w:val="none" w:sz="0" w:space="0"/>
      </w:pgBorders>
      <w:cols w:space="425"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隶书">
    <w:altName w:val="微软雅黑"/>
    <w:panose1 w:val="0201050906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仿宋体">
    <w:altName w:val="宋体"/>
    <w:panose1 w:val="00000000000000000000"/>
    <w:charset w:val="86"/>
    <w:family w:val="roma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jc w:val="center"/>
      <w:rPr>
        <w:rFonts w:ascii="仿宋_GB2312" w:eastAsia="仿宋_GB2312"/>
      </w:rPr>
    </w:pPr>
    <w:r>
      <w:rPr>
        <w:rFonts w:hint="eastAsia" w:ascii="仿宋_GB2312" w:eastAsia="仿宋_GB2312"/>
      </w:rPr>
      <w:t xml:space="preserve">第 </w:t>
    </w:r>
    <w:r>
      <w:rPr>
        <w:rFonts w:hint="eastAsia" w:ascii="仿宋_GB2312" w:eastAsia="仿宋_GB2312"/>
      </w:rPr>
      <w:fldChar w:fldCharType="begin"/>
    </w:r>
    <w:r>
      <w:rPr>
        <w:rFonts w:hint="eastAsia" w:ascii="仿宋_GB2312" w:eastAsia="仿宋_GB2312"/>
      </w:rPr>
      <w:instrText xml:space="preserve"> PAGE </w:instrText>
    </w:r>
    <w:r>
      <w:rPr>
        <w:rFonts w:hint="eastAsia" w:ascii="仿宋_GB2312" w:eastAsia="仿宋_GB2312"/>
      </w:rPr>
      <w:fldChar w:fldCharType="separate"/>
    </w:r>
    <w:r>
      <w:rPr>
        <w:rFonts w:ascii="仿宋_GB2312" w:eastAsia="仿宋_GB2312"/>
      </w:rPr>
      <w:t>56</w:t>
    </w:r>
    <w:r>
      <w:rPr>
        <w:rFonts w:hint="eastAsia" w:ascii="仿宋_GB2312" w:eastAsia="仿宋_GB2312"/>
      </w:rPr>
      <w:fldChar w:fldCharType="end"/>
    </w:r>
    <w:r>
      <w:rPr>
        <w:rFonts w:hint="eastAsia" w:ascii="仿宋_GB2312" w:eastAsia="仿宋_GB2312"/>
      </w:rPr>
      <w:t xml:space="preserve"> 页 共 </w:t>
    </w:r>
    <w:r>
      <w:rPr>
        <w:rFonts w:hint="eastAsia" w:ascii="仿宋_GB2312" w:eastAsia="仿宋_GB2312"/>
      </w:rPr>
      <w:fldChar w:fldCharType="begin"/>
    </w:r>
    <w:r>
      <w:rPr>
        <w:rFonts w:hint="eastAsia" w:ascii="仿宋_GB2312" w:eastAsia="仿宋_GB2312"/>
      </w:rPr>
      <w:instrText xml:space="preserve"> NUMPAGES </w:instrText>
    </w:r>
    <w:r>
      <w:rPr>
        <w:rFonts w:hint="eastAsia" w:ascii="仿宋_GB2312" w:eastAsia="仿宋_GB2312"/>
      </w:rPr>
      <w:fldChar w:fldCharType="separate"/>
    </w:r>
    <w:r>
      <w:rPr>
        <w:rFonts w:ascii="仿宋_GB2312" w:eastAsia="仿宋_GB2312"/>
      </w:rPr>
      <w:t>77</w:t>
    </w:r>
    <w:r>
      <w:rPr>
        <w:rFonts w:hint="eastAsia" w:ascii="仿宋_GB2312" w:eastAsia="仿宋_GB2312"/>
      </w:rPr>
      <w:fldChar w:fldCharType="end"/>
    </w:r>
    <w:r>
      <w:rPr>
        <w:rFonts w:hint="eastAsia" w:ascii="仿宋_GB2312" w:eastAsia="仿宋_GB2312"/>
      </w:rPr>
      <w:t xml:space="preserve"> 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pBdr>
        <w:bottom w:val="single" w:color="auto" w:sz="6" w:space="4"/>
      </w:pBdr>
      <w:jc w:val="right"/>
    </w:pPr>
    <w:r>
      <w:t></w:t>
    </w:r>
    <w:r>
      <w:rPr>
        <w:rFonts w:hint="eastAsia"/>
      </w:rPr>
      <w:t xml:space="preserve">             </w:t>
    </w:r>
    <w:r>
      <w:t>杭州市政府采购公开招标文件</w:t>
    </w:r>
  </w:p>
  <w:p>
    <w:pPr>
      <w:pStyle w:val="28"/>
      <w:tabs>
        <w:tab w:val="center" w:pos="4535"/>
        <w:tab w:val="right" w:pos="9070"/>
      </w:tabs>
      <w:ind w:firstLine="181" w:firstLineChars="100"/>
      <w:jc w:val="both"/>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pP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1A28B6F"/>
    <w:multiLevelType w:val="singleLevel"/>
    <w:tmpl w:val="C1A28B6F"/>
    <w:lvl w:ilvl="0" w:tentative="0">
      <w:start w:val="1"/>
      <w:numFmt w:val="decimal"/>
      <w:suff w:val="nothing"/>
      <w:lvlText w:val="（%1）"/>
      <w:lvlJc w:val="left"/>
    </w:lvl>
  </w:abstractNum>
  <w:abstractNum w:abstractNumId="1">
    <w:nsid w:val="EC1CAC45"/>
    <w:multiLevelType w:val="singleLevel"/>
    <w:tmpl w:val="EC1CAC45"/>
    <w:lvl w:ilvl="0" w:tentative="0">
      <w:start w:val="16"/>
      <w:numFmt w:val="decimal"/>
      <w:suff w:val="space"/>
      <w:lvlText w:val="(%1)"/>
      <w:lvlJc w:val="left"/>
    </w:lvl>
  </w:abstractNum>
  <w:abstractNum w:abstractNumId="2">
    <w:nsid w:val="00000013"/>
    <w:multiLevelType w:val="singleLevel"/>
    <w:tmpl w:val="00000013"/>
    <w:lvl w:ilvl="0" w:tentative="0">
      <w:start w:val="1"/>
      <w:numFmt w:val="decimal"/>
      <w:suff w:val="space"/>
      <w:lvlText w:val="（%1）"/>
      <w:lvlJc w:val="left"/>
    </w:lvl>
  </w:abstractNum>
  <w:abstractNum w:abstractNumId="3">
    <w:nsid w:val="0B0E5A5D"/>
    <w:multiLevelType w:val="multilevel"/>
    <w:tmpl w:val="0B0E5A5D"/>
    <w:lvl w:ilvl="0" w:tentative="0">
      <w:start w:val="1"/>
      <w:numFmt w:val="bullet"/>
      <w:lvlText w:val=""/>
      <w:lvlJc w:val="left"/>
      <w:pPr>
        <w:ind w:left="780" w:hanging="420"/>
      </w:pPr>
      <w:rPr>
        <w:rFonts w:hint="default" w:ascii="Wingdings" w:hAnsi="Wingdings"/>
      </w:rPr>
    </w:lvl>
    <w:lvl w:ilvl="1" w:tentative="0">
      <w:start w:val="1"/>
      <w:numFmt w:val="bullet"/>
      <w:lvlText w:val=""/>
      <w:lvlJc w:val="left"/>
      <w:pPr>
        <w:ind w:left="1200" w:hanging="420"/>
      </w:pPr>
      <w:rPr>
        <w:rFonts w:hint="default" w:ascii="Wingdings" w:hAnsi="Wingdings"/>
      </w:rPr>
    </w:lvl>
    <w:lvl w:ilvl="2" w:tentative="0">
      <w:start w:val="1"/>
      <w:numFmt w:val="bullet"/>
      <w:lvlText w:val=""/>
      <w:lvlJc w:val="left"/>
      <w:pPr>
        <w:ind w:left="1620" w:hanging="420"/>
      </w:pPr>
      <w:rPr>
        <w:rFonts w:hint="default" w:ascii="Wingdings" w:hAnsi="Wingdings"/>
      </w:rPr>
    </w:lvl>
    <w:lvl w:ilvl="3" w:tentative="0">
      <w:start w:val="1"/>
      <w:numFmt w:val="bullet"/>
      <w:lvlText w:val=""/>
      <w:lvlJc w:val="left"/>
      <w:pPr>
        <w:ind w:left="2040" w:hanging="420"/>
      </w:pPr>
      <w:rPr>
        <w:rFonts w:hint="default" w:ascii="Wingdings" w:hAnsi="Wingdings"/>
      </w:rPr>
    </w:lvl>
    <w:lvl w:ilvl="4" w:tentative="0">
      <w:start w:val="1"/>
      <w:numFmt w:val="bullet"/>
      <w:lvlText w:val=""/>
      <w:lvlJc w:val="left"/>
      <w:pPr>
        <w:ind w:left="2460" w:hanging="420"/>
      </w:pPr>
      <w:rPr>
        <w:rFonts w:hint="default" w:ascii="Wingdings" w:hAnsi="Wingdings"/>
      </w:rPr>
    </w:lvl>
    <w:lvl w:ilvl="5" w:tentative="0">
      <w:start w:val="1"/>
      <w:numFmt w:val="bullet"/>
      <w:lvlText w:val=""/>
      <w:lvlJc w:val="left"/>
      <w:pPr>
        <w:ind w:left="2880" w:hanging="420"/>
      </w:pPr>
      <w:rPr>
        <w:rFonts w:hint="default" w:ascii="Wingdings" w:hAnsi="Wingdings"/>
      </w:rPr>
    </w:lvl>
    <w:lvl w:ilvl="6" w:tentative="0">
      <w:start w:val="1"/>
      <w:numFmt w:val="bullet"/>
      <w:lvlText w:val=""/>
      <w:lvlJc w:val="left"/>
      <w:pPr>
        <w:ind w:left="3300" w:hanging="420"/>
      </w:pPr>
      <w:rPr>
        <w:rFonts w:hint="default" w:ascii="Wingdings" w:hAnsi="Wingdings"/>
      </w:rPr>
    </w:lvl>
    <w:lvl w:ilvl="7" w:tentative="0">
      <w:start w:val="1"/>
      <w:numFmt w:val="bullet"/>
      <w:lvlText w:val=""/>
      <w:lvlJc w:val="left"/>
      <w:pPr>
        <w:ind w:left="3720" w:hanging="420"/>
      </w:pPr>
      <w:rPr>
        <w:rFonts w:hint="default" w:ascii="Wingdings" w:hAnsi="Wingdings"/>
      </w:rPr>
    </w:lvl>
    <w:lvl w:ilvl="8" w:tentative="0">
      <w:start w:val="1"/>
      <w:numFmt w:val="bullet"/>
      <w:lvlText w:val=""/>
      <w:lvlJc w:val="left"/>
      <w:pPr>
        <w:ind w:left="4140" w:hanging="420"/>
      </w:pPr>
      <w:rPr>
        <w:rFonts w:hint="default" w:ascii="Wingdings" w:hAnsi="Wingdings"/>
      </w:rPr>
    </w:lvl>
  </w:abstractNum>
  <w:abstractNum w:abstractNumId="4">
    <w:nsid w:val="259A502E"/>
    <w:multiLevelType w:val="multilevel"/>
    <w:tmpl w:val="259A502E"/>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5">
    <w:nsid w:val="2BF5020E"/>
    <w:multiLevelType w:val="multilevel"/>
    <w:tmpl w:val="2BF5020E"/>
    <w:lvl w:ilvl="0" w:tentative="0">
      <w:start w:val="1"/>
      <w:numFmt w:val="japaneseCounting"/>
      <w:lvlText w:val="%1、"/>
      <w:lvlJc w:val="left"/>
      <w:pPr>
        <w:ind w:left="630" w:hanging="63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302B2E2C"/>
    <w:multiLevelType w:val="multilevel"/>
    <w:tmpl w:val="302B2E2C"/>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341D0185"/>
    <w:multiLevelType w:val="multilevel"/>
    <w:tmpl w:val="341D0185"/>
    <w:lvl w:ilvl="0" w:tentative="0">
      <w:start w:val="1"/>
      <w:numFmt w:val="bullet"/>
      <w:lvlText w:val=""/>
      <w:lvlJc w:val="left"/>
      <w:pPr>
        <w:ind w:left="1234" w:hanging="420"/>
      </w:pPr>
      <w:rPr>
        <w:rFonts w:hint="default" w:ascii="Wingdings" w:hAnsi="Wingdings"/>
      </w:rPr>
    </w:lvl>
    <w:lvl w:ilvl="1" w:tentative="0">
      <w:start w:val="1"/>
      <w:numFmt w:val="bullet"/>
      <w:lvlText w:val=""/>
      <w:lvlJc w:val="left"/>
      <w:pPr>
        <w:ind w:left="1654" w:hanging="420"/>
      </w:pPr>
      <w:rPr>
        <w:rFonts w:hint="default" w:ascii="Wingdings" w:hAnsi="Wingdings"/>
      </w:rPr>
    </w:lvl>
    <w:lvl w:ilvl="2" w:tentative="0">
      <w:start w:val="1"/>
      <w:numFmt w:val="bullet"/>
      <w:lvlText w:val=""/>
      <w:lvlJc w:val="left"/>
      <w:pPr>
        <w:ind w:left="2074" w:hanging="420"/>
      </w:pPr>
      <w:rPr>
        <w:rFonts w:hint="default" w:ascii="Wingdings" w:hAnsi="Wingdings"/>
      </w:rPr>
    </w:lvl>
    <w:lvl w:ilvl="3" w:tentative="0">
      <w:start w:val="1"/>
      <w:numFmt w:val="bullet"/>
      <w:lvlText w:val=""/>
      <w:lvlJc w:val="left"/>
      <w:pPr>
        <w:ind w:left="2494" w:hanging="420"/>
      </w:pPr>
      <w:rPr>
        <w:rFonts w:hint="default" w:ascii="Wingdings" w:hAnsi="Wingdings"/>
      </w:rPr>
    </w:lvl>
    <w:lvl w:ilvl="4" w:tentative="0">
      <w:start w:val="1"/>
      <w:numFmt w:val="bullet"/>
      <w:lvlText w:val=""/>
      <w:lvlJc w:val="left"/>
      <w:pPr>
        <w:ind w:left="2914" w:hanging="420"/>
      </w:pPr>
      <w:rPr>
        <w:rFonts w:hint="default" w:ascii="Wingdings" w:hAnsi="Wingdings"/>
      </w:rPr>
    </w:lvl>
    <w:lvl w:ilvl="5" w:tentative="0">
      <w:start w:val="1"/>
      <w:numFmt w:val="bullet"/>
      <w:lvlText w:val=""/>
      <w:lvlJc w:val="left"/>
      <w:pPr>
        <w:ind w:left="3334" w:hanging="420"/>
      </w:pPr>
      <w:rPr>
        <w:rFonts w:hint="default" w:ascii="Wingdings" w:hAnsi="Wingdings"/>
      </w:rPr>
    </w:lvl>
    <w:lvl w:ilvl="6" w:tentative="0">
      <w:start w:val="1"/>
      <w:numFmt w:val="bullet"/>
      <w:lvlText w:val=""/>
      <w:lvlJc w:val="left"/>
      <w:pPr>
        <w:ind w:left="3754" w:hanging="420"/>
      </w:pPr>
      <w:rPr>
        <w:rFonts w:hint="default" w:ascii="Wingdings" w:hAnsi="Wingdings"/>
      </w:rPr>
    </w:lvl>
    <w:lvl w:ilvl="7" w:tentative="0">
      <w:start w:val="1"/>
      <w:numFmt w:val="bullet"/>
      <w:lvlText w:val=""/>
      <w:lvlJc w:val="left"/>
      <w:pPr>
        <w:ind w:left="4174" w:hanging="420"/>
      </w:pPr>
      <w:rPr>
        <w:rFonts w:hint="default" w:ascii="Wingdings" w:hAnsi="Wingdings"/>
      </w:rPr>
    </w:lvl>
    <w:lvl w:ilvl="8" w:tentative="0">
      <w:start w:val="1"/>
      <w:numFmt w:val="bullet"/>
      <w:lvlText w:val=""/>
      <w:lvlJc w:val="left"/>
      <w:pPr>
        <w:ind w:left="4594" w:hanging="420"/>
      </w:pPr>
      <w:rPr>
        <w:rFonts w:hint="default" w:ascii="Wingdings" w:hAnsi="Wingdings"/>
      </w:rPr>
    </w:lvl>
  </w:abstractNum>
  <w:abstractNum w:abstractNumId="8">
    <w:nsid w:val="57E25491"/>
    <w:multiLevelType w:val="multilevel"/>
    <w:tmpl w:val="57E25491"/>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9">
    <w:nsid w:val="7E566F75"/>
    <w:multiLevelType w:val="multilevel"/>
    <w:tmpl w:val="7E566F75"/>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num w:numId="1">
    <w:abstractNumId w:val="5"/>
  </w:num>
  <w:num w:numId="2">
    <w:abstractNumId w:val="2"/>
  </w:num>
  <w:num w:numId="3">
    <w:abstractNumId w:val="0"/>
  </w:num>
  <w:num w:numId="4">
    <w:abstractNumId w:val="1"/>
  </w:num>
  <w:num w:numId="5">
    <w:abstractNumId w:val="7"/>
  </w:num>
  <w:num w:numId="6">
    <w:abstractNumId w:val="3"/>
  </w:num>
  <w:num w:numId="7">
    <w:abstractNumId w:val="4"/>
  </w:num>
  <w:num w:numId="8">
    <w:abstractNumId w:val="8"/>
  </w:num>
  <w:num w:numId="9">
    <w:abstractNumId w:val="9"/>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20"/>
  <w:drawingGridVerticalSpacing w:val="163"/>
  <w:displayHorizontalDrawingGridEvery w:val="0"/>
  <w:displayVerticalDrawingGridEvery w:val="2"/>
  <w:characterSpacingControl w:val="compressPunctuation"/>
  <w:footnotePr>
    <w:footnote w:id="0"/>
    <w:footnote w:id="1"/>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IxNmQ3ZWJjYjk1OTgzNDU4NjlhYmVhYWJmM2I1ZTQifQ=="/>
  </w:docVars>
  <w:rsids>
    <w:rsidRoot w:val="004A31C0"/>
    <w:rsid w:val="00040E44"/>
    <w:rsid w:val="000506FE"/>
    <w:rsid w:val="00052F13"/>
    <w:rsid w:val="00062A5D"/>
    <w:rsid w:val="00083EEE"/>
    <w:rsid w:val="000C67BA"/>
    <w:rsid w:val="000D12B1"/>
    <w:rsid w:val="000E75F8"/>
    <w:rsid w:val="00106784"/>
    <w:rsid w:val="001375DB"/>
    <w:rsid w:val="001448FA"/>
    <w:rsid w:val="001478DA"/>
    <w:rsid w:val="00173428"/>
    <w:rsid w:val="001A3CF6"/>
    <w:rsid w:val="00240685"/>
    <w:rsid w:val="0024401D"/>
    <w:rsid w:val="002534A7"/>
    <w:rsid w:val="002E02E0"/>
    <w:rsid w:val="003169BC"/>
    <w:rsid w:val="0035778E"/>
    <w:rsid w:val="00380ED1"/>
    <w:rsid w:val="00381B1D"/>
    <w:rsid w:val="003A3435"/>
    <w:rsid w:val="003E2487"/>
    <w:rsid w:val="004105E2"/>
    <w:rsid w:val="00424619"/>
    <w:rsid w:val="00424A1D"/>
    <w:rsid w:val="00462F9D"/>
    <w:rsid w:val="004A31C0"/>
    <w:rsid w:val="00501CA3"/>
    <w:rsid w:val="00581054"/>
    <w:rsid w:val="005A325A"/>
    <w:rsid w:val="005A3BF2"/>
    <w:rsid w:val="0060320D"/>
    <w:rsid w:val="006511DA"/>
    <w:rsid w:val="00652051"/>
    <w:rsid w:val="0065383E"/>
    <w:rsid w:val="00661973"/>
    <w:rsid w:val="006657BD"/>
    <w:rsid w:val="006D161C"/>
    <w:rsid w:val="006F2568"/>
    <w:rsid w:val="006F282E"/>
    <w:rsid w:val="00706DC6"/>
    <w:rsid w:val="00711092"/>
    <w:rsid w:val="00716529"/>
    <w:rsid w:val="00725C59"/>
    <w:rsid w:val="00734973"/>
    <w:rsid w:val="00742C93"/>
    <w:rsid w:val="00744AB4"/>
    <w:rsid w:val="007B07B1"/>
    <w:rsid w:val="00825212"/>
    <w:rsid w:val="00843A59"/>
    <w:rsid w:val="00852E70"/>
    <w:rsid w:val="00872DA1"/>
    <w:rsid w:val="00873B8A"/>
    <w:rsid w:val="008B1281"/>
    <w:rsid w:val="008C3320"/>
    <w:rsid w:val="008F729B"/>
    <w:rsid w:val="009040D0"/>
    <w:rsid w:val="009064F4"/>
    <w:rsid w:val="00945503"/>
    <w:rsid w:val="009823B1"/>
    <w:rsid w:val="009863A6"/>
    <w:rsid w:val="0098739B"/>
    <w:rsid w:val="009B7259"/>
    <w:rsid w:val="009E6B47"/>
    <w:rsid w:val="00A31510"/>
    <w:rsid w:val="00A5394E"/>
    <w:rsid w:val="00A955FA"/>
    <w:rsid w:val="00AB3C03"/>
    <w:rsid w:val="00AC5A89"/>
    <w:rsid w:val="00AD3120"/>
    <w:rsid w:val="00B34428"/>
    <w:rsid w:val="00B50722"/>
    <w:rsid w:val="00B638D9"/>
    <w:rsid w:val="00B955CF"/>
    <w:rsid w:val="00C555C7"/>
    <w:rsid w:val="00CA5372"/>
    <w:rsid w:val="00CB3DBC"/>
    <w:rsid w:val="00CF35F3"/>
    <w:rsid w:val="00D03E3B"/>
    <w:rsid w:val="00D73271"/>
    <w:rsid w:val="00D901E0"/>
    <w:rsid w:val="00DB52AF"/>
    <w:rsid w:val="00DE7F9D"/>
    <w:rsid w:val="00E01C27"/>
    <w:rsid w:val="00E0322B"/>
    <w:rsid w:val="00E20696"/>
    <w:rsid w:val="00E428C8"/>
    <w:rsid w:val="00E81776"/>
    <w:rsid w:val="00E93AFC"/>
    <w:rsid w:val="00E94AF3"/>
    <w:rsid w:val="00ED389E"/>
    <w:rsid w:val="00EE2D23"/>
    <w:rsid w:val="00F577A9"/>
    <w:rsid w:val="00F66F6C"/>
    <w:rsid w:val="00F82240"/>
    <w:rsid w:val="00F872C5"/>
    <w:rsid w:val="00F906B9"/>
    <w:rsid w:val="00FD5896"/>
    <w:rsid w:val="0DB31F4A"/>
    <w:rsid w:val="30A722E1"/>
    <w:rsid w:val="328F5F4B"/>
    <w:rsid w:val="340C65FD"/>
    <w:rsid w:val="4B1F7CF7"/>
    <w:rsid w:val="502B7F28"/>
    <w:rsid w:val="650869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ajorHAnsi" w:hAnsiTheme="majorHAnsi" w:eastAsiaTheme="majorEastAsia" w:cstheme="maj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pPr>
    <w:rPr>
      <w:rFonts w:ascii="仿宋" w:hAnsi="仿宋" w:eastAsia="仿宋" w:cstheme="majorBidi"/>
      <w:sz w:val="24"/>
      <w:szCs w:val="24"/>
      <w:lang w:val="en-US" w:eastAsia="zh-CN" w:bidi="ar-SA"/>
    </w:rPr>
  </w:style>
  <w:style w:type="paragraph" w:styleId="2">
    <w:name w:val="heading 1"/>
    <w:basedOn w:val="1"/>
    <w:next w:val="1"/>
    <w:link w:val="38"/>
    <w:qFormat/>
    <w:uiPriority w:val="9"/>
    <w:pPr>
      <w:spacing w:before="480" w:after="0"/>
      <w:contextualSpacing/>
      <w:jc w:val="center"/>
      <w:outlineLvl w:val="0"/>
    </w:pPr>
    <w:rPr>
      <w:rFonts w:ascii="仿宋_GB2312" w:eastAsia="仿宋_GB2312"/>
      <w:b/>
      <w:smallCaps/>
      <w:spacing w:val="5"/>
      <w:sz w:val="36"/>
      <w:szCs w:val="36"/>
    </w:rPr>
  </w:style>
  <w:style w:type="paragraph" w:styleId="3">
    <w:name w:val="heading 2"/>
    <w:basedOn w:val="1"/>
    <w:next w:val="1"/>
    <w:link w:val="39"/>
    <w:unhideWhenUsed/>
    <w:qFormat/>
    <w:uiPriority w:val="9"/>
    <w:pPr>
      <w:spacing w:before="200" w:after="0" w:line="271" w:lineRule="auto"/>
      <w:jc w:val="center"/>
      <w:outlineLvl w:val="1"/>
    </w:pPr>
    <w:rPr>
      <w:b/>
      <w:smallCaps/>
      <w:sz w:val="28"/>
      <w:szCs w:val="28"/>
    </w:rPr>
  </w:style>
  <w:style w:type="paragraph" w:styleId="4">
    <w:name w:val="heading 3"/>
    <w:basedOn w:val="1"/>
    <w:next w:val="1"/>
    <w:link w:val="40"/>
    <w:unhideWhenUsed/>
    <w:qFormat/>
    <w:uiPriority w:val="9"/>
    <w:pPr>
      <w:outlineLvl w:val="2"/>
    </w:pPr>
    <w:rPr>
      <w:b/>
    </w:rPr>
  </w:style>
  <w:style w:type="paragraph" w:styleId="5">
    <w:name w:val="heading 4"/>
    <w:basedOn w:val="1"/>
    <w:next w:val="1"/>
    <w:link w:val="41"/>
    <w:unhideWhenUsed/>
    <w:qFormat/>
    <w:uiPriority w:val="9"/>
    <w:pPr>
      <w:spacing w:after="0" w:line="271" w:lineRule="auto"/>
      <w:outlineLvl w:val="3"/>
    </w:pPr>
    <w:rPr>
      <w:b/>
      <w:bCs/>
      <w:spacing w:val="5"/>
    </w:rPr>
  </w:style>
  <w:style w:type="paragraph" w:styleId="6">
    <w:name w:val="heading 5"/>
    <w:basedOn w:val="1"/>
    <w:next w:val="1"/>
    <w:link w:val="42"/>
    <w:unhideWhenUsed/>
    <w:qFormat/>
    <w:uiPriority w:val="9"/>
    <w:pPr>
      <w:spacing w:after="0" w:line="271" w:lineRule="auto"/>
      <w:outlineLvl w:val="4"/>
    </w:pPr>
    <w:rPr>
      <w:i/>
      <w:iCs/>
    </w:rPr>
  </w:style>
  <w:style w:type="paragraph" w:styleId="7">
    <w:name w:val="heading 6"/>
    <w:basedOn w:val="1"/>
    <w:next w:val="1"/>
    <w:link w:val="43"/>
    <w:semiHidden/>
    <w:unhideWhenUsed/>
    <w:qFormat/>
    <w:uiPriority w:val="9"/>
    <w:pPr>
      <w:shd w:val="clear" w:color="auto" w:fill="FFFFFF" w:themeFill="background1"/>
      <w:spacing w:after="0" w:line="271" w:lineRule="auto"/>
      <w:outlineLvl w:val="5"/>
    </w:pPr>
    <w:rPr>
      <w:b/>
      <w:bCs/>
      <w:color w:val="595959" w:themeColor="text1" w:themeTint="A6"/>
      <w:spacing w:val="5"/>
      <w14:textFill>
        <w14:solidFill>
          <w14:schemeClr w14:val="tx1">
            <w14:lumMod w14:val="65000"/>
            <w14:lumOff w14:val="35000"/>
          </w14:schemeClr>
        </w14:solidFill>
      </w14:textFill>
    </w:rPr>
  </w:style>
  <w:style w:type="paragraph" w:styleId="8">
    <w:name w:val="heading 7"/>
    <w:basedOn w:val="1"/>
    <w:next w:val="1"/>
    <w:link w:val="44"/>
    <w:semiHidden/>
    <w:unhideWhenUsed/>
    <w:qFormat/>
    <w:uiPriority w:val="9"/>
    <w:pPr>
      <w:spacing w:after="0"/>
      <w:outlineLvl w:val="6"/>
    </w:pPr>
    <w:rPr>
      <w:b/>
      <w:bCs/>
      <w:i/>
      <w:iCs/>
      <w:color w:val="595959" w:themeColor="text1" w:themeTint="A6"/>
      <w:sz w:val="20"/>
      <w:szCs w:val="20"/>
      <w14:textFill>
        <w14:solidFill>
          <w14:schemeClr w14:val="tx1">
            <w14:lumMod w14:val="65000"/>
            <w14:lumOff w14:val="35000"/>
          </w14:schemeClr>
        </w14:solidFill>
      </w14:textFill>
    </w:rPr>
  </w:style>
  <w:style w:type="paragraph" w:styleId="9">
    <w:name w:val="heading 8"/>
    <w:basedOn w:val="1"/>
    <w:next w:val="1"/>
    <w:link w:val="45"/>
    <w:semiHidden/>
    <w:unhideWhenUsed/>
    <w:qFormat/>
    <w:uiPriority w:val="9"/>
    <w:pPr>
      <w:spacing w:after="0"/>
      <w:outlineLvl w:val="7"/>
    </w:pPr>
    <w:rPr>
      <w:b/>
      <w:bCs/>
      <w:color w:val="808080" w:themeColor="text1" w:themeTint="80"/>
      <w:sz w:val="20"/>
      <w:szCs w:val="20"/>
      <w14:textFill>
        <w14:solidFill>
          <w14:schemeClr w14:val="tx1">
            <w14:lumMod w14:val="50000"/>
            <w14:lumOff w14:val="50000"/>
          </w14:schemeClr>
        </w14:solidFill>
      </w14:textFill>
    </w:rPr>
  </w:style>
  <w:style w:type="paragraph" w:styleId="10">
    <w:name w:val="heading 9"/>
    <w:basedOn w:val="1"/>
    <w:next w:val="1"/>
    <w:link w:val="46"/>
    <w:semiHidden/>
    <w:unhideWhenUsed/>
    <w:qFormat/>
    <w:uiPriority w:val="9"/>
    <w:pPr>
      <w:spacing w:after="0" w:line="271" w:lineRule="auto"/>
      <w:outlineLvl w:val="8"/>
    </w:pPr>
    <w:rPr>
      <w:b/>
      <w:bCs/>
      <w:i/>
      <w:iCs/>
      <w:color w:val="808080" w:themeColor="text1" w:themeTint="80"/>
      <w:sz w:val="18"/>
      <w:szCs w:val="18"/>
      <w14:textFill>
        <w14:solidFill>
          <w14:schemeClr w14:val="tx1">
            <w14:lumMod w14:val="50000"/>
            <w14:lumOff w14:val="50000"/>
          </w14:schemeClr>
        </w14:solidFill>
      </w14:textFill>
    </w:rPr>
  </w:style>
  <w:style w:type="character" w:default="1" w:styleId="32">
    <w:name w:val="Default Paragraph Font"/>
    <w:semiHidden/>
    <w:unhideWhenUsed/>
    <w:uiPriority w:val="1"/>
  </w:style>
  <w:style w:type="table" w:default="1" w:styleId="30">
    <w:name w:val="Normal Table"/>
    <w:semiHidden/>
    <w:unhideWhenUsed/>
    <w:qFormat/>
    <w:uiPriority w:val="99"/>
    <w:tblPr>
      <w:tblCellMar>
        <w:top w:w="0" w:type="dxa"/>
        <w:left w:w="108" w:type="dxa"/>
        <w:bottom w:w="0" w:type="dxa"/>
        <w:right w:w="108" w:type="dxa"/>
      </w:tblCellMar>
    </w:tblPr>
  </w:style>
  <w:style w:type="paragraph" w:styleId="11">
    <w:name w:val="Normal Indent"/>
    <w:basedOn w:val="1"/>
    <w:link w:val="65"/>
    <w:qFormat/>
    <w:uiPriority w:val="0"/>
    <w:pPr>
      <w:adjustRightInd w:val="0"/>
      <w:snapToGrid w:val="0"/>
      <w:spacing w:after="0" w:line="480" w:lineRule="exact"/>
      <w:ind w:firstLine="567"/>
      <w:jc w:val="both"/>
    </w:pPr>
    <w:rPr>
      <w:rFonts w:ascii="宋体" w:hAnsi="Times New Roman" w:eastAsia="宋体" w:cs="Times New Roman"/>
      <w:snapToGrid w:val="0"/>
      <w:color w:val="000000"/>
      <w:kern w:val="28"/>
      <w:sz w:val="28"/>
      <w:szCs w:val="20"/>
    </w:rPr>
  </w:style>
  <w:style w:type="paragraph" w:styleId="12">
    <w:name w:val="caption"/>
    <w:basedOn w:val="1"/>
    <w:next w:val="1"/>
    <w:semiHidden/>
    <w:unhideWhenUsed/>
    <w:qFormat/>
    <w:uiPriority w:val="35"/>
    <w:rPr>
      <w:b/>
      <w:bCs/>
      <w:caps/>
      <w:sz w:val="16"/>
      <w:szCs w:val="18"/>
    </w:rPr>
  </w:style>
  <w:style w:type="paragraph" w:styleId="13">
    <w:name w:val="Body Text"/>
    <w:basedOn w:val="1"/>
    <w:next w:val="14"/>
    <w:unhideWhenUsed/>
    <w:qFormat/>
    <w:uiPriority w:val="99"/>
    <w:pPr>
      <w:spacing w:after="120" w:line="300" w:lineRule="auto"/>
    </w:pPr>
    <w:rPr>
      <w:rFonts w:cs="Times New Roman"/>
      <w:sz w:val="28"/>
      <w:szCs w:val="20"/>
    </w:rPr>
  </w:style>
  <w:style w:type="paragraph" w:customStyle="1" w:styleId="14">
    <w:name w:val="样式 表格正文 + 两端对齐"/>
    <w:basedOn w:val="1"/>
    <w:next w:val="15"/>
    <w:qFormat/>
    <w:uiPriority w:val="0"/>
    <w:pPr>
      <w:widowControl w:val="0"/>
      <w:spacing w:after="0" w:line="300" w:lineRule="auto"/>
      <w:jc w:val="both"/>
    </w:pPr>
    <w:rPr>
      <w:rFonts w:ascii="Times New Roman" w:eastAsia="宋体"/>
    </w:rPr>
  </w:style>
  <w:style w:type="paragraph" w:customStyle="1" w:styleId="15">
    <w:name w:val="正文1"/>
    <w:basedOn w:val="1"/>
    <w:next w:val="16"/>
    <w:qFormat/>
    <w:uiPriority w:val="0"/>
    <w:pPr>
      <w:ind w:firstLine="540"/>
    </w:pPr>
    <w:rPr>
      <w:szCs w:val="20"/>
    </w:rPr>
  </w:style>
  <w:style w:type="paragraph" w:customStyle="1" w:styleId="16">
    <w:name w:val="自动更正"/>
    <w:next w:val="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
    <w:name w:val="xl39"/>
    <w:basedOn w:val="1"/>
    <w:next w:val="18"/>
    <w:qFormat/>
    <w:uiPriority w:val="0"/>
    <w:pPr>
      <w:pBdr>
        <w:top w:val="single" w:color="auto" w:sz="4" w:space="0"/>
        <w:bottom w:val="single" w:color="auto" w:sz="4" w:space="0"/>
        <w:right w:val="single" w:color="auto" w:sz="4" w:space="0"/>
      </w:pBdr>
      <w:spacing w:before="100" w:after="100"/>
      <w:textAlignment w:val="center"/>
    </w:pPr>
    <w:rPr>
      <w:szCs w:val="20"/>
    </w:rPr>
  </w:style>
  <w:style w:type="paragraph" w:customStyle="1" w:styleId="18">
    <w:name w:val="分手多日，近况如何？"/>
    <w:next w:val="1"/>
    <w:qFormat/>
    <w:uiPriority w:val="0"/>
    <w:pPr>
      <w:widowControl w:val="0"/>
      <w:jc w:val="both"/>
    </w:pPr>
    <w:rPr>
      <w:rFonts w:ascii="Times New Roman" w:hAnsi="Times New Roman" w:eastAsia="宋体" w:cs="Times New Roman"/>
      <w:sz w:val="21"/>
      <w:lang w:val="en-US" w:eastAsia="zh-CN" w:bidi="ar-SA"/>
    </w:rPr>
  </w:style>
  <w:style w:type="paragraph" w:styleId="19">
    <w:name w:val="Body Text Indent"/>
    <w:basedOn w:val="1"/>
    <w:link w:val="68"/>
    <w:qFormat/>
    <w:uiPriority w:val="0"/>
    <w:pPr>
      <w:widowControl w:val="0"/>
      <w:adjustRightInd w:val="0"/>
      <w:spacing w:after="0" w:line="480" w:lineRule="exact"/>
      <w:ind w:firstLine="480" w:firstLineChars="200"/>
      <w:jc w:val="both"/>
    </w:pPr>
    <w:rPr>
      <w:rFonts w:ascii="宋体" w:hAnsi="宋体" w:eastAsia="宋体" w:cs="Times New Roman"/>
      <w:kern w:val="2"/>
    </w:rPr>
  </w:style>
  <w:style w:type="paragraph" w:styleId="20">
    <w:name w:val="List 2"/>
    <w:basedOn w:val="1"/>
    <w:qFormat/>
    <w:uiPriority w:val="0"/>
    <w:pPr>
      <w:ind w:left="100" w:leftChars="200" w:hanging="200" w:hangingChars="200"/>
    </w:pPr>
  </w:style>
  <w:style w:type="paragraph" w:styleId="21">
    <w:name w:val="Plain Text"/>
    <w:basedOn w:val="1"/>
    <w:link w:val="66"/>
    <w:qFormat/>
    <w:uiPriority w:val="0"/>
    <w:pPr>
      <w:widowControl w:val="0"/>
      <w:adjustRightInd w:val="0"/>
      <w:spacing w:after="0"/>
      <w:jc w:val="both"/>
    </w:pPr>
    <w:rPr>
      <w:rFonts w:ascii="宋体" w:hAnsi="Courier New" w:eastAsia="宋体" w:cs="Arial"/>
      <w:snapToGrid w:val="0"/>
      <w:kern w:val="2"/>
      <w:sz w:val="21"/>
      <w:szCs w:val="21"/>
    </w:rPr>
  </w:style>
  <w:style w:type="paragraph" w:styleId="22">
    <w:name w:val="Date"/>
    <w:basedOn w:val="1"/>
    <w:next w:val="1"/>
    <w:qFormat/>
    <w:uiPriority w:val="0"/>
    <w:pPr>
      <w:ind w:left="100" w:leftChars="2500"/>
    </w:pPr>
    <w:rPr>
      <w:sz w:val="28"/>
    </w:rPr>
  </w:style>
  <w:style w:type="paragraph" w:styleId="23">
    <w:name w:val="Balloon Text"/>
    <w:basedOn w:val="1"/>
    <w:link w:val="80"/>
    <w:semiHidden/>
    <w:unhideWhenUsed/>
    <w:qFormat/>
    <w:uiPriority w:val="99"/>
    <w:pPr>
      <w:spacing w:after="0"/>
    </w:pPr>
    <w:rPr>
      <w:sz w:val="18"/>
      <w:szCs w:val="18"/>
    </w:rPr>
  </w:style>
  <w:style w:type="paragraph" w:styleId="24">
    <w:name w:val="footer"/>
    <w:basedOn w:val="1"/>
    <w:link w:val="37"/>
    <w:unhideWhenUsed/>
    <w:qFormat/>
    <w:uiPriority w:val="99"/>
    <w:pPr>
      <w:tabs>
        <w:tab w:val="center" w:pos="4153"/>
        <w:tab w:val="right" w:pos="8306"/>
      </w:tabs>
      <w:snapToGrid w:val="0"/>
    </w:pPr>
    <w:rPr>
      <w:sz w:val="18"/>
      <w:szCs w:val="18"/>
    </w:rPr>
  </w:style>
  <w:style w:type="paragraph" w:styleId="25">
    <w:name w:val="header"/>
    <w:basedOn w:val="1"/>
    <w:link w:val="36"/>
    <w:unhideWhenUsed/>
    <w:qFormat/>
    <w:uiPriority w:val="99"/>
    <w:pPr>
      <w:pBdr>
        <w:bottom w:val="single" w:color="auto" w:sz="6" w:space="1"/>
      </w:pBdr>
      <w:tabs>
        <w:tab w:val="center" w:pos="4153"/>
        <w:tab w:val="right" w:pos="8306"/>
      </w:tabs>
      <w:snapToGrid w:val="0"/>
      <w:jc w:val="center"/>
    </w:pPr>
    <w:rPr>
      <w:sz w:val="18"/>
      <w:szCs w:val="18"/>
    </w:rPr>
  </w:style>
  <w:style w:type="paragraph" w:styleId="26">
    <w:name w:val="Subtitle"/>
    <w:basedOn w:val="1"/>
    <w:next w:val="1"/>
    <w:link w:val="48"/>
    <w:qFormat/>
    <w:uiPriority w:val="11"/>
    <w:rPr>
      <w:i/>
      <w:iCs/>
      <w:smallCaps/>
      <w:spacing w:val="10"/>
      <w:sz w:val="28"/>
      <w:szCs w:val="28"/>
    </w:rPr>
  </w:style>
  <w:style w:type="paragraph" w:styleId="27">
    <w:name w:val="Body Text 2"/>
    <w:basedOn w:val="1"/>
    <w:qFormat/>
    <w:uiPriority w:val="0"/>
    <w:pPr>
      <w:spacing w:afterLines="50" w:line="216" w:lineRule="auto"/>
      <w:jc w:val="center"/>
    </w:pPr>
    <w:rPr>
      <w:rFonts w:ascii="隶书" w:eastAsia="隶书"/>
      <w:bCs/>
      <w:sz w:val="72"/>
      <w:szCs w:val="84"/>
    </w:rPr>
  </w:style>
  <w:style w:type="paragraph" w:styleId="28">
    <w:name w:val="Title"/>
    <w:basedOn w:val="1"/>
    <w:next w:val="1"/>
    <w:link w:val="47"/>
    <w:qFormat/>
    <w:uiPriority w:val="10"/>
    <w:pPr>
      <w:spacing w:after="300"/>
      <w:contextualSpacing/>
    </w:pPr>
    <w:rPr>
      <w:smallCaps/>
      <w:sz w:val="52"/>
      <w:szCs w:val="52"/>
    </w:rPr>
  </w:style>
  <w:style w:type="paragraph" w:styleId="29">
    <w:name w:val="Body Text First Indent"/>
    <w:basedOn w:val="13"/>
    <w:next w:val="1"/>
    <w:qFormat/>
    <w:uiPriority w:val="0"/>
    <w:pPr>
      <w:spacing w:after="0" w:line="360" w:lineRule="auto"/>
      <w:ind w:firstLine="200" w:firstLineChars="200"/>
    </w:pPr>
    <w:rPr>
      <w:rFonts w:eastAsia="仿宋_GB2312"/>
      <w:szCs w:val="24"/>
    </w:rPr>
  </w:style>
  <w:style w:type="table" w:styleId="31">
    <w:name w:val="Table Grid"/>
    <w:basedOn w:val="30"/>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3">
    <w:name w:val="Strong"/>
    <w:qFormat/>
    <w:uiPriority w:val="22"/>
    <w:rPr>
      <w:b/>
      <w:bCs/>
    </w:rPr>
  </w:style>
  <w:style w:type="character" w:styleId="34">
    <w:name w:val="Emphasis"/>
    <w:qFormat/>
    <w:uiPriority w:val="20"/>
    <w:rPr>
      <w:b/>
      <w:bCs/>
      <w:i/>
      <w:iCs/>
      <w:spacing w:val="10"/>
    </w:rPr>
  </w:style>
  <w:style w:type="character" w:styleId="35">
    <w:name w:val="Hyperlink"/>
    <w:qFormat/>
    <w:uiPriority w:val="99"/>
    <w:rPr>
      <w:rFonts w:ascii="Arial" w:hAnsi="Arial" w:eastAsia="黑体" w:cs="Arial"/>
      <w:snapToGrid w:val="0"/>
      <w:color w:val="000000"/>
      <w:kern w:val="0"/>
      <w:sz w:val="18"/>
      <w:szCs w:val="18"/>
      <w:u w:val="none"/>
    </w:rPr>
  </w:style>
  <w:style w:type="character" w:customStyle="1" w:styleId="36">
    <w:name w:val="页眉 Char"/>
    <w:basedOn w:val="32"/>
    <w:link w:val="25"/>
    <w:qFormat/>
    <w:uiPriority w:val="99"/>
    <w:rPr>
      <w:sz w:val="18"/>
      <w:szCs w:val="18"/>
    </w:rPr>
  </w:style>
  <w:style w:type="character" w:customStyle="1" w:styleId="37">
    <w:name w:val="页脚 Char"/>
    <w:basedOn w:val="32"/>
    <w:link w:val="24"/>
    <w:qFormat/>
    <w:uiPriority w:val="99"/>
    <w:rPr>
      <w:sz w:val="18"/>
      <w:szCs w:val="18"/>
    </w:rPr>
  </w:style>
  <w:style w:type="character" w:customStyle="1" w:styleId="38">
    <w:name w:val="标题 1 Char"/>
    <w:basedOn w:val="32"/>
    <w:link w:val="2"/>
    <w:qFormat/>
    <w:uiPriority w:val="9"/>
    <w:rPr>
      <w:rFonts w:ascii="仿宋_GB2312" w:hAnsi="仿宋" w:eastAsia="仿宋_GB2312"/>
      <w:b/>
      <w:smallCaps/>
      <w:spacing w:val="5"/>
      <w:sz w:val="36"/>
      <w:szCs w:val="36"/>
    </w:rPr>
  </w:style>
  <w:style w:type="character" w:customStyle="1" w:styleId="39">
    <w:name w:val="标题 2 Char"/>
    <w:basedOn w:val="32"/>
    <w:link w:val="3"/>
    <w:qFormat/>
    <w:uiPriority w:val="9"/>
    <w:rPr>
      <w:rFonts w:ascii="仿宋" w:hAnsi="仿宋" w:eastAsia="仿宋"/>
      <w:b/>
      <w:smallCaps/>
      <w:sz w:val="28"/>
      <w:szCs w:val="28"/>
    </w:rPr>
  </w:style>
  <w:style w:type="character" w:customStyle="1" w:styleId="40">
    <w:name w:val="标题 3 Char"/>
    <w:basedOn w:val="32"/>
    <w:link w:val="4"/>
    <w:qFormat/>
    <w:uiPriority w:val="9"/>
    <w:rPr>
      <w:rFonts w:ascii="仿宋" w:hAnsi="仿宋" w:eastAsia="仿宋"/>
      <w:b/>
      <w:sz w:val="24"/>
      <w:szCs w:val="24"/>
    </w:rPr>
  </w:style>
  <w:style w:type="character" w:customStyle="1" w:styleId="41">
    <w:name w:val="标题 4 Char"/>
    <w:basedOn w:val="32"/>
    <w:link w:val="5"/>
    <w:qFormat/>
    <w:uiPriority w:val="9"/>
    <w:rPr>
      <w:b/>
      <w:bCs/>
      <w:spacing w:val="5"/>
      <w:sz w:val="24"/>
      <w:szCs w:val="24"/>
    </w:rPr>
  </w:style>
  <w:style w:type="character" w:customStyle="1" w:styleId="42">
    <w:name w:val="标题 5 Char"/>
    <w:basedOn w:val="32"/>
    <w:link w:val="6"/>
    <w:qFormat/>
    <w:uiPriority w:val="9"/>
    <w:rPr>
      <w:i/>
      <w:iCs/>
      <w:sz w:val="24"/>
      <w:szCs w:val="24"/>
    </w:rPr>
  </w:style>
  <w:style w:type="character" w:customStyle="1" w:styleId="43">
    <w:name w:val="标题 6 Char"/>
    <w:basedOn w:val="32"/>
    <w:link w:val="7"/>
    <w:semiHidden/>
    <w:qFormat/>
    <w:uiPriority w:val="9"/>
    <w:rPr>
      <w:b/>
      <w:bCs/>
      <w:color w:val="595959" w:themeColor="text1" w:themeTint="A6"/>
      <w:spacing w:val="5"/>
      <w:shd w:val="clear" w:color="auto" w:fill="FFFFFF" w:themeFill="background1"/>
      <w14:textFill>
        <w14:solidFill>
          <w14:schemeClr w14:val="tx1">
            <w14:lumMod w14:val="65000"/>
            <w14:lumOff w14:val="35000"/>
          </w14:schemeClr>
        </w14:solidFill>
      </w14:textFill>
    </w:rPr>
  </w:style>
  <w:style w:type="character" w:customStyle="1" w:styleId="44">
    <w:name w:val="标题 7 Char"/>
    <w:basedOn w:val="32"/>
    <w:link w:val="8"/>
    <w:semiHidden/>
    <w:qFormat/>
    <w:uiPriority w:val="9"/>
    <w:rPr>
      <w:b/>
      <w:bCs/>
      <w:i/>
      <w:iCs/>
      <w:color w:val="595959" w:themeColor="text1" w:themeTint="A6"/>
      <w:sz w:val="20"/>
      <w:szCs w:val="20"/>
      <w14:textFill>
        <w14:solidFill>
          <w14:schemeClr w14:val="tx1">
            <w14:lumMod w14:val="65000"/>
            <w14:lumOff w14:val="35000"/>
          </w14:schemeClr>
        </w14:solidFill>
      </w14:textFill>
    </w:rPr>
  </w:style>
  <w:style w:type="character" w:customStyle="1" w:styleId="45">
    <w:name w:val="标题 8 Char"/>
    <w:basedOn w:val="32"/>
    <w:link w:val="9"/>
    <w:semiHidden/>
    <w:qFormat/>
    <w:uiPriority w:val="9"/>
    <w:rPr>
      <w:b/>
      <w:bCs/>
      <w:color w:val="808080" w:themeColor="text1" w:themeTint="80"/>
      <w:sz w:val="20"/>
      <w:szCs w:val="20"/>
      <w14:textFill>
        <w14:solidFill>
          <w14:schemeClr w14:val="tx1">
            <w14:lumMod w14:val="50000"/>
            <w14:lumOff w14:val="50000"/>
          </w14:schemeClr>
        </w14:solidFill>
      </w14:textFill>
    </w:rPr>
  </w:style>
  <w:style w:type="character" w:customStyle="1" w:styleId="46">
    <w:name w:val="标题 9 Char"/>
    <w:basedOn w:val="32"/>
    <w:link w:val="10"/>
    <w:semiHidden/>
    <w:qFormat/>
    <w:uiPriority w:val="9"/>
    <w:rPr>
      <w:b/>
      <w:bCs/>
      <w:i/>
      <w:iCs/>
      <w:color w:val="808080" w:themeColor="text1" w:themeTint="80"/>
      <w:sz w:val="18"/>
      <w:szCs w:val="18"/>
      <w14:textFill>
        <w14:solidFill>
          <w14:schemeClr w14:val="tx1">
            <w14:lumMod w14:val="50000"/>
            <w14:lumOff w14:val="50000"/>
          </w14:schemeClr>
        </w14:solidFill>
      </w14:textFill>
    </w:rPr>
  </w:style>
  <w:style w:type="character" w:customStyle="1" w:styleId="47">
    <w:name w:val="标题 Char"/>
    <w:basedOn w:val="32"/>
    <w:link w:val="28"/>
    <w:qFormat/>
    <w:uiPriority w:val="10"/>
    <w:rPr>
      <w:smallCaps/>
      <w:sz w:val="52"/>
      <w:szCs w:val="52"/>
    </w:rPr>
  </w:style>
  <w:style w:type="character" w:customStyle="1" w:styleId="48">
    <w:name w:val="副标题 Char"/>
    <w:basedOn w:val="32"/>
    <w:link w:val="26"/>
    <w:qFormat/>
    <w:uiPriority w:val="11"/>
    <w:rPr>
      <w:i/>
      <w:iCs/>
      <w:smallCaps/>
      <w:spacing w:val="10"/>
      <w:sz w:val="28"/>
      <w:szCs w:val="28"/>
    </w:rPr>
  </w:style>
  <w:style w:type="paragraph" w:styleId="49">
    <w:name w:val="No Spacing"/>
    <w:basedOn w:val="1"/>
    <w:link w:val="61"/>
    <w:qFormat/>
    <w:uiPriority w:val="1"/>
    <w:pPr>
      <w:spacing w:after="0"/>
    </w:pPr>
  </w:style>
  <w:style w:type="paragraph" w:styleId="50">
    <w:name w:val="List Paragraph"/>
    <w:basedOn w:val="1"/>
    <w:qFormat/>
    <w:uiPriority w:val="34"/>
    <w:pPr>
      <w:ind w:left="720"/>
      <w:contextualSpacing/>
    </w:pPr>
  </w:style>
  <w:style w:type="paragraph" w:styleId="51">
    <w:name w:val="Quote"/>
    <w:basedOn w:val="1"/>
    <w:next w:val="1"/>
    <w:link w:val="52"/>
    <w:qFormat/>
    <w:uiPriority w:val="29"/>
    <w:rPr>
      <w:i/>
      <w:iCs/>
    </w:rPr>
  </w:style>
  <w:style w:type="character" w:customStyle="1" w:styleId="52">
    <w:name w:val="引用 Char"/>
    <w:basedOn w:val="32"/>
    <w:link w:val="51"/>
    <w:qFormat/>
    <w:uiPriority w:val="29"/>
    <w:rPr>
      <w:i/>
      <w:iCs/>
    </w:rPr>
  </w:style>
  <w:style w:type="paragraph" w:styleId="53">
    <w:name w:val="Intense Quote"/>
    <w:basedOn w:val="1"/>
    <w:next w:val="1"/>
    <w:link w:val="54"/>
    <w:qFormat/>
    <w:uiPriority w:val="30"/>
    <w:pPr>
      <w:pBdr>
        <w:top w:val="single" w:color="auto" w:sz="4" w:space="10"/>
        <w:bottom w:val="single" w:color="auto" w:sz="4" w:space="10"/>
      </w:pBdr>
      <w:spacing w:before="240" w:after="240" w:line="300" w:lineRule="auto"/>
      <w:ind w:left="1152" w:right="1152"/>
      <w:jc w:val="both"/>
    </w:pPr>
    <w:rPr>
      <w:i/>
      <w:iCs/>
    </w:rPr>
  </w:style>
  <w:style w:type="character" w:customStyle="1" w:styleId="54">
    <w:name w:val="明显引用 Char"/>
    <w:basedOn w:val="32"/>
    <w:link w:val="53"/>
    <w:qFormat/>
    <w:uiPriority w:val="30"/>
    <w:rPr>
      <w:i/>
      <w:iCs/>
    </w:rPr>
  </w:style>
  <w:style w:type="character" w:customStyle="1" w:styleId="55">
    <w:name w:val="不明显强调1"/>
    <w:qFormat/>
    <w:uiPriority w:val="19"/>
    <w:rPr>
      <w:i/>
      <w:iCs/>
    </w:rPr>
  </w:style>
  <w:style w:type="character" w:customStyle="1" w:styleId="56">
    <w:name w:val="明显强调1"/>
    <w:qFormat/>
    <w:uiPriority w:val="21"/>
    <w:rPr>
      <w:b/>
      <w:bCs/>
      <w:i/>
      <w:iCs/>
    </w:rPr>
  </w:style>
  <w:style w:type="character" w:customStyle="1" w:styleId="57">
    <w:name w:val="不明显参考1"/>
    <w:basedOn w:val="32"/>
    <w:qFormat/>
    <w:uiPriority w:val="31"/>
    <w:rPr>
      <w:smallCaps/>
    </w:rPr>
  </w:style>
  <w:style w:type="character" w:customStyle="1" w:styleId="58">
    <w:name w:val="明显参考1"/>
    <w:qFormat/>
    <w:uiPriority w:val="32"/>
    <w:rPr>
      <w:b/>
      <w:bCs/>
      <w:smallCaps/>
    </w:rPr>
  </w:style>
  <w:style w:type="character" w:customStyle="1" w:styleId="59">
    <w:name w:val="书籍标题1"/>
    <w:basedOn w:val="32"/>
    <w:qFormat/>
    <w:uiPriority w:val="33"/>
    <w:rPr>
      <w:i/>
      <w:iCs/>
      <w:smallCaps/>
      <w:spacing w:val="5"/>
    </w:rPr>
  </w:style>
  <w:style w:type="paragraph" w:customStyle="1" w:styleId="60">
    <w:name w:val="TOC 标题1"/>
    <w:basedOn w:val="2"/>
    <w:next w:val="1"/>
    <w:semiHidden/>
    <w:unhideWhenUsed/>
    <w:qFormat/>
    <w:uiPriority w:val="39"/>
    <w:pPr>
      <w:outlineLvl w:val="9"/>
    </w:pPr>
    <w:rPr>
      <w:lang w:bidi="en-US"/>
    </w:rPr>
  </w:style>
  <w:style w:type="character" w:customStyle="1" w:styleId="61">
    <w:name w:val="无间隔 Char"/>
    <w:basedOn w:val="32"/>
    <w:link w:val="49"/>
    <w:qFormat/>
    <w:uiPriority w:val="1"/>
  </w:style>
  <w:style w:type="paragraph" w:customStyle="1" w:styleId="62">
    <w:name w:val="Personal Name"/>
    <w:basedOn w:val="28"/>
    <w:qFormat/>
    <w:uiPriority w:val="0"/>
    <w:rPr>
      <w:b/>
      <w:caps/>
      <w:color w:val="000000"/>
      <w:sz w:val="28"/>
      <w:szCs w:val="28"/>
    </w:rPr>
  </w:style>
  <w:style w:type="character" w:customStyle="1" w:styleId="63">
    <w:name w:val="正文2 Char Char"/>
    <w:link w:val="64"/>
    <w:qFormat/>
    <w:uiPriority w:val="0"/>
    <w:rPr>
      <w:rFonts w:ascii="仿宋" w:hAnsi="仿宋" w:eastAsia="仿宋"/>
      <w:sz w:val="24"/>
      <w:szCs w:val="24"/>
    </w:rPr>
  </w:style>
  <w:style w:type="paragraph" w:customStyle="1" w:styleId="64">
    <w:name w:val="正文2"/>
    <w:basedOn w:val="1"/>
    <w:link w:val="63"/>
    <w:qFormat/>
    <w:uiPriority w:val="0"/>
    <w:pPr>
      <w:spacing w:line="360" w:lineRule="auto"/>
    </w:pPr>
  </w:style>
  <w:style w:type="character" w:customStyle="1" w:styleId="65">
    <w:name w:val="正文缩进 Char"/>
    <w:link w:val="11"/>
    <w:qFormat/>
    <w:uiPriority w:val="0"/>
    <w:rPr>
      <w:rFonts w:ascii="宋体" w:hAnsi="Times New Roman" w:eastAsia="宋体" w:cs="Times New Roman"/>
      <w:snapToGrid w:val="0"/>
      <w:color w:val="000000"/>
      <w:kern w:val="28"/>
      <w:sz w:val="28"/>
      <w:szCs w:val="20"/>
    </w:rPr>
  </w:style>
  <w:style w:type="character" w:customStyle="1" w:styleId="66">
    <w:name w:val="纯文本 Char"/>
    <w:basedOn w:val="32"/>
    <w:link w:val="21"/>
    <w:qFormat/>
    <w:uiPriority w:val="0"/>
    <w:rPr>
      <w:rFonts w:ascii="宋体" w:hAnsi="Courier New" w:eastAsia="宋体" w:cs="Arial"/>
      <w:snapToGrid w:val="0"/>
      <w:kern w:val="2"/>
      <w:sz w:val="21"/>
      <w:szCs w:val="21"/>
    </w:rPr>
  </w:style>
  <w:style w:type="character" w:customStyle="1" w:styleId="67">
    <w:name w:val="正文文本缩进 Char"/>
    <w:basedOn w:val="32"/>
    <w:semiHidden/>
    <w:qFormat/>
    <w:uiPriority w:val="99"/>
    <w:rPr>
      <w:rFonts w:ascii="仿宋" w:hAnsi="仿宋" w:eastAsia="仿宋"/>
      <w:sz w:val="24"/>
      <w:szCs w:val="24"/>
    </w:rPr>
  </w:style>
  <w:style w:type="character" w:customStyle="1" w:styleId="68">
    <w:name w:val="正文文本缩进 Char1"/>
    <w:link w:val="19"/>
    <w:qFormat/>
    <w:uiPriority w:val="0"/>
    <w:rPr>
      <w:rFonts w:ascii="宋体" w:hAnsi="宋体" w:eastAsia="宋体" w:cs="Times New Roman"/>
      <w:kern w:val="2"/>
      <w:sz w:val="24"/>
      <w:szCs w:val="24"/>
    </w:rPr>
  </w:style>
  <w:style w:type="character" w:customStyle="1" w:styleId="69">
    <w:name w:val="标题 Char2"/>
    <w:qFormat/>
    <w:uiPriority w:val="10"/>
    <w:rPr>
      <w:b/>
      <w:sz w:val="24"/>
      <w:lang w:val="en-GB"/>
    </w:rPr>
  </w:style>
  <w:style w:type="character" w:customStyle="1" w:styleId="70">
    <w:name w:val="纯文本 Char1"/>
    <w:link w:val="71"/>
    <w:qFormat/>
    <w:uiPriority w:val="0"/>
    <w:rPr>
      <w:rFonts w:ascii="宋体" w:hAnsi="Courier New"/>
    </w:rPr>
  </w:style>
  <w:style w:type="paragraph" w:customStyle="1" w:styleId="71">
    <w:name w:val="纯文本1"/>
    <w:basedOn w:val="1"/>
    <w:link w:val="70"/>
    <w:qFormat/>
    <w:uiPriority w:val="0"/>
    <w:pPr>
      <w:widowControl w:val="0"/>
      <w:spacing w:after="0"/>
      <w:jc w:val="both"/>
    </w:pPr>
    <w:rPr>
      <w:rFonts w:ascii="宋体" w:hAnsi="Courier New" w:eastAsiaTheme="majorEastAsia"/>
      <w:sz w:val="22"/>
      <w:szCs w:val="22"/>
    </w:rPr>
  </w:style>
  <w:style w:type="character" w:customStyle="1" w:styleId="72">
    <w:name w:val="页脚 Char2"/>
    <w:qFormat/>
    <w:locked/>
    <w:uiPriority w:val="99"/>
    <w:rPr>
      <w:kern w:val="2"/>
      <w:sz w:val="18"/>
      <w:szCs w:val="18"/>
    </w:rPr>
  </w:style>
  <w:style w:type="character" w:customStyle="1" w:styleId="73">
    <w:name w:val="页眉 Char2"/>
    <w:qFormat/>
    <w:uiPriority w:val="99"/>
    <w:rPr>
      <w:kern w:val="2"/>
      <w:sz w:val="18"/>
      <w:szCs w:val="18"/>
    </w:rPr>
  </w:style>
  <w:style w:type="paragraph" w:customStyle="1" w:styleId="74">
    <w:name w:val="索引 11"/>
    <w:basedOn w:val="1"/>
    <w:next w:val="1"/>
    <w:qFormat/>
    <w:uiPriority w:val="99"/>
    <w:pPr>
      <w:widowControl w:val="0"/>
      <w:spacing w:after="0" w:line="360" w:lineRule="auto"/>
      <w:jc w:val="both"/>
    </w:pPr>
    <w:rPr>
      <w:rFonts w:ascii="仿宋_GB2312" w:hAnsi="Times New Roman" w:eastAsia="仿宋_GB2312" w:cs="Times New Roman"/>
      <w:kern w:val="2"/>
      <w:szCs w:val="20"/>
    </w:rPr>
  </w:style>
  <w:style w:type="paragraph" w:customStyle="1" w:styleId="75">
    <w:name w:val="正文缩进1"/>
    <w:basedOn w:val="1"/>
    <w:next w:val="19"/>
    <w:qFormat/>
    <w:uiPriority w:val="0"/>
    <w:pPr>
      <w:widowControl w:val="0"/>
      <w:autoSpaceDE w:val="0"/>
      <w:autoSpaceDN w:val="0"/>
      <w:adjustRightInd w:val="0"/>
      <w:snapToGrid w:val="0"/>
      <w:spacing w:after="120" w:line="360" w:lineRule="auto"/>
      <w:ind w:left="420" w:leftChars="200" w:firstLine="480" w:firstLineChars="200"/>
      <w:jc w:val="both"/>
    </w:pPr>
    <w:rPr>
      <w:rFonts w:ascii="Times New Roman" w:hAnsi="Times New Roman" w:eastAsia="宋体" w:cs="Times New Roman"/>
      <w:kern w:val="2"/>
      <w:szCs w:val="21"/>
    </w:rPr>
  </w:style>
  <w:style w:type="paragraph" w:customStyle="1" w:styleId="76">
    <w:name w:val="text-tag"/>
    <w:basedOn w:val="1"/>
    <w:semiHidden/>
    <w:qFormat/>
    <w:uiPriority w:val="99"/>
    <w:pPr>
      <w:spacing w:before="100" w:beforeAutospacing="1" w:after="100" w:afterAutospacing="1"/>
    </w:pPr>
    <w:rPr>
      <w:rFonts w:ascii="宋体" w:hAnsi="宋体" w:eastAsia="宋体" w:cs="宋体"/>
    </w:rPr>
  </w:style>
  <w:style w:type="character" w:customStyle="1" w:styleId="77">
    <w:name w:val="纯文本 Char_0"/>
    <w:link w:val="78"/>
    <w:qFormat/>
    <w:uiPriority w:val="0"/>
    <w:rPr>
      <w:rFonts w:ascii="宋体" w:hAnsi="Courier New"/>
      <w:kern w:val="2"/>
      <w:sz w:val="21"/>
      <w:szCs w:val="21"/>
    </w:rPr>
  </w:style>
  <w:style w:type="paragraph" w:customStyle="1" w:styleId="78">
    <w:name w:val="纯文本_0_0"/>
    <w:basedOn w:val="1"/>
    <w:link w:val="77"/>
    <w:qFormat/>
    <w:uiPriority w:val="0"/>
    <w:pPr>
      <w:widowControl w:val="0"/>
      <w:spacing w:after="0"/>
      <w:jc w:val="both"/>
    </w:pPr>
    <w:rPr>
      <w:rFonts w:ascii="宋体" w:hAnsi="Courier New" w:eastAsiaTheme="majorEastAsia"/>
      <w:kern w:val="2"/>
      <w:sz w:val="21"/>
      <w:szCs w:val="21"/>
    </w:rPr>
  </w:style>
  <w:style w:type="paragraph" w:customStyle="1" w:styleId="79">
    <w:name w:val="部分1"/>
    <w:basedOn w:val="1"/>
    <w:qFormat/>
    <w:uiPriority w:val="0"/>
    <w:pPr>
      <w:keepNext/>
      <w:pageBreakBefore/>
      <w:widowControl w:val="0"/>
      <w:tabs>
        <w:tab w:val="left" w:pos="720"/>
      </w:tabs>
      <w:adjustRightInd w:val="0"/>
      <w:spacing w:after="0" w:line="360" w:lineRule="auto"/>
      <w:jc w:val="center"/>
      <w:outlineLvl w:val="0"/>
    </w:pPr>
    <w:rPr>
      <w:rFonts w:ascii="Times New Roman" w:hAnsi="Times New Roman" w:eastAsia="黑体" w:cs="Times New Roman"/>
      <w:b/>
      <w:kern w:val="44"/>
      <w:sz w:val="36"/>
      <w:szCs w:val="20"/>
    </w:rPr>
  </w:style>
  <w:style w:type="character" w:customStyle="1" w:styleId="80">
    <w:name w:val="批注框文本 Char"/>
    <w:basedOn w:val="32"/>
    <w:link w:val="23"/>
    <w:semiHidden/>
    <w:qFormat/>
    <w:uiPriority w:val="99"/>
    <w:rPr>
      <w:rFonts w:ascii="仿宋" w:hAnsi="仿宋" w:eastAsia="仿宋"/>
      <w:sz w:val="18"/>
      <w:szCs w:val="18"/>
    </w:rPr>
  </w:style>
  <w:style w:type="paragraph" w:customStyle="1" w:styleId="81">
    <w:name w:val="！！本文正文"/>
    <w:basedOn w:val="1"/>
    <w:qFormat/>
    <w:uiPriority w:val="0"/>
    <w:pPr>
      <w:spacing w:after="0" w:line="360" w:lineRule="auto"/>
      <w:ind w:firstLine="480" w:firstLineChars="200"/>
    </w:pPr>
  </w:style>
  <w:style w:type="paragraph" w:customStyle="1" w:styleId="82">
    <w:name w:val="正文_0"/>
    <w:unhideWhenUsed/>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3">
    <w:name w:val="目录 61"/>
    <w:basedOn w:val="1"/>
    <w:next w:val="1"/>
    <w:qFormat/>
    <w:uiPriority w:val="0"/>
    <w:pPr>
      <w:spacing w:before="100" w:beforeAutospacing="1" w:after="100" w:afterAutospacing="1"/>
      <w:ind w:left="2100" w:leftChars="1000"/>
      <w:jc w:val="both"/>
    </w:pPr>
    <w:rPr>
      <w:rFonts w:ascii="Calibri" w:hAnsi="Calibri" w:cs="Calibri"/>
      <w:kern w:val="2"/>
      <w:sz w:val="21"/>
      <w:szCs w:val="21"/>
    </w:rPr>
  </w:style>
  <w:style w:type="paragraph" w:customStyle="1" w:styleId="84">
    <w:name w:val="jl 二级"/>
    <w:basedOn w:val="1"/>
    <w:qFormat/>
    <w:uiPriority w:val="0"/>
    <w:pPr>
      <w:autoSpaceDE w:val="0"/>
      <w:autoSpaceDN w:val="0"/>
      <w:adjustRightInd w:val="0"/>
      <w:spacing w:beforeLines="100" w:afterLines="50"/>
      <w:ind w:firstLine="500" w:firstLineChars="200"/>
      <w:textAlignment w:val="baseline"/>
      <w:outlineLvl w:val="1"/>
    </w:pPr>
    <w:rPr>
      <w:rFonts w:ascii="黑体" w:eastAsia="黑体"/>
      <w:b/>
    </w:rPr>
  </w:style>
  <w:style w:type="paragraph" w:customStyle="1" w:styleId="85">
    <w:name w:val="default"/>
    <w:basedOn w:val="1"/>
    <w:qFormat/>
    <w:uiPriority w:val="0"/>
    <w:pPr>
      <w:spacing w:before="100" w:beforeAutospacing="1" w:after="100" w:afterAutospacing="1"/>
    </w:pPr>
    <w:rPr>
      <w:rFonts w:ascii="宋体" w:hAnsi="宋体" w:eastAsia="宋体" w:cs="宋体"/>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header" Target="header2.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D6E9672-B487-489B-8A08-A21C17F143A4}">
  <ds:schemaRefs/>
</ds:datastoreItem>
</file>

<file path=docProps/app.xml><?xml version="1.0" encoding="utf-8"?>
<Properties xmlns="http://schemas.openxmlformats.org/officeDocument/2006/extended-properties" xmlns:vt="http://schemas.openxmlformats.org/officeDocument/2006/docPropsVTypes">
  <Template>Normal.dotm</Template>
  <Pages>115</Pages>
  <Words>56183</Words>
  <Characters>61585</Characters>
  <Lines>306</Lines>
  <Paragraphs>86</Paragraphs>
  <TotalTime>3</TotalTime>
  <ScaleCrop>false</ScaleCrop>
  <LinksUpToDate>false</LinksUpToDate>
  <CharactersWithSpaces>67895</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2022-06-10T07:30:00Z</dcterms:created>
  <dc:creator>admin</dc:creator>
  <cp:lastModifiedBy>工作小田</cp:lastModifiedBy>
  <cp:lastPrinted>2022-06-10T09:02:00Z</cp:lastPrinted>
  <dcterms:modified xsi:type="dcterms:W3CDTF">2022-09-15T03:22:36Z</dcterms:modified>
  <cp:revision>74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75D9636B601E496DB4B987FEEA2A7564</vt:lpwstr>
  </property>
</Properties>
</file>